
<file path=[Content_Types].xml><?xml version="1.0" encoding="utf-8"?>
<Types xmlns="http://schemas.openxmlformats.org/package/2006/content-types">
  <Default Extension="xml" ContentType="application/xml"/>
  <Default Extension="tiff" ContentType="image/tif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0BC7C4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33269082">
            <w:pPr>
              <w:pStyle w:val="19"/>
              <w:framePr w:wrap="notBeside" w:vAnchor="page" w:hAnchor="page" w:x="1372" w:y="568"/>
              <w:tabs>
                <w:tab w:val="clear" w:pos="4153"/>
                <w:tab w:val="clear" w:pos="8306"/>
              </w:tabs>
              <w:spacing w:line="240" w:lineRule="auto"/>
              <w:jc w:val="left"/>
              <w:rPr>
                <w:rFonts w:hint="eastAsia" w:ascii="黑体" w:hAnsi="黑体" w:eastAsia="黑体"/>
                <w:color w:val="auto"/>
                <w:sz w:val="21"/>
                <w:szCs w:val="21"/>
              </w:rPr>
            </w:pPr>
            <w:r>
              <w:rPr>
                <w:rFonts w:ascii="Times New Roman" w:hAnsi="Times New Roman" w:eastAsia="黑体"/>
                <w:color w:val="auto"/>
                <w:sz w:val="21"/>
                <w:szCs w:val="21"/>
              </w:rPr>
              <w:t>ICS</w:t>
            </w:r>
            <w:r>
              <w:rPr>
                <w:rFonts w:ascii="黑体" w:hAnsi="黑体" w:eastAsia="黑体"/>
                <w:color w:val="auto"/>
                <w:sz w:val="21"/>
                <w:szCs w:val="21"/>
              </w:rPr>
              <w:t xml:space="preserve">  </w:t>
            </w:r>
          </w:p>
        </w:tc>
        <w:tc>
          <w:tcPr>
            <w:tcW w:w="8855" w:type="dxa"/>
          </w:tcPr>
          <w:p w14:paraId="1A69A7C6">
            <w:pPr>
              <w:pStyle w:val="19"/>
              <w:framePr w:wrap="notBeside" w:vAnchor="page" w:hAnchor="page" w:x="1372" w:y="568"/>
              <w:tabs>
                <w:tab w:val="clear" w:pos="4153"/>
                <w:tab w:val="clear" w:pos="8306"/>
              </w:tabs>
              <w:spacing w:line="240" w:lineRule="auto"/>
              <w:jc w:val="both"/>
              <w:rPr>
                <w:rFonts w:hint="eastAsia" w:ascii="黑体" w:hAnsi="黑体" w:eastAsia="黑体"/>
                <w:color w:val="auto"/>
                <w:sz w:val="21"/>
                <w:szCs w:val="21"/>
              </w:rPr>
            </w:pPr>
            <w:r>
              <w:rPr>
                <w:rFonts w:ascii="黑体" w:hAnsi="黑体" w:eastAsia="黑体"/>
                <w:color w:val="auto"/>
                <w:sz w:val="21"/>
                <w:szCs w:val="21"/>
              </w:rPr>
              <w:t>03.120.10</w:t>
            </w:r>
          </w:p>
        </w:tc>
      </w:tr>
      <w:tr w14:paraId="21B9BC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369C2CB7">
            <w:pPr>
              <w:pStyle w:val="19"/>
              <w:framePr w:wrap="notBeside" w:vAnchor="page" w:hAnchor="page" w:x="1372" w:y="568"/>
              <w:tabs>
                <w:tab w:val="clear" w:pos="4153"/>
                <w:tab w:val="clear" w:pos="8306"/>
              </w:tabs>
              <w:spacing w:before="40" w:line="240" w:lineRule="auto"/>
              <w:jc w:val="left"/>
              <w:rPr>
                <w:rFonts w:hint="eastAsia" w:ascii="黑体" w:hAnsi="黑体" w:eastAsia="黑体"/>
                <w:color w:val="auto"/>
                <w:sz w:val="21"/>
                <w:szCs w:val="21"/>
              </w:rPr>
            </w:pPr>
            <w:r>
              <w:rPr>
                <w:rFonts w:ascii="Times New Roman" w:hAnsi="Times New Roman" w:eastAsia="黑体"/>
                <w:color w:val="auto"/>
                <w:sz w:val="21"/>
                <w:szCs w:val="21"/>
              </w:rPr>
              <w:t xml:space="preserve">CCS </w:t>
            </w:r>
            <w:r>
              <w:rPr>
                <w:rFonts w:ascii="黑体" w:hAnsi="黑体" w:eastAsia="黑体"/>
                <w:color w:val="auto"/>
                <w:sz w:val="21"/>
                <w:szCs w:val="21"/>
              </w:rPr>
              <w:t xml:space="preserve"> </w:t>
            </w:r>
          </w:p>
        </w:tc>
        <w:tc>
          <w:tcPr>
            <w:tcW w:w="8855" w:type="dxa"/>
          </w:tcPr>
          <w:p w14:paraId="7DD9C258">
            <w:pPr>
              <w:pStyle w:val="19"/>
              <w:framePr w:wrap="notBeside" w:vAnchor="page" w:hAnchor="page" w:x="1372" w:y="568"/>
              <w:tabs>
                <w:tab w:val="clear" w:pos="4153"/>
                <w:tab w:val="clear" w:pos="8306"/>
              </w:tabs>
              <w:spacing w:before="40" w:line="240" w:lineRule="auto"/>
              <w:jc w:val="left"/>
              <w:rPr>
                <w:rFonts w:hint="eastAsia" w:ascii="黑体" w:hAnsi="黑体" w:eastAsia="黑体"/>
                <w:color w:val="auto"/>
                <w:sz w:val="21"/>
                <w:szCs w:val="21"/>
              </w:rPr>
            </w:pPr>
            <w:r>
              <w:rPr>
                <w:rFonts w:ascii="黑体" w:hAnsi="黑体" w:eastAsia="黑体"/>
                <w:color w:val="auto"/>
                <w:sz w:val="21"/>
                <w:szCs w:val="21"/>
              </w:rPr>
              <w:t>A00</w:t>
            </w:r>
          </w:p>
        </w:tc>
      </w:tr>
    </w:tbl>
    <w:tbl>
      <w:tblPr>
        <w:tblStyle w:val="29"/>
        <w:tblpPr w:leftFromText="180" w:rightFromText="180" w:vertAnchor="text" w:horzAnchor="margin" w:tblpX="2683" w:tblpY="578"/>
        <w:tblW w:w="6407"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221" w:type="dxa"/>
        </w:tblCellMar>
      </w:tblPr>
      <w:tblGrid>
        <w:gridCol w:w="6407"/>
      </w:tblGrid>
      <w:tr w14:paraId="2909A2B1">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38159B67">
            <w:pPr>
              <w:pStyle w:val="52"/>
              <w:framePr w:w="0" w:hRule="auto" w:wrap="auto" w:vAnchor="margin" w:hAnchor="text" w:xAlign="left" w:yAlign="inline"/>
              <w:rPr>
                <w:rFonts w:hint="eastAsia" w:ascii="宋体" w:hAnsi="宋体"/>
                <w:color w:val="auto"/>
                <w:sz w:val="28"/>
                <w:szCs w:val="28"/>
              </w:rPr>
            </w:pPr>
            <w:bookmarkStart w:id="0" w:name="_Hlk26473981"/>
            <w:r>
              <w:rPr>
                <w:color w:val="auto"/>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color w:val="auto"/>
                <w:sz w:val="21"/>
                <w:szCs w:val="21"/>
              </w:rPr>
              <w:t xml:space="preserve"> </w:t>
            </w:r>
            <w:r>
              <w:rPr>
                <w:color w:val="auto"/>
              </w:rPr>
              <w:fldChar w:fldCharType="begin">
                <w:ffData>
                  <w:name w:val="c1"/>
                  <w:enabled/>
                  <w:calcOnExit w:val="0"/>
                  <w:textInput>
                    <w:maxLength w:val="8"/>
                  </w:textInput>
                </w:ffData>
              </w:fldChar>
            </w:r>
            <w:bookmarkStart w:id="1" w:name="c1"/>
            <w:r>
              <w:rPr>
                <w:color w:val="auto"/>
              </w:rPr>
              <w:instrText xml:space="preserve"> FORMTEXT </w:instrText>
            </w:r>
            <w:r>
              <w:rPr>
                <w:color w:val="auto"/>
              </w:rPr>
              <w:fldChar w:fldCharType="separate"/>
            </w:r>
            <w:r>
              <w:rPr>
                <w:color w:val="auto"/>
              </w:rPr>
              <w:t>32</w:t>
            </w:r>
            <w:r>
              <w:rPr>
                <w:color w:val="auto"/>
              </w:rPr>
              <w:fldChar w:fldCharType="end"/>
            </w:r>
            <w:bookmarkEnd w:id="1"/>
          </w:p>
        </w:tc>
      </w:tr>
    </w:tbl>
    <w:p w14:paraId="782D39F9">
      <w:pPr>
        <w:pStyle w:val="53"/>
        <w:framePr w:w="9639" w:h="624" w:hRule="exact" w:hSpace="181" w:vSpace="181" w:hAnchor="page" w:x="1305" w:y="2269"/>
        <w:rPr>
          <w:rFonts w:hint="eastAsia" w:ascii="黑体" w:hAnsi="黑体" w:eastAsia="黑体"/>
          <w:b w:val="0"/>
          <w:bCs w:val="0"/>
          <w:color w:val="auto"/>
          <w:w w:val="100"/>
          <w:sz w:val="48"/>
          <w:szCs w:val="48"/>
        </w:rPr>
      </w:pPr>
      <w:r>
        <w:rPr>
          <w:rFonts w:hint="eastAsia" w:ascii="黑体" w:eastAsia="黑体"/>
          <w:b w:val="0"/>
          <w:color w:val="auto"/>
          <w:w w:val="100"/>
          <w:sz w:val="48"/>
        </w:rPr>
        <w:t>江苏省</w:t>
      </w:r>
      <w:r>
        <w:rPr>
          <w:rFonts w:hint="eastAsia" w:ascii="黑体" w:hAnsi="黑体" w:eastAsia="黑体"/>
          <w:b w:val="0"/>
          <w:bCs w:val="0"/>
          <w:color w:val="auto"/>
          <w:w w:val="100"/>
          <w:sz w:val="48"/>
          <w:szCs w:val="48"/>
        </w:rPr>
        <w:t>地方标准</w:t>
      </w:r>
    </w:p>
    <w:bookmarkEnd w:id="0"/>
    <w:p w14:paraId="740B835C">
      <w:pPr>
        <w:pStyle w:val="198"/>
        <w:rPr>
          <w:color w:val="auto"/>
          <w:lang w:val="fr-FR"/>
        </w:rPr>
      </w:pPr>
      <w:r>
        <w:rPr>
          <w:color w:val="auto"/>
          <w:lang w:val="fr-FR"/>
        </w:rPr>
        <w:t>DB</w:t>
      </w:r>
      <w:r>
        <w:rPr>
          <w:color w:val="auto"/>
          <w:sz w:val="15"/>
          <w:szCs w:val="15"/>
          <w:lang w:val="fr-FR"/>
        </w:rPr>
        <w:t xml:space="preserve"> </w:t>
      </w:r>
      <w:r>
        <w:rPr>
          <w:color w:val="auto"/>
        </w:rPr>
        <w:fldChar w:fldCharType="begin">
          <w:ffData>
            <w:name w:val="文字1"/>
            <w:enabled/>
            <w:calcOnExit w:val="0"/>
            <w:textInput>
              <w:default w:val="XX/T"/>
            </w:textInput>
          </w:ffData>
        </w:fldChar>
      </w:r>
      <w:bookmarkStart w:id="2" w:name="文字1"/>
      <w:r>
        <w:rPr>
          <w:color w:val="auto"/>
          <w:lang w:val="fr-FR"/>
        </w:rPr>
        <w:instrText xml:space="preserve"> FORMTEXT </w:instrText>
      </w:r>
      <w:r>
        <w:rPr>
          <w:color w:val="auto"/>
        </w:rPr>
        <w:fldChar w:fldCharType="separate"/>
      </w:r>
      <w:r>
        <w:rPr>
          <w:color w:val="auto"/>
        </w:rPr>
        <w:t>32</w:t>
      </w:r>
      <w:r>
        <w:rPr>
          <w:color w:val="auto"/>
          <w:lang w:val="fr-FR"/>
        </w:rPr>
        <w:t>/T</w:t>
      </w:r>
      <w:r>
        <w:rPr>
          <w:color w:val="auto"/>
        </w:rPr>
        <w:fldChar w:fldCharType="end"/>
      </w:r>
      <w:bookmarkEnd w:id="2"/>
      <w:r>
        <w:rPr>
          <w:color w:val="auto"/>
          <w:lang w:val="fr-FR"/>
        </w:rPr>
        <w:t xml:space="preserve"> </w:t>
      </w:r>
      <w:r>
        <w:rPr>
          <w:color w:val="auto"/>
        </w:rPr>
        <w:fldChar w:fldCharType="begin">
          <w:ffData>
            <w:name w:val="NSTD_CODE_F"/>
            <w:enabled/>
            <w:calcOnExit w:val="0"/>
            <w:textInput>
              <w:default w:val="XXXX"/>
            </w:textInput>
          </w:ffData>
        </w:fldChar>
      </w:r>
      <w:bookmarkStart w:id="3" w:name="NSTD_CODE_F"/>
      <w:r>
        <w:rPr>
          <w:color w:val="auto"/>
          <w:lang w:val="fr-FR"/>
        </w:rPr>
        <w:instrText xml:space="preserve"> FORMTEXT </w:instrText>
      </w:r>
      <w:r>
        <w:rPr>
          <w:color w:val="auto"/>
        </w:rPr>
        <w:fldChar w:fldCharType="separate"/>
      </w:r>
      <w:r>
        <w:rPr>
          <w:color w:val="auto"/>
          <w:lang w:val="fr-FR"/>
        </w:rPr>
        <w:t>XXXX</w:t>
      </w:r>
      <w:r>
        <w:rPr>
          <w:color w:val="auto"/>
        </w:rPr>
        <w:fldChar w:fldCharType="end"/>
      </w:r>
      <w:bookmarkEnd w:id="3"/>
      <w:r>
        <w:rPr>
          <w:rFonts w:hAnsi="黑体"/>
          <w:color w:val="auto"/>
          <w:lang w:val="fr-FR"/>
        </w:rPr>
        <w:t>—</w:t>
      </w:r>
      <w:r>
        <w:rPr>
          <w:color w:val="auto"/>
        </w:rPr>
        <w:fldChar w:fldCharType="begin">
          <w:ffData>
            <w:name w:val="NSTD_CODE_B"/>
            <w:enabled/>
            <w:calcOnExit w:val="0"/>
            <w:textInput>
              <w:default w:val="XXXX"/>
            </w:textInput>
          </w:ffData>
        </w:fldChar>
      </w:r>
      <w:bookmarkStart w:id="4" w:name="NSTD_CODE_B"/>
      <w:r>
        <w:rPr>
          <w:color w:val="auto"/>
          <w:lang w:val="fr-FR"/>
        </w:rPr>
        <w:instrText xml:space="preserve"> FORMTEXT </w:instrText>
      </w:r>
      <w:r>
        <w:rPr>
          <w:color w:val="auto"/>
        </w:rPr>
        <w:fldChar w:fldCharType="separate"/>
      </w:r>
      <w:r>
        <w:rPr>
          <w:color w:val="auto"/>
        </w:rPr>
        <w:t>2024</w:t>
      </w:r>
      <w:r>
        <w:rPr>
          <w:color w:val="auto"/>
        </w:rPr>
        <w:fldChar w:fldCharType="end"/>
      </w:r>
      <w:bookmarkEnd w:id="4"/>
    </w:p>
    <w:p w14:paraId="11DE62B7">
      <w:pPr>
        <w:pStyle w:val="199"/>
        <w:rPr>
          <w:rFonts w:hint="eastAsia" w:hAnsi="黑体"/>
          <w:color w:val="auto"/>
        </w:rPr>
      </w:pPr>
    </w:p>
    <w:p w14:paraId="4DB06BB5">
      <w:pPr>
        <w:rPr>
          <w:rFonts w:hint="eastAsia" w:ascii="黑体" w:hAnsi="黑体" w:eastAsia="黑体"/>
          <w:color w:val="auto"/>
          <w:kern w:val="0"/>
          <w:sz w:val="10"/>
          <w:szCs w:val="10"/>
        </w:rPr>
      </w:pPr>
      <w:r>
        <w:rPr>
          <w:rFonts w:ascii="黑体" w:hAnsi="黑体" w:eastAsia="黑体"/>
          <w:color w:val="auto"/>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1E0D7121">
      <w:pPr>
        <w:pStyle w:val="53"/>
        <w:framePr w:w="9639" w:h="6976" w:hRule="exact" w:hSpace="0" w:vSpace="0" w:hAnchor="page" w:y="6408"/>
        <w:jc w:val="center"/>
        <w:rPr>
          <w:rFonts w:hint="eastAsia" w:ascii="黑体" w:hAnsi="黑体" w:eastAsia="黑体"/>
          <w:b w:val="0"/>
          <w:bCs w:val="0"/>
          <w:color w:val="auto"/>
          <w:w w:val="100"/>
        </w:rPr>
      </w:pPr>
    </w:p>
    <w:p w14:paraId="1568D2A0">
      <w:pPr>
        <w:pStyle w:val="200"/>
        <w:framePr w:h="6974" w:hRule="exact" w:x="1419" w:anchorLock="1"/>
        <w:rPr>
          <w:rFonts w:hint="eastAsia"/>
          <w:color w:val="auto"/>
        </w:rPr>
      </w:pPr>
      <w:r>
        <w:rPr>
          <w:rFonts w:hint="eastAsia"/>
          <w:color w:val="auto"/>
        </w:rPr>
        <w:t>党政机关国有资产管理工作规范</w:t>
      </w:r>
    </w:p>
    <w:p w14:paraId="551AB31E">
      <w:pPr>
        <w:framePr w:w="9639" w:h="6974" w:hRule="exact" w:wrap="around" w:vAnchor="page" w:hAnchor="page" w:x="1419" w:y="6408" w:anchorLock="1"/>
        <w:ind w:left="-1418"/>
        <w:rPr>
          <w:color w:val="auto"/>
        </w:rPr>
      </w:pPr>
    </w:p>
    <w:p w14:paraId="6D031E45">
      <w:pPr>
        <w:pStyle w:val="128"/>
        <w:framePr w:w="9639" w:h="6974" w:hRule="exact" w:wrap="around" w:vAnchor="page" w:hAnchor="page" w:x="1419" w:y="6408" w:anchorLock="1"/>
        <w:textAlignment w:val="bottom"/>
        <w:rPr>
          <w:color w:val="auto"/>
        </w:rPr>
      </w:pPr>
      <w:r>
        <w:rPr>
          <w:rFonts w:hint="eastAsia" w:ascii="黑体" w:hAnsi="黑体" w:eastAsia="黑体"/>
          <w:color w:val="auto"/>
          <w:szCs w:val="28"/>
        </w:rPr>
        <w:t>Specification</w:t>
      </w:r>
      <w:r>
        <w:rPr>
          <w:rFonts w:ascii="黑体" w:hAnsi="黑体" w:eastAsia="黑体"/>
          <w:color w:val="auto"/>
          <w:szCs w:val="28"/>
        </w:rPr>
        <w:t xml:space="preserve"> for the state owned assets </w:t>
      </w:r>
      <w:r>
        <w:rPr>
          <w:rFonts w:hint="eastAsia" w:ascii="黑体" w:hAnsi="黑体" w:eastAsia="黑体"/>
          <w:color w:val="auto"/>
          <w:szCs w:val="28"/>
        </w:rPr>
        <w:t>m</w:t>
      </w:r>
      <w:r>
        <w:rPr>
          <w:rFonts w:ascii="黑体" w:hAnsi="黑体" w:eastAsia="黑体"/>
          <w:color w:val="auto"/>
          <w:szCs w:val="28"/>
        </w:rPr>
        <w:t xml:space="preserve">anagement </w:t>
      </w:r>
      <w:r>
        <w:rPr>
          <w:rFonts w:hint="eastAsia" w:ascii="黑体" w:hAnsi="黑体" w:eastAsia="黑体"/>
          <w:color w:val="auto"/>
          <w:szCs w:val="28"/>
        </w:rPr>
        <w:t>of</w:t>
      </w:r>
      <w:r>
        <w:rPr>
          <w:rFonts w:ascii="黑体" w:hAnsi="黑体" w:eastAsia="黑体"/>
          <w:color w:val="auto"/>
          <w:szCs w:val="28"/>
        </w:rPr>
        <w:t xml:space="preserve"> </w:t>
      </w:r>
      <w:r>
        <w:rPr>
          <w:rFonts w:hint="eastAsia" w:ascii="黑体" w:hAnsi="黑体" w:eastAsia="黑体"/>
          <w:color w:val="auto"/>
          <w:szCs w:val="28"/>
          <w:lang w:val="en-US" w:eastAsia="zh-CN"/>
        </w:rPr>
        <w:t>p</w:t>
      </w:r>
      <w:r>
        <w:rPr>
          <w:rFonts w:ascii="黑体" w:hAnsi="黑体" w:eastAsia="黑体"/>
          <w:color w:val="auto"/>
          <w:szCs w:val="28"/>
        </w:rPr>
        <w:t>arty and government organs</w:t>
      </w:r>
    </w:p>
    <w:p w14:paraId="5D558234">
      <w:pPr>
        <w:pStyle w:val="128"/>
        <w:framePr w:w="9639" w:h="6974" w:hRule="exact" w:wrap="around" w:vAnchor="page" w:hAnchor="page" w:x="1419" w:y="6408" w:anchorLock="1"/>
        <w:textAlignment w:val="bottom"/>
        <w:rPr>
          <w:rFonts w:eastAsia="黑体"/>
          <w:color w:val="auto"/>
          <w:szCs w:val="28"/>
        </w:rPr>
      </w:pPr>
    </w:p>
    <w:p w14:paraId="6F4B3197">
      <w:pPr>
        <w:pStyle w:val="128"/>
        <w:framePr w:w="9639" w:h="6974" w:hRule="exact" w:wrap="around" w:vAnchor="page" w:hAnchor="page" w:x="1419" w:y="6408" w:anchorLock="1"/>
        <w:spacing w:before="440" w:after="160" w:line="240" w:lineRule="auto"/>
        <w:textAlignment w:val="bottom"/>
        <w:rPr>
          <w:b/>
          <w:color w:val="auto"/>
          <w:sz w:val="21"/>
          <w:szCs w:val="28"/>
        </w:rPr>
      </w:pPr>
    </w:p>
    <w:p w14:paraId="2F9B9140">
      <w:pPr>
        <w:pStyle w:val="196"/>
        <w:framePr w:y="14176"/>
        <w:rPr>
          <w:color w:val="auto"/>
        </w:rPr>
      </w:pPr>
      <w:r>
        <w:rPr>
          <w:rFonts w:ascii="黑体"/>
          <w:color w:val="auto"/>
        </w:rPr>
        <w:fldChar w:fldCharType="begin">
          <w:ffData>
            <w:name w:val="PLSH_DATE_Y"/>
            <w:enabled/>
            <w:calcOnExit w:val="0"/>
            <w:textInput>
              <w:default w:val="XXXX"/>
              <w:maxLength w:val="4"/>
            </w:textInput>
          </w:ffData>
        </w:fldChar>
      </w:r>
      <w:bookmarkStart w:id="5" w:name="PLSH_DATE_Y"/>
      <w:r>
        <w:rPr>
          <w:rFonts w:ascii="黑体"/>
          <w:color w:val="auto"/>
        </w:rPr>
        <w:instrText xml:space="preserve"> FORMTEXT </w:instrText>
      </w:r>
      <w:r>
        <w:rPr>
          <w:rFonts w:ascii="黑体"/>
          <w:color w:val="auto"/>
        </w:rPr>
        <w:fldChar w:fldCharType="separate"/>
      </w:r>
      <w:r>
        <w:rPr>
          <w:rFonts w:ascii="黑体"/>
          <w:color w:val="auto"/>
        </w:rPr>
        <w:t>2024</w:t>
      </w:r>
      <w:r>
        <w:rPr>
          <w:rFonts w:ascii="黑体"/>
          <w:color w:val="auto"/>
        </w:rPr>
        <w:fldChar w:fldCharType="end"/>
      </w:r>
      <w:bookmarkEnd w:id="5"/>
      <w:r>
        <w:rPr>
          <w:color w:val="auto"/>
        </w:rPr>
        <w:t xml:space="preserve"> </w:t>
      </w:r>
      <w:r>
        <w:rPr>
          <w:rFonts w:ascii="黑体"/>
          <w:color w:val="auto"/>
        </w:rPr>
        <w:t>-</w:t>
      </w:r>
      <w:r>
        <w:rPr>
          <w:color w:val="auto"/>
        </w:rPr>
        <w:t xml:space="preserve"> </w:t>
      </w:r>
      <w:r>
        <w:rPr>
          <w:rFonts w:ascii="黑体"/>
          <w:color w:val="auto"/>
        </w:rPr>
        <w:fldChar w:fldCharType="begin">
          <w:ffData>
            <w:name w:val="PLSH_DATE_M"/>
            <w:enabled/>
            <w:calcOnExit w:val="0"/>
            <w:textInput>
              <w:default w:val="XX"/>
              <w:maxLength w:val="2"/>
            </w:textInput>
          </w:ffData>
        </w:fldChar>
      </w:r>
      <w:bookmarkStart w:id="6" w:name="PLSH_DATE_M"/>
      <w:r>
        <w:rPr>
          <w:rFonts w:ascii="黑体"/>
          <w:color w:val="auto"/>
        </w:rPr>
        <w:instrText xml:space="preserve"> FORMTEXT </w:instrText>
      </w:r>
      <w:r>
        <w:rPr>
          <w:rFonts w:ascii="黑体"/>
          <w:color w:val="auto"/>
        </w:rPr>
        <w:fldChar w:fldCharType="separate"/>
      </w:r>
      <w:r>
        <w:rPr>
          <w:rFonts w:ascii="黑体"/>
          <w:color w:val="auto"/>
        </w:rPr>
        <w:t>XX</w:t>
      </w:r>
      <w:r>
        <w:rPr>
          <w:rFonts w:ascii="黑体"/>
          <w:color w:val="auto"/>
        </w:rPr>
        <w:fldChar w:fldCharType="end"/>
      </w:r>
      <w:bookmarkEnd w:id="6"/>
      <w:r>
        <w:rPr>
          <w:color w:val="auto"/>
        </w:rPr>
        <w:t xml:space="preserve"> </w:t>
      </w:r>
      <w:r>
        <w:rPr>
          <w:rFonts w:ascii="黑体"/>
          <w:color w:val="auto"/>
        </w:rPr>
        <w:t>-</w:t>
      </w:r>
      <w:r>
        <w:rPr>
          <w:color w:val="auto"/>
        </w:rPr>
        <w:t xml:space="preserve"> </w:t>
      </w:r>
      <w:r>
        <w:rPr>
          <w:rFonts w:ascii="黑体"/>
          <w:color w:val="auto"/>
        </w:rPr>
        <w:fldChar w:fldCharType="begin">
          <w:ffData>
            <w:name w:val="PLSH_DATE_D"/>
            <w:enabled/>
            <w:calcOnExit w:val="0"/>
            <w:textInput>
              <w:default w:val="XX"/>
              <w:maxLength w:val="2"/>
            </w:textInput>
          </w:ffData>
        </w:fldChar>
      </w:r>
      <w:bookmarkStart w:id="7" w:name="PLSH_DATE_D"/>
      <w:r>
        <w:rPr>
          <w:rFonts w:ascii="黑体"/>
          <w:color w:val="auto"/>
        </w:rPr>
        <w:instrText xml:space="preserve"> FORMTEXT </w:instrText>
      </w:r>
      <w:r>
        <w:rPr>
          <w:rFonts w:ascii="黑体"/>
          <w:color w:val="auto"/>
        </w:rPr>
        <w:fldChar w:fldCharType="separate"/>
      </w:r>
      <w:r>
        <w:rPr>
          <w:rFonts w:ascii="黑体"/>
          <w:color w:val="auto"/>
        </w:rPr>
        <w:t>XX</w:t>
      </w:r>
      <w:r>
        <w:rPr>
          <w:rFonts w:ascii="黑体"/>
          <w:color w:val="auto"/>
        </w:rPr>
        <w:fldChar w:fldCharType="end"/>
      </w:r>
      <w:bookmarkEnd w:id="7"/>
      <w:r>
        <w:rPr>
          <w:rFonts w:hint="eastAsia"/>
          <w:color w:val="auto"/>
        </w:rPr>
        <w:t>发布</w:t>
      </w:r>
    </w:p>
    <w:p w14:paraId="597EEAC3">
      <w:pPr>
        <w:pStyle w:val="197"/>
        <w:framePr w:y="14176"/>
        <w:rPr>
          <w:color w:val="auto"/>
        </w:rPr>
      </w:pPr>
      <w:r>
        <w:rPr>
          <w:rFonts w:ascii="黑体"/>
          <w:color w:val="auto"/>
        </w:rPr>
        <w:fldChar w:fldCharType="begin">
          <w:ffData>
            <w:name w:val="CROT_DATE_Y"/>
            <w:enabled/>
            <w:calcOnExit w:val="0"/>
            <w:textInput>
              <w:default w:val="XXXX"/>
              <w:maxLength w:val="4"/>
            </w:textInput>
          </w:ffData>
        </w:fldChar>
      </w:r>
      <w:bookmarkStart w:id="8" w:name="CROT_DATE_Y"/>
      <w:r>
        <w:rPr>
          <w:rFonts w:ascii="黑体"/>
          <w:color w:val="auto"/>
        </w:rPr>
        <w:instrText xml:space="preserve"> FORMTEXT </w:instrText>
      </w:r>
      <w:r>
        <w:rPr>
          <w:rFonts w:ascii="黑体"/>
          <w:color w:val="auto"/>
        </w:rPr>
        <w:fldChar w:fldCharType="separate"/>
      </w:r>
      <w:r>
        <w:rPr>
          <w:rFonts w:ascii="黑体"/>
          <w:color w:val="auto"/>
        </w:rPr>
        <w:t>2024</w:t>
      </w:r>
      <w:r>
        <w:rPr>
          <w:rFonts w:ascii="黑体"/>
          <w:color w:val="auto"/>
        </w:rPr>
        <w:fldChar w:fldCharType="end"/>
      </w:r>
      <w:bookmarkEnd w:id="8"/>
      <w:r>
        <w:rPr>
          <w:color w:val="auto"/>
        </w:rPr>
        <w:t xml:space="preserve"> </w:t>
      </w:r>
      <w:r>
        <w:rPr>
          <w:rFonts w:ascii="黑体"/>
          <w:color w:val="auto"/>
        </w:rPr>
        <w:t>-</w:t>
      </w:r>
      <w:r>
        <w:rPr>
          <w:color w:val="auto"/>
        </w:rPr>
        <w:t xml:space="preserve"> </w:t>
      </w:r>
      <w:r>
        <w:rPr>
          <w:rFonts w:ascii="黑体"/>
          <w:color w:val="auto"/>
        </w:rPr>
        <w:fldChar w:fldCharType="begin">
          <w:ffData>
            <w:name w:val="CROT_DATE_M"/>
            <w:enabled/>
            <w:calcOnExit w:val="0"/>
            <w:textInput>
              <w:default w:val="XX"/>
              <w:maxLength w:val="2"/>
            </w:textInput>
          </w:ffData>
        </w:fldChar>
      </w:r>
      <w:bookmarkStart w:id="9" w:name="CROT_DATE_M"/>
      <w:r>
        <w:rPr>
          <w:rFonts w:ascii="黑体"/>
          <w:color w:val="auto"/>
        </w:rPr>
        <w:instrText xml:space="preserve"> FORMTEXT </w:instrText>
      </w:r>
      <w:r>
        <w:rPr>
          <w:rFonts w:ascii="黑体"/>
          <w:color w:val="auto"/>
        </w:rPr>
        <w:fldChar w:fldCharType="separate"/>
      </w:r>
      <w:r>
        <w:rPr>
          <w:rFonts w:ascii="黑体"/>
          <w:color w:val="auto"/>
        </w:rPr>
        <w:t>XX</w:t>
      </w:r>
      <w:r>
        <w:rPr>
          <w:rFonts w:ascii="黑体"/>
          <w:color w:val="auto"/>
        </w:rPr>
        <w:fldChar w:fldCharType="end"/>
      </w:r>
      <w:bookmarkEnd w:id="9"/>
      <w:r>
        <w:rPr>
          <w:color w:val="auto"/>
        </w:rPr>
        <w:t xml:space="preserve"> </w:t>
      </w:r>
      <w:r>
        <w:rPr>
          <w:rFonts w:ascii="黑体"/>
          <w:color w:val="auto"/>
        </w:rPr>
        <w:t>-</w:t>
      </w:r>
      <w:r>
        <w:rPr>
          <w:color w:val="auto"/>
        </w:rPr>
        <w:t xml:space="preserve"> </w:t>
      </w:r>
      <w:r>
        <w:rPr>
          <w:rFonts w:ascii="黑体"/>
          <w:color w:val="auto"/>
        </w:rPr>
        <w:fldChar w:fldCharType="begin">
          <w:ffData>
            <w:name w:val="CROT_DATE_D"/>
            <w:enabled/>
            <w:calcOnExit w:val="0"/>
            <w:textInput>
              <w:default w:val="XX"/>
              <w:maxLength w:val="2"/>
            </w:textInput>
          </w:ffData>
        </w:fldChar>
      </w:r>
      <w:bookmarkStart w:id="10" w:name="CROT_DATE_D"/>
      <w:r>
        <w:rPr>
          <w:rFonts w:ascii="黑体"/>
          <w:color w:val="auto"/>
        </w:rPr>
        <w:instrText xml:space="preserve"> FORMTEXT </w:instrText>
      </w:r>
      <w:r>
        <w:rPr>
          <w:rFonts w:ascii="黑体"/>
          <w:color w:val="auto"/>
        </w:rPr>
        <w:fldChar w:fldCharType="separate"/>
      </w:r>
      <w:r>
        <w:rPr>
          <w:rFonts w:ascii="黑体"/>
          <w:color w:val="auto"/>
        </w:rPr>
        <w:t>XX</w:t>
      </w:r>
      <w:r>
        <w:rPr>
          <w:rFonts w:ascii="黑体"/>
          <w:color w:val="auto"/>
        </w:rPr>
        <w:fldChar w:fldCharType="end"/>
      </w:r>
      <w:bookmarkEnd w:id="10"/>
      <w:r>
        <w:rPr>
          <w:rFonts w:hint="eastAsia"/>
          <w:color w:val="auto"/>
        </w:rPr>
        <w:t>实施</w:t>
      </w:r>
    </w:p>
    <w:p w14:paraId="36AAEB11">
      <w:pPr>
        <w:pStyle w:val="154"/>
        <w:framePr w:h="584" w:hRule="exact" w:hSpace="181" w:vSpace="181" w:y="15027"/>
        <w:rPr>
          <w:rFonts w:hint="eastAsia" w:hAnsi="黑体"/>
          <w:color w:val="auto"/>
        </w:rPr>
      </w:pPr>
      <w:r>
        <w:rPr>
          <w:rFonts w:ascii="Times New Roman"/>
          <w:color w:val="auto"/>
          <w:w w:val="100"/>
          <w:sz w:val="28"/>
        </w:rPr>
        <w:t> </w:t>
      </w:r>
      <w:r>
        <w:rPr>
          <w:rFonts w:hint="eastAsia" w:ascii="Times New Roman"/>
          <w:color w:val="auto"/>
          <w:w w:val="100"/>
          <w:sz w:val="28"/>
        </w:rPr>
        <w:t>江苏省市场监督管理局</w:t>
      </w:r>
      <w:r>
        <w:rPr>
          <w:rFonts w:ascii="Times New Roman"/>
          <w:color w:val="auto"/>
          <w:w w:val="100"/>
          <w:sz w:val="28"/>
        </w:rPr>
        <w:t> </w:t>
      </w:r>
      <w:r>
        <w:rPr>
          <w:rStyle w:val="232"/>
          <w:rFonts w:hint="eastAsia" w:hAnsi="黑体"/>
          <w:color w:val="auto"/>
          <w:position w:val="0"/>
        </w:rPr>
        <w:t>发</w:t>
      </w:r>
      <w:r>
        <w:rPr>
          <w:rStyle w:val="232"/>
          <w:rFonts w:hint="eastAsia" w:hAnsi="黑体"/>
          <w:color w:val="auto"/>
          <w:spacing w:val="0"/>
          <w:position w:val="0"/>
        </w:rPr>
        <w:t>布</w:t>
      </w:r>
    </w:p>
    <w:p w14:paraId="19245459">
      <w:pPr>
        <w:rPr>
          <w:rFonts w:hint="eastAsia" w:ascii="宋体" w:hAnsi="宋体"/>
          <w:color w:val="auto"/>
          <w:sz w:val="28"/>
          <w:szCs w:val="28"/>
        </w:rPr>
        <w:sectPr>
          <w:headerReference r:id="rId4" w:type="first"/>
          <w:footerReference r:id="rId6" w:type="first"/>
          <w:headerReference r:id="rId3" w:type="default"/>
          <w:footerReference r:id="rId5" w:type="even"/>
          <w:type w:val="continuous"/>
          <w:pgSz w:w="11906" w:h="16838"/>
          <w:pgMar w:top="-338" w:right="1134" w:bottom="1021" w:left="1134" w:header="0" w:footer="0" w:gutter="284"/>
          <w:cols w:space="425" w:num="1"/>
          <w:titlePg/>
          <w:docGrid w:linePitch="312" w:charSpace="0"/>
        </w:sectPr>
      </w:pPr>
      <w:r>
        <w:rPr>
          <w:rFonts w:hint="eastAsia" w:ascii="宋体" w:hAnsi="宋体"/>
          <w:color w:val="auto"/>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5B4DDB5E">
      <w:pPr>
        <w:pStyle w:val="94"/>
        <w:spacing w:after="468"/>
        <w:rPr>
          <w:color w:val="auto"/>
        </w:rPr>
      </w:pPr>
      <w:bookmarkStart w:id="11" w:name="BookMark1"/>
      <w:bookmarkStart w:id="12" w:name="_Toc168044222"/>
      <w:r>
        <w:rPr>
          <w:rFonts w:hint="eastAsia"/>
          <w:color w:val="auto"/>
          <w:spacing w:val="320"/>
        </w:rPr>
        <w:t>目</w:t>
      </w:r>
      <w:r>
        <w:rPr>
          <w:rFonts w:hint="eastAsia"/>
          <w:color w:val="auto"/>
        </w:rPr>
        <w:t>次</w:t>
      </w:r>
    </w:p>
    <w:p w14:paraId="1D960D04">
      <w:pPr>
        <w:pStyle w:val="20"/>
        <w:tabs>
          <w:tab w:val="right" w:leader="dot" w:pos="9344"/>
        </w:tabs>
        <w:rPr>
          <w:rFonts w:hint="eastAsia" w:asciiTheme="minorHAnsi" w:hAnsiTheme="minorHAnsi" w:eastAsiaTheme="minorEastAsia" w:cstheme="minorBidi"/>
          <w:color w:val="auto"/>
          <w:szCs w:val="22"/>
        </w:rPr>
      </w:pPr>
      <w:r>
        <w:rPr>
          <w:color w:val="auto"/>
        </w:rPr>
        <w:fldChar w:fldCharType="begin"/>
      </w:r>
      <w:r>
        <w:rPr>
          <w:color w:val="auto"/>
        </w:rPr>
        <w:instrText xml:space="preserve"> TOC \o "1-1" \h </w:instrText>
      </w:r>
      <w:r>
        <w:rPr>
          <w:color w:val="auto"/>
        </w:rPr>
        <w:fldChar w:fldCharType="separate"/>
      </w:r>
      <w:r>
        <w:rPr>
          <w:color w:val="auto"/>
        </w:rPr>
        <w:fldChar w:fldCharType="begin"/>
      </w:r>
      <w:r>
        <w:rPr>
          <w:color w:val="auto"/>
        </w:rPr>
        <w:instrText xml:space="preserve"> HYPERLINK \l "_Toc168408569" </w:instrText>
      </w:r>
      <w:r>
        <w:rPr>
          <w:color w:val="auto"/>
        </w:rPr>
        <w:fldChar w:fldCharType="separate"/>
      </w:r>
      <w:r>
        <w:rPr>
          <w:rStyle w:val="34"/>
          <w:color w:val="auto"/>
        </w:rPr>
        <w:t>前言</w:t>
      </w:r>
      <w:r>
        <w:rPr>
          <w:color w:val="auto"/>
        </w:rPr>
        <w:tab/>
      </w:r>
      <w:r>
        <w:rPr>
          <w:color w:val="auto"/>
        </w:rPr>
        <w:fldChar w:fldCharType="begin"/>
      </w:r>
      <w:r>
        <w:rPr>
          <w:color w:val="auto"/>
        </w:rPr>
        <w:instrText xml:space="preserve"> PAGEREF _Toc168408569 \h </w:instrText>
      </w:r>
      <w:r>
        <w:rPr>
          <w:color w:val="auto"/>
        </w:rPr>
        <w:fldChar w:fldCharType="separate"/>
      </w:r>
      <w:r>
        <w:rPr>
          <w:color w:val="auto"/>
        </w:rPr>
        <w:t>II</w:t>
      </w:r>
      <w:r>
        <w:rPr>
          <w:color w:val="auto"/>
        </w:rPr>
        <w:fldChar w:fldCharType="end"/>
      </w:r>
      <w:r>
        <w:rPr>
          <w:color w:val="auto"/>
        </w:rPr>
        <w:fldChar w:fldCharType="end"/>
      </w:r>
    </w:p>
    <w:p w14:paraId="49E8CF8D">
      <w:pPr>
        <w:pStyle w:val="20"/>
        <w:tabs>
          <w:tab w:val="right" w:leader="dot" w:pos="9344"/>
        </w:tabs>
        <w:rPr>
          <w:rFonts w:hint="eastAsia" w:asciiTheme="minorHAnsi" w:hAnsiTheme="minorHAnsi" w:eastAsiaTheme="minorEastAsia" w:cstheme="minorBidi"/>
          <w:color w:val="auto"/>
          <w:szCs w:val="22"/>
        </w:rPr>
      </w:pPr>
      <w:r>
        <w:rPr>
          <w:color w:val="auto"/>
        </w:rPr>
        <w:fldChar w:fldCharType="begin"/>
      </w:r>
      <w:r>
        <w:rPr>
          <w:color w:val="auto"/>
        </w:rPr>
        <w:instrText xml:space="preserve"> HYPERLINK \l "_Toc168408570" </w:instrText>
      </w:r>
      <w:r>
        <w:rPr>
          <w:color w:val="auto"/>
        </w:rPr>
        <w:fldChar w:fldCharType="separate"/>
      </w:r>
      <w:r>
        <w:rPr>
          <w:rStyle w:val="34"/>
          <w:color w:val="auto"/>
        </w:rPr>
        <w:t>1  范围</w:t>
      </w:r>
      <w:r>
        <w:rPr>
          <w:color w:val="auto"/>
        </w:rPr>
        <w:tab/>
      </w:r>
      <w:r>
        <w:rPr>
          <w:color w:val="auto"/>
        </w:rPr>
        <w:fldChar w:fldCharType="begin"/>
      </w:r>
      <w:r>
        <w:rPr>
          <w:color w:val="auto"/>
        </w:rPr>
        <w:instrText xml:space="preserve"> PAGEREF _Toc168408570 \h </w:instrText>
      </w:r>
      <w:r>
        <w:rPr>
          <w:color w:val="auto"/>
        </w:rPr>
        <w:fldChar w:fldCharType="separate"/>
      </w:r>
      <w:r>
        <w:rPr>
          <w:color w:val="auto"/>
        </w:rPr>
        <w:t>3</w:t>
      </w:r>
      <w:r>
        <w:rPr>
          <w:color w:val="auto"/>
        </w:rPr>
        <w:fldChar w:fldCharType="end"/>
      </w:r>
      <w:r>
        <w:rPr>
          <w:color w:val="auto"/>
        </w:rPr>
        <w:fldChar w:fldCharType="end"/>
      </w:r>
    </w:p>
    <w:p w14:paraId="1087C8B9">
      <w:pPr>
        <w:pStyle w:val="20"/>
        <w:tabs>
          <w:tab w:val="right" w:leader="dot" w:pos="9344"/>
        </w:tabs>
        <w:rPr>
          <w:rFonts w:hint="eastAsia" w:asciiTheme="minorHAnsi" w:hAnsiTheme="minorHAnsi" w:eastAsiaTheme="minorEastAsia" w:cstheme="minorBidi"/>
          <w:color w:val="auto"/>
          <w:szCs w:val="22"/>
        </w:rPr>
      </w:pPr>
      <w:r>
        <w:rPr>
          <w:color w:val="auto"/>
        </w:rPr>
        <w:fldChar w:fldCharType="begin"/>
      </w:r>
      <w:r>
        <w:rPr>
          <w:color w:val="auto"/>
        </w:rPr>
        <w:instrText xml:space="preserve"> HYPERLINK \l "_Toc168408571" </w:instrText>
      </w:r>
      <w:r>
        <w:rPr>
          <w:color w:val="auto"/>
        </w:rPr>
        <w:fldChar w:fldCharType="separate"/>
      </w:r>
      <w:r>
        <w:rPr>
          <w:rStyle w:val="34"/>
          <w:color w:val="auto"/>
        </w:rPr>
        <w:t>2  规范性引用文件</w:t>
      </w:r>
      <w:r>
        <w:rPr>
          <w:color w:val="auto"/>
        </w:rPr>
        <w:tab/>
      </w:r>
      <w:r>
        <w:rPr>
          <w:color w:val="auto"/>
        </w:rPr>
        <w:fldChar w:fldCharType="begin"/>
      </w:r>
      <w:r>
        <w:rPr>
          <w:color w:val="auto"/>
        </w:rPr>
        <w:instrText xml:space="preserve"> PAGEREF _Toc168408571 \h </w:instrText>
      </w:r>
      <w:r>
        <w:rPr>
          <w:color w:val="auto"/>
        </w:rPr>
        <w:fldChar w:fldCharType="separate"/>
      </w:r>
      <w:r>
        <w:rPr>
          <w:color w:val="auto"/>
        </w:rPr>
        <w:t>3</w:t>
      </w:r>
      <w:r>
        <w:rPr>
          <w:color w:val="auto"/>
        </w:rPr>
        <w:fldChar w:fldCharType="end"/>
      </w:r>
      <w:r>
        <w:rPr>
          <w:color w:val="auto"/>
        </w:rPr>
        <w:fldChar w:fldCharType="end"/>
      </w:r>
    </w:p>
    <w:p w14:paraId="5AC45C1E">
      <w:pPr>
        <w:pStyle w:val="20"/>
        <w:tabs>
          <w:tab w:val="right" w:leader="dot" w:pos="9344"/>
        </w:tabs>
        <w:rPr>
          <w:rFonts w:hint="eastAsia" w:asciiTheme="minorHAnsi" w:hAnsiTheme="minorHAnsi" w:eastAsiaTheme="minorEastAsia" w:cstheme="minorBidi"/>
          <w:color w:val="auto"/>
          <w:szCs w:val="22"/>
        </w:rPr>
      </w:pPr>
      <w:r>
        <w:rPr>
          <w:color w:val="auto"/>
        </w:rPr>
        <w:fldChar w:fldCharType="begin"/>
      </w:r>
      <w:r>
        <w:rPr>
          <w:color w:val="auto"/>
        </w:rPr>
        <w:instrText xml:space="preserve"> HYPERLINK \l "_Toc168408572" </w:instrText>
      </w:r>
      <w:r>
        <w:rPr>
          <w:color w:val="auto"/>
        </w:rPr>
        <w:fldChar w:fldCharType="separate"/>
      </w:r>
      <w:r>
        <w:rPr>
          <w:rStyle w:val="34"/>
          <w:color w:val="auto"/>
        </w:rPr>
        <w:t>3  术语和定义</w:t>
      </w:r>
      <w:r>
        <w:rPr>
          <w:color w:val="auto"/>
        </w:rPr>
        <w:tab/>
      </w:r>
      <w:r>
        <w:rPr>
          <w:color w:val="auto"/>
        </w:rPr>
        <w:fldChar w:fldCharType="begin"/>
      </w:r>
      <w:r>
        <w:rPr>
          <w:color w:val="auto"/>
        </w:rPr>
        <w:instrText xml:space="preserve"> PAGEREF _Toc168408572 \h </w:instrText>
      </w:r>
      <w:r>
        <w:rPr>
          <w:color w:val="auto"/>
        </w:rPr>
        <w:fldChar w:fldCharType="separate"/>
      </w:r>
      <w:r>
        <w:rPr>
          <w:color w:val="auto"/>
        </w:rPr>
        <w:t>3</w:t>
      </w:r>
      <w:r>
        <w:rPr>
          <w:color w:val="auto"/>
        </w:rPr>
        <w:fldChar w:fldCharType="end"/>
      </w:r>
      <w:r>
        <w:rPr>
          <w:color w:val="auto"/>
        </w:rPr>
        <w:fldChar w:fldCharType="end"/>
      </w:r>
    </w:p>
    <w:p w14:paraId="53B108AE">
      <w:pPr>
        <w:pStyle w:val="20"/>
        <w:tabs>
          <w:tab w:val="right" w:leader="dot" w:pos="9344"/>
        </w:tabs>
        <w:rPr>
          <w:rFonts w:hint="eastAsia" w:asciiTheme="minorHAnsi" w:hAnsiTheme="minorHAnsi" w:cstheme="minorBidi"/>
          <w:color w:val="auto"/>
          <w:szCs w:val="22"/>
        </w:rPr>
      </w:pPr>
      <w:r>
        <w:rPr>
          <w:color w:val="auto"/>
        </w:rPr>
        <w:fldChar w:fldCharType="begin"/>
      </w:r>
      <w:r>
        <w:rPr>
          <w:color w:val="auto"/>
        </w:rPr>
        <w:instrText xml:space="preserve"> HYPERLINK \l "_Toc168408573" </w:instrText>
      </w:r>
      <w:r>
        <w:rPr>
          <w:color w:val="auto"/>
        </w:rPr>
        <w:fldChar w:fldCharType="separate"/>
      </w:r>
      <w:r>
        <w:rPr>
          <w:rStyle w:val="34"/>
          <w:color w:val="auto"/>
        </w:rPr>
        <w:t>4  原则</w:t>
      </w:r>
      <w:r>
        <w:rPr>
          <w:color w:val="auto"/>
        </w:rPr>
        <w:tab/>
      </w:r>
      <w:r>
        <w:rPr>
          <w:color w:val="auto"/>
        </w:rPr>
        <w:fldChar w:fldCharType="end"/>
      </w:r>
      <w:r>
        <w:rPr>
          <w:rFonts w:hint="eastAsia"/>
          <w:color w:val="auto"/>
        </w:rPr>
        <w:t>4</w:t>
      </w:r>
    </w:p>
    <w:p w14:paraId="4053842F">
      <w:pPr>
        <w:pStyle w:val="20"/>
        <w:tabs>
          <w:tab w:val="right" w:leader="dot" w:pos="9344"/>
        </w:tabs>
        <w:rPr>
          <w:rFonts w:hint="eastAsia" w:asciiTheme="minorHAnsi" w:hAnsiTheme="minorHAnsi" w:eastAsiaTheme="minorEastAsia" w:cstheme="minorBidi"/>
          <w:color w:val="auto"/>
          <w:szCs w:val="22"/>
        </w:rPr>
      </w:pPr>
      <w:r>
        <w:rPr>
          <w:color w:val="auto"/>
        </w:rPr>
        <w:fldChar w:fldCharType="begin"/>
      </w:r>
      <w:r>
        <w:rPr>
          <w:color w:val="auto"/>
        </w:rPr>
        <w:instrText xml:space="preserve"> HYPERLINK \l "_Toc168408574" </w:instrText>
      </w:r>
      <w:r>
        <w:rPr>
          <w:color w:val="auto"/>
        </w:rPr>
        <w:fldChar w:fldCharType="separate"/>
      </w:r>
      <w:r>
        <w:rPr>
          <w:rStyle w:val="34"/>
          <w:color w:val="auto"/>
        </w:rPr>
        <w:t xml:space="preserve">5  </w:t>
      </w:r>
      <w:r>
        <w:rPr>
          <w:rStyle w:val="34"/>
          <w:rFonts w:hint="eastAsia"/>
          <w:color w:val="auto"/>
        </w:rPr>
        <w:t>工作内容</w:t>
      </w:r>
      <w:r>
        <w:rPr>
          <w:color w:val="auto"/>
        </w:rPr>
        <w:tab/>
      </w:r>
      <w:r>
        <w:rPr>
          <w:rFonts w:hint="eastAsia"/>
          <w:color w:val="auto"/>
          <w:lang w:val="en-US" w:eastAsia="zh-CN"/>
        </w:rPr>
        <w:t>5</w:t>
      </w:r>
      <w:r>
        <w:rPr>
          <w:color w:val="auto"/>
        </w:rPr>
        <w:fldChar w:fldCharType="end"/>
      </w:r>
    </w:p>
    <w:p w14:paraId="0E22D65F">
      <w:pPr>
        <w:pStyle w:val="20"/>
        <w:tabs>
          <w:tab w:val="right" w:leader="dot" w:pos="9344"/>
        </w:tabs>
        <w:rPr>
          <w:rFonts w:hint="eastAsia" w:eastAsia="宋体" w:asciiTheme="minorHAnsi" w:hAnsiTheme="minorHAnsi" w:cstheme="minorBidi"/>
          <w:color w:val="auto"/>
          <w:szCs w:val="22"/>
          <w:lang w:eastAsia="zh-CN"/>
        </w:rPr>
      </w:pPr>
      <w:r>
        <w:rPr>
          <w:color w:val="auto"/>
        </w:rPr>
        <w:fldChar w:fldCharType="begin"/>
      </w:r>
      <w:r>
        <w:rPr>
          <w:color w:val="auto"/>
        </w:rPr>
        <w:instrText xml:space="preserve"> HYPERLINK \l "_Toc168408575" </w:instrText>
      </w:r>
      <w:r>
        <w:rPr>
          <w:color w:val="auto"/>
        </w:rPr>
        <w:fldChar w:fldCharType="separate"/>
      </w:r>
      <w:r>
        <w:rPr>
          <w:rStyle w:val="34"/>
          <w:color w:val="auto"/>
        </w:rPr>
        <w:t>6  资产配置</w:t>
      </w:r>
      <w:r>
        <w:rPr>
          <w:color w:val="auto"/>
        </w:rPr>
        <w:tab/>
      </w:r>
      <w:r>
        <w:rPr>
          <w:color w:val="auto"/>
        </w:rPr>
        <w:fldChar w:fldCharType="end"/>
      </w:r>
      <w:r>
        <w:rPr>
          <w:rFonts w:hint="eastAsia"/>
          <w:color w:val="auto"/>
          <w:lang w:val="en-US" w:eastAsia="zh-CN"/>
        </w:rPr>
        <w:t>6</w:t>
      </w:r>
    </w:p>
    <w:p w14:paraId="5B20CC84">
      <w:pPr>
        <w:pStyle w:val="20"/>
        <w:tabs>
          <w:tab w:val="right" w:leader="dot" w:pos="9344"/>
        </w:tabs>
        <w:rPr>
          <w:rFonts w:hint="eastAsia" w:eastAsia="宋体" w:asciiTheme="minorHAnsi" w:hAnsiTheme="minorHAnsi" w:cstheme="minorBidi"/>
          <w:color w:val="auto"/>
          <w:szCs w:val="22"/>
          <w:lang w:eastAsia="zh-CN"/>
        </w:rPr>
      </w:pPr>
      <w:r>
        <w:rPr>
          <w:color w:val="auto"/>
        </w:rPr>
        <w:fldChar w:fldCharType="begin"/>
      </w:r>
      <w:r>
        <w:rPr>
          <w:color w:val="auto"/>
        </w:rPr>
        <w:instrText xml:space="preserve"> HYPERLINK \l "_Toc168408576" </w:instrText>
      </w:r>
      <w:r>
        <w:rPr>
          <w:color w:val="auto"/>
        </w:rPr>
        <w:fldChar w:fldCharType="separate"/>
      </w:r>
      <w:r>
        <w:rPr>
          <w:rStyle w:val="34"/>
          <w:color w:val="auto"/>
        </w:rPr>
        <w:t>7  资产</w:t>
      </w:r>
      <w:r>
        <w:rPr>
          <w:rStyle w:val="34"/>
          <w:rFonts w:hint="eastAsia"/>
          <w:color w:val="auto"/>
        </w:rPr>
        <w:t>使</w:t>
      </w:r>
      <w:r>
        <w:rPr>
          <w:rStyle w:val="34"/>
          <w:color w:val="auto"/>
        </w:rPr>
        <w:t>用</w:t>
      </w:r>
      <w:r>
        <w:rPr>
          <w:color w:val="auto"/>
        </w:rPr>
        <w:tab/>
      </w:r>
      <w:r>
        <w:rPr>
          <w:color w:val="auto"/>
        </w:rPr>
        <w:fldChar w:fldCharType="end"/>
      </w:r>
      <w:r>
        <w:rPr>
          <w:rFonts w:hint="eastAsia"/>
          <w:color w:val="auto"/>
          <w:lang w:val="en-US" w:eastAsia="zh-CN"/>
        </w:rPr>
        <w:t>7</w:t>
      </w:r>
    </w:p>
    <w:p w14:paraId="4D6CD585">
      <w:pPr>
        <w:pStyle w:val="20"/>
        <w:tabs>
          <w:tab w:val="right" w:leader="dot" w:pos="9344"/>
        </w:tabs>
        <w:rPr>
          <w:rFonts w:hint="eastAsia" w:eastAsia="宋体" w:asciiTheme="minorHAnsi" w:hAnsiTheme="minorHAnsi" w:cstheme="minorBidi"/>
          <w:color w:val="auto"/>
          <w:szCs w:val="22"/>
          <w:lang w:eastAsia="zh-CN"/>
        </w:rPr>
      </w:pPr>
      <w:r>
        <w:rPr>
          <w:color w:val="auto"/>
        </w:rPr>
        <w:fldChar w:fldCharType="begin"/>
      </w:r>
      <w:r>
        <w:rPr>
          <w:color w:val="auto"/>
        </w:rPr>
        <w:instrText xml:space="preserve"> HYPERLINK \l "_Toc168408580" </w:instrText>
      </w:r>
      <w:r>
        <w:rPr>
          <w:color w:val="auto"/>
        </w:rPr>
        <w:fldChar w:fldCharType="separate"/>
      </w:r>
      <w:r>
        <w:rPr>
          <w:rStyle w:val="34"/>
          <w:rFonts w:hint="eastAsia"/>
          <w:color w:val="auto"/>
        </w:rPr>
        <w:t>8</w:t>
      </w:r>
      <w:r>
        <w:rPr>
          <w:rStyle w:val="34"/>
          <w:color w:val="auto"/>
        </w:rPr>
        <w:t xml:space="preserve">  资产处置</w:t>
      </w:r>
      <w:r>
        <w:rPr>
          <w:color w:val="auto"/>
        </w:rPr>
        <w:tab/>
      </w:r>
      <w:r>
        <w:rPr>
          <w:color w:val="auto"/>
        </w:rPr>
        <w:fldChar w:fldCharType="end"/>
      </w:r>
      <w:r>
        <w:rPr>
          <w:rFonts w:hint="eastAsia"/>
          <w:color w:val="auto"/>
          <w:lang w:val="en-US" w:eastAsia="zh-CN"/>
        </w:rPr>
        <w:t>8</w:t>
      </w:r>
    </w:p>
    <w:p w14:paraId="154964D8">
      <w:pPr>
        <w:pStyle w:val="20"/>
        <w:tabs>
          <w:tab w:val="right" w:leader="dot" w:pos="9344"/>
        </w:tabs>
        <w:rPr>
          <w:rFonts w:hint="default" w:eastAsia="宋体" w:asciiTheme="minorHAnsi" w:hAnsiTheme="minorHAnsi" w:cstheme="minorBidi"/>
          <w:color w:val="auto"/>
          <w:szCs w:val="22"/>
          <w:lang w:val="en-US" w:eastAsia="zh-CN"/>
        </w:rPr>
      </w:pPr>
      <w:r>
        <w:rPr>
          <w:color w:val="auto"/>
        </w:rPr>
        <w:fldChar w:fldCharType="begin"/>
      </w:r>
      <w:r>
        <w:rPr>
          <w:color w:val="auto"/>
        </w:rPr>
        <w:instrText xml:space="preserve"> HYPERLINK \l "_Toc168408581" </w:instrText>
      </w:r>
      <w:r>
        <w:rPr>
          <w:color w:val="auto"/>
        </w:rPr>
        <w:fldChar w:fldCharType="separate"/>
      </w:r>
      <w:r>
        <w:rPr>
          <w:rStyle w:val="34"/>
          <w:rFonts w:hint="eastAsia"/>
          <w:color w:val="auto"/>
        </w:rPr>
        <w:t>9</w:t>
      </w:r>
      <w:r>
        <w:rPr>
          <w:rStyle w:val="34"/>
          <w:color w:val="auto"/>
        </w:rPr>
        <w:t xml:space="preserve">  资产清查盘点</w:t>
      </w:r>
      <w:r>
        <w:rPr>
          <w:color w:val="auto"/>
        </w:rPr>
        <w:tab/>
      </w:r>
      <w:r>
        <w:rPr>
          <w:color w:val="auto"/>
        </w:rPr>
        <w:fldChar w:fldCharType="end"/>
      </w:r>
      <w:r>
        <w:rPr>
          <w:rFonts w:hint="eastAsia"/>
          <w:color w:val="auto"/>
          <w:lang w:val="en-US" w:eastAsia="zh-CN"/>
        </w:rPr>
        <w:t>10</w:t>
      </w:r>
    </w:p>
    <w:p w14:paraId="5B46285E">
      <w:pPr>
        <w:pStyle w:val="20"/>
        <w:tabs>
          <w:tab w:val="right" w:leader="dot" w:pos="9344"/>
        </w:tabs>
        <w:rPr>
          <w:rFonts w:hint="default" w:eastAsia="宋体" w:asciiTheme="minorHAnsi" w:hAnsiTheme="minorHAnsi" w:cstheme="minorBidi"/>
          <w:color w:val="auto"/>
          <w:szCs w:val="22"/>
          <w:lang w:val="en-US" w:eastAsia="zh-CN"/>
        </w:rPr>
      </w:pPr>
      <w:r>
        <w:rPr>
          <w:color w:val="auto"/>
        </w:rPr>
        <w:fldChar w:fldCharType="begin"/>
      </w:r>
      <w:r>
        <w:rPr>
          <w:color w:val="auto"/>
        </w:rPr>
        <w:instrText xml:space="preserve"> HYPERLINK \l "_Toc168408582" </w:instrText>
      </w:r>
      <w:r>
        <w:rPr>
          <w:color w:val="auto"/>
        </w:rPr>
        <w:fldChar w:fldCharType="separate"/>
      </w:r>
      <w:r>
        <w:rPr>
          <w:rStyle w:val="34"/>
          <w:rFonts w:hint="eastAsia"/>
          <w:color w:val="auto"/>
        </w:rPr>
        <w:t>10</w:t>
      </w:r>
      <w:r>
        <w:rPr>
          <w:rStyle w:val="34"/>
          <w:color w:val="auto"/>
        </w:rPr>
        <w:t xml:space="preserve"> </w:t>
      </w:r>
      <w:r>
        <w:rPr>
          <w:rStyle w:val="34"/>
          <w:rFonts w:hint="eastAsia"/>
          <w:color w:val="auto"/>
        </w:rPr>
        <w:t>档案</w:t>
      </w:r>
      <w:r>
        <w:rPr>
          <w:rStyle w:val="34"/>
          <w:color w:val="auto"/>
        </w:rPr>
        <w:t>管理</w:t>
      </w:r>
      <w:r>
        <w:rPr>
          <w:color w:val="auto"/>
        </w:rPr>
        <w:tab/>
      </w:r>
      <w:r>
        <w:rPr>
          <w:color w:val="auto"/>
        </w:rPr>
        <w:fldChar w:fldCharType="end"/>
      </w:r>
      <w:r>
        <w:rPr>
          <w:rFonts w:hint="eastAsia"/>
          <w:color w:val="auto"/>
          <w:lang w:val="en-US" w:eastAsia="zh-CN"/>
        </w:rPr>
        <w:t>11</w:t>
      </w:r>
    </w:p>
    <w:p w14:paraId="04A37BD8">
      <w:pPr>
        <w:pStyle w:val="20"/>
        <w:tabs>
          <w:tab w:val="right" w:leader="dot" w:pos="9344"/>
        </w:tabs>
        <w:rPr>
          <w:rFonts w:hint="default" w:eastAsia="宋体" w:asciiTheme="minorHAnsi" w:hAnsiTheme="minorHAnsi" w:cstheme="minorBidi"/>
          <w:color w:val="auto"/>
          <w:szCs w:val="22"/>
          <w:lang w:val="en-US" w:eastAsia="zh-CN"/>
        </w:rPr>
      </w:pPr>
      <w:r>
        <w:rPr>
          <w:color w:val="auto"/>
        </w:rPr>
        <w:fldChar w:fldCharType="begin"/>
      </w:r>
      <w:r>
        <w:rPr>
          <w:color w:val="auto"/>
        </w:rPr>
        <w:instrText xml:space="preserve"> HYPERLINK \l "_Toc168408583" </w:instrText>
      </w:r>
      <w:r>
        <w:rPr>
          <w:color w:val="auto"/>
        </w:rPr>
        <w:fldChar w:fldCharType="separate"/>
      </w:r>
      <w:r>
        <w:rPr>
          <w:rStyle w:val="34"/>
          <w:color w:val="auto"/>
        </w:rPr>
        <w:t>附录A（资料性）  资产配置需求申请单</w:t>
      </w:r>
      <w:r>
        <w:rPr>
          <w:color w:val="auto"/>
        </w:rPr>
        <w:tab/>
      </w:r>
      <w:r>
        <w:rPr>
          <w:color w:val="auto"/>
        </w:rPr>
        <w:fldChar w:fldCharType="end"/>
      </w:r>
      <w:r>
        <w:rPr>
          <w:rFonts w:hint="eastAsia"/>
          <w:color w:val="auto"/>
          <w:lang w:val="en-US" w:eastAsia="zh-CN"/>
        </w:rPr>
        <w:t>12</w:t>
      </w:r>
    </w:p>
    <w:p w14:paraId="29212EFE">
      <w:pPr>
        <w:pStyle w:val="20"/>
        <w:tabs>
          <w:tab w:val="right" w:leader="dot" w:pos="9344"/>
        </w:tabs>
        <w:rPr>
          <w:rFonts w:hint="eastAsia" w:eastAsia="宋体" w:asciiTheme="minorHAnsi" w:hAnsiTheme="minorHAnsi" w:cstheme="minorBidi"/>
          <w:color w:val="auto"/>
          <w:szCs w:val="22"/>
          <w:lang w:val="en-US" w:eastAsia="zh-CN"/>
        </w:rPr>
      </w:pPr>
      <w:r>
        <w:rPr>
          <w:color w:val="auto"/>
        </w:rPr>
        <w:fldChar w:fldCharType="begin"/>
      </w:r>
      <w:r>
        <w:rPr>
          <w:color w:val="auto"/>
        </w:rPr>
        <w:instrText xml:space="preserve"> HYPERLINK \l "_Toc168408584" </w:instrText>
      </w:r>
      <w:r>
        <w:rPr>
          <w:color w:val="auto"/>
        </w:rPr>
        <w:fldChar w:fldCharType="separate"/>
      </w:r>
      <w:r>
        <w:rPr>
          <w:rStyle w:val="34"/>
          <w:color w:val="auto"/>
        </w:rPr>
        <w:t>附录B（资料性）  资产内部调拨单</w:t>
      </w:r>
      <w:r>
        <w:rPr>
          <w:color w:val="auto"/>
        </w:rPr>
        <w:tab/>
      </w:r>
      <w:r>
        <w:rPr>
          <w:rFonts w:hint="eastAsia"/>
          <w:color w:val="auto"/>
          <w:lang w:val="en-US" w:eastAsia="zh-CN"/>
        </w:rPr>
        <w:t>1</w:t>
      </w:r>
      <w:r>
        <w:rPr>
          <w:color w:val="auto"/>
        </w:rPr>
        <w:fldChar w:fldCharType="end"/>
      </w:r>
      <w:r>
        <w:rPr>
          <w:rFonts w:hint="eastAsia"/>
          <w:color w:val="auto"/>
          <w:lang w:val="en-US" w:eastAsia="zh-CN"/>
        </w:rPr>
        <w:t>3</w:t>
      </w:r>
    </w:p>
    <w:p w14:paraId="06BA42A8">
      <w:pPr>
        <w:pStyle w:val="20"/>
        <w:tabs>
          <w:tab w:val="right" w:leader="dot" w:pos="9344"/>
        </w:tabs>
        <w:rPr>
          <w:rFonts w:hint="eastAsia" w:eastAsia="宋体" w:asciiTheme="minorHAnsi" w:hAnsiTheme="minorHAnsi" w:cstheme="minorBidi"/>
          <w:color w:val="auto"/>
          <w:szCs w:val="22"/>
          <w:lang w:val="en-US" w:eastAsia="zh-CN"/>
        </w:rPr>
      </w:pPr>
      <w:r>
        <w:rPr>
          <w:color w:val="auto"/>
        </w:rPr>
        <w:fldChar w:fldCharType="begin"/>
      </w:r>
      <w:r>
        <w:rPr>
          <w:color w:val="auto"/>
        </w:rPr>
        <w:instrText xml:space="preserve"> HYPERLINK \l "_Toc168408585" </w:instrText>
      </w:r>
      <w:r>
        <w:rPr>
          <w:color w:val="auto"/>
        </w:rPr>
        <w:fldChar w:fldCharType="separate"/>
      </w:r>
      <w:r>
        <w:rPr>
          <w:rStyle w:val="34"/>
          <w:color w:val="auto"/>
        </w:rPr>
        <w:t>附录C（资料性）  资产</w:t>
      </w:r>
      <w:r>
        <w:rPr>
          <w:rStyle w:val="34"/>
          <w:rFonts w:hint="eastAsia"/>
          <w:color w:val="auto"/>
        </w:rPr>
        <w:t>验收（</w:t>
      </w:r>
      <w:r>
        <w:rPr>
          <w:rStyle w:val="34"/>
          <w:color w:val="auto"/>
        </w:rPr>
        <w:t>领用</w:t>
      </w:r>
      <w:r>
        <w:rPr>
          <w:rStyle w:val="34"/>
          <w:rFonts w:hint="eastAsia"/>
          <w:color w:val="auto"/>
        </w:rPr>
        <w:t>）</w:t>
      </w:r>
      <w:r>
        <w:rPr>
          <w:rStyle w:val="34"/>
          <w:color w:val="auto"/>
        </w:rPr>
        <w:t>单</w:t>
      </w:r>
      <w:r>
        <w:rPr>
          <w:color w:val="auto"/>
        </w:rPr>
        <w:tab/>
      </w:r>
      <w:r>
        <w:rPr>
          <w:rFonts w:hint="eastAsia"/>
          <w:color w:val="auto"/>
          <w:lang w:val="en-US" w:eastAsia="zh-CN"/>
        </w:rPr>
        <w:t>1</w:t>
      </w:r>
      <w:r>
        <w:rPr>
          <w:color w:val="auto"/>
        </w:rPr>
        <w:fldChar w:fldCharType="end"/>
      </w:r>
      <w:r>
        <w:rPr>
          <w:rFonts w:hint="eastAsia"/>
          <w:color w:val="auto"/>
          <w:lang w:val="en-US" w:eastAsia="zh-CN"/>
        </w:rPr>
        <w:t>4</w:t>
      </w:r>
    </w:p>
    <w:p w14:paraId="64B69286">
      <w:pPr>
        <w:pStyle w:val="20"/>
        <w:tabs>
          <w:tab w:val="right" w:leader="dot" w:pos="9344"/>
        </w:tabs>
        <w:rPr>
          <w:rFonts w:hint="eastAsia" w:eastAsia="宋体" w:asciiTheme="minorHAnsi" w:hAnsiTheme="minorHAnsi" w:cstheme="minorBidi"/>
          <w:color w:val="auto"/>
          <w:szCs w:val="22"/>
          <w:lang w:val="en-US" w:eastAsia="zh-CN"/>
        </w:rPr>
      </w:pPr>
      <w:r>
        <w:rPr>
          <w:color w:val="auto"/>
        </w:rPr>
        <w:fldChar w:fldCharType="begin"/>
      </w:r>
      <w:r>
        <w:rPr>
          <w:color w:val="auto"/>
        </w:rPr>
        <w:instrText xml:space="preserve"> HYPERLINK \l "_Toc168408586" </w:instrText>
      </w:r>
      <w:r>
        <w:rPr>
          <w:color w:val="auto"/>
        </w:rPr>
        <w:fldChar w:fldCharType="separate"/>
      </w:r>
      <w:r>
        <w:rPr>
          <w:rStyle w:val="34"/>
          <w:color w:val="auto"/>
        </w:rPr>
        <w:t>附录D（资料性）  资产移交表</w:t>
      </w:r>
      <w:r>
        <w:rPr>
          <w:color w:val="auto"/>
        </w:rPr>
        <w:tab/>
      </w:r>
      <w:r>
        <w:rPr>
          <w:color w:val="auto"/>
        </w:rPr>
        <w:fldChar w:fldCharType="begin"/>
      </w:r>
      <w:r>
        <w:rPr>
          <w:color w:val="auto"/>
        </w:rPr>
        <w:instrText xml:space="preserve"> PAGEREF _Toc168408586 \h </w:instrText>
      </w:r>
      <w:r>
        <w:rPr>
          <w:color w:val="auto"/>
        </w:rPr>
        <w:fldChar w:fldCharType="separate"/>
      </w:r>
      <w:r>
        <w:rPr>
          <w:color w:val="auto"/>
        </w:rPr>
        <w:t>1</w:t>
      </w:r>
      <w:r>
        <w:rPr>
          <w:color w:val="auto"/>
        </w:rPr>
        <w:fldChar w:fldCharType="end"/>
      </w:r>
      <w:r>
        <w:rPr>
          <w:color w:val="auto"/>
        </w:rPr>
        <w:fldChar w:fldCharType="end"/>
      </w:r>
      <w:r>
        <w:rPr>
          <w:rFonts w:hint="eastAsia"/>
          <w:color w:val="auto"/>
          <w:lang w:val="en-US" w:eastAsia="zh-CN"/>
        </w:rPr>
        <w:t>5</w:t>
      </w:r>
    </w:p>
    <w:p w14:paraId="053926FC">
      <w:pPr>
        <w:pStyle w:val="20"/>
        <w:tabs>
          <w:tab w:val="right" w:leader="dot" w:pos="9344"/>
        </w:tabs>
        <w:rPr>
          <w:rFonts w:hint="eastAsia" w:eastAsia="宋体"/>
          <w:color w:val="auto"/>
          <w:lang w:val="en-US" w:eastAsia="zh-CN"/>
        </w:rPr>
      </w:pPr>
      <w:r>
        <w:rPr>
          <w:color w:val="auto"/>
        </w:rPr>
        <w:fldChar w:fldCharType="begin"/>
      </w:r>
      <w:r>
        <w:rPr>
          <w:color w:val="auto"/>
        </w:rPr>
        <w:instrText xml:space="preserve"> HYPERLINK \l "_Toc168408587" </w:instrText>
      </w:r>
      <w:r>
        <w:rPr>
          <w:color w:val="auto"/>
        </w:rPr>
        <w:fldChar w:fldCharType="separate"/>
      </w:r>
      <w:r>
        <w:rPr>
          <w:rStyle w:val="34"/>
          <w:color w:val="auto"/>
        </w:rPr>
        <w:t>附录E（资料性）  资产处置申请表</w:t>
      </w:r>
      <w:r>
        <w:rPr>
          <w:color w:val="auto"/>
        </w:rPr>
        <w:tab/>
      </w:r>
      <w:r>
        <w:rPr>
          <w:color w:val="auto"/>
        </w:rPr>
        <w:fldChar w:fldCharType="begin"/>
      </w:r>
      <w:r>
        <w:rPr>
          <w:color w:val="auto"/>
        </w:rPr>
        <w:instrText xml:space="preserve"> PAGEREF _Toc168408587 \h </w:instrText>
      </w:r>
      <w:r>
        <w:rPr>
          <w:color w:val="auto"/>
        </w:rPr>
        <w:fldChar w:fldCharType="separate"/>
      </w:r>
      <w:r>
        <w:rPr>
          <w:color w:val="auto"/>
        </w:rPr>
        <w:t>1</w:t>
      </w:r>
      <w:r>
        <w:rPr>
          <w:color w:val="auto"/>
        </w:rPr>
        <w:fldChar w:fldCharType="end"/>
      </w:r>
      <w:r>
        <w:rPr>
          <w:color w:val="auto"/>
        </w:rPr>
        <w:fldChar w:fldCharType="end"/>
      </w:r>
      <w:r>
        <w:rPr>
          <w:rFonts w:hint="eastAsia"/>
          <w:color w:val="auto"/>
          <w:lang w:val="en-US" w:eastAsia="zh-CN"/>
        </w:rPr>
        <w:t>6</w:t>
      </w:r>
    </w:p>
    <w:p w14:paraId="4AA49DA0">
      <w:pPr>
        <w:pStyle w:val="20"/>
        <w:tabs>
          <w:tab w:val="right" w:leader="dot" w:pos="9344"/>
        </w:tabs>
        <w:rPr>
          <w:rFonts w:hint="eastAsia" w:eastAsia="宋体"/>
          <w:color w:val="auto"/>
          <w:lang w:val="en-US" w:eastAsia="zh-CN"/>
        </w:rPr>
      </w:pPr>
      <w:r>
        <w:rPr>
          <w:color w:val="auto"/>
        </w:rPr>
        <w:fldChar w:fldCharType="begin"/>
      </w:r>
      <w:r>
        <w:rPr>
          <w:color w:val="auto"/>
        </w:rPr>
        <w:instrText xml:space="preserve"> HYPERLINK \l "_Toc168408587" </w:instrText>
      </w:r>
      <w:r>
        <w:rPr>
          <w:color w:val="auto"/>
        </w:rPr>
        <w:fldChar w:fldCharType="separate"/>
      </w:r>
      <w:r>
        <w:rPr>
          <w:rStyle w:val="34"/>
          <w:color w:val="auto"/>
        </w:rPr>
        <w:t>附录</w:t>
      </w:r>
      <w:r>
        <w:rPr>
          <w:rStyle w:val="34"/>
          <w:rFonts w:hint="eastAsia"/>
          <w:color w:val="auto"/>
          <w:lang w:val="en-US" w:eastAsia="zh-CN"/>
        </w:rPr>
        <w:t>F</w:t>
      </w:r>
      <w:r>
        <w:rPr>
          <w:rStyle w:val="34"/>
          <w:color w:val="auto"/>
        </w:rPr>
        <w:t xml:space="preserve">（资料性）  </w:t>
      </w:r>
      <w:r>
        <w:rPr>
          <w:rStyle w:val="34"/>
          <w:rFonts w:hint="eastAsia"/>
          <w:color w:val="auto"/>
          <w:lang w:eastAsia="zh-CN"/>
        </w:rPr>
        <w:t>档案移交登记表</w:t>
      </w:r>
      <w:r>
        <w:rPr>
          <w:color w:val="auto"/>
        </w:rPr>
        <w:tab/>
      </w:r>
      <w:r>
        <w:rPr>
          <w:color w:val="auto"/>
        </w:rPr>
        <w:fldChar w:fldCharType="begin"/>
      </w:r>
      <w:r>
        <w:rPr>
          <w:color w:val="auto"/>
        </w:rPr>
        <w:instrText xml:space="preserve"> PAGEREF _Toc168408587 \h </w:instrText>
      </w:r>
      <w:r>
        <w:rPr>
          <w:color w:val="auto"/>
        </w:rPr>
        <w:fldChar w:fldCharType="separate"/>
      </w:r>
      <w:r>
        <w:rPr>
          <w:color w:val="auto"/>
        </w:rPr>
        <w:t>1</w:t>
      </w:r>
      <w:r>
        <w:rPr>
          <w:color w:val="auto"/>
        </w:rPr>
        <w:fldChar w:fldCharType="end"/>
      </w:r>
      <w:r>
        <w:rPr>
          <w:color w:val="auto"/>
        </w:rPr>
        <w:fldChar w:fldCharType="end"/>
      </w:r>
      <w:r>
        <w:rPr>
          <w:rFonts w:hint="eastAsia"/>
          <w:color w:val="auto"/>
          <w:lang w:val="en-US" w:eastAsia="zh-CN"/>
        </w:rPr>
        <w:t>7</w:t>
      </w:r>
    </w:p>
    <w:p w14:paraId="14B435D4">
      <w:pPr>
        <w:rPr>
          <w:color w:val="auto"/>
        </w:rPr>
      </w:pPr>
    </w:p>
    <w:p w14:paraId="354FACF6">
      <w:pPr>
        <w:rPr>
          <w:color w:val="auto"/>
        </w:rPr>
      </w:pPr>
    </w:p>
    <w:p w14:paraId="1A50D57D">
      <w:pPr>
        <w:rPr>
          <w:rFonts w:hint="eastAsia"/>
          <w:color w:val="auto"/>
        </w:rPr>
      </w:pPr>
    </w:p>
    <w:p w14:paraId="4CD3E392">
      <w:pPr>
        <w:pStyle w:val="94"/>
        <w:spacing w:after="468"/>
        <w:rPr>
          <w:color w:val="auto"/>
        </w:rPr>
      </w:pPr>
      <w:r>
        <w:rPr>
          <w:color w:val="auto"/>
        </w:rPr>
        <w:fldChar w:fldCharType="end"/>
      </w:r>
      <w:bookmarkEnd w:id="11"/>
      <w:bookmarkStart w:id="13" w:name="_Toc168408569"/>
      <w:bookmarkStart w:id="14" w:name="BookMark2"/>
    </w:p>
    <w:p w14:paraId="711FCDE9">
      <w:pPr>
        <w:rPr>
          <w:color w:val="auto"/>
        </w:rPr>
      </w:pPr>
      <w:r>
        <w:rPr>
          <w:color w:val="auto"/>
        </w:rPr>
        <w:br w:type="page"/>
      </w:r>
    </w:p>
    <w:p w14:paraId="39D99094">
      <w:pPr>
        <w:pStyle w:val="94"/>
        <w:spacing w:after="468"/>
        <w:rPr>
          <w:color w:val="auto"/>
        </w:rPr>
      </w:pPr>
      <w:r>
        <w:rPr>
          <w:color w:val="auto"/>
          <w:spacing w:val="320"/>
        </w:rPr>
        <w:t>前</w:t>
      </w:r>
      <w:r>
        <w:rPr>
          <w:color w:val="auto"/>
        </w:rPr>
        <w:t>言</w:t>
      </w:r>
      <w:bookmarkEnd w:id="12"/>
      <w:bookmarkEnd w:id="13"/>
    </w:p>
    <w:p w14:paraId="5EECC75D">
      <w:pPr>
        <w:pStyle w:val="59"/>
        <w:ind w:firstLine="420"/>
        <w:rPr>
          <w:color w:val="auto"/>
        </w:rPr>
      </w:pPr>
      <w:r>
        <w:rPr>
          <w:rFonts w:hint="eastAsia"/>
          <w:color w:val="auto"/>
        </w:rPr>
        <w:t>本文件按照GB/T 1.1—2020《标准化工作导则  第1部分：标准化文件的结构和起草规则》的规定起草。</w:t>
      </w:r>
    </w:p>
    <w:p w14:paraId="6D0D58F6">
      <w:pPr>
        <w:pStyle w:val="59"/>
        <w:ind w:firstLine="420"/>
        <w:rPr>
          <w:color w:val="auto"/>
        </w:rPr>
      </w:pPr>
      <w:r>
        <w:rPr>
          <w:rFonts w:hint="eastAsia"/>
          <w:color w:val="auto"/>
        </w:rPr>
        <w:t>请注意本文件的某些内容可能涉及专利。本文件的发布机构不承担识别专利的责任。</w:t>
      </w:r>
    </w:p>
    <w:p w14:paraId="788BA398">
      <w:pPr>
        <w:pStyle w:val="59"/>
        <w:ind w:firstLine="420"/>
        <w:rPr>
          <w:color w:val="auto"/>
        </w:rPr>
      </w:pPr>
      <w:r>
        <w:rPr>
          <w:rFonts w:hint="eastAsia"/>
          <w:color w:val="auto"/>
        </w:rPr>
        <w:t>本文件由江苏省机关事务管理局提出、归口并组织实施。</w:t>
      </w:r>
    </w:p>
    <w:p w14:paraId="57A40919">
      <w:pPr>
        <w:pStyle w:val="59"/>
        <w:ind w:firstLine="420"/>
        <w:rPr>
          <w:rFonts w:hint="eastAsia" w:eastAsia="宋体"/>
          <w:color w:val="auto"/>
          <w:lang w:val="en-US" w:eastAsia="zh-CN"/>
        </w:rPr>
      </w:pPr>
      <w:r>
        <w:rPr>
          <w:rFonts w:hint="eastAsia"/>
          <w:color w:val="auto"/>
        </w:rPr>
        <w:t>本文件起草单位：东南大学、江苏省机关事务管理局</w:t>
      </w:r>
      <w:r>
        <w:rPr>
          <w:rFonts w:hint="eastAsia"/>
          <w:color w:val="auto"/>
          <w:lang w:eastAsia="zh-CN"/>
        </w:rPr>
        <w:t>。</w:t>
      </w:r>
    </w:p>
    <w:p w14:paraId="1D9EF780">
      <w:pPr>
        <w:pStyle w:val="59"/>
        <w:ind w:firstLine="420"/>
        <w:rPr>
          <w:rFonts w:hint="eastAsia" w:eastAsia="宋体"/>
          <w:color w:val="auto"/>
          <w:lang w:eastAsia="zh-CN"/>
        </w:rPr>
      </w:pPr>
      <w:r>
        <w:rPr>
          <w:rFonts w:hint="eastAsia"/>
          <w:color w:val="auto"/>
        </w:rPr>
        <w:t>本文件主要起草人：施恩辉、何勇、陈凌、顾松阳、裴春扬、廖彦、张涛</w:t>
      </w:r>
      <w:r>
        <w:rPr>
          <w:rFonts w:hint="eastAsia"/>
          <w:color w:val="auto"/>
          <w:lang w:eastAsia="zh-CN"/>
        </w:rPr>
        <w:t>。</w:t>
      </w:r>
    </w:p>
    <w:p w14:paraId="29605AEA">
      <w:pPr>
        <w:pStyle w:val="59"/>
        <w:ind w:firstLine="420"/>
        <w:rPr>
          <w:color w:val="auto"/>
        </w:rPr>
      </w:pPr>
    </w:p>
    <w:p w14:paraId="0B53FFB2">
      <w:pPr>
        <w:pStyle w:val="59"/>
        <w:ind w:firstLine="420"/>
        <w:rPr>
          <w:color w:val="auto"/>
        </w:rPr>
        <w:sectPr>
          <w:headerReference r:id="rId7" w:type="default"/>
          <w:footerReference r:id="rId8" w:type="default"/>
          <w:pgSz w:w="11906" w:h="16838"/>
          <w:pgMar w:top="1928" w:right="1134" w:bottom="1134" w:left="1134" w:header="1418" w:footer="1134" w:gutter="284"/>
          <w:pgNumType w:fmt="upperRoman"/>
          <w:cols w:space="425" w:num="1"/>
          <w:formProt w:val="0"/>
          <w:docGrid w:type="lines" w:linePitch="312" w:charSpace="0"/>
        </w:sectPr>
      </w:pPr>
    </w:p>
    <w:bookmarkEnd w:id="14"/>
    <w:p w14:paraId="6AC27C0D">
      <w:pPr>
        <w:spacing w:line="20" w:lineRule="exact"/>
        <w:jc w:val="center"/>
        <w:rPr>
          <w:rFonts w:hint="eastAsia" w:ascii="黑体" w:hAnsi="黑体" w:eastAsia="黑体"/>
          <w:color w:val="auto"/>
          <w:sz w:val="32"/>
          <w:szCs w:val="32"/>
        </w:rPr>
      </w:pPr>
      <w:bookmarkStart w:id="15" w:name="BookMark4"/>
    </w:p>
    <w:p w14:paraId="1C91DEE5">
      <w:pPr>
        <w:spacing w:line="20" w:lineRule="exact"/>
        <w:jc w:val="center"/>
        <w:rPr>
          <w:rFonts w:hint="eastAsia" w:ascii="黑体" w:hAnsi="黑体" w:eastAsia="黑体"/>
          <w:color w:val="auto"/>
          <w:sz w:val="32"/>
          <w:szCs w:val="32"/>
        </w:rPr>
      </w:pPr>
    </w:p>
    <w:sdt>
      <w:sdtPr>
        <w:rPr>
          <w:color w:val="auto"/>
        </w:rPr>
        <w:tag w:val="NEW_STAND_NAME"/>
        <w:id w:val="595910757"/>
        <w:lock w:val="sdtLocked"/>
        <w:placeholder>
          <w:docPart w:val="9021DCE1A7F04913A06DBACB9E4E2A7B"/>
        </w:placeholder>
      </w:sdtPr>
      <w:sdtEndPr>
        <w:rPr>
          <w:color w:val="auto"/>
        </w:rPr>
      </w:sdtEndPr>
      <w:sdtContent>
        <w:p w14:paraId="3EDB355D">
          <w:pPr>
            <w:pStyle w:val="180"/>
            <w:spacing w:before="312" w:beforeLines="100" w:after="686" w:afterLines="220"/>
            <w:rPr>
              <w:rFonts w:hint="eastAsia"/>
              <w:color w:val="auto"/>
            </w:rPr>
          </w:pPr>
          <w:bookmarkStart w:id="16" w:name="NEW_STAND_NAME"/>
          <w:r>
            <w:rPr>
              <w:rFonts w:hint="eastAsia"/>
              <w:color w:val="auto"/>
            </w:rPr>
            <w:t>党政机关国有资产管理工作规范</w:t>
          </w:r>
        </w:p>
      </w:sdtContent>
    </w:sdt>
    <w:bookmarkEnd w:id="16"/>
    <w:p w14:paraId="7431EF50">
      <w:pPr>
        <w:pStyle w:val="107"/>
        <w:spacing w:before="312" w:after="312"/>
        <w:rPr>
          <w:color w:val="auto"/>
        </w:rPr>
      </w:pPr>
      <w:bookmarkStart w:id="17" w:name="_Toc168044223"/>
      <w:bookmarkStart w:id="18" w:name="_Toc97191423"/>
      <w:bookmarkStart w:id="19" w:name="_Toc24884218"/>
      <w:bookmarkStart w:id="20" w:name="_Toc24884211"/>
      <w:bookmarkStart w:id="21" w:name="_Toc26986530"/>
      <w:bookmarkStart w:id="22" w:name="_Toc26718930"/>
      <w:bookmarkStart w:id="23" w:name="_Toc17233333"/>
      <w:bookmarkStart w:id="24" w:name="_Toc168408570"/>
      <w:bookmarkStart w:id="25" w:name="_Toc26648465"/>
      <w:bookmarkStart w:id="26" w:name="_Toc17233325"/>
      <w:bookmarkStart w:id="27" w:name="_Toc26986771"/>
      <w:r>
        <w:rPr>
          <w:rFonts w:hint="eastAsia"/>
          <w:color w:val="auto"/>
        </w:rPr>
        <w:t>范围</w:t>
      </w:r>
      <w:bookmarkEnd w:id="17"/>
      <w:bookmarkEnd w:id="18"/>
      <w:bookmarkEnd w:id="19"/>
      <w:bookmarkEnd w:id="20"/>
      <w:bookmarkEnd w:id="21"/>
      <w:bookmarkEnd w:id="22"/>
      <w:bookmarkEnd w:id="23"/>
      <w:bookmarkEnd w:id="24"/>
      <w:bookmarkEnd w:id="25"/>
      <w:bookmarkEnd w:id="26"/>
      <w:bookmarkEnd w:id="27"/>
    </w:p>
    <w:p w14:paraId="590DE620">
      <w:pPr>
        <w:pStyle w:val="59"/>
        <w:ind w:firstLine="420"/>
        <w:rPr>
          <w:color w:val="auto"/>
        </w:rPr>
      </w:pPr>
      <w:bookmarkStart w:id="28" w:name="_Toc24884212"/>
      <w:bookmarkStart w:id="29" w:name="_Toc17233326"/>
      <w:bookmarkStart w:id="30" w:name="_Toc26648466"/>
      <w:bookmarkStart w:id="31" w:name="_Toc17233334"/>
      <w:bookmarkStart w:id="32" w:name="_Toc24884219"/>
      <w:r>
        <w:rPr>
          <w:rFonts w:hint="eastAsia"/>
          <w:color w:val="auto"/>
        </w:rPr>
        <w:t>本文件规定了党政机关国有资产管理的原则，</w:t>
      </w:r>
      <w:r>
        <w:rPr>
          <w:rFonts w:hint="eastAsia"/>
          <w:color w:val="auto"/>
          <w:lang w:eastAsia="zh-CN"/>
        </w:rPr>
        <w:t>国有</w:t>
      </w:r>
      <w:r>
        <w:rPr>
          <w:rFonts w:hint="eastAsia"/>
          <w:color w:val="auto"/>
        </w:rPr>
        <w:t>资产管理</w:t>
      </w:r>
      <w:r>
        <w:rPr>
          <w:rFonts w:hint="eastAsia"/>
          <w:color w:val="auto"/>
          <w:lang w:eastAsia="zh-CN"/>
        </w:rPr>
        <w:t>的</w:t>
      </w:r>
      <w:r>
        <w:rPr>
          <w:rFonts w:hint="eastAsia"/>
          <w:color w:val="auto"/>
        </w:rPr>
        <w:t>工作内容，以及资产配置、资产使用、资产处置、资产清查盘点、资产</w:t>
      </w:r>
      <w:r>
        <w:rPr>
          <w:rFonts w:hint="eastAsia"/>
          <w:color w:val="auto"/>
          <w:lang w:eastAsia="zh-CN"/>
        </w:rPr>
        <w:t>档案</w:t>
      </w:r>
      <w:r>
        <w:rPr>
          <w:rFonts w:hint="eastAsia"/>
          <w:color w:val="auto"/>
        </w:rPr>
        <w:t>管理等工作要求。</w:t>
      </w:r>
    </w:p>
    <w:p w14:paraId="0CC010DD">
      <w:pPr>
        <w:pStyle w:val="59"/>
        <w:ind w:firstLine="420"/>
        <w:rPr>
          <w:color w:val="auto"/>
        </w:rPr>
      </w:pPr>
      <w:r>
        <w:rPr>
          <w:rFonts w:hint="eastAsia"/>
          <w:color w:val="auto"/>
        </w:rPr>
        <w:t>本文件适用于党政机关国有资产的管理工作，包含党政机关通过使用财政资金形成的资产，接受调拨或者划转、置换形成的资产，接受捐赠并确认为国有的资产和其他国有资产，不包含无形资产。</w:t>
      </w:r>
    </w:p>
    <w:p w14:paraId="6298D22C">
      <w:pPr>
        <w:pStyle w:val="107"/>
        <w:spacing w:before="312" w:after="312"/>
        <w:rPr>
          <w:color w:val="auto"/>
        </w:rPr>
      </w:pPr>
      <w:bookmarkStart w:id="33" w:name="_Toc168408571"/>
      <w:bookmarkStart w:id="34" w:name="_Toc168044224"/>
      <w:bookmarkStart w:id="35" w:name="_Toc26986531"/>
      <w:bookmarkStart w:id="36" w:name="_Toc97191424"/>
      <w:bookmarkStart w:id="37" w:name="_Toc26986772"/>
      <w:bookmarkStart w:id="38" w:name="_Toc26718931"/>
      <w:r>
        <w:rPr>
          <w:rFonts w:hint="eastAsia"/>
          <w:color w:val="auto"/>
        </w:rPr>
        <w:t>规范性引用文件</w:t>
      </w:r>
      <w:bookmarkEnd w:id="28"/>
      <w:bookmarkEnd w:id="29"/>
      <w:bookmarkEnd w:id="30"/>
      <w:bookmarkEnd w:id="31"/>
      <w:bookmarkEnd w:id="32"/>
      <w:bookmarkEnd w:id="33"/>
      <w:bookmarkEnd w:id="34"/>
      <w:bookmarkEnd w:id="35"/>
      <w:bookmarkEnd w:id="36"/>
      <w:bookmarkEnd w:id="37"/>
      <w:bookmarkEnd w:id="38"/>
    </w:p>
    <w:sdt>
      <w:sdtPr>
        <w:rPr>
          <w:rFonts w:hint="eastAsia"/>
          <w:color w:val="auto"/>
        </w:rPr>
        <w:id w:val="715848253"/>
        <w:placeholder>
          <w:docPart w:val="874EB3016980425AAF047B1BFB93342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color w:val="auto"/>
        </w:rPr>
      </w:sdtEndPr>
      <w:sdtContent>
        <w:p w14:paraId="532CCA12">
          <w:pPr>
            <w:pStyle w:val="59"/>
            <w:ind w:firstLine="420"/>
            <w:rPr>
              <w:color w:val="auto"/>
            </w:rPr>
          </w:pPr>
          <w:r>
            <w:rPr>
              <w:rFonts w:hint="eastAsia"/>
              <w:color w:val="auto"/>
            </w:rPr>
            <w:t>本文件没有规范性引用文件。</w:t>
          </w:r>
        </w:p>
      </w:sdtContent>
    </w:sdt>
    <w:p w14:paraId="2A6631C8">
      <w:pPr>
        <w:pStyle w:val="107"/>
        <w:spacing w:before="312" w:after="312"/>
        <w:rPr>
          <w:color w:val="auto"/>
        </w:rPr>
      </w:pPr>
      <w:bookmarkStart w:id="39" w:name="_Toc97191425"/>
      <w:bookmarkStart w:id="40" w:name="_Toc168408572"/>
      <w:bookmarkStart w:id="41" w:name="_Toc168044225"/>
      <w:r>
        <w:rPr>
          <w:rFonts w:hint="eastAsia"/>
          <w:color w:val="auto"/>
          <w:szCs w:val="21"/>
        </w:rPr>
        <w:t>术语和定义</w:t>
      </w:r>
      <w:bookmarkEnd w:id="39"/>
      <w:bookmarkEnd w:id="40"/>
      <w:bookmarkEnd w:id="41"/>
    </w:p>
    <w:sdt>
      <w:sdtPr>
        <w:rPr>
          <w:color w:val="auto"/>
        </w:rPr>
        <w:id w:val="-1909835108"/>
        <w:placeholder>
          <w:docPart w:val="DFBD55FBDF384CD0A6F3541DD5A72E7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color w:val="auto"/>
        </w:rPr>
      </w:sdtEndPr>
      <w:sdtContent>
        <w:p w14:paraId="4A5ADE01">
          <w:pPr>
            <w:pStyle w:val="59"/>
            <w:ind w:firstLine="420"/>
            <w:rPr>
              <w:color w:val="auto"/>
            </w:rPr>
          </w:pPr>
          <w:bookmarkStart w:id="42" w:name="_Toc26986532"/>
          <w:bookmarkEnd w:id="42"/>
          <w:r>
            <w:rPr>
              <w:color w:val="auto"/>
            </w:rPr>
            <w:t>下列术语和定义适用于本文件。</w:t>
          </w:r>
        </w:p>
      </w:sdtContent>
    </w:sdt>
    <w:p w14:paraId="49F84285">
      <w:pPr>
        <w:pStyle w:val="226"/>
        <w:ind w:left="420" w:hanging="420" w:hangingChars="200"/>
        <w:rPr>
          <w:rFonts w:hint="eastAsia" w:ascii="黑体" w:hAnsi="黑体" w:eastAsia="黑体"/>
          <w:color w:val="auto"/>
        </w:rPr>
      </w:pPr>
      <w:r>
        <w:rPr>
          <w:rFonts w:ascii="黑体" w:hAnsi="黑体" w:eastAsia="黑体"/>
          <w:color w:val="auto"/>
        </w:rPr>
        <w:br w:type="textWrapping"/>
      </w:r>
      <w:r>
        <w:rPr>
          <w:rFonts w:hint="eastAsia" w:ascii="黑体" w:hAnsi="黑体" w:eastAsia="黑体"/>
          <w:color w:val="auto"/>
        </w:rPr>
        <w:t xml:space="preserve">党政机关  </w:t>
      </w:r>
      <w:r>
        <w:rPr>
          <w:rFonts w:hint="eastAsia" w:ascii="黑体" w:hAnsi="黑体" w:eastAsia="黑体"/>
          <w:color w:val="auto"/>
          <w:lang w:val="en-US" w:eastAsia="zh-CN"/>
        </w:rPr>
        <w:t>p</w:t>
      </w:r>
      <w:r>
        <w:rPr>
          <w:rFonts w:ascii="黑体" w:hAnsi="黑体" w:eastAsia="黑体"/>
          <w:color w:val="auto"/>
        </w:rPr>
        <w:t>arty and government organs</w:t>
      </w:r>
    </w:p>
    <w:p w14:paraId="0DD02078">
      <w:pPr>
        <w:pStyle w:val="59"/>
        <w:numPr>
          <w:ins w:id="0" w:author="陈凌" w:date="2024-07-03T16:43:00Z"/>
        </w:numPr>
        <w:ind w:firstLine="420"/>
        <w:rPr>
          <w:color w:val="auto"/>
        </w:rPr>
      </w:pPr>
      <w:r>
        <w:rPr>
          <w:rFonts w:hint="eastAsia"/>
          <w:color w:val="auto"/>
        </w:rPr>
        <w:t>党的机关、人大机关、行政机关、政协机关、</w:t>
      </w:r>
      <w:r>
        <w:rPr>
          <w:rFonts w:hint="eastAsia"/>
          <w:color w:val="auto"/>
          <w:lang w:eastAsia="zh-CN"/>
        </w:rPr>
        <w:t>监察机关、</w:t>
      </w:r>
      <w:r>
        <w:rPr>
          <w:rFonts w:hint="eastAsia"/>
          <w:color w:val="auto"/>
        </w:rPr>
        <w:t>审判机关、检察机关，以及工会、共青团、妇联</w:t>
      </w:r>
      <w:r>
        <w:rPr>
          <w:rFonts w:hint="eastAsia"/>
          <w:color w:val="auto"/>
          <w:lang w:eastAsia="zh-CN"/>
        </w:rPr>
        <w:t>、民主党派</w:t>
      </w:r>
      <w:r>
        <w:rPr>
          <w:rFonts w:hint="eastAsia"/>
          <w:color w:val="auto"/>
        </w:rPr>
        <w:t>和参照公务员法管理的事业单位。</w:t>
      </w:r>
    </w:p>
    <w:p w14:paraId="4153C0BB">
      <w:pPr>
        <w:pStyle w:val="59"/>
        <w:numPr>
          <w:ins w:id="1" w:author="陈凌" w:date="2024-07-03T16:43:00Z"/>
        </w:numPr>
        <w:ind w:firstLine="420"/>
        <w:rPr>
          <w:color w:val="auto"/>
        </w:rPr>
      </w:pPr>
    </w:p>
    <w:p w14:paraId="524EE240">
      <w:pPr>
        <w:pStyle w:val="226"/>
        <w:ind w:left="420" w:hanging="420" w:hangingChars="200"/>
        <w:rPr>
          <w:rFonts w:hint="eastAsia" w:ascii="黑体" w:hAnsi="黑体" w:eastAsia="黑体"/>
          <w:color w:val="auto"/>
        </w:rPr>
      </w:pPr>
      <w:r>
        <w:rPr>
          <w:rFonts w:ascii="黑体" w:hAnsi="黑体" w:eastAsia="黑体"/>
          <w:color w:val="auto"/>
        </w:rPr>
        <w:br w:type="textWrapping"/>
      </w:r>
      <w:r>
        <w:rPr>
          <w:rFonts w:hint="eastAsia" w:ascii="黑体" w:hAnsi="黑体" w:eastAsia="黑体"/>
          <w:color w:val="auto"/>
        </w:rPr>
        <w:t>国有资产  state-owned asset</w:t>
      </w:r>
      <w:r>
        <w:rPr>
          <w:rFonts w:hint="eastAsia" w:ascii="黑体" w:hAnsi="黑体" w:eastAsia="黑体"/>
          <w:color w:val="auto"/>
          <w:lang w:val="en-US" w:eastAsia="zh-CN"/>
        </w:rPr>
        <w:t>s</w:t>
      </w:r>
    </w:p>
    <w:p w14:paraId="3E6D9A22">
      <w:pPr>
        <w:pStyle w:val="239"/>
        <w:rPr>
          <w:color w:val="auto"/>
          <w:szCs w:val="22"/>
        </w:rPr>
      </w:pPr>
      <w:r>
        <w:rPr>
          <w:rFonts w:hint="eastAsia"/>
          <w:color w:val="auto"/>
          <w:szCs w:val="22"/>
        </w:rPr>
        <w:t>各级机关单位占有、使用的，依法确认为国家所有，能以货币计量的各种经济资源的总称。</w:t>
      </w:r>
    </w:p>
    <w:p w14:paraId="18835544">
      <w:pPr>
        <w:pStyle w:val="59"/>
        <w:ind w:firstLine="420"/>
        <w:rPr>
          <w:color w:val="auto"/>
        </w:rPr>
      </w:pPr>
    </w:p>
    <w:p w14:paraId="2C5E4D46">
      <w:pPr>
        <w:pStyle w:val="59"/>
        <w:ind w:firstLine="0" w:firstLineChars="0"/>
        <w:rPr>
          <w:color w:val="auto"/>
        </w:rPr>
      </w:pPr>
      <w:r>
        <w:rPr>
          <w:rFonts w:hint="eastAsia"/>
          <w:color w:val="auto"/>
        </w:rPr>
        <w:t>3.3</w:t>
      </w:r>
    </w:p>
    <w:p w14:paraId="104CEB36">
      <w:pPr>
        <w:pStyle w:val="108"/>
        <w:numPr>
          <w:ilvl w:val="0"/>
          <w:numId w:val="0"/>
          <w:ins w:id="2" w:author="陈凌" w:date="2024-07-03T16:42:00Z"/>
        </w:numPr>
        <w:spacing w:before="156" w:after="156"/>
        <w:ind w:firstLine="420"/>
        <w:rPr>
          <w:rFonts w:hint="eastAsia" w:eastAsia="黑体"/>
          <w:color w:val="auto"/>
          <w:lang w:val="en-US" w:eastAsia="zh-CN"/>
        </w:rPr>
      </w:pPr>
      <w:r>
        <w:rPr>
          <w:rFonts w:hint="eastAsia"/>
          <w:color w:val="auto"/>
        </w:rPr>
        <w:t>资产管理  asset management</w:t>
      </w:r>
    </w:p>
    <w:p w14:paraId="1F0D302C">
      <w:pPr>
        <w:pStyle w:val="239"/>
        <w:rPr>
          <w:color w:val="auto"/>
          <w:szCs w:val="22"/>
        </w:rPr>
      </w:pPr>
      <w:r>
        <w:rPr>
          <w:rFonts w:hint="eastAsia"/>
          <w:color w:val="auto"/>
          <w:szCs w:val="22"/>
        </w:rPr>
        <w:t>组织利用资产实现价值的协作活动。</w:t>
      </w:r>
    </w:p>
    <w:p w14:paraId="3F25ADBC">
      <w:pPr>
        <w:pStyle w:val="239"/>
        <w:rPr>
          <w:color w:val="auto"/>
          <w:szCs w:val="22"/>
        </w:rPr>
      </w:pPr>
      <w:r>
        <w:rPr>
          <w:rFonts w:hint="eastAsia"/>
          <w:color w:val="auto"/>
          <w:szCs w:val="22"/>
          <w:lang w:eastAsia="zh-CN"/>
        </w:rPr>
        <w:t>来源：</w:t>
      </w:r>
      <w:r>
        <w:rPr>
          <w:rFonts w:hint="eastAsia"/>
          <w:color w:val="auto"/>
          <w:szCs w:val="22"/>
        </w:rPr>
        <w:t>[GB/T 33172-2016， 3.3.1]</w:t>
      </w:r>
    </w:p>
    <w:p w14:paraId="5A41994A">
      <w:pPr>
        <w:pStyle w:val="239"/>
        <w:rPr>
          <w:color w:val="auto"/>
          <w:szCs w:val="22"/>
        </w:rPr>
      </w:pPr>
    </w:p>
    <w:p w14:paraId="7AAEFB12">
      <w:pPr>
        <w:pStyle w:val="239"/>
        <w:ind w:left="0" w:leftChars="0" w:firstLine="0" w:firstLineChars="0"/>
        <w:rPr>
          <w:rFonts w:hint="eastAsia" w:eastAsia="宋体"/>
          <w:color w:val="auto"/>
          <w:szCs w:val="22"/>
          <w:lang w:val="en-US" w:eastAsia="zh-CN"/>
        </w:rPr>
      </w:pPr>
      <w:r>
        <w:rPr>
          <w:rFonts w:hint="eastAsia"/>
          <w:color w:val="auto"/>
          <w:szCs w:val="22"/>
        </w:rPr>
        <w:t>3.</w:t>
      </w:r>
      <w:r>
        <w:rPr>
          <w:rFonts w:hint="eastAsia"/>
          <w:color w:val="auto"/>
          <w:szCs w:val="22"/>
          <w:lang w:val="en-US" w:eastAsia="zh-CN"/>
        </w:rPr>
        <w:t>4</w:t>
      </w:r>
    </w:p>
    <w:p w14:paraId="3BF56773">
      <w:pPr>
        <w:spacing w:line="460" w:lineRule="exact"/>
        <w:ind w:firstLine="420" w:firstLineChars="200"/>
        <w:rPr>
          <w:rFonts w:hint="eastAsia" w:ascii="黑体" w:hAnsi="黑体" w:eastAsia="黑体" w:cs="黑体"/>
          <w:color w:val="auto"/>
        </w:rPr>
      </w:pPr>
      <w:r>
        <w:rPr>
          <w:rFonts w:hint="eastAsia" w:ascii="黑体" w:hAnsi="黑体" w:eastAsia="黑体" w:cs="黑体"/>
          <w:color w:val="auto"/>
        </w:rPr>
        <w:t>资产主管部门The department in charge of assets</w:t>
      </w:r>
    </w:p>
    <w:p w14:paraId="37405D61">
      <w:pPr>
        <w:spacing w:line="460" w:lineRule="exact"/>
        <w:ind w:firstLine="420" w:firstLineChars="200"/>
        <w:rPr>
          <w:rFonts w:hint="eastAsia" w:ascii="宋体" w:hAnsi="宋体" w:cs="宋体"/>
          <w:color w:val="auto"/>
        </w:rPr>
      </w:pPr>
      <w:r>
        <w:rPr>
          <w:rFonts w:hint="eastAsia" w:ascii="宋体" w:hAnsi="宋体" w:cs="宋体"/>
          <w:color w:val="auto"/>
          <w:lang w:val="en-US" w:eastAsia="zh-CN"/>
        </w:rPr>
        <w:t>同级</w:t>
      </w:r>
      <w:r>
        <w:rPr>
          <w:rFonts w:hint="eastAsia" w:ascii="宋体" w:hAnsi="宋体" w:cs="宋体"/>
          <w:color w:val="auto"/>
        </w:rPr>
        <w:t>财政部门或者机关事务管理部门，负责</w:t>
      </w:r>
      <w:r>
        <w:rPr>
          <w:rFonts w:hint="eastAsia" w:ascii="宋体" w:hAnsi="宋体" w:cs="宋体"/>
          <w:color w:val="auto"/>
          <w:lang w:val="en-US" w:eastAsia="zh-CN"/>
        </w:rPr>
        <w:t>同级</w:t>
      </w:r>
      <w:r>
        <w:rPr>
          <w:rFonts w:hint="eastAsia" w:ascii="宋体" w:hAnsi="宋体" w:cs="宋体"/>
          <w:color w:val="auto"/>
        </w:rPr>
        <w:t>党政机关国有资产管理工作。</w:t>
      </w:r>
    </w:p>
    <w:p w14:paraId="5C94EFD8">
      <w:pPr>
        <w:pStyle w:val="59"/>
        <w:ind w:firstLine="420"/>
        <w:rPr>
          <w:color w:val="auto"/>
        </w:rPr>
      </w:pPr>
    </w:p>
    <w:p w14:paraId="02BB33BC">
      <w:pPr>
        <w:pStyle w:val="107"/>
        <w:spacing w:before="312" w:after="312"/>
        <w:rPr>
          <w:color w:val="auto"/>
        </w:rPr>
      </w:pPr>
      <w:bookmarkStart w:id="43" w:name="_Toc168408573"/>
      <w:bookmarkStart w:id="44" w:name="_Toc168044226"/>
      <w:r>
        <w:rPr>
          <w:rFonts w:hint="eastAsia"/>
          <w:color w:val="auto"/>
        </w:rPr>
        <w:t>原则</w:t>
      </w:r>
      <w:bookmarkEnd w:id="43"/>
      <w:bookmarkEnd w:id="44"/>
    </w:p>
    <w:p w14:paraId="26274EA5">
      <w:pPr>
        <w:pStyle w:val="59"/>
        <w:numPr>
          <w:ilvl w:val="0"/>
          <w:numId w:val="33"/>
        </w:numPr>
        <w:ind w:firstLine="420"/>
        <w:rPr>
          <w:rFonts w:hint="eastAsia"/>
          <w:color w:val="auto"/>
        </w:rPr>
      </w:pPr>
      <w:r>
        <w:rPr>
          <w:rFonts w:hint="eastAsia"/>
          <w:color w:val="auto"/>
        </w:rPr>
        <w:t>安全合理、节约高效</w:t>
      </w:r>
      <w:r>
        <w:rPr>
          <w:rFonts w:hint="eastAsia"/>
          <w:color w:val="auto"/>
          <w:lang w:eastAsia="zh-CN"/>
        </w:rPr>
        <w:t>。</w:t>
      </w:r>
      <w:r>
        <w:rPr>
          <w:rFonts w:hint="eastAsia"/>
          <w:color w:val="auto"/>
        </w:rPr>
        <w:t>资产安全完整，管理合理，在节约资产的同时提高资产使用效率。</w:t>
      </w:r>
    </w:p>
    <w:p w14:paraId="7B20F738">
      <w:pPr>
        <w:pStyle w:val="59"/>
        <w:numPr>
          <w:ilvl w:val="0"/>
          <w:numId w:val="33"/>
        </w:numPr>
        <w:ind w:firstLine="420"/>
        <w:rPr>
          <w:color w:val="auto"/>
        </w:rPr>
      </w:pPr>
      <w:r>
        <w:rPr>
          <w:rFonts w:hint="eastAsia"/>
          <w:color w:val="auto"/>
        </w:rPr>
        <w:t>公开透明、权责一致</w:t>
      </w:r>
      <w:r>
        <w:rPr>
          <w:rFonts w:hint="eastAsia"/>
          <w:color w:val="auto"/>
          <w:lang w:eastAsia="zh-CN"/>
        </w:rPr>
        <w:t>。</w:t>
      </w:r>
      <w:r>
        <w:rPr>
          <w:rFonts w:hint="eastAsia"/>
          <w:color w:val="auto"/>
        </w:rPr>
        <w:t>资产管理的过程和结果公开透明，管理人员的权责一致。</w:t>
      </w:r>
    </w:p>
    <w:p w14:paraId="1E9AB3AF">
      <w:pPr>
        <w:pStyle w:val="59"/>
        <w:numPr>
          <w:ilvl w:val="0"/>
          <w:numId w:val="33"/>
        </w:numPr>
        <w:ind w:firstLine="420"/>
        <w:rPr>
          <w:color w:val="auto"/>
        </w:rPr>
      </w:pPr>
      <w:r>
        <w:rPr>
          <w:rFonts w:hint="eastAsia"/>
          <w:color w:val="auto"/>
        </w:rPr>
        <w:t>科学配置、保障需求</w:t>
      </w:r>
      <w:r>
        <w:rPr>
          <w:rFonts w:hint="eastAsia"/>
          <w:color w:val="auto"/>
          <w:lang w:eastAsia="zh-CN"/>
        </w:rPr>
        <w:t>。</w:t>
      </w:r>
      <w:r>
        <w:rPr>
          <w:rFonts w:hint="eastAsia"/>
          <w:color w:val="auto"/>
        </w:rPr>
        <w:t>依据科学的方法和标准配置资产，满足实际工作的需求。</w:t>
      </w:r>
    </w:p>
    <w:p w14:paraId="1FF95BC3">
      <w:pPr>
        <w:pStyle w:val="59"/>
        <w:numPr>
          <w:ilvl w:val="0"/>
          <w:numId w:val="33"/>
        </w:numPr>
        <w:ind w:firstLine="420"/>
        <w:rPr>
          <w:color w:val="auto"/>
        </w:rPr>
      </w:pPr>
      <w:r>
        <w:rPr>
          <w:rFonts w:hint="eastAsia"/>
          <w:color w:val="auto"/>
        </w:rPr>
        <w:t>统一协调，紧密结合</w:t>
      </w:r>
      <w:r>
        <w:rPr>
          <w:rFonts w:hint="eastAsia"/>
          <w:color w:val="auto"/>
          <w:lang w:eastAsia="zh-CN"/>
        </w:rPr>
        <w:t>。</w:t>
      </w:r>
      <w:r>
        <w:rPr>
          <w:rFonts w:hint="eastAsia"/>
          <w:color w:val="auto"/>
        </w:rPr>
        <w:t>实物管理与价值管理统一协调，资产管理与预算管理、财务管理</w:t>
      </w:r>
      <w:r>
        <w:rPr>
          <w:rFonts w:hint="eastAsia"/>
          <w:color w:val="auto"/>
          <w:lang w:eastAsia="zh-CN"/>
        </w:rPr>
        <w:t>、</w:t>
      </w:r>
      <w:r>
        <w:rPr>
          <w:rFonts w:hint="eastAsia"/>
          <w:color w:val="auto"/>
        </w:rPr>
        <w:t>绩效管理紧密结合。</w:t>
      </w:r>
    </w:p>
    <w:p w14:paraId="061ADE44">
      <w:pPr>
        <w:pStyle w:val="107"/>
        <w:spacing w:before="312" w:after="312"/>
        <w:rPr>
          <w:color w:val="auto"/>
        </w:rPr>
      </w:pPr>
      <w:bookmarkStart w:id="45" w:name="_Toc168044227"/>
      <w:bookmarkStart w:id="46" w:name="_Toc168408574"/>
      <w:r>
        <w:rPr>
          <w:rFonts w:hint="eastAsia"/>
          <w:color w:val="auto"/>
        </w:rPr>
        <w:t>工作内容</w:t>
      </w:r>
      <w:bookmarkEnd w:id="45"/>
      <w:bookmarkEnd w:id="46"/>
    </w:p>
    <w:p w14:paraId="7D526ECD">
      <w:pPr>
        <w:pStyle w:val="108"/>
        <w:spacing w:before="156" w:after="156"/>
        <w:rPr>
          <w:color w:val="auto"/>
        </w:rPr>
      </w:pPr>
      <w:r>
        <w:rPr>
          <w:rFonts w:hint="eastAsia"/>
          <w:color w:val="auto"/>
        </w:rPr>
        <w:t>资产管理部门</w:t>
      </w:r>
      <w:r>
        <w:rPr>
          <w:rFonts w:hint="eastAsia"/>
          <w:color w:val="auto"/>
          <w:lang w:val="en-US" w:eastAsia="zh-CN"/>
        </w:rPr>
        <w:t>工作内容</w:t>
      </w:r>
    </w:p>
    <w:p w14:paraId="4AEDD0E7">
      <w:pPr>
        <w:pStyle w:val="59"/>
        <w:ind w:firstLine="420"/>
        <w:rPr>
          <w:color w:val="auto"/>
        </w:rPr>
      </w:pPr>
      <w:r>
        <w:rPr>
          <w:rFonts w:hint="eastAsia"/>
          <w:color w:val="auto"/>
        </w:rPr>
        <w:t>实施资产实物和资产</w:t>
      </w:r>
      <w:r>
        <w:rPr>
          <w:rFonts w:hint="eastAsia"/>
          <w:color w:val="auto"/>
          <w:lang w:eastAsia="zh-CN"/>
        </w:rPr>
        <w:t>档案</w:t>
      </w:r>
      <w:r>
        <w:rPr>
          <w:rFonts w:hint="eastAsia"/>
          <w:color w:val="auto"/>
        </w:rPr>
        <w:t>管理，工作内容如下：</w:t>
      </w:r>
    </w:p>
    <w:p w14:paraId="4C56BE32">
      <w:pPr>
        <w:pStyle w:val="177"/>
        <w:rPr>
          <w:color w:val="auto"/>
        </w:rPr>
      </w:pPr>
      <w:r>
        <w:rPr>
          <w:rFonts w:hint="eastAsia"/>
          <w:color w:val="auto"/>
        </w:rPr>
        <w:t>汇总各部门资产采购需求，编制资产配置计划；配合财务管理部门编制资产配置预算和政府采购预算。</w:t>
      </w:r>
    </w:p>
    <w:p w14:paraId="0DC90F5A">
      <w:pPr>
        <w:pStyle w:val="177"/>
        <w:rPr>
          <w:color w:val="auto"/>
        </w:rPr>
      </w:pPr>
      <w:r>
        <w:rPr>
          <w:rFonts w:hint="eastAsia"/>
          <w:color w:val="auto"/>
        </w:rPr>
        <w:t>资产日常管理工作，包括但不限于验收、登记、发放、维护及资产</w:t>
      </w:r>
      <w:r>
        <w:rPr>
          <w:rFonts w:hint="eastAsia"/>
          <w:color w:val="auto"/>
          <w:lang w:eastAsia="zh-CN"/>
        </w:rPr>
        <w:t>档案</w:t>
      </w:r>
      <w:r>
        <w:rPr>
          <w:rFonts w:hint="eastAsia"/>
          <w:color w:val="auto"/>
        </w:rPr>
        <w:t>管理。</w:t>
      </w:r>
    </w:p>
    <w:p w14:paraId="238F5E61">
      <w:pPr>
        <w:pStyle w:val="177"/>
        <w:rPr>
          <w:color w:val="auto"/>
        </w:rPr>
      </w:pPr>
      <w:r>
        <w:rPr>
          <w:rFonts w:hint="eastAsia"/>
          <w:color w:val="auto"/>
        </w:rPr>
        <w:t>组织实施资产清查盘点；及时与财务管理部门对账。</w:t>
      </w:r>
    </w:p>
    <w:p w14:paraId="7E66D923">
      <w:pPr>
        <w:pStyle w:val="177"/>
        <w:rPr>
          <w:color w:val="auto"/>
        </w:rPr>
      </w:pPr>
      <w:r>
        <w:rPr>
          <w:rFonts w:hint="eastAsia"/>
          <w:color w:val="auto"/>
        </w:rPr>
        <w:t>审核资产的处置工作，包括但不限于出售、调拨、捐赠、报损、报废、停用、拆除。</w:t>
      </w:r>
    </w:p>
    <w:p w14:paraId="5D390080">
      <w:pPr>
        <w:pStyle w:val="177"/>
        <w:rPr>
          <w:color w:val="auto"/>
        </w:rPr>
      </w:pPr>
      <w:r>
        <w:rPr>
          <w:rFonts w:hint="eastAsia"/>
          <w:color w:val="auto"/>
        </w:rPr>
        <w:t>资产管理绩效自评工作，编制资产报表。</w:t>
      </w:r>
    </w:p>
    <w:p w14:paraId="45EB9250">
      <w:pPr>
        <w:pStyle w:val="177"/>
        <w:rPr>
          <w:color w:val="auto"/>
        </w:rPr>
      </w:pPr>
      <w:r>
        <w:rPr>
          <w:rFonts w:hint="eastAsia"/>
          <w:color w:val="auto"/>
        </w:rPr>
        <w:t>组织对</w:t>
      </w:r>
      <w:r>
        <w:rPr>
          <w:rFonts w:hint="eastAsia"/>
          <w:color w:val="auto"/>
          <w:lang w:eastAsia="zh-CN"/>
        </w:rPr>
        <w:t>相关人员</w:t>
      </w:r>
      <w:r>
        <w:rPr>
          <w:rFonts w:hint="eastAsia"/>
          <w:color w:val="auto"/>
        </w:rPr>
        <w:t>进行资产管理培训。</w:t>
      </w:r>
    </w:p>
    <w:p w14:paraId="0ED07E2B">
      <w:pPr>
        <w:pStyle w:val="108"/>
        <w:spacing w:before="156" w:after="156"/>
        <w:rPr>
          <w:color w:val="auto"/>
        </w:rPr>
      </w:pPr>
      <w:r>
        <w:rPr>
          <w:rFonts w:hint="eastAsia"/>
          <w:color w:val="auto"/>
        </w:rPr>
        <w:t>财务管理部门</w:t>
      </w:r>
      <w:r>
        <w:rPr>
          <w:rFonts w:hint="eastAsia"/>
          <w:color w:val="auto"/>
          <w:lang w:val="en-US" w:eastAsia="zh-CN"/>
        </w:rPr>
        <w:t>工作内容</w:t>
      </w:r>
    </w:p>
    <w:p w14:paraId="7E5C1089">
      <w:pPr>
        <w:pStyle w:val="59"/>
        <w:ind w:firstLine="420"/>
        <w:rPr>
          <w:color w:val="auto"/>
        </w:rPr>
      </w:pPr>
      <w:r>
        <w:rPr>
          <w:rFonts w:hint="eastAsia"/>
          <w:color w:val="auto"/>
        </w:rPr>
        <w:t>工作内容如下：</w:t>
      </w:r>
    </w:p>
    <w:p w14:paraId="7F4B039A">
      <w:pPr>
        <w:pStyle w:val="177"/>
        <w:numPr>
          <w:ilvl w:val="0"/>
          <w:numId w:val="34"/>
        </w:numPr>
        <w:rPr>
          <w:color w:val="auto"/>
        </w:rPr>
      </w:pPr>
      <w:r>
        <w:rPr>
          <w:rFonts w:hint="eastAsia"/>
          <w:color w:val="auto"/>
        </w:rPr>
        <w:t>编制资产配置预算和政府采购预算</w:t>
      </w:r>
      <w:r>
        <w:rPr>
          <w:rFonts w:hint="eastAsia"/>
          <w:color w:val="auto"/>
          <w:lang w:eastAsia="zh-CN"/>
        </w:rPr>
        <w:t>。</w:t>
      </w:r>
    </w:p>
    <w:p w14:paraId="0CB630D3">
      <w:pPr>
        <w:pStyle w:val="177"/>
        <w:rPr>
          <w:color w:val="auto"/>
        </w:rPr>
      </w:pPr>
      <w:r>
        <w:rPr>
          <w:rFonts w:hint="eastAsia"/>
          <w:color w:val="auto"/>
        </w:rPr>
        <w:t>监督资产采购预算执行</w:t>
      </w:r>
      <w:r>
        <w:rPr>
          <w:rFonts w:hint="eastAsia"/>
          <w:color w:val="auto"/>
          <w:lang w:eastAsia="zh-CN"/>
        </w:rPr>
        <w:t>。</w:t>
      </w:r>
    </w:p>
    <w:p w14:paraId="48890BF1">
      <w:pPr>
        <w:pStyle w:val="177"/>
        <w:rPr>
          <w:color w:val="auto"/>
        </w:rPr>
      </w:pPr>
      <w:r>
        <w:rPr>
          <w:rFonts w:hint="eastAsia"/>
          <w:color w:val="auto"/>
        </w:rPr>
        <w:t>登记资产财务账簿并分类核算</w:t>
      </w:r>
      <w:r>
        <w:rPr>
          <w:rFonts w:hint="eastAsia"/>
          <w:color w:val="auto"/>
          <w:lang w:eastAsia="zh-CN"/>
        </w:rPr>
        <w:t>。</w:t>
      </w:r>
    </w:p>
    <w:p w14:paraId="68A1ACF0">
      <w:pPr>
        <w:pStyle w:val="108"/>
        <w:spacing w:before="156" w:after="156"/>
        <w:rPr>
          <w:color w:val="auto"/>
        </w:rPr>
      </w:pPr>
      <w:r>
        <w:rPr>
          <w:rFonts w:hint="eastAsia"/>
          <w:color w:val="auto"/>
        </w:rPr>
        <w:t>资产使用部门</w:t>
      </w:r>
      <w:r>
        <w:rPr>
          <w:rFonts w:hint="eastAsia"/>
          <w:color w:val="auto"/>
          <w:lang w:val="en-US" w:eastAsia="zh-CN"/>
        </w:rPr>
        <w:t>工作内容</w:t>
      </w:r>
    </w:p>
    <w:p w14:paraId="3D802357">
      <w:pPr>
        <w:pStyle w:val="59"/>
        <w:ind w:firstLine="420"/>
        <w:rPr>
          <w:color w:val="auto"/>
        </w:rPr>
      </w:pPr>
      <w:r>
        <w:rPr>
          <w:rFonts w:hint="eastAsia"/>
          <w:color w:val="auto"/>
        </w:rPr>
        <w:t>工作内容如下：</w:t>
      </w:r>
    </w:p>
    <w:p w14:paraId="136A3E3F">
      <w:pPr>
        <w:pStyle w:val="177"/>
        <w:numPr>
          <w:ilvl w:val="0"/>
          <w:numId w:val="35"/>
        </w:numPr>
        <w:rPr>
          <w:color w:val="auto"/>
        </w:rPr>
      </w:pPr>
      <w:r>
        <w:rPr>
          <w:rFonts w:hint="eastAsia"/>
          <w:color w:val="auto"/>
        </w:rPr>
        <w:t>根据业务需求制定资产需求和配置计划</w:t>
      </w:r>
      <w:r>
        <w:rPr>
          <w:rFonts w:hint="eastAsia"/>
          <w:color w:val="auto"/>
          <w:lang w:eastAsia="zh-CN"/>
        </w:rPr>
        <w:t>。</w:t>
      </w:r>
    </w:p>
    <w:p w14:paraId="437F674D">
      <w:pPr>
        <w:pStyle w:val="177"/>
        <w:rPr>
          <w:color w:val="auto"/>
        </w:rPr>
      </w:pPr>
      <w:r>
        <w:rPr>
          <w:rFonts w:hint="eastAsia"/>
          <w:color w:val="auto"/>
        </w:rPr>
        <w:t>开展资产日常管理，办理本部门资产的调拨、处置手续，更新资产清单并定期核对</w:t>
      </w:r>
      <w:r>
        <w:rPr>
          <w:rFonts w:hint="eastAsia"/>
          <w:color w:val="auto"/>
          <w:lang w:eastAsia="zh-CN"/>
        </w:rPr>
        <w:t>。</w:t>
      </w:r>
    </w:p>
    <w:p w14:paraId="0D577515">
      <w:pPr>
        <w:pStyle w:val="177"/>
        <w:rPr>
          <w:color w:val="auto"/>
        </w:rPr>
      </w:pPr>
      <w:r>
        <w:rPr>
          <w:rFonts w:hint="eastAsia"/>
          <w:color w:val="auto"/>
        </w:rPr>
        <w:t>配合资产管理部门，开展资产</w:t>
      </w:r>
      <w:r>
        <w:rPr>
          <w:rFonts w:hint="eastAsia"/>
          <w:color w:val="auto"/>
          <w:lang w:eastAsia="zh-CN"/>
        </w:rPr>
        <w:t>清查</w:t>
      </w:r>
      <w:r>
        <w:rPr>
          <w:rFonts w:hint="eastAsia"/>
          <w:color w:val="auto"/>
        </w:rPr>
        <w:t>盘点工作。</w:t>
      </w:r>
    </w:p>
    <w:p w14:paraId="6C8E9AC0">
      <w:pPr>
        <w:pStyle w:val="108"/>
        <w:spacing w:before="156" w:after="156"/>
        <w:rPr>
          <w:color w:val="auto"/>
        </w:rPr>
      </w:pPr>
      <w:r>
        <w:rPr>
          <w:rFonts w:hint="eastAsia"/>
          <w:color w:val="auto"/>
        </w:rPr>
        <w:t>纪检监察部门</w:t>
      </w:r>
      <w:r>
        <w:rPr>
          <w:rFonts w:hint="eastAsia"/>
          <w:color w:val="auto"/>
          <w:lang w:val="en-US" w:eastAsia="zh-CN"/>
        </w:rPr>
        <w:t>工作内容</w:t>
      </w:r>
    </w:p>
    <w:p w14:paraId="4730547D">
      <w:pPr>
        <w:pStyle w:val="59"/>
        <w:ind w:firstLine="420"/>
        <w:rPr>
          <w:color w:val="auto"/>
        </w:rPr>
      </w:pPr>
      <w:r>
        <w:rPr>
          <w:rFonts w:hint="eastAsia"/>
          <w:color w:val="auto"/>
        </w:rPr>
        <w:t>监督资产管理工作。</w:t>
      </w:r>
    </w:p>
    <w:p w14:paraId="1CB88CF5">
      <w:pPr>
        <w:pStyle w:val="107"/>
        <w:spacing w:before="312" w:after="312"/>
        <w:rPr>
          <w:color w:val="auto"/>
        </w:rPr>
      </w:pPr>
      <w:bookmarkStart w:id="47" w:name="_Toc168408575"/>
      <w:r>
        <w:rPr>
          <w:rFonts w:hint="eastAsia"/>
          <w:color w:val="auto"/>
        </w:rPr>
        <w:t>资产配置</w:t>
      </w:r>
      <w:bookmarkEnd w:id="47"/>
    </w:p>
    <w:p w14:paraId="46A043F8">
      <w:pPr>
        <w:pStyle w:val="108"/>
        <w:spacing w:before="156" w:after="156"/>
        <w:rPr>
          <w:color w:val="auto"/>
        </w:rPr>
      </w:pPr>
      <w:r>
        <w:rPr>
          <w:rFonts w:hint="eastAsia"/>
          <w:color w:val="auto"/>
        </w:rPr>
        <w:t>一般要求</w:t>
      </w:r>
    </w:p>
    <w:p w14:paraId="5942C87D">
      <w:pPr>
        <w:pStyle w:val="59"/>
        <w:ind w:firstLine="420"/>
        <w:rPr>
          <w:rFonts w:hint="eastAsia"/>
          <w:color w:val="auto"/>
        </w:rPr>
      </w:pPr>
      <w:r>
        <w:rPr>
          <w:rFonts w:hint="eastAsia"/>
          <w:color w:val="auto"/>
          <w:lang w:eastAsia="zh-CN"/>
        </w:rPr>
        <w:t>单位</w:t>
      </w:r>
      <w:r>
        <w:rPr>
          <w:rFonts w:hint="eastAsia"/>
          <w:color w:val="auto"/>
        </w:rPr>
        <w:t>根据履行职能和发展事业的需要，结合资产存量、配置</w:t>
      </w:r>
      <w:r>
        <w:rPr>
          <w:rFonts w:hint="eastAsia"/>
          <w:color w:val="auto"/>
          <w:lang w:eastAsia="zh-CN"/>
        </w:rPr>
        <w:t>标准</w:t>
      </w:r>
      <w:r>
        <w:rPr>
          <w:rFonts w:hint="eastAsia"/>
          <w:color w:val="auto"/>
        </w:rPr>
        <w:t>、绩效目标和财政承受能力配置资产。资产配置方式包括调剂、购置、建设、租用、接受捐赠</w:t>
      </w:r>
      <w:r>
        <w:rPr>
          <w:rFonts w:hint="eastAsia"/>
          <w:color w:val="auto"/>
          <w:lang w:eastAsia="zh-CN"/>
        </w:rPr>
        <w:t>等</w:t>
      </w:r>
      <w:r>
        <w:rPr>
          <w:rFonts w:hint="eastAsia"/>
          <w:color w:val="auto"/>
        </w:rPr>
        <w:t>。能通过共享共用或者调剂等方式解决的，不应租用、购置、建设。</w:t>
      </w:r>
    </w:p>
    <w:p w14:paraId="5B77120A">
      <w:pPr>
        <w:pStyle w:val="59"/>
        <w:ind w:left="0" w:leftChars="0" w:firstLine="0" w:firstLineChars="0"/>
        <w:rPr>
          <w:rFonts w:hint="eastAsia"/>
          <w:color w:val="auto"/>
        </w:rPr>
      </w:pPr>
    </w:p>
    <w:p w14:paraId="7FA3C734">
      <w:pPr>
        <w:pStyle w:val="108"/>
        <w:spacing w:before="156" w:after="156"/>
        <w:rPr>
          <w:rFonts w:hint="default"/>
          <w:color w:val="auto"/>
          <w:lang w:val="en-US" w:eastAsia="zh-CN"/>
        </w:rPr>
      </w:pPr>
      <w:r>
        <w:rPr>
          <w:rFonts w:hint="eastAsia"/>
          <w:color w:val="auto"/>
          <w:lang w:val="en-US" w:eastAsia="zh-CN"/>
        </w:rPr>
        <w:t>配置计划编制流程</w:t>
      </w:r>
    </w:p>
    <w:p w14:paraId="7FC91131">
      <w:pPr>
        <w:pStyle w:val="168"/>
        <w:rPr>
          <w:rFonts w:hint="default"/>
          <w:color w:val="auto"/>
          <w:lang w:val="en-US" w:eastAsia="zh-CN"/>
        </w:rPr>
      </w:pPr>
      <w:r>
        <w:rPr>
          <w:rFonts w:hint="eastAsia"/>
          <w:color w:val="auto"/>
          <w:lang w:val="en-US" w:eastAsia="zh-CN"/>
        </w:rPr>
        <w:t>统计</w:t>
      </w:r>
    </w:p>
    <w:p w14:paraId="47890519">
      <w:pPr>
        <w:pStyle w:val="168"/>
        <w:numPr>
          <w:ilvl w:val="3"/>
          <w:numId w:val="0"/>
        </w:numPr>
        <w:ind w:leftChars="0" w:firstLine="420" w:firstLineChars="200"/>
        <w:rPr>
          <w:rFonts w:hint="default"/>
          <w:color w:val="auto"/>
          <w:lang w:val="en-US" w:eastAsia="zh-CN"/>
        </w:rPr>
      </w:pPr>
      <w:r>
        <w:rPr>
          <w:rFonts w:hint="eastAsia"/>
          <w:color w:val="auto"/>
          <w:lang w:val="en-US" w:eastAsia="zh-CN"/>
        </w:rPr>
        <w:t>单位按照资产主管部门要求，编制下一年度资产配置计划。资产使用部门统计本部门下一年度资产配置种类和数量。</w:t>
      </w:r>
    </w:p>
    <w:p w14:paraId="12010978">
      <w:pPr>
        <w:pStyle w:val="168"/>
        <w:rPr>
          <w:rFonts w:hint="default"/>
          <w:color w:val="auto"/>
          <w:lang w:val="en-US" w:eastAsia="zh-CN"/>
        </w:rPr>
      </w:pPr>
      <w:r>
        <w:rPr>
          <w:rFonts w:hint="eastAsia"/>
          <w:color w:val="auto"/>
          <w:lang w:val="en-US" w:eastAsia="zh-CN"/>
        </w:rPr>
        <w:t>编制</w:t>
      </w:r>
    </w:p>
    <w:p w14:paraId="2643CC2B">
      <w:pPr>
        <w:pStyle w:val="168"/>
        <w:numPr>
          <w:ilvl w:val="3"/>
          <w:numId w:val="0"/>
        </w:numPr>
        <w:ind w:leftChars="0" w:firstLine="420" w:firstLineChars="200"/>
        <w:rPr>
          <w:rFonts w:hint="default"/>
          <w:color w:val="auto"/>
          <w:lang w:val="en-US" w:eastAsia="zh-CN"/>
        </w:rPr>
      </w:pPr>
      <w:r>
        <w:rPr>
          <w:rFonts w:hint="eastAsia"/>
          <w:color w:val="auto"/>
          <w:lang w:val="en-US" w:eastAsia="zh-CN"/>
        </w:rPr>
        <w:t>资产管理部门汇总资产使用部门下一年度资产配置需求，结合资产存量、配置标准、年度预算等，会同财务管理部门编制本单位下一年度资产配置计划，履行单位内部审批程序。</w:t>
      </w:r>
    </w:p>
    <w:p w14:paraId="07607E82">
      <w:pPr>
        <w:pStyle w:val="168"/>
        <w:rPr>
          <w:rFonts w:hint="default"/>
          <w:color w:val="auto"/>
          <w:lang w:val="en-US" w:eastAsia="zh-CN"/>
        </w:rPr>
      </w:pPr>
      <w:r>
        <w:rPr>
          <w:rFonts w:hint="eastAsia"/>
          <w:color w:val="auto"/>
          <w:lang w:val="en-US" w:eastAsia="zh-CN"/>
        </w:rPr>
        <w:t>上报</w:t>
      </w:r>
    </w:p>
    <w:p w14:paraId="7BBBC36F">
      <w:pPr>
        <w:pStyle w:val="168"/>
        <w:numPr>
          <w:ilvl w:val="3"/>
          <w:numId w:val="0"/>
        </w:numPr>
        <w:ind w:leftChars="0" w:firstLine="420" w:firstLineChars="200"/>
        <w:rPr>
          <w:rFonts w:hint="default"/>
          <w:color w:val="auto"/>
          <w:lang w:val="en-US" w:eastAsia="zh-CN"/>
        </w:rPr>
      </w:pPr>
      <w:r>
        <w:rPr>
          <w:rFonts w:hint="eastAsia"/>
          <w:color w:val="auto"/>
          <w:lang w:val="en-US" w:eastAsia="zh-CN"/>
        </w:rPr>
        <w:t>单位将审批后的下一年度资产配置计划上报同级资产主管部门审核。</w:t>
      </w:r>
    </w:p>
    <w:p w14:paraId="6029D94E">
      <w:pPr>
        <w:pStyle w:val="168"/>
        <w:rPr>
          <w:rFonts w:hint="default"/>
          <w:color w:val="auto"/>
          <w:lang w:val="en-US" w:eastAsia="zh-CN"/>
        </w:rPr>
      </w:pPr>
      <w:r>
        <w:rPr>
          <w:rFonts w:hint="eastAsia"/>
          <w:color w:val="auto"/>
          <w:lang w:val="en-US" w:eastAsia="zh-CN"/>
        </w:rPr>
        <w:t>执行</w:t>
      </w:r>
    </w:p>
    <w:p w14:paraId="528EDFD7">
      <w:pPr>
        <w:pStyle w:val="168"/>
        <w:numPr>
          <w:ilvl w:val="3"/>
          <w:numId w:val="0"/>
        </w:numPr>
        <w:ind w:leftChars="0" w:firstLine="420" w:firstLineChars="200"/>
        <w:rPr>
          <w:rFonts w:hint="default" w:eastAsia="宋体"/>
          <w:color w:val="auto"/>
          <w:lang w:val="en-US" w:eastAsia="zh-CN"/>
        </w:rPr>
      </w:pPr>
      <w:r>
        <w:rPr>
          <w:rFonts w:hint="eastAsia"/>
          <w:color w:val="auto"/>
          <w:lang w:val="en-US" w:eastAsia="zh-CN"/>
        </w:rPr>
        <w:t>单位按同级资产主管部门审批后的资产配置计划执行。</w:t>
      </w:r>
    </w:p>
    <w:p w14:paraId="130C52D0">
      <w:pPr>
        <w:pStyle w:val="59"/>
        <w:ind w:firstLine="420"/>
        <w:rPr>
          <w:rFonts w:hint="eastAsia"/>
          <w:color w:val="auto"/>
        </w:rPr>
      </w:pPr>
    </w:p>
    <w:p w14:paraId="7E340887">
      <w:pPr>
        <w:pStyle w:val="108"/>
        <w:spacing w:before="156" w:after="156"/>
        <w:rPr>
          <w:color w:val="auto"/>
        </w:rPr>
      </w:pPr>
      <w:r>
        <w:rPr>
          <w:rFonts w:hint="eastAsia"/>
          <w:color w:val="auto"/>
        </w:rPr>
        <w:t>配置流程</w:t>
      </w:r>
    </w:p>
    <w:p w14:paraId="32FC7CB0">
      <w:pPr>
        <w:pStyle w:val="168"/>
        <w:numPr>
          <w:ilvl w:val="3"/>
          <w:numId w:val="0"/>
        </w:numPr>
        <w:ind w:leftChars="0"/>
        <w:rPr>
          <w:color w:val="auto"/>
        </w:rPr>
      </w:pPr>
      <w:r>
        <w:rPr>
          <w:rFonts w:hint="eastAsia"/>
          <w:color w:val="auto"/>
          <w:lang w:eastAsia="zh-CN"/>
        </w:rPr>
        <w:t>资产</w:t>
      </w:r>
      <w:r>
        <w:rPr>
          <w:rFonts w:hint="eastAsia"/>
          <w:color w:val="auto"/>
        </w:rPr>
        <w:t>配置流程见图</w:t>
      </w:r>
      <w:r>
        <w:rPr>
          <w:rFonts w:hint="eastAsia"/>
          <w:color w:val="auto"/>
          <w:lang w:val="en-US" w:eastAsia="zh-CN"/>
        </w:rPr>
        <w:t>1</w:t>
      </w:r>
      <w:r>
        <w:rPr>
          <w:rFonts w:hint="eastAsia"/>
          <w:color w:val="auto"/>
        </w:rPr>
        <w:t>。</w:t>
      </w:r>
    </w:p>
    <w:p w14:paraId="1D33259C">
      <w:pPr>
        <w:pStyle w:val="59"/>
        <w:ind w:firstLine="420"/>
        <w:jc w:val="center"/>
        <w:rPr>
          <w:rFonts w:hint="eastAsia" w:eastAsia="宋体"/>
          <w:color w:val="auto"/>
          <w:lang w:eastAsia="zh-CN"/>
        </w:rPr>
      </w:pPr>
      <w:r>
        <w:rPr>
          <w:rFonts w:hint="eastAsia" w:eastAsia="宋体"/>
          <w:color w:val="auto"/>
          <w:lang w:eastAsia="zh-CN"/>
        </w:rPr>
        <w:drawing>
          <wp:inline distT="0" distB="0" distL="114300" distR="114300">
            <wp:extent cx="1943100" cy="3396615"/>
            <wp:effectExtent l="0" t="0" r="0" b="13335"/>
            <wp:docPr id="4" name="图片 4" descr="1732589339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732589339248"/>
                    <pic:cNvPicPr>
                      <a:picLocks noChangeAspect="1"/>
                    </pic:cNvPicPr>
                  </pic:nvPicPr>
                  <pic:blipFill>
                    <a:blip r:embed="rId11"/>
                    <a:stretch>
                      <a:fillRect/>
                    </a:stretch>
                  </pic:blipFill>
                  <pic:spPr>
                    <a:xfrm>
                      <a:off x="0" y="0"/>
                      <a:ext cx="1943100" cy="3396615"/>
                    </a:xfrm>
                    <a:prstGeom prst="rect">
                      <a:avLst/>
                    </a:prstGeom>
                  </pic:spPr>
                </pic:pic>
              </a:graphicData>
            </a:graphic>
          </wp:inline>
        </w:drawing>
      </w:r>
    </w:p>
    <w:p w14:paraId="6219DF2D">
      <w:pPr>
        <w:pStyle w:val="59"/>
        <w:ind w:firstLine="420"/>
        <w:jc w:val="center"/>
        <w:rPr>
          <w:color w:val="auto"/>
        </w:rPr>
      </w:pPr>
    </w:p>
    <w:p w14:paraId="11EBD97D">
      <w:pPr>
        <w:pStyle w:val="59"/>
        <w:ind w:firstLine="420"/>
        <w:jc w:val="center"/>
        <w:rPr>
          <w:color w:val="auto"/>
        </w:rPr>
      </w:pPr>
    </w:p>
    <w:p w14:paraId="65355C13">
      <w:pPr>
        <w:pStyle w:val="59"/>
        <w:spacing w:before="156" w:after="156"/>
        <w:ind w:firstLine="420"/>
        <w:jc w:val="center"/>
        <w:rPr>
          <w:color w:val="auto"/>
        </w:rPr>
      </w:pPr>
      <w:r>
        <w:rPr>
          <w:rFonts w:ascii="黑体" w:eastAsia="黑体"/>
          <w:color w:val="auto"/>
        </w:rPr>
        <w:t>图</w:t>
      </w:r>
      <w:r>
        <w:rPr>
          <w:rFonts w:hint="eastAsia" w:ascii="黑体" w:eastAsia="黑体"/>
          <w:color w:val="auto"/>
          <w:lang w:val="en-US" w:eastAsia="zh-CN"/>
        </w:rPr>
        <w:t>1</w:t>
      </w:r>
      <w:r>
        <w:rPr>
          <w:rFonts w:ascii="黑体" w:eastAsia="黑体"/>
          <w:color w:val="auto"/>
        </w:rPr>
        <w:t>　</w:t>
      </w:r>
      <w:r>
        <w:rPr>
          <w:rFonts w:hint="eastAsia" w:ascii="黑体" w:eastAsia="黑体"/>
          <w:color w:val="auto"/>
          <w:lang w:eastAsia="zh-CN"/>
        </w:rPr>
        <w:t>资产</w:t>
      </w:r>
      <w:r>
        <w:rPr>
          <w:rFonts w:hint="eastAsia"/>
          <w:color w:val="auto"/>
        </w:rPr>
        <w:t>配置流程图</w:t>
      </w:r>
    </w:p>
    <w:p w14:paraId="359F0E8F">
      <w:pPr>
        <w:pStyle w:val="68"/>
        <w:spacing w:before="156" w:after="156"/>
        <w:rPr>
          <w:color w:val="auto"/>
        </w:rPr>
      </w:pPr>
      <w:r>
        <w:rPr>
          <w:rFonts w:hint="eastAsia"/>
          <w:color w:val="auto"/>
        </w:rPr>
        <w:t>申请</w:t>
      </w:r>
    </w:p>
    <w:p w14:paraId="0060ED9D">
      <w:pPr>
        <w:pStyle w:val="59"/>
        <w:ind w:firstLine="420"/>
        <w:rPr>
          <w:color w:val="auto"/>
        </w:rPr>
      </w:pPr>
      <w:r>
        <w:rPr>
          <w:rFonts w:hint="eastAsia"/>
          <w:color w:val="auto"/>
        </w:rPr>
        <w:t>配置资产由资产使用部门资产专管员统一申请，填写《资产配置需求申请单》（见附录A），提交到资产管理部门。</w:t>
      </w:r>
    </w:p>
    <w:p w14:paraId="28776F43">
      <w:pPr>
        <w:pStyle w:val="68"/>
        <w:spacing w:before="156" w:after="156"/>
        <w:rPr>
          <w:color w:val="auto"/>
        </w:rPr>
      </w:pPr>
      <w:r>
        <w:rPr>
          <w:rFonts w:hint="eastAsia"/>
          <w:color w:val="auto"/>
        </w:rPr>
        <w:t>审核</w:t>
      </w:r>
    </w:p>
    <w:p w14:paraId="1DCB03A0">
      <w:pPr>
        <w:pStyle w:val="59"/>
        <w:ind w:firstLine="420"/>
        <w:rPr>
          <w:rFonts w:ascii="黑体" w:eastAsia="黑体"/>
          <w:color w:val="auto"/>
        </w:rPr>
      </w:pPr>
      <w:r>
        <w:rPr>
          <w:rFonts w:hint="eastAsia"/>
          <w:color w:val="auto"/>
        </w:rPr>
        <w:t>资产管理部门</w:t>
      </w:r>
      <w:r>
        <w:rPr>
          <w:rFonts w:hint="eastAsia"/>
          <w:color w:val="auto"/>
          <w:lang w:eastAsia="zh-CN"/>
        </w:rPr>
        <w:t>审核</w:t>
      </w:r>
      <w:r>
        <w:rPr>
          <w:rFonts w:hint="eastAsia"/>
          <w:color w:val="auto"/>
        </w:rPr>
        <w:t>《资产配置需求申请单》。</w:t>
      </w:r>
    </w:p>
    <w:p w14:paraId="6E81F345">
      <w:pPr>
        <w:pStyle w:val="68"/>
        <w:spacing w:before="156" w:after="156"/>
        <w:rPr>
          <w:color w:val="auto"/>
        </w:rPr>
      </w:pPr>
      <w:r>
        <w:rPr>
          <w:rFonts w:hint="eastAsia"/>
          <w:color w:val="auto"/>
        </w:rPr>
        <w:t>调剂</w:t>
      </w:r>
    </w:p>
    <w:p w14:paraId="1CBE4AAB">
      <w:pPr>
        <w:pStyle w:val="167"/>
        <w:rPr>
          <w:color w:val="auto"/>
        </w:rPr>
      </w:pPr>
      <w:r>
        <w:rPr>
          <w:rFonts w:hint="eastAsia"/>
          <w:color w:val="auto"/>
        </w:rPr>
        <w:t>单位内部可调剂使用的，</w:t>
      </w:r>
      <w:r>
        <w:rPr>
          <w:rFonts w:hint="eastAsia"/>
          <w:color w:val="auto"/>
          <w:lang w:eastAsia="zh-CN"/>
        </w:rPr>
        <w:t>资产管理部门</w:t>
      </w:r>
      <w:r>
        <w:rPr>
          <w:rFonts w:hint="eastAsia"/>
          <w:color w:val="auto"/>
        </w:rPr>
        <w:t>填写《资产内部调拨单》（见附录B）</w:t>
      </w:r>
      <w:r>
        <w:rPr>
          <w:rFonts w:hint="eastAsia"/>
          <w:color w:val="auto"/>
          <w:lang w:eastAsia="zh-CN"/>
        </w:rPr>
        <w:t>，由资产管理部门</w:t>
      </w:r>
      <w:r>
        <w:rPr>
          <w:rFonts w:hint="eastAsia"/>
          <w:color w:val="auto"/>
        </w:rPr>
        <w:t>办理</w:t>
      </w:r>
      <w:r>
        <w:rPr>
          <w:rFonts w:hint="eastAsia"/>
          <w:color w:val="auto"/>
          <w:lang w:eastAsia="zh-CN"/>
        </w:rPr>
        <w:t>单位</w:t>
      </w:r>
      <w:r>
        <w:rPr>
          <w:rFonts w:hint="eastAsia"/>
          <w:color w:val="auto"/>
        </w:rPr>
        <w:t>内部调拨手续。</w:t>
      </w:r>
    </w:p>
    <w:p w14:paraId="746779CB">
      <w:pPr>
        <w:pStyle w:val="167"/>
        <w:rPr>
          <w:color w:val="auto"/>
        </w:rPr>
      </w:pPr>
      <w:r>
        <w:rPr>
          <w:rFonts w:hint="eastAsia"/>
          <w:color w:val="auto"/>
        </w:rPr>
        <w:t>单位内部不可调剂使用，公物仓可调剂使用的，按</w:t>
      </w:r>
      <w:r>
        <w:rPr>
          <w:color w:val="auto"/>
        </w:rPr>
        <w:t>GB/T 44127-2024中</w:t>
      </w:r>
      <w:r>
        <w:rPr>
          <w:rFonts w:hint="eastAsia"/>
          <w:color w:val="auto"/>
        </w:rPr>
        <w:t>7.5的要求办理调拨手续。</w:t>
      </w:r>
    </w:p>
    <w:p w14:paraId="3CC5AC87">
      <w:pPr>
        <w:pStyle w:val="68"/>
        <w:spacing w:before="156" w:after="156"/>
        <w:rPr>
          <w:color w:val="auto"/>
        </w:rPr>
      </w:pPr>
      <w:r>
        <w:rPr>
          <w:rFonts w:hint="eastAsia"/>
          <w:color w:val="auto"/>
        </w:rPr>
        <w:t>登记</w:t>
      </w:r>
    </w:p>
    <w:p w14:paraId="31ACC5D8">
      <w:pPr>
        <w:pStyle w:val="167"/>
        <w:rPr>
          <w:color w:val="auto"/>
        </w:rPr>
      </w:pPr>
      <w:r>
        <w:rPr>
          <w:rFonts w:hint="eastAsia"/>
          <w:color w:val="auto"/>
          <w:lang w:eastAsia="zh-CN"/>
        </w:rPr>
        <w:t>通过</w:t>
      </w:r>
      <w:r>
        <w:rPr>
          <w:rFonts w:hint="eastAsia"/>
          <w:color w:val="auto"/>
        </w:rPr>
        <w:t>采购、调入、接受捐赠</w:t>
      </w:r>
      <w:r>
        <w:rPr>
          <w:rFonts w:hint="eastAsia"/>
          <w:color w:val="auto"/>
          <w:lang w:eastAsia="zh-CN"/>
        </w:rPr>
        <w:t>等方式新增的国有</w:t>
      </w:r>
      <w:r>
        <w:rPr>
          <w:rFonts w:hint="eastAsia"/>
          <w:color w:val="auto"/>
        </w:rPr>
        <w:t>资产由资产管理部门在</w:t>
      </w:r>
      <w:r>
        <w:rPr>
          <w:rFonts w:hint="eastAsia"/>
          <w:color w:val="auto"/>
          <w:lang w:eastAsia="zh-CN"/>
        </w:rPr>
        <w:t>国有</w:t>
      </w:r>
      <w:r>
        <w:rPr>
          <w:rFonts w:hint="eastAsia"/>
          <w:color w:val="auto"/>
        </w:rPr>
        <w:t>资产</w:t>
      </w:r>
      <w:r>
        <w:rPr>
          <w:rFonts w:hint="eastAsia"/>
          <w:color w:val="auto"/>
          <w:lang w:eastAsia="zh-CN"/>
        </w:rPr>
        <w:t>管理</w:t>
      </w:r>
      <w:r>
        <w:rPr>
          <w:rFonts w:hint="eastAsia"/>
          <w:color w:val="auto"/>
        </w:rPr>
        <w:t>信息系统中登记国有资产</w:t>
      </w:r>
      <w:r>
        <w:rPr>
          <w:rFonts w:hint="eastAsia"/>
          <w:color w:val="auto"/>
          <w:lang w:eastAsia="zh-CN"/>
        </w:rPr>
        <w:t>卡片</w:t>
      </w:r>
      <w:r>
        <w:rPr>
          <w:rFonts w:hint="eastAsia"/>
          <w:color w:val="auto"/>
        </w:rPr>
        <w:t xml:space="preserve">。 </w:t>
      </w:r>
    </w:p>
    <w:p w14:paraId="59B6CD3B">
      <w:pPr>
        <w:pStyle w:val="167"/>
        <w:rPr>
          <w:color w:val="auto"/>
        </w:rPr>
      </w:pPr>
      <w:r>
        <w:rPr>
          <w:rFonts w:hint="eastAsia"/>
          <w:color w:val="auto"/>
        </w:rPr>
        <w:t>资产管理部门根据《资产验收（领用）单》（见附录C）、发票等资料，及时到财务管理部门办理报销手续。</w:t>
      </w:r>
    </w:p>
    <w:p w14:paraId="048638E6">
      <w:pPr>
        <w:pStyle w:val="107"/>
        <w:spacing w:before="312" w:after="312"/>
        <w:rPr>
          <w:color w:val="auto"/>
        </w:rPr>
      </w:pPr>
      <w:bookmarkStart w:id="48" w:name="_Toc168408576"/>
      <w:r>
        <w:rPr>
          <w:rFonts w:hint="eastAsia"/>
          <w:color w:val="auto"/>
        </w:rPr>
        <w:t>资产使用</w:t>
      </w:r>
    </w:p>
    <w:p w14:paraId="1C74D74F">
      <w:pPr>
        <w:pStyle w:val="108"/>
        <w:spacing w:before="156" w:after="156"/>
        <w:rPr>
          <w:color w:val="auto"/>
        </w:rPr>
      </w:pPr>
      <w:r>
        <w:rPr>
          <w:rFonts w:hint="eastAsia"/>
          <w:color w:val="auto"/>
        </w:rPr>
        <w:t>一般要求</w:t>
      </w:r>
    </w:p>
    <w:p w14:paraId="24C9A0A6">
      <w:pPr>
        <w:pStyle w:val="168"/>
        <w:rPr>
          <w:color w:val="auto"/>
        </w:rPr>
      </w:pPr>
      <w:r>
        <w:rPr>
          <w:rFonts w:hint="eastAsia"/>
          <w:color w:val="auto"/>
        </w:rPr>
        <w:t>党政机关不应以任何形式将国有资产用于对外投资、担保或者设立营利性组织。确需对外出租、出借的，应经同级资产主管部门批准。</w:t>
      </w:r>
      <w:r>
        <w:rPr>
          <w:rFonts w:hint="eastAsia"/>
          <w:color w:val="auto"/>
          <w:lang w:eastAsia="zh-CN"/>
        </w:rPr>
        <w:t>党政机关</w:t>
      </w:r>
      <w:r>
        <w:rPr>
          <w:rFonts w:hint="eastAsia"/>
          <w:color w:val="auto"/>
        </w:rPr>
        <w:t>国有资产不应出借给非行政事业单位或者个人。资产使用需按照规定用途，不应私自改变资产的用途。</w:t>
      </w:r>
    </w:p>
    <w:p w14:paraId="2EB28A2B">
      <w:pPr>
        <w:pStyle w:val="168"/>
        <w:rPr>
          <w:color w:val="auto"/>
        </w:rPr>
      </w:pPr>
      <w:r>
        <w:rPr>
          <w:rFonts w:hint="eastAsia"/>
          <w:color w:val="auto"/>
          <w:lang w:eastAsia="zh-CN"/>
        </w:rPr>
        <w:t>资产</w:t>
      </w:r>
      <w:r>
        <w:rPr>
          <w:rFonts w:hint="eastAsia"/>
          <w:color w:val="auto"/>
        </w:rPr>
        <w:t>使用部门应及时向资产管理部门报告资产故障情况，由资产管理部门统一安排维修，不应私自维修。资产管理维护过程中需要使用的物品由资产管理部门统一采购。资产管理部门需定期对资产进行巡检和维护保养，维持资产正常运行</w:t>
      </w:r>
      <w:r>
        <w:rPr>
          <w:rFonts w:hint="eastAsia"/>
          <w:color w:val="auto"/>
          <w:lang w:eastAsia="zh-CN"/>
        </w:rPr>
        <w:t>。</w:t>
      </w:r>
    </w:p>
    <w:p w14:paraId="058E4836">
      <w:pPr>
        <w:pStyle w:val="108"/>
        <w:spacing w:before="156" w:after="156"/>
        <w:rPr>
          <w:color w:val="auto"/>
        </w:rPr>
      </w:pPr>
      <w:r>
        <w:rPr>
          <w:rFonts w:hint="eastAsia"/>
          <w:color w:val="auto"/>
        </w:rPr>
        <w:t>领用</w:t>
      </w:r>
      <w:bookmarkEnd w:id="48"/>
      <w:r>
        <w:rPr>
          <w:rFonts w:hint="eastAsia"/>
          <w:color w:val="auto"/>
        </w:rPr>
        <w:t>流程</w:t>
      </w:r>
    </w:p>
    <w:p w14:paraId="6094FF96">
      <w:pPr>
        <w:pStyle w:val="59"/>
        <w:ind w:firstLine="420"/>
        <w:rPr>
          <w:color w:val="auto"/>
        </w:rPr>
      </w:pPr>
      <w:r>
        <w:rPr>
          <w:rFonts w:hint="eastAsia"/>
          <w:color w:val="auto"/>
        </w:rPr>
        <w:t>根据资产使用部门需求，由资产管理部门</w:t>
      </w:r>
      <w:r>
        <w:rPr>
          <w:rFonts w:hint="eastAsia"/>
          <w:color w:val="auto"/>
          <w:lang w:eastAsia="zh-CN"/>
        </w:rPr>
        <w:t>填写</w:t>
      </w:r>
      <w:r>
        <w:rPr>
          <w:rFonts w:hint="eastAsia"/>
          <w:color w:val="auto"/>
        </w:rPr>
        <w:t>《资产验收（领用）单》，贴资产</w:t>
      </w:r>
      <w:r>
        <w:rPr>
          <w:rFonts w:hint="eastAsia"/>
          <w:color w:val="auto"/>
          <w:lang w:eastAsia="zh-CN"/>
        </w:rPr>
        <w:t>管理</w:t>
      </w:r>
      <w:r>
        <w:rPr>
          <w:rFonts w:hint="eastAsia"/>
          <w:color w:val="auto"/>
        </w:rPr>
        <w:t>标签。资产使用部门、资产管理部门签字确认。</w:t>
      </w:r>
    </w:p>
    <w:p w14:paraId="2CFF1FC6">
      <w:pPr>
        <w:pStyle w:val="108"/>
        <w:spacing w:before="156" w:after="156"/>
        <w:rPr>
          <w:color w:val="auto"/>
        </w:rPr>
      </w:pPr>
      <w:r>
        <w:rPr>
          <w:rFonts w:hint="eastAsia"/>
          <w:color w:val="auto"/>
        </w:rPr>
        <w:t>资产变动</w:t>
      </w:r>
    </w:p>
    <w:p w14:paraId="45B22DF0">
      <w:pPr>
        <w:pStyle w:val="68"/>
        <w:spacing w:before="156" w:after="156"/>
        <w:rPr>
          <w:color w:val="auto"/>
        </w:rPr>
      </w:pPr>
      <w:r>
        <w:rPr>
          <w:rFonts w:hint="eastAsia"/>
          <w:color w:val="auto"/>
        </w:rPr>
        <w:t>人员调入</w:t>
      </w:r>
    </w:p>
    <w:p w14:paraId="730FD64B">
      <w:pPr>
        <w:pStyle w:val="59"/>
        <w:ind w:firstLine="420"/>
        <w:rPr>
          <w:color w:val="auto"/>
        </w:rPr>
      </w:pPr>
      <w:r>
        <w:rPr>
          <w:rFonts w:hint="eastAsia"/>
          <w:color w:val="auto"/>
        </w:rPr>
        <w:t>资产使用部门因人员调入的资产变动按</w:t>
      </w:r>
      <w:r>
        <w:rPr>
          <w:rFonts w:hint="eastAsia"/>
          <w:color w:val="auto"/>
          <w:lang w:eastAsia="zh-CN"/>
        </w:rPr>
        <w:t>照</w:t>
      </w:r>
      <w:r>
        <w:rPr>
          <w:rFonts w:hint="eastAsia"/>
          <w:color w:val="auto"/>
        </w:rPr>
        <w:t>6.</w:t>
      </w:r>
      <w:r>
        <w:rPr>
          <w:rFonts w:hint="eastAsia"/>
          <w:color w:val="auto"/>
          <w:lang w:val="en-US" w:eastAsia="zh-CN"/>
        </w:rPr>
        <w:t>3</w:t>
      </w:r>
      <w:r>
        <w:rPr>
          <w:rFonts w:hint="eastAsia"/>
          <w:color w:val="auto"/>
        </w:rPr>
        <w:t>执行。</w:t>
      </w:r>
    </w:p>
    <w:p w14:paraId="04908B81">
      <w:pPr>
        <w:pStyle w:val="68"/>
        <w:spacing w:before="156" w:after="156"/>
        <w:jc w:val="both"/>
        <w:rPr>
          <w:color w:val="auto"/>
        </w:rPr>
      </w:pPr>
      <w:r>
        <w:rPr>
          <w:rFonts w:hint="eastAsia"/>
          <w:color w:val="auto"/>
        </w:rPr>
        <w:t>人员调出、退休</w:t>
      </w:r>
    </w:p>
    <w:p w14:paraId="52477958">
      <w:pPr>
        <w:pStyle w:val="59"/>
        <w:ind w:firstLine="0" w:firstLineChars="0"/>
        <w:rPr>
          <w:color w:val="auto"/>
        </w:rPr>
      </w:pPr>
      <w:r>
        <w:rPr>
          <w:rFonts w:hint="eastAsia"/>
          <w:color w:val="auto"/>
        </w:rPr>
        <w:t>7.3.2.1  资产使用部门填写《资产移交表》（见附录D）。</w:t>
      </w:r>
    </w:p>
    <w:p w14:paraId="74D8D3DF">
      <w:pPr>
        <w:pStyle w:val="59"/>
        <w:ind w:firstLine="0" w:firstLineChars="0"/>
        <w:rPr>
          <w:rFonts w:hint="eastAsia" w:eastAsia="宋体"/>
          <w:color w:val="auto"/>
          <w:lang w:eastAsia="zh-CN"/>
        </w:rPr>
      </w:pPr>
      <w:r>
        <w:rPr>
          <w:rFonts w:hint="eastAsia"/>
          <w:color w:val="auto"/>
        </w:rPr>
        <w:t>7.3.2.2  资产使用部门将调出、退休人员使用的资产移交至资产管理部门</w:t>
      </w:r>
      <w:r>
        <w:rPr>
          <w:rFonts w:hint="eastAsia"/>
          <w:color w:val="auto"/>
          <w:lang w:eastAsia="zh-CN"/>
        </w:rPr>
        <w:t>。</w:t>
      </w:r>
    </w:p>
    <w:p w14:paraId="66981476">
      <w:pPr>
        <w:pStyle w:val="59"/>
        <w:ind w:firstLine="0" w:firstLineChars="0"/>
        <w:rPr>
          <w:color w:val="auto"/>
        </w:rPr>
      </w:pPr>
      <w:r>
        <w:rPr>
          <w:rFonts w:hint="eastAsia"/>
          <w:color w:val="auto"/>
        </w:rPr>
        <w:t>7.3.2.3  资产管理部门核对并更新国有资产管理信息系统</w:t>
      </w:r>
      <w:r>
        <w:rPr>
          <w:rFonts w:hint="eastAsia"/>
          <w:color w:val="auto"/>
          <w:lang w:eastAsia="zh-CN"/>
        </w:rPr>
        <w:t>数据</w:t>
      </w:r>
      <w:r>
        <w:rPr>
          <w:rFonts w:hint="eastAsia"/>
          <w:color w:val="auto"/>
        </w:rPr>
        <w:t>和资产管理标签</w:t>
      </w:r>
      <w:r>
        <w:rPr>
          <w:rFonts w:hint="eastAsia"/>
          <w:color w:val="auto"/>
          <w:lang w:eastAsia="zh-CN"/>
        </w:rPr>
        <w:t>。</w:t>
      </w:r>
    </w:p>
    <w:p w14:paraId="3D0C0E92">
      <w:pPr>
        <w:pStyle w:val="59"/>
        <w:ind w:firstLine="420"/>
        <w:jc w:val="center"/>
        <w:rPr>
          <w:color w:val="auto"/>
        </w:rPr>
      </w:pPr>
    </w:p>
    <w:p w14:paraId="144272CE">
      <w:pPr>
        <w:pStyle w:val="108"/>
        <w:spacing w:before="156" w:after="156"/>
        <w:rPr>
          <w:color w:val="auto"/>
        </w:rPr>
      </w:pPr>
      <w:bookmarkStart w:id="49" w:name="_Toc168408578"/>
      <w:r>
        <w:rPr>
          <w:rFonts w:hint="eastAsia"/>
          <w:color w:val="auto"/>
        </w:rPr>
        <w:t>资产闲置</w:t>
      </w:r>
      <w:bookmarkEnd w:id="49"/>
    </w:p>
    <w:p w14:paraId="75C1EB96">
      <w:pPr>
        <w:pStyle w:val="59"/>
        <w:ind w:firstLine="420"/>
        <w:rPr>
          <w:color w:val="auto"/>
        </w:rPr>
      </w:pPr>
      <w:r>
        <w:rPr>
          <w:rFonts w:hint="eastAsia"/>
          <w:color w:val="auto"/>
        </w:rPr>
        <w:t>资产使用部门应统计资产闲置情况，包括闲置资产的名称、数量、闲置原因等，并报资产管理部门。资产管理部门定期汇总闲置资产数据，合理调配，同时更新</w:t>
      </w:r>
      <w:r>
        <w:rPr>
          <w:rFonts w:hint="eastAsia"/>
          <w:color w:val="auto"/>
          <w:lang w:eastAsia="zh-CN"/>
        </w:rPr>
        <w:t>国有</w:t>
      </w:r>
      <w:r>
        <w:rPr>
          <w:rFonts w:hint="eastAsia"/>
          <w:color w:val="auto"/>
        </w:rPr>
        <w:t>资产</w:t>
      </w:r>
      <w:r>
        <w:rPr>
          <w:rFonts w:hint="eastAsia"/>
          <w:color w:val="auto"/>
          <w:lang w:eastAsia="zh-CN"/>
        </w:rPr>
        <w:t>管理</w:t>
      </w:r>
      <w:r>
        <w:rPr>
          <w:rFonts w:hint="eastAsia"/>
          <w:color w:val="auto"/>
        </w:rPr>
        <w:t>信息系统数据和资产</w:t>
      </w:r>
      <w:r>
        <w:rPr>
          <w:rFonts w:hint="eastAsia"/>
          <w:color w:val="auto"/>
          <w:lang w:eastAsia="zh-CN"/>
        </w:rPr>
        <w:t>管理</w:t>
      </w:r>
      <w:r>
        <w:rPr>
          <w:rFonts w:hint="eastAsia"/>
          <w:color w:val="auto"/>
        </w:rPr>
        <w:t>标签。</w:t>
      </w:r>
    </w:p>
    <w:p w14:paraId="3B53ACEC">
      <w:pPr>
        <w:pStyle w:val="108"/>
        <w:spacing w:before="156" w:after="156"/>
        <w:rPr>
          <w:color w:val="auto"/>
        </w:rPr>
      </w:pPr>
      <w:bookmarkStart w:id="50" w:name="_Toc168408579"/>
      <w:r>
        <w:rPr>
          <w:rFonts w:hint="eastAsia"/>
          <w:color w:val="auto"/>
        </w:rPr>
        <w:t>资产出租、出借</w:t>
      </w:r>
      <w:bookmarkEnd w:id="50"/>
    </w:p>
    <w:p w14:paraId="7A3BC17B">
      <w:pPr>
        <w:pStyle w:val="68"/>
        <w:spacing w:before="156" w:after="156"/>
        <w:rPr>
          <w:color w:val="auto"/>
        </w:rPr>
      </w:pPr>
      <w:r>
        <w:rPr>
          <w:rFonts w:hint="eastAsia"/>
          <w:color w:val="auto"/>
        </w:rPr>
        <w:t>出租</w:t>
      </w:r>
    </w:p>
    <w:p w14:paraId="3F32081B">
      <w:pPr>
        <w:pStyle w:val="59"/>
        <w:ind w:firstLine="420"/>
        <w:rPr>
          <w:color w:val="auto"/>
        </w:rPr>
      </w:pPr>
      <w:r>
        <w:rPr>
          <w:rFonts w:hint="eastAsia"/>
          <w:color w:val="auto"/>
        </w:rPr>
        <w:t>应委托资产评估机构进行评估，或者组织专家参照资产评估方法进行评估，合理确定资产价值，一般通过公共交易机构统一公开招租，并签订资产出租合同。根据出租合同，资产管理部门及时、足额收取收益，由财务管理部门统一上缴财政。</w:t>
      </w:r>
    </w:p>
    <w:p w14:paraId="3CF17A1C">
      <w:pPr>
        <w:pStyle w:val="68"/>
        <w:spacing w:before="156" w:after="156"/>
        <w:rPr>
          <w:color w:val="auto"/>
        </w:rPr>
      </w:pPr>
      <w:r>
        <w:rPr>
          <w:rFonts w:hint="eastAsia"/>
          <w:color w:val="auto"/>
        </w:rPr>
        <w:t>出借</w:t>
      </w:r>
    </w:p>
    <w:p w14:paraId="541A5D07">
      <w:pPr>
        <w:pStyle w:val="168"/>
        <w:numPr>
          <w:ilvl w:val="0"/>
          <w:numId w:val="0"/>
        </w:numPr>
        <w:spacing w:before="156" w:after="156"/>
        <w:ind w:firstLine="420"/>
        <w:rPr>
          <w:color w:val="auto"/>
        </w:rPr>
      </w:pPr>
      <w:r>
        <w:rPr>
          <w:rFonts w:hint="eastAsia"/>
          <w:color w:val="auto"/>
        </w:rPr>
        <w:t>应与资产借用单位签订出借合同。</w:t>
      </w:r>
    </w:p>
    <w:p w14:paraId="187E355C">
      <w:pPr>
        <w:pStyle w:val="107"/>
        <w:spacing w:before="312" w:after="312"/>
        <w:rPr>
          <w:color w:val="auto"/>
        </w:rPr>
      </w:pPr>
      <w:bookmarkStart w:id="51" w:name="_Toc168408580"/>
      <w:bookmarkStart w:id="52" w:name="_Toc168044229"/>
      <w:r>
        <w:rPr>
          <w:rFonts w:hint="eastAsia"/>
          <w:color w:val="auto"/>
        </w:rPr>
        <w:t>资产处置</w:t>
      </w:r>
      <w:bookmarkEnd w:id="51"/>
      <w:bookmarkEnd w:id="52"/>
    </w:p>
    <w:p w14:paraId="2535BE70">
      <w:pPr>
        <w:pStyle w:val="108"/>
        <w:spacing w:before="156" w:after="156"/>
        <w:rPr>
          <w:color w:val="auto"/>
        </w:rPr>
      </w:pPr>
      <w:r>
        <w:rPr>
          <w:rFonts w:hint="eastAsia"/>
          <w:color w:val="auto"/>
        </w:rPr>
        <w:t>一般要求</w:t>
      </w:r>
    </w:p>
    <w:p w14:paraId="5E718415">
      <w:pPr>
        <w:pStyle w:val="59"/>
        <w:ind w:firstLine="420"/>
        <w:rPr>
          <w:rFonts w:hint="eastAsia"/>
          <w:color w:val="auto"/>
        </w:rPr>
      </w:pPr>
      <w:r>
        <w:rPr>
          <w:rFonts w:hint="eastAsia"/>
          <w:color w:val="auto"/>
        </w:rPr>
        <w:t>资产处置方式包括无偿划拨、对外捐赠、转让、置换、报废、损失核销等。资产处置应满足科学规范、公开透明的要求，资产处置应与资产配置和资产使用相结合，提高资产使用效率。</w:t>
      </w:r>
    </w:p>
    <w:p w14:paraId="19A74437">
      <w:pPr>
        <w:pStyle w:val="168"/>
        <w:numPr>
          <w:ilvl w:val="3"/>
          <w:numId w:val="0"/>
        </w:numPr>
        <w:ind w:leftChars="0" w:firstLine="420" w:firstLineChars="200"/>
        <w:rPr>
          <w:color w:val="auto"/>
        </w:rPr>
      </w:pPr>
      <w:r>
        <w:rPr>
          <w:rFonts w:hint="eastAsia"/>
          <w:color w:val="auto"/>
        </w:rPr>
        <w:t>公共基础设施、政府储备物资、文物文化</w:t>
      </w:r>
      <w:r>
        <w:rPr>
          <w:rFonts w:hint="eastAsia"/>
          <w:color w:val="auto"/>
          <w:lang w:eastAsia="zh-CN"/>
        </w:rPr>
        <w:t>资产</w:t>
      </w:r>
      <w:r>
        <w:rPr>
          <w:rFonts w:hint="eastAsia"/>
          <w:color w:val="auto"/>
        </w:rPr>
        <w:t>等国有资产处置，以及境外国有资产处置，按照有关规定执行。</w:t>
      </w:r>
    </w:p>
    <w:p w14:paraId="7B945278">
      <w:pPr>
        <w:pStyle w:val="168"/>
        <w:numPr>
          <w:ilvl w:val="3"/>
          <w:numId w:val="0"/>
        </w:numPr>
        <w:ind w:leftChars="0" w:firstLine="420" w:firstLineChars="200"/>
        <w:rPr>
          <w:color w:val="auto"/>
        </w:rPr>
      </w:pPr>
      <w:r>
        <w:rPr>
          <w:rFonts w:hint="eastAsia"/>
          <w:color w:val="auto"/>
        </w:rPr>
        <w:t>党政机关单位涉及国家安全和秘密的国有资产处置，应符合国家有关保密制度的规定和要求。</w:t>
      </w:r>
    </w:p>
    <w:p w14:paraId="6208F40A">
      <w:pPr>
        <w:pStyle w:val="168"/>
        <w:numPr>
          <w:ilvl w:val="3"/>
          <w:numId w:val="0"/>
        </w:numPr>
        <w:ind w:leftChars="0" w:firstLine="420" w:firstLineChars="200"/>
        <w:rPr>
          <w:color w:val="auto"/>
        </w:rPr>
      </w:pPr>
      <w:r>
        <w:rPr>
          <w:rFonts w:hint="eastAsia"/>
          <w:color w:val="auto"/>
        </w:rPr>
        <w:t>党政机关货币性资产损失核销，按照预算及财务管理有关规定执行。</w:t>
      </w:r>
    </w:p>
    <w:p w14:paraId="5B69A409">
      <w:pPr>
        <w:pStyle w:val="59"/>
        <w:ind w:firstLine="420"/>
        <w:rPr>
          <w:rFonts w:hint="eastAsia"/>
          <w:color w:val="auto"/>
        </w:rPr>
      </w:pPr>
    </w:p>
    <w:p w14:paraId="6C2B1600">
      <w:pPr>
        <w:pStyle w:val="108"/>
        <w:spacing w:before="156" w:after="156"/>
        <w:rPr>
          <w:color w:val="auto"/>
        </w:rPr>
      </w:pPr>
      <w:r>
        <w:rPr>
          <w:rFonts w:hint="eastAsia"/>
          <w:color w:val="auto"/>
        </w:rPr>
        <w:t>资产处置</w:t>
      </w:r>
      <w:r>
        <w:rPr>
          <w:color w:val="auto"/>
        </w:rPr>
        <w:t>流程</w:t>
      </w:r>
    </w:p>
    <w:p w14:paraId="4F931788">
      <w:pPr>
        <w:pStyle w:val="59"/>
        <w:ind w:firstLine="420"/>
        <w:rPr>
          <w:color w:val="auto"/>
        </w:rPr>
      </w:pPr>
      <w:r>
        <w:rPr>
          <w:rFonts w:hint="eastAsia"/>
          <w:color w:val="auto"/>
        </w:rPr>
        <w:t>资产处置审批流程见图</w:t>
      </w:r>
      <w:r>
        <w:rPr>
          <w:rFonts w:hint="eastAsia"/>
          <w:color w:val="auto"/>
          <w:lang w:val="en-US" w:eastAsia="zh-CN"/>
        </w:rPr>
        <w:t>2</w:t>
      </w:r>
      <w:r>
        <w:rPr>
          <w:rFonts w:hint="eastAsia"/>
          <w:color w:val="auto"/>
        </w:rPr>
        <w:t>。</w:t>
      </w:r>
    </w:p>
    <w:p w14:paraId="0D6D93AB">
      <w:pPr>
        <w:jc w:val="center"/>
        <w:rPr>
          <w:rFonts w:hint="eastAsia" w:eastAsia="宋体"/>
          <w:color w:val="auto"/>
          <w:lang w:eastAsia="zh-CN"/>
        </w:rPr>
      </w:pPr>
      <w:r>
        <w:rPr>
          <w:rFonts w:hint="eastAsia" w:eastAsia="宋体"/>
          <w:color w:val="auto"/>
          <w:lang w:eastAsia="zh-CN"/>
        </w:rPr>
        <w:drawing>
          <wp:inline distT="0" distB="0" distL="114300" distR="114300">
            <wp:extent cx="2091055" cy="3802380"/>
            <wp:effectExtent l="0" t="0" r="12065" b="7620"/>
            <wp:docPr id="1" name="图片 1" descr="17340594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734059431(1)"/>
                    <pic:cNvPicPr>
                      <a:picLocks noChangeAspect="1"/>
                    </pic:cNvPicPr>
                  </pic:nvPicPr>
                  <pic:blipFill>
                    <a:blip r:embed="rId12"/>
                    <a:stretch>
                      <a:fillRect/>
                    </a:stretch>
                  </pic:blipFill>
                  <pic:spPr>
                    <a:xfrm>
                      <a:off x="0" y="0"/>
                      <a:ext cx="2091055" cy="3802380"/>
                    </a:xfrm>
                    <a:prstGeom prst="rect">
                      <a:avLst/>
                    </a:prstGeom>
                  </pic:spPr>
                </pic:pic>
              </a:graphicData>
            </a:graphic>
          </wp:inline>
        </w:drawing>
      </w:r>
      <w:bookmarkStart w:id="67" w:name="_GoBack"/>
      <w:bookmarkEnd w:id="67"/>
    </w:p>
    <w:p w14:paraId="074381A5">
      <w:pPr>
        <w:pStyle w:val="117"/>
        <w:numPr>
          <w:ilvl w:val="0"/>
          <w:numId w:val="0"/>
        </w:numPr>
        <w:spacing w:before="156" w:after="156"/>
        <w:rPr>
          <w:color w:val="auto"/>
        </w:rPr>
      </w:pPr>
      <w:r>
        <w:rPr>
          <w:color w:val="auto"/>
        </w:rPr>
        <w:t>图</w:t>
      </w:r>
      <w:r>
        <w:rPr>
          <w:rFonts w:hint="eastAsia"/>
          <w:color w:val="auto"/>
          <w:lang w:val="en-US" w:eastAsia="zh-CN"/>
        </w:rPr>
        <w:t>2</w:t>
      </w:r>
      <w:r>
        <w:rPr>
          <w:color w:val="auto"/>
        </w:rPr>
        <w:t>　</w:t>
      </w:r>
      <w:r>
        <w:rPr>
          <w:rFonts w:hint="eastAsia"/>
          <w:color w:val="auto"/>
        </w:rPr>
        <w:t>资产处置流程图</w:t>
      </w:r>
    </w:p>
    <w:p w14:paraId="46DFD6DE">
      <w:pPr>
        <w:pStyle w:val="68"/>
        <w:numPr>
          <w:ilvl w:val="255"/>
          <w:numId w:val="0"/>
        </w:numPr>
        <w:spacing w:before="156" w:after="156"/>
        <w:rPr>
          <w:color w:val="auto"/>
        </w:rPr>
      </w:pPr>
      <w:r>
        <w:rPr>
          <w:rFonts w:hint="eastAsia"/>
          <w:color w:val="auto"/>
        </w:rPr>
        <w:t>8.2.1</w:t>
      </w:r>
      <w:r>
        <w:rPr>
          <w:color w:val="auto"/>
        </w:rPr>
        <w:t>申请</w:t>
      </w:r>
    </w:p>
    <w:p w14:paraId="5A77912D">
      <w:pPr>
        <w:pStyle w:val="59"/>
        <w:ind w:firstLine="420"/>
        <w:rPr>
          <w:color w:val="auto"/>
        </w:rPr>
      </w:pPr>
      <w:r>
        <w:rPr>
          <w:rFonts w:hint="eastAsia"/>
          <w:color w:val="auto"/>
        </w:rPr>
        <w:t>处置资产由资产使用部门资产专管员统一申请，填写《资产处置申请表》（见附录</w:t>
      </w:r>
      <w:r>
        <w:rPr>
          <w:rFonts w:hint="eastAsia"/>
          <w:color w:val="auto"/>
          <w:lang w:val="en-US" w:eastAsia="zh-CN"/>
        </w:rPr>
        <w:t>E</w:t>
      </w:r>
      <w:r>
        <w:rPr>
          <w:rFonts w:hint="eastAsia"/>
          <w:color w:val="auto"/>
        </w:rPr>
        <w:t>），提交到资产管理部门。</w:t>
      </w:r>
    </w:p>
    <w:p w14:paraId="2B04467E">
      <w:pPr>
        <w:pStyle w:val="68"/>
        <w:numPr>
          <w:ilvl w:val="255"/>
          <w:numId w:val="0"/>
        </w:numPr>
        <w:spacing w:before="156" w:after="156"/>
        <w:rPr>
          <w:color w:val="auto"/>
        </w:rPr>
      </w:pPr>
      <w:r>
        <w:rPr>
          <w:rFonts w:hint="eastAsia"/>
          <w:color w:val="auto"/>
        </w:rPr>
        <w:t>8.2.2审核</w:t>
      </w:r>
    </w:p>
    <w:p w14:paraId="404F9C2B">
      <w:pPr>
        <w:pStyle w:val="59"/>
        <w:spacing w:before="156" w:after="156"/>
        <w:ind w:firstLine="420"/>
        <w:rPr>
          <w:color w:val="auto"/>
        </w:rPr>
      </w:pPr>
      <w:r>
        <w:rPr>
          <w:rFonts w:hint="eastAsia"/>
          <w:color w:val="auto"/>
        </w:rPr>
        <w:t>资产管理部门对待处置资产进行鉴定，必要时组织技术部门或相关专业机构进行勘察鉴定</w:t>
      </w:r>
      <w:r>
        <w:rPr>
          <w:rFonts w:hint="eastAsia"/>
          <w:color w:val="auto"/>
          <w:lang w:eastAsia="zh-CN"/>
        </w:rPr>
        <w:t>。经鉴定，有</w:t>
      </w:r>
      <w:r>
        <w:rPr>
          <w:rFonts w:hint="eastAsia"/>
          <w:color w:val="auto"/>
        </w:rPr>
        <w:t>维修</w:t>
      </w:r>
      <w:r>
        <w:rPr>
          <w:rFonts w:hint="eastAsia"/>
          <w:color w:val="auto"/>
          <w:lang w:eastAsia="zh-CN"/>
        </w:rPr>
        <w:t>价值的资产，维修后继续使用；确无维修价值的资产，办理资产处置手续。</w:t>
      </w:r>
    </w:p>
    <w:p w14:paraId="0F7AF210">
      <w:pPr>
        <w:pStyle w:val="68"/>
        <w:numPr>
          <w:ilvl w:val="255"/>
          <w:numId w:val="0"/>
        </w:numPr>
        <w:spacing w:before="156" w:after="156"/>
        <w:rPr>
          <w:color w:val="auto"/>
        </w:rPr>
      </w:pPr>
      <w:r>
        <w:rPr>
          <w:rFonts w:hint="eastAsia"/>
          <w:color w:val="auto"/>
        </w:rPr>
        <w:t>8.2.3审批</w:t>
      </w:r>
    </w:p>
    <w:p w14:paraId="7BAF7066">
      <w:pPr>
        <w:pStyle w:val="177"/>
        <w:numPr>
          <w:ilvl w:val="255"/>
          <w:numId w:val="0"/>
        </w:numPr>
        <w:ind w:firstLine="420" w:firstLineChars="200"/>
        <w:rPr>
          <w:color w:val="auto"/>
        </w:rPr>
      </w:pPr>
      <w:r>
        <w:rPr>
          <w:rFonts w:hint="eastAsia"/>
          <w:color w:val="auto"/>
        </w:rPr>
        <w:t>在单位管理权限范围内的，单位在</w:t>
      </w:r>
      <w:r>
        <w:rPr>
          <w:rFonts w:hint="eastAsia"/>
          <w:color w:val="auto"/>
          <w:lang w:eastAsia="zh-CN"/>
        </w:rPr>
        <w:t>国有</w:t>
      </w:r>
      <w:r>
        <w:rPr>
          <w:rFonts w:hint="eastAsia"/>
          <w:color w:val="auto"/>
        </w:rPr>
        <w:t>资产管理信息系统中填制《资产处置审批表》《资产处置内部审批表》及《资产处置清单》，履行单位内部审批程序。</w:t>
      </w:r>
    </w:p>
    <w:p w14:paraId="5C2536F5">
      <w:pPr>
        <w:pStyle w:val="177"/>
        <w:numPr>
          <w:ilvl w:val="255"/>
          <w:numId w:val="0"/>
        </w:numPr>
        <w:ind w:firstLine="420" w:firstLineChars="200"/>
        <w:rPr>
          <w:color w:val="auto"/>
        </w:rPr>
      </w:pPr>
      <w:r>
        <w:rPr>
          <w:rFonts w:hint="eastAsia"/>
          <w:color w:val="auto"/>
        </w:rPr>
        <w:t>超出单位管理权限范围的，单位在履行完部审批程序后，将《资产处置审批表》《资产处置内部审批表》《资产处置清单》、单位同意资产处置的内部决议或会议纪要，报同级资产主管部门审核审批。</w:t>
      </w:r>
    </w:p>
    <w:p w14:paraId="6427494E">
      <w:pPr>
        <w:pStyle w:val="68"/>
        <w:numPr>
          <w:ilvl w:val="255"/>
          <w:numId w:val="0"/>
        </w:numPr>
        <w:spacing w:before="156" w:after="156"/>
        <w:rPr>
          <w:color w:val="auto"/>
        </w:rPr>
      </w:pPr>
      <w:r>
        <w:rPr>
          <w:rFonts w:hint="eastAsia"/>
          <w:color w:val="auto"/>
        </w:rPr>
        <w:t>8.2.4实物处置</w:t>
      </w:r>
    </w:p>
    <w:p w14:paraId="5B5C9737">
      <w:pPr>
        <w:pStyle w:val="177"/>
        <w:numPr>
          <w:ilvl w:val="255"/>
          <w:numId w:val="0"/>
        </w:numPr>
        <w:ind w:firstLine="420" w:firstLineChars="200"/>
        <w:rPr>
          <w:color w:val="auto"/>
        </w:rPr>
      </w:pPr>
      <w:r>
        <w:rPr>
          <w:rFonts w:hint="eastAsia"/>
          <w:color w:val="auto"/>
        </w:rPr>
        <w:t>单位按审批意见对资产实物进行分类处置：电子废弃物移交给有资质的电子废弃物回收机构；</w:t>
      </w:r>
      <w:r>
        <w:rPr>
          <w:rFonts w:hint="eastAsia"/>
          <w:color w:val="auto"/>
          <w:lang w:eastAsia="zh-CN"/>
        </w:rPr>
        <w:t>尚有使用价值</w:t>
      </w:r>
      <w:r>
        <w:rPr>
          <w:rFonts w:hint="eastAsia"/>
          <w:strike/>
          <w:dstrike w:val="0"/>
          <w:color w:val="auto"/>
          <w:lang w:eastAsia="zh-CN"/>
        </w:rPr>
        <w:t>的</w:t>
      </w:r>
      <w:r>
        <w:rPr>
          <w:rFonts w:hint="eastAsia"/>
          <w:color w:val="auto"/>
          <w:lang w:eastAsia="zh-CN"/>
        </w:rPr>
        <w:t>、</w:t>
      </w:r>
      <w:r>
        <w:rPr>
          <w:rFonts w:hint="eastAsia"/>
          <w:color w:val="auto"/>
        </w:rPr>
        <w:t>应交给公物仓的资产</w:t>
      </w:r>
      <w:r>
        <w:rPr>
          <w:rFonts w:hint="eastAsia"/>
          <w:color w:val="auto"/>
          <w:lang w:eastAsia="zh-CN"/>
        </w:rPr>
        <w:t>交由</w:t>
      </w:r>
      <w:r>
        <w:rPr>
          <w:rFonts w:hint="eastAsia"/>
          <w:color w:val="auto"/>
        </w:rPr>
        <w:t>公物仓收储；废</w:t>
      </w:r>
      <w:r>
        <w:rPr>
          <w:rFonts w:hint="eastAsia"/>
          <w:color w:val="auto"/>
          <w:lang w:eastAsia="zh-CN"/>
        </w:rPr>
        <w:t>弃</w:t>
      </w:r>
      <w:r>
        <w:rPr>
          <w:rFonts w:hint="eastAsia"/>
          <w:color w:val="auto"/>
        </w:rPr>
        <w:t>家具</w:t>
      </w:r>
      <w:r>
        <w:rPr>
          <w:rFonts w:hint="eastAsia"/>
          <w:color w:val="auto"/>
          <w:lang w:eastAsia="zh-CN"/>
        </w:rPr>
        <w:t>交由</w:t>
      </w:r>
      <w:r>
        <w:rPr>
          <w:rFonts w:hint="eastAsia"/>
          <w:color w:val="auto"/>
        </w:rPr>
        <w:t>环保回收机构回收；涉密资产交由保密部门集中处置。</w:t>
      </w:r>
    </w:p>
    <w:p w14:paraId="1E7B2939">
      <w:pPr>
        <w:pStyle w:val="68"/>
        <w:numPr>
          <w:ilvl w:val="255"/>
          <w:numId w:val="0"/>
        </w:numPr>
        <w:spacing w:before="156" w:after="156"/>
        <w:rPr>
          <w:color w:val="auto"/>
        </w:rPr>
      </w:pPr>
      <w:r>
        <w:rPr>
          <w:rFonts w:hint="eastAsia"/>
          <w:color w:val="auto"/>
        </w:rPr>
        <w:t>8.2.5账务核销</w:t>
      </w:r>
    </w:p>
    <w:p w14:paraId="0C5AACF6">
      <w:pPr>
        <w:pStyle w:val="68"/>
        <w:numPr>
          <w:ilvl w:val="255"/>
          <w:numId w:val="0"/>
        </w:numPr>
        <w:spacing w:before="156" w:after="156"/>
        <w:ind w:firstLine="420" w:firstLineChars="200"/>
        <w:rPr>
          <w:rFonts w:hint="eastAsia" w:ascii="宋体" w:hAnsi="宋体" w:eastAsia="宋体" w:cs="宋体"/>
          <w:b w:val="0"/>
          <w:bCs w:val="0"/>
          <w:color w:val="auto"/>
        </w:rPr>
      </w:pPr>
      <w:r>
        <w:rPr>
          <w:rFonts w:hint="eastAsia" w:ascii="宋体" w:hAnsi="宋体" w:eastAsia="宋体" w:cs="宋体"/>
          <w:b w:val="0"/>
          <w:bCs w:val="0"/>
          <w:color w:val="auto"/>
        </w:rPr>
        <w:t>实物资产处置后，单位应及时核销相关资产台账信息，同时进行会计处理。</w:t>
      </w:r>
    </w:p>
    <w:p w14:paraId="1134EA1C">
      <w:pPr>
        <w:pStyle w:val="68"/>
        <w:numPr>
          <w:ilvl w:val="255"/>
          <w:numId w:val="0"/>
        </w:numPr>
        <w:spacing w:before="156" w:after="156"/>
        <w:rPr>
          <w:rFonts w:hint="eastAsia" w:eastAsia="黑体"/>
          <w:color w:val="auto"/>
          <w:lang w:eastAsia="zh-CN"/>
        </w:rPr>
      </w:pPr>
      <w:r>
        <w:rPr>
          <w:rFonts w:hint="eastAsia"/>
          <w:color w:val="auto"/>
        </w:rPr>
        <w:t>8.2.6</w:t>
      </w:r>
      <w:r>
        <w:rPr>
          <w:rFonts w:hint="eastAsia"/>
          <w:color w:val="auto"/>
          <w:lang w:eastAsia="zh-CN"/>
        </w:rPr>
        <w:t>结果备案</w:t>
      </w:r>
    </w:p>
    <w:p w14:paraId="6033EE64">
      <w:pPr>
        <w:ind w:firstLine="420" w:firstLineChars="200"/>
        <w:rPr>
          <w:color w:val="auto"/>
        </w:rPr>
      </w:pPr>
      <w:r>
        <w:rPr>
          <w:rFonts w:hint="eastAsia"/>
          <w:color w:val="auto"/>
        </w:rPr>
        <w:t>单位应及时将处置结果上传至</w:t>
      </w:r>
      <w:r>
        <w:rPr>
          <w:rFonts w:hint="eastAsia"/>
          <w:color w:val="auto"/>
          <w:lang w:eastAsia="zh-CN"/>
        </w:rPr>
        <w:t>国有</w:t>
      </w:r>
      <w:r>
        <w:rPr>
          <w:rFonts w:hint="eastAsia"/>
          <w:color w:val="auto"/>
        </w:rPr>
        <w:t>资产管理信息系统提交同级资产主管部门备案。</w:t>
      </w:r>
    </w:p>
    <w:p w14:paraId="3DA5E37D">
      <w:pPr>
        <w:pStyle w:val="108"/>
        <w:spacing w:before="156" w:after="156"/>
        <w:rPr>
          <w:rFonts w:hint="eastAsia"/>
          <w:color w:val="auto"/>
        </w:rPr>
      </w:pPr>
      <w:r>
        <w:rPr>
          <w:rFonts w:hint="eastAsia"/>
          <w:color w:val="auto"/>
        </w:rPr>
        <w:t>资产处置审批材料</w:t>
      </w:r>
    </w:p>
    <w:p w14:paraId="392A3512">
      <w:pPr>
        <w:pStyle w:val="68"/>
        <w:numPr>
          <w:ilvl w:val="255"/>
          <w:numId w:val="0"/>
        </w:numPr>
        <w:spacing w:before="156" w:after="156"/>
        <w:rPr>
          <w:rFonts w:hint="eastAsia"/>
          <w:color w:val="auto"/>
        </w:rPr>
      </w:pPr>
      <w:r>
        <w:rPr>
          <w:rFonts w:hint="eastAsia"/>
          <w:color w:val="auto"/>
          <w:lang w:val="en-US" w:eastAsia="zh-CN"/>
        </w:rPr>
        <w:t>8.3.1</w:t>
      </w:r>
      <w:r>
        <w:rPr>
          <w:rFonts w:hint="eastAsia"/>
          <w:color w:val="auto"/>
        </w:rPr>
        <w:t>资产报废</w:t>
      </w:r>
    </w:p>
    <w:p w14:paraId="70E367B3">
      <w:pPr>
        <w:pStyle w:val="59"/>
        <w:spacing w:before="156" w:after="156"/>
        <w:ind w:firstLine="420"/>
        <w:rPr>
          <w:color w:val="auto"/>
        </w:rPr>
      </w:pPr>
      <w:r>
        <w:rPr>
          <w:rFonts w:hint="eastAsia"/>
          <w:color w:val="auto"/>
        </w:rPr>
        <w:t>应提</w:t>
      </w:r>
      <w:r>
        <w:rPr>
          <w:rFonts w:hint="eastAsia"/>
          <w:color w:val="auto"/>
          <w:lang w:eastAsia="zh-CN"/>
        </w:rPr>
        <w:t>交</w:t>
      </w:r>
      <w:r>
        <w:rPr>
          <w:rFonts w:hint="eastAsia"/>
          <w:color w:val="auto"/>
        </w:rPr>
        <w:t>以下材料：</w:t>
      </w:r>
    </w:p>
    <w:p w14:paraId="264D295A">
      <w:pPr>
        <w:pStyle w:val="59"/>
        <w:numPr>
          <w:ilvl w:val="255"/>
          <w:numId w:val="0"/>
        </w:numPr>
        <w:spacing w:before="156" w:after="156"/>
        <w:rPr>
          <w:rFonts w:hint="eastAsia" w:eastAsia="宋体"/>
          <w:color w:val="auto"/>
          <w:lang w:eastAsia="zh-CN"/>
        </w:rPr>
      </w:pPr>
      <w:r>
        <w:rPr>
          <w:rFonts w:hint="eastAsia"/>
          <w:color w:val="auto"/>
        </w:rPr>
        <w:t>-----资产处置申请函</w:t>
      </w:r>
      <w:r>
        <w:rPr>
          <w:rFonts w:hint="eastAsia"/>
          <w:color w:val="auto"/>
          <w:lang w:eastAsia="zh-CN"/>
        </w:rPr>
        <w:t>。</w:t>
      </w:r>
    </w:p>
    <w:p w14:paraId="0D08BDF5">
      <w:pPr>
        <w:pStyle w:val="59"/>
        <w:numPr>
          <w:ilvl w:val="255"/>
          <w:numId w:val="0"/>
        </w:numPr>
        <w:spacing w:before="156" w:after="156"/>
        <w:rPr>
          <w:rFonts w:hint="eastAsia" w:eastAsia="宋体"/>
          <w:color w:val="auto"/>
          <w:lang w:eastAsia="zh-CN"/>
        </w:rPr>
      </w:pPr>
      <w:r>
        <w:rPr>
          <w:rFonts w:hint="eastAsia"/>
          <w:color w:val="auto"/>
        </w:rPr>
        <w:t>-----资产处置单</w:t>
      </w:r>
      <w:r>
        <w:rPr>
          <w:rFonts w:hint="eastAsia"/>
          <w:color w:val="auto"/>
          <w:lang w:eastAsia="zh-CN"/>
        </w:rPr>
        <w:t>。</w:t>
      </w:r>
    </w:p>
    <w:p w14:paraId="459E594C">
      <w:pPr>
        <w:pStyle w:val="59"/>
        <w:numPr>
          <w:ilvl w:val="255"/>
          <w:numId w:val="0"/>
        </w:numPr>
        <w:spacing w:before="156" w:after="156"/>
        <w:rPr>
          <w:rFonts w:hint="eastAsia" w:eastAsia="宋体"/>
          <w:color w:val="auto"/>
          <w:lang w:eastAsia="zh-CN"/>
        </w:rPr>
      </w:pPr>
      <w:r>
        <w:rPr>
          <w:rFonts w:hint="eastAsia"/>
          <w:color w:val="auto"/>
        </w:rPr>
        <w:t>-----资产处置内部审批单</w:t>
      </w:r>
      <w:r>
        <w:rPr>
          <w:rFonts w:hint="eastAsia"/>
          <w:color w:val="auto"/>
          <w:lang w:eastAsia="zh-CN"/>
        </w:rPr>
        <w:t>。</w:t>
      </w:r>
    </w:p>
    <w:p w14:paraId="5F9AD4A6">
      <w:pPr>
        <w:pStyle w:val="59"/>
        <w:numPr>
          <w:ilvl w:val="255"/>
          <w:numId w:val="0"/>
        </w:numPr>
        <w:spacing w:before="156" w:after="156"/>
        <w:rPr>
          <w:rFonts w:hint="eastAsia" w:eastAsia="宋体"/>
          <w:color w:val="auto"/>
          <w:lang w:eastAsia="zh-CN"/>
        </w:rPr>
      </w:pPr>
      <w:r>
        <w:rPr>
          <w:rFonts w:hint="eastAsia"/>
          <w:color w:val="auto"/>
        </w:rPr>
        <w:t>-----资产处置清单</w:t>
      </w:r>
      <w:r>
        <w:rPr>
          <w:rFonts w:hint="eastAsia"/>
          <w:color w:val="auto"/>
          <w:lang w:eastAsia="zh-CN"/>
        </w:rPr>
        <w:t>。</w:t>
      </w:r>
    </w:p>
    <w:p w14:paraId="5A17D54B">
      <w:pPr>
        <w:pStyle w:val="68"/>
        <w:numPr>
          <w:ilvl w:val="255"/>
          <w:numId w:val="0"/>
        </w:numPr>
        <w:spacing w:before="156" w:after="156"/>
        <w:rPr>
          <w:color w:val="auto"/>
        </w:rPr>
      </w:pPr>
      <w:r>
        <w:rPr>
          <w:rFonts w:hint="eastAsia"/>
          <w:color w:val="auto"/>
        </w:rPr>
        <w:t>8.</w:t>
      </w:r>
      <w:r>
        <w:rPr>
          <w:rFonts w:hint="eastAsia"/>
          <w:color w:val="auto"/>
          <w:lang w:val="en-US" w:eastAsia="zh-CN"/>
        </w:rPr>
        <w:t>3.2</w:t>
      </w:r>
      <w:r>
        <w:rPr>
          <w:rFonts w:hint="eastAsia"/>
          <w:color w:val="auto"/>
        </w:rPr>
        <w:t>资产报损</w:t>
      </w:r>
    </w:p>
    <w:p w14:paraId="65880BB3">
      <w:pPr>
        <w:pStyle w:val="59"/>
        <w:ind w:firstLine="420"/>
        <w:rPr>
          <w:color w:val="auto"/>
        </w:rPr>
      </w:pPr>
      <w:r>
        <w:rPr>
          <w:rFonts w:hint="eastAsia"/>
          <w:color w:val="auto"/>
        </w:rPr>
        <w:t>应提交除8.</w:t>
      </w:r>
      <w:r>
        <w:rPr>
          <w:rFonts w:hint="eastAsia"/>
          <w:color w:val="auto"/>
          <w:lang w:val="en-US" w:eastAsia="zh-CN"/>
        </w:rPr>
        <w:t>3.1</w:t>
      </w:r>
      <w:r>
        <w:rPr>
          <w:rFonts w:hint="eastAsia"/>
          <w:color w:val="auto"/>
        </w:rPr>
        <w:t>要求的材料以外，还应提</w:t>
      </w:r>
      <w:r>
        <w:rPr>
          <w:rFonts w:hint="eastAsia"/>
          <w:color w:val="auto"/>
          <w:lang w:eastAsia="zh-CN"/>
        </w:rPr>
        <w:t>交</w:t>
      </w:r>
      <w:r>
        <w:rPr>
          <w:rFonts w:hint="eastAsia"/>
          <w:color w:val="auto"/>
        </w:rPr>
        <w:t>：</w:t>
      </w:r>
    </w:p>
    <w:p w14:paraId="5FB6F66D">
      <w:pPr>
        <w:pStyle w:val="135"/>
        <w:rPr>
          <w:color w:val="auto"/>
        </w:rPr>
      </w:pPr>
      <w:r>
        <w:rPr>
          <w:rFonts w:hint="eastAsia"/>
          <w:color w:val="auto"/>
        </w:rPr>
        <w:t>执法部门的结案证明、责任认定、赔偿情况说明</w:t>
      </w:r>
      <w:r>
        <w:rPr>
          <w:rFonts w:hint="eastAsia"/>
          <w:color w:val="auto"/>
          <w:lang w:eastAsia="zh-CN"/>
        </w:rPr>
        <w:t>。</w:t>
      </w:r>
    </w:p>
    <w:p w14:paraId="32FB81F4">
      <w:pPr>
        <w:pStyle w:val="135"/>
        <w:rPr>
          <w:color w:val="auto"/>
        </w:rPr>
      </w:pPr>
      <w:r>
        <w:rPr>
          <w:rFonts w:hint="eastAsia"/>
          <w:color w:val="auto"/>
        </w:rPr>
        <w:t>单位内部处理意见等。</w:t>
      </w:r>
    </w:p>
    <w:p w14:paraId="5AC135B9">
      <w:pPr>
        <w:pStyle w:val="68"/>
        <w:numPr>
          <w:ilvl w:val="255"/>
          <w:numId w:val="0"/>
        </w:numPr>
        <w:spacing w:before="156" w:after="156"/>
        <w:rPr>
          <w:color w:val="auto"/>
        </w:rPr>
      </w:pPr>
      <w:r>
        <w:rPr>
          <w:rFonts w:hint="eastAsia"/>
          <w:color w:val="auto"/>
        </w:rPr>
        <w:t>8.</w:t>
      </w:r>
      <w:r>
        <w:rPr>
          <w:rFonts w:hint="eastAsia"/>
          <w:color w:val="auto"/>
          <w:lang w:val="en-US" w:eastAsia="zh-CN"/>
        </w:rPr>
        <w:t>3</w:t>
      </w:r>
      <w:r>
        <w:rPr>
          <w:rFonts w:hint="eastAsia"/>
          <w:color w:val="auto"/>
        </w:rPr>
        <w:t>.3资产对外捐赠</w:t>
      </w:r>
    </w:p>
    <w:p w14:paraId="070FB9D1">
      <w:pPr>
        <w:pStyle w:val="59"/>
        <w:ind w:firstLine="420"/>
        <w:rPr>
          <w:color w:val="auto"/>
        </w:rPr>
      </w:pPr>
      <w:r>
        <w:rPr>
          <w:rFonts w:hint="eastAsia"/>
          <w:color w:val="auto"/>
        </w:rPr>
        <w:t>应提交除8.</w:t>
      </w:r>
      <w:r>
        <w:rPr>
          <w:rFonts w:hint="eastAsia"/>
          <w:color w:val="auto"/>
          <w:lang w:val="en-US" w:eastAsia="zh-CN"/>
        </w:rPr>
        <w:t>3.1</w:t>
      </w:r>
      <w:r>
        <w:rPr>
          <w:rFonts w:hint="eastAsia"/>
          <w:color w:val="auto"/>
        </w:rPr>
        <w:t>要求的材料以外，还应提</w:t>
      </w:r>
      <w:r>
        <w:rPr>
          <w:rFonts w:hint="eastAsia"/>
          <w:color w:val="auto"/>
          <w:lang w:eastAsia="zh-CN"/>
        </w:rPr>
        <w:t>交</w:t>
      </w:r>
      <w:r>
        <w:rPr>
          <w:rFonts w:hint="eastAsia"/>
          <w:color w:val="auto"/>
        </w:rPr>
        <w:t>：</w:t>
      </w:r>
    </w:p>
    <w:p w14:paraId="56A89484">
      <w:pPr>
        <w:pStyle w:val="135"/>
        <w:rPr>
          <w:color w:val="auto"/>
        </w:rPr>
      </w:pPr>
      <w:r>
        <w:rPr>
          <w:rFonts w:hint="eastAsia"/>
          <w:color w:val="auto"/>
        </w:rPr>
        <w:t>能够证明资产价值的有效凭证，如购货单（发票、收据）、调拨单、原始价值入账凭证、固定资产卡片等</w:t>
      </w:r>
      <w:r>
        <w:rPr>
          <w:rFonts w:hint="eastAsia"/>
          <w:color w:val="auto"/>
          <w:lang w:eastAsia="zh-CN"/>
        </w:rPr>
        <w:t>。</w:t>
      </w:r>
    </w:p>
    <w:p w14:paraId="0A252333">
      <w:pPr>
        <w:pStyle w:val="135"/>
        <w:rPr>
          <w:color w:val="auto"/>
        </w:rPr>
      </w:pPr>
      <w:r>
        <w:rPr>
          <w:rFonts w:hint="eastAsia"/>
          <w:color w:val="auto"/>
        </w:rPr>
        <w:t>双方捐赠协议（意向性协议）等。</w:t>
      </w:r>
    </w:p>
    <w:p w14:paraId="6945ECC5">
      <w:pPr>
        <w:pStyle w:val="68"/>
        <w:numPr>
          <w:ilvl w:val="255"/>
          <w:numId w:val="0"/>
        </w:numPr>
        <w:spacing w:before="156" w:after="156"/>
        <w:rPr>
          <w:color w:val="auto"/>
        </w:rPr>
      </w:pPr>
      <w:r>
        <w:rPr>
          <w:rFonts w:hint="eastAsia"/>
          <w:color w:val="auto"/>
        </w:rPr>
        <w:t>8.</w:t>
      </w:r>
      <w:r>
        <w:rPr>
          <w:rFonts w:hint="eastAsia"/>
          <w:color w:val="auto"/>
          <w:lang w:val="en-US" w:eastAsia="zh-CN"/>
        </w:rPr>
        <w:t>3</w:t>
      </w:r>
      <w:r>
        <w:rPr>
          <w:rFonts w:hint="eastAsia"/>
          <w:color w:val="auto"/>
        </w:rPr>
        <w:t>.4资产无偿调拨</w:t>
      </w:r>
    </w:p>
    <w:p w14:paraId="06872364">
      <w:pPr>
        <w:pStyle w:val="59"/>
        <w:ind w:firstLine="420"/>
        <w:rPr>
          <w:color w:val="auto"/>
        </w:rPr>
      </w:pPr>
      <w:r>
        <w:rPr>
          <w:rFonts w:hint="eastAsia"/>
          <w:color w:val="auto"/>
        </w:rPr>
        <w:t>应提交除8.</w:t>
      </w:r>
      <w:r>
        <w:rPr>
          <w:rFonts w:hint="eastAsia"/>
          <w:color w:val="auto"/>
          <w:lang w:val="en-US" w:eastAsia="zh-CN"/>
        </w:rPr>
        <w:t>3.1</w:t>
      </w:r>
      <w:r>
        <w:rPr>
          <w:rFonts w:hint="eastAsia"/>
          <w:color w:val="auto"/>
        </w:rPr>
        <w:t>要求的材料以外，还应提</w:t>
      </w:r>
      <w:r>
        <w:rPr>
          <w:rFonts w:hint="eastAsia"/>
          <w:color w:val="auto"/>
          <w:lang w:eastAsia="zh-CN"/>
        </w:rPr>
        <w:t>交</w:t>
      </w:r>
      <w:r>
        <w:rPr>
          <w:rFonts w:hint="eastAsia"/>
          <w:color w:val="auto"/>
        </w:rPr>
        <w:t>：</w:t>
      </w:r>
    </w:p>
    <w:p w14:paraId="39BC3EA1">
      <w:pPr>
        <w:pStyle w:val="135"/>
        <w:rPr>
          <w:color w:val="auto"/>
        </w:rPr>
      </w:pPr>
      <w:r>
        <w:rPr>
          <w:rFonts w:hint="eastAsia"/>
          <w:color w:val="auto"/>
        </w:rPr>
        <w:t>无偿调拨双方办理资产无偿调拨的申请（申办跨区域资产无偿调拨的，附相关资产</w:t>
      </w:r>
      <w:r>
        <w:rPr>
          <w:rFonts w:hint="eastAsia"/>
          <w:color w:val="auto"/>
          <w:lang w:eastAsia="zh-CN"/>
        </w:rPr>
        <w:t>主管</w:t>
      </w:r>
      <w:r>
        <w:rPr>
          <w:rFonts w:hint="eastAsia"/>
          <w:color w:val="auto"/>
        </w:rPr>
        <w:t>部门的审批文件）</w:t>
      </w:r>
      <w:r>
        <w:rPr>
          <w:rFonts w:hint="eastAsia"/>
          <w:color w:val="auto"/>
          <w:lang w:eastAsia="zh-CN"/>
        </w:rPr>
        <w:t>。</w:t>
      </w:r>
    </w:p>
    <w:p w14:paraId="23F1D4DB">
      <w:pPr>
        <w:pStyle w:val="135"/>
        <w:rPr>
          <w:color w:val="auto"/>
        </w:rPr>
      </w:pPr>
      <w:r>
        <w:rPr>
          <w:rFonts w:hint="eastAsia"/>
          <w:color w:val="auto"/>
        </w:rPr>
        <w:t>无偿调拨双方主管部门签订的资产无偿调拨协议及政府有关批准文件</w:t>
      </w:r>
      <w:r>
        <w:rPr>
          <w:rFonts w:hint="eastAsia"/>
          <w:color w:val="auto"/>
          <w:lang w:eastAsia="zh-CN"/>
        </w:rPr>
        <w:t>。</w:t>
      </w:r>
    </w:p>
    <w:p w14:paraId="303FF9D5">
      <w:pPr>
        <w:pStyle w:val="135"/>
        <w:rPr>
          <w:color w:val="auto"/>
        </w:rPr>
      </w:pPr>
      <w:r>
        <w:rPr>
          <w:rFonts w:hint="eastAsia"/>
          <w:color w:val="auto"/>
        </w:rPr>
        <w:t>被无偿调拨单位内部决议或会议纪要</w:t>
      </w:r>
      <w:r>
        <w:rPr>
          <w:rFonts w:hint="eastAsia"/>
          <w:color w:val="auto"/>
          <w:lang w:eastAsia="zh-CN"/>
        </w:rPr>
        <w:t>。</w:t>
      </w:r>
    </w:p>
    <w:p w14:paraId="1F2EBBB2">
      <w:pPr>
        <w:pStyle w:val="108"/>
        <w:numPr>
          <w:ilvl w:val="2"/>
          <w:numId w:val="0"/>
        </w:numPr>
        <w:spacing w:before="156" w:after="156"/>
        <w:rPr>
          <w:color w:val="auto"/>
        </w:rPr>
      </w:pPr>
      <w:r>
        <w:rPr>
          <w:rFonts w:hint="eastAsia"/>
          <w:color w:val="auto"/>
          <w:lang w:val="en-US" w:eastAsia="zh-CN"/>
        </w:rPr>
        <w:t>8.3.5</w:t>
      </w:r>
      <w:r>
        <w:rPr>
          <w:rFonts w:hint="eastAsia"/>
          <w:color w:val="auto"/>
        </w:rPr>
        <w:t>房地产处置</w:t>
      </w:r>
    </w:p>
    <w:p w14:paraId="2B3C1130">
      <w:pPr>
        <w:pStyle w:val="59"/>
        <w:ind w:firstLine="420"/>
        <w:rPr>
          <w:color w:val="auto"/>
        </w:rPr>
      </w:pPr>
      <w:r>
        <w:rPr>
          <w:rFonts w:hint="eastAsia"/>
          <w:color w:val="auto"/>
        </w:rPr>
        <w:t>房地产处置包括房</w:t>
      </w:r>
      <w:r>
        <w:rPr>
          <w:rFonts w:hint="eastAsia"/>
          <w:color w:val="auto"/>
          <w:lang w:eastAsia="zh-CN"/>
        </w:rPr>
        <w:t>地</w:t>
      </w:r>
      <w:r>
        <w:rPr>
          <w:rFonts w:hint="eastAsia"/>
          <w:color w:val="auto"/>
        </w:rPr>
        <w:t>产的出售、拆迁、拆除、置换</w:t>
      </w:r>
      <w:r>
        <w:rPr>
          <w:rFonts w:hint="eastAsia"/>
          <w:color w:val="auto"/>
          <w:lang w:eastAsia="zh-CN"/>
        </w:rPr>
        <w:t>等</w:t>
      </w:r>
      <w:r>
        <w:rPr>
          <w:rFonts w:hint="eastAsia"/>
          <w:color w:val="auto"/>
        </w:rPr>
        <w:t>，按相关房地产管理办法办理。审批流程</w:t>
      </w:r>
      <w:r>
        <w:rPr>
          <w:rFonts w:hint="eastAsia"/>
          <w:color w:val="auto"/>
          <w:lang w:eastAsia="zh-CN"/>
        </w:rPr>
        <w:t>按照</w:t>
      </w:r>
      <w:r>
        <w:rPr>
          <w:rFonts w:hint="eastAsia"/>
          <w:color w:val="auto"/>
        </w:rPr>
        <w:t>8.2实施，审批材料</w:t>
      </w:r>
      <w:r>
        <w:rPr>
          <w:rFonts w:hint="eastAsia"/>
          <w:color w:val="auto"/>
          <w:lang w:eastAsia="zh-CN"/>
        </w:rPr>
        <w:t>按照</w:t>
      </w:r>
      <w:r>
        <w:rPr>
          <w:rFonts w:hint="eastAsia"/>
          <w:color w:val="auto"/>
        </w:rPr>
        <w:t>8.</w:t>
      </w:r>
      <w:r>
        <w:rPr>
          <w:rFonts w:hint="eastAsia"/>
          <w:color w:val="auto"/>
          <w:lang w:val="en-US" w:eastAsia="zh-CN"/>
        </w:rPr>
        <w:t>3.1</w:t>
      </w:r>
      <w:r>
        <w:rPr>
          <w:rFonts w:hint="eastAsia"/>
          <w:color w:val="auto"/>
        </w:rPr>
        <w:t>。另需提</w:t>
      </w:r>
      <w:r>
        <w:rPr>
          <w:rFonts w:hint="eastAsia"/>
          <w:color w:val="auto"/>
          <w:lang w:eastAsia="zh-CN"/>
        </w:rPr>
        <w:t>交</w:t>
      </w:r>
      <w:r>
        <w:rPr>
          <w:rFonts w:hint="eastAsia"/>
          <w:color w:val="auto"/>
        </w:rPr>
        <w:t>以下资料一并上报同级资产主管部门：</w:t>
      </w:r>
    </w:p>
    <w:p w14:paraId="251FA5B9">
      <w:pPr>
        <w:pStyle w:val="135"/>
        <w:rPr>
          <w:color w:val="auto"/>
        </w:rPr>
      </w:pPr>
      <w:r>
        <w:rPr>
          <w:rFonts w:hint="eastAsia"/>
          <w:color w:val="auto"/>
          <w:lang w:eastAsia="zh-CN"/>
        </w:rPr>
        <w:t>单位</w:t>
      </w:r>
      <w:r>
        <w:rPr>
          <w:rFonts w:hint="eastAsia"/>
          <w:color w:val="auto"/>
        </w:rPr>
        <w:t>同意房</w:t>
      </w:r>
      <w:r>
        <w:rPr>
          <w:rFonts w:hint="eastAsia"/>
          <w:color w:val="auto"/>
          <w:lang w:eastAsia="zh-CN"/>
        </w:rPr>
        <w:t>地</w:t>
      </w:r>
      <w:r>
        <w:rPr>
          <w:rFonts w:hint="eastAsia"/>
          <w:color w:val="auto"/>
        </w:rPr>
        <w:t>产处置的内部决议或会议纪要</w:t>
      </w:r>
      <w:r>
        <w:rPr>
          <w:rFonts w:hint="eastAsia"/>
          <w:color w:val="auto"/>
          <w:lang w:eastAsia="zh-CN"/>
        </w:rPr>
        <w:t>。</w:t>
      </w:r>
    </w:p>
    <w:p w14:paraId="545BA500">
      <w:pPr>
        <w:pStyle w:val="135"/>
        <w:rPr>
          <w:color w:val="auto"/>
        </w:rPr>
      </w:pPr>
      <w:r>
        <w:rPr>
          <w:rFonts w:hint="eastAsia"/>
          <w:color w:val="auto"/>
        </w:rPr>
        <w:t>证明房地产原值的有效凭证，如项目竣工财务决算副本、原始价值入账凭证、固定资产卡片等</w:t>
      </w:r>
      <w:r>
        <w:rPr>
          <w:rFonts w:hint="eastAsia"/>
          <w:color w:val="auto"/>
          <w:lang w:eastAsia="zh-CN"/>
        </w:rPr>
        <w:t>。</w:t>
      </w:r>
    </w:p>
    <w:p w14:paraId="22ED0029">
      <w:pPr>
        <w:pStyle w:val="135"/>
        <w:rPr>
          <w:color w:val="auto"/>
        </w:rPr>
      </w:pPr>
      <w:r>
        <w:rPr>
          <w:rFonts w:hint="eastAsia"/>
          <w:color w:val="auto"/>
        </w:rPr>
        <w:t>房产证和土地证或不动产权证复印件</w:t>
      </w:r>
      <w:r>
        <w:rPr>
          <w:rFonts w:hint="eastAsia"/>
          <w:color w:val="auto"/>
          <w:lang w:eastAsia="zh-CN"/>
        </w:rPr>
        <w:t>。</w:t>
      </w:r>
    </w:p>
    <w:p w14:paraId="0B0B1620">
      <w:pPr>
        <w:pStyle w:val="135"/>
        <w:rPr>
          <w:color w:val="auto"/>
        </w:rPr>
      </w:pPr>
      <w:r>
        <w:rPr>
          <w:rFonts w:hint="eastAsia"/>
          <w:color w:val="auto"/>
        </w:rPr>
        <w:t>房地产</w:t>
      </w:r>
      <w:r>
        <w:rPr>
          <w:rFonts w:hint="eastAsia"/>
          <w:color w:val="auto"/>
          <w:lang w:eastAsia="zh-CN"/>
        </w:rPr>
        <w:t>出售</w:t>
      </w:r>
      <w:r>
        <w:rPr>
          <w:rFonts w:hint="eastAsia"/>
          <w:color w:val="auto"/>
        </w:rPr>
        <w:t>、拆迁、拆除、置换的相关文件或公告、协议、评估报告、情况说明等。</w:t>
      </w:r>
    </w:p>
    <w:p w14:paraId="77987EA4">
      <w:pPr>
        <w:pStyle w:val="108"/>
        <w:numPr>
          <w:ilvl w:val="2"/>
          <w:numId w:val="0"/>
        </w:numPr>
        <w:spacing w:before="156" w:after="156"/>
        <w:rPr>
          <w:color w:val="auto"/>
        </w:rPr>
      </w:pPr>
      <w:r>
        <w:rPr>
          <w:rFonts w:hint="eastAsia"/>
          <w:color w:val="auto"/>
          <w:lang w:val="en-US" w:eastAsia="zh-CN"/>
        </w:rPr>
        <w:t>8.3.6</w:t>
      </w:r>
      <w:r>
        <w:rPr>
          <w:rFonts w:hint="eastAsia"/>
          <w:color w:val="auto"/>
        </w:rPr>
        <w:t>车辆处置</w:t>
      </w:r>
    </w:p>
    <w:p w14:paraId="0312F581">
      <w:pPr>
        <w:pStyle w:val="59"/>
        <w:ind w:firstLine="420"/>
        <w:rPr>
          <w:color w:val="auto"/>
        </w:rPr>
      </w:pPr>
      <w:r>
        <w:rPr>
          <w:rFonts w:hint="eastAsia"/>
          <w:color w:val="auto"/>
        </w:rPr>
        <w:t>车辆处置包括车辆的报废、无偿调拨、出售等，按公务用车管理办法办理。审批流程</w:t>
      </w:r>
      <w:r>
        <w:rPr>
          <w:rFonts w:hint="eastAsia"/>
          <w:color w:val="auto"/>
          <w:lang w:eastAsia="zh-CN"/>
        </w:rPr>
        <w:t>按照</w:t>
      </w:r>
      <w:r>
        <w:rPr>
          <w:color w:val="auto"/>
        </w:rPr>
        <w:t>8.2</w:t>
      </w:r>
      <w:r>
        <w:rPr>
          <w:rFonts w:hint="eastAsia"/>
          <w:color w:val="auto"/>
        </w:rPr>
        <w:t>实施，审批材料</w:t>
      </w:r>
      <w:r>
        <w:rPr>
          <w:rFonts w:hint="eastAsia"/>
          <w:color w:val="auto"/>
          <w:lang w:eastAsia="zh-CN"/>
        </w:rPr>
        <w:t>按照</w:t>
      </w:r>
      <w:r>
        <w:rPr>
          <w:rFonts w:hint="eastAsia"/>
          <w:color w:val="auto"/>
        </w:rPr>
        <w:t>8.</w:t>
      </w:r>
      <w:r>
        <w:rPr>
          <w:rFonts w:hint="eastAsia"/>
          <w:color w:val="auto"/>
          <w:lang w:val="en-US" w:eastAsia="zh-CN"/>
        </w:rPr>
        <w:t>3.1</w:t>
      </w:r>
      <w:r>
        <w:rPr>
          <w:rFonts w:hint="eastAsia"/>
          <w:color w:val="auto"/>
        </w:rPr>
        <w:t>。另需提</w:t>
      </w:r>
      <w:r>
        <w:rPr>
          <w:rFonts w:hint="eastAsia"/>
          <w:color w:val="auto"/>
          <w:lang w:eastAsia="zh-CN"/>
        </w:rPr>
        <w:t>交</w:t>
      </w:r>
      <w:r>
        <w:rPr>
          <w:rFonts w:hint="eastAsia"/>
          <w:color w:val="auto"/>
        </w:rPr>
        <w:t>以下资料一并上报同级资产主管部门：</w:t>
      </w:r>
    </w:p>
    <w:p w14:paraId="696A8137">
      <w:pPr>
        <w:pStyle w:val="177"/>
        <w:numPr>
          <w:ilvl w:val="0"/>
          <w:numId w:val="36"/>
        </w:numPr>
        <w:rPr>
          <w:color w:val="auto"/>
        </w:rPr>
      </w:pPr>
      <w:r>
        <w:rPr>
          <w:rFonts w:hint="eastAsia"/>
          <w:color w:val="auto"/>
        </w:rPr>
        <w:t>证明机动车原值的有效凭证，如原始价值入账凭证、调拨单据、固定资产卡片等</w:t>
      </w:r>
      <w:r>
        <w:rPr>
          <w:rFonts w:hint="eastAsia"/>
          <w:color w:val="auto"/>
          <w:lang w:eastAsia="zh-CN"/>
        </w:rPr>
        <w:t>。</w:t>
      </w:r>
    </w:p>
    <w:p w14:paraId="627CA3C5">
      <w:pPr>
        <w:pStyle w:val="177"/>
        <w:rPr>
          <w:color w:val="auto"/>
        </w:rPr>
      </w:pPr>
      <w:r>
        <w:rPr>
          <w:rFonts w:hint="eastAsia"/>
          <w:color w:val="auto"/>
        </w:rPr>
        <w:t>机动车行驶证或登记证复印件</w:t>
      </w:r>
      <w:r>
        <w:rPr>
          <w:rFonts w:hint="eastAsia"/>
          <w:color w:val="auto"/>
          <w:lang w:eastAsia="zh-CN"/>
        </w:rPr>
        <w:t>。</w:t>
      </w:r>
    </w:p>
    <w:p w14:paraId="41B1C6F3">
      <w:pPr>
        <w:pStyle w:val="177"/>
        <w:rPr>
          <w:color w:val="auto"/>
        </w:rPr>
      </w:pPr>
      <w:r>
        <w:rPr>
          <w:rFonts w:hint="eastAsia"/>
          <w:color w:val="auto"/>
        </w:rPr>
        <w:t>公务用车管理部门批准文件</w:t>
      </w:r>
      <w:r>
        <w:rPr>
          <w:rFonts w:hint="eastAsia"/>
          <w:color w:val="auto"/>
          <w:lang w:eastAsia="zh-CN"/>
        </w:rPr>
        <w:t>。</w:t>
      </w:r>
    </w:p>
    <w:p w14:paraId="5FBAED8F">
      <w:pPr>
        <w:pStyle w:val="177"/>
        <w:rPr>
          <w:color w:val="auto"/>
        </w:rPr>
      </w:pPr>
      <w:r>
        <w:rPr>
          <w:rFonts w:hint="eastAsia"/>
          <w:color w:val="auto"/>
        </w:rPr>
        <w:t>机动车辆拍卖证明、回收证明、注销证明等材料</w:t>
      </w:r>
      <w:r>
        <w:rPr>
          <w:rFonts w:hint="eastAsia"/>
          <w:color w:val="auto"/>
          <w:lang w:eastAsia="zh-CN"/>
        </w:rPr>
        <w:t>。</w:t>
      </w:r>
    </w:p>
    <w:p w14:paraId="7200B4B1">
      <w:pPr>
        <w:pStyle w:val="177"/>
        <w:rPr>
          <w:color w:val="auto"/>
        </w:rPr>
      </w:pPr>
      <w:r>
        <w:rPr>
          <w:rFonts w:hint="eastAsia"/>
          <w:color w:val="auto"/>
        </w:rPr>
        <w:t>机动车毁损、被盗的相关技术鉴定、事故鉴定书，以及相关职能部门的证明文件等</w:t>
      </w:r>
      <w:r>
        <w:rPr>
          <w:rFonts w:hint="eastAsia"/>
          <w:color w:val="auto"/>
          <w:lang w:eastAsia="zh-CN"/>
        </w:rPr>
        <w:t>。</w:t>
      </w:r>
    </w:p>
    <w:p w14:paraId="5CE54EEB">
      <w:pPr>
        <w:pStyle w:val="177"/>
        <w:rPr>
          <w:color w:val="auto"/>
        </w:rPr>
      </w:pPr>
      <w:r>
        <w:rPr>
          <w:rFonts w:hint="eastAsia"/>
          <w:color w:val="auto"/>
        </w:rPr>
        <w:t>车辆无偿划转的相关文件或协议、情况说明等。</w:t>
      </w:r>
    </w:p>
    <w:p w14:paraId="4032D660">
      <w:pPr>
        <w:pStyle w:val="108"/>
        <w:numPr>
          <w:ilvl w:val="2"/>
          <w:numId w:val="37"/>
        </w:numPr>
        <w:spacing w:before="156" w:after="156"/>
        <w:rPr>
          <w:color w:val="auto"/>
        </w:rPr>
      </w:pPr>
      <w:r>
        <w:rPr>
          <w:rFonts w:hint="eastAsia"/>
          <w:color w:val="auto"/>
        </w:rPr>
        <w:t>处置收入</w:t>
      </w:r>
    </w:p>
    <w:p w14:paraId="363C6F66">
      <w:pPr>
        <w:pStyle w:val="59"/>
        <w:ind w:firstLine="420"/>
        <w:rPr>
          <w:color w:val="auto"/>
        </w:rPr>
      </w:pPr>
      <w:r>
        <w:rPr>
          <w:rFonts w:hint="eastAsia"/>
          <w:color w:val="auto"/>
        </w:rPr>
        <w:t>资产处置收入，按照要求上缴财政。</w:t>
      </w:r>
    </w:p>
    <w:p w14:paraId="31BCDE2B">
      <w:pPr>
        <w:pStyle w:val="107"/>
        <w:numPr>
          <w:ilvl w:val="1"/>
          <w:numId w:val="37"/>
        </w:numPr>
        <w:spacing w:before="312" w:after="312"/>
        <w:rPr>
          <w:color w:val="auto"/>
        </w:rPr>
      </w:pPr>
      <w:bookmarkStart w:id="53" w:name="_Toc168044230"/>
      <w:bookmarkStart w:id="54" w:name="_Toc168408581"/>
      <w:r>
        <w:rPr>
          <w:rFonts w:hint="eastAsia"/>
          <w:color w:val="auto"/>
        </w:rPr>
        <w:t>资产清查盘点</w:t>
      </w:r>
      <w:bookmarkEnd w:id="53"/>
      <w:bookmarkEnd w:id="54"/>
    </w:p>
    <w:p w14:paraId="332EDA37">
      <w:pPr>
        <w:pStyle w:val="108"/>
        <w:numPr>
          <w:ilvl w:val="2"/>
          <w:numId w:val="37"/>
        </w:numPr>
        <w:spacing w:before="156" w:after="156"/>
        <w:rPr>
          <w:rFonts w:hint="eastAsia"/>
          <w:color w:val="auto"/>
          <w:lang w:val="en-US" w:eastAsia="zh-CN"/>
        </w:rPr>
      </w:pPr>
      <w:r>
        <w:rPr>
          <w:rFonts w:hint="eastAsia"/>
          <w:color w:val="auto"/>
          <w:lang w:val="en-US" w:eastAsia="zh-CN"/>
        </w:rPr>
        <w:t>一般要求</w:t>
      </w:r>
    </w:p>
    <w:p w14:paraId="0283682C">
      <w:pPr>
        <w:pStyle w:val="59"/>
        <w:rPr>
          <w:rFonts w:hint="eastAsia" w:ascii="宋体" w:hAnsi="Times New Roman" w:eastAsia="宋体" w:cs="Times New Roman"/>
          <w:color w:val="auto"/>
          <w:sz w:val="21"/>
          <w:lang w:val="en-US" w:eastAsia="zh-CN" w:bidi="ar-SA"/>
        </w:rPr>
      </w:pPr>
      <w:r>
        <w:rPr>
          <w:rFonts w:hint="eastAsia" w:ascii="宋体" w:hAnsi="Times New Roman" w:eastAsia="宋体" w:cs="Times New Roman"/>
          <w:color w:val="auto"/>
          <w:sz w:val="21"/>
          <w:lang w:val="en-US" w:eastAsia="zh-CN" w:bidi="ar-SA"/>
        </w:rPr>
        <w:t>单位应对占有使用的国有资产进行日常清理、核对、查实，真实反映单位资产占有使用状况，原则上每年开展不少于 1次国有资产清查盘点工作。工作人员离岗、资产管理人员变动时，应对个人名下资产盘点交接。</w:t>
      </w:r>
    </w:p>
    <w:p w14:paraId="3BC48C1F">
      <w:pPr>
        <w:pStyle w:val="108"/>
        <w:numPr>
          <w:ilvl w:val="2"/>
          <w:numId w:val="37"/>
        </w:numPr>
        <w:spacing w:before="156" w:after="156"/>
        <w:rPr>
          <w:color w:val="auto"/>
        </w:rPr>
      </w:pPr>
      <w:r>
        <w:rPr>
          <w:rFonts w:hint="eastAsia"/>
          <w:color w:val="auto"/>
        </w:rPr>
        <w:t>定期</w:t>
      </w:r>
      <w:r>
        <w:rPr>
          <w:rFonts w:hint="eastAsia"/>
          <w:color w:val="auto"/>
          <w:lang w:eastAsia="zh-CN"/>
        </w:rPr>
        <w:t>清查</w:t>
      </w:r>
      <w:r>
        <w:rPr>
          <w:rFonts w:hint="eastAsia"/>
          <w:color w:val="auto"/>
        </w:rPr>
        <w:t>盘点</w:t>
      </w:r>
    </w:p>
    <w:p w14:paraId="19AA85CE">
      <w:pPr>
        <w:pStyle w:val="168"/>
        <w:numPr>
          <w:ilvl w:val="3"/>
          <w:numId w:val="37"/>
        </w:numPr>
        <w:rPr>
          <w:color w:val="auto"/>
        </w:rPr>
      </w:pPr>
      <w:r>
        <w:rPr>
          <w:rFonts w:hint="eastAsia"/>
          <w:color w:val="auto"/>
        </w:rPr>
        <w:t>资产管理部门每年至少组织1次国有资产清查</w:t>
      </w:r>
      <w:r>
        <w:rPr>
          <w:rFonts w:hint="eastAsia"/>
          <w:color w:val="auto"/>
          <w:lang w:eastAsia="zh-CN"/>
        </w:rPr>
        <w:t>盘点</w:t>
      </w:r>
      <w:r>
        <w:rPr>
          <w:rFonts w:hint="eastAsia"/>
          <w:color w:val="auto"/>
        </w:rPr>
        <w:t>工作，并出具年度国有资产清查</w:t>
      </w:r>
      <w:r>
        <w:rPr>
          <w:rFonts w:hint="eastAsia"/>
          <w:color w:val="auto"/>
          <w:lang w:eastAsia="zh-CN"/>
        </w:rPr>
        <w:t>盘点</w:t>
      </w:r>
      <w:r>
        <w:rPr>
          <w:rFonts w:hint="eastAsia"/>
          <w:color w:val="auto"/>
        </w:rPr>
        <w:t>报告。</w:t>
      </w:r>
    </w:p>
    <w:p w14:paraId="171B8C3C">
      <w:pPr>
        <w:pStyle w:val="168"/>
        <w:numPr>
          <w:ilvl w:val="3"/>
          <w:numId w:val="37"/>
        </w:numPr>
        <w:rPr>
          <w:color w:val="auto"/>
        </w:rPr>
      </w:pPr>
      <w:r>
        <w:rPr>
          <w:rFonts w:hint="eastAsia"/>
          <w:color w:val="auto"/>
        </w:rPr>
        <w:t>资产管理部门制定并发布年度清查盘点方案。</w:t>
      </w:r>
      <w:r>
        <w:rPr>
          <w:rFonts w:hint="eastAsia"/>
          <w:color w:val="auto"/>
          <w:lang w:eastAsia="zh-CN"/>
        </w:rPr>
        <w:t>清查</w:t>
      </w:r>
      <w:r>
        <w:rPr>
          <w:rFonts w:hint="eastAsia"/>
          <w:color w:val="auto"/>
        </w:rPr>
        <w:t>盘点方案内容包括但不限于</w:t>
      </w:r>
      <w:r>
        <w:rPr>
          <w:rFonts w:hint="eastAsia"/>
          <w:color w:val="auto"/>
          <w:lang w:eastAsia="zh-CN"/>
        </w:rPr>
        <w:t>清查</w:t>
      </w:r>
      <w:r>
        <w:rPr>
          <w:rFonts w:hint="eastAsia"/>
          <w:color w:val="auto"/>
        </w:rPr>
        <w:t>盘点范围、</w:t>
      </w:r>
      <w:r>
        <w:rPr>
          <w:rFonts w:hint="eastAsia"/>
          <w:color w:val="auto"/>
          <w:lang w:eastAsia="zh-CN"/>
        </w:rPr>
        <w:t>清查</w:t>
      </w:r>
      <w:r>
        <w:rPr>
          <w:rFonts w:hint="eastAsia"/>
          <w:color w:val="auto"/>
        </w:rPr>
        <w:t>盘点时间、资产</w:t>
      </w:r>
      <w:r>
        <w:rPr>
          <w:rFonts w:hint="eastAsia"/>
          <w:color w:val="auto"/>
          <w:lang w:eastAsia="zh-CN"/>
        </w:rPr>
        <w:t>清查</w:t>
      </w:r>
      <w:r>
        <w:rPr>
          <w:rFonts w:hint="eastAsia"/>
          <w:color w:val="auto"/>
        </w:rPr>
        <w:t>盘点小组组成等。</w:t>
      </w:r>
    </w:p>
    <w:p w14:paraId="2A742573">
      <w:pPr>
        <w:pStyle w:val="168"/>
        <w:numPr>
          <w:ilvl w:val="3"/>
          <w:numId w:val="37"/>
        </w:numPr>
        <w:rPr>
          <w:color w:val="auto"/>
        </w:rPr>
      </w:pPr>
      <w:r>
        <w:rPr>
          <w:rFonts w:hint="eastAsia"/>
          <w:color w:val="auto"/>
        </w:rPr>
        <w:t>资产</w:t>
      </w:r>
      <w:r>
        <w:rPr>
          <w:rFonts w:hint="eastAsia"/>
          <w:color w:val="auto"/>
          <w:lang w:eastAsia="zh-CN"/>
        </w:rPr>
        <w:t>清查</w:t>
      </w:r>
      <w:r>
        <w:rPr>
          <w:rFonts w:hint="eastAsia"/>
          <w:color w:val="auto"/>
        </w:rPr>
        <w:t>盘点小组一般由资产管理部门</w:t>
      </w:r>
      <w:r>
        <w:rPr>
          <w:rFonts w:hint="eastAsia"/>
          <w:color w:val="auto"/>
          <w:lang w:eastAsia="zh-CN"/>
        </w:rPr>
        <w:t>人员</w:t>
      </w:r>
      <w:r>
        <w:rPr>
          <w:rFonts w:hint="eastAsia"/>
          <w:color w:val="auto"/>
        </w:rPr>
        <w:t>、财务管理部门</w:t>
      </w:r>
      <w:r>
        <w:rPr>
          <w:rFonts w:hint="eastAsia"/>
          <w:color w:val="auto"/>
          <w:lang w:eastAsia="zh-CN"/>
        </w:rPr>
        <w:t>人员</w:t>
      </w:r>
      <w:r>
        <w:rPr>
          <w:rFonts w:hint="eastAsia"/>
          <w:color w:val="auto"/>
        </w:rPr>
        <w:t>、资产使用部门资产专管员</w:t>
      </w:r>
      <w:r>
        <w:rPr>
          <w:rFonts w:hint="eastAsia"/>
          <w:color w:val="auto"/>
          <w:lang w:eastAsia="zh-CN"/>
        </w:rPr>
        <w:t>、纪检监察部门人员</w:t>
      </w:r>
      <w:r>
        <w:rPr>
          <w:rFonts w:hint="eastAsia"/>
          <w:color w:val="auto"/>
        </w:rPr>
        <w:t>等组成。</w:t>
      </w:r>
    </w:p>
    <w:p w14:paraId="54058237">
      <w:pPr>
        <w:pStyle w:val="168"/>
        <w:numPr>
          <w:ilvl w:val="3"/>
          <w:numId w:val="37"/>
        </w:numPr>
        <w:rPr>
          <w:color w:val="auto"/>
        </w:rPr>
      </w:pPr>
      <w:r>
        <w:rPr>
          <w:rFonts w:hint="eastAsia"/>
          <w:color w:val="auto"/>
        </w:rPr>
        <w:t>资产</w:t>
      </w:r>
      <w:r>
        <w:rPr>
          <w:rFonts w:hint="eastAsia"/>
          <w:color w:val="auto"/>
          <w:lang w:eastAsia="zh-CN"/>
        </w:rPr>
        <w:t>清查</w:t>
      </w:r>
      <w:r>
        <w:rPr>
          <w:rFonts w:hint="eastAsia"/>
          <w:color w:val="auto"/>
        </w:rPr>
        <w:t>盘点应按以下程序进行：</w:t>
      </w:r>
    </w:p>
    <w:p w14:paraId="14B1C510">
      <w:pPr>
        <w:pStyle w:val="177"/>
        <w:numPr>
          <w:ilvl w:val="0"/>
          <w:numId w:val="38"/>
        </w:numPr>
        <w:rPr>
          <w:color w:val="auto"/>
        </w:rPr>
      </w:pPr>
      <w:r>
        <w:rPr>
          <w:rFonts w:hint="eastAsia"/>
          <w:color w:val="auto"/>
        </w:rPr>
        <w:t>资产使用部门自查，核对国有资产管理信息系统数据与实际资产使用情况，包括资产名称、资产使用部门、资产使用人、实际存放地点等，将核对情况报送</w:t>
      </w:r>
      <w:r>
        <w:rPr>
          <w:rFonts w:hint="eastAsia"/>
          <w:color w:val="auto"/>
          <w:lang w:eastAsia="zh-CN"/>
        </w:rPr>
        <w:t>资产清查</w:t>
      </w:r>
      <w:r>
        <w:rPr>
          <w:rFonts w:hint="eastAsia"/>
          <w:color w:val="auto"/>
        </w:rPr>
        <w:t>盘点小组</w:t>
      </w:r>
      <w:r>
        <w:rPr>
          <w:rStyle w:val="35"/>
          <w:rFonts w:hint="eastAsia" w:ascii="Calibri" w:hAnsi="Calibri"/>
          <w:color w:val="auto"/>
          <w:kern w:val="2"/>
        </w:rPr>
        <w:t>，差异原因予以说明</w:t>
      </w:r>
      <w:r>
        <w:rPr>
          <w:rFonts w:hint="eastAsia"/>
          <w:color w:val="auto"/>
        </w:rPr>
        <w:t>。</w:t>
      </w:r>
    </w:p>
    <w:p w14:paraId="7D9A05B8">
      <w:pPr>
        <w:pStyle w:val="177"/>
        <w:rPr>
          <w:color w:val="auto"/>
        </w:rPr>
      </w:pPr>
      <w:r>
        <w:rPr>
          <w:rFonts w:hint="eastAsia"/>
          <w:color w:val="auto"/>
        </w:rPr>
        <w:t>资产</w:t>
      </w:r>
      <w:r>
        <w:rPr>
          <w:rFonts w:hint="eastAsia"/>
          <w:color w:val="auto"/>
          <w:lang w:eastAsia="zh-CN"/>
        </w:rPr>
        <w:t>清查</w:t>
      </w:r>
      <w:r>
        <w:rPr>
          <w:rFonts w:hint="eastAsia"/>
          <w:color w:val="auto"/>
        </w:rPr>
        <w:t>盘点小组实地盘点，核实资产使用部门自查结果。</w:t>
      </w:r>
    </w:p>
    <w:p w14:paraId="35E1F30C">
      <w:pPr>
        <w:pStyle w:val="177"/>
        <w:rPr>
          <w:color w:val="auto"/>
        </w:rPr>
      </w:pPr>
      <w:r>
        <w:rPr>
          <w:rFonts w:hint="eastAsia"/>
          <w:color w:val="auto"/>
        </w:rPr>
        <w:t>资产</w:t>
      </w:r>
      <w:r>
        <w:rPr>
          <w:rFonts w:hint="eastAsia"/>
          <w:color w:val="auto"/>
          <w:lang w:eastAsia="zh-CN"/>
        </w:rPr>
        <w:t>清查</w:t>
      </w:r>
      <w:r>
        <w:rPr>
          <w:rFonts w:hint="eastAsia"/>
          <w:color w:val="auto"/>
        </w:rPr>
        <w:t>盘点小组汇总清查结果，出具国有资产清查</w:t>
      </w:r>
      <w:r>
        <w:rPr>
          <w:rFonts w:hint="eastAsia"/>
          <w:color w:val="auto"/>
          <w:lang w:eastAsia="zh-CN"/>
        </w:rPr>
        <w:t>盘点</w:t>
      </w:r>
      <w:r>
        <w:rPr>
          <w:rFonts w:hint="eastAsia"/>
          <w:color w:val="auto"/>
        </w:rPr>
        <w:t>报告，对清查结果提出处理意见。</w:t>
      </w:r>
    </w:p>
    <w:p w14:paraId="1834EA5C">
      <w:pPr>
        <w:pStyle w:val="177"/>
        <w:numPr>
          <w:ilvl w:val="255"/>
          <w:numId w:val="0"/>
        </w:numPr>
        <w:rPr>
          <w:color w:val="auto"/>
        </w:rPr>
      </w:pPr>
    </w:p>
    <w:p w14:paraId="764CA217">
      <w:pPr>
        <w:pStyle w:val="168"/>
        <w:numPr>
          <w:ilvl w:val="3"/>
          <w:numId w:val="37"/>
        </w:numPr>
        <w:rPr>
          <w:color w:val="auto"/>
        </w:rPr>
      </w:pPr>
      <w:r>
        <w:rPr>
          <w:rFonts w:hint="eastAsia"/>
          <w:color w:val="auto"/>
        </w:rPr>
        <w:t>对</w:t>
      </w:r>
      <w:r>
        <w:rPr>
          <w:rFonts w:hint="eastAsia"/>
          <w:color w:val="auto"/>
          <w:lang w:eastAsia="zh-CN"/>
        </w:rPr>
        <w:t>清查</w:t>
      </w:r>
      <w:r>
        <w:rPr>
          <w:rFonts w:hint="eastAsia"/>
          <w:color w:val="auto"/>
        </w:rPr>
        <w:t>盘点结果履行审批程序：</w:t>
      </w:r>
    </w:p>
    <w:p w14:paraId="7615C268">
      <w:pPr>
        <w:pStyle w:val="177"/>
        <w:numPr>
          <w:ilvl w:val="0"/>
          <w:numId w:val="39"/>
        </w:numPr>
        <w:rPr>
          <w:color w:val="auto"/>
        </w:rPr>
      </w:pPr>
      <w:r>
        <w:rPr>
          <w:rFonts w:hint="eastAsia"/>
          <w:color w:val="auto"/>
        </w:rPr>
        <w:t>核实资产盘盈盘亏原因，据情形问责，人为原因造成国有资产报废、毁损、遗失的</w:t>
      </w:r>
      <w:r>
        <w:rPr>
          <w:rFonts w:hint="eastAsia"/>
          <w:color w:val="auto"/>
          <w:lang w:eastAsia="zh-CN"/>
        </w:rPr>
        <w:t>，</w:t>
      </w:r>
      <w:r>
        <w:rPr>
          <w:rFonts w:hint="eastAsia"/>
          <w:color w:val="auto"/>
        </w:rPr>
        <w:t>应由相关责任人承担赔偿责任</w:t>
      </w:r>
      <w:r>
        <w:rPr>
          <w:rFonts w:hint="eastAsia"/>
          <w:color w:val="auto"/>
          <w:lang w:eastAsia="zh-CN"/>
        </w:rPr>
        <w:t>。</w:t>
      </w:r>
    </w:p>
    <w:p w14:paraId="564CDFE4">
      <w:pPr>
        <w:pStyle w:val="177"/>
        <w:rPr>
          <w:color w:val="auto"/>
        </w:rPr>
      </w:pPr>
      <w:r>
        <w:rPr>
          <w:rStyle w:val="35"/>
          <w:rFonts w:hint="eastAsia" w:ascii="Calibri" w:hAnsi="Calibri"/>
          <w:color w:val="auto"/>
          <w:kern w:val="2"/>
        </w:rPr>
        <w:t>履行</w:t>
      </w:r>
      <w:r>
        <w:rPr>
          <w:rFonts w:hint="eastAsia"/>
          <w:color w:val="auto"/>
        </w:rPr>
        <w:t>盘盈盘亏资产审批程序，按财务和资产管理制度有关规定处理，做到账实相符</w:t>
      </w:r>
      <w:r>
        <w:rPr>
          <w:rFonts w:hint="eastAsia"/>
          <w:color w:val="auto"/>
          <w:lang w:eastAsia="zh-CN"/>
        </w:rPr>
        <w:t>、</w:t>
      </w:r>
      <w:r>
        <w:rPr>
          <w:rFonts w:hint="eastAsia"/>
          <w:color w:val="auto"/>
        </w:rPr>
        <w:t>账账相符。</w:t>
      </w:r>
    </w:p>
    <w:p w14:paraId="6CF167B9">
      <w:pPr>
        <w:pStyle w:val="108"/>
        <w:numPr>
          <w:ilvl w:val="2"/>
          <w:numId w:val="37"/>
        </w:numPr>
        <w:spacing w:before="156" w:after="156"/>
        <w:rPr>
          <w:color w:val="auto"/>
        </w:rPr>
      </w:pPr>
      <w:r>
        <w:rPr>
          <w:rFonts w:hint="eastAsia"/>
          <w:color w:val="auto"/>
        </w:rPr>
        <w:t>不定期盘点</w:t>
      </w:r>
    </w:p>
    <w:p w14:paraId="7B1282A0">
      <w:pPr>
        <w:pStyle w:val="59"/>
        <w:ind w:firstLine="420"/>
        <w:rPr>
          <w:color w:val="auto"/>
        </w:rPr>
      </w:pPr>
      <w:r>
        <w:rPr>
          <w:rFonts w:hint="eastAsia"/>
          <w:color w:val="auto"/>
        </w:rPr>
        <w:t>资产管理部门不定期抽查资产使用部门资产使用情况，对抽查中发现的问题，资产使用部门应配合资产管理部门查明具体原因，提出解决方案，并按9</w:t>
      </w:r>
      <w:r>
        <w:rPr>
          <w:color w:val="auto"/>
        </w:rPr>
        <w:t>.</w:t>
      </w:r>
      <w:r>
        <w:rPr>
          <w:rFonts w:hint="eastAsia"/>
          <w:color w:val="auto"/>
          <w:lang w:val="en-US" w:eastAsia="zh-CN"/>
        </w:rPr>
        <w:t>2</w:t>
      </w:r>
      <w:r>
        <w:rPr>
          <w:color w:val="auto"/>
        </w:rPr>
        <w:t>.5</w:t>
      </w:r>
      <w:r>
        <w:rPr>
          <w:rFonts w:hint="eastAsia"/>
          <w:color w:val="auto"/>
        </w:rPr>
        <w:t>履行审批程序。</w:t>
      </w:r>
    </w:p>
    <w:p w14:paraId="74084C6D">
      <w:pPr>
        <w:pStyle w:val="107"/>
        <w:numPr>
          <w:ilvl w:val="1"/>
          <w:numId w:val="37"/>
        </w:numPr>
        <w:spacing w:before="312" w:after="312"/>
        <w:ind w:left="-1"/>
        <w:rPr>
          <w:color w:val="auto"/>
        </w:rPr>
      </w:pPr>
      <w:bookmarkStart w:id="55" w:name="_Toc168044231"/>
      <w:bookmarkStart w:id="56" w:name="_Toc168408582"/>
      <w:r>
        <w:rPr>
          <w:rFonts w:hint="eastAsia"/>
          <w:color w:val="auto"/>
        </w:rPr>
        <w:t>档案管理</w:t>
      </w:r>
      <w:bookmarkEnd w:id="55"/>
      <w:bookmarkEnd w:id="56"/>
    </w:p>
    <w:p w14:paraId="2F4A1359">
      <w:pPr>
        <w:pStyle w:val="108"/>
        <w:numPr>
          <w:ilvl w:val="2"/>
          <w:numId w:val="37"/>
        </w:numPr>
        <w:spacing w:before="156" w:after="156"/>
        <w:rPr>
          <w:color w:val="auto"/>
        </w:rPr>
      </w:pPr>
      <w:r>
        <w:rPr>
          <w:rFonts w:hint="eastAsia"/>
          <w:color w:val="auto"/>
          <w:lang w:eastAsia="zh-CN"/>
        </w:rPr>
        <w:t>一般</w:t>
      </w:r>
      <w:r>
        <w:rPr>
          <w:rFonts w:hint="eastAsia"/>
          <w:color w:val="auto"/>
        </w:rPr>
        <w:t>要求</w:t>
      </w:r>
    </w:p>
    <w:p w14:paraId="29331F3D">
      <w:pPr>
        <w:pStyle w:val="59"/>
        <w:rPr>
          <w:rFonts w:hint="eastAsia" w:ascii="宋体" w:hAnsi="Times New Roman" w:eastAsia="宋体" w:cs="Times New Roman"/>
          <w:color w:val="auto"/>
          <w:sz w:val="21"/>
          <w:lang w:val="en-US" w:eastAsia="zh-CN" w:bidi="ar-SA"/>
        </w:rPr>
      </w:pPr>
      <w:r>
        <w:rPr>
          <w:rFonts w:hint="eastAsia" w:ascii="宋体" w:hAnsi="Times New Roman" w:eastAsia="宋体" w:cs="Times New Roman"/>
          <w:color w:val="auto"/>
          <w:sz w:val="21"/>
          <w:lang w:val="en-US" w:eastAsia="zh-CN" w:bidi="ar-SA"/>
        </w:rPr>
        <w:t xml:space="preserve">单位应集中保管国有资产管理档案，根据实际情况确定保存期限，确保档案的安全和完整。单位应对国有资产管理档案进行分类整理，并做好编号和标识，方便查找和使用。 </w:t>
      </w:r>
    </w:p>
    <w:p w14:paraId="41347C9E">
      <w:pPr>
        <w:pStyle w:val="59"/>
        <w:rPr>
          <w:rFonts w:hint="eastAsia" w:ascii="宋体" w:hAnsi="Times New Roman" w:eastAsia="宋体" w:cs="Times New Roman"/>
          <w:color w:val="auto"/>
          <w:sz w:val="21"/>
          <w:lang w:val="en-US" w:eastAsia="zh-CN" w:bidi="ar-SA"/>
        </w:rPr>
      </w:pPr>
      <w:r>
        <w:rPr>
          <w:rFonts w:hint="eastAsia" w:ascii="宋体" w:hAnsi="Times New Roman" w:eastAsia="宋体" w:cs="Times New Roman"/>
          <w:color w:val="auto"/>
          <w:sz w:val="21"/>
          <w:lang w:val="en-US" w:eastAsia="zh-CN" w:bidi="ar-SA"/>
        </w:rPr>
        <w:t>资产管理人员变动时，应填写《档案移交登记表》（见附录F），同时移交资产管理档案。</w:t>
      </w:r>
    </w:p>
    <w:p w14:paraId="5C2CABE6">
      <w:pPr>
        <w:pStyle w:val="177"/>
        <w:numPr>
          <w:ilvl w:val="255"/>
          <w:numId w:val="0"/>
        </w:numPr>
        <w:ind w:left="425"/>
        <w:rPr>
          <w:color w:val="auto"/>
        </w:rPr>
      </w:pPr>
    </w:p>
    <w:p w14:paraId="565BA1AF">
      <w:pPr>
        <w:pStyle w:val="202"/>
        <w:rPr>
          <w:color w:val="auto"/>
        </w:rPr>
      </w:pPr>
      <w:r>
        <w:rPr>
          <w:rFonts w:hint="eastAsia"/>
          <w:color w:val="auto"/>
        </w:rPr>
        <w:t>10</w:t>
      </w:r>
    </w:p>
    <w:p w14:paraId="69061C37">
      <w:pPr>
        <w:pStyle w:val="202"/>
        <w:rPr>
          <w:color w:val="auto"/>
        </w:rPr>
      </w:pPr>
    </w:p>
    <w:p w14:paraId="26743869">
      <w:pPr>
        <w:pStyle w:val="202"/>
        <w:rPr>
          <w:color w:val="auto"/>
        </w:rPr>
      </w:pPr>
    </w:p>
    <w:p w14:paraId="046F65EF">
      <w:pPr>
        <w:pStyle w:val="202"/>
        <w:rPr>
          <w:color w:val="auto"/>
        </w:rPr>
      </w:pPr>
    </w:p>
    <w:p w14:paraId="63CE88ED">
      <w:pPr>
        <w:pStyle w:val="202"/>
        <w:rPr>
          <w:color w:val="auto"/>
        </w:rPr>
      </w:pPr>
      <w:r>
        <w:rPr>
          <w:rFonts w:hint="eastAsia"/>
          <w:color w:val="auto"/>
        </w:rPr>
        <w:t xml:space="preserve">10.10    </w:t>
      </w:r>
    </w:p>
    <w:p w14:paraId="6D6E184E">
      <w:pPr>
        <w:pStyle w:val="202"/>
        <w:rPr>
          <w:color w:val="auto"/>
        </w:rPr>
      </w:pPr>
    </w:p>
    <w:p w14:paraId="3844DA1A">
      <w:pPr>
        <w:pStyle w:val="202"/>
        <w:rPr>
          <w:color w:val="auto"/>
        </w:rPr>
      </w:pPr>
      <w:r>
        <w:rPr>
          <w:rFonts w:hint="eastAsia"/>
          <w:color w:val="auto"/>
        </w:rPr>
        <w:t>10.2</w:t>
      </w:r>
    </w:p>
    <w:p w14:paraId="06E31D6F">
      <w:pPr>
        <w:pStyle w:val="108"/>
        <w:numPr>
          <w:ilvl w:val="2"/>
          <w:numId w:val="37"/>
        </w:numPr>
        <w:spacing w:before="156" w:after="156"/>
        <w:rPr>
          <w:color w:val="auto"/>
        </w:rPr>
      </w:pPr>
      <w:r>
        <w:rPr>
          <w:rFonts w:hint="eastAsia"/>
          <w:color w:val="auto"/>
        </w:rPr>
        <w:t>档案管理内容</w:t>
      </w:r>
    </w:p>
    <w:p w14:paraId="3461E28E">
      <w:pPr>
        <w:pStyle w:val="168"/>
        <w:numPr>
          <w:ilvl w:val="3"/>
          <w:numId w:val="37"/>
        </w:numPr>
        <w:rPr>
          <w:color w:val="auto"/>
        </w:rPr>
      </w:pPr>
      <w:r>
        <w:rPr>
          <w:rFonts w:hint="eastAsia"/>
          <w:color w:val="auto"/>
        </w:rPr>
        <w:t>单据资料包括：</w:t>
      </w:r>
    </w:p>
    <w:p w14:paraId="3D740B70">
      <w:pPr>
        <w:pStyle w:val="135"/>
        <w:ind w:firstLine="0"/>
        <w:rPr>
          <w:color w:val="auto"/>
        </w:rPr>
      </w:pPr>
      <w:r>
        <w:rPr>
          <w:rFonts w:hint="eastAsia"/>
          <w:color w:val="auto"/>
        </w:rPr>
        <w:t>资产采购、入库、领用、交还、处置等单据</w:t>
      </w:r>
      <w:r>
        <w:rPr>
          <w:rFonts w:hint="eastAsia"/>
          <w:color w:val="auto"/>
          <w:lang w:eastAsia="zh-CN"/>
        </w:rPr>
        <w:t>。</w:t>
      </w:r>
    </w:p>
    <w:p w14:paraId="4BFF308F">
      <w:pPr>
        <w:pStyle w:val="135"/>
        <w:ind w:firstLine="0"/>
        <w:rPr>
          <w:color w:val="auto"/>
        </w:rPr>
      </w:pPr>
      <w:r>
        <w:rPr>
          <w:rFonts w:hint="eastAsia"/>
          <w:color w:val="auto"/>
        </w:rPr>
        <w:t>资产报表、报告等资料。</w:t>
      </w:r>
    </w:p>
    <w:p w14:paraId="20F69F33">
      <w:pPr>
        <w:pStyle w:val="168"/>
        <w:numPr>
          <w:ilvl w:val="3"/>
          <w:numId w:val="37"/>
        </w:numPr>
        <w:rPr>
          <w:color w:val="auto"/>
        </w:rPr>
      </w:pPr>
      <w:r>
        <w:rPr>
          <w:rFonts w:hint="eastAsia"/>
          <w:color w:val="auto"/>
        </w:rPr>
        <w:t>台账资料包括：</w:t>
      </w:r>
    </w:p>
    <w:p w14:paraId="399976BC">
      <w:pPr>
        <w:pStyle w:val="135"/>
        <w:ind w:firstLine="0"/>
        <w:rPr>
          <w:color w:val="auto"/>
        </w:rPr>
      </w:pPr>
      <w:r>
        <w:rPr>
          <w:rFonts w:hint="eastAsia"/>
          <w:color w:val="auto"/>
        </w:rPr>
        <w:t>办公用房、存量住宅、公务车辆、文物和陈列品、专项资产管理台账。</w:t>
      </w:r>
    </w:p>
    <w:p w14:paraId="5B54B82D">
      <w:pPr>
        <w:pStyle w:val="135"/>
        <w:numPr>
          <w:ilvl w:val="0"/>
          <w:numId w:val="0"/>
        </w:numPr>
        <w:ind w:left="851" w:leftChars="0"/>
        <w:rPr>
          <w:color w:val="auto"/>
        </w:rPr>
      </w:pPr>
    </w:p>
    <w:p w14:paraId="44EAC6C7">
      <w:pPr>
        <w:pStyle w:val="168"/>
        <w:numPr>
          <w:ilvl w:val="3"/>
          <w:numId w:val="37"/>
        </w:numPr>
        <w:rPr>
          <w:color w:val="auto"/>
        </w:rPr>
      </w:pPr>
      <w:r>
        <w:rPr>
          <w:rFonts w:hint="eastAsia"/>
          <w:color w:val="auto"/>
        </w:rPr>
        <w:t>权证资料包括：</w:t>
      </w:r>
    </w:p>
    <w:p w14:paraId="035B59F3">
      <w:pPr>
        <w:pStyle w:val="135"/>
        <w:ind w:firstLine="0"/>
        <w:rPr>
          <w:color w:val="auto"/>
        </w:rPr>
      </w:pPr>
      <w:r>
        <w:rPr>
          <w:rFonts w:hint="eastAsia"/>
          <w:color w:val="auto"/>
        </w:rPr>
        <w:t>办公用房、存量住宅权证</w:t>
      </w:r>
      <w:r>
        <w:rPr>
          <w:rFonts w:hint="eastAsia"/>
          <w:color w:val="auto"/>
          <w:lang w:eastAsia="zh-CN"/>
        </w:rPr>
        <w:t>。</w:t>
      </w:r>
    </w:p>
    <w:p w14:paraId="5D4DDE4E">
      <w:pPr>
        <w:pStyle w:val="135"/>
        <w:ind w:firstLine="0"/>
        <w:rPr>
          <w:color w:val="auto"/>
        </w:rPr>
        <w:sectPr>
          <w:pgSz w:w="11906" w:h="16838"/>
          <w:pgMar w:top="1928" w:right="1134" w:bottom="1134" w:left="1134" w:header="1418" w:footer="1134" w:gutter="284"/>
          <w:cols w:space="425" w:num="1"/>
          <w:formProt w:val="0"/>
          <w:docGrid w:type="lines" w:linePitch="312" w:charSpace="0"/>
        </w:sectPr>
      </w:pPr>
      <w:r>
        <w:rPr>
          <w:rFonts w:hint="eastAsia"/>
          <w:color w:val="auto"/>
        </w:rPr>
        <w:t>公务车辆权证</w:t>
      </w:r>
      <w:r>
        <w:rPr>
          <w:rFonts w:hint="eastAsia"/>
          <w:color w:val="auto"/>
          <w:lang w:eastAsia="zh-CN"/>
        </w:rPr>
        <w:t>。</w:t>
      </w:r>
    </w:p>
    <w:bookmarkEnd w:id="15"/>
    <w:p w14:paraId="5D718F4C">
      <w:pPr>
        <w:pStyle w:val="201"/>
        <w:rPr>
          <w:rFonts w:hint="eastAsia"/>
          <w:color w:val="auto"/>
        </w:rPr>
      </w:pPr>
      <w:bookmarkStart w:id="57" w:name="BookMark5"/>
    </w:p>
    <w:p w14:paraId="0738AFAD">
      <w:pPr>
        <w:pStyle w:val="202"/>
        <w:rPr>
          <w:color w:val="auto"/>
        </w:rPr>
      </w:pPr>
    </w:p>
    <w:p w14:paraId="2B8B1EEF">
      <w:pPr>
        <w:pStyle w:val="79"/>
        <w:spacing w:after="156"/>
        <w:rPr>
          <w:color w:val="auto"/>
        </w:rPr>
      </w:pPr>
      <w:r>
        <w:rPr>
          <w:color w:val="auto"/>
        </w:rPr>
        <w:br w:type="textWrapping"/>
      </w:r>
      <w:bookmarkStart w:id="58" w:name="_Toc168044232"/>
      <w:bookmarkStart w:id="59" w:name="_Toc168408583"/>
      <w:r>
        <w:rPr>
          <w:rFonts w:hint="eastAsia"/>
          <w:color w:val="auto"/>
        </w:rPr>
        <w:t>（资料性）</w:t>
      </w:r>
      <w:r>
        <w:rPr>
          <w:color w:val="auto"/>
        </w:rPr>
        <w:br w:type="textWrapping"/>
      </w:r>
      <w:r>
        <w:rPr>
          <w:rFonts w:hint="eastAsia"/>
          <w:color w:val="auto"/>
        </w:rPr>
        <w:t>资产配置需求申请单</w:t>
      </w:r>
      <w:bookmarkEnd w:id="58"/>
      <w:bookmarkEnd w:id="59"/>
    </w:p>
    <w:p w14:paraId="46C6E4DE">
      <w:pPr>
        <w:pStyle w:val="59"/>
        <w:ind w:firstLine="420"/>
        <w:rPr>
          <w:color w:val="auto"/>
        </w:rPr>
      </w:pPr>
      <w:r>
        <w:rPr>
          <w:rFonts w:hint="eastAsia"/>
          <w:color w:val="auto"/>
        </w:rPr>
        <w:t>资产配置需求申请单参见表A</w:t>
      </w:r>
      <w:r>
        <w:rPr>
          <w:color w:val="auto"/>
        </w:rPr>
        <w:t>.1</w:t>
      </w:r>
      <w:r>
        <w:rPr>
          <w:rFonts w:hint="eastAsia"/>
          <w:color w:val="auto"/>
        </w:rPr>
        <w:t>。</w:t>
      </w:r>
    </w:p>
    <w:p w14:paraId="656631C9">
      <w:pPr>
        <w:pStyle w:val="80"/>
        <w:numPr>
          <w:ilvl w:val="0"/>
          <w:numId w:val="0"/>
        </w:numPr>
        <w:spacing w:before="156" w:after="156"/>
        <w:rPr>
          <w:color w:val="auto"/>
        </w:rPr>
      </w:pPr>
      <w:r>
        <w:rPr>
          <w:rFonts w:hint="eastAsia"/>
          <w:color w:val="auto"/>
        </w:rPr>
        <w:t>表A</w:t>
      </w:r>
      <w:r>
        <w:rPr>
          <w:color w:val="auto"/>
        </w:rPr>
        <w:t xml:space="preserve">.1 </w:t>
      </w:r>
      <w:r>
        <w:rPr>
          <w:rFonts w:hint="eastAsia"/>
          <w:color w:val="auto"/>
        </w:rPr>
        <w:t>资产配置需求申请单</w:t>
      </w:r>
    </w:p>
    <w:p w14:paraId="6EB8FDA4">
      <w:pPr>
        <w:pStyle w:val="59"/>
        <w:ind w:firstLine="6090" w:firstLineChars="2900"/>
        <w:rPr>
          <w:color w:val="auto"/>
        </w:rPr>
      </w:pPr>
      <w:r>
        <w:rPr>
          <w:color w:val="auto"/>
        </w:rPr>
        <w:t>年  月  日   编号</w:t>
      </w:r>
      <w:r>
        <w:rPr>
          <w:rFonts w:hint="eastAsia"/>
          <w:color w:val="auto"/>
        </w:rPr>
        <w:t>：</w:t>
      </w:r>
    </w:p>
    <w:tbl>
      <w:tblPr>
        <w:tblStyle w:val="28"/>
        <w:tblW w:w="9443" w:type="dxa"/>
        <w:jc w:val="center"/>
        <w:tblLayout w:type="fixed"/>
        <w:tblCellMar>
          <w:top w:w="0" w:type="dxa"/>
          <w:left w:w="10" w:type="dxa"/>
          <w:bottom w:w="0" w:type="dxa"/>
          <w:right w:w="10" w:type="dxa"/>
        </w:tblCellMar>
      </w:tblPr>
      <w:tblGrid>
        <w:gridCol w:w="1366"/>
        <w:gridCol w:w="1560"/>
        <w:gridCol w:w="1429"/>
        <w:gridCol w:w="1691"/>
        <w:gridCol w:w="1582"/>
        <w:gridCol w:w="1815"/>
      </w:tblGrid>
      <w:tr w14:paraId="54EEBDF9">
        <w:tblPrEx>
          <w:tblCellMar>
            <w:top w:w="0" w:type="dxa"/>
            <w:left w:w="10" w:type="dxa"/>
            <w:bottom w:w="0" w:type="dxa"/>
            <w:right w:w="10" w:type="dxa"/>
          </w:tblCellMar>
        </w:tblPrEx>
        <w:trPr>
          <w:trHeight w:val="638" w:hRule="atLeast"/>
          <w:jc w:val="center"/>
        </w:trPr>
        <w:tc>
          <w:tcPr>
            <w:tcW w:w="1366" w:type="dxa"/>
            <w:tcBorders>
              <w:top w:val="single" w:color="auto" w:sz="8" w:space="0"/>
              <w:left w:val="single" w:color="auto" w:sz="8" w:space="0"/>
              <w:bottom w:val="nil"/>
              <w:right w:val="nil"/>
            </w:tcBorders>
            <w:shd w:val="clear" w:color="auto" w:fill="FFFFFF"/>
            <w:vAlign w:val="center"/>
          </w:tcPr>
          <w:p w14:paraId="0F4327FC">
            <w:pPr>
              <w:pStyle w:val="59"/>
              <w:ind w:firstLine="0" w:firstLineChars="0"/>
              <w:jc w:val="center"/>
              <w:rPr>
                <w:color w:val="auto"/>
              </w:rPr>
            </w:pPr>
            <w:r>
              <w:rPr>
                <w:rFonts w:hint="eastAsia"/>
                <w:color w:val="auto"/>
              </w:rPr>
              <w:t>资产使用部门</w:t>
            </w:r>
          </w:p>
        </w:tc>
        <w:tc>
          <w:tcPr>
            <w:tcW w:w="6262" w:type="dxa"/>
            <w:gridSpan w:val="4"/>
            <w:tcBorders>
              <w:top w:val="single" w:color="auto" w:sz="8" w:space="0"/>
              <w:left w:val="single" w:color="auto" w:sz="4" w:space="0"/>
              <w:bottom w:val="nil"/>
              <w:right w:val="nil"/>
            </w:tcBorders>
            <w:shd w:val="clear" w:color="auto" w:fill="FFFFFF"/>
            <w:vAlign w:val="center"/>
          </w:tcPr>
          <w:p w14:paraId="678C32F4">
            <w:pPr>
              <w:pStyle w:val="59"/>
              <w:ind w:firstLine="420"/>
              <w:jc w:val="center"/>
              <w:rPr>
                <w:color w:val="auto"/>
              </w:rPr>
            </w:pPr>
          </w:p>
        </w:tc>
        <w:tc>
          <w:tcPr>
            <w:tcW w:w="1815" w:type="dxa"/>
            <w:vMerge w:val="restart"/>
            <w:tcBorders>
              <w:top w:val="single" w:color="auto" w:sz="8" w:space="0"/>
              <w:left w:val="single" w:color="auto" w:sz="4" w:space="0"/>
              <w:bottom w:val="nil"/>
              <w:right w:val="single" w:color="auto" w:sz="8" w:space="0"/>
            </w:tcBorders>
            <w:shd w:val="clear" w:color="auto" w:fill="FFFFFF"/>
            <w:vAlign w:val="center"/>
          </w:tcPr>
          <w:p w14:paraId="06FE2577">
            <w:pPr>
              <w:pStyle w:val="59"/>
              <w:ind w:firstLine="0" w:firstLineChars="0"/>
              <w:jc w:val="center"/>
              <w:rPr>
                <w:color w:val="auto"/>
              </w:rPr>
            </w:pPr>
            <w:r>
              <w:rPr>
                <w:color w:val="auto"/>
              </w:rPr>
              <w:t>申请理由</w:t>
            </w:r>
          </w:p>
        </w:tc>
      </w:tr>
      <w:tr w14:paraId="74E4E5A7">
        <w:tblPrEx>
          <w:tblCellMar>
            <w:top w:w="0" w:type="dxa"/>
            <w:left w:w="10" w:type="dxa"/>
            <w:bottom w:w="0" w:type="dxa"/>
            <w:right w:w="10" w:type="dxa"/>
          </w:tblCellMar>
        </w:tblPrEx>
        <w:trPr>
          <w:trHeight w:val="634" w:hRule="atLeast"/>
          <w:jc w:val="center"/>
        </w:trPr>
        <w:tc>
          <w:tcPr>
            <w:tcW w:w="1366" w:type="dxa"/>
            <w:tcBorders>
              <w:top w:val="single" w:color="auto" w:sz="4" w:space="0"/>
              <w:left w:val="single" w:color="auto" w:sz="8" w:space="0"/>
              <w:bottom w:val="nil"/>
              <w:right w:val="nil"/>
            </w:tcBorders>
            <w:shd w:val="clear" w:color="auto" w:fill="FFFFFF"/>
            <w:vAlign w:val="center"/>
          </w:tcPr>
          <w:p w14:paraId="4458244C">
            <w:pPr>
              <w:pStyle w:val="59"/>
              <w:ind w:firstLine="0" w:firstLineChars="0"/>
              <w:jc w:val="center"/>
              <w:rPr>
                <w:rFonts w:hint="eastAsia" w:eastAsia="宋体"/>
                <w:color w:val="auto"/>
                <w:lang w:eastAsia="zh-CN"/>
              </w:rPr>
            </w:pPr>
            <w:r>
              <w:rPr>
                <w:rFonts w:hint="eastAsia"/>
                <w:color w:val="auto"/>
                <w:lang w:eastAsia="zh-CN"/>
              </w:rPr>
              <w:t>序号</w:t>
            </w:r>
          </w:p>
        </w:tc>
        <w:tc>
          <w:tcPr>
            <w:tcW w:w="1560" w:type="dxa"/>
            <w:tcBorders>
              <w:top w:val="single" w:color="auto" w:sz="4" w:space="0"/>
              <w:left w:val="single" w:color="auto" w:sz="4" w:space="0"/>
              <w:bottom w:val="nil"/>
              <w:right w:val="nil"/>
            </w:tcBorders>
            <w:shd w:val="clear" w:color="auto" w:fill="FFFFFF"/>
            <w:vAlign w:val="center"/>
          </w:tcPr>
          <w:p w14:paraId="69F282B7">
            <w:pPr>
              <w:pStyle w:val="59"/>
              <w:ind w:firstLine="0" w:firstLineChars="0"/>
              <w:jc w:val="center"/>
              <w:rPr>
                <w:color w:val="auto"/>
              </w:rPr>
            </w:pPr>
            <w:r>
              <w:rPr>
                <w:color w:val="auto"/>
              </w:rPr>
              <w:t>资产名称</w:t>
            </w:r>
          </w:p>
        </w:tc>
        <w:tc>
          <w:tcPr>
            <w:tcW w:w="1429" w:type="dxa"/>
            <w:tcBorders>
              <w:top w:val="single" w:color="auto" w:sz="4" w:space="0"/>
              <w:left w:val="single" w:color="auto" w:sz="4" w:space="0"/>
              <w:bottom w:val="nil"/>
              <w:right w:val="nil"/>
            </w:tcBorders>
            <w:shd w:val="clear" w:color="auto" w:fill="FFFFFF"/>
            <w:vAlign w:val="center"/>
          </w:tcPr>
          <w:p w14:paraId="3EA9AA5C">
            <w:pPr>
              <w:pStyle w:val="59"/>
              <w:ind w:firstLine="0" w:firstLineChars="0"/>
              <w:jc w:val="center"/>
              <w:rPr>
                <w:color w:val="auto"/>
              </w:rPr>
            </w:pPr>
            <w:r>
              <w:rPr>
                <w:color w:val="auto"/>
              </w:rPr>
              <w:t>申请数量</w:t>
            </w:r>
          </w:p>
        </w:tc>
        <w:tc>
          <w:tcPr>
            <w:tcW w:w="1691" w:type="dxa"/>
            <w:tcBorders>
              <w:top w:val="single" w:color="auto" w:sz="4" w:space="0"/>
              <w:left w:val="single" w:color="auto" w:sz="4" w:space="0"/>
              <w:bottom w:val="nil"/>
              <w:right w:val="nil"/>
            </w:tcBorders>
            <w:shd w:val="clear" w:color="auto" w:fill="FFFFFF"/>
            <w:vAlign w:val="center"/>
          </w:tcPr>
          <w:p w14:paraId="7E43285C">
            <w:pPr>
              <w:pStyle w:val="59"/>
              <w:ind w:firstLine="0" w:firstLineChars="0"/>
              <w:jc w:val="center"/>
              <w:rPr>
                <w:color w:val="auto"/>
              </w:rPr>
            </w:pPr>
            <w:r>
              <w:rPr>
                <w:color w:val="auto"/>
              </w:rPr>
              <w:t>现有数量</w:t>
            </w:r>
          </w:p>
        </w:tc>
        <w:tc>
          <w:tcPr>
            <w:tcW w:w="1582" w:type="dxa"/>
            <w:tcBorders>
              <w:top w:val="single" w:color="auto" w:sz="4" w:space="0"/>
              <w:left w:val="single" w:color="auto" w:sz="4" w:space="0"/>
              <w:bottom w:val="nil"/>
              <w:right w:val="nil"/>
            </w:tcBorders>
            <w:shd w:val="clear" w:color="auto" w:fill="FFFFFF"/>
            <w:vAlign w:val="center"/>
          </w:tcPr>
          <w:p w14:paraId="5CD02AB1">
            <w:pPr>
              <w:pStyle w:val="59"/>
              <w:ind w:firstLine="0" w:firstLineChars="0"/>
              <w:jc w:val="center"/>
              <w:rPr>
                <w:color w:val="auto"/>
              </w:rPr>
            </w:pPr>
            <w:r>
              <w:rPr>
                <w:color w:val="auto"/>
              </w:rPr>
              <w:t>预算金额(元)</w:t>
            </w:r>
          </w:p>
        </w:tc>
        <w:tc>
          <w:tcPr>
            <w:tcW w:w="1815" w:type="dxa"/>
            <w:vMerge w:val="continue"/>
            <w:tcBorders>
              <w:top w:val="single" w:color="auto" w:sz="4" w:space="0"/>
              <w:left w:val="single" w:color="auto" w:sz="4" w:space="0"/>
              <w:bottom w:val="nil"/>
              <w:right w:val="single" w:color="auto" w:sz="8" w:space="0"/>
            </w:tcBorders>
            <w:vAlign w:val="center"/>
          </w:tcPr>
          <w:p w14:paraId="6097EDDC">
            <w:pPr>
              <w:pStyle w:val="59"/>
              <w:ind w:firstLine="420"/>
              <w:jc w:val="center"/>
              <w:rPr>
                <w:color w:val="auto"/>
              </w:rPr>
            </w:pPr>
          </w:p>
        </w:tc>
      </w:tr>
      <w:tr w14:paraId="29F0A827">
        <w:tblPrEx>
          <w:tblCellMar>
            <w:top w:w="0" w:type="dxa"/>
            <w:left w:w="10" w:type="dxa"/>
            <w:bottom w:w="0" w:type="dxa"/>
            <w:right w:w="10" w:type="dxa"/>
          </w:tblCellMar>
        </w:tblPrEx>
        <w:trPr>
          <w:trHeight w:val="456" w:hRule="atLeast"/>
          <w:jc w:val="center"/>
        </w:trPr>
        <w:tc>
          <w:tcPr>
            <w:tcW w:w="1366" w:type="dxa"/>
            <w:tcBorders>
              <w:top w:val="single" w:color="auto" w:sz="4" w:space="0"/>
              <w:left w:val="single" w:color="auto" w:sz="8" w:space="0"/>
              <w:bottom w:val="nil"/>
              <w:right w:val="nil"/>
            </w:tcBorders>
            <w:shd w:val="clear" w:color="auto" w:fill="FFFFFF"/>
            <w:vAlign w:val="center"/>
          </w:tcPr>
          <w:p w14:paraId="39AC4274">
            <w:pPr>
              <w:pStyle w:val="59"/>
              <w:ind w:firstLine="420"/>
              <w:rPr>
                <w:color w:val="auto"/>
              </w:rPr>
            </w:pPr>
          </w:p>
        </w:tc>
        <w:tc>
          <w:tcPr>
            <w:tcW w:w="1560" w:type="dxa"/>
            <w:tcBorders>
              <w:top w:val="single" w:color="auto" w:sz="4" w:space="0"/>
              <w:left w:val="single" w:color="auto" w:sz="4" w:space="0"/>
              <w:bottom w:val="nil"/>
              <w:right w:val="nil"/>
            </w:tcBorders>
            <w:shd w:val="clear" w:color="auto" w:fill="FFFFFF"/>
            <w:vAlign w:val="center"/>
          </w:tcPr>
          <w:p w14:paraId="153C1C78">
            <w:pPr>
              <w:pStyle w:val="59"/>
              <w:ind w:firstLine="420"/>
              <w:rPr>
                <w:color w:val="auto"/>
              </w:rPr>
            </w:pPr>
          </w:p>
        </w:tc>
        <w:tc>
          <w:tcPr>
            <w:tcW w:w="1429" w:type="dxa"/>
            <w:tcBorders>
              <w:top w:val="single" w:color="auto" w:sz="4" w:space="0"/>
              <w:left w:val="single" w:color="auto" w:sz="4" w:space="0"/>
              <w:bottom w:val="nil"/>
              <w:right w:val="nil"/>
            </w:tcBorders>
            <w:shd w:val="clear" w:color="auto" w:fill="FFFFFF"/>
            <w:vAlign w:val="center"/>
          </w:tcPr>
          <w:p w14:paraId="2B68EEE8">
            <w:pPr>
              <w:pStyle w:val="59"/>
              <w:ind w:firstLine="420"/>
              <w:rPr>
                <w:color w:val="auto"/>
              </w:rPr>
            </w:pPr>
          </w:p>
        </w:tc>
        <w:tc>
          <w:tcPr>
            <w:tcW w:w="1691" w:type="dxa"/>
            <w:tcBorders>
              <w:top w:val="single" w:color="auto" w:sz="4" w:space="0"/>
              <w:left w:val="single" w:color="auto" w:sz="4" w:space="0"/>
              <w:bottom w:val="nil"/>
              <w:right w:val="nil"/>
            </w:tcBorders>
            <w:shd w:val="clear" w:color="auto" w:fill="FFFFFF"/>
            <w:vAlign w:val="center"/>
          </w:tcPr>
          <w:p w14:paraId="5A079525">
            <w:pPr>
              <w:pStyle w:val="59"/>
              <w:ind w:firstLine="420"/>
              <w:rPr>
                <w:color w:val="auto"/>
              </w:rPr>
            </w:pPr>
          </w:p>
        </w:tc>
        <w:tc>
          <w:tcPr>
            <w:tcW w:w="1582" w:type="dxa"/>
            <w:tcBorders>
              <w:top w:val="single" w:color="auto" w:sz="4" w:space="0"/>
              <w:left w:val="single" w:color="auto" w:sz="4" w:space="0"/>
              <w:bottom w:val="nil"/>
              <w:right w:val="nil"/>
            </w:tcBorders>
            <w:shd w:val="clear" w:color="auto" w:fill="FFFFFF"/>
            <w:vAlign w:val="center"/>
          </w:tcPr>
          <w:p w14:paraId="63EA4D58">
            <w:pPr>
              <w:pStyle w:val="59"/>
              <w:ind w:firstLine="420"/>
              <w:rPr>
                <w:color w:val="auto"/>
              </w:rPr>
            </w:pPr>
          </w:p>
        </w:tc>
        <w:tc>
          <w:tcPr>
            <w:tcW w:w="1815" w:type="dxa"/>
            <w:vMerge w:val="restart"/>
            <w:tcBorders>
              <w:top w:val="single" w:color="auto" w:sz="4" w:space="0"/>
              <w:left w:val="single" w:color="auto" w:sz="4" w:space="0"/>
              <w:bottom w:val="nil"/>
              <w:right w:val="single" w:color="auto" w:sz="8" w:space="0"/>
            </w:tcBorders>
            <w:shd w:val="clear" w:color="auto" w:fill="FFFFFF"/>
            <w:vAlign w:val="center"/>
          </w:tcPr>
          <w:p w14:paraId="2F483A8D">
            <w:pPr>
              <w:pStyle w:val="59"/>
              <w:ind w:firstLine="420"/>
              <w:rPr>
                <w:color w:val="auto"/>
              </w:rPr>
            </w:pPr>
          </w:p>
        </w:tc>
      </w:tr>
      <w:tr w14:paraId="206F1C5E">
        <w:tblPrEx>
          <w:tblCellMar>
            <w:top w:w="0" w:type="dxa"/>
            <w:left w:w="10" w:type="dxa"/>
            <w:bottom w:w="0" w:type="dxa"/>
            <w:right w:w="10" w:type="dxa"/>
          </w:tblCellMar>
        </w:tblPrEx>
        <w:trPr>
          <w:trHeight w:val="451" w:hRule="atLeast"/>
          <w:jc w:val="center"/>
        </w:trPr>
        <w:tc>
          <w:tcPr>
            <w:tcW w:w="1366" w:type="dxa"/>
            <w:tcBorders>
              <w:top w:val="single" w:color="auto" w:sz="4" w:space="0"/>
              <w:left w:val="single" w:color="auto" w:sz="8" w:space="0"/>
              <w:bottom w:val="nil"/>
              <w:right w:val="nil"/>
            </w:tcBorders>
            <w:shd w:val="clear" w:color="auto" w:fill="FFFFFF"/>
            <w:vAlign w:val="center"/>
          </w:tcPr>
          <w:p w14:paraId="0DA5EE69">
            <w:pPr>
              <w:pStyle w:val="59"/>
              <w:ind w:firstLine="420"/>
              <w:rPr>
                <w:color w:val="auto"/>
              </w:rPr>
            </w:pPr>
          </w:p>
        </w:tc>
        <w:tc>
          <w:tcPr>
            <w:tcW w:w="1560" w:type="dxa"/>
            <w:tcBorders>
              <w:top w:val="single" w:color="auto" w:sz="4" w:space="0"/>
              <w:left w:val="single" w:color="auto" w:sz="4" w:space="0"/>
              <w:bottom w:val="nil"/>
              <w:right w:val="nil"/>
            </w:tcBorders>
            <w:shd w:val="clear" w:color="auto" w:fill="FFFFFF"/>
            <w:vAlign w:val="center"/>
          </w:tcPr>
          <w:p w14:paraId="3CD62949">
            <w:pPr>
              <w:pStyle w:val="59"/>
              <w:ind w:firstLine="420"/>
              <w:rPr>
                <w:color w:val="auto"/>
              </w:rPr>
            </w:pPr>
          </w:p>
        </w:tc>
        <w:tc>
          <w:tcPr>
            <w:tcW w:w="1429" w:type="dxa"/>
            <w:tcBorders>
              <w:top w:val="single" w:color="auto" w:sz="4" w:space="0"/>
              <w:left w:val="single" w:color="auto" w:sz="4" w:space="0"/>
              <w:bottom w:val="nil"/>
              <w:right w:val="nil"/>
            </w:tcBorders>
            <w:shd w:val="clear" w:color="auto" w:fill="FFFFFF"/>
            <w:vAlign w:val="center"/>
          </w:tcPr>
          <w:p w14:paraId="25186FF7">
            <w:pPr>
              <w:pStyle w:val="59"/>
              <w:ind w:firstLine="420"/>
              <w:rPr>
                <w:color w:val="auto"/>
              </w:rPr>
            </w:pPr>
          </w:p>
        </w:tc>
        <w:tc>
          <w:tcPr>
            <w:tcW w:w="1691" w:type="dxa"/>
            <w:tcBorders>
              <w:top w:val="single" w:color="auto" w:sz="4" w:space="0"/>
              <w:left w:val="single" w:color="auto" w:sz="4" w:space="0"/>
              <w:bottom w:val="nil"/>
              <w:right w:val="nil"/>
            </w:tcBorders>
            <w:shd w:val="clear" w:color="auto" w:fill="FFFFFF"/>
            <w:vAlign w:val="center"/>
          </w:tcPr>
          <w:p w14:paraId="7B4AE64B">
            <w:pPr>
              <w:pStyle w:val="59"/>
              <w:ind w:firstLine="420"/>
              <w:rPr>
                <w:color w:val="auto"/>
              </w:rPr>
            </w:pPr>
          </w:p>
        </w:tc>
        <w:tc>
          <w:tcPr>
            <w:tcW w:w="1582" w:type="dxa"/>
            <w:tcBorders>
              <w:top w:val="single" w:color="auto" w:sz="4" w:space="0"/>
              <w:left w:val="single" w:color="auto" w:sz="4" w:space="0"/>
              <w:bottom w:val="nil"/>
              <w:right w:val="nil"/>
            </w:tcBorders>
            <w:shd w:val="clear" w:color="auto" w:fill="FFFFFF"/>
            <w:vAlign w:val="center"/>
          </w:tcPr>
          <w:p w14:paraId="2830FC46">
            <w:pPr>
              <w:pStyle w:val="59"/>
              <w:ind w:firstLine="420"/>
              <w:rPr>
                <w:color w:val="auto"/>
              </w:rPr>
            </w:pPr>
          </w:p>
        </w:tc>
        <w:tc>
          <w:tcPr>
            <w:tcW w:w="1815" w:type="dxa"/>
            <w:vMerge w:val="continue"/>
            <w:tcBorders>
              <w:top w:val="single" w:color="auto" w:sz="4" w:space="0"/>
              <w:left w:val="single" w:color="auto" w:sz="4" w:space="0"/>
              <w:bottom w:val="nil"/>
              <w:right w:val="single" w:color="auto" w:sz="8" w:space="0"/>
            </w:tcBorders>
            <w:vAlign w:val="center"/>
          </w:tcPr>
          <w:p w14:paraId="1F6E6E95">
            <w:pPr>
              <w:pStyle w:val="59"/>
              <w:ind w:firstLine="420"/>
              <w:rPr>
                <w:color w:val="auto"/>
              </w:rPr>
            </w:pPr>
          </w:p>
        </w:tc>
      </w:tr>
      <w:tr w14:paraId="27B5CDAF">
        <w:tblPrEx>
          <w:tblCellMar>
            <w:top w:w="0" w:type="dxa"/>
            <w:left w:w="10" w:type="dxa"/>
            <w:bottom w:w="0" w:type="dxa"/>
            <w:right w:w="10" w:type="dxa"/>
          </w:tblCellMar>
        </w:tblPrEx>
        <w:trPr>
          <w:trHeight w:val="456" w:hRule="atLeast"/>
          <w:jc w:val="center"/>
        </w:trPr>
        <w:tc>
          <w:tcPr>
            <w:tcW w:w="1366" w:type="dxa"/>
            <w:tcBorders>
              <w:top w:val="single" w:color="auto" w:sz="4" w:space="0"/>
              <w:left w:val="single" w:color="auto" w:sz="8" w:space="0"/>
              <w:bottom w:val="nil"/>
              <w:right w:val="nil"/>
            </w:tcBorders>
            <w:shd w:val="clear" w:color="auto" w:fill="FFFFFF"/>
            <w:vAlign w:val="center"/>
          </w:tcPr>
          <w:p w14:paraId="0E9FB1DE">
            <w:pPr>
              <w:pStyle w:val="59"/>
              <w:ind w:firstLine="420"/>
              <w:rPr>
                <w:color w:val="auto"/>
              </w:rPr>
            </w:pPr>
          </w:p>
        </w:tc>
        <w:tc>
          <w:tcPr>
            <w:tcW w:w="1560" w:type="dxa"/>
            <w:tcBorders>
              <w:top w:val="single" w:color="auto" w:sz="4" w:space="0"/>
              <w:left w:val="single" w:color="auto" w:sz="4" w:space="0"/>
              <w:bottom w:val="nil"/>
              <w:right w:val="nil"/>
            </w:tcBorders>
            <w:shd w:val="clear" w:color="auto" w:fill="FFFFFF"/>
            <w:vAlign w:val="center"/>
          </w:tcPr>
          <w:p w14:paraId="61CBFF55">
            <w:pPr>
              <w:pStyle w:val="59"/>
              <w:ind w:firstLine="420"/>
              <w:rPr>
                <w:color w:val="auto"/>
              </w:rPr>
            </w:pPr>
          </w:p>
        </w:tc>
        <w:tc>
          <w:tcPr>
            <w:tcW w:w="1429" w:type="dxa"/>
            <w:tcBorders>
              <w:top w:val="single" w:color="auto" w:sz="4" w:space="0"/>
              <w:left w:val="single" w:color="auto" w:sz="4" w:space="0"/>
              <w:bottom w:val="nil"/>
              <w:right w:val="nil"/>
            </w:tcBorders>
            <w:shd w:val="clear" w:color="auto" w:fill="FFFFFF"/>
            <w:vAlign w:val="center"/>
          </w:tcPr>
          <w:p w14:paraId="0B2246D4">
            <w:pPr>
              <w:pStyle w:val="59"/>
              <w:ind w:firstLine="420"/>
              <w:rPr>
                <w:color w:val="auto"/>
              </w:rPr>
            </w:pPr>
          </w:p>
        </w:tc>
        <w:tc>
          <w:tcPr>
            <w:tcW w:w="1691" w:type="dxa"/>
            <w:tcBorders>
              <w:top w:val="single" w:color="auto" w:sz="4" w:space="0"/>
              <w:left w:val="single" w:color="auto" w:sz="4" w:space="0"/>
              <w:bottom w:val="nil"/>
              <w:right w:val="nil"/>
            </w:tcBorders>
            <w:shd w:val="clear" w:color="auto" w:fill="FFFFFF"/>
            <w:vAlign w:val="center"/>
          </w:tcPr>
          <w:p w14:paraId="5B53CED0">
            <w:pPr>
              <w:pStyle w:val="59"/>
              <w:ind w:firstLine="420"/>
              <w:rPr>
                <w:color w:val="auto"/>
              </w:rPr>
            </w:pPr>
          </w:p>
        </w:tc>
        <w:tc>
          <w:tcPr>
            <w:tcW w:w="1582" w:type="dxa"/>
            <w:tcBorders>
              <w:top w:val="single" w:color="auto" w:sz="4" w:space="0"/>
              <w:left w:val="single" w:color="auto" w:sz="4" w:space="0"/>
              <w:bottom w:val="nil"/>
              <w:right w:val="nil"/>
            </w:tcBorders>
            <w:shd w:val="clear" w:color="auto" w:fill="FFFFFF"/>
            <w:vAlign w:val="center"/>
          </w:tcPr>
          <w:p w14:paraId="4DB2FD8A">
            <w:pPr>
              <w:pStyle w:val="59"/>
              <w:ind w:firstLine="420"/>
              <w:rPr>
                <w:color w:val="auto"/>
              </w:rPr>
            </w:pPr>
          </w:p>
        </w:tc>
        <w:tc>
          <w:tcPr>
            <w:tcW w:w="1815" w:type="dxa"/>
            <w:vMerge w:val="continue"/>
            <w:tcBorders>
              <w:top w:val="single" w:color="auto" w:sz="4" w:space="0"/>
              <w:left w:val="single" w:color="auto" w:sz="4" w:space="0"/>
              <w:bottom w:val="nil"/>
              <w:right w:val="single" w:color="auto" w:sz="8" w:space="0"/>
            </w:tcBorders>
            <w:vAlign w:val="center"/>
          </w:tcPr>
          <w:p w14:paraId="11F5042B">
            <w:pPr>
              <w:pStyle w:val="59"/>
              <w:ind w:firstLine="420"/>
              <w:rPr>
                <w:color w:val="auto"/>
              </w:rPr>
            </w:pPr>
          </w:p>
        </w:tc>
      </w:tr>
      <w:tr w14:paraId="30FD6157">
        <w:tblPrEx>
          <w:tblCellMar>
            <w:top w:w="0" w:type="dxa"/>
            <w:left w:w="10" w:type="dxa"/>
            <w:bottom w:w="0" w:type="dxa"/>
            <w:right w:w="10" w:type="dxa"/>
          </w:tblCellMar>
        </w:tblPrEx>
        <w:trPr>
          <w:trHeight w:val="456" w:hRule="atLeast"/>
          <w:jc w:val="center"/>
        </w:trPr>
        <w:tc>
          <w:tcPr>
            <w:tcW w:w="1366" w:type="dxa"/>
            <w:tcBorders>
              <w:top w:val="single" w:color="auto" w:sz="4" w:space="0"/>
              <w:left w:val="single" w:color="auto" w:sz="8" w:space="0"/>
              <w:bottom w:val="nil"/>
              <w:right w:val="nil"/>
            </w:tcBorders>
            <w:shd w:val="clear" w:color="auto" w:fill="FFFFFF"/>
            <w:vAlign w:val="center"/>
          </w:tcPr>
          <w:p w14:paraId="6D605EFB">
            <w:pPr>
              <w:pStyle w:val="59"/>
              <w:ind w:firstLine="420"/>
              <w:rPr>
                <w:color w:val="auto"/>
              </w:rPr>
            </w:pPr>
          </w:p>
        </w:tc>
        <w:tc>
          <w:tcPr>
            <w:tcW w:w="1560" w:type="dxa"/>
            <w:tcBorders>
              <w:top w:val="single" w:color="auto" w:sz="4" w:space="0"/>
              <w:left w:val="single" w:color="auto" w:sz="4" w:space="0"/>
              <w:bottom w:val="nil"/>
              <w:right w:val="nil"/>
            </w:tcBorders>
            <w:shd w:val="clear" w:color="auto" w:fill="FFFFFF"/>
            <w:vAlign w:val="center"/>
          </w:tcPr>
          <w:p w14:paraId="21E6BF04">
            <w:pPr>
              <w:pStyle w:val="59"/>
              <w:ind w:firstLine="420"/>
              <w:rPr>
                <w:color w:val="auto"/>
              </w:rPr>
            </w:pPr>
          </w:p>
        </w:tc>
        <w:tc>
          <w:tcPr>
            <w:tcW w:w="1429" w:type="dxa"/>
            <w:tcBorders>
              <w:top w:val="single" w:color="auto" w:sz="4" w:space="0"/>
              <w:left w:val="single" w:color="auto" w:sz="4" w:space="0"/>
              <w:bottom w:val="nil"/>
              <w:right w:val="nil"/>
            </w:tcBorders>
            <w:shd w:val="clear" w:color="auto" w:fill="FFFFFF"/>
            <w:vAlign w:val="center"/>
          </w:tcPr>
          <w:p w14:paraId="505CBA1C">
            <w:pPr>
              <w:pStyle w:val="59"/>
              <w:ind w:firstLine="420"/>
              <w:rPr>
                <w:color w:val="auto"/>
              </w:rPr>
            </w:pPr>
          </w:p>
        </w:tc>
        <w:tc>
          <w:tcPr>
            <w:tcW w:w="1691" w:type="dxa"/>
            <w:tcBorders>
              <w:top w:val="single" w:color="auto" w:sz="4" w:space="0"/>
              <w:left w:val="single" w:color="auto" w:sz="4" w:space="0"/>
              <w:bottom w:val="nil"/>
              <w:right w:val="nil"/>
            </w:tcBorders>
            <w:shd w:val="clear" w:color="auto" w:fill="FFFFFF"/>
            <w:vAlign w:val="center"/>
          </w:tcPr>
          <w:p w14:paraId="7A78D4EA">
            <w:pPr>
              <w:pStyle w:val="59"/>
              <w:ind w:firstLine="420"/>
              <w:rPr>
                <w:color w:val="auto"/>
              </w:rPr>
            </w:pPr>
          </w:p>
        </w:tc>
        <w:tc>
          <w:tcPr>
            <w:tcW w:w="1582" w:type="dxa"/>
            <w:tcBorders>
              <w:top w:val="single" w:color="auto" w:sz="4" w:space="0"/>
              <w:left w:val="single" w:color="auto" w:sz="4" w:space="0"/>
              <w:bottom w:val="nil"/>
              <w:right w:val="nil"/>
            </w:tcBorders>
            <w:shd w:val="clear" w:color="auto" w:fill="FFFFFF"/>
            <w:vAlign w:val="center"/>
          </w:tcPr>
          <w:p w14:paraId="31B284AC">
            <w:pPr>
              <w:pStyle w:val="59"/>
              <w:ind w:firstLine="420"/>
              <w:rPr>
                <w:color w:val="auto"/>
              </w:rPr>
            </w:pPr>
          </w:p>
        </w:tc>
        <w:tc>
          <w:tcPr>
            <w:tcW w:w="1815" w:type="dxa"/>
            <w:vMerge w:val="continue"/>
            <w:tcBorders>
              <w:top w:val="single" w:color="auto" w:sz="4" w:space="0"/>
              <w:left w:val="single" w:color="auto" w:sz="4" w:space="0"/>
              <w:bottom w:val="nil"/>
              <w:right w:val="single" w:color="auto" w:sz="8" w:space="0"/>
            </w:tcBorders>
            <w:vAlign w:val="center"/>
          </w:tcPr>
          <w:p w14:paraId="7E476344">
            <w:pPr>
              <w:pStyle w:val="59"/>
              <w:ind w:firstLine="420"/>
              <w:rPr>
                <w:color w:val="auto"/>
              </w:rPr>
            </w:pPr>
          </w:p>
        </w:tc>
      </w:tr>
      <w:tr w14:paraId="129838DC">
        <w:tblPrEx>
          <w:tblCellMar>
            <w:top w:w="0" w:type="dxa"/>
            <w:left w:w="10" w:type="dxa"/>
            <w:bottom w:w="0" w:type="dxa"/>
            <w:right w:w="10" w:type="dxa"/>
          </w:tblCellMar>
        </w:tblPrEx>
        <w:trPr>
          <w:trHeight w:val="451" w:hRule="atLeast"/>
          <w:jc w:val="center"/>
        </w:trPr>
        <w:tc>
          <w:tcPr>
            <w:tcW w:w="1366" w:type="dxa"/>
            <w:tcBorders>
              <w:top w:val="single" w:color="auto" w:sz="4" w:space="0"/>
              <w:left w:val="single" w:color="auto" w:sz="8" w:space="0"/>
              <w:bottom w:val="single" w:color="auto" w:sz="4" w:space="0"/>
              <w:right w:val="nil"/>
            </w:tcBorders>
            <w:shd w:val="clear" w:color="auto" w:fill="FFFFFF"/>
            <w:vAlign w:val="center"/>
          </w:tcPr>
          <w:p w14:paraId="24136B08">
            <w:pPr>
              <w:pStyle w:val="59"/>
              <w:ind w:firstLine="420"/>
              <w:rPr>
                <w:color w:val="auto"/>
              </w:rPr>
            </w:pPr>
          </w:p>
        </w:tc>
        <w:tc>
          <w:tcPr>
            <w:tcW w:w="1560" w:type="dxa"/>
            <w:tcBorders>
              <w:top w:val="single" w:color="auto" w:sz="4" w:space="0"/>
              <w:left w:val="single" w:color="auto" w:sz="4" w:space="0"/>
              <w:bottom w:val="single" w:color="auto" w:sz="4" w:space="0"/>
              <w:right w:val="nil"/>
            </w:tcBorders>
            <w:shd w:val="clear" w:color="auto" w:fill="FFFFFF"/>
            <w:vAlign w:val="center"/>
          </w:tcPr>
          <w:p w14:paraId="39ADA0D0">
            <w:pPr>
              <w:pStyle w:val="59"/>
              <w:ind w:firstLine="420"/>
              <w:rPr>
                <w:color w:val="auto"/>
              </w:rPr>
            </w:pPr>
          </w:p>
        </w:tc>
        <w:tc>
          <w:tcPr>
            <w:tcW w:w="1429" w:type="dxa"/>
            <w:tcBorders>
              <w:top w:val="single" w:color="auto" w:sz="4" w:space="0"/>
              <w:left w:val="single" w:color="auto" w:sz="4" w:space="0"/>
              <w:bottom w:val="single" w:color="auto" w:sz="4" w:space="0"/>
              <w:right w:val="nil"/>
            </w:tcBorders>
            <w:shd w:val="clear" w:color="auto" w:fill="FFFFFF"/>
            <w:vAlign w:val="center"/>
          </w:tcPr>
          <w:p w14:paraId="471688EA">
            <w:pPr>
              <w:pStyle w:val="59"/>
              <w:ind w:firstLine="420"/>
              <w:rPr>
                <w:color w:val="auto"/>
              </w:rPr>
            </w:pPr>
          </w:p>
        </w:tc>
        <w:tc>
          <w:tcPr>
            <w:tcW w:w="1691" w:type="dxa"/>
            <w:tcBorders>
              <w:top w:val="single" w:color="auto" w:sz="4" w:space="0"/>
              <w:left w:val="single" w:color="auto" w:sz="4" w:space="0"/>
              <w:bottom w:val="single" w:color="auto" w:sz="4" w:space="0"/>
              <w:right w:val="nil"/>
            </w:tcBorders>
            <w:shd w:val="clear" w:color="auto" w:fill="FFFFFF"/>
            <w:vAlign w:val="center"/>
          </w:tcPr>
          <w:p w14:paraId="7371F12B">
            <w:pPr>
              <w:pStyle w:val="59"/>
              <w:ind w:firstLine="420"/>
              <w:rPr>
                <w:color w:val="auto"/>
              </w:rPr>
            </w:pPr>
          </w:p>
        </w:tc>
        <w:tc>
          <w:tcPr>
            <w:tcW w:w="1582" w:type="dxa"/>
            <w:tcBorders>
              <w:top w:val="single" w:color="auto" w:sz="4" w:space="0"/>
              <w:left w:val="single" w:color="auto" w:sz="4" w:space="0"/>
              <w:bottom w:val="single" w:color="auto" w:sz="4" w:space="0"/>
              <w:right w:val="nil"/>
            </w:tcBorders>
            <w:shd w:val="clear" w:color="auto" w:fill="FFFFFF"/>
            <w:vAlign w:val="center"/>
          </w:tcPr>
          <w:p w14:paraId="78A9E749">
            <w:pPr>
              <w:pStyle w:val="59"/>
              <w:ind w:firstLine="420"/>
              <w:rPr>
                <w:color w:val="auto"/>
              </w:rPr>
            </w:pPr>
          </w:p>
        </w:tc>
        <w:tc>
          <w:tcPr>
            <w:tcW w:w="1815" w:type="dxa"/>
            <w:vMerge w:val="continue"/>
            <w:tcBorders>
              <w:top w:val="single" w:color="auto" w:sz="4" w:space="0"/>
              <w:left w:val="single" w:color="auto" w:sz="4" w:space="0"/>
              <w:bottom w:val="single" w:color="auto" w:sz="4" w:space="0"/>
              <w:right w:val="single" w:color="auto" w:sz="8" w:space="0"/>
            </w:tcBorders>
            <w:vAlign w:val="center"/>
          </w:tcPr>
          <w:p w14:paraId="1441059E">
            <w:pPr>
              <w:pStyle w:val="59"/>
              <w:ind w:firstLine="420"/>
              <w:rPr>
                <w:color w:val="auto"/>
              </w:rPr>
            </w:pPr>
          </w:p>
        </w:tc>
      </w:tr>
      <w:tr w14:paraId="64884608">
        <w:tblPrEx>
          <w:tblCellMar>
            <w:top w:w="0" w:type="dxa"/>
            <w:left w:w="10" w:type="dxa"/>
            <w:bottom w:w="0" w:type="dxa"/>
            <w:right w:w="10" w:type="dxa"/>
          </w:tblCellMar>
        </w:tblPrEx>
        <w:trPr>
          <w:trHeight w:val="3532" w:hRule="atLeast"/>
          <w:jc w:val="center"/>
        </w:trPr>
        <w:tc>
          <w:tcPr>
            <w:tcW w:w="4355"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14:paraId="3638993C">
            <w:pPr>
              <w:pStyle w:val="59"/>
              <w:ind w:firstLine="420"/>
              <w:rPr>
                <w:color w:val="auto"/>
              </w:rPr>
            </w:pPr>
            <w:r>
              <w:rPr>
                <w:rFonts w:hint="eastAsia"/>
                <w:color w:val="auto"/>
              </w:rPr>
              <w:t>资产使用</w:t>
            </w:r>
            <w:r>
              <w:rPr>
                <w:color w:val="auto"/>
              </w:rPr>
              <w:t>部门意见</w:t>
            </w:r>
          </w:p>
          <w:p w14:paraId="5FBFD81F">
            <w:pPr>
              <w:pStyle w:val="59"/>
              <w:ind w:firstLine="420"/>
              <w:rPr>
                <w:color w:val="auto"/>
              </w:rPr>
            </w:pPr>
          </w:p>
          <w:p w14:paraId="146EE1D6">
            <w:pPr>
              <w:pStyle w:val="59"/>
              <w:ind w:firstLine="420"/>
              <w:rPr>
                <w:color w:val="auto"/>
              </w:rPr>
            </w:pPr>
          </w:p>
          <w:p w14:paraId="1361FD86">
            <w:pPr>
              <w:pStyle w:val="59"/>
              <w:ind w:firstLine="420"/>
              <w:rPr>
                <w:color w:val="auto"/>
              </w:rPr>
            </w:pPr>
          </w:p>
          <w:p w14:paraId="3F274D20">
            <w:pPr>
              <w:pStyle w:val="59"/>
              <w:ind w:firstLine="420"/>
              <w:rPr>
                <w:color w:val="auto"/>
              </w:rPr>
            </w:pPr>
          </w:p>
          <w:p w14:paraId="4753B1BF">
            <w:pPr>
              <w:pStyle w:val="59"/>
              <w:ind w:firstLine="420"/>
              <w:rPr>
                <w:color w:val="auto"/>
              </w:rPr>
            </w:pPr>
          </w:p>
          <w:p w14:paraId="2875662C">
            <w:pPr>
              <w:pStyle w:val="59"/>
              <w:ind w:firstLine="420"/>
              <w:rPr>
                <w:rFonts w:hint="eastAsia"/>
                <w:color w:val="auto"/>
              </w:rPr>
            </w:pPr>
            <w:r>
              <w:rPr>
                <w:rFonts w:hint="eastAsia"/>
                <w:color w:val="auto"/>
              </w:rPr>
              <w:t>资产使用部门资产专管员：</w:t>
            </w:r>
          </w:p>
          <w:p w14:paraId="3E6F1B52">
            <w:pPr>
              <w:pStyle w:val="59"/>
              <w:ind w:firstLine="420"/>
              <w:rPr>
                <w:rFonts w:hint="eastAsia"/>
                <w:color w:val="auto"/>
              </w:rPr>
            </w:pPr>
          </w:p>
          <w:p w14:paraId="0056D843">
            <w:pPr>
              <w:pStyle w:val="59"/>
              <w:ind w:firstLine="420"/>
              <w:rPr>
                <w:color w:val="auto"/>
              </w:rPr>
            </w:pPr>
            <w:r>
              <w:rPr>
                <w:rFonts w:hint="eastAsia"/>
                <w:color w:val="auto"/>
              </w:rPr>
              <w:t>资产使用部门负责人：</w:t>
            </w:r>
          </w:p>
        </w:tc>
        <w:tc>
          <w:tcPr>
            <w:tcW w:w="5088"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14:paraId="2F47CC41">
            <w:pPr>
              <w:pStyle w:val="59"/>
              <w:ind w:firstLine="420"/>
              <w:rPr>
                <w:color w:val="auto"/>
              </w:rPr>
            </w:pPr>
            <w:r>
              <w:rPr>
                <w:rFonts w:hint="eastAsia"/>
                <w:color w:val="auto"/>
              </w:rPr>
              <w:t>资产管理部门</w:t>
            </w:r>
            <w:r>
              <w:rPr>
                <w:color w:val="auto"/>
              </w:rPr>
              <w:t>意见</w:t>
            </w:r>
          </w:p>
          <w:p w14:paraId="2F5F31DF">
            <w:pPr>
              <w:pStyle w:val="59"/>
              <w:ind w:firstLine="420"/>
              <w:rPr>
                <w:color w:val="auto"/>
              </w:rPr>
            </w:pPr>
          </w:p>
          <w:p w14:paraId="698259E6">
            <w:pPr>
              <w:pStyle w:val="59"/>
              <w:ind w:firstLine="420"/>
              <w:rPr>
                <w:color w:val="auto"/>
              </w:rPr>
            </w:pPr>
          </w:p>
          <w:p w14:paraId="1A29BD24">
            <w:pPr>
              <w:pStyle w:val="59"/>
              <w:ind w:firstLine="420"/>
              <w:rPr>
                <w:color w:val="auto"/>
              </w:rPr>
            </w:pPr>
          </w:p>
          <w:p w14:paraId="2F022CD4">
            <w:pPr>
              <w:pStyle w:val="59"/>
              <w:ind w:firstLine="420"/>
              <w:rPr>
                <w:color w:val="auto"/>
              </w:rPr>
            </w:pPr>
          </w:p>
          <w:p w14:paraId="17753895">
            <w:pPr>
              <w:pStyle w:val="59"/>
              <w:ind w:firstLine="420"/>
              <w:rPr>
                <w:color w:val="auto"/>
              </w:rPr>
            </w:pPr>
          </w:p>
          <w:p w14:paraId="0559F0C3">
            <w:pPr>
              <w:pStyle w:val="59"/>
              <w:ind w:firstLine="420"/>
              <w:rPr>
                <w:rFonts w:hint="eastAsia"/>
                <w:color w:val="auto"/>
              </w:rPr>
            </w:pPr>
            <w:r>
              <w:rPr>
                <w:rFonts w:hint="eastAsia"/>
                <w:color w:val="auto"/>
              </w:rPr>
              <w:t>资产管理部门资产管理员：</w:t>
            </w:r>
          </w:p>
          <w:p w14:paraId="18E7CAC5">
            <w:pPr>
              <w:pStyle w:val="59"/>
              <w:ind w:firstLine="420"/>
              <w:rPr>
                <w:rFonts w:hint="eastAsia"/>
                <w:color w:val="auto"/>
              </w:rPr>
            </w:pPr>
          </w:p>
          <w:p w14:paraId="2B1ADC88">
            <w:pPr>
              <w:pStyle w:val="59"/>
              <w:ind w:firstLine="420"/>
              <w:rPr>
                <w:color w:val="auto"/>
              </w:rPr>
            </w:pPr>
            <w:r>
              <w:rPr>
                <w:rFonts w:hint="eastAsia"/>
                <w:color w:val="auto"/>
              </w:rPr>
              <w:t>资产管理部门负责人：</w:t>
            </w:r>
          </w:p>
        </w:tc>
      </w:tr>
    </w:tbl>
    <w:p w14:paraId="4E29F7B2">
      <w:pPr>
        <w:pStyle w:val="59"/>
        <w:ind w:firstLine="0" w:firstLineChars="0"/>
        <w:rPr>
          <w:color w:val="auto"/>
        </w:rPr>
      </w:pPr>
      <w:r>
        <w:rPr>
          <w:color w:val="auto"/>
        </w:rPr>
        <w:t>注：</w:t>
      </w:r>
    </w:p>
    <w:p w14:paraId="3D032740">
      <w:pPr>
        <w:pStyle w:val="59"/>
        <w:ind w:firstLine="0" w:firstLineChars="0"/>
        <w:rPr>
          <w:color w:val="auto"/>
        </w:rPr>
      </w:pPr>
      <w:r>
        <w:rPr>
          <w:color w:val="auto"/>
        </w:rPr>
        <w:t>1</w:t>
      </w:r>
      <w:r>
        <w:rPr>
          <w:rFonts w:hint="eastAsia"/>
          <w:color w:val="auto"/>
          <w:lang w:val="en-US" w:eastAsia="zh-CN"/>
        </w:rPr>
        <w:t>.</w:t>
      </w:r>
      <w:r>
        <w:rPr>
          <w:color w:val="auto"/>
        </w:rPr>
        <w:t>本申请单</w:t>
      </w:r>
      <w:r>
        <w:rPr>
          <w:rFonts w:hint="eastAsia"/>
          <w:color w:val="auto"/>
          <w:lang w:eastAsia="zh-CN"/>
        </w:rPr>
        <w:t>壹</w:t>
      </w:r>
      <w:r>
        <w:rPr>
          <w:color w:val="auto"/>
        </w:rPr>
        <w:t>式</w:t>
      </w:r>
      <w:r>
        <w:rPr>
          <w:rFonts w:hint="eastAsia"/>
          <w:color w:val="auto"/>
          <w:lang w:eastAsia="zh-CN"/>
        </w:rPr>
        <w:t>贰</w:t>
      </w:r>
      <w:r>
        <w:rPr>
          <w:color w:val="auto"/>
        </w:rPr>
        <w:t>份，由</w:t>
      </w:r>
      <w:r>
        <w:rPr>
          <w:rFonts w:hint="eastAsia"/>
          <w:color w:val="auto"/>
        </w:rPr>
        <w:t>资产使用</w:t>
      </w:r>
      <w:r>
        <w:rPr>
          <w:color w:val="auto"/>
        </w:rPr>
        <w:t>部门、</w:t>
      </w:r>
      <w:r>
        <w:rPr>
          <w:rFonts w:hint="eastAsia"/>
          <w:color w:val="auto"/>
        </w:rPr>
        <w:t>资产管理部门</w:t>
      </w:r>
      <w:r>
        <w:rPr>
          <w:color w:val="auto"/>
        </w:rPr>
        <w:t>各执</w:t>
      </w:r>
      <w:r>
        <w:rPr>
          <w:rFonts w:hint="eastAsia"/>
          <w:color w:val="auto"/>
          <w:lang w:eastAsia="zh-CN"/>
        </w:rPr>
        <w:t>壹</w:t>
      </w:r>
      <w:r>
        <w:rPr>
          <w:color w:val="auto"/>
        </w:rPr>
        <w:t>份；</w:t>
      </w:r>
    </w:p>
    <w:p w14:paraId="366D3316">
      <w:pPr>
        <w:pStyle w:val="59"/>
        <w:ind w:firstLine="0" w:firstLineChars="0"/>
        <w:rPr>
          <w:color w:val="auto"/>
        </w:rPr>
      </w:pPr>
      <w:r>
        <w:rPr>
          <w:color w:val="auto"/>
        </w:rPr>
        <w:t>2</w:t>
      </w:r>
      <w:r>
        <w:rPr>
          <w:rFonts w:hint="eastAsia"/>
          <w:color w:val="auto"/>
          <w:lang w:val="en-US" w:eastAsia="zh-CN"/>
        </w:rPr>
        <w:t>.</w:t>
      </w:r>
      <w:r>
        <w:rPr>
          <w:color w:val="auto"/>
        </w:rPr>
        <w:t>本申请单由资产管理部门汇总上报审核。</w:t>
      </w:r>
    </w:p>
    <w:p w14:paraId="4DA295B4">
      <w:pPr>
        <w:pStyle w:val="59"/>
        <w:ind w:firstLine="420"/>
        <w:rPr>
          <w:color w:val="auto"/>
        </w:rPr>
      </w:pPr>
    </w:p>
    <w:p w14:paraId="7F518B4C">
      <w:pPr>
        <w:pStyle w:val="59"/>
        <w:ind w:firstLine="420"/>
        <w:rPr>
          <w:color w:val="auto"/>
        </w:rPr>
      </w:pPr>
    </w:p>
    <w:p w14:paraId="49B03643">
      <w:pPr>
        <w:pStyle w:val="59"/>
        <w:ind w:firstLine="420"/>
        <w:rPr>
          <w:color w:val="auto"/>
        </w:rPr>
      </w:pPr>
    </w:p>
    <w:p w14:paraId="7F6CEA43">
      <w:pPr>
        <w:pStyle w:val="59"/>
        <w:ind w:firstLine="420"/>
        <w:rPr>
          <w:color w:val="auto"/>
        </w:rPr>
        <w:sectPr>
          <w:pgSz w:w="11906" w:h="16838"/>
          <w:pgMar w:top="1928" w:right="1134" w:bottom="1134" w:left="1134" w:header="1418" w:footer="1134" w:gutter="284"/>
          <w:cols w:space="425" w:num="1"/>
          <w:formProt w:val="0"/>
          <w:docGrid w:type="lines" w:linePitch="312" w:charSpace="0"/>
        </w:sectPr>
      </w:pPr>
    </w:p>
    <w:p w14:paraId="1ED60BA2">
      <w:pPr>
        <w:pStyle w:val="201"/>
        <w:rPr>
          <w:rFonts w:hint="eastAsia"/>
          <w:color w:val="auto"/>
        </w:rPr>
      </w:pPr>
    </w:p>
    <w:p w14:paraId="36F8C110">
      <w:pPr>
        <w:pStyle w:val="202"/>
        <w:rPr>
          <w:color w:val="auto"/>
        </w:rPr>
      </w:pPr>
    </w:p>
    <w:p w14:paraId="0860643B">
      <w:pPr>
        <w:pStyle w:val="79"/>
        <w:spacing w:after="156"/>
        <w:rPr>
          <w:color w:val="auto"/>
        </w:rPr>
      </w:pPr>
      <w:r>
        <w:rPr>
          <w:color w:val="auto"/>
        </w:rPr>
        <w:br w:type="textWrapping"/>
      </w:r>
      <w:r>
        <w:rPr>
          <w:rFonts w:hint="eastAsia"/>
          <w:color w:val="auto"/>
        </w:rPr>
        <w:t>（资料性）</w:t>
      </w:r>
      <w:r>
        <w:rPr>
          <w:color w:val="auto"/>
        </w:rPr>
        <w:br w:type="textWrapping"/>
      </w:r>
      <w:r>
        <w:rPr>
          <w:rFonts w:hint="eastAsia"/>
          <w:color w:val="auto"/>
        </w:rPr>
        <w:t>资产内部调拨单</w:t>
      </w:r>
    </w:p>
    <w:p w14:paraId="7610AE43">
      <w:pPr>
        <w:pStyle w:val="59"/>
        <w:ind w:firstLine="420"/>
        <w:rPr>
          <w:color w:val="auto"/>
        </w:rPr>
      </w:pPr>
      <w:r>
        <w:rPr>
          <w:rFonts w:hint="eastAsia"/>
          <w:color w:val="auto"/>
        </w:rPr>
        <w:t>资产内部调拨单参见表</w:t>
      </w:r>
      <w:r>
        <w:rPr>
          <w:rFonts w:hint="eastAsia"/>
          <w:color w:val="auto"/>
          <w:lang w:val="en-US" w:eastAsia="zh-CN"/>
        </w:rPr>
        <w:t>B</w:t>
      </w:r>
      <w:r>
        <w:rPr>
          <w:rFonts w:hint="eastAsia"/>
          <w:color w:val="auto"/>
        </w:rPr>
        <w:t>.</w:t>
      </w:r>
      <w:r>
        <w:rPr>
          <w:color w:val="auto"/>
        </w:rPr>
        <w:t>1</w:t>
      </w:r>
      <w:r>
        <w:rPr>
          <w:rFonts w:hint="eastAsia"/>
          <w:color w:val="auto"/>
        </w:rPr>
        <w:t>。</w:t>
      </w:r>
    </w:p>
    <w:p w14:paraId="25B67EAA">
      <w:pPr>
        <w:pStyle w:val="80"/>
        <w:numPr>
          <w:ilvl w:val="0"/>
          <w:numId w:val="0"/>
        </w:numPr>
        <w:spacing w:before="156" w:after="156"/>
        <w:rPr>
          <w:color w:val="auto"/>
        </w:rPr>
      </w:pPr>
      <w:r>
        <w:rPr>
          <w:rFonts w:hint="eastAsia"/>
          <w:color w:val="auto"/>
        </w:rPr>
        <w:t>表B</w:t>
      </w:r>
      <w:r>
        <w:rPr>
          <w:color w:val="auto"/>
        </w:rPr>
        <w:t xml:space="preserve">.1 </w:t>
      </w:r>
      <w:r>
        <w:rPr>
          <w:rFonts w:hint="eastAsia"/>
          <w:color w:val="auto"/>
        </w:rPr>
        <w:t>资产内部调拨单</w:t>
      </w:r>
    </w:p>
    <w:p w14:paraId="414C0AA7">
      <w:pPr>
        <w:pStyle w:val="59"/>
        <w:ind w:firstLine="6300" w:firstLineChars="3000"/>
        <w:rPr>
          <w:color w:val="auto"/>
        </w:rPr>
      </w:pPr>
      <w:r>
        <w:rPr>
          <w:color w:val="auto"/>
        </w:rPr>
        <w:t>年</w:t>
      </w:r>
      <w:r>
        <w:rPr>
          <w:rFonts w:hint="eastAsia"/>
          <w:color w:val="auto"/>
        </w:rPr>
        <w:t xml:space="preserve">  </w:t>
      </w:r>
      <w:r>
        <w:rPr>
          <w:color w:val="auto"/>
        </w:rPr>
        <w:t xml:space="preserve"> 月</w:t>
      </w:r>
      <w:r>
        <w:rPr>
          <w:rFonts w:hint="eastAsia"/>
          <w:color w:val="auto"/>
        </w:rPr>
        <w:t xml:space="preserve">  </w:t>
      </w:r>
      <w:r>
        <w:rPr>
          <w:color w:val="auto"/>
        </w:rPr>
        <w:t xml:space="preserve"> 日</w:t>
      </w:r>
      <w:r>
        <w:rPr>
          <w:color w:val="auto"/>
        </w:rPr>
        <w:tab/>
      </w:r>
      <w:r>
        <w:rPr>
          <w:color w:val="auto"/>
        </w:rPr>
        <w:t>编号</w:t>
      </w:r>
      <w:r>
        <w:rPr>
          <w:rFonts w:hint="eastAsia"/>
          <w:color w:val="auto"/>
        </w:rPr>
        <w:t>：</w:t>
      </w:r>
    </w:p>
    <w:tbl>
      <w:tblPr>
        <w:tblStyle w:val="28"/>
        <w:tblW w:w="10046" w:type="dxa"/>
        <w:jc w:val="center"/>
        <w:tblLayout w:type="fixed"/>
        <w:tblCellMar>
          <w:top w:w="0" w:type="dxa"/>
          <w:left w:w="10" w:type="dxa"/>
          <w:bottom w:w="0" w:type="dxa"/>
          <w:right w:w="10" w:type="dxa"/>
        </w:tblCellMar>
      </w:tblPr>
      <w:tblGrid>
        <w:gridCol w:w="729"/>
        <w:gridCol w:w="1676"/>
        <w:gridCol w:w="1747"/>
        <w:gridCol w:w="1459"/>
        <w:gridCol w:w="1678"/>
        <w:gridCol w:w="2757"/>
      </w:tblGrid>
      <w:tr w14:paraId="5B221888">
        <w:tblPrEx>
          <w:tblCellMar>
            <w:top w:w="0" w:type="dxa"/>
            <w:left w:w="10" w:type="dxa"/>
            <w:bottom w:w="0" w:type="dxa"/>
            <w:right w:w="10" w:type="dxa"/>
          </w:tblCellMar>
        </w:tblPrEx>
        <w:trPr>
          <w:trHeight w:val="610" w:hRule="atLeast"/>
          <w:jc w:val="center"/>
        </w:trPr>
        <w:tc>
          <w:tcPr>
            <w:tcW w:w="2405" w:type="dxa"/>
            <w:gridSpan w:val="2"/>
            <w:tcBorders>
              <w:top w:val="single" w:color="auto" w:sz="4" w:space="0"/>
              <w:left w:val="single" w:color="auto" w:sz="4" w:space="0"/>
              <w:bottom w:val="nil"/>
              <w:right w:val="nil"/>
            </w:tcBorders>
            <w:shd w:val="clear" w:color="auto" w:fill="FFFFFF"/>
            <w:vAlign w:val="center"/>
          </w:tcPr>
          <w:p w14:paraId="3148CDA2">
            <w:pPr>
              <w:pStyle w:val="59"/>
              <w:ind w:firstLine="0" w:firstLineChars="0"/>
              <w:jc w:val="center"/>
              <w:rPr>
                <w:color w:val="auto"/>
              </w:rPr>
            </w:pPr>
            <w:r>
              <w:rPr>
                <w:color w:val="auto"/>
              </w:rPr>
              <w:t>调出部门</w:t>
            </w:r>
          </w:p>
        </w:tc>
        <w:tc>
          <w:tcPr>
            <w:tcW w:w="1747" w:type="dxa"/>
            <w:tcBorders>
              <w:top w:val="single" w:color="auto" w:sz="4" w:space="0"/>
              <w:left w:val="single" w:color="auto" w:sz="4" w:space="0"/>
              <w:bottom w:val="nil"/>
              <w:right w:val="nil"/>
            </w:tcBorders>
            <w:shd w:val="clear" w:color="auto" w:fill="FFFFFF"/>
            <w:vAlign w:val="center"/>
          </w:tcPr>
          <w:p w14:paraId="692992B1">
            <w:pPr>
              <w:pStyle w:val="59"/>
              <w:ind w:firstLine="420"/>
              <w:jc w:val="center"/>
              <w:rPr>
                <w:color w:val="auto"/>
              </w:rPr>
            </w:pPr>
          </w:p>
        </w:tc>
        <w:tc>
          <w:tcPr>
            <w:tcW w:w="3137" w:type="dxa"/>
            <w:gridSpan w:val="2"/>
            <w:tcBorders>
              <w:top w:val="single" w:color="auto" w:sz="4" w:space="0"/>
              <w:left w:val="single" w:color="auto" w:sz="4" w:space="0"/>
              <w:bottom w:val="nil"/>
              <w:right w:val="nil"/>
            </w:tcBorders>
            <w:shd w:val="clear" w:color="auto" w:fill="FFFFFF"/>
            <w:vAlign w:val="center"/>
          </w:tcPr>
          <w:p w14:paraId="54CDE219">
            <w:pPr>
              <w:pStyle w:val="59"/>
              <w:ind w:firstLine="0" w:firstLineChars="0"/>
              <w:jc w:val="center"/>
              <w:rPr>
                <w:color w:val="auto"/>
              </w:rPr>
            </w:pPr>
            <w:r>
              <w:rPr>
                <w:color w:val="auto"/>
              </w:rPr>
              <w:t>调入部门</w:t>
            </w:r>
          </w:p>
        </w:tc>
        <w:tc>
          <w:tcPr>
            <w:tcW w:w="2757" w:type="dxa"/>
            <w:tcBorders>
              <w:top w:val="single" w:color="auto" w:sz="4" w:space="0"/>
              <w:left w:val="single" w:color="auto" w:sz="4" w:space="0"/>
              <w:bottom w:val="nil"/>
              <w:right w:val="single" w:color="auto" w:sz="4" w:space="0"/>
            </w:tcBorders>
            <w:shd w:val="clear" w:color="auto" w:fill="FFFFFF"/>
            <w:vAlign w:val="center"/>
          </w:tcPr>
          <w:p w14:paraId="4340F630">
            <w:pPr>
              <w:pStyle w:val="59"/>
              <w:ind w:firstLine="420"/>
              <w:jc w:val="center"/>
              <w:rPr>
                <w:color w:val="auto"/>
              </w:rPr>
            </w:pPr>
          </w:p>
        </w:tc>
      </w:tr>
      <w:tr w14:paraId="666839A9">
        <w:tblPrEx>
          <w:tblCellMar>
            <w:top w:w="0" w:type="dxa"/>
            <w:left w:w="10" w:type="dxa"/>
            <w:bottom w:w="0" w:type="dxa"/>
            <w:right w:w="10" w:type="dxa"/>
          </w:tblCellMar>
        </w:tblPrEx>
        <w:trPr>
          <w:trHeight w:val="606" w:hRule="atLeast"/>
          <w:jc w:val="center"/>
        </w:trPr>
        <w:tc>
          <w:tcPr>
            <w:tcW w:w="2405" w:type="dxa"/>
            <w:gridSpan w:val="2"/>
            <w:tcBorders>
              <w:top w:val="single" w:color="auto" w:sz="4" w:space="0"/>
              <w:left w:val="single" w:color="auto" w:sz="4" w:space="0"/>
              <w:bottom w:val="nil"/>
              <w:right w:val="nil"/>
            </w:tcBorders>
            <w:shd w:val="clear" w:color="auto" w:fill="FFFFFF"/>
            <w:vAlign w:val="center"/>
          </w:tcPr>
          <w:p w14:paraId="14B1F75A">
            <w:pPr>
              <w:pStyle w:val="59"/>
              <w:ind w:firstLine="0" w:firstLineChars="0"/>
              <w:jc w:val="center"/>
              <w:rPr>
                <w:color w:val="auto"/>
              </w:rPr>
            </w:pPr>
            <w:r>
              <w:rPr>
                <w:color w:val="auto"/>
              </w:rPr>
              <w:t>经办人</w:t>
            </w:r>
          </w:p>
        </w:tc>
        <w:tc>
          <w:tcPr>
            <w:tcW w:w="1747" w:type="dxa"/>
            <w:tcBorders>
              <w:top w:val="single" w:color="auto" w:sz="4" w:space="0"/>
              <w:left w:val="single" w:color="auto" w:sz="4" w:space="0"/>
              <w:bottom w:val="nil"/>
              <w:right w:val="nil"/>
            </w:tcBorders>
            <w:shd w:val="clear" w:color="auto" w:fill="FFFFFF"/>
            <w:vAlign w:val="center"/>
          </w:tcPr>
          <w:p w14:paraId="570AA9BD">
            <w:pPr>
              <w:pStyle w:val="59"/>
              <w:ind w:firstLine="420"/>
              <w:jc w:val="center"/>
              <w:rPr>
                <w:color w:val="auto"/>
              </w:rPr>
            </w:pPr>
          </w:p>
        </w:tc>
        <w:tc>
          <w:tcPr>
            <w:tcW w:w="3137" w:type="dxa"/>
            <w:gridSpan w:val="2"/>
            <w:tcBorders>
              <w:top w:val="single" w:color="auto" w:sz="4" w:space="0"/>
              <w:left w:val="single" w:color="auto" w:sz="4" w:space="0"/>
              <w:bottom w:val="nil"/>
              <w:right w:val="nil"/>
            </w:tcBorders>
            <w:shd w:val="clear" w:color="auto" w:fill="FFFFFF"/>
            <w:vAlign w:val="center"/>
          </w:tcPr>
          <w:p w14:paraId="23F4AD4E">
            <w:pPr>
              <w:pStyle w:val="59"/>
              <w:ind w:firstLine="0" w:firstLineChars="0"/>
              <w:jc w:val="center"/>
              <w:rPr>
                <w:color w:val="auto"/>
              </w:rPr>
            </w:pPr>
            <w:r>
              <w:rPr>
                <w:color w:val="auto"/>
              </w:rPr>
              <w:t>经办人</w:t>
            </w:r>
          </w:p>
        </w:tc>
        <w:tc>
          <w:tcPr>
            <w:tcW w:w="2757" w:type="dxa"/>
            <w:tcBorders>
              <w:top w:val="single" w:color="auto" w:sz="4" w:space="0"/>
              <w:left w:val="single" w:color="auto" w:sz="4" w:space="0"/>
              <w:bottom w:val="nil"/>
              <w:right w:val="single" w:color="auto" w:sz="4" w:space="0"/>
            </w:tcBorders>
            <w:shd w:val="clear" w:color="auto" w:fill="FFFFFF"/>
            <w:vAlign w:val="center"/>
          </w:tcPr>
          <w:p w14:paraId="6E3AF701">
            <w:pPr>
              <w:pStyle w:val="59"/>
              <w:ind w:firstLine="420"/>
              <w:jc w:val="center"/>
              <w:rPr>
                <w:color w:val="auto"/>
              </w:rPr>
            </w:pPr>
          </w:p>
        </w:tc>
      </w:tr>
      <w:tr w14:paraId="4E64B0BF">
        <w:tblPrEx>
          <w:tblCellMar>
            <w:top w:w="0" w:type="dxa"/>
            <w:left w:w="10" w:type="dxa"/>
            <w:bottom w:w="0" w:type="dxa"/>
            <w:right w:w="10" w:type="dxa"/>
          </w:tblCellMar>
        </w:tblPrEx>
        <w:trPr>
          <w:trHeight w:val="606" w:hRule="atLeast"/>
          <w:jc w:val="center"/>
        </w:trPr>
        <w:tc>
          <w:tcPr>
            <w:tcW w:w="729" w:type="dxa"/>
            <w:tcBorders>
              <w:top w:val="single" w:color="auto" w:sz="4" w:space="0"/>
              <w:left w:val="single" w:color="auto" w:sz="4" w:space="0"/>
              <w:bottom w:val="nil"/>
              <w:right w:val="nil"/>
            </w:tcBorders>
            <w:shd w:val="clear" w:color="auto" w:fill="FFFFFF"/>
            <w:vAlign w:val="center"/>
          </w:tcPr>
          <w:p w14:paraId="7885F69A">
            <w:pPr>
              <w:pStyle w:val="59"/>
              <w:ind w:firstLine="0" w:firstLineChars="0"/>
              <w:jc w:val="center"/>
              <w:rPr>
                <w:color w:val="auto"/>
              </w:rPr>
            </w:pPr>
            <w:r>
              <w:rPr>
                <w:color w:val="auto"/>
              </w:rPr>
              <w:t>序号</w:t>
            </w:r>
          </w:p>
        </w:tc>
        <w:tc>
          <w:tcPr>
            <w:tcW w:w="1676" w:type="dxa"/>
            <w:tcBorders>
              <w:top w:val="single" w:color="auto" w:sz="4" w:space="0"/>
              <w:left w:val="single" w:color="auto" w:sz="4" w:space="0"/>
              <w:bottom w:val="nil"/>
              <w:right w:val="nil"/>
            </w:tcBorders>
            <w:shd w:val="clear" w:color="auto" w:fill="FFFFFF"/>
            <w:vAlign w:val="center"/>
          </w:tcPr>
          <w:p w14:paraId="0F3C463C">
            <w:pPr>
              <w:pStyle w:val="59"/>
              <w:ind w:firstLine="0" w:firstLineChars="0"/>
              <w:jc w:val="center"/>
              <w:rPr>
                <w:color w:val="auto"/>
              </w:rPr>
            </w:pPr>
            <w:r>
              <w:rPr>
                <w:color w:val="auto"/>
              </w:rPr>
              <w:t>资产名称</w:t>
            </w:r>
          </w:p>
        </w:tc>
        <w:tc>
          <w:tcPr>
            <w:tcW w:w="1747" w:type="dxa"/>
            <w:tcBorders>
              <w:top w:val="single" w:color="auto" w:sz="4" w:space="0"/>
              <w:left w:val="single" w:color="auto" w:sz="4" w:space="0"/>
              <w:bottom w:val="nil"/>
              <w:right w:val="nil"/>
            </w:tcBorders>
            <w:shd w:val="clear" w:color="auto" w:fill="FFFFFF"/>
            <w:vAlign w:val="center"/>
          </w:tcPr>
          <w:p w14:paraId="5FEC9BDA">
            <w:pPr>
              <w:pStyle w:val="59"/>
              <w:ind w:firstLine="0" w:firstLineChars="0"/>
              <w:jc w:val="center"/>
              <w:rPr>
                <w:color w:val="auto"/>
              </w:rPr>
            </w:pPr>
            <w:r>
              <w:rPr>
                <w:color w:val="auto"/>
              </w:rPr>
              <w:t>规格型号</w:t>
            </w:r>
          </w:p>
        </w:tc>
        <w:tc>
          <w:tcPr>
            <w:tcW w:w="1459" w:type="dxa"/>
            <w:tcBorders>
              <w:top w:val="single" w:color="auto" w:sz="4" w:space="0"/>
              <w:left w:val="single" w:color="auto" w:sz="4" w:space="0"/>
              <w:bottom w:val="nil"/>
              <w:right w:val="nil"/>
            </w:tcBorders>
            <w:shd w:val="clear" w:color="auto" w:fill="FFFFFF"/>
            <w:vAlign w:val="center"/>
          </w:tcPr>
          <w:p w14:paraId="4FBCA872">
            <w:pPr>
              <w:pStyle w:val="59"/>
              <w:ind w:firstLine="0" w:firstLineChars="0"/>
              <w:jc w:val="center"/>
              <w:rPr>
                <w:color w:val="auto"/>
              </w:rPr>
            </w:pPr>
            <w:r>
              <w:rPr>
                <w:color w:val="auto"/>
              </w:rPr>
              <w:t>数量</w:t>
            </w:r>
          </w:p>
        </w:tc>
        <w:tc>
          <w:tcPr>
            <w:tcW w:w="1678" w:type="dxa"/>
            <w:tcBorders>
              <w:top w:val="single" w:color="auto" w:sz="4" w:space="0"/>
              <w:left w:val="single" w:color="auto" w:sz="4" w:space="0"/>
              <w:bottom w:val="nil"/>
              <w:right w:val="nil"/>
            </w:tcBorders>
            <w:shd w:val="clear" w:color="auto" w:fill="FFFFFF"/>
            <w:vAlign w:val="center"/>
          </w:tcPr>
          <w:p w14:paraId="741B6A6C">
            <w:pPr>
              <w:pStyle w:val="59"/>
              <w:ind w:firstLine="0" w:firstLineChars="0"/>
              <w:jc w:val="center"/>
              <w:rPr>
                <w:color w:val="auto"/>
              </w:rPr>
            </w:pPr>
            <w:r>
              <w:rPr>
                <w:color w:val="auto"/>
              </w:rPr>
              <w:t>账面价值（元）</w:t>
            </w:r>
          </w:p>
        </w:tc>
        <w:tc>
          <w:tcPr>
            <w:tcW w:w="2757" w:type="dxa"/>
            <w:tcBorders>
              <w:top w:val="single" w:color="auto" w:sz="4" w:space="0"/>
              <w:left w:val="single" w:color="auto" w:sz="4" w:space="0"/>
              <w:bottom w:val="nil"/>
              <w:right w:val="single" w:color="auto" w:sz="4" w:space="0"/>
            </w:tcBorders>
            <w:shd w:val="clear" w:color="auto" w:fill="FFFFFF"/>
            <w:vAlign w:val="center"/>
          </w:tcPr>
          <w:p w14:paraId="358C9E2F">
            <w:pPr>
              <w:pStyle w:val="59"/>
              <w:ind w:firstLine="0" w:firstLineChars="0"/>
              <w:jc w:val="center"/>
              <w:rPr>
                <w:color w:val="auto"/>
              </w:rPr>
            </w:pPr>
            <w:r>
              <w:rPr>
                <w:color w:val="auto"/>
              </w:rPr>
              <w:t>备注</w:t>
            </w:r>
          </w:p>
        </w:tc>
      </w:tr>
      <w:tr w14:paraId="75088547">
        <w:tblPrEx>
          <w:tblCellMar>
            <w:top w:w="0" w:type="dxa"/>
            <w:left w:w="10" w:type="dxa"/>
            <w:bottom w:w="0" w:type="dxa"/>
            <w:right w:w="10" w:type="dxa"/>
          </w:tblCellMar>
        </w:tblPrEx>
        <w:trPr>
          <w:trHeight w:val="436" w:hRule="atLeast"/>
          <w:jc w:val="center"/>
        </w:trPr>
        <w:tc>
          <w:tcPr>
            <w:tcW w:w="729" w:type="dxa"/>
            <w:tcBorders>
              <w:top w:val="single" w:color="auto" w:sz="4" w:space="0"/>
              <w:left w:val="single" w:color="auto" w:sz="4" w:space="0"/>
              <w:bottom w:val="nil"/>
              <w:right w:val="nil"/>
            </w:tcBorders>
            <w:shd w:val="clear" w:color="auto" w:fill="FFFFFF"/>
            <w:vAlign w:val="center"/>
          </w:tcPr>
          <w:p w14:paraId="37FCE5A4">
            <w:pPr>
              <w:pStyle w:val="59"/>
              <w:ind w:firstLine="420"/>
              <w:rPr>
                <w:color w:val="auto"/>
              </w:rPr>
            </w:pPr>
          </w:p>
        </w:tc>
        <w:tc>
          <w:tcPr>
            <w:tcW w:w="1676" w:type="dxa"/>
            <w:tcBorders>
              <w:top w:val="single" w:color="auto" w:sz="4" w:space="0"/>
              <w:left w:val="single" w:color="auto" w:sz="4" w:space="0"/>
              <w:bottom w:val="nil"/>
              <w:right w:val="nil"/>
            </w:tcBorders>
            <w:shd w:val="clear" w:color="auto" w:fill="FFFFFF"/>
            <w:vAlign w:val="center"/>
          </w:tcPr>
          <w:p w14:paraId="5E9AE954">
            <w:pPr>
              <w:pStyle w:val="59"/>
              <w:ind w:firstLine="420"/>
              <w:rPr>
                <w:color w:val="auto"/>
              </w:rPr>
            </w:pPr>
          </w:p>
        </w:tc>
        <w:tc>
          <w:tcPr>
            <w:tcW w:w="1747" w:type="dxa"/>
            <w:tcBorders>
              <w:top w:val="single" w:color="auto" w:sz="4" w:space="0"/>
              <w:left w:val="single" w:color="auto" w:sz="4" w:space="0"/>
              <w:bottom w:val="nil"/>
              <w:right w:val="nil"/>
            </w:tcBorders>
            <w:shd w:val="clear" w:color="auto" w:fill="FFFFFF"/>
            <w:vAlign w:val="center"/>
          </w:tcPr>
          <w:p w14:paraId="55306E57">
            <w:pPr>
              <w:pStyle w:val="59"/>
              <w:ind w:firstLine="420"/>
              <w:rPr>
                <w:color w:val="auto"/>
              </w:rPr>
            </w:pPr>
          </w:p>
        </w:tc>
        <w:tc>
          <w:tcPr>
            <w:tcW w:w="1459" w:type="dxa"/>
            <w:tcBorders>
              <w:top w:val="single" w:color="auto" w:sz="4" w:space="0"/>
              <w:left w:val="single" w:color="auto" w:sz="4" w:space="0"/>
              <w:bottom w:val="nil"/>
              <w:right w:val="nil"/>
            </w:tcBorders>
            <w:shd w:val="clear" w:color="auto" w:fill="FFFFFF"/>
            <w:vAlign w:val="center"/>
          </w:tcPr>
          <w:p w14:paraId="0ABC176B">
            <w:pPr>
              <w:pStyle w:val="59"/>
              <w:ind w:firstLine="420"/>
              <w:rPr>
                <w:color w:val="auto"/>
              </w:rPr>
            </w:pPr>
          </w:p>
        </w:tc>
        <w:tc>
          <w:tcPr>
            <w:tcW w:w="1678" w:type="dxa"/>
            <w:tcBorders>
              <w:top w:val="single" w:color="auto" w:sz="4" w:space="0"/>
              <w:left w:val="single" w:color="auto" w:sz="4" w:space="0"/>
              <w:bottom w:val="nil"/>
              <w:right w:val="nil"/>
            </w:tcBorders>
            <w:shd w:val="clear" w:color="auto" w:fill="FFFFFF"/>
            <w:vAlign w:val="center"/>
          </w:tcPr>
          <w:p w14:paraId="75CD666A">
            <w:pPr>
              <w:pStyle w:val="59"/>
              <w:ind w:firstLine="420"/>
              <w:rPr>
                <w:color w:val="auto"/>
              </w:rPr>
            </w:pPr>
          </w:p>
        </w:tc>
        <w:tc>
          <w:tcPr>
            <w:tcW w:w="2757" w:type="dxa"/>
            <w:tcBorders>
              <w:top w:val="single" w:color="auto" w:sz="4" w:space="0"/>
              <w:left w:val="single" w:color="auto" w:sz="4" w:space="0"/>
              <w:bottom w:val="nil"/>
              <w:right w:val="single" w:color="auto" w:sz="4" w:space="0"/>
            </w:tcBorders>
            <w:shd w:val="clear" w:color="auto" w:fill="FFFFFF"/>
            <w:vAlign w:val="center"/>
          </w:tcPr>
          <w:p w14:paraId="0FF0F9DD">
            <w:pPr>
              <w:pStyle w:val="59"/>
              <w:ind w:firstLine="420"/>
              <w:rPr>
                <w:color w:val="auto"/>
              </w:rPr>
            </w:pPr>
          </w:p>
        </w:tc>
      </w:tr>
      <w:tr w14:paraId="0E34C157">
        <w:tblPrEx>
          <w:tblCellMar>
            <w:top w:w="0" w:type="dxa"/>
            <w:left w:w="10" w:type="dxa"/>
            <w:bottom w:w="0" w:type="dxa"/>
            <w:right w:w="10" w:type="dxa"/>
          </w:tblCellMar>
        </w:tblPrEx>
        <w:trPr>
          <w:trHeight w:val="436" w:hRule="atLeast"/>
          <w:jc w:val="center"/>
        </w:trPr>
        <w:tc>
          <w:tcPr>
            <w:tcW w:w="729" w:type="dxa"/>
            <w:tcBorders>
              <w:top w:val="single" w:color="auto" w:sz="4" w:space="0"/>
              <w:left w:val="single" w:color="auto" w:sz="4" w:space="0"/>
              <w:bottom w:val="nil"/>
              <w:right w:val="nil"/>
            </w:tcBorders>
            <w:shd w:val="clear" w:color="auto" w:fill="FFFFFF"/>
            <w:vAlign w:val="center"/>
          </w:tcPr>
          <w:p w14:paraId="7F4136EF">
            <w:pPr>
              <w:pStyle w:val="59"/>
              <w:ind w:firstLine="420"/>
              <w:rPr>
                <w:color w:val="auto"/>
              </w:rPr>
            </w:pPr>
          </w:p>
        </w:tc>
        <w:tc>
          <w:tcPr>
            <w:tcW w:w="1676" w:type="dxa"/>
            <w:tcBorders>
              <w:top w:val="single" w:color="auto" w:sz="4" w:space="0"/>
              <w:left w:val="single" w:color="auto" w:sz="4" w:space="0"/>
              <w:bottom w:val="nil"/>
              <w:right w:val="nil"/>
            </w:tcBorders>
            <w:shd w:val="clear" w:color="auto" w:fill="FFFFFF"/>
            <w:vAlign w:val="center"/>
          </w:tcPr>
          <w:p w14:paraId="6569D30D">
            <w:pPr>
              <w:pStyle w:val="59"/>
              <w:ind w:firstLine="420"/>
              <w:rPr>
                <w:color w:val="auto"/>
              </w:rPr>
            </w:pPr>
          </w:p>
        </w:tc>
        <w:tc>
          <w:tcPr>
            <w:tcW w:w="1747" w:type="dxa"/>
            <w:tcBorders>
              <w:top w:val="single" w:color="auto" w:sz="4" w:space="0"/>
              <w:left w:val="single" w:color="auto" w:sz="4" w:space="0"/>
              <w:bottom w:val="nil"/>
              <w:right w:val="nil"/>
            </w:tcBorders>
            <w:shd w:val="clear" w:color="auto" w:fill="FFFFFF"/>
            <w:vAlign w:val="center"/>
          </w:tcPr>
          <w:p w14:paraId="43F99236">
            <w:pPr>
              <w:pStyle w:val="59"/>
              <w:ind w:firstLine="420"/>
              <w:rPr>
                <w:color w:val="auto"/>
              </w:rPr>
            </w:pPr>
          </w:p>
        </w:tc>
        <w:tc>
          <w:tcPr>
            <w:tcW w:w="1459" w:type="dxa"/>
            <w:tcBorders>
              <w:top w:val="single" w:color="auto" w:sz="4" w:space="0"/>
              <w:left w:val="single" w:color="auto" w:sz="4" w:space="0"/>
              <w:bottom w:val="nil"/>
              <w:right w:val="nil"/>
            </w:tcBorders>
            <w:shd w:val="clear" w:color="auto" w:fill="FFFFFF"/>
            <w:vAlign w:val="center"/>
          </w:tcPr>
          <w:p w14:paraId="6905F88E">
            <w:pPr>
              <w:pStyle w:val="59"/>
              <w:ind w:firstLine="420"/>
              <w:rPr>
                <w:color w:val="auto"/>
              </w:rPr>
            </w:pPr>
          </w:p>
        </w:tc>
        <w:tc>
          <w:tcPr>
            <w:tcW w:w="1678" w:type="dxa"/>
            <w:tcBorders>
              <w:top w:val="single" w:color="auto" w:sz="4" w:space="0"/>
              <w:left w:val="single" w:color="auto" w:sz="4" w:space="0"/>
              <w:bottom w:val="nil"/>
              <w:right w:val="nil"/>
            </w:tcBorders>
            <w:shd w:val="clear" w:color="auto" w:fill="FFFFFF"/>
            <w:vAlign w:val="center"/>
          </w:tcPr>
          <w:p w14:paraId="4C0323D4">
            <w:pPr>
              <w:pStyle w:val="59"/>
              <w:ind w:firstLine="420"/>
              <w:rPr>
                <w:color w:val="auto"/>
              </w:rPr>
            </w:pPr>
          </w:p>
        </w:tc>
        <w:tc>
          <w:tcPr>
            <w:tcW w:w="2757" w:type="dxa"/>
            <w:tcBorders>
              <w:top w:val="single" w:color="auto" w:sz="4" w:space="0"/>
              <w:left w:val="single" w:color="auto" w:sz="4" w:space="0"/>
              <w:bottom w:val="nil"/>
              <w:right w:val="single" w:color="auto" w:sz="4" w:space="0"/>
            </w:tcBorders>
            <w:shd w:val="clear" w:color="auto" w:fill="FFFFFF"/>
            <w:vAlign w:val="center"/>
          </w:tcPr>
          <w:p w14:paraId="7C3C4B6E">
            <w:pPr>
              <w:pStyle w:val="59"/>
              <w:ind w:firstLine="420"/>
              <w:rPr>
                <w:color w:val="auto"/>
              </w:rPr>
            </w:pPr>
          </w:p>
        </w:tc>
      </w:tr>
      <w:tr w14:paraId="6CCCB00C">
        <w:tblPrEx>
          <w:tblCellMar>
            <w:top w:w="0" w:type="dxa"/>
            <w:left w:w="10" w:type="dxa"/>
            <w:bottom w:w="0" w:type="dxa"/>
            <w:right w:w="10" w:type="dxa"/>
          </w:tblCellMar>
        </w:tblPrEx>
        <w:trPr>
          <w:trHeight w:val="431" w:hRule="atLeast"/>
          <w:jc w:val="center"/>
        </w:trPr>
        <w:tc>
          <w:tcPr>
            <w:tcW w:w="729" w:type="dxa"/>
            <w:tcBorders>
              <w:top w:val="single" w:color="auto" w:sz="4" w:space="0"/>
              <w:left w:val="single" w:color="auto" w:sz="4" w:space="0"/>
              <w:bottom w:val="nil"/>
              <w:right w:val="nil"/>
            </w:tcBorders>
            <w:shd w:val="clear" w:color="auto" w:fill="FFFFFF"/>
            <w:vAlign w:val="center"/>
          </w:tcPr>
          <w:p w14:paraId="79354C6C">
            <w:pPr>
              <w:pStyle w:val="59"/>
              <w:ind w:firstLine="420"/>
              <w:rPr>
                <w:color w:val="auto"/>
              </w:rPr>
            </w:pPr>
          </w:p>
        </w:tc>
        <w:tc>
          <w:tcPr>
            <w:tcW w:w="1676" w:type="dxa"/>
            <w:tcBorders>
              <w:top w:val="single" w:color="auto" w:sz="4" w:space="0"/>
              <w:left w:val="single" w:color="auto" w:sz="4" w:space="0"/>
              <w:bottom w:val="nil"/>
              <w:right w:val="nil"/>
            </w:tcBorders>
            <w:shd w:val="clear" w:color="auto" w:fill="FFFFFF"/>
            <w:vAlign w:val="center"/>
          </w:tcPr>
          <w:p w14:paraId="37919FB1">
            <w:pPr>
              <w:pStyle w:val="59"/>
              <w:ind w:firstLine="420"/>
              <w:rPr>
                <w:color w:val="auto"/>
              </w:rPr>
            </w:pPr>
          </w:p>
        </w:tc>
        <w:tc>
          <w:tcPr>
            <w:tcW w:w="1747" w:type="dxa"/>
            <w:tcBorders>
              <w:top w:val="single" w:color="auto" w:sz="4" w:space="0"/>
              <w:left w:val="single" w:color="auto" w:sz="4" w:space="0"/>
              <w:bottom w:val="nil"/>
              <w:right w:val="nil"/>
            </w:tcBorders>
            <w:shd w:val="clear" w:color="auto" w:fill="FFFFFF"/>
            <w:vAlign w:val="center"/>
          </w:tcPr>
          <w:p w14:paraId="76A6F9A0">
            <w:pPr>
              <w:pStyle w:val="59"/>
              <w:ind w:firstLine="420"/>
              <w:rPr>
                <w:color w:val="auto"/>
              </w:rPr>
            </w:pPr>
          </w:p>
        </w:tc>
        <w:tc>
          <w:tcPr>
            <w:tcW w:w="1459" w:type="dxa"/>
            <w:tcBorders>
              <w:top w:val="single" w:color="auto" w:sz="4" w:space="0"/>
              <w:left w:val="single" w:color="auto" w:sz="4" w:space="0"/>
              <w:bottom w:val="nil"/>
              <w:right w:val="nil"/>
            </w:tcBorders>
            <w:shd w:val="clear" w:color="auto" w:fill="FFFFFF"/>
            <w:vAlign w:val="center"/>
          </w:tcPr>
          <w:p w14:paraId="293E05FD">
            <w:pPr>
              <w:pStyle w:val="59"/>
              <w:ind w:firstLine="420"/>
              <w:rPr>
                <w:color w:val="auto"/>
              </w:rPr>
            </w:pPr>
          </w:p>
        </w:tc>
        <w:tc>
          <w:tcPr>
            <w:tcW w:w="1678" w:type="dxa"/>
            <w:tcBorders>
              <w:top w:val="single" w:color="auto" w:sz="4" w:space="0"/>
              <w:left w:val="single" w:color="auto" w:sz="4" w:space="0"/>
              <w:bottom w:val="nil"/>
              <w:right w:val="nil"/>
            </w:tcBorders>
            <w:shd w:val="clear" w:color="auto" w:fill="FFFFFF"/>
            <w:vAlign w:val="center"/>
          </w:tcPr>
          <w:p w14:paraId="36B48D35">
            <w:pPr>
              <w:pStyle w:val="59"/>
              <w:ind w:firstLine="420"/>
              <w:rPr>
                <w:color w:val="auto"/>
              </w:rPr>
            </w:pPr>
          </w:p>
        </w:tc>
        <w:tc>
          <w:tcPr>
            <w:tcW w:w="2757" w:type="dxa"/>
            <w:tcBorders>
              <w:top w:val="single" w:color="auto" w:sz="4" w:space="0"/>
              <w:left w:val="single" w:color="auto" w:sz="4" w:space="0"/>
              <w:bottom w:val="nil"/>
              <w:right w:val="single" w:color="auto" w:sz="4" w:space="0"/>
            </w:tcBorders>
            <w:shd w:val="clear" w:color="auto" w:fill="FFFFFF"/>
            <w:vAlign w:val="center"/>
          </w:tcPr>
          <w:p w14:paraId="27D1B540">
            <w:pPr>
              <w:pStyle w:val="59"/>
              <w:ind w:firstLine="420"/>
              <w:rPr>
                <w:color w:val="auto"/>
              </w:rPr>
            </w:pPr>
          </w:p>
        </w:tc>
      </w:tr>
      <w:tr w14:paraId="38C12A8D">
        <w:tblPrEx>
          <w:tblCellMar>
            <w:top w:w="0" w:type="dxa"/>
            <w:left w:w="10" w:type="dxa"/>
            <w:bottom w:w="0" w:type="dxa"/>
            <w:right w:w="10" w:type="dxa"/>
          </w:tblCellMar>
        </w:tblPrEx>
        <w:trPr>
          <w:trHeight w:val="436" w:hRule="atLeast"/>
          <w:jc w:val="center"/>
        </w:trPr>
        <w:tc>
          <w:tcPr>
            <w:tcW w:w="729" w:type="dxa"/>
            <w:tcBorders>
              <w:top w:val="single" w:color="auto" w:sz="4" w:space="0"/>
              <w:left w:val="single" w:color="auto" w:sz="4" w:space="0"/>
              <w:bottom w:val="nil"/>
              <w:right w:val="nil"/>
            </w:tcBorders>
            <w:shd w:val="clear" w:color="auto" w:fill="FFFFFF"/>
            <w:vAlign w:val="center"/>
          </w:tcPr>
          <w:p w14:paraId="7D5D40B0">
            <w:pPr>
              <w:pStyle w:val="59"/>
              <w:ind w:firstLine="420"/>
              <w:rPr>
                <w:color w:val="auto"/>
              </w:rPr>
            </w:pPr>
          </w:p>
        </w:tc>
        <w:tc>
          <w:tcPr>
            <w:tcW w:w="1676" w:type="dxa"/>
            <w:tcBorders>
              <w:top w:val="single" w:color="auto" w:sz="4" w:space="0"/>
              <w:left w:val="single" w:color="auto" w:sz="4" w:space="0"/>
              <w:bottom w:val="nil"/>
              <w:right w:val="nil"/>
            </w:tcBorders>
            <w:shd w:val="clear" w:color="auto" w:fill="FFFFFF"/>
            <w:vAlign w:val="center"/>
          </w:tcPr>
          <w:p w14:paraId="0A109336">
            <w:pPr>
              <w:pStyle w:val="59"/>
              <w:ind w:firstLine="420"/>
              <w:rPr>
                <w:color w:val="auto"/>
              </w:rPr>
            </w:pPr>
          </w:p>
        </w:tc>
        <w:tc>
          <w:tcPr>
            <w:tcW w:w="1747" w:type="dxa"/>
            <w:tcBorders>
              <w:top w:val="single" w:color="auto" w:sz="4" w:space="0"/>
              <w:left w:val="single" w:color="auto" w:sz="4" w:space="0"/>
              <w:bottom w:val="nil"/>
              <w:right w:val="nil"/>
            </w:tcBorders>
            <w:shd w:val="clear" w:color="auto" w:fill="FFFFFF"/>
            <w:vAlign w:val="center"/>
          </w:tcPr>
          <w:p w14:paraId="375CEF94">
            <w:pPr>
              <w:pStyle w:val="59"/>
              <w:ind w:firstLine="420"/>
              <w:rPr>
                <w:color w:val="auto"/>
              </w:rPr>
            </w:pPr>
          </w:p>
        </w:tc>
        <w:tc>
          <w:tcPr>
            <w:tcW w:w="1459" w:type="dxa"/>
            <w:tcBorders>
              <w:top w:val="single" w:color="auto" w:sz="4" w:space="0"/>
              <w:left w:val="single" w:color="auto" w:sz="4" w:space="0"/>
              <w:bottom w:val="nil"/>
              <w:right w:val="nil"/>
            </w:tcBorders>
            <w:shd w:val="clear" w:color="auto" w:fill="FFFFFF"/>
            <w:vAlign w:val="center"/>
          </w:tcPr>
          <w:p w14:paraId="3C903ACF">
            <w:pPr>
              <w:pStyle w:val="59"/>
              <w:ind w:firstLine="420"/>
              <w:rPr>
                <w:color w:val="auto"/>
              </w:rPr>
            </w:pPr>
          </w:p>
        </w:tc>
        <w:tc>
          <w:tcPr>
            <w:tcW w:w="1678" w:type="dxa"/>
            <w:tcBorders>
              <w:top w:val="single" w:color="auto" w:sz="4" w:space="0"/>
              <w:left w:val="single" w:color="auto" w:sz="4" w:space="0"/>
              <w:bottom w:val="nil"/>
              <w:right w:val="nil"/>
            </w:tcBorders>
            <w:shd w:val="clear" w:color="auto" w:fill="FFFFFF"/>
            <w:vAlign w:val="center"/>
          </w:tcPr>
          <w:p w14:paraId="28405237">
            <w:pPr>
              <w:pStyle w:val="59"/>
              <w:ind w:firstLine="420"/>
              <w:rPr>
                <w:color w:val="auto"/>
              </w:rPr>
            </w:pPr>
          </w:p>
        </w:tc>
        <w:tc>
          <w:tcPr>
            <w:tcW w:w="2757" w:type="dxa"/>
            <w:tcBorders>
              <w:top w:val="single" w:color="auto" w:sz="4" w:space="0"/>
              <w:left w:val="single" w:color="auto" w:sz="4" w:space="0"/>
              <w:bottom w:val="nil"/>
              <w:right w:val="single" w:color="auto" w:sz="4" w:space="0"/>
            </w:tcBorders>
            <w:shd w:val="clear" w:color="auto" w:fill="FFFFFF"/>
            <w:vAlign w:val="center"/>
          </w:tcPr>
          <w:p w14:paraId="6A167355">
            <w:pPr>
              <w:pStyle w:val="59"/>
              <w:ind w:firstLine="420"/>
              <w:rPr>
                <w:color w:val="auto"/>
              </w:rPr>
            </w:pPr>
          </w:p>
        </w:tc>
      </w:tr>
      <w:tr w14:paraId="2B8AD1D8">
        <w:tblPrEx>
          <w:tblCellMar>
            <w:top w:w="0" w:type="dxa"/>
            <w:left w:w="10" w:type="dxa"/>
            <w:bottom w:w="0" w:type="dxa"/>
            <w:right w:w="10" w:type="dxa"/>
          </w:tblCellMar>
        </w:tblPrEx>
        <w:trPr>
          <w:trHeight w:val="431" w:hRule="atLeast"/>
          <w:jc w:val="center"/>
        </w:trPr>
        <w:tc>
          <w:tcPr>
            <w:tcW w:w="729" w:type="dxa"/>
            <w:tcBorders>
              <w:top w:val="single" w:color="auto" w:sz="4" w:space="0"/>
              <w:left w:val="single" w:color="auto" w:sz="4" w:space="0"/>
              <w:bottom w:val="nil"/>
              <w:right w:val="nil"/>
            </w:tcBorders>
            <w:shd w:val="clear" w:color="auto" w:fill="FFFFFF"/>
            <w:vAlign w:val="center"/>
          </w:tcPr>
          <w:p w14:paraId="5D2513F8">
            <w:pPr>
              <w:pStyle w:val="59"/>
              <w:ind w:firstLine="420"/>
              <w:rPr>
                <w:color w:val="auto"/>
              </w:rPr>
            </w:pPr>
          </w:p>
        </w:tc>
        <w:tc>
          <w:tcPr>
            <w:tcW w:w="1676" w:type="dxa"/>
            <w:tcBorders>
              <w:top w:val="single" w:color="auto" w:sz="4" w:space="0"/>
              <w:left w:val="single" w:color="auto" w:sz="4" w:space="0"/>
              <w:bottom w:val="single" w:color="auto" w:sz="4" w:space="0"/>
              <w:right w:val="nil"/>
            </w:tcBorders>
            <w:shd w:val="clear" w:color="auto" w:fill="FFFFFF"/>
            <w:vAlign w:val="center"/>
          </w:tcPr>
          <w:p w14:paraId="406811BB">
            <w:pPr>
              <w:pStyle w:val="59"/>
              <w:ind w:firstLine="420"/>
              <w:rPr>
                <w:color w:val="auto"/>
              </w:rPr>
            </w:pPr>
          </w:p>
        </w:tc>
        <w:tc>
          <w:tcPr>
            <w:tcW w:w="1747" w:type="dxa"/>
            <w:tcBorders>
              <w:top w:val="single" w:color="auto" w:sz="4" w:space="0"/>
              <w:left w:val="single" w:color="auto" w:sz="4" w:space="0"/>
              <w:bottom w:val="nil"/>
              <w:right w:val="nil"/>
            </w:tcBorders>
            <w:shd w:val="clear" w:color="auto" w:fill="FFFFFF"/>
            <w:vAlign w:val="center"/>
          </w:tcPr>
          <w:p w14:paraId="79B455B8">
            <w:pPr>
              <w:pStyle w:val="59"/>
              <w:ind w:firstLine="420"/>
              <w:rPr>
                <w:color w:val="auto"/>
              </w:rPr>
            </w:pPr>
          </w:p>
        </w:tc>
        <w:tc>
          <w:tcPr>
            <w:tcW w:w="1459" w:type="dxa"/>
            <w:tcBorders>
              <w:top w:val="single" w:color="auto" w:sz="4" w:space="0"/>
              <w:left w:val="single" w:color="auto" w:sz="4" w:space="0"/>
              <w:bottom w:val="single" w:color="auto" w:sz="4" w:space="0"/>
              <w:right w:val="nil"/>
            </w:tcBorders>
            <w:shd w:val="clear" w:color="auto" w:fill="FFFFFF"/>
            <w:vAlign w:val="center"/>
          </w:tcPr>
          <w:p w14:paraId="76537A1A">
            <w:pPr>
              <w:pStyle w:val="59"/>
              <w:ind w:firstLine="420"/>
              <w:rPr>
                <w:color w:val="auto"/>
              </w:rPr>
            </w:pPr>
          </w:p>
        </w:tc>
        <w:tc>
          <w:tcPr>
            <w:tcW w:w="1678" w:type="dxa"/>
            <w:tcBorders>
              <w:top w:val="single" w:color="auto" w:sz="4" w:space="0"/>
              <w:left w:val="single" w:color="auto" w:sz="4" w:space="0"/>
              <w:bottom w:val="nil"/>
              <w:right w:val="nil"/>
            </w:tcBorders>
            <w:shd w:val="clear" w:color="auto" w:fill="FFFFFF"/>
            <w:vAlign w:val="center"/>
          </w:tcPr>
          <w:p w14:paraId="5BB3A597">
            <w:pPr>
              <w:pStyle w:val="59"/>
              <w:ind w:firstLine="420"/>
              <w:rPr>
                <w:color w:val="auto"/>
              </w:rPr>
            </w:pPr>
          </w:p>
        </w:tc>
        <w:tc>
          <w:tcPr>
            <w:tcW w:w="2757" w:type="dxa"/>
            <w:tcBorders>
              <w:top w:val="single" w:color="auto" w:sz="4" w:space="0"/>
              <w:left w:val="single" w:color="auto" w:sz="4" w:space="0"/>
              <w:bottom w:val="single" w:color="auto" w:sz="4" w:space="0"/>
              <w:right w:val="single" w:color="auto" w:sz="4" w:space="0"/>
            </w:tcBorders>
            <w:shd w:val="clear" w:color="auto" w:fill="FFFFFF"/>
            <w:vAlign w:val="center"/>
          </w:tcPr>
          <w:p w14:paraId="2F79FBB5">
            <w:pPr>
              <w:pStyle w:val="59"/>
              <w:ind w:firstLine="420"/>
              <w:rPr>
                <w:color w:val="auto"/>
              </w:rPr>
            </w:pPr>
          </w:p>
        </w:tc>
      </w:tr>
      <w:tr w14:paraId="3EEED6AD">
        <w:tblPrEx>
          <w:tblCellMar>
            <w:top w:w="0" w:type="dxa"/>
            <w:left w:w="10" w:type="dxa"/>
            <w:bottom w:w="0" w:type="dxa"/>
            <w:right w:w="10" w:type="dxa"/>
          </w:tblCellMar>
        </w:tblPrEx>
        <w:trPr>
          <w:trHeight w:val="2579" w:hRule="atLeast"/>
          <w:jc w:val="center"/>
        </w:trPr>
        <w:tc>
          <w:tcPr>
            <w:tcW w:w="4152" w:type="dxa"/>
            <w:gridSpan w:val="3"/>
            <w:tcBorders>
              <w:top w:val="single" w:color="auto" w:sz="4" w:space="0"/>
              <w:left w:val="single" w:color="auto" w:sz="4" w:space="0"/>
              <w:bottom w:val="single" w:color="auto" w:sz="4" w:space="0"/>
              <w:right w:val="nil"/>
            </w:tcBorders>
            <w:shd w:val="clear" w:color="auto" w:fill="FFFFFF"/>
            <w:vAlign w:val="top"/>
          </w:tcPr>
          <w:p w14:paraId="3D3DEC44">
            <w:pPr>
              <w:pStyle w:val="59"/>
              <w:ind w:left="0" w:leftChars="0" w:firstLine="0" w:firstLineChars="0"/>
              <w:jc w:val="both"/>
              <w:rPr>
                <w:rFonts w:hint="eastAsia" w:eastAsia="宋体"/>
                <w:color w:val="auto"/>
                <w:lang w:val="en-US" w:eastAsia="zh-CN"/>
              </w:rPr>
            </w:pPr>
            <w:r>
              <w:rPr>
                <w:rFonts w:hint="eastAsia"/>
                <w:color w:val="auto"/>
                <w:lang w:val="en-US" w:eastAsia="zh-CN"/>
              </w:rPr>
              <w:t>调出部门意见</w:t>
            </w:r>
          </w:p>
        </w:tc>
        <w:tc>
          <w:tcPr>
            <w:tcW w:w="3137" w:type="dxa"/>
            <w:gridSpan w:val="2"/>
            <w:tcBorders>
              <w:top w:val="single" w:color="auto" w:sz="4" w:space="0"/>
              <w:left w:val="single" w:color="auto" w:sz="4" w:space="0"/>
              <w:bottom w:val="single" w:color="auto" w:sz="4" w:space="0"/>
              <w:right w:val="nil"/>
            </w:tcBorders>
            <w:shd w:val="clear" w:color="auto" w:fill="FFFFFF"/>
            <w:vAlign w:val="top"/>
          </w:tcPr>
          <w:p w14:paraId="2AD3819F">
            <w:pPr>
              <w:pStyle w:val="59"/>
              <w:ind w:left="0" w:leftChars="0" w:firstLine="0" w:firstLineChars="0"/>
              <w:jc w:val="both"/>
              <w:rPr>
                <w:rFonts w:hint="eastAsia" w:eastAsia="宋体"/>
                <w:color w:val="auto"/>
                <w:lang w:val="en-US" w:eastAsia="zh-CN"/>
              </w:rPr>
            </w:pPr>
            <w:r>
              <w:rPr>
                <w:rFonts w:hint="eastAsia"/>
                <w:color w:val="auto"/>
                <w:lang w:val="en-US" w:eastAsia="zh-CN"/>
              </w:rPr>
              <w:t>调入部门意见</w:t>
            </w:r>
          </w:p>
        </w:tc>
        <w:tc>
          <w:tcPr>
            <w:tcW w:w="2757" w:type="dxa"/>
            <w:tcBorders>
              <w:top w:val="single" w:color="auto" w:sz="4" w:space="0"/>
              <w:left w:val="single" w:color="auto" w:sz="4" w:space="0"/>
              <w:bottom w:val="single" w:color="auto" w:sz="4" w:space="0"/>
              <w:right w:val="single" w:color="auto" w:sz="4" w:space="0"/>
            </w:tcBorders>
            <w:shd w:val="clear" w:color="auto" w:fill="FFFFFF"/>
            <w:vAlign w:val="top"/>
          </w:tcPr>
          <w:p w14:paraId="5A9480D9">
            <w:pPr>
              <w:pStyle w:val="59"/>
              <w:ind w:left="0" w:leftChars="0" w:firstLine="0" w:firstLineChars="0"/>
              <w:jc w:val="both"/>
              <w:rPr>
                <w:rFonts w:hint="eastAsia" w:eastAsia="宋体"/>
                <w:color w:val="auto"/>
                <w:lang w:val="en-US" w:eastAsia="zh-CN"/>
              </w:rPr>
            </w:pPr>
            <w:r>
              <w:rPr>
                <w:rFonts w:hint="eastAsia"/>
                <w:color w:val="auto"/>
                <w:lang w:val="en-US" w:eastAsia="zh-CN"/>
              </w:rPr>
              <w:t>资产管理部门意见</w:t>
            </w:r>
          </w:p>
        </w:tc>
      </w:tr>
    </w:tbl>
    <w:p w14:paraId="122801D8">
      <w:pPr>
        <w:pStyle w:val="59"/>
        <w:ind w:firstLine="0" w:firstLineChars="0"/>
        <w:rPr>
          <w:rFonts w:hint="eastAsia" w:eastAsia="宋体"/>
          <w:color w:val="auto"/>
          <w:lang w:eastAsia="zh-CN"/>
        </w:rPr>
      </w:pPr>
      <w:r>
        <w:rPr>
          <w:color w:val="auto"/>
        </w:rPr>
        <w:t>注：本调拨单</w:t>
      </w:r>
      <w:r>
        <w:rPr>
          <w:rFonts w:hint="eastAsia"/>
          <w:color w:val="auto"/>
          <w:lang w:eastAsia="zh-CN"/>
        </w:rPr>
        <w:t>壹</w:t>
      </w:r>
      <w:r>
        <w:rPr>
          <w:color w:val="auto"/>
        </w:rPr>
        <w:t>式</w:t>
      </w:r>
      <w:r>
        <w:rPr>
          <w:rFonts w:hint="eastAsia"/>
          <w:color w:val="auto"/>
          <w:lang w:eastAsia="zh-CN"/>
        </w:rPr>
        <w:t>叁</w:t>
      </w:r>
      <w:r>
        <w:rPr>
          <w:color w:val="auto"/>
        </w:rPr>
        <w:t>份，由</w:t>
      </w:r>
      <w:r>
        <w:rPr>
          <w:rFonts w:hint="eastAsia"/>
          <w:color w:val="auto"/>
        </w:rPr>
        <w:t>资产管理部门</w:t>
      </w:r>
      <w:r>
        <w:rPr>
          <w:color w:val="auto"/>
        </w:rPr>
        <w:t>、调出部门、调入部门各执</w:t>
      </w:r>
      <w:r>
        <w:rPr>
          <w:rFonts w:hint="eastAsia"/>
          <w:color w:val="auto"/>
          <w:lang w:eastAsia="zh-CN"/>
        </w:rPr>
        <w:t>壹</w:t>
      </w:r>
      <w:r>
        <w:rPr>
          <w:color w:val="auto"/>
        </w:rPr>
        <w:t>份</w:t>
      </w:r>
      <w:r>
        <w:rPr>
          <w:rFonts w:hint="eastAsia"/>
          <w:color w:val="auto"/>
          <w:lang w:eastAsia="zh-CN"/>
        </w:rPr>
        <w:t>。</w:t>
      </w:r>
    </w:p>
    <w:p w14:paraId="64FB24E9">
      <w:pPr>
        <w:pStyle w:val="59"/>
        <w:ind w:firstLine="420"/>
        <w:rPr>
          <w:color w:val="auto"/>
        </w:rPr>
      </w:pPr>
    </w:p>
    <w:p w14:paraId="3B82451C">
      <w:pPr>
        <w:pStyle w:val="59"/>
        <w:ind w:firstLine="420"/>
        <w:rPr>
          <w:color w:val="auto"/>
        </w:rPr>
      </w:pPr>
    </w:p>
    <w:p w14:paraId="1EC0C369">
      <w:pPr>
        <w:pStyle w:val="59"/>
        <w:ind w:firstLine="420"/>
        <w:rPr>
          <w:color w:val="auto"/>
        </w:rPr>
      </w:pPr>
    </w:p>
    <w:p w14:paraId="395ADC2C">
      <w:pPr>
        <w:pStyle w:val="201"/>
        <w:rPr>
          <w:rFonts w:hint="eastAsia"/>
          <w:color w:val="auto"/>
        </w:rPr>
      </w:pPr>
    </w:p>
    <w:p w14:paraId="6E1AEAFC">
      <w:pPr>
        <w:pStyle w:val="202"/>
        <w:rPr>
          <w:color w:val="auto"/>
        </w:rPr>
      </w:pPr>
    </w:p>
    <w:p w14:paraId="4E4159D2">
      <w:pPr>
        <w:pStyle w:val="79"/>
        <w:spacing w:after="156"/>
        <w:rPr>
          <w:color w:val="auto"/>
        </w:rPr>
        <w:sectPr>
          <w:pgSz w:w="11906" w:h="16838"/>
          <w:pgMar w:top="1928" w:right="1134" w:bottom="1134" w:left="1134" w:header="1418" w:footer="1134" w:gutter="284"/>
          <w:cols w:space="425" w:num="1"/>
          <w:formProt w:val="0"/>
          <w:docGrid w:type="lines" w:linePitch="312" w:charSpace="0"/>
        </w:sectPr>
      </w:pPr>
    </w:p>
    <w:p w14:paraId="42C225BD">
      <w:pPr>
        <w:pStyle w:val="79"/>
        <w:spacing w:after="156"/>
        <w:rPr>
          <w:color w:val="auto"/>
        </w:rPr>
      </w:pPr>
      <w:r>
        <w:rPr>
          <w:color w:val="auto"/>
        </w:rPr>
        <w:br w:type="textWrapping"/>
      </w:r>
      <w:bookmarkStart w:id="60" w:name="_Toc168408584"/>
      <w:bookmarkStart w:id="61" w:name="_Toc168044233"/>
      <w:r>
        <w:rPr>
          <w:rFonts w:hint="eastAsia"/>
          <w:color w:val="auto"/>
        </w:rPr>
        <w:t>（资料性）</w:t>
      </w:r>
      <w:r>
        <w:rPr>
          <w:color w:val="auto"/>
        </w:rPr>
        <w:br w:type="textWrapping"/>
      </w:r>
      <w:r>
        <w:rPr>
          <w:rFonts w:hint="eastAsia"/>
          <w:color w:val="auto"/>
        </w:rPr>
        <w:t>资产验收（领用）单</w:t>
      </w:r>
      <w:bookmarkEnd w:id="60"/>
      <w:bookmarkEnd w:id="61"/>
    </w:p>
    <w:p w14:paraId="6A1C2E96">
      <w:pPr>
        <w:pStyle w:val="59"/>
        <w:ind w:firstLine="420"/>
        <w:rPr>
          <w:color w:val="auto"/>
        </w:rPr>
      </w:pPr>
      <w:r>
        <w:rPr>
          <w:rFonts w:hint="eastAsia"/>
          <w:color w:val="auto"/>
        </w:rPr>
        <w:t>资产验收（领用）单参见表C.1。</w:t>
      </w:r>
    </w:p>
    <w:p w14:paraId="4D8F41EF">
      <w:pPr>
        <w:pStyle w:val="80"/>
        <w:numPr>
          <w:ilvl w:val="0"/>
          <w:numId w:val="0"/>
        </w:numPr>
        <w:spacing w:before="156" w:after="156"/>
        <w:rPr>
          <w:color w:val="auto"/>
        </w:rPr>
      </w:pPr>
      <w:r>
        <w:rPr>
          <w:rFonts w:hint="eastAsia"/>
          <w:color w:val="auto"/>
        </w:rPr>
        <w:t>表C</w:t>
      </w:r>
      <w:r>
        <w:rPr>
          <w:color w:val="auto"/>
        </w:rPr>
        <w:t xml:space="preserve">.1 </w:t>
      </w:r>
      <w:r>
        <w:rPr>
          <w:rFonts w:hint="eastAsia"/>
          <w:color w:val="auto"/>
        </w:rPr>
        <w:t>资产验收（领用）单</w:t>
      </w:r>
    </w:p>
    <w:p w14:paraId="4F26A8F6">
      <w:pPr>
        <w:pStyle w:val="59"/>
        <w:ind w:firstLine="6300" w:firstLineChars="3000"/>
        <w:rPr>
          <w:color w:val="auto"/>
        </w:rPr>
      </w:pPr>
      <w:r>
        <w:rPr>
          <w:rFonts w:hint="eastAsia"/>
          <w:color w:val="auto"/>
        </w:rPr>
        <w:t xml:space="preserve">年  月  日   </w:t>
      </w:r>
      <w:r>
        <w:rPr>
          <w:rFonts w:hint="eastAsia"/>
          <w:color w:val="auto"/>
          <w:lang w:val="en-US" w:eastAsia="zh-CN"/>
        </w:rPr>
        <w:t xml:space="preserve">                                       </w:t>
      </w:r>
      <w:r>
        <w:rPr>
          <w:rFonts w:hint="eastAsia"/>
          <w:color w:val="auto"/>
        </w:rPr>
        <w:t>编号：</w:t>
      </w:r>
    </w:p>
    <w:tbl>
      <w:tblPr>
        <w:tblStyle w:val="28"/>
        <w:tblW w:w="13067" w:type="dxa"/>
        <w:jc w:val="center"/>
        <w:tblLayout w:type="fixed"/>
        <w:tblCellMar>
          <w:top w:w="0" w:type="dxa"/>
          <w:left w:w="10" w:type="dxa"/>
          <w:bottom w:w="0" w:type="dxa"/>
          <w:right w:w="10" w:type="dxa"/>
        </w:tblCellMar>
      </w:tblPr>
      <w:tblGrid>
        <w:gridCol w:w="822"/>
        <w:gridCol w:w="1009"/>
        <w:gridCol w:w="1132"/>
        <w:gridCol w:w="750"/>
        <w:gridCol w:w="1000"/>
        <w:gridCol w:w="1539"/>
        <w:gridCol w:w="1367"/>
        <w:gridCol w:w="2051"/>
        <w:gridCol w:w="1200"/>
        <w:gridCol w:w="2197"/>
      </w:tblGrid>
      <w:tr w14:paraId="32590E0C">
        <w:tblPrEx>
          <w:tblCellMar>
            <w:top w:w="0" w:type="dxa"/>
            <w:left w:w="10" w:type="dxa"/>
            <w:bottom w:w="0" w:type="dxa"/>
            <w:right w:w="10" w:type="dxa"/>
          </w:tblCellMar>
        </w:tblPrEx>
        <w:trPr>
          <w:trHeight w:val="619" w:hRule="atLeast"/>
          <w:jc w:val="center"/>
        </w:trPr>
        <w:tc>
          <w:tcPr>
            <w:tcW w:w="822" w:type="dxa"/>
            <w:tcBorders>
              <w:top w:val="single" w:color="auto" w:sz="4" w:space="0"/>
              <w:left w:val="single" w:color="auto" w:sz="4" w:space="0"/>
              <w:bottom w:val="nil"/>
              <w:right w:val="nil"/>
            </w:tcBorders>
            <w:shd w:val="clear" w:color="auto" w:fill="FFFFFF"/>
            <w:vAlign w:val="center"/>
          </w:tcPr>
          <w:p w14:paraId="64751AC3">
            <w:pPr>
              <w:pStyle w:val="234"/>
              <w:ind w:firstLine="0"/>
              <w:jc w:val="center"/>
              <w:rPr>
                <w:rFonts w:hint="eastAsia" w:hAnsi="Times New Roman" w:eastAsia="宋体" w:cs="Times New Roman"/>
                <w:color w:val="auto"/>
                <w:sz w:val="21"/>
                <w:szCs w:val="20"/>
                <w:lang w:eastAsia="zh-CN"/>
              </w:rPr>
            </w:pPr>
            <w:r>
              <w:rPr>
                <w:rFonts w:hint="eastAsia" w:hAnsi="Times New Roman" w:cs="Times New Roman"/>
                <w:color w:val="auto"/>
                <w:sz w:val="21"/>
                <w:szCs w:val="20"/>
                <w:lang w:eastAsia="zh-CN"/>
              </w:rPr>
              <w:t>序号</w:t>
            </w:r>
          </w:p>
        </w:tc>
        <w:tc>
          <w:tcPr>
            <w:tcW w:w="1009" w:type="dxa"/>
            <w:tcBorders>
              <w:top w:val="single" w:color="auto" w:sz="4" w:space="0"/>
              <w:left w:val="single" w:color="auto" w:sz="4" w:space="0"/>
              <w:bottom w:val="nil"/>
              <w:right w:val="nil"/>
            </w:tcBorders>
            <w:shd w:val="clear" w:color="auto" w:fill="FFFFFF"/>
            <w:vAlign w:val="center"/>
          </w:tcPr>
          <w:p w14:paraId="08E421B4">
            <w:pPr>
              <w:pStyle w:val="234"/>
              <w:ind w:firstLine="0"/>
              <w:jc w:val="center"/>
              <w:rPr>
                <w:rFonts w:hAnsi="Times New Roman" w:cs="Times New Roman"/>
                <w:color w:val="auto"/>
                <w:sz w:val="21"/>
                <w:szCs w:val="20"/>
              </w:rPr>
            </w:pPr>
            <w:r>
              <w:rPr>
                <w:rFonts w:hAnsi="Times New Roman" w:cs="Times New Roman"/>
                <w:color w:val="auto"/>
                <w:sz w:val="21"/>
                <w:szCs w:val="20"/>
              </w:rPr>
              <w:t>资产名称</w:t>
            </w:r>
          </w:p>
        </w:tc>
        <w:tc>
          <w:tcPr>
            <w:tcW w:w="1132" w:type="dxa"/>
            <w:tcBorders>
              <w:top w:val="single" w:color="auto" w:sz="4" w:space="0"/>
              <w:left w:val="single" w:color="auto" w:sz="4" w:space="0"/>
              <w:bottom w:val="nil"/>
              <w:right w:val="nil"/>
            </w:tcBorders>
            <w:shd w:val="clear" w:color="auto" w:fill="FFFFFF"/>
            <w:vAlign w:val="center"/>
          </w:tcPr>
          <w:p w14:paraId="57C79910">
            <w:pPr>
              <w:pStyle w:val="234"/>
              <w:ind w:firstLine="0"/>
              <w:jc w:val="center"/>
              <w:rPr>
                <w:rFonts w:hAnsi="Times New Roman" w:cs="Times New Roman"/>
                <w:color w:val="auto"/>
                <w:sz w:val="21"/>
                <w:szCs w:val="20"/>
              </w:rPr>
            </w:pPr>
            <w:r>
              <w:rPr>
                <w:rFonts w:hAnsi="Times New Roman" w:cs="Times New Roman"/>
                <w:color w:val="auto"/>
                <w:sz w:val="21"/>
                <w:szCs w:val="20"/>
              </w:rPr>
              <w:t>规格型号</w:t>
            </w:r>
          </w:p>
        </w:tc>
        <w:tc>
          <w:tcPr>
            <w:tcW w:w="750" w:type="dxa"/>
            <w:tcBorders>
              <w:top w:val="single" w:color="auto" w:sz="4" w:space="0"/>
              <w:left w:val="single" w:color="auto" w:sz="4" w:space="0"/>
              <w:bottom w:val="nil"/>
              <w:right w:val="nil"/>
            </w:tcBorders>
            <w:shd w:val="clear" w:color="auto" w:fill="FFFFFF"/>
            <w:vAlign w:val="center"/>
          </w:tcPr>
          <w:p w14:paraId="103C054C">
            <w:pPr>
              <w:pStyle w:val="234"/>
              <w:ind w:firstLine="0"/>
              <w:jc w:val="center"/>
              <w:rPr>
                <w:rFonts w:hAnsi="Times New Roman" w:cs="Times New Roman"/>
                <w:color w:val="auto"/>
                <w:sz w:val="21"/>
                <w:szCs w:val="20"/>
              </w:rPr>
            </w:pPr>
            <w:r>
              <w:rPr>
                <w:rFonts w:hAnsi="Times New Roman" w:cs="Times New Roman"/>
                <w:color w:val="auto"/>
                <w:sz w:val="21"/>
                <w:szCs w:val="20"/>
              </w:rPr>
              <w:t>数量</w:t>
            </w:r>
          </w:p>
        </w:tc>
        <w:tc>
          <w:tcPr>
            <w:tcW w:w="1000" w:type="dxa"/>
            <w:tcBorders>
              <w:top w:val="single" w:color="auto" w:sz="4" w:space="0"/>
              <w:left w:val="single" w:color="auto" w:sz="4" w:space="0"/>
              <w:bottom w:val="nil"/>
              <w:right w:val="nil"/>
            </w:tcBorders>
            <w:shd w:val="clear" w:color="auto" w:fill="FFFFFF"/>
            <w:vAlign w:val="center"/>
          </w:tcPr>
          <w:p w14:paraId="28C06AC6">
            <w:pPr>
              <w:pStyle w:val="234"/>
              <w:ind w:firstLine="0"/>
              <w:jc w:val="center"/>
              <w:rPr>
                <w:rFonts w:hAnsi="Times New Roman" w:cs="Times New Roman"/>
                <w:color w:val="auto"/>
                <w:sz w:val="21"/>
                <w:szCs w:val="20"/>
              </w:rPr>
            </w:pPr>
            <w:r>
              <w:rPr>
                <w:rFonts w:hAnsi="Times New Roman" w:cs="Times New Roman"/>
                <w:color w:val="auto"/>
                <w:sz w:val="21"/>
                <w:szCs w:val="20"/>
              </w:rPr>
              <w:t>单价</w:t>
            </w:r>
          </w:p>
        </w:tc>
        <w:tc>
          <w:tcPr>
            <w:tcW w:w="1539" w:type="dxa"/>
            <w:tcBorders>
              <w:top w:val="single" w:color="auto" w:sz="4" w:space="0"/>
              <w:left w:val="single" w:color="auto" w:sz="4" w:space="0"/>
              <w:bottom w:val="nil"/>
              <w:right w:val="nil"/>
            </w:tcBorders>
            <w:shd w:val="clear" w:color="auto" w:fill="FFFFFF"/>
            <w:vAlign w:val="center"/>
          </w:tcPr>
          <w:p w14:paraId="266E15F3">
            <w:pPr>
              <w:pStyle w:val="234"/>
              <w:keepNext w:val="0"/>
              <w:keepLines w:val="0"/>
              <w:pageBreakBefore w:val="0"/>
              <w:widowControl w:val="0"/>
              <w:kinsoku/>
              <w:wordWrap/>
              <w:overflowPunct/>
              <w:topLinePunct w:val="0"/>
              <w:autoSpaceDE/>
              <w:autoSpaceDN/>
              <w:bidi w:val="0"/>
              <w:adjustRightInd w:val="0"/>
              <w:snapToGrid w:val="0"/>
              <w:spacing w:line="240" w:lineRule="atLeast"/>
              <w:ind w:firstLine="0"/>
              <w:jc w:val="center"/>
              <w:textAlignment w:val="auto"/>
              <w:rPr>
                <w:rFonts w:hAnsi="Times New Roman" w:cs="Times New Roman"/>
                <w:color w:val="auto"/>
                <w:sz w:val="21"/>
                <w:szCs w:val="20"/>
              </w:rPr>
            </w:pPr>
            <w:r>
              <w:rPr>
                <w:rFonts w:hAnsi="Times New Roman" w:cs="Times New Roman"/>
                <w:color w:val="auto"/>
                <w:sz w:val="21"/>
                <w:szCs w:val="20"/>
              </w:rPr>
              <w:t>金额（元）</w:t>
            </w:r>
          </w:p>
        </w:tc>
        <w:tc>
          <w:tcPr>
            <w:tcW w:w="1367" w:type="dxa"/>
            <w:tcBorders>
              <w:top w:val="single" w:color="auto" w:sz="4" w:space="0"/>
              <w:left w:val="single" w:color="auto" w:sz="4" w:space="0"/>
              <w:bottom w:val="nil"/>
              <w:right w:val="nil"/>
            </w:tcBorders>
            <w:shd w:val="clear" w:color="auto" w:fill="FFFFFF"/>
            <w:vAlign w:val="center"/>
          </w:tcPr>
          <w:p w14:paraId="3FE8157D">
            <w:pPr>
              <w:pStyle w:val="234"/>
              <w:ind w:firstLine="0"/>
              <w:jc w:val="center"/>
              <w:rPr>
                <w:rFonts w:hAnsi="Times New Roman" w:cs="Times New Roman"/>
                <w:color w:val="auto"/>
                <w:sz w:val="21"/>
                <w:szCs w:val="20"/>
              </w:rPr>
            </w:pPr>
            <w:r>
              <w:rPr>
                <w:rFonts w:hAnsi="Times New Roman" w:cs="Times New Roman"/>
                <w:color w:val="auto"/>
                <w:sz w:val="21"/>
                <w:szCs w:val="20"/>
              </w:rPr>
              <w:t>使用人</w:t>
            </w:r>
          </w:p>
        </w:tc>
        <w:tc>
          <w:tcPr>
            <w:tcW w:w="2051" w:type="dxa"/>
            <w:tcBorders>
              <w:top w:val="single" w:color="auto" w:sz="4" w:space="0"/>
              <w:left w:val="single" w:color="auto" w:sz="4" w:space="0"/>
              <w:bottom w:val="nil"/>
              <w:right w:val="nil"/>
            </w:tcBorders>
            <w:shd w:val="clear" w:color="auto" w:fill="FFFFFF"/>
            <w:vAlign w:val="center"/>
          </w:tcPr>
          <w:p w14:paraId="584BF072">
            <w:pPr>
              <w:pStyle w:val="234"/>
              <w:ind w:firstLine="0"/>
              <w:jc w:val="center"/>
              <w:rPr>
                <w:rFonts w:hAnsi="Times New Roman" w:cs="Times New Roman"/>
                <w:color w:val="auto"/>
                <w:sz w:val="21"/>
                <w:szCs w:val="20"/>
              </w:rPr>
            </w:pPr>
            <w:r>
              <w:rPr>
                <w:rFonts w:hAnsi="Times New Roman" w:cs="Times New Roman"/>
                <w:color w:val="auto"/>
                <w:sz w:val="21"/>
                <w:szCs w:val="20"/>
              </w:rPr>
              <w:t>存放地点</w:t>
            </w:r>
          </w:p>
        </w:tc>
        <w:tc>
          <w:tcPr>
            <w:tcW w:w="1200" w:type="dxa"/>
            <w:tcBorders>
              <w:top w:val="single" w:color="auto" w:sz="4" w:space="0"/>
              <w:left w:val="single" w:color="auto" w:sz="4" w:space="0"/>
              <w:bottom w:val="nil"/>
              <w:right w:val="nil"/>
            </w:tcBorders>
            <w:shd w:val="clear" w:color="auto" w:fill="FFFFFF"/>
            <w:vAlign w:val="center"/>
          </w:tcPr>
          <w:p w14:paraId="537B7B83">
            <w:pPr>
              <w:pStyle w:val="234"/>
              <w:ind w:firstLine="0"/>
              <w:jc w:val="center"/>
              <w:rPr>
                <w:rFonts w:hAnsi="Times New Roman" w:cs="Times New Roman"/>
                <w:color w:val="auto"/>
                <w:sz w:val="21"/>
                <w:szCs w:val="20"/>
              </w:rPr>
            </w:pPr>
            <w:r>
              <w:rPr>
                <w:rFonts w:hAnsi="Times New Roman" w:cs="Times New Roman"/>
                <w:color w:val="auto"/>
                <w:sz w:val="21"/>
                <w:szCs w:val="20"/>
              </w:rPr>
              <w:t>领用部门</w:t>
            </w:r>
          </w:p>
        </w:tc>
        <w:tc>
          <w:tcPr>
            <w:tcW w:w="2197" w:type="dxa"/>
            <w:tcBorders>
              <w:top w:val="single" w:color="auto" w:sz="4" w:space="0"/>
              <w:left w:val="single" w:color="auto" w:sz="4" w:space="0"/>
              <w:bottom w:val="nil"/>
              <w:right w:val="single" w:color="auto" w:sz="4" w:space="0"/>
            </w:tcBorders>
            <w:shd w:val="clear" w:color="auto" w:fill="FFFFFF"/>
            <w:vAlign w:val="center"/>
          </w:tcPr>
          <w:p w14:paraId="7ADADF84">
            <w:pPr>
              <w:pStyle w:val="234"/>
              <w:ind w:firstLine="0"/>
              <w:jc w:val="center"/>
              <w:rPr>
                <w:rFonts w:hAnsi="Times New Roman" w:cs="Times New Roman"/>
                <w:color w:val="auto"/>
                <w:sz w:val="21"/>
                <w:szCs w:val="20"/>
              </w:rPr>
            </w:pPr>
            <w:r>
              <w:rPr>
                <w:rFonts w:hAnsi="Times New Roman" w:cs="Times New Roman"/>
                <w:color w:val="auto"/>
                <w:sz w:val="21"/>
                <w:szCs w:val="20"/>
              </w:rPr>
              <w:t>领用经办人</w:t>
            </w:r>
          </w:p>
        </w:tc>
      </w:tr>
      <w:tr w14:paraId="2EF647CB">
        <w:tblPrEx>
          <w:tblCellMar>
            <w:top w:w="0" w:type="dxa"/>
            <w:left w:w="10" w:type="dxa"/>
            <w:bottom w:w="0" w:type="dxa"/>
            <w:right w:w="10" w:type="dxa"/>
          </w:tblCellMar>
        </w:tblPrEx>
        <w:trPr>
          <w:trHeight w:val="443" w:hRule="atLeast"/>
          <w:jc w:val="center"/>
        </w:trPr>
        <w:tc>
          <w:tcPr>
            <w:tcW w:w="822" w:type="dxa"/>
            <w:tcBorders>
              <w:top w:val="single" w:color="auto" w:sz="4" w:space="0"/>
              <w:left w:val="single" w:color="auto" w:sz="4" w:space="0"/>
              <w:bottom w:val="nil"/>
              <w:right w:val="nil"/>
            </w:tcBorders>
            <w:shd w:val="clear" w:color="auto" w:fill="FFFFFF"/>
            <w:vAlign w:val="center"/>
          </w:tcPr>
          <w:p w14:paraId="70E9E20B">
            <w:pPr>
              <w:rPr>
                <w:rFonts w:ascii="宋体" w:hAnsi="Times New Roman"/>
                <w:color w:val="auto"/>
                <w:kern w:val="0"/>
                <w:szCs w:val="20"/>
              </w:rPr>
            </w:pPr>
          </w:p>
        </w:tc>
        <w:tc>
          <w:tcPr>
            <w:tcW w:w="1009" w:type="dxa"/>
            <w:tcBorders>
              <w:top w:val="single" w:color="auto" w:sz="4" w:space="0"/>
              <w:left w:val="single" w:color="auto" w:sz="4" w:space="0"/>
              <w:bottom w:val="nil"/>
              <w:right w:val="nil"/>
            </w:tcBorders>
            <w:shd w:val="clear" w:color="auto" w:fill="FFFFFF"/>
            <w:vAlign w:val="center"/>
          </w:tcPr>
          <w:p w14:paraId="2D70B74A">
            <w:pPr>
              <w:rPr>
                <w:rFonts w:ascii="宋体" w:hAnsi="Times New Roman"/>
                <w:color w:val="auto"/>
                <w:kern w:val="0"/>
                <w:szCs w:val="20"/>
              </w:rPr>
            </w:pPr>
          </w:p>
        </w:tc>
        <w:tc>
          <w:tcPr>
            <w:tcW w:w="1132" w:type="dxa"/>
            <w:tcBorders>
              <w:top w:val="single" w:color="auto" w:sz="4" w:space="0"/>
              <w:left w:val="single" w:color="auto" w:sz="4" w:space="0"/>
              <w:bottom w:val="nil"/>
              <w:right w:val="nil"/>
            </w:tcBorders>
            <w:shd w:val="clear" w:color="auto" w:fill="FFFFFF"/>
            <w:vAlign w:val="center"/>
          </w:tcPr>
          <w:p w14:paraId="6BF437E2">
            <w:pPr>
              <w:rPr>
                <w:rFonts w:ascii="宋体" w:hAnsi="Times New Roman"/>
                <w:color w:val="auto"/>
                <w:kern w:val="0"/>
                <w:szCs w:val="20"/>
              </w:rPr>
            </w:pPr>
          </w:p>
        </w:tc>
        <w:tc>
          <w:tcPr>
            <w:tcW w:w="750" w:type="dxa"/>
            <w:tcBorders>
              <w:top w:val="single" w:color="auto" w:sz="4" w:space="0"/>
              <w:left w:val="single" w:color="auto" w:sz="4" w:space="0"/>
              <w:bottom w:val="nil"/>
              <w:right w:val="nil"/>
            </w:tcBorders>
            <w:shd w:val="clear" w:color="auto" w:fill="FFFFFF"/>
            <w:vAlign w:val="center"/>
          </w:tcPr>
          <w:p w14:paraId="561EBF71">
            <w:pPr>
              <w:rPr>
                <w:rFonts w:ascii="宋体" w:hAnsi="Times New Roman"/>
                <w:color w:val="auto"/>
                <w:kern w:val="0"/>
                <w:szCs w:val="20"/>
              </w:rPr>
            </w:pPr>
          </w:p>
        </w:tc>
        <w:tc>
          <w:tcPr>
            <w:tcW w:w="1000" w:type="dxa"/>
            <w:tcBorders>
              <w:top w:val="single" w:color="auto" w:sz="4" w:space="0"/>
              <w:left w:val="single" w:color="auto" w:sz="4" w:space="0"/>
              <w:bottom w:val="nil"/>
              <w:right w:val="nil"/>
            </w:tcBorders>
            <w:shd w:val="clear" w:color="auto" w:fill="FFFFFF"/>
            <w:vAlign w:val="center"/>
          </w:tcPr>
          <w:p w14:paraId="12496595">
            <w:pPr>
              <w:rPr>
                <w:rFonts w:ascii="宋体" w:hAnsi="Times New Roman"/>
                <w:color w:val="auto"/>
                <w:kern w:val="0"/>
                <w:szCs w:val="20"/>
              </w:rPr>
            </w:pPr>
          </w:p>
        </w:tc>
        <w:tc>
          <w:tcPr>
            <w:tcW w:w="1539" w:type="dxa"/>
            <w:tcBorders>
              <w:top w:val="single" w:color="auto" w:sz="4" w:space="0"/>
              <w:left w:val="single" w:color="auto" w:sz="4" w:space="0"/>
              <w:bottom w:val="nil"/>
              <w:right w:val="nil"/>
            </w:tcBorders>
            <w:shd w:val="clear" w:color="auto" w:fill="FFFFFF"/>
            <w:vAlign w:val="center"/>
          </w:tcPr>
          <w:p w14:paraId="7275007A">
            <w:pPr>
              <w:rPr>
                <w:rFonts w:ascii="宋体" w:hAnsi="Times New Roman"/>
                <w:color w:val="auto"/>
                <w:kern w:val="0"/>
                <w:szCs w:val="20"/>
              </w:rPr>
            </w:pPr>
          </w:p>
        </w:tc>
        <w:tc>
          <w:tcPr>
            <w:tcW w:w="1367" w:type="dxa"/>
            <w:tcBorders>
              <w:top w:val="single" w:color="auto" w:sz="4" w:space="0"/>
              <w:left w:val="single" w:color="auto" w:sz="4" w:space="0"/>
              <w:bottom w:val="nil"/>
              <w:right w:val="nil"/>
            </w:tcBorders>
            <w:shd w:val="clear" w:color="auto" w:fill="FFFFFF"/>
            <w:vAlign w:val="center"/>
          </w:tcPr>
          <w:p w14:paraId="7AF301DD">
            <w:pPr>
              <w:rPr>
                <w:rFonts w:ascii="宋体" w:hAnsi="Times New Roman"/>
                <w:color w:val="auto"/>
                <w:kern w:val="0"/>
                <w:szCs w:val="20"/>
              </w:rPr>
            </w:pPr>
          </w:p>
        </w:tc>
        <w:tc>
          <w:tcPr>
            <w:tcW w:w="2051" w:type="dxa"/>
            <w:tcBorders>
              <w:top w:val="single" w:color="auto" w:sz="4" w:space="0"/>
              <w:left w:val="single" w:color="auto" w:sz="4" w:space="0"/>
              <w:bottom w:val="nil"/>
              <w:right w:val="nil"/>
            </w:tcBorders>
            <w:shd w:val="clear" w:color="auto" w:fill="FFFFFF"/>
            <w:vAlign w:val="center"/>
          </w:tcPr>
          <w:p w14:paraId="659BA9ED">
            <w:pPr>
              <w:rPr>
                <w:rFonts w:ascii="宋体" w:hAnsi="Times New Roman"/>
                <w:color w:val="auto"/>
                <w:kern w:val="0"/>
                <w:szCs w:val="20"/>
              </w:rPr>
            </w:pPr>
          </w:p>
        </w:tc>
        <w:tc>
          <w:tcPr>
            <w:tcW w:w="1200" w:type="dxa"/>
            <w:tcBorders>
              <w:top w:val="single" w:color="auto" w:sz="4" w:space="0"/>
              <w:left w:val="single" w:color="auto" w:sz="4" w:space="0"/>
              <w:bottom w:val="nil"/>
              <w:right w:val="nil"/>
            </w:tcBorders>
            <w:shd w:val="clear" w:color="auto" w:fill="FFFFFF"/>
            <w:vAlign w:val="center"/>
          </w:tcPr>
          <w:p w14:paraId="765AB847">
            <w:pPr>
              <w:rPr>
                <w:rFonts w:ascii="宋体" w:hAnsi="Times New Roman"/>
                <w:color w:val="auto"/>
                <w:kern w:val="0"/>
                <w:szCs w:val="20"/>
              </w:rPr>
            </w:pPr>
          </w:p>
        </w:tc>
        <w:tc>
          <w:tcPr>
            <w:tcW w:w="2197" w:type="dxa"/>
            <w:tcBorders>
              <w:top w:val="single" w:color="auto" w:sz="4" w:space="0"/>
              <w:left w:val="single" w:color="auto" w:sz="4" w:space="0"/>
              <w:bottom w:val="nil"/>
              <w:right w:val="single" w:color="auto" w:sz="4" w:space="0"/>
            </w:tcBorders>
            <w:shd w:val="clear" w:color="auto" w:fill="FFFFFF"/>
            <w:vAlign w:val="center"/>
          </w:tcPr>
          <w:p w14:paraId="090D7275">
            <w:pPr>
              <w:rPr>
                <w:rFonts w:ascii="宋体" w:hAnsi="Times New Roman"/>
                <w:color w:val="auto"/>
                <w:kern w:val="0"/>
                <w:szCs w:val="20"/>
              </w:rPr>
            </w:pPr>
          </w:p>
        </w:tc>
      </w:tr>
      <w:tr w14:paraId="6D8BD5AC">
        <w:tblPrEx>
          <w:tblCellMar>
            <w:top w:w="0" w:type="dxa"/>
            <w:left w:w="10" w:type="dxa"/>
            <w:bottom w:w="0" w:type="dxa"/>
            <w:right w:w="10" w:type="dxa"/>
          </w:tblCellMar>
        </w:tblPrEx>
        <w:trPr>
          <w:trHeight w:val="438" w:hRule="atLeast"/>
          <w:jc w:val="center"/>
        </w:trPr>
        <w:tc>
          <w:tcPr>
            <w:tcW w:w="822" w:type="dxa"/>
            <w:tcBorders>
              <w:top w:val="single" w:color="auto" w:sz="4" w:space="0"/>
              <w:left w:val="single" w:color="auto" w:sz="4" w:space="0"/>
              <w:bottom w:val="nil"/>
              <w:right w:val="nil"/>
            </w:tcBorders>
            <w:shd w:val="clear" w:color="auto" w:fill="FFFFFF"/>
            <w:vAlign w:val="center"/>
          </w:tcPr>
          <w:p w14:paraId="0ED36448">
            <w:pPr>
              <w:rPr>
                <w:rFonts w:ascii="宋体" w:hAnsi="Times New Roman"/>
                <w:color w:val="auto"/>
                <w:kern w:val="0"/>
                <w:szCs w:val="20"/>
              </w:rPr>
            </w:pPr>
          </w:p>
        </w:tc>
        <w:tc>
          <w:tcPr>
            <w:tcW w:w="1009" w:type="dxa"/>
            <w:tcBorders>
              <w:top w:val="single" w:color="auto" w:sz="4" w:space="0"/>
              <w:left w:val="single" w:color="auto" w:sz="4" w:space="0"/>
              <w:bottom w:val="nil"/>
              <w:right w:val="nil"/>
            </w:tcBorders>
            <w:shd w:val="clear" w:color="auto" w:fill="FFFFFF"/>
            <w:vAlign w:val="center"/>
          </w:tcPr>
          <w:p w14:paraId="603E05B4">
            <w:pPr>
              <w:rPr>
                <w:rFonts w:ascii="宋体" w:hAnsi="Times New Roman"/>
                <w:color w:val="auto"/>
                <w:kern w:val="0"/>
                <w:szCs w:val="20"/>
              </w:rPr>
            </w:pPr>
          </w:p>
        </w:tc>
        <w:tc>
          <w:tcPr>
            <w:tcW w:w="1132" w:type="dxa"/>
            <w:tcBorders>
              <w:top w:val="single" w:color="auto" w:sz="4" w:space="0"/>
              <w:left w:val="single" w:color="auto" w:sz="4" w:space="0"/>
              <w:bottom w:val="nil"/>
              <w:right w:val="nil"/>
            </w:tcBorders>
            <w:shd w:val="clear" w:color="auto" w:fill="FFFFFF"/>
            <w:vAlign w:val="center"/>
          </w:tcPr>
          <w:p w14:paraId="65D12FBB">
            <w:pPr>
              <w:rPr>
                <w:rFonts w:ascii="宋体" w:hAnsi="Times New Roman"/>
                <w:color w:val="auto"/>
                <w:kern w:val="0"/>
                <w:szCs w:val="20"/>
              </w:rPr>
            </w:pPr>
          </w:p>
        </w:tc>
        <w:tc>
          <w:tcPr>
            <w:tcW w:w="750" w:type="dxa"/>
            <w:tcBorders>
              <w:top w:val="single" w:color="auto" w:sz="4" w:space="0"/>
              <w:left w:val="single" w:color="auto" w:sz="4" w:space="0"/>
              <w:bottom w:val="nil"/>
              <w:right w:val="nil"/>
            </w:tcBorders>
            <w:shd w:val="clear" w:color="auto" w:fill="FFFFFF"/>
            <w:vAlign w:val="center"/>
          </w:tcPr>
          <w:p w14:paraId="2C9EED9C">
            <w:pPr>
              <w:rPr>
                <w:rFonts w:ascii="宋体" w:hAnsi="Times New Roman"/>
                <w:color w:val="auto"/>
                <w:kern w:val="0"/>
                <w:szCs w:val="20"/>
              </w:rPr>
            </w:pPr>
          </w:p>
        </w:tc>
        <w:tc>
          <w:tcPr>
            <w:tcW w:w="1000" w:type="dxa"/>
            <w:tcBorders>
              <w:top w:val="single" w:color="auto" w:sz="4" w:space="0"/>
              <w:left w:val="single" w:color="auto" w:sz="4" w:space="0"/>
              <w:bottom w:val="nil"/>
              <w:right w:val="nil"/>
            </w:tcBorders>
            <w:shd w:val="clear" w:color="auto" w:fill="FFFFFF"/>
            <w:vAlign w:val="center"/>
          </w:tcPr>
          <w:p w14:paraId="3F478656">
            <w:pPr>
              <w:rPr>
                <w:rFonts w:ascii="宋体" w:hAnsi="Times New Roman"/>
                <w:color w:val="auto"/>
                <w:kern w:val="0"/>
                <w:szCs w:val="20"/>
              </w:rPr>
            </w:pPr>
          </w:p>
        </w:tc>
        <w:tc>
          <w:tcPr>
            <w:tcW w:w="1539" w:type="dxa"/>
            <w:tcBorders>
              <w:top w:val="single" w:color="auto" w:sz="4" w:space="0"/>
              <w:left w:val="single" w:color="auto" w:sz="4" w:space="0"/>
              <w:bottom w:val="nil"/>
              <w:right w:val="nil"/>
            </w:tcBorders>
            <w:shd w:val="clear" w:color="auto" w:fill="FFFFFF"/>
            <w:vAlign w:val="center"/>
          </w:tcPr>
          <w:p w14:paraId="2B99CD0C">
            <w:pPr>
              <w:rPr>
                <w:rFonts w:ascii="宋体" w:hAnsi="Times New Roman"/>
                <w:color w:val="auto"/>
                <w:kern w:val="0"/>
                <w:szCs w:val="20"/>
              </w:rPr>
            </w:pPr>
          </w:p>
        </w:tc>
        <w:tc>
          <w:tcPr>
            <w:tcW w:w="1367" w:type="dxa"/>
            <w:tcBorders>
              <w:top w:val="single" w:color="auto" w:sz="4" w:space="0"/>
              <w:left w:val="single" w:color="auto" w:sz="4" w:space="0"/>
              <w:bottom w:val="nil"/>
              <w:right w:val="nil"/>
            </w:tcBorders>
            <w:shd w:val="clear" w:color="auto" w:fill="FFFFFF"/>
            <w:vAlign w:val="center"/>
          </w:tcPr>
          <w:p w14:paraId="4391A8FD">
            <w:pPr>
              <w:rPr>
                <w:rFonts w:ascii="宋体" w:hAnsi="Times New Roman"/>
                <w:color w:val="auto"/>
                <w:kern w:val="0"/>
                <w:szCs w:val="20"/>
              </w:rPr>
            </w:pPr>
          </w:p>
        </w:tc>
        <w:tc>
          <w:tcPr>
            <w:tcW w:w="2051" w:type="dxa"/>
            <w:tcBorders>
              <w:top w:val="single" w:color="auto" w:sz="4" w:space="0"/>
              <w:left w:val="single" w:color="auto" w:sz="4" w:space="0"/>
              <w:bottom w:val="nil"/>
              <w:right w:val="nil"/>
            </w:tcBorders>
            <w:shd w:val="clear" w:color="auto" w:fill="FFFFFF"/>
            <w:vAlign w:val="center"/>
          </w:tcPr>
          <w:p w14:paraId="749A9019">
            <w:pPr>
              <w:rPr>
                <w:rFonts w:ascii="宋体" w:hAnsi="Times New Roman"/>
                <w:color w:val="auto"/>
                <w:kern w:val="0"/>
                <w:szCs w:val="20"/>
              </w:rPr>
            </w:pPr>
          </w:p>
        </w:tc>
        <w:tc>
          <w:tcPr>
            <w:tcW w:w="1200" w:type="dxa"/>
            <w:tcBorders>
              <w:top w:val="single" w:color="auto" w:sz="4" w:space="0"/>
              <w:left w:val="single" w:color="auto" w:sz="4" w:space="0"/>
              <w:bottom w:val="nil"/>
              <w:right w:val="nil"/>
            </w:tcBorders>
            <w:shd w:val="clear" w:color="auto" w:fill="FFFFFF"/>
            <w:vAlign w:val="center"/>
          </w:tcPr>
          <w:p w14:paraId="3AA7650B">
            <w:pPr>
              <w:rPr>
                <w:rFonts w:ascii="宋体" w:hAnsi="Times New Roman"/>
                <w:color w:val="auto"/>
                <w:kern w:val="0"/>
                <w:szCs w:val="20"/>
              </w:rPr>
            </w:pPr>
          </w:p>
        </w:tc>
        <w:tc>
          <w:tcPr>
            <w:tcW w:w="2197" w:type="dxa"/>
            <w:tcBorders>
              <w:top w:val="single" w:color="auto" w:sz="4" w:space="0"/>
              <w:left w:val="single" w:color="auto" w:sz="4" w:space="0"/>
              <w:bottom w:val="nil"/>
              <w:right w:val="single" w:color="auto" w:sz="4" w:space="0"/>
            </w:tcBorders>
            <w:shd w:val="clear" w:color="auto" w:fill="FFFFFF"/>
            <w:vAlign w:val="center"/>
          </w:tcPr>
          <w:p w14:paraId="71B8CCDE">
            <w:pPr>
              <w:rPr>
                <w:rFonts w:ascii="宋体" w:hAnsi="Times New Roman"/>
                <w:color w:val="auto"/>
                <w:kern w:val="0"/>
                <w:szCs w:val="20"/>
              </w:rPr>
            </w:pPr>
          </w:p>
        </w:tc>
      </w:tr>
      <w:tr w14:paraId="02791788">
        <w:tblPrEx>
          <w:tblCellMar>
            <w:top w:w="0" w:type="dxa"/>
            <w:left w:w="10" w:type="dxa"/>
            <w:bottom w:w="0" w:type="dxa"/>
            <w:right w:w="10" w:type="dxa"/>
          </w:tblCellMar>
        </w:tblPrEx>
        <w:trPr>
          <w:trHeight w:val="443" w:hRule="atLeast"/>
          <w:jc w:val="center"/>
        </w:trPr>
        <w:tc>
          <w:tcPr>
            <w:tcW w:w="822" w:type="dxa"/>
            <w:tcBorders>
              <w:top w:val="single" w:color="auto" w:sz="4" w:space="0"/>
              <w:left w:val="single" w:color="auto" w:sz="4" w:space="0"/>
              <w:bottom w:val="nil"/>
              <w:right w:val="nil"/>
            </w:tcBorders>
            <w:shd w:val="clear" w:color="auto" w:fill="FFFFFF"/>
            <w:vAlign w:val="center"/>
          </w:tcPr>
          <w:p w14:paraId="552A1BDC">
            <w:pPr>
              <w:rPr>
                <w:rFonts w:ascii="宋体" w:hAnsi="Times New Roman"/>
                <w:color w:val="auto"/>
                <w:kern w:val="0"/>
                <w:szCs w:val="20"/>
              </w:rPr>
            </w:pPr>
          </w:p>
        </w:tc>
        <w:tc>
          <w:tcPr>
            <w:tcW w:w="1009" w:type="dxa"/>
            <w:tcBorders>
              <w:top w:val="single" w:color="auto" w:sz="4" w:space="0"/>
              <w:left w:val="single" w:color="auto" w:sz="4" w:space="0"/>
              <w:bottom w:val="nil"/>
              <w:right w:val="nil"/>
            </w:tcBorders>
            <w:shd w:val="clear" w:color="auto" w:fill="FFFFFF"/>
            <w:vAlign w:val="center"/>
          </w:tcPr>
          <w:p w14:paraId="41CA6D99">
            <w:pPr>
              <w:rPr>
                <w:rFonts w:ascii="宋体" w:hAnsi="Times New Roman"/>
                <w:color w:val="auto"/>
                <w:kern w:val="0"/>
                <w:szCs w:val="20"/>
              </w:rPr>
            </w:pPr>
          </w:p>
        </w:tc>
        <w:tc>
          <w:tcPr>
            <w:tcW w:w="1132" w:type="dxa"/>
            <w:tcBorders>
              <w:top w:val="single" w:color="auto" w:sz="4" w:space="0"/>
              <w:left w:val="single" w:color="auto" w:sz="4" w:space="0"/>
              <w:bottom w:val="nil"/>
              <w:right w:val="nil"/>
            </w:tcBorders>
            <w:shd w:val="clear" w:color="auto" w:fill="FFFFFF"/>
            <w:vAlign w:val="center"/>
          </w:tcPr>
          <w:p w14:paraId="00CB8952">
            <w:pPr>
              <w:rPr>
                <w:rFonts w:ascii="宋体" w:hAnsi="Times New Roman"/>
                <w:color w:val="auto"/>
                <w:kern w:val="0"/>
                <w:szCs w:val="20"/>
              </w:rPr>
            </w:pPr>
          </w:p>
        </w:tc>
        <w:tc>
          <w:tcPr>
            <w:tcW w:w="750" w:type="dxa"/>
            <w:tcBorders>
              <w:top w:val="single" w:color="auto" w:sz="4" w:space="0"/>
              <w:left w:val="single" w:color="auto" w:sz="4" w:space="0"/>
              <w:bottom w:val="nil"/>
              <w:right w:val="nil"/>
            </w:tcBorders>
            <w:shd w:val="clear" w:color="auto" w:fill="FFFFFF"/>
            <w:vAlign w:val="center"/>
          </w:tcPr>
          <w:p w14:paraId="379E1D9C">
            <w:pPr>
              <w:rPr>
                <w:rFonts w:ascii="宋体" w:hAnsi="Times New Roman"/>
                <w:color w:val="auto"/>
                <w:kern w:val="0"/>
                <w:szCs w:val="20"/>
              </w:rPr>
            </w:pPr>
          </w:p>
        </w:tc>
        <w:tc>
          <w:tcPr>
            <w:tcW w:w="1000" w:type="dxa"/>
            <w:tcBorders>
              <w:top w:val="single" w:color="auto" w:sz="4" w:space="0"/>
              <w:left w:val="single" w:color="auto" w:sz="4" w:space="0"/>
              <w:bottom w:val="nil"/>
              <w:right w:val="nil"/>
            </w:tcBorders>
            <w:shd w:val="clear" w:color="auto" w:fill="FFFFFF"/>
            <w:vAlign w:val="center"/>
          </w:tcPr>
          <w:p w14:paraId="3304E46A">
            <w:pPr>
              <w:rPr>
                <w:rFonts w:ascii="宋体" w:hAnsi="Times New Roman"/>
                <w:color w:val="auto"/>
                <w:kern w:val="0"/>
                <w:szCs w:val="20"/>
              </w:rPr>
            </w:pPr>
          </w:p>
        </w:tc>
        <w:tc>
          <w:tcPr>
            <w:tcW w:w="1539" w:type="dxa"/>
            <w:tcBorders>
              <w:top w:val="single" w:color="auto" w:sz="4" w:space="0"/>
              <w:left w:val="single" w:color="auto" w:sz="4" w:space="0"/>
              <w:bottom w:val="nil"/>
              <w:right w:val="nil"/>
            </w:tcBorders>
            <w:shd w:val="clear" w:color="auto" w:fill="FFFFFF"/>
            <w:vAlign w:val="center"/>
          </w:tcPr>
          <w:p w14:paraId="62EF2116">
            <w:pPr>
              <w:rPr>
                <w:rFonts w:ascii="宋体" w:hAnsi="Times New Roman"/>
                <w:color w:val="auto"/>
                <w:kern w:val="0"/>
                <w:szCs w:val="20"/>
              </w:rPr>
            </w:pPr>
          </w:p>
        </w:tc>
        <w:tc>
          <w:tcPr>
            <w:tcW w:w="1367" w:type="dxa"/>
            <w:tcBorders>
              <w:top w:val="single" w:color="auto" w:sz="4" w:space="0"/>
              <w:left w:val="single" w:color="auto" w:sz="4" w:space="0"/>
              <w:bottom w:val="nil"/>
              <w:right w:val="nil"/>
            </w:tcBorders>
            <w:shd w:val="clear" w:color="auto" w:fill="FFFFFF"/>
            <w:vAlign w:val="center"/>
          </w:tcPr>
          <w:p w14:paraId="259557EF">
            <w:pPr>
              <w:rPr>
                <w:rFonts w:ascii="宋体" w:hAnsi="Times New Roman"/>
                <w:color w:val="auto"/>
                <w:kern w:val="0"/>
                <w:szCs w:val="20"/>
              </w:rPr>
            </w:pPr>
          </w:p>
        </w:tc>
        <w:tc>
          <w:tcPr>
            <w:tcW w:w="2051" w:type="dxa"/>
            <w:tcBorders>
              <w:top w:val="single" w:color="auto" w:sz="4" w:space="0"/>
              <w:left w:val="single" w:color="auto" w:sz="4" w:space="0"/>
              <w:bottom w:val="nil"/>
              <w:right w:val="nil"/>
            </w:tcBorders>
            <w:shd w:val="clear" w:color="auto" w:fill="FFFFFF"/>
            <w:vAlign w:val="center"/>
          </w:tcPr>
          <w:p w14:paraId="4D2046B6">
            <w:pPr>
              <w:rPr>
                <w:rFonts w:ascii="宋体" w:hAnsi="Times New Roman"/>
                <w:color w:val="auto"/>
                <w:kern w:val="0"/>
                <w:szCs w:val="20"/>
              </w:rPr>
            </w:pPr>
          </w:p>
        </w:tc>
        <w:tc>
          <w:tcPr>
            <w:tcW w:w="1200" w:type="dxa"/>
            <w:tcBorders>
              <w:top w:val="single" w:color="auto" w:sz="4" w:space="0"/>
              <w:left w:val="single" w:color="auto" w:sz="4" w:space="0"/>
              <w:bottom w:val="nil"/>
              <w:right w:val="nil"/>
            </w:tcBorders>
            <w:shd w:val="clear" w:color="auto" w:fill="FFFFFF"/>
            <w:vAlign w:val="center"/>
          </w:tcPr>
          <w:p w14:paraId="13223C97">
            <w:pPr>
              <w:rPr>
                <w:rFonts w:ascii="宋体" w:hAnsi="Times New Roman"/>
                <w:color w:val="auto"/>
                <w:kern w:val="0"/>
                <w:szCs w:val="20"/>
              </w:rPr>
            </w:pPr>
          </w:p>
        </w:tc>
        <w:tc>
          <w:tcPr>
            <w:tcW w:w="2197" w:type="dxa"/>
            <w:tcBorders>
              <w:top w:val="single" w:color="auto" w:sz="4" w:space="0"/>
              <w:left w:val="single" w:color="auto" w:sz="4" w:space="0"/>
              <w:bottom w:val="nil"/>
              <w:right w:val="single" w:color="auto" w:sz="4" w:space="0"/>
            </w:tcBorders>
            <w:shd w:val="clear" w:color="auto" w:fill="FFFFFF"/>
            <w:vAlign w:val="center"/>
          </w:tcPr>
          <w:p w14:paraId="30BB5AFD">
            <w:pPr>
              <w:rPr>
                <w:rFonts w:ascii="宋体" w:hAnsi="Times New Roman"/>
                <w:color w:val="auto"/>
                <w:kern w:val="0"/>
                <w:szCs w:val="20"/>
              </w:rPr>
            </w:pPr>
          </w:p>
        </w:tc>
      </w:tr>
      <w:tr w14:paraId="3544DBD2">
        <w:tblPrEx>
          <w:tblCellMar>
            <w:top w:w="0" w:type="dxa"/>
            <w:left w:w="10" w:type="dxa"/>
            <w:bottom w:w="0" w:type="dxa"/>
            <w:right w:w="10" w:type="dxa"/>
          </w:tblCellMar>
        </w:tblPrEx>
        <w:trPr>
          <w:trHeight w:val="443" w:hRule="atLeast"/>
          <w:jc w:val="center"/>
        </w:trPr>
        <w:tc>
          <w:tcPr>
            <w:tcW w:w="822" w:type="dxa"/>
            <w:tcBorders>
              <w:top w:val="single" w:color="auto" w:sz="4" w:space="0"/>
              <w:left w:val="single" w:color="auto" w:sz="4" w:space="0"/>
              <w:bottom w:val="nil"/>
              <w:right w:val="nil"/>
            </w:tcBorders>
            <w:shd w:val="clear" w:color="auto" w:fill="FFFFFF"/>
            <w:vAlign w:val="center"/>
          </w:tcPr>
          <w:p w14:paraId="741A77C9">
            <w:pPr>
              <w:rPr>
                <w:rFonts w:ascii="宋体" w:hAnsi="Times New Roman"/>
                <w:color w:val="auto"/>
                <w:kern w:val="0"/>
                <w:szCs w:val="20"/>
              </w:rPr>
            </w:pPr>
          </w:p>
        </w:tc>
        <w:tc>
          <w:tcPr>
            <w:tcW w:w="1009" w:type="dxa"/>
            <w:tcBorders>
              <w:top w:val="single" w:color="auto" w:sz="4" w:space="0"/>
              <w:left w:val="single" w:color="auto" w:sz="4" w:space="0"/>
              <w:bottom w:val="nil"/>
              <w:right w:val="nil"/>
            </w:tcBorders>
            <w:shd w:val="clear" w:color="auto" w:fill="FFFFFF"/>
            <w:vAlign w:val="center"/>
          </w:tcPr>
          <w:p w14:paraId="6E8E153E">
            <w:pPr>
              <w:rPr>
                <w:rFonts w:ascii="宋体" w:hAnsi="Times New Roman"/>
                <w:color w:val="auto"/>
                <w:kern w:val="0"/>
                <w:szCs w:val="20"/>
              </w:rPr>
            </w:pPr>
          </w:p>
        </w:tc>
        <w:tc>
          <w:tcPr>
            <w:tcW w:w="1132" w:type="dxa"/>
            <w:tcBorders>
              <w:top w:val="single" w:color="auto" w:sz="4" w:space="0"/>
              <w:left w:val="single" w:color="auto" w:sz="4" w:space="0"/>
              <w:bottom w:val="nil"/>
              <w:right w:val="nil"/>
            </w:tcBorders>
            <w:shd w:val="clear" w:color="auto" w:fill="FFFFFF"/>
            <w:vAlign w:val="center"/>
          </w:tcPr>
          <w:p w14:paraId="07197D34">
            <w:pPr>
              <w:rPr>
                <w:rFonts w:ascii="宋体" w:hAnsi="Times New Roman"/>
                <w:color w:val="auto"/>
                <w:kern w:val="0"/>
                <w:szCs w:val="20"/>
              </w:rPr>
            </w:pPr>
          </w:p>
        </w:tc>
        <w:tc>
          <w:tcPr>
            <w:tcW w:w="750" w:type="dxa"/>
            <w:tcBorders>
              <w:top w:val="single" w:color="auto" w:sz="4" w:space="0"/>
              <w:left w:val="single" w:color="auto" w:sz="4" w:space="0"/>
              <w:bottom w:val="nil"/>
              <w:right w:val="nil"/>
            </w:tcBorders>
            <w:shd w:val="clear" w:color="auto" w:fill="FFFFFF"/>
            <w:vAlign w:val="center"/>
          </w:tcPr>
          <w:p w14:paraId="7EC0BD8D">
            <w:pPr>
              <w:rPr>
                <w:rFonts w:ascii="宋体" w:hAnsi="Times New Roman"/>
                <w:color w:val="auto"/>
                <w:kern w:val="0"/>
                <w:szCs w:val="20"/>
              </w:rPr>
            </w:pPr>
          </w:p>
        </w:tc>
        <w:tc>
          <w:tcPr>
            <w:tcW w:w="1000" w:type="dxa"/>
            <w:tcBorders>
              <w:top w:val="single" w:color="auto" w:sz="4" w:space="0"/>
              <w:left w:val="single" w:color="auto" w:sz="4" w:space="0"/>
              <w:bottom w:val="nil"/>
              <w:right w:val="nil"/>
            </w:tcBorders>
            <w:shd w:val="clear" w:color="auto" w:fill="FFFFFF"/>
            <w:vAlign w:val="center"/>
          </w:tcPr>
          <w:p w14:paraId="20FBC747">
            <w:pPr>
              <w:rPr>
                <w:rFonts w:ascii="宋体" w:hAnsi="Times New Roman"/>
                <w:color w:val="auto"/>
                <w:kern w:val="0"/>
                <w:szCs w:val="20"/>
              </w:rPr>
            </w:pPr>
          </w:p>
        </w:tc>
        <w:tc>
          <w:tcPr>
            <w:tcW w:w="1539" w:type="dxa"/>
            <w:tcBorders>
              <w:top w:val="single" w:color="auto" w:sz="4" w:space="0"/>
              <w:left w:val="single" w:color="auto" w:sz="4" w:space="0"/>
              <w:bottom w:val="nil"/>
              <w:right w:val="nil"/>
            </w:tcBorders>
            <w:shd w:val="clear" w:color="auto" w:fill="FFFFFF"/>
            <w:vAlign w:val="center"/>
          </w:tcPr>
          <w:p w14:paraId="47DE5026">
            <w:pPr>
              <w:rPr>
                <w:rFonts w:ascii="宋体" w:hAnsi="Times New Roman"/>
                <w:color w:val="auto"/>
                <w:kern w:val="0"/>
                <w:szCs w:val="20"/>
              </w:rPr>
            </w:pPr>
          </w:p>
        </w:tc>
        <w:tc>
          <w:tcPr>
            <w:tcW w:w="1367" w:type="dxa"/>
            <w:tcBorders>
              <w:top w:val="single" w:color="auto" w:sz="4" w:space="0"/>
              <w:left w:val="single" w:color="auto" w:sz="4" w:space="0"/>
              <w:bottom w:val="nil"/>
              <w:right w:val="nil"/>
            </w:tcBorders>
            <w:shd w:val="clear" w:color="auto" w:fill="FFFFFF"/>
            <w:vAlign w:val="center"/>
          </w:tcPr>
          <w:p w14:paraId="4A5533DE">
            <w:pPr>
              <w:rPr>
                <w:rFonts w:ascii="宋体" w:hAnsi="Times New Roman"/>
                <w:color w:val="auto"/>
                <w:kern w:val="0"/>
                <w:szCs w:val="20"/>
              </w:rPr>
            </w:pPr>
          </w:p>
        </w:tc>
        <w:tc>
          <w:tcPr>
            <w:tcW w:w="2051" w:type="dxa"/>
            <w:tcBorders>
              <w:top w:val="single" w:color="auto" w:sz="4" w:space="0"/>
              <w:left w:val="single" w:color="auto" w:sz="4" w:space="0"/>
              <w:bottom w:val="nil"/>
              <w:right w:val="nil"/>
            </w:tcBorders>
            <w:shd w:val="clear" w:color="auto" w:fill="FFFFFF"/>
            <w:vAlign w:val="center"/>
          </w:tcPr>
          <w:p w14:paraId="07B764DA">
            <w:pPr>
              <w:rPr>
                <w:rFonts w:ascii="宋体" w:hAnsi="Times New Roman"/>
                <w:color w:val="auto"/>
                <w:kern w:val="0"/>
                <w:szCs w:val="20"/>
              </w:rPr>
            </w:pPr>
          </w:p>
        </w:tc>
        <w:tc>
          <w:tcPr>
            <w:tcW w:w="1200" w:type="dxa"/>
            <w:tcBorders>
              <w:top w:val="single" w:color="auto" w:sz="4" w:space="0"/>
              <w:left w:val="single" w:color="auto" w:sz="4" w:space="0"/>
              <w:bottom w:val="nil"/>
              <w:right w:val="nil"/>
            </w:tcBorders>
            <w:shd w:val="clear" w:color="auto" w:fill="FFFFFF"/>
            <w:vAlign w:val="center"/>
          </w:tcPr>
          <w:p w14:paraId="471EF30D">
            <w:pPr>
              <w:rPr>
                <w:rFonts w:ascii="宋体" w:hAnsi="Times New Roman"/>
                <w:color w:val="auto"/>
                <w:kern w:val="0"/>
                <w:szCs w:val="20"/>
              </w:rPr>
            </w:pPr>
          </w:p>
        </w:tc>
        <w:tc>
          <w:tcPr>
            <w:tcW w:w="2197" w:type="dxa"/>
            <w:tcBorders>
              <w:top w:val="single" w:color="auto" w:sz="4" w:space="0"/>
              <w:left w:val="single" w:color="auto" w:sz="4" w:space="0"/>
              <w:bottom w:val="nil"/>
              <w:right w:val="single" w:color="auto" w:sz="4" w:space="0"/>
            </w:tcBorders>
            <w:shd w:val="clear" w:color="auto" w:fill="FFFFFF"/>
            <w:vAlign w:val="center"/>
          </w:tcPr>
          <w:p w14:paraId="3A2639C1">
            <w:pPr>
              <w:rPr>
                <w:rFonts w:ascii="宋体" w:hAnsi="Times New Roman"/>
                <w:color w:val="auto"/>
                <w:kern w:val="0"/>
                <w:szCs w:val="20"/>
              </w:rPr>
            </w:pPr>
          </w:p>
        </w:tc>
      </w:tr>
      <w:tr w14:paraId="603D8939">
        <w:tblPrEx>
          <w:tblCellMar>
            <w:top w:w="0" w:type="dxa"/>
            <w:left w:w="10" w:type="dxa"/>
            <w:bottom w:w="0" w:type="dxa"/>
            <w:right w:w="10" w:type="dxa"/>
          </w:tblCellMar>
        </w:tblPrEx>
        <w:trPr>
          <w:trHeight w:val="438" w:hRule="atLeast"/>
          <w:jc w:val="center"/>
        </w:trPr>
        <w:tc>
          <w:tcPr>
            <w:tcW w:w="822" w:type="dxa"/>
            <w:tcBorders>
              <w:top w:val="single" w:color="auto" w:sz="4" w:space="0"/>
              <w:left w:val="single" w:color="auto" w:sz="4" w:space="0"/>
              <w:bottom w:val="nil"/>
              <w:right w:val="nil"/>
            </w:tcBorders>
            <w:shd w:val="clear" w:color="auto" w:fill="FFFFFF"/>
            <w:vAlign w:val="center"/>
          </w:tcPr>
          <w:p w14:paraId="03300F0B">
            <w:pPr>
              <w:rPr>
                <w:rFonts w:ascii="宋体" w:hAnsi="Times New Roman"/>
                <w:color w:val="auto"/>
                <w:kern w:val="0"/>
                <w:szCs w:val="20"/>
              </w:rPr>
            </w:pPr>
          </w:p>
        </w:tc>
        <w:tc>
          <w:tcPr>
            <w:tcW w:w="1009" w:type="dxa"/>
            <w:tcBorders>
              <w:top w:val="single" w:color="auto" w:sz="4" w:space="0"/>
              <w:left w:val="single" w:color="auto" w:sz="4" w:space="0"/>
              <w:bottom w:val="nil"/>
              <w:right w:val="nil"/>
            </w:tcBorders>
            <w:shd w:val="clear" w:color="auto" w:fill="FFFFFF"/>
            <w:vAlign w:val="center"/>
          </w:tcPr>
          <w:p w14:paraId="468F109F">
            <w:pPr>
              <w:rPr>
                <w:rFonts w:ascii="宋体" w:hAnsi="Times New Roman"/>
                <w:color w:val="auto"/>
                <w:kern w:val="0"/>
                <w:szCs w:val="20"/>
              </w:rPr>
            </w:pPr>
          </w:p>
        </w:tc>
        <w:tc>
          <w:tcPr>
            <w:tcW w:w="1132" w:type="dxa"/>
            <w:tcBorders>
              <w:top w:val="single" w:color="auto" w:sz="4" w:space="0"/>
              <w:left w:val="single" w:color="auto" w:sz="4" w:space="0"/>
              <w:bottom w:val="nil"/>
              <w:right w:val="nil"/>
            </w:tcBorders>
            <w:shd w:val="clear" w:color="auto" w:fill="FFFFFF"/>
            <w:vAlign w:val="center"/>
          </w:tcPr>
          <w:p w14:paraId="2E26E3F9">
            <w:pPr>
              <w:rPr>
                <w:rFonts w:ascii="宋体" w:hAnsi="Times New Roman"/>
                <w:color w:val="auto"/>
                <w:kern w:val="0"/>
                <w:szCs w:val="20"/>
              </w:rPr>
            </w:pPr>
          </w:p>
        </w:tc>
        <w:tc>
          <w:tcPr>
            <w:tcW w:w="750" w:type="dxa"/>
            <w:tcBorders>
              <w:top w:val="single" w:color="auto" w:sz="4" w:space="0"/>
              <w:left w:val="single" w:color="auto" w:sz="4" w:space="0"/>
              <w:bottom w:val="nil"/>
              <w:right w:val="nil"/>
            </w:tcBorders>
            <w:shd w:val="clear" w:color="auto" w:fill="FFFFFF"/>
            <w:vAlign w:val="center"/>
          </w:tcPr>
          <w:p w14:paraId="54747A95">
            <w:pPr>
              <w:rPr>
                <w:rFonts w:ascii="宋体" w:hAnsi="Times New Roman"/>
                <w:color w:val="auto"/>
                <w:kern w:val="0"/>
                <w:szCs w:val="20"/>
              </w:rPr>
            </w:pPr>
          </w:p>
        </w:tc>
        <w:tc>
          <w:tcPr>
            <w:tcW w:w="1000" w:type="dxa"/>
            <w:tcBorders>
              <w:top w:val="single" w:color="auto" w:sz="4" w:space="0"/>
              <w:left w:val="single" w:color="auto" w:sz="4" w:space="0"/>
              <w:bottom w:val="nil"/>
              <w:right w:val="nil"/>
            </w:tcBorders>
            <w:shd w:val="clear" w:color="auto" w:fill="FFFFFF"/>
            <w:vAlign w:val="center"/>
          </w:tcPr>
          <w:p w14:paraId="578B65D4">
            <w:pPr>
              <w:rPr>
                <w:rFonts w:ascii="宋体" w:hAnsi="Times New Roman"/>
                <w:color w:val="auto"/>
                <w:kern w:val="0"/>
                <w:szCs w:val="20"/>
              </w:rPr>
            </w:pPr>
          </w:p>
        </w:tc>
        <w:tc>
          <w:tcPr>
            <w:tcW w:w="1539" w:type="dxa"/>
            <w:tcBorders>
              <w:top w:val="single" w:color="auto" w:sz="4" w:space="0"/>
              <w:left w:val="single" w:color="auto" w:sz="4" w:space="0"/>
              <w:bottom w:val="nil"/>
              <w:right w:val="nil"/>
            </w:tcBorders>
            <w:shd w:val="clear" w:color="auto" w:fill="FFFFFF"/>
            <w:vAlign w:val="center"/>
          </w:tcPr>
          <w:p w14:paraId="2CE01B26">
            <w:pPr>
              <w:rPr>
                <w:rFonts w:ascii="宋体" w:hAnsi="Times New Roman"/>
                <w:color w:val="auto"/>
                <w:kern w:val="0"/>
                <w:szCs w:val="20"/>
              </w:rPr>
            </w:pPr>
          </w:p>
        </w:tc>
        <w:tc>
          <w:tcPr>
            <w:tcW w:w="1367" w:type="dxa"/>
            <w:tcBorders>
              <w:top w:val="single" w:color="auto" w:sz="4" w:space="0"/>
              <w:left w:val="single" w:color="auto" w:sz="4" w:space="0"/>
              <w:bottom w:val="nil"/>
              <w:right w:val="nil"/>
            </w:tcBorders>
            <w:shd w:val="clear" w:color="auto" w:fill="FFFFFF"/>
            <w:vAlign w:val="center"/>
          </w:tcPr>
          <w:p w14:paraId="4FB45914">
            <w:pPr>
              <w:rPr>
                <w:rFonts w:ascii="宋体" w:hAnsi="Times New Roman"/>
                <w:color w:val="auto"/>
                <w:kern w:val="0"/>
                <w:szCs w:val="20"/>
              </w:rPr>
            </w:pPr>
          </w:p>
        </w:tc>
        <w:tc>
          <w:tcPr>
            <w:tcW w:w="2051" w:type="dxa"/>
            <w:tcBorders>
              <w:top w:val="single" w:color="auto" w:sz="4" w:space="0"/>
              <w:left w:val="single" w:color="auto" w:sz="4" w:space="0"/>
              <w:bottom w:val="nil"/>
              <w:right w:val="nil"/>
            </w:tcBorders>
            <w:shd w:val="clear" w:color="auto" w:fill="FFFFFF"/>
            <w:vAlign w:val="center"/>
          </w:tcPr>
          <w:p w14:paraId="3456E02C">
            <w:pPr>
              <w:rPr>
                <w:rFonts w:ascii="宋体" w:hAnsi="Times New Roman"/>
                <w:color w:val="auto"/>
                <w:kern w:val="0"/>
                <w:szCs w:val="20"/>
              </w:rPr>
            </w:pPr>
          </w:p>
        </w:tc>
        <w:tc>
          <w:tcPr>
            <w:tcW w:w="1200" w:type="dxa"/>
            <w:tcBorders>
              <w:top w:val="single" w:color="auto" w:sz="4" w:space="0"/>
              <w:left w:val="single" w:color="auto" w:sz="4" w:space="0"/>
              <w:bottom w:val="nil"/>
              <w:right w:val="nil"/>
            </w:tcBorders>
            <w:shd w:val="clear" w:color="auto" w:fill="FFFFFF"/>
            <w:vAlign w:val="center"/>
          </w:tcPr>
          <w:p w14:paraId="0DF85E64">
            <w:pPr>
              <w:rPr>
                <w:rFonts w:ascii="宋体" w:hAnsi="Times New Roman"/>
                <w:color w:val="auto"/>
                <w:kern w:val="0"/>
                <w:szCs w:val="20"/>
              </w:rPr>
            </w:pPr>
          </w:p>
        </w:tc>
        <w:tc>
          <w:tcPr>
            <w:tcW w:w="2197" w:type="dxa"/>
            <w:tcBorders>
              <w:top w:val="single" w:color="auto" w:sz="4" w:space="0"/>
              <w:left w:val="single" w:color="auto" w:sz="4" w:space="0"/>
              <w:bottom w:val="nil"/>
              <w:right w:val="single" w:color="auto" w:sz="4" w:space="0"/>
            </w:tcBorders>
            <w:shd w:val="clear" w:color="auto" w:fill="FFFFFF"/>
            <w:vAlign w:val="center"/>
          </w:tcPr>
          <w:p w14:paraId="1D89FD80">
            <w:pPr>
              <w:rPr>
                <w:rFonts w:ascii="宋体" w:hAnsi="Times New Roman"/>
                <w:color w:val="auto"/>
                <w:kern w:val="0"/>
                <w:szCs w:val="20"/>
              </w:rPr>
            </w:pPr>
          </w:p>
        </w:tc>
      </w:tr>
      <w:tr w14:paraId="35E75CD7">
        <w:tblPrEx>
          <w:tblCellMar>
            <w:top w:w="0" w:type="dxa"/>
            <w:left w:w="10" w:type="dxa"/>
            <w:bottom w:w="0" w:type="dxa"/>
            <w:right w:w="10" w:type="dxa"/>
          </w:tblCellMar>
        </w:tblPrEx>
        <w:trPr>
          <w:trHeight w:val="443" w:hRule="atLeast"/>
          <w:jc w:val="center"/>
        </w:trPr>
        <w:tc>
          <w:tcPr>
            <w:tcW w:w="822" w:type="dxa"/>
            <w:tcBorders>
              <w:top w:val="single" w:color="auto" w:sz="4" w:space="0"/>
              <w:left w:val="single" w:color="auto" w:sz="4" w:space="0"/>
              <w:bottom w:val="nil"/>
              <w:right w:val="nil"/>
            </w:tcBorders>
            <w:shd w:val="clear" w:color="auto" w:fill="FFFFFF"/>
            <w:vAlign w:val="center"/>
          </w:tcPr>
          <w:p w14:paraId="39CA584D">
            <w:pPr>
              <w:rPr>
                <w:rFonts w:ascii="宋体" w:hAnsi="Times New Roman"/>
                <w:color w:val="auto"/>
                <w:kern w:val="0"/>
                <w:szCs w:val="20"/>
              </w:rPr>
            </w:pPr>
          </w:p>
        </w:tc>
        <w:tc>
          <w:tcPr>
            <w:tcW w:w="1009" w:type="dxa"/>
            <w:tcBorders>
              <w:top w:val="single" w:color="auto" w:sz="4" w:space="0"/>
              <w:left w:val="single" w:color="auto" w:sz="4" w:space="0"/>
              <w:bottom w:val="nil"/>
              <w:right w:val="nil"/>
            </w:tcBorders>
            <w:shd w:val="clear" w:color="auto" w:fill="FFFFFF"/>
            <w:vAlign w:val="center"/>
          </w:tcPr>
          <w:p w14:paraId="2E529D3C">
            <w:pPr>
              <w:rPr>
                <w:rFonts w:ascii="宋体" w:hAnsi="Times New Roman"/>
                <w:color w:val="auto"/>
                <w:kern w:val="0"/>
                <w:szCs w:val="20"/>
              </w:rPr>
            </w:pPr>
          </w:p>
        </w:tc>
        <w:tc>
          <w:tcPr>
            <w:tcW w:w="1132" w:type="dxa"/>
            <w:tcBorders>
              <w:top w:val="single" w:color="auto" w:sz="4" w:space="0"/>
              <w:left w:val="single" w:color="auto" w:sz="4" w:space="0"/>
              <w:bottom w:val="nil"/>
              <w:right w:val="nil"/>
            </w:tcBorders>
            <w:shd w:val="clear" w:color="auto" w:fill="FFFFFF"/>
            <w:vAlign w:val="center"/>
          </w:tcPr>
          <w:p w14:paraId="3B143E4A">
            <w:pPr>
              <w:rPr>
                <w:rFonts w:ascii="宋体" w:hAnsi="Times New Roman"/>
                <w:color w:val="auto"/>
                <w:kern w:val="0"/>
                <w:szCs w:val="20"/>
              </w:rPr>
            </w:pPr>
          </w:p>
        </w:tc>
        <w:tc>
          <w:tcPr>
            <w:tcW w:w="750" w:type="dxa"/>
            <w:tcBorders>
              <w:top w:val="single" w:color="auto" w:sz="4" w:space="0"/>
              <w:left w:val="single" w:color="auto" w:sz="4" w:space="0"/>
              <w:bottom w:val="nil"/>
              <w:right w:val="nil"/>
            </w:tcBorders>
            <w:shd w:val="clear" w:color="auto" w:fill="FFFFFF"/>
            <w:vAlign w:val="center"/>
          </w:tcPr>
          <w:p w14:paraId="74BBDB59">
            <w:pPr>
              <w:rPr>
                <w:rFonts w:ascii="宋体" w:hAnsi="Times New Roman"/>
                <w:color w:val="auto"/>
                <w:kern w:val="0"/>
                <w:szCs w:val="20"/>
              </w:rPr>
            </w:pPr>
          </w:p>
        </w:tc>
        <w:tc>
          <w:tcPr>
            <w:tcW w:w="1000" w:type="dxa"/>
            <w:tcBorders>
              <w:top w:val="single" w:color="auto" w:sz="4" w:space="0"/>
              <w:left w:val="single" w:color="auto" w:sz="4" w:space="0"/>
              <w:bottom w:val="nil"/>
              <w:right w:val="nil"/>
            </w:tcBorders>
            <w:shd w:val="clear" w:color="auto" w:fill="FFFFFF"/>
            <w:vAlign w:val="center"/>
          </w:tcPr>
          <w:p w14:paraId="2C73EEDD">
            <w:pPr>
              <w:rPr>
                <w:rFonts w:ascii="宋体" w:hAnsi="Times New Roman"/>
                <w:color w:val="auto"/>
                <w:kern w:val="0"/>
                <w:szCs w:val="20"/>
              </w:rPr>
            </w:pPr>
          </w:p>
        </w:tc>
        <w:tc>
          <w:tcPr>
            <w:tcW w:w="1539" w:type="dxa"/>
            <w:tcBorders>
              <w:top w:val="single" w:color="auto" w:sz="4" w:space="0"/>
              <w:left w:val="single" w:color="auto" w:sz="4" w:space="0"/>
              <w:bottom w:val="nil"/>
              <w:right w:val="nil"/>
            </w:tcBorders>
            <w:shd w:val="clear" w:color="auto" w:fill="FFFFFF"/>
            <w:vAlign w:val="center"/>
          </w:tcPr>
          <w:p w14:paraId="3DFB89E4">
            <w:pPr>
              <w:rPr>
                <w:rFonts w:ascii="宋体" w:hAnsi="Times New Roman"/>
                <w:color w:val="auto"/>
                <w:kern w:val="0"/>
                <w:szCs w:val="20"/>
              </w:rPr>
            </w:pPr>
          </w:p>
        </w:tc>
        <w:tc>
          <w:tcPr>
            <w:tcW w:w="1367" w:type="dxa"/>
            <w:tcBorders>
              <w:top w:val="single" w:color="auto" w:sz="4" w:space="0"/>
              <w:left w:val="single" w:color="auto" w:sz="4" w:space="0"/>
              <w:bottom w:val="nil"/>
              <w:right w:val="nil"/>
            </w:tcBorders>
            <w:shd w:val="clear" w:color="auto" w:fill="FFFFFF"/>
            <w:vAlign w:val="center"/>
          </w:tcPr>
          <w:p w14:paraId="6B2EF4EA">
            <w:pPr>
              <w:rPr>
                <w:rFonts w:ascii="宋体" w:hAnsi="Times New Roman"/>
                <w:color w:val="auto"/>
                <w:kern w:val="0"/>
                <w:szCs w:val="20"/>
              </w:rPr>
            </w:pPr>
          </w:p>
        </w:tc>
        <w:tc>
          <w:tcPr>
            <w:tcW w:w="2051" w:type="dxa"/>
            <w:tcBorders>
              <w:top w:val="single" w:color="auto" w:sz="4" w:space="0"/>
              <w:left w:val="single" w:color="auto" w:sz="4" w:space="0"/>
              <w:bottom w:val="nil"/>
              <w:right w:val="nil"/>
            </w:tcBorders>
            <w:shd w:val="clear" w:color="auto" w:fill="FFFFFF"/>
            <w:vAlign w:val="center"/>
          </w:tcPr>
          <w:p w14:paraId="17F27911">
            <w:pPr>
              <w:rPr>
                <w:rFonts w:ascii="宋体" w:hAnsi="Times New Roman"/>
                <w:color w:val="auto"/>
                <w:kern w:val="0"/>
                <w:szCs w:val="20"/>
              </w:rPr>
            </w:pPr>
          </w:p>
        </w:tc>
        <w:tc>
          <w:tcPr>
            <w:tcW w:w="1200" w:type="dxa"/>
            <w:tcBorders>
              <w:top w:val="single" w:color="auto" w:sz="4" w:space="0"/>
              <w:left w:val="single" w:color="auto" w:sz="4" w:space="0"/>
              <w:bottom w:val="nil"/>
              <w:right w:val="nil"/>
            </w:tcBorders>
            <w:shd w:val="clear" w:color="auto" w:fill="FFFFFF"/>
            <w:vAlign w:val="center"/>
          </w:tcPr>
          <w:p w14:paraId="44A2F9AC">
            <w:pPr>
              <w:rPr>
                <w:rFonts w:ascii="宋体" w:hAnsi="Times New Roman"/>
                <w:color w:val="auto"/>
                <w:kern w:val="0"/>
                <w:szCs w:val="20"/>
              </w:rPr>
            </w:pPr>
          </w:p>
        </w:tc>
        <w:tc>
          <w:tcPr>
            <w:tcW w:w="2197" w:type="dxa"/>
            <w:tcBorders>
              <w:top w:val="single" w:color="auto" w:sz="4" w:space="0"/>
              <w:left w:val="single" w:color="auto" w:sz="4" w:space="0"/>
              <w:bottom w:val="nil"/>
              <w:right w:val="single" w:color="auto" w:sz="4" w:space="0"/>
            </w:tcBorders>
            <w:shd w:val="clear" w:color="auto" w:fill="FFFFFF"/>
            <w:vAlign w:val="center"/>
          </w:tcPr>
          <w:p w14:paraId="04A88094">
            <w:pPr>
              <w:rPr>
                <w:rFonts w:ascii="宋体" w:hAnsi="Times New Roman"/>
                <w:color w:val="auto"/>
                <w:kern w:val="0"/>
                <w:szCs w:val="20"/>
              </w:rPr>
            </w:pPr>
          </w:p>
        </w:tc>
      </w:tr>
      <w:tr w14:paraId="45F95524">
        <w:tblPrEx>
          <w:tblCellMar>
            <w:top w:w="0" w:type="dxa"/>
            <w:left w:w="10" w:type="dxa"/>
            <w:bottom w:w="0" w:type="dxa"/>
            <w:right w:w="10" w:type="dxa"/>
          </w:tblCellMar>
        </w:tblPrEx>
        <w:trPr>
          <w:trHeight w:val="438" w:hRule="atLeast"/>
          <w:jc w:val="center"/>
        </w:trPr>
        <w:tc>
          <w:tcPr>
            <w:tcW w:w="822" w:type="dxa"/>
            <w:tcBorders>
              <w:top w:val="single" w:color="auto" w:sz="4" w:space="0"/>
              <w:left w:val="single" w:color="auto" w:sz="4" w:space="0"/>
              <w:bottom w:val="nil"/>
              <w:right w:val="nil"/>
            </w:tcBorders>
            <w:shd w:val="clear" w:color="auto" w:fill="FFFFFF"/>
            <w:vAlign w:val="center"/>
          </w:tcPr>
          <w:p w14:paraId="1D27B555">
            <w:pPr>
              <w:rPr>
                <w:rFonts w:ascii="宋体" w:hAnsi="Times New Roman"/>
                <w:color w:val="auto"/>
                <w:kern w:val="0"/>
                <w:szCs w:val="20"/>
              </w:rPr>
            </w:pPr>
          </w:p>
        </w:tc>
        <w:tc>
          <w:tcPr>
            <w:tcW w:w="1009" w:type="dxa"/>
            <w:tcBorders>
              <w:top w:val="single" w:color="auto" w:sz="4" w:space="0"/>
              <w:left w:val="single" w:color="auto" w:sz="4" w:space="0"/>
              <w:bottom w:val="nil"/>
              <w:right w:val="nil"/>
            </w:tcBorders>
            <w:shd w:val="clear" w:color="auto" w:fill="FFFFFF"/>
            <w:vAlign w:val="center"/>
          </w:tcPr>
          <w:p w14:paraId="376D58E5">
            <w:pPr>
              <w:rPr>
                <w:rFonts w:ascii="宋体" w:hAnsi="Times New Roman"/>
                <w:color w:val="auto"/>
                <w:kern w:val="0"/>
                <w:szCs w:val="20"/>
              </w:rPr>
            </w:pPr>
          </w:p>
        </w:tc>
        <w:tc>
          <w:tcPr>
            <w:tcW w:w="1132" w:type="dxa"/>
            <w:tcBorders>
              <w:top w:val="single" w:color="auto" w:sz="4" w:space="0"/>
              <w:left w:val="single" w:color="auto" w:sz="4" w:space="0"/>
              <w:bottom w:val="nil"/>
              <w:right w:val="nil"/>
            </w:tcBorders>
            <w:shd w:val="clear" w:color="auto" w:fill="FFFFFF"/>
            <w:vAlign w:val="center"/>
          </w:tcPr>
          <w:p w14:paraId="550D21F3">
            <w:pPr>
              <w:rPr>
                <w:rFonts w:ascii="宋体" w:hAnsi="Times New Roman"/>
                <w:color w:val="auto"/>
                <w:kern w:val="0"/>
                <w:szCs w:val="20"/>
              </w:rPr>
            </w:pPr>
          </w:p>
        </w:tc>
        <w:tc>
          <w:tcPr>
            <w:tcW w:w="750" w:type="dxa"/>
            <w:tcBorders>
              <w:top w:val="single" w:color="auto" w:sz="4" w:space="0"/>
              <w:left w:val="single" w:color="auto" w:sz="4" w:space="0"/>
              <w:bottom w:val="nil"/>
              <w:right w:val="nil"/>
            </w:tcBorders>
            <w:shd w:val="clear" w:color="auto" w:fill="FFFFFF"/>
            <w:vAlign w:val="center"/>
          </w:tcPr>
          <w:p w14:paraId="705BC1EE">
            <w:pPr>
              <w:rPr>
                <w:rFonts w:ascii="宋体" w:hAnsi="Times New Roman"/>
                <w:color w:val="auto"/>
                <w:kern w:val="0"/>
                <w:szCs w:val="20"/>
              </w:rPr>
            </w:pPr>
          </w:p>
        </w:tc>
        <w:tc>
          <w:tcPr>
            <w:tcW w:w="1000" w:type="dxa"/>
            <w:tcBorders>
              <w:top w:val="single" w:color="auto" w:sz="4" w:space="0"/>
              <w:left w:val="single" w:color="auto" w:sz="4" w:space="0"/>
              <w:bottom w:val="nil"/>
              <w:right w:val="nil"/>
            </w:tcBorders>
            <w:shd w:val="clear" w:color="auto" w:fill="FFFFFF"/>
            <w:vAlign w:val="center"/>
          </w:tcPr>
          <w:p w14:paraId="58FD66C4">
            <w:pPr>
              <w:rPr>
                <w:rFonts w:ascii="宋体" w:hAnsi="Times New Roman"/>
                <w:color w:val="auto"/>
                <w:kern w:val="0"/>
                <w:szCs w:val="20"/>
              </w:rPr>
            </w:pPr>
          </w:p>
        </w:tc>
        <w:tc>
          <w:tcPr>
            <w:tcW w:w="1539" w:type="dxa"/>
            <w:tcBorders>
              <w:top w:val="single" w:color="auto" w:sz="4" w:space="0"/>
              <w:left w:val="single" w:color="auto" w:sz="4" w:space="0"/>
              <w:bottom w:val="nil"/>
              <w:right w:val="nil"/>
            </w:tcBorders>
            <w:shd w:val="clear" w:color="auto" w:fill="FFFFFF"/>
            <w:vAlign w:val="center"/>
          </w:tcPr>
          <w:p w14:paraId="37BA0C47">
            <w:pPr>
              <w:rPr>
                <w:rFonts w:ascii="宋体" w:hAnsi="Times New Roman"/>
                <w:color w:val="auto"/>
                <w:kern w:val="0"/>
                <w:szCs w:val="20"/>
              </w:rPr>
            </w:pPr>
          </w:p>
        </w:tc>
        <w:tc>
          <w:tcPr>
            <w:tcW w:w="1367" w:type="dxa"/>
            <w:tcBorders>
              <w:top w:val="single" w:color="auto" w:sz="4" w:space="0"/>
              <w:left w:val="single" w:color="auto" w:sz="4" w:space="0"/>
              <w:bottom w:val="nil"/>
              <w:right w:val="nil"/>
            </w:tcBorders>
            <w:shd w:val="clear" w:color="auto" w:fill="FFFFFF"/>
            <w:vAlign w:val="center"/>
          </w:tcPr>
          <w:p w14:paraId="1B43E610">
            <w:pPr>
              <w:rPr>
                <w:rFonts w:ascii="宋体" w:hAnsi="Times New Roman"/>
                <w:color w:val="auto"/>
                <w:kern w:val="0"/>
                <w:szCs w:val="20"/>
              </w:rPr>
            </w:pPr>
          </w:p>
        </w:tc>
        <w:tc>
          <w:tcPr>
            <w:tcW w:w="2051" w:type="dxa"/>
            <w:tcBorders>
              <w:top w:val="single" w:color="auto" w:sz="4" w:space="0"/>
              <w:left w:val="single" w:color="auto" w:sz="4" w:space="0"/>
              <w:bottom w:val="nil"/>
              <w:right w:val="nil"/>
            </w:tcBorders>
            <w:shd w:val="clear" w:color="auto" w:fill="FFFFFF"/>
            <w:vAlign w:val="center"/>
          </w:tcPr>
          <w:p w14:paraId="52C1CD24">
            <w:pPr>
              <w:rPr>
                <w:rFonts w:ascii="宋体" w:hAnsi="Times New Roman"/>
                <w:color w:val="auto"/>
                <w:kern w:val="0"/>
                <w:szCs w:val="20"/>
              </w:rPr>
            </w:pPr>
          </w:p>
        </w:tc>
        <w:tc>
          <w:tcPr>
            <w:tcW w:w="1200" w:type="dxa"/>
            <w:tcBorders>
              <w:top w:val="single" w:color="auto" w:sz="4" w:space="0"/>
              <w:left w:val="single" w:color="auto" w:sz="4" w:space="0"/>
              <w:bottom w:val="nil"/>
              <w:right w:val="nil"/>
            </w:tcBorders>
            <w:shd w:val="clear" w:color="auto" w:fill="FFFFFF"/>
            <w:vAlign w:val="center"/>
          </w:tcPr>
          <w:p w14:paraId="0CE87553">
            <w:pPr>
              <w:rPr>
                <w:rFonts w:ascii="宋体" w:hAnsi="Times New Roman"/>
                <w:color w:val="auto"/>
                <w:kern w:val="0"/>
                <w:szCs w:val="20"/>
              </w:rPr>
            </w:pPr>
          </w:p>
        </w:tc>
        <w:tc>
          <w:tcPr>
            <w:tcW w:w="2197" w:type="dxa"/>
            <w:tcBorders>
              <w:top w:val="single" w:color="auto" w:sz="4" w:space="0"/>
              <w:left w:val="single" w:color="auto" w:sz="4" w:space="0"/>
              <w:bottom w:val="nil"/>
              <w:right w:val="single" w:color="auto" w:sz="4" w:space="0"/>
            </w:tcBorders>
            <w:shd w:val="clear" w:color="auto" w:fill="FFFFFF"/>
            <w:vAlign w:val="center"/>
          </w:tcPr>
          <w:p w14:paraId="1914CD99">
            <w:pPr>
              <w:rPr>
                <w:rFonts w:ascii="宋体" w:hAnsi="Times New Roman"/>
                <w:color w:val="auto"/>
                <w:kern w:val="0"/>
                <w:szCs w:val="20"/>
              </w:rPr>
            </w:pPr>
          </w:p>
        </w:tc>
      </w:tr>
      <w:tr w14:paraId="45D84565">
        <w:tblPrEx>
          <w:tblCellMar>
            <w:top w:w="0" w:type="dxa"/>
            <w:left w:w="10" w:type="dxa"/>
            <w:bottom w:w="0" w:type="dxa"/>
            <w:right w:w="10" w:type="dxa"/>
          </w:tblCellMar>
        </w:tblPrEx>
        <w:trPr>
          <w:trHeight w:val="443" w:hRule="atLeast"/>
          <w:jc w:val="center"/>
        </w:trPr>
        <w:tc>
          <w:tcPr>
            <w:tcW w:w="822" w:type="dxa"/>
            <w:tcBorders>
              <w:top w:val="single" w:color="auto" w:sz="4" w:space="0"/>
              <w:left w:val="single" w:color="auto" w:sz="4" w:space="0"/>
              <w:bottom w:val="nil"/>
              <w:right w:val="nil"/>
            </w:tcBorders>
            <w:shd w:val="clear" w:color="auto" w:fill="FFFFFF"/>
            <w:vAlign w:val="center"/>
          </w:tcPr>
          <w:p w14:paraId="294A6173">
            <w:pPr>
              <w:rPr>
                <w:rFonts w:ascii="宋体" w:hAnsi="Times New Roman"/>
                <w:color w:val="auto"/>
                <w:kern w:val="0"/>
                <w:szCs w:val="20"/>
              </w:rPr>
            </w:pPr>
          </w:p>
        </w:tc>
        <w:tc>
          <w:tcPr>
            <w:tcW w:w="1009" w:type="dxa"/>
            <w:tcBorders>
              <w:top w:val="single" w:color="auto" w:sz="4" w:space="0"/>
              <w:left w:val="single" w:color="auto" w:sz="4" w:space="0"/>
              <w:bottom w:val="single" w:color="auto" w:sz="4" w:space="0"/>
              <w:right w:val="nil"/>
            </w:tcBorders>
            <w:shd w:val="clear" w:color="auto" w:fill="FFFFFF"/>
            <w:vAlign w:val="center"/>
          </w:tcPr>
          <w:p w14:paraId="4F5D1D8F">
            <w:pPr>
              <w:rPr>
                <w:rFonts w:ascii="宋体" w:hAnsi="Times New Roman"/>
                <w:color w:val="auto"/>
                <w:kern w:val="0"/>
                <w:szCs w:val="20"/>
              </w:rPr>
            </w:pPr>
          </w:p>
        </w:tc>
        <w:tc>
          <w:tcPr>
            <w:tcW w:w="1132" w:type="dxa"/>
            <w:tcBorders>
              <w:top w:val="single" w:color="auto" w:sz="4" w:space="0"/>
              <w:left w:val="single" w:color="auto" w:sz="4" w:space="0"/>
              <w:bottom w:val="single" w:color="auto" w:sz="4" w:space="0"/>
              <w:right w:val="nil"/>
            </w:tcBorders>
            <w:shd w:val="clear" w:color="auto" w:fill="FFFFFF"/>
            <w:vAlign w:val="center"/>
          </w:tcPr>
          <w:p w14:paraId="35705E9D">
            <w:pPr>
              <w:rPr>
                <w:rFonts w:ascii="宋体" w:hAnsi="Times New Roman"/>
                <w:color w:val="auto"/>
                <w:kern w:val="0"/>
                <w:szCs w:val="20"/>
              </w:rPr>
            </w:pPr>
          </w:p>
        </w:tc>
        <w:tc>
          <w:tcPr>
            <w:tcW w:w="750" w:type="dxa"/>
            <w:tcBorders>
              <w:top w:val="single" w:color="auto" w:sz="4" w:space="0"/>
              <w:left w:val="single" w:color="auto" w:sz="4" w:space="0"/>
              <w:bottom w:val="nil"/>
              <w:right w:val="nil"/>
            </w:tcBorders>
            <w:shd w:val="clear" w:color="auto" w:fill="FFFFFF"/>
            <w:vAlign w:val="center"/>
          </w:tcPr>
          <w:p w14:paraId="0AE40B1B">
            <w:pPr>
              <w:rPr>
                <w:rFonts w:ascii="宋体" w:hAnsi="Times New Roman"/>
                <w:color w:val="auto"/>
                <w:kern w:val="0"/>
                <w:szCs w:val="20"/>
              </w:rPr>
            </w:pPr>
          </w:p>
        </w:tc>
        <w:tc>
          <w:tcPr>
            <w:tcW w:w="1000" w:type="dxa"/>
            <w:tcBorders>
              <w:top w:val="single" w:color="auto" w:sz="4" w:space="0"/>
              <w:left w:val="single" w:color="auto" w:sz="4" w:space="0"/>
              <w:bottom w:val="nil"/>
              <w:right w:val="nil"/>
            </w:tcBorders>
            <w:shd w:val="clear" w:color="auto" w:fill="FFFFFF"/>
            <w:vAlign w:val="center"/>
          </w:tcPr>
          <w:p w14:paraId="2982E7EE">
            <w:pPr>
              <w:rPr>
                <w:rFonts w:ascii="宋体" w:hAnsi="Times New Roman"/>
                <w:color w:val="auto"/>
                <w:kern w:val="0"/>
                <w:szCs w:val="20"/>
              </w:rPr>
            </w:pPr>
          </w:p>
        </w:tc>
        <w:tc>
          <w:tcPr>
            <w:tcW w:w="1539" w:type="dxa"/>
            <w:tcBorders>
              <w:top w:val="single" w:color="auto" w:sz="4" w:space="0"/>
              <w:left w:val="single" w:color="auto" w:sz="4" w:space="0"/>
              <w:bottom w:val="nil"/>
              <w:right w:val="nil"/>
            </w:tcBorders>
            <w:shd w:val="clear" w:color="auto" w:fill="FFFFFF"/>
            <w:vAlign w:val="center"/>
          </w:tcPr>
          <w:p w14:paraId="269D9C08">
            <w:pPr>
              <w:rPr>
                <w:rFonts w:ascii="宋体" w:hAnsi="Times New Roman"/>
                <w:color w:val="auto"/>
                <w:kern w:val="0"/>
                <w:szCs w:val="20"/>
              </w:rPr>
            </w:pPr>
          </w:p>
        </w:tc>
        <w:tc>
          <w:tcPr>
            <w:tcW w:w="1367" w:type="dxa"/>
            <w:tcBorders>
              <w:top w:val="single" w:color="auto" w:sz="4" w:space="0"/>
              <w:left w:val="single" w:color="auto" w:sz="4" w:space="0"/>
              <w:bottom w:val="nil"/>
              <w:right w:val="nil"/>
            </w:tcBorders>
            <w:shd w:val="clear" w:color="auto" w:fill="FFFFFF"/>
            <w:vAlign w:val="center"/>
          </w:tcPr>
          <w:p w14:paraId="0F71CEE7">
            <w:pPr>
              <w:rPr>
                <w:rFonts w:ascii="宋体" w:hAnsi="Times New Roman"/>
                <w:color w:val="auto"/>
                <w:kern w:val="0"/>
                <w:szCs w:val="20"/>
              </w:rPr>
            </w:pPr>
          </w:p>
        </w:tc>
        <w:tc>
          <w:tcPr>
            <w:tcW w:w="2051" w:type="dxa"/>
            <w:tcBorders>
              <w:top w:val="single" w:color="auto" w:sz="4" w:space="0"/>
              <w:left w:val="single" w:color="auto" w:sz="4" w:space="0"/>
              <w:bottom w:val="nil"/>
              <w:right w:val="nil"/>
            </w:tcBorders>
            <w:shd w:val="clear" w:color="auto" w:fill="FFFFFF"/>
            <w:vAlign w:val="center"/>
          </w:tcPr>
          <w:p w14:paraId="32B5B750">
            <w:pPr>
              <w:rPr>
                <w:rFonts w:ascii="宋体" w:hAnsi="Times New Roman"/>
                <w:color w:val="auto"/>
                <w:kern w:val="0"/>
                <w:szCs w:val="20"/>
              </w:rPr>
            </w:pPr>
          </w:p>
        </w:tc>
        <w:tc>
          <w:tcPr>
            <w:tcW w:w="1200" w:type="dxa"/>
            <w:tcBorders>
              <w:top w:val="single" w:color="auto" w:sz="4" w:space="0"/>
              <w:left w:val="single" w:color="auto" w:sz="4" w:space="0"/>
              <w:bottom w:val="nil"/>
              <w:right w:val="nil"/>
            </w:tcBorders>
            <w:shd w:val="clear" w:color="auto" w:fill="FFFFFF"/>
            <w:vAlign w:val="center"/>
          </w:tcPr>
          <w:p w14:paraId="10949F6E">
            <w:pPr>
              <w:rPr>
                <w:rFonts w:ascii="宋体" w:hAnsi="Times New Roman"/>
                <w:color w:val="auto"/>
                <w:kern w:val="0"/>
                <w:szCs w:val="20"/>
              </w:rPr>
            </w:pPr>
          </w:p>
        </w:tc>
        <w:tc>
          <w:tcPr>
            <w:tcW w:w="2197" w:type="dxa"/>
            <w:tcBorders>
              <w:top w:val="single" w:color="auto" w:sz="4" w:space="0"/>
              <w:left w:val="single" w:color="auto" w:sz="4" w:space="0"/>
              <w:bottom w:val="nil"/>
              <w:right w:val="single" w:color="auto" w:sz="4" w:space="0"/>
            </w:tcBorders>
            <w:shd w:val="clear" w:color="auto" w:fill="FFFFFF"/>
            <w:vAlign w:val="center"/>
          </w:tcPr>
          <w:p w14:paraId="6A078449">
            <w:pPr>
              <w:rPr>
                <w:rFonts w:ascii="宋体" w:hAnsi="Times New Roman"/>
                <w:color w:val="auto"/>
                <w:kern w:val="0"/>
                <w:szCs w:val="20"/>
              </w:rPr>
            </w:pPr>
          </w:p>
        </w:tc>
      </w:tr>
      <w:tr w14:paraId="614DF693">
        <w:tblPrEx>
          <w:tblCellMar>
            <w:top w:w="0" w:type="dxa"/>
            <w:left w:w="10" w:type="dxa"/>
            <w:bottom w:w="0" w:type="dxa"/>
            <w:right w:w="10" w:type="dxa"/>
          </w:tblCellMar>
        </w:tblPrEx>
        <w:trPr>
          <w:trHeight w:val="624" w:hRule="atLeast"/>
          <w:jc w:val="center"/>
        </w:trPr>
        <w:tc>
          <w:tcPr>
            <w:tcW w:w="2963" w:type="dxa"/>
            <w:gridSpan w:val="3"/>
            <w:tcBorders>
              <w:top w:val="single" w:color="auto" w:sz="4" w:space="0"/>
              <w:left w:val="single" w:color="auto" w:sz="4" w:space="0"/>
              <w:bottom w:val="single" w:color="auto" w:sz="4" w:space="0"/>
              <w:right w:val="nil"/>
            </w:tcBorders>
            <w:shd w:val="clear" w:color="auto" w:fill="FFFFFF"/>
            <w:vAlign w:val="center"/>
          </w:tcPr>
          <w:p w14:paraId="66B5670C">
            <w:pPr>
              <w:pStyle w:val="234"/>
              <w:ind w:firstLine="0"/>
              <w:jc w:val="center"/>
              <w:rPr>
                <w:rFonts w:hAnsi="Times New Roman" w:cs="Times New Roman"/>
                <w:color w:val="auto"/>
                <w:sz w:val="21"/>
                <w:szCs w:val="20"/>
              </w:rPr>
            </w:pPr>
            <w:r>
              <w:rPr>
                <w:rFonts w:hAnsi="Times New Roman" w:cs="Times New Roman"/>
                <w:color w:val="auto"/>
                <w:sz w:val="21"/>
                <w:szCs w:val="20"/>
              </w:rPr>
              <w:t>合</w:t>
            </w:r>
            <w:r>
              <w:rPr>
                <w:rFonts w:hAnsi="Times New Roman" w:cs="Times New Roman"/>
                <w:color w:val="auto"/>
                <w:sz w:val="21"/>
                <w:szCs w:val="20"/>
              </w:rPr>
              <w:tab/>
            </w:r>
            <w:r>
              <w:rPr>
                <w:rFonts w:hAnsi="Times New Roman" w:cs="Times New Roman"/>
                <w:color w:val="auto"/>
                <w:sz w:val="21"/>
                <w:szCs w:val="20"/>
              </w:rPr>
              <w:t>计</w:t>
            </w:r>
          </w:p>
        </w:tc>
        <w:tc>
          <w:tcPr>
            <w:tcW w:w="750" w:type="dxa"/>
            <w:tcBorders>
              <w:top w:val="single" w:color="auto" w:sz="4" w:space="0"/>
              <w:left w:val="single" w:color="auto" w:sz="4" w:space="0"/>
              <w:bottom w:val="single" w:color="auto" w:sz="4" w:space="0"/>
              <w:right w:val="nil"/>
            </w:tcBorders>
            <w:shd w:val="clear" w:color="auto" w:fill="FFFFFF"/>
            <w:vAlign w:val="center"/>
          </w:tcPr>
          <w:p w14:paraId="30E117DB">
            <w:pPr>
              <w:rPr>
                <w:rFonts w:ascii="宋体" w:hAnsi="Times New Roman"/>
                <w:color w:val="auto"/>
                <w:kern w:val="0"/>
                <w:szCs w:val="20"/>
              </w:rPr>
            </w:pPr>
          </w:p>
        </w:tc>
        <w:tc>
          <w:tcPr>
            <w:tcW w:w="1000" w:type="dxa"/>
            <w:tcBorders>
              <w:top w:val="single" w:color="auto" w:sz="4" w:space="0"/>
              <w:left w:val="single" w:color="auto" w:sz="4" w:space="0"/>
              <w:bottom w:val="single" w:color="auto" w:sz="4" w:space="0"/>
              <w:right w:val="nil"/>
            </w:tcBorders>
            <w:shd w:val="clear" w:color="auto" w:fill="FFFFFF"/>
            <w:vAlign w:val="center"/>
          </w:tcPr>
          <w:p w14:paraId="204BFBB3">
            <w:pPr>
              <w:pStyle w:val="234"/>
              <w:ind w:firstLine="0"/>
              <w:jc w:val="center"/>
              <w:rPr>
                <w:rFonts w:hAnsi="Times New Roman" w:cs="Times New Roman"/>
                <w:color w:val="auto"/>
                <w:sz w:val="21"/>
                <w:szCs w:val="20"/>
              </w:rPr>
            </w:pPr>
            <w:r>
              <w:rPr>
                <w:rFonts w:hAnsi="Times New Roman" w:cs="Times New Roman"/>
                <w:color w:val="auto"/>
                <w:sz w:val="21"/>
                <w:szCs w:val="20"/>
              </w:rPr>
              <w:t>—</w:t>
            </w:r>
          </w:p>
        </w:tc>
        <w:tc>
          <w:tcPr>
            <w:tcW w:w="1539" w:type="dxa"/>
            <w:tcBorders>
              <w:top w:val="single" w:color="auto" w:sz="4" w:space="0"/>
              <w:left w:val="single" w:color="auto" w:sz="4" w:space="0"/>
              <w:bottom w:val="single" w:color="auto" w:sz="4" w:space="0"/>
              <w:right w:val="nil"/>
            </w:tcBorders>
            <w:shd w:val="clear" w:color="auto" w:fill="FFFFFF"/>
            <w:vAlign w:val="center"/>
          </w:tcPr>
          <w:p w14:paraId="65E3BCC0">
            <w:pPr>
              <w:rPr>
                <w:rFonts w:ascii="宋体" w:hAnsi="Times New Roman"/>
                <w:color w:val="auto"/>
                <w:kern w:val="0"/>
                <w:szCs w:val="20"/>
              </w:rPr>
            </w:pPr>
          </w:p>
        </w:tc>
        <w:tc>
          <w:tcPr>
            <w:tcW w:w="1367" w:type="dxa"/>
            <w:tcBorders>
              <w:top w:val="single" w:color="auto" w:sz="4" w:space="0"/>
              <w:left w:val="single" w:color="auto" w:sz="4" w:space="0"/>
              <w:bottom w:val="single" w:color="auto" w:sz="4" w:space="0"/>
              <w:right w:val="nil"/>
            </w:tcBorders>
            <w:shd w:val="clear" w:color="auto" w:fill="FFFFFF"/>
            <w:vAlign w:val="center"/>
          </w:tcPr>
          <w:p w14:paraId="7A034211">
            <w:pPr>
              <w:pStyle w:val="234"/>
              <w:ind w:firstLine="0"/>
              <w:jc w:val="center"/>
              <w:rPr>
                <w:rFonts w:hAnsi="Times New Roman" w:cs="Times New Roman"/>
                <w:color w:val="auto"/>
                <w:sz w:val="21"/>
                <w:szCs w:val="20"/>
              </w:rPr>
            </w:pPr>
            <w:r>
              <w:rPr>
                <w:rFonts w:hAnsi="Times New Roman" w:cs="Times New Roman"/>
                <w:color w:val="auto"/>
                <w:sz w:val="21"/>
                <w:szCs w:val="20"/>
              </w:rPr>
              <w:t>—</w:t>
            </w:r>
          </w:p>
        </w:tc>
        <w:tc>
          <w:tcPr>
            <w:tcW w:w="2051" w:type="dxa"/>
            <w:tcBorders>
              <w:top w:val="single" w:color="auto" w:sz="4" w:space="0"/>
              <w:left w:val="single" w:color="auto" w:sz="4" w:space="0"/>
              <w:bottom w:val="single" w:color="auto" w:sz="4" w:space="0"/>
              <w:right w:val="nil"/>
            </w:tcBorders>
            <w:shd w:val="clear" w:color="auto" w:fill="FFFFFF"/>
            <w:vAlign w:val="center"/>
          </w:tcPr>
          <w:p w14:paraId="410FD3C6">
            <w:pPr>
              <w:pStyle w:val="234"/>
              <w:ind w:firstLine="0"/>
              <w:jc w:val="center"/>
              <w:rPr>
                <w:rFonts w:hAnsi="Times New Roman" w:cs="Times New Roman"/>
                <w:color w:val="auto"/>
                <w:sz w:val="21"/>
                <w:szCs w:val="20"/>
              </w:rPr>
            </w:pPr>
            <w:r>
              <w:rPr>
                <w:rFonts w:hAnsi="Times New Roman" w:cs="Times New Roman"/>
                <w:color w:val="auto"/>
                <w:sz w:val="21"/>
                <w:szCs w:val="20"/>
              </w:rPr>
              <w:t>—</w:t>
            </w:r>
          </w:p>
        </w:tc>
        <w:tc>
          <w:tcPr>
            <w:tcW w:w="1200" w:type="dxa"/>
            <w:tcBorders>
              <w:top w:val="single" w:color="auto" w:sz="4" w:space="0"/>
              <w:left w:val="single" w:color="auto" w:sz="4" w:space="0"/>
              <w:bottom w:val="single" w:color="auto" w:sz="4" w:space="0"/>
              <w:right w:val="nil"/>
            </w:tcBorders>
            <w:shd w:val="clear" w:color="auto" w:fill="FFFFFF"/>
            <w:vAlign w:val="center"/>
          </w:tcPr>
          <w:p w14:paraId="4BEA8001">
            <w:pPr>
              <w:pStyle w:val="234"/>
              <w:ind w:firstLine="0"/>
              <w:jc w:val="center"/>
              <w:rPr>
                <w:rFonts w:hAnsi="Times New Roman" w:cs="Times New Roman"/>
                <w:color w:val="auto"/>
                <w:sz w:val="21"/>
                <w:szCs w:val="20"/>
              </w:rPr>
            </w:pPr>
            <w:r>
              <w:rPr>
                <w:rFonts w:hAnsi="Times New Roman" w:cs="Times New Roman"/>
                <w:color w:val="auto"/>
                <w:sz w:val="21"/>
                <w:szCs w:val="20"/>
              </w:rPr>
              <w:t>—</w:t>
            </w:r>
          </w:p>
        </w:tc>
        <w:tc>
          <w:tcPr>
            <w:tcW w:w="2197" w:type="dxa"/>
            <w:tcBorders>
              <w:top w:val="single" w:color="auto" w:sz="4" w:space="0"/>
              <w:left w:val="single" w:color="auto" w:sz="4" w:space="0"/>
              <w:bottom w:val="single" w:color="auto" w:sz="4" w:space="0"/>
              <w:right w:val="single" w:color="auto" w:sz="4" w:space="0"/>
            </w:tcBorders>
            <w:shd w:val="clear" w:color="auto" w:fill="FFFFFF"/>
            <w:vAlign w:val="center"/>
          </w:tcPr>
          <w:p w14:paraId="7C68678C">
            <w:pPr>
              <w:pStyle w:val="234"/>
              <w:ind w:firstLine="0"/>
              <w:jc w:val="center"/>
              <w:rPr>
                <w:rFonts w:hAnsi="Times New Roman" w:cs="Times New Roman"/>
                <w:color w:val="auto"/>
                <w:sz w:val="21"/>
                <w:szCs w:val="20"/>
              </w:rPr>
            </w:pPr>
            <w:r>
              <w:rPr>
                <w:rFonts w:hAnsi="Times New Roman" w:cs="Times New Roman"/>
                <w:color w:val="auto"/>
                <w:sz w:val="21"/>
                <w:szCs w:val="20"/>
              </w:rPr>
              <w:t>—</w:t>
            </w:r>
          </w:p>
        </w:tc>
      </w:tr>
    </w:tbl>
    <w:p w14:paraId="07CDD1CC">
      <w:pPr>
        <w:spacing w:after="119" w:line="1" w:lineRule="exact"/>
        <w:rPr>
          <w:rFonts w:ascii="宋体" w:hAnsi="Times New Roman"/>
          <w:color w:val="auto"/>
          <w:kern w:val="0"/>
          <w:szCs w:val="20"/>
        </w:rPr>
      </w:pPr>
      <w:r>
        <w:rPr>
          <w:rFonts w:ascii="宋体" w:hAnsi="Times New Roman"/>
          <w:color w:val="auto"/>
          <w:kern w:val="0"/>
          <w:szCs w:val="20"/>
        </w:rPr>
        <w:t xml:space="preserve"> </w:t>
      </w:r>
    </w:p>
    <w:p w14:paraId="6FDF890D">
      <w:pPr>
        <w:pStyle w:val="59"/>
        <w:ind w:firstLine="0" w:firstLineChars="0"/>
        <w:rPr>
          <w:color w:val="auto"/>
        </w:rPr>
      </w:pPr>
      <w:r>
        <w:rPr>
          <w:rFonts w:hint="eastAsia"/>
          <w:color w:val="auto"/>
        </w:rPr>
        <w:t>资产</w:t>
      </w:r>
      <w:r>
        <w:rPr>
          <w:color w:val="auto"/>
        </w:rPr>
        <w:t>使用部门：</w:t>
      </w:r>
      <w:r>
        <w:rPr>
          <w:rFonts w:hint="eastAsia"/>
          <w:color w:val="auto"/>
        </w:rPr>
        <w:t xml:space="preserve"> </w:t>
      </w:r>
      <w:r>
        <w:rPr>
          <w:color w:val="auto"/>
        </w:rPr>
        <w:t xml:space="preserve">                  </w:t>
      </w:r>
      <w:r>
        <w:rPr>
          <w:rFonts w:hint="eastAsia"/>
          <w:color w:val="auto"/>
        </w:rPr>
        <w:t>资产</w:t>
      </w:r>
      <w:r>
        <w:rPr>
          <w:color w:val="auto"/>
        </w:rPr>
        <w:t>管理部门：</w:t>
      </w:r>
      <w:r>
        <w:rPr>
          <w:rFonts w:hint="eastAsia"/>
          <w:color w:val="auto"/>
        </w:rPr>
        <w:t xml:space="preserve"> </w:t>
      </w:r>
      <w:r>
        <w:rPr>
          <w:color w:val="auto"/>
        </w:rPr>
        <w:t xml:space="preserve">     </w:t>
      </w:r>
      <w:r>
        <w:rPr>
          <w:rFonts w:hint="eastAsia"/>
          <w:color w:val="auto"/>
        </w:rPr>
        <w:t xml:space="preserve">   </w:t>
      </w:r>
      <w:r>
        <w:rPr>
          <w:rFonts w:hint="eastAsia"/>
          <w:color w:val="auto"/>
          <w:lang w:val="en-US" w:eastAsia="zh-CN"/>
        </w:rPr>
        <w:t xml:space="preserve">      </w:t>
      </w:r>
      <w:r>
        <w:rPr>
          <w:rFonts w:hint="eastAsia"/>
          <w:color w:val="auto"/>
        </w:rPr>
        <w:t xml:space="preserve">  财务管理部门：</w:t>
      </w:r>
    </w:p>
    <w:p w14:paraId="28467505">
      <w:pPr>
        <w:pStyle w:val="59"/>
        <w:ind w:firstLine="0" w:firstLineChars="0"/>
        <w:rPr>
          <w:rFonts w:hint="eastAsia" w:eastAsia="宋体"/>
          <w:color w:val="auto"/>
          <w:lang w:eastAsia="zh-CN"/>
        </w:rPr>
      </w:pPr>
      <w:r>
        <w:rPr>
          <w:color w:val="auto"/>
        </w:rPr>
        <w:t>注：本</w:t>
      </w:r>
      <w:r>
        <w:rPr>
          <w:rFonts w:hint="eastAsia"/>
          <w:color w:val="auto"/>
        </w:rPr>
        <w:t>单据</w:t>
      </w:r>
      <w:r>
        <w:rPr>
          <w:rFonts w:hint="eastAsia"/>
          <w:color w:val="auto"/>
          <w:lang w:eastAsia="zh-CN"/>
        </w:rPr>
        <w:t>壹</w:t>
      </w:r>
      <w:r>
        <w:rPr>
          <w:color w:val="auto"/>
        </w:rPr>
        <w:t>式</w:t>
      </w:r>
      <w:r>
        <w:rPr>
          <w:rFonts w:hint="eastAsia"/>
          <w:color w:val="auto"/>
          <w:lang w:eastAsia="zh-CN"/>
        </w:rPr>
        <w:t>叁</w:t>
      </w:r>
      <w:r>
        <w:rPr>
          <w:color w:val="auto"/>
        </w:rPr>
        <w:t>份，由</w:t>
      </w:r>
      <w:r>
        <w:rPr>
          <w:rFonts w:hint="eastAsia"/>
          <w:color w:val="auto"/>
        </w:rPr>
        <w:t>资产</w:t>
      </w:r>
      <w:r>
        <w:rPr>
          <w:color w:val="auto"/>
        </w:rPr>
        <w:t>使用</w:t>
      </w:r>
      <w:r>
        <w:rPr>
          <w:rFonts w:hint="eastAsia"/>
          <w:color w:val="auto"/>
        </w:rPr>
        <w:t>部门</w:t>
      </w:r>
      <w:r>
        <w:rPr>
          <w:color w:val="auto"/>
        </w:rPr>
        <w:t>、</w:t>
      </w:r>
      <w:r>
        <w:rPr>
          <w:rFonts w:hint="eastAsia"/>
          <w:color w:val="auto"/>
        </w:rPr>
        <w:t>资产管理</w:t>
      </w:r>
      <w:r>
        <w:rPr>
          <w:color w:val="auto"/>
        </w:rPr>
        <w:t>部门</w:t>
      </w:r>
      <w:r>
        <w:rPr>
          <w:rFonts w:hint="eastAsia"/>
          <w:color w:val="auto"/>
        </w:rPr>
        <w:t>、财务管理部门</w:t>
      </w:r>
      <w:r>
        <w:rPr>
          <w:color w:val="auto"/>
        </w:rPr>
        <w:t>各执</w:t>
      </w:r>
      <w:r>
        <w:rPr>
          <w:rFonts w:hint="eastAsia"/>
          <w:color w:val="auto"/>
          <w:lang w:eastAsia="zh-CN"/>
        </w:rPr>
        <w:t>壹</w:t>
      </w:r>
      <w:r>
        <w:rPr>
          <w:color w:val="auto"/>
        </w:rPr>
        <w:t>份</w:t>
      </w:r>
      <w:r>
        <w:rPr>
          <w:rFonts w:hint="eastAsia"/>
          <w:color w:val="auto"/>
          <w:lang w:eastAsia="zh-CN"/>
        </w:rPr>
        <w:t>。</w:t>
      </w:r>
    </w:p>
    <w:p w14:paraId="00EB32F0">
      <w:pPr>
        <w:pStyle w:val="59"/>
        <w:ind w:firstLine="420"/>
        <w:rPr>
          <w:color w:val="auto"/>
        </w:rPr>
        <w:sectPr>
          <w:pgSz w:w="16838" w:h="11906" w:orient="landscape"/>
          <w:pgMar w:top="1134" w:right="1928" w:bottom="1134" w:left="1134" w:header="1418" w:footer="1134" w:gutter="283"/>
          <w:cols w:space="0" w:num="1"/>
          <w:formProt w:val="0"/>
          <w:rtlGutter w:val="0"/>
          <w:docGrid w:type="lines" w:linePitch="321" w:charSpace="0"/>
        </w:sectPr>
      </w:pPr>
    </w:p>
    <w:p w14:paraId="55EF424E">
      <w:pPr>
        <w:pStyle w:val="59"/>
        <w:ind w:firstLine="420"/>
        <w:rPr>
          <w:color w:val="auto"/>
        </w:rPr>
      </w:pPr>
    </w:p>
    <w:p w14:paraId="7B785FAD">
      <w:pPr>
        <w:pStyle w:val="59"/>
        <w:ind w:firstLine="420"/>
        <w:rPr>
          <w:color w:val="auto"/>
        </w:rPr>
      </w:pPr>
    </w:p>
    <w:p w14:paraId="4B6D35E1">
      <w:pPr>
        <w:pStyle w:val="59"/>
        <w:ind w:firstLine="420"/>
        <w:rPr>
          <w:color w:val="auto"/>
        </w:rPr>
      </w:pPr>
    </w:p>
    <w:p w14:paraId="1B553585">
      <w:pPr>
        <w:pStyle w:val="59"/>
        <w:ind w:firstLine="420"/>
        <w:rPr>
          <w:color w:val="auto"/>
        </w:rPr>
      </w:pPr>
    </w:p>
    <w:p w14:paraId="4B933B80">
      <w:pPr>
        <w:pStyle w:val="201"/>
        <w:rPr>
          <w:rFonts w:hint="eastAsia"/>
          <w:color w:val="auto"/>
        </w:rPr>
      </w:pPr>
    </w:p>
    <w:p w14:paraId="4BC6D1B9">
      <w:pPr>
        <w:pStyle w:val="202"/>
        <w:rPr>
          <w:color w:val="auto"/>
        </w:rPr>
      </w:pPr>
    </w:p>
    <w:p w14:paraId="04D606AC">
      <w:pPr>
        <w:pStyle w:val="79"/>
        <w:spacing w:after="156"/>
        <w:rPr>
          <w:color w:val="auto"/>
        </w:rPr>
      </w:pPr>
      <w:r>
        <w:rPr>
          <w:color w:val="auto"/>
        </w:rPr>
        <w:br w:type="textWrapping"/>
      </w:r>
      <w:bookmarkStart w:id="62" w:name="_Toc168408586"/>
      <w:bookmarkStart w:id="63" w:name="_Toc168044235"/>
      <w:r>
        <w:rPr>
          <w:rFonts w:hint="eastAsia"/>
          <w:color w:val="auto"/>
        </w:rPr>
        <w:t>（资料性）</w:t>
      </w:r>
      <w:r>
        <w:rPr>
          <w:color w:val="auto"/>
        </w:rPr>
        <w:br w:type="textWrapping"/>
      </w:r>
      <w:r>
        <w:rPr>
          <w:rFonts w:hint="eastAsia"/>
          <w:color w:val="auto"/>
        </w:rPr>
        <w:t>资产移交表</w:t>
      </w:r>
      <w:bookmarkEnd w:id="62"/>
      <w:bookmarkEnd w:id="63"/>
    </w:p>
    <w:p w14:paraId="089749B3">
      <w:pPr>
        <w:pStyle w:val="59"/>
        <w:ind w:firstLine="420"/>
        <w:rPr>
          <w:color w:val="auto"/>
        </w:rPr>
      </w:pPr>
      <w:r>
        <w:rPr>
          <w:rFonts w:hint="eastAsia"/>
          <w:color w:val="auto"/>
        </w:rPr>
        <w:t>资产移交表参见表</w:t>
      </w:r>
      <w:r>
        <w:rPr>
          <w:color w:val="auto"/>
        </w:rPr>
        <w:t>D</w:t>
      </w:r>
      <w:r>
        <w:rPr>
          <w:rFonts w:hint="eastAsia"/>
          <w:color w:val="auto"/>
        </w:rPr>
        <w:t>.</w:t>
      </w:r>
      <w:r>
        <w:rPr>
          <w:color w:val="auto"/>
        </w:rPr>
        <w:t>1</w:t>
      </w:r>
      <w:r>
        <w:rPr>
          <w:rFonts w:hint="eastAsia"/>
          <w:color w:val="auto"/>
        </w:rPr>
        <w:t>。</w:t>
      </w:r>
    </w:p>
    <w:p w14:paraId="1C4199B4">
      <w:pPr>
        <w:pStyle w:val="80"/>
        <w:numPr>
          <w:ilvl w:val="0"/>
          <w:numId w:val="0"/>
        </w:numPr>
        <w:spacing w:before="156" w:after="156"/>
        <w:rPr>
          <w:color w:val="auto"/>
        </w:rPr>
      </w:pPr>
      <w:r>
        <w:rPr>
          <w:rFonts w:hint="eastAsia"/>
          <w:color w:val="auto"/>
        </w:rPr>
        <w:t>表D.</w:t>
      </w:r>
      <w:r>
        <w:rPr>
          <w:color w:val="auto"/>
        </w:rPr>
        <w:t xml:space="preserve">1 </w:t>
      </w:r>
      <w:r>
        <w:rPr>
          <w:rFonts w:hint="eastAsia"/>
          <w:color w:val="auto"/>
        </w:rPr>
        <w:t>资产移交表</w:t>
      </w:r>
    </w:p>
    <w:p w14:paraId="789A3831">
      <w:pPr>
        <w:pStyle w:val="235"/>
        <w:ind w:right="840"/>
        <w:jc w:val="right"/>
        <w:rPr>
          <w:rFonts w:hAnsi="Times New Roman" w:cs="Times New Roman"/>
          <w:color w:val="auto"/>
          <w:sz w:val="21"/>
          <w:szCs w:val="20"/>
        </w:rPr>
      </w:pPr>
      <w:r>
        <w:rPr>
          <w:rFonts w:hAnsi="Times New Roman" w:cs="Times New Roman"/>
          <w:color w:val="auto"/>
          <w:sz w:val="21"/>
          <w:szCs w:val="20"/>
        </w:rPr>
        <w:t>编号</w:t>
      </w:r>
      <w:r>
        <w:rPr>
          <w:rFonts w:hint="eastAsia" w:hAnsi="Times New Roman" w:cs="Times New Roman"/>
          <w:color w:val="auto"/>
          <w:sz w:val="21"/>
          <w:szCs w:val="20"/>
        </w:rPr>
        <w:t>：</w:t>
      </w:r>
    </w:p>
    <w:tbl>
      <w:tblPr>
        <w:tblStyle w:val="28"/>
        <w:tblW w:w="9783" w:type="dxa"/>
        <w:jc w:val="center"/>
        <w:tblLayout w:type="fixed"/>
        <w:tblCellMar>
          <w:top w:w="0" w:type="dxa"/>
          <w:left w:w="10" w:type="dxa"/>
          <w:bottom w:w="0" w:type="dxa"/>
          <w:right w:w="10" w:type="dxa"/>
        </w:tblCellMar>
      </w:tblPr>
      <w:tblGrid>
        <w:gridCol w:w="614"/>
        <w:gridCol w:w="1555"/>
        <w:gridCol w:w="1711"/>
        <w:gridCol w:w="1276"/>
        <w:gridCol w:w="851"/>
        <w:gridCol w:w="1984"/>
        <w:gridCol w:w="1792"/>
      </w:tblGrid>
      <w:tr w14:paraId="2183D1D2">
        <w:tblPrEx>
          <w:tblCellMar>
            <w:top w:w="0" w:type="dxa"/>
            <w:left w:w="10" w:type="dxa"/>
            <w:bottom w:w="0" w:type="dxa"/>
            <w:right w:w="10" w:type="dxa"/>
          </w:tblCellMar>
        </w:tblPrEx>
        <w:trPr>
          <w:trHeight w:val="609" w:hRule="atLeast"/>
          <w:jc w:val="center"/>
        </w:trPr>
        <w:tc>
          <w:tcPr>
            <w:tcW w:w="2169" w:type="dxa"/>
            <w:gridSpan w:val="2"/>
            <w:tcBorders>
              <w:top w:val="single" w:color="auto" w:sz="4" w:space="0"/>
              <w:left w:val="single" w:color="auto" w:sz="4" w:space="0"/>
              <w:bottom w:val="nil"/>
              <w:right w:val="nil"/>
            </w:tcBorders>
            <w:shd w:val="clear" w:color="auto" w:fill="FFFFFF"/>
            <w:vAlign w:val="center"/>
          </w:tcPr>
          <w:p w14:paraId="3991FC07">
            <w:pPr>
              <w:pStyle w:val="59"/>
              <w:ind w:firstLine="420" w:firstLineChars="200"/>
              <w:jc w:val="center"/>
              <w:rPr>
                <w:rFonts w:ascii="宋体" w:hAnsi="Times New Roman" w:eastAsia="宋体" w:cs="Times New Roman"/>
                <w:color w:val="auto"/>
                <w:sz w:val="21"/>
                <w:lang w:val="en-US" w:eastAsia="zh-CN" w:bidi="ar-SA"/>
              </w:rPr>
            </w:pPr>
            <w:r>
              <w:rPr>
                <w:rFonts w:hint="eastAsia"/>
                <w:color w:val="auto"/>
              </w:rPr>
              <w:t>资产使用部门</w:t>
            </w:r>
          </w:p>
        </w:tc>
        <w:tc>
          <w:tcPr>
            <w:tcW w:w="5822" w:type="dxa"/>
            <w:gridSpan w:val="4"/>
            <w:tcBorders>
              <w:top w:val="single" w:color="auto" w:sz="4" w:space="0"/>
              <w:left w:val="single" w:color="auto" w:sz="4" w:space="0"/>
              <w:bottom w:val="nil"/>
              <w:right w:val="single" w:color="auto" w:sz="4" w:space="0"/>
            </w:tcBorders>
            <w:shd w:val="clear" w:color="auto" w:fill="FFFFFF"/>
            <w:vAlign w:val="center"/>
          </w:tcPr>
          <w:p w14:paraId="7FBF7548">
            <w:pPr>
              <w:pStyle w:val="234"/>
              <w:ind w:firstLine="0"/>
              <w:jc w:val="center"/>
              <w:rPr>
                <w:rFonts w:hAnsi="Times New Roman" w:cs="Times New Roman"/>
                <w:color w:val="auto"/>
                <w:sz w:val="21"/>
                <w:szCs w:val="20"/>
              </w:rPr>
            </w:pPr>
          </w:p>
        </w:tc>
        <w:tc>
          <w:tcPr>
            <w:tcW w:w="1792" w:type="dxa"/>
            <w:vMerge w:val="restart"/>
            <w:tcBorders>
              <w:top w:val="single" w:color="auto" w:sz="4" w:space="0"/>
              <w:left w:val="single" w:color="auto" w:sz="4" w:space="0"/>
              <w:right w:val="single" w:color="auto" w:sz="4" w:space="0"/>
            </w:tcBorders>
            <w:shd w:val="clear" w:color="auto" w:fill="FFFFFF"/>
            <w:vAlign w:val="center"/>
          </w:tcPr>
          <w:p w14:paraId="6DB3FE20">
            <w:pPr>
              <w:pStyle w:val="234"/>
              <w:ind w:firstLine="0"/>
              <w:jc w:val="center"/>
              <w:rPr>
                <w:rFonts w:hAnsi="Times New Roman" w:cs="Times New Roman"/>
                <w:color w:val="auto"/>
                <w:sz w:val="21"/>
                <w:szCs w:val="20"/>
              </w:rPr>
            </w:pPr>
            <w:r>
              <w:rPr>
                <w:rFonts w:hAnsi="Times New Roman" w:cs="Times New Roman"/>
                <w:color w:val="auto"/>
                <w:sz w:val="21"/>
                <w:szCs w:val="20"/>
              </w:rPr>
              <w:t>说明事项</w:t>
            </w:r>
          </w:p>
        </w:tc>
      </w:tr>
      <w:tr w14:paraId="48D33530">
        <w:tblPrEx>
          <w:tblCellMar>
            <w:top w:w="0" w:type="dxa"/>
            <w:left w:w="10" w:type="dxa"/>
            <w:bottom w:w="0" w:type="dxa"/>
            <w:right w:w="10" w:type="dxa"/>
          </w:tblCellMar>
        </w:tblPrEx>
        <w:trPr>
          <w:trHeight w:val="609" w:hRule="atLeast"/>
          <w:jc w:val="center"/>
        </w:trPr>
        <w:tc>
          <w:tcPr>
            <w:tcW w:w="614" w:type="dxa"/>
            <w:tcBorders>
              <w:top w:val="single" w:color="auto" w:sz="4" w:space="0"/>
              <w:left w:val="single" w:color="auto" w:sz="4" w:space="0"/>
              <w:bottom w:val="nil"/>
              <w:right w:val="nil"/>
            </w:tcBorders>
            <w:shd w:val="clear" w:color="auto" w:fill="FFFFFF"/>
            <w:vAlign w:val="center"/>
          </w:tcPr>
          <w:p w14:paraId="1A7B35B1">
            <w:pPr>
              <w:pStyle w:val="234"/>
              <w:ind w:firstLine="0"/>
              <w:jc w:val="center"/>
              <w:rPr>
                <w:rFonts w:hint="eastAsia" w:hAnsi="Times New Roman" w:eastAsia="宋体" w:cs="Times New Roman"/>
                <w:color w:val="auto"/>
                <w:sz w:val="21"/>
                <w:szCs w:val="20"/>
                <w:lang w:eastAsia="zh-CN"/>
              </w:rPr>
            </w:pPr>
            <w:r>
              <w:rPr>
                <w:rFonts w:hint="eastAsia" w:hAnsi="Times New Roman" w:cs="Times New Roman"/>
                <w:color w:val="auto"/>
                <w:sz w:val="21"/>
                <w:szCs w:val="20"/>
                <w:lang w:eastAsia="zh-CN"/>
              </w:rPr>
              <w:t>序号</w:t>
            </w:r>
          </w:p>
        </w:tc>
        <w:tc>
          <w:tcPr>
            <w:tcW w:w="1555" w:type="dxa"/>
            <w:tcBorders>
              <w:top w:val="single" w:color="auto" w:sz="4" w:space="0"/>
              <w:left w:val="single" w:color="auto" w:sz="4" w:space="0"/>
              <w:bottom w:val="nil"/>
              <w:right w:val="nil"/>
            </w:tcBorders>
            <w:shd w:val="clear" w:color="auto" w:fill="FFFFFF"/>
            <w:vAlign w:val="center"/>
          </w:tcPr>
          <w:p w14:paraId="623325FB">
            <w:pPr>
              <w:pStyle w:val="234"/>
              <w:ind w:firstLine="0"/>
              <w:jc w:val="center"/>
              <w:rPr>
                <w:rFonts w:hAnsi="Times New Roman" w:cs="Times New Roman"/>
                <w:color w:val="auto"/>
                <w:sz w:val="21"/>
                <w:szCs w:val="20"/>
              </w:rPr>
            </w:pPr>
            <w:r>
              <w:rPr>
                <w:rFonts w:hAnsi="Times New Roman" w:cs="Times New Roman"/>
                <w:color w:val="auto"/>
                <w:sz w:val="21"/>
                <w:szCs w:val="20"/>
              </w:rPr>
              <w:t>资产名称</w:t>
            </w:r>
          </w:p>
        </w:tc>
        <w:tc>
          <w:tcPr>
            <w:tcW w:w="1711" w:type="dxa"/>
            <w:tcBorders>
              <w:top w:val="single" w:color="auto" w:sz="4" w:space="0"/>
              <w:left w:val="single" w:color="auto" w:sz="4" w:space="0"/>
              <w:bottom w:val="nil"/>
              <w:right w:val="nil"/>
            </w:tcBorders>
            <w:shd w:val="clear" w:color="auto" w:fill="FFFFFF"/>
            <w:vAlign w:val="center"/>
          </w:tcPr>
          <w:p w14:paraId="6C4B239E">
            <w:pPr>
              <w:pStyle w:val="234"/>
              <w:ind w:firstLine="0"/>
              <w:jc w:val="center"/>
              <w:rPr>
                <w:rFonts w:hAnsi="Times New Roman" w:cs="Times New Roman"/>
                <w:color w:val="auto"/>
                <w:sz w:val="21"/>
                <w:szCs w:val="20"/>
              </w:rPr>
            </w:pPr>
            <w:r>
              <w:rPr>
                <w:rFonts w:hAnsi="Times New Roman" w:cs="Times New Roman"/>
                <w:color w:val="auto"/>
                <w:sz w:val="21"/>
                <w:szCs w:val="20"/>
              </w:rPr>
              <w:t>规格型号</w:t>
            </w:r>
          </w:p>
        </w:tc>
        <w:tc>
          <w:tcPr>
            <w:tcW w:w="1276" w:type="dxa"/>
            <w:tcBorders>
              <w:top w:val="single" w:color="auto" w:sz="4" w:space="0"/>
              <w:left w:val="single" w:color="auto" w:sz="4" w:space="0"/>
              <w:bottom w:val="nil"/>
              <w:right w:val="nil"/>
            </w:tcBorders>
            <w:shd w:val="clear" w:color="auto" w:fill="FFFFFF"/>
            <w:vAlign w:val="center"/>
          </w:tcPr>
          <w:p w14:paraId="63E13FCF">
            <w:pPr>
              <w:pStyle w:val="234"/>
              <w:ind w:firstLine="0"/>
              <w:jc w:val="center"/>
              <w:rPr>
                <w:rFonts w:hAnsi="Times New Roman" w:cs="Times New Roman"/>
                <w:color w:val="auto"/>
                <w:sz w:val="21"/>
                <w:szCs w:val="20"/>
              </w:rPr>
            </w:pPr>
            <w:r>
              <w:rPr>
                <w:rFonts w:hAnsi="Times New Roman" w:cs="Times New Roman"/>
                <w:color w:val="auto"/>
                <w:sz w:val="21"/>
                <w:szCs w:val="20"/>
              </w:rPr>
              <w:t>配置时间</w:t>
            </w:r>
          </w:p>
        </w:tc>
        <w:tc>
          <w:tcPr>
            <w:tcW w:w="851" w:type="dxa"/>
            <w:tcBorders>
              <w:top w:val="single" w:color="auto" w:sz="4" w:space="0"/>
              <w:left w:val="single" w:color="auto" w:sz="4" w:space="0"/>
              <w:bottom w:val="nil"/>
              <w:right w:val="nil"/>
            </w:tcBorders>
            <w:shd w:val="clear" w:color="auto" w:fill="FFFFFF"/>
            <w:vAlign w:val="center"/>
          </w:tcPr>
          <w:p w14:paraId="75670A97">
            <w:pPr>
              <w:pStyle w:val="234"/>
              <w:ind w:firstLine="0"/>
              <w:jc w:val="center"/>
              <w:rPr>
                <w:rFonts w:hAnsi="Times New Roman" w:cs="Times New Roman"/>
                <w:color w:val="auto"/>
                <w:sz w:val="21"/>
                <w:szCs w:val="20"/>
              </w:rPr>
            </w:pPr>
            <w:r>
              <w:rPr>
                <w:rFonts w:hAnsi="Times New Roman" w:cs="Times New Roman"/>
                <w:color w:val="auto"/>
                <w:sz w:val="21"/>
                <w:szCs w:val="20"/>
              </w:rPr>
              <w:t>数量</w:t>
            </w:r>
          </w:p>
        </w:tc>
        <w:tc>
          <w:tcPr>
            <w:tcW w:w="1984" w:type="dxa"/>
            <w:tcBorders>
              <w:top w:val="single" w:color="auto" w:sz="4" w:space="0"/>
              <w:left w:val="single" w:color="auto" w:sz="4" w:space="0"/>
              <w:bottom w:val="nil"/>
              <w:right w:val="single" w:color="auto" w:sz="4" w:space="0"/>
            </w:tcBorders>
            <w:shd w:val="clear" w:color="auto" w:fill="FFFFFF"/>
            <w:vAlign w:val="center"/>
          </w:tcPr>
          <w:p w14:paraId="60925DD1">
            <w:pPr>
              <w:pStyle w:val="234"/>
              <w:ind w:firstLine="0"/>
              <w:jc w:val="center"/>
              <w:rPr>
                <w:rFonts w:hAnsi="Times New Roman" w:cs="Times New Roman"/>
                <w:color w:val="auto"/>
                <w:sz w:val="21"/>
                <w:szCs w:val="20"/>
              </w:rPr>
            </w:pPr>
            <w:r>
              <w:rPr>
                <w:rFonts w:hAnsi="Times New Roman" w:cs="Times New Roman"/>
                <w:color w:val="auto"/>
                <w:sz w:val="21"/>
                <w:szCs w:val="20"/>
              </w:rPr>
              <w:t>账面价值（元）</w:t>
            </w:r>
          </w:p>
        </w:tc>
        <w:tc>
          <w:tcPr>
            <w:tcW w:w="1792" w:type="dxa"/>
            <w:vMerge w:val="continue"/>
            <w:tcBorders>
              <w:left w:val="single" w:color="auto" w:sz="4" w:space="0"/>
              <w:bottom w:val="single" w:color="auto" w:sz="4" w:space="0"/>
              <w:right w:val="single" w:color="auto" w:sz="4" w:space="0"/>
            </w:tcBorders>
            <w:shd w:val="clear" w:color="auto" w:fill="FFFFFF"/>
            <w:vAlign w:val="center"/>
          </w:tcPr>
          <w:p w14:paraId="094997C3">
            <w:pPr>
              <w:pStyle w:val="234"/>
              <w:ind w:firstLine="0"/>
              <w:jc w:val="center"/>
              <w:rPr>
                <w:rFonts w:hAnsi="Times New Roman" w:cs="Times New Roman"/>
                <w:color w:val="auto"/>
                <w:sz w:val="21"/>
                <w:szCs w:val="20"/>
              </w:rPr>
            </w:pPr>
          </w:p>
        </w:tc>
      </w:tr>
      <w:tr w14:paraId="3465AC7D">
        <w:tblPrEx>
          <w:tblCellMar>
            <w:top w:w="0" w:type="dxa"/>
            <w:left w:w="10" w:type="dxa"/>
            <w:bottom w:w="0" w:type="dxa"/>
            <w:right w:w="10" w:type="dxa"/>
          </w:tblCellMar>
        </w:tblPrEx>
        <w:trPr>
          <w:trHeight w:val="605" w:hRule="atLeast"/>
          <w:jc w:val="center"/>
        </w:trPr>
        <w:tc>
          <w:tcPr>
            <w:tcW w:w="614" w:type="dxa"/>
            <w:tcBorders>
              <w:top w:val="single" w:color="auto" w:sz="4" w:space="0"/>
              <w:left w:val="single" w:color="auto" w:sz="4" w:space="0"/>
              <w:bottom w:val="nil"/>
              <w:right w:val="nil"/>
            </w:tcBorders>
            <w:shd w:val="clear" w:color="auto" w:fill="FFFFFF"/>
            <w:vAlign w:val="center"/>
          </w:tcPr>
          <w:p w14:paraId="31F60202">
            <w:pPr>
              <w:rPr>
                <w:rFonts w:ascii="宋体" w:hAnsi="Times New Roman"/>
                <w:color w:val="auto"/>
                <w:kern w:val="0"/>
                <w:szCs w:val="20"/>
              </w:rPr>
            </w:pPr>
          </w:p>
        </w:tc>
        <w:tc>
          <w:tcPr>
            <w:tcW w:w="1555" w:type="dxa"/>
            <w:tcBorders>
              <w:top w:val="single" w:color="auto" w:sz="4" w:space="0"/>
              <w:left w:val="single" w:color="auto" w:sz="4" w:space="0"/>
              <w:bottom w:val="nil"/>
              <w:right w:val="nil"/>
            </w:tcBorders>
            <w:shd w:val="clear" w:color="auto" w:fill="FFFFFF"/>
            <w:vAlign w:val="center"/>
          </w:tcPr>
          <w:p w14:paraId="09E2A3E8">
            <w:pPr>
              <w:rPr>
                <w:rFonts w:ascii="宋体" w:hAnsi="Times New Roman"/>
                <w:color w:val="auto"/>
                <w:kern w:val="0"/>
                <w:szCs w:val="20"/>
              </w:rPr>
            </w:pPr>
          </w:p>
        </w:tc>
        <w:tc>
          <w:tcPr>
            <w:tcW w:w="1711" w:type="dxa"/>
            <w:tcBorders>
              <w:top w:val="single" w:color="auto" w:sz="4" w:space="0"/>
              <w:left w:val="single" w:color="auto" w:sz="4" w:space="0"/>
              <w:bottom w:val="nil"/>
              <w:right w:val="nil"/>
            </w:tcBorders>
            <w:shd w:val="clear" w:color="auto" w:fill="FFFFFF"/>
            <w:vAlign w:val="center"/>
          </w:tcPr>
          <w:p w14:paraId="3BEFE7CA">
            <w:pPr>
              <w:rPr>
                <w:rFonts w:ascii="宋体" w:hAnsi="Times New Roman"/>
                <w:color w:val="auto"/>
                <w:kern w:val="0"/>
                <w:szCs w:val="20"/>
              </w:rPr>
            </w:pPr>
          </w:p>
        </w:tc>
        <w:tc>
          <w:tcPr>
            <w:tcW w:w="1276" w:type="dxa"/>
            <w:tcBorders>
              <w:top w:val="single" w:color="auto" w:sz="4" w:space="0"/>
              <w:left w:val="single" w:color="auto" w:sz="4" w:space="0"/>
              <w:bottom w:val="nil"/>
              <w:right w:val="nil"/>
            </w:tcBorders>
            <w:shd w:val="clear" w:color="auto" w:fill="FFFFFF"/>
            <w:vAlign w:val="center"/>
          </w:tcPr>
          <w:p w14:paraId="00B9F603">
            <w:pPr>
              <w:rPr>
                <w:rFonts w:ascii="宋体" w:hAnsi="Times New Roman"/>
                <w:color w:val="auto"/>
                <w:kern w:val="0"/>
                <w:szCs w:val="20"/>
              </w:rPr>
            </w:pPr>
          </w:p>
        </w:tc>
        <w:tc>
          <w:tcPr>
            <w:tcW w:w="851" w:type="dxa"/>
            <w:tcBorders>
              <w:top w:val="single" w:color="auto" w:sz="4" w:space="0"/>
              <w:left w:val="single" w:color="auto" w:sz="4" w:space="0"/>
              <w:bottom w:val="nil"/>
              <w:right w:val="nil"/>
            </w:tcBorders>
            <w:shd w:val="clear" w:color="auto" w:fill="FFFFFF"/>
            <w:vAlign w:val="center"/>
          </w:tcPr>
          <w:p w14:paraId="2A9B2E25">
            <w:pPr>
              <w:rPr>
                <w:rFonts w:ascii="宋体" w:hAnsi="Times New Roman"/>
                <w:color w:val="auto"/>
                <w:kern w:val="0"/>
                <w:szCs w:val="20"/>
              </w:rPr>
            </w:pPr>
          </w:p>
        </w:tc>
        <w:tc>
          <w:tcPr>
            <w:tcW w:w="1984" w:type="dxa"/>
            <w:tcBorders>
              <w:top w:val="single" w:color="auto" w:sz="4" w:space="0"/>
              <w:left w:val="single" w:color="auto" w:sz="4" w:space="0"/>
              <w:bottom w:val="nil"/>
              <w:right w:val="single" w:color="auto" w:sz="4" w:space="0"/>
            </w:tcBorders>
            <w:shd w:val="clear" w:color="auto" w:fill="FFFFFF"/>
            <w:vAlign w:val="center"/>
          </w:tcPr>
          <w:p w14:paraId="45116DF1">
            <w:pPr>
              <w:rPr>
                <w:rFonts w:ascii="宋体" w:hAnsi="Times New Roman"/>
                <w:color w:val="auto"/>
                <w:kern w:val="0"/>
                <w:szCs w:val="20"/>
              </w:rPr>
            </w:pPr>
          </w:p>
        </w:tc>
        <w:tc>
          <w:tcPr>
            <w:tcW w:w="1792"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34604E02">
            <w:pPr>
              <w:rPr>
                <w:rFonts w:ascii="宋体" w:hAnsi="Times New Roman"/>
                <w:color w:val="auto"/>
                <w:kern w:val="0"/>
                <w:szCs w:val="20"/>
              </w:rPr>
            </w:pPr>
          </w:p>
        </w:tc>
      </w:tr>
      <w:tr w14:paraId="403A6749">
        <w:tblPrEx>
          <w:tblCellMar>
            <w:top w:w="0" w:type="dxa"/>
            <w:left w:w="10" w:type="dxa"/>
            <w:bottom w:w="0" w:type="dxa"/>
            <w:right w:w="10" w:type="dxa"/>
          </w:tblCellMar>
        </w:tblPrEx>
        <w:trPr>
          <w:trHeight w:val="605" w:hRule="atLeast"/>
          <w:jc w:val="center"/>
        </w:trPr>
        <w:tc>
          <w:tcPr>
            <w:tcW w:w="614" w:type="dxa"/>
            <w:tcBorders>
              <w:top w:val="single" w:color="auto" w:sz="4" w:space="0"/>
              <w:left w:val="single" w:color="auto" w:sz="4" w:space="0"/>
              <w:bottom w:val="nil"/>
              <w:right w:val="nil"/>
            </w:tcBorders>
            <w:shd w:val="clear" w:color="auto" w:fill="FFFFFF"/>
            <w:vAlign w:val="center"/>
          </w:tcPr>
          <w:p w14:paraId="1AD08FC9">
            <w:pPr>
              <w:rPr>
                <w:rFonts w:ascii="宋体" w:hAnsi="Times New Roman"/>
                <w:color w:val="auto"/>
                <w:kern w:val="0"/>
                <w:szCs w:val="20"/>
              </w:rPr>
            </w:pPr>
          </w:p>
        </w:tc>
        <w:tc>
          <w:tcPr>
            <w:tcW w:w="1555" w:type="dxa"/>
            <w:tcBorders>
              <w:top w:val="single" w:color="auto" w:sz="4" w:space="0"/>
              <w:left w:val="single" w:color="auto" w:sz="4" w:space="0"/>
              <w:bottom w:val="nil"/>
              <w:right w:val="nil"/>
            </w:tcBorders>
            <w:shd w:val="clear" w:color="auto" w:fill="FFFFFF"/>
            <w:vAlign w:val="center"/>
          </w:tcPr>
          <w:p w14:paraId="0AF3A45B">
            <w:pPr>
              <w:rPr>
                <w:rFonts w:ascii="宋体" w:hAnsi="Times New Roman"/>
                <w:color w:val="auto"/>
                <w:kern w:val="0"/>
                <w:szCs w:val="20"/>
              </w:rPr>
            </w:pPr>
          </w:p>
        </w:tc>
        <w:tc>
          <w:tcPr>
            <w:tcW w:w="1711" w:type="dxa"/>
            <w:tcBorders>
              <w:top w:val="single" w:color="auto" w:sz="4" w:space="0"/>
              <w:left w:val="single" w:color="auto" w:sz="4" w:space="0"/>
              <w:bottom w:val="nil"/>
              <w:right w:val="nil"/>
            </w:tcBorders>
            <w:shd w:val="clear" w:color="auto" w:fill="FFFFFF"/>
            <w:vAlign w:val="center"/>
          </w:tcPr>
          <w:p w14:paraId="4C779373">
            <w:pPr>
              <w:rPr>
                <w:rFonts w:ascii="宋体" w:hAnsi="Times New Roman"/>
                <w:color w:val="auto"/>
                <w:kern w:val="0"/>
                <w:szCs w:val="20"/>
              </w:rPr>
            </w:pPr>
          </w:p>
        </w:tc>
        <w:tc>
          <w:tcPr>
            <w:tcW w:w="1276" w:type="dxa"/>
            <w:tcBorders>
              <w:top w:val="single" w:color="auto" w:sz="4" w:space="0"/>
              <w:left w:val="single" w:color="auto" w:sz="4" w:space="0"/>
              <w:bottom w:val="nil"/>
              <w:right w:val="nil"/>
            </w:tcBorders>
            <w:shd w:val="clear" w:color="auto" w:fill="FFFFFF"/>
            <w:vAlign w:val="center"/>
          </w:tcPr>
          <w:p w14:paraId="6CF5BE08">
            <w:pPr>
              <w:rPr>
                <w:rFonts w:ascii="宋体" w:hAnsi="Times New Roman"/>
                <w:color w:val="auto"/>
                <w:kern w:val="0"/>
                <w:szCs w:val="20"/>
              </w:rPr>
            </w:pPr>
          </w:p>
        </w:tc>
        <w:tc>
          <w:tcPr>
            <w:tcW w:w="851" w:type="dxa"/>
            <w:tcBorders>
              <w:top w:val="single" w:color="auto" w:sz="4" w:space="0"/>
              <w:left w:val="single" w:color="auto" w:sz="4" w:space="0"/>
              <w:bottom w:val="nil"/>
              <w:right w:val="nil"/>
            </w:tcBorders>
            <w:shd w:val="clear" w:color="auto" w:fill="FFFFFF"/>
            <w:vAlign w:val="center"/>
          </w:tcPr>
          <w:p w14:paraId="5EC212C8">
            <w:pPr>
              <w:rPr>
                <w:rFonts w:ascii="宋体" w:hAnsi="Times New Roman"/>
                <w:color w:val="auto"/>
                <w:kern w:val="0"/>
                <w:szCs w:val="20"/>
              </w:rPr>
            </w:pPr>
          </w:p>
        </w:tc>
        <w:tc>
          <w:tcPr>
            <w:tcW w:w="1984" w:type="dxa"/>
            <w:tcBorders>
              <w:top w:val="single" w:color="auto" w:sz="4" w:space="0"/>
              <w:left w:val="single" w:color="auto" w:sz="4" w:space="0"/>
              <w:bottom w:val="nil"/>
              <w:right w:val="single" w:color="auto" w:sz="4" w:space="0"/>
            </w:tcBorders>
            <w:shd w:val="clear" w:color="auto" w:fill="FFFFFF"/>
            <w:vAlign w:val="center"/>
          </w:tcPr>
          <w:p w14:paraId="35592F73">
            <w:pPr>
              <w:rPr>
                <w:rFonts w:ascii="宋体" w:hAnsi="Times New Roman"/>
                <w:color w:val="auto"/>
                <w:kern w:val="0"/>
                <w:szCs w:val="20"/>
              </w:rPr>
            </w:pPr>
          </w:p>
        </w:tc>
        <w:tc>
          <w:tcPr>
            <w:tcW w:w="1792" w:type="dxa"/>
            <w:vMerge w:val="continue"/>
            <w:tcBorders>
              <w:top w:val="single" w:color="auto" w:sz="4" w:space="0"/>
              <w:left w:val="single" w:color="auto" w:sz="4" w:space="0"/>
              <w:bottom w:val="single" w:color="auto" w:sz="4" w:space="0"/>
              <w:right w:val="single" w:color="auto" w:sz="4" w:space="0"/>
            </w:tcBorders>
            <w:vAlign w:val="center"/>
          </w:tcPr>
          <w:p w14:paraId="595DF5DC">
            <w:pPr>
              <w:widowControl/>
              <w:jc w:val="left"/>
              <w:rPr>
                <w:rFonts w:ascii="宋体" w:hAnsi="Times New Roman"/>
                <w:color w:val="auto"/>
                <w:kern w:val="0"/>
                <w:szCs w:val="20"/>
              </w:rPr>
            </w:pPr>
          </w:p>
        </w:tc>
      </w:tr>
      <w:tr w14:paraId="41068D10">
        <w:tblPrEx>
          <w:tblCellMar>
            <w:top w:w="0" w:type="dxa"/>
            <w:left w:w="10" w:type="dxa"/>
            <w:bottom w:w="0" w:type="dxa"/>
            <w:right w:w="10" w:type="dxa"/>
          </w:tblCellMar>
        </w:tblPrEx>
        <w:trPr>
          <w:trHeight w:val="605" w:hRule="atLeast"/>
          <w:jc w:val="center"/>
        </w:trPr>
        <w:tc>
          <w:tcPr>
            <w:tcW w:w="614" w:type="dxa"/>
            <w:tcBorders>
              <w:top w:val="single" w:color="auto" w:sz="4" w:space="0"/>
              <w:left w:val="single" w:color="auto" w:sz="4" w:space="0"/>
              <w:bottom w:val="nil"/>
              <w:right w:val="nil"/>
            </w:tcBorders>
            <w:shd w:val="clear" w:color="auto" w:fill="FFFFFF"/>
            <w:vAlign w:val="center"/>
          </w:tcPr>
          <w:p w14:paraId="0D243C16">
            <w:pPr>
              <w:rPr>
                <w:rFonts w:ascii="宋体" w:hAnsi="Times New Roman"/>
                <w:color w:val="auto"/>
                <w:kern w:val="0"/>
                <w:szCs w:val="20"/>
              </w:rPr>
            </w:pPr>
          </w:p>
        </w:tc>
        <w:tc>
          <w:tcPr>
            <w:tcW w:w="1555" w:type="dxa"/>
            <w:tcBorders>
              <w:top w:val="single" w:color="auto" w:sz="4" w:space="0"/>
              <w:left w:val="single" w:color="auto" w:sz="4" w:space="0"/>
              <w:bottom w:val="nil"/>
              <w:right w:val="nil"/>
            </w:tcBorders>
            <w:shd w:val="clear" w:color="auto" w:fill="FFFFFF"/>
            <w:vAlign w:val="center"/>
          </w:tcPr>
          <w:p w14:paraId="1F366BE1">
            <w:pPr>
              <w:rPr>
                <w:rFonts w:ascii="宋体" w:hAnsi="Times New Roman"/>
                <w:color w:val="auto"/>
                <w:kern w:val="0"/>
                <w:szCs w:val="20"/>
              </w:rPr>
            </w:pPr>
          </w:p>
        </w:tc>
        <w:tc>
          <w:tcPr>
            <w:tcW w:w="1711" w:type="dxa"/>
            <w:tcBorders>
              <w:top w:val="single" w:color="auto" w:sz="4" w:space="0"/>
              <w:left w:val="single" w:color="auto" w:sz="4" w:space="0"/>
              <w:bottom w:val="nil"/>
              <w:right w:val="nil"/>
            </w:tcBorders>
            <w:shd w:val="clear" w:color="auto" w:fill="FFFFFF"/>
            <w:vAlign w:val="center"/>
          </w:tcPr>
          <w:p w14:paraId="3C69E494">
            <w:pPr>
              <w:rPr>
                <w:rFonts w:ascii="宋体" w:hAnsi="Times New Roman"/>
                <w:color w:val="auto"/>
                <w:kern w:val="0"/>
                <w:szCs w:val="20"/>
              </w:rPr>
            </w:pPr>
          </w:p>
        </w:tc>
        <w:tc>
          <w:tcPr>
            <w:tcW w:w="1276" w:type="dxa"/>
            <w:tcBorders>
              <w:top w:val="single" w:color="auto" w:sz="4" w:space="0"/>
              <w:left w:val="single" w:color="auto" w:sz="4" w:space="0"/>
              <w:bottom w:val="nil"/>
              <w:right w:val="nil"/>
            </w:tcBorders>
            <w:shd w:val="clear" w:color="auto" w:fill="FFFFFF"/>
            <w:vAlign w:val="center"/>
          </w:tcPr>
          <w:p w14:paraId="1323E1ED">
            <w:pPr>
              <w:rPr>
                <w:rFonts w:ascii="宋体" w:hAnsi="Times New Roman"/>
                <w:color w:val="auto"/>
                <w:kern w:val="0"/>
                <w:szCs w:val="20"/>
              </w:rPr>
            </w:pPr>
          </w:p>
        </w:tc>
        <w:tc>
          <w:tcPr>
            <w:tcW w:w="851" w:type="dxa"/>
            <w:tcBorders>
              <w:top w:val="single" w:color="auto" w:sz="4" w:space="0"/>
              <w:left w:val="single" w:color="auto" w:sz="4" w:space="0"/>
              <w:bottom w:val="nil"/>
              <w:right w:val="nil"/>
            </w:tcBorders>
            <w:shd w:val="clear" w:color="auto" w:fill="FFFFFF"/>
            <w:vAlign w:val="center"/>
          </w:tcPr>
          <w:p w14:paraId="1A10FCCD">
            <w:pPr>
              <w:rPr>
                <w:rFonts w:ascii="宋体" w:hAnsi="Times New Roman"/>
                <w:color w:val="auto"/>
                <w:kern w:val="0"/>
                <w:szCs w:val="20"/>
              </w:rPr>
            </w:pPr>
          </w:p>
        </w:tc>
        <w:tc>
          <w:tcPr>
            <w:tcW w:w="1984" w:type="dxa"/>
            <w:tcBorders>
              <w:top w:val="single" w:color="auto" w:sz="4" w:space="0"/>
              <w:left w:val="single" w:color="auto" w:sz="4" w:space="0"/>
              <w:bottom w:val="nil"/>
              <w:right w:val="single" w:color="auto" w:sz="4" w:space="0"/>
            </w:tcBorders>
            <w:shd w:val="clear" w:color="auto" w:fill="FFFFFF"/>
            <w:vAlign w:val="center"/>
          </w:tcPr>
          <w:p w14:paraId="3E9AC40E">
            <w:pPr>
              <w:rPr>
                <w:rFonts w:ascii="宋体" w:hAnsi="Times New Roman"/>
                <w:color w:val="auto"/>
                <w:kern w:val="0"/>
                <w:szCs w:val="20"/>
              </w:rPr>
            </w:pPr>
          </w:p>
        </w:tc>
        <w:tc>
          <w:tcPr>
            <w:tcW w:w="1792" w:type="dxa"/>
            <w:vMerge w:val="continue"/>
            <w:tcBorders>
              <w:top w:val="single" w:color="auto" w:sz="4" w:space="0"/>
              <w:left w:val="single" w:color="auto" w:sz="4" w:space="0"/>
              <w:bottom w:val="single" w:color="auto" w:sz="4" w:space="0"/>
              <w:right w:val="single" w:color="auto" w:sz="4" w:space="0"/>
            </w:tcBorders>
            <w:vAlign w:val="center"/>
          </w:tcPr>
          <w:p w14:paraId="64739A0D">
            <w:pPr>
              <w:widowControl/>
              <w:jc w:val="left"/>
              <w:rPr>
                <w:rFonts w:ascii="宋体" w:hAnsi="Times New Roman"/>
                <w:color w:val="auto"/>
                <w:kern w:val="0"/>
                <w:szCs w:val="20"/>
              </w:rPr>
            </w:pPr>
          </w:p>
        </w:tc>
      </w:tr>
      <w:tr w14:paraId="570ADB36">
        <w:tblPrEx>
          <w:tblCellMar>
            <w:top w:w="0" w:type="dxa"/>
            <w:left w:w="10" w:type="dxa"/>
            <w:bottom w:w="0" w:type="dxa"/>
            <w:right w:w="10" w:type="dxa"/>
          </w:tblCellMar>
        </w:tblPrEx>
        <w:trPr>
          <w:trHeight w:val="605" w:hRule="atLeast"/>
          <w:jc w:val="center"/>
        </w:trPr>
        <w:tc>
          <w:tcPr>
            <w:tcW w:w="614" w:type="dxa"/>
            <w:tcBorders>
              <w:top w:val="single" w:color="auto" w:sz="4" w:space="0"/>
              <w:left w:val="single" w:color="auto" w:sz="4" w:space="0"/>
              <w:bottom w:val="nil"/>
              <w:right w:val="nil"/>
            </w:tcBorders>
            <w:shd w:val="clear" w:color="auto" w:fill="FFFFFF"/>
            <w:vAlign w:val="center"/>
          </w:tcPr>
          <w:p w14:paraId="16B7772A">
            <w:pPr>
              <w:rPr>
                <w:rFonts w:ascii="宋体" w:hAnsi="Times New Roman"/>
                <w:color w:val="auto"/>
                <w:kern w:val="0"/>
                <w:szCs w:val="20"/>
              </w:rPr>
            </w:pPr>
          </w:p>
        </w:tc>
        <w:tc>
          <w:tcPr>
            <w:tcW w:w="1555" w:type="dxa"/>
            <w:tcBorders>
              <w:top w:val="single" w:color="auto" w:sz="4" w:space="0"/>
              <w:left w:val="single" w:color="auto" w:sz="4" w:space="0"/>
              <w:bottom w:val="nil"/>
              <w:right w:val="nil"/>
            </w:tcBorders>
            <w:shd w:val="clear" w:color="auto" w:fill="FFFFFF"/>
            <w:vAlign w:val="center"/>
          </w:tcPr>
          <w:p w14:paraId="5F96AECB">
            <w:pPr>
              <w:rPr>
                <w:rFonts w:ascii="宋体" w:hAnsi="Times New Roman"/>
                <w:color w:val="auto"/>
                <w:kern w:val="0"/>
                <w:szCs w:val="20"/>
              </w:rPr>
            </w:pPr>
          </w:p>
        </w:tc>
        <w:tc>
          <w:tcPr>
            <w:tcW w:w="1711" w:type="dxa"/>
            <w:tcBorders>
              <w:top w:val="single" w:color="auto" w:sz="4" w:space="0"/>
              <w:left w:val="single" w:color="auto" w:sz="4" w:space="0"/>
              <w:bottom w:val="nil"/>
              <w:right w:val="nil"/>
            </w:tcBorders>
            <w:shd w:val="clear" w:color="auto" w:fill="FFFFFF"/>
            <w:vAlign w:val="center"/>
          </w:tcPr>
          <w:p w14:paraId="5064C368">
            <w:pPr>
              <w:rPr>
                <w:rFonts w:ascii="宋体" w:hAnsi="Times New Roman"/>
                <w:color w:val="auto"/>
                <w:kern w:val="0"/>
                <w:szCs w:val="20"/>
              </w:rPr>
            </w:pPr>
          </w:p>
        </w:tc>
        <w:tc>
          <w:tcPr>
            <w:tcW w:w="1276" w:type="dxa"/>
            <w:tcBorders>
              <w:top w:val="single" w:color="auto" w:sz="4" w:space="0"/>
              <w:left w:val="single" w:color="auto" w:sz="4" w:space="0"/>
              <w:bottom w:val="nil"/>
              <w:right w:val="nil"/>
            </w:tcBorders>
            <w:shd w:val="clear" w:color="auto" w:fill="FFFFFF"/>
            <w:vAlign w:val="center"/>
          </w:tcPr>
          <w:p w14:paraId="2A0C347C">
            <w:pPr>
              <w:rPr>
                <w:rFonts w:ascii="宋体" w:hAnsi="Times New Roman"/>
                <w:color w:val="auto"/>
                <w:kern w:val="0"/>
                <w:szCs w:val="20"/>
              </w:rPr>
            </w:pPr>
          </w:p>
        </w:tc>
        <w:tc>
          <w:tcPr>
            <w:tcW w:w="851" w:type="dxa"/>
            <w:tcBorders>
              <w:top w:val="single" w:color="auto" w:sz="4" w:space="0"/>
              <w:left w:val="single" w:color="auto" w:sz="4" w:space="0"/>
              <w:bottom w:val="nil"/>
              <w:right w:val="nil"/>
            </w:tcBorders>
            <w:shd w:val="clear" w:color="auto" w:fill="FFFFFF"/>
            <w:vAlign w:val="center"/>
          </w:tcPr>
          <w:p w14:paraId="26525447">
            <w:pPr>
              <w:rPr>
                <w:rFonts w:ascii="宋体" w:hAnsi="Times New Roman"/>
                <w:color w:val="auto"/>
                <w:kern w:val="0"/>
                <w:szCs w:val="20"/>
              </w:rPr>
            </w:pPr>
          </w:p>
        </w:tc>
        <w:tc>
          <w:tcPr>
            <w:tcW w:w="1984" w:type="dxa"/>
            <w:tcBorders>
              <w:top w:val="single" w:color="auto" w:sz="4" w:space="0"/>
              <w:left w:val="single" w:color="auto" w:sz="4" w:space="0"/>
              <w:bottom w:val="nil"/>
              <w:right w:val="single" w:color="auto" w:sz="4" w:space="0"/>
            </w:tcBorders>
            <w:shd w:val="clear" w:color="auto" w:fill="FFFFFF"/>
            <w:vAlign w:val="center"/>
          </w:tcPr>
          <w:p w14:paraId="32152830">
            <w:pPr>
              <w:rPr>
                <w:rFonts w:ascii="宋体" w:hAnsi="Times New Roman"/>
                <w:color w:val="auto"/>
                <w:kern w:val="0"/>
                <w:szCs w:val="20"/>
              </w:rPr>
            </w:pPr>
          </w:p>
        </w:tc>
        <w:tc>
          <w:tcPr>
            <w:tcW w:w="1792" w:type="dxa"/>
            <w:vMerge w:val="continue"/>
            <w:tcBorders>
              <w:top w:val="single" w:color="auto" w:sz="4" w:space="0"/>
              <w:left w:val="single" w:color="auto" w:sz="4" w:space="0"/>
              <w:bottom w:val="single" w:color="auto" w:sz="4" w:space="0"/>
              <w:right w:val="single" w:color="auto" w:sz="4" w:space="0"/>
            </w:tcBorders>
            <w:vAlign w:val="center"/>
          </w:tcPr>
          <w:p w14:paraId="3D8F2D2D">
            <w:pPr>
              <w:widowControl/>
              <w:jc w:val="left"/>
              <w:rPr>
                <w:rFonts w:ascii="宋体" w:hAnsi="Times New Roman"/>
                <w:color w:val="auto"/>
                <w:kern w:val="0"/>
                <w:szCs w:val="20"/>
              </w:rPr>
            </w:pPr>
          </w:p>
        </w:tc>
      </w:tr>
      <w:tr w14:paraId="1A74C7F6">
        <w:tblPrEx>
          <w:tblCellMar>
            <w:top w:w="0" w:type="dxa"/>
            <w:left w:w="10" w:type="dxa"/>
            <w:bottom w:w="0" w:type="dxa"/>
            <w:right w:w="10" w:type="dxa"/>
          </w:tblCellMar>
        </w:tblPrEx>
        <w:trPr>
          <w:trHeight w:val="605" w:hRule="atLeast"/>
          <w:jc w:val="center"/>
        </w:trPr>
        <w:tc>
          <w:tcPr>
            <w:tcW w:w="614" w:type="dxa"/>
            <w:tcBorders>
              <w:top w:val="single" w:color="auto" w:sz="4" w:space="0"/>
              <w:left w:val="single" w:color="auto" w:sz="4" w:space="0"/>
              <w:bottom w:val="nil"/>
              <w:right w:val="nil"/>
            </w:tcBorders>
            <w:shd w:val="clear" w:color="auto" w:fill="FFFFFF"/>
            <w:vAlign w:val="center"/>
          </w:tcPr>
          <w:p w14:paraId="634AA11C">
            <w:pPr>
              <w:rPr>
                <w:rFonts w:ascii="宋体" w:hAnsi="Times New Roman"/>
                <w:color w:val="auto"/>
                <w:kern w:val="0"/>
                <w:szCs w:val="20"/>
              </w:rPr>
            </w:pPr>
          </w:p>
        </w:tc>
        <w:tc>
          <w:tcPr>
            <w:tcW w:w="1555" w:type="dxa"/>
            <w:tcBorders>
              <w:top w:val="single" w:color="auto" w:sz="4" w:space="0"/>
              <w:left w:val="single" w:color="auto" w:sz="4" w:space="0"/>
              <w:bottom w:val="nil"/>
              <w:right w:val="nil"/>
            </w:tcBorders>
            <w:shd w:val="clear" w:color="auto" w:fill="FFFFFF"/>
            <w:vAlign w:val="center"/>
          </w:tcPr>
          <w:p w14:paraId="7959C216">
            <w:pPr>
              <w:rPr>
                <w:rFonts w:ascii="宋体" w:hAnsi="Times New Roman"/>
                <w:color w:val="auto"/>
                <w:kern w:val="0"/>
                <w:szCs w:val="20"/>
              </w:rPr>
            </w:pPr>
          </w:p>
        </w:tc>
        <w:tc>
          <w:tcPr>
            <w:tcW w:w="1711" w:type="dxa"/>
            <w:tcBorders>
              <w:top w:val="single" w:color="auto" w:sz="4" w:space="0"/>
              <w:left w:val="single" w:color="auto" w:sz="4" w:space="0"/>
              <w:bottom w:val="nil"/>
              <w:right w:val="nil"/>
            </w:tcBorders>
            <w:shd w:val="clear" w:color="auto" w:fill="FFFFFF"/>
            <w:vAlign w:val="center"/>
          </w:tcPr>
          <w:p w14:paraId="61495AD4">
            <w:pPr>
              <w:rPr>
                <w:rFonts w:ascii="宋体" w:hAnsi="Times New Roman"/>
                <w:color w:val="auto"/>
                <w:kern w:val="0"/>
                <w:szCs w:val="20"/>
              </w:rPr>
            </w:pPr>
          </w:p>
        </w:tc>
        <w:tc>
          <w:tcPr>
            <w:tcW w:w="1276" w:type="dxa"/>
            <w:tcBorders>
              <w:top w:val="single" w:color="auto" w:sz="4" w:space="0"/>
              <w:left w:val="single" w:color="auto" w:sz="4" w:space="0"/>
              <w:bottom w:val="nil"/>
              <w:right w:val="nil"/>
            </w:tcBorders>
            <w:shd w:val="clear" w:color="auto" w:fill="FFFFFF"/>
            <w:vAlign w:val="center"/>
          </w:tcPr>
          <w:p w14:paraId="1B88F574">
            <w:pPr>
              <w:rPr>
                <w:rFonts w:ascii="宋体" w:hAnsi="Times New Roman"/>
                <w:color w:val="auto"/>
                <w:kern w:val="0"/>
                <w:szCs w:val="20"/>
              </w:rPr>
            </w:pPr>
          </w:p>
        </w:tc>
        <w:tc>
          <w:tcPr>
            <w:tcW w:w="851" w:type="dxa"/>
            <w:tcBorders>
              <w:top w:val="single" w:color="auto" w:sz="4" w:space="0"/>
              <w:left w:val="single" w:color="auto" w:sz="4" w:space="0"/>
              <w:bottom w:val="nil"/>
              <w:right w:val="nil"/>
            </w:tcBorders>
            <w:shd w:val="clear" w:color="auto" w:fill="FFFFFF"/>
            <w:vAlign w:val="center"/>
          </w:tcPr>
          <w:p w14:paraId="4AF1B06F">
            <w:pPr>
              <w:rPr>
                <w:rFonts w:ascii="宋体" w:hAnsi="Times New Roman"/>
                <w:color w:val="auto"/>
                <w:kern w:val="0"/>
                <w:szCs w:val="20"/>
              </w:rPr>
            </w:pPr>
          </w:p>
        </w:tc>
        <w:tc>
          <w:tcPr>
            <w:tcW w:w="1984" w:type="dxa"/>
            <w:tcBorders>
              <w:top w:val="single" w:color="auto" w:sz="4" w:space="0"/>
              <w:left w:val="single" w:color="auto" w:sz="4" w:space="0"/>
              <w:bottom w:val="nil"/>
              <w:right w:val="single" w:color="auto" w:sz="4" w:space="0"/>
            </w:tcBorders>
            <w:shd w:val="clear" w:color="auto" w:fill="FFFFFF"/>
            <w:vAlign w:val="center"/>
          </w:tcPr>
          <w:p w14:paraId="7ECB179A">
            <w:pPr>
              <w:rPr>
                <w:rFonts w:ascii="宋体" w:hAnsi="Times New Roman"/>
                <w:color w:val="auto"/>
                <w:kern w:val="0"/>
                <w:szCs w:val="20"/>
              </w:rPr>
            </w:pPr>
          </w:p>
        </w:tc>
        <w:tc>
          <w:tcPr>
            <w:tcW w:w="1792" w:type="dxa"/>
            <w:vMerge w:val="continue"/>
            <w:tcBorders>
              <w:top w:val="single" w:color="auto" w:sz="4" w:space="0"/>
              <w:left w:val="single" w:color="auto" w:sz="4" w:space="0"/>
              <w:bottom w:val="single" w:color="auto" w:sz="4" w:space="0"/>
              <w:right w:val="single" w:color="auto" w:sz="4" w:space="0"/>
            </w:tcBorders>
            <w:vAlign w:val="center"/>
          </w:tcPr>
          <w:p w14:paraId="33986221">
            <w:pPr>
              <w:widowControl/>
              <w:jc w:val="left"/>
              <w:rPr>
                <w:rFonts w:ascii="宋体" w:hAnsi="Times New Roman"/>
                <w:color w:val="auto"/>
                <w:kern w:val="0"/>
                <w:szCs w:val="20"/>
              </w:rPr>
            </w:pPr>
          </w:p>
        </w:tc>
      </w:tr>
      <w:tr w14:paraId="3B098A02">
        <w:tblPrEx>
          <w:tblCellMar>
            <w:top w:w="0" w:type="dxa"/>
            <w:left w:w="10" w:type="dxa"/>
            <w:bottom w:w="0" w:type="dxa"/>
            <w:right w:w="10" w:type="dxa"/>
          </w:tblCellMar>
        </w:tblPrEx>
        <w:trPr>
          <w:trHeight w:val="614" w:hRule="atLeast"/>
          <w:jc w:val="center"/>
        </w:trPr>
        <w:tc>
          <w:tcPr>
            <w:tcW w:w="614" w:type="dxa"/>
            <w:tcBorders>
              <w:top w:val="single" w:color="auto" w:sz="4" w:space="0"/>
              <w:left w:val="single" w:color="auto" w:sz="4" w:space="0"/>
              <w:bottom w:val="single" w:color="auto" w:sz="4" w:space="0"/>
              <w:right w:val="nil"/>
            </w:tcBorders>
            <w:shd w:val="clear" w:color="auto" w:fill="FFFFFF"/>
            <w:vAlign w:val="center"/>
          </w:tcPr>
          <w:p w14:paraId="34504F1F">
            <w:pPr>
              <w:rPr>
                <w:rFonts w:ascii="宋体" w:hAnsi="Times New Roman"/>
                <w:color w:val="auto"/>
                <w:kern w:val="0"/>
                <w:szCs w:val="20"/>
              </w:rPr>
            </w:pPr>
          </w:p>
        </w:tc>
        <w:tc>
          <w:tcPr>
            <w:tcW w:w="1555" w:type="dxa"/>
            <w:tcBorders>
              <w:top w:val="single" w:color="auto" w:sz="4" w:space="0"/>
              <w:left w:val="single" w:color="auto" w:sz="4" w:space="0"/>
              <w:bottom w:val="single" w:color="auto" w:sz="4" w:space="0"/>
              <w:right w:val="nil"/>
            </w:tcBorders>
            <w:shd w:val="clear" w:color="auto" w:fill="FFFFFF"/>
            <w:vAlign w:val="center"/>
          </w:tcPr>
          <w:p w14:paraId="2FB29026">
            <w:pPr>
              <w:rPr>
                <w:rFonts w:ascii="宋体" w:hAnsi="Times New Roman"/>
                <w:color w:val="auto"/>
                <w:kern w:val="0"/>
                <w:szCs w:val="20"/>
              </w:rPr>
            </w:pPr>
          </w:p>
        </w:tc>
        <w:tc>
          <w:tcPr>
            <w:tcW w:w="1711" w:type="dxa"/>
            <w:tcBorders>
              <w:top w:val="single" w:color="auto" w:sz="4" w:space="0"/>
              <w:left w:val="single" w:color="auto" w:sz="4" w:space="0"/>
              <w:bottom w:val="single" w:color="auto" w:sz="4" w:space="0"/>
              <w:right w:val="nil"/>
            </w:tcBorders>
            <w:shd w:val="clear" w:color="auto" w:fill="FFFFFF"/>
            <w:vAlign w:val="center"/>
          </w:tcPr>
          <w:p w14:paraId="554A1777">
            <w:pPr>
              <w:rPr>
                <w:rFonts w:ascii="宋体" w:hAnsi="Times New Roman"/>
                <w:color w:val="auto"/>
                <w:kern w:val="0"/>
                <w:szCs w:val="20"/>
              </w:rPr>
            </w:pPr>
          </w:p>
        </w:tc>
        <w:tc>
          <w:tcPr>
            <w:tcW w:w="1276" w:type="dxa"/>
            <w:tcBorders>
              <w:top w:val="single" w:color="auto" w:sz="4" w:space="0"/>
              <w:left w:val="single" w:color="auto" w:sz="4" w:space="0"/>
              <w:bottom w:val="single" w:color="auto" w:sz="4" w:space="0"/>
              <w:right w:val="nil"/>
            </w:tcBorders>
            <w:shd w:val="clear" w:color="auto" w:fill="FFFFFF"/>
            <w:vAlign w:val="center"/>
          </w:tcPr>
          <w:p w14:paraId="474FF6AB">
            <w:pPr>
              <w:rPr>
                <w:rFonts w:ascii="宋体" w:hAnsi="Times New Roman"/>
                <w:color w:val="auto"/>
                <w:kern w:val="0"/>
                <w:szCs w:val="20"/>
              </w:rPr>
            </w:pPr>
          </w:p>
        </w:tc>
        <w:tc>
          <w:tcPr>
            <w:tcW w:w="851" w:type="dxa"/>
            <w:tcBorders>
              <w:top w:val="single" w:color="auto" w:sz="4" w:space="0"/>
              <w:left w:val="single" w:color="auto" w:sz="4" w:space="0"/>
              <w:bottom w:val="single" w:color="auto" w:sz="4" w:space="0"/>
              <w:right w:val="nil"/>
            </w:tcBorders>
            <w:shd w:val="clear" w:color="auto" w:fill="FFFFFF"/>
            <w:vAlign w:val="center"/>
          </w:tcPr>
          <w:p w14:paraId="236DFAE1">
            <w:pPr>
              <w:rPr>
                <w:rFonts w:ascii="宋体" w:hAnsi="Times New Roman"/>
                <w:color w:val="auto"/>
                <w:kern w:val="0"/>
                <w:szCs w:val="20"/>
              </w:rPr>
            </w:pPr>
          </w:p>
        </w:tc>
        <w:tc>
          <w:tcPr>
            <w:tcW w:w="1984" w:type="dxa"/>
            <w:tcBorders>
              <w:top w:val="single" w:color="auto" w:sz="4" w:space="0"/>
              <w:left w:val="single" w:color="auto" w:sz="4" w:space="0"/>
              <w:bottom w:val="single" w:color="auto" w:sz="4" w:space="0"/>
              <w:right w:val="single" w:color="auto" w:sz="4" w:space="0"/>
            </w:tcBorders>
            <w:shd w:val="clear" w:color="auto" w:fill="FFFFFF"/>
            <w:vAlign w:val="center"/>
          </w:tcPr>
          <w:p w14:paraId="5A5A15D3">
            <w:pPr>
              <w:rPr>
                <w:rFonts w:ascii="宋体" w:hAnsi="Times New Roman"/>
                <w:color w:val="auto"/>
                <w:kern w:val="0"/>
                <w:szCs w:val="20"/>
              </w:rPr>
            </w:pPr>
          </w:p>
        </w:tc>
        <w:tc>
          <w:tcPr>
            <w:tcW w:w="1792" w:type="dxa"/>
            <w:vMerge w:val="continue"/>
            <w:tcBorders>
              <w:top w:val="single" w:color="auto" w:sz="4" w:space="0"/>
              <w:left w:val="single" w:color="auto" w:sz="4" w:space="0"/>
              <w:bottom w:val="single" w:color="auto" w:sz="4" w:space="0"/>
              <w:right w:val="single" w:color="auto" w:sz="4" w:space="0"/>
            </w:tcBorders>
            <w:vAlign w:val="center"/>
          </w:tcPr>
          <w:p w14:paraId="1BE18D92">
            <w:pPr>
              <w:widowControl/>
              <w:jc w:val="left"/>
              <w:rPr>
                <w:rFonts w:ascii="宋体" w:hAnsi="Times New Roman"/>
                <w:color w:val="auto"/>
                <w:kern w:val="0"/>
                <w:szCs w:val="20"/>
              </w:rPr>
            </w:pPr>
          </w:p>
        </w:tc>
      </w:tr>
      <w:tr w14:paraId="1FCFA726">
        <w:tblPrEx>
          <w:tblCellMar>
            <w:top w:w="0" w:type="dxa"/>
            <w:left w:w="10" w:type="dxa"/>
            <w:bottom w:w="0" w:type="dxa"/>
            <w:right w:w="10" w:type="dxa"/>
          </w:tblCellMar>
        </w:tblPrEx>
        <w:trPr>
          <w:trHeight w:val="3466" w:hRule="atLeast"/>
          <w:jc w:val="center"/>
        </w:trPr>
        <w:tc>
          <w:tcPr>
            <w:tcW w:w="5156" w:type="dxa"/>
            <w:gridSpan w:val="4"/>
            <w:tcBorders>
              <w:top w:val="single" w:color="auto" w:sz="4" w:space="0"/>
              <w:left w:val="single" w:color="auto" w:sz="4" w:space="0"/>
              <w:bottom w:val="single" w:color="auto" w:sz="4" w:space="0"/>
              <w:right w:val="nil"/>
            </w:tcBorders>
            <w:shd w:val="clear" w:color="auto" w:fill="FFFFFF"/>
            <w:vAlign w:val="top"/>
          </w:tcPr>
          <w:p w14:paraId="1F8A95F3">
            <w:pPr>
              <w:pStyle w:val="59"/>
              <w:ind w:left="0" w:leftChars="0" w:firstLine="0" w:firstLineChars="0"/>
              <w:jc w:val="both"/>
              <w:rPr>
                <w:color w:val="auto"/>
              </w:rPr>
            </w:pPr>
            <w:r>
              <w:rPr>
                <w:color w:val="auto"/>
              </w:rPr>
              <w:t>调出部门意见：</w:t>
            </w:r>
          </w:p>
          <w:p w14:paraId="10E1A6E1">
            <w:pPr>
              <w:pStyle w:val="59"/>
              <w:ind w:left="0" w:leftChars="0" w:firstLine="0" w:firstLineChars="0"/>
              <w:jc w:val="both"/>
              <w:rPr>
                <w:color w:val="auto"/>
              </w:rPr>
            </w:pPr>
          </w:p>
          <w:p w14:paraId="3C1618B5">
            <w:pPr>
              <w:pStyle w:val="59"/>
              <w:ind w:left="0" w:leftChars="0" w:firstLine="0" w:firstLineChars="0"/>
              <w:jc w:val="both"/>
              <w:rPr>
                <w:color w:val="auto"/>
              </w:rPr>
            </w:pPr>
          </w:p>
          <w:p w14:paraId="7A54BBAD">
            <w:pPr>
              <w:pStyle w:val="59"/>
              <w:ind w:left="0" w:leftChars="0" w:firstLine="0" w:firstLineChars="0"/>
              <w:jc w:val="both"/>
              <w:rPr>
                <w:color w:val="auto"/>
              </w:rPr>
            </w:pPr>
          </w:p>
          <w:p w14:paraId="12D6EAB8">
            <w:pPr>
              <w:pStyle w:val="59"/>
              <w:ind w:left="0" w:leftChars="0" w:firstLine="0" w:firstLineChars="0"/>
              <w:jc w:val="both"/>
              <w:rPr>
                <w:color w:val="auto"/>
              </w:rPr>
            </w:pPr>
          </w:p>
          <w:p w14:paraId="0EAF83A6">
            <w:pPr>
              <w:pStyle w:val="59"/>
              <w:ind w:left="0" w:leftChars="0" w:firstLine="0" w:firstLineChars="0"/>
              <w:jc w:val="right"/>
              <w:rPr>
                <w:color w:val="auto"/>
              </w:rPr>
            </w:pPr>
          </w:p>
          <w:p w14:paraId="657CBC5D">
            <w:pPr>
              <w:pStyle w:val="59"/>
              <w:ind w:left="3360" w:leftChars="0" w:hanging="3360" w:hangingChars="1600"/>
              <w:jc w:val="both"/>
              <w:rPr>
                <w:color w:val="auto"/>
              </w:rPr>
            </w:pPr>
            <w:r>
              <w:rPr>
                <w:rFonts w:hint="eastAsia"/>
                <w:color w:val="auto"/>
              </w:rPr>
              <w:t xml:space="preserve"> </w:t>
            </w:r>
            <w:r>
              <w:rPr>
                <w:rFonts w:hint="eastAsia"/>
                <w:color w:val="auto"/>
                <w:lang w:val="en-US" w:eastAsia="zh-CN"/>
              </w:rPr>
              <w:t xml:space="preserve">                                                 </w:t>
            </w:r>
            <w:r>
              <w:rPr>
                <w:color w:val="auto"/>
              </w:rPr>
              <w:t>年</w:t>
            </w:r>
            <w:r>
              <w:rPr>
                <w:rFonts w:hint="eastAsia"/>
                <w:color w:val="auto"/>
              </w:rPr>
              <w:t xml:space="preserve"> </w:t>
            </w:r>
            <w:r>
              <w:rPr>
                <w:color w:val="auto"/>
              </w:rPr>
              <w:t xml:space="preserve"> 月</w:t>
            </w:r>
            <w:r>
              <w:rPr>
                <w:rFonts w:hint="eastAsia"/>
                <w:color w:val="auto"/>
              </w:rPr>
              <w:t xml:space="preserve"> </w:t>
            </w:r>
            <w:r>
              <w:rPr>
                <w:color w:val="auto"/>
              </w:rPr>
              <w:t xml:space="preserve"> 日</w:t>
            </w:r>
          </w:p>
        </w:tc>
        <w:tc>
          <w:tcPr>
            <w:tcW w:w="4627" w:type="dxa"/>
            <w:gridSpan w:val="3"/>
            <w:tcBorders>
              <w:top w:val="single" w:color="auto" w:sz="4" w:space="0"/>
              <w:left w:val="single" w:color="auto" w:sz="4" w:space="0"/>
              <w:bottom w:val="single" w:color="auto" w:sz="4" w:space="0"/>
              <w:right w:val="single" w:color="auto" w:sz="4" w:space="0"/>
            </w:tcBorders>
            <w:shd w:val="clear" w:color="auto" w:fill="FFFFFF"/>
            <w:vAlign w:val="top"/>
          </w:tcPr>
          <w:p w14:paraId="6239E494">
            <w:pPr>
              <w:pStyle w:val="59"/>
              <w:ind w:left="0" w:leftChars="0" w:firstLine="0" w:firstLineChars="0"/>
              <w:jc w:val="both"/>
              <w:rPr>
                <w:color w:val="auto"/>
              </w:rPr>
            </w:pPr>
            <w:r>
              <w:rPr>
                <w:rFonts w:hint="eastAsia"/>
                <w:color w:val="auto"/>
              </w:rPr>
              <w:t>资产管理部门</w:t>
            </w:r>
            <w:r>
              <w:rPr>
                <w:color w:val="auto"/>
              </w:rPr>
              <w:t>意见：</w:t>
            </w:r>
          </w:p>
          <w:p w14:paraId="6E7B529E">
            <w:pPr>
              <w:pStyle w:val="59"/>
              <w:ind w:left="0" w:leftChars="0" w:firstLine="0" w:firstLineChars="0"/>
              <w:jc w:val="both"/>
              <w:rPr>
                <w:color w:val="auto"/>
              </w:rPr>
            </w:pPr>
          </w:p>
          <w:p w14:paraId="46801DB7">
            <w:pPr>
              <w:pStyle w:val="59"/>
              <w:ind w:left="0" w:leftChars="0" w:firstLine="0" w:firstLineChars="0"/>
              <w:jc w:val="both"/>
              <w:rPr>
                <w:color w:val="auto"/>
              </w:rPr>
            </w:pPr>
          </w:p>
          <w:p w14:paraId="1E6C95A9">
            <w:pPr>
              <w:pStyle w:val="59"/>
              <w:ind w:left="0" w:leftChars="0" w:firstLine="0" w:firstLineChars="0"/>
              <w:jc w:val="both"/>
              <w:rPr>
                <w:color w:val="auto"/>
              </w:rPr>
            </w:pPr>
          </w:p>
          <w:p w14:paraId="45D49D5A">
            <w:pPr>
              <w:pStyle w:val="59"/>
              <w:ind w:left="0" w:leftChars="0" w:firstLine="0" w:firstLineChars="0"/>
              <w:jc w:val="both"/>
              <w:rPr>
                <w:color w:val="auto"/>
              </w:rPr>
            </w:pPr>
          </w:p>
          <w:p w14:paraId="21CAEDB3">
            <w:pPr>
              <w:pStyle w:val="59"/>
              <w:ind w:left="0" w:leftChars="0" w:firstLine="0" w:firstLineChars="0"/>
              <w:jc w:val="both"/>
              <w:rPr>
                <w:color w:val="auto"/>
              </w:rPr>
            </w:pPr>
          </w:p>
          <w:p w14:paraId="2D3DEBC1">
            <w:pPr>
              <w:pStyle w:val="59"/>
              <w:ind w:left="0" w:leftChars="0" w:firstLine="0" w:firstLineChars="0"/>
              <w:jc w:val="both"/>
              <w:rPr>
                <w:color w:val="auto"/>
              </w:rPr>
            </w:pPr>
          </w:p>
          <w:p w14:paraId="6867018C">
            <w:pPr>
              <w:pStyle w:val="59"/>
              <w:ind w:left="0" w:leftChars="0" w:firstLine="2730" w:firstLineChars="1300"/>
              <w:jc w:val="both"/>
              <w:rPr>
                <w:color w:val="auto"/>
              </w:rPr>
            </w:pPr>
            <w:r>
              <w:rPr>
                <w:color w:val="auto"/>
              </w:rPr>
              <w:t>年</w:t>
            </w:r>
            <w:r>
              <w:rPr>
                <w:rFonts w:hint="eastAsia"/>
                <w:color w:val="auto"/>
              </w:rPr>
              <w:t xml:space="preserve"> </w:t>
            </w:r>
            <w:r>
              <w:rPr>
                <w:color w:val="auto"/>
              </w:rPr>
              <w:t xml:space="preserve"> 月</w:t>
            </w:r>
            <w:r>
              <w:rPr>
                <w:rFonts w:hint="eastAsia"/>
                <w:color w:val="auto"/>
              </w:rPr>
              <w:t xml:space="preserve"> </w:t>
            </w:r>
            <w:r>
              <w:rPr>
                <w:color w:val="auto"/>
              </w:rPr>
              <w:t xml:space="preserve"> 日</w:t>
            </w:r>
          </w:p>
        </w:tc>
      </w:tr>
    </w:tbl>
    <w:p w14:paraId="4E11D34D">
      <w:pPr>
        <w:spacing w:after="139" w:line="1" w:lineRule="exact"/>
        <w:rPr>
          <w:rFonts w:ascii="宋体" w:hAnsi="Times New Roman"/>
          <w:color w:val="auto"/>
          <w:kern w:val="0"/>
          <w:szCs w:val="20"/>
        </w:rPr>
      </w:pPr>
      <w:r>
        <w:rPr>
          <w:rFonts w:ascii="宋体" w:hAnsi="Times New Roman"/>
          <w:color w:val="auto"/>
          <w:kern w:val="0"/>
          <w:szCs w:val="20"/>
        </w:rPr>
        <w:t xml:space="preserve"> </w:t>
      </w:r>
    </w:p>
    <w:p w14:paraId="2AEFE497">
      <w:pPr>
        <w:pStyle w:val="59"/>
        <w:ind w:firstLine="0" w:firstLineChars="0"/>
        <w:rPr>
          <w:color w:val="auto"/>
        </w:rPr>
      </w:pPr>
      <w:r>
        <w:rPr>
          <w:rFonts w:hint="eastAsia"/>
          <w:color w:val="auto"/>
        </w:rPr>
        <w:t>注：本移交表</w:t>
      </w:r>
      <w:r>
        <w:rPr>
          <w:rFonts w:hint="eastAsia"/>
          <w:color w:val="auto"/>
          <w:lang w:eastAsia="zh-CN"/>
        </w:rPr>
        <w:t>壹</w:t>
      </w:r>
      <w:r>
        <w:rPr>
          <w:rFonts w:hint="eastAsia"/>
          <w:color w:val="auto"/>
        </w:rPr>
        <w:t>式</w:t>
      </w:r>
      <w:r>
        <w:rPr>
          <w:rFonts w:hint="eastAsia"/>
          <w:color w:val="auto"/>
          <w:lang w:eastAsia="zh-CN"/>
        </w:rPr>
        <w:t>贰</w:t>
      </w:r>
      <w:r>
        <w:rPr>
          <w:rFonts w:hint="eastAsia"/>
          <w:color w:val="auto"/>
        </w:rPr>
        <w:t>份，移交人、资产管理部门各执</w:t>
      </w:r>
      <w:r>
        <w:rPr>
          <w:rFonts w:hint="eastAsia"/>
          <w:color w:val="auto"/>
          <w:lang w:eastAsia="zh-CN"/>
        </w:rPr>
        <w:t>壹</w:t>
      </w:r>
      <w:r>
        <w:rPr>
          <w:rFonts w:hint="eastAsia"/>
          <w:color w:val="auto"/>
        </w:rPr>
        <w:t>份</w:t>
      </w:r>
      <w:r>
        <w:rPr>
          <w:rFonts w:hint="eastAsia"/>
          <w:color w:val="auto"/>
          <w:lang w:eastAsia="zh-CN"/>
        </w:rPr>
        <w:t>。</w:t>
      </w:r>
    </w:p>
    <w:p w14:paraId="42EB2482">
      <w:pPr>
        <w:pStyle w:val="59"/>
        <w:ind w:firstLine="420"/>
        <w:rPr>
          <w:color w:val="auto"/>
        </w:rPr>
      </w:pPr>
    </w:p>
    <w:p w14:paraId="6B1545FC">
      <w:pPr>
        <w:pStyle w:val="59"/>
        <w:ind w:firstLine="420"/>
        <w:rPr>
          <w:color w:val="auto"/>
        </w:rPr>
        <w:sectPr>
          <w:pgSz w:w="11906" w:h="16838"/>
          <w:pgMar w:top="1928" w:right="1134" w:bottom="1134" w:left="1134" w:header="1418" w:footer="1134" w:gutter="283"/>
          <w:cols w:space="0" w:num="1"/>
          <w:formProt w:val="0"/>
          <w:rtlGutter w:val="0"/>
          <w:docGrid w:type="lines" w:linePitch="321" w:charSpace="0"/>
        </w:sectPr>
      </w:pPr>
    </w:p>
    <w:p w14:paraId="17228787">
      <w:pPr>
        <w:pStyle w:val="201"/>
        <w:rPr>
          <w:rFonts w:hint="eastAsia"/>
          <w:color w:val="auto"/>
        </w:rPr>
      </w:pPr>
    </w:p>
    <w:p w14:paraId="341F9B69">
      <w:pPr>
        <w:pStyle w:val="202"/>
        <w:rPr>
          <w:color w:val="auto"/>
        </w:rPr>
      </w:pPr>
    </w:p>
    <w:p w14:paraId="540DBE0F">
      <w:pPr>
        <w:pStyle w:val="79"/>
        <w:spacing w:after="156"/>
        <w:rPr>
          <w:color w:val="auto"/>
        </w:rPr>
      </w:pPr>
      <w:r>
        <w:rPr>
          <w:color w:val="auto"/>
        </w:rPr>
        <w:br w:type="textWrapping"/>
      </w:r>
      <w:bookmarkStart w:id="64" w:name="_Toc168408587"/>
      <w:bookmarkStart w:id="65" w:name="_Toc168044236"/>
      <w:r>
        <w:rPr>
          <w:rFonts w:hint="eastAsia"/>
          <w:color w:val="auto"/>
        </w:rPr>
        <w:t>（资料性）</w:t>
      </w:r>
      <w:r>
        <w:rPr>
          <w:color w:val="auto"/>
        </w:rPr>
        <w:br w:type="textWrapping"/>
      </w:r>
      <w:r>
        <w:rPr>
          <w:rFonts w:hint="eastAsia"/>
          <w:color w:val="auto"/>
        </w:rPr>
        <w:t>资产处置申请表</w:t>
      </w:r>
      <w:bookmarkEnd w:id="64"/>
      <w:bookmarkEnd w:id="65"/>
    </w:p>
    <w:p w14:paraId="3D0F68FC">
      <w:pPr>
        <w:pStyle w:val="59"/>
        <w:ind w:firstLine="420"/>
        <w:rPr>
          <w:color w:val="auto"/>
        </w:rPr>
      </w:pPr>
      <w:r>
        <w:rPr>
          <w:rFonts w:hint="eastAsia"/>
          <w:color w:val="auto"/>
        </w:rPr>
        <w:t>资产处置申请表参见表</w:t>
      </w:r>
      <w:r>
        <w:rPr>
          <w:color w:val="auto"/>
        </w:rPr>
        <w:t>E.1</w:t>
      </w:r>
      <w:r>
        <w:rPr>
          <w:rFonts w:hint="eastAsia"/>
          <w:color w:val="auto"/>
        </w:rPr>
        <w:t>。</w:t>
      </w:r>
    </w:p>
    <w:p w14:paraId="61BC7871">
      <w:pPr>
        <w:pStyle w:val="80"/>
        <w:numPr>
          <w:ilvl w:val="0"/>
          <w:numId w:val="0"/>
        </w:numPr>
        <w:spacing w:before="156" w:after="156"/>
        <w:rPr>
          <w:color w:val="auto"/>
        </w:rPr>
      </w:pPr>
      <w:r>
        <w:rPr>
          <w:rFonts w:hint="eastAsia"/>
          <w:color w:val="auto"/>
        </w:rPr>
        <w:t>表E.</w:t>
      </w:r>
      <w:r>
        <w:rPr>
          <w:color w:val="auto"/>
        </w:rPr>
        <w:t>1</w:t>
      </w:r>
      <w:r>
        <w:rPr>
          <w:rFonts w:hint="eastAsia"/>
          <w:color w:val="auto"/>
        </w:rPr>
        <w:t>资产处置申请表</w:t>
      </w:r>
    </w:p>
    <w:p w14:paraId="72DABAE5">
      <w:pPr>
        <w:pStyle w:val="59"/>
        <w:ind w:firstLine="420"/>
        <w:jc w:val="right"/>
        <w:rPr>
          <w:color w:val="auto"/>
        </w:rPr>
      </w:pPr>
      <w:r>
        <w:rPr>
          <w:rFonts w:hint="eastAsia"/>
          <w:color w:val="auto"/>
        </w:rPr>
        <w:t xml:space="preserve">                        </w:t>
      </w:r>
      <w:r>
        <w:rPr>
          <w:color w:val="auto"/>
        </w:rPr>
        <w:t>编号</w:t>
      </w:r>
      <w:r>
        <w:rPr>
          <w:rFonts w:hint="eastAsia"/>
          <w:color w:val="auto"/>
        </w:rPr>
        <w:t xml:space="preserve">：         </w:t>
      </w:r>
    </w:p>
    <w:tbl>
      <w:tblPr>
        <w:tblStyle w:val="28"/>
        <w:tblW w:w="10664" w:type="dxa"/>
        <w:jc w:val="center"/>
        <w:tblLayout w:type="fixed"/>
        <w:tblCellMar>
          <w:top w:w="0" w:type="dxa"/>
          <w:left w:w="10" w:type="dxa"/>
          <w:bottom w:w="0" w:type="dxa"/>
          <w:right w:w="10" w:type="dxa"/>
        </w:tblCellMar>
      </w:tblPr>
      <w:tblGrid>
        <w:gridCol w:w="736"/>
        <w:gridCol w:w="1555"/>
        <w:gridCol w:w="1417"/>
        <w:gridCol w:w="1123"/>
        <w:gridCol w:w="1297"/>
        <w:gridCol w:w="854"/>
        <w:gridCol w:w="1214"/>
        <w:gridCol w:w="1200"/>
        <w:gridCol w:w="1268"/>
      </w:tblGrid>
      <w:tr w14:paraId="09DC4A43">
        <w:tblPrEx>
          <w:tblCellMar>
            <w:top w:w="0" w:type="dxa"/>
            <w:left w:w="10" w:type="dxa"/>
            <w:bottom w:w="0" w:type="dxa"/>
            <w:right w:w="10" w:type="dxa"/>
          </w:tblCellMar>
        </w:tblPrEx>
        <w:trPr>
          <w:trHeight w:val="616" w:hRule="atLeast"/>
          <w:jc w:val="center"/>
        </w:trPr>
        <w:tc>
          <w:tcPr>
            <w:tcW w:w="2291" w:type="dxa"/>
            <w:gridSpan w:val="2"/>
            <w:tcBorders>
              <w:top w:val="single" w:color="auto" w:sz="4" w:space="0"/>
              <w:left w:val="single" w:color="auto" w:sz="4" w:space="0"/>
              <w:bottom w:val="nil"/>
              <w:right w:val="nil"/>
            </w:tcBorders>
            <w:shd w:val="clear" w:color="auto" w:fill="FFFFFF"/>
            <w:vAlign w:val="center"/>
          </w:tcPr>
          <w:p w14:paraId="7D5FDEBF">
            <w:pPr>
              <w:pStyle w:val="59"/>
              <w:ind w:firstLine="0" w:firstLineChars="0"/>
              <w:jc w:val="center"/>
              <w:rPr>
                <w:rFonts w:hint="eastAsia"/>
                <w:color w:val="auto"/>
              </w:rPr>
            </w:pPr>
            <w:r>
              <w:rPr>
                <w:rFonts w:hint="eastAsia"/>
                <w:color w:val="auto"/>
              </w:rPr>
              <w:t>资产</w:t>
            </w:r>
            <w:r>
              <w:rPr>
                <w:rFonts w:hint="eastAsia"/>
                <w:color w:val="auto"/>
                <w:lang w:eastAsia="zh-CN"/>
              </w:rPr>
              <w:t>使用</w:t>
            </w:r>
            <w:r>
              <w:rPr>
                <w:rFonts w:hint="eastAsia"/>
                <w:color w:val="auto"/>
              </w:rPr>
              <w:t>部门</w:t>
            </w:r>
          </w:p>
        </w:tc>
        <w:tc>
          <w:tcPr>
            <w:tcW w:w="7105" w:type="dxa"/>
            <w:gridSpan w:val="6"/>
            <w:tcBorders>
              <w:top w:val="single" w:color="auto" w:sz="4" w:space="0"/>
              <w:left w:val="single" w:color="auto" w:sz="4" w:space="0"/>
              <w:bottom w:val="nil"/>
              <w:right w:val="single" w:color="auto" w:sz="4" w:space="0"/>
            </w:tcBorders>
            <w:shd w:val="clear" w:color="auto" w:fill="FFFFFF"/>
            <w:vAlign w:val="center"/>
          </w:tcPr>
          <w:p w14:paraId="5A800E66">
            <w:pPr>
              <w:pStyle w:val="59"/>
              <w:ind w:firstLine="0" w:firstLineChars="0"/>
              <w:jc w:val="center"/>
              <w:rPr>
                <w:rFonts w:hint="eastAsia"/>
                <w:color w:val="auto"/>
              </w:rPr>
            </w:pPr>
          </w:p>
        </w:tc>
        <w:tc>
          <w:tcPr>
            <w:tcW w:w="1268" w:type="dxa"/>
            <w:vMerge w:val="restart"/>
            <w:tcBorders>
              <w:top w:val="single" w:color="auto" w:sz="4" w:space="0"/>
              <w:left w:val="single" w:color="auto" w:sz="4" w:space="0"/>
              <w:right w:val="single" w:color="auto" w:sz="4" w:space="0"/>
            </w:tcBorders>
            <w:shd w:val="clear" w:color="auto" w:fill="FFFFFF"/>
            <w:vAlign w:val="center"/>
          </w:tcPr>
          <w:p w14:paraId="55FA1FFC">
            <w:pPr>
              <w:pStyle w:val="59"/>
              <w:ind w:left="0" w:leftChars="0" w:firstLine="0" w:firstLineChars="0"/>
              <w:jc w:val="center"/>
              <w:rPr>
                <w:color w:val="auto"/>
              </w:rPr>
            </w:pPr>
            <w:r>
              <w:rPr>
                <w:color w:val="auto"/>
              </w:rPr>
              <w:t>说明事项</w:t>
            </w:r>
          </w:p>
        </w:tc>
      </w:tr>
      <w:tr w14:paraId="463A4534">
        <w:tblPrEx>
          <w:tblCellMar>
            <w:top w:w="0" w:type="dxa"/>
            <w:left w:w="10" w:type="dxa"/>
            <w:bottom w:w="0" w:type="dxa"/>
            <w:right w:w="10" w:type="dxa"/>
          </w:tblCellMar>
        </w:tblPrEx>
        <w:trPr>
          <w:trHeight w:val="616" w:hRule="atLeast"/>
          <w:jc w:val="center"/>
        </w:trPr>
        <w:tc>
          <w:tcPr>
            <w:tcW w:w="736" w:type="dxa"/>
            <w:tcBorders>
              <w:top w:val="single" w:color="auto" w:sz="4" w:space="0"/>
              <w:left w:val="single" w:color="auto" w:sz="4" w:space="0"/>
              <w:bottom w:val="nil"/>
              <w:right w:val="nil"/>
            </w:tcBorders>
            <w:shd w:val="clear" w:color="auto" w:fill="FFFFFF"/>
            <w:vAlign w:val="center"/>
          </w:tcPr>
          <w:p w14:paraId="37AC933D">
            <w:pPr>
              <w:pStyle w:val="59"/>
              <w:ind w:firstLine="0" w:firstLineChars="0"/>
              <w:jc w:val="center"/>
              <w:rPr>
                <w:rFonts w:hint="eastAsia" w:eastAsia="宋体"/>
                <w:color w:val="auto"/>
                <w:lang w:eastAsia="zh-CN"/>
              </w:rPr>
            </w:pPr>
            <w:r>
              <w:rPr>
                <w:rFonts w:hint="eastAsia"/>
                <w:color w:val="auto"/>
                <w:lang w:eastAsia="zh-CN"/>
              </w:rPr>
              <w:t>序号</w:t>
            </w:r>
          </w:p>
        </w:tc>
        <w:tc>
          <w:tcPr>
            <w:tcW w:w="1555" w:type="dxa"/>
            <w:tcBorders>
              <w:top w:val="single" w:color="auto" w:sz="4" w:space="0"/>
              <w:left w:val="single" w:color="auto" w:sz="4" w:space="0"/>
              <w:bottom w:val="nil"/>
              <w:right w:val="nil"/>
            </w:tcBorders>
            <w:shd w:val="clear" w:color="auto" w:fill="FFFFFF"/>
            <w:vAlign w:val="center"/>
          </w:tcPr>
          <w:p w14:paraId="11AEB5CE">
            <w:pPr>
              <w:pStyle w:val="59"/>
              <w:ind w:firstLine="0" w:firstLineChars="0"/>
              <w:jc w:val="center"/>
              <w:rPr>
                <w:color w:val="auto"/>
              </w:rPr>
            </w:pPr>
            <w:r>
              <w:rPr>
                <w:rFonts w:hint="eastAsia"/>
                <w:color w:val="auto"/>
              </w:rPr>
              <w:t>资产使用人</w:t>
            </w:r>
          </w:p>
        </w:tc>
        <w:tc>
          <w:tcPr>
            <w:tcW w:w="1417" w:type="dxa"/>
            <w:tcBorders>
              <w:top w:val="single" w:color="auto" w:sz="4" w:space="0"/>
              <w:left w:val="single" w:color="auto" w:sz="4" w:space="0"/>
              <w:bottom w:val="nil"/>
              <w:right w:val="nil"/>
            </w:tcBorders>
            <w:shd w:val="clear" w:color="auto" w:fill="FFFFFF"/>
            <w:vAlign w:val="center"/>
          </w:tcPr>
          <w:p w14:paraId="51FC5E97">
            <w:pPr>
              <w:pStyle w:val="59"/>
              <w:ind w:firstLine="0" w:firstLineChars="0"/>
              <w:jc w:val="center"/>
              <w:rPr>
                <w:color w:val="auto"/>
              </w:rPr>
            </w:pPr>
            <w:r>
              <w:rPr>
                <w:color w:val="auto"/>
              </w:rPr>
              <w:t>资产名称</w:t>
            </w:r>
          </w:p>
        </w:tc>
        <w:tc>
          <w:tcPr>
            <w:tcW w:w="1123" w:type="dxa"/>
            <w:tcBorders>
              <w:top w:val="single" w:color="auto" w:sz="4" w:space="0"/>
              <w:left w:val="single" w:color="auto" w:sz="4" w:space="0"/>
              <w:bottom w:val="nil"/>
              <w:right w:val="nil"/>
            </w:tcBorders>
            <w:shd w:val="clear" w:color="auto" w:fill="FFFFFF"/>
            <w:vAlign w:val="center"/>
          </w:tcPr>
          <w:p w14:paraId="3A996967">
            <w:pPr>
              <w:pStyle w:val="59"/>
              <w:ind w:firstLine="0" w:firstLineChars="0"/>
              <w:jc w:val="center"/>
              <w:rPr>
                <w:color w:val="auto"/>
              </w:rPr>
            </w:pPr>
            <w:r>
              <w:rPr>
                <w:color w:val="auto"/>
              </w:rPr>
              <w:t>规格型号</w:t>
            </w:r>
          </w:p>
        </w:tc>
        <w:tc>
          <w:tcPr>
            <w:tcW w:w="1297" w:type="dxa"/>
            <w:tcBorders>
              <w:top w:val="single" w:color="auto" w:sz="4" w:space="0"/>
              <w:left w:val="single" w:color="auto" w:sz="4" w:space="0"/>
              <w:bottom w:val="nil"/>
              <w:right w:val="nil"/>
            </w:tcBorders>
            <w:shd w:val="clear" w:color="auto" w:fill="FFFFFF"/>
            <w:vAlign w:val="center"/>
          </w:tcPr>
          <w:p w14:paraId="709EAC9F">
            <w:pPr>
              <w:pStyle w:val="59"/>
              <w:ind w:firstLine="0" w:firstLineChars="0"/>
              <w:jc w:val="center"/>
              <w:rPr>
                <w:color w:val="auto"/>
              </w:rPr>
            </w:pPr>
            <w:r>
              <w:rPr>
                <w:color w:val="auto"/>
              </w:rPr>
              <w:t>配置时间</w:t>
            </w:r>
          </w:p>
        </w:tc>
        <w:tc>
          <w:tcPr>
            <w:tcW w:w="854" w:type="dxa"/>
            <w:tcBorders>
              <w:top w:val="single" w:color="auto" w:sz="4" w:space="0"/>
              <w:left w:val="single" w:color="auto" w:sz="4" w:space="0"/>
              <w:bottom w:val="nil"/>
              <w:right w:val="nil"/>
            </w:tcBorders>
            <w:shd w:val="clear" w:color="auto" w:fill="FFFFFF"/>
            <w:vAlign w:val="center"/>
          </w:tcPr>
          <w:p w14:paraId="19160469">
            <w:pPr>
              <w:pStyle w:val="59"/>
              <w:ind w:firstLine="0" w:firstLineChars="0"/>
              <w:jc w:val="center"/>
              <w:rPr>
                <w:color w:val="auto"/>
              </w:rPr>
            </w:pPr>
            <w:r>
              <w:rPr>
                <w:color w:val="auto"/>
              </w:rPr>
              <w:t>数量</w:t>
            </w:r>
          </w:p>
        </w:tc>
        <w:tc>
          <w:tcPr>
            <w:tcW w:w="1214" w:type="dxa"/>
            <w:tcBorders>
              <w:top w:val="single" w:color="auto" w:sz="4" w:space="0"/>
              <w:left w:val="single" w:color="auto" w:sz="4" w:space="0"/>
              <w:bottom w:val="nil"/>
              <w:right w:val="single" w:color="auto" w:sz="4" w:space="0"/>
            </w:tcBorders>
            <w:shd w:val="clear" w:color="auto" w:fill="FFFFFF"/>
            <w:vAlign w:val="center"/>
          </w:tcPr>
          <w:p w14:paraId="2A83002F">
            <w:pPr>
              <w:pStyle w:val="59"/>
              <w:ind w:firstLine="0" w:firstLineChars="0"/>
              <w:jc w:val="center"/>
              <w:rPr>
                <w:color w:val="auto"/>
              </w:rPr>
            </w:pPr>
            <w:r>
              <w:rPr>
                <w:color w:val="auto"/>
              </w:rPr>
              <w:t>账面价值（元）</w:t>
            </w:r>
          </w:p>
        </w:tc>
        <w:tc>
          <w:tcPr>
            <w:tcW w:w="1200" w:type="dxa"/>
            <w:tcBorders>
              <w:top w:val="single" w:color="auto" w:sz="4" w:space="0"/>
              <w:left w:val="nil"/>
              <w:bottom w:val="nil"/>
              <w:right w:val="single" w:color="auto" w:sz="4" w:space="0"/>
            </w:tcBorders>
            <w:shd w:val="clear" w:color="auto" w:fill="FFFFFF"/>
            <w:vAlign w:val="center"/>
          </w:tcPr>
          <w:p w14:paraId="4E65C856">
            <w:pPr>
              <w:pStyle w:val="59"/>
              <w:ind w:firstLine="0" w:firstLineChars="0"/>
              <w:jc w:val="center"/>
              <w:rPr>
                <w:color w:val="auto"/>
              </w:rPr>
            </w:pPr>
            <w:r>
              <w:rPr>
                <w:rFonts w:hint="eastAsia"/>
                <w:color w:val="auto"/>
              </w:rPr>
              <w:t>处置原因</w:t>
            </w:r>
          </w:p>
        </w:tc>
        <w:tc>
          <w:tcPr>
            <w:tcW w:w="1268" w:type="dxa"/>
            <w:vMerge w:val="continue"/>
            <w:tcBorders>
              <w:left w:val="single" w:color="auto" w:sz="4" w:space="0"/>
              <w:bottom w:val="single" w:color="auto" w:sz="4" w:space="0"/>
              <w:right w:val="single" w:color="auto" w:sz="4" w:space="0"/>
            </w:tcBorders>
            <w:shd w:val="clear" w:color="auto" w:fill="FFFFFF"/>
            <w:vAlign w:val="center"/>
          </w:tcPr>
          <w:p w14:paraId="24F24E7B">
            <w:pPr>
              <w:pStyle w:val="59"/>
              <w:ind w:left="0" w:leftChars="0" w:firstLine="0" w:firstLineChars="0"/>
              <w:jc w:val="center"/>
              <w:rPr>
                <w:color w:val="auto"/>
              </w:rPr>
            </w:pPr>
          </w:p>
        </w:tc>
      </w:tr>
      <w:tr w14:paraId="2B60AFA9">
        <w:tblPrEx>
          <w:tblCellMar>
            <w:top w:w="0" w:type="dxa"/>
            <w:left w:w="10" w:type="dxa"/>
            <w:bottom w:w="0" w:type="dxa"/>
            <w:right w:w="10" w:type="dxa"/>
          </w:tblCellMar>
        </w:tblPrEx>
        <w:trPr>
          <w:trHeight w:val="612" w:hRule="atLeast"/>
          <w:jc w:val="center"/>
        </w:trPr>
        <w:tc>
          <w:tcPr>
            <w:tcW w:w="736" w:type="dxa"/>
            <w:tcBorders>
              <w:top w:val="single" w:color="auto" w:sz="4" w:space="0"/>
              <w:left w:val="single" w:color="auto" w:sz="4" w:space="0"/>
              <w:bottom w:val="nil"/>
              <w:right w:val="nil"/>
            </w:tcBorders>
            <w:shd w:val="clear" w:color="auto" w:fill="FFFFFF"/>
            <w:vAlign w:val="center"/>
          </w:tcPr>
          <w:p w14:paraId="40CE1295">
            <w:pPr>
              <w:pStyle w:val="59"/>
              <w:ind w:firstLine="420"/>
              <w:rPr>
                <w:color w:val="auto"/>
              </w:rPr>
            </w:pPr>
          </w:p>
        </w:tc>
        <w:tc>
          <w:tcPr>
            <w:tcW w:w="1555" w:type="dxa"/>
            <w:tcBorders>
              <w:top w:val="single" w:color="auto" w:sz="4" w:space="0"/>
              <w:left w:val="single" w:color="auto" w:sz="4" w:space="0"/>
              <w:bottom w:val="nil"/>
              <w:right w:val="nil"/>
            </w:tcBorders>
            <w:shd w:val="clear" w:color="auto" w:fill="FFFFFF"/>
            <w:vAlign w:val="center"/>
          </w:tcPr>
          <w:p w14:paraId="52D4786C">
            <w:pPr>
              <w:pStyle w:val="59"/>
              <w:ind w:firstLine="420"/>
              <w:rPr>
                <w:color w:val="auto"/>
              </w:rPr>
            </w:pPr>
          </w:p>
        </w:tc>
        <w:tc>
          <w:tcPr>
            <w:tcW w:w="1417" w:type="dxa"/>
            <w:tcBorders>
              <w:top w:val="single" w:color="auto" w:sz="4" w:space="0"/>
              <w:left w:val="single" w:color="auto" w:sz="4" w:space="0"/>
              <w:bottom w:val="nil"/>
              <w:right w:val="nil"/>
            </w:tcBorders>
            <w:shd w:val="clear" w:color="auto" w:fill="FFFFFF"/>
            <w:vAlign w:val="center"/>
          </w:tcPr>
          <w:p w14:paraId="1FA35D00">
            <w:pPr>
              <w:pStyle w:val="59"/>
              <w:ind w:firstLine="420"/>
              <w:rPr>
                <w:color w:val="auto"/>
              </w:rPr>
            </w:pPr>
          </w:p>
        </w:tc>
        <w:tc>
          <w:tcPr>
            <w:tcW w:w="1123" w:type="dxa"/>
            <w:tcBorders>
              <w:top w:val="single" w:color="auto" w:sz="4" w:space="0"/>
              <w:left w:val="single" w:color="auto" w:sz="4" w:space="0"/>
              <w:bottom w:val="nil"/>
              <w:right w:val="nil"/>
            </w:tcBorders>
            <w:shd w:val="clear" w:color="auto" w:fill="FFFFFF"/>
            <w:vAlign w:val="center"/>
          </w:tcPr>
          <w:p w14:paraId="5C1F2036">
            <w:pPr>
              <w:pStyle w:val="59"/>
              <w:ind w:firstLine="420"/>
              <w:rPr>
                <w:color w:val="auto"/>
              </w:rPr>
            </w:pPr>
          </w:p>
        </w:tc>
        <w:tc>
          <w:tcPr>
            <w:tcW w:w="1297" w:type="dxa"/>
            <w:tcBorders>
              <w:top w:val="single" w:color="auto" w:sz="4" w:space="0"/>
              <w:left w:val="single" w:color="auto" w:sz="4" w:space="0"/>
              <w:bottom w:val="nil"/>
              <w:right w:val="nil"/>
            </w:tcBorders>
            <w:shd w:val="clear" w:color="auto" w:fill="FFFFFF"/>
            <w:vAlign w:val="center"/>
          </w:tcPr>
          <w:p w14:paraId="22FA5253">
            <w:pPr>
              <w:pStyle w:val="59"/>
              <w:ind w:firstLine="420"/>
              <w:rPr>
                <w:color w:val="auto"/>
              </w:rPr>
            </w:pPr>
          </w:p>
        </w:tc>
        <w:tc>
          <w:tcPr>
            <w:tcW w:w="854" w:type="dxa"/>
            <w:tcBorders>
              <w:top w:val="single" w:color="auto" w:sz="4" w:space="0"/>
              <w:left w:val="single" w:color="auto" w:sz="4" w:space="0"/>
              <w:bottom w:val="nil"/>
              <w:right w:val="nil"/>
            </w:tcBorders>
            <w:shd w:val="clear" w:color="auto" w:fill="FFFFFF"/>
            <w:vAlign w:val="center"/>
          </w:tcPr>
          <w:p w14:paraId="23F15F69">
            <w:pPr>
              <w:pStyle w:val="59"/>
              <w:ind w:firstLine="420"/>
              <w:rPr>
                <w:color w:val="auto"/>
              </w:rPr>
            </w:pPr>
          </w:p>
        </w:tc>
        <w:tc>
          <w:tcPr>
            <w:tcW w:w="1214" w:type="dxa"/>
            <w:tcBorders>
              <w:top w:val="single" w:color="auto" w:sz="4" w:space="0"/>
              <w:left w:val="single" w:color="auto" w:sz="4" w:space="0"/>
              <w:bottom w:val="nil"/>
              <w:right w:val="single" w:color="auto" w:sz="4" w:space="0"/>
            </w:tcBorders>
            <w:shd w:val="clear" w:color="auto" w:fill="FFFFFF"/>
          </w:tcPr>
          <w:p w14:paraId="59600F45">
            <w:pPr>
              <w:pStyle w:val="59"/>
              <w:ind w:firstLine="420"/>
              <w:rPr>
                <w:color w:val="auto"/>
              </w:rPr>
            </w:pPr>
          </w:p>
        </w:tc>
        <w:tc>
          <w:tcPr>
            <w:tcW w:w="1200" w:type="dxa"/>
            <w:tcBorders>
              <w:top w:val="single" w:color="auto" w:sz="4" w:space="0"/>
              <w:left w:val="nil"/>
              <w:bottom w:val="nil"/>
              <w:right w:val="single" w:color="auto" w:sz="4" w:space="0"/>
            </w:tcBorders>
            <w:shd w:val="clear" w:color="auto" w:fill="FFFFFF"/>
            <w:vAlign w:val="center"/>
          </w:tcPr>
          <w:p w14:paraId="0FDBEDF8">
            <w:pPr>
              <w:pStyle w:val="59"/>
              <w:ind w:firstLine="420"/>
              <w:rPr>
                <w:color w:val="auto"/>
              </w:rPr>
            </w:pPr>
          </w:p>
        </w:tc>
        <w:tc>
          <w:tcPr>
            <w:tcW w:w="1268"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12C51B74">
            <w:pPr>
              <w:pStyle w:val="59"/>
              <w:ind w:firstLine="420"/>
              <w:rPr>
                <w:color w:val="auto"/>
              </w:rPr>
            </w:pPr>
          </w:p>
        </w:tc>
      </w:tr>
      <w:tr w14:paraId="3E8BFA9A">
        <w:tblPrEx>
          <w:tblCellMar>
            <w:top w:w="0" w:type="dxa"/>
            <w:left w:w="10" w:type="dxa"/>
            <w:bottom w:w="0" w:type="dxa"/>
            <w:right w:w="10" w:type="dxa"/>
          </w:tblCellMar>
        </w:tblPrEx>
        <w:trPr>
          <w:trHeight w:val="612" w:hRule="atLeast"/>
          <w:jc w:val="center"/>
        </w:trPr>
        <w:tc>
          <w:tcPr>
            <w:tcW w:w="736" w:type="dxa"/>
            <w:tcBorders>
              <w:top w:val="single" w:color="auto" w:sz="4" w:space="0"/>
              <w:left w:val="single" w:color="auto" w:sz="4" w:space="0"/>
              <w:bottom w:val="nil"/>
              <w:right w:val="nil"/>
            </w:tcBorders>
            <w:shd w:val="clear" w:color="auto" w:fill="FFFFFF"/>
            <w:vAlign w:val="center"/>
          </w:tcPr>
          <w:p w14:paraId="09090392">
            <w:pPr>
              <w:pStyle w:val="59"/>
              <w:ind w:firstLine="420"/>
              <w:rPr>
                <w:color w:val="auto"/>
              </w:rPr>
            </w:pPr>
          </w:p>
        </w:tc>
        <w:tc>
          <w:tcPr>
            <w:tcW w:w="1555" w:type="dxa"/>
            <w:tcBorders>
              <w:top w:val="single" w:color="auto" w:sz="4" w:space="0"/>
              <w:left w:val="single" w:color="auto" w:sz="4" w:space="0"/>
              <w:bottom w:val="nil"/>
              <w:right w:val="nil"/>
            </w:tcBorders>
            <w:shd w:val="clear" w:color="auto" w:fill="FFFFFF"/>
            <w:vAlign w:val="center"/>
          </w:tcPr>
          <w:p w14:paraId="7002A399">
            <w:pPr>
              <w:pStyle w:val="59"/>
              <w:ind w:firstLine="420"/>
              <w:rPr>
                <w:color w:val="auto"/>
              </w:rPr>
            </w:pPr>
          </w:p>
        </w:tc>
        <w:tc>
          <w:tcPr>
            <w:tcW w:w="1417" w:type="dxa"/>
            <w:tcBorders>
              <w:top w:val="single" w:color="auto" w:sz="4" w:space="0"/>
              <w:left w:val="single" w:color="auto" w:sz="4" w:space="0"/>
              <w:bottom w:val="nil"/>
              <w:right w:val="nil"/>
            </w:tcBorders>
            <w:shd w:val="clear" w:color="auto" w:fill="FFFFFF"/>
            <w:vAlign w:val="center"/>
          </w:tcPr>
          <w:p w14:paraId="32262341">
            <w:pPr>
              <w:pStyle w:val="59"/>
              <w:ind w:firstLine="420"/>
              <w:rPr>
                <w:color w:val="auto"/>
              </w:rPr>
            </w:pPr>
          </w:p>
        </w:tc>
        <w:tc>
          <w:tcPr>
            <w:tcW w:w="1123" w:type="dxa"/>
            <w:tcBorders>
              <w:top w:val="single" w:color="auto" w:sz="4" w:space="0"/>
              <w:left w:val="single" w:color="auto" w:sz="4" w:space="0"/>
              <w:bottom w:val="nil"/>
              <w:right w:val="nil"/>
            </w:tcBorders>
            <w:shd w:val="clear" w:color="auto" w:fill="FFFFFF"/>
            <w:vAlign w:val="center"/>
          </w:tcPr>
          <w:p w14:paraId="20D7EEE4">
            <w:pPr>
              <w:pStyle w:val="59"/>
              <w:ind w:firstLine="420"/>
              <w:rPr>
                <w:color w:val="auto"/>
              </w:rPr>
            </w:pPr>
          </w:p>
        </w:tc>
        <w:tc>
          <w:tcPr>
            <w:tcW w:w="1297" w:type="dxa"/>
            <w:tcBorders>
              <w:top w:val="single" w:color="auto" w:sz="4" w:space="0"/>
              <w:left w:val="single" w:color="auto" w:sz="4" w:space="0"/>
              <w:bottom w:val="nil"/>
              <w:right w:val="nil"/>
            </w:tcBorders>
            <w:shd w:val="clear" w:color="auto" w:fill="FFFFFF"/>
            <w:vAlign w:val="center"/>
          </w:tcPr>
          <w:p w14:paraId="0F527E05">
            <w:pPr>
              <w:pStyle w:val="59"/>
              <w:ind w:firstLine="420"/>
              <w:rPr>
                <w:color w:val="auto"/>
              </w:rPr>
            </w:pPr>
          </w:p>
        </w:tc>
        <w:tc>
          <w:tcPr>
            <w:tcW w:w="854" w:type="dxa"/>
            <w:tcBorders>
              <w:top w:val="single" w:color="auto" w:sz="4" w:space="0"/>
              <w:left w:val="single" w:color="auto" w:sz="4" w:space="0"/>
              <w:bottom w:val="nil"/>
              <w:right w:val="nil"/>
            </w:tcBorders>
            <w:shd w:val="clear" w:color="auto" w:fill="FFFFFF"/>
            <w:vAlign w:val="center"/>
          </w:tcPr>
          <w:p w14:paraId="5F4C4D0D">
            <w:pPr>
              <w:pStyle w:val="59"/>
              <w:ind w:firstLine="420"/>
              <w:rPr>
                <w:color w:val="auto"/>
              </w:rPr>
            </w:pPr>
          </w:p>
        </w:tc>
        <w:tc>
          <w:tcPr>
            <w:tcW w:w="1214" w:type="dxa"/>
            <w:tcBorders>
              <w:top w:val="single" w:color="auto" w:sz="4" w:space="0"/>
              <w:left w:val="single" w:color="auto" w:sz="4" w:space="0"/>
              <w:bottom w:val="nil"/>
              <w:right w:val="single" w:color="auto" w:sz="4" w:space="0"/>
            </w:tcBorders>
            <w:shd w:val="clear" w:color="auto" w:fill="FFFFFF"/>
          </w:tcPr>
          <w:p w14:paraId="2B65AEA8">
            <w:pPr>
              <w:pStyle w:val="59"/>
              <w:ind w:firstLine="420"/>
              <w:rPr>
                <w:color w:val="auto"/>
              </w:rPr>
            </w:pPr>
          </w:p>
        </w:tc>
        <w:tc>
          <w:tcPr>
            <w:tcW w:w="1200" w:type="dxa"/>
            <w:tcBorders>
              <w:top w:val="single" w:color="auto" w:sz="4" w:space="0"/>
              <w:left w:val="nil"/>
              <w:bottom w:val="nil"/>
              <w:right w:val="single" w:color="auto" w:sz="4" w:space="0"/>
            </w:tcBorders>
            <w:shd w:val="clear" w:color="auto" w:fill="FFFFFF"/>
            <w:vAlign w:val="center"/>
          </w:tcPr>
          <w:p w14:paraId="7784F791">
            <w:pPr>
              <w:pStyle w:val="59"/>
              <w:ind w:firstLine="420"/>
              <w:rPr>
                <w:color w:val="auto"/>
              </w:rPr>
            </w:pPr>
          </w:p>
        </w:tc>
        <w:tc>
          <w:tcPr>
            <w:tcW w:w="1268" w:type="dxa"/>
            <w:vMerge w:val="continue"/>
            <w:tcBorders>
              <w:top w:val="single" w:color="auto" w:sz="4" w:space="0"/>
              <w:left w:val="single" w:color="auto" w:sz="4" w:space="0"/>
              <w:bottom w:val="single" w:color="auto" w:sz="4" w:space="0"/>
              <w:right w:val="single" w:color="auto" w:sz="4" w:space="0"/>
            </w:tcBorders>
            <w:vAlign w:val="center"/>
          </w:tcPr>
          <w:p w14:paraId="271B5F89">
            <w:pPr>
              <w:pStyle w:val="59"/>
              <w:ind w:firstLine="420"/>
              <w:rPr>
                <w:color w:val="auto"/>
              </w:rPr>
            </w:pPr>
          </w:p>
        </w:tc>
      </w:tr>
      <w:tr w14:paraId="0EF9831F">
        <w:tblPrEx>
          <w:tblCellMar>
            <w:top w:w="0" w:type="dxa"/>
            <w:left w:w="10" w:type="dxa"/>
            <w:bottom w:w="0" w:type="dxa"/>
            <w:right w:w="10" w:type="dxa"/>
          </w:tblCellMar>
        </w:tblPrEx>
        <w:trPr>
          <w:trHeight w:val="612" w:hRule="atLeast"/>
          <w:jc w:val="center"/>
        </w:trPr>
        <w:tc>
          <w:tcPr>
            <w:tcW w:w="736" w:type="dxa"/>
            <w:tcBorders>
              <w:top w:val="single" w:color="auto" w:sz="4" w:space="0"/>
              <w:left w:val="single" w:color="auto" w:sz="4" w:space="0"/>
              <w:bottom w:val="nil"/>
              <w:right w:val="nil"/>
            </w:tcBorders>
            <w:shd w:val="clear" w:color="auto" w:fill="FFFFFF"/>
            <w:vAlign w:val="center"/>
          </w:tcPr>
          <w:p w14:paraId="476D3C9C">
            <w:pPr>
              <w:pStyle w:val="59"/>
              <w:ind w:firstLine="420"/>
              <w:rPr>
                <w:color w:val="auto"/>
              </w:rPr>
            </w:pPr>
          </w:p>
        </w:tc>
        <w:tc>
          <w:tcPr>
            <w:tcW w:w="1555" w:type="dxa"/>
            <w:tcBorders>
              <w:top w:val="single" w:color="auto" w:sz="4" w:space="0"/>
              <w:left w:val="single" w:color="auto" w:sz="4" w:space="0"/>
              <w:bottom w:val="nil"/>
              <w:right w:val="nil"/>
            </w:tcBorders>
            <w:shd w:val="clear" w:color="auto" w:fill="FFFFFF"/>
            <w:vAlign w:val="center"/>
          </w:tcPr>
          <w:p w14:paraId="1B3844D6">
            <w:pPr>
              <w:pStyle w:val="59"/>
              <w:ind w:firstLine="420"/>
              <w:rPr>
                <w:color w:val="auto"/>
              </w:rPr>
            </w:pPr>
          </w:p>
        </w:tc>
        <w:tc>
          <w:tcPr>
            <w:tcW w:w="1417" w:type="dxa"/>
            <w:tcBorders>
              <w:top w:val="single" w:color="auto" w:sz="4" w:space="0"/>
              <w:left w:val="single" w:color="auto" w:sz="4" w:space="0"/>
              <w:bottom w:val="nil"/>
              <w:right w:val="nil"/>
            </w:tcBorders>
            <w:shd w:val="clear" w:color="auto" w:fill="FFFFFF"/>
            <w:vAlign w:val="center"/>
          </w:tcPr>
          <w:p w14:paraId="079D0787">
            <w:pPr>
              <w:pStyle w:val="59"/>
              <w:ind w:firstLine="420"/>
              <w:rPr>
                <w:color w:val="auto"/>
              </w:rPr>
            </w:pPr>
          </w:p>
        </w:tc>
        <w:tc>
          <w:tcPr>
            <w:tcW w:w="1123" w:type="dxa"/>
            <w:tcBorders>
              <w:top w:val="single" w:color="auto" w:sz="4" w:space="0"/>
              <w:left w:val="single" w:color="auto" w:sz="4" w:space="0"/>
              <w:bottom w:val="nil"/>
              <w:right w:val="nil"/>
            </w:tcBorders>
            <w:shd w:val="clear" w:color="auto" w:fill="FFFFFF"/>
            <w:vAlign w:val="center"/>
          </w:tcPr>
          <w:p w14:paraId="2D078476">
            <w:pPr>
              <w:pStyle w:val="59"/>
              <w:ind w:firstLine="420"/>
              <w:rPr>
                <w:color w:val="auto"/>
              </w:rPr>
            </w:pPr>
          </w:p>
        </w:tc>
        <w:tc>
          <w:tcPr>
            <w:tcW w:w="1297" w:type="dxa"/>
            <w:tcBorders>
              <w:top w:val="single" w:color="auto" w:sz="4" w:space="0"/>
              <w:left w:val="single" w:color="auto" w:sz="4" w:space="0"/>
              <w:bottom w:val="nil"/>
              <w:right w:val="nil"/>
            </w:tcBorders>
            <w:shd w:val="clear" w:color="auto" w:fill="FFFFFF"/>
            <w:vAlign w:val="center"/>
          </w:tcPr>
          <w:p w14:paraId="4FE0F7F3">
            <w:pPr>
              <w:pStyle w:val="59"/>
              <w:ind w:firstLine="420"/>
              <w:rPr>
                <w:color w:val="auto"/>
              </w:rPr>
            </w:pPr>
          </w:p>
        </w:tc>
        <w:tc>
          <w:tcPr>
            <w:tcW w:w="854" w:type="dxa"/>
            <w:tcBorders>
              <w:top w:val="single" w:color="auto" w:sz="4" w:space="0"/>
              <w:left w:val="single" w:color="auto" w:sz="4" w:space="0"/>
              <w:bottom w:val="nil"/>
              <w:right w:val="nil"/>
            </w:tcBorders>
            <w:shd w:val="clear" w:color="auto" w:fill="FFFFFF"/>
            <w:vAlign w:val="center"/>
          </w:tcPr>
          <w:p w14:paraId="03D49073">
            <w:pPr>
              <w:pStyle w:val="59"/>
              <w:ind w:firstLine="420"/>
              <w:rPr>
                <w:color w:val="auto"/>
              </w:rPr>
            </w:pPr>
          </w:p>
        </w:tc>
        <w:tc>
          <w:tcPr>
            <w:tcW w:w="1214" w:type="dxa"/>
            <w:tcBorders>
              <w:top w:val="single" w:color="auto" w:sz="4" w:space="0"/>
              <w:left w:val="single" w:color="auto" w:sz="4" w:space="0"/>
              <w:bottom w:val="nil"/>
              <w:right w:val="single" w:color="auto" w:sz="4" w:space="0"/>
            </w:tcBorders>
            <w:shd w:val="clear" w:color="auto" w:fill="FFFFFF"/>
          </w:tcPr>
          <w:p w14:paraId="46B98FDE">
            <w:pPr>
              <w:pStyle w:val="59"/>
              <w:ind w:firstLine="420"/>
              <w:rPr>
                <w:color w:val="auto"/>
              </w:rPr>
            </w:pPr>
          </w:p>
        </w:tc>
        <w:tc>
          <w:tcPr>
            <w:tcW w:w="1200" w:type="dxa"/>
            <w:tcBorders>
              <w:top w:val="single" w:color="auto" w:sz="4" w:space="0"/>
              <w:left w:val="nil"/>
              <w:bottom w:val="nil"/>
              <w:right w:val="single" w:color="auto" w:sz="4" w:space="0"/>
            </w:tcBorders>
            <w:shd w:val="clear" w:color="auto" w:fill="FFFFFF"/>
            <w:vAlign w:val="center"/>
          </w:tcPr>
          <w:p w14:paraId="51CB7950">
            <w:pPr>
              <w:pStyle w:val="59"/>
              <w:ind w:firstLine="420"/>
              <w:rPr>
                <w:color w:val="auto"/>
              </w:rPr>
            </w:pPr>
          </w:p>
        </w:tc>
        <w:tc>
          <w:tcPr>
            <w:tcW w:w="1268" w:type="dxa"/>
            <w:vMerge w:val="continue"/>
            <w:tcBorders>
              <w:top w:val="single" w:color="auto" w:sz="4" w:space="0"/>
              <w:left w:val="single" w:color="auto" w:sz="4" w:space="0"/>
              <w:bottom w:val="single" w:color="auto" w:sz="4" w:space="0"/>
              <w:right w:val="single" w:color="auto" w:sz="4" w:space="0"/>
            </w:tcBorders>
            <w:vAlign w:val="center"/>
          </w:tcPr>
          <w:p w14:paraId="205977C6">
            <w:pPr>
              <w:pStyle w:val="59"/>
              <w:ind w:firstLine="420"/>
              <w:rPr>
                <w:color w:val="auto"/>
              </w:rPr>
            </w:pPr>
          </w:p>
        </w:tc>
      </w:tr>
      <w:tr w14:paraId="55C545E1">
        <w:tblPrEx>
          <w:tblCellMar>
            <w:top w:w="0" w:type="dxa"/>
            <w:left w:w="10" w:type="dxa"/>
            <w:bottom w:w="0" w:type="dxa"/>
            <w:right w:w="10" w:type="dxa"/>
          </w:tblCellMar>
        </w:tblPrEx>
        <w:trPr>
          <w:trHeight w:val="612" w:hRule="atLeast"/>
          <w:jc w:val="center"/>
        </w:trPr>
        <w:tc>
          <w:tcPr>
            <w:tcW w:w="736" w:type="dxa"/>
            <w:tcBorders>
              <w:top w:val="single" w:color="auto" w:sz="4" w:space="0"/>
              <w:left w:val="single" w:color="auto" w:sz="4" w:space="0"/>
              <w:bottom w:val="nil"/>
              <w:right w:val="nil"/>
            </w:tcBorders>
            <w:shd w:val="clear" w:color="auto" w:fill="FFFFFF"/>
            <w:vAlign w:val="center"/>
          </w:tcPr>
          <w:p w14:paraId="05587303">
            <w:pPr>
              <w:pStyle w:val="59"/>
              <w:ind w:firstLine="420"/>
              <w:rPr>
                <w:color w:val="auto"/>
              </w:rPr>
            </w:pPr>
          </w:p>
        </w:tc>
        <w:tc>
          <w:tcPr>
            <w:tcW w:w="1555" w:type="dxa"/>
            <w:tcBorders>
              <w:top w:val="single" w:color="auto" w:sz="4" w:space="0"/>
              <w:left w:val="single" w:color="auto" w:sz="4" w:space="0"/>
              <w:bottom w:val="nil"/>
              <w:right w:val="nil"/>
            </w:tcBorders>
            <w:shd w:val="clear" w:color="auto" w:fill="FFFFFF"/>
            <w:vAlign w:val="center"/>
          </w:tcPr>
          <w:p w14:paraId="17464F33">
            <w:pPr>
              <w:pStyle w:val="59"/>
              <w:ind w:firstLine="420"/>
              <w:rPr>
                <w:color w:val="auto"/>
              </w:rPr>
            </w:pPr>
          </w:p>
        </w:tc>
        <w:tc>
          <w:tcPr>
            <w:tcW w:w="1417" w:type="dxa"/>
            <w:tcBorders>
              <w:top w:val="single" w:color="auto" w:sz="4" w:space="0"/>
              <w:left w:val="single" w:color="auto" w:sz="4" w:space="0"/>
              <w:bottom w:val="nil"/>
              <w:right w:val="nil"/>
            </w:tcBorders>
            <w:shd w:val="clear" w:color="auto" w:fill="FFFFFF"/>
            <w:vAlign w:val="center"/>
          </w:tcPr>
          <w:p w14:paraId="72F4195D">
            <w:pPr>
              <w:pStyle w:val="59"/>
              <w:ind w:firstLine="420"/>
              <w:rPr>
                <w:color w:val="auto"/>
              </w:rPr>
            </w:pPr>
          </w:p>
        </w:tc>
        <w:tc>
          <w:tcPr>
            <w:tcW w:w="1123" w:type="dxa"/>
            <w:tcBorders>
              <w:top w:val="single" w:color="auto" w:sz="4" w:space="0"/>
              <w:left w:val="single" w:color="auto" w:sz="4" w:space="0"/>
              <w:bottom w:val="nil"/>
              <w:right w:val="nil"/>
            </w:tcBorders>
            <w:shd w:val="clear" w:color="auto" w:fill="FFFFFF"/>
            <w:vAlign w:val="center"/>
          </w:tcPr>
          <w:p w14:paraId="439EF99A">
            <w:pPr>
              <w:pStyle w:val="59"/>
              <w:ind w:firstLine="420"/>
              <w:rPr>
                <w:color w:val="auto"/>
              </w:rPr>
            </w:pPr>
          </w:p>
        </w:tc>
        <w:tc>
          <w:tcPr>
            <w:tcW w:w="1297" w:type="dxa"/>
            <w:tcBorders>
              <w:top w:val="single" w:color="auto" w:sz="4" w:space="0"/>
              <w:left w:val="single" w:color="auto" w:sz="4" w:space="0"/>
              <w:bottom w:val="nil"/>
              <w:right w:val="nil"/>
            </w:tcBorders>
            <w:shd w:val="clear" w:color="auto" w:fill="FFFFFF"/>
            <w:vAlign w:val="center"/>
          </w:tcPr>
          <w:p w14:paraId="034F1080">
            <w:pPr>
              <w:pStyle w:val="59"/>
              <w:ind w:firstLine="420"/>
              <w:rPr>
                <w:color w:val="auto"/>
              </w:rPr>
            </w:pPr>
          </w:p>
        </w:tc>
        <w:tc>
          <w:tcPr>
            <w:tcW w:w="854" w:type="dxa"/>
            <w:tcBorders>
              <w:top w:val="single" w:color="auto" w:sz="4" w:space="0"/>
              <w:left w:val="single" w:color="auto" w:sz="4" w:space="0"/>
              <w:bottom w:val="nil"/>
              <w:right w:val="nil"/>
            </w:tcBorders>
            <w:shd w:val="clear" w:color="auto" w:fill="FFFFFF"/>
            <w:vAlign w:val="center"/>
          </w:tcPr>
          <w:p w14:paraId="14B5703C">
            <w:pPr>
              <w:pStyle w:val="59"/>
              <w:ind w:firstLine="420"/>
              <w:rPr>
                <w:color w:val="auto"/>
              </w:rPr>
            </w:pPr>
          </w:p>
        </w:tc>
        <w:tc>
          <w:tcPr>
            <w:tcW w:w="1214" w:type="dxa"/>
            <w:tcBorders>
              <w:top w:val="single" w:color="auto" w:sz="4" w:space="0"/>
              <w:left w:val="single" w:color="auto" w:sz="4" w:space="0"/>
              <w:bottom w:val="nil"/>
              <w:right w:val="single" w:color="auto" w:sz="4" w:space="0"/>
            </w:tcBorders>
            <w:shd w:val="clear" w:color="auto" w:fill="FFFFFF"/>
          </w:tcPr>
          <w:p w14:paraId="75064934">
            <w:pPr>
              <w:pStyle w:val="59"/>
              <w:ind w:firstLine="420"/>
              <w:rPr>
                <w:color w:val="auto"/>
              </w:rPr>
            </w:pPr>
          </w:p>
        </w:tc>
        <w:tc>
          <w:tcPr>
            <w:tcW w:w="1200" w:type="dxa"/>
            <w:tcBorders>
              <w:top w:val="single" w:color="auto" w:sz="4" w:space="0"/>
              <w:left w:val="nil"/>
              <w:bottom w:val="nil"/>
              <w:right w:val="single" w:color="auto" w:sz="4" w:space="0"/>
            </w:tcBorders>
            <w:shd w:val="clear" w:color="auto" w:fill="FFFFFF"/>
            <w:vAlign w:val="center"/>
          </w:tcPr>
          <w:p w14:paraId="30C69FBA">
            <w:pPr>
              <w:pStyle w:val="59"/>
              <w:ind w:firstLine="420"/>
              <w:rPr>
                <w:color w:val="auto"/>
              </w:rPr>
            </w:pPr>
          </w:p>
        </w:tc>
        <w:tc>
          <w:tcPr>
            <w:tcW w:w="1268" w:type="dxa"/>
            <w:vMerge w:val="continue"/>
            <w:tcBorders>
              <w:top w:val="single" w:color="auto" w:sz="4" w:space="0"/>
              <w:left w:val="single" w:color="auto" w:sz="4" w:space="0"/>
              <w:bottom w:val="single" w:color="auto" w:sz="4" w:space="0"/>
              <w:right w:val="single" w:color="auto" w:sz="4" w:space="0"/>
            </w:tcBorders>
            <w:vAlign w:val="center"/>
          </w:tcPr>
          <w:p w14:paraId="3D5DBF45">
            <w:pPr>
              <w:pStyle w:val="59"/>
              <w:ind w:firstLine="420"/>
              <w:rPr>
                <w:color w:val="auto"/>
              </w:rPr>
            </w:pPr>
          </w:p>
        </w:tc>
      </w:tr>
      <w:tr w14:paraId="32D3E9F0">
        <w:tblPrEx>
          <w:tblCellMar>
            <w:top w:w="0" w:type="dxa"/>
            <w:left w:w="10" w:type="dxa"/>
            <w:bottom w:w="0" w:type="dxa"/>
            <w:right w:w="10" w:type="dxa"/>
          </w:tblCellMar>
        </w:tblPrEx>
        <w:trPr>
          <w:trHeight w:val="612" w:hRule="atLeast"/>
          <w:jc w:val="center"/>
        </w:trPr>
        <w:tc>
          <w:tcPr>
            <w:tcW w:w="736" w:type="dxa"/>
            <w:tcBorders>
              <w:top w:val="single" w:color="auto" w:sz="4" w:space="0"/>
              <w:left w:val="single" w:color="auto" w:sz="4" w:space="0"/>
              <w:bottom w:val="nil"/>
              <w:right w:val="nil"/>
            </w:tcBorders>
            <w:shd w:val="clear" w:color="auto" w:fill="FFFFFF"/>
            <w:vAlign w:val="center"/>
          </w:tcPr>
          <w:p w14:paraId="0DF88148">
            <w:pPr>
              <w:pStyle w:val="59"/>
              <w:ind w:firstLine="420"/>
              <w:rPr>
                <w:color w:val="auto"/>
              </w:rPr>
            </w:pPr>
          </w:p>
        </w:tc>
        <w:tc>
          <w:tcPr>
            <w:tcW w:w="1555" w:type="dxa"/>
            <w:tcBorders>
              <w:top w:val="single" w:color="auto" w:sz="4" w:space="0"/>
              <w:left w:val="single" w:color="auto" w:sz="4" w:space="0"/>
              <w:bottom w:val="nil"/>
              <w:right w:val="nil"/>
            </w:tcBorders>
            <w:shd w:val="clear" w:color="auto" w:fill="FFFFFF"/>
            <w:vAlign w:val="center"/>
          </w:tcPr>
          <w:p w14:paraId="1479C574">
            <w:pPr>
              <w:pStyle w:val="59"/>
              <w:ind w:firstLine="420"/>
              <w:rPr>
                <w:color w:val="auto"/>
              </w:rPr>
            </w:pPr>
          </w:p>
        </w:tc>
        <w:tc>
          <w:tcPr>
            <w:tcW w:w="1417" w:type="dxa"/>
            <w:tcBorders>
              <w:top w:val="single" w:color="auto" w:sz="4" w:space="0"/>
              <w:left w:val="single" w:color="auto" w:sz="4" w:space="0"/>
              <w:bottom w:val="nil"/>
              <w:right w:val="nil"/>
            </w:tcBorders>
            <w:shd w:val="clear" w:color="auto" w:fill="FFFFFF"/>
            <w:vAlign w:val="center"/>
          </w:tcPr>
          <w:p w14:paraId="04C6B4AB">
            <w:pPr>
              <w:pStyle w:val="59"/>
              <w:ind w:firstLine="420"/>
              <w:rPr>
                <w:color w:val="auto"/>
              </w:rPr>
            </w:pPr>
          </w:p>
        </w:tc>
        <w:tc>
          <w:tcPr>
            <w:tcW w:w="1123" w:type="dxa"/>
            <w:tcBorders>
              <w:top w:val="single" w:color="auto" w:sz="4" w:space="0"/>
              <w:left w:val="single" w:color="auto" w:sz="4" w:space="0"/>
              <w:bottom w:val="nil"/>
              <w:right w:val="nil"/>
            </w:tcBorders>
            <w:shd w:val="clear" w:color="auto" w:fill="FFFFFF"/>
            <w:vAlign w:val="center"/>
          </w:tcPr>
          <w:p w14:paraId="016CCC8B">
            <w:pPr>
              <w:pStyle w:val="59"/>
              <w:ind w:firstLine="420"/>
              <w:rPr>
                <w:color w:val="auto"/>
              </w:rPr>
            </w:pPr>
          </w:p>
        </w:tc>
        <w:tc>
          <w:tcPr>
            <w:tcW w:w="1297" w:type="dxa"/>
            <w:tcBorders>
              <w:top w:val="single" w:color="auto" w:sz="4" w:space="0"/>
              <w:left w:val="single" w:color="auto" w:sz="4" w:space="0"/>
              <w:bottom w:val="nil"/>
              <w:right w:val="nil"/>
            </w:tcBorders>
            <w:shd w:val="clear" w:color="auto" w:fill="FFFFFF"/>
            <w:vAlign w:val="center"/>
          </w:tcPr>
          <w:p w14:paraId="404B52D4">
            <w:pPr>
              <w:pStyle w:val="59"/>
              <w:ind w:firstLine="420"/>
              <w:rPr>
                <w:color w:val="auto"/>
              </w:rPr>
            </w:pPr>
          </w:p>
        </w:tc>
        <w:tc>
          <w:tcPr>
            <w:tcW w:w="854" w:type="dxa"/>
            <w:tcBorders>
              <w:top w:val="single" w:color="auto" w:sz="4" w:space="0"/>
              <w:left w:val="single" w:color="auto" w:sz="4" w:space="0"/>
              <w:bottom w:val="nil"/>
              <w:right w:val="nil"/>
            </w:tcBorders>
            <w:shd w:val="clear" w:color="auto" w:fill="FFFFFF"/>
            <w:vAlign w:val="center"/>
          </w:tcPr>
          <w:p w14:paraId="6C9870BE">
            <w:pPr>
              <w:pStyle w:val="59"/>
              <w:ind w:firstLine="420"/>
              <w:rPr>
                <w:color w:val="auto"/>
              </w:rPr>
            </w:pPr>
          </w:p>
        </w:tc>
        <w:tc>
          <w:tcPr>
            <w:tcW w:w="1214" w:type="dxa"/>
            <w:tcBorders>
              <w:top w:val="single" w:color="auto" w:sz="4" w:space="0"/>
              <w:left w:val="single" w:color="auto" w:sz="4" w:space="0"/>
              <w:bottom w:val="nil"/>
              <w:right w:val="single" w:color="auto" w:sz="4" w:space="0"/>
            </w:tcBorders>
            <w:shd w:val="clear" w:color="auto" w:fill="FFFFFF"/>
          </w:tcPr>
          <w:p w14:paraId="085D3881">
            <w:pPr>
              <w:pStyle w:val="59"/>
              <w:ind w:firstLine="420"/>
              <w:rPr>
                <w:color w:val="auto"/>
              </w:rPr>
            </w:pPr>
          </w:p>
        </w:tc>
        <w:tc>
          <w:tcPr>
            <w:tcW w:w="1200" w:type="dxa"/>
            <w:tcBorders>
              <w:top w:val="single" w:color="auto" w:sz="4" w:space="0"/>
              <w:left w:val="nil"/>
              <w:bottom w:val="nil"/>
              <w:right w:val="single" w:color="auto" w:sz="4" w:space="0"/>
            </w:tcBorders>
            <w:shd w:val="clear" w:color="auto" w:fill="FFFFFF"/>
            <w:vAlign w:val="center"/>
          </w:tcPr>
          <w:p w14:paraId="196D646D">
            <w:pPr>
              <w:pStyle w:val="59"/>
              <w:ind w:firstLine="420"/>
              <w:rPr>
                <w:color w:val="auto"/>
              </w:rPr>
            </w:pPr>
          </w:p>
        </w:tc>
        <w:tc>
          <w:tcPr>
            <w:tcW w:w="1268" w:type="dxa"/>
            <w:vMerge w:val="continue"/>
            <w:tcBorders>
              <w:top w:val="single" w:color="auto" w:sz="4" w:space="0"/>
              <w:left w:val="single" w:color="auto" w:sz="4" w:space="0"/>
              <w:bottom w:val="single" w:color="auto" w:sz="4" w:space="0"/>
              <w:right w:val="single" w:color="auto" w:sz="4" w:space="0"/>
            </w:tcBorders>
            <w:vAlign w:val="center"/>
          </w:tcPr>
          <w:p w14:paraId="10F7F47C">
            <w:pPr>
              <w:pStyle w:val="59"/>
              <w:ind w:firstLine="420"/>
              <w:rPr>
                <w:color w:val="auto"/>
              </w:rPr>
            </w:pPr>
          </w:p>
        </w:tc>
      </w:tr>
      <w:tr w14:paraId="1F054815">
        <w:tblPrEx>
          <w:tblCellMar>
            <w:top w:w="0" w:type="dxa"/>
            <w:left w:w="10" w:type="dxa"/>
            <w:bottom w:w="0" w:type="dxa"/>
            <w:right w:w="10" w:type="dxa"/>
          </w:tblCellMar>
        </w:tblPrEx>
        <w:trPr>
          <w:trHeight w:val="621" w:hRule="atLeast"/>
          <w:jc w:val="center"/>
        </w:trPr>
        <w:tc>
          <w:tcPr>
            <w:tcW w:w="736" w:type="dxa"/>
            <w:tcBorders>
              <w:top w:val="single" w:color="auto" w:sz="4" w:space="0"/>
              <w:left w:val="single" w:color="auto" w:sz="4" w:space="0"/>
              <w:bottom w:val="single" w:color="auto" w:sz="4" w:space="0"/>
              <w:right w:val="nil"/>
            </w:tcBorders>
            <w:shd w:val="clear" w:color="auto" w:fill="FFFFFF"/>
            <w:vAlign w:val="center"/>
          </w:tcPr>
          <w:p w14:paraId="494364C7">
            <w:pPr>
              <w:pStyle w:val="59"/>
              <w:ind w:firstLine="420"/>
              <w:rPr>
                <w:color w:val="auto"/>
              </w:rPr>
            </w:pPr>
          </w:p>
        </w:tc>
        <w:tc>
          <w:tcPr>
            <w:tcW w:w="1555" w:type="dxa"/>
            <w:tcBorders>
              <w:top w:val="single" w:color="auto" w:sz="4" w:space="0"/>
              <w:left w:val="single" w:color="auto" w:sz="4" w:space="0"/>
              <w:bottom w:val="single" w:color="auto" w:sz="4" w:space="0"/>
              <w:right w:val="nil"/>
            </w:tcBorders>
            <w:shd w:val="clear" w:color="auto" w:fill="FFFFFF"/>
            <w:vAlign w:val="center"/>
          </w:tcPr>
          <w:p w14:paraId="329B16AD">
            <w:pPr>
              <w:pStyle w:val="59"/>
              <w:ind w:firstLine="420"/>
              <w:rPr>
                <w:color w:val="auto"/>
              </w:rPr>
            </w:pPr>
          </w:p>
        </w:tc>
        <w:tc>
          <w:tcPr>
            <w:tcW w:w="1417" w:type="dxa"/>
            <w:tcBorders>
              <w:top w:val="single" w:color="auto" w:sz="4" w:space="0"/>
              <w:left w:val="single" w:color="auto" w:sz="4" w:space="0"/>
              <w:bottom w:val="single" w:color="auto" w:sz="4" w:space="0"/>
              <w:right w:val="nil"/>
            </w:tcBorders>
            <w:shd w:val="clear" w:color="auto" w:fill="FFFFFF"/>
            <w:vAlign w:val="center"/>
          </w:tcPr>
          <w:p w14:paraId="4F36AED4">
            <w:pPr>
              <w:pStyle w:val="59"/>
              <w:ind w:firstLine="420"/>
              <w:rPr>
                <w:color w:val="auto"/>
              </w:rPr>
            </w:pPr>
          </w:p>
        </w:tc>
        <w:tc>
          <w:tcPr>
            <w:tcW w:w="1123" w:type="dxa"/>
            <w:tcBorders>
              <w:top w:val="single" w:color="auto" w:sz="4" w:space="0"/>
              <w:left w:val="single" w:color="auto" w:sz="4" w:space="0"/>
              <w:bottom w:val="single" w:color="auto" w:sz="4" w:space="0"/>
              <w:right w:val="nil"/>
            </w:tcBorders>
            <w:shd w:val="clear" w:color="auto" w:fill="FFFFFF"/>
            <w:vAlign w:val="center"/>
          </w:tcPr>
          <w:p w14:paraId="5A35D700">
            <w:pPr>
              <w:pStyle w:val="59"/>
              <w:ind w:firstLine="420"/>
              <w:rPr>
                <w:color w:val="auto"/>
              </w:rPr>
            </w:pPr>
          </w:p>
        </w:tc>
        <w:tc>
          <w:tcPr>
            <w:tcW w:w="1297" w:type="dxa"/>
            <w:tcBorders>
              <w:top w:val="single" w:color="auto" w:sz="4" w:space="0"/>
              <w:left w:val="single" w:color="auto" w:sz="4" w:space="0"/>
              <w:bottom w:val="single" w:color="auto" w:sz="4" w:space="0"/>
              <w:right w:val="nil"/>
            </w:tcBorders>
            <w:shd w:val="clear" w:color="auto" w:fill="FFFFFF"/>
            <w:vAlign w:val="center"/>
          </w:tcPr>
          <w:p w14:paraId="3A246D96">
            <w:pPr>
              <w:pStyle w:val="59"/>
              <w:ind w:firstLine="420"/>
              <w:rPr>
                <w:color w:val="auto"/>
              </w:rPr>
            </w:pPr>
          </w:p>
        </w:tc>
        <w:tc>
          <w:tcPr>
            <w:tcW w:w="854" w:type="dxa"/>
            <w:tcBorders>
              <w:top w:val="single" w:color="auto" w:sz="4" w:space="0"/>
              <w:left w:val="single" w:color="auto" w:sz="4" w:space="0"/>
              <w:bottom w:val="single" w:color="auto" w:sz="4" w:space="0"/>
              <w:right w:val="nil"/>
            </w:tcBorders>
            <w:shd w:val="clear" w:color="auto" w:fill="FFFFFF"/>
            <w:vAlign w:val="center"/>
          </w:tcPr>
          <w:p w14:paraId="3C32C757">
            <w:pPr>
              <w:pStyle w:val="59"/>
              <w:ind w:firstLine="420"/>
              <w:rPr>
                <w:color w:val="auto"/>
              </w:rPr>
            </w:pPr>
          </w:p>
        </w:tc>
        <w:tc>
          <w:tcPr>
            <w:tcW w:w="1214" w:type="dxa"/>
            <w:tcBorders>
              <w:top w:val="single" w:color="auto" w:sz="4" w:space="0"/>
              <w:left w:val="single" w:color="auto" w:sz="4" w:space="0"/>
              <w:bottom w:val="single" w:color="auto" w:sz="4" w:space="0"/>
              <w:right w:val="single" w:color="auto" w:sz="4" w:space="0"/>
            </w:tcBorders>
            <w:shd w:val="clear" w:color="auto" w:fill="FFFFFF"/>
          </w:tcPr>
          <w:p w14:paraId="54738B69">
            <w:pPr>
              <w:pStyle w:val="59"/>
              <w:ind w:firstLine="420"/>
              <w:rPr>
                <w:color w:val="auto"/>
              </w:rPr>
            </w:pPr>
          </w:p>
        </w:tc>
        <w:tc>
          <w:tcPr>
            <w:tcW w:w="1200" w:type="dxa"/>
            <w:tcBorders>
              <w:top w:val="single" w:color="auto" w:sz="4" w:space="0"/>
              <w:left w:val="nil"/>
              <w:bottom w:val="single" w:color="auto" w:sz="4" w:space="0"/>
              <w:right w:val="single" w:color="auto" w:sz="4" w:space="0"/>
            </w:tcBorders>
            <w:shd w:val="clear" w:color="auto" w:fill="FFFFFF"/>
            <w:vAlign w:val="center"/>
          </w:tcPr>
          <w:p w14:paraId="4EB7E9E4">
            <w:pPr>
              <w:pStyle w:val="59"/>
              <w:ind w:firstLine="420"/>
              <w:rPr>
                <w:color w:val="auto"/>
              </w:rPr>
            </w:pPr>
          </w:p>
        </w:tc>
        <w:tc>
          <w:tcPr>
            <w:tcW w:w="1268" w:type="dxa"/>
            <w:vMerge w:val="continue"/>
            <w:tcBorders>
              <w:top w:val="single" w:color="auto" w:sz="4" w:space="0"/>
              <w:left w:val="single" w:color="auto" w:sz="4" w:space="0"/>
              <w:bottom w:val="single" w:color="auto" w:sz="4" w:space="0"/>
              <w:right w:val="single" w:color="auto" w:sz="4" w:space="0"/>
            </w:tcBorders>
            <w:vAlign w:val="center"/>
          </w:tcPr>
          <w:p w14:paraId="5E691E27">
            <w:pPr>
              <w:pStyle w:val="59"/>
              <w:ind w:firstLine="420"/>
              <w:rPr>
                <w:color w:val="auto"/>
              </w:rPr>
            </w:pPr>
          </w:p>
        </w:tc>
      </w:tr>
      <w:tr w14:paraId="611ADB0D">
        <w:tblPrEx>
          <w:tblCellMar>
            <w:top w:w="0" w:type="dxa"/>
            <w:left w:w="10" w:type="dxa"/>
            <w:bottom w:w="0" w:type="dxa"/>
            <w:right w:w="10" w:type="dxa"/>
          </w:tblCellMar>
        </w:tblPrEx>
        <w:trPr>
          <w:trHeight w:val="2702" w:hRule="atLeast"/>
          <w:jc w:val="center"/>
        </w:trPr>
        <w:tc>
          <w:tcPr>
            <w:tcW w:w="4831" w:type="dxa"/>
            <w:gridSpan w:val="4"/>
            <w:tcBorders>
              <w:top w:val="single" w:color="auto" w:sz="4" w:space="0"/>
              <w:left w:val="single" w:color="auto" w:sz="4" w:space="0"/>
              <w:bottom w:val="single" w:color="auto" w:sz="4" w:space="0"/>
              <w:right w:val="nil"/>
            </w:tcBorders>
            <w:shd w:val="clear" w:color="auto" w:fill="FFFFFF"/>
            <w:vAlign w:val="top"/>
          </w:tcPr>
          <w:p w14:paraId="45214909">
            <w:pPr>
              <w:pStyle w:val="59"/>
              <w:ind w:left="0" w:leftChars="0" w:firstLine="0" w:firstLineChars="0"/>
              <w:jc w:val="both"/>
              <w:rPr>
                <w:color w:val="auto"/>
              </w:rPr>
            </w:pPr>
            <w:r>
              <w:rPr>
                <w:rFonts w:hint="eastAsia"/>
                <w:color w:val="auto"/>
                <w:lang w:eastAsia="zh-CN"/>
              </w:rPr>
              <w:t>使用</w:t>
            </w:r>
            <w:r>
              <w:rPr>
                <w:color w:val="auto"/>
              </w:rPr>
              <w:t>部门意见：</w:t>
            </w:r>
          </w:p>
          <w:p w14:paraId="758F17DB">
            <w:pPr>
              <w:pStyle w:val="59"/>
              <w:ind w:left="0" w:leftChars="0" w:firstLine="0" w:firstLineChars="0"/>
              <w:jc w:val="both"/>
              <w:rPr>
                <w:color w:val="auto"/>
              </w:rPr>
            </w:pPr>
          </w:p>
          <w:p w14:paraId="407007BE">
            <w:pPr>
              <w:pStyle w:val="59"/>
              <w:ind w:left="0" w:leftChars="0" w:firstLine="0" w:firstLineChars="0"/>
              <w:jc w:val="both"/>
              <w:rPr>
                <w:color w:val="auto"/>
              </w:rPr>
            </w:pPr>
          </w:p>
          <w:p w14:paraId="6C6B9690">
            <w:pPr>
              <w:pStyle w:val="59"/>
              <w:ind w:left="0" w:leftChars="0" w:firstLine="0" w:firstLineChars="0"/>
              <w:jc w:val="both"/>
              <w:rPr>
                <w:color w:val="auto"/>
              </w:rPr>
            </w:pPr>
          </w:p>
          <w:p w14:paraId="590D762D">
            <w:pPr>
              <w:pStyle w:val="59"/>
              <w:ind w:left="0" w:leftChars="0" w:firstLine="0" w:firstLineChars="0"/>
              <w:jc w:val="both"/>
              <w:rPr>
                <w:color w:val="auto"/>
              </w:rPr>
            </w:pPr>
          </w:p>
          <w:p w14:paraId="35DBF1D8">
            <w:pPr>
              <w:pStyle w:val="59"/>
              <w:ind w:left="0" w:leftChars="0" w:firstLine="0" w:firstLineChars="0"/>
              <w:jc w:val="right"/>
              <w:rPr>
                <w:color w:val="auto"/>
              </w:rPr>
            </w:pPr>
          </w:p>
          <w:p w14:paraId="13E8FCA0">
            <w:pPr>
              <w:pStyle w:val="59"/>
              <w:ind w:left="3360" w:leftChars="0" w:hanging="3360" w:hangingChars="1600"/>
              <w:jc w:val="both"/>
              <w:rPr>
                <w:color w:val="auto"/>
              </w:rPr>
            </w:pPr>
            <w:r>
              <w:rPr>
                <w:rFonts w:hint="eastAsia"/>
                <w:color w:val="auto"/>
              </w:rPr>
              <w:t xml:space="preserve"> </w:t>
            </w:r>
            <w:r>
              <w:rPr>
                <w:rFonts w:hint="eastAsia"/>
                <w:color w:val="auto"/>
                <w:lang w:val="en-US" w:eastAsia="zh-CN"/>
              </w:rPr>
              <w:t xml:space="preserve">                                                 </w:t>
            </w:r>
            <w:r>
              <w:rPr>
                <w:color w:val="auto"/>
              </w:rPr>
              <w:t>年</w:t>
            </w:r>
            <w:r>
              <w:rPr>
                <w:rFonts w:hint="eastAsia"/>
                <w:color w:val="auto"/>
              </w:rPr>
              <w:t xml:space="preserve"> </w:t>
            </w:r>
            <w:r>
              <w:rPr>
                <w:color w:val="auto"/>
              </w:rPr>
              <w:t xml:space="preserve"> 月</w:t>
            </w:r>
            <w:r>
              <w:rPr>
                <w:rFonts w:hint="eastAsia"/>
                <w:color w:val="auto"/>
              </w:rPr>
              <w:t xml:space="preserve"> </w:t>
            </w:r>
            <w:r>
              <w:rPr>
                <w:color w:val="auto"/>
              </w:rPr>
              <w:t xml:space="preserve"> 日</w:t>
            </w:r>
          </w:p>
        </w:tc>
        <w:tc>
          <w:tcPr>
            <w:tcW w:w="5833" w:type="dxa"/>
            <w:gridSpan w:val="5"/>
            <w:tcBorders>
              <w:top w:val="single" w:color="auto" w:sz="4" w:space="0"/>
              <w:left w:val="single" w:color="auto" w:sz="4" w:space="0"/>
              <w:bottom w:val="single" w:color="auto" w:sz="4" w:space="0"/>
              <w:right w:val="single" w:color="auto" w:sz="4" w:space="0"/>
            </w:tcBorders>
            <w:shd w:val="clear" w:color="auto" w:fill="FFFFFF"/>
            <w:vAlign w:val="top"/>
          </w:tcPr>
          <w:p w14:paraId="18B20AFD">
            <w:pPr>
              <w:pStyle w:val="59"/>
              <w:ind w:left="0" w:leftChars="0" w:firstLine="0" w:firstLineChars="0"/>
              <w:jc w:val="both"/>
              <w:rPr>
                <w:color w:val="auto"/>
              </w:rPr>
            </w:pPr>
            <w:r>
              <w:rPr>
                <w:rFonts w:hint="eastAsia"/>
                <w:color w:val="auto"/>
              </w:rPr>
              <w:t>资产管理部门</w:t>
            </w:r>
            <w:r>
              <w:rPr>
                <w:color w:val="auto"/>
              </w:rPr>
              <w:t>意见：</w:t>
            </w:r>
          </w:p>
          <w:p w14:paraId="11EDE710">
            <w:pPr>
              <w:pStyle w:val="59"/>
              <w:ind w:left="0" w:leftChars="0" w:firstLine="0" w:firstLineChars="0"/>
              <w:jc w:val="both"/>
              <w:rPr>
                <w:color w:val="auto"/>
              </w:rPr>
            </w:pPr>
          </w:p>
          <w:p w14:paraId="3F6044BE">
            <w:pPr>
              <w:pStyle w:val="59"/>
              <w:ind w:left="0" w:leftChars="0" w:firstLine="0" w:firstLineChars="0"/>
              <w:jc w:val="both"/>
              <w:rPr>
                <w:color w:val="auto"/>
              </w:rPr>
            </w:pPr>
          </w:p>
          <w:p w14:paraId="6AB437E4">
            <w:pPr>
              <w:pStyle w:val="59"/>
              <w:ind w:left="0" w:leftChars="0" w:firstLine="0" w:firstLineChars="0"/>
              <w:jc w:val="both"/>
              <w:rPr>
                <w:color w:val="auto"/>
              </w:rPr>
            </w:pPr>
          </w:p>
          <w:p w14:paraId="75016B2B">
            <w:pPr>
              <w:pStyle w:val="59"/>
              <w:ind w:left="0" w:leftChars="0" w:firstLine="0" w:firstLineChars="0"/>
              <w:jc w:val="both"/>
              <w:rPr>
                <w:color w:val="auto"/>
              </w:rPr>
            </w:pPr>
          </w:p>
          <w:p w14:paraId="0A41B85A">
            <w:pPr>
              <w:pStyle w:val="59"/>
              <w:ind w:left="0" w:leftChars="0" w:firstLine="0" w:firstLineChars="0"/>
              <w:jc w:val="both"/>
              <w:rPr>
                <w:color w:val="auto"/>
              </w:rPr>
            </w:pPr>
          </w:p>
          <w:p w14:paraId="04072B25">
            <w:pPr>
              <w:pStyle w:val="59"/>
              <w:ind w:left="0" w:leftChars="0" w:firstLine="0" w:firstLineChars="0"/>
              <w:jc w:val="both"/>
              <w:rPr>
                <w:color w:val="auto"/>
              </w:rPr>
            </w:pPr>
          </w:p>
          <w:p w14:paraId="54E8C93B">
            <w:pPr>
              <w:pStyle w:val="59"/>
              <w:ind w:left="0" w:leftChars="0" w:firstLine="3990" w:firstLineChars="1900"/>
              <w:jc w:val="both"/>
              <w:rPr>
                <w:color w:val="auto"/>
              </w:rPr>
            </w:pPr>
            <w:r>
              <w:rPr>
                <w:color w:val="auto"/>
              </w:rPr>
              <w:t>年</w:t>
            </w:r>
            <w:r>
              <w:rPr>
                <w:rFonts w:hint="eastAsia"/>
                <w:color w:val="auto"/>
              </w:rPr>
              <w:t xml:space="preserve"> </w:t>
            </w:r>
            <w:r>
              <w:rPr>
                <w:color w:val="auto"/>
              </w:rPr>
              <w:t xml:space="preserve"> 月</w:t>
            </w:r>
            <w:r>
              <w:rPr>
                <w:rFonts w:hint="eastAsia"/>
                <w:color w:val="auto"/>
              </w:rPr>
              <w:t xml:space="preserve"> </w:t>
            </w:r>
            <w:r>
              <w:rPr>
                <w:color w:val="auto"/>
              </w:rPr>
              <w:t xml:space="preserve"> 日</w:t>
            </w:r>
          </w:p>
        </w:tc>
      </w:tr>
    </w:tbl>
    <w:p w14:paraId="50FF062F">
      <w:pPr>
        <w:pStyle w:val="59"/>
        <w:ind w:firstLine="0" w:firstLineChars="0"/>
        <w:rPr>
          <w:color w:val="auto"/>
        </w:rPr>
      </w:pPr>
      <w:r>
        <w:rPr>
          <w:color w:val="auto"/>
        </w:rPr>
        <w:t>注：本</w:t>
      </w:r>
      <w:r>
        <w:rPr>
          <w:rFonts w:hint="eastAsia"/>
          <w:color w:val="auto"/>
        </w:rPr>
        <w:t>处置申请</w:t>
      </w:r>
      <w:r>
        <w:rPr>
          <w:color w:val="auto"/>
        </w:rPr>
        <w:t>表</w:t>
      </w:r>
      <w:r>
        <w:rPr>
          <w:rFonts w:hint="eastAsia"/>
          <w:color w:val="auto"/>
          <w:lang w:eastAsia="zh-CN"/>
        </w:rPr>
        <w:t>壹</w:t>
      </w:r>
      <w:r>
        <w:rPr>
          <w:color w:val="auto"/>
        </w:rPr>
        <w:t>式</w:t>
      </w:r>
      <w:r>
        <w:rPr>
          <w:rFonts w:hint="eastAsia"/>
          <w:color w:val="auto"/>
          <w:szCs w:val="22"/>
          <w:lang w:eastAsia="zh-CN"/>
        </w:rPr>
        <w:t>叁</w:t>
      </w:r>
      <w:r>
        <w:rPr>
          <w:color w:val="auto"/>
        </w:rPr>
        <w:t>份，</w:t>
      </w:r>
      <w:r>
        <w:rPr>
          <w:rFonts w:hint="eastAsia"/>
          <w:color w:val="auto"/>
          <w:lang w:eastAsia="zh-CN"/>
        </w:rPr>
        <w:t>处置资产使用人</w:t>
      </w:r>
      <w:r>
        <w:rPr>
          <w:color w:val="auto"/>
        </w:rPr>
        <w:t>、</w:t>
      </w:r>
      <w:r>
        <w:rPr>
          <w:rFonts w:hint="eastAsia"/>
          <w:color w:val="auto"/>
        </w:rPr>
        <w:t>处置部门、资产管理部门</w:t>
      </w:r>
      <w:r>
        <w:rPr>
          <w:color w:val="auto"/>
        </w:rPr>
        <w:t>各执</w:t>
      </w:r>
      <w:r>
        <w:rPr>
          <w:rFonts w:hint="eastAsia"/>
          <w:color w:val="auto"/>
          <w:lang w:eastAsia="zh-CN"/>
        </w:rPr>
        <w:t>壹</w:t>
      </w:r>
      <w:r>
        <w:rPr>
          <w:color w:val="auto"/>
        </w:rPr>
        <w:t>份</w:t>
      </w:r>
      <w:r>
        <w:rPr>
          <w:rFonts w:hint="eastAsia"/>
          <w:color w:val="auto"/>
        </w:rPr>
        <w:t>。</w:t>
      </w:r>
    </w:p>
    <w:p w14:paraId="07FB0CA6">
      <w:pPr>
        <w:pStyle w:val="59"/>
        <w:ind w:firstLine="0" w:firstLineChars="0"/>
        <w:rPr>
          <w:color w:val="auto"/>
        </w:rPr>
      </w:pPr>
    </w:p>
    <w:bookmarkEnd w:id="57"/>
    <w:p w14:paraId="3CEA85B7">
      <w:pPr>
        <w:pStyle w:val="59"/>
        <w:ind w:firstLine="0" w:firstLineChars="0"/>
        <w:jc w:val="center"/>
        <w:rPr>
          <w:color w:val="auto"/>
        </w:rPr>
        <w:sectPr>
          <w:pgSz w:w="11906" w:h="16838"/>
          <w:pgMar w:top="1928" w:right="1134" w:bottom="1134" w:left="1134" w:header="1418" w:footer="1134" w:gutter="283"/>
          <w:cols w:space="0" w:num="1"/>
          <w:formProt w:val="0"/>
          <w:rtlGutter w:val="0"/>
          <w:docGrid w:type="lines" w:linePitch="321" w:charSpace="0"/>
        </w:sectPr>
      </w:pPr>
      <w:bookmarkStart w:id="66" w:name="BookMark8"/>
    </w:p>
    <w:p w14:paraId="24735F55">
      <w:pPr>
        <w:pStyle w:val="79"/>
        <w:keepNext w:val="0"/>
        <w:keepLines w:val="0"/>
        <w:pageBreakBefore w:val="0"/>
        <w:widowControl/>
        <w:shd w:val="clear" w:color="FFFFFF" w:fill="FFFFFF"/>
        <w:kinsoku/>
        <w:wordWrap/>
        <w:overflowPunct/>
        <w:topLinePunct w:val="0"/>
        <w:autoSpaceDE/>
        <w:autoSpaceDN/>
        <w:bidi w:val="0"/>
        <w:adjustRightInd w:val="0"/>
        <w:snapToGrid w:val="0"/>
        <w:spacing w:after="156"/>
        <w:textAlignment w:val="auto"/>
        <w:rPr>
          <w:rFonts w:hint="default"/>
          <w:color w:val="auto"/>
          <w:lang w:val="en-US" w:eastAsia="zh-CN"/>
        </w:rPr>
      </w:pPr>
    </w:p>
    <w:p w14:paraId="3D02CB76">
      <w:pPr>
        <w:pStyle w:val="79"/>
        <w:keepNext w:val="0"/>
        <w:keepLines w:val="0"/>
        <w:pageBreakBefore w:val="0"/>
        <w:widowControl/>
        <w:numPr>
          <w:ilvl w:val="0"/>
          <w:numId w:val="0"/>
        </w:numPr>
        <w:kinsoku/>
        <w:wordWrap/>
        <w:overflowPunct/>
        <w:topLinePunct w:val="0"/>
        <w:autoSpaceDE/>
        <w:autoSpaceDN/>
        <w:bidi w:val="0"/>
        <w:adjustRightInd w:val="0"/>
        <w:snapToGrid w:val="0"/>
        <w:spacing w:after="156"/>
        <w:ind w:leftChars="0"/>
        <w:jc w:val="center"/>
        <w:textAlignment w:val="auto"/>
        <w:rPr>
          <w:rFonts w:hint="eastAsia"/>
          <w:color w:val="auto"/>
          <w:lang w:val="en-US" w:eastAsia="zh-CN"/>
        </w:rPr>
      </w:pPr>
      <w:r>
        <w:rPr>
          <w:rFonts w:hint="eastAsia"/>
          <w:color w:val="auto"/>
          <w:lang w:val="en-US" w:eastAsia="zh-CN"/>
        </w:rPr>
        <w:t>（资料性）</w:t>
      </w:r>
    </w:p>
    <w:p w14:paraId="6312AF42">
      <w:pPr>
        <w:pStyle w:val="79"/>
        <w:keepNext w:val="0"/>
        <w:keepLines w:val="0"/>
        <w:pageBreakBefore w:val="0"/>
        <w:widowControl/>
        <w:numPr>
          <w:ilvl w:val="0"/>
          <w:numId w:val="0"/>
        </w:numPr>
        <w:kinsoku/>
        <w:wordWrap/>
        <w:overflowPunct/>
        <w:topLinePunct w:val="0"/>
        <w:autoSpaceDE/>
        <w:autoSpaceDN/>
        <w:bidi w:val="0"/>
        <w:adjustRightInd w:val="0"/>
        <w:snapToGrid w:val="0"/>
        <w:spacing w:after="156"/>
        <w:ind w:leftChars="0"/>
        <w:jc w:val="center"/>
        <w:textAlignment w:val="auto"/>
        <w:rPr>
          <w:color w:val="auto"/>
        </w:rPr>
      </w:pPr>
      <w:r>
        <w:rPr>
          <w:rFonts w:hint="eastAsia"/>
          <w:color w:val="auto"/>
          <w:lang w:eastAsia="zh-CN"/>
        </w:rPr>
        <w:t>档案移交登记表</w:t>
      </w:r>
    </w:p>
    <w:p w14:paraId="1B5C2109">
      <w:pPr>
        <w:pStyle w:val="59"/>
        <w:ind w:firstLine="420"/>
        <w:rPr>
          <w:color w:val="auto"/>
        </w:rPr>
      </w:pPr>
      <w:r>
        <w:rPr>
          <w:rFonts w:hint="eastAsia"/>
          <w:color w:val="auto"/>
        </w:rPr>
        <w:t>档案移交登记表参见表</w:t>
      </w:r>
      <w:r>
        <w:rPr>
          <w:rFonts w:hint="eastAsia"/>
          <w:color w:val="auto"/>
          <w:lang w:val="en-US" w:eastAsia="zh-CN"/>
        </w:rPr>
        <w:t>F</w:t>
      </w:r>
      <w:r>
        <w:rPr>
          <w:color w:val="auto"/>
        </w:rPr>
        <w:t>.1</w:t>
      </w:r>
      <w:r>
        <w:rPr>
          <w:rFonts w:hint="eastAsia"/>
          <w:color w:val="auto"/>
        </w:rPr>
        <w:t>。</w:t>
      </w:r>
    </w:p>
    <w:p w14:paraId="556AAF86">
      <w:pPr>
        <w:pStyle w:val="79"/>
        <w:numPr>
          <w:ilvl w:val="0"/>
          <w:numId w:val="0"/>
        </w:numPr>
        <w:spacing w:after="156"/>
        <w:ind w:leftChars="0"/>
        <w:jc w:val="center"/>
        <w:rPr>
          <w:rFonts w:hint="eastAsia"/>
          <w:color w:val="auto"/>
          <w:lang w:eastAsia="zh-CN"/>
        </w:rPr>
      </w:pPr>
      <w:r>
        <w:rPr>
          <w:rFonts w:hint="eastAsia"/>
          <w:color w:val="auto"/>
          <w:lang w:eastAsia="zh-CN"/>
        </w:rPr>
        <w:t>表</w:t>
      </w:r>
      <w:r>
        <w:rPr>
          <w:rFonts w:hint="eastAsia"/>
          <w:color w:val="auto"/>
          <w:lang w:val="en-US" w:eastAsia="zh-CN"/>
        </w:rPr>
        <w:t xml:space="preserve">F.1 </w:t>
      </w:r>
      <w:r>
        <w:rPr>
          <w:rFonts w:hint="eastAsia"/>
          <w:color w:val="auto"/>
          <w:lang w:eastAsia="zh-CN"/>
        </w:rPr>
        <w:t>档案移交登记表</w:t>
      </w:r>
    </w:p>
    <w:p w14:paraId="49E19E6C">
      <w:pPr>
        <w:pStyle w:val="59"/>
        <w:ind w:left="0" w:leftChars="0" w:firstLine="0" w:firstLineChars="0"/>
        <w:rPr>
          <w:rFonts w:hint="eastAsia"/>
          <w:color w:val="auto"/>
          <w:lang w:eastAsia="zh-CN"/>
        </w:rPr>
      </w:pPr>
    </w:p>
    <w:tbl>
      <w:tblPr>
        <w:tblStyle w:val="28"/>
        <w:tblW w:w="8562" w:type="dxa"/>
        <w:jc w:val="center"/>
        <w:tblLayout w:type="fixed"/>
        <w:tblCellMar>
          <w:top w:w="0" w:type="dxa"/>
          <w:left w:w="10" w:type="dxa"/>
          <w:bottom w:w="0" w:type="dxa"/>
          <w:right w:w="10" w:type="dxa"/>
        </w:tblCellMar>
      </w:tblPr>
      <w:tblGrid>
        <w:gridCol w:w="840"/>
        <w:gridCol w:w="4144"/>
        <w:gridCol w:w="1594"/>
        <w:gridCol w:w="1984"/>
      </w:tblGrid>
      <w:tr w14:paraId="62FE0A8C">
        <w:tblPrEx>
          <w:tblCellMar>
            <w:top w:w="0" w:type="dxa"/>
            <w:left w:w="10" w:type="dxa"/>
            <w:bottom w:w="0" w:type="dxa"/>
            <w:right w:w="10" w:type="dxa"/>
          </w:tblCellMar>
        </w:tblPrEx>
        <w:trPr>
          <w:trHeight w:val="609" w:hRule="atLeast"/>
          <w:jc w:val="center"/>
        </w:trPr>
        <w:tc>
          <w:tcPr>
            <w:tcW w:w="840" w:type="dxa"/>
            <w:tcBorders>
              <w:top w:val="single" w:color="auto" w:sz="4" w:space="0"/>
              <w:left w:val="single" w:color="auto" w:sz="4" w:space="0"/>
              <w:bottom w:val="nil"/>
              <w:right w:val="nil"/>
            </w:tcBorders>
            <w:shd w:val="clear" w:color="auto" w:fill="FFFFFF"/>
            <w:vAlign w:val="center"/>
          </w:tcPr>
          <w:p w14:paraId="430B52C5">
            <w:pPr>
              <w:pStyle w:val="234"/>
              <w:ind w:firstLine="0"/>
              <w:jc w:val="center"/>
              <w:rPr>
                <w:rFonts w:hint="eastAsia" w:hAnsi="Times New Roman" w:eastAsia="宋体" w:cs="Times New Roman"/>
                <w:color w:val="auto"/>
                <w:sz w:val="21"/>
                <w:szCs w:val="20"/>
                <w:lang w:eastAsia="zh-CN"/>
              </w:rPr>
            </w:pPr>
            <w:r>
              <w:rPr>
                <w:rFonts w:hint="eastAsia" w:hAnsi="Times New Roman" w:cs="Times New Roman"/>
                <w:color w:val="auto"/>
                <w:sz w:val="21"/>
                <w:szCs w:val="20"/>
                <w:lang w:eastAsia="zh-CN"/>
              </w:rPr>
              <w:t>序号</w:t>
            </w:r>
          </w:p>
        </w:tc>
        <w:tc>
          <w:tcPr>
            <w:tcW w:w="4144" w:type="dxa"/>
            <w:tcBorders>
              <w:top w:val="single" w:color="auto" w:sz="4" w:space="0"/>
              <w:left w:val="single" w:color="auto" w:sz="4" w:space="0"/>
              <w:bottom w:val="nil"/>
              <w:right w:val="nil"/>
            </w:tcBorders>
            <w:shd w:val="clear" w:color="auto" w:fill="FFFFFF"/>
            <w:vAlign w:val="center"/>
          </w:tcPr>
          <w:p w14:paraId="0A031D2C">
            <w:pPr>
              <w:pStyle w:val="234"/>
              <w:ind w:firstLine="0"/>
              <w:jc w:val="center"/>
              <w:rPr>
                <w:rFonts w:hint="eastAsia" w:hAnsi="Times New Roman" w:eastAsia="宋体" w:cs="Times New Roman"/>
                <w:color w:val="auto"/>
                <w:sz w:val="21"/>
                <w:szCs w:val="20"/>
                <w:lang w:val="en-US" w:eastAsia="zh-CN"/>
              </w:rPr>
            </w:pPr>
            <w:r>
              <w:rPr>
                <w:rFonts w:hint="eastAsia" w:hAnsi="Times New Roman" w:cs="Times New Roman"/>
                <w:color w:val="auto"/>
                <w:sz w:val="21"/>
                <w:szCs w:val="20"/>
                <w:lang w:val="en-US" w:eastAsia="zh-CN"/>
              </w:rPr>
              <w:t>档案名称</w:t>
            </w:r>
          </w:p>
        </w:tc>
        <w:tc>
          <w:tcPr>
            <w:tcW w:w="1594" w:type="dxa"/>
            <w:tcBorders>
              <w:top w:val="single" w:color="auto" w:sz="4" w:space="0"/>
              <w:left w:val="single" w:color="auto" w:sz="4" w:space="0"/>
              <w:bottom w:val="nil"/>
              <w:right w:val="nil"/>
            </w:tcBorders>
            <w:shd w:val="clear" w:color="auto" w:fill="FFFFFF"/>
            <w:vAlign w:val="center"/>
          </w:tcPr>
          <w:p w14:paraId="0BF8F449">
            <w:pPr>
              <w:pStyle w:val="234"/>
              <w:ind w:firstLine="0"/>
              <w:jc w:val="center"/>
              <w:rPr>
                <w:rFonts w:hint="default" w:hAnsi="Times New Roman" w:eastAsia="宋体" w:cs="Times New Roman"/>
                <w:color w:val="auto"/>
                <w:sz w:val="21"/>
                <w:szCs w:val="20"/>
                <w:lang w:val="en-US" w:eastAsia="zh-CN"/>
              </w:rPr>
            </w:pPr>
            <w:r>
              <w:rPr>
                <w:rFonts w:hint="eastAsia" w:hAnsi="Times New Roman" w:cs="Times New Roman"/>
                <w:color w:val="auto"/>
                <w:sz w:val="21"/>
                <w:szCs w:val="20"/>
                <w:lang w:eastAsia="zh-CN"/>
              </w:rPr>
              <w:t>数量</w:t>
            </w:r>
            <w:r>
              <w:rPr>
                <w:rFonts w:hint="eastAsia" w:hAnsi="Times New Roman" w:cs="Times New Roman"/>
                <w:color w:val="auto"/>
                <w:sz w:val="21"/>
                <w:szCs w:val="20"/>
                <w:lang w:val="en-US" w:eastAsia="zh-CN"/>
              </w:rPr>
              <w:t>(卷、份)</w:t>
            </w:r>
          </w:p>
        </w:tc>
        <w:tc>
          <w:tcPr>
            <w:tcW w:w="1984" w:type="dxa"/>
            <w:tcBorders>
              <w:top w:val="single" w:color="auto" w:sz="4" w:space="0"/>
              <w:left w:val="single" w:color="auto" w:sz="4" w:space="0"/>
              <w:bottom w:val="nil"/>
              <w:right w:val="single" w:color="auto" w:sz="4" w:space="0"/>
            </w:tcBorders>
            <w:shd w:val="clear" w:color="auto" w:fill="FFFFFF"/>
            <w:vAlign w:val="center"/>
          </w:tcPr>
          <w:p w14:paraId="1B1C4DAC">
            <w:pPr>
              <w:pStyle w:val="234"/>
              <w:tabs>
                <w:tab w:val="left" w:pos="0"/>
              </w:tabs>
              <w:ind w:left="-1260" w:leftChars="-600" w:firstLine="1260" w:firstLineChars="600"/>
              <w:jc w:val="center"/>
              <w:rPr>
                <w:rFonts w:hint="eastAsia" w:hAnsi="Times New Roman" w:eastAsia="宋体" w:cs="Times New Roman"/>
                <w:color w:val="auto"/>
                <w:sz w:val="21"/>
                <w:szCs w:val="20"/>
                <w:lang w:eastAsia="zh-CN"/>
              </w:rPr>
            </w:pPr>
            <w:r>
              <w:rPr>
                <w:rFonts w:hint="eastAsia" w:hAnsi="Times New Roman" w:cs="Times New Roman"/>
                <w:color w:val="auto"/>
                <w:sz w:val="21"/>
                <w:szCs w:val="20"/>
                <w:lang w:eastAsia="zh-CN"/>
              </w:rPr>
              <w:t>备注</w:t>
            </w:r>
          </w:p>
        </w:tc>
      </w:tr>
      <w:tr w14:paraId="21855A76">
        <w:tblPrEx>
          <w:tblCellMar>
            <w:top w:w="0" w:type="dxa"/>
            <w:left w:w="10" w:type="dxa"/>
            <w:bottom w:w="0" w:type="dxa"/>
            <w:right w:w="10" w:type="dxa"/>
          </w:tblCellMar>
        </w:tblPrEx>
        <w:trPr>
          <w:trHeight w:val="605" w:hRule="atLeast"/>
          <w:jc w:val="center"/>
        </w:trPr>
        <w:tc>
          <w:tcPr>
            <w:tcW w:w="840" w:type="dxa"/>
            <w:tcBorders>
              <w:top w:val="single" w:color="auto" w:sz="4" w:space="0"/>
              <w:left w:val="single" w:color="auto" w:sz="4" w:space="0"/>
              <w:bottom w:val="nil"/>
              <w:right w:val="nil"/>
            </w:tcBorders>
            <w:shd w:val="clear" w:color="auto" w:fill="FFFFFF"/>
            <w:vAlign w:val="center"/>
          </w:tcPr>
          <w:p w14:paraId="67EE4AD0">
            <w:pPr>
              <w:jc w:val="center"/>
              <w:rPr>
                <w:rFonts w:hint="eastAsia" w:ascii="宋体" w:hAnsi="Times New Roman" w:eastAsia="宋体"/>
                <w:color w:val="auto"/>
                <w:kern w:val="0"/>
                <w:szCs w:val="20"/>
                <w:lang w:val="en-US" w:eastAsia="zh-CN"/>
              </w:rPr>
            </w:pPr>
            <w:r>
              <w:rPr>
                <w:rFonts w:hint="eastAsia" w:ascii="宋体" w:hAnsi="Times New Roman"/>
                <w:color w:val="auto"/>
                <w:kern w:val="0"/>
                <w:szCs w:val="20"/>
                <w:lang w:val="en-US" w:eastAsia="zh-CN"/>
              </w:rPr>
              <w:t>1</w:t>
            </w:r>
          </w:p>
        </w:tc>
        <w:tc>
          <w:tcPr>
            <w:tcW w:w="4144" w:type="dxa"/>
            <w:tcBorders>
              <w:top w:val="single" w:color="auto" w:sz="4" w:space="0"/>
              <w:left w:val="single" w:color="auto" w:sz="4" w:space="0"/>
              <w:bottom w:val="nil"/>
              <w:right w:val="nil"/>
            </w:tcBorders>
            <w:shd w:val="clear" w:color="auto" w:fill="FFFFFF"/>
            <w:vAlign w:val="center"/>
          </w:tcPr>
          <w:p w14:paraId="1A08149D">
            <w:pPr>
              <w:rPr>
                <w:rFonts w:hint="eastAsia" w:ascii="宋体" w:hAnsi="Times New Roman" w:eastAsia="宋体"/>
                <w:color w:val="auto"/>
                <w:kern w:val="0"/>
                <w:szCs w:val="20"/>
                <w:lang w:eastAsia="zh-CN"/>
              </w:rPr>
            </w:pPr>
            <w:r>
              <w:rPr>
                <w:rFonts w:hint="eastAsia" w:ascii="宋体" w:hAnsi="Times New Roman"/>
                <w:color w:val="auto"/>
                <w:kern w:val="0"/>
                <w:szCs w:val="20"/>
                <w:lang w:eastAsia="zh-CN"/>
              </w:rPr>
              <w:t>国有资产管理信息系统账号密码</w:t>
            </w:r>
          </w:p>
        </w:tc>
        <w:tc>
          <w:tcPr>
            <w:tcW w:w="1594" w:type="dxa"/>
            <w:tcBorders>
              <w:top w:val="single" w:color="auto" w:sz="4" w:space="0"/>
              <w:left w:val="single" w:color="auto" w:sz="4" w:space="0"/>
              <w:bottom w:val="nil"/>
              <w:right w:val="nil"/>
            </w:tcBorders>
            <w:shd w:val="clear" w:color="auto" w:fill="FFFFFF"/>
            <w:vAlign w:val="center"/>
          </w:tcPr>
          <w:p w14:paraId="5B87B47E">
            <w:pPr>
              <w:rPr>
                <w:rFonts w:ascii="宋体" w:hAnsi="Times New Roman"/>
                <w:color w:val="auto"/>
                <w:kern w:val="0"/>
                <w:szCs w:val="20"/>
              </w:rPr>
            </w:pPr>
          </w:p>
        </w:tc>
        <w:tc>
          <w:tcPr>
            <w:tcW w:w="1984" w:type="dxa"/>
            <w:tcBorders>
              <w:top w:val="single" w:color="auto" w:sz="4" w:space="0"/>
              <w:left w:val="single" w:color="auto" w:sz="4" w:space="0"/>
              <w:bottom w:val="nil"/>
              <w:right w:val="single" w:color="auto" w:sz="4" w:space="0"/>
            </w:tcBorders>
            <w:shd w:val="clear" w:color="auto" w:fill="FFFFFF"/>
            <w:vAlign w:val="center"/>
          </w:tcPr>
          <w:p w14:paraId="338A7E3D">
            <w:pPr>
              <w:rPr>
                <w:rFonts w:ascii="宋体" w:hAnsi="Times New Roman"/>
                <w:color w:val="auto"/>
                <w:kern w:val="0"/>
                <w:szCs w:val="20"/>
              </w:rPr>
            </w:pPr>
          </w:p>
        </w:tc>
      </w:tr>
      <w:tr w14:paraId="7306E7E7">
        <w:tblPrEx>
          <w:tblCellMar>
            <w:top w:w="0" w:type="dxa"/>
            <w:left w:w="10" w:type="dxa"/>
            <w:bottom w:w="0" w:type="dxa"/>
            <w:right w:w="10" w:type="dxa"/>
          </w:tblCellMar>
        </w:tblPrEx>
        <w:trPr>
          <w:trHeight w:val="605" w:hRule="atLeast"/>
          <w:jc w:val="center"/>
        </w:trPr>
        <w:tc>
          <w:tcPr>
            <w:tcW w:w="840" w:type="dxa"/>
            <w:tcBorders>
              <w:top w:val="single" w:color="auto" w:sz="4" w:space="0"/>
              <w:left w:val="single" w:color="auto" w:sz="4" w:space="0"/>
              <w:bottom w:val="nil"/>
              <w:right w:val="nil"/>
            </w:tcBorders>
            <w:shd w:val="clear" w:color="auto" w:fill="FFFFFF"/>
            <w:vAlign w:val="center"/>
          </w:tcPr>
          <w:p w14:paraId="63BA1296">
            <w:pPr>
              <w:jc w:val="center"/>
              <w:rPr>
                <w:rFonts w:hint="eastAsia" w:ascii="宋体" w:hAnsi="Times New Roman" w:eastAsia="宋体"/>
                <w:color w:val="auto"/>
                <w:kern w:val="0"/>
                <w:szCs w:val="20"/>
                <w:lang w:val="en-US" w:eastAsia="zh-CN"/>
              </w:rPr>
            </w:pPr>
            <w:r>
              <w:rPr>
                <w:rFonts w:hint="eastAsia" w:ascii="宋体" w:hAnsi="Times New Roman"/>
                <w:color w:val="auto"/>
                <w:kern w:val="0"/>
                <w:szCs w:val="20"/>
                <w:lang w:val="en-US" w:eastAsia="zh-CN"/>
              </w:rPr>
              <w:t>2</w:t>
            </w:r>
          </w:p>
        </w:tc>
        <w:tc>
          <w:tcPr>
            <w:tcW w:w="4144" w:type="dxa"/>
            <w:tcBorders>
              <w:top w:val="single" w:color="auto" w:sz="4" w:space="0"/>
              <w:left w:val="single" w:color="auto" w:sz="4" w:space="0"/>
              <w:bottom w:val="nil"/>
              <w:right w:val="nil"/>
            </w:tcBorders>
            <w:shd w:val="clear" w:color="auto" w:fill="FFFFFF"/>
            <w:vAlign w:val="center"/>
          </w:tcPr>
          <w:p w14:paraId="38EFCD74">
            <w:pPr>
              <w:rPr>
                <w:rFonts w:hint="eastAsia" w:ascii="宋体" w:hAnsi="Times New Roman" w:eastAsia="宋体"/>
                <w:color w:val="auto"/>
                <w:kern w:val="0"/>
                <w:szCs w:val="20"/>
                <w:lang w:eastAsia="zh-CN"/>
              </w:rPr>
            </w:pPr>
            <w:r>
              <w:rPr>
                <w:rFonts w:hint="eastAsia" w:ascii="宋体" w:hAnsi="Times New Roman"/>
                <w:color w:val="auto"/>
                <w:kern w:val="0"/>
                <w:szCs w:val="20"/>
                <w:lang w:eastAsia="zh-CN"/>
              </w:rPr>
              <w:t>房产档案</w:t>
            </w:r>
          </w:p>
        </w:tc>
        <w:tc>
          <w:tcPr>
            <w:tcW w:w="1594" w:type="dxa"/>
            <w:tcBorders>
              <w:top w:val="single" w:color="auto" w:sz="4" w:space="0"/>
              <w:left w:val="single" w:color="auto" w:sz="4" w:space="0"/>
              <w:bottom w:val="nil"/>
              <w:right w:val="nil"/>
            </w:tcBorders>
            <w:shd w:val="clear" w:color="auto" w:fill="FFFFFF"/>
            <w:vAlign w:val="center"/>
          </w:tcPr>
          <w:p w14:paraId="11E687A6">
            <w:pPr>
              <w:rPr>
                <w:rFonts w:ascii="宋体" w:hAnsi="Times New Roman"/>
                <w:color w:val="auto"/>
                <w:kern w:val="0"/>
                <w:szCs w:val="20"/>
              </w:rPr>
            </w:pPr>
          </w:p>
        </w:tc>
        <w:tc>
          <w:tcPr>
            <w:tcW w:w="1984" w:type="dxa"/>
            <w:tcBorders>
              <w:top w:val="single" w:color="auto" w:sz="4" w:space="0"/>
              <w:left w:val="single" w:color="auto" w:sz="4" w:space="0"/>
              <w:bottom w:val="nil"/>
              <w:right w:val="single" w:color="auto" w:sz="4" w:space="0"/>
            </w:tcBorders>
            <w:shd w:val="clear" w:color="auto" w:fill="FFFFFF"/>
            <w:vAlign w:val="center"/>
          </w:tcPr>
          <w:p w14:paraId="18278FF4">
            <w:pPr>
              <w:rPr>
                <w:rFonts w:ascii="宋体" w:hAnsi="Times New Roman"/>
                <w:color w:val="auto"/>
                <w:kern w:val="0"/>
                <w:szCs w:val="20"/>
              </w:rPr>
            </w:pPr>
          </w:p>
        </w:tc>
      </w:tr>
      <w:tr w14:paraId="4E49155C">
        <w:tblPrEx>
          <w:tblCellMar>
            <w:top w:w="0" w:type="dxa"/>
            <w:left w:w="10" w:type="dxa"/>
            <w:bottom w:w="0" w:type="dxa"/>
            <w:right w:w="10" w:type="dxa"/>
          </w:tblCellMar>
        </w:tblPrEx>
        <w:trPr>
          <w:trHeight w:val="605" w:hRule="atLeast"/>
          <w:jc w:val="center"/>
        </w:trPr>
        <w:tc>
          <w:tcPr>
            <w:tcW w:w="840" w:type="dxa"/>
            <w:tcBorders>
              <w:top w:val="single" w:color="auto" w:sz="4" w:space="0"/>
              <w:left w:val="single" w:color="auto" w:sz="4" w:space="0"/>
              <w:bottom w:val="nil"/>
              <w:right w:val="nil"/>
            </w:tcBorders>
            <w:shd w:val="clear" w:color="auto" w:fill="FFFFFF"/>
            <w:vAlign w:val="center"/>
          </w:tcPr>
          <w:p w14:paraId="621E5B8B">
            <w:pPr>
              <w:jc w:val="center"/>
              <w:rPr>
                <w:rFonts w:hint="default"/>
                <w:color w:val="auto"/>
                <w:lang w:val="en-US" w:eastAsia="zh-CN"/>
              </w:rPr>
            </w:pPr>
            <w:r>
              <w:rPr>
                <w:rFonts w:hint="eastAsia"/>
                <w:color w:val="auto"/>
                <w:lang w:val="en-US" w:eastAsia="zh-CN"/>
              </w:rPr>
              <w:t>3</w:t>
            </w:r>
          </w:p>
        </w:tc>
        <w:tc>
          <w:tcPr>
            <w:tcW w:w="4144" w:type="dxa"/>
            <w:tcBorders>
              <w:top w:val="single" w:color="auto" w:sz="4" w:space="0"/>
              <w:left w:val="single" w:color="auto" w:sz="4" w:space="0"/>
              <w:bottom w:val="nil"/>
              <w:right w:val="nil"/>
            </w:tcBorders>
            <w:shd w:val="clear" w:color="auto" w:fill="FFFFFF"/>
            <w:vAlign w:val="center"/>
          </w:tcPr>
          <w:p w14:paraId="4DAE127C">
            <w:pPr>
              <w:rPr>
                <w:rFonts w:hint="eastAsia" w:ascii="宋体" w:hAnsi="Times New Roman" w:eastAsia="宋体"/>
                <w:color w:val="auto"/>
                <w:kern w:val="0"/>
                <w:szCs w:val="20"/>
                <w:lang w:eastAsia="zh-CN"/>
              </w:rPr>
            </w:pPr>
            <w:r>
              <w:rPr>
                <w:rFonts w:hint="eastAsia" w:ascii="宋体" w:hAnsi="Times New Roman"/>
                <w:color w:val="auto"/>
                <w:kern w:val="0"/>
                <w:szCs w:val="20"/>
                <w:lang w:eastAsia="zh-CN"/>
              </w:rPr>
              <w:t>公务用车档案</w:t>
            </w:r>
          </w:p>
        </w:tc>
        <w:tc>
          <w:tcPr>
            <w:tcW w:w="1594" w:type="dxa"/>
            <w:tcBorders>
              <w:top w:val="single" w:color="auto" w:sz="4" w:space="0"/>
              <w:left w:val="single" w:color="auto" w:sz="4" w:space="0"/>
              <w:bottom w:val="nil"/>
              <w:right w:val="nil"/>
            </w:tcBorders>
            <w:shd w:val="clear" w:color="auto" w:fill="FFFFFF"/>
            <w:vAlign w:val="center"/>
          </w:tcPr>
          <w:p w14:paraId="570687C3">
            <w:pPr>
              <w:rPr>
                <w:rFonts w:ascii="宋体" w:hAnsi="Times New Roman"/>
                <w:color w:val="auto"/>
                <w:kern w:val="0"/>
                <w:szCs w:val="20"/>
              </w:rPr>
            </w:pPr>
          </w:p>
        </w:tc>
        <w:tc>
          <w:tcPr>
            <w:tcW w:w="1984" w:type="dxa"/>
            <w:tcBorders>
              <w:top w:val="single" w:color="auto" w:sz="4" w:space="0"/>
              <w:left w:val="single" w:color="auto" w:sz="4" w:space="0"/>
              <w:bottom w:val="nil"/>
              <w:right w:val="single" w:color="auto" w:sz="4" w:space="0"/>
            </w:tcBorders>
            <w:shd w:val="clear" w:color="auto" w:fill="FFFFFF"/>
            <w:vAlign w:val="center"/>
          </w:tcPr>
          <w:p w14:paraId="720C9E6B">
            <w:pPr>
              <w:rPr>
                <w:rFonts w:ascii="宋体" w:hAnsi="Times New Roman"/>
                <w:color w:val="auto"/>
                <w:kern w:val="0"/>
                <w:szCs w:val="20"/>
              </w:rPr>
            </w:pPr>
          </w:p>
        </w:tc>
      </w:tr>
      <w:tr w14:paraId="41EA3AD6">
        <w:tblPrEx>
          <w:tblCellMar>
            <w:top w:w="0" w:type="dxa"/>
            <w:left w:w="10" w:type="dxa"/>
            <w:bottom w:w="0" w:type="dxa"/>
            <w:right w:w="10" w:type="dxa"/>
          </w:tblCellMar>
        </w:tblPrEx>
        <w:trPr>
          <w:trHeight w:val="605" w:hRule="atLeast"/>
          <w:jc w:val="center"/>
        </w:trPr>
        <w:tc>
          <w:tcPr>
            <w:tcW w:w="840" w:type="dxa"/>
            <w:tcBorders>
              <w:top w:val="single" w:color="auto" w:sz="4" w:space="0"/>
              <w:left w:val="single" w:color="auto" w:sz="4" w:space="0"/>
              <w:bottom w:val="nil"/>
              <w:right w:val="nil"/>
            </w:tcBorders>
            <w:shd w:val="clear" w:color="auto" w:fill="FFFFFF"/>
            <w:vAlign w:val="center"/>
          </w:tcPr>
          <w:p w14:paraId="040A3C8A">
            <w:pPr>
              <w:jc w:val="center"/>
              <w:rPr>
                <w:rFonts w:hint="default" w:ascii="宋体" w:hAnsi="Times New Roman" w:eastAsia="宋体"/>
                <w:color w:val="auto"/>
                <w:kern w:val="0"/>
                <w:szCs w:val="20"/>
                <w:lang w:val="en-US" w:eastAsia="zh-CN"/>
              </w:rPr>
            </w:pPr>
            <w:r>
              <w:rPr>
                <w:rFonts w:hint="eastAsia" w:ascii="宋体" w:hAnsi="Times New Roman"/>
                <w:color w:val="auto"/>
                <w:kern w:val="0"/>
                <w:szCs w:val="20"/>
                <w:lang w:val="en-US" w:eastAsia="zh-CN"/>
              </w:rPr>
              <w:t>4</w:t>
            </w:r>
          </w:p>
        </w:tc>
        <w:tc>
          <w:tcPr>
            <w:tcW w:w="4144" w:type="dxa"/>
            <w:tcBorders>
              <w:top w:val="single" w:color="auto" w:sz="4" w:space="0"/>
              <w:left w:val="single" w:color="auto" w:sz="4" w:space="0"/>
              <w:bottom w:val="nil"/>
              <w:right w:val="nil"/>
            </w:tcBorders>
            <w:shd w:val="clear" w:color="auto" w:fill="FFFFFF"/>
            <w:vAlign w:val="center"/>
          </w:tcPr>
          <w:p w14:paraId="40147FFE">
            <w:pPr>
              <w:rPr>
                <w:rFonts w:hint="default" w:ascii="宋体" w:hAnsi="Times New Roman" w:eastAsia="宋体"/>
                <w:color w:val="auto"/>
                <w:kern w:val="0"/>
                <w:szCs w:val="20"/>
                <w:lang w:val="en-US" w:eastAsia="zh-CN"/>
              </w:rPr>
            </w:pPr>
            <w:r>
              <w:rPr>
                <w:rFonts w:hint="eastAsia" w:ascii="宋体" w:hAnsi="Times New Roman"/>
                <w:color w:val="auto"/>
                <w:kern w:val="0"/>
                <w:szCs w:val="20"/>
                <w:lang w:eastAsia="zh-CN"/>
              </w:rPr>
              <w:t>设备档案</w:t>
            </w:r>
            <w:r>
              <w:rPr>
                <w:rFonts w:hint="eastAsia" w:ascii="宋体" w:hAnsi="Times New Roman"/>
                <w:color w:val="auto"/>
                <w:kern w:val="0"/>
                <w:szCs w:val="20"/>
                <w:lang w:val="en-US" w:eastAsia="zh-CN"/>
              </w:rPr>
              <w:t xml:space="preserve"> </w:t>
            </w:r>
          </w:p>
        </w:tc>
        <w:tc>
          <w:tcPr>
            <w:tcW w:w="1594" w:type="dxa"/>
            <w:tcBorders>
              <w:top w:val="single" w:color="auto" w:sz="4" w:space="0"/>
              <w:left w:val="single" w:color="auto" w:sz="4" w:space="0"/>
              <w:bottom w:val="nil"/>
              <w:right w:val="nil"/>
            </w:tcBorders>
            <w:shd w:val="clear" w:color="auto" w:fill="FFFFFF"/>
            <w:vAlign w:val="center"/>
          </w:tcPr>
          <w:p w14:paraId="42F9460F">
            <w:pPr>
              <w:rPr>
                <w:rFonts w:ascii="宋体" w:hAnsi="Times New Roman"/>
                <w:color w:val="auto"/>
                <w:kern w:val="0"/>
                <w:szCs w:val="20"/>
              </w:rPr>
            </w:pPr>
          </w:p>
        </w:tc>
        <w:tc>
          <w:tcPr>
            <w:tcW w:w="1984" w:type="dxa"/>
            <w:tcBorders>
              <w:top w:val="single" w:color="auto" w:sz="4" w:space="0"/>
              <w:left w:val="single" w:color="auto" w:sz="4" w:space="0"/>
              <w:bottom w:val="nil"/>
              <w:right w:val="single" w:color="auto" w:sz="4" w:space="0"/>
            </w:tcBorders>
            <w:shd w:val="clear" w:color="auto" w:fill="FFFFFF"/>
            <w:vAlign w:val="center"/>
          </w:tcPr>
          <w:p w14:paraId="145789CF">
            <w:pPr>
              <w:rPr>
                <w:rFonts w:ascii="宋体" w:hAnsi="Times New Roman"/>
                <w:color w:val="auto"/>
                <w:kern w:val="0"/>
                <w:szCs w:val="20"/>
              </w:rPr>
            </w:pPr>
          </w:p>
        </w:tc>
      </w:tr>
      <w:tr w14:paraId="3AC90AA1">
        <w:tblPrEx>
          <w:tblCellMar>
            <w:top w:w="0" w:type="dxa"/>
            <w:left w:w="10" w:type="dxa"/>
            <w:bottom w:w="0" w:type="dxa"/>
            <w:right w:w="10" w:type="dxa"/>
          </w:tblCellMar>
        </w:tblPrEx>
        <w:trPr>
          <w:trHeight w:val="605" w:hRule="atLeast"/>
          <w:jc w:val="center"/>
        </w:trPr>
        <w:tc>
          <w:tcPr>
            <w:tcW w:w="840" w:type="dxa"/>
            <w:tcBorders>
              <w:top w:val="single" w:color="auto" w:sz="4" w:space="0"/>
              <w:left w:val="single" w:color="auto" w:sz="4" w:space="0"/>
              <w:bottom w:val="nil"/>
              <w:right w:val="nil"/>
            </w:tcBorders>
            <w:shd w:val="clear" w:color="auto" w:fill="FFFFFF"/>
            <w:vAlign w:val="center"/>
          </w:tcPr>
          <w:p w14:paraId="347188AB">
            <w:pPr>
              <w:jc w:val="center"/>
              <w:rPr>
                <w:rFonts w:hint="eastAsia" w:ascii="宋体" w:hAnsi="Times New Roman" w:eastAsia="宋体"/>
                <w:color w:val="auto"/>
                <w:kern w:val="0"/>
                <w:szCs w:val="20"/>
                <w:lang w:val="en-US" w:eastAsia="zh-CN"/>
              </w:rPr>
            </w:pPr>
            <w:r>
              <w:rPr>
                <w:rFonts w:hint="eastAsia" w:ascii="宋体" w:hAnsi="Times New Roman"/>
                <w:color w:val="auto"/>
                <w:kern w:val="0"/>
                <w:szCs w:val="20"/>
                <w:lang w:val="en-US" w:eastAsia="zh-CN"/>
              </w:rPr>
              <w:t>5</w:t>
            </w:r>
          </w:p>
        </w:tc>
        <w:tc>
          <w:tcPr>
            <w:tcW w:w="4144" w:type="dxa"/>
            <w:tcBorders>
              <w:top w:val="single" w:color="auto" w:sz="4" w:space="0"/>
              <w:left w:val="single" w:color="auto" w:sz="4" w:space="0"/>
              <w:bottom w:val="nil"/>
              <w:right w:val="nil"/>
            </w:tcBorders>
            <w:shd w:val="clear" w:color="auto" w:fill="FFFFFF"/>
            <w:vAlign w:val="center"/>
          </w:tcPr>
          <w:p w14:paraId="47884F67">
            <w:pPr>
              <w:rPr>
                <w:rFonts w:hint="eastAsia" w:ascii="宋体" w:hAnsi="Times New Roman" w:eastAsia="宋体"/>
                <w:color w:val="auto"/>
                <w:kern w:val="0"/>
                <w:szCs w:val="20"/>
                <w:lang w:eastAsia="zh-CN"/>
              </w:rPr>
            </w:pPr>
            <w:r>
              <w:rPr>
                <w:rFonts w:hint="eastAsia" w:ascii="宋体" w:hAnsi="Times New Roman"/>
                <w:color w:val="auto"/>
                <w:kern w:val="0"/>
                <w:szCs w:val="20"/>
                <w:lang w:eastAsia="zh-CN"/>
              </w:rPr>
              <w:t>正版化档案</w:t>
            </w:r>
          </w:p>
        </w:tc>
        <w:tc>
          <w:tcPr>
            <w:tcW w:w="1594" w:type="dxa"/>
            <w:tcBorders>
              <w:top w:val="single" w:color="auto" w:sz="4" w:space="0"/>
              <w:left w:val="single" w:color="auto" w:sz="4" w:space="0"/>
              <w:bottom w:val="nil"/>
              <w:right w:val="nil"/>
            </w:tcBorders>
            <w:shd w:val="clear" w:color="auto" w:fill="FFFFFF"/>
            <w:vAlign w:val="center"/>
          </w:tcPr>
          <w:p w14:paraId="73C613D7">
            <w:pPr>
              <w:rPr>
                <w:rFonts w:ascii="宋体" w:hAnsi="Times New Roman"/>
                <w:color w:val="auto"/>
                <w:kern w:val="0"/>
                <w:szCs w:val="20"/>
              </w:rPr>
            </w:pPr>
          </w:p>
        </w:tc>
        <w:tc>
          <w:tcPr>
            <w:tcW w:w="1984" w:type="dxa"/>
            <w:tcBorders>
              <w:top w:val="single" w:color="auto" w:sz="4" w:space="0"/>
              <w:left w:val="single" w:color="auto" w:sz="4" w:space="0"/>
              <w:bottom w:val="nil"/>
              <w:right w:val="single" w:color="auto" w:sz="4" w:space="0"/>
            </w:tcBorders>
            <w:shd w:val="clear" w:color="auto" w:fill="FFFFFF"/>
            <w:vAlign w:val="center"/>
          </w:tcPr>
          <w:p w14:paraId="58EB0581">
            <w:pPr>
              <w:rPr>
                <w:rFonts w:ascii="宋体" w:hAnsi="Times New Roman"/>
                <w:color w:val="auto"/>
                <w:kern w:val="0"/>
                <w:szCs w:val="20"/>
              </w:rPr>
            </w:pPr>
          </w:p>
        </w:tc>
      </w:tr>
      <w:tr w14:paraId="1C1AC2CE">
        <w:tblPrEx>
          <w:tblCellMar>
            <w:top w:w="0" w:type="dxa"/>
            <w:left w:w="10" w:type="dxa"/>
            <w:bottom w:w="0" w:type="dxa"/>
            <w:right w:w="10" w:type="dxa"/>
          </w:tblCellMar>
        </w:tblPrEx>
        <w:trPr>
          <w:trHeight w:val="614" w:hRule="atLeast"/>
          <w:jc w:val="center"/>
        </w:trPr>
        <w:tc>
          <w:tcPr>
            <w:tcW w:w="840" w:type="dxa"/>
            <w:tcBorders>
              <w:top w:val="single" w:color="auto" w:sz="4" w:space="0"/>
              <w:left w:val="single" w:color="auto" w:sz="4" w:space="0"/>
              <w:bottom w:val="single" w:color="auto" w:sz="4" w:space="0"/>
              <w:right w:val="nil"/>
            </w:tcBorders>
            <w:shd w:val="clear" w:color="auto" w:fill="FFFFFF"/>
            <w:vAlign w:val="center"/>
          </w:tcPr>
          <w:p w14:paraId="304D7B38">
            <w:pPr>
              <w:jc w:val="center"/>
              <w:rPr>
                <w:rFonts w:ascii="宋体" w:hAnsi="Times New Roman"/>
                <w:color w:val="auto"/>
                <w:kern w:val="0"/>
                <w:szCs w:val="20"/>
              </w:rPr>
            </w:pPr>
          </w:p>
        </w:tc>
        <w:tc>
          <w:tcPr>
            <w:tcW w:w="4144" w:type="dxa"/>
            <w:tcBorders>
              <w:top w:val="single" w:color="auto" w:sz="4" w:space="0"/>
              <w:left w:val="single" w:color="auto" w:sz="4" w:space="0"/>
              <w:bottom w:val="single" w:color="auto" w:sz="4" w:space="0"/>
              <w:right w:val="nil"/>
            </w:tcBorders>
            <w:shd w:val="clear" w:color="auto" w:fill="FFFFFF"/>
            <w:vAlign w:val="center"/>
          </w:tcPr>
          <w:p w14:paraId="2DB291BF">
            <w:pPr>
              <w:rPr>
                <w:rFonts w:hint="default" w:ascii="宋体" w:hAnsi="Times New Roman" w:eastAsia="宋体"/>
                <w:color w:val="auto"/>
                <w:kern w:val="0"/>
                <w:szCs w:val="20"/>
                <w:lang w:val="en-US" w:eastAsia="zh-CN"/>
              </w:rPr>
            </w:pPr>
          </w:p>
        </w:tc>
        <w:tc>
          <w:tcPr>
            <w:tcW w:w="1594" w:type="dxa"/>
            <w:tcBorders>
              <w:top w:val="single" w:color="auto" w:sz="4" w:space="0"/>
              <w:left w:val="single" w:color="auto" w:sz="4" w:space="0"/>
              <w:bottom w:val="single" w:color="auto" w:sz="4" w:space="0"/>
              <w:right w:val="nil"/>
            </w:tcBorders>
            <w:shd w:val="clear" w:color="auto" w:fill="FFFFFF"/>
            <w:vAlign w:val="center"/>
          </w:tcPr>
          <w:p w14:paraId="6DC4EC01">
            <w:pPr>
              <w:rPr>
                <w:rFonts w:ascii="宋体" w:hAnsi="Times New Roman"/>
                <w:color w:val="auto"/>
                <w:kern w:val="0"/>
                <w:szCs w:val="20"/>
              </w:rPr>
            </w:pPr>
          </w:p>
        </w:tc>
        <w:tc>
          <w:tcPr>
            <w:tcW w:w="1984" w:type="dxa"/>
            <w:tcBorders>
              <w:top w:val="single" w:color="auto" w:sz="4" w:space="0"/>
              <w:left w:val="single" w:color="auto" w:sz="4" w:space="0"/>
              <w:bottom w:val="single" w:color="auto" w:sz="4" w:space="0"/>
              <w:right w:val="single" w:color="auto" w:sz="4" w:space="0"/>
            </w:tcBorders>
            <w:shd w:val="clear" w:color="auto" w:fill="FFFFFF"/>
            <w:vAlign w:val="center"/>
          </w:tcPr>
          <w:p w14:paraId="604354C9">
            <w:pPr>
              <w:rPr>
                <w:rFonts w:ascii="宋体" w:hAnsi="Times New Roman"/>
                <w:color w:val="auto"/>
                <w:kern w:val="0"/>
                <w:szCs w:val="20"/>
              </w:rPr>
            </w:pPr>
          </w:p>
        </w:tc>
      </w:tr>
      <w:tr w14:paraId="7BA221B3">
        <w:tblPrEx>
          <w:tblCellMar>
            <w:top w:w="0" w:type="dxa"/>
            <w:left w:w="10" w:type="dxa"/>
            <w:bottom w:w="0" w:type="dxa"/>
            <w:right w:w="10" w:type="dxa"/>
          </w:tblCellMar>
        </w:tblPrEx>
        <w:trPr>
          <w:trHeight w:val="614" w:hRule="atLeast"/>
          <w:jc w:val="center"/>
        </w:trPr>
        <w:tc>
          <w:tcPr>
            <w:tcW w:w="840" w:type="dxa"/>
            <w:tcBorders>
              <w:top w:val="single" w:color="auto" w:sz="4" w:space="0"/>
              <w:left w:val="single" w:color="auto" w:sz="4" w:space="0"/>
              <w:bottom w:val="single" w:color="auto" w:sz="4" w:space="0"/>
              <w:right w:val="nil"/>
            </w:tcBorders>
            <w:shd w:val="clear" w:color="auto" w:fill="FFFFFF"/>
            <w:vAlign w:val="center"/>
          </w:tcPr>
          <w:p w14:paraId="0FE49EF4">
            <w:pPr>
              <w:jc w:val="center"/>
              <w:rPr>
                <w:rFonts w:ascii="宋体" w:hAnsi="Times New Roman"/>
                <w:color w:val="auto"/>
                <w:kern w:val="0"/>
                <w:szCs w:val="20"/>
              </w:rPr>
            </w:pPr>
          </w:p>
        </w:tc>
        <w:tc>
          <w:tcPr>
            <w:tcW w:w="4144" w:type="dxa"/>
            <w:tcBorders>
              <w:top w:val="single" w:color="auto" w:sz="4" w:space="0"/>
              <w:left w:val="single" w:color="auto" w:sz="4" w:space="0"/>
              <w:bottom w:val="single" w:color="auto" w:sz="4" w:space="0"/>
              <w:right w:val="nil"/>
            </w:tcBorders>
            <w:shd w:val="clear" w:color="auto" w:fill="FFFFFF"/>
            <w:vAlign w:val="center"/>
          </w:tcPr>
          <w:p w14:paraId="33F0F579">
            <w:pPr>
              <w:rPr>
                <w:rFonts w:hint="eastAsia" w:ascii="宋体" w:hAnsi="Times New Roman"/>
                <w:color w:val="auto"/>
                <w:kern w:val="0"/>
                <w:szCs w:val="20"/>
                <w:lang w:val="en-US" w:eastAsia="zh-CN"/>
              </w:rPr>
            </w:pPr>
          </w:p>
        </w:tc>
        <w:tc>
          <w:tcPr>
            <w:tcW w:w="1594" w:type="dxa"/>
            <w:tcBorders>
              <w:top w:val="single" w:color="auto" w:sz="4" w:space="0"/>
              <w:left w:val="single" w:color="auto" w:sz="4" w:space="0"/>
              <w:bottom w:val="single" w:color="auto" w:sz="4" w:space="0"/>
              <w:right w:val="nil"/>
            </w:tcBorders>
            <w:shd w:val="clear" w:color="auto" w:fill="FFFFFF"/>
            <w:vAlign w:val="center"/>
          </w:tcPr>
          <w:p w14:paraId="207794A3">
            <w:pPr>
              <w:rPr>
                <w:rFonts w:ascii="宋体" w:hAnsi="Times New Roman"/>
                <w:color w:val="auto"/>
                <w:kern w:val="0"/>
                <w:szCs w:val="20"/>
              </w:rPr>
            </w:pPr>
          </w:p>
        </w:tc>
        <w:tc>
          <w:tcPr>
            <w:tcW w:w="1984" w:type="dxa"/>
            <w:tcBorders>
              <w:top w:val="single" w:color="auto" w:sz="4" w:space="0"/>
              <w:left w:val="single" w:color="auto" w:sz="4" w:space="0"/>
              <w:bottom w:val="single" w:color="auto" w:sz="4" w:space="0"/>
              <w:right w:val="single" w:color="auto" w:sz="4" w:space="0"/>
            </w:tcBorders>
            <w:shd w:val="clear" w:color="auto" w:fill="FFFFFF"/>
            <w:vAlign w:val="center"/>
          </w:tcPr>
          <w:p w14:paraId="6B62FE5D">
            <w:pPr>
              <w:rPr>
                <w:rFonts w:ascii="宋体" w:hAnsi="Times New Roman"/>
                <w:color w:val="auto"/>
                <w:kern w:val="0"/>
                <w:szCs w:val="20"/>
              </w:rPr>
            </w:pPr>
          </w:p>
        </w:tc>
      </w:tr>
      <w:tr w14:paraId="0A1F9E1A">
        <w:tblPrEx>
          <w:tblCellMar>
            <w:top w:w="0" w:type="dxa"/>
            <w:left w:w="10" w:type="dxa"/>
            <w:bottom w:w="0" w:type="dxa"/>
            <w:right w:w="10" w:type="dxa"/>
          </w:tblCellMar>
        </w:tblPrEx>
        <w:trPr>
          <w:trHeight w:val="614" w:hRule="atLeast"/>
          <w:jc w:val="center"/>
        </w:trPr>
        <w:tc>
          <w:tcPr>
            <w:tcW w:w="840" w:type="dxa"/>
            <w:tcBorders>
              <w:top w:val="single" w:color="auto" w:sz="4" w:space="0"/>
              <w:left w:val="single" w:color="auto" w:sz="4" w:space="0"/>
              <w:bottom w:val="single" w:color="auto" w:sz="4" w:space="0"/>
              <w:right w:val="nil"/>
            </w:tcBorders>
            <w:shd w:val="clear" w:color="auto" w:fill="FFFFFF"/>
            <w:vAlign w:val="center"/>
          </w:tcPr>
          <w:p w14:paraId="762289FA">
            <w:pPr>
              <w:jc w:val="center"/>
              <w:rPr>
                <w:rFonts w:ascii="宋体" w:hAnsi="Times New Roman"/>
                <w:color w:val="auto"/>
                <w:kern w:val="0"/>
                <w:szCs w:val="20"/>
              </w:rPr>
            </w:pPr>
          </w:p>
        </w:tc>
        <w:tc>
          <w:tcPr>
            <w:tcW w:w="4144" w:type="dxa"/>
            <w:tcBorders>
              <w:top w:val="single" w:color="auto" w:sz="4" w:space="0"/>
              <w:left w:val="single" w:color="auto" w:sz="4" w:space="0"/>
              <w:bottom w:val="single" w:color="auto" w:sz="4" w:space="0"/>
              <w:right w:val="nil"/>
            </w:tcBorders>
            <w:shd w:val="clear" w:color="auto" w:fill="FFFFFF"/>
            <w:vAlign w:val="center"/>
          </w:tcPr>
          <w:p w14:paraId="2009E70F">
            <w:pPr>
              <w:rPr>
                <w:rFonts w:hint="eastAsia" w:ascii="宋体" w:hAnsi="Times New Roman"/>
                <w:color w:val="auto"/>
                <w:kern w:val="0"/>
                <w:szCs w:val="20"/>
                <w:lang w:val="en-US" w:eastAsia="zh-CN"/>
              </w:rPr>
            </w:pPr>
          </w:p>
        </w:tc>
        <w:tc>
          <w:tcPr>
            <w:tcW w:w="1594" w:type="dxa"/>
            <w:tcBorders>
              <w:top w:val="single" w:color="auto" w:sz="4" w:space="0"/>
              <w:left w:val="single" w:color="auto" w:sz="4" w:space="0"/>
              <w:bottom w:val="single" w:color="auto" w:sz="4" w:space="0"/>
              <w:right w:val="nil"/>
            </w:tcBorders>
            <w:shd w:val="clear" w:color="auto" w:fill="FFFFFF"/>
            <w:vAlign w:val="center"/>
          </w:tcPr>
          <w:p w14:paraId="664E0F80">
            <w:pPr>
              <w:rPr>
                <w:rFonts w:ascii="宋体" w:hAnsi="Times New Roman"/>
                <w:color w:val="auto"/>
                <w:kern w:val="0"/>
                <w:szCs w:val="20"/>
              </w:rPr>
            </w:pPr>
          </w:p>
        </w:tc>
        <w:tc>
          <w:tcPr>
            <w:tcW w:w="1984" w:type="dxa"/>
            <w:tcBorders>
              <w:top w:val="single" w:color="auto" w:sz="4" w:space="0"/>
              <w:left w:val="single" w:color="auto" w:sz="4" w:space="0"/>
              <w:bottom w:val="single" w:color="auto" w:sz="4" w:space="0"/>
              <w:right w:val="single" w:color="auto" w:sz="4" w:space="0"/>
            </w:tcBorders>
            <w:shd w:val="clear" w:color="auto" w:fill="FFFFFF"/>
            <w:vAlign w:val="center"/>
          </w:tcPr>
          <w:p w14:paraId="71146C8C">
            <w:pPr>
              <w:rPr>
                <w:rFonts w:ascii="宋体" w:hAnsi="Times New Roman"/>
                <w:color w:val="auto"/>
                <w:kern w:val="0"/>
                <w:szCs w:val="20"/>
              </w:rPr>
            </w:pPr>
          </w:p>
        </w:tc>
      </w:tr>
    </w:tbl>
    <w:p w14:paraId="117E21CA">
      <w:pPr>
        <w:pStyle w:val="59"/>
        <w:ind w:left="0" w:leftChars="0" w:firstLine="0" w:firstLineChars="0"/>
        <w:rPr>
          <w:rFonts w:hint="eastAsia"/>
          <w:color w:val="auto"/>
        </w:rPr>
      </w:pPr>
    </w:p>
    <w:p w14:paraId="0C6B8CEA">
      <w:pPr>
        <w:pStyle w:val="59"/>
        <w:ind w:left="0" w:leftChars="0" w:firstLine="840" w:firstLineChars="400"/>
        <w:jc w:val="left"/>
        <w:rPr>
          <w:rFonts w:hint="eastAsia"/>
          <w:color w:val="auto"/>
          <w:lang w:val="en-US" w:eastAsia="zh-CN"/>
        </w:rPr>
      </w:pPr>
      <w:r>
        <w:rPr>
          <w:rFonts w:hint="eastAsia"/>
          <w:color w:val="auto"/>
        </w:rPr>
        <w:t>移交人：</w:t>
      </w:r>
    </w:p>
    <w:p w14:paraId="6D91C6A2">
      <w:pPr>
        <w:pStyle w:val="59"/>
        <w:ind w:left="0" w:leftChars="0" w:firstLine="0" w:firstLineChars="0"/>
        <w:jc w:val="left"/>
        <w:rPr>
          <w:rFonts w:hint="eastAsia"/>
          <w:color w:val="auto"/>
          <w:lang w:val="en-US" w:eastAsia="zh-CN"/>
        </w:rPr>
      </w:pPr>
    </w:p>
    <w:p w14:paraId="5C33DECE">
      <w:pPr>
        <w:pStyle w:val="59"/>
        <w:ind w:left="0" w:leftChars="0" w:firstLine="840" w:firstLineChars="400"/>
        <w:jc w:val="left"/>
        <w:rPr>
          <w:rFonts w:hint="eastAsia"/>
          <w:color w:val="auto"/>
          <w:lang w:val="en-US" w:eastAsia="zh-CN"/>
        </w:rPr>
      </w:pPr>
      <w:r>
        <w:rPr>
          <w:rFonts w:hint="eastAsia"/>
          <w:color w:val="auto"/>
        </w:rPr>
        <w:t>资产管理部门经办人（接收人</w:t>
      </w:r>
      <w:r>
        <w:rPr>
          <w:rFonts w:hint="eastAsia"/>
          <w:color w:val="auto"/>
          <w:lang w:eastAsia="zh-CN"/>
        </w:rPr>
        <w:t>）</w:t>
      </w:r>
      <w:r>
        <w:rPr>
          <w:rFonts w:hint="eastAsia"/>
          <w:color w:val="auto"/>
        </w:rPr>
        <w:t>：</w:t>
      </w:r>
    </w:p>
    <w:p w14:paraId="568C4D44">
      <w:pPr>
        <w:pStyle w:val="59"/>
        <w:ind w:left="0" w:leftChars="0" w:firstLine="0" w:firstLineChars="0"/>
        <w:jc w:val="left"/>
        <w:rPr>
          <w:rFonts w:hint="eastAsia"/>
          <w:color w:val="auto"/>
          <w:lang w:val="en-US" w:eastAsia="zh-CN"/>
        </w:rPr>
      </w:pPr>
    </w:p>
    <w:p w14:paraId="6BB445D6">
      <w:pPr>
        <w:pStyle w:val="59"/>
        <w:ind w:firstLine="840" w:firstLineChars="400"/>
        <w:jc w:val="left"/>
        <w:rPr>
          <w:rFonts w:hint="eastAsia"/>
          <w:color w:val="auto"/>
        </w:rPr>
      </w:pPr>
      <w:r>
        <w:rPr>
          <w:rFonts w:hint="eastAsia"/>
          <w:color w:val="auto"/>
        </w:rPr>
        <w:t>监交人：</w:t>
      </w:r>
    </w:p>
    <w:p w14:paraId="1934CCCA">
      <w:pPr>
        <w:pStyle w:val="59"/>
        <w:ind w:left="0" w:leftChars="0" w:firstLine="0" w:firstLineChars="0"/>
        <w:jc w:val="left"/>
        <w:rPr>
          <w:rFonts w:hint="eastAsia"/>
          <w:color w:val="auto"/>
        </w:rPr>
      </w:pPr>
    </w:p>
    <w:p w14:paraId="1026E9A1">
      <w:pPr>
        <w:pStyle w:val="59"/>
        <w:ind w:firstLine="840" w:firstLineChars="400"/>
        <w:jc w:val="left"/>
        <w:rPr>
          <w:rFonts w:hint="eastAsia"/>
          <w:color w:val="auto"/>
        </w:rPr>
      </w:pPr>
      <w:r>
        <w:rPr>
          <w:rFonts w:hint="eastAsia"/>
          <w:color w:val="auto"/>
        </w:rPr>
        <w:t>交接时间：</w:t>
      </w:r>
      <w:r>
        <w:rPr>
          <w:rFonts w:hint="eastAsia"/>
          <w:color w:val="auto"/>
        </w:rPr>
        <w:tab/>
      </w:r>
      <w:r>
        <w:rPr>
          <w:rFonts w:hint="eastAsia"/>
          <w:color w:val="auto"/>
        </w:rPr>
        <w:t>年  月  日</w:t>
      </w:r>
    </w:p>
    <w:p w14:paraId="752CFAC8">
      <w:pPr>
        <w:pStyle w:val="59"/>
        <w:ind w:firstLine="0" w:firstLineChars="0"/>
        <w:jc w:val="left"/>
        <w:rPr>
          <w:rFonts w:hint="eastAsia"/>
          <w:color w:val="auto"/>
        </w:rPr>
      </w:pPr>
    </w:p>
    <w:p w14:paraId="60E4658B">
      <w:pPr>
        <w:pStyle w:val="59"/>
        <w:ind w:firstLine="840" w:firstLineChars="400"/>
        <w:jc w:val="left"/>
        <w:rPr>
          <w:color w:val="auto"/>
        </w:rPr>
      </w:pPr>
      <w:r>
        <w:rPr>
          <w:rFonts w:hint="eastAsia"/>
          <w:color w:val="auto"/>
        </w:rPr>
        <w:t>注：本移交表</w:t>
      </w:r>
      <w:r>
        <w:rPr>
          <w:rFonts w:hint="eastAsia"/>
          <w:color w:val="auto"/>
          <w:lang w:eastAsia="zh-CN"/>
        </w:rPr>
        <w:t>壹</w:t>
      </w:r>
      <w:r>
        <w:rPr>
          <w:rFonts w:hint="eastAsia"/>
          <w:color w:val="auto"/>
        </w:rPr>
        <w:t>式</w:t>
      </w:r>
      <w:r>
        <w:rPr>
          <w:rFonts w:hint="eastAsia"/>
          <w:color w:val="auto"/>
          <w:lang w:eastAsia="zh-CN"/>
        </w:rPr>
        <w:t>贰</w:t>
      </w:r>
      <w:r>
        <w:rPr>
          <w:rFonts w:hint="eastAsia"/>
          <w:color w:val="auto"/>
        </w:rPr>
        <w:t>份，移交人、资产管理部门各执</w:t>
      </w:r>
      <w:r>
        <w:rPr>
          <w:rFonts w:hint="eastAsia"/>
          <w:color w:val="auto"/>
          <w:lang w:eastAsia="zh-CN"/>
        </w:rPr>
        <w:t>壹</w:t>
      </w:r>
      <w:r>
        <w:rPr>
          <w:rFonts w:hint="eastAsia"/>
          <w:color w:val="auto"/>
        </w:rPr>
        <w:t>份</w:t>
      </w:r>
      <w:r>
        <w:rPr>
          <w:rFonts w:hint="eastAsia"/>
          <w:color w:val="auto"/>
          <w:lang w:eastAsia="zh-CN"/>
        </w:rPr>
        <w:t>。</w:t>
      </w:r>
      <w:bookmarkEnd w:id="66"/>
    </w:p>
    <w:sectPr>
      <w:pgSz w:w="11906" w:h="16838"/>
      <w:pgMar w:top="1928" w:right="1134" w:bottom="1134" w:left="1134" w:header="1418" w:footer="1134" w:gutter="283"/>
      <w:cols w:space="0" w:num="1"/>
      <w:formProt w:val="0"/>
      <w:rtlGutter w:val="0"/>
      <w:docGrid w:type="lines" w:linePitch="3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6F69AF">
    <w:pPr>
      <w:pStyle w:val="18"/>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F6E6DD">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C6C0AD">
    <w:pPr>
      <w:pStyle w:val="55"/>
    </w:pPr>
    <w:r>
      <w:fldChar w:fldCharType="begin"/>
    </w:r>
    <w:r>
      <w:instrText xml:space="preserve">PAGE   \* MERGEFORMAT</w:instrText>
    </w:r>
    <w:r>
      <w:fldChar w:fldCharType="separate"/>
    </w:r>
    <w:r>
      <w:rPr>
        <w:lang w:val="zh-CN"/>
      </w:rPr>
      <w:t>8</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30E99A">
    <w:pPr>
      <w:pStyle w:val="19"/>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D9400C">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4E0EAE">
    <w:pPr>
      <w:pStyle w:val="64"/>
      <w:rPr>
        <w:rFonts w:hint="eastAsia"/>
      </w:rPr>
    </w:pPr>
    <w:r>
      <w:fldChar w:fldCharType="begin"/>
    </w:r>
    <w:r>
      <w:instrText xml:space="preserve"> STYLEREF  标准文件_文件编号  \* MERGEFORMAT </w:instrText>
    </w:r>
    <w:r>
      <w:fldChar w:fldCharType="separate"/>
    </w:r>
    <w:r>
      <w:t>DB 32/T XXXX—2024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0F72B2DE"/>
    <w:multiLevelType w:val="multilevel"/>
    <w:tmpl w:val="0F72B2DE"/>
    <w:lvl w:ilvl="0" w:tentative="0">
      <w:start w:val="1"/>
      <w:numFmt w:val="decimal"/>
      <w:suff w:val="nothing"/>
      <w:lvlText w:val="%1　"/>
      <w:lvlJc w:val="left"/>
      <w:pPr>
        <w:tabs>
          <w:tab w:val="left" w:pos="0"/>
        </w:tabs>
        <w:ind w:left="0" w:firstLine="0"/>
      </w:pPr>
      <w:rPr>
        <w:rFonts w:hint="default" w:ascii="黑体" w:hAnsi="Times New Roman" w:eastAsia="黑体"/>
        <w:b w:val="0"/>
        <w:i w:val="0"/>
        <w:sz w:val="21"/>
        <w:szCs w:val="21"/>
      </w:rPr>
    </w:lvl>
    <w:lvl w:ilvl="1" w:tentative="0">
      <w:start w:val="1"/>
      <w:numFmt w:val="decimal"/>
      <w:pStyle w:val="238"/>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8">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2C5917C3"/>
    <w:multiLevelType w:val="multilevel"/>
    <w:tmpl w:val="2C5917C3"/>
    <w:lvl w:ilvl="0" w:tentative="0">
      <w:start w:val="1"/>
      <w:numFmt w:val="none"/>
      <w:pStyle w:val="135"/>
      <w:lvlText w:val="%1——"/>
      <w:lvlJc w:val="left"/>
      <w:pPr>
        <w:tabs>
          <w:tab w:val="left" w:pos="851"/>
        </w:tabs>
        <w:ind w:left="851" w:hanging="426"/>
      </w:pPr>
      <w:rPr>
        <w:rFonts w:hint="default" w:ascii="Times New Roman" w:hAnsi="Times New Roman" w:eastAsia="宋体" w:cs="Times New Roman"/>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5CBFB8DD"/>
    <w:multiLevelType w:val="singleLevel"/>
    <w:tmpl w:val="5CBFB8DD"/>
    <w:lvl w:ilvl="0" w:tentative="0">
      <w:start w:val="1"/>
      <w:numFmt w:val="lowerLetter"/>
      <w:lvlText w:val="%1)"/>
      <w:lvlJc w:val="left"/>
      <w:pPr>
        <w:tabs>
          <w:tab w:val="left" w:pos="312"/>
        </w:tabs>
      </w:pPr>
    </w:lvl>
  </w:abstractNum>
  <w:abstractNum w:abstractNumId="22">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4">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5">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7">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8">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284"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0">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1">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2">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9"/>
  </w:num>
  <w:num w:numId="3">
    <w:abstractNumId w:val="5"/>
  </w:num>
  <w:num w:numId="4">
    <w:abstractNumId w:val="25"/>
  </w:num>
  <w:num w:numId="5">
    <w:abstractNumId w:val="19"/>
  </w:num>
  <w:num w:numId="6">
    <w:abstractNumId w:val="14"/>
  </w:num>
  <w:num w:numId="7">
    <w:abstractNumId w:val="9"/>
  </w:num>
  <w:num w:numId="8">
    <w:abstractNumId w:val="3"/>
  </w:num>
  <w:num w:numId="9">
    <w:abstractNumId w:val="10"/>
  </w:num>
  <w:num w:numId="10">
    <w:abstractNumId w:val="17"/>
  </w:num>
  <w:num w:numId="11">
    <w:abstractNumId w:val="27"/>
  </w:num>
  <w:num w:numId="12">
    <w:abstractNumId w:val="12"/>
  </w:num>
  <w:num w:numId="13">
    <w:abstractNumId w:val="13"/>
  </w:num>
  <w:num w:numId="14">
    <w:abstractNumId w:val="8"/>
  </w:num>
  <w:num w:numId="15">
    <w:abstractNumId w:val="20"/>
  </w:num>
  <w:num w:numId="16">
    <w:abstractNumId w:val="23"/>
  </w:num>
  <w:num w:numId="17">
    <w:abstractNumId w:val="18"/>
  </w:num>
  <w:num w:numId="18">
    <w:abstractNumId w:val="31"/>
  </w:num>
  <w:num w:numId="19">
    <w:abstractNumId w:val="16"/>
  </w:num>
  <w:num w:numId="20">
    <w:abstractNumId w:val="1"/>
  </w:num>
  <w:num w:numId="21">
    <w:abstractNumId w:val="11"/>
  </w:num>
  <w:num w:numId="22">
    <w:abstractNumId w:val="32"/>
  </w:num>
  <w:num w:numId="23">
    <w:abstractNumId w:val="22"/>
  </w:num>
  <w:num w:numId="24">
    <w:abstractNumId w:val="6"/>
  </w:num>
  <w:num w:numId="25">
    <w:abstractNumId w:val="28"/>
  </w:num>
  <w:num w:numId="26">
    <w:abstractNumId w:val="30"/>
  </w:num>
  <w:num w:numId="27">
    <w:abstractNumId w:val="2"/>
  </w:num>
  <w:num w:numId="28">
    <w:abstractNumId w:val="4"/>
  </w:num>
  <w:num w:numId="29">
    <w:abstractNumId w:val="15"/>
  </w:num>
  <w:num w:numId="30">
    <w:abstractNumId w:val="26"/>
  </w:num>
  <w:num w:numId="31">
    <w:abstractNumId w:val="24"/>
  </w:num>
  <w:num w:numId="32">
    <w:abstractNumId w:val="7"/>
  </w:num>
  <w:num w:numId="33">
    <w:abstractNumId w:val="21"/>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陈凌">
    <w15:presenceInfo w15:providerId="None" w15:userId="陈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attachedTemplate r:id="rId1"/>
  <w:documentProtection w:edit="forms" w:enforcement="0"/>
  <w:defaultTabStop w:val="420"/>
  <w:drawingGridHorizontalSpacing w:val="105"/>
  <w:drawingGridVerticalSpacing w:val="16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EwNThhYWMxNTM2NjNhOTQ4MGM5MDUzM2M4N2E0NDEifQ=="/>
  </w:docVars>
  <w:rsids>
    <w:rsidRoot w:val="00546234"/>
    <w:rsid w:val="0000040A"/>
    <w:rsid w:val="00000A94"/>
    <w:rsid w:val="00001972"/>
    <w:rsid w:val="00001D9A"/>
    <w:rsid w:val="00003CDA"/>
    <w:rsid w:val="00007B3A"/>
    <w:rsid w:val="000107E0"/>
    <w:rsid w:val="00011FDE"/>
    <w:rsid w:val="00012FFD"/>
    <w:rsid w:val="00014162"/>
    <w:rsid w:val="00014340"/>
    <w:rsid w:val="00016A9C"/>
    <w:rsid w:val="00022184"/>
    <w:rsid w:val="00022762"/>
    <w:rsid w:val="000238E0"/>
    <w:rsid w:val="000249DB"/>
    <w:rsid w:val="0002595E"/>
    <w:rsid w:val="000262BB"/>
    <w:rsid w:val="00026BBF"/>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A81"/>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5A61"/>
    <w:rsid w:val="000B6A0B"/>
    <w:rsid w:val="000C0F6C"/>
    <w:rsid w:val="000C11DB"/>
    <w:rsid w:val="000C1492"/>
    <w:rsid w:val="000C2FBD"/>
    <w:rsid w:val="000C449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1D71"/>
    <w:rsid w:val="000F4AEA"/>
    <w:rsid w:val="000F633F"/>
    <w:rsid w:val="000F67E9"/>
    <w:rsid w:val="00104926"/>
    <w:rsid w:val="00104F22"/>
    <w:rsid w:val="00105C44"/>
    <w:rsid w:val="00113B1E"/>
    <w:rsid w:val="0011711C"/>
    <w:rsid w:val="0012059C"/>
    <w:rsid w:val="00124E4F"/>
    <w:rsid w:val="001260B7"/>
    <w:rsid w:val="001265CB"/>
    <w:rsid w:val="001321C6"/>
    <w:rsid w:val="001325C4"/>
    <w:rsid w:val="00133010"/>
    <w:rsid w:val="001338EE"/>
    <w:rsid w:val="00133AAE"/>
    <w:rsid w:val="00133FB0"/>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5DF4"/>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53A"/>
    <w:rsid w:val="001E4882"/>
    <w:rsid w:val="001E73AB"/>
    <w:rsid w:val="001E78C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436A"/>
    <w:rsid w:val="0020527B"/>
    <w:rsid w:val="00205F2C"/>
    <w:rsid w:val="00210B15"/>
    <w:rsid w:val="002142EA"/>
    <w:rsid w:val="002147B9"/>
    <w:rsid w:val="002204BB"/>
    <w:rsid w:val="00220C2E"/>
    <w:rsid w:val="002214B5"/>
    <w:rsid w:val="00221B79"/>
    <w:rsid w:val="00221C6B"/>
    <w:rsid w:val="002253A1"/>
    <w:rsid w:val="00225CF8"/>
    <w:rsid w:val="0022794E"/>
    <w:rsid w:val="00233469"/>
    <w:rsid w:val="00233D64"/>
    <w:rsid w:val="0023423A"/>
    <w:rsid w:val="0023482A"/>
    <w:rsid w:val="002359CB"/>
    <w:rsid w:val="0023697B"/>
    <w:rsid w:val="00243540"/>
    <w:rsid w:val="0024497B"/>
    <w:rsid w:val="0024515B"/>
    <w:rsid w:val="00246021"/>
    <w:rsid w:val="0024666E"/>
    <w:rsid w:val="00247F52"/>
    <w:rsid w:val="00250B25"/>
    <w:rsid w:val="00250BBE"/>
    <w:rsid w:val="002515C2"/>
    <w:rsid w:val="0025194F"/>
    <w:rsid w:val="002521C6"/>
    <w:rsid w:val="00260A25"/>
    <w:rsid w:val="0026148A"/>
    <w:rsid w:val="00262696"/>
    <w:rsid w:val="00263D25"/>
    <w:rsid w:val="002643C3"/>
    <w:rsid w:val="00264A0C"/>
    <w:rsid w:val="00266EEB"/>
    <w:rsid w:val="00267EF4"/>
    <w:rsid w:val="00270CB8"/>
    <w:rsid w:val="00272B08"/>
    <w:rsid w:val="002767AB"/>
    <w:rsid w:val="002771AC"/>
    <w:rsid w:val="00277EA1"/>
    <w:rsid w:val="00281BB8"/>
    <w:rsid w:val="00281E9E"/>
    <w:rsid w:val="00282327"/>
    <w:rsid w:val="00282405"/>
    <w:rsid w:val="0028295E"/>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60A"/>
    <w:rsid w:val="002B0C40"/>
    <w:rsid w:val="002B1966"/>
    <w:rsid w:val="002B4508"/>
    <w:rsid w:val="002B5779"/>
    <w:rsid w:val="002B6F77"/>
    <w:rsid w:val="002B7332"/>
    <w:rsid w:val="002B7F51"/>
    <w:rsid w:val="002C09E7"/>
    <w:rsid w:val="002C1E06"/>
    <w:rsid w:val="002C1E1C"/>
    <w:rsid w:val="002C3F07"/>
    <w:rsid w:val="002C4728"/>
    <w:rsid w:val="002C5278"/>
    <w:rsid w:val="002C7EBB"/>
    <w:rsid w:val="002D06C1"/>
    <w:rsid w:val="002D42B5"/>
    <w:rsid w:val="002D4F1A"/>
    <w:rsid w:val="002D66F5"/>
    <w:rsid w:val="002D6EC6"/>
    <w:rsid w:val="002D79AC"/>
    <w:rsid w:val="002E039D"/>
    <w:rsid w:val="002E3F14"/>
    <w:rsid w:val="002E4D5A"/>
    <w:rsid w:val="002E6326"/>
    <w:rsid w:val="002F30E0"/>
    <w:rsid w:val="002F35E4"/>
    <w:rsid w:val="002F3730"/>
    <w:rsid w:val="002F38E1"/>
    <w:rsid w:val="002F7AF6"/>
    <w:rsid w:val="00300E63"/>
    <w:rsid w:val="00302F5F"/>
    <w:rsid w:val="0030441D"/>
    <w:rsid w:val="00306063"/>
    <w:rsid w:val="00306A51"/>
    <w:rsid w:val="00313B85"/>
    <w:rsid w:val="00314BBA"/>
    <w:rsid w:val="003157D6"/>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5465A"/>
    <w:rsid w:val="003615D2"/>
    <w:rsid w:val="0036429C"/>
    <w:rsid w:val="00364A53"/>
    <w:rsid w:val="003654CB"/>
    <w:rsid w:val="00365AA9"/>
    <w:rsid w:val="00365F86"/>
    <w:rsid w:val="00365F87"/>
    <w:rsid w:val="00366E89"/>
    <w:rsid w:val="003705F4"/>
    <w:rsid w:val="00370D58"/>
    <w:rsid w:val="00371316"/>
    <w:rsid w:val="00376713"/>
    <w:rsid w:val="00377392"/>
    <w:rsid w:val="00381815"/>
    <w:rsid w:val="003819AF"/>
    <w:rsid w:val="003820E9"/>
    <w:rsid w:val="00382DE7"/>
    <w:rsid w:val="00384FFC"/>
    <w:rsid w:val="003872FC"/>
    <w:rsid w:val="00387ADC"/>
    <w:rsid w:val="00390020"/>
    <w:rsid w:val="003903D6"/>
    <w:rsid w:val="00390957"/>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E7AA3"/>
    <w:rsid w:val="003F0841"/>
    <w:rsid w:val="003F23D3"/>
    <w:rsid w:val="003F3F08"/>
    <w:rsid w:val="003F49F1"/>
    <w:rsid w:val="003F6272"/>
    <w:rsid w:val="00400E72"/>
    <w:rsid w:val="00401400"/>
    <w:rsid w:val="00404869"/>
    <w:rsid w:val="00405884"/>
    <w:rsid w:val="00407D39"/>
    <w:rsid w:val="00407D9C"/>
    <w:rsid w:val="0041477A"/>
    <w:rsid w:val="00415B76"/>
    <w:rsid w:val="004167A3"/>
    <w:rsid w:val="00432DAA"/>
    <w:rsid w:val="00434305"/>
    <w:rsid w:val="00435DF7"/>
    <w:rsid w:val="00437AEA"/>
    <w:rsid w:val="0044083F"/>
    <w:rsid w:val="00441AE7"/>
    <w:rsid w:val="00445574"/>
    <w:rsid w:val="004467FB"/>
    <w:rsid w:val="00447F89"/>
    <w:rsid w:val="00452D6B"/>
    <w:rsid w:val="00454484"/>
    <w:rsid w:val="0045517B"/>
    <w:rsid w:val="00463B77"/>
    <w:rsid w:val="00463C7B"/>
    <w:rsid w:val="004644A6"/>
    <w:rsid w:val="004659BD"/>
    <w:rsid w:val="00470775"/>
    <w:rsid w:val="004746B1"/>
    <w:rsid w:val="0047583F"/>
    <w:rsid w:val="00475DE8"/>
    <w:rsid w:val="00481C44"/>
    <w:rsid w:val="00482FDD"/>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A9A"/>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3FF0"/>
    <w:rsid w:val="004F6456"/>
    <w:rsid w:val="004F696E"/>
    <w:rsid w:val="004F6C71"/>
    <w:rsid w:val="00501139"/>
    <w:rsid w:val="0050363E"/>
    <w:rsid w:val="005039BC"/>
    <w:rsid w:val="005043BB"/>
    <w:rsid w:val="00504A3D"/>
    <w:rsid w:val="00505767"/>
    <w:rsid w:val="005073F0"/>
    <w:rsid w:val="00510A7B"/>
    <w:rsid w:val="00512F6E"/>
    <w:rsid w:val="00513038"/>
    <w:rsid w:val="005134DF"/>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6234"/>
    <w:rsid w:val="005479DA"/>
    <w:rsid w:val="00547BCC"/>
    <w:rsid w:val="0055013B"/>
    <w:rsid w:val="00551F6F"/>
    <w:rsid w:val="00555044"/>
    <w:rsid w:val="00557CC6"/>
    <w:rsid w:val="00561475"/>
    <w:rsid w:val="0056487B"/>
    <w:rsid w:val="00564FB9"/>
    <w:rsid w:val="00573D9E"/>
    <w:rsid w:val="005779C6"/>
    <w:rsid w:val="00577AEC"/>
    <w:rsid w:val="005801E3"/>
    <w:rsid w:val="00581802"/>
    <w:rsid w:val="005836A8"/>
    <w:rsid w:val="0058409C"/>
    <w:rsid w:val="00584262"/>
    <w:rsid w:val="00586630"/>
    <w:rsid w:val="00587ADD"/>
    <w:rsid w:val="00591E27"/>
    <w:rsid w:val="0059326D"/>
    <w:rsid w:val="00596160"/>
    <w:rsid w:val="005966E2"/>
    <w:rsid w:val="00597007"/>
    <w:rsid w:val="005A0966"/>
    <w:rsid w:val="005A11B7"/>
    <w:rsid w:val="005A260B"/>
    <w:rsid w:val="005A4A1B"/>
    <w:rsid w:val="005A7830"/>
    <w:rsid w:val="005A7FCE"/>
    <w:rsid w:val="005B0F3F"/>
    <w:rsid w:val="005B487B"/>
    <w:rsid w:val="005B4903"/>
    <w:rsid w:val="005B51CE"/>
    <w:rsid w:val="005B5885"/>
    <w:rsid w:val="005B5CD7"/>
    <w:rsid w:val="005B6CF6"/>
    <w:rsid w:val="005B7422"/>
    <w:rsid w:val="005C29B8"/>
    <w:rsid w:val="005C5F21"/>
    <w:rsid w:val="005C7156"/>
    <w:rsid w:val="005D0C75"/>
    <w:rsid w:val="005D4171"/>
    <w:rsid w:val="005D5D73"/>
    <w:rsid w:val="005D6A95"/>
    <w:rsid w:val="005D6B2C"/>
    <w:rsid w:val="005D6D9C"/>
    <w:rsid w:val="005E2335"/>
    <w:rsid w:val="005E34CA"/>
    <w:rsid w:val="005E3C18"/>
    <w:rsid w:val="005E6812"/>
    <w:rsid w:val="005E7881"/>
    <w:rsid w:val="005E78E0"/>
    <w:rsid w:val="005F0D9C"/>
    <w:rsid w:val="005F284E"/>
    <w:rsid w:val="005F4712"/>
    <w:rsid w:val="005F6E8A"/>
    <w:rsid w:val="006015CE"/>
    <w:rsid w:val="00604784"/>
    <w:rsid w:val="00606419"/>
    <w:rsid w:val="00607D29"/>
    <w:rsid w:val="00612952"/>
    <w:rsid w:val="00614CC1"/>
    <w:rsid w:val="00615A9D"/>
    <w:rsid w:val="00617387"/>
    <w:rsid w:val="006205D6"/>
    <w:rsid w:val="006252D8"/>
    <w:rsid w:val="00625898"/>
    <w:rsid w:val="006259BC"/>
    <w:rsid w:val="0062636B"/>
    <w:rsid w:val="00632182"/>
    <w:rsid w:val="00632AE0"/>
    <w:rsid w:val="00633C17"/>
    <w:rsid w:val="00634D9E"/>
    <w:rsid w:val="00635E9F"/>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2E84"/>
    <w:rsid w:val="00673879"/>
    <w:rsid w:val="006770F4"/>
    <w:rsid w:val="00677A84"/>
    <w:rsid w:val="0068026D"/>
    <w:rsid w:val="00680A27"/>
    <w:rsid w:val="006816A4"/>
    <w:rsid w:val="006819B8"/>
    <w:rsid w:val="006840A6"/>
    <w:rsid w:val="006850CD"/>
    <w:rsid w:val="00685AAB"/>
    <w:rsid w:val="00695D22"/>
    <w:rsid w:val="006A07AA"/>
    <w:rsid w:val="006A160B"/>
    <w:rsid w:val="006A25E5"/>
    <w:rsid w:val="006A2B46"/>
    <w:rsid w:val="006A336D"/>
    <w:rsid w:val="006A37B9"/>
    <w:rsid w:val="006A500C"/>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C46"/>
    <w:rsid w:val="006D3E96"/>
    <w:rsid w:val="006D4515"/>
    <w:rsid w:val="006D4BB1"/>
    <w:rsid w:val="006D574B"/>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15EA8"/>
    <w:rsid w:val="00722FBF"/>
    <w:rsid w:val="00722FC2"/>
    <w:rsid w:val="00724879"/>
    <w:rsid w:val="00724E1B"/>
    <w:rsid w:val="00725949"/>
    <w:rsid w:val="00727FA2"/>
    <w:rsid w:val="00731D9E"/>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059C"/>
    <w:rsid w:val="00773C1F"/>
    <w:rsid w:val="00774DA4"/>
    <w:rsid w:val="00776262"/>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6F96"/>
    <w:rsid w:val="007B7453"/>
    <w:rsid w:val="007B7979"/>
    <w:rsid w:val="007C1E8B"/>
    <w:rsid w:val="007C2D89"/>
    <w:rsid w:val="007C4593"/>
    <w:rsid w:val="007C5309"/>
    <w:rsid w:val="007C6069"/>
    <w:rsid w:val="007D06C4"/>
    <w:rsid w:val="007D1352"/>
    <w:rsid w:val="007D2508"/>
    <w:rsid w:val="007D346A"/>
    <w:rsid w:val="007D6518"/>
    <w:rsid w:val="007D6C24"/>
    <w:rsid w:val="007D76BD"/>
    <w:rsid w:val="007E0BF1"/>
    <w:rsid w:val="007F0ED8"/>
    <w:rsid w:val="007F0F63"/>
    <w:rsid w:val="007F75CE"/>
    <w:rsid w:val="008013A4"/>
    <w:rsid w:val="008013DD"/>
    <w:rsid w:val="008027CE"/>
    <w:rsid w:val="00802F42"/>
    <w:rsid w:val="00804383"/>
    <w:rsid w:val="00804BB7"/>
    <w:rsid w:val="00804D41"/>
    <w:rsid w:val="0080694F"/>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27206"/>
    <w:rsid w:val="00830621"/>
    <w:rsid w:val="0083348C"/>
    <w:rsid w:val="008373D3"/>
    <w:rsid w:val="00840617"/>
    <w:rsid w:val="00840F84"/>
    <w:rsid w:val="00842A47"/>
    <w:rsid w:val="00843C13"/>
    <w:rsid w:val="008454F8"/>
    <w:rsid w:val="00850567"/>
    <w:rsid w:val="00850FE6"/>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D7F55"/>
    <w:rsid w:val="008E0C9D"/>
    <w:rsid w:val="008E1648"/>
    <w:rsid w:val="008E1B3E"/>
    <w:rsid w:val="008E2319"/>
    <w:rsid w:val="008E4BB6"/>
    <w:rsid w:val="008E5518"/>
    <w:rsid w:val="008E6A84"/>
    <w:rsid w:val="008F0173"/>
    <w:rsid w:val="008F0CDC"/>
    <w:rsid w:val="008F17A3"/>
    <w:rsid w:val="008F1ED3"/>
    <w:rsid w:val="008F23A5"/>
    <w:rsid w:val="008F4C29"/>
    <w:rsid w:val="008F70BD"/>
    <w:rsid w:val="008F788F"/>
    <w:rsid w:val="008F7EA2"/>
    <w:rsid w:val="0090221D"/>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34958"/>
    <w:rsid w:val="00940E79"/>
    <w:rsid w:val="009429D5"/>
    <w:rsid w:val="00942BF1"/>
    <w:rsid w:val="00944DC8"/>
    <w:rsid w:val="00945180"/>
    <w:rsid w:val="00945428"/>
    <w:rsid w:val="0094607B"/>
    <w:rsid w:val="00950D6D"/>
    <w:rsid w:val="009533AA"/>
    <w:rsid w:val="00953604"/>
    <w:rsid w:val="0095496B"/>
    <w:rsid w:val="009610DC"/>
    <w:rsid w:val="00961490"/>
    <w:rsid w:val="0096381A"/>
    <w:rsid w:val="00965E04"/>
    <w:rsid w:val="009674AD"/>
    <w:rsid w:val="00970CDC"/>
    <w:rsid w:val="00977010"/>
    <w:rsid w:val="00977D02"/>
    <w:rsid w:val="00980620"/>
    <w:rsid w:val="009809BB"/>
    <w:rsid w:val="00982DC1"/>
    <w:rsid w:val="0098364B"/>
    <w:rsid w:val="009911AF"/>
    <w:rsid w:val="00991875"/>
    <w:rsid w:val="00991F92"/>
    <w:rsid w:val="00992985"/>
    <w:rsid w:val="00993889"/>
    <w:rsid w:val="0099551B"/>
    <w:rsid w:val="00997BF1"/>
    <w:rsid w:val="009A05C9"/>
    <w:rsid w:val="009A089C"/>
    <w:rsid w:val="009A118E"/>
    <w:rsid w:val="009A21CD"/>
    <w:rsid w:val="009A278C"/>
    <w:rsid w:val="009A2BC2"/>
    <w:rsid w:val="009A42C1"/>
    <w:rsid w:val="009A5429"/>
    <w:rsid w:val="009A72AD"/>
    <w:rsid w:val="009B09E0"/>
    <w:rsid w:val="009B0BC5"/>
    <w:rsid w:val="009B1247"/>
    <w:rsid w:val="009B46F9"/>
    <w:rsid w:val="009B5F51"/>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44B1"/>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17D"/>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25DA"/>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2464"/>
    <w:rsid w:val="00B4346D"/>
    <w:rsid w:val="00B440F4"/>
    <w:rsid w:val="00B447A5"/>
    <w:rsid w:val="00B45780"/>
    <w:rsid w:val="00B4654C"/>
    <w:rsid w:val="00B46AF0"/>
    <w:rsid w:val="00B47293"/>
    <w:rsid w:val="00B50E50"/>
    <w:rsid w:val="00B52120"/>
    <w:rsid w:val="00B54ABC"/>
    <w:rsid w:val="00B54DDE"/>
    <w:rsid w:val="00B56FBE"/>
    <w:rsid w:val="00B60ACF"/>
    <w:rsid w:val="00B62B58"/>
    <w:rsid w:val="00B65149"/>
    <w:rsid w:val="00B652B3"/>
    <w:rsid w:val="00B66567"/>
    <w:rsid w:val="00B66F52"/>
    <w:rsid w:val="00B66FE5"/>
    <w:rsid w:val="00B72880"/>
    <w:rsid w:val="00B758BF"/>
    <w:rsid w:val="00B77EC8"/>
    <w:rsid w:val="00B827A6"/>
    <w:rsid w:val="00B831CE"/>
    <w:rsid w:val="00B86677"/>
    <w:rsid w:val="00B87131"/>
    <w:rsid w:val="00B922CC"/>
    <w:rsid w:val="00B939B1"/>
    <w:rsid w:val="00B96D40"/>
    <w:rsid w:val="00B97386"/>
    <w:rsid w:val="00BA263B"/>
    <w:rsid w:val="00BA32BD"/>
    <w:rsid w:val="00BA42B2"/>
    <w:rsid w:val="00BA58D4"/>
    <w:rsid w:val="00BA5B9E"/>
    <w:rsid w:val="00BA7C9A"/>
    <w:rsid w:val="00BB203B"/>
    <w:rsid w:val="00BB5F8F"/>
    <w:rsid w:val="00BB6357"/>
    <w:rsid w:val="00BB657A"/>
    <w:rsid w:val="00BC1A4E"/>
    <w:rsid w:val="00BC231D"/>
    <w:rsid w:val="00BC4790"/>
    <w:rsid w:val="00BC5DC7"/>
    <w:rsid w:val="00BC6B8B"/>
    <w:rsid w:val="00BC73D8"/>
    <w:rsid w:val="00BD1D43"/>
    <w:rsid w:val="00BD52D7"/>
    <w:rsid w:val="00BD5AD2"/>
    <w:rsid w:val="00BE22F3"/>
    <w:rsid w:val="00BE5B52"/>
    <w:rsid w:val="00BE7B8D"/>
    <w:rsid w:val="00BF0993"/>
    <w:rsid w:val="00BF10A9"/>
    <w:rsid w:val="00BF1703"/>
    <w:rsid w:val="00BF231C"/>
    <w:rsid w:val="00BF51E5"/>
    <w:rsid w:val="00BF6F08"/>
    <w:rsid w:val="00BF74A6"/>
    <w:rsid w:val="00C013AD"/>
    <w:rsid w:val="00C0422D"/>
    <w:rsid w:val="00C04904"/>
    <w:rsid w:val="00C056B3"/>
    <w:rsid w:val="00C103E5"/>
    <w:rsid w:val="00C115CB"/>
    <w:rsid w:val="00C13319"/>
    <w:rsid w:val="00C13EE9"/>
    <w:rsid w:val="00C21540"/>
    <w:rsid w:val="00C21906"/>
    <w:rsid w:val="00C21BFA"/>
    <w:rsid w:val="00C22148"/>
    <w:rsid w:val="00C24C8D"/>
    <w:rsid w:val="00C25FE2"/>
    <w:rsid w:val="00C26B53"/>
    <w:rsid w:val="00C279B2"/>
    <w:rsid w:val="00C31F9A"/>
    <w:rsid w:val="00C33E50"/>
    <w:rsid w:val="00C34C20"/>
    <w:rsid w:val="00C35A3E"/>
    <w:rsid w:val="00C36D24"/>
    <w:rsid w:val="00C42130"/>
    <w:rsid w:val="00C423A4"/>
    <w:rsid w:val="00C44BF5"/>
    <w:rsid w:val="00C521D6"/>
    <w:rsid w:val="00C5225D"/>
    <w:rsid w:val="00C53928"/>
    <w:rsid w:val="00C55232"/>
    <w:rsid w:val="00C553A4"/>
    <w:rsid w:val="00C55A06"/>
    <w:rsid w:val="00C55D03"/>
    <w:rsid w:val="00C601BC"/>
    <w:rsid w:val="00C6329F"/>
    <w:rsid w:val="00C63340"/>
    <w:rsid w:val="00C643F9"/>
    <w:rsid w:val="00C64E95"/>
    <w:rsid w:val="00C71372"/>
    <w:rsid w:val="00C72410"/>
    <w:rsid w:val="00C7287F"/>
    <w:rsid w:val="00C72D5B"/>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4B5E"/>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E673C"/>
    <w:rsid w:val="00CF048A"/>
    <w:rsid w:val="00CF155A"/>
    <w:rsid w:val="00CF2947"/>
    <w:rsid w:val="00CF686F"/>
    <w:rsid w:val="00CF68BC"/>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4A02"/>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6DDA"/>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0DB2"/>
    <w:rsid w:val="00DE2410"/>
    <w:rsid w:val="00DE2802"/>
    <w:rsid w:val="00DE2939"/>
    <w:rsid w:val="00DE688C"/>
    <w:rsid w:val="00DE6E81"/>
    <w:rsid w:val="00DE703F"/>
    <w:rsid w:val="00DE7595"/>
    <w:rsid w:val="00DF1961"/>
    <w:rsid w:val="00DF44DE"/>
    <w:rsid w:val="00DF5F11"/>
    <w:rsid w:val="00DF70F9"/>
    <w:rsid w:val="00E01138"/>
    <w:rsid w:val="00E02DFB"/>
    <w:rsid w:val="00E030F9"/>
    <w:rsid w:val="00E0311A"/>
    <w:rsid w:val="00E03138"/>
    <w:rsid w:val="00E04BDB"/>
    <w:rsid w:val="00E06404"/>
    <w:rsid w:val="00E065D2"/>
    <w:rsid w:val="00E10A09"/>
    <w:rsid w:val="00E11A85"/>
    <w:rsid w:val="00E12495"/>
    <w:rsid w:val="00E15CCD"/>
    <w:rsid w:val="00E202EF"/>
    <w:rsid w:val="00E20D91"/>
    <w:rsid w:val="00E210B5"/>
    <w:rsid w:val="00E23D99"/>
    <w:rsid w:val="00E2552F"/>
    <w:rsid w:val="00E26A13"/>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48C3"/>
    <w:rsid w:val="00EC5359"/>
    <w:rsid w:val="00EC562A"/>
    <w:rsid w:val="00ED067A"/>
    <w:rsid w:val="00ED2B50"/>
    <w:rsid w:val="00EE0350"/>
    <w:rsid w:val="00EE0719"/>
    <w:rsid w:val="00EE0E80"/>
    <w:rsid w:val="00EE54A6"/>
    <w:rsid w:val="00EE60D7"/>
    <w:rsid w:val="00EE613F"/>
    <w:rsid w:val="00EE7295"/>
    <w:rsid w:val="00EE7869"/>
    <w:rsid w:val="00EF054A"/>
    <w:rsid w:val="00EF3235"/>
    <w:rsid w:val="00EF3A5E"/>
    <w:rsid w:val="00EF7E72"/>
    <w:rsid w:val="00F06D37"/>
    <w:rsid w:val="00F07B9D"/>
    <w:rsid w:val="00F102B1"/>
    <w:rsid w:val="00F11586"/>
    <w:rsid w:val="00F1183B"/>
    <w:rsid w:val="00F11C9F"/>
    <w:rsid w:val="00F12263"/>
    <w:rsid w:val="00F1409D"/>
    <w:rsid w:val="00F14214"/>
    <w:rsid w:val="00F157A9"/>
    <w:rsid w:val="00F17E58"/>
    <w:rsid w:val="00F24CA1"/>
    <w:rsid w:val="00F25BB6"/>
    <w:rsid w:val="00F26B7E"/>
    <w:rsid w:val="00F27A3B"/>
    <w:rsid w:val="00F30389"/>
    <w:rsid w:val="00F33817"/>
    <w:rsid w:val="00F420D5"/>
    <w:rsid w:val="00F44553"/>
    <w:rsid w:val="00F451EA"/>
    <w:rsid w:val="00F45447"/>
    <w:rsid w:val="00F456C6"/>
    <w:rsid w:val="00F4577B"/>
    <w:rsid w:val="00F46496"/>
    <w:rsid w:val="00F474D0"/>
    <w:rsid w:val="00F50179"/>
    <w:rsid w:val="00F515EE"/>
    <w:rsid w:val="00F5626A"/>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2496"/>
    <w:rsid w:val="00FB45F1"/>
    <w:rsid w:val="00FB4A72"/>
    <w:rsid w:val="00FB54E8"/>
    <w:rsid w:val="00FB7054"/>
    <w:rsid w:val="00FC17B7"/>
    <w:rsid w:val="00FC2CB7"/>
    <w:rsid w:val="00FC4090"/>
    <w:rsid w:val="00FC55B4"/>
    <w:rsid w:val="00FC6329"/>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3A009B"/>
    <w:rsid w:val="03E94B2B"/>
    <w:rsid w:val="059E3815"/>
    <w:rsid w:val="06205176"/>
    <w:rsid w:val="08E51E2F"/>
    <w:rsid w:val="0ACE05D7"/>
    <w:rsid w:val="0E315E40"/>
    <w:rsid w:val="0EED5F93"/>
    <w:rsid w:val="14577089"/>
    <w:rsid w:val="19532B19"/>
    <w:rsid w:val="1AF90B82"/>
    <w:rsid w:val="1F820729"/>
    <w:rsid w:val="20F718EC"/>
    <w:rsid w:val="27526EE3"/>
    <w:rsid w:val="28D56B7C"/>
    <w:rsid w:val="2AA0113E"/>
    <w:rsid w:val="2CD10204"/>
    <w:rsid w:val="2E4662EC"/>
    <w:rsid w:val="2E9B3506"/>
    <w:rsid w:val="2F6F62AF"/>
    <w:rsid w:val="30F17173"/>
    <w:rsid w:val="33B02BBB"/>
    <w:rsid w:val="364A0BAA"/>
    <w:rsid w:val="382D296F"/>
    <w:rsid w:val="39C26FB5"/>
    <w:rsid w:val="3AA0523C"/>
    <w:rsid w:val="3AF921ED"/>
    <w:rsid w:val="43CD0A4B"/>
    <w:rsid w:val="44395B7B"/>
    <w:rsid w:val="46B025D0"/>
    <w:rsid w:val="46E12E64"/>
    <w:rsid w:val="489108BA"/>
    <w:rsid w:val="52A955AB"/>
    <w:rsid w:val="535A429A"/>
    <w:rsid w:val="54AB2D04"/>
    <w:rsid w:val="555E131C"/>
    <w:rsid w:val="55DE0BC0"/>
    <w:rsid w:val="58C056F3"/>
    <w:rsid w:val="58CD28E9"/>
    <w:rsid w:val="592F675E"/>
    <w:rsid w:val="5F812209"/>
    <w:rsid w:val="601A6C02"/>
    <w:rsid w:val="61D50B1E"/>
    <w:rsid w:val="6A6807A7"/>
    <w:rsid w:val="6F492838"/>
    <w:rsid w:val="74A04F88"/>
    <w:rsid w:val="79C618C2"/>
    <w:rsid w:val="7B2D7E02"/>
    <w:rsid w:val="7D0C3A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1"/>
      <w:lang w:val="en-US" w:eastAsia="zh-CN" w:bidi="ar-SA"/>
    </w:rPr>
  </w:style>
  <w:style w:type="paragraph" w:styleId="3">
    <w:name w:val="heading 1"/>
    <w:basedOn w:val="1"/>
    <w:next w:val="1"/>
    <w:link w:val="37"/>
    <w:qFormat/>
    <w:uiPriority w:val="0"/>
    <w:pPr>
      <w:keepNext/>
      <w:keepLines/>
      <w:adjustRightInd w:val="0"/>
      <w:spacing w:before="340" w:after="330" w:line="578" w:lineRule="auto"/>
      <w:outlineLvl w:val="0"/>
    </w:pPr>
    <w:rPr>
      <w:b/>
      <w:bCs/>
      <w:kern w:val="44"/>
      <w:sz w:val="44"/>
      <w:szCs w:val="44"/>
    </w:rPr>
  </w:style>
  <w:style w:type="paragraph" w:styleId="4">
    <w:name w:val="heading 2"/>
    <w:basedOn w:val="1"/>
    <w:next w:val="1"/>
    <w:link w:val="38"/>
    <w:qFormat/>
    <w:uiPriority w:val="0"/>
    <w:pPr>
      <w:keepNext/>
      <w:keepLines/>
      <w:adjustRightInd w:val="0"/>
      <w:spacing w:before="260" w:after="260" w:line="416" w:lineRule="auto"/>
      <w:outlineLvl w:val="1"/>
    </w:pPr>
    <w:rPr>
      <w:rFonts w:ascii="Arial" w:hAnsi="Arial" w:eastAsia="黑体"/>
      <w:b/>
      <w:bCs/>
      <w:sz w:val="32"/>
      <w:szCs w:val="32"/>
    </w:rPr>
  </w:style>
  <w:style w:type="paragraph" w:styleId="5">
    <w:name w:val="heading 3"/>
    <w:basedOn w:val="1"/>
    <w:next w:val="1"/>
    <w:link w:val="39"/>
    <w:qFormat/>
    <w:uiPriority w:val="0"/>
    <w:pPr>
      <w:keepNext/>
      <w:keepLines/>
      <w:adjustRightInd w:val="0"/>
      <w:spacing w:before="260" w:after="260" w:line="416" w:lineRule="auto"/>
      <w:outlineLvl w:val="2"/>
    </w:pPr>
    <w:rPr>
      <w:b/>
      <w:bCs/>
      <w:sz w:val="32"/>
      <w:szCs w:val="32"/>
    </w:rPr>
  </w:style>
  <w:style w:type="paragraph" w:styleId="2">
    <w:name w:val="heading 4"/>
    <w:basedOn w:val="1"/>
    <w:next w:val="1"/>
    <w:link w:val="40"/>
    <w:qFormat/>
    <w:uiPriority w:val="0"/>
    <w:pPr>
      <w:keepNext/>
      <w:keepLines/>
      <w:adjustRightInd w:val="0"/>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spacing w:before="280" w:after="290" w:line="376" w:lineRule="auto"/>
      <w:outlineLvl w:val="4"/>
    </w:pPr>
    <w:rPr>
      <w:b/>
      <w:bCs/>
      <w:sz w:val="28"/>
      <w:szCs w:val="28"/>
    </w:rPr>
  </w:style>
  <w:style w:type="paragraph" w:styleId="7">
    <w:name w:val="heading 6"/>
    <w:basedOn w:val="1"/>
    <w:next w:val="1"/>
    <w:link w:val="42"/>
    <w:qFormat/>
    <w:uiPriority w:val="0"/>
    <w:pPr>
      <w:keepNext/>
      <w:keepLines/>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spacing w:before="240" w:after="64" w:line="320" w:lineRule="auto"/>
      <w:outlineLvl w:val="6"/>
    </w:pPr>
    <w:rPr>
      <w:b/>
      <w:bCs/>
      <w:sz w:val="24"/>
      <w:szCs w:val="24"/>
    </w:rPr>
  </w:style>
  <w:style w:type="paragraph" w:styleId="9">
    <w:name w:val="heading 8"/>
    <w:basedOn w:val="1"/>
    <w:next w:val="1"/>
    <w:link w:val="44"/>
    <w:qFormat/>
    <w:uiPriority w:val="0"/>
    <w:pPr>
      <w:keepNext/>
      <w:keepLines/>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adjustRightInd w:val="0"/>
      <w:spacing w:line="300" w:lineRule="exact"/>
      <w:ind w:left="1259"/>
    </w:pPr>
    <w:rPr>
      <w:rFonts w:ascii="宋体"/>
    </w:rPr>
  </w:style>
  <w:style w:type="paragraph" w:styleId="12">
    <w:name w:val="Normal Indent"/>
    <w:basedOn w:val="1"/>
    <w:qFormat/>
    <w:uiPriority w:val="0"/>
    <w:pPr>
      <w:adjustRightInd w:val="0"/>
      <w:spacing w:line="400" w:lineRule="exact"/>
      <w:ind w:firstLine="420"/>
    </w:pPr>
  </w:style>
  <w:style w:type="paragraph" w:styleId="13">
    <w:name w:val="annotation text"/>
    <w:basedOn w:val="1"/>
    <w:link w:val="236"/>
    <w:semiHidden/>
    <w:unhideWhenUsed/>
    <w:qFormat/>
    <w:uiPriority w:val="99"/>
    <w:pPr>
      <w:jc w:val="left"/>
    </w:pPr>
  </w:style>
  <w:style w:type="paragraph" w:styleId="14">
    <w:name w:val="Body Text"/>
    <w:basedOn w:val="1"/>
    <w:link w:val="89"/>
    <w:qFormat/>
    <w:uiPriority w:val="0"/>
    <w:pPr>
      <w:adjustRightInd w:val="0"/>
      <w:spacing w:after="120" w:line="400" w:lineRule="exact"/>
    </w:pPr>
  </w:style>
  <w:style w:type="paragraph" w:styleId="15">
    <w:name w:val="toc 5"/>
    <w:basedOn w:val="1"/>
    <w:next w:val="1"/>
    <w:unhideWhenUsed/>
    <w:qFormat/>
    <w:uiPriority w:val="39"/>
    <w:pPr>
      <w:adjustRightInd w:val="0"/>
      <w:spacing w:line="400" w:lineRule="exact"/>
      <w:ind w:left="839"/>
    </w:pPr>
    <w:rPr>
      <w:rFonts w:ascii="宋体"/>
    </w:rPr>
  </w:style>
  <w:style w:type="paragraph" w:styleId="16">
    <w:name w:val="toc 3"/>
    <w:basedOn w:val="1"/>
    <w:next w:val="1"/>
    <w:unhideWhenUsed/>
    <w:qFormat/>
    <w:uiPriority w:val="39"/>
    <w:pPr>
      <w:adjustRightInd w:val="0"/>
      <w:spacing w:line="300" w:lineRule="exact"/>
      <w:ind w:left="420"/>
    </w:pPr>
    <w:rPr>
      <w:rFonts w:ascii="宋体"/>
    </w:rPr>
  </w:style>
  <w:style w:type="paragraph" w:styleId="17">
    <w:name w:val="Balloon Text"/>
    <w:basedOn w:val="1"/>
    <w:link w:val="48"/>
    <w:semiHidden/>
    <w:unhideWhenUsed/>
    <w:qFormat/>
    <w:uiPriority w:val="99"/>
    <w:pPr>
      <w:adjustRightInd w:val="0"/>
      <w:spacing w:line="400" w:lineRule="exact"/>
    </w:pPr>
    <w:rPr>
      <w:sz w:val="18"/>
      <w:szCs w:val="18"/>
    </w:rPr>
  </w:style>
  <w:style w:type="paragraph" w:styleId="18">
    <w:name w:val="footer"/>
    <w:basedOn w:val="1"/>
    <w:link w:val="47"/>
    <w:qFormat/>
    <w:uiPriority w:val="99"/>
    <w:pPr>
      <w:tabs>
        <w:tab w:val="center" w:pos="4153"/>
        <w:tab w:val="right" w:pos="8306"/>
      </w:tabs>
      <w:snapToGrid w:val="0"/>
      <w:jc w:val="right"/>
    </w:pPr>
    <w:rPr>
      <w:rFonts w:ascii="宋体"/>
      <w:sz w:val="18"/>
      <w:szCs w:val="18"/>
    </w:rPr>
  </w:style>
  <w:style w:type="paragraph" w:styleId="19">
    <w:name w:val="header"/>
    <w:basedOn w:val="1"/>
    <w:link w:val="46"/>
    <w:qFormat/>
    <w:uiPriority w:val="99"/>
    <w:pPr>
      <w:tabs>
        <w:tab w:val="center" w:pos="4153"/>
        <w:tab w:val="right" w:pos="8306"/>
      </w:tabs>
      <w:snapToGrid w:val="0"/>
      <w:spacing w:line="400" w:lineRule="exact"/>
      <w:jc w:val="center"/>
    </w:pPr>
    <w:rPr>
      <w:sz w:val="18"/>
      <w:szCs w:val="18"/>
    </w:rPr>
  </w:style>
  <w:style w:type="paragraph" w:styleId="20">
    <w:name w:val="toc 1"/>
    <w:basedOn w:val="1"/>
    <w:next w:val="1"/>
    <w:unhideWhenUsed/>
    <w:qFormat/>
    <w:uiPriority w:val="39"/>
    <w:pPr>
      <w:adjustRightInd w:val="0"/>
      <w:spacing w:line="400" w:lineRule="exact"/>
    </w:pPr>
    <w:rPr>
      <w:rFonts w:ascii="宋体"/>
    </w:rPr>
  </w:style>
  <w:style w:type="paragraph" w:styleId="21">
    <w:name w:val="toc 4"/>
    <w:basedOn w:val="1"/>
    <w:next w:val="1"/>
    <w:unhideWhenUsed/>
    <w:qFormat/>
    <w:uiPriority w:val="39"/>
    <w:pPr>
      <w:tabs>
        <w:tab w:val="right" w:leader="dot" w:pos="9344"/>
      </w:tabs>
      <w:adjustRightInd w:val="0"/>
      <w:spacing w:line="300" w:lineRule="exact"/>
      <w:ind w:left="629"/>
    </w:pPr>
    <w:rPr>
      <w:rFonts w:ascii="宋体"/>
    </w:rPr>
  </w:style>
  <w:style w:type="paragraph" w:styleId="22">
    <w:name w:val="footnote text"/>
    <w:basedOn w:val="1"/>
    <w:next w:val="1"/>
    <w:link w:val="102"/>
    <w:semiHidden/>
    <w:qFormat/>
    <w:uiPriority w:val="0"/>
    <w:pPr>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adjustRightInd w:val="0"/>
      <w:spacing w:line="300" w:lineRule="exact"/>
      <w:ind w:left="1049"/>
    </w:pPr>
    <w:rPr>
      <w:rFonts w:ascii="宋体"/>
    </w:rPr>
  </w:style>
  <w:style w:type="paragraph" w:styleId="24">
    <w:name w:val="table of figures"/>
    <w:basedOn w:val="1"/>
    <w:next w:val="1"/>
    <w:semiHidden/>
    <w:qFormat/>
    <w:uiPriority w:val="0"/>
    <w:pPr>
      <w:jc w:val="left"/>
    </w:pPr>
    <w:rPr>
      <w:szCs w:val="24"/>
    </w:rPr>
  </w:style>
  <w:style w:type="paragraph" w:styleId="25">
    <w:name w:val="toc 2"/>
    <w:basedOn w:val="1"/>
    <w:next w:val="1"/>
    <w:unhideWhenUsed/>
    <w:qFormat/>
    <w:uiPriority w:val="39"/>
    <w:pPr>
      <w:tabs>
        <w:tab w:val="right" w:leader="dot" w:pos="9344"/>
      </w:tabs>
      <w:adjustRightInd w:val="0"/>
      <w:spacing w:line="300" w:lineRule="exact"/>
      <w:ind w:left="210"/>
    </w:pPr>
    <w:rPr>
      <w:rFonts w:ascii="宋体"/>
    </w:rPr>
  </w:style>
  <w:style w:type="paragraph" w:styleId="26">
    <w:name w:val="Title"/>
    <w:basedOn w:val="1"/>
    <w:link w:val="51"/>
    <w:qFormat/>
    <w:uiPriority w:val="0"/>
    <w:pPr>
      <w:adjustRightInd w:val="0"/>
      <w:spacing w:before="240" w:after="60" w:line="400" w:lineRule="exact"/>
      <w:jc w:val="center"/>
      <w:outlineLvl w:val="0"/>
    </w:pPr>
    <w:rPr>
      <w:rFonts w:ascii="Arial" w:hAnsi="Arial" w:cs="Arial"/>
      <w:b/>
      <w:bCs/>
      <w:sz w:val="32"/>
      <w:szCs w:val="32"/>
    </w:rPr>
  </w:style>
  <w:style w:type="paragraph" w:styleId="27">
    <w:name w:val="annotation subject"/>
    <w:basedOn w:val="13"/>
    <w:next w:val="13"/>
    <w:link w:val="237"/>
    <w:semiHidden/>
    <w:unhideWhenUsed/>
    <w:qFormat/>
    <w:uiPriority w:val="99"/>
    <w:rPr>
      <w:b/>
      <w:bCs/>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semiHidden/>
    <w:unhideWhenUsed/>
    <w:qFormat/>
    <w:uiPriority w:val="99"/>
    <w:rPr>
      <w:sz w:val="21"/>
      <w:szCs w:val="21"/>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字符"/>
    <w:link w:val="3"/>
    <w:qFormat/>
    <w:uiPriority w:val="0"/>
    <w:rPr>
      <w:b/>
      <w:bCs/>
      <w:kern w:val="44"/>
      <w:sz w:val="44"/>
      <w:szCs w:val="44"/>
    </w:rPr>
  </w:style>
  <w:style w:type="character" w:customStyle="1" w:styleId="38">
    <w:name w:val="标题 2 字符"/>
    <w:link w:val="4"/>
    <w:qFormat/>
    <w:uiPriority w:val="0"/>
    <w:rPr>
      <w:rFonts w:ascii="Arial" w:hAnsi="Arial" w:eastAsia="黑体"/>
      <w:b/>
      <w:bCs/>
      <w:kern w:val="2"/>
      <w:sz w:val="32"/>
      <w:szCs w:val="32"/>
    </w:rPr>
  </w:style>
  <w:style w:type="character" w:customStyle="1" w:styleId="39">
    <w:name w:val="标题 3 字符"/>
    <w:link w:val="5"/>
    <w:qFormat/>
    <w:uiPriority w:val="0"/>
    <w:rPr>
      <w:b/>
      <w:bCs/>
      <w:kern w:val="2"/>
      <w:sz w:val="32"/>
      <w:szCs w:val="32"/>
    </w:rPr>
  </w:style>
  <w:style w:type="character" w:customStyle="1" w:styleId="40">
    <w:name w:val="标题 4 字符"/>
    <w:link w:val="2"/>
    <w:qFormat/>
    <w:uiPriority w:val="0"/>
    <w:rPr>
      <w:rFonts w:ascii="Arial" w:hAnsi="Arial" w:eastAsia="黑体"/>
      <w:b/>
      <w:bCs/>
      <w:kern w:val="2"/>
      <w:sz w:val="28"/>
      <w:szCs w:val="28"/>
    </w:rPr>
  </w:style>
  <w:style w:type="character" w:customStyle="1" w:styleId="41">
    <w:name w:val="标题 5 字符"/>
    <w:link w:val="6"/>
    <w:qFormat/>
    <w:uiPriority w:val="0"/>
    <w:rPr>
      <w:b/>
      <w:bCs/>
      <w:kern w:val="2"/>
      <w:sz w:val="28"/>
      <w:szCs w:val="28"/>
    </w:rPr>
  </w:style>
  <w:style w:type="character" w:customStyle="1" w:styleId="42">
    <w:name w:val="标题 6 字符"/>
    <w:link w:val="7"/>
    <w:qFormat/>
    <w:uiPriority w:val="0"/>
    <w:rPr>
      <w:rFonts w:ascii="Arial" w:hAnsi="Arial" w:eastAsia="黑体"/>
      <w:b/>
      <w:bCs/>
      <w:kern w:val="2"/>
      <w:sz w:val="24"/>
      <w:szCs w:val="24"/>
    </w:rPr>
  </w:style>
  <w:style w:type="character" w:customStyle="1" w:styleId="43">
    <w:name w:val="标题 7 字符"/>
    <w:link w:val="8"/>
    <w:qFormat/>
    <w:uiPriority w:val="0"/>
    <w:rPr>
      <w:b/>
      <w:bCs/>
      <w:kern w:val="2"/>
      <w:sz w:val="24"/>
      <w:szCs w:val="24"/>
    </w:rPr>
  </w:style>
  <w:style w:type="character" w:customStyle="1" w:styleId="44">
    <w:name w:val="标题 8 字符"/>
    <w:link w:val="9"/>
    <w:qFormat/>
    <w:uiPriority w:val="0"/>
    <w:rPr>
      <w:rFonts w:ascii="Arial" w:hAnsi="Arial" w:eastAsia="黑体"/>
      <w:kern w:val="2"/>
      <w:sz w:val="24"/>
      <w:szCs w:val="24"/>
    </w:rPr>
  </w:style>
  <w:style w:type="character" w:customStyle="1" w:styleId="45">
    <w:name w:val="标题 9 字符"/>
    <w:link w:val="10"/>
    <w:qFormat/>
    <w:uiPriority w:val="0"/>
    <w:rPr>
      <w:rFonts w:ascii="Arial" w:hAnsi="Arial" w:eastAsia="黑体"/>
      <w:kern w:val="2"/>
      <w:sz w:val="21"/>
      <w:szCs w:val="21"/>
    </w:rPr>
  </w:style>
  <w:style w:type="character" w:customStyle="1" w:styleId="46">
    <w:name w:val="页眉 字符"/>
    <w:link w:val="19"/>
    <w:qFormat/>
    <w:uiPriority w:val="99"/>
    <w:rPr>
      <w:kern w:val="2"/>
      <w:sz w:val="18"/>
      <w:szCs w:val="18"/>
    </w:rPr>
  </w:style>
  <w:style w:type="character" w:customStyle="1" w:styleId="47">
    <w:name w:val="页脚 字符"/>
    <w:link w:val="18"/>
    <w:qFormat/>
    <w:uiPriority w:val="99"/>
    <w:rPr>
      <w:rFonts w:ascii="宋体"/>
      <w:kern w:val="2"/>
      <w:sz w:val="18"/>
      <w:szCs w:val="18"/>
    </w:rPr>
  </w:style>
  <w:style w:type="character" w:customStyle="1" w:styleId="48">
    <w:name w:val="批注框文本 字符"/>
    <w:link w:val="17"/>
    <w:semiHidden/>
    <w:qFormat/>
    <w:uiPriority w:val="99"/>
    <w:rPr>
      <w:kern w:val="2"/>
      <w:sz w:val="18"/>
      <w:szCs w:val="18"/>
    </w:rPr>
  </w:style>
  <w:style w:type="paragraph" w:styleId="49">
    <w:name w:val="Quote"/>
    <w:basedOn w:val="1"/>
    <w:next w:val="1"/>
    <w:link w:val="50"/>
    <w:qFormat/>
    <w:uiPriority w:val="29"/>
    <w:pPr>
      <w:adjustRightInd w:val="0"/>
      <w:spacing w:line="400" w:lineRule="exact"/>
    </w:pPr>
    <w:rPr>
      <w:i/>
      <w:iCs/>
      <w:color w:val="000000"/>
    </w:rPr>
  </w:style>
  <w:style w:type="character" w:customStyle="1" w:styleId="50">
    <w:name w:val="引用 字符"/>
    <w:link w:val="49"/>
    <w:qFormat/>
    <w:uiPriority w:val="29"/>
    <w:rPr>
      <w:i/>
      <w:iCs/>
      <w:color w:val="000000"/>
      <w:kern w:val="2"/>
      <w:sz w:val="21"/>
      <w:szCs w:val="21"/>
    </w:rPr>
  </w:style>
  <w:style w:type="character" w:customStyle="1" w:styleId="51">
    <w:name w:val="标题 字符"/>
    <w:link w:val="26"/>
    <w:qFormat/>
    <w:uiPriority w:val="0"/>
    <w:rPr>
      <w:rFonts w:ascii="Arial" w:hAnsi="Arial" w:cs="Arial"/>
      <w:b/>
      <w:bCs/>
      <w:kern w:val="2"/>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adjustRightInd w:val="0"/>
      <w:spacing w:line="0" w:lineRule="atLeast"/>
    </w:pPr>
    <w:rPr>
      <w:rFonts w:ascii="黑体" w:hAnsi="宋体" w:eastAsia="黑体"/>
    </w:rPr>
  </w:style>
  <w:style w:type="paragraph" w:customStyle="1" w:styleId="58">
    <w:name w:val="标准文件_标准正文"/>
    <w:basedOn w:val="1"/>
    <w:next w:val="59"/>
    <w:qFormat/>
    <w:uiPriority w:val="0"/>
    <w:pPr>
      <w:adjustRightInd w:val="0"/>
      <w:snapToGrid w:val="0"/>
      <w:spacing w:line="400" w:lineRule="exact"/>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adjustRightInd w:val="0"/>
      <w:spacing w:line="400" w:lineRule="exact"/>
      <w:jc w:val="center"/>
    </w:pPr>
    <w:rPr>
      <w:rFonts w:ascii="黑体" w:eastAsia="黑体"/>
      <w:kern w:val="0"/>
      <w:sz w:val="44"/>
    </w:rPr>
  </w:style>
  <w:style w:type="paragraph" w:customStyle="1" w:styleId="62">
    <w:name w:val="标准文件_标准代替"/>
    <w:basedOn w:val="1"/>
    <w:next w:val="1"/>
    <w:qFormat/>
    <w:uiPriority w:val="0"/>
    <w:pPr>
      <w:adjustRightInd w:val="0"/>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spacing w:before="640" w:after="100" w:line="400" w:lineRule="exact"/>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spacing w:before="580" w:after="50" w:afterLines="50"/>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adjustRightInd w:val="0"/>
      <w:spacing w:line="310" w:lineRule="exact"/>
      <w:jc w:val="right"/>
    </w:pPr>
    <w:rPr>
      <w:rFonts w:ascii="黑体" w:eastAsia="黑体"/>
      <w:kern w:val="0"/>
      <w:sz w:val="28"/>
    </w:rPr>
  </w:style>
  <w:style w:type="paragraph" w:customStyle="1" w:styleId="72">
    <w:name w:val="标准文件_封面标准分类号"/>
    <w:basedOn w:val="1"/>
    <w:qFormat/>
    <w:uiPriority w:val="0"/>
    <w:pPr>
      <w:adjustRightInd w:val="0"/>
      <w:spacing w:line="400" w:lineRule="exact"/>
    </w:pPr>
    <w:rPr>
      <w:rFonts w:ascii="黑体" w:eastAsia="黑体"/>
      <w:b/>
      <w:kern w:val="0"/>
      <w:sz w:val="28"/>
    </w:rPr>
  </w:style>
  <w:style w:type="paragraph" w:customStyle="1" w:styleId="73">
    <w:name w:val="标准文件_封面标准名称"/>
    <w:basedOn w:val="1"/>
    <w:qFormat/>
    <w:uiPriority w:val="0"/>
    <w:pPr>
      <w:adjustRightInd w:val="0"/>
      <w:jc w:val="center"/>
    </w:pPr>
    <w:rPr>
      <w:rFonts w:ascii="黑体" w:eastAsia="黑体"/>
      <w:kern w:val="0"/>
      <w:sz w:val="52"/>
    </w:rPr>
  </w:style>
  <w:style w:type="paragraph" w:customStyle="1" w:styleId="74">
    <w:name w:val="标准文件_封面标准英文名称"/>
    <w:basedOn w:val="1"/>
    <w:qFormat/>
    <w:uiPriority w:val="0"/>
    <w:pPr>
      <w:adjustRightInd w:val="0"/>
      <w:jc w:val="center"/>
    </w:pPr>
    <w:rPr>
      <w:rFonts w:ascii="黑体" w:eastAsia="黑体"/>
      <w:b/>
      <w:sz w:val="28"/>
    </w:rPr>
  </w:style>
  <w:style w:type="paragraph" w:customStyle="1" w:styleId="75">
    <w:name w:val="标准文件_封面发布日期"/>
    <w:basedOn w:val="1"/>
    <w:qFormat/>
    <w:uiPriority w:val="0"/>
    <w:pPr>
      <w:adjustRightInd w:val="0"/>
      <w:spacing w:line="310" w:lineRule="exact"/>
    </w:pPr>
    <w:rPr>
      <w:rFonts w:ascii="黑体" w:eastAsia="黑体"/>
      <w:kern w:val="0"/>
      <w:sz w:val="28"/>
    </w:rPr>
  </w:style>
  <w:style w:type="paragraph" w:customStyle="1" w:styleId="76">
    <w:name w:val="标准文件_封面密级"/>
    <w:basedOn w:val="1"/>
    <w:qFormat/>
    <w:uiPriority w:val="0"/>
    <w:pPr>
      <w:adjustRightInd w:val="0"/>
      <w:spacing w:line="400" w:lineRule="exact"/>
    </w:pPr>
    <w:rPr>
      <w:rFonts w:eastAsia="黑体"/>
      <w:sz w:val="32"/>
    </w:rPr>
  </w:style>
  <w:style w:type="paragraph" w:customStyle="1" w:styleId="77">
    <w:name w:val="标准文件_封面实施日期"/>
    <w:basedOn w:val="1"/>
    <w:qFormat/>
    <w:uiPriority w:val="0"/>
    <w:pPr>
      <w:adjustRightInd w:val="0"/>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字符"/>
    <w:link w:val="14"/>
    <w:qFormat/>
    <w:uiPriority w:val="0"/>
    <w:rPr>
      <w:kern w:val="2"/>
      <w:sz w:val="21"/>
      <w:szCs w:val="21"/>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ind w:left="0" w:firstLine="0"/>
    </w:pPr>
  </w:style>
  <w:style w:type="paragraph" w:customStyle="1" w:styleId="94">
    <w:name w:val="标准文件_目录标题"/>
    <w:basedOn w:val="1"/>
    <w:qFormat/>
    <w:uiPriority w:val="0"/>
    <w:pPr>
      <w:adjustRightInd w:val="0"/>
      <w:spacing w:before="480" w:after="150" w:afterLines="150"/>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2">
    <w:name w:val="脚注文本 字符"/>
    <w:link w:val="22"/>
    <w:semiHidden/>
    <w:qFormat/>
    <w:uiPriority w:val="0"/>
    <w:rPr>
      <w:rFonts w:ascii="宋体"/>
      <w:kern w:val="2"/>
      <w:sz w:val="18"/>
      <w:szCs w:val="18"/>
    </w:rPr>
  </w:style>
  <w:style w:type="paragraph" w:customStyle="1" w:styleId="103">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adjustRightInd w:val="0"/>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50" w:beforeLines="50" w:after="50" w:afterLines="50"/>
      <w:ind w:left="0"/>
      <w:outlineLvl w:val="1"/>
    </w:pPr>
  </w:style>
  <w:style w:type="paragraph" w:customStyle="1" w:styleId="109">
    <w:name w:val="标准文件_一致程度"/>
    <w:basedOn w:val="1"/>
    <w:qFormat/>
    <w:uiPriority w:val="0"/>
    <w:pPr>
      <w:adjustRightInd w:val="0"/>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adjustRightInd w:val="0"/>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adjustRightInd w:val="0"/>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adjustRightInd w:val="0"/>
    </w:pPr>
    <w:rPr>
      <w:rFonts w:ascii="宋体" w:hAnsi="宋体"/>
    </w:rPr>
  </w:style>
  <w:style w:type="paragraph" w:customStyle="1" w:styleId="117">
    <w:name w:val="标准文件_正文图标题"/>
    <w:next w:val="59"/>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round" w:vAnchor="page" w:hAnchor="margin" w:y="2908"/>
      <w:kinsoku w:val="0"/>
      <w:overflowPunct w:val="0"/>
      <w:autoSpaceDE w:val="0"/>
      <w:autoSpaceDN w:val="0"/>
      <w:adjustRightInd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spacing w:line="400" w:lineRule="exact"/>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jc w:val="left"/>
    </w:pPr>
    <w:rPr>
      <w:bCs/>
      <w:iCs/>
    </w:rPr>
  </w:style>
  <w:style w:type="paragraph" w:customStyle="1" w:styleId="146">
    <w:name w:val="目录 31"/>
    <w:basedOn w:val="1"/>
    <w:next w:val="1"/>
    <w:semiHidden/>
    <w:qFormat/>
    <w:uiPriority w:val="0"/>
    <w:pPr>
      <w:adjustRightInd w:val="0"/>
    </w:pPr>
    <w:rPr>
      <w:rFonts w:ascii="宋体" w:hAnsi="宋体"/>
      <w:iCs/>
    </w:rPr>
  </w:style>
  <w:style w:type="paragraph" w:customStyle="1" w:styleId="147">
    <w:name w:val="目录 41"/>
    <w:basedOn w:val="1"/>
    <w:next w:val="1"/>
    <w:semiHidden/>
    <w:qFormat/>
    <w:uiPriority w:val="0"/>
    <w:pPr>
      <w:jc w:val="left"/>
    </w:pPr>
  </w:style>
  <w:style w:type="paragraph" w:customStyle="1" w:styleId="148">
    <w:name w:val="目录 51"/>
    <w:basedOn w:val="1"/>
    <w:next w:val="1"/>
    <w:semiHidden/>
    <w:qFormat/>
    <w:uiPriority w:val="0"/>
    <w:pPr>
      <w:adjustRightInd w:val="0"/>
    </w:pPr>
    <w:rPr>
      <w:rFonts w:ascii="宋体" w:hAnsi="宋体"/>
    </w:rPr>
  </w:style>
  <w:style w:type="paragraph" w:customStyle="1" w:styleId="149">
    <w:name w:val="目录 61"/>
    <w:basedOn w:val="1"/>
    <w:next w:val="1"/>
    <w:semiHidden/>
    <w:qFormat/>
    <w:uiPriority w:val="0"/>
    <w:pPr>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pPr>
    <w:rPr>
      <w:rFonts w:ascii="宋体" w:hAnsi="宋体"/>
      <w:szCs w:val="24"/>
    </w:rPr>
  </w:style>
  <w:style w:type="paragraph" w:customStyle="1" w:styleId="157">
    <w:name w:val="实施日期"/>
    <w:basedOn w:val="123"/>
    <w:qFormat/>
    <w:uiPriority w:val="0"/>
    <w:pPr>
      <w:framePr w:hSpace="0" w:xAlign="right"/>
      <w:jc w:val="right"/>
    </w:pPr>
  </w:style>
  <w:style w:type="paragraph" w:customStyle="1" w:styleId="158">
    <w:name w:val="四级无标题条"/>
    <w:basedOn w:val="1"/>
    <w:qFormat/>
    <w:uiPriority w:val="0"/>
    <w:pPr>
      <w:numPr>
        <w:ilvl w:val="5"/>
        <w:numId w:val="20"/>
      </w:numPr>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spacing w:line="400" w:lineRule="exact"/>
    </w:pPr>
    <w:rPr>
      <w:szCs w:val="24"/>
    </w:rPr>
  </w:style>
  <w:style w:type="paragraph" w:customStyle="1" w:styleId="162">
    <w:name w:val="一级无标题条"/>
    <w:basedOn w:val="1"/>
    <w:qFormat/>
    <w:uiPriority w:val="0"/>
    <w:pPr>
      <w:numPr>
        <w:ilvl w:val="2"/>
        <w:numId w:val="20"/>
      </w:numPr>
      <w:spacing w:before="10" w:after="10"/>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0" w:beforeLines="0" w:after="0" w:afterLines="0"/>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7"/>
    <w:qFormat/>
    <w:uiPriority w:val="0"/>
    <w:pPr>
      <w:spacing w:before="0" w:beforeLines="0" w:after="0" w:afterLines="0"/>
      <w:outlineLvl w:val="9"/>
    </w:pPr>
    <w:rPr>
      <w:rFonts w:ascii="宋体" w:eastAsia="宋体"/>
    </w:rPr>
  </w:style>
  <w:style w:type="paragraph" w:customStyle="1" w:styleId="168">
    <w:name w:val="标准文件_二级无标题"/>
    <w:basedOn w:val="68"/>
    <w:qFormat/>
    <w:uiPriority w:val="0"/>
    <w:pPr>
      <w:spacing w:before="0" w:beforeLines="0" w:after="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adjustRightInd w:val="0"/>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59"/>
    <w:qFormat/>
    <w:uiPriority w:val="0"/>
    <w:pPr>
      <w:numPr>
        <w:ilvl w:val="1"/>
        <w:numId w:val="21"/>
      </w:numPr>
      <w:ind w:firstLine="0" w:firstLineChars="0"/>
    </w:pPr>
  </w:style>
  <w:style w:type="paragraph" w:customStyle="1" w:styleId="191">
    <w:name w:val="标准文件_三级项2"/>
    <w:basedOn w:val="59"/>
    <w:qFormat/>
    <w:uiPriority w:val="0"/>
    <w:pPr>
      <w:numPr>
        <w:ilvl w:val="0"/>
        <w:numId w:val="30"/>
      </w:numPr>
      <w:spacing w:line="300" w:lineRule="exact"/>
      <w:ind w:firstLineChars="0"/>
    </w:pPr>
    <w:rPr>
      <w:rFonts w:ascii="Times New Roman"/>
    </w:rPr>
  </w:style>
  <w:style w:type="paragraph" w:customStyle="1" w:styleId="192">
    <w:name w:val="标准文件_一级项2"/>
    <w:basedOn w:val="59"/>
    <w:qFormat/>
    <w:uiPriority w:val="0"/>
    <w:pPr>
      <w:numPr>
        <w:ilvl w:val="0"/>
        <w:numId w:val="31"/>
      </w:numPr>
      <w:spacing w:line="300" w:lineRule="exact"/>
      <w:ind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vAnchor="page" w:hAnchor="page" w:x="1419" w:y="14097"/>
    </w:pPr>
  </w:style>
  <w:style w:type="paragraph" w:customStyle="1" w:styleId="197">
    <w:name w:val="其他实施日期"/>
    <w:basedOn w:val="157"/>
    <w:qFormat/>
    <w:uiPriority w:val="0"/>
    <w:pPr>
      <w:framePr w:w="3997" w:h="471" w:hRule="exact" w:vSpace="181" w:vAnchor="page" w:hAnchor="page" w:x="7089" w:y="14097"/>
    </w:pPr>
  </w:style>
  <w:style w:type="paragraph" w:customStyle="1" w:styleId="198">
    <w:name w:val="标准文件_文件编号"/>
    <w:basedOn w:val="59"/>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spacing w:before="57"/>
    </w:pPr>
    <w:rPr>
      <w:sz w:val="21"/>
    </w:rPr>
  </w:style>
  <w:style w:type="paragraph" w:customStyle="1" w:styleId="200">
    <w:name w:val="标准文件_文件名称"/>
    <w:basedOn w:val="59"/>
    <w:next w:val="59"/>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50" w:beforeLines="50" w:after="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50" w:beforeLines="50" w:after="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50" w:beforeLines="50" w:after="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50" w:beforeLines="50" w:after="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50" w:beforeLines="50" w:after="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paragraph" w:customStyle="1" w:styleId="233">
    <w:name w:val="正文文本 (2)"/>
    <w:basedOn w:val="1"/>
    <w:qFormat/>
    <w:uiPriority w:val="0"/>
    <w:pPr>
      <w:spacing w:before="100" w:beforeAutospacing="1" w:after="140" w:line="587" w:lineRule="exact"/>
      <w:jc w:val="center"/>
    </w:pPr>
    <w:rPr>
      <w:rFonts w:ascii="黑体" w:hAnsi="黑体" w:eastAsia="黑体" w:cs="宋体"/>
      <w:kern w:val="0"/>
      <w:sz w:val="30"/>
      <w:szCs w:val="30"/>
    </w:rPr>
  </w:style>
  <w:style w:type="paragraph" w:customStyle="1" w:styleId="234">
    <w:name w:val="其他"/>
    <w:basedOn w:val="1"/>
    <w:qFormat/>
    <w:uiPriority w:val="0"/>
    <w:pPr>
      <w:spacing w:line="436" w:lineRule="auto"/>
      <w:ind w:firstLine="400"/>
      <w:jc w:val="left"/>
    </w:pPr>
    <w:rPr>
      <w:rFonts w:ascii="宋体" w:hAnsi="宋体" w:cs="宋体"/>
      <w:kern w:val="0"/>
      <w:sz w:val="28"/>
      <w:szCs w:val="28"/>
    </w:rPr>
  </w:style>
  <w:style w:type="paragraph" w:customStyle="1" w:styleId="235">
    <w:name w:val="表格标题"/>
    <w:basedOn w:val="1"/>
    <w:qFormat/>
    <w:uiPriority w:val="0"/>
    <w:pPr>
      <w:jc w:val="left"/>
    </w:pPr>
    <w:rPr>
      <w:rFonts w:ascii="宋体" w:hAnsi="宋体" w:cs="宋体"/>
      <w:kern w:val="0"/>
      <w:sz w:val="28"/>
      <w:szCs w:val="28"/>
    </w:rPr>
  </w:style>
  <w:style w:type="character" w:customStyle="1" w:styleId="236">
    <w:name w:val="批注文字 字符"/>
    <w:basedOn w:val="30"/>
    <w:link w:val="13"/>
    <w:semiHidden/>
    <w:qFormat/>
    <w:uiPriority w:val="99"/>
    <w:rPr>
      <w:kern w:val="2"/>
      <w:sz w:val="21"/>
      <w:szCs w:val="21"/>
    </w:rPr>
  </w:style>
  <w:style w:type="character" w:customStyle="1" w:styleId="237">
    <w:name w:val="批注主题 字符"/>
    <w:basedOn w:val="236"/>
    <w:link w:val="27"/>
    <w:semiHidden/>
    <w:qFormat/>
    <w:uiPriority w:val="99"/>
    <w:rPr>
      <w:b/>
      <w:bCs/>
      <w:kern w:val="2"/>
      <w:sz w:val="21"/>
      <w:szCs w:val="21"/>
    </w:rPr>
  </w:style>
  <w:style w:type="paragraph" w:customStyle="1" w:styleId="238">
    <w:name w:val="一级条标题"/>
    <w:next w:val="239"/>
    <w:qFormat/>
    <w:uiPriority w:val="0"/>
    <w:pPr>
      <w:numPr>
        <w:ilvl w:val="1"/>
        <w:numId w:val="32"/>
      </w:numPr>
      <w:spacing w:before="156" w:beforeLines="50" w:after="156" w:afterLines="50"/>
      <w:outlineLvl w:val="2"/>
    </w:pPr>
    <w:rPr>
      <w:rFonts w:ascii="黑体" w:hAnsi="Calibri" w:eastAsia="黑体" w:cs="Times New Roman"/>
      <w:sz w:val="21"/>
      <w:szCs w:val="21"/>
      <w:lang w:val="en-US" w:eastAsia="zh-CN" w:bidi="ar-SA"/>
    </w:rPr>
  </w:style>
  <w:style w:type="paragraph" w:customStyle="1" w:styleId="239">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240">
    <w:name w:val="修订1"/>
    <w:hidden/>
    <w:unhideWhenUsed/>
    <w:qFormat/>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glossaryDocument" Target="glossary/document.xml"/><Relationship Id="rId16" Type="http://schemas.microsoft.com/office/2011/relationships/people" Target="people.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tiff"/><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021DCE1A7F04913A06DBACB9E4E2A7B"/>
        <w:style w:val=""/>
        <w:category>
          <w:name w:val="常规"/>
          <w:gallery w:val="placeholder"/>
        </w:category>
        <w:types>
          <w:type w:val="bbPlcHdr"/>
        </w:types>
        <w:behaviors>
          <w:behavior w:val="content"/>
        </w:behaviors>
        <w:description w:val=""/>
        <w:guid w:val="{A998D307-E9BD-464C-A477-96C64ABA26AC}"/>
      </w:docPartPr>
      <w:docPartBody>
        <w:p w14:paraId="409746A3">
          <w:pPr>
            <w:pStyle w:val="5"/>
            <w:rPr>
              <w:rFonts w:hint="eastAsia"/>
            </w:rPr>
          </w:pPr>
          <w:r>
            <w:rPr>
              <w:rStyle w:val="4"/>
              <w:rFonts w:hint="eastAsia"/>
            </w:rPr>
            <w:t>单击或点击此处输入文字。</w:t>
          </w:r>
        </w:p>
      </w:docPartBody>
    </w:docPart>
    <w:docPart>
      <w:docPartPr>
        <w:name w:val="874EB3016980425AAF047B1BFB93342C"/>
        <w:style w:val=""/>
        <w:category>
          <w:name w:val="常规"/>
          <w:gallery w:val="placeholder"/>
        </w:category>
        <w:types>
          <w:type w:val="bbPlcHdr"/>
        </w:types>
        <w:behaviors>
          <w:behavior w:val="content"/>
        </w:behaviors>
        <w:description w:val=""/>
        <w:guid w:val="{CF2B2D12-6271-4068-93B3-ECC4F941047C}"/>
      </w:docPartPr>
      <w:docPartBody>
        <w:p w14:paraId="698DA3D9">
          <w:pPr>
            <w:pStyle w:val="6"/>
            <w:rPr>
              <w:rFonts w:hint="eastAsia"/>
            </w:rPr>
          </w:pPr>
          <w:r>
            <w:rPr>
              <w:rStyle w:val="4"/>
              <w:rFonts w:hint="eastAsia"/>
            </w:rPr>
            <w:t>选择一项。</w:t>
          </w:r>
        </w:p>
      </w:docPartBody>
    </w:docPart>
    <w:docPart>
      <w:docPartPr>
        <w:name w:val="DFBD55FBDF384CD0A6F3541DD5A72E78"/>
        <w:style w:val=""/>
        <w:category>
          <w:name w:val="常规"/>
          <w:gallery w:val="placeholder"/>
        </w:category>
        <w:types>
          <w:type w:val="bbPlcHdr"/>
        </w:types>
        <w:behaviors>
          <w:behavior w:val="content"/>
        </w:behaviors>
        <w:description w:val=""/>
        <w:guid w:val="{A4F67681-2F28-4A72-A036-8E846745B6E5}"/>
      </w:docPartPr>
      <w:docPartBody>
        <w:p w14:paraId="7FB1E7F8">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361"/>
    <w:rsid w:val="00003CDA"/>
    <w:rsid w:val="00153908"/>
    <w:rsid w:val="00154A78"/>
    <w:rsid w:val="002521C6"/>
    <w:rsid w:val="003C5D8B"/>
    <w:rsid w:val="00415B76"/>
    <w:rsid w:val="00462609"/>
    <w:rsid w:val="00465CFB"/>
    <w:rsid w:val="005420F5"/>
    <w:rsid w:val="005E7EA8"/>
    <w:rsid w:val="005F79A1"/>
    <w:rsid w:val="0075367C"/>
    <w:rsid w:val="0077059C"/>
    <w:rsid w:val="009549A3"/>
    <w:rsid w:val="009836C5"/>
    <w:rsid w:val="00A40BFE"/>
    <w:rsid w:val="00B42464"/>
    <w:rsid w:val="00B857E6"/>
    <w:rsid w:val="00BC284A"/>
    <w:rsid w:val="00EE4361"/>
    <w:rsid w:val="00F60BE0"/>
    <w:rsid w:val="00FB2B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9021DCE1A7F04913A06DBACB9E4E2A7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874EB3016980425AAF047B1BFB93342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DFBD55FBDF384CD0A6F3541DD5A72E78"/>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17</Pages>
  <Words>280</Words>
  <Characters>392</Characters>
  <Lines>56</Lines>
  <Paragraphs>15</Paragraphs>
  <TotalTime>32</TotalTime>
  <ScaleCrop>false</ScaleCrop>
  <LinksUpToDate>false</LinksUpToDate>
  <CharactersWithSpaces>469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2024-10-09T09:42:00Z</dcterms:created>
  <dc:creator>yk han</dc:creator>
  <dc:description>&lt;config cover="true" show_menu="true" version="1.0.0" doctype="SDKXY"&gt;_x000d_
&lt;/config&gt;</dc:description>
  <cp:lastModifiedBy>陈凌</cp:lastModifiedBy>
  <cp:lastPrinted>2024-11-25T06:16:00Z</cp:lastPrinted>
  <dcterms:modified xsi:type="dcterms:W3CDTF">2024-12-13T03:10:59Z</dcterms:modified>
  <dc:title>地方标准</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2052-12.1.0.19302</vt:lpwstr>
  </property>
  <property fmtid="{D5CDD505-2E9C-101B-9397-08002B2CF9AE}" pid="15" name="ICV">
    <vt:lpwstr>35BD88518D5244309C496AA506664861_13</vt:lpwstr>
  </property>
</Properties>
</file>