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42EEB">
      <w:pPr>
        <w:pStyle w:val="81"/>
        <w:sectPr>
          <w:headerReference r:id="rId5" w:type="first"/>
          <w:footerReference r:id="rId8" w:type="first"/>
          <w:headerReference r:id="rId3" w:type="default"/>
          <w:footerReference r:id="rId6" w:type="default"/>
          <w:headerReference r:id="rId4" w:type="even"/>
          <w:footerReference r:id="rId7" w:type="even"/>
          <w:pgSz w:w="11907" w:h="16839"/>
          <w:pgMar w:top="567" w:right="851" w:bottom="1134" w:left="1418" w:header="0" w:footer="0" w:gutter="0"/>
          <w:pgNumType w:start="1"/>
          <w:cols w:space="425" w:num="1"/>
          <w:titlePg/>
          <w:docGrid w:type="lines" w:linePitch="312" w:charSpace="0"/>
        </w:sectPr>
      </w:pPr>
      <w:bookmarkStart w:id="0" w:name="SectionMark0"/>
      <w:r>
        <mc:AlternateContent>
          <mc:Choice Requires="wps">
            <w:drawing>
              <wp:anchor distT="0" distB="0" distL="114300" distR="114300" simplePos="0" relativeHeight="251669504" behindDoc="0" locked="0" layoutInCell="1" allowOverlap="1">
                <wp:simplePos x="0" y="0"/>
                <wp:positionH relativeFrom="column">
                  <wp:posOffset>-2540</wp:posOffset>
                </wp:positionH>
                <wp:positionV relativeFrom="paragraph">
                  <wp:posOffset>9133205</wp:posOffset>
                </wp:positionV>
                <wp:extent cx="6120130" cy="0"/>
                <wp:effectExtent l="0" t="0" r="0" b="0"/>
                <wp:wrapNone/>
                <wp:docPr id="12" name="直线 1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15" o:spid="_x0000_s1026" o:spt="20" style="position:absolute;left:0pt;margin-left:-0.2pt;margin-top:719.15pt;height:0pt;width:481.9pt;z-index:251669504;mso-width-relative:page;mso-height-relative:page;" filled="f" stroked="t" coordsize="21600,21600" o:gfxdata="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C&#10;ZUjVAAAACwEAAA8AAAAAAAAAAQAgAAAAIgAAAGRycy9kb3ducmV2LnhtbFBLAQIUABQAAAAIAIdO&#10;4kCYuRK87QEAAOsDAAAOAAAAAAAAAAEAIAAAACQBAABkcnMvZTJvRG9jLnhtbFBLBQYAAAAABgAG&#10;AFkBAACD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-2540</wp:posOffset>
                </wp:positionH>
                <wp:positionV relativeFrom="paragraph">
                  <wp:posOffset>2338070</wp:posOffset>
                </wp:positionV>
                <wp:extent cx="6120130" cy="0"/>
                <wp:effectExtent l="0" t="0" r="0" b="0"/>
                <wp:wrapNone/>
                <wp:docPr id="11" name="Line 1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16" o:spid="_x0000_s1026" o:spt="20" style="position:absolute;left:0pt;margin-left:-0.2pt;margin-top:184.1pt;height:0pt;width:481.9pt;z-index:251668480;mso-width-relative:page;mso-height-relative:page;" filled="f" stroked="t" coordsize="21600,21600" o:gfxdata="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9XrnjWAAAACQEAAA8A&#10;AAAAAAAAAQAgAAAAIgAAAGRycy9kb3ducmV2LnhtbFBLAQIUABQAAAAIAIdO4kDpmDV54AEAAOkD&#10;AAAOAAAAAAAAAAEAIAAAACUBAABkcnMvZTJvRG9jLnhtbFBLBQYAAAAABgAGAFkBAAB3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7456" behindDoc="0" locked="1" layoutInCell="1" allowOverlap="1">
                <wp:simplePos x="0" y="0"/>
                <wp:positionH relativeFrom="margin">
                  <wp:posOffset>3753485</wp:posOffset>
                </wp:positionH>
                <wp:positionV relativeFrom="margin">
                  <wp:posOffset>186055</wp:posOffset>
                </wp:positionV>
                <wp:extent cx="2307590" cy="720090"/>
                <wp:effectExtent l="0" t="0" r="16510" b="3810"/>
                <wp:wrapNone/>
                <wp:docPr id="10" name="fmFrame8"/>
                <wp:cNvGraphicFramePr/>
                <a:graphic xmlns:a="http://schemas.openxmlformats.org/drawingml/2006/main">
                  <a:graphicData uri="http://schemas.microsoft.com/office/word/2010/wordprocessingShape">
                    <wps:wsp>
                      <wps:cNvSpPr txBox="1"/>
                      <wps:spPr>
                        <a:xfrm>
                          <a:off x="0" y="0"/>
                          <a:ext cx="1374775" cy="720090"/>
                        </a:xfrm>
                        <a:prstGeom prst="rect">
                          <a:avLst/>
                        </a:prstGeom>
                        <a:solidFill>
                          <a:srgbClr val="FFFFFF"/>
                        </a:solidFill>
                        <a:ln>
                          <a:noFill/>
                        </a:ln>
                        <a:effectLst/>
                      </wps:spPr>
                      <wps:txbx>
                        <w:txbxContent>
                          <w:p w14:paraId="47947184">
                            <w:pPr>
                              <w:pStyle w:val="55"/>
                              <w:rPr>
                                <w:rFonts w:hint="default" w:eastAsia="宋体"/>
                                <w:lang w:val="en-US" w:eastAsia="zh-CN"/>
                              </w:rPr>
                            </w:pPr>
                            <w:r>
                              <w:rPr>
                                <w:rFonts w:hint="eastAsia"/>
                                <w:lang w:val="en-US" w:eastAsia="zh-CN"/>
                              </w:rPr>
                              <w:t>DB32</w:t>
                            </w:r>
                          </w:p>
                        </w:txbxContent>
                      </wps:txbx>
                      <wps:bodyPr lIns="0" tIns="0" rIns="0" bIns="0" upright="1"/>
                    </wps:wsp>
                  </a:graphicData>
                </a:graphic>
              </wp:anchor>
            </w:drawing>
          </mc:Choice>
          <mc:Fallback>
            <w:pict>
              <v:shape id="fmFrame8" o:spid="_x0000_s1026" o:spt="202" type="#_x0000_t202" style="position:absolute;left:0pt;margin-left:295.55pt;margin-top:14.65pt;height:56.7pt;width:181.7pt;mso-position-horizontal-relative:margin;mso-position-vertical-relative:margin;z-index:251667456;mso-width-relative:page;mso-height-relative:page;" fillcolor="#FFFFFF" filled="t" stroked="f" coordsize="21600,21600" o:gfxdata="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vVMsdoAAAAKAQAADwAAAAAAAAABACAAAAAiAAAAZHJzL2Rvd25y&#10;ZXYueG1sUEsBAhQAFAAAAAgAh07iQMjeWarDAQAApwMAAA4AAAAAAAAAAQAgAAAAKQEAAGRycy9l&#10;Mm9Eb2MueG1sUEsFBgAAAAAGAAYAWQEAAF4FAAAAAA==&#10;">
                <v:fill on="t" focussize="0,0"/>
                <v:stroke on="f"/>
                <v:imagedata o:title=""/>
                <o:lock v:ext="edit" aspectratio="f"/>
                <v:textbox inset="0mm,0mm,0mm,0mm">
                  <w:txbxContent>
                    <w:p w14:paraId="47947184">
                      <w:pPr>
                        <w:pStyle w:val="55"/>
                        <w:rPr>
                          <w:rFonts w:hint="default" w:eastAsia="宋体"/>
                          <w:lang w:val="en-US" w:eastAsia="zh-CN"/>
                        </w:rPr>
                      </w:pPr>
                      <w:r>
                        <w:rPr>
                          <w:rFonts w:hint="eastAsia"/>
                          <w:lang w:val="en-US" w:eastAsia="zh-CN"/>
                        </w:rPr>
                        <w:t>DB32</w:t>
                      </w:r>
                    </w:p>
                  </w:txbxContent>
                </v:textbox>
                <w10:anchorlock/>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2273300</wp:posOffset>
                </wp:positionV>
                <wp:extent cx="6121400" cy="0"/>
                <wp:effectExtent l="0" t="0" r="0" b="0"/>
                <wp:wrapNone/>
                <wp:docPr id="8" name="直线 1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a:effectLst/>
                      </wps:spPr>
                      <wps:bodyPr upright="1"/>
                    </wps:wsp>
                  </a:graphicData>
                </a:graphic>
              </wp:anchor>
            </w:drawing>
          </mc:Choice>
          <mc:Fallback>
            <w:pict>
              <v:line id="直线 10" o:spid="_x0000_s1026" o:spt="20" style="position:absolute;left:0pt;margin-left:0pt;margin-top:179pt;height:0pt;width:482pt;z-index:251666432;mso-width-relative:page;mso-height-relative:page;" filled="f" stroked="t" coordsize="21600,21600" o:gfxdata="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Iu0&#10;BdYAAAAIAQAADwAAAAAAAAABACAAAAAiAAAAZHJzL2Rvd25yZXYueG1sUEsBAhQAFAAAAAgAh07i&#10;QH9+kmjrAQAA6wMAAA4AAAAAAAAAAQAgAAAAJQEAAGRycy9lMm9Eb2MueG1sUEsFBgAAAAAGAAYA&#10;WQEAAIIFA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9317990</wp:posOffset>
                </wp:positionV>
                <wp:extent cx="6120130" cy="285115"/>
                <wp:effectExtent l="0" t="0" r="13970" b="635"/>
                <wp:wrapNone/>
                <wp:docPr id="7" name="fmFrame7"/>
                <wp:cNvGraphicFramePr/>
                <a:graphic xmlns:a="http://schemas.openxmlformats.org/drawingml/2006/main">
                  <a:graphicData uri="http://schemas.microsoft.com/office/word/2010/wordprocessingShape">
                    <wps:wsp>
                      <wps:cNvSpPr txBox="1"/>
                      <wps:spPr>
                        <a:xfrm>
                          <a:off x="0" y="0"/>
                          <a:ext cx="6120130" cy="285115"/>
                        </a:xfrm>
                        <a:prstGeom prst="rect">
                          <a:avLst/>
                        </a:prstGeom>
                        <a:solidFill>
                          <a:srgbClr val="FFFFFF"/>
                        </a:solidFill>
                        <a:ln>
                          <a:noFill/>
                        </a:ln>
                        <a:effectLst/>
                      </wps:spPr>
                      <wps:txbx>
                        <w:txbxContent>
                          <w:p w14:paraId="7647815D">
                            <w:pPr>
                              <w:pStyle w:val="98"/>
                              <w:rPr>
                                <w:spacing w:val="0"/>
                                <w:w w:val="100"/>
                              </w:rPr>
                            </w:pPr>
                            <w:r>
                              <w:rPr>
                                <w:rFonts w:hint="eastAsia"/>
                                <w:sz w:val="28"/>
                                <w:szCs w:val="28"/>
                                <w:lang w:val="en-US" w:eastAsia="zh-CN"/>
                              </w:rPr>
                              <w:t>江苏省市场监督管理局</w:t>
                            </w:r>
                            <w:r>
                              <w:rPr>
                                <w:rFonts w:hint="eastAsia"/>
                                <w:sz w:val="28"/>
                                <w:szCs w:val="28"/>
                              </w:rPr>
                              <w:t xml:space="preserve">  </w:t>
                            </w:r>
                            <w:r>
                              <w:rPr>
                                <w:rStyle w:val="70"/>
                                <w:rFonts w:hint="eastAsia"/>
                                <w:spacing w:val="0"/>
                                <w:position w:val="0"/>
                              </w:rPr>
                              <w:t>发 布</w:t>
                            </w:r>
                          </w:p>
                        </w:txbxContent>
                      </wps:txbx>
                      <wps:bodyPr lIns="0" tIns="0" rIns="0" bIns="0" upright="1"/>
                    </wps:wsp>
                  </a:graphicData>
                </a:graphic>
              </wp:anchor>
            </w:drawing>
          </mc:Choice>
          <mc:Fallback>
            <w:pict>
              <v:shape id="fmFrame7" o:spid="_x0000_s1026" o:spt="202" type="#_x0000_t202" style="position:absolute;left:0pt;margin-left:0pt;margin-top:733.7pt;height:22.45pt;width:481.9pt;mso-position-horizontal-relative:margin;mso-position-vertical-relative:margin;z-index:251665408;mso-width-relative:page;mso-height-relative:page;" fillcolor="#FFFFFF" filled="t" stroked="f" coordsize="21600,21600" o:gfxdata="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sNqHk2QAAAAoBAAAPAAAAAAAAAAEAIAAAACIAAABkcnMvZG93bnJldi54&#10;bWxQSwECFAAUAAAACACHTuJAzoQx7cABAACmAwAADgAAAAAAAAABACAAAAAoAQAAZHJzL2Uyb0Rv&#10;Yy54bWxQSwUGAAAAAAYABgBZAQAAWgUAAAAA&#10;">
                <v:fill on="t" focussize="0,0"/>
                <v:stroke on="f"/>
                <v:imagedata o:title=""/>
                <o:lock v:ext="edit" aspectratio="f"/>
                <v:textbox inset="0mm,0mm,0mm,0mm">
                  <w:txbxContent>
                    <w:p w14:paraId="7647815D">
                      <w:pPr>
                        <w:pStyle w:val="98"/>
                        <w:rPr>
                          <w:spacing w:val="0"/>
                          <w:w w:val="100"/>
                        </w:rPr>
                      </w:pPr>
                      <w:r>
                        <w:rPr>
                          <w:rFonts w:hint="eastAsia"/>
                          <w:sz w:val="28"/>
                          <w:szCs w:val="28"/>
                          <w:lang w:val="en-US" w:eastAsia="zh-CN"/>
                        </w:rPr>
                        <w:t>江苏省市场监督管理局</w:t>
                      </w:r>
                      <w:r>
                        <w:rPr>
                          <w:rFonts w:hint="eastAsia"/>
                          <w:sz w:val="28"/>
                          <w:szCs w:val="28"/>
                        </w:rPr>
                        <w:t xml:space="preserve">  </w:t>
                      </w:r>
                      <w:r>
                        <w:rPr>
                          <w:rStyle w:val="70"/>
                          <w:rFonts w:hint="eastAsia"/>
                          <w:spacing w:val="0"/>
                          <w:position w:val="0"/>
                        </w:rPr>
                        <w:t>发 布</w:t>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8763635</wp:posOffset>
                </wp:positionV>
                <wp:extent cx="2019300" cy="312420"/>
                <wp:effectExtent l="0" t="0" r="0" b="11430"/>
                <wp:wrapNone/>
                <wp:docPr id="6"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a:effectLst/>
                      </wps:spPr>
                      <wps:txbx>
                        <w:txbxContent>
                          <w:p w14:paraId="2B7A69FA">
                            <w:pPr>
                              <w:pStyle w:val="101"/>
                            </w:pPr>
                            <w:r>
                              <w:rPr>
                                <w:rFonts w:hint="eastAsia" w:ascii="黑体" w:hAnsi="黑体" w:eastAsia="黑体" w:cs="黑体"/>
                                <w:lang w:val="en-US" w:eastAsia="zh-CN"/>
                              </w:rPr>
                              <w:t>2024</w:t>
                            </w:r>
                            <w:r>
                              <w:rPr>
                                <w:rFonts w:hint="eastAsia" w:ascii="黑体" w:hAnsi="黑体" w:eastAsia="黑体" w:cs="黑体"/>
                              </w:rPr>
                              <w:t>-××-××</w:t>
                            </w:r>
                            <w:r>
                              <w:rPr>
                                <w:rFonts w:hint="eastAsia"/>
                              </w:rPr>
                              <w:t>实施</w:t>
                            </w:r>
                          </w:p>
                        </w:txbxContent>
                      </wps:txbx>
                      <wps:bodyPr lIns="0" tIns="0" rIns="0" bIns="0" upright="1"/>
                    </wps:wsp>
                  </a:graphicData>
                </a:graphic>
              </wp:anchor>
            </w:drawing>
          </mc:Choice>
          <mc:Fallback>
            <w:pict>
              <v:shape id="fmFrame6" o:spid="_x0000_s1026" o:spt="202" type="#_x0000_t202" style="position:absolute;left:0pt;margin-left:322.9pt;margin-top:690.05pt;height:24.6pt;width:159pt;mso-position-horizontal-relative:margin;mso-position-vertical-relative:margin;z-index:251664384;mso-width-relative:page;mso-height-relative:page;" fillcolor="#FFFFFF" filled="t" stroked="f" coordsize="21600,21600" o:gfxdata="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vw4frbAAAADQEAAA8AAAAAAAAAAQAgAAAAIgAAAGRycy9kb3du&#10;cmV2LnhtbFBLAQIUABQAAAAIAIdO4kBZRREDwwEAAKYDAAAOAAAAAAAAAAEAIAAAACoBAABkcnMv&#10;ZTJvRG9jLnhtbFBLBQYAAAAABgAGAFkBAABfBQAAAAA=&#10;">
                <v:fill on="t" focussize="0,0"/>
                <v:stroke on="f"/>
                <v:imagedata o:title=""/>
                <o:lock v:ext="edit" aspectratio="f"/>
                <v:textbox inset="0mm,0mm,0mm,0mm">
                  <w:txbxContent>
                    <w:p w14:paraId="2B7A69FA">
                      <w:pPr>
                        <w:pStyle w:val="101"/>
                      </w:pPr>
                      <w:r>
                        <w:rPr>
                          <w:rFonts w:hint="eastAsia" w:ascii="黑体" w:hAnsi="黑体" w:eastAsia="黑体" w:cs="黑体"/>
                          <w:lang w:val="en-US" w:eastAsia="zh-CN"/>
                        </w:rPr>
                        <w:t>2024</w:t>
                      </w:r>
                      <w:r>
                        <w:rPr>
                          <w:rFonts w:hint="eastAsia" w:ascii="黑体" w:hAnsi="黑体" w:eastAsia="黑体" w:cs="黑体"/>
                        </w:rPr>
                        <w:t>-××-××</w:t>
                      </w:r>
                      <w:r>
                        <w:rPr>
                          <w:rFonts w:hint="eastAsia"/>
                        </w:rPr>
                        <w:t>实施</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8773160</wp:posOffset>
                </wp:positionV>
                <wp:extent cx="2019300" cy="312420"/>
                <wp:effectExtent l="0" t="0" r="0" b="11430"/>
                <wp:wrapNone/>
                <wp:docPr id="5"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a:effectLst/>
                      </wps:spPr>
                      <wps:txbx>
                        <w:txbxContent>
                          <w:p w14:paraId="296985B4">
                            <w:pPr>
                              <w:pStyle w:val="72"/>
                              <w:rPr>
                                <w:rFonts w:hint="eastAsia" w:ascii="黑体" w:hAnsi="黑体" w:eastAsia="黑体" w:cs="黑体"/>
                              </w:rPr>
                            </w:pPr>
                            <w:r>
                              <w:rPr>
                                <w:rFonts w:hint="eastAsia" w:ascii="黑体" w:hAnsi="黑体" w:eastAsia="黑体" w:cs="黑体"/>
                                <w:lang w:val="en-US" w:eastAsia="zh-CN"/>
                              </w:rPr>
                              <w:t>2024</w:t>
                            </w:r>
                            <w:r>
                              <w:rPr>
                                <w:rFonts w:hint="eastAsia" w:ascii="黑体" w:hAnsi="黑体" w:eastAsia="黑体" w:cs="黑体"/>
                              </w:rPr>
                              <w:t>-××-××发布</w:t>
                            </w:r>
                          </w:p>
                        </w:txbxContent>
                      </wps:txbx>
                      <wps:bodyPr lIns="0" tIns="0" rIns="0" bIns="0" upright="1"/>
                    </wps:wsp>
                  </a:graphicData>
                </a:graphic>
              </wp:anchor>
            </w:drawing>
          </mc:Choice>
          <mc:Fallback>
            <w:pict>
              <v:shape id="fmFrame5" o:spid="_x0000_s1026" o:spt="202" type="#_x0000_t202" style="position:absolute;left:0pt;margin-left:0pt;margin-top:690.8pt;height:24.6pt;width:159pt;mso-position-horizontal-relative:margin;mso-position-vertical-relative:margin;z-index:251663360;mso-width-relative:page;mso-height-relative:page;" fillcolor="#FFFFFF" filled="t" stroked="f" coordsize="21600,21600" o:gfxdata="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U4wTDYAAAACgEAAA8AAAAAAAAAAQAgAAAAIgAAAGRycy9kb3ducmV2&#10;LnhtbFBLAQIUABQAAAAIAIdO4kAebr9dwwEAAKYDAAAOAAAAAAAAAAEAIAAAACcBAABkcnMvZTJv&#10;RG9jLnhtbFBLBQYAAAAABgAGAFkBAABcBQAAAAA=&#10;">
                <v:fill on="t" focussize="0,0"/>
                <v:stroke on="f"/>
                <v:imagedata o:title=""/>
                <o:lock v:ext="edit" aspectratio="f"/>
                <v:textbox inset="0mm,0mm,0mm,0mm">
                  <w:txbxContent>
                    <w:p w14:paraId="296985B4">
                      <w:pPr>
                        <w:pStyle w:val="72"/>
                        <w:rPr>
                          <w:rFonts w:hint="eastAsia" w:ascii="黑体" w:hAnsi="黑体" w:eastAsia="黑体" w:cs="黑体"/>
                        </w:rPr>
                      </w:pPr>
                      <w:r>
                        <w:rPr>
                          <w:rFonts w:hint="eastAsia" w:ascii="黑体" w:hAnsi="黑体" w:eastAsia="黑体" w:cs="黑体"/>
                          <w:lang w:val="en-US" w:eastAsia="zh-CN"/>
                        </w:rPr>
                        <w:t>2024</w:t>
                      </w:r>
                      <w:r>
                        <w:rPr>
                          <w:rFonts w:hint="eastAsia" w:ascii="黑体" w:hAnsi="黑体" w:eastAsia="黑体" w:cs="黑体"/>
                        </w:rPr>
                        <w:t>-××-××发布</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6188710" cy="4044315"/>
                <wp:effectExtent l="0" t="0" r="8890" b="19685"/>
                <wp:wrapNone/>
                <wp:docPr id="4" name="fmFrame4"/>
                <wp:cNvGraphicFramePr/>
                <a:graphic xmlns:a="http://schemas.openxmlformats.org/drawingml/2006/main">
                  <a:graphicData uri="http://schemas.microsoft.com/office/word/2010/wordprocessingShape">
                    <wps:wsp>
                      <wps:cNvSpPr txBox="1"/>
                      <wps:spPr>
                        <a:xfrm>
                          <a:off x="0" y="0"/>
                          <a:ext cx="6188710" cy="4044315"/>
                        </a:xfrm>
                        <a:prstGeom prst="rect">
                          <a:avLst/>
                        </a:prstGeom>
                        <a:solidFill>
                          <a:srgbClr val="FFFFFF"/>
                        </a:solidFill>
                        <a:ln>
                          <a:noFill/>
                        </a:ln>
                        <a:effectLst/>
                      </wps:spPr>
                      <wps:txbx>
                        <w:txbxContent>
                          <w:p w14:paraId="6605D2B4">
                            <w:pPr>
                              <w:pStyle w:val="76"/>
                              <w:rPr>
                                <w:rFonts w:hint="eastAsia" w:ascii="黑体" w:hAnsi="黑体" w:eastAsia="黑体" w:cs="黑体"/>
                                <w:spacing w:val="-4"/>
                                <w:sz w:val="52"/>
                                <w:szCs w:val="52"/>
                              </w:rPr>
                            </w:pPr>
                            <w:r>
                              <w:rPr>
                                <w:rFonts w:hint="eastAsia" w:hAnsi="黑体" w:cs="黑体"/>
                                <w:spacing w:val="-4"/>
                                <w:sz w:val="52"/>
                                <w:szCs w:val="52"/>
                                <w:lang w:eastAsia="zh-CN"/>
                              </w:rPr>
                              <w:t>小微</w:t>
                            </w:r>
                            <w:r>
                              <w:rPr>
                                <w:rFonts w:hint="eastAsia" w:ascii="黑体" w:hAnsi="黑体" w:eastAsia="黑体" w:cs="黑体"/>
                                <w:spacing w:val="-4"/>
                                <w:sz w:val="52"/>
                                <w:szCs w:val="52"/>
                              </w:rPr>
                              <w:t>型</w:t>
                            </w:r>
                            <w:r>
                              <w:rPr>
                                <w:rFonts w:hint="eastAsia" w:hAnsi="黑体" w:cs="黑体"/>
                                <w:spacing w:val="-4"/>
                                <w:sz w:val="52"/>
                                <w:szCs w:val="52"/>
                                <w:lang w:val="en-US" w:eastAsia="zh-CN"/>
                              </w:rPr>
                              <w:t>和劳动密集型</w:t>
                            </w:r>
                            <w:r>
                              <w:rPr>
                                <w:rFonts w:hint="eastAsia" w:ascii="黑体" w:hAnsi="黑体" w:eastAsia="黑体" w:cs="黑体"/>
                                <w:spacing w:val="-4"/>
                                <w:sz w:val="52"/>
                                <w:szCs w:val="52"/>
                              </w:rPr>
                              <w:t>工业企业</w:t>
                            </w:r>
                          </w:p>
                          <w:p w14:paraId="5BE64E53">
                            <w:pPr>
                              <w:pStyle w:val="76"/>
                            </w:pPr>
                            <w:r>
                              <w:rPr>
                                <w:rFonts w:hint="eastAsia" w:hAnsi="黑体" w:cs="黑体"/>
                                <w:spacing w:val="-4"/>
                                <w:sz w:val="52"/>
                                <w:szCs w:val="52"/>
                                <w:lang w:val="en-US" w:eastAsia="zh-CN"/>
                              </w:rPr>
                              <w:t>现场</w:t>
                            </w:r>
                            <w:r>
                              <w:rPr>
                                <w:rFonts w:hint="eastAsia" w:ascii="黑体" w:hAnsi="黑体" w:eastAsia="黑体" w:cs="黑体"/>
                                <w:spacing w:val="-4"/>
                                <w:sz w:val="52"/>
                                <w:szCs w:val="52"/>
                              </w:rPr>
                              <w:t>安全管理规范</w:t>
                            </w:r>
                          </w:p>
                          <w:p w14:paraId="1B2842E4">
                            <w:pPr>
                              <w:keepNext w:val="0"/>
                              <w:keepLines w:val="0"/>
                              <w:widowControl/>
                              <w:suppressLineNumbers w:val="0"/>
                              <w:jc w:val="left"/>
                            </w:pPr>
                          </w:p>
                          <w:p w14:paraId="703AE0B7">
                            <w:pPr>
                              <w:pStyle w:val="78"/>
                              <w:keepNext w:val="0"/>
                              <w:keepLines w:val="0"/>
                              <w:pageBreakBefore w:val="0"/>
                              <w:widowControl/>
                              <w:kinsoku/>
                              <w:wordWrap/>
                              <w:overflowPunct/>
                              <w:topLinePunct w:val="0"/>
                              <w:bidi w:val="0"/>
                              <w:adjustRightInd w:val="0"/>
                              <w:snapToGrid w:val="0"/>
                              <w:spacing w:before="0" w:line="360" w:lineRule="auto"/>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 xml:space="preserve">Site safety management standard of micro, small </w:t>
                            </w:r>
                          </w:p>
                          <w:p w14:paraId="2A22E532">
                            <w:pPr>
                              <w:pStyle w:val="78"/>
                              <w:keepNext w:val="0"/>
                              <w:keepLines w:val="0"/>
                              <w:pageBreakBefore w:val="0"/>
                              <w:widowControl/>
                              <w:kinsoku/>
                              <w:wordWrap/>
                              <w:overflowPunct/>
                              <w:topLinePunct w:val="0"/>
                              <w:bidi w:val="0"/>
                              <w:adjustRightInd w:val="0"/>
                              <w:snapToGrid w:val="0"/>
                              <w:spacing w:before="0" w:line="360" w:lineRule="auto"/>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enterprises and labor-intensive industrial enterprises</w:t>
                            </w:r>
                          </w:p>
                          <w:p w14:paraId="411F98F3">
                            <w:pPr>
                              <w:pStyle w:val="78"/>
                              <w:rPr>
                                <w:sz w:val="32"/>
                                <w:szCs w:val="32"/>
                              </w:rPr>
                            </w:pPr>
                            <w:r>
                              <w:rPr>
                                <w:rFonts w:hint="eastAsia"/>
                                <w:sz w:val="32"/>
                                <w:szCs w:val="32"/>
                              </w:rPr>
                              <w:t>（</w:t>
                            </w:r>
                            <w:r>
                              <w:rPr>
                                <w:rFonts w:hint="eastAsia"/>
                                <w:sz w:val="32"/>
                                <w:szCs w:val="32"/>
                                <w:lang w:val="en-US" w:eastAsia="zh-CN"/>
                              </w:rPr>
                              <w:t>报批</w:t>
                            </w:r>
                            <w:r>
                              <w:rPr>
                                <w:rFonts w:hint="eastAsia"/>
                                <w:sz w:val="32"/>
                                <w:szCs w:val="32"/>
                              </w:rPr>
                              <w:t>稿）</w:t>
                            </w:r>
                          </w:p>
                          <w:p w14:paraId="677D7D82">
                            <w:pPr>
                              <w:pStyle w:val="77"/>
                            </w:pPr>
                          </w:p>
                        </w:txbxContent>
                      </wps:txbx>
                      <wps:bodyPr lIns="0" tIns="0" rIns="0" bIns="0" upright="1"/>
                    </wps:wsp>
                  </a:graphicData>
                </a:graphic>
              </wp:anchor>
            </w:drawing>
          </mc:Choice>
          <mc:Fallback>
            <w:pict>
              <v:shape id="fmFrame4" o:spid="_x0000_s1026" o:spt="202" type="#_x0000_t202" style="position:absolute;left:0pt;margin-left:0pt;margin-top:286.25pt;height:318.45pt;width:487.3pt;mso-position-horizontal-relative:margin;mso-position-vertical-relative:margin;z-index:251662336;mso-width-relative:page;mso-height-relative:page;" fillcolor="#FFFFFF" filled="t" stroked="f" coordsize="21600,21600" o:gfxdata="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fQK7bZAAAACQEAAA8AAAAAAAAAAQAgAAAAIgAAAGRycy9kb3ducmV2&#10;LnhtbFBLAQIUABQAAAAIAIdO4kCFd/1GwgEAAKcDAAAOAAAAAAAAAAEAIAAAACgBAABkcnMvZTJv&#10;RG9jLnhtbFBLBQYAAAAABgAGAFkBAABcBQAAAAA=&#10;">
                <v:fill on="t" focussize="0,0"/>
                <v:stroke on="f"/>
                <v:imagedata o:title=""/>
                <o:lock v:ext="edit" aspectratio="f"/>
                <v:textbox inset="0mm,0mm,0mm,0mm">
                  <w:txbxContent>
                    <w:p w14:paraId="6605D2B4">
                      <w:pPr>
                        <w:pStyle w:val="76"/>
                        <w:rPr>
                          <w:rFonts w:hint="eastAsia" w:ascii="黑体" w:hAnsi="黑体" w:eastAsia="黑体" w:cs="黑体"/>
                          <w:spacing w:val="-4"/>
                          <w:sz w:val="52"/>
                          <w:szCs w:val="52"/>
                        </w:rPr>
                      </w:pPr>
                      <w:r>
                        <w:rPr>
                          <w:rFonts w:hint="eastAsia" w:hAnsi="黑体" w:cs="黑体"/>
                          <w:spacing w:val="-4"/>
                          <w:sz w:val="52"/>
                          <w:szCs w:val="52"/>
                          <w:lang w:eastAsia="zh-CN"/>
                        </w:rPr>
                        <w:t>小微</w:t>
                      </w:r>
                      <w:r>
                        <w:rPr>
                          <w:rFonts w:hint="eastAsia" w:ascii="黑体" w:hAnsi="黑体" w:eastAsia="黑体" w:cs="黑体"/>
                          <w:spacing w:val="-4"/>
                          <w:sz w:val="52"/>
                          <w:szCs w:val="52"/>
                        </w:rPr>
                        <w:t>型</w:t>
                      </w:r>
                      <w:r>
                        <w:rPr>
                          <w:rFonts w:hint="eastAsia" w:hAnsi="黑体" w:cs="黑体"/>
                          <w:spacing w:val="-4"/>
                          <w:sz w:val="52"/>
                          <w:szCs w:val="52"/>
                          <w:lang w:val="en-US" w:eastAsia="zh-CN"/>
                        </w:rPr>
                        <w:t>和劳动密集型</w:t>
                      </w:r>
                      <w:r>
                        <w:rPr>
                          <w:rFonts w:hint="eastAsia" w:ascii="黑体" w:hAnsi="黑体" w:eastAsia="黑体" w:cs="黑体"/>
                          <w:spacing w:val="-4"/>
                          <w:sz w:val="52"/>
                          <w:szCs w:val="52"/>
                        </w:rPr>
                        <w:t>工业企业</w:t>
                      </w:r>
                    </w:p>
                    <w:p w14:paraId="5BE64E53">
                      <w:pPr>
                        <w:pStyle w:val="76"/>
                      </w:pPr>
                      <w:r>
                        <w:rPr>
                          <w:rFonts w:hint="eastAsia" w:hAnsi="黑体" w:cs="黑体"/>
                          <w:spacing w:val="-4"/>
                          <w:sz w:val="52"/>
                          <w:szCs w:val="52"/>
                          <w:lang w:val="en-US" w:eastAsia="zh-CN"/>
                        </w:rPr>
                        <w:t>现场</w:t>
                      </w:r>
                      <w:r>
                        <w:rPr>
                          <w:rFonts w:hint="eastAsia" w:ascii="黑体" w:hAnsi="黑体" w:eastAsia="黑体" w:cs="黑体"/>
                          <w:spacing w:val="-4"/>
                          <w:sz w:val="52"/>
                          <w:szCs w:val="52"/>
                        </w:rPr>
                        <w:t>安全管理规范</w:t>
                      </w:r>
                    </w:p>
                    <w:p w14:paraId="1B2842E4">
                      <w:pPr>
                        <w:keepNext w:val="0"/>
                        <w:keepLines w:val="0"/>
                        <w:widowControl/>
                        <w:suppressLineNumbers w:val="0"/>
                        <w:jc w:val="left"/>
                      </w:pPr>
                    </w:p>
                    <w:p w14:paraId="703AE0B7">
                      <w:pPr>
                        <w:pStyle w:val="78"/>
                        <w:keepNext w:val="0"/>
                        <w:keepLines w:val="0"/>
                        <w:pageBreakBefore w:val="0"/>
                        <w:widowControl/>
                        <w:kinsoku/>
                        <w:wordWrap/>
                        <w:overflowPunct/>
                        <w:topLinePunct w:val="0"/>
                        <w:bidi w:val="0"/>
                        <w:adjustRightInd w:val="0"/>
                        <w:snapToGrid w:val="0"/>
                        <w:spacing w:before="0" w:line="360" w:lineRule="auto"/>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 xml:space="preserve">Site safety management standard of micro, small </w:t>
                      </w:r>
                    </w:p>
                    <w:p w14:paraId="2A22E532">
                      <w:pPr>
                        <w:pStyle w:val="78"/>
                        <w:keepNext w:val="0"/>
                        <w:keepLines w:val="0"/>
                        <w:pageBreakBefore w:val="0"/>
                        <w:widowControl/>
                        <w:kinsoku/>
                        <w:wordWrap/>
                        <w:overflowPunct/>
                        <w:topLinePunct w:val="0"/>
                        <w:bidi w:val="0"/>
                        <w:adjustRightInd w:val="0"/>
                        <w:snapToGrid w:val="0"/>
                        <w:spacing w:before="0" w:line="360" w:lineRule="auto"/>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enterprises and labor-intensive industrial enterprises</w:t>
                      </w:r>
                    </w:p>
                    <w:p w14:paraId="411F98F3">
                      <w:pPr>
                        <w:pStyle w:val="78"/>
                        <w:rPr>
                          <w:sz w:val="32"/>
                          <w:szCs w:val="32"/>
                        </w:rPr>
                      </w:pPr>
                      <w:r>
                        <w:rPr>
                          <w:rFonts w:hint="eastAsia"/>
                          <w:sz w:val="32"/>
                          <w:szCs w:val="32"/>
                        </w:rPr>
                        <w:t>（</w:t>
                      </w:r>
                      <w:r>
                        <w:rPr>
                          <w:rFonts w:hint="eastAsia"/>
                          <w:sz w:val="32"/>
                          <w:szCs w:val="32"/>
                          <w:lang w:val="en-US" w:eastAsia="zh-CN"/>
                        </w:rPr>
                        <w:t>报批</w:t>
                      </w:r>
                      <w:r>
                        <w:rPr>
                          <w:rFonts w:hint="eastAsia"/>
                          <w:sz w:val="32"/>
                          <w:szCs w:val="32"/>
                        </w:rPr>
                        <w:t>稿）</w:t>
                      </w:r>
                    </w:p>
                    <w:p w14:paraId="677D7D82">
                      <w:pPr>
                        <w:pStyle w:val="77"/>
                      </w:pP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1687195</wp:posOffset>
                </wp:positionV>
                <wp:extent cx="5920105" cy="327660"/>
                <wp:effectExtent l="0" t="0" r="4445" b="15240"/>
                <wp:wrapNone/>
                <wp:docPr id="3" name="fmFrame3"/>
                <wp:cNvGraphicFramePr/>
                <a:graphic xmlns:a="http://schemas.openxmlformats.org/drawingml/2006/main">
                  <a:graphicData uri="http://schemas.microsoft.com/office/word/2010/wordprocessingShape">
                    <wps:wsp>
                      <wps:cNvSpPr txBox="1"/>
                      <wps:spPr>
                        <a:xfrm>
                          <a:off x="0" y="0"/>
                          <a:ext cx="5920105" cy="556260"/>
                        </a:xfrm>
                        <a:prstGeom prst="rect">
                          <a:avLst/>
                        </a:prstGeom>
                        <a:solidFill>
                          <a:srgbClr val="FFFFFF"/>
                        </a:solidFill>
                        <a:ln>
                          <a:noFill/>
                        </a:ln>
                        <a:effectLst/>
                      </wps:spPr>
                      <wps:txbx>
                        <w:txbxContent>
                          <w:p w14:paraId="21F7C775">
                            <w:pPr>
                              <w:adjustRightInd w:val="0"/>
                              <w:snapToGrid w:val="0"/>
                              <w:jc w:val="right"/>
                              <w:rPr>
                                <w:b/>
                              </w:rPr>
                            </w:pPr>
                            <w:r>
                              <w:rPr>
                                <w:rFonts w:hint="eastAsia" w:ascii="黑体" w:hAnsi="黑体" w:eastAsia="黑体" w:cs="黑体"/>
                                <w:bCs/>
                                <w:sz w:val="28"/>
                                <w:szCs w:val="28"/>
                                <w:lang w:val="en-US" w:eastAsia="zh-CN"/>
                              </w:rPr>
                              <w:t>DB32/T</w:t>
                            </w:r>
                            <w:r>
                              <w:rPr>
                                <w:rFonts w:hint="eastAsia" w:ascii="黑体" w:hAnsi="黑体" w:eastAsia="黑体" w:cs="黑体"/>
                                <w:bCs/>
                                <w:sz w:val="28"/>
                                <w:szCs w:val="28"/>
                              </w:rPr>
                              <w:t>—××××</w:t>
                            </w:r>
                          </w:p>
                          <w:p w14:paraId="11999863">
                            <w:pPr>
                              <w:pStyle w:val="73"/>
                              <w:rPr>
                                <w:b/>
                              </w:rPr>
                            </w:pPr>
                          </w:p>
                          <w:p w14:paraId="10F28B8A">
                            <w:pPr>
                              <w:pStyle w:val="73"/>
                              <w:rPr>
                                <w:b/>
                              </w:rPr>
                            </w:pPr>
                          </w:p>
                        </w:txbxContent>
                      </wps:txbx>
                      <wps:bodyPr lIns="0" tIns="0" rIns="0" bIns="0" upright="1"/>
                    </wps:wsp>
                  </a:graphicData>
                </a:graphic>
              </wp:anchor>
            </w:drawing>
          </mc:Choice>
          <mc:Fallback>
            <w:pict>
              <v:shape id="fmFrame3" o:spid="_x0000_s1026" o:spt="202" type="#_x0000_t202" style="position:absolute;left:0pt;margin-left:0pt;margin-top:132.85pt;height:25.8pt;width:466.15pt;mso-position-horizontal-relative:margin;mso-position-vertical-relative:margin;z-index:251661312;mso-width-relative:page;mso-height-relative:page;" fillcolor="#FFFFFF" filled="t" stroked="f" coordsize="21600,21600" o:gfxdata="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dmAnjYAAAACAEAAA8AAAAAAAAAAQAgAAAAIgAAAGRycy9kb3ducmV2&#10;LnhtbFBLAQIUABQAAAAIAIdO4kB5wDixwwEAAKYDAAAOAAAAAAAAAAEAIAAAACcBAABkcnMvZTJv&#10;RG9jLnhtbFBLBQYAAAAABgAGAFkBAABcBQAAAAA=&#10;">
                <v:fill on="t" focussize="0,0"/>
                <v:stroke on="f"/>
                <v:imagedata o:title=""/>
                <o:lock v:ext="edit" aspectratio="f"/>
                <v:textbox inset="0mm,0mm,0mm,0mm">
                  <w:txbxContent>
                    <w:p w14:paraId="21F7C775">
                      <w:pPr>
                        <w:adjustRightInd w:val="0"/>
                        <w:snapToGrid w:val="0"/>
                        <w:jc w:val="right"/>
                        <w:rPr>
                          <w:b/>
                        </w:rPr>
                      </w:pPr>
                      <w:r>
                        <w:rPr>
                          <w:rFonts w:hint="eastAsia" w:ascii="黑体" w:hAnsi="黑体" w:eastAsia="黑体" w:cs="黑体"/>
                          <w:bCs/>
                          <w:sz w:val="28"/>
                          <w:szCs w:val="28"/>
                          <w:lang w:val="en-US" w:eastAsia="zh-CN"/>
                        </w:rPr>
                        <w:t>DB32/T</w:t>
                      </w:r>
                      <w:r>
                        <w:rPr>
                          <w:rFonts w:hint="eastAsia" w:ascii="黑体" w:hAnsi="黑体" w:eastAsia="黑体" w:cs="黑体"/>
                          <w:bCs/>
                          <w:sz w:val="28"/>
                          <w:szCs w:val="28"/>
                        </w:rPr>
                        <w:t>—××××</w:t>
                      </w:r>
                    </w:p>
                    <w:p w14:paraId="11999863">
                      <w:pPr>
                        <w:pStyle w:val="73"/>
                        <w:rPr>
                          <w:b/>
                        </w:rPr>
                      </w:pPr>
                    </w:p>
                    <w:p w14:paraId="10F28B8A">
                      <w:pPr>
                        <w:pStyle w:val="73"/>
                        <w:rPr>
                          <w:b/>
                        </w:rPr>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13970" b="8890"/>
                <wp:wrapNone/>
                <wp:docPr id="2" name="fmFrame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a:effectLst/>
                      </wps:spPr>
                      <wps:txbx>
                        <w:txbxContent>
                          <w:p w14:paraId="36215568">
                            <w:pPr>
                              <w:pStyle w:val="97"/>
                            </w:pPr>
                            <w:r>
                              <w:rPr>
                                <w:rFonts w:hint="eastAsia"/>
                                <w:lang w:val="en-US" w:eastAsia="zh-CN"/>
                              </w:rPr>
                              <w:t>江苏省地方</w:t>
                            </w:r>
                            <w:r>
                              <w:rPr>
                                <w:rFonts w:hint="eastAsia"/>
                              </w:rPr>
                              <w:t>标准</w:t>
                            </w:r>
                          </w:p>
                        </w:txbxContent>
                      </wps:txbx>
                      <wps:bodyPr lIns="0" tIns="0" rIns="0" bIns="0" upright="1"/>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GDkcF1wAAAAgBAAAPAAAAAAAAAAEAIAAAACIAAABkcnMvZG93bnJldi54&#10;bWxQSwECFAAUAAAACACHTuJAvPoFRMIBAACmAwAADgAAAAAAAAABACAAAAAmAQAAZHJzL2Uyb0Rv&#10;Yy54bWxQSwUGAAAAAAYABgBZAQAAWgUAAAAA&#10;">
                <v:fill on="t" focussize="0,0"/>
                <v:stroke on="f"/>
                <v:imagedata o:title=""/>
                <o:lock v:ext="edit" aspectratio="f"/>
                <v:textbox inset="0mm,0mm,0mm,0mm">
                  <w:txbxContent>
                    <w:p w14:paraId="36215568">
                      <w:pPr>
                        <w:pStyle w:val="97"/>
                      </w:pPr>
                      <w:r>
                        <w:rPr>
                          <w:rFonts w:hint="eastAsia"/>
                          <w:lang w:val="en-US" w:eastAsia="zh-CN"/>
                        </w:rPr>
                        <w:t>江苏省地方</w:t>
                      </w:r>
                      <w:r>
                        <w:rPr>
                          <w:rFonts w:hint="eastAsia"/>
                        </w:rPr>
                        <w:t>标准</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435610"/>
                <wp:effectExtent l="0" t="0" r="1270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a:effectLst/>
                      </wps:spPr>
                      <wps:txbx>
                        <w:txbxContent>
                          <w:p w14:paraId="531F98FD">
                            <w:pPr>
                              <w:pStyle w:val="108"/>
                            </w:pPr>
                            <w:r>
                              <w:rPr>
                                <w:b/>
                              </w:rPr>
                              <w:t xml:space="preserve">ICS </w:t>
                            </w:r>
                            <w:r>
                              <w:rPr>
                                <w:rFonts w:hint="eastAsia"/>
                                <w:b/>
                                <w:bCs/>
                              </w:rPr>
                              <w:t>13.100</w:t>
                            </w:r>
                          </w:p>
                          <w:p w14:paraId="428F0D70">
                            <w:pPr>
                              <w:pStyle w:val="108"/>
                            </w:pPr>
                            <w:r>
                              <w:rPr>
                                <w:rFonts w:hint="eastAsia"/>
                                <w:b/>
                                <w:bCs/>
                              </w:rPr>
                              <w:t>CCS C 68</w:t>
                            </w:r>
                          </w:p>
                        </w:txbxContent>
                      </wps:txbx>
                      <wps:bodyPr lIns="0" tIns="0" rIns="0" bIns="0" upright="1"/>
                    </wps:wsp>
                  </a:graphicData>
                </a:graphic>
              </wp:anchor>
            </w:drawing>
          </mc:Choice>
          <mc:Fallback>
            <w:pict>
              <v:shape id="fmFrame1" o:spid="_x0000_s1026" o:spt="202" type="#_x0000_t202" style="position:absolute;left:0pt;margin-left:0pt;margin-top:0pt;height:34.3pt;width:200pt;mso-position-horizontal-relative:margin;mso-position-vertical-relative:margin;z-index:251659264;mso-width-relative:page;mso-height-relative:page;" fillcolor="#FFFFFF" filled="t" stroked="f" coordsize="21600,21600" o:gfxdata="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PejLTAAAABAEAAA8AAAAAAAAAAQAgAAAAIgAAAGRycy9kb3ducmV2LnhtbFBL&#10;AQIUABQAAAAIAIdO4kCJAc1ywgEAAKYDAAAOAAAAAAAAAAEAIAAAACIBAABkcnMvZTJvRG9jLnht&#10;bFBLBQYAAAAABgAGAFkBAABWBQAAAAA=&#10;">
                <v:fill on="t" focussize="0,0"/>
                <v:stroke on="f"/>
                <v:imagedata o:title=""/>
                <o:lock v:ext="edit" aspectratio="f"/>
                <v:textbox inset="0mm,0mm,0mm,0mm">
                  <w:txbxContent>
                    <w:p w14:paraId="531F98FD">
                      <w:pPr>
                        <w:pStyle w:val="108"/>
                      </w:pPr>
                      <w:r>
                        <w:rPr>
                          <w:b/>
                        </w:rPr>
                        <w:t xml:space="preserve">ICS </w:t>
                      </w:r>
                      <w:r>
                        <w:rPr>
                          <w:rFonts w:hint="eastAsia"/>
                          <w:b/>
                          <w:bCs/>
                        </w:rPr>
                        <w:t>13.100</w:t>
                      </w:r>
                    </w:p>
                    <w:p w14:paraId="428F0D70">
                      <w:pPr>
                        <w:pStyle w:val="108"/>
                      </w:pPr>
                      <w:r>
                        <w:rPr>
                          <w:rFonts w:hint="eastAsia"/>
                          <w:b/>
                          <w:bCs/>
                        </w:rPr>
                        <w:t>CCS C 68</w:t>
                      </w:r>
                    </w:p>
                  </w:txbxContent>
                </v:textbox>
                <w10:anchorlock/>
              </v:shape>
            </w:pict>
          </mc:Fallback>
        </mc:AlternateContent>
      </w:r>
    </w:p>
    <w:bookmarkEnd w:id="0"/>
    <w:p w14:paraId="1B4620FF">
      <w:pPr>
        <w:pStyle w:val="95"/>
        <w:outlineLvl w:val="9"/>
      </w:pPr>
      <w:bookmarkStart w:id="1" w:name="_Toc30049"/>
      <w:bookmarkStart w:id="2" w:name="_Toc21815"/>
      <w:bookmarkStart w:id="3" w:name="_Toc9270407"/>
      <w:bookmarkStart w:id="4" w:name="_Toc28899"/>
      <w:bookmarkStart w:id="5" w:name="_Toc26660"/>
      <w:bookmarkStart w:id="6" w:name="_Toc10121"/>
      <w:bookmarkStart w:id="7" w:name="SectionMark1"/>
      <w:r>
        <w:rPr>
          <w:rFonts w:hint="eastAsia"/>
        </w:rPr>
        <w:t>目</w:t>
      </w:r>
      <w:r>
        <w:rPr>
          <w:rFonts w:hint="eastAsia"/>
          <w:lang w:val="en-US" w:eastAsia="zh-CN"/>
        </w:rPr>
        <w:t xml:space="preserve">    </w:t>
      </w:r>
      <w:r>
        <w:rPr>
          <w:rFonts w:hint="eastAsia"/>
        </w:rPr>
        <w:t>次</w:t>
      </w:r>
      <w:bookmarkEnd w:id="1"/>
      <w:bookmarkEnd w:id="2"/>
      <w:bookmarkEnd w:id="3"/>
      <w:bookmarkEnd w:id="4"/>
      <w:bookmarkEnd w:id="5"/>
      <w:bookmarkEnd w:id="6"/>
    </w:p>
    <w:p w14:paraId="09EA4ACC">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TOC \o "1-3" \h \z \u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_Toc1262218664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kern w:val="0"/>
          <w:szCs w:val="22"/>
        </w:rPr>
        <w:t>前</w:t>
      </w:r>
      <w:r>
        <w:rPr>
          <w:rFonts w:hint="eastAsia" w:ascii="黑体" w:hAnsi="Times New Roman" w:eastAsia="黑体" w:cs="Times New Roman"/>
          <w:kern w:val="0"/>
          <w:szCs w:val="22"/>
          <w:lang w:val="en-US" w:eastAsia="zh-CN"/>
        </w:rPr>
        <w:t xml:space="preserve">    </w:t>
      </w:r>
      <w:r>
        <w:rPr>
          <w:rFonts w:hint="eastAsia" w:ascii="黑体" w:hAnsi="Times New Roman" w:eastAsia="黑体" w:cs="Times New Roman"/>
          <w:kern w:val="0"/>
          <w:szCs w:val="22"/>
        </w:rPr>
        <w:t>言</w:t>
      </w:r>
      <w:r>
        <w:tab/>
      </w:r>
      <w:r>
        <w:fldChar w:fldCharType="begin"/>
      </w:r>
      <w:r>
        <w:instrText xml:space="preserve"> PAGEREF _Toc1262218664 \h </w:instrText>
      </w:r>
      <w:r>
        <w:fldChar w:fldCharType="separate"/>
      </w:r>
      <w:r>
        <w:t>II</w:t>
      </w:r>
      <w:r>
        <w:fldChar w:fldCharType="end"/>
      </w:r>
      <w:r>
        <w:rPr>
          <w:rFonts w:hint="eastAsia" w:asciiTheme="minorEastAsia" w:hAnsiTheme="minorEastAsia" w:eastAsiaTheme="minorEastAsia" w:cstheme="minorEastAsia"/>
        </w:rPr>
        <w:fldChar w:fldCharType="end"/>
      </w:r>
    </w:p>
    <w:p w14:paraId="05541262">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_Toc1265620782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bCs w:val="0"/>
          <w:kern w:val="2"/>
          <w:szCs w:val="22"/>
        </w:rPr>
        <w:t>1  范围</w:t>
      </w:r>
      <w:r>
        <w:tab/>
      </w:r>
      <w:r>
        <w:fldChar w:fldCharType="begin"/>
      </w:r>
      <w:r>
        <w:instrText xml:space="preserve"> PAGEREF _Toc1265620782 \h </w:instrText>
      </w:r>
      <w:r>
        <w:fldChar w:fldCharType="separate"/>
      </w:r>
      <w:r>
        <w:t>1</w:t>
      </w:r>
      <w:r>
        <w:fldChar w:fldCharType="end"/>
      </w:r>
      <w:r>
        <w:rPr>
          <w:rFonts w:hint="eastAsia" w:asciiTheme="minorEastAsia" w:hAnsiTheme="minorEastAsia" w:eastAsiaTheme="minorEastAsia" w:cstheme="minorEastAsia"/>
        </w:rPr>
        <w:fldChar w:fldCharType="end"/>
      </w:r>
    </w:p>
    <w:p w14:paraId="109AE6CB">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_Toc462959539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bCs w:val="0"/>
          <w:kern w:val="2"/>
          <w:szCs w:val="22"/>
        </w:rPr>
        <w:t>2  规范性引用文件</w:t>
      </w:r>
      <w:r>
        <w:tab/>
      </w:r>
      <w:r>
        <w:fldChar w:fldCharType="begin"/>
      </w:r>
      <w:r>
        <w:instrText xml:space="preserve"> PAGEREF _Toc462959539 \h </w:instrText>
      </w:r>
      <w:r>
        <w:fldChar w:fldCharType="separate"/>
      </w:r>
      <w:r>
        <w:t>1</w:t>
      </w:r>
      <w:r>
        <w:fldChar w:fldCharType="end"/>
      </w:r>
      <w:r>
        <w:rPr>
          <w:rFonts w:hint="eastAsia" w:asciiTheme="minorEastAsia" w:hAnsiTheme="minorEastAsia" w:eastAsiaTheme="minorEastAsia" w:cstheme="minorEastAsia"/>
        </w:rPr>
        <w:fldChar w:fldCharType="end"/>
      </w:r>
    </w:p>
    <w:p w14:paraId="278C70D9">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_Toc627718892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bCs w:val="0"/>
          <w:kern w:val="2"/>
          <w:szCs w:val="22"/>
          <w:lang w:val="en-US" w:eastAsia="zh-CN"/>
        </w:rPr>
        <w:t xml:space="preserve">3 </w:t>
      </w:r>
      <w:r>
        <w:rPr>
          <w:rFonts w:hint="eastAsia" w:ascii="黑体" w:hAnsi="Times New Roman" w:eastAsia="黑体" w:cs="Times New Roman"/>
          <w:bCs w:val="0"/>
          <w:kern w:val="2"/>
          <w:szCs w:val="22"/>
        </w:rPr>
        <w:t xml:space="preserve"> 术语</w:t>
      </w:r>
      <w:r>
        <w:rPr>
          <w:rFonts w:hint="default" w:ascii="黑体" w:hAnsi="Times New Roman" w:eastAsia="黑体" w:cs="Times New Roman"/>
          <w:bCs w:val="0"/>
          <w:kern w:val="2"/>
          <w:szCs w:val="22"/>
          <w:lang w:val="en-US" w:eastAsia="zh-CN"/>
        </w:rPr>
        <w:t>和定义</w:t>
      </w:r>
      <w:r>
        <w:tab/>
      </w:r>
      <w:r>
        <w:fldChar w:fldCharType="begin"/>
      </w:r>
      <w:r>
        <w:instrText xml:space="preserve"> PAGEREF _Toc627718892 \h </w:instrText>
      </w:r>
      <w:r>
        <w:fldChar w:fldCharType="separate"/>
      </w:r>
      <w:r>
        <w:t>1</w:t>
      </w:r>
      <w:r>
        <w:fldChar w:fldCharType="end"/>
      </w:r>
      <w:r>
        <w:rPr>
          <w:rFonts w:hint="eastAsia" w:asciiTheme="minorEastAsia" w:hAnsiTheme="minorEastAsia" w:eastAsiaTheme="minorEastAsia" w:cstheme="minorEastAsia"/>
        </w:rPr>
        <w:fldChar w:fldCharType="end"/>
      </w:r>
    </w:p>
    <w:p w14:paraId="088CB1F9">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_Toc1631743780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rPr>
        <w:t>4</w:t>
      </w:r>
      <w:r>
        <w:rPr>
          <w:rFonts w:hint="eastAsia" w:ascii="黑体" w:eastAsia="黑体" w:cs="Times New Roman"/>
          <w:szCs w:val="21"/>
          <w:lang w:val="en-US" w:eastAsia="zh-CN"/>
        </w:rPr>
        <w:t xml:space="preserve"> </w:t>
      </w:r>
      <w:r>
        <w:rPr>
          <w:rFonts w:hint="eastAsia" w:ascii="黑体" w:hAnsi="Times New Roman" w:eastAsia="黑体" w:cs="Times New Roman"/>
          <w:szCs w:val="21"/>
          <w:lang w:val="en-US" w:eastAsia="zh-CN"/>
        </w:rPr>
        <w:t xml:space="preserve"> </w:t>
      </w:r>
      <w:r>
        <w:rPr>
          <w:rFonts w:hint="eastAsia" w:ascii="黑体" w:hAnsi="Times New Roman" w:eastAsia="黑体" w:cs="Times New Roman"/>
          <w:szCs w:val="21"/>
        </w:rPr>
        <w:t>安全责任制</w:t>
      </w:r>
      <w:r>
        <w:rPr>
          <w:rFonts w:hint="eastAsia" w:ascii="黑体" w:hAnsi="Times New Roman" w:eastAsia="黑体" w:cs="Times New Roman"/>
          <w:szCs w:val="21"/>
          <w:lang w:val="en-US" w:eastAsia="zh-CN"/>
        </w:rPr>
        <w:t>落实</w:t>
      </w:r>
      <w:r>
        <w:tab/>
      </w:r>
      <w:r>
        <w:fldChar w:fldCharType="begin"/>
      </w:r>
      <w:r>
        <w:instrText xml:space="preserve"> PAGEREF _Toc1631743780 \h </w:instrText>
      </w:r>
      <w:r>
        <w:fldChar w:fldCharType="separate"/>
      </w:r>
      <w:r>
        <w:t>2</w:t>
      </w:r>
      <w:r>
        <w:fldChar w:fldCharType="end"/>
      </w:r>
      <w:r>
        <w:rPr>
          <w:rFonts w:hint="eastAsia" w:asciiTheme="minorEastAsia" w:hAnsiTheme="minorEastAsia" w:eastAsiaTheme="minorEastAsia" w:cstheme="minorEastAsia"/>
        </w:rPr>
        <w:fldChar w:fldCharType="end"/>
      </w:r>
    </w:p>
    <w:p w14:paraId="6B1D788B">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_Toc1351538270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 xml:space="preserve">5  </w:t>
      </w:r>
      <w:r>
        <w:rPr>
          <w:rFonts w:hint="eastAsia" w:ascii="黑体" w:hAnsi="Times New Roman" w:eastAsia="黑体" w:cs="Times New Roman"/>
          <w:szCs w:val="21"/>
        </w:rPr>
        <w:t>安全风险管控和事故隐患排查</w:t>
      </w:r>
      <w:r>
        <w:rPr>
          <w:rFonts w:hint="eastAsia" w:ascii="黑体" w:hAnsi="Times New Roman" w:eastAsia="黑体" w:cs="Times New Roman"/>
          <w:szCs w:val="21"/>
          <w:lang w:val="en-US" w:eastAsia="zh-CN"/>
        </w:rPr>
        <w:t>治理</w:t>
      </w:r>
      <w:r>
        <w:tab/>
      </w:r>
      <w:r>
        <w:fldChar w:fldCharType="begin"/>
      </w:r>
      <w:r>
        <w:instrText xml:space="preserve"> PAGEREF _Toc1351538270 \h </w:instrText>
      </w:r>
      <w:r>
        <w:fldChar w:fldCharType="separate"/>
      </w:r>
      <w:r>
        <w:t>2</w:t>
      </w:r>
      <w:r>
        <w:fldChar w:fldCharType="end"/>
      </w:r>
      <w:r>
        <w:rPr>
          <w:rFonts w:hint="eastAsia" w:asciiTheme="minorEastAsia" w:hAnsiTheme="minorEastAsia" w:eastAsiaTheme="minorEastAsia" w:cstheme="minorEastAsia"/>
        </w:rPr>
        <w:fldChar w:fldCharType="end"/>
      </w:r>
    </w:p>
    <w:p w14:paraId="1ECC5946">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_Toc1369169571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6</w:t>
      </w:r>
      <w:r>
        <w:rPr>
          <w:rFonts w:hint="eastAsia" w:ascii="黑体" w:eastAsia="黑体" w:cs="Times New Roman"/>
          <w:szCs w:val="21"/>
          <w:lang w:val="en-US" w:eastAsia="zh-CN"/>
        </w:rPr>
        <w:t xml:space="preserve">  </w:t>
      </w:r>
      <w:r>
        <w:rPr>
          <w:rFonts w:hint="eastAsia" w:ascii="黑体" w:hAnsi="Times New Roman" w:eastAsia="黑体" w:cs="Times New Roman"/>
          <w:szCs w:val="21"/>
        </w:rPr>
        <w:t>厂中厂”安全管理</w:t>
      </w:r>
      <w:r>
        <w:tab/>
      </w:r>
      <w:r>
        <w:fldChar w:fldCharType="begin"/>
      </w:r>
      <w:r>
        <w:instrText xml:space="preserve"> PAGEREF _Toc1369169571 \h </w:instrText>
      </w:r>
      <w:r>
        <w:fldChar w:fldCharType="separate"/>
      </w:r>
      <w:r>
        <w:t>2</w:t>
      </w:r>
      <w:r>
        <w:fldChar w:fldCharType="end"/>
      </w:r>
      <w:r>
        <w:rPr>
          <w:rFonts w:hint="eastAsia" w:asciiTheme="minorEastAsia" w:hAnsiTheme="minorEastAsia" w:eastAsiaTheme="minorEastAsia" w:cstheme="minorEastAsia"/>
        </w:rPr>
        <w:fldChar w:fldCharType="end"/>
      </w:r>
    </w:p>
    <w:p w14:paraId="0F22CDBA">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_Toc1345702192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7</w:t>
      </w:r>
      <w:r>
        <w:rPr>
          <w:rFonts w:hint="eastAsia" w:ascii="黑体" w:eastAsia="黑体" w:cs="Times New Roman"/>
          <w:szCs w:val="21"/>
          <w:lang w:val="en-US" w:eastAsia="zh-CN"/>
        </w:rPr>
        <w:t xml:space="preserve">  </w:t>
      </w:r>
      <w:r>
        <w:rPr>
          <w:rFonts w:hint="eastAsia" w:ascii="黑体" w:hAnsi="Times New Roman" w:eastAsia="黑体" w:cs="Times New Roman"/>
          <w:szCs w:val="21"/>
          <w:lang w:val="en-US" w:eastAsia="zh-CN"/>
        </w:rPr>
        <w:t>疏散通道安全</w:t>
      </w:r>
      <w:r>
        <w:tab/>
      </w:r>
      <w:r>
        <w:fldChar w:fldCharType="begin"/>
      </w:r>
      <w:r>
        <w:instrText xml:space="preserve"> PAGEREF _Toc1345702192 \h </w:instrText>
      </w:r>
      <w:r>
        <w:fldChar w:fldCharType="separate"/>
      </w:r>
      <w:r>
        <w:t>2</w:t>
      </w:r>
      <w:r>
        <w:fldChar w:fldCharType="end"/>
      </w:r>
      <w:r>
        <w:rPr>
          <w:rFonts w:hint="eastAsia" w:asciiTheme="minorEastAsia" w:hAnsiTheme="minorEastAsia" w:eastAsiaTheme="minorEastAsia" w:cstheme="minorEastAsia"/>
        </w:rPr>
        <w:fldChar w:fldCharType="end"/>
      </w:r>
    </w:p>
    <w:p w14:paraId="45C630EB">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_Toc2066454387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8  厂房和仓库防火安全</w:t>
      </w:r>
      <w:r>
        <w:tab/>
      </w:r>
      <w:r>
        <w:fldChar w:fldCharType="begin"/>
      </w:r>
      <w:r>
        <w:instrText xml:space="preserve"> PAGEREF _Toc2066454387 \h </w:instrText>
      </w:r>
      <w:r>
        <w:fldChar w:fldCharType="separate"/>
      </w:r>
      <w:r>
        <w:t>3</w:t>
      </w:r>
      <w:r>
        <w:fldChar w:fldCharType="end"/>
      </w:r>
      <w:r>
        <w:rPr>
          <w:rFonts w:hint="eastAsia" w:asciiTheme="minorEastAsia" w:hAnsiTheme="minorEastAsia" w:eastAsiaTheme="minorEastAsia" w:cstheme="minorEastAsia"/>
        </w:rPr>
        <w:fldChar w:fldCharType="end"/>
      </w:r>
    </w:p>
    <w:p w14:paraId="6E7C44FD">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_Toc1793343025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9</w:t>
      </w:r>
      <w:r>
        <w:rPr>
          <w:rFonts w:hint="eastAsia" w:ascii="黑体" w:eastAsia="黑体" w:cs="Times New Roman"/>
          <w:szCs w:val="21"/>
          <w:lang w:val="en-US" w:eastAsia="zh-CN"/>
        </w:rPr>
        <w:t xml:space="preserve">  </w:t>
      </w:r>
      <w:r>
        <w:rPr>
          <w:rFonts w:hint="eastAsia" w:ascii="黑体" w:hAnsi="Times New Roman" w:eastAsia="黑体" w:cs="Times New Roman"/>
          <w:szCs w:val="21"/>
          <w:lang w:val="en-US" w:eastAsia="zh-CN"/>
        </w:rPr>
        <w:t>电气安全</w:t>
      </w:r>
      <w:r>
        <w:tab/>
      </w:r>
      <w:r>
        <w:fldChar w:fldCharType="begin"/>
      </w:r>
      <w:r>
        <w:instrText xml:space="preserve"> PAGEREF _Toc1793343025 \h </w:instrText>
      </w:r>
      <w:r>
        <w:fldChar w:fldCharType="separate"/>
      </w:r>
      <w:r>
        <w:t>3</w:t>
      </w:r>
      <w:r>
        <w:fldChar w:fldCharType="end"/>
      </w:r>
      <w:r>
        <w:rPr>
          <w:rFonts w:hint="eastAsia" w:asciiTheme="minorEastAsia" w:hAnsiTheme="minorEastAsia" w:eastAsiaTheme="minorEastAsia" w:cstheme="minorEastAsia"/>
        </w:rPr>
        <w:fldChar w:fldCharType="end"/>
      </w:r>
    </w:p>
    <w:p w14:paraId="6FD5A3E5">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_Toc783235530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 xml:space="preserve">10 </w:t>
      </w:r>
      <w:r>
        <w:rPr>
          <w:rFonts w:hint="eastAsia" w:ascii="黑体" w:eastAsia="黑体" w:cs="Times New Roman"/>
          <w:szCs w:val="21"/>
          <w:lang w:val="en-US" w:eastAsia="zh-CN"/>
        </w:rPr>
        <w:t xml:space="preserve"> </w:t>
      </w:r>
      <w:r>
        <w:rPr>
          <w:rFonts w:hint="eastAsia" w:ascii="黑体" w:hAnsi="Times New Roman" w:eastAsia="黑体" w:cs="Times New Roman"/>
          <w:szCs w:val="21"/>
          <w:lang w:val="en-US" w:eastAsia="zh-CN"/>
        </w:rPr>
        <w:t>危险作业管控</w:t>
      </w:r>
      <w:r>
        <w:tab/>
      </w:r>
      <w:r>
        <w:fldChar w:fldCharType="begin"/>
      </w:r>
      <w:r>
        <w:instrText xml:space="preserve"> PAGEREF _Toc783235530 \h </w:instrText>
      </w:r>
      <w:r>
        <w:fldChar w:fldCharType="separate"/>
      </w:r>
      <w:r>
        <w:t>3</w:t>
      </w:r>
      <w:r>
        <w:fldChar w:fldCharType="end"/>
      </w:r>
      <w:r>
        <w:rPr>
          <w:rFonts w:hint="eastAsia" w:asciiTheme="minorEastAsia" w:hAnsiTheme="minorEastAsia" w:eastAsiaTheme="minorEastAsia" w:cstheme="minorEastAsia"/>
        </w:rPr>
        <w:fldChar w:fldCharType="end"/>
      </w:r>
    </w:p>
    <w:p w14:paraId="0467562A">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_Toc1912280247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11  危险化学品使用</w:t>
      </w:r>
      <w:r>
        <w:tab/>
      </w:r>
      <w:r>
        <w:fldChar w:fldCharType="begin"/>
      </w:r>
      <w:r>
        <w:instrText xml:space="preserve"> PAGEREF _Toc1912280247 \h </w:instrText>
      </w:r>
      <w:r>
        <w:fldChar w:fldCharType="separate"/>
      </w:r>
      <w:r>
        <w:t>4</w:t>
      </w:r>
      <w:r>
        <w:fldChar w:fldCharType="end"/>
      </w:r>
      <w:r>
        <w:rPr>
          <w:rFonts w:hint="eastAsia" w:asciiTheme="minorEastAsia" w:hAnsiTheme="minorEastAsia" w:eastAsiaTheme="minorEastAsia" w:cstheme="minorEastAsia"/>
        </w:rPr>
        <w:fldChar w:fldCharType="end"/>
      </w:r>
    </w:p>
    <w:p w14:paraId="37DC83A1">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_Toc453850327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12  应急处置与疏散演练</w:t>
      </w:r>
      <w:r>
        <w:tab/>
      </w:r>
      <w:r>
        <w:fldChar w:fldCharType="begin"/>
      </w:r>
      <w:r>
        <w:instrText xml:space="preserve"> PAGEREF _Toc453850327 \h </w:instrText>
      </w:r>
      <w:r>
        <w:fldChar w:fldCharType="separate"/>
      </w:r>
      <w:r>
        <w:t>4</w:t>
      </w:r>
      <w:r>
        <w:fldChar w:fldCharType="end"/>
      </w:r>
      <w:r>
        <w:rPr>
          <w:rFonts w:hint="eastAsia" w:asciiTheme="minorEastAsia" w:hAnsiTheme="minorEastAsia" w:eastAsiaTheme="minorEastAsia" w:cstheme="minorEastAsia"/>
        </w:rPr>
        <w:fldChar w:fldCharType="end"/>
      </w:r>
    </w:p>
    <w:p w14:paraId="038865AD">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_Toc531745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13  内部报告奖励机制</w:t>
      </w:r>
      <w:r>
        <w:tab/>
      </w:r>
      <w:r>
        <w:fldChar w:fldCharType="begin"/>
      </w:r>
      <w:r>
        <w:instrText xml:space="preserve"> PAGEREF _Toc531745 \h </w:instrText>
      </w:r>
      <w:r>
        <w:fldChar w:fldCharType="separate"/>
      </w:r>
      <w:r>
        <w:t>4</w:t>
      </w:r>
      <w:r>
        <w:fldChar w:fldCharType="end"/>
      </w:r>
      <w:r>
        <w:rPr>
          <w:rFonts w:hint="eastAsia" w:asciiTheme="minorEastAsia" w:hAnsiTheme="minorEastAsia" w:eastAsiaTheme="minorEastAsia" w:cstheme="minorEastAsia"/>
        </w:rPr>
        <w:fldChar w:fldCharType="end"/>
      </w:r>
    </w:p>
    <w:p w14:paraId="64CEBB2B">
      <w:pPr>
        <w:pStyle w:val="18"/>
        <w:tabs>
          <w:tab w:val="right" w:leader="dot" w:pos="9355"/>
        </w:tabs>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\l _Toc347103627 </w:instrText>
      </w:r>
      <w:r>
        <w:rPr>
          <w:rFonts w:hint="eastAsia" w:asciiTheme="minorEastAsia" w:hAnsiTheme="minorEastAsia" w:eastAsiaTheme="minorEastAsia" w:cstheme="minorEastAsia"/>
        </w:rPr>
        <w:fldChar w:fldCharType="separate"/>
      </w:r>
      <w:r>
        <w:rPr>
          <w:rFonts w:hint="eastAsia" w:ascii="黑体" w:hAnsi="Times New Roman" w:eastAsia="黑体" w:cs="Times New Roman"/>
          <w:szCs w:val="21"/>
          <w:lang w:val="en-US" w:eastAsia="zh-CN"/>
        </w:rPr>
        <w:t>14</w:t>
      </w:r>
      <w:r>
        <w:rPr>
          <w:rFonts w:hint="eastAsia" w:ascii="黑体" w:eastAsia="黑体" w:cs="Times New Roman"/>
          <w:szCs w:val="21"/>
          <w:lang w:val="en-US" w:eastAsia="zh-CN"/>
        </w:rPr>
        <w:t xml:space="preserve">  </w:t>
      </w:r>
      <w:r>
        <w:rPr>
          <w:rFonts w:hint="eastAsia" w:ascii="黑体" w:hAnsi="Times New Roman" w:eastAsia="黑体" w:cs="Times New Roman"/>
          <w:szCs w:val="21"/>
          <w:lang w:val="en-US" w:eastAsia="zh-CN"/>
        </w:rPr>
        <w:t>自评与改进</w:t>
      </w:r>
      <w:r>
        <w:tab/>
      </w:r>
      <w:r>
        <w:fldChar w:fldCharType="begin"/>
      </w:r>
      <w:r>
        <w:instrText xml:space="preserve"> PAGEREF _Toc347103627 \h </w:instrText>
      </w:r>
      <w:r>
        <w:fldChar w:fldCharType="separate"/>
      </w:r>
      <w:r>
        <w:t>4</w:t>
      </w:r>
      <w:r>
        <w:fldChar w:fldCharType="end"/>
      </w:r>
      <w:r>
        <w:rPr>
          <w:rFonts w:hint="eastAsia" w:asciiTheme="minorEastAsia" w:hAnsiTheme="minorEastAsia" w:eastAsiaTheme="minorEastAsia" w:cstheme="minorEastAsia"/>
        </w:rPr>
        <w:fldChar w:fldCharType="end"/>
      </w:r>
    </w:p>
    <w:p w14:paraId="54F33DBF">
      <w:pPr>
        <w:pStyle w:val="18"/>
        <w:rPr>
          <w:rFonts w:ascii="Times New Roman"/>
          <w:szCs w:val="21"/>
        </w:rPr>
      </w:pPr>
      <w:r>
        <w:rPr>
          <w:rFonts w:hint="eastAsia" w:asciiTheme="minorEastAsia" w:hAnsiTheme="minorEastAsia" w:eastAsiaTheme="minorEastAsia" w:cstheme="minorEastAsia"/>
        </w:rPr>
        <w:fldChar w:fldCharType="end"/>
      </w:r>
    </w:p>
    <w:p w14:paraId="2181F4A9">
      <w:pPr>
        <w:pStyle w:val="17"/>
        <w:tabs>
          <w:tab w:val="right" w:leader="dot" w:pos="9345"/>
        </w:tabs>
        <w:spacing w:beforeLines="25" w:afterLines="25"/>
        <w:rPr>
          <w:rFonts w:hAnsi="宋体"/>
          <w:szCs w:val="21"/>
        </w:rPr>
      </w:pPr>
    </w:p>
    <w:bookmarkEnd w:id="7"/>
    <w:p w14:paraId="72D16D70">
      <w:pPr>
        <w:pStyle w:val="96"/>
        <w:sectPr>
          <w:headerReference r:id="rId9" w:type="default"/>
          <w:footerReference r:id="rId11" w:type="default"/>
          <w:headerReference r:id="rId10" w:type="even"/>
          <w:footerReference r:id="rId12" w:type="even"/>
          <w:pgSz w:w="11907" w:h="16839"/>
          <w:pgMar w:top="1418" w:right="1134" w:bottom="1134" w:left="1418" w:header="1418" w:footer="851" w:gutter="0"/>
          <w:pgNumType w:fmt="upperRoman" w:start="1"/>
          <w:cols w:space="425" w:num="1"/>
          <w:docGrid w:type="lines" w:linePitch="312" w:charSpace="0"/>
        </w:sectPr>
      </w:pPr>
    </w:p>
    <w:p w14:paraId="6664564A">
      <w:pPr>
        <w:pStyle w:val="95"/>
        <w:keepNext/>
        <w:pageBreakBefore/>
        <w:widowControl/>
        <w:shd w:val="clear" w:color="FFFFFF" w:fill="FFFFFF"/>
        <w:spacing w:before="640" w:after="560"/>
        <w:jc w:val="center"/>
        <w:outlineLvl w:val="0"/>
        <w:rPr>
          <w:rFonts w:hint="eastAsia" w:ascii="黑体" w:hAnsi="Times New Roman" w:eastAsia="黑体" w:cs="Times New Roman"/>
          <w:kern w:val="0"/>
          <w:sz w:val="32"/>
          <w:szCs w:val="22"/>
        </w:rPr>
      </w:pPr>
      <w:bookmarkStart w:id="8" w:name="_Toc1262218664"/>
      <w:bookmarkStart w:id="9" w:name="SectionMark2"/>
      <w:r>
        <w:rPr>
          <w:rFonts w:hint="eastAsia" w:ascii="黑体" w:hAnsi="Times New Roman" w:eastAsia="黑体" w:cs="Times New Roman"/>
          <w:kern w:val="0"/>
          <w:sz w:val="32"/>
          <w:szCs w:val="22"/>
        </w:rPr>
        <w:t>前</w:t>
      </w:r>
      <w:r>
        <w:rPr>
          <w:rFonts w:hint="eastAsia" w:ascii="黑体" w:hAnsi="Times New Roman" w:eastAsia="黑体" w:cs="Times New Roman"/>
          <w:kern w:val="0"/>
          <w:sz w:val="32"/>
          <w:szCs w:val="22"/>
          <w:lang w:val="en-US" w:eastAsia="zh-CN"/>
        </w:rPr>
        <w:t xml:space="preserve">    </w:t>
      </w:r>
      <w:r>
        <w:rPr>
          <w:rFonts w:hint="eastAsia" w:ascii="黑体" w:hAnsi="Times New Roman" w:eastAsia="黑体" w:cs="Times New Roman"/>
          <w:kern w:val="0"/>
          <w:sz w:val="32"/>
          <w:szCs w:val="22"/>
        </w:rPr>
        <w:t>言</w:t>
      </w:r>
      <w:bookmarkEnd w:id="8"/>
    </w:p>
    <w:p w14:paraId="694A184F">
      <w:pPr>
        <w:ind w:firstLine="444" w:firstLineChars="200"/>
        <w:rPr>
          <w:rFonts w:hint="eastAsia" w:hAnsiTheme="majorEastAsia" w:eastAsiaTheme="majorEastAsia"/>
          <w:spacing w:val="6"/>
          <w:kern w:val="21"/>
          <w:szCs w:val="21"/>
        </w:rPr>
      </w:pPr>
      <w:r>
        <w:rPr>
          <w:rFonts w:hint="eastAsia" w:hAnsiTheme="majorEastAsia" w:eastAsiaTheme="majorEastAsia"/>
          <w:spacing w:val="6"/>
          <w:kern w:val="21"/>
          <w:szCs w:val="21"/>
        </w:rPr>
        <w:t>本文件按照</w:t>
      </w:r>
      <w:r>
        <w:rPr>
          <w:rFonts w:hAnsiTheme="majorEastAsia" w:eastAsiaTheme="majorEastAsia"/>
          <w:spacing w:val="6"/>
          <w:kern w:val="21"/>
          <w:szCs w:val="21"/>
        </w:rPr>
        <w:t>GB/T 1.1</w:t>
      </w:r>
      <w:r>
        <w:t>—</w:t>
      </w:r>
      <w:r>
        <w:rPr>
          <w:rFonts w:hint="eastAsia" w:hAnsiTheme="majorEastAsia" w:eastAsiaTheme="majorEastAsia"/>
          <w:spacing w:val="6"/>
          <w:kern w:val="21"/>
          <w:szCs w:val="21"/>
        </w:rPr>
        <w:t>2020《标准化工作导则 第1部分：标准化文件的结构和起草规则》的规定起草。</w:t>
      </w:r>
    </w:p>
    <w:p w14:paraId="0E77DCAD">
      <w:pPr>
        <w:pStyle w:val="2"/>
        <w:rPr>
          <w:rFonts w:hint="default" w:eastAsiaTheme="majorEastAsia"/>
          <w:lang w:val="en-US" w:eastAsia="zh-CN"/>
        </w:rPr>
      </w:pPr>
      <w:r>
        <w:rPr>
          <w:rFonts w:hint="eastAsia" w:hAnsiTheme="majorEastAsia" w:eastAsiaTheme="majorEastAsia"/>
          <w:spacing w:val="6"/>
          <w:kern w:val="21"/>
          <w:szCs w:val="21"/>
          <w:lang w:val="en-US" w:eastAsia="zh-CN"/>
        </w:rPr>
        <w:t xml:space="preserve">   </w:t>
      </w:r>
      <w:r>
        <w:rPr>
          <w:rFonts w:hint="eastAsia" w:ascii="宋体" w:hAnsi="宋体" w:eastAsia="宋体" w:cs="宋体"/>
          <w:spacing w:val="6"/>
          <w:kern w:val="21"/>
          <w:sz w:val="21"/>
          <w:szCs w:val="21"/>
          <w:lang w:val="en-US" w:eastAsia="zh-CN"/>
        </w:rPr>
        <w:t xml:space="preserve">请注意本文件的某些内容可能涉及专利。本文件的发布机构不承担识别专利的责任。    </w:t>
      </w:r>
      <w:r>
        <w:rPr>
          <w:rFonts w:hint="eastAsia" w:hAnsiTheme="majorEastAsia" w:eastAsiaTheme="majorEastAsia"/>
          <w:spacing w:val="6"/>
          <w:kern w:val="21"/>
          <w:szCs w:val="21"/>
          <w:lang w:val="en-US" w:eastAsia="zh-CN"/>
        </w:rPr>
        <w:t xml:space="preserve">                       </w:t>
      </w:r>
    </w:p>
    <w:p w14:paraId="497158DB">
      <w:pPr>
        <w:pStyle w:val="20"/>
        <w:spacing w:before="45" w:line="188" w:lineRule="auto"/>
        <w:ind w:left="0" w:firstLine="452" w:firstLineChars="20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8"/>
          <w:sz w:val="21"/>
          <w:szCs w:val="21"/>
        </w:rPr>
        <w:t>本文件由江苏省应急管理厅</w:t>
      </w:r>
      <w:r>
        <w:rPr>
          <w:rFonts w:hint="eastAsia" w:asciiTheme="minorEastAsia" w:hAnsiTheme="minorEastAsia" w:eastAsiaTheme="minorEastAsia" w:cstheme="minorEastAsia"/>
          <w:spacing w:val="8"/>
          <w:sz w:val="21"/>
          <w:szCs w:val="21"/>
          <w:u w:val="none"/>
        </w:rPr>
        <w:t>提出</w:t>
      </w:r>
      <w:r>
        <w:rPr>
          <w:rFonts w:hint="eastAsia" w:asciiTheme="minorEastAsia" w:hAnsiTheme="minorEastAsia" w:eastAsiaTheme="minorEastAsia" w:cstheme="minorEastAsia"/>
          <w:spacing w:val="8"/>
          <w:sz w:val="21"/>
          <w:szCs w:val="21"/>
          <w:u w:val="none"/>
          <w:lang w:eastAsia="zh-CN"/>
        </w:rPr>
        <w:t>、</w:t>
      </w:r>
      <w:r>
        <w:rPr>
          <w:rFonts w:hint="eastAsia" w:asciiTheme="minorEastAsia" w:hAnsiTheme="minorEastAsia" w:eastAsiaTheme="minorEastAsia" w:cstheme="minorEastAsia"/>
          <w:color w:val="000000" w:themeColor="text1"/>
          <w:spacing w:val="8"/>
          <w:sz w:val="21"/>
          <w:szCs w:val="21"/>
          <w:u w:val="none"/>
          <w14:textFill>
            <w14:solidFill>
              <w14:schemeClr w14:val="tx1"/>
            </w14:solidFill>
          </w14:textFill>
        </w:rPr>
        <w:t>归口</w:t>
      </w:r>
      <w:r>
        <w:rPr>
          <w:rFonts w:hint="eastAsia" w:asciiTheme="minorEastAsia" w:hAnsiTheme="minorEastAsia" w:eastAsiaTheme="minorEastAsia" w:cstheme="minorEastAsia"/>
          <w:color w:val="000000" w:themeColor="text1"/>
          <w:spacing w:val="8"/>
          <w:sz w:val="21"/>
          <w:szCs w:val="21"/>
          <w:u w:val="none"/>
          <w:lang w:val="en-US" w:eastAsia="zh-CN"/>
          <w14:textFill>
            <w14:solidFill>
              <w14:schemeClr w14:val="tx1"/>
            </w14:solidFill>
          </w14:textFill>
        </w:rPr>
        <w:t>并组织实施。</w:t>
      </w:r>
    </w:p>
    <w:p w14:paraId="21064B50">
      <w:pPr>
        <w:pStyle w:val="20"/>
        <w:spacing w:before="43" w:line="187" w:lineRule="auto"/>
        <w:ind w:left="0" w:firstLine="448"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7"/>
          <w:sz w:val="21"/>
          <w:szCs w:val="21"/>
        </w:rPr>
        <w:t>本文件起草单位：江苏省安全生产协会、江苏省安全生产科学研究院、江苏中安科技服务有限公司、泰州市应急管理局</w:t>
      </w:r>
      <w:r>
        <w:rPr>
          <w:rFonts w:hint="eastAsia" w:asciiTheme="minorEastAsia" w:hAnsiTheme="minorEastAsia" w:eastAsiaTheme="minorEastAsia" w:cstheme="minorEastAsia"/>
          <w:spacing w:val="7"/>
          <w:sz w:val="21"/>
          <w:szCs w:val="21"/>
          <w:lang w:eastAsia="zh-CN"/>
        </w:rPr>
        <w:t>。</w:t>
      </w:r>
    </w:p>
    <w:p w14:paraId="5C9460A3">
      <w:pPr>
        <w:ind w:firstLine="448" w:firstLineChars="200"/>
        <w:rPr>
          <w:rFonts w:hint="eastAsia" w:hAnsiTheme="majorEastAsia" w:eastAsiaTheme="minorEastAsia"/>
          <w:spacing w:val="6"/>
          <w:kern w:val="21"/>
          <w:szCs w:val="21"/>
          <w:lang w:eastAsia="zh-CN"/>
        </w:rPr>
      </w:pPr>
      <w:r>
        <w:rPr>
          <w:rFonts w:hint="eastAsia" w:asciiTheme="minorEastAsia" w:hAnsiTheme="minorEastAsia" w:eastAsiaTheme="minorEastAsia" w:cstheme="minorEastAsia"/>
          <w:spacing w:val="7"/>
          <w:sz w:val="21"/>
          <w:szCs w:val="21"/>
        </w:rPr>
        <w:t>本文件主要起草人：邬克、柏萍、王睿、刁红兵、刘浩男、田冉、徐朔寒、朱超、</w:t>
      </w:r>
      <w:r>
        <w:rPr>
          <w:rFonts w:hint="eastAsia" w:asciiTheme="minorEastAsia" w:hAnsiTheme="minorEastAsia" w:eastAsiaTheme="minorEastAsia" w:cstheme="minorEastAsia"/>
          <w:spacing w:val="7"/>
          <w:sz w:val="21"/>
          <w:szCs w:val="21"/>
          <w:lang w:val="en-US" w:eastAsia="zh-CN"/>
        </w:rPr>
        <w:t>陈德波</w:t>
      </w:r>
      <w:bookmarkStart w:id="43" w:name="_GoBack"/>
      <w:bookmarkEnd w:id="43"/>
      <w:r>
        <w:rPr>
          <w:rFonts w:hint="eastAsia" w:asciiTheme="minorEastAsia" w:hAnsiTheme="minorEastAsia" w:eastAsiaTheme="minorEastAsia" w:cstheme="minorEastAsia"/>
          <w:spacing w:val="7"/>
          <w:sz w:val="21"/>
          <w:szCs w:val="21"/>
        </w:rPr>
        <w:t>、邓曼、向伟峰、</w:t>
      </w:r>
      <w:r>
        <w:rPr>
          <w:rFonts w:hint="eastAsia" w:ascii="宋体" w:hAnsi="宋体" w:eastAsia="宋体" w:cs="宋体"/>
          <w:color w:val="000000"/>
          <w:kern w:val="0"/>
          <w:sz w:val="21"/>
          <w:szCs w:val="21"/>
          <w:vertAlign w:val="baseline"/>
          <w:lang w:val="en-US" w:eastAsia="zh-CN" w:bidi="ar"/>
        </w:rPr>
        <w:t>唐玉军</w:t>
      </w:r>
      <w:r>
        <w:rPr>
          <w:rFonts w:hint="eastAsia" w:asciiTheme="minorEastAsia" w:hAnsiTheme="minorEastAsia" w:eastAsiaTheme="minorEastAsia" w:cstheme="minorEastAsia"/>
          <w:spacing w:val="7"/>
          <w:sz w:val="21"/>
          <w:szCs w:val="21"/>
          <w:lang w:eastAsia="zh-CN"/>
        </w:rPr>
        <w:t>。</w:t>
      </w:r>
    </w:p>
    <w:p w14:paraId="0E95E80A">
      <w:pPr>
        <w:ind w:firstLine="444" w:firstLineChars="200"/>
        <w:rPr>
          <w:rFonts w:hAnsiTheme="majorEastAsia" w:eastAsiaTheme="majorEastAsia"/>
          <w:spacing w:val="6"/>
          <w:kern w:val="21"/>
          <w:szCs w:val="21"/>
        </w:rPr>
      </w:pPr>
    </w:p>
    <w:p w14:paraId="2A681E96">
      <w:pPr>
        <w:ind w:firstLine="444" w:firstLineChars="200"/>
        <w:rPr>
          <w:rFonts w:hAnsiTheme="majorEastAsia" w:eastAsiaTheme="majorEastAsia"/>
          <w:spacing w:val="6"/>
          <w:kern w:val="21"/>
          <w:szCs w:val="21"/>
        </w:rPr>
      </w:pPr>
    </w:p>
    <w:p w14:paraId="3B3D8689">
      <w:pPr>
        <w:ind w:firstLine="444" w:firstLineChars="200"/>
        <w:rPr>
          <w:rFonts w:hAnsiTheme="majorEastAsia" w:eastAsiaTheme="majorEastAsia"/>
          <w:spacing w:val="6"/>
          <w:kern w:val="21"/>
          <w:szCs w:val="21"/>
        </w:rPr>
      </w:pPr>
    </w:p>
    <w:p w14:paraId="7D30067A">
      <w:pPr>
        <w:ind w:firstLine="444" w:firstLineChars="200"/>
        <w:rPr>
          <w:rFonts w:hAnsiTheme="majorEastAsia" w:eastAsiaTheme="majorEastAsia"/>
          <w:spacing w:val="6"/>
          <w:kern w:val="21"/>
          <w:szCs w:val="21"/>
        </w:rPr>
      </w:pPr>
    </w:p>
    <w:p w14:paraId="32B04B31">
      <w:pPr>
        <w:ind w:firstLine="444" w:firstLineChars="200"/>
        <w:rPr>
          <w:rFonts w:hAnsiTheme="majorEastAsia" w:eastAsiaTheme="majorEastAsia"/>
          <w:spacing w:val="6"/>
          <w:kern w:val="21"/>
          <w:szCs w:val="21"/>
        </w:rPr>
      </w:pPr>
    </w:p>
    <w:p w14:paraId="0756EDDE">
      <w:pPr>
        <w:ind w:firstLine="444" w:firstLineChars="200"/>
        <w:rPr>
          <w:rFonts w:hAnsiTheme="majorEastAsia" w:eastAsiaTheme="majorEastAsia"/>
          <w:spacing w:val="6"/>
          <w:kern w:val="21"/>
          <w:szCs w:val="21"/>
        </w:rPr>
      </w:pPr>
    </w:p>
    <w:p w14:paraId="357A7873">
      <w:pPr>
        <w:pStyle w:val="64"/>
        <w:ind w:firstLine="420"/>
        <w:sectPr>
          <w:footerReference r:id="rId13" w:type="default"/>
          <w:footerReference r:id="rId14" w:type="even"/>
          <w:pgSz w:w="11907" w:h="16839"/>
          <w:pgMar w:top="1418" w:right="1134" w:bottom="1134" w:left="1418" w:header="1418" w:footer="851" w:gutter="0"/>
          <w:pgNumType w:fmt="upperRoman"/>
          <w:cols w:space="425" w:num="1"/>
          <w:docGrid w:type="lines" w:linePitch="312" w:charSpace="0"/>
        </w:sectPr>
      </w:pPr>
    </w:p>
    <w:bookmarkEnd w:id="9"/>
    <w:p w14:paraId="724255F8">
      <w:pPr>
        <w:pStyle w:val="95"/>
        <w:keepNext/>
        <w:pageBreakBefore/>
        <w:widowControl/>
        <w:shd w:val="clear" w:color="FFFFFF" w:fill="FFFFFF"/>
        <w:spacing w:before="0" w:after="429" w:afterLines="150"/>
        <w:jc w:val="center"/>
        <w:outlineLvl w:val="9"/>
        <w:rPr>
          <w:rFonts w:hint="eastAsia" w:ascii="黑体" w:hAnsi="Times New Roman" w:eastAsia="黑体" w:cs="Times New Roman"/>
          <w:kern w:val="0"/>
          <w:sz w:val="32"/>
          <w:szCs w:val="22"/>
        </w:rPr>
      </w:pPr>
      <w:bookmarkStart w:id="10" w:name="_Toc14231"/>
      <w:bookmarkStart w:id="11" w:name="_Toc31219"/>
      <w:bookmarkStart w:id="12" w:name="SectionMark4"/>
      <w:r>
        <w:rPr>
          <w:rFonts w:hint="eastAsia" w:cs="Times New Roman"/>
          <w:kern w:val="0"/>
          <w:sz w:val="32"/>
          <w:szCs w:val="22"/>
          <w:lang w:eastAsia="zh-CN"/>
        </w:rPr>
        <w:t>小微</w:t>
      </w:r>
      <w:r>
        <w:rPr>
          <w:rFonts w:hint="eastAsia" w:ascii="黑体" w:hAnsi="Times New Roman" w:eastAsia="黑体" w:cs="Times New Roman"/>
          <w:kern w:val="0"/>
          <w:sz w:val="32"/>
          <w:szCs w:val="22"/>
        </w:rPr>
        <w:t>型</w:t>
      </w:r>
      <w:r>
        <w:rPr>
          <w:rFonts w:hint="eastAsia" w:cs="Times New Roman"/>
          <w:kern w:val="0"/>
          <w:sz w:val="32"/>
          <w:szCs w:val="22"/>
          <w:lang w:val="en-US" w:eastAsia="zh-CN"/>
        </w:rPr>
        <w:t>和劳动密集型工业</w:t>
      </w:r>
      <w:r>
        <w:rPr>
          <w:rFonts w:hint="eastAsia" w:ascii="黑体" w:hAnsi="Times New Roman" w:eastAsia="黑体" w:cs="Times New Roman"/>
          <w:kern w:val="0"/>
          <w:sz w:val="32"/>
          <w:szCs w:val="22"/>
        </w:rPr>
        <w:t>企业</w:t>
      </w:r>
      <w:r>
        <w:rPr>
          <w:rFonts w:hint="eastAsia" w:cs="Times New Roman"/>
          <w:kern w:val="0"/>
          <w:sz w:val="32"/>
          <w:szCs w:val="22"/>
          <w:lang w:val="en-US" w:eastAsia="zh-CN"/>
        </w:rPr>
        <w:t>现场</w:t>
      </w:r>
      <w:r>
        <w:rPr>
          <w:rFonts w:hint="eastAsia" w:ascii="黑体" w:hAnsi="Times New Roman" w:eastAsia="黑体" w:cs="Times New Roman"/>
          <w:kern w:val="0"/>
          <w:sz w:val="32"/>
          <w:szCs w:val="22"/>
        </w:rPr>
        <w:t>安全管理规范</w:t>
      </w:r>
      <w:bookmarkEnd w:id="10"/>
      <w:bookmarkEnd w:id="11"/>
    </w:p>
    <w:bookmarkEnd w:id="12"/>
    <w:p w14:paraId="7DC88848">
      <w:pPr>
        <w:pStyle w:val="130"/>
        <w:keepLines w:val="0"/>
        <w:spacing w:before="286" w:beforeLines="100" w:after="286" w:afterLines="100" w:line="240" w:lineRule="auto"/>
        <w:rPr>
          <w:rFonts w:hint="eastAsia" w:ascii="黑体" w:hAnsi="Times New Roman" w:eastAsia="黑体" w:cs="Times New Roman"/>
          <w:bCs w:val="0"/>
          <w:kern w:val="2"/>
          <w:sz w:val="21"/>
          <w:szCs w:val="22"/>
        </w:rPr>
      </w:pPr>
      <w:bookmarkStart w:id="13" w:name="_Toc1265620782"/>
      <w:bookmarkStart w:id="14" w:name="_Toc13064"/>
      <w:bookmarkStart w:id="15" w:name="_Toc324345602"/>
      <w:bookmarkStart w:id="16" w:name="_Toc487809624"/>
      <w:r>
        <w:rPr>
          <w:rFonts w:hint="eastAsia" w:ascii="黑体" w:hAnsi="Times New Roman" w:eastAsia="黑体" w:cs="Times New Roman"/>
          <w:bCs w:val="0"/>
          <w:kern w:val="2"/>
          <w:sz w:val="21"/>
          <w:szCs w:val="22"/>
        </w:rPr>
        <w:t>1  范围</w:t>
      </w:r>
      <w:bookmarkEnd w:id="13"/>
      <w:bookmarkEnd w:id="14"/>
    </w:p>
    <w:p w14:paraId="21634713">
      <w:pPr>
        <w:pStyle w:val="131"/>
        <w:spacing w:line="360" w:lineRule="auto"/>
        <w:rPr>
          <w:rFonts w:hint="eastAsia" w:ascii="Times New Roman" w:hAnsi="Times New Roman" w:cs="Times New Roman"/>
          <w:lang w:eastAsia="zh-CN"/>
        </w:rPr>
      </w:pPr>
      <w:bookmarkStart w:id="17" w:name="_Toc11921"/>
      <w:r>
        <w:rPr>
          <w:rFonts w:hint="eastAsia" w:ascii="Times New Roman" w:hAnsi="Times New Roman" w:cs="Times New Roman"/>
          <w:lang w:eastAsia="zh-CN"/>
        </w:rPr>
        <w:t>本文件规定了</w:t>
      </w:r>
      <w:r>
        <w:rPr>
          <w:rStyle w:val="126"/>
          <w:color w:val="000000" w:themeColor="text1"/>
          <w:u w:val="none"/>
          <w14:textFill>
            <w14:solidFill>
              <w14:schemeClr w14:val="tx1"/>
            </w14:solidFill>
          </w14:textFill>
        </w:rPr>
        <w:t>小微型</w:t>
      </w:r>
      <w:r>
        <w:rPr>
          <w:rStyle w:val="126"/>
          <w:rFonts w:hint="eastAsia"/>
          <w:color w:val="000000" w:themeColor="text1"/>
          <w:u w:val="none"/>
          <w:lang w:val="en-US" w:eastAsia="zh-CN"/>
          <w14:textFill>
            <w14:solidFill>
              <w14:schemeClr w14:val="tx1"/>
            </w14:solidFill>
          </w14:textFill>
        </w:rPr>
        <w:t>和劳动密集型</w:t>
      </w:r>
      <w:r>
        <w:rPr>
          <w:rFonts w:hint="eastAsia" w:ascii="Times New Roman" w:hAnsi="Times New Roman" w:cs="Times New Roman"/>
          <w:lang w:eastAsia="zh-CN"/>
        </w:rPr>
        <w:t>工业企业</w:t>
      </w:r>
      <w:r>
        <w:rPr>
          <w:rFonts w:hint="eastAsia" w:cs="Times New Roman"/>
          <w:lang w:val="en-US" w:eastAsia="zh-CN"/>
        </w:rPr>
        <w:t>现场</w:t>
      </w:r>
      <w:r>
        <w:rPr>
          <w:rFonts w:hint="eastAsia" w:ascii="Times New Roman" w:hAnsi="Times New Roman" w:cs="Times New Roman"/>
          <w:lang w:eastAsia="zh-CN"/>
        </w:rPr>
        <w:t>安全管理要求、</w:t>
      </w:r>
      <w:r>
        <w:rPr>
          <w:rFonts w:hint="eastAsia" w:cs="Times New Roman"/>
          <w:lang w:val="en-US" w:eastAsia="zh-CN"/>
        </w:rPr>
        <w:t>自评</w:t>
      </w:r>
      <w:r>
        <w:rPr>
          <w:rFonts w:hint="eastAsia" w:ascii="Times New Roman" w:hAnsi="Times New Roman" w:cs="Times New Roman"/>
          <w:lang w:eastAsia="zh-CN"/>
        </w:rPr>
        <w:t>与改进。</w:t>
      </w:r>
    </w:p>
    <w:p w14:paraId="5F2FEFAC">
      <w:pPr>
        <w:pStyle w:val="131"/>
        <w:spacing w:line="360" w:lineRule="auto"/>
        <w:rPr>
          <w:rFonts w:hint="eastAsia" w:ascii="Times New Roman" w:hAnsi="Times New Roman" w:cs="Times New Roman"/>
          <w:lang w:eastAsia="zh-CN"/>
        </w:rPr>
      </w:pPr>
      <w:r>
        <w:rPr>
          <w:rFonts w:hint="eastAsia" w:ascii="Times New Roman" w:hAnsi="Times New Roman" w:cs="Times New Roman"/>
          <w:lang w:eastAsia="zh-CN"/>
        </w:rPr>
        <w:t>本文件适用于冶金、有色、建材、机械、轻工、纺织等</w:t>
      </w:r>
      <w:r>
        <w:rPr>
          <w:rFonts w:hint="eastAsia" w:cs="Times New Roman"/>
          <w:lang w:val="en-US" w:eastAsia="zh-CN"/>
        </w:rPr>
        <w:t>工贸行业</w:t>
      </w:r>
      <w:r>
        <w:rPr>
          <w:rFonts w:hint="eastAsia" w:cs="Times New Roman"/>
          <w:lang w:eastAsia="zh-CN"/>
        </w:rPr>
        <w:t>小微</w:t>
      </w:r>
      <w:r>
        <w:rPr>
          <w:rFonts w:hint="eastAsia" w:ascii="Times New Roman" w:hAnsi="Times New Roman" w:cs="Times New Roman"/>
          <w:lang w:eastAsia="zh-CN"/>
        </w:rPr>
        <w:t>型</w:t>
      </w:r>
      <w:r>
        <w:rPr>
          <w:rFonts w:hint="eastAsia" w:cs="Times New Roman"/>
          <w:lang w:val="en-US" w:eastAsia="zh-CN"/>
        </w:rPr>
        <w:t>和</w:t>
      </w:r>
      <w:r>
        <w:rPr>
          <w:rFonts w:hint="eastAsia" w:ascii="Times New Roman" w:hAnsi="Times New Roman" w:cs="Times New Roman"/>
          <w:lang w:eastAsia="zh-CN"/>
        </w:rPr>
        <w:t>劳动密集型</w:t>
      </w:r>
      <w:r>
        <w:rPr>
          <w:rFonts w:hint="eastAsia" w:cs="Times New Roman"/>
          <w:lang w:val="en-US" w:eastAsia="zh-CN"/>
        </w:rPr>
        <w:t>工业企业的现场管理要求。</w:t>
      </w:r>
    </w:p>
    <w:p w14:paraId="5298FBFC">
      <w:pPr>
        <w:pStyle w:val="130"/>
        <w:keepLines w:val="0"/>
        <w:spacing w:before="286" w:beforeLines="100" w:after="286" w:afterLines="100" w:line="240" w:lineRule="auto"/>
        <w:rPr>
          <w:rFonts w:hint="eastAsia" w:ascii="黑体" w:hAnsi="Times New Roman" w:eastAsia="黑体" w:cs="Times New Roman"/>
          <w:bCs w:val="0"/>
          <w:kern w:val="2"/>
          <w:sz w:val="21"/>
          <w:szCs w:val="22"/>
        </w:rPr>
      </w:pPr>
      <w:bookmarkStart w:id="18" w:name="_Toc462959539"/>
      <w:r>
        <w:rPr>
          <w:rFonts w:hint="eastAsia" w:ascii="黑体" w:hAnsi="Times New Roman" w:eastAsia="黑体" w:cs="Times New Roman"/>
          <w:bCs w:val="0"/>
          <w:kern w:val="2"/>
          <w:sz w:val="21"/>
          <w:szCs w:val="22"/>
        </w:rPr>
        <w:t>2  规范性引用文件</w:t>
      </w:r>
      <w:bookmarkEnd w:id="17"/>
      <w:bookmarkEnd w:id="18"/>
    </w:p>
    <w:p w14:paraId="1AE9E1E7">
      <w:pPr>
        <w:pStyle w:val="130"/>
        <w:keepLines w:val="0"/>
        <w:adjustRightInd w:val="0"/>
        <w:snapToGrid w:val="0"/>
        <w:spacing w:before="0" w:beforeLines="0" w:after="0" w:afterLines="0" w:line="360" w:lineRule="auto"/>
        <w:ind w:firstLine="420" w:firstLineChars="200"/>
        <w:outlineLvl w:val="9"/>
        <w:rPr>
          <w:rFonts w:hint="eastAsia" w:ascii="宋体" w:hAnsi="宋体" w:eastAsia="宋体" w:cs="宋体"/>
          <w:bCs w:val="0"/>
          <w:kern w:val="2"/>
          <w:sz w:val="21"/>
          <w:szCs w:val="22"/>
          <w:lang w:val="en-US" w:eastAsia="zh-CN"/>
        </w:rPr>
      </w:pPr>
      <w:r>
        <w:rPr>
          <w:rFonts w:hint="eastAsia" w:ascii="宋体" w:hAnsi="宋体" w:eastAsia="宋体" w:cs="宋体"/>
          <w:bCs w:val="0"/>
          <w:kern w:val="2"/>
          <w:sz w:val="21"/>
          <w:szCs w:val="22"/>
          <w:lang w:val="en-US" w:eastAsia="zh-CN"/>
        </w:rPr>
        <w:t>下列文件中的内容通过文中的规范性引用而构成本文件必不可少的条款。其中，注明日期的引用文件，仅该日期对应的版本适用于本文件；不注明日期的引用文件，其最新版本（包括所有的修改单）适用于本文件</w:t>
      </w:r>
    </w:p>
    <w:p w14:paraId="48F6AF0B">
      <w:pPr>
        <w:pStyle w:val="130"/>
        <w:keepLines w:val="0"/>
        <w:adjustRightInd w:val="0"/>
        <w:snapToGrid w:val="0"/>
        <w:spacing w:before="0" w:beforeLines="0" w:after="0" w:afterLines="0" w:line="360" w:lineRule="auto"/>
        <w:outlineLvl w:val="9"/>
        <w:rPr>
          <w:rFonts w:hint="eastAsia" w:ascii="宋体" w:hAnsi="宋体" w:eastAsia="宋体" w:cs="宋体"/>
          <w:color w:val="000000"/>
          <w:kern w:val="0"/>
          <w:sz w:val="21"/>
          <w:szCs w:val="21"/>
          <w:lang w:val="en-US" w:eastAsia="zh-CN" w:bidi="ar-SA"/>
          <w14:ligatures w14:val="none"/>
        </w:rPr>
      </w:pPr>
      <w:r>
        <w:rPr>
          <w:rFonts w:hint="eastAsia" w:ascii="宋体" w:hAnsi="宋体" w:eastAsia="宋体" w:cs="宋体"/>
          <w:color w:val="000000"/>
          <w:kern w:val="0"/>
          <w:sz w:val="21"/>
          <w:szCs w:val="21"/>
          <w:lang w:val="en-US" w:eastAsia="zh-CN" w:bidi="ar-SA"/>
          <w14:ligatures w14:val="none"/>
        </w:rPr>
        <w:t>GB50016 《建筑设计防火规范》</w:t>
      </w:r>
    </w:p>
    <w:p w14:paraId="28B4BA96">
      <w:pPr>
        <w:pStyle w:val="130"/>
        <w:keepLines w:val="0"/>
        <w:adjustRightInd w:val="0"/>
        <w:snapToGrid w:val="0"/>
        <w:spacing w:before="0" w:beforeLines="0" w:after="0" w:afterLines="0" w:line="360" w:lineRule="auto"/>
        <w:outlineLvl w:val="9"/>
        <w:rPr>
          <w:rFonts w:hint="eastAsia" w:ascii="宋体" w:hAnsi="宋体" w:eastAsia="宋体" w:cs="宋体"/>
          <w:color w:val="000000"/>
          <w:kern w:val="0"/>
          <w:sz w:val="21"/>
          <w:szCs w:val="21"/>
          <w:lang w:val="en-US" w:eastAsia="zh-CN" w:bidi="ar-SA"/>
          <w14:ligatures w14:val="none"/>
        </w:rPr>
      </w:pPr>
      <w:r>
        <w:rPr>
          <w:rFonts w:hint="eastAsia" w:ascii="宋体" w:hAnsi="宋体" w:eastAsia="宋体" w:cs="宋体"/>
          <w:color w:val="000000"/>
          <w:kern w:val="0"/>
          <w:sz w:val="21"/>
          <w:szCs w:val="21"/>
          <w:lang w:val="en-US" w:eastAsia="zh-CN" w:bidi="ar-SA"/>
          <w14:ligatures w14:val="none"/>
        </w:rPr>
        <w:t>GB/T 33000《企业安全生产标准化基本规范》</w:t>
      </w:r>
    </w:p>
    <w:p w14:paraId="00B9780C">
      <w:pPr>
        <w:pStyle w:val="130"/>
        <w:keepLines w:val="0"/>
        <w:adjustRightInd w:val="0"/>
        <w:snapToGrid w:val="0"/>
        <w:spacing w:before="0" w:beforeLines="0" w:after="0" w:afterLines="0" w:line="360" w:lineRule="auto"/>
        <w:outlineLvl w:val="9"/>
        <w:rPr>
          <w:rFonts w:hint="eastAsia" w:ascii="宋体" w:hAnsi="宋体" w:eastAsia="宋体" w:cs="宋体"/>
          <w:color w:val="000000"/>
          <w:kern w:val="0"/>
          <w:sz w:val="21"/>
          <w:szCs w:val="21"/>
          <w:lang w:val="en-US" w:eastAsia="zh-CN" w:bidi="ar-SA"/>
          <w14:ligatures w14:val="none"/>
        </w:rPr>
      </w:pPr>
      <w:r>
        <w:rPr>
          <w:rFonts w:hint="eastAsia" w:ascii="宋体" w:hAnsi="宋体" w:eastAsia="宋体" w:cs="宋体"/>
          <w:color w:val="000000"/>
          <w:kern w:val="0"/>
          <w:sz w:val="21"/>
          <w:szCs w:val="21"/>
          <w:lang w:val="en-US" w:eastAsia="zh-CN" w:bidi="ar-SA"/>
          <w14:ligatures w14:val="none"/>
        </w:rPr>
        <w:t>GB55037 《建筑防火通用规范》</w:t>
      </w:r>
    </w:p>
    <w:p w14:paraId="0D64CA0F">
      <w:pPr>
        <w:pStyle w:val="130"/>
        <w:keepLines w:val="0"/>
        <w:adjustRightInd w:val="0"/>
        <w:snapToGrid w:val="0"/>
        <w:spacing w:before="0" w:beforeLines="0" w:after="0" w:afterLines="0" w:line="360" w:lineRule="auto"/>
        <w:outlineLvl w:val="9"/>
        <w:rPr>
          <w:rFonts w:hint="eastAsia" w:ascii="宋体" w:hAnsi="宋体" w:eastAsia="宋体" w:cs="宋体"/>
          <w:color w:val="000000"/>
          <w:kern w:val="0"/>
          <w:sz w:val="21"/>
          <w:szCs w:val="21"/>
          <w:lang w:val="en-US" w:eastAsia="zh-CN" w:bidi="ar-SA"/>
          <w14:ligatures w14:val="none"/>
        </w:rPr>
      </w:pPr>
      <w:r>
        <w:rPr>
          <w:rFonts w:hint="eastAsia" w:ascii="宋体" w:hAnsi="宋体" w:eastAsia="宋体" w:cs="宋体"/>
          <w:color w:val="000000"/>
          <w:kern w:val="0"/>
          <w:sz w:val="21"/>
          <w:szCs w:val="21"/>
          <w:lang w:val="en-US" w:eastAsia="zh-CN" w:bidi="ar-SA"/>
          <w14:ligatures w14:val="none"/>
        </w:rPr>
        <w:t>XF1131《仓储场所消防安全管理通则》</w:t>
      </w:r>
    </w:p>
    <w:p w14:paraId="0B3998F0">
      <w:pPr>
        <w:pStyle w:val="130"/>
        <w:keepLines w:val="0"/>
        <w:adjustRightInd w:val="0"/>
        <w:snapToGrid w:val="0"/>
        <w:spacing w:before="0" w:beforeLines="0" w:after="0" w:afterLines="0" w:line="360" w:lineRule="auto"/>
        <w:outlineLvl w:val="9"/>
        <w:rPr>
          <w:rFonts w:hint="eastAsia" w:ascii="宋体" w:hAnsi="宋体" w:eastAsia="宋体" w:cs="宋体"/>
          <w:bCs w:val="0"/>
          <w:kern w:val="2"/>
          <w:sz w:val="21"/>
          <w:szCs w:val="21"/>
        </w:rPr>
      </w:pPr>
      <w:r>
        <w:rPr>
          <w:rFonts w:hint="eastAsia" w:ascii="宋体" w:hAnsi="宋体" w:eastAsia="宋体" w:cs="宋体"/>
          <w:color w:val="000000"/>
          <w:kern w:val="0"/>
          <w:sz w:val="21"/>
          <w:szCs w:val="21"/>
          <w:lang w:val="en-US" w:eastAsia="zh-CN" w:bidi="ar-SA"/>
          <w14:ligatures w14:val="none"/>
        </w:rPr>
        <w:t>DB32/T4293《工业企业危险化学品安全管理指南》</w:t>
      </w:r>
    </w:p>
    <w:p w14:paraId="60207167">
      <w:pPr>
        <w:pStyle w:val="131"/>
        <w:spacing w:line="360" w:lineRule="auto"/>
        <w:ind w:left="0" w:leftChars="0" w:firstLine="0" w:firstLineChars="0"/>
        <w:outlineLvl w:val="0"/>
        <w:rPr>
          <w:rFonts w:hint="default" w:ascii="黑体" w:hAnsi="Times New Roman" w:eastAsia="黑体" w:cs="Times New Roman"/>
          <w:bCs w:val="0"/>
          <w:kern w:val="2"/>
          <w:sz w:val="21"/>
          <w:szCs w:val="22"/>
          <w:lang w:val="en-US" w:eastAsia="zh-CN"/>
        </w:rPr>
      </w:pPr>
      <w:bookmarkStart w:id="19" w:name="_Toc2181"/>
      <w:bookmarkStart w:id="20" w:name="_Toc627718892"/>
      <w:r>
        <w:rPr>
          <w:rFonts w:hint="eastAsia" w:ascii="黑体" w:hAnsi="Times New Roman" w:eastAsia="黑体" w:cs="Times New Roman"/>
          <w:bCs w:val="0"/>
          <w:kern w:val="2"/>
          <w:sz w:val="21"/>
          <w:szCs w:val="22"/>
          <w:lang w:val="en-US" w:eastAsia="zh-CN"/>
        </w:rPr>
        <w:t xml:space="preserve">3 </w:t>
      </w:r>
      <w:r>
        <w:rPr>
          <w:rFonts w:hint="eastAsia" w:ascii="黑体" w:hAnsi="Times New Roman" w:eastAsia="黑体" w:cs="Times New Roman"/>
          <w:bCs w:val="0"/>
          <w:kern w:val="2"/>
          <w:sz w:val="21"/>
          <w:szCs w:val="22"/>
        </w:rPr>
        <w:t xml:space="preserve"> 术语</w:t>
      </w:r>
      <w:bookmarkEnd w:id="19"/>
      <w:r>
        <w:rPr>
          <w:rFonts w:hint="default" w:ascii="黑体" w:hAnsi="Times New Roman" w:eastAsia="黑体" w:cs="Times New Roman"/>
          <w:bCs w:val="0"/>
          <w:kern w:val="2"/>
          <w:sz w:val="21"/>
          <w:szCs w:val="22"/>
          <w:lang w:val="en-US" w:eastAsia="zh-CN"/>
        </w:rPr>
        <w:t>和定义</w:t>
      </w:r>
      <w:bookmarkEnd w:id="20"/>
    </w:p>
    <w:p w14:paraId="496B8016">
      <w:pPr>
        <w:pStyle w:val="131"/>
        <w:spacing w:line="360" w:lineRule="auto"/>
        <w:rPr>
          <w:rFonts w:hint="eastAsia" w:ascii="Times New Roman" w:hAnsi="Times New Roman" w:cs="Times New Roman"/>
          <w:lang w:val="en-US" w:eastAsia="zh-CN"/>
        </w:rPr>
      </w:pPr>
      <w:bookmarkStart w:id="21" w:name="_Toc3691"/>
      <w:r>
        <w:rPr>
          <w:rFonts w:hint="eastAsia" w:ascii="Times New Roman" w:hAnsi="Times New Roman" w:cs="Times New Roman"/>
          <w:lang w:val="en-US" w:eastAsia="zh-CN"/>
        </w:rPr>
        <w:t>下列术语和定义适用于本文件</w:t>
      </w:r>
      <w:r>
        <w:rPr>
          <w:rFonts w:hint="eastAsia" w:cs="Times New Roman"/>
          <w:lang w:val="en-US" w:eastAsia="zh-CN"/>
        </w:rPr>
        <w:t>。</w:t>
      </w:r>
    </w:p>
    <w:p w14:paraId="2D7BF8F4">
      <w:pPr>
        <w:pStyle w:val="132"/>
        <w:spacing w:before="143" w:beforeLines="50" w:after="143" w:afterLines="50" w:line="240" w:lineRule="auto"/>
        <w:ind w:firstLine="0" w:firstLineChars="0"/>
        <w:rPr>
          <w:rFonts w:hint="eastAsia" w:cs="Times New Roman"/>
        </w:rPr>
      </w:pPr>
      <w:r>
        <w:rPr>
          <w:rFonts w:hint="eastAsia" w:cs="Times New Roman"/>
        </w:rPr>
        <w:t xml:space="preserve">3.1  </w:t>
      </w:r>
    </w:p>
    <w:p w14:paraId="18B77A42">
      <w:pPr>
        <w:keepNext w:val="0"/>
        <w:keepLines w:val="0"/>
        <w:pageBreakBefore w:val="0"/>
        <w:widowControl/>
        <w:suppressLineNumbers w:val="0"/>
        <w:kinsoku/>
        <w:wordWrap/>
        <w:overflowPunct/>
        <w:topLinePunct w:val="0"/>
        <w:bidi w:val="0"/>
        <w:adjustRightInd w:val="0"/>
        <w:snapToGrid w:val="0"/>
        <w:spacing w:line="240" w:lineRule="auto"/>
        <w:ind w:left="2171" w:leftChars="133" w:hanging="1892" w:hangingChars="900"/>
        <w:jc w:val="left"/>
        <w:textAlignment w:val="auto"/>
        <w:rPr>
          <w:color w:val="auto"/>
          <w:kern w:val="0"/>
          <w:sz w:val="28"/>
          <w:szCs w:val="28"/>
        </w:rPr>
      </w:pPr>
      <w:r>
        <w:rPr>
          <w:rFonts w:hint="eastAsia" w:cs="Times New Roman"/>
          <w:b/>
          <w:bCs/>
          <w:lang w:eastAsia="zh-CN"/>
        </w:rPr>
        <w:t>小微</w:t>
      </w:r>
      <w:r>
        <w:rPr>
          <w:rFonts w:hint="eastAsia" w:cs="Times New Roman"/>
          <w:b/>
          <w:bCs/>
        </w:rPr>
        <w:t>型工业企业</w:t>
      </w:r>
      <w:r>
        <w:rPr>
          <w:rFonts w:hint="eastAsia" w:cs="Times New Roman"/>
          <w:lang w:val="en-US" w:eastAsia="zh-CN"/>
        </w:rPr>
        <w:t xml:space="preserve"> </w:t>
      </w:r>
      <w:r>
        <w:rPr>
          <w:rFonts w:hint="eastAsia" w:ascii="黑体" w:hAnsi="黑体" w:eastAsia="黑体" w:cs="黑体"/>
          <w:color w:val="auto"/>
          <w:kern w:val="0"/>
          <w:sz w:val="21"/>
          <w:szCs w:val="21"/>
        </w:rPr>
        <w:t xml:space="preserve">small and </w:t>
      </w:r>
      <w:r>
        <w:rPr>
          <w:rFonts w:hint="eastAsia" w:ascii="黑体" w:hAnsi="黑体" w:eastAsia="黑体" w:cs="黑体"/>
          <w:color w:val="auto"/>
          <w:kern w:val="0"/>
          <w:sz w:val="21"/>
          <w:szCs w:val="21"/>
          <w:lang w:val="en-US" w:eastAsia="zh-CN"/>
        </w:rPr>
        <w:t>micro</w:t>
      </w:r>
      <w:r>
        <w:rPr>
          <w:rStyle w:val="121"/>
          <w:rFonts w:hint="eastAsia" w:ascii="PingFang SC" w:hAnsi="PingFang SC" w:eastAsia="PingFang SC" w:cs="PingFang SC"/>
          <w:i w:val="0"/>
          <w:iCs w:val="0"/>
          <w:caps w:val="0"/>
          <w:color w:val="auto"/>
          <w:spacing w:val="0"/>
          <w:kern w:val="0"/>
          <w:sz w:val="21"/>
          <w:szCs w:val="21"/>
          <w:u w:val="none"/>
          <w:shd w:val="clear" w:fill="FFFFFF"/>
          <w:lang w:val="en-US" w:eastAsia="zh-CN" w:bidi="ar"/>
        </w:rPr>
        <w:t> </w:t>
      </w:r>
      <w:r>
        <w:rPr>
          <w:rFonts w:hint="eastAsia" w:ascii="黑体" w:hAnsi="黑体" w:eastAsia="黑体" w:cs="黑体"/>
          <w:color w:val="auto"/>
          <w:kern w:val="0"/>
          <w:sz w:val="21"/>
          <w:szCs w:val="21"/>
        </w:rPr>
        <w:t xml:space="preserve"> industrial enterprises</w:t>
      </w:r>
    </w:p>
    <w:p w14:paraId="3176B395">
      <w:pPr>
        <w:pStyle w:val="131"/>
        <w:spacing w:line="240" w:lineRule="auto"/>
        <w:ind w:left="0" w:leftChars="0"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rPr>
        <w:t>从业人员300人以</w:t>
      </w:r>
      <w:r>
        <w:rPr>
          <w:rFonts w:hint="eastAsia" w:cs="Times New Roman"/>
          <w:color w:val="auto"/>
          <w:lang w:val="en-US" w:eastAsia="zh-CN"/>
        </w:rPr>
        <w:t>下，</w:t>
      </w:r>
      <w:r>
        <w:rPr>
          <w:rFonts w:hint="eastAsia" w:ascii="Times New Roman" w:hAnsi="Times New Roman" w:cs="Times New Roman"/>
          <w:color w:val="auto"/>
        </w:rPr>
        <w:t>且营业收入2000万元</w:t>
      </w:r>
      <w:r>
        <w:rPr>
          <w:rFonts w:hint="eastAsia" w:ascii="Times New Roman" w:hAnsi="Times New Roman" w:cs="Times New Roman"/>
          <w:color w:val="auto"/>
          <w:lang w:val="en-US" w:eastAsia="zh-CN"/>
        </w:rPr>
        <w:t>以下</w:t>
      </w:r>
      <w:r>
        <w:rPr>
          <w:rFonts w:hint="eastAsia" w:ascii="Times New Roman" w:hAnsi="Times New Roman" w:cs="Times New Roman"/>
          <w:color w:val="auto"/>
        </w:rPr>
        <w:t>的工业企业</w:t>
      </w:r>
      <w:r>
        <w:rPr>
          <w:rFonts w:hint="eastAsia" w:ascii="Times New Roman" w:hAnsi="Times New Roman" w:cs="Times New Roman"/>
          <w:color w:val="auto"/>
          <w:lang w:eastAsia="zh-CN"/>
        </w:rPr>
        <w:t>。</w:t>
      </w:r>
    </w:p>
    <w:p w14:paraId="75B37870">
      <w:pPr>
        <w:pStyle w:val="132"/>
        <w:spacing w:before="143" w:beforeLines="50" w:after="143" w:afterLines="50" w:line="240" w:lineRule="auto"/>
        <w:ind w:firstLine="0" w:firstLineChars="0"/>
        <w:rPr>
          <w:rFonts w:hint="eastAsia" w:cs="Times New Roman"/>
        </w:rPr>
      </w:pPr>
      <w:r>
        <w:rPr>
          <w:rFonts w:hint="eastAsia" w:cs="Times New Roman"/>
        </w:rPr>
        <w:t xml:space="preserve">3.2 </w:t>
      </w:r>
    </w:p>
    <w:p w14:paraId="603E531F">
      <w:pPr>
        <w:pStyle w:val="131"/>
        <w:spacing w:line="360" w:lineRule="auto"/>
        <w:rPr>
          <w:rFonts w:hint="default" w:ascii="黑体" w:hAnsi="黑体" w:eastAsia="黑体" w:cs="Times New Roman"/>
          <w:lang w:eastAsia="zh-CN"/>
        </w:rPr>
      </w:pPr>
      <w:r>
        <w:rPr>
          <w:rFonts w:hint="eastAsia" w:ascii="黑体" w:hAnsi="黑体" w:eastAsia="黑体" w:cs="Times New Roman"/>
          <w:lang w:eastAsia="zh-CN"/>
        </w:rPr>
        <w:t>劳动密集型企业</w:t>
      </w:r>
      <w:r>
        <w:rPr>
          <w:rFonts w:hint="eastAsia" w:ascii="黑体" w:hAnsi="黑体" w:eastAsia="黑体" w:cs="Times New Roman"/>
          <w:lang w:val="en-US" w:eastAsia="zh-CN"/>
        </w:rPr>
        <w:t xml:space="preserve"> labor-intensive enterprises</w:t>
      </w:r>
    </w:p>
    <w:p w14:paraId="13232D65">
      <w:pPr>
        <w:pStyle w:val="131"/>
        <w:spacing w:line="240" w:lineRule="auto"/>
        <w:rPr>
          <w:rFonts w:hint="default" w:ascii="Times New Roman" w:hAnsi="Times New Roman" w:cs="Times New Roman"/>
          <w:color w:val="FF0000"/>
          <w:lang w:val="en-US" w:eastAsia="zh-CN"/>
        </w:rPr>
      </w:pPr>
      <w:r>
        <w:rPr>
          <w:rFonts w:hint="eastAsia" w:cs="Times New Roman"/>
          <w:color w:val="auto"/>
          <w:lang w:eastAsia="zh-CN"/>
        </w:rPr>
        <w:t>同一时间容纳30人以上，从事制鞋、制衣、玩具、肉食蔬菜水果等食品加工、家</w:t>
      </w:r>
      <w:r>
        <w:rPr>
          <w:rFonts w:hint="eastAsia" w:cs="Times New Roman"/>
          <w:color w:val="auto"/>
          <w:lang w:val="en-US" w:eastAsia="zh-CN"/>
        </w:rPr>
        <w:t>具</w:t>
      </w:r>
      <w:r>
        <w:rPr>
          <w:rFonts w:hint="eastAsia" w:cs="Times New Roman"/>
          <w:color w:val="auto"/>
          <w:lang w:eastAsia="zh-CN"/>
        </w:rPr>
        <w:t>木材加工等生产加工企业。</w:t>
      </w:r>
    </w:p>
    <w:p w14:paraId="64B38D49">
      <w:pPr>
        <w:pStyle w:val="131"/>
        <w:spacing w:line="240" w:lineRule="auto"/>
        <w:rPr>
          <w:rFonts w:hint="eastAsia" w:ascii="Times New Roman" w:hAnsi="Times New Roman" w:cs="Times New Roman"/>
          <w:lang w:val="en-US" w:eastAsia="zh-CN"/>
        </w:rPr>
      </w:pPr>
    </w:p>
    <w:p w14:paraId="2E988772">
      <w:pPr>
        <w:pStyle w:val="132"/>
        <w:spacing w:before="143" w:beforeLines="50" w:after="143" w:afterLines="50" w:line="240" w:lineRule="auto"/>
        <w:ind w:firstLine="0" w:firstLineChars="0"/>
        <w:rPr>
          <w:rFonts w:hint="eastAsia" w:cs="Times New Roman"/>
        </w:rPr>
      </w:pPr>
      <w:r>
        <w:rPr>
          <w:rFonts w:hint="eastAsia" w:cs="Times New Roman"/>
        </w:rPr>
        <w:t>3.</w:t>
      </w:r>
      <w:r>
        <w:rPr>
          <w:rFonts w:hint="eastAsia" w:cs="Times New Roman"/>
          <w:lang w:val="en-US" w:eastAsia="zh-CN"/>
        </w:rPr>
        <w:t>3</w:t>
      </w:r>
    </w:p>
    <w:p w14:paraId="120DE3A7">
      <w:pPr>
        <w:pStyle w:val="132"/>
        <w:spacing w:line="240" w:lineRule="auto"/>
        <w:ind w:left="0" w:leftChars="0" w:firstLine="210" w:firstLineChars="100"/>
        <w:rPr>
          <w:rFonts w:hint="default" w:cs="Times New Roman"/>
        </w:rPr>
      </w:pPr>
      <w:r>
        <w:rPr>
          <w:rFonts w:hint="eastAsia" w:cs="Times New Roman"/>
        </w:rPr>
        <w:t>“厂中厂”</w:t>
      </w:r>
      <w:r>
        <w:rPr>
          <w:rFonts w:hint="eastAsia" w:cs="Times New Roman"/>
          <w:lang w:val="en-US" w:eastAsia="zh-CN"/>
        </w:rPr>
        <w:t xml:space="preserve"> </w:t>
      </w:r>
      <w:r>
        <w:rPr>
          <w:rFonts w:hint="default" w:cs="Times New Roman"/>
        </w:rPr>
        <w:t>"Factory</w:t>
      </w:r>
      <w:r>
        <w:rPr>
          <w:rFonts w:hint="eastAsia" w:cs="Times New Roman"/>
          <w:lang w:val="en-US" w:eastAsia="zh-CN"/>
        </w:rPr>
        <w:t>-</w:t>
      </w:r>
      <w:r>
        <w:rPr>
          <w:rFonts w:hint="default" w:cs="Times New Roman"/>
        </w:rPr>
        <w:t>in</w:t>
      </w:r>
      <w:r>
        <w:rPr>
          <w:rFonts w:hint="eastAsia" w:cs="Times New Roman"/>
          <w:lang w:val="en-US" w:eastAsia="zh-CN"/>
        </w:rPr>
        <w:t>-</w:t>
      </w:r>
      <w:r>
        <w:rPr>
          <w:rFonts w:hint="default" w:cs="Times New Roman"/>
        </w:rPr>
        <w:t>factory"</w:t>
      </w:r>
    </w:p>
    <w:p w14:paraId="74D32692">
      <w:pPr>
        <w:pStyle w:val="131"/>
        <w:spacing w:line="240" w:lineRule="auto"/>
        <w:rPr>
          <w:rFonts w:hint="eastAsia" w:ascii="Times New Roman" w:hAnsi="Times New Roman" w:cs="Times New Roman"/>
          <w:lang w:val="en-US" w:eastAsia="zh-CN"/>
        </w:rPr>
      </w:pPr>
      <w:r>
        <w:rPr>
          <w:rFonts w:hint="eastAsia" w:ascii="Times New Roman" w:hAnsi="Times New Roman" w:cs="Times New Roman"/>
          <w:lang w:val="en-US" w:eastAsia="zh-CN"/>
        </w:rPr>
        <w:t>是指企业、单位或个人将厂区的部分</w:t>
      </w:r>
      <w:r>
        <w:rPr>
          <w:rFonts w:hint="eastAsia" w:cs="Times New Roman"/>
          <w:lang w:val="en-US" w:eastAsia="zh-CN"/>
        </w:rPr>
        <w:t>或全部</w:t>
      </w:r>
      <w:r>
        <w:rPr>
          <w:rFonts w:hint="eastAsia" w:ascii="Times New Roman" w:hAnsi="Times New Roman" w:cs="Times New Roman"/>
          <w:lang w:val="en-US" w:eastAsia="zh-CN"/>
        </w:rPr>
        <w:t>场所出租给其他企业，</w:t>
      </w:r>
      <w:r>
        <w:rPr>
          <w:rFonts w:hint="eastAsia" w:cs="Times New Roman"/>
          <w:lang w:val="en-US" w:eastAsia="zh-CN"/>
        </w:rPr>
        <w:t>且</w:t>
      </w:r>
      <w:r>
        <w:rPr>
          <w:rFonts w:hint="eastAsia" w:ascii="Times New Roman" w:hAnsi="Times New Roman" w:cs="Times New Roman"/>
          <w:lang w:val="en-US" w:eastAsia="zh-CN"/>
        </w:rPr>
        <w:t>在同一厂</w:t>
      </w:r>
      <w:r>
        <w:rPr>
          <w:rFonts w:hint="eastAsia" w:cs="Times New Roman"/>
          <w:lang w:val="en-US" w:eastAsia="zh-CN"/>
        </w:rPr>
        <w:t>房</w:t>
      </w:r>
      <w:r>
        <w:rPr>
          <w:rFonts w:hint="eastAsia" w:ascii="Times New Roman" w:hAnsi="Times New Roman" w:cs="Times New Roman"/>
          <w:lang w:val="en-US" w:eastAsia="zh-CN"/>
        </w:rPr>
        <w:t>内存在两家及以上</w:t>
      </w:r>
      <w:r>
        <w:rPr>
          <w:rFonts w:hint="eastAsia" w:cs="Times New Roman"/>
          <w:lang w:val="en-US" w:eastAsia="zh-CN"/>
        </w:rPr>
        <w:t>工业企业</w:t>
      </w:r>
      <w:r>
        <w:rPr>
          <w:rFonts w:hint="eastAsia" w:ascii="Times New Roman" w:hAnsi="Times New Roman" w:cs="Times New Roman"/>
          <w:lang w:val="en-US" w:eastAsia="zh-CN"/>
        </w:rPr>
        <w:t>。</w:t>
      </w:r>
    </w:p>
    <w:p w14:paraId="4FB669FE">
      <w:pPr>
        <w:pStyle w:val="131"/>
        <w:spacing w:line="240" w:lineRule="auto"/>
        <w:ind w:firstLineChars="0"/>
        <w:rPr>
          <w:rFonts w:hint="default" w:cs="Times New Roman"/>
          <w:lang w:val="en-US" w:eastAsia="zh-CN"/>
        </w:rPr>
      </w:pPr>
    </w:p>
    <w:p w14:paraId="4CB6B0D9">
      <w:pPr>
        <w:pStyle w:val="130"/>
        <w:spacing w:before="286" w:beforeLines="100" w:after="286" w:afterLines="100"/>
        <w:rPr>
          <w:rFonts w:hint="eastAsia" w:ascii="黑体" w:hAnsi="Times New Roman" w:eastAsia="黑体" w:cs="Times New Roman"/>
          <w:sz w:val="21"/>
          <w:szCs w:val="21"/>
          <w:lang w:val="en-US" w:eastAsia="zh-CN"/>
        </w:rPr>
      </w:pPr>
      <w:bookmarkStart w:id="22" w:name="_Toc188547555"/>
      <w:bookmarkStart w:id="23" w:name="_Toc1525444055"/>
      <w:bookmarkStart w:id="24" w:name="_Toc1572360934"/>
      <w:bookmarkStart w:id="25" w:name="_Toc1631743780"/>
      <w:r>
        <w:rPr>
          <w:rFonts w:hint="eastAsia" w:ascii="黑体" w:hAnsi="Times New Roman" w:eastAsia="黑体" w:cs="Times New Roman"/>
          <w:sz w:val="21"/>
          <w:szCs w:val="21"/>
        </w:rPr>
        <w:t>4</w:t>
      </w:r>
      <w:r>
        <w:rPr>
          <w:rFonts w:hint="eastAsia" w:ascii="黑体" w:eastAsia="黑体" w:cs="Times New Roman"/>
          <w:sz w:val="21"/>
          <w:szCs w:val="21"/>
          <w:lang w:val="en-US" w:eastAsia="zh-CN"/>
        </w:rPr>
        <w:t xml:space="preserve"> </w:t>
      </w:r>
      <w:r>
        <w:rPr>
          <w:rFonts w:hint="eastAsia" w:ascii="黑体" w:hAnsi="Times New Roman" w:eastAsia="黑体" w:cs="Times New Roman"/>
          <w:sz w:val="21"/>
          <w:szCs w:val="21"/>
          <w:lang w:val="en-US" w:eastAsia="zh-CN"/>
        </w:rPr>
        <w:t xml:space="preserve"> </w:t>
      </w:r>
      <w:r>
        <w:rPr>
          <w:rFonts w:hint="eastAsia" w:ascii="黑体" w:hAnsi="Times New Roman" w:eastAsia="黑体" w:cs="Times New Roman"/>
          <w:sz w:val="21"/>
          <w:szCs w:val="21"/>
        </w:rPr>
        <w:t>安全责任制</w:t>
      </w:r>
      <w:bookmarkEnd w:id="22"/>
      <w:bookmarkEnd w:id="23"/>
      <w:bookmarkEnd w:id="24"/>
      <w:r>
        <w:rPr>
          <w:rFonts w:hint="eastAsia" w:ascii="黑体" w:hAnsi="Times New Roman" w:eastAsia="黑体" w:cs="Times New Roman"/>
          <w:sz w:val="21"/>
          <w:szCs w:val="21"/>
          <w:lang w:val="en-US" w:eastAsia="zh-CN"/>
        </w:rPr>
        <w:t>落实</w:t>
      </w:r>
      <w:bookmarkEnd w:id="25"/>
    </w:p>
    <w:p w14:paraId="064A77FE">
      <w:pPr>
        <w:pStyle w:val="131"/>
        <w:spacing w:line="240" w:lineRule="auto"/>
        <w:ind w:left="0" w:leftChars="0" w:firstLine="0" w:firstLineChars="0"/>
        <w:rPr>
          <w:rFonts w:hint="eastAsia" w:ascii="Times New Roman" w:hAnsi="Times New Roman" w:cs="Times New Roman"/>
          <w:strike/>
          <w:highlight w:val="yellow"/>
        </w:rPr>
      </w:pPr>
      <w:r>
        <w:rPr>
          <w:rFonts w:hint="eastAsia" w:ascii="黑体" w:hAnsi="黑体" w:eastAsia="黑体" w:cs="黑体"/>
          <w:strike w:val="0"/>
        </w:rPr>
        <w:t>4.1.</w:t>
      </w:r>
      <w:r>
        <w:rPr>
          <w:rFonts w:hint="eastAsia" w:ascii="Times New Roman" w:hAnsi="Times New Roman" w:cs="Times New Roman"/>
          <w:strike w:val="0"/>
        </w:rPr>
        <w:t xml:space="preserve"> </w:t>
      </w:r>
      <w:r>
        <w:rPr>
          <w:rFonts w:hint="eastAsia" w:cs="Times New Roman"/>
          <w:strike w:val="0"/>
          <w:lang w:eastAsia="zh-CN"/>
        </w:rPr>
        <w:t>企业</w:t>
      </w:r>
      <w:r>
        <w:rPr>
          <w:rFonts w:hint="eastAsia" w:ascii="Times New Roman" w:hAnsi="Times New Roman" w:cs="Times New Roman"/>
          <w:strike w:val="0"/>
          <w:highlight w:val="none"/>
        </w:rPr>
        <w:t>主要负责人每季度应</w:t>
      </w:r>
      <w:r>
        <w:rPr>
          <w:rFonts w:hint="eastAsia" w:cs="Times New Roman"/>
          <w:strike w:val="0"/>
          <w:highlight w:val="none"/>
          <w:lang w:eastAsia="zh-CN"/>
        </w:rPr>
        <w:t>至少</w:t>
      </w:r>
      <w:r>
        <w:rPr>
          <w:rFonts w:hint="eastAsia" w:ascii="Times New Roman" w:hAnsi="Times New Roman" w:cs="Times New Roman"/>
          <w:strike w:val="0"/>
          <w:highlight w:val="none"/>
        </w:rPr>
        <w:t>组织并参与一次全面安全检查。</w:t>
      </w:r>
    </w:p>
    <w:p w14:paraId="2DE272CF">
      <w:pPr>
        <w:pStyle w:val="131"/>
        <w:spacing w:line="240" w:lineRule="auto"/>
        <w:ind w:left="0" w:leftChars="0" w:firstLine="0" w:firstLineChars="0"/>
        <w:rPr>
          <w:rFonts w:hint="eastAsia" w:ascii="Times New Roman" w:hAnsi="Times New Roman" w:cs="Times New Roman"/>
          <w:strike w:val="0"/>
          <w:highlight w:val="none"/>
        </w:rPr>
      </w:pPr>
      <w:r>
        <w:rPr>
          <w:rFonts w:hint="eastAsia" w:ascii="黑体" w:hAnsi="黑体" w:eastAsia="黑体" w:cs="黑体"/>
          <w:strike w:val="0"/>
          <w:highlight w:val="none"/>
        </w:rPr>
        <w:t>4.</w:t>
      </w:r>
      <w:r>
        <w:rPr>
          <w:rFonts w:hint="eastAsia" w:ascii="黑体" w:hAnsi="黑体" w:eastAsia="黑体" w:cs="黑体"/>
          <w:strike w:val="0"/>
          <w:highlight w:val="none"/>
          <w:lang w:val="en-US" w:eastAsia="zh-CN"/>
        </w:rPr>
        <w:t>2</w:t>
      </w:r>
      <w:r>
        <w:rPr>
          <w:rFonts w:hint="eastAsia" w:ascii="Times New Roman" w:hAnsi="Times New Roman" w:cs="Times New Roman"/>
          <w:strike w:val="0"/>
          <w:highlight w:val="none"/>
        </w:rPr>
        <w:t xml:space="preserve"> </w:t>
      </w:r>
      <w:r>
        <w:rPr>
          <w:rFonts w:hint="eastAsia" w:ascii="Times New Roman" w:hAnsi="Times New Roman" w:cs="Times New Roman"/>
          <w:strike w:val="0"/>
          <w:highlight w:val="none"/>
          <w:lang w:val="en-US" w:eastAsia="zh-CN"/>
        </w:rPr>
        <w:t xml:space="preserve"> </w:t>
      </w:r>
      <w:r>
        <w:rPr>
          <w:rFonts w:hint="eastAsia" w:ascii="Times New Roman" w:hAnsi="Times New Roman" w:cs="Times New Roman"/>
          <w:strike w:val="0"/>
          <w:highlight w:val="none"/>
        </w:rPr>
        <w:t>企业分管负责人、各层级负责人</w:t>
      </w:r>
      <w:r>
        <w:rPr>
          <w:rFonts w:hint="eastAsia" w:cs="Times New Roman"/>
          <w:strike w:val="0"/>
          <w:highlight w:val="none"/>
          <w:lang w:eastAsia="zh-CN"/>
        </w:rPr>
        <w:t>（</w:t>
      </w:r>
      <w:r>
        <w:rPr>
          <w:rFonts w:hint="eastAsia" w:cs="Times New Roman"/>
          <w:strike w:val="0"/>
          <w:highlight w:val="none"/>
          <w:lang w:val="en-US" w:eastAsia="zh-CN"/>
        </w:rPr>
        <w:t>如分厂厂长、车间主任、班组长等）、</w:t>
      </w:r>
      <w:r>
        <w:rPr>
          <w:rFonts w:hint="eastAsia" w:ascii="Times New Roman" w:hAnsi="Times New Roman" w:cs="Times New Roman"/>
          <w:strike w:val="0"/>
          <w:highlight w:val="none"/>
        </w:rPr>
        <w:t>安全生产管理人员按照</w:t>
      </w:r>
      <w:r>
        <w:rPr>
          <w:rFonts w:hint="eastAsia" w:cs="Times New Roman"/>
          <w:strike w:val="0"/>
          <w:highlight w:val="none"/>
          <w:lang w:val="en-US" w:eastAsia="zh-CN"/>
        </w:rPr>
        <w:t>各自安全</w:t>
      </w:r>
      <w:r>
        <w:rPr>
          <w:rFonts w:hint="eastAsia" w:ascii="Times New Roman" w:hAnsi="Times New Roman" w:cs="Times New Roman"/>
          <w:strike w:val="0"/>
          <w:highlight w:val="none"/>
        </w:rPr>
        <w:t>责任，</w:t>
      </w:r>
      <w:r>
        <w:rPr>
          <w:rFonts w:hint="eastAsia" w:ascii="Times New Roman" w:hAnsi="Times New Roman" w:cs="Times New Roman"/>
          <w:strike w:val="0"/>
          <w:highlight w:val="none"/>
          <w:lang w:val="en-US" w:eastAsia="zh-CN"/>
        </w:rPr>
        <w:t>每月</w:t>
      </w:r>
      <w:r>
        <w:rPr>
          <w:rFonts w:hint="eastAsia" w:cs="Times New Roman"/>
          <w:strike w:val="0"/>
          <w:highlight w:val="none"/>
          <w:lang w:val="en-US" w:eastAsia="zh-CN"/>
        </w:rPr>
        <w:t>至少</w:t>
      </w:r>
      <w:r>
        <w:rPr>
          <w:rFonts w:hint="eastAsia" w:ascii="Times New Roman" w:hAnsi="Times New Roman" w:cs="Times New Roman"/>
          <w:strike w:val="0"/>
          <w:highlight w:val="none"/>
        </w:rPr>
        <w:t>组织并</w:t>
      </w:r>
      <w:r>
        <w:rPr>
          <w:rFonts w:hint="eastAsia" w:cs="Times New Roman"/>
          <w:strike w:val="0"/>
          <w:highlight w:val="none"/>
          <w:lang w:eastAsia="zh-CN"/>
        </w:rPr>
        <w:t>参与</w:t>
      </w:r>
      <w:r>
        <w:rPr>
          <w:rFonts w:hint="eastAsia" w:ascii="Times New Roman" w:hAnsi="Times New Roman" w:cs="Times New Roman"/>
          <w:strike w:val="0"/>
          <w:highlight w:val="none"/>
          <w:lang w:val="en-US" w:eastAsia="zh-CN"/>
        </w:rPr>
        <w:t>一次安全</w:t>
      </w:r>
      <w:r>
        <w:rPr>
          <w:rFonts w:hint="eastAsia" w:ascii="Times New Roman" w:hAnsi="Times New Roman" w:cs="Times New Roman"/>
          <w:strike w:val="0"/>
          <w:highlight w:val="none"/>
        </w:rPr>
        <w:t>检查。</w:t>
      </w:r>
    </w:p>
    <w:p w14:paraId="72FBEEDF">
      <w:pPr>
        <w:pStyle w:val="131"/>
        <w:spacing w:line="240" w:lineRule="auto"/>
        <w:ind w:left="0" w:leftChars="0" w:firstLine="0" w:firstLineChars="0"/>
        <w:rPr>
          <w:rFonts w:hint="eastAsia" w:ascii="Times New Roman" w:hAnsi="Times New Roman" w:cs="Times New Roman"/>
          <w:strike w:val="0"/>
          <w:dstrike w:val="0"/>
          <w:highlight w:val="none"/>
        </w:rPr>
      </w:pPr>
      <w:r>
        <w:rPr>
          <w:rFonts w:hint="eastAsia" w:ascii="黑体" w:hAnsi="黑体" w:eastAsia="黑体" w:cs="黑体"/>
          <w:strike w:val="0"/>
          <w:dstrike w:val="0"/>
          <w:highlight w:val="none"/>
        </w:rPr>
        <w:t>4.</w:t>
      </w:r>
      <w:r>
        <w:rPr>
          <w:rFonts w:hint="eastAsia" w:ascii="黑体" w:hAnsi="黑体" w:eastAsia="黑体" w:cs="黑体"/>
          <w:strike w:val="0"/>
          <w:dstrike w:val="0"/>
          <w:highlight w:val="none"/>
          <w:lang w:val="en-US" w:eastAsia="zh-CN"/>
        </w:rPr>
        <w:t>3</w:t>
      </w:r>
      <w:r>
        <w:rPr>
          <w:rFonts w:hint="eastAsia" w:ascii="黑体" w:hAnsi="黑体" w:eastAsia="黑体" w:cs="黑体"/>
          <w:strike w:val="0"/>
          <w:dstrike w:val="0"/>
          <w:highlight w:val="none"/>
        </w:rPr>
        <w:t>.</w:t>
      </w:r>
      <w:r>
        <w:rPr>
          <w:rFonts w:hint="eastAsia" w:ascii="黑体" w:hAnsi="黑体" w:eastAsia="黑体" w:cs="黑体"/>
          <w:strike w:val="0"/>
          <w:dstrike w:val="0"/>
          <w:highlight w:val="none"/>
          <w:lang w:val="en-US" w:eastAsia="zh-CN"/>
        </w:rPr>
        <w:t xml:space="preserve"> </w:t>
      </w:r>
      <w:r>
        <w:rPr>
          <w:rFonts w:hint="eastAsia" w:cs="Times New Roman"/>
          <w:strike w:val="0"/>
          <w:dstrike w:val="0"/>
          <w:highlight w:val="none"/>
          <w:lang w:val="en-US" w:eastAsia="zh-CN"/>
        </w:rPr>
        <w:t>企业</w:t>
      </w:r>
      <w:r>
        <w:rPr>
          <w:rFonts w:hint="eastAsia" w:ascii="Times New Roman" w:hAnsi="Times New Roman" w:cs="Times New Roman"/>
          <w:strike w:val="0"/>
          <w:dstrike w:val="0"/>
          <w:highlight w:val="none"/>
        </w:rPr>
        <w:t>专（兼）职安全员</w:t>
      </w:r>
      <w:r>
        <w:rPr>
          <w:rFonts w:hint="eastAsia" w:ascii="Times New Roman" w:hAnsi="Times New Roman" w:cs="Times New Roman"/>
          <w:strike w:val="0"/>
          <w:dstrike w:val="0"/>
          <w:highlight w:val="none"/>
          <w:lang w:val="en-US" w:eastAsia="zh-CN"/>
        </w:rPr>
        <w:t>在生产现场</w:t>
      </w:r>
      <w:r>
        <w:rPr>
          <w:rFonts w:hint="eastAsia" w:ascii="Times New Roman" w:hAnsi="Times New Roman" w:cs="Times New Roman"/>
          <w:strike w:val="0"/>
          <w:dstrike w:val="0"/>
          <w:highlight w:val="none"/>
        </w:rPr>
        <w:t>应</w:t>
      </w:r>
      <w:r>
        <w:rPr>
          <w:rFonts w:hint="eastAsia" w:ascii="Times New Roman" w:hAnsi="Times New Roman" w:cs="Times New Roman"/>
          <w:strike w:val="0"/>
          <w:dstrike w:val="0"/>
          <w:highlight w:val="none"/>
          <w:lang w:val="en-US" w:eastAsia="zh-CN"/>
        </w:rPr>
        <w:t>佩戴</w:t>
      </w:r>
      <w:r>
        <w:rPr>
          <w:rFonts w:hint="eastAsia" w:ascii="Times New Roman" w:hAnsi="Times New Roman" w:cs="Times New Roman"/>
          <w:strike w:val="0"/>
          <w:dstrike w:val="0"/>
          <w:highlight w:val="none"/>
        </w:rPr>
        <w:t>明显</w:t>
      </w:r>
      <w:r>
        <w:rPr>
          <w:rFonts w:hint="eastAsia" w:cs="Times New Roman"/>
          <w:strike w:val="0"/>
          <w:dstrike w:val="0"/>
          <w:highlight w:val="none"/>
          <w:lang w:val="en-US" w:eastAsia="zh-CN"/>
        </w:rPr>
        <w:t>的</w:t>
      </w:r>
      <w:r>
        <w:rPr>
          <w:rFonts w:hint="eastAsia" w:ascii="Times New Roman" w:hAnsi="Times New Roman" w:cs="Times New Roman"/>
          <w:strike w:val="0"/>
          <w:dstrike w:val="0"/>
          <w:highlight w:val="none"/>
        </w:rPr>
        <w:t>“安全监督”</w:t>
      </w:r>
      <w:r>
        <w:rPr>
          <w:rFonts w:hint="eastAsia" w:ascii="Times New Roman" w:hAnsi="Times New Roman" w:cs="Times New Roman"/>
          <w:strike w:val="0"/>
          <w:dstrike w:val="0"/>
          <w:highlight w:val="none"/>
          <w:lang w:val="en-US" w:eastAsia="zh-CN"/>
        </w:rPr>
        <w:t>标识</w:t>
      </w:r>
      <w:r>
        <w:rPr>
          <w:rFonts w:hint="eastAsia" w:ascii="Times New Roman" w:hAnsi="Times New Roman" w:cs="Times New Roman"/>
          <w:strike w:val="0"/>
          <w:dstrike w:val="0"/>
          <w:highlight w:val="none"/>
        </w:rPr>
        <w:t>，督促</w:t>
      </w:r>
      <w:r>
        <w:rPr>
          <w:rFonts w:hint="eastAsia" w:cs="Times New Roman"/>
          <w:strike w:val="0"/>
          <w:dstrike w:val="0"/>
          <w:highlight w:val="none"/>
          <w:lang w:val="en-US" w:eastAsia="zh-CN"/>
        </w:rPr>
        <w:t>作</w:t>
      </w:r>
      <w:r>
        <w:rPr>
          <w:rFonts w:hint="eastAsia" w:ascii="Times New Roman" w:hAnsi="Times New Roman" w:cs="Times New Roman"/>
          <w:strike w:val="0"/>
          <w:dstrike w:val="0"/>
          <w:highlight w:val="none"/>
        </w:rPr>
        <w:t>业人员按照要求</w:t>
      </w:r>
      <w:r>
        <w:rPr>
          <w:rFonts w:hint="eastAsia" w:cs="Times New Roman"/>
          <w:strike w:val="0"/>
          <w:dstrike w:val="0"/>
          <w:highlight w:val="none"/>
          <w:lang w:eastAsia="zh-CN"/>
        </w:rPr>
        <w:t>开展</w:t>
      </w:r>
      <w:r>
        <w:rPr>
          <w:rFonts w:hint="eastAsia" w:ascii="Times New Roman" w:hAnsi="Times New Roman" w:cs="Times New Roman"/>
          <w:strike w:val="0"/>
          <w:dstrike w:val="0"/>
          <w:highlight w:val="none"/>
        </w:rPr>
        <w:t>作业，</w:t>
      </w:r>
      <w:r>
        <w:rPr>
          <w:rFonts w:hint="eastAsia" w:ascii="Times New Roman" w:hAnsi="Times New Roman" w:cs="Times New Roman"/>
          <w:strike w:val="0"/>
          <w:dstrike w:val="0"/>
          <w:highlight w:val="none"/>
          <w:lang w:val="en-US" w:eastAsia="zh-CN"/>
        </w:rPr>
        <w:t>及时</w:t>
      </w:r>
      <w:r>
        <w:rPr>
          <w:rFonts w:hint="eastAsia" w:ascii="Times New Roman" w:hAnsi="Times New Roman" w:cs="Times New Roman"/>
          <w:strike w:val="0"/>
          <w:dstrike w:val="0"/>
          <w:highlight w:val="none"/>
        </w:rPr>
        <w:t>制止</w:t>
      </w:r>
      <w:r>
        <w:rPr>
          <w:rFonts w:hint="eastAsia" w:cs="Times New Roman"/>
          <w:strike w:val="0"/>
          <w:dstrike w:val="0"/>
          <w:highlight w:val="none"/>
          <w:lang w:eastAsia="zh-CN"/>
        </w:rPr>
        <w:t>违章指挥、违规作业、违反劳动纪律等“</w:t>
      </w:r>
      <w:r>
        <w:rPr>
          <w:rFonts w:hint="eastAsia" w:cs="Times New Roman"/>
          <w:strike w:val="0"/>
          <w:dstrike w:val="0"/>
          <w:highlight w:val="none"/>
          <w:lang w:val="en-US" w:eastAsia="zh-CN"/>
        </w:rPr>
        <w:t>三违”行为</w:t>
      </w:r>
      <w:r>
        <w:rPr>
          <w:rFonts w:hint="eastAsia" w:ascii="Times New Roman" w:hAnsi="Times New Roman" w:cs="Times New Roman"/>
          <w:strike w:val="0"/>
          <w:dstrike w:val="0"/>
          <w:highlight w:val="none"/>
        </w:rPr>
        <w:t>。</w:t>
      </w:r>
    </w:p>
    <w:p w14:paraId="31CBBEAC">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rPr>
        <w:t>4.4</w:t>
      </w:r>
      <w:r>
        <w:rPr>
          <w:rFonts w:hint="eastAsia" w:ascii="Times New Roman" w:hAnsi="Times New Roman" w:cs="Times New Roman"/>
        </w:rPr>
        <w:t xml:space="preserve"> </w:t>
      </w:r>
      <w:r>
        <w:rPr>
          <w:rFonts w:hint="eastAsia" w:ascii="Times New Roman" w:hAnsi="Times New Roman" w:cs="Times New Roman"/>
          <w:lang w:val="en-US" w:eastAsia="zh-CN"/>
        </w:rPr>
        <w:t xml:space="preserve"> 各</w:t>
      </w:r>
      <w:r>
        <w:rPr>
          <w:rFonts w:hint="eastAsia" w:ascii="Times New Roman" w:hAnsi="Times New Roman" w:cs="Times New Roman"/>
        </w:rPr>
        <w:t>班组每周</w:t>
      </w:r>
      <w:r>
        <w:rPr>
          <w:rFonts w:hint="eastAsia" w:ascii="Times New Roman" w:hAnsi="Times New Roman" w:cs="Times New Roman"/>
          <w:lang w:val="en-US" w:eastAsia="zh-CN"/>
        </w:rPr>
        <w:t>应</w:t>
      </w:r>
      <w:r>
        <w:rPr>
          <w:rFonts w:hint="eastAsia" w:cs="Times New Roman"/>
          <w:lang w:val="en-US" w:eastAsia="zh-CN"/>
        </w:rPr>
        <w:t>至少</w:t>
      </w:r>
      <w:r>
        <w:rPr>
          <w:rFonts w:hint="eastAsia" w:ascii="Times New Roman" w:hAnsi="Times New Roman" w:cs="Times New Roman"/>
        </w:rPr>
        <w:t>开展一次</w:t>
      </w:r>
      <w:r>
        <w:rPr>
          <w:rFonts w:hint="eastAsia" w:ascii="Times New Roman" w:hAnsi="Times New Roman" w:cs="Times New Roman"/>
          <w:lang w:val="en-US" w:eastAsia="zh-CN"/>
        </w:rPr>
        <w:t>专项</w:t>
      </w:r>
      <w:r>
        <w:rPr>
          <w:rFonts w:hint="eastAsia" w:ascii="Times New Roman" w:hAnsi="Times New Roman" w:cs="Times New Roman"/>
        </w:rPr>
        <w:t>安全检查</w:t>
      </w:r>
      <w:r>
        <w:rPr>
          <w:rFonts w:hint="eastAsia" w:cs="Times New Roman"/>
          <w:lang w:eastAsia="zh-CN"/>
        </w:rPr>
        <w:t>，</w:t>
      </w:r>
      <w:r>
        <w:rPr>
          <w:rFonts w:hint="eastAsia" w:cs="Times New Roman"/>
          <w:lang w:val="en-US" w:eastAsia="zh-CN"/>
        </w:rPr>
        <w:t>每日开展班前、班中、班后检查，有夜班的还应开展夜间巡查</w:t>
      </w:r>
      <w:r>
        <w:rPr>
          <w:rFonts w:hint="eastAsia" w:ascii="Times New Roman" w:hAnsi="Times New Roman" w:cs="Times New Roman"/>
          <w:lang w:eastAsia="zh-CN"/>
        </w:rPr>
        <w:t>。</w:t>
      </w:r>
      <w:r>
        <w:rPr>
          <w:rFonts w:hint="eastAsia" w:ascii="Times New Roman" w:hAnsi="Times New Roman" w:cs="Times New Roman"/>
          <w:lang w:val="en-US" w:eastAsia="zh-CN"/>
        </w:rPr>
        <w:t>实行</w:t>
      </w:r>
      <w:r>
        <w:rPr>
          <w:rFonts w:hint="eastAsia" w:ascii="Times New Roman" w:hAnsi="Times New Roman" w:cs="Times New Roman"/>
        </w:rPr>
        <w:t>班前会制度，由</w:t>
      </w:r>
      <w:r>
        <w:rPr>
          <w:rFonts w:hint="eastAsia" w:ascii="Times New Roman" w:hAnsi="Times New Roman" w:cs="Times New Roman"/>
          <w:lang w:val="en-US" w:eastAsia="zh-CN"/>
        </w:rPr>
        <w:t>班组长或专（兼）</w:t>
      </w:r>
      <w:r>
        <w:rPr>
          <w:rFonts w:hint="eastAsia" w:ascii="Times New Roman" w:hAnsi="Times New Roman" w:cs="Times New Roman"/>
        </w:rPr>
        <w:t>职安全员向当班作业人员提示安全风险</w:t>
      </w:r>
      <w:r>
        <w:rPr>
          <w:rFonts w:hint="eastAsia" w:ascii="Times New Roman" w:hAnsi="Times New Roman" w:cs="Times New Roman"/>
          <w:lang w:eastAsia="zh-CN"/>
        </w:rPr>
        <w:t>。</w:t>
      </w:r>
    </w:p>
    <w:p w14:paraId="35192EFE">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rPr>
        <w:t>4.</w:t>
      </w:r>
      <w:r>
        <w:rPr>
          <w:rFonts w:hint="eastAsia" w:ascii="黑体" w:hAnsi="黑体" w:eastAsia="黑体" w:cs="黑体"/>
          <w:lang w:val="en-US" w:eastAsia="zh-CN"/>
        </w:rPr>
        <w:t>5</w:t>
      </w:r>
      <w:r>
        <w:rPr>
          <w:rFonts w:hint="eastAsia"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rPr>
        <w:t>作业人员</w:t>
      </w:r>
      <w:r>
        <w:rPr>
          <w:rFonts w:hint="eastAsia" w:ascii="Times New Roman" w:hAnsi="Times New Roman" w:cs="Times New Roman"/>
          <w:lang w:val="en-US" w:eastAsia="zh-CN"/>
        </w:rPr>
        <w:t>在每班工作前</w:t>
      </w:r>
      <w:r>
        <w:rPr>
          <w:rFonts w:hint="eastAsia" w:cs="Times New Roman"/>
          <w:lang w:val="en-US" w:eastAsia="zh-CN"/>
        </w:rPr>
        <w:t>应开展</w:t>
      </w:r>
      <w:r>
        <w:rPr>
          <w:rFonts w:hint="eastAsia" w:ascii="Times New Roman" w:hAnsi="Times New Roman" w:cs="Times New Roman"/>
          <w:lang w:val="en-US" w:eastAsia="zh-CN"/>
        </w:rPr>
        <w:t>本岗位安全检查，确认安全后方可作</w:t>
      </w:r>
      <w:r>
        <w:rPr>
          <w:rFonts w:hint="eastAsia" w:cs="Times New Roman"/>
          <w:lang w:val="en-US" w:eastAsia="zh-CN"/>
        </w:rPr>
        <w:t>业</w:t>
      </w:r>
      <w:r>
        <w:rPr>
          <w:rFonts w:hint="eastAsia" w:ascii="Times New Roman" w:hAnsi="Times New Roman" w:cs="Times New Roman"/>
          <w:lang w:val="en-US" w:eastAsia="zh-CN"/>
        </w:rPr>
        <w:t>。岗位安全检查内容包括设备的</w:t>
      </w:r>
      <w:r>
        <w:rPr>
          <w:rFonts w:hint="eastAsia" w:cs="Times New Roman"/>
          <w:lang w:val="en-US" w:eastAsia="zh-CN"/>
        </w:rPr>
        <w:t>安全附件</w:t>
      </w:r>
      <w:r>
        <w:rPr>
          <w:rFonts w:hint="eastAsia" w:ascii="Times New Roman" w:hAnsi="Times New Roman" w:cs="Times New Roman"/>
          <w:lang w:val="en-US" w:eastAsia="zh-CN"/>
        </w:rPr>
        <w:t>是否良好、安全防护装置是否有效</w:t>
      </w:r>
      <w:r>
        <w:rPr>
          <w:rFonts w:hint="eastAsia" w:cs="Times New Roman"/>
          <w:lang w:val="en-US" w:eastAsia="zh-CN"/>
        </w:rPr>
        <w:t>、作业环境是否符合要求、劳动防护用品穿戴是否正确有效</w:t>
      </w:r>
      <w:r>
        <w:rPr>
          <w:rFonts w:hint="eastAsia" w:ascii="Times New Roman" w:hAnsi="Times New Roman" w:cs="Times New Roman"/>
          <w:lang w:val="en-US" w:eastAsia="zh-CN"/>
        </w:rPr>
        <w:t>等。</w:t>
      </w:r>
    </w:p>
    <w:p w14:paraId="5A59C487">
      <w:pPr>
        <w:pStyle w:val="130"/>
        <w:spacing w:before="286" w:beforeLines="100" w:after="286" w:afterLines="100"/>
        <w:rPr>
          <w:rFonts w:hint="eastAsia" w:ascii="黑体" w:hAnsi="Times New Roman" w:eastAsia="黑体" w:cs="Times New Roman"/>
          <w:sz w:val="21"/>
          <w:szCs w:val="21"/>
          <w:lang w:val="en-US" w:eastAsia="zh-CN"/>
        </w:rPr>
      </w:pPr>
      <w:bookmarkStart w:id="26" w:name="_Toc1351538270"/>
      <w:r>
        <w:rPr>
          <w:rFonts w:hint="eastAsia" w:ascii="黑体" w:hAnsi="Times New Roman" w:eastAsia="黑体" w:cs="Times New Roman"/>
          <w:sz w:val="21"/>
          <w:szCs w:val="21"/>
          <w:lang w:val="en-US" w:eastAsia="zh-CN"/>
        </w:rPr>
        <w:t xml:space="preserve">5  </w:t>
      </w:r>
      <w:r>
        <w:rPr>
          <w:rFonts w:hint="eastAsia" w:ascii="黑体" w:hAnsi="Times New Roman" w:eastAsia="黑体" w:cs="Times New Roman"/>
          <w:sz w:val="21"/>
          <w:szCs w:val="21"/>
        </w:rPr>
        <w:t>安全风险管控和事故隐患排查</w:t>
      </w:r>
      <w:r>
        <w:rPr>
          <w:rFonts w:hint="eastAsia" w:ascii="黑体" w:hAnsi="Times New Roman" w:eastAsia="黑体" w:cs="Times New Roman"/>
          <w:sz w:val="21"/>
          <w:szCs w:val="21"/>
          <w:lang w:val="en-US" w:eastAsia="zh-CN"/>
        </w:rPr>
        <w:t>治理</w:t>
      </w:r>
      <w:bookmarkEnd w:id="26"/>
    </w:p>
    <w:p w14:paraId="215597A6">
      <w:pPr>
        <w:pStyle w:val="131"/>
        <w:spacing w:line="240" w:lineRule="auto"/>
        <w:ind w:left="0" w:leftChars="0" w:firstLine="0" w:firstLineChars="0"/>
        <w:rPr>
          <w:rFonts w:hint="eastAsia" w:ascii="Times New Roman" w:hAnsi="Times New Roman" w:cs="Times New Roman"/>
        </w:rPr>
      </w:pPr>
      <w:bookmarkStart w:id="27" w:name="_Toc1883941403"/>
      <w:bookmarkStart w:id="28" w:name="_Toc1380377560"/>
      <w:bookmarkStart w:id="29" w:name="_Toc1478454499"/>
      <w:r>
        <w:rPr>
          <w:rFonts w:hint="eastAsia" w:ascii="黑体" w:hAnsi="黑体" w:eastAsia="黑体" w:cs="黑体"/>
          <w:lang w:val="en-US" w:eastAsia="zh-CN"/>
        </w:rPr>
        <w:t>5</w:t>
      </w:r>
      <w:r>
        <w:rPr>
          <w:rFonts w:hint="eastAsia" w:ascii="黑体" w:hAnsi="黑体" w:eastAsia="黑体" w:cs="黑体"/>
        </w:rPr>
        <w:t xml:space="preserve">.1 </w:t>
      </w:r>
      <w:r>
        <w:rPr>
          <w:rFonts w:hint="eastAsia" w:ascii="黑体" w:hAnsi="黑体" w:eastAsia="黑体" w:cs="黑体"/>
          <w:lang w:val="en-US" w:eastAsia="zh-CN"/>
        </w:rPr>
        <w:t xml:space="preserve"> 企业</w:t>
      </w:r>
      <w:r>
        <w:rPr>
          <w:rFonts w:hint="eastAsia" w:ascii="Times New Roman" w:hAnsi="Times New Roman" w:cs="Times New Roman"/>
        </w:rPr>
        <w:t>主要负责人</w:t>
      </w:r>
      <w:r>
        <w:rPr>
          <w:rFonts w:hint="eastAsia" w:ascii="Times New Roman" w:hAnsi="Times New Roman" w:cs="Times New Roman"/>
          <w:lang w:val="en-US" w:eastAsia="zh-CN"/>
        </w:rPr>
        <w:t>应</w:t>
      </w:r>
      <w:r>
        <w:rPr>
          <w:rFonts w:hint="eastAsia" w:cs="Times New Roman"/>
          <w:lang w:val="en-US" w:eastAsia="zh-CN"/>
        </w:rPr>
        <w:t>清楚</w:t>
      </w:r>
      <w:r>
        <w:rPr>
          <w:rFonts w:hint="eastAsia" w:ascii="Times New Roman" w:hAnsi="Times New Roman" w:cs="Times New Roman"/>
          <w:lang w:val="en-US" w:eastAsia="zh-CN"/>
        </w:rPr>
        <w:t>本</w:t>
      </w:r>
      <w:r>
        <w:rPr>
          <w:rFonts w:hint="eastAsia" w:ascii="Times New Roman" w:hAnsi="Times New Roman" w:cs="Times New Roman"/>
        </w:rPr>
        <w:t>企业</w:t>
      </w:r>
      <w:r>
        <w:rPr>
          <w:rFonts w:hint="eastAsia" w:ascii="Times New Roman" w:hAnsi="Times New Roman" w:cs="Times New Roman"/>
          <w:lang w:val="en-US" w:eastAsia="zh-CN"/>
        </w:rPr>
        <w:t>较大以上</w:t>
      </w:r>
      <w:r>
        <w:rPr>
          <w:rFonts w:hint="eastAsia" w:ascii="Times New Roman" w:hAnsi="Times New Roman" w:cs="Times New Roman"/>
        </w:rPr>
        <w:t>安全风险</w:t>
      </w:r>
      <w:r>
        <w:rPr>
          <w:rFonts w:hint="eastAsia" w:cs="Times New Roman"/>
          <w:lang w:val="en-US" w:eastAsia="zh-CN"/>
        </w:rPr>
        <w:t>及其管控措施</w:t>
      </w:r>
      <w:r>
        <w:rPr>
          <w:rFonts w:hint="eastAsia" w:cs="Times New Roman"/>
          <w:lang w:eastAsia="zh-CN"/>
        </w:rPr>
        <w:t>，</w:t>
      </w:r>
      <w:r>
        <w:rPr>
          <w:rFonts w:hint="eastAsia" w:cs="Times New Roman"/>
          <w:lang w:val="en-US" w:eastAsia="zh-CN"/>
        </w:rPr>
        <w:t>按规定报告较大以上安全风险</w:t>
      </w:r>
      <w:r>
        <w:rPr>
          <w:rFonts w:hint="eastAsia" w:ascii="Times New Roman" w:hAnsi="Times New Roman" w:cs="Times New Roman"/>
        </w:rPr>
        <w:t>。</w:t>
      </w:r>
      <w:bookmarkEnd w:id="27"/>
      <w:bookmarkEnd w:id="28"/>
      <w:bookmarkEnd w:id="29"/>
    </w:p>
    <w:p w14:paraId="3DACEDBC">
      <w:pPr>
        <w:pStyle w:val="131"/>
        <w:spacing w:line="240" w:lineRule="auto"/>
        <w:ind w:left="0" w:leftChars="0" w:firstLine="0" w:firstLineChars="0"/>
        <w:rPr>
          <w:rFonts w:hint="eastAsia" w:ascii="黑体" w:hAnsi="黑体" w:cs="黑体" w:eastAsiaTheme="minorEastAsia"/>
          <w:lang w:val="en-US" w:eastAsia="zh-CN"/>
        </w:rPr>
      </w:pPr>
      <w:bookmarkStart w:id="30" w:name="_Toc96337723"/>
      <w:bookmarkStart w:id="31" w:name="_Toc304842552"/>
      <w:bookmarkStart w:id="32" w:name="_Toc1436179053"/>
      <w:r>
        <w:rPr>
          <w:rFonts w:hint="eastAsia" w:ascii="黑体" w:hAnsi="黑体" w:eastAsia="黑体" w:cs="黑体"/>
          <w:lang w:val="en-US" w:eastAsia="zh-CN"/>
        </w:rPr>
        <w:t xml:space="preserve">5.2  </w:t>
      </w:r>
      <w:r>
        <w:rPr>
          <w:rFonts w:hint="eastAsia" w:ascii="Times New Roman" w:hAnsi="Times New Roman" w:cs="Times New Roman" w:eastAsiaTheme="minorEastAsia"/>
          <w:i w:val="0"/>
          <w:iCs w:val="0"/>
          <w:caps w:val="0"/>
          <w:color w:val="auto"/>
          <w:spacing w:val="0"/>
          <w:sz w:val="21"/>
          <w:szCs w:val="21"/>
          <w:shd w:val="clear" w:fill="auto"/>
        </w:rPr>
        <w:t>生产经营单位应当在较大以上安全风险所处区域的醒目位置设置安全风险警示牌</w:t>
      </w:r>
      <w:r>
        <w:rPr>
          <w:rFonts w:hint="eastAsia" w:cs="Times New Roman"/>
          <w:i w:val="0"/>
          <w:iCs w:val="0"/>
          <w:caps w:val="0"/>
          <w:spacing w:val="0"/>
          <w:sz w:val="21"/>
          <w:szCs w:val="21"/>
          <w:shd w:val="clear"/>
          <w:lang w:eastAsia="zh-CN"/>
        </w:rPr>
        <w:t>。</w:t>
      </w:r>
    </w:p>
    <w:p w14:paraId="444AC90D">
      <w:pPr>
        <w:pStyle w:val="131"/>
        <w:spacing w:line="240" w:lineRule="auto"/>
        <w:ind w:left="0" w:leftChars="0" w:firstLine="0" w:firstLineChars="0"/>
        <w:rPr>
          <w:rFonts w:hint="eastAsia" w:ascii="黑体" w:hAnsi="黑体" w:eastAsia="黑体" w:cs="黑体"/>
        </w:rPr>
      </w:pPr>
      <w:r>
        <w:rPr>
          <w:rFonts w:hint="eastAsia" w:ascii="黑体" w:hAnsi="黑体" w:eastAsia="黑体" w:cs="黑体"/>
          <w:lang w:val="en-US" w:eastAsia="zh-CN"/>
        </w:rPr>
        <w:t>5</w:t>
      </w:r>
      <w:r>
        <w:rPr>
          <w:rFonts w:hint="eastAsia" w:ascii="黑体" w:hAnsi="黑体" w:eastAsia="黑体" w:cs="黑体"/>
        </w:rPr>
        <w:t>.</w:t>
      </w:r>
      <w:r>
        <w:rPr>
          <w:rFonts w:hint="eastAsia" w:ascii="黑体" w:hAnsi="黑体" w:eastAsia="黑体" w:cs="黑体"/>
          <w:lang w:val="en-US" w:eastAsia="zh-CN"/>
        </w:rPr>
        <w:t xml:space="preserve">3  </w:t>
      </w:r>
      <w:r>
        <w:rPr>
          <w:rFonts w:hint="eastAsia" w:ascii="宋体" w:hAnsi="宋体" w:eastAsia="宋体"/>
          <w:sz w:val="21"/>
        </w:rPr>
        <w:t>企业安全风险管控措施落实情况应纳入日常安全检查</w:t>
      </w:r>
      <w:r>
        <w:rPr>
          <w:rFonts w:hint="eastAsia" w:ascii="宋体" w:hAnsi="宋体" w:eastAsia="宋体"/>
          <w:sz w:val="21"/>
          <w:lang w:val="en-US" w:eastAsia="zh-CN"/>
        </w:rPr>
        <w:t>。</w:t>
      </w:r>
      <w:r>
        <w:rPr>
          <w:rFonts w:hint="eastAsia" w:ascii="Times New Roman" w:hAnsi="Times New Roman" w:cs="Times New Roman"/>
        </w:rPr>
        <w:t>企业应对较大以上风险管控措施落实情况</w:t>
      </w:r>
      <w:r>
        <w:rPr>
          <w:rFonts w:hint="eastAsia" w:ascii="Times New Roman" w:hAnsi="Times New Roman" w:cs="Times New Roman"/>
          <w:lang w:val="en-US" w:eastAsia="zh-CN"/>
        </w:rPr>
        <w:t>每月检查</w:t>
      </w:r>
      <w:r>
        <w:rPr>
          <w:rFonts w:hint="eastAsia" w:ascii="Times New Roman" w:hAnsi="Times New Roman" w:cs="Times New Roman"/>
        </w:rPr>
        <w:t>，</w:t>
      </w:r>
      <w:r>
        <w:rPr>
          <w:rFonts w:hint="eastAsia" w:cs="Times New Roman"/>
          <w:lang w:eastAsia="zh-CN"/>
        </w:rPr>
        <w:t>可以</w:t>
      </w:r>
      <w:r>
        <w:rPr>
          <w:rFonts w:hint="eastAsia" w:cs="Times New Roman"/>
          <w:lang w:val="en-US" w:eastAsia="zh-CN"/>
        </w:rPr>
        <w:t>通过</w:t>
      </w:r>
      <w:r>
        <w:rPr>
          <w:rFonts w:hint="eastAsia" w:ascii="Times New Roman" w:hAnsi="Times New Roman" w:cs="Times New Roman"/>
          <w:lang w:val="en-US" w:eastAsia="zh-CN"/>
        </w:rPr>
        <w:t>江苏省工业企业</w:t>
      </w:r>
      <w:r>
        <w:rPr>
          <w:rFonts w:hint="eastAsia" w:ascii="Times New Roman" w:hAnsi="Times New Roman" w:cs="Times New Roman"/>
        </w:rPr>
        <w:t>风险报告</w:t>
      </w:r>
      <w:r>
        <w:rPr>
          <w:rFonts w:hint="eastAsia" w:ascii="Times New Roman" w:hAnsi="Times New Roman" w:cs="Times New Roman"/>
          <w:highlight w:val="none"/>
          <w:lang w:val="en-US" w:eastAsia="zh-CN"/>
        </w:rPr>
        <w:t>平台</w:t>
      </w:r>
      <w:r>
        <w:rPr>
          <w:rFonts w:hint="eastAsia" w:cs="Times New Roman"/>
          <w:strike w:val="0"/>
          <w:highlight w:val="none"/>
          <w:lang w:val="en-US" w:eastAsia="zh-CN"/>
        </w:rPr>
        <w:t>定期</w:t>
      </w:r>
      <w:r>
        <w:rPr>
          <w:rFonts w:hint="eastAsia" w:ascii="Times New Roman" w:hAnsi="Times New Roman" w:cs="Times New Roman"/>
          <w:lang w:val="en-US" w:eastAsia="zh-CN"/>
        </w:rPr>
        <w:t>开展</w:t>
      </w:r>
      <w:r>
        <w:rPr>
          <w:rFonts w:hint="eastAsia" w:ascii="Times New Roman" w:hAnsi="Times New Roman" w:cs="Times New Roman"/>
        </w:rPr>
        <w:t>自查。</w:t>
      </w:r>
      <w:bookmarkEnd w:id="30"/>
      <w:bookmarkEnd w:id="31"/>
      <w:bookmarkEnd w:id="32"/>
    </w:p>
    <w:p w14:paraId="51E00202">
      <w:pPr>
        <w:pStyle w:val="131"/>
        <w:spacing w:line="240" w:lineRule="auto"/>
        <w:ind w:left="0" w:leftChars="0" w:firstLine="0" w:firstLineChars="0"/>
        <w:rPr>
          <w:rFonts w:hint="eastAsia" w:ascii="黑体" w:hAnsi="黑体" w:eastAsia="黑体" w:cs="黑体"/>
          <w:lang w:eastAsia="zh-CN"/>
        </w:rPr>
      </w:pPr>
      <w:r>
        <w:rPr>
          <w:rFonts w:hint="eastAsia" w:ascii="黑体" w:hAnsi="黑体" w:eastAsia="黑体" w:cs="黑体"/>
          <w:lang w:val="en-US" w:eastAsia="zh-CN"/>
        </w:rPr>
        <w:t xml:space="preserve">5.4 </w:t>
      </w:r>
      <w:r>
        <w:rPr>
          <w:rFonts w:hint="eastAsia" w:ascii="Times New Roman" w:hAnsi="Times New Roman" w:cs="Times New Roman"/>
        </w:rPr>
        <w:t>企业应</w:t>
      </w:r>
      <w:r>
        <w:rPr>
          <w:rFonts w:hint="eastAsia" w:ascii="Times New Roman" w:hAnsi="Times New Roman" w:cs="Times New Roman"/>
          <w:lang w:val="en-US" w:eastAsia="zh-CN"/>
        </w:rPr>
        <w:t>按照规定及时排查消除</w:t>
      </w:r>
      <w:r>
        <w:rPr>
          <w:rFonts w:hint="eastAsia" w:ascii="Times New Roman" w:hAnsi="Times New Roman" w:cs="Times New Roman"/>
        </w:rPr>
        <w:t>安全生产重大事故隐患</w:t>
      </w:r>
      <w:r>
        <w:rPr>
          <w:rFonts w:hint="eastAsia" w:ascii="Times New Roman" w:hAnsi="Times New Roman" w:cs="Times New Roman"/>
          <w:lang w:eastAsia="zh-CN"/>
        </w:rPr>
        <w:t>。</w:t>
      </w:r>
      <w:r>
        <w:rPr>
          <w:rFonts w:hint="eastAsia" w:cs="Times New Roman"/>
          <w:lang w:val="en-US" w:eastAsia="zh-CN"/>
        </w:rPr>
        <w:t>各类安全检查发现的问题，应及时整改到位。</w:t>
      </w:r>
    </w:p>
    <w:p w14:paraId="5056A375">
      <w:pPr>
        <w:pStyle w:val="130"/>
        <w:spacing w:before="286" w:beforeLines="100" w:after="286" w:afterLines="100"/>
        <w:rPr>
          <w:rFonts w:hint="eastAsia" w:ascii="黑体" w:hAnsi="Times New Roman" w:eastAsia="黑体" w:cs="Times New Roman"/>
          <w:sz w:val="21"/>
          <w:szCs w:val="21"/>
        </w:rPr>
      </w:pPr>
      <w:bookmarkStart w:id="33" w:name="_Toc1369169571"/>
      <w:r>
        <w:rPr>
          <w:rFonts w:hint="eastAsia" w:ascii="黑体" w:hAnsi="Times New Roman" w:eastAsia="黑体" w:cs="Times New Roman"/>
          <w:sz w:val="21"/>
          <w:szCs w:val="21"/>
          <w:lang w:val="en-US" w:eastAsia="zh-CN"/>
        </w:rPr>
        <w:t>6</w:t>
      </w:r>
      <w:r>
        <w:rPr>
          <w:rFonts w:hint="eastAsia" w:ascii="黑体" w:eastAsia="黑体" w:cs="Times New Roman"/>
          <w:sz w:val="21"/>
          <w:szCs w:val="21"/>
          <w:lang w:val="en-US" w:eastAsia="zh-CN"/>
        </w:rPr>
        <w:t xml:space="preserve">  “</w:t>
      </w:r>
      <w:r>
        <w:rPr>
          <w:rFonts w:hint="eastAsia" w:ascii="黑体" w:hAnsi="Times New Roman" w:eastAsia="黑体" w:cs="Times New Roman"/>
          <w:sz w:val="21"/>
          <w:szCs w:val="21"/>
        </w:rPr>
        <w:t>厂中厂”安全管理</w:t>
      </w:r>
      <w:bookmarkEnd w:id="33"/>
    </w:p>
    <w:p w14:paraId="4D3AFBB4">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6.1</w:t>
      </w:r>
      <w:r>
        <w:rPr>
          <w:rFonts w:hint="eastAsia" w:ascii="Times New Roman" w:hAnsi="Times New Roman" w:cs="Times New Roman"/>
          <w:lang w:val="en-US" w:eastAsia="zh-CN"/>
        </w:rPr>
        <w:t xml:space="preserve">  </w:t>
      </w:r>
      <w:r>
        <w:rPr>
          <w:rFonts w:hint="eastAsia" w:cs="Times New Roman"/>
          <w:lang w:val="en-US" w:eastAsia="zh-CN"/>
        </w:rPr>
        <w:t>出租方</w:t>
      </w:r>
      <w:r>
        <w:rPr>
          <w:rFonts w:hint="eastAsia" w:ascii="Times New Roman" w:hAnsi="Times New Roman" w:cs="Times New Roman"/>
          <w:lang w:val="en-US" w:eastAsia="zh-CN"/>
        </w:rPr>
        <w:t>应与承租</w:t>
      </w:r>
      <w:r>
        <w:rPr>
          <w:rFonts w:hint="eastAsia" w:cs="Times New Roman"/>
          <w:lang w:val="en-US" w:eastAsia="zh-CN"/>
        </w:rPr>
        <w:t>方</w:t>
      </w:r>
      <w:r>
        <w:rPr>
          <w:rFonts w:hint="eastAsia" w:ascii="Times New Roman" w:hAnsi="Times New Roman" w:cs="Times New Roman"/>
          <w:lang w:val="en-US" w:eastAsia="zh-CN"/>
        </w:rPr>
        <w:t>签订安全管理协议，明确安全生产统一协调、管理义务，对承租</w:t>
      </w:r>
      <w:r>
        <w:rPr>
          <w:rFonts w:hint="eastAsia" w:cs="Times New Roman"/>
          <w:lang w:val="en-US" w:eastAsia="zh-CN"/>
        </w:rPr>
        <w:t>方入驻、续租、退出</w:t>
      </w:r>
      <w:r>
        <w:rPr>
          <w:rFonts w:hint="eastAsia" w:ascii="Times New Roman" w:hAnsi="Times New Roman" w:cs="Times New Roman"/>
          <w:lang w:val="en-US" w:eastAsia="zh-CN"/>
        </w:rPr>
        <w:t>等过程进行管理。</w:t>
      </w:r>
    </w:p>
    <w:p w14:paraId="165A7FD2">
      <w:pPr>
        <w:pStyle w:val="131"/>
        <w:spacing w:line="240" w:lineRule="auto"/>
        <w:ind w:left="0" w:leftChars="0" w:firstLine="0" w:firstLineChars="0"/>
        <w:rPr>
          <w:rFonts w:hint="default" w:ascii="Times New Roman" w:hAnsi="Times New Roman" w:cs="Times New Roman"/>
          <w:lang w:val="en-US" w:eastAsia="zh-CN"/>
        </w:rPr>
      </w:pPr>
      <w:r>
        <w:rPr>
          <w:rFonts w:hint="eastAsia" w:ascii="黑体" w:hAnsi="黑体" w:eastAsia="黑体" w:cs="黑体"/>
          <w:lang w:val="en-US" w:eastAsia="zh-CN"/>
        </w:rPr>
        <w:t>6.2</w:t>
      </w:r>
      <w:r>
        <w:rPr>
          <w:rFonts w:hint="eastAsia" w:ascii="Times New Roman" w:hAnsi="Times New Roman" w:cs="Times New Roman"/>
          <w:lang w:val="en-US" w:eastAsia="zh-CN"/>
        </w:rPr>
        <w:t xml:space="preserve">  建立出租</w:t>
      </w:r>
      <w:r>
        <w:rPr>
          <w:rFonts w:hint="eastAsia" w:cs="Times New Roman"/>
          <w:lang w:val="en-US" w:eastAsia="zh-CN"/>
        </w:rPr>
        <w:t>方</w:t>
      </w:r>
      <w:r>
        <w:rPr>
          <w:rFonts w:hint="eastAsia" w:ascii="Times New Roman" w:hAnsi="Times New Roman" w:cs="Times New Roman"/>
          <w:lang w:val="en-US" w:eastAsia="zh-CN"/>
        </w:rPr>
        <w:t>与承租</w:t>
      </w:r>
      <w:r>
        <w:rPr>
          <w:rFonts w:hint="eastAsia" w:cs="Times New Roman"/>
          <w:lang w:val="en-US" w:eastAsia="zh-CN"/>
        </w:rPr>
        <w:t>方</w:t>
      </w:r>
      <w:r>
        <w:rPr>
          <w:rFonts w:hint="eastAsia" w:ascii="Times New Roman" w:hAnsi="Times New Roman" w:cs="Times New Roman"/>
          <w:lang w:val="en-US" w:eastAsia="zh-CN"/>
        </w:rPr>
        <w:t>主要负责人联席会议机制，定期会商厂房出租的管理、指导、协调等工作。</w:t>
      </w:r>
    </w:p>
    <w:p w14:paraId="2F2B9CD4">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6.3 </w:t>
      </w:r>
      <w:r>
        <w:rPr>
          <w:rFonts w:hint="eastAsia" w:ascii="Times New Roman" w:hAnsi="Times New Roman" w:cs="Times New Roman"/>
          <w:lang w:val="en-US" w:eastAsia="zh-CN"/>
        </w:rPr>
        <w:t xml:space="preserve"> </w:t>
      </w:r>
      <w:r>
        <w:rPr>
          <w:rFonts w:hint="eastAsia" w:cs="Times New Roman"/>
          <w:lang w:val="en-US" w:eastAsia="zh-CN"/>
        </w:rPr>
        <w:t>出租方应</w:t>
      </w:r>
      <w:r>
        <w:rPr>
          <w:rFonts w:hint="eastAsia" w:ascii="Times New Roman" w:hAnsi="Times New Roman" w:cs="Times New Roman"/>
          <w:lang w:val="en-US" w:eastAsia="zh-CN"/>
        </w:rPr>
        <w:t>向承租</w:t>
      </w:r>
      <w:r>
        <w:rPr>
          <w:rFonts w:hint="eastAsia" w:cs="Times New Roman"/>
          <w:lang w:val="en-US" w:eastAsia="zh-CN"/>
        </w:rPr>
        <w:t>方</w:t>
      </w:r>
      <w:r>
        <w:rPr>
          <w:rFonts w:hint="default" w:ascii="Times New Roman" w:hAnsi="Times New Roman" w:cs="Times New Roman"/>
          <w:lang w:val="en-US" w:eastAsia="zh-CN"/>
        </w:rPr>
        <w:t>告知场所的现场危险源、</w:t>
      </w:r>
      <w:r>
        <w:rPr>
          <w:rFonts w:hint="eastAsia" w:cs="Times New Roman"/>
          <w:lang w:val="en-US" w:eastAsia="zh-CN"/>
        </w:rPr>
        <w:t>应急</w:t>
      </w:r>
      <w:r>
        <w:rPr>
          <w:rFonts w:hint="default" w:ascii="Times New Roman" w:hAnsi="Times New Roman" w:cs="Times New Roman"/>
          <w:lang w:val="en-US" w:eastAsia="zh-CN"/>
        </w:rPr>
        <w:t>逃生路线等安全有关事项。</w:t>
      </w:r>
    </w:p>
    <w:p w14:paraId="4179697B">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6.4  </w:t>
      </w:r>
      <w:r>
        <w:rPr>
          <w:rFonts w:hint="eastAsia" w:cs="Times New Roman"/>
          <w:lang w:val="en-US" w:eastAsia="zh-CN"/>
        </w:rPr>
        <w:t>出租方</w:t>
      </w:r>
      <w:r>
        <w:rPr>
          <w:rFonts w:hint="eastAsia" w:ascii="Times New Roman" w:hAnsi="Times New Roman" w:cs="Times New Roman"/>
          <w:lang w:val="en-US" w:eastAsia="zh-CN"/>
        </w:rPr>
        <w:t>应督促承租</w:t>
      </w:r>
      <w:r>
        <w:rPr>
          <w:rFonts w:hint="eastAsia" w:cs="Times New Roman"/>
          <w:lang w:val="en-US" w:eastAsia="zh-CN"/>
        </w:rPr>
        <w:t>方</w:t>
      </w:r>
      <w:r>
        <w:rPr>
          <w:rFonts w:hint="eastAsia" w:ascii="Times New Roman" w:hAnsi="Times New Roman" w:cs="Times New Roman"/>
          <w:lang w:val="en-US" w:eastAsia="zh-CN"/>
        </w:rPr>
        <w:t>开展安全风险管控和事故隐患排查治理，承租</w:t>
      </w:r>
      <w:r>
        <w:rPr>
          <w:rFonts w:hint="eastAsia" w:cs="Times New Roman"/>
          <w:lang w:val="en-US" w:eastAsia="zh-CN"/>
        </w:rPr>
        <w:t>方</w:t>
      </w:r>
      <w:r>
        <w:rPr>
          <w:rFonts w:hint="eastAsia" w:ascii="Times New Roman" w:hAnsi="Times New Roman" w:cs="Times New Roman"/>
          <w:lang w:val="en-US" w:eastAsia="zh-CN"/>
        </w:rPr>
        <w:t>应提供准确完整的安全风险</w:t>
      </w:r>
      <w:r>
        <w:rPr>
          <w:rFonts w:hint="eastAsia" w:cs="Times New Roman"/>
          <w:lang w:val="en-US" w:eastAsia="zh-CN"/>
        </w:rPr>
        <w:t>管控</w:t>
      </w:r>
      <w:r>
        <w:rPr>
          <w:rFonts w:hint="eastAsia" w:ascii="Times New Roman" w:hAnsi="Times New Roman" w:cs="Times New Roman"/>
          <w:lang w:val="en-US" w:eastAsia="zh-CN"/>
        </w:rPr>
        <w:t>清单。</w:t>
      </w:r>
    </w:p>
    <w:p w14:paraId="3BE2F8A5">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6.5</w:t>
      </w:r>
      <w:r>
        <w:rPr>
          <w:rFonts w:hint="eastAsia" w:ascii="Times New Roman" w:hAnsi="Times New Roman" w:cs="Times New Roman"/>
          <w:lang w:val="en-US" w:eastAsia="zh-CN"/>
        </w:rPr>
        <w:t xml:space="preserve">  </w:t>
      </w:r>
      <w:r>
        <w:rPr>
          <w:rFonts w:hint="eastAsia" w:cs="Times New Roman"/>
          <w:lang w:val="en-US" w:eastAsia="zh-CN"/>
        </w:rPr>
        <w:t>出租方</w:t>
      </w:r>
      <w:r>
        <w:rPr>
          <w:rFonts w:hint="eastAsia" w:ascii="Times New Roman" w:hAnsi="Times New Roman" w:cs="Times New Roman"/>
          <w:lang w:val="en-US" w:eastAsia="zh-CN"/>
        </w:rPr>
        <w:t>应指定安全员，每月对承租</w:t>
      </w:r>
      <w:r>
        <w:rPr>
          <w:rFonts w:hint="eastAsia" w:cs="Times New Roman"/>
          <w:lang w:val="en-US" w:eastAsia="zh-CN"/>
        </w:rPr>
        <w:t>方至少</w:t>
      </w:r>
      <w:r>
        <w:rPr>
          <w:rFonts w:hint="eastAsia" w:ascii="Times New Roman" w:hAnsi="Times New Roman" w:cs="Times New Roman"/>
          <w:lang w:val="en-US" w:eastAsia="zh-CN"/>
        </w:rPr>
        <w:t>开展一次安全检查，发现</w:t>
      </w:r>
      <w:r>
        <w:rPr>
          <w:rFonts w:hint="eastAsia" w:cs="Times New Roman"/>
          <w:lang w:val="en-US" w:eastAsia="zh-CN"/>
        </w:rPr>
        <w:t>隐患</w:t>
      </w:r>
      <w:r>
        <w:rPr>
          <w:rFonts w:hint="eastAsia" w:ascii="Times New Roman" w:hAnsi="Times New Roman" w:cs="Times New Roman"/>
          <w:lang w:val="en-US" w:eastAsia="zh-CN"/>
        </w:rPr>
        <w:t>问题应督促承租</w:t>
      </w:r>
      <w:r>
        <w:rPr>
          <w:rFonts w:hint="eastAsia" w:cs="Times New Roman"/>
          <w:lang w:val="en-US" w:eastAsia="zh-CN"/>
        </w:rPr>
        <w:t>方</w:t>
      </w:r>
      <w:r>
        <w:rPr>
          <w:rFonts w:hint="eastAsia" w:ascii="Times New Roman" w:hAnsi="Times New Roman" w:cs="Times New Roman"/>
          <w:lang w:val="en-US" w:eastAsia="zh-CN"/>
        </w:rPr>
        <w:t>整改。</w:t>
      </w:r>
    </w:p>
    <w:p w14:paraId="778B4DD6">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6.6</w:t>
      </w:r>
      <w:r>
        <w:rPr>
          <w:rFonts w:hint="eastAsia" w:ascii="Times New Roman" w:hAnsi="Times New Roman" w:cs="Times New Roman"/>
          <w:lang w:val="en-US" w:eastAsia="zh-CN"/>
        </w:rPr>
        <w:t xml:space="preserve">  承租</w:t>
      </w:r>
      <w:r>
        <w:rPr>
          <w:rFonts w:hint="eastAsia" w:cs="Times New Roman"/>
          <w:lang w:val="en-US" w:eastAsia="zh-CN"/>
        </w:rPr>
        <w:t>方</w:t>
      </w:r>
      <w:r>
        <w:rPr>
          <w:rFonts w:hint="eastAsia" w:ascii="Times New Roman" w:hAnsi="Times New Roman" w:cs="Times New Roman"/>
          <w:lang w:val="en-US" w:eastAsia="zh-CN"/>
        </w:rPr>
        <w:t>应承担现场管理、设备安全管理、人员安全教育与培训等基本义务，配备必要的应急装备及物资。</w:t>
      </w:r>
    </w:p>
    <w:p w14:paraId="0B6098E6">
      <w:pPr>
        <w:pStyle w:val="131"/>
        <w:spacing w:line="240" w:lineRule="auto"/>
        <w:ind w:left="0" w:leftChars="0" w:firstLine="0" w:firstLineChars="0"/>
        <w:rPr>
          <w:rFonts w:hint="default" w:ascii="Times New Roman" w:hAnsi="Times New Roman" w:cs="Times New Roman"/>
          <w:lang w:val="en-US" w:eastAsia="zh-CN"/>
        </w:rPr>
      </w:pPr>
      <w:r>
        <w:rPr>
          <w:rFonts w:hint="eastAsia" w:ascii="黑体" w:hAnsi="黑体" w:eastAsia="黑体" w:cs="黑体"/>
          <w:lang w:val="en-US" w:eastAsia="zh-CN"/>
        </w:rPr>
        <w:t>6.7</w:t>
      </w:r>
      <w:r>
        <w:rPr>
          <w:rFonts w:hint="eastAsia" w:ascii="Times New Roman" w:hAnsi="Times New Roman" w:cs="Times New Roman"/>
          <w:lang w:val="en-US" w:eastAsia="zh-CN"/>
        </w:rPr>
        <w:t xml:space="preserve">  </w:t>
      </w:r>
      <w:r>
        <w:rPr>
          <w:rFonts w:hint="eastAsia" w:cs="Times New Roman"/>
          <w:lang w:val="en-US" w:eastAsia="zh-CN"/>
        </w:rPr>
        <w:t>出租方应组织所有</w:t>
      </w:r>
      <w:r>
        <w:rPr>
          <w:rFonts w:hint="eastAsia" w:ascii="Times New Roman" w:hAnsi="Times New Roman" w:cs="Times New Roman"/>
          <w:lang w:val="en-US" w:eastAsia="zh-CN"/>
        </w:rPr>
        <w:t>承租</w:t>
      </w:r>
      <w:r>
        <w:rPr>
          <w:rFonts w:hint="eastAsia" w:cs="Times New Roman"/>
          <w:lang w:val="en-US" w:eastAsia="zh-CN"/>
        </w:rPr>
        <w:t>方</w:t>
      </w:r>
      <w:r>
        <w:rPr>
          <w:rFonts w:hint="eastAsia" w:ascii="Times New Roman" w:hAnsi="Times New Roman" w:cs="Times New Roman"/>
          <w:lang w:val="en-US" w:eastAsia="zh-CN"/>
        </w:rPr>
        <w:t>每半年至少开展一次联合应急演练。</w:t>
      </w:r>
    </w:p>
    <w:p w14:paraId="7CBE2CBC">
      <w:pPr>
        <w:pStyle w:val="130"/>
        <w:spacing w:before="286" w:beforeLines="100" w:after="286" w:afterLines="100"/>
        <w:rPr>
          <w:rFonts w:hint="eastAsia" w:ascii="黑体" w:hAnsi="Times New Roman" w:eastAsia="黑体" w:cs="Times New Roman"/>
          <w:sz w:val="21"/>
          <w:szCs w:val="21"/>
          <w:lang w:val="en-US" w:eastAsia="zh-CN"/>
        </w:rPr>
      </w:pPr>
      <w:bookmarkStart w:id="34" w:name="_Toc1345702192"/>
      <w:r>
        <w:rPr>
          <w:rFonts w:hint="eastAsia" w:ascii="黑体" w:hAnsi="Times New Roman" w:eastAsia="黑体" w:cs="Times New Roman"/>
          <w:sz w:val="21"/>
          <w:szCs w:val="21"/>
          <w:lang w:val="en-US" w:eastAsia="zh-CN"/>
        </w:rPr>
        <w:t>7</w:t>
      </w:r>
      <w:r>
        <w:rPr>
          <w:rFonts w:hint="eastAsia" w:ascii="黑体" w:eastAsia="黑体" w:cs="Times New Roman"/>
          <w:sz w:val="21"/>
          <w:szCs w:val="21"/>
          <w:lang w:val="en-US" w:eastAsia="zh-CN"/>
        </w:rPr>
        <w:t xml:space="preserve">  </w:t>
      </w:r>
      <w:r>
        <w:rPr>
          <w:rFonts w:hint="eastAsia" w:ascii="黑体" w:hAnsi="Times New Roman" w:eastAsia="黑体" w:cs="Times New Roman"/>
          <w:sz w:val="21"/>
          <w:szCs w:val="21"/>
          <w:lang w:val="en-US" w:eastAsia="zh-CN"/>
        </w:rPr>
        <w:t>疏散通道安全</w:t>
      </w:r>
      <w:bookmarkEnd w:id="34"/>
    </w:p>
    <w:p w14:paraId="0482EE76">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7.1</w:t>
      </w:r>
      <w:r>
        <w:rPr>
          <w:rFonts w:hint="eastAsia" w:ascii="Times New Roman" w:hAnsi="Times New Roman" w:cs="Times New Roman"/>
          <w:lang w:val="en-US" w:eastAsia="zh-CN"/>
        </w:rPr>
        <w:t xml:space="preserve">  生产场所逃生指示标识</w:t>
      </w:r>
      <w:r>
        <w:rPr>
          <w:rFonts w:hint="eastAsia" w:cs="Times New Roman"/>
          <w:lang w:val="en-US" w:eastAsia="zh-CN"/>
        </w:rPr>
        <w:t>应</w:t>
      </w:r>
      <w:r>
        <w:rPr>
          <w:rFonts w:hint="eastAsia" w:ascii="Times New Roman" w:hAnsi="Times New Roman" w:cs="Times New Roman"/>
          <w:lang w:val="en-US" w:eastAsia="zh-CN"/>
        </w:rPr>
        <w:t>醒目</w:t>
      </w:r>
      <w:r>
        <w:rPr>
          <w:rFonts w:hint="eastAsia" w:cs="Times New Roman"/>
          <w:lang w:val="en-US" w:eastAsia="zh-CN"/>
        </w:rPr>
        <w:t>，并与指示标识方向一致；</w:t>
      </w:r>
      <w:r>
        <w:rPr>
          <w:rFonts w:hint="eastAsia" w:ascii="Times New Roman" w:hAnsi="Times New Roman" w:cs="Times New Roman"/>
          <w:lang w:val="en-US" w:eastAsia="zh-CN"/>
        </w:rPr>
        <w:t>应急照明应完好</w:t>
      </w:r>
      <w:r>
        <w:rPr>
          <w:rFonts w:hint="eastAsia" w:cs="Times New Roman"/>
          <w:lang w:val="en-US" w:eastAsia="zh-CN"/>
        </w:rPr>
        <w:t>；</w:t>
      </w:r>
      <w:r>
        <w:rPr>
          <w:rFonts w:hint="eastAsia" w:ascii="Times New Roman" w:hAnsi="Times New Roman" w:cs="Times New Roman"/>
          <w:lang w:val="en-US" w:eastAsia="zh-CN"/>
        </w:rPr>
        <w:t>疏散通道和安全出口</w:t>
      </w:r>
      <w:r>
        <w:rPr>
          <w:rFonts w:hint="eastAsia" w:cs="Times New Roman"/>
          <w:lang w:val="en-US" w:eastAsia="zh-CN"/>
        </w:rPr>
        <w:t>不应</w:t>
      </w:r>
      <w:r>
        <w:rPr>
          <w:rFonts w:hint="eastAsia" w:ascii="Times New Roman" w:hAnsi="Times New Roman" w:cs="Times New Roman"/>
          <w:lang w:val="en-US" w:eastAsia="zh-CN"/>
        </w:rPr>
        <w:t>被占用、锁闭、</w:t>
      </w:r>
      <w:r>
        <w:rPr>
          <w:rFonts w:hint="eastAsia" w:cs="Times New Roman"/>
          <w:lang w:val="en-US" w:eastAsia="zh-CN"/>
        </w:rPr>
        <w:t>堵塞</w:t>
      </w:r>
      <w:r>
        <w:rPr>
          <w:rFonts w:hint="eastAsia" w:ascii="Times New Roman" w:hAnsi="Times New Roman" w:cs="Times New Roman"/>
          <w:lang w:val="en-US" w:eastAsia="zh-CN"/>
        </w:rPr>
        <w:t>。</w:t>
      </w:r>
    </w:p>
    <w:p w14:paraId="6F75A18E">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7.2  </w:t>
      </w:r>
      <w:r>
        <w:rPr>
          <w:rFonts w:hint="eastAsia" w:ascii="Times New Roman" w:hAnsi="Times New Roman" w:cs="Times New Roman"/>
          <w:lang w:val="en-US" w:eastAsia="zh-CN"/>
        </w:rPr>
        <w:t>生产场所应</w:t>
      </w:r>
      <w:r>
        <w:rPr>
          <w:rFonts w:hint="eastAsia" w:cs="Times New Roman"/>
          <w:lang w:val="en-US" w:eastAsia="zh-CN"/>
        </w:rPr>
        <w:t>根据其面积和火灾危险性等级</w:t>
      </w:r>
      <w:r>
        <w:rPr>
          <w:rFonts w:hint="eastAsia" w:ascii="Times New Roman" w:hAnsi="Times New Roman" w:cs="Times New Roman"/>
          <w:lang w:val="en-US" w:eastAsia="zh-CN"/>
        </w:rPr>
        <w:t>设立</w:t>
      </w:r>
      <w:r>
        <w:rPr>
          <w:rFonts w:hint="eastAsia" w:cs="Times New Roman"/>
          <w:lang w:val="en-US" w:eastAsia="zh-CN"/>
        </w:rPr>
        <w:t>相应数量的</w:t>
      </w:r>
      <w:r>
        <w:rPr>
          <w:rFonts w:hint="eastAsia" w:ascii="Times New Roman" w:hAnsi="Times New Roman" w:cs="Times New Roman"/>
          <w:lang w:val="en-US" w:eastAsia="zh-CN"/>
        </w:rPr>
        <w:t>安全出口。如安全出口处设置门，应为平开门且向疏散方向开启。</w:t>
      </w:r>
    </w:p>
    <w:p w14:paraId="717B6328">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7.3</w:t>
      </w:r>
      <w:r>
        <w:rPr>
          <w:rFonts w:hint="eastAsia" w:ascii="Times New Roman" w:hAnsi="Times New Roman" w:cs="Times New Roman"/>
          <w:lang w:val="en-US" w:eastAsia="zh-CN"/>
        </w:rPr>
        <w:t xml:space="preserve">  生产场所门窗</w:t>
      </w:r>
      <w:r>
        <w:rPr>
          <w:rFonts w:hint="eastAsia" w:cs="Times New Roman"/>
          <w:lang w:val="en-US" w:eastAsia="zh-CN"/>
        </w:rPr>
        <w:t>不应设置</w:t>
      </w:r>
      <w:r>
        <w:rPr>
          <w:rFonts w:hint="eastAsia" w:ascii="Times New Roman" w:hAnsi="Times New Roman" w:cs="Times New Roman"/>
          <w:lang w:val="en-US" w:eastAsia="zh-CN"/>
        </w:rPr>
        <w:t>铁栅栏</w:t>
      </w:r>
      <w:r>
        <w:rPr>
          <w:rFonts w:hint="eastAsia" w:cs="Times New Roman"/>
          <w:lang w:val="en-US" w:eastAsia="zh-CN"/>
        </w:rPr>
        <w:t>、</w:t>
      </w:r>
      <w:r>
        <w:rPr>
          <w:rFonts w:hint="eastAsia" w:ascii="Times New Roman" w:hAnsi="Times New Roman" w:cs="Times New Roman"/>
          <w:lang w:val="en-US" w:eastAsia="zh-CN"/>
        </w:rPr>
        <w:t>广告牌等</w:t>
      </w:r>
      <w:r>
        <w:rPr>
          <w:rFonts w:hint="eastAsia" w:cs="Times New Roman"/>
          <w:lang w:val="en-US" w:eastAsia="zh-CN"/>
        </w:rPr>
        <w:t>影响逃生和救援的障碍物</w:t>
      </w:r>
      <w:r>
        <w:rPr>
          <w:rFonts w:hint="eastAsia" w:ascii="Times New Roman" w:hAnsi="Times New Roman" w:cs="Times New Roman"/>
          <w:lang w:val="en-US" w:eastAsia="zh-CN"/>
        </w:rPr>
        <w:t>。</w:t>
      </w:r>
    </w:p>
    <w:p w14:paraId="5646E11C">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7.4</w:t>
      </w:r>
      <w:r>
        <w:rPr>
          <w:rFonts w:hint="eastAsia" w:ascii="Times New Roman" w:hAnsi="Times New Roman" w:cs="Times New Roman"/>
          <w:lang w:val="en-US" w:eastAsia="zh-CN"/>
        </w:rPr>
        <w:t xml:space="preserve">  疏散门在火灾等紧急情况下应能从内部打开，并在显著位置设置使用提示的标识。</w:t>
      </w:r>
    </w:p>
    <w:p w14:paraId="335BC49A">
      <w:pPr>
        <w:pStyle w:val="130"/>
        <w:spacing w:before="286" w:beforeLines="100" w:after="286" w:afterLines="100"/>
        <w:rPr>
          <w:rFonts w:hint="default" w:ascii="黑体" w:hAnsi="Times New Roman" w:eastAsia="黑体" w:cs="Times New Roman"/>
          <w:sz w:val="21"/>
          <w:szCs w:val="21"/>
          <w:lang w:val="en-US" w:eastAsia="zh-CN"/>
        </w:rPr>
      </w:pPr>
      <w:bookmarkStart w:id="35" w:name="_Toc2066454387"/>
      <w:r>
        <w:rPr>
          <w:rFonts w:hint="eastAsia" w:ascii="黑体" w:hAnsi="Times New Roman" w:eastAsia="黑体" w:cs="Times New Roman"/>
          <w:sz w:val="21"/>
          <w:szCs w:val="21"/>
          <w:lang w:val="en-US" w:eastAsia="zh-CN"/>
        </w:rPr>
        <w:t>8  厂房和仓库防火安全</w:t>
      </w:r>
      <w:bookmarkEnd w:id="35"/>
    </w:p>
    <w:p w14:paraId="06D96B60">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8.1</w:t>
      </w:r>
      <w:r>
        <w:rPr>
          <w:rFonts w:hint="eastAsia" w:ascii="Times New Roman" w:hAnsi="Times New Roman" w:cs="Times New Roman"/>
          <w:lang w:val="en-US" w:eastAsia="zh-CN"/>
        </w:rPr>
        <w:t xml:space="preserve">  同一厂房存在不同火灾危险性等级的区域时，应采取有效防火分隔，并按要求配置灭火器、消火栓、报警装置等。存放易燃可燃物的厂房和仓库内，不应使用明火。</w:t>
      </w:r>
    </w:p>
    <w:p w14:paraId="537214C9">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8.2  </w:t>
      </w:r>
      <w:r>
        <w:rPr>
          <w:rFonts w:hint="eastAsia" w:ascii="Times New Roman" w:hAnsi="Times New Roman" w:cs="Times New Roman"/>
          <w:lang w:val="en-US" w:eastAsia="zh-CN"/>
        </w:rPr>
        <w:t>厂房、仓库、员工集体宿舍等不应使用易燃可燃材料</w:t>
      </w:r>
      <w:r>
        <w:rPr>
          <w:rFonts w:hint="eastAsia" w:cs="Times New Roman"/>
          <w:lang w:val="en-US" w:eastAsia="zh-CN"/>
        </w:rPr>
        <w:t>（如彩钢夹芯板等）</w:t>
      </w:r>
      <w:r>
        <w:rPr>
          <w:rFonts w:hint="eastAsia" w:ascii="Times New Roman" w:hAnsi="Times New Roman" w:cs="Times New Roman"/>
          <w:lang w:val="en-US" w:eastAsia="zh-CN"/>
        </w:rPr>
        <w:t>搭建，不应使用聚氨酯泡沫等易燃可燃材料装修或者</w:t>
      </w:r>
      <w:r>
        <w:rPr>
          <w:rFonts w:hint="eastAsia" w:cs="Times New Roman"/>
          <w:lang w:val="en-US" w:eastAsia="zh-CN"/>
        </w:rPr>
        <w:t>用</w:t>
      </w:r>
      <w:r>
        <w:rPr>
          <w:rFonts w:hint="eastAsia" w:ascii="Times New Roman" w:hAnsi="Times New Roman" w:cs="Times New Roman"/>
          <w:lang w:val="en-US" w:eastAsia="zh-CN"/>
        </w:rPr>
        <w:t>作隔热保温层。</w:t>
      </w:r>
    </w:p>
    <w:p w14:paraId="1A87BB93">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8.3  </w:t>
      </w:r>
      <w:r>
        <w:rPr>
          <w:rFonts w:hint="eastAsia" w:ascii="Times New Roman" w:hAnsi="Times New Roman" w:cs="Times New Roman"/>
          <w:lang w:val="en-US" w:eastAsia="zh-CN"/>
        </w:rPr>
        <w:t>企业应在</w:t>
      </w:r>
      <w:r>
        <w:rPr>
          <w:rFonts w:hint="eastAsia" w:cs="Times New Roman"/>
          <w:lang w:val="en-US" w:eastAsia="zh-CN"/>
        </w:rPr>
        <w:t>有火灾风险的</w:t>
      </w:r>
      <w:r>
        <w:rPr>
          <w:rFonts w:hint="eastAsia" w:ascii="Times New Roman" w:hAnsi="Times New Roman" w:cs="Times New Roman"/>
          <w:lang w:val="en-US" w:eastAsia="zh-CN"/>
        </w:rPr>
        <w:t>生产场所、仓库等重点</w:t>
      </w:r>
      <w:r>
        <w:rPr>
          <w:rFonts w:hint="eastAsia" w:cs="Times New Roman"/>
          <w:lang w:val="en-US" w:eastAsia="zh-CN"/>
        </w:rPr>
        <w:t>区域</w:t>
      </w:r>
      <w:r>
        <w:rPr>
          <w:rFonts w:hint="eastAsia" w:ascii="Times New Roman" w:hAnsi="Times New Roman" w:cs="Times New Roman"/>
          <w:lang w:val="en-US" w:eastAsia="zh-CN"/>
        </w:rPr>
        <w:t>安装简易火灾烟雾报警装置。</w:t>
      </w:r>
    </w:p>
    <w:p w14:paraId="1FE78922">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8.4</w:t>
      </w:r>
      <w:r>
        <w:rPr>
          <w:rFonts w:hint="eastAsia" w:ascii="Times New Roman" w:hAnsi="Times New Roman" w:cs="Times New Roman"/>
          <w:lang w:val="en-US" w:eastAsia="zh-CN"/>
        </w:rPr>
        <w:t xml:space="preserve">  相邻两栋厂房之间，不应堆放易燃可燃原材料、零部件、产品等，不应有占用防火间距或消防通道的违章搭建。</w:t>
      </w:r>
    </w:p>
    <w:p w14:paraId="09E0FE41">
      <w:pPr>
        <w:pStyle w:val="130"/>
        <w:spacing w:before="286" w:beforeLines="100" w:after="286" w:afterLines="100"/>
        <w:rPr>
          <w:rFonts w:hint="default" w:ascii="黑体" w:hAnsi="Times New Roman" w:eastAsia="黑体" w:cs="Times New Roman"/>
          <w:sz w:val="21"/>
          <w:szCs w:val="21"/>
          <w:lang w:val="en-US" w:eastAsia="zh-CN"/>
        </w:rPr>
      </w:pPr>
      <w:bookmarkStart w:id="36" w:name="_Toc1793343025"/>
      <w:r>
        <w:rPr>
          <w:rFonts w:hint="eastAsia" w:ascii="黑体" w:hAnsi="Times New Roman" w:eastAsia="黑体" w:cs="Times New Roman"/>
          <w:sz w:val="21"/>
          <w:szCs w:val="21"/>
          <w:lang w:val="en-US" w:eastAsia="zh-CN"/>
        </w:rPr>
        <w:t>9</w:t>
      </w:r>
      <w:r>
        <w:rPr>
          <w:rFonts w:hint="eastAsia" w:ascii="黑体" w:eastAsia="黑体" w:cs="Times New Roman"/>
          <w:sz w:val="21"/>
          <w:szCs w:val="21"/>
          <w:lang w:val="en-US" w:eastAsia="zh-CN"/>
        </w:rPr>
        <w:t xml:space="preserve">  </w:t>
      </w:r>
      <w:r>
        <w:rPr>
          <w:rFonts w:hint="eastAsia" w:ascii="黑体" w:hAnsi="Times New Roman" w:eastAsia="黑体" w:cs="Times New Roman"/>
          <w:sz w:val="21"/>
          <w:szCs w:val="21"/>
          <w:lang w:val="en-US" w:eastAsia="zh-CN"/>
        </w:rPr>
        <w:t>电气安全</w:t>
      </w:r>
      <w:bookmarkEnd w:id="36"/>
    </w:p>
    <w:p w14:paraId="4A476EA3">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9.1</w:t>
      </w:r>
      <w:r>
        <w:rPr>
          <w:rFonts w:hint="eastAsia" w:ascii="Times New Roman" w:hAnsi="Times New Roman" w:cs="Times New Roman"/>
          <w:lang w:val="en-US" w:eastAsia="zh-CN"/>
        </w:rPr>
        <w:t xml:space="preserve">  存放发泡材料、纸箱等可燃材料的仓库内配电箱及开关应设置在仓库外。</w:t>
      </w:r>
    </w:p>
    <w:p w14:paraId="13BA898D">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9.2</w:t>
      </w:r>
      <w:r>
        <w:rPr>
          <w:rFonts w:hint="eastAsia" w:ascii="Times New Roman" w:hAnsi="Times New Roman" w:cs="Times New Roman"/>
          <w:lang w:val="en-US" w:eastAsia="zh-CN"/>
        </w:rPr>
        <w:t xml:space="preserve">  </w:t>
      </w:r>
      <w:r>
        <w:rPr>
          <w:rFonts w:hint="eastAsia" w:ascii="宋体" w:hAnsi="宋体" w:eastAsia="宋体" w:cs="宋体"/>
          <w:color w:val="auto"/>
          <w:kern w:val="2"/>
          <w:sz w:val="21"/>
          <w:szCs w:val="21"/>
          <w:lang w:val="en-US" w:eastAsia="zh-CN" w:bidi="ar-SA"/>
        </w:rPr>
        <w:t>储存</w:t>
      </w:r>
      <w:r>
        <w:rPr>
          <w:rFonts w:hint="eastAsia" w:ascii="Times New Roman" w:hAnsi="Times New Roman" w:cs="Times New Roman"/>
          <w:lang w:val="en-US" w:eastAsia="zh-CN"/>
        </w:rPr>
        <w:t>场所内敷设的配电线路</w:t>
      </w:r>
      <w:r>
        <w:rPr>
          <w:rFonts w:hint="eastAsia" w:cs="Times New Roman"/>
          <w:lang w:val="en-US" w:eastAsia="zh-CN"/>
        </w:rPr>
        <w:t>应</w:t>
      </w:r>
      <w:r>
        <w:rPr>
          <w:rFonts w:hint="eastAsia" w:ascii="Times New Roman" w:hAnsi="Times New Roman" w:cs="Times New Roman"/>
          <w:lang w:val="en-US" w:eastAsia="zh-CN"/>
        </w:rPr>
        <w:t>穿金属管或难燃硬塑料管保护。</w:t>
      </w:r>
    </w:p>
    <w:p w14:paraId="752EFA9F">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9.3</w:t>
      </w:r>
      <w:r>
        <w:rPr>
          <w:rFonts w:hint="eastAsia" w:ascii="Times New Roman" w:hAnsi="Times New Roman" w:cs="Times New Roman"/>
          <w:lang w:val="en-US" w:eastAsia="zh-CN"/>
        </w:rPr>
        <w:t xml:space="preserve">  电动车辆等不应在厂房、仓库、</w:t>
      </w:r>
      <w:r>
        <w:rPr>
          <w:rFonts w:hint="eastAsia" w:cs="Times New Roman"/>
          <w:lang w:val="en-US" w:eastAsia="zh-CN"/>
        </w:rPr>
        <w:t>宿舍等建筑内部停放或</w:t>
      </w:r>
      <w:r>
        <w:rPr>
          <w:rFonts w:hint="eastAsia" w:ascii="Times New Roman" w:hAnsi="Times New Roman" w:cs="Times New Roman"/>
          <w:lang w:val="en-US" w:eastAsia="zh-CN"/>
        </w:rPr>
        <w:t>充电。</w:t>
      </w:r>
    </w:p>
    <w:p w14:paraId="41B6E347">
      <w:pPr>
        <w:pStyle w:val="131"/>
        <w:spacing w:line="240" w:lineRule="auto"/>
        <w:ind w:left="0" w:leftChars="0" w:firstLine="0" w:firstLineChars="0"/>
        <w:rPr>
          <w:rFonts w:hint="eastAsia" w:ascii="黑体" w:hAnsi="黑体" w:eastAsia="黑体" w:cs="黑体"/>
          <w:lang w:val="en-US" w:eastAsia="zh-CN"/>
        </w:rPr>
      </w:pPr>
    </w:p>
    <w:p w14:paraId="4F53FFFF">
      <w:pPr>
        <w:pStyle w:val="130"/>
        <w:spacing w:before="286" w:beforeLines="100" w:after="286" w:afterLines="100"/>
        <w:rPr>
          <w:rFonts w:hint="eastAsia" w:ascii="黑体" w:hAnsi="Times New Roman" w:eastAsia="黑体" w:cs="Times New Roman"/>
          <w:sz w:val="21"/>
          <w:szCs w:val="21"/>
          <w:lang w:val="en-US" w:eastAsia="zh-CN"/>
        </w:rPr>
      </w:pPr>
      <w:bookmarkStart w:id="37" w:name="_Toc783235530"/>
      <w:r>
        <w:rPr>
          <w:rFonts w:hint="eastAsia" w:ascii="黑体" w:hAnsi="Times New Roman" w:eastAsia="黑体" w:cs="Times New Roman"/>
          <w:sz w:val="21"/>
          <w:szCs w:val="21"/>
          <w:lang w:val="en-US" w:eastAsia="zh-CN"/>
        </w:rPr>
        <w:t>10  危险作业管控</w:t>
      </w:r>
      <w:bookmarkEnd w:id="37"/>
    </w:p>
    <w:p w14:paraId="2E06F038">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10.1  危险作业应进行安全交底、风险告知、作业审批和现场监护。</w:t>
      </w:r>
    </w:p>
    <w:p w14:paraId="20580CCA">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10.2  临时动火作业应由企业主要负责人实施审批，作业人员应持有相应的特种作业操作证；动火区应与生产系统隔绝；对设备、管线内介质有安全要求的动火作业，应进行清洗置换、分析合格后方可作业；作业前应清除动火现场及周围的易燃物品，采取有效安全防火措施，配备消防器材。</w:t>
      </w:r>
    </w:p>
    <w:p w14:paraId="36D9BCF4">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〔注：</w:t>
      </w:r>
      <w:r>
        <w:rPr>
          <w:rFonts w:hint="eastAsia" w:cs="Times New Roman"/>
          <w:lang w:val="en-US" w:eastAsia="zh-CN"/>
        </w:rPr>
        <w:t>临时动火作业指</w:t>
      </w:r>
      <w:r>
        <w:rPr>
          <w:rFonts w:hint="default" w:cs="Times New Roman"/>
          <w:lang w:val="en-US" w:eastAsia="zh-CN"/>
        </w:rPr>
        <w:t>在直接或间接产生明火的</w:t>
      </w:r>
      <w:r>
        <w:rPr>
          <w:rFonts w:hint="eastAsia" w:cs="Times New Roman"/>
          <w:lang w:val="en-US" w:eastAsia="zh-CN"/>
        </w:rPr>
        <w:t>固定设备</w:t>
      </w:r>
      <w:r>
        <w:rPr>
          <w:rFonts w:hint="default" w:cs="Times New Roman"/>
          <w:lang w:val="en-US" w:eastAsia="zh-CN"/>
        </w:rPr>
        <w:t>设施以外的禁火区内从事可能产生火焰、火花或炽热表面的非常规</w:t>
      </w:r>
      <w:r>
        <w:rPr>
          <w:rFonts w:hint="eastAsia" w:cs="Times New Roman"/>
          <w:lang w:val="en-US" w:eastAsia="zh-CN"/>
        </w:rPr>
        <w:t>的临时性</w:t>
      </w:r>
      <w:r>
        <w:rPr>
          <w:rFonts w:hint="default" w:cs="Times New Roman"/>
          <w:lang w:val="en-US" w:eastAsia="zh-CN"/>
        </w:rPr>
        <w:t>作业。</w:t>
      </w:r>
      <w:r>
        <w:rPr>
          <w:rFonts w:hint="eastAsia" w:ascii="宋体" w:hAnsi="宋体" w:eastAsia="宋体" w:cs="宋体"/>
          <w:lang w:val="en-US" w:eastAsia="zh-CN"/>
        </w:rPr>
        <w:t>〕</w:t>
      </w:r>
    </w:p>
    <w:p w14:paraId="2D8DA76E">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10.3  有限空间作业应遵守“先通风、再检测、后作业”的要求；对存在中毒和窒息等风险的有限空间作业，应由主要负责人或者其书面委托的人员进行审批。</w:t>
      </w:r>
    </w:p>
    <w:p w14:paraId="1E7A0323">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10.4  高处作业应落实安全网、防护栏等工程措施；作业人员应持有相应的特种作业操作证，规范佩戴劳动防护用品。</w:t>
      </w:r>
    </w:p>
    <w:p w14:paraId="5E860786">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10.5  检维修存在交叉作业可能的，应明确各自责任，企业应派人协调管理。</w:t>
      </w:r>
    </w:p>
    <w:p w14:paraId="2980FB26">
      <w:pPr>
        <w:pStyle w:val="131"/>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10.6  委外作业应签订安全管理协议，确认作业单位和作业人员的资质、资格以及配备的劳动防护用品。</w:t>
      </w:r>
    </w:p>
    <w:p w14:paraId="1E63CADF">
      <w:pPr>
        <w:pStyle w:val="131"/>
        <w:spacing w:line="240" w:lineRule="auto"/>
        <w:ind w:left="0" w:leftChars="0" w:firstLine="0" w:firstLineChars="0"/>
        <w:rPr>
          <w:rFonts w:hint="eastAsia" w:ascii="黑体" w:hAnsi="黑体" w:eastAsia="黑体" w:cs="黑体"/>
          <w:lang w:val="en-US" w:eastAsia="zh-CN"/>
        </w:rPr>
      </w:pPr>
    </w:p>
    <w:p w14:paraId="42995D71">
      <w:pPr>
        <w:pStyle w:val="130"/>
        <w:spacing w:before="286" w:beforeLines="100" w:after="286" w:afterLines="100"/>
        <w:rPr>
          <w:rFonts w:hint="eastAsia" w:ascii="黑体" w:hAnsi="Times New Roman" w:eastAsia="黑体" w:cs="Times New Roman"/>
          <w:sz w:val="21"/>
          <w:szCs w:val="21"/>
          <w:lang w:val="en-US" w:eastAsia="zh-CN"/>
        </w:rPr>
      </w:pPr>
      <w:bookmarkStart w:id="38" w:name="_Toc1912280247"/>
      <w:r>
        <w:rPr>
          <w:rFonts w:hint="eastAsia" w:ascii="黑体" w:hAnsi="Times New Roman" w:eastAsia="黑体" w:cs="Times New Roman"/>
          <w:sz w:val="21"/>
          <w:szCs w:val="21"/>
          <w:lang w:val="en-US" w:eastAsia="zh-CN"/>
        </w:rPr>
        <w:t>11  危险化学品使用</w:t>
      </w:r>
      <w:bookmarkEnd w:id="38"/>
    </w:p>
    <w:p w14:paraId="62DA23EE">
      <w:pPr>
        <w:pStyle w:val="131"/>
        <w:spacing w:line="240" w:lineRule="auto"/>
        <w:ind w:left="0" w:leftChars="0" w:firstLine="0" w:firstLineChars="0"/>
        <w:rPr>
          <w:rFonts w:hint="eastAsia" w:ascii="黑体" w:hAnsi="黑体" w:eastAsia="黑体" w:cs="黑体"/>
          <w:lang w:val="en-US" w:eastAsia="zh-CN"/>
        </w:rPr>
      </w:pPr>
    </w:p>
    <w:p w14:paraId="67842DF5">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11.1</w:t>
      </w:r>
      <w:r>
        <w:rPr>
          <w:rFonts w:hint="eastAsia" w:ascii="Times New Roman" w:hAnsi="Times New Roman" w:cs="Times New Roman"/>
          <w:lang w:val="en-US" w:eastAsia="zh-CN"/>
        </w:rPr>
        <w:t xml:space="preserve">  企业在采购</w:t>
      </w:r>
      <w:r>
        <w:rPr>
          <w:rFonts w:hint="eastAsia" w:cs="Times New Roman"/>
          <w:lang w:val="en-US" w:eastAsia="zh-CN"/>
        </w:rPr>
        <w:t>危险化学品</w:t>
      </w:r>
      <w:r>
        <w:rPr>
          <w:rFonts w:hint="eastAsia" w:ascii="Times New Roman" w:hAnsi="Times New Roman" w:cs="Times New Roman"/>
          <w:lang w:val="en-US" w:eastAsia="zh-CN"/>
        </w:rPr>
        <w:t>时，应选择具有</w:t>
      </w:r>
      <w:r>
        <w:rPr>
          <w:rFonts w:hint="eastAsia" w:cs="Times New Roman"/>
          <w:lang w:val="en-US" w:eastAsia="zh-CN"/>
        </w:rPr>
        <w:t>资质</w:t>
      </w:r>
      <w:r>
        <w:rPr>
          <w:rFonts w:hint="eastAsia" w:ascii="Times New Roman" w:hAnsi="Times New Roman" w:cs="Times New Roman"/>
          <w:lang w:val="en-US" w:eastAsia="zh-CN"/>
        </w:rPr>
        <w:t>的单位</w:t>
      </w:r>
      <w:r>
        <w:rPr>
          <w:rFonts w:hint="eastAsia" w:cs="Times New Roman"/>
          <w:lang w:val="en-US" w:eastAsia="zh-CN"/>
        </w:rPr>
        <w:t>，并保留</w:t>
      </w:r>
      <w:r>
        <w:rPr>
          <w:rFonts w:hint="eastAsia" w:ascii="Times New Roman" w:hAnsi="Times New Roman" w:cs="Times New Roman"/>
          <w:lang w:val="en-US" w:eastAsia="zh-CN"/>
        </w:rPr>
        <w:t>化学品安全技术说明书和化学品安全标签。涉及购买许可的</w:t>
      </w:r>
      <w:r>
        <w:rPr>
          <w:rFonts w:hint="eastAsia" w:cs="Times New Roman"/>
          <w:lang w:val="en-US" w:eastAsia="zh-CN"/>
        </w:rPr>
        <w:t>危险化学品</w:t>
      </w:r>
      <w:r>
        <w:rPr>
          <w:rFonts w:hint="eastAsia" w:ascii="Times New Roman" w:hAnsi="Times New Roman" w:cs="Times New Roman"/>
          <w:lang w:val="en-US" w:eastAsia="zh-CN"/>
        </w:rPr>
        <w:t>，</w:t>
      </w:r>
      <w:r>
        <w:rPr>
          <w:rFonts w:hint="eastAsia" w:cs="Times New Roman"/>
          <w:lang w:val="en-US" w:eastAsia="zh-CN"/>
        </w:rPr>
        <w:t>应</w:t>
      </w:r>
      <w:r>
        <w:rPr>
          <w:rFonts w:hint="eastAsia" w:ascii="Times New Roman" w:hAnsi="Times New Roman" w:cs="Times New Roman"/>
          <w:lang w:val="en-US" w:eastAsia="zh-CN"/>
        </w:rPr>
        <w:t>获得购买许可证</w:t>
      </w:r>
      <w:r>
        <w:rPr>
          <w:rFonts w:hint="eastAsia" w:cs="Times New Roman"/>
          <w:lang w:val="en-US" w:eastAsia="zh-CN"/>
        </w:rPr>
        <w:t>。</w:t>
      </w:r>
    </w:p>
    <w:p w14:paraId="10F80C6B">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11.2</w:t>
      </w:r>
      <w:r>
        <w:rPr>
          <w:rFonts w:hint="eastAsia" w:ascii="Times New Roman" w:hAnsi="Times New Roman" w:cs="Times New Roman"/>
          <w:lang w:val="en-US" w:eastAsia="zh-CN"/>
        </w:rPr>
        <w:t xml:space="preserve">  企业应建立健全</w:t>
      </w:r>
      <w:r>
        <w:rPr>
          <w:rFonts w:hint="eastAsia" w:cs="Times New Roman"/>
          <w:lang w:val="en-US" w:eastAsia="zh-CN"/>
        </w:rPr>
        <w:t>危险化学品</w:t>
      </w:r>
      <w:r>
        <w:rPr>
          <w:rFonts w:hint="eastAsia" w:ascii="Times New Roman" w:hAnsi="Times New Roman" w:cs="Times New Roman"/>
          <w:lang w:val="en-US" w:eastAsia="zh-CN"/>
        </w:rPr>
        <w:t>购买、出入库、使用、销毁登记制度和安全操作规程。</w:t>
      </w:r>
    </w:p>
    <w:p w14:paraId="16147B2D">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11.3</w:t>
      </w:r>
      <w:r>
        <w:rPr>
          <w:rFonts w:hint="eastAsia" w:ascii="Times New Roman" w:hAnsi="Times New Roman" w:cs="Times New Roman"/>
          <w:lang w:val="en-US" w:eastAsia="zh-CN"/>
        </w:rPr>
        <w:t xml:space="preserve">  危险化学品装卸、储存、使用场所设置相应的易燃易爆、有毒有害气体（含蒸汽）浓度监测报警装置，并按规定设置联锁机械通风装置</w:t>
      </w:r>
      <w:r>
        <w:rPr>
          <w:rFonts w:hint="eastAsia" w:cs="Times New Roman"/>
          <w:lang w:val="en-US" w:eastAsia="zh-CN"/>
        </w:rPr>
        <w:t>。</w:t>
      </w:r>
    </w:p>
    <w:p w14:paraId="67A44D18">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11.4</w:t>
      </w:r>
      <w:r>
        <w:rPr>
          <w:rFonts w:hint="eastAsia" w:ascii="Times New Roman" w:hAnsi="Times New Roman" w:cs="Times New Roman"/>
          <w:lang w:val="en-US" w:eastAsia="zh-CN"/>
        </w:rPr>
        <w:t xml:space="preserve">  企业应根据危险化学品的种类和危险特性分区、分类、分库贮存，</w:t>
      </w:r>
      <w:r>
        <w:rPr>
          <w:rFonts w:hint="eastAsia" w:cs="Times New Roman"/>
          <w:lang w:val="en-US" w:eastAsia="zh-CN"/>
        </w:rPr>
        <w:t>不应</w:t>
      </w:r>
      <w:r>
        <w:rPr>
          <w:rFonts w:hint="eastAsia" w:ascii="Times New Roman" w:hAnsi="Times New Roman" w:cs="Times New Roman"/>
          <w:lang w:val="en-US" w:eastAsia="zh-CN"/>
        </w:rPr>
        <w:t>超量、超品种储存</w:t>
      </w:r>
      <w:r>
        <w:rPr>
          <w:rFonts w:hint="eastAsia" w:cs="Times New Roman"/>
          <w:lang w:val="en-US" w:eastAsia="zh-CN"/>
        </w:rPr>
        <w:t>，</w:t>
      </w:r>
      <w:r>
        <w:rPr>
          <w:rFonts w:hint="eastAsia" w:ascii="Times New Roman" w:hAnsi="Times New Roman" w:cs="Times New Roman"/>
          <w:lang w:val="en-US" w:eastAsia="zh-CN"/>
        </w:rPr>
        <w:t>相互禁忌的物质</w:t>
      </w:r>
      <w:r>
        <w:rPr>
          <w:rFonts w:hint="eastAsia" w:cs="Times New Roman"/>
          <w:lang w:val="en-US" w:eastAsia="zh-CN"/>
        </w:rPr>
        <w:t>不应</w:t>
      </w:r>
      <w:r>
        <w:rPr>
          <w:rFonts w:hint="eastAsia" w:ascii="Times New Roman" w:hAnsi="Times New Roman" w:cs="Times New Roman"/>
          <w:lang w:val="en-US" w:eastAsia="zh-CN"/>
        </w:rPr>
        <w:t>混存混放。</w:t>
      </w:r>
    </w:p>
    <w:p w14:paraId="6A5F1911">
      <w:pPr>
        <w:pStyle w:val="131"/>
        <w:spacing w:line="240" w:lineRule="auto"/>
        <w:ind w:left="0" w:leftChars="0" w:firstLine="0" w:firstLineChars="0"/>
        <w:rPr>
          <w:rFonts w:hint="default" w:ascii="Times New Roman" w:hAnsi="Times New Roman" w:cs="Times New Roman"/>
          <w:lang w:val="en-US" w:eastAsia="zh-CN"/>
        </w:rPr>
      </w:pPr>
      <w:r>
        <w:rPr>
          <w:rFonts w:hint="eastAsia" w:ascii="黑体" w:hAnsi="黑体" w:eastAsia="黑体" w:cs="黑体"/>
          <w:lang w:val="en-US" w:eastAsia="zh-CN"/>
        </w:rPr>
        <w:t xml:space="preserve">11.5  </w:t>
      </w:r>
      <w:r>
        <w:rPr>
          <w:rFonts w:hint="eastAsia" w:ascii="Times New Roman" w:hAnsi="Times New Roman" w:cs="Times New Roman"/>
          <w:lang w:val="en-US" w:eastAsia="zh-CN"/>
        </w:rPr>
        <w:t>企业</w:t>
      </w:r>
      <w:r>
        <w:rPr>
          <w:rFonts w:hint="eastAsia" w:cs="Times New Roman"/>
          <w:lang w:val="en-US" w:eastAsia="zh-CN"/>
        </w:rPr>
        <w:t>作业</w:t>
      </w:r>
      <w:r>
        <w:rPr>
          <w:rFonts w:hint="eastAsia" w:ascii="Times New Roman" w:hAnsi="Times New Roman" w:cs="Times New Roman"/>
          <w:lang w:val="en-US" w:eastAsia="zh-CN"/>
        </w:rPr>
        <w:t>场所临时存放的</w:t>
      </w:r>
      <w:r>
        <w:rPr>
          <w:rFonts w:hint="eastAsia" w:cs="Times New Roman"/>
          <w:lang w:val="en-US" w:eastAsia="zh-CN"/>
        </w:rPr>
        <w:t>危险化学品</w:t>
      </w:r>
      <w:r>
        <w:rPr>
          <w:rFonts w:hint="eastAsia" w:cs="Times New Roman"/>
          <w:color w:val="000000" w:themeColor="text1"/>
          <w:lang w:val="en-US" w:eastAsia="zh-CN"/>
          <w14:textFill>
            <w14:solidFill>
              <w14:schemeClr w14:val="tx1"/>
            </w14:solidFill>
          </w14:textFill>
        </w:rPr>
        <w:t>应专柜存放或</w:t>
      </w:r>
      <w:r>
        <w:rPr>
          <w:rFonts w:hint="eastAsia" w:ascii="Times New Roman" w:hAnsi="Times New Roman" w:cs="Times New Roman"/>
          <w:color w:val="000000" w:themeColor="text1"/>
          <w:lang w:val="en-US" w:eastAsia="zh-CN"/>
          <w14:textFill>
            <w14:solidFill>
              <w14:schemeClr w14:val="tx1"/>
            </w14:solidFill>
          </w14:textFill>
        </w:rPr>
        <w:t>划定专门</w:t>
      </w:r>
      <w:r>
        <w:rPr>
          <w:rFonts w:hint="eastAsia" w:cs="Times New Roman"/>
          <w:color w:val="000000" w:themeColor="text1"/>
          <w:lang w:val="en-US" w:eastAsia="zh-CN"/>
          <w14:textFill>
            <w14:solidFill>
              <w14:schemeClr w14:val="tx1"/>
            </w14:solidFill>
          </w14:textFill>
        </w:rPr>
        <w:t>区域</w:t>
      </w:r>
      <w:r>
        <w:rPr>
          <w:rFonts w:hint="eastAsia" w:ascii="Times New Roman" w:hAnsi="Times New Roman" w:cs="Times New Roman"/>
          <w:color w:val="000000" w:themeColor="text1"/>
          <w:lang w:val="en-US" w:eastAsia="zh-CN"/>
          <w14:textFill>
            <w14:solidFill>
              <w14:schemeClr w14:val="tx1"/>
            </w14:solidFill>
          </w14:textFill>
        </w:rPr>
        <w:t>规范存放</w:t>
      </w:r>
      <w:r>
        <w:rPr>
          <w:rFonts w:hint="eastAsia" w:ascii="Times New Roman" w:hAnsi="Times New Roman" w:cs="Times New Roman"/>
          <w:lang w:val="en-US" w:eastAsia="zh-CN"/>
        </w:rPr>
        <w:t>，且存放量</w:t>
      </w:r>
      <w:r>
        <w:rPr>
          <w:rFonts w:hint="eastAsia" w:cs="Times New Roman"/>
          <w:lang w:val="en-US" w:eastAsia="zh-CN"/>
        </w:rPr>
        <w:t>不应</w:t>
      </w:r>
      <w:r>
        <w:rPr>
          <w:rFonts w:hint="eastAsia" w:ascii="Times New Roman" w:hAnsi="Times New Roman" w:cs="Times New Roman"/>
          <w:lang w:val="en-US" w:eastAsia="zh-CN"/>
        </w:rPr>
        <w:t>超过</w:t>
      </w:r>
      <w:r>
        <w:rPr>
          <w:rFonts w:hint="eastAsia" w:cs="Times New Roman"/>
          <w:lang w:val="en-US" w:eastAsia="zh-CN"/>
        </w:rPr>
        <w:t>当班用量或</w:t>
      </w:r>
      <w:r>
        <w:rPr>
          <w:rFonts w:hint="eastAsia" w:ascii="Times New Roman" w:hAnsi="Times New Roman" w:cs="Times New Roman"/>
          <w:lang w:val="en-US" w:eastAsia="zh-CN"/>
        </w:rPr>
        <w:t>一昼夜用量</w:t>
      </w:r>
      <w:r>
        <w:rPr>
          <w:rFonts w:hint="eastAsia" w:cs="Times New Roman"/>
          <w:lang w:val="en-US" w:eastAsia="zh-CN"/>
        </w:rPr>
        <w:t>；</w:t>
      </w:r>
      <w:r>
        <w:rPr>
          <w:rFonts w:hint="eastAsia" w:ascii="Times New Roman" w:hAnsi="Times New Roman" w:cs="Times New Roman"/>
          <w:lang w:val="en-US" w:eastAsia="zh-CN"/>
        </w:rPr>
        <w:t>企业未使用完的</w:t>
      </w:r>
      <w:r>
        <w:rPr>
          <w:rFonts w:hint="eastAsia" w:cs="Times New Roman"/>
          <w:lang w:val="en-US" w:eastAsia="zh-CN"/>
        </w:rPr>
        <w:t>危险化学品</w:t>
      </w:r>
      <w:r>
        <w:rPr>
          <w:rFonts w:hint="eastAsia" w:ascii="Times New Roman" w:hAnsi="Times New Roman" w:cs="Times New Roman"/>
          <w:lang w:val="en-US" w:eastAsia="zh-CN"/>
        </w:rPr>
        <w:t>，应规范</w:t>
      </w:r>
      <w:r>
        <w:rPr>
          <w:rFonts w:hint="eastAsia" w:cs="Times New Roman"/>
          <w:lang w:val="en-US" w:eastAsia="zh-CN"/>
        </w:rPr>
        <w:t>存放、妥善处置</w:t>
      </w:r>
      <w:r>
        <w:rPr>
          <w:rFonts w:hint="eastAsia" w:ascii="Times New Roman" w:hAnsi="Times New Roman" w:cs="Times New Roman"/>
          <w:lang w:val="en-US" w:eastAsia="zh-CN"/>
        </w:rPr>
        <w:t>。</w:t>
      </w:r>
    </w:p>
    <w:p w14:paraId="3D9B7D90">
      <w:pPr>
        <w:pStyle w:val="130"/>
        <w:spacing w:before="286" w:beforeLines="100" w:after="286" w:afterLines="100"/>
        <w:rPr>
          <w:rFonts w:hint="eastAsia" w:ascii="黑体" w:hAnsi="Times New Roman" w:eastAsia="黑体" w:cs="Times New Roman"/>
          <w:sz w:val="21"/>
          <w:szCs w:val="21"/>
          <w:lang w:val="en-US" w:eastAsia="zh-CN"/>
        </w:rPr>
      </w:pPr>
      <w:bookmarkStart w:id="39" w:name="_Toc453850327"/>
      <w:r>
        <w:rPr>
          <w:rFonts w:hint="eastAsia" w:ascii="黑体" w:hAnsi="Times New Roman" w:eastAsia="黑体" w:cs="Times New Roman"/>
          <w:sz w:val="21"/>
          <w:szCs w:val="21"/>
          <w:lang w:val="en-US" w:eastAsia="zh-CN"/>
        </w:rPr>
        <w:t>12  应急处置与疏散演练</w:t>
      </w:r>
      <w:bookmarkEnd w:id="39"/>
    </w:p>
    <w:p w14:paraId="38334E9B">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12.1</w:t>
      </w:r>
      <w:r>
        <w:rPr>
          <w:rFonts w:hint="eastAsia" w:ascii="Times New Roman" w:hAnsi="Times New Roman" w:cs="Times New Roman"/>
          <w:lang w:val="en-US" w:eastAsia="zh-CN"/>
        </w:rPr>
        <w:t xml:space="preserve">  企业应</w:t>
      </w:r>
      <w:r>
        <w:rPr>
          <w:rFonts w:hint="eastAsia" w:cs="Times New Roman"/>
          <w:lang w:val="en-US" w:eastAsia="zh-CN"/>
        </w:rPr>
        <w:t>明确应急处置基本</w:t>
      </w:r>
      <w:r>
        <w:rPr>
          <w:rFonts w:hint="eastAsia" w:ascii="Times New Roman" w:hAnsi="Times New Roman" w:cs="Times New Roman"/>
          <w:lang w:val="en-US" w:eastAsia="zh-CN"/>
        </w:rPr>
        <w:t>流程、责任人、</w:t>
      </w:r>
      <w:r>
        <w:rPr>
          <w:rFonts w:hint="eastAsia" w:ascii="Times New Roman" w:hAnsi="Times New Roman" w:cs="Times New Roman"/>
          <w:color w:val="000000" w:themeColor="text1"/>
          <w:lang w:val="en-US" w:eastAsia="zh-CN"/>
          <w14:textFill>
            <w14:solidFill>
              <w14:schemeClr w14:val="tx1"/>
            </w14:solidFill>
          </w14:textFill>
        </w:rPr>
        <w:t>职责</w:t>
      </w:r>
      <w:r>
        <w:rPr>
          <w:rFonts w:hint="eastAsia" w:cs="Times New Roman"/>
          <w:color w:val="000000" w:themeColor="text1"/>
          <w:lang w:val="en-US" w:eastAsia="zh-CN"/>
          <w14:textFill>
            <w14:solidFill>
              <w14:schemeClr w14:val="tx1"/>
            </w14:solidFill>
          </w14:textFill>
        </w:rPr>
        <w:t>分工</w:t>
      </w:r>
      <w:r>
        <w:rPr>
          <w:rFonts w:hint="eastAsia" w:ascii="Times New Roman" w:hAnsi="Times New Roman" w:cs="Times New Roman"/>
          <w:lang w:val="en-US" w:eastAsia="zh-CN"/>
        </w:rPr>
        <w:t>、联系方式等。</w:t>
      </w:r>
    </w:p>
    <w:p w14:paraId="61712A3D">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12.2</w:t>
      </w:r>
      <w:r>
        <w:rPr>
          <w:rFonts w:hint="eastAsia" w:ascii="Times New Roman" w:hAnsi="Times New Roman" w:cs="Times New Roman"/>
          <w:lang w:val="en-US" w:eastAsia="zh-CN"/>
        </w:rPr>
        <w:t xml:space="preserve">  企业应</w:t>
      </w:r>
      <w:r>
        <w:rPr>
          <w:rFonts w:hint="eastAsia" w:cs="Times New Roman"/>
          <w:lang w:val="en-US" w:eastAsia="zh-CN"/>
        </w:rPr>
        <w:t>每年至少组织一次</w:t>
      </w:r>
      <w:r>
        <w:rPr>
          <w:rFonts w:hint="eastAsia" w:ascii="Times New Roman" w:hAnsi="Times New Roman" w:cs="Times New Roman"/>
          <w:lang w:val="en-US" w:eastAsia="zh-CN"/>
        </w:rPr>
        <w:t>应急逃生演练</w:t>
      </w:r>
      <w:r>
        <w:rPr>
          <w:rFonts w:hint="eastAsia" w:cs="Times New Roman"/>
          <w:lang w:val="en-US" w:eastAsia="zh-CN"/>
        </w:rPr>
        <w:t>；</w:t>
      </w:r>
      <w:r>
        <w:rPr>
          <w:rFonts w:hint="eastAsia" w:ascii="Times New Roman" w:hAnsi="Times New Roman" w:cs="Times New Roman"/>
          <w:lang w:val="en-US" w:eastAsia="zh-CN"/>
        </w:rPr>
        <w:t>劳动密集型企业应每季度至少组织</w:t>
      </w:r>
      <w:r>
        <w:rPr>
          <w:rFonts w:hint="eastAsia" w:cs="Times New Roman"/>
          <w:lang w:val="en-US" w:eastAsia="zh-CN"/>
        </w:rPr>
        <w:t>一</w:t>
      </w:r>
      <w:r>
        <w:rPr>
          <w:rFonts w:hint="eastAsia" w:ascii="Times New Roman" w:hAnsi="Times New Roman" w:cs="Times New Roman"/>
          <w:lang w:val="en-US" w:eastAsia="zh-CN"/>
        </w:rPr>
        <w:t>次全员逃生演练。</w:t>
      </w:r>
    </w:p>
    <w:p w14:paraId="7406EDC6">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12.3</w:t>
      </w:r>
      <w:r>
        <w:rPr>
          <w:rFonts w:hint="eastAsia" w:ascii="Times New Roman" w:hAnsi="Times New Roman" w:cs="Times New Roman"/>
          <w:lang w:val="en-US" w:eastAsia="zh-CN"/>
        </w:rPr>
        <w:t xml:space="preserve">  企业</w:t>
      </w:r>
      <w:r>
        <w:rPr>
          <w:rFonts w:hint="eastAsia" w:cs="Times New Roman"/>
          <w:lang w:val="en-US" w:eastAsia="zh-CN"/>
        </w:rPr>
        <w:t>应</w:t>
      </w:r>
      <w:r>
        <w:rPr>
          <w:rFonts w:hint="eastAsia" w:ascii="Times New Roman" w:hAnsi="Times New Roman" w:cs="Times New Roman"/>
          <w:lang w:val="en-US" w:eastAsia="zh-CN"/>
        </w:rPr>
        <w:t>按照规定设置应急设施，配备应急装备，储备应急物资，并定期检查、维护、保养，确保其完好、可靠。</w:t>
      </w:r>
    </w:p>
    <w:p w14:paraId="5EE8D4A8">
      <w:pPr>
        <w:pStyle w:val="131"/>
        <w:spacing w:line="240" w:lineRule="auto"/>
        <w:ind w:left="0" w:leftChars="0" w:firstLine="0" w:firstLineChars="0"/>
        <w:rPr>
          <w:rFonts w:hint="eastAsia" w:ascii="Times New Roman" w:hAnsi="Times New Roman" w:cs="Times New Roman"/>
          <w:lang w:val="en-US" w:eastAsia="zh-CN"/>
        </w:rPr>
      </w:pPr>
    </w:p>
    <w:p w14:paraId="673409D6">
      <w:pPr>
        <w:pStyle w:val="130"/>
        <w:spacing w:before="286" w:beforeLines="100" w:after="286" w:afterLines="100"/>
        <w:rPr>
          <w:rFonts w:hint="eastAsia" w:ascii="黑体" w:hAnsi="Times New Roman" w:eastAsia="黑体" w:cs="Times New Roman"/>
          <w:sz w:val="21"/>
          <w:szCs w:val="21"/>
          <w:lang w:val="en-US" w:eastAsia="zh-CN"/>
        </w:rPr>
      </w:pPr>
      <w:bookmarkStart w:id="40" w:name="_Toc531745"/>
      <w:r>
        <w:rPr>
          <w:rFonts w:hint="eastAsia" w:ascii="黑体" w:hAnsi="Times New Roman" w:eastAsia="黑体" w:cs="Times New Roman"/>
          <w:sz w:val="21"/>
          <w:szCs w:val="21"/>
          <w:lang w:val="en-US" w:eastAsia="zh-CN"/>
        </w:rPr>
        <w:t>13  内部报告奖励机制</w:t>
      </w:r>
      <w:bookmarkEnd w:id="40"/>
    </w:p>
    <w:p w14:paraId="356CEF95">
      <w:pPr>
        <w:pStyle w:val="131"/>
        <w:spacing w:line="240" w:lineRule="auto"/>
        <w:ind w:left="0" w:leftChars="0" w:firstLine="0" w:firstLineChars="0"/>
        <w:rPr>
          <w:rFonts w:hint="eastAsia" w:ascii="Times New Roman" w:hAnsi="Times New Roman" w:cs="Times New Roman" w:eastAsiaTheme="minorEastAsia"/>
          <w:lang w:val="en-US" w:eastAsia="zh-CN"/>
        </w:rPr>
      </w:pPr>
      <w:r>
        <w:rPr>
          <w:rFonts w:hint="eastAsia" w:ascii="黑体" w:hAnsi="黑体" w:eastAsia="黑体" w:cs="黑体"/>
          <w:lang w:val="en-US" w:eastAsia="zh-CN"/>
        </w:rPr>
        <w:t>13.1</w:t>
      </w:r>
      <w:r>
        <w:rPr>
          <w:rFonts w:hint="eastAsia" w:ascii="Times New Roman" w:hAnsi="Times New Roman" w:cs="Times New Roman"/>
          <w:lang w:val="en-US" w:eastAsia="zh-CN"/>
        </w:rPr>
        <w:t xml:space="preserve">  企业应</w:t>
      </w:r>
      <w:r>
        <w:rPr>
          <w:rFonts w:hint="eastAsia" w:ascii="Times New Roman" w:hAnsi="Times New Roman" w:cs="Times New Roman" w:eastAsiaTheme="minorEastAsia"/>
          <w:i w:val="0"/>
          <w:iCs w:val="0"/>
          <w:caps w:val="0"/>
          <w:color w:val="auto"/>
          <w:spacing w:val="0"/>
          <w:sz w:val="21"/>
          <w:szCs w:val="21"/>
          <w:shd w:val="clear" w:fill="auto"/>
        </w:rPr>
        <w:t>建立完善事故隐患内部报告奖励机制</w:t>
      </w:r>
      <w:r>
        <w:rPr>
          <w:rFonts w:hint="eastAsia" w:ascii="Times New Roman" w:hAnsi="Times New Roman" w:cs="Times New Roman"/>
          <w:i w:val="0"/>
          <w:iCs w:val="0"/>
          <w:caps w:val="0"/>
          <w:spacing w:val="0"/>
          <w:sz w:val="21"/>
          <w:szCs w:val="21"/>
          <w:shd w:val="clear"/>
          <w:lang w:eastAsia="zh-CN"/>
        </w:rPr>
        <w:t>，鼓励</w:t>
      </w:r>
      <w:r>
        <w:rPr>
          <w:rFonts w:hint="eastAsia" w:cs="Times New Roman"/>
          <w:i w:val="0"/>
          <w:iCs w:val="0"/>
          <w:caps w:val="0"/>
          <w:spacing w:val="0"/>
          <w:sz w:val="21"/>
          <w:szCs w:val="21"/>
          <w:shd w:val="clear"/>
          <w:lang w:eastAsia="zh-CN"/>
        </w:rPr>
        <w:t>员工</w:t>
      </w:r>
      <w:r>
        <w:rPr>
          <w:rFonts w:hint="eastAsia" w:ascii="Times New Roman" w:hAnsi="Times New Roman" w:cs="Times New Roman"/>
          <w:i w:val="0"/>
          <w:iCs w:val="0"/>
          <w:caps w:val="0"/>
          <w:spacing w:val="0"/>
          <w:sz w:val="21"/>
          <w:szCs w:val="21"/>
          <w:shd w:val="clear"/>
          <w:lang w:eastAsia="zh-CN"/>
        </w:rPr>
        <w:t>提出安全生产合理化建议。</w:t>
      </w:r>
    </w:p>
    <w:p w14:paraId="765A2AEF">
      <w:pPr>
        <w:pStyle w:val="131"/>
        <w:spacing w:line="240" w:lineRule="auto"/>
        <w:ind w:left="0" w:leftChars="0" w:firstLine="0" w:firstLineChars="0"/>
        <w:rPr>
          <w:rFonts w:hint="eastAsia" w:ascii="Times New Roman" w:hAnsi="Times New Roman" w:cs="Times New Roman" w:eastAsiaTheme="minorEastAsia"/>
          <w:lang w:val="en-US" w:eastAsia="zh-CN"/>
        </w:rPr>
      </w:pPr>
      <w:r>
        <w:rPr>
          <w:rFonts w:hint="eastAsia" w:ascii="黑体" w:hAnsi="黑体" w:eastAsia="黑体" w:cs="黑体"/>
          <w:lang w:val="en-US" w:eastAsia="zh-CN"/>
        </w:rPr>
        <w:t>13.2</w:t>
      </w:r>
      <w:r>
        <w:rPr>
          <w:rFonts w:hint="eastAsia" w:ascii="Times New Roman" w:hAnsi="Times New Roman" w:cs="Times New Roman"/>
          <w:lang w:val="en-US" w:eastAsia="zh-CN"/>
        </w:rPr>
        <w:t xml:space="preserve">  </w:t>
      </w:r>
      <w:r>
        <w:rPr>
          <w:rFonts w:hint="eastAsia" w:ascii="Times New Roman" w:hAnsi="Times New Roman" w:cs="Times New Roman" w:eastAsiaTheme="minorEastAsia"/>
          <w:i w:val="0"/>
          <w:iCs w:val="0"/>
          <w:caps w:val="0"/>
          <w:color w:val="auto"/>
          <w:spacing w:val="0"/>
          <w:sz w:val="21"/>
          <w:szCs w:val="21"/>
          <w:shd w:val="clear" w:fill="auto"/>
        </w:rPr>
        <w:t>对</w:t>
      </w:r>
      <w:r>
        <w:rPr>
          <w:rFonts w:hint="eastAsia" w:cs="Times New Roman"/>
          <w:i w:val="0"/>
          <w:iCs w:val="0"/>
          <w:caps w:val="0"/>
          <w:color w:val="auto"/>
          <w:spacing w:val="0"/>
          <w:sz w:val="21"/>
          <w:szCs w:val="21"/>
          <w:shd w:val="clear" w:fill="auto"/>
          <w:lang w:eastAsia="zh-CN"/>
        </w:rPr>
        <w:t>员工</w:t>
      </w:r>
      <w:r>
        <w:rPr>
          <w:rFonts w:hint="eastAsia" w:ascii="Times New Roman" w:hAnsi="Times New Roman" w:cs="Times New Roman" w:eastAsiaTheme="minorEastAsia"/>
          <w:i w:val="0"/>
          <w:iCs w:val="0"/>
          <w:caps w:val="0"/>
          <w:color w:val="auto"/>
          <w:spacing w:val="0"/>
          <w:sz w:val="21"/>
          <w:szCs w:val="21"/>
          <w:shd w:val="clear" w:fill="auto"/>
        </w:rPr>
        <w:t>报告的事故隐患</w:t>
      </w:r>
      <w:r>
        <w:rPr>
          <w:rFonts w:hint="eastAsia" w:ascii="Times New Roman" w:hAnsi="Times New Roman" w:cs="Times New Roman"/>
          <w:i w:val="0"/>
          <w:iCs w:val="0"/>
          <w:caps w:val="0"/>
          <w:spacing w:val="0"/>
          <w:sz w:val="21"/>
          <w:szCs w:val="21"/>
          <w:shd w:val="clear"/>
          <w:lang w:eastAsia="zh-CN"/>
        </w:rPr>
        <w:t>和提出的合理化建议</w:t>
      </w:r>
      <w:r>
        <w:rPr>
          <w:rFonts w:hint="eastAsia" w:ascii="Times New Roman" w:hAnsi="Times New Roman" w:cs="Times New Roman" w:eastAsiaTheme="minorEastAsia"/>
          <w:i w:val="0"/>
          <w:iCs w:val="0"/>
          <w:caps w:val="0"/>
          <w:color w:val="auto"/>
          <w:spacing w:val="0"/>
          <w:sz w:val="21"/>
          <w:szCs w:val="21"/>
          <w:shd w:val="clear" w:fill="auto"/>
        </w:rPr>
        <w:t>，</w:t>
      </w:r>
      <w:r>
        <w:rPr>
          <w:rFonts w:hint="eastAsia" w:ascii="Times New Roman" w:hAnsi="Times New Roman" w:cs="Times New Roman"/>
          <w:i w:val="0"/>
          <w:iCs w:val="0"/>
          <w:caps w:val="0"/>
          <w:spacing w:val="0"/>
          <w:sz w:val="21"/>
          <w:szCs w:val="21"/>
          <w:shd w:val="clear"/>
          <w:lang w:eastAsia="zh-CN"/>
        </w:rPr>
        <w:t>企业应及时组织核查整改。</w:t>
      </w:r>
    </w:p>
    <w:p w14:paraId="1851791A">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13.3</w:t>
      </w:r>
      <w:r>
        <w:rPr>
          <w:rFonts w:hint="eastAsia" w:ascii="Times New Roman" w:hAnsi="Times New Roman" w:cs="Times New Roman"/>
          <w:lang w:val="en-US" w:eastAsia="zh-CN"/>
        </w:rPr>
        <w:t xml:space="preserve">  企业应对报告事故隐患</w:t>
      </w:r>
      <w:r>
        <w:rPr>
          <w:rFonts w:hint="eastAsia" w:ascii="Times New Roman" w:hAnsi="Times New Roman" w:cs="Times New Roman"/>
          <w:i w:val="0"/>
          <w:iCs w:val="0"/>
          <w:caps w:val="0"/>
          <w:spacing w:val="0"/>
          <w:sz w:val="21"/>
          <w:szCs w:val="21"/>
          <w:shd w:val="clear"/>
          <w:lang w:eastAsia="zh-CN"/>
        </w:rPr>
        <w:t>和提出合理化建议</w:t>
      </w:r>
      <w:r>
        <w:rPr>
          <w:rFonts w:hint="eastAsia" w:cs="Times New Roman"/>
          <w:i w:val="0"/>
          <w:iCs w:val="0"/>
          <w:caps w:val="0"/>
          <w:spacing w:val="0"/>
          <w:sz w:val="21"/>
          <w:szCs w:val="21"/>
          <w:shd w:val="clear"/>
          <w:lang w:eastAsia="zh-CN"/>
        </w:rPr>
        <w:t>的员工</w:t>
      </w:r>
      <w:r>
        <w:rPr>
          <w:rFonts w:hint="eastAsia" w:cs="Times New Roman"/>
          <w:lang w:val="en-US" w:eastAsia="zh-CN"/>
        </w:rPr>
        <w:t>实施</w:t>
      </w:r>
      <w:r>
        <w:rPr>
          <w:rFonts w:hint="eastAsia" w:ascii="Times New Roman" w:hAnsi="Times New Roman" w:cs="Times New Roman"/>
          <w:lang w:val="en-US" w:eastAsia="zh-CN"/>
        </w:rPr>
        <w:t>奖励。</w:t>
      </w:r>
    </w:p>
    <w:p w14:paraId="558E4EB3">
      <w:pPr>
        <w:pStyle w:val="130"/>
        <w:spacing w:before="286" w:beforeLines="100" w:after="286" w:afterLines="100"/>
        <w:rPr>
          <w:rFonts w:hint="eastAsia" w:ascii="黑体" w:hAnsi="Times New Roman" w:eastAsia="黑体" w:cs="Times New Roman"/>
          <w:sz w:val="21"/>
          <w:szCs w:val="21"/>
          <w:lang w:val="en-US" w:eastAsia="zh-CN"/>
        </w:rPr>
      </w:pPr>
      <w:bookmarkStart w:id="41" w:name="_Toc347103627"/>
      <w:bookmarkStart w:id="42" w:name="_Toc1740273369"/>
      <w:r>
        <w:rPr>
          <w:rFonts w:hint="eastAsia" w:ascii="黑体" w:hAnsi="Times New Roman" w:eastAsia="黑体" w:cs="Times New Roman"/>
          <w:sz w:val="21"/>
          <w:szCs w:val="21"/>
          <w:lang w:val="en-US" w:eastAsia="zh-CN"/>
        </w:rPr>
        <w:t>14</w:t>
      </w:r>
      <w:r>
        <w:rPr>
          <w:rFonts w:hint="eastAsia" w:ascii="黑体" w:eastAsia="黑体" w:cs="Times New Roman"/>
          <w:sz w:val="21"/>
          <w:szCs w:val="21"/>
          <w:lang w:val="en-US" w:eastAsia="zh-CN"/>
        </w:rPr>
        <w:t xml:space="preserve">  </w:t>
      </w:r>
      <w:r>
        <w:rPr>
          <w:rFonts w:hint="eastAsia" w:ascii="黑体" w:hAnsi="Times New Roman" w:eastAsia="黑体" w:cs="Times New Roman"/>
          <w:sz w:val="21"/>
          <w:szCs w:val="21"/>
          <w:lang w:val="en-US" w:eastAsia="zh-CN"/>
        </w:rPr>
        <w:t>自评与改进</w:t>
      </w:r>
      <w:bookmarkEnd w:id="41"/>
      <w:bookmarkEnd w:id="42"/>
    </w:p>
    <w:p w14:paraId="2E9899A3">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14.1</w:t>
      </w:r>
      <w:r>
        <w:rPr>
          <w:rFonts w:hint="eastAsia" w:ascii="Times New Roman" w:hAnsi="Times New Roman" w:cs="Times New Roman"/>
          <w:lang w:val="en-US" w:eastAsia="zh-CN"/>
        </w:rPr>
        <w:t xml:space="preserve">  </w:t>
      </w:r>
      <w:r>
        <w:rPr>
          <w:rFonts w:hint="eastAsia" w:cs="Times New Roman"/>
          <w:lang w:val="en-US" w:eastAsia="zh-CN"/>
        </w:rPr>
        <w:t>企业应对照以上要求</w:t>
      </w:r>
      <w:r>
        <w:rPr>
          <w:rFonts w:hint="eastAsia" w:ascii="Times New Roman" w:hAnsi="Times New Roman" w:cs="Times New Roman"/>
          <w:lang w:val="en-US" w:eastAsia="zh-CN"/>
        </w:rPr>
        <w:t>开展自评，查找不足、整改隐患，提升规范化水平。</w:t>
      </w:r>
    </w:p>
    <w:p w14:paraId="669BC9B0">
      <w:pPr>
        <w:pStyle w:val="131"/>
        <w:spacing w:line="240" w:lineRule="auto"/>
        <w:ind w:left="0" w:leftChars="0" w:firstLine="0" w:firstLineChars="0"/>
        <w:rPr>
          <w:rFonts w:hint="eastAsia" w:ascii="Times New Roman" w:hAnsi="Times New Roman" w:cs="Times New Roman"/>
          <w:lang w:val="en-US" w:eastAsia="zh-CN"/>
        </w:rPr>
      </w:pPr>
      <w:r>
        <w:rPr>
          <w:rFonts w:hint="eastAsia" w:ascii="黑体" w:hAnsi="黑体" w:eastAsia="黑体" w:cs="黑体"/>
          <w:lang w:val="en-US" w:eastAsia="zh-CN"/>
        </w:rPr>
        <w:t xml:space="preserve">14.2  </w:t>
      </w:r>
      <w:r>
        <w:rPr>
          <w:rFonts w:hint="eastAsia" w:ascii="Times New Roman" w:hAnsi="Times New Roman" w:cs="Times New Roman"/>
          <w:lang w:val="en-US" w:eastAsia="zh-CN"/>
        </w:rPr>
        <w:t>企业主要负责人应全面负责、组织自评工作，并将自评结果向本企业所有部门和从业人员通报。</w:t>
      </w:r>
      <w:r>
        <w:rPr>
          <w:rFonts w:hint="eastAsia" w:cs="Times New Roman"/>
          <w:lang w:val="en-US" w:eastAsia="zh-CN"/>
        </w:rPr>
        <w:t>14</w:t>
      </w:r>
      <w:r>
        <w:rPr>
          <w:rFonts w:hint="eastAsia" w:ascii="黑体" w:hAnsi="黑体" w:eastAsia="黑体" w:cs="黑体"/>
          <w:lang w:val="en-US" w:eastAsia="zh-CN"/>
        </w:rPr>
        <w:t>.3</w:t>
      </w:r>
      <w:r>
        <w:rPr>
          <w:rFonts w:hint="eastAsia" w:ascii="Times New Roman" w:hAnsi="Times New Roman" w:cs="Times New Roman"/>
          <w:lang w:val="en-US" w:eastAsia="zh-CN"/>
        </w:rPr>
        <w:t xml:space="preserve"> </w:t>
      </w:r>
      <w:r>
        <w:rPr>
          <w:rFonts w:hint="eastAsia" w:cs="Times New Roman"/>
          <w:lang w:val="en-US" w:eastAsia="zh-CN"/>
        </w:rPr>
        <w:t xml:space="preserve"> </w:t>
      </w:r>
      <w:r>
        <w:rPr>
          <w:rFonts w:hint="eastAsia" w:ascii="Times New Roman" w:hAnsi="Times New Roman" w:cs="Times New Roman"/>
          <w:lang w:val="en-US" w:eastAsia="zh-CN"/>
        </w:rPr>
        <w:t>企业</w:t>
      </w:r>
      <w:r>
        <w:rPr>
          <w:rFonts w:hint="eastAsia" w:cs="Times New Roman"/>
          <w:lang w:val="en-US" w:eastAsia="zh-CN"/>
        </w:rPr>
        <w:t>应根据自评结果</w:t>
      </w:r>
      <w:r>
        <w:rPr>
          <w:rFonts w:hint="eastAsia" w:ascii="Times New Roman" w:hAnsi="Times New Roman" w:cs="Times New Roman"/>
          <w:lang w:val="en-US" w:eastAsia="zh-CN"/>
        </w:rPr>
        <w:t>客观分析安全生产管理状况</w:t>
      </w:r>
      <w:r>
        <w:rPr>
          <w:rFonts w:hint="eastAsia" w:cs="Times New Roman"/>
          <w:lang w:val="en-US" w:eastAsia="zh-CN"/>
        </w:rPr>
        <w:t>，</w:t>
      </w:r>
      <w:r>
        <w:rPr>
          <w:rFonts w:hint="eastAsia" w:ascii="Times New Roman" w:hAnsi="Times New Roman" w:cs="Times New Roman"/>
          <w:lang w:val="en-US" w:eastAsia="zh-CN"/>
        </w:rPr>
        <w:t xml:space="preserve">及时调整完善、持续改进。 </w:t>
      </w:r>
    </w:p>
    <w:p w14:paraId="0EF6E9CA">
      <w:pPr>
        <w:pStyle w:val="131"/>
        <w:spacing w:line="240" w:lineRule="auto"/>
        <w:rPr>
          <w:rFonts w:hint="eastAsia" w:ascii="Times New Roman" w:hAnsi="Times New Roman" w:cs="Times New Roman"/>
          <w:lang w:val="en-US" w:eastAsia="zh-CN"/>
        </w:rPr>
      </w:pPr>
    </w:p>
    <w:bookmarkEnd w:id="15"/>
    <w:bookmarkEnd w:id="16"/>
    <w:bookmarkEnd w:id="21"/>
    <w:p w14:paraId="4C36C022"/>
    <w:sectPr>
      <w:footerReference r:id="rId15" w:type="default"/>
      <w:footerReference r:id="rId16" w:type="even"/>
      <w:pgSz w:w="11907" w:h="16839"/>
      <w:pgMar w:top="1418" w:right="1134" w:bottom="1134" w:left="1418" w:header="1418" w:footer="85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0000000" w:usb3="00000000" w:csb0="2000019F" w:csb1="00000000"/>
  </w:font>
  <w:font w:name="PingFang SC">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8B916">
    <w:pPr>
      <w:pStyle w:val="58"/>
      <w:rPr>
        <w:rStyle w:val="39"/>
      </w:rPr>
    </w:pPr>
    <w:r>
      <w:rPr>
        <w:rStyle w:val="39"/>
      </w:rPr>
      <w:fldChar w:fldCharType="begin"/>
    </w:r>
    <w:r>
      <w:rPr>
        <w:rStyle w:val="39"/>
      </w:rPr>
      <w:instrText xml:space="preserve">PAGE  </w:instrText>
    </w:r>
    <w:r>
      <w:rPr>
        <w:rStyle w:val="39"/>
      </w:rPr>
      <w:fldChar w:fldCharType="separate"/>
    </w:r>
    <w:r>
      <w:rPr>
        <w:rStyle w:val="39"/>
      </w:rPr>
      <w:t>1</w:t>
    </w:r>
    <w:r>
      <w:rPr>
        <w:rStyle w:val="3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BA4B2">
    <w:pPr>
      <w:pStyle w:val="57"/>
      <w:rPr>
        <w:rStyle w:val="39"/>
      </w:rPr>
    </w:pPr>
    <w:r>
      <w:rPr>
        <w:rStyle w:val="39"/>
      </w:rPr>
      <w:fldChar w:fldCharType="begin"/>
    </w:r>
    <w:r>
      <w:rPr>
        <w:rStyle w:val="39"/>
      </w:rPr>
      <w:instrText xml:space="preserve">PAGE  </w:instrText>
    </w:r>
    <w:r>
      <w:rPr>
        <w:rStyle w:val="3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84310">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6599D">
    <w:pPr>
      <w:pStyle w:val="58"/>
      <w:rPr>
        <w:rStyle w:val="39"/>
        <w:b w:val="0"/>
        <w:bCs/>
      </w:rPr>
    </w:pPr>
    <w:r>
      <w:rPr>
        <w:rStyle w:val="39"/>
        <w:b w:val="0"/>
        <w:bCs/>
      </w:rPr>
      <w:fldChar w:fldCharType="begin"/>
    </w:r>
    <w:r>
      <w:rPr>
        <w:rStyle w:val="39"/>
        <w:b w:val="0"/>
        <w:bCs/>
      </w:rPr>
      <w:instrText xml:space="preserve">PAGE  </w:instrText>
    </w:r>
    <w:r>
      <w:rPr>
        <w:rStyle w:val="39"/>
        <w:b w:val="0"/>
        <w:bCs/>
      </w:rPr>
      <w:fldChar w:fldCharType="separate"/>
    </w:r>
    <w:r>
      <w:rPr>
        <w:rStyle w:val="39"/>
        <w:b w:val="0"/>
        <w:bCs/>
      </w:rPr>
      <w:t>I</w:t>
    </w:r>
    <w:r>
      <w:rPr>
        <w:rStyle w:val="39"/>
        <w:b w:val="0"/>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159E9">
    <w:pPr>
      <w:pStyle w:val="57"/>
      <w:rPr>
        <w:rStyle w:val="39"/>
        <w:b/>
      </w:rPr>
    </w:pPr>
    <w:r>
      <w:rPr>
        <w:rStyle w:val="39"/>
        <w:b/>
      </w:rPr>
      <w:fldChar w:fldCharType="begin"/>
    </w:r>
    <w:r>
      <w:rPr>
        <w:rStyle w:val="39"/>
        <w:b/>
      </w:rPr>
      <w:instrText xml:space="preserve">PAGE  </w:instrText>
    </w:r>
    <w:r>
      <w:rPr>
        <w:rStyle w:val="39"/>
        <w:b/>
      </w:rPr>
      <w:fldChar w:fldCharType="separate"/>
    </w:r>
    <w:r>
      <w:rPr>
        <w:rStyle w:val="39"/>
        <w:b/>
      </w:rPr>
      <w:t>II</w:t>
    </w:r>
    <w:r>
      <w:rPr>
        <w:rStyle w:val="39"/>
        <w: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25F78">
    <w:pPr>
      <w:pStyle w:val="58"/>
      <w:rPr>
        <w:rStyle w:val="39"/>
        <w:b w:val="0"/>
        <w:bCs w:val="0"/>
      </w:rPr>
    </w:pPr>
    <w:r>
      <w:rPr>
        <w:b w:val="0"/>
        <w:bCs w:val="0"/>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0</wp:posOffset>
              </wp:positionV>
              <wp:extent cx="1828800" cy="1828800"/>
              <wp:effectExtent l="0" t="0" r="0" b="0"/>
              <wp:wrapNone/>
              <wp:docPr id="1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B2A04BC">
                          <w:pPr>
                            <w:pStyle w:val="58"/>
                          </w:pPr>
                          <w:r>
                            <w:rPr>
                              <w:rStyle w:val="39"/>
                              <w:b w:val="0"/>
                              <w:bCs/>
                            </w:rPr>
                            <w:fldChar w:fldCharType="begin"/>
                          </w:r>
                          <w:r>
                            <w:rPr>
                              <w:rStyle w:val="39"/>
                              <w:b w:val="0"/>
                              <w:bCs/>
                            </w:rPr>
                            <w:instrText xml:space="preserve">PAGE  </w:instrText>
                          </w:r>
                          <w:r>
                            <w:rPr>
                              <w:rStyle w:val="39"/>
                              <w:b w:val="0"/>
                              <w:bCs/>
                            </w:rPr>
                            <w:fldChar w:fldCharType="separate"/>
                          </w:r>
                          <w:r>
                            <w:rPr>
                              <w:rStyle w:val="39"/>
                              <w:b w:val="0"/>
                              <w:bCs/>
                            </w:rPr>
                            <w:t>III</w:t>
                          </w:r>
                          <w:r>
                            <w:rPr>
                              <w:rStyle w:val="39"/>
                              <w:b w:val="0"/>
                              <w:bCs/>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lef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UtVqs0BAACo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4TVnTlh68cv3b5cfvy4/v7Jl&#10;0qcPWFHZQ6DCONz5gWrnOFIw0R5asOlLhBjlSd3zVV01RCbTpfVqvS4pJSk3O4RfPF4PgPGt8pYl&#10;o+ZAz5dVFaf3GMfSuSR1c/5eG5Of0Li/AoQ5RlTegel2YjJOnKw47IeJ3t43Z2LX0x7U3NHac2be&#10;OZI5rcxswGzsZ+MYQB86GnSZp8Rwe4w0Up40dRhhiWFy6AEz12nZ0ob86eeqx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UtVqs0BAACoAwAADgAAAAAAAAABACAAAAAeAQAAZHJzL2Uy&#10;b0RvYy54bWxQSwUGAAAAAAYABgBZAQAAXQUAAAAA&#10;">
              <v:fill on="f" focussize="0,0"/>
              <v:stroke on="f"/>
              <v:imagedata o:title=""/>
              <o:lock v:ext="edit" aspectratio="f"/>
              <v:textbox inset="0mm,0mm,0mm,0mm" style="mso-fit-shape-to-text:t;">
                <w:txbxContent>
                  <w:p w14:paraId="6B2A04BC">
                    <w:pPr>
                      <w:pStyle w:val="58"/>
                    </w:pPr>
                    <w:r>
                      <w:rPr>
                        <w:rStyle w:val="39"/>
                        <w:b w:val="0"/>
                        <w:bCs/>
                      </w:rPr>
                      <w:fldChar w:fldCharType="begin"/>
                    </w:r>
                    <w:r>
                      <w:rPr>
                        <w:rStyle w:val="39"/>
                        <w:b w:val="0"/>
                        <w:bCs/>
                      </w:rPr>
                      <w:instrText xml:space="preserve">PAGE  </w:instrText>
                    </w:r>
                    <w:r>
                      <w:rPr>
                        <w:rStyle w:val="39"/>
                        <w:b w:val="0"/>
                        <w:bCs/>
                      </w:rPr>
                      <w:fldChar w:fldCharType="separate"/>
                    </w:r>
                    <w:r>
                      <w:rPr>
                        <w:rStyle w:val="39"/>
                        <w:b w:val="0"/>
                        <w:bCs/>
                      </w:rPr>
                      <w:t>III</w:t>
                    </w:r>
                    <w:r>
                      <w:rPr>
                        <w:rStyle w:val="39"/>
                        <w:b w:val="0"/>
                        <w:bCs/>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12A32">
    <w:pPr>
      <w:pStyle w:val="57"/>
      <w:rPr>
        <w:rStyle w:val="39"/>
        <w:b w:val="0"/>
        <w:bCs w:val="0"/>
        <w:sz w:val="18"/>
        <w:szCs w:val="18"/>
      </w:rPr>
    </w:pPr>
    <w:r>
      <w:rPr>
        <w:b w:val="0"/>
        <w:bCs w:val="0"/>
        <w:sz w:val="18"/>
        <w:szCs w:val="18"/>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0</wp:posOffset>
              </wp:positionV>
              <wp:extent cx="1828800" cy="1828800"/>
              <wp:effectExtent l="0" t="0" r="0" b="0"/>
              <wp:wrapNone/>
              <wp:docPr id="1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CAE830D">
                          <w:pPr>
                            <w:pStyle w:val="57"/>
                          </w:pPr>
                          <w:r>
                            <w:rPr>
                              <w:rStyle w:val="39"/>
                              <w:b/>
                            </w:rPr>
                            <w:fldChar w:fldCharType="begin"/>
                          </w:r>
                          <w:r>
                            <w:rPr>
                              <w:rStyle w:val="39"/>
                              <w:b/>
                            </w:rPr>
                            <w:instrText xml:space="preserve">PAGE  </w:instrText>
                          </w:r>
                          <w:r>
                            <w:rPr>
                              <w:rStyle w:val="39"/>
                              <w:b/>
                            </w:rPr>
                            <w:fldChar w:fldCharType="separate"/>
                          </w:r>
                          <w:r>
                            <w:rPr>
                              <w:rStyle w:val="39"/>
                              <w:b/>
                            </w:rPr>
                            <w:t>II</w:t>
                          </w:r>
                          <w:r>
                            <w:rPr>
                              <w:rStyle w:val="39"/>
                              <w:b/>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left;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GiYzc0BAACoAwAADgAAAGRycy9lMm9Eb2MueG1srVPNjtMwEL4j8Q6W&#10;7zRph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FNeM2ZFYZe/PL92+XHr8vPr2yV&#10;9Ok9VlT24KkwDnduoNo5jhRMtIc2mPQlQozypO75qi4Mkcl0ab1ar0tKScrNDuEXj9d9wPgWnGHJ&#10;qHmg58uqitN7jGPpXJK6WXevtM5PqO1fAcIcI5B3YLqdmIwTJysO+2Git3fNmdj1tAc1t7T2nOl3&#10;lmROKzMbYTb2s3H0QR06GnSZp0R/e4w0Up40dRhhiWFy6AEz12nZ0ob86eeqx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JGiYzc0BAACoAwAADgAAAAAAAAABACAAAAAeAQAAZHJzL2Uy&#10;b0RvYy54bWxQSwUGAAAAAAYABgBZAQAAXQUAAAAA&#10;">
              <v:fill on="f" focussize="0,0"/>
              <v:stroke on="f"/>
              <v:imagedata o:title=""/>
              <o:lock v:ext="edit" aspectratio="f"/>
              <v:textbox inset="0mm,0mm,0mm,0mm" style="mso-fit-shape-to-text:t;">
                <w:txbxContent>
                  <w:p w14:paraId="1CAE830D">
                    <w:pPr>
                      <w:pStyle w:val="57"/>
                    </w:pPr>
                    <w:r>
                      <w:rPr>
                        <w:rStyle w:val="39"/>
                        <w:b/>
                      </w:rPr>
                      <w:fldChar w:fldCharType="begin"/>
                    </w:r>
                    <w:r>
                      <w:rPr>
                        <w:rStyle w:val="39"/>
                        <w:b/>
                      </w:rPr>
                      <w:instrText xml:space="preserve">PAGE  </w:instrText>
                    </w:r>
                    <w:r>
                      <w:rPr>
                        <w:rStyle w:val="39"/>
                        <w:b/>
                      </w:rPr>
                      <w:fldChar w:fldCharType="separate"/>
                    </w:r>
                    <w:r>
                      <w:rPr>
                        <w:rStyle w:val="39"/>
                        <w:b/>
                      </w:rPr>
                      <w:t>II</w:t>
                    </w:r>
                    <w:r>
                      <w:rPr>
                        <w:rStyle w:val="39"/>
                        <w:b/>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8836F">
    <w:pPr>
      <w:pStyle w:val="58"/>
      <w:rPr>
        <w:rStyle w:val="39"/>
      </w:rPr>
    </w:pPr>
    <w:r>
      <w:rPr>
        <w:rStyle w:val="39"/>
      </w:rPr>
      <w:fldChar w:fldCharType="begin"/>
    </w:r>
    <w:r>
      <w:rPr>
        <w:rStyle w:val="39"/>
      </w:rPr>
      <w:instrText xml:space="preserve">PAGE  </w:instrText>
    </w:r>
    <w:r>
      <w:rPr>
        <w:rStyle w:val="39"/>
      </w:rPr>
      <w:fldChar w:fldCharType="separate"/>
    </w:r>
    <w:r>
      <w:rPr>
        <w:rStyle w:val="39"/>
      </w:rPr>
      <w:t>1</w:t>
    </w:r>
    <w:r>
      <w:rPr>
        <w:rStyle w:val="39"/>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1806F">
    <w:pPr>
      <w:pStyle w:val="57"/>
      <w:tabs>
        <w:tab w:val="right" w:pos="9355"/>
      </w:tabs>
      <w:rPr>
        <w:rStyle w:val="39"/>
      </w:rPr>
    </w:pPr>
    <w:r>
      <w:rPr>
        <w:rStyle w:val="39"/>
      </w:rPr>
      <w:fldChar w:fldCharType="begin"/>
    </w:r>
    <w:r>
      <w:rPr>
        <w:rStyle w:val="39"/>
      </w:rPr>
      <w:instrText xml:space="preserve">PAGE  </w:instrText>
    </w:r>
    <w:r>
      <w:rPr>
        <w:rStyle w:val="39"/>
      </w:rPr>
      <w:fldChar w:fldCharType="separate"/>
    </w:r>
    <w:r>
      <w:rPr>
        <w:rStyle w:val="39"/>
      </w:rPr>
      <w:t>2</w:t>
    </w:r>
    <w:r>
      <w:rPr>
        <w:rStyle w:val="39"/>
      </w:rPr>
      <w:fldChar w:fldCharType="end"/>
    </w:r>
    <w:r>
      <w:rPr>
        <w:rStyle w:val="39"/>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BFE2B">
    <w:pPr>
      <w:pStyle w:val="59"/>
    </w:pPr>
    <w:r>
      <w:t>AQ/T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6DE01">
    <w:pPr>
      <w:pStyle w:val="60"/>
    </w:pPr>
    <w:r>
      <w:t>AQ/T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65">
    <w:pPr>
      <w:pStyle w:val="6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02009">
    <w:pPr>
      <w:pStyle w:val="59"/>
      <w:rPr>
        <w:rFonts w:hint="eastAsia" w:ascii="黑体" w:hAnsi="黑体" w:eastAsia="黑体" w:cs="黑体"/>
      </w:rPr>
    </w:pPr>
    <w:r>
      <w:rPr>
        <w:rFonts w:hint="eastAsia" w:ascii="黑体" w:hAnsi="黑体" w:eastAsia="黑体" w:cs="黑体"/>
        <w:lang w:val="en-US" w:eastAsia="zh-CN"/>
      </w:rPr>
      <w:t>DB32/T</w:t>
    </w:r>
    <w:r>
      <w:rPr>
        <w:rFonts w:hint="eastAsia" w:ascii="黑体" w:hAnsi="黑体" w:eastAsia="黑体" w:cs="黑体"/>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FD763">
    <w:pPr>
      <w:pStyle w:val="60"/>
      <w:rPr>
        <w:rFonts w:hint="eastAsia" w:ascii="黑体" w:hAnsi="黑体" w:eastAsia="黑体" w:cs="黑体"/>
      </w:rPr>
    </w:pPr>
    <w:r>
      <w:rPr>
        <w:rFonts w:hint="eastAsia" w:ascii="黑体" w:hAnsi="黑体" w:eastAsia="黑体" w:cs="黑体"/>
        <w:lang w:val="en-US" w:eastAsia="zh-CN"/>
      </w:rPr>
      <w:t>DB32/T</w:t>
    </w:r>
    <w:r>
      <w:rPr>
        <w:rFonts w:hint="eastAsia" w:ascii="黑体" w:hAnsi="黑体" w:eastAsia="黑体" w:cs="黑体"/>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4"/>
      <w:suff w:val="nothing"/>
      <w:lvlText w:val="%1%2.%3　"/>
      <w:lvlJc w:val="left"/>
      <w:pPr>
        <w:ind w:left="0" w:firstLine="0"/>
      </w:pPr>
      <w:rPr>
        <w:rFonts w:hint="eastAsia" w:ascii="黑体" w:hAnsi="Times New Roman" w:eastAsia="黑体"/>
        <w:b w:val="0"/>
        <w:i w:val="0"/>
        <w:sz w:val="21"/>
      </w:rPr>
    </w:lvl>
    <w:lvl w:ilvl="3" w:tentative="0">
      <w:start w:val="1"/>
      <w:numFmt w:val="decimal"/>
      <w:pStyle w:val="69"/>
      <w:suff w:val="nothing"/>
      <w:lvlText w:val="%1%2.%3.%4　"/>
      <w:lvlJc w:val="left"/>
      <w:pPr>
        <w:ind w:left="0" w:firstLine="0"/>
      </w:pPr>
      <w:rPr>
        <w:rFonts w:hint="eastAsia" w:ascii="黑体" w:hAnsi="Times New Roman" w:eastAsia="黑体"/>
        <w:b w:val="0"/>
        <w:i w:val="0"/>
        <w:sz w:val="21"/>
      </w:rPr>
    </w:lvl>
    <w:lvl w:ilvl="4" w:tentative="0">
      <w:start w:val="1"/>
      <w:numFmt w:val="decimal"/>
      <w:pStyle w:val="100"/>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11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pStyle w:val="102"/>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07E65F9"/>
    <w:multiLevelType w:val="multilevel"/>
    <w:tmpl w:val="407E65F9"/>
    <w:lvl w:ilvl="0" w:tentative="0">
      <w:start w:val="1"/>
      <w:numFmt w:val="none"/>
      <w:pStyle w:val="94"/>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496E4D7B"/>
    <w:multiLevelType w:val="multilevel"/>
    <w:tmpl w:val="496E4D7B"/>
    <w:lvl w:ilvl="0" w:tentative="0">
      <w:start w:val="1"/>
      <w:numFmt w:val="none"/>
      <w:pStyle w:val="118"/>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57C2AF5"/>
    <w:multiLevelType w:val="multilevel"/>
    <w:tmpl w:val="557C2AF5"/>
    <w:lvl w:ilvl="0" w:tentative="0">
      <w:start w:val="1"/>
      <w:numFmt w:val="decimal"/>
      <w:pStyle w:val="11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46260FA"/>
    <w:multiLevelType w:val="multilevel"/>
    <w:tmpl w:val="646260FA"/>
    <w:lvl w:ilvl="0" w:tentative="0">
      <w:start w:val="1"/>
      <w:numFmt w:val="decimal"/>
      <w:pStyle w:val="11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57D3FBC"/>
    <w:multiLevelType w:val="multilevel"/>
    <w:tmpl w:val="657D3FBC"/>
    <w:lvl w:ilvl="0" w:tentative="0">
      <w:start w:val="1"/>
      <w:numFmt w:val="upperLetter"/>
      <w:pStyle w:val="82"/>
      <w:suff w:val="nothing"/>
      <w:lvlText w:val="附　录　%1"/>
      <w:lvlJc w:val="left"/>
      <w:pPr>
        <w:ind w:left="0" w:firstLine="0"/>
      </w:pPr>
      <w:rPr>
        <w:rFonts w:hint="eastAsia" w:ascii="黑体" w:hAnsi="Times New Roman" w:eastAsia="黑体"/>
        <w:b w:val="0"/>
        <w:i w:val="0"/>
        <w:sz w:val="21"/>
      </w:rPr>
    </w:lvl>
    <w:lvl w:ilvl="1" w:tentative="0">
      <w:start w:val="1"/>
      <w:numFmt w:val="decimal"/>
      <w:pStyle w:val="8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5"/>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87"/>
      <w:suff w:val="nothing"/>
      <w:lvlText w:val="%1.%2.%3.%4.%5　"/>
      <w:lvlJc w:val="left"/>
      <w:pPr>
        <w:ind w:left="0" w:firstLine="0"/>
      </w:pPr>
      <w:rPr>
        <w:rFonts w:hint="eastAsia" w:ascii="黑体" w:hAnsi="Times New Roman" w:eastAsia="黑体"/>
        <w:b w:val="0"/>
        <w:i w:val="0"/>
        <w:sz w:val="21"/>
      </w:rPr>
    </w:lvl>
    <w:lvl w:ilvl="5" w:tentative="0">
      <w:start w:val="1"/>
      <w:numFmt w:val="decimal"/>
      <w:pStyle w:val="88"/>
      <w:suff w:val="nothing"/>
      <w:lvlText w:val="%1.%2.%3.%4.%5.%6　"/>
      <w:lvlJc w:val="left"/>
      <w:pPr>
        <w:ind w:left="0" w:firstLine="0"/>
      </w:pPr>
      <w:rPr>
        <w:rFonts w:hint="eastAsia" w:ascii="黑体" w:hAnsi="Times New Roman" w:eastAsia="黑体"/>
        <w:b w:val="0"/>
        <w:i w:val="0"/>
        <w:sz w:val="21"/>
      </w:rPr>
    </w:lvl>
    <w:lvl w:ilvl="6" w:tentative="0">
      <w:start w:val="1"/>
      <w:numFmt w:val="decimal"/>
      <w:pStyle w:val="9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pStyle w:val="62"/>
      <w:suff w:val="nothing"/>
      <w:lvlText w:val="%1"/>
      <w:lvlJc w:val="left"/>
      <w:pPr>
        <w:ind w:left="0" w:firstLine="0"/>
      </w:pPr>
      <w:rPr>
        <w:rFonts w:hint="default" w:ascii="Times New Roman" w:hAnsi="Times New Roman"/>
        <w:b/>
        <w:i w:val="0"/>
        <w:sz w:val="21"/>
      </w:rPr>
    </w:lvl>
    <w:lvl w:ilvl="1" w:tentative="0">
      <w:start w:val="1"/>
      <w:numFmt w:val="decimal"/>
      <w:pStyle w:val="66"/>
      <w:suff w:val="nothing"/>
      <w:lvlText w:val="%1%2　"/>
      <w:lvlJc w:val="left"/>
      <w:pPr>
        <w:ind w:left="0" w:firstLine="0"/>
      </w:pPr>
      <w:rPr>
        <w:rFonts w:hint="eastAsia" w:ascii="黑体" w:hAnsi="Times New Roman" w:eastAsia="黑体"/>
        <w:b w:val="0"/>
        <w:i w:val="0"/>
        <w:sz w:val="21"/>
      </w:rPr>
    </w:lvl>
    <w:lvl w:ilvl="2" w:tentative="0">
      <w:start w:val="1"/>
      <w:numFmt w:val="decimal"/>
      <w:pStyle w:val="67"/>
      <w:suff w:val="nothing"/>
      <w:lvlText w:val="%1%2.%3　"/>
      <w:lvlJc w:val="left"/>
      <w:pPr>
        <w:ind w:left="0" w:firstLine="0"/>
      </w:pPr>
      <w:rPr>
        <w:rFonts w:hint="eastAsia" w:ascii="黑体" w:hAnsi="Times New Roman" w:eastAsia="黑体"/>
        <w:b w:val="0"/>
        <w:i w:val="0"/>
        <w:sz w:val="21"/>
      </w:rPr>
    </w:lvl>
    <w:lvl w:ilvl="3" w:tentative="0">
      <w:start w:val="1"/>
      <w:numFmt w:val="decimal"/>
      <w:pStyle w:val="68"/>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1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DBF04F4"/>
    <w:multiLevelType w:val="multilevel"/>
    <w:tmpl w:val="6DBF04F4"/>
    <w:lvl w:ilvl="0" w:tentative="0">
      <w:start w:val="1"/>
      <w:numFmt w:val="none"/>
      <w:pStyle w:val="117"/>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6933334"/>
    <w:multiLevelType w:val="multilevel"/>
    <w:tmpl w:val="76933334"/>
    <w:lvl w:ilvl="0" w:tentative="0">
      <w:start w:val="1"/>
      <w:numFmt w:val="none"/>
      <w:pStyle w:val="93"/>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0"/>
  </w:num>
  <w:num w:numId="3">
    <w:abstractNumId w:val="6"/>
  </w:num>
  <w:num w:numId="4">
    <w:abstractNumId w:val="9"/>
  </w:num>
  <w:num w:numId="5">
    <w:abstractNumId w:val="2"/>
  </w:num>
  <w:num w:numId="6">
    <w:abstractNumId w:val="1"/>
  </w:num>
  <w:num w:numId="7">
    <w:abstractNumId w:val="5"/>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5N2M3YjU1YjAwNWJkZTdkYzFmNDRhMzM2YmRmMmYifQ=="/>
  </w:docVars>
  <w:rsids>
    <w:rsidRoot w:val="00172A27"/>
    <w:rsid w:val="000018CF"/>
    <w:rsid w:val="00016D64"/>
    <w:rsid w:val="00021116"/>
    <w:rsid w:val="00036D2C"/>
    <w:rsid w:val="00060B84"/>
    <w:rsid w:val="00063303"/>
    <w:rsid w:val="00064011"/>
    <w:rsid w:val="0007471D"/>
    <w:rsid w:val="00086B26"/>
    <w:rsid w:val="00096D17"/>
    <w:rsid w:val="000A2A9F"/>
    <w:rsid w:val="000B267F"/>
    <w:rsid w:val="000D5390"/>
    <w:rsid w:val="000E684A"/>
    <w:rsid w:val="000E73F5"/>
    <w:rsid w:val="000F5E6A"/>
    <w:rsid w:val="001004B7"/>
    <w:rsid w:val="0011221A"/>
    <w:rsid w:val="00113A32"/>
    <w:rsid w:val="00123EC6"/>
    <w:rsid w:val="00127801"/>
    <w:rsid w:val="001356E3"/>
    <w:rsid w:val="00136806"/>
    <w:rsid w:val="00136C29"/>
    <w:rsid w:val="0014697D"/>
    <w:rsid w:val="00150BF5"/>
    <w:rsid w:val="00151154"/>
    <w:rsid w:val="00162F86"/>
    <w:rsid w:val="00163D05"/>
    <w:rsid w:val="00172DF0"/>
    <w:rsid w:val="00174210"/>
    <w:rsid w:val="0018139D"/>
    <w:rsid w:val="001904A6"/>
    <w:rsid w:val="001A69FE"/>
    <w:rsid w:val="001C1D9D"/>
    <w:rsid w:val="001D7AA0"/>
    <w:rsid w:val="001E3D66"/>
    <w:rsid w:val="001F65F8"/>
    <w:rsid w:val="00213FF5"/>
    <w:rsid w:val="00230611"/>
    <w:rsid w:val="002440B7"/>
    <w:rsid w:val="002455FD"/>
    <w:rsid w:val="00245648"/>
    <w:rsid w:val="00250507"/>
    <w:rsid w:val="002538D3"/>
    <w:rsid w:val="002538E2"/>
    <w:rsid w:val="0026435C"/>
    <w:rsid w:val="00280E98"/>
    <w:rsid w:val="00281A26"/>
    <w:rsid w:val="00281AA9"/>
    <w:rsid w:val="00285FCD"/>
    <w:rsid w:val="002928C4"/>
    <w:rsid w:val="0029458F"/>
    <w:rsid w:val="00294EF3"/>
    <w:rsid w:val="002A6651"/>
    <w:rsid w:val="002A7003"/>
    <w:rsid w:val="002A7CC4"/>
    <w:rsid w:val="002C3D8E"/>
    <w:rsid w:val="00301C40"/>
    <w:rsid w:val="00306112"/>
    <w:rsid w:val="00330F3A"/>
    <w:rsid w:val="00331FA8"/>
    <w:rsid w:val="0033259D"/>
    <w:rsid w:val="0033423A"/>
    <w:rsid w:val="00341D06"/>
    <w:rsid w:val="00346D40"/>
    <w:rsid w:val="0035010B"/>
    <w:rsid w:val="003510C0"/>
    <w:rsid w:val="003542BA"/>
    <w:rsid w:val="00361799"/>
    <w:rsid w:val="00361DBF"/>
    <w:rsid w:val="0036760D"/>
    <w:rsid w:val="00371E36"/>
    <w:rsid w:val="00395CA8"/>
    <w:rsid w:val="003C0044"/>
    <w:rsid w:val="003D270A"/>
    <w:rsid w:val="004010A5"/>
    <w:rsid w:val="00401451"/>
    <w:rsid w:val="004075D4"/>
    <w:rsid w:val="00416EC8"/>
    <w:rsid w:val="004423E2"/>
    <w:rsid w:val="00445082"/>
    <w:rsid w:val="0045688C"/>
    <w:rsid w:val="0046311B"/>
    <w:rsid w:val="00471CCC"/>
    <w:rsid w:val="0048387A"/>
    <w:rsid w:val="00497450"/>
    <w:rsid w:val="004B3BF6"/>
    <w:rsid w:val="004B673F"/>
    <w:rsid w:val="004C01F6"/>
    <w:rsid w:val="0050504E"/>
    <w:rsid w:val="00514351"/>
    <w:rsid w:val="00525533"/>
    <w:rsid w:val="00532B38"/>
    <w:rsid w:val="0053492D"/>
    <w:rsid w:val="00545B3A"/>
    <w:rsid w:val="00551E4C"/>
    <w:rsid w:val="00555A51"/>
    <w:rsid w:val="00567B64"/>
    <w:rsid w:val="00570B56"/>
    <w:rsid w:val="00575233"/>
    <w:rsid w:val="00580963"/>
    <w:rsid w:val="00593505"/>
    <w:rsid w:val="0059546F"/>
    <w:rsid w:val="005A1DB1"/>
    <w:rsid w:val="005A42C1"/>
    <w:rsid w:val="005C0D07"/>
    <w:rsid w:val="005D0B2D"/>
    <w:rsid w:val="005E2F3A"/>
    <w:rsid w:val="006033F8"/>
    <w:rsid w:val="00604C01"/>
    <w:rsid w:val="00613C89"/>
    <w:rsid w:val="006321D2"/>
    <w:rsid w:val="006770E0"/>
    <w:rsid w:val="00692B79"/>
    <w:rsid w:val="006B509E"/>
    <w:rsid w:val="006B60BB"/>
    <w:rsid w:val="006E0E98"/>
    <w:rsid w:val="006E683A"/>
    <w:rsid w:val="006E68F3"/>
    <w:rsid w:val="006F55E3"/>
    <w:rsid w:val="007038D4"/>
    <w:rsid w:val="0072103A"/>
    <w:rsid w:val="0074406B"/>
    <w:rsid w:val="00744824"/>
    <w:rsid w:val="0078771F"/>
    <w:rsid w:val="00793C47"/>
    <w:rsid w:val="007944FD"/>
    <w:rsid w:val="007A039A"/>
    <w:rsid w:val="007A3C22"/>
    <w:rsid w:val="007A5E80"/>
    <w:rsid w:val="007B025A"/>
    <w:rsid w:val="007D0AB1"/>
    <w:rsid w:val="007D213C"/>
    <w:rsid w:val="007F5337"/>
    <w:rsid w:val="008121AD"/>
    <w:rsid w:val="008520EE"/>
    <w:rsid w:val="008570C5"/>
    <w:rsid w:val="0089505E"/>
    <w:rsid w:val="008A3064"/>
    <w:rsid w:val="008B0C80"/>
    <w:rsid w:val="008B1738"/>
    <w:rsid w:val="008B4841"/>
    <w:rsid w:val="008B4A2C"/>
    <w:rsid w:val="008C5076"/>
    <w:rsid w:val="008D3673"/>
    <w:rsid w:val="008E07F7"/>
    <w:rsid w:val="008E28C1"/>
    <w:rsid w:val="008E4DE8"/>
    <w:rsid w:val="008F1359"/>
    <w:rsid w:val="008F1C67"/>
    <w:rsid w:val="008F2E0F"/>
    <w:rsid w:val="008F52EF"/>
    <w:rsid w:val="0090154A"/>
    <w:rsid w:val="0090197D"/>
    <w:rsid w:val="009056C3"/>
    <w:rsid w:val="00910D83"/>
    <w:rsid w:val="009172DB"/>
    <w:rsid w:val="00933ADA"/>
    <w:rsid w:val="00936EEB"/>
    <w:rsid w:val="00946A73"/>
    <w:rsid w:val="00972C62"/>
    <w:rsid w:val="00973232"/>
    <w:rsid w:val="00980DD8"/>
    <w:rsid w:val="0098765F"/>
    <w:rsid w:val="00992517"/>
    <w:rsid w:val="009C002D"/>
    <w:rsid w:val="009E264D"/>
    <w:rsid w:val="009E2810"/>
    <w:rsid w:val="009E41C9"/>
    <w:rsid w:val="009F4CCE"/>
    <w:rsid w:val="00A143AF"/>
    <w:rsid w:val="00A22656"/>
    <w:rsid w:val="00A2597F"/>
    <w:rsid w:val="00A536DC"/>
    <w:rsid w:val="00A56198"/>
    <w:rsid w:val="00A63CA0"/>
    <w:rsid w:val="00A75746"/>
    <w:rsid w:val="00AF03B2"/>
    <w:rsid w:val="00AF14D9"/>
    <w:rsid w:val="00AF4433"/>
    <w:rsid w:val="00B11FC9"/>
    <w:rsid w:val="00B15F56"/>
    <w:rsid w:val="00B254F6"/>
    <w:rsid w:val="00B3643B"/>
    <w:rsid w:val="00B40D6E"/>
    <w:rsid w:val="00B54CDF"/>
    <w:rsid w:val="00B55982"/>
    <w:rsid w:val="00B64A8D"/>
    <w:rsid w:val="00B66FB5"/>
    <w:rsid w:val="00B67CDE"/>
    <w:rsid w:val="00B87926"/>
    <w:rsid w:val="00B9190B"/>
    <w:rsid w:val="00B93AD6"/>
    <w:rsid w:val="00B97054"/>
    <w:rsid w:val="00BA00FF"/>
    <w:rsid w:val="00BB2149"/>
    <w:rsid w:val="00BC4B33"/>
    <w:rsid w:val="00BD2ACD"/>
    <w:rsid w:val="00BD300D"/>
    <w:rsid w:val="00BD49A7"/>
    <w:rsid w:val="00BE07E0"/>
    <w:rsid w:val="00BE3F50"/>
    <w:rsid w:val="00BE430E"/>
    <w:rsid w:val="00BF03BE"/>
    <w:rsid w:val="00BF2853"/>
    <w:rsid w:val="00C06941"/>
    <w:rsid w:val="00C62F35"/>
    <w:rsid w:val="00C72780"/>
    <w:rsid w:val="00C86992"/>
    <w:rsid w:val="00C92889"/>
    <w:rsid w:val="00CA44CE"/>
    <w:rsid w:val="00CB6E94"/>
    <w:rsid w:val="00CC5384"/>
    <w:rsid w:val="00CD363B"/>
    <w:rsid w:val="00D02E69"/>
    <w:rsid w:val="00D0724B"/>
    <w:rsid w:val="00D33879"/>
    <w:rsid w:val="00D42A1E"/>
    <w:rsid w:val="00D4795F"/>
    <w:rsid w:val="00D51D33"/>
    <w:rsid w:val="00D57B68"/>
    <w:rsid w:val="00D70E57"/>
    <w:rsid w:val="00DA3CF4"/>
    <w:rsid w:val="00DA4EA8"/>
    <w:rsid w:val="00DC4BF6"/>
    <w:rsid w:val="00DC7F8B"/>
    <w:rsid w:val="00DD391C"/>
    <w:rsid w:val="00DE09D9"/>
    <w:rsid w:val="00DF5DA8"/>
    <w:rsid w:val="00E02EBC"/>
    <w:rsid w:val="00E134E0"/>
    <w:rsid w:val="00E141F5"/>
    <w:rsid w:val="00E27819"/>
    <w:rsid w:val="00E34A1E"/>
    <w:rsid w:val="00E34E71"/>
    <w:rsid w:val="00E478DA"/>
    <w:rsid w:val="00E67428"/>
    <w:rsid w:val="00E86A10"/>
    <w:rsid w:val="00EA5642"/>
    <w:rsid w:val="00EB6A11"/>
    <w:rsid w:val="00EC0D7F"/>
    <w:rsid w:val="00EC48CF"/>
    <w:rsid w:val="00EC601B"/>
    <w:rsid w:val="00EC669C"/>
    <w:rsid w:val="00EE7D33"/>
    <w:rsid w:val="00F0030A"/>
    <w:rsid w:val="00F024FC"/>
    <w:rsid w:val="00F07EE9"/>
    <w:rsid w:val="00F110C9"/>
    <w:rsid w:val="00F156E7"/>
    <w:rsid w:val="00F16601"/>
    <w:rsid w:val="00F231E9"/>
    <w:rsid w:val="00F268C2"/>
    <w:rsid w:val="00F33EA9"/>
    <w:rsid w:val="00F51BC5"/>
    <w:rsid w:val="00F54E07"/>
    <w:rsid w:val="00F553FF"/>
    <w:rsid w:val="00F6582C"/>
    <w:rsid w:val="00F76817"/>
    <w:rsid w:val="00FC6914"/>
    <w:rsid w:val="00FD5ABF"/>
    <w:rsid w:val="00FE26C6"/>
    <w:rsid w:val="00FF7FCE"/>
    <w:rsid w:val="013F4BE5"/>
    <w:rsid w:val="014355CF"/>
    <w:rsid w:val="01A45894"/>
    <w:rsid w:val="01A6577A"/>
    <w:rsid w:val="025E353B"/>
    <w:rsid w:val="027B3F10"/>
    <w:rsid w:val="02DD25BA"/>
    <w:rsid w:val="03044D77"/>
    <w:rsid w:val="03B25678"/>
    <w:rsid w:val="03F2329E"/>
    <w:rsid w:val="045A365D"/>
    <w:rsid w:val="04AF00FA"/>
    <w:rsid w:val="051D55CF"/>
    <w:rsid w:val="05556830"/>
    <w:rsid w:val="06294D80"/>
    <w:rsid w:val="063F05AB"/>
    <w:rsid w:val="06807930"/>
    <w:rsid w:val="06994DE1"/>
    <w:rsid w:val="06EC2D10"/>
    <w:rsid w:val="07BA70F1"/>
    <w:rsid w:val="0812621A"/>
    <w:rsid w:val="095F5C8A"/>
    <w:rsid w:val="0A2C5195"/>
    <w:rsid w:val="0A327551"/>
    <w:rsid w:val="0A3642D2"/>
    <w:rsid w:val="0AF54AA0"/>
    <w:rsid w:val="0B376BBB"/>
    <w:rsid w:val="0B4D2671"/>
    <w:rsid w:val="0D097612"/>
    <w:rsid w:val="0DA660BA"/>
    <w:rsid w:val="0DD512D5"/>
    <w:rsid w:val="0E813956"/>
    <w:rsid w:val="0EE01E43"/>
    <w:rsid w:val="0EE71FFC"/>
    <w:rsid w:val="0F061BBA"/>
    <w:rsid w:val="0F807F6C"/>
    <w:rsid w:val="0FB3290E"/>
    <w:rsid w:val="0FF50B3D"/>
    <w:rsid w:val="10076D3F"/>
    <w:rsid w:val="10491C47"/>
    <w:rsid w:val="106F70A2"/>
    <w:rsid w:val="11056FB2"/>
    <w:rsid w:val="11AE6F86"/>
    <w:rsid w:val="123768D4"/>
    <w:rsid w:val="12A86059"/>
    <w:rsid w:val="12F753BC"/>
    <w:rsid w:val="12F93687"/>
    <w:rsid w:val="131745A0"/>
    <w:rsid w:val="13715F2D"/>
    <w:rsid w:val="138B433E"/>
    <w:rsid w:val="13B45A0B"/>
    <w:rsid w:val="13B977D0"/>
    <w:rsid w:val="14A24A76"/>
    <w:rsid w:val="14F73625"/>
    <w:rsid w:val="16175A23"/>
    <w:rsid w:val="165E3BC6"/>
    <w:rsid w:val="16944BFC"/>
    <w:rsid w:val="16D82E34"/>
    <w:rsid w:val="17367F59"/>
    <w:rsid w:val="176E34E7"/>
    <w:rsid w:val="18346B02"/>
    <w:rsid w:val="185F4BC1"/>
    <w:rsid w:val="19931C57"/>
    <w:rsid w:val="19AA29DF"/>
    <w:rsid w:val="1A1621AA"/>
    <w:rsid w:val="1A57448A"/>
    <w:rsid w:val="1ADD3EE7"/>
    <w:rsid w:val="1AE17DE4"/>
    <w:rsid w:val="1BAD7FF8"/>
    <w:rsid w:val="1BBD0C5D"/>
    <w:rsid w:val="1C2561C7"/>
    <w:rsid w:val="1C892BB2"/>
    <w:rsid w:val="1CC84060"/>
    <w:rsid w:val="1CCB30DC"/>
    <w:rsid w:val="1D2E0C08"/>
    <w:rsid w:val="1DE16268"/>
    <w:rsid w:val="1E365910"/>
    <w:rsid w:val="1E812FBA"/>
    <w:rsid w:val="1EEE6B0A"/>
    <w:rsid w:val="1EF42587"/>
    <w:rsid w:val="1F387BF9"/>
    <w:rsid w:val="1F9F09EC"/>
    <w:rsid w:val="21D677A2"/>
    <w:rsid w:val="221B48D7"/>
    <w:rsid w:val="22E20B8A"/>
    <w:rsid w:val="22F692A7"/>
    <w:rsid w:val="23BB4DD0"/>
    <w:rsid w:val="23F42D7A"/>
    <w:rsid w:val="243E15D2"/>
    <w:rsid w:val="248C239F"/>
    <w:rsid w:val="24C01735"/>
    <w:rsid w:val="260A054E"/>
    <w:rsid w:val="2672115F"/>
    <w:rsid w:val="27696984"/>
    <w:rsid w:val="2777572A"/>
    <w:rsid w:val="27D01472"/>
    <w:rsid w:val="29680990"/>
    <w:rsid w:val="2A290A57"/>
    <w:rsid w:val="2AB724C2"/>
    <w:rsid w:val="2BDB6BA0"/>
    <w:rsid w:val="2C1E133C"/>
    <w:rsid w:val="2C8A4B06"/>
    <w:rsid w:val="2C98567B"/>
    <w:rsid w:val="2CB41F0B"/>
    <w:rsid w:val="2CD00832"/>
    <w:rsid w:val="2CD676E6"/>
    <w:rsid w:val="2D470964"/>
    <w:rsid w:val="2D56181E"/>
    <w:rsid w:val="2DA81C9C"/>
    <w:rsid w:val="2DAF06F2"/>
    <w:rsid w:val="2E1126C1"/>
    <w:rsid w:val="2EA87438"/>
    <w:rsid w:val="2ED5407F"/>
    <w:rsid w:val="2ED7750F"/>
    <w:rsid w:val="2F035497"/>
    <w:rsid w:val="2F4C0C8D"/>
    <w:rsid w:val="309B33FF"/>
    <w:rsid w:val="30BC1722"/>
    <w:rsid w:val="32244339"/>
    <w:rsid w:val="3286486A"/>
    <w:rsid w:val="32C37C7A"/>
    <w:rsid w:val="32E755E0"/>
    <w:rsid w:val="33686D99"/>
    <w:rsid w:val="337C6CC0"/>
    <w:rsid w:val="344D61C6"/>
    <w:rsid w:val="349C3739"/>
    <w:rsid w:val="34C615A8"/>
    <w:rsid w:val="34CE1E6B"/>
    <w:rsid w:val="34FC591A"/>
    <w:rsid w:val="361136D0"/>
    <w:rsid w:val="371949A9"/>
    <w:rsid w:val="382C794B"/>
    <w:rsid w:val="38565103"/>
    <w:rsid w:val="38CF172E"/>
    <w:rsid w:val="38F17BFA"/>
    <w:rsid w:val="392C1AAF"/>
    <w:rsid w:val="39F30484"/>
    <w:rsid w:val="3A5A12DC"/>
    <w:rsid w:val="3A6D03CA"/>
    <w:rsid w:val="3B1778CD"/>
    <w:rsid w:val="3B232088"/>
    <w:rsid w:val="3B317BF8"/>
    <w:rsid w:val="3B366507"/>
    <w:rsid w:val="3B444C8B"/>
    <w:rsid w:val="3B584E63"/>
    <w:rsid w:val="3BA11EAF"/>
    <w:rsid w:val="3BEE36F2"/>
    <w:rsid w:val="3C1866B5"/>
    <w:rsid w:val="3CD83606"/>
    <w:rsid w:val="3D681943"/>
    <w:rsid w:val="3DE905CC"/>
    <w:rsid w:val="3F15552A"/>
    <w:rsid w:val="3F1570AC"/>
    <w:rsid w:val="3F3F6A4A"/>
    <w:rsid w:val="3FE825B1"/>
    <w:rsid w:val="40636CC5"/>
    <w:rsid w:val="40AF38F9"/>
    <w:rsid w:val="40C26E17"/>
    <w:rsid w:val="40E515F4"/>
    <w:rsid w:val="41957C72"/>
    <w:rsid w:val="41CB52D9"/>
    <w:rsid w:val="426E7323"/>
    <w:rsid w:val="42FC0BFC"/>
    <w:rsid w:val="433F19BB"/>
    <w:rsid w:val="43D71B18"/>
    <w:rsid w:val="43EA13EC"/>
    <w:rsid w:val="44257FF3"/>
    <w:rsid w:val="44DF1ED0"/>
    <w:rsid w:val="451D4E27"/>
    <w:rsid w:val="45213BB8"/>
    <w:rsid w:val="455D63A4"/>
    <w:rsid w:val="456F4768"/>
    <w:rsid w:val="459B645D"/>
    <w:rsid w:val="46281087"/>
    <w:rsid w:val="46C925B0"/>
    <w:rsid w:val="46FF2673"/>
    <w:rsid w:val="47247FC6"/>
    <w:rsid w:val="47D14F5D"/>
    <w:rsid w:val="48326470"/>
    <w:rsid w:val="48EE3179"/>
    <w:rsid w:val="49AB1BDF"/>
    <w:rsid w:val="4A1120C3"/>
    <w:rsid w:val="4BA319AA"/>
    <w:rsid w:val="4BB0217D"/>
    <w:rsid w:val="4C792020"/>
    <w:rsid w:val="4C937743"/>
    <w:rsid w:val="4CC72CC3"/>
    <w:rsid w:val="4D110624"/>
    <w:rsid w:val="4D2A6CC4"/>
    <w:rsid w:val="4DF83E37"/>
    <w:rsid w:val="4E3DB79E"/>
    <w:rsid w:val="4EEE4E43"/>
    <w:rsid w:val="4FF02453"/>
    <w:rsid w:val="51047414"/>
    <w:rsid w:val="514D62F5"/>
    <w:rsid w:val="526C71DE"/>
    <w:rsid w:val="52825974"/>
    <w:rsid w:val="531B60B9"/>
    <w:rsid w:val="5355388B"/>
    <w:rsid w:val="539E5774"/>
    <w:rsid w:val="53F52C20"/>
    <w:rsid w:val="54C858DB"/>
    <w:rsid w:val="555F09F4"/>
    <w:rsid w:val="559A3A54"/>
    <w:rsid w:val="55A04AEA"/>
    <w:rsid w:val="55E02135"/>
    <w:rsid w:val="568B128D"/>
    <w:rsid w:val="56AC4BFE"/>
    <w:rsid w:val="56C92286"/>
    <w:rsid w:val="572E59C4"/>
    <w:rsid w:val="574D769A"/>
    <w:rsid w:val="57DA1568"/>
    <w:rsid w:val="581A596A"/>
    <w:rsid w:val="58273838"/>
    <w:rsid w:val="58521157"/>
    <w:rsid w:val="58893BA9"/>
    <w:rsid w:val="5AF87B94"/>
    <w:rsid w:val="5B193F01"/>
    <w:rsid w:val="5B406BF0"/>
    <w:rsid w:val="5C3B177D"/>
    <w:rsid w:val="5C46729C"/>
    <w:rsid w:val="5C9C51B1"/>
    <w:rsid w:val="5CC11424"/>
    <w:rsid w:val="5D0A48DB"/>
    <w:rsid w:val="5DE3C86B"/>
    <w:rsid w:val="5E036CAF"/>
    <w:rsid w:val="5E743C9C"/>
    <w:rsid w:val="5EE57D3B"/>
    <w:rsid w:val="5F304EA5"/>
    <w:rsid w:val="5F4A2210"/>
    <w:rsid w:val="5F555F7D"/>
    <w:rsid w:val="5F6D07E5"/>
    <w:rsid w:val="5FB9366A"/>
    <w:rsid w:val="5FF20BA1"/>
    <w:rsid w:val="60BD4606"/>
    <w:rsid w:val="60D2391E"/>
    <w:rsid w:val="619746BA"/>
    <w:rsid w:val="61F24510"/>
    <w:rsid w:val="61F652B4"/>
    <w:rsid w:val="627154E4"/>
    <w:rsid w:val="62C145CC"/>
    <w:rsid w:val="63FF30F8"/>
    <w:rsid w:val="640A6CAE"/>
    <w:rsid w:val="645818A8"/>
    <w:rsid w:val="6461506E"/>
    <w:rsid w:val="6475724D"/>
    <w:rsid w:val="65D650BD"/>
    <w:rsid w:val="660535CB"/>
    <w:rsid w:val="67C51B08"/>
    <w:rsid w:val="68145D65"/>
    <w:rsid w:val="68514DE6"/>
    <w:rsid w:val="68564A8F"/>
    <w:rsid w:val="687B4566"/>
    <w:rsid w:val="68A83846"/>
    <w:rsid w:val="68F3786F"/>
    <w:rsid w:val="698B31EB"/>
    <w:rsid w:val="69B7766B"/>
    <w:rsid w:val="69C51BF1"/>
    <w:rsid w:val="6AD02094"/>
    <w:rsid w:val="6ADF8263"/>
    <w:rsid w:val="6AF128BA"/>
    <w:rsid w:val="6CEE76E6"/>
    <w:rsid w:val="6D3F6DD5"/>
    <w:rsid w:val="6DAB126C"/>
    <w:rsid w:val="6E061952"/>
    <w:rsid w:val="6E1C196B"/>
    <w:rsid w:val="6E594E78"/>
    <w:rsid w:val="6EBA5A0A"/>
    <w:rsid w:val="70415E91"/>
    <w:rsid w:val="704D0099"/>
    <w:rsid w:val="70E5311B"/>
    <w:rsid w:val="716D6AA8"/>
    <w:rsid w:val="727E7899"/>
    <w:rsid w:val="72F70A2D"/>
    <w:rsid w:val="7329096F"/>
    <w:rsid w:val="7354793C"/>
    <w:rsid w:val="73752B0F"/>
    <w:rsid w:val="73F53F60"/>
    <w:rsid w:val="74615B78"/>
    <w:rsid w:val="74A20BB3"/>
    <w:rsid w:val="752B23CE"/>
    <w:rsid w:val="759539C0"/>
    <w:rsid w:val="7656243A"/>
    <w:rsid w:val="765659EA"/>
    <w:rsid w:val="76B82A1C"/>
    <w:rsid w:val="76EC1EDE"/>
    <w:rsid w:val="775F3A95"/>
    <w:rsid w:val="77720173"/>
    <w:rsid w:val="77AE7679"/>
    <w:rsid w:val="78DD6D9B"/>
    <w:rsid w:val="78F1322D"/>
    <w:rsid w:val="793767A7"/>
    <w:rsid w:val="79473EC1"/>
    <w:rsid w:val="7A45448D"/>
    <w:rsid w:val="7A56731D"/>
    <w:rsid w:val="7B1F6F13"/>
    <w:rsid w:val="7BAE4981"/>
    <w:rsid w:val="7BBC41A0"/>
    <w:rsid w:val="7C3B0EA2"/>
    <w:rsid w:val="7C6519B7"/>
    <w:rsid w:val="7C6765C3"/>
    <w:rsid w:val="7C9C6854"/>
    <w:rsid w:val="7CAC6C53"/>
    <w:rsid w:val="7CE92B5A"/>
    <w:rsid w:val="7CF941EB"/>
    <w:rsid w:val="7D112803"/>
    <w:rsid w:val="7D3F1D11"/>
    <w:rsid w:val="7D7A909A"/>
    <w:rsid w:val="7DBBF466"/>
    <w:rsid w:val="7F193BEA"/>
    <w:rsid w:val="7F2E703A"/>
    <w:rsid w:val="7FF18F74"/>
    <w:rsid w:val="92DB92CC"/>
    <w:rsid w:val="9791966C"/>
    <w:rsid w:val="AFABB44B"/>
    <w:rsid w:val="BE997F9B"/>
    <w:rsid w:val="C1B78FA9"/>
    <w:rsid w:val="DA9E9067"/>
    <w:rsid w:val="DBFB2927"/>
    <w:rsid w:val="E5CBF588"/>
    <w:rsid w:val="E7FF54B3"/>
    <w:rsid w:val="EEFF75C4"/>
    <w:rsid w:val="F37ED144"/>
    <w:rsid w:val="F7FEB1FD"/>
    <w:rsid w:val="FDBF0B1E"/>
    <w:rsid w:val="FEFD3A1B"/>
    <w:rsid w:val="FF94E700"/>
    <w:rsid w:val="FFBAA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3"/>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54"/>
    <w:autoRedefine/>
    <w:qFormat/>
    <w:uiPriority w:val="0"/>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spacing w:before="280" w:after="290" w:line="376" w:lineRule="auto"/>
      <w:outlineLvl w:val="4"/>
    </w:pPr>
    <w:rPr>
      <w:b/>
      <w:bCs/>
      <w:sz w:val="28"/>
      <w:szCs w:val="28"/>
    </w:rPr>
  </w:style>
  <w:style w:type="paragraph" w:styleId="8">
    <w:name w:val="heading 6"/>
    <w:basedOn w:val="1"/>
    <w:next w:val="1"/>
    <w:autoRedefine/>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autoRedefine/>
    <w:qFormat/>
    <w:uiPriority w:val="0"/>
    <w:pPr>
      <w:keepNext/>
      <w:keepLines/>
      <w:spacing w:before="240" w:after="64" w:line="320" w:lineRule="auto"/>
      <w:outlineLvl w:val="6"/>
    </w:pPr>
    <w:rPr>
      <w:b/>
      <w:bCs/>
      <w:sz w:val="24"/>
    </w:rPr>
  </w:style>
  <w:style w:type="paragraph" w:styleId="10">
    <w:name w:val="heading 8"/>
    <w:basedOn w:val="1"/>
    <w:next w:val="1"/>
    <w:autoRedefine/>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autoRedefine/>
    <w:qFormat/>
    <w:uiPriority w:val="0"/>
    <w:pPr>
      <w:keepNext/>
      <w:keepLines/>
      <w:spacing w:before="240" w:after="64" w:line="320" w:lineRule="auto"/>
      <w:outlineLvl w:val="8"/>
    </w:pPr>
    <w:rPr>
      <w:rFonts w:ascii="Arial" w:hAnsi="Arial" w:eastAsia="黑体"/>
      <w:szCs w:val="21"/>
    </w:rPr>
  </w:style>
  <w:style w:type="character" w:default="1" w:styleId="37">
    <w:name w:val="Default Paragraph Font"/>
    <w:autoRedefine/>
    <w:semiHidden/>
    <w:unhideWhenUsed/>
    <w:qFormat/>
    <w:uiPriority w:val="1"/>
  </w:style>
  <w:style w:type="table" w:default="1" w:styleId="35">
    <w:name w:val="Normal Table"/>
    <w:autoRedefine/>
    <w:semiHidden/>
    <w:unhideWhenUsed/>
    <w:qFormat/>
    <w:uiPriority w:val="99"/>
    <w:tblPr>
      <w:tblCellMar>
        <w:top w:w="0" w:type="dxa"/>
        <w:left w:w="108" w:type="dxa"/>
        <w:bottom w:w="0" w:type="dxa"/>
        <w:right w:w="108" w:type="dxa"/>
      </w:tblCellMar>
    </w:tblPr>
  </w:style>
  <w:style w:type="paragraph" w:customStyle="1" w:styleId="2">
    <w:name w:val="UserStyle_0"/>
    <w:next w:val="1"/>
    <w:qFormat/>
    <w:uiPriority w:val="0"/>
    <w:pPr>
      <w:textAlignment w:val="baseline"/>
    </w:pPr>
    <w:rPr>
      <w:rFonts w:ascii="黑体" w:hAnsi="Times New Roman" w:eastAsia="黑体" w:cs="Times New Roman"/>
      <w:color w:val="000000"/>
      <w:sz w:val="24"/>
      <w:szCs w:val="24"/>
      <w:lang w:val="en-US" w:eastAsia="zh-CN" w:bidi="ar-SA"/>
    </w:rPr>
  </w:style>
  <w:style w:type="paragraph" w:styleId="12">
    <w:name w:val="toc 7"/>
    <w:basedOn w:val="13"/>
    <w:next w:val="1"/>
    <w:autoRedefine/>
    <w:semiHidden/>
    <w:qFormat/>
    <w:uiPriority w:val="0"/>
  </w:style>
  <w:style w:type="paragraph" w:styleId="13">
    <w:name w:val="toc 6"/>
    <w:basedOn w:val="14"/>
    <w:next w:val="1"/>
    <w:autoRedefine/>
    <w:semiHidden/>
    <w:qFormat/>
    <w:uiPriority w:val="0"/>
  </w:style>
  <w:style w:type="paragraph" w:styleId="14">
    <w:name w:val="toc 5"/>
    <w:basedOn w:val="15"/>
    <w:next w:val="1"/>
    <w:autoRedefine/>
    <w:semiHidden/>
    <w:qFormat/>
    <w:uiPriority w:val="0"/>
  </w:style>
  <w:style w:type="paragraph" w:styleId="15">
    <w:name w:val="toc 4"/>
    <w:basedOn w:val="16"/>
    <w:next w:val="1"/>
    <w:autoRedefine/>
    <w:semiHidden/>
    <w:qFormat/>
    <w:uiPriority w:val="0"/>
  </w:style>
  <w:style w:type="paragraph" w:styleId="16">
    <w:name w:val="toc 3"/>
    <w:basedOn w:val="17"/>
    <w:next w:val="1"/>
    <w:autoRedefine/>
    <w:semiHidden/>
    <w:qFormat/>
    <w:uiPriority w:val="0"/>
  </w:style>
  <w:style w:type="paragraph" w:styleId="17">
    <w:name w:val="toc 2"/>
    <w:basedOn w:val="18"/>
    <w:next w:val="1"/>
    <w:autoRedefine/>
    <w:qFormat/>
    <w:uiPriority w:val="39"/>
  </w:style>
  <w:style w:type="paragraph" w:styleId="18">
    <w:name w:val="toc 1"/>
    <w:next w:val="1"/>
    <w:autoRedefine/>
    <w:qFormat/>
    <w:uiPriority w:val="39"/>
    <w:pPr>
      <w:jc w:val="both"/>
    </w:pPr>
    <w:rPr>
      <w:rFonts w:ascii="宋体" w:hAnsi="Times New Roman" w:eastAsia="宋体" w:cs="Times New Roman"/>
      <w:sz w:val="21"/>
      <w:lang w:val="en-US" w:eastAsia="zh-CN" w:bidi="ar-SA"/>
    </w:rPr>
  </w:style>
  <w:style w:type="paragraph" w:styleId="19">
    <w:name w:val="annotation text"/>
    <w:basedOn w:val="1"/>
    <w:link w:val="125"/>
    <w:autoRedefine/>
    <w:semiHidden/>
    <w:unhideWhenUsed/>
    <w:qFormat/>
    <w:uiPriority w:val="99"/>
    <w:pPr>
      <w:jc w:val="left"/>
    </w:pPr>
    <w:rPr>
      <w:szCs w:val="21"/>
    </w:rPr>
  </w:style>
  <w:style w:type="paragraph" w:styleId="20">
    <w:name w:val="Body Text"/>
    <w:basedOn w:val="1"/>
    <w:link w:val="127"/>
    <w:autoRedefine/>
    <w:qFormat/>
    <w:uiPriority w:val="0"/>
    <w:rPr>
      <w:sz w:val="28"/>
    </w:rPr>
  </w:style>
  <w:style w:type="paragraph" w:styleId="21">
    <w:name w:val="HTML Address"/>
    <w:basedOn w:val="1"/>
    <w:autoRedefine/>
    <w:semiHidden/>
    <w:qFormat/>
    <w:uiPriority w:val="0"/>
    <w:rPr>
      <w:i/>
      <w:iCs/>
    </w:rPr>
  </w:style>
  <w:style w:type="paragraph" w:styleId="22">
    <w:name w:val="toc 8"/>
    <w:basedOn w:val="12"/>
    <w:next w:val="1"/>
    <w:autoRedefine/>
    <w:semiHidden/>
    <w:qFormat/>
    <w:uiPriority w:val="0"/>
  </w:style>
  <w:style w:type="paragraph" w:styleId="23">
    <w:name w:val="Date"/>
    <w:basedOn w:val="1"/>
    <w:next w:val="1"/>
    <w:link w:val="122"/>
    <w:autoRedefine/>
    <w:unhideWhenUsed/>
    <w:qFormat/>
    <w:uiPriority w:val="0"/>
    <w:pPr>
      <w:ind w:left="100" w:leftChars="2500"/>
    </w:pPr>
    <w:rPr>
      <w:kern w:val="0"/>
      <w:sz w:val="20"/>
      <w:szCs w:val="21"/>
    </w:rPr>
  </w:style>
  <w:style w:type="paragraph" w:styleId="24">
    <w:name w:val="Balloon Text"/>
    <w:basedOn w:val="1"/>
    <w:link w:val="120"/>
    <w:autoRedefine/>
    <w:semiHidden/>
    <w:qFormat/>
    <w:uiPriority w:val="99"/>
    <w:rPr>
      <w:kern w:val="0"/>
      <w:sz w:val="18"/>
      <w:szCs w:val="18"/>
    </w:rPr>
  </w:style>
  <w:style w:type="paragraph" w:styleId="25">
    <w:name w:val="footer"/>
    <w:basedOn w:val="1"/>
    <w:link w:val="112"/>
    <w:autoRedefine/>
    <w:qFormat/>
    <w:uiPriority w:val="99"/>
    <w:pPr>
      <w:tabs>
        <w:tab w:val="center" w:pos="4153"/>
        <w:tab w:val="right" w:pos="8306"/>
      </w:tabs>
      <w:snapToGrid w:val="0"/>
      <w:ind w:right="210" w:rightChars="100"/>
      <w:jc w:val="right"/>
    </w:pPr>
    <w:rPr>
      <w:sz w:val="18"/>
      <w:szCs w:val="18"/>
    </w:rPr>
  </w:style>
  <w:style w:type="paragraph" w:styleId="26">
    <w:name w:val="header"/>
    <w:basedOn w:val="1"/>
    <w:link w:val="113"/>
    <w:autoRedefine/>
    <w:qFormat/>
    <w:uiPriority w:val="99"/>
    <w:pPr>
      <w:pBdr>
        <w:bottom w:val="single" w:color="auto" w:sz="6" w:space="1"/>
      </w:pBdr>
      <w:tabs>
        <w:tab w:val="center" w:pos="4153"/>
        <w:tab w:val="right" w:pos="8306"/>
      </w:tabs>
      <w:snapToGrid w:val="0"/>
      <w:jc w:val="center"/>
    </w:pPr>
    <w:rPr>
      <w:sz w:val="18"/>
      <w:szCs w:val="18"/>
    </w:rPr>
  </w:style>
  <w:style w:type="paragraph" w:styleId="27">
    <w:name w:val="index heading"/>
    <w:basedOn w:val="1"/>
    <w:next w:val="28"/>
    <w:autoRedefine/>
    <w:qFormat/>
    <w:uiPriority w:val="0"/>
    <w:pPr>
      <w:adjustRightInd/>
      <w:spacing w:line="240" w:lineRule="auto"/>
    </w:pPr>
    <w:rPr>
      <w:rFonts w:ascii="Arial" w:hAnsi="Arial"/>
      <w:b/>
      <w:szCs w:val="24"/>
    </w:rPr>
  </w:style>
  <w:style w:type="paragraph" w:styleId="28">
    <w:name w:val="index 1"/>
    <w:basedOn w:val="1"/>
    <w:next w:val="1"/>
    <w:autoRedefine/>
    <w:semiHidden/>
    <w:unhideWhenUsed/>
    <w:qFormat/>
    <w:uiPriority w:val="99"/>
  </w:style>
  <w:style w:type="paragraph" w:styleId="29">
    <w:name w:val="footnote text"/>
    <w:basedOn w:val="1"/>
    <w:autoRedefine/>
    <w:semiHidden/>
    <w:qFormat/>
    <w:uiPriority w:val="0"/>
    <w:pPr>
      <w:snapToGrid w:val="0"/>
      <w:jc w:val="left"/>
    </w:pPr>
    <w:rPr>
      <w:sz w:val="18"/>
      <w:szCs w:val="18"/>
    </w:rPr>
  </w:style>
  <w:style w:type="paragraph" w:styleId="30">
    <w:name w:val="toc 9"/>
    <w:basedOn w:val="22"/>
    <w:next w:val="1"/>
    <w:autoRedefine/>
    <w:semiHidden/>
    <w:qFormat/>
    <w:uiPriority w:val="0"/>
  </w:style>
  <w:style w:type="paragraph" w:styleId="31">
    <w:name w:val="HTML Preformatted"/>
    <w:basedOn w:val="1"/>
    <w:autoRedefine/>
    <w:semiHidden/>
    <w:qFormat/>
    <w:uiPriority w:val="0"/>
    <w:rPr>
      <w:rFonts w:ascii="Courier New" w:hAnsi="Courier New" w:cs="Courier New"/>
      <w:sz w:val="20"/>
      <w:szCs w:val="20"/>
    </w:rPr>
  </w:style>
  <w:style w:type="paragraph" w:styleId="32">
    <w:name w:val="Normal (Web)"/>
    <w:basedOn w:val="1"/>
    <w:autoRedefine/>
    <w:semiHidden/>
    <w:qFormat/>
    <w:uiPriority w:val="99"/>
    <w:pPr>
      <w:widowControl/>
      <w:spacing w:before="100" w:beforeAutospacing="1" w:after="100" w:afterAutospacing="1"/>
      <w:jc w:val="left"/>
    </w:pPr>
    <w:rPr>
      <w:rFonts w:ascii="宋体" w:hAnsi="宋体" w:cs="宋体"/>
      <w:kern w:val="0"/>
      <w:sz w:val="24"/>
    </w:rPr>
  </w:style>
  <w:style w:type="paragraph" w:styleId="33">
    <w:name w:val="Title"/>
    <w:basedOn w:val="1"/>
    <w:link w:val="128"/>
    <w:autoRedefine/>
    <w:qFormat/>
    <w:uiPriority w:val="99"/>
    <w:pPr>
      <w:spacing w:before="240" w:after="60"/>
      <w:jc w:val="center"/>
      <w:outlineLvl w:val="0"/>
    </w:pPr>
    <w:rPr>
      <w:rFonts w:ascii="Arial" w:hAnsi="Arial" w:cs="Arial"/>
      <w:b/>
      <w:bCs/>
      <w:sz w:val="32"/>
      <w:szCs w:val="32"/>
    </w:rPr>
  </w:style>
  <w:style w:type="paragraph" w:styleId="34">
    <w:name w:val="annotation subject"/>
    <w:basedOn w:val="19"/>
    <w:next w:val="19"/>
    <w:link w:val="129"/>
    <w:autoRedefine/>
    <w:semiHidden/>
    <w:unhideWhenUsed/>
    <w:qFormat/>
    <w:uiPriority w:val="99"/>
    <w:rPr>
      <w:b/>
      <w:bCs/>
      <w:szCs w:val="24"/>
    </w:rPr>
  </w:style>
  <w:style w:type="table" w:styleId="36">
    <w:name w:val="Table Grid"/>
    <w:basedOn w:val="35"/>
    <w:autoRedefine/>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basedOn w:val="37"/>
    <w:autoRedefine/>
    <w:qFormat/>
    <w:uiPriority w:val="22"/>
    <w:rPr>
      <w:b/>
    </w:rPr>
  </w:style>
  <w:style w:type="character" w:styleId="39">
    <w:name w:val="page number"/>
    <w:autoRedefine/>
    <w:qFormat/>
    <w:uiPriority w:val="99"/>
    <w:rPr>
      <w:rFonts w:ascii="Times New Roman" w:hAnsi="Times New Roman" w:eastAsia="宋体"/>
      <w:sz w:val="18"/>
    </w:rPr>
  </w:style>
  <w:style w:type="character" w:styleId="40">
    <w:name w:val="Emphasis"/>
    <w:autoRedefine/>
    <w:qFormat/>
    <w:uiPriority w:val="20"/>
    <w:rPr>
      <w:i/>
      <w:iCs/>
    </w:rPr>
  </w:style>
  <w:style w:type="character" w:styleId="41">
    <w:name w:val="HTML Definition"/>
    <w:autoRedefine/>
    <w:semiHidden/>
    <w:qFormat/>
    <w:uiPriority w:val="0"/>
    <w:rPr>
      <w:i/>
      <w:iCs/>
    </w:rPr>
  </w:style>
  <w:style w:type="character" w:styleId="42">
    <w:name w:val="HTML Typewriter"/>
    <w:autoRedefine/>
    <w:semiHidden/>
    <w:qFormat/>
    <w:uiPriority w:val="0"/>
    <w:rPr>
      <w:rFonts w:ascii="Courier New" w:hAnsi="Courier New"/>
      <w:sz w:val="20"/>
      <w:szCs w:val="20"/>
    </w:rPr>
  </w:style>
  <w:style w:type="character" w:styleId="43">
    <w:name w:val="HTML Acronym"/>
    <w:basedOn w:val="37"/>
    <w:autoRedefine/>
    <w:semiHidden/>
    <w:qFormat/>
    <w:uiPriority w:val="0"/>
  </w:style>
  <w:style w:type="character" w:styleId="44">
    <w:name w:val="HTML Variable"/>
    <w:autoRedefine/>
    <w:semiHidden/>
    <w:qFormat/>
    <w:uiPriority w:val="0"/>
    <w:rPr>
      <w:i/>
      <w:iCs/>
    </w:rPr>
  </w:style>
  <w:style w:type="character" w:styleId="45">
    <w:name w:val="Hyperlink"/>
    <w:autoRedefine/>
    <w:qFormat/>
    <w:uiPriority w:val="99"/>
    <w:rPr>
      <w:rFonts w:ascii="Times New Roman" w:hAnsi="Times New Roman" w:eastAsia="宋体"/>
      <w:color w:val="auto"/>
      <w:spacing w:val="0"/>
      <w:w w:val="100"/>
      <w:position w:val="0"/>
      <w:sz w:val="21"/>
      <w:u w:val="none"/>
      <w:vertAlign w:val="baseline"/>
    </w:rPr>
  </w:style>
  <w:style w:type="character" w:styleId="46">
    <w:name w:val="HTML Code"/>
    <w:autoRedefine/>
    <w:semiHidden/>
    <w:qFormat/>
    <w:uiPriority w:val="0"/>
    <w:rPr>
      <w:rFonts w:ascii="Courier New" w:hAnsi="Courier New"/>
      <w:sz w:val="20"/>
      <w:szCs w:val="20"/>
    </w:rPr>
  </w:style>
  <w:style w:type="character" w:styleId="47">
    <w:name w:val="annotation reference"/>
    <w:basedOn w:val="37"/>
    <w:autoRedefine/>
    <w:semiHidden/>
    <w:unhideWhenUsed/>
    <w:qFormat/>
    <w:uiPriority w:val="99"/>
    <w:rPr>
      <w:sz w:val="21"/>
      <w:szCs w:val="21"/>
    </w:rPr>
  </w:style>
  <w:style w:type="character" w:styleId="48">
    <w:name w:val="HTML Cite"/>
    <w:autoRedefine/>
    <w:semiHidden/>
    <w:qFormat/>
    <w:uiPriority w:val="0"/>
    <w:rPr>
      <w:i/>
      <w:iCs/>
    </w:rPr>
  </w:style>
  <w:style w:type="character" w:styleId="49">
    <w:name w:val="footnote reference"/>
    <w:autoRedefine/>
    <w:semiHidden/>
    <w:qFormat/>
    <w:uiPriority w:val="0"/>
    <w:rPr>
      <w:vertAlign w:val="superscript"/>
    </w:rPr>
  </w:style>
  <w:style w:type="character" w:styleId="50">
    <w:name w:val="HTML Keyboard"/>
    <w:autoRedefine/>
    <w:semiHidden/>
    <w:qFormat/>
    <w:uiPriority w:val="0"/>
    <w:rPr>
      <w:rFonts w:ascii="Courier New" w:hAnsi="Courier New"/>
      <w:sz w:val="20"/>
      <w:szCs w:val="20"/>
    </w:rPr>
  </w:style>
  <w:style w:type="character" w:styleId="51">
    <w:name w:val="HTML Sample"/>
    <w:autoRedefine/>
    <w:semiHidden/>
    <w:qFormat/>
    <w:uiPriority w:val="0"/>
    <w:rPr>
      <w:rFonts w:ascii="Courier New" w:hAnsi="Courier New"/>
    </w:rPr>
  </w:style>
  <w:style w:type="character" w:customStyle="1" w:styleId="52">
    <w:name w:val="标题 1 Char"/>
    <w:link w:val="3"/>
    <w:autoRedefine/>
    <w:qFormat/>
    <w:uiPriority w:val="0"/>
    <w:rPr>
      <w:b/>
      <w:bCs/>
      <w:kern w:val="44"/>
      <w:sz w:val="44"/>
      <w:szCs w:val="44"/>
    </w:rPr>
  </w:style>
  <w:style w:type="character" w:customStyle="1" w:styleId="53">
    <w:name w:val="标题 2 Char"/>
    <w:link w:val="4"/>
    <w:autoRedefine/>
    <w:qFormat/>
    <w:uiPriority w:val="0"/>
    <w:rPr>
      <w:rFonts w:ascii="Arial" w:hAnsi="Arial" w:eastAsia="黑体"/>
      <w:b/>
      <w:bCs/>
      <w:kern w:val="2"/>
      <w:sz w:val="32"/>
      <w:szCs w:val="32"/>
    </w:rPr>
  </w:style>
  <w:style w:type="character" w:customStyle="1" w:styleId="54">
    <w:name w:val="标题 3 Char"/>
    <w:link w:val="5"/>
    <w:autoRedefine/>
    <w:qFormat/>
    <w:uiPriority w:val="0"/>
    <w:rPr>
      <w:b/>
      <w:bCs/>
      <w:kern w:val="2"/>
      <w:sz w:val="32"/>
      <w:szCs w:val="32"/>
    </w:rPr>
  </w:style>
  <w:style w:type="paragraph" w:customStyle="1" w:styleId="55">
    <w:name w:val="标准标志"/>
    <w:next w:val="1"/>
    <w:autoRedefine/>
    <w:qFormat/>
    <w:uiPriority w:val="99"/>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57">
    <w:name w:val="标准书脚_偶数页"/>
    <w:autoRedefine/>
    <w:qFormat/>
    <w:uiPriority w:val="99"/>
    <w:pPr>
      <w:spacing w:before="120"/>
    </w:pPr>
    <w:rPr>
      <w:rFonts w:ascii="Times New Roman" w:hAnsi="Times New Roman" w:eastAsia="宋体" w:cs="Times New Roman"/>
      <w:sz w:val="18"/>
      <w:lang w:val="en-US" w:eastAsia="zh-CN" w:bidi="ar-SA"/>
    </w:rPr>
  </w:style>
  <w:style w:type="paragraph" w:customStyle="1" w:styleId="58">
    <w:name w:val="标准书脚_奇数页"/>
    <w:autoRedefine/>
    <w:qFormat/>
    <w:uiPriority w:val="99"/>
    <w:pPr>
      <w:spacing w:before="120"/>
      <w:jc w:val="right"/>
    </w:pPr>
    <w:rPr>
      <w:rFonts w:ascii="Times New Roman" w:hAnsi="Times New Roman" w:eastAsia="宋体" w:cs="Times New Roman"/>
      <w:sz w:val="18"/>
      <w:lang w:val="en-US" w:eastAsia="zh-CN" w:bidi="ar-SA"/>
    </w:rPr>
  </w:style>
  <w:style w:type="paragraph" w:customStyle="1" w:styleId="59">
    <w:name w:val="标准书眉_奇数页"/>
    <w:next w:val="1"/>
    <w:autoRedefine/>
    <w:qFormat/>
    <w:uiPriority w:val="99"/>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60">
    <w:name w:val="标准书眉_偶数页"/>
    <w:basedOn w:val="59"/>
    <w:next w:val="1"/>
    <w:autoRedefine/>
    <w:qFormat/>
    <w:uiPriority w:val="99"/>
    <w:pPr>
      <w:jc w:val="left"/>
    </w:pPr>
  </w:style>
  <w:style w:type="paragraph" w:customStyle="1" w:styleId="61">
    <w:name w:val="标准书眉一"/>
    <w:autoRedefine/>
    <w:qFormat/>
    <w:uiPriority w:val="99"/>
    <w:pPr>
      <w:jc w:val="both"/>
    </w:pPr>
    <w:rPr>
      <w:rFonts w:ascii="Times New Roman" w:hAnsi="Times New Roman" w:eastAsia="宋体" w:cs="Times New Roman"/>
      <w:lang w:val="en-US" w:eastAsia="zh-CN" w:bidi="ar-SA"/>
    </w:rPr>
  </w:style>
  <w:style w:type="paragraph" w:customStyle="1" w:styleId="62">
    <w:name w:val="前言、引言标题"/>
    <w:next w:val="1"/>
    <w:autoRedefine/>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3">
    <w:name w:val="参考文献、索引标题"/>
    <w:basedOn w:val="62"/>
    <w:next w:val="1"/>
    <w:autoRedefine/>
    <w:qFormat/>
    <w:uiPriority w:val="99"/>
    <w:pPr>
      <w:numPr>
        <w:numId w:val="0"/>
      </w:numPr>
      <w:spacing w:after="200"/>
    </w:pPr>
    <w:rPr>
      <w:sz w:val="21"/>
    </w:rPr>
  </w:style>
  <w:style w:type="paragraph" w:customStyle="1" w:styleId="64">
    <w:name w:val="段"/>
    <w:link w:val="6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5">
    <w:name w:val="段 Char"/>
    <w:link w:val="64"/>
    <w:autoRedefine/>
    <w:qFormat/>
    <w:uiPriority w:val="0"/>
    <w:rPr>
      <w:rFonts w:ascii="宋体"/>
      <w:sz w:val="21"/>
      <w:lang w:bidi="ar-SA"/>
    </w:rPr>
  </w:style>
  <w:style w:type="paragraph" w:customStyle="1" w:styleId="66">
    <w:name w:val="章标题"/>
    <w:next w:val="64"/>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7">
    <w:name w:val="一级条标题"/>
    <w:basedOn w:val="66"/>
    <w:next w:val="64"/>
    <w:autoRedefine/>
    <w:qFormat/>
    <w:uiPriority w:val="0"/>
    <w:pPr>
      <w:numPr>
        <w:ilvl w:val="2"/>
      </w:numPr>
      <w:spacing w:beforeLines="0" w:afterLines="0"/>
      <w:outlineLvl w:val="2"/>
    </w:pPr>
  </w:style>
  <w:style w:type="paragraph" w:customStyle="1" w:styleId="68">
    <w:name w:val="二级条标题"/>
    <w:basedOn w:val="67"/>
    <w:next w:val="64"/>
    <w:autoRedefine/>
    <w:qFormat/>
    <w:uiPriority w:val="0"/>
    <w:pPr>
      <w:numPr>
        <w:ilvl w:val="3"/>
      </w:numPr>
      <w:outlineLvl w:val="3"/>
    </w:pPr>
  </w:style>
  <w:style w:type="paragraph" w:customStyle="1" w:styleId="69">
    <w:name w:val="二级无标题条"/>
    <w:basedOn w:val="1"/>
    <w:autoRedefine/>
    <w:qFormat/>
    <w:uiPriority w:val="0"/>
    <w:pPr>
      <w:numPr>
        <w:ilvl w:val="3"/>
        <w:numId w:val="2"/>
      </w:numPr>
    </w:pPr>
  </w:style>
  <w:style w:type="character" w:customStyle="1" w:styleId="70">
    <w:name w:val="发布"/>
    <w:autoRedefine/>
    <w:qFormat/>
    <w:uiPriority w:val="99"/>
    <w:rPr>
      <w:rFonts w:ascii="黑体" w:eastAsia="黑体"/>
      <w:spacing w:val="22"/>
      <w:w w:val="100"/>
      <w:position w:val="3"/>
      <w:sz w:val="28"/>
    </w:rPr>
  </w:style>
  <w:style w:type="paragraph" w:customStyle="1" w:styleId="71">
    <w:name w:val="发布部门"/>
    <w:next w:val="64"/>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72">
    <w:name w:val="发布日期"/>
    <w:autoRedefine/>
    <w:qFormat/>
    <w:uiPriority w:val="99"/>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3">
    <w:name w:val="封面标准号1"/>
    <w:autoRedefine/>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号2"/>
    <w:basedOn w:val="73"/>
    <w:autoRedefine/>
    <w:qFormat/>
    <w:uiPriority w:val="0"/>
    <w:pPr>
      <w:framePr w:w="9138" w:h="1244" w:hRule="exact" w:wrap="around" w:vAnchor="page" w:hAnchor="margin" w:y="2908"/>
      <w:adjustRightInd w:val="0"/>
      <w:spacing w:before="357" w:line="280" w:lineRule="exact"/>
    </w:pPr>
  </w:style>
  <w:style w:type="paragraph" w:customStyle="1" w:styleId="75">
    <w:name w:val="封面标准代替信息"/>
    <w:basedOn w:val="74"/>
    <w:autoRedefine/>
    <w:qFormat/>
    <w:uiPriority w:val="0"/>
    <w:pPr>
      <w:spacing w:before="57"/>
    </w:pPr>
    <w:rPr>
      <w:rFonts w:ascii="宋体"/>
      <w:sz w:val="21"/>
    </w:rPr>
  </w:style>
  <w:style w:type="paragraph" w:customStyle="1" w:styleId="76">
    <w:name w:val="封面标准名称"/>
    <w:autoRedefine/>
    <w:qFormat/>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8">
    <w:name w:val="封面标准文稿类别"/>
    <w:autoRedefine/>
    <w:qFormat/>
    <w:uiPriority w:val="99"/>
    <w:pPr>
      <w:spacing w:before="440" w:line="400" w:lineRule="exact"/>
      <w:jc w:val="center"/>
    </w:pPr>
    <w:rPr>
      <w:rFonts w:ascii="宋体" w:hAnsi="Times New Roman" w:eastAsia="宋体" w:cs="Times New Roman"/>
      <w:sz w:val="24"/>
      <w:lang w:val="en-US" w:eastAsia="zh-CN" w:bidi="ar-SA"/>
    </w:rPr>
  </w:style>
  <w:style w:type="paragraph" w:customStyle="1" w:styleId="79">
    <w:name w:val="封面标准英文名称"/>
    <w:autoRedefine/>
    <w:qFormat/>
    <w:uiPriority w:val="99"/>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80">
    <w:name w:val="封面一致性程度标识"/>
    <w:autoRedefine/>
    <w:qFormat/>
    <w:uiPriority w:val="99"/>
    <w:pPr>
      <w:spacing w:before="440" w:line="400" w:lineRule="exact"/>
      <w:jc w:val="center"/>
    </w:pPr>
    <w:rPr>
      <w:rFonts w:ascii="宋体" w:hAnsi="Times New Roman" w:eastAsia="宋体" w:cs="Times New Roman"/>
      <w:sz w:val="28"/>
      <w:lang w:val="en-US" w:eastAsia="zh-CN" w:bidi="ar-SA"/>
    </w:rPr>
  </w:style>
  <w:style w:type="paragraph" w:customStyle="1" w:styleId="81">
    <w:name w:val="封面正文"/>
    <w:autoRedefine/>
    <w:qFormat/>
    <w:uiPriority w:val="99"/>
    <w:pPr>
      <w:jc w:val="both"/>
    </w:pPr>
    <w:rPr>
      <w:rFonts w:ascii="Times New Roman" w:hAnsi="Times New Roman" w:eastAsia="宋体" w:cs="Times New Roman"/>
      <w:lang w:val="en-US" w:eastAsia="zh-CN" w:bidi="ar-SA"/>
    </w:rPr>
  </w:style>
  <w:style w:type="paragraph" w:customStyle="1" w:styleId="82">
    <w:name w:val="附录标识"/>
    <w:basedOn w:val="62"/>
    <w:autoRedefine/>
    <w:qFormat/>
    <w:uiPriority w:val="0"/>
    <w:pPr>
      <w:numPr>
        <w:ilvl w:val="0"/>
        <w:numId w:val="3"/>
      </w:numPr>
      <w:tabs>
        <w:tab w:val="left" w:pos="6405"/>
      </w:tabs>
      <w:spacing w:after="200"/>
    </w:pPr>
    <w:rPr>
      <w:sz w:val="21"/>
    </w:rPr>
  </w:style>
  <w:style w:type="paragraph" w:customStyle="1" w:styleId="83">
    <w:name w:val="附录表标题"/>
    <w:next w:val="64"/>
    <w:autoRedefine/>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4">
    <w:name w:val="附录章标题"/>
    <w:next w:val="64"/>
    <w:autoRedefine/>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5">
    <w:name w:val="附录一级条标题"/>
    <w:basedOn w:val="84"/>
    <w:next w:val="64"/>
    <w:autoRedefine/>
    <w:qFormat/>
    <w:uiPriority w:val="0"/>
    <w:pPr>
      <w:numPr>
        <w:ilvl w:val="2"/>
      </w:numPr>
      <w:autoSpaceDN w:val="0"/>
      <w:spacing w:beforeLines="0" w:afterLines="0"/>
      <w:outlineLvl w:val="2"/>
    </w:pPr>
  </w:style>
  <w:style w:type="paragraph" w:customStyle="1" w:styleId="86">
    <w:name w:val="附录二级条标题"/>
    <w:basedOn w:val="85"/>
    <w:next w:val="64"/>
    <w:autoRedefine/>
    <w:qFormat/>
    <w:uiPriority w:val="0"/>
    <w:pPr>
      <w:numPr>
        <w:ilvl w:val="3"/>
      </w:numPr>
      <w:outlineLvl w:val="3"/>
    </w:pPr>
  </w:style>
  <w:style w:type="paragraph" w:customStyle="1" w:styleId="87">
    <w:name w:val="附录三级条标题"/>
    <w:basedOn w:val="86"/>
    <w:next w:val="64"/>
    <w:autoRedefine/>
    <w:qFormat/>
    <w:uiPriority w:val="0"/>
    <w:pPr>
      <w:numPr>
        <w:ilvl w:val="4"/>
      </w:numPr>
      <w:outlineLvl w:val="4"/>
    </w:pPr>
  </w:style>
  <w:style w:type="paragraph" w:customStyle="1" w:styleId="88">
    <w:name w:val="附录四级条标题"/>
    <w:basedOn w:val="87"/>
    <w:next w:val="64"/>
    <w:autoRedefine/>
    <w:qFormat/>
    <w:uiPriority w:val="0"/>
    <w:pPr>
      <w:numPr>
        <w:ilvl w:val="5"/>
      </w:numPr>
      <w:outlineLvl w:val="5"/>
    </w:pPr>
  </w:style>
  <w:style w:type="paragraph" w:customStyle="1" w:styleId="89">
    <w:name w:val="附录图标题"/>
    <w:next w:val="64"/>
    <w:autoRedefine/>
    <w:qFormat/>
    <w:uiPriority w:val="0"/>
    <w:pPr>
      <w:jc w:val="center"/>
    </w:pPr>
    <w:rPr>
      <w:rFonts w:ascii="黑体" w:hAnsi="Times New Roman" w:eastAsia="黑体" w:cs="Times New Roman"/>
      <w:sz w:val="21"/>
      <w:lang w:val="en-US" w:eastAsia="zh-CN" w:bidi="ar-SA"/>
    </w:rPr>
  </w:style>
  <w:style w:type="paragraph" w:customStyle="1" w:styleId="90">
    <w:name w:val="附录五级条标题"/>
    <w:basedOn w:val="88"/>
    <w:next w:val="64"/>
    <w:autoRedefine/>
    <w:qFormat/>
    <w:uiPriority w:val="0"/>
    <w:pPr>
      <w:numPr>
        <w:ilvl w:val="6"/>
      </w:numPr>
      <w:outlineLvl w:val="6"/>
    </w:pPr>
  </w:style>
  <w:style w:type="character" w:customStyle="1" w:styleId="91">
    <w:name w:val="个人答复风格"/>
    <w:autoRedefine/>
    <w:qFormat/>
    <w:uiPriority w:val="0"/>
    <w:rPr>
      <w:rFonts w:ascii="Arial" w:hAnsi="Arial" w:eastAsia="宋体" w:cs="Arial"/>
      <w:color w:val="auto"/>
      <w:sz w:val="20"/>
    </w:rPr>
  </w:style>
  <w:style w:type="character" w:customStyle="1" w:styleId="92">
    <w:name w:val="个人撰写风格"/>
    <w:autoRedefine/>
    <w:qFormat/>
    <w:uiPriority w:val="0"/>
    <w:rPr>
      <w:rFonts w:ascii="Arial" w:hAnsi="Arial" w:eastAsia="宋体" w:cs="Arial"/>
      <w:color w:val="auto"/>
      <w:sz w:val="20"/>
    </w:rPr>
  </w:style>
  <w:style w:type="paragraph" w:customStyle="1" w:styleId="93">
    <w:name w:val="列项——"/>
    <w:autoRedefine/>
    <w:qFormat/>
    <w:uiPriority w:val="0"/>
    <w:pPr>
      <w:widowControl w:val="0"/>
      <w:numPr>
        <w:ilvl w:val="0"/>
        <w:numId w:val="4"/>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94">
    <w:name w:val="列项·"/>
    <w:autoRedefine/>
    <w:qFormat/>
    <w:uiPriority w:val="0"/>
    <w:pPr>
      <w:numPr>
        <w:ilvl w:val="0"/>
        <w:numId w:val="5"/>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95">
    <w:name w:val="目次、标准名称标题"/>
    <w:basedOn w:val="62"/>
    <w:next w:val="1"/>
    <w:autoRedefine/>
    <w:qFormat/>
    <w:uiPriority w:val="99"/>
    <w:pPr>
      <w:numPr>
        <w:numId w:val="0"/>
      </w:numPr>
      <w:spacing w:line="460" w:lineRule="exact"/>
    </w:pPr>
  </w:style>
  <w:style w:type="paragraph" w:customStyle="1" w:styleId="96">
    <w:name w:val="目次、索引正文"/>
    <w:autoRedefine/>
    <w:qFormat/>
    <w:uiPriority w:val="99"/>
    <w:pPr>
      <w:spacing w:line="320" w:lineRule="exact"/>
      <w:jc w:val="both"/>
    </w:pPr>
    <w:rPr>
      <w:rFonts w:ascii="宋体" w:hAnsi="Times New Roman" w:eastAsia="宋体" w:cs="Times New Roman"/>
      <w:sz w:val="21"/>
      <w:lang w:val="en-US" w:eastAsia="zh-CN" w:bidi="ar-SA"/>
    </w:rPr>
  </w:style>
  <w:style w:type="paragraph" w:customStyle="1" w:styleId="97">
    <w:name w:val="其他标准称谓"/>
    <w:autoRedefine/>
    <w:qFormat/>
    <w:uiPriority w:val="99"/>
    <w:pPr>
      <w:spacing w:line="0" w:lineRule="atLeast"/>
      <w:jc w:val="distribute"/>
    </w:pPr>
    <w:rPr>
      <w:rFonts w:ascii="黑体" w:hAnsi="宋体" w:eastAsia="黑体" w:cs="Times New Roman"/>
      <w:sz w:val="52"/>
      <w:lang w:val="en-US" w:eastAsia="zh-CN" w:bidi="ar-SA"/>
    </w:rPr>
  </w:style>
  <w:style w:type="paragraph" w:customStyle="1" w:styleId="98">
    <w:name w:val="其他发布部门"/>
    <w:basedOn w:val="71"/>
    <w:autoRedefine/>
    <w:qFormat/>
    <w:uiPriority w:val="99"/>
    <w:pPr>
      <w:spacing w:line="0" w:lineRule="atLeast"/>
    </w:pPr>
    <w:rPr>
      <w:rFonts w:ascii="黑体" w:eastAsia="黑体"/>
      <w:b w:val="0"/>
    </w:rPr>
  </w:style>
  <w:style w:type="paragraph" w:customStyle="1" w:styleId="99">
    <w:name w:val="三级条标题"/>
    <w:basedOn w:val="68"/>
    <w:next w:val="64"/>
    <w:autoRedefine/>
    <w:qFormat/>
    <w:uiPriority w:val="0"/>
    <w:pPr>
      <w:numPr>
        <w:ilvl w:val="4"/>
      </w:numPr>
      <w:outlineLvl w:val="4"/>
    </w:pPr>
  </w:style>
  <w:style w:type="paragraph" w:customStyle="1" w:styleId="100">
    <w:name w:val="三级无标题条"/>
    <w:basedOn w:val="1"/>
    <w:autoRedefine/>
    <w:qFormat/>
    <w:uiPriority w:val="0"/>
    <w:pPr>
      <w:numPr>
        <w:ilvl w:val="4"/>
        <w:numId w:val="2"/>
      </w:numPr>
    </w:pPr>
  </w:style>
  <w:style w:type="paragraph" w:customStyle="1" w:styleId="101">
    <w:name w:val="实施日期"/>
    <w:basedOn w:val="72"/>
    <w:autoRedefine/>
    <w:qFormat/>
    <w:uiPriority w:val="99"/>
    <w:pPr>
      <w:framePr w:hSpace="0" w:xAlign="right"/>
      <w:jc w:val="right"/>
    </w:pPr>
  </w:style>
  <w:style w:type="paragraph" w:customStyle="1" w:styleId="102">
    <w:name w:val="示例"/>
    <w:next w:val="64"/>
    <w:autoRedefine/>
    <w:qFormat/>
    <w:uiPriority w:val="0"/>
    <w:pPr>
      <w:numPr>
        <w:ilvl w:val="0"/>
        <w:numId w:val="6"/>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03">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4">
    <w:name w:val="四级条标题"/>
    <w:basedOn w:val="99"/>
    <w:next w:val="64"/>
    <w:autoRedefine/>
    <w:qFormat/>
    <w:uiPriority w:val="0"/>
    <w:pPr>
      <w:numPr>
        <w:ilvl w:val="5"/>
      </w:numPr>
      <w:outlineLvl w:val="5"/>
    </w:pPr>
  </w:style>
  <w:style w:type="paragraph" w:customStyle="1" w:styleId="105">
    <w:name w:val="四级无标题条"/>
    <w:basedOn w:val="1"/>
    <w:autoRedefine/>
    <w:qFormat/>
    <w:uiPriority w:val="0"/>
    <w:pPr>
      <w:numPr>
        <w:ilvl w:val="5"/>
        <w:numId w:val="2"/>
      </w:numPr>
    </w:pPr>
  </w:style>
  <w:style w:type="paragraph" w:customStyle="1" w:styleId="106">
    <w:name w:val="条文脚注"/>
    <w:basedOn w:val="29"/>
    <w:autoRedefine/>
    <w:qFormat/>
    <w:uiPriority w:val="0"/>
    <w:pPr>
      <w:ind w:left="780" w:leftChars="200" w:hanging="360" w:hangingChars="200"/>
      <w:jc w:val="both"/>
    </w:pPr>
    <w:rPr>
      <w:rFonts w:ascii="宋体"/>
    </w:rPr>
  </w:style>
  <w:style w:type="paragraph" w:customStyle="1" w:styleId="107">
    <w:name w:val="图表脚注"/>
    <w:next w:val="64"/>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8">
    <w:name w:val="文献分类号"/>
    <w:autoRedefine/>
    <w:qFormat/>
    <w:uiPriority w:val="99"/>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9">
    <w:name w:val="无标题条"/>
    <w:next w:val="64"/>
    <w:autoRedefine/>
    <w:qFormat/>
    <w:uiPriority w:val="0"/>
    <w:pPr>
      <w:jc w:val="both"/>
    </w:pPr>
    <w:rPr>
      <w:rFonts w:ascii="Times New Roman" w:hAnsi="Times New Roman" w:eastAsia="宋体" w:cs="Times New Roman"/>
      <w:sz w:val="21"/>
      <w:lang w:val="en-US" w:eastAsia="zh-CN" w:bidi="ar-SA"/>
    </w:rPr>
  </w:style>
  <w:style w:type="paragraph" w:customStyle="1" w:styleId="110">
    <w:name w:val="五级条标题"/>
    <w:basedOn w:val="104"/>
    <w:next w:val="64"/>
    <w:autoRedefine/>
    <w:qFormat/>
    <w:uiPriority w:val="0"/>
    <w:pPr>
      <w:numPr>
        <w:ilvl w:val="6"/>
      </w:numPr>
      <w:outlineLvl w:val="6"/>
    </w:pPr>
  </w:style>
  <w:style w:type="paragraph" w:customStyle="1" w:styleId="111">
    <w:name w:val="五级无标题条"/>
    <w:basedOn w:val="1"/>
    <w:autoRedefine/>
    <w:qFormat/>
    <w:uiPriority w:val="0"/>
    <w:pPr>
      <w:numPr>
        <w:ilvl w:val="6"/>
        <w:numId w:val="2"/>
      </w:numPr>
    </w:pPr>
  </w:style>
  <w:style w:type="character" w:customStyle="1" w:styleId="112">
    <w:name w:val="页脚 Char"/>
    <w:link w:val="25"/>
    <w:autoRedefine/>
    <w:qFormat/>
    <w:uiPriority w:val="99"/>
    <w:rPr>
      <w:kern w:val="2"/>
      <w:sz w:val="18"/>
      <w:szCs w:val="18"/>
    </w:rPr>
  </w:style>
  <w:style w:type="character" w:customStyle="1" w:styleId="113">
    <w:name w:val="页眉 Char"/>
    <w:link w:val="26"/>
    <w:autoRedefine/>
    <w:qFormat/>
    <w:uiPriority w:val="99"/>
    <w:rPr>
      <w:kern w:val="2"/>
      <w:sz w:val="18"/>
      <w:szCs w:val="18"/>
    </w:rPr>
  </w:style>
  <w:style w:type="paragraph" w:customStyle="1" w:styleId="114">
    <w:name w:val="一级无标题条"/>
    <w:basedOn w:val="1"/>
    <w:autoRedefine/>
    <w:qFormat/>
    <w:uiPriority w:val="0"/>
    <w:pPr>
      <w:numPr>
        <w:ilvl w:val="2"/>
        <w:numId w:val="2"/>
      </w:numPr>
    </w:pPr>
  </w:style>
  <w:style w:type="paragraph" w:customStyle="1" w:styleId="115">
    <w:name w:val="正文表标题"/>
    <w:next w:val="64"/>
    <w:autoRedefine/>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16">
    <w:name w:val="正文图标题"/>
    <w:next w:val="64"/>
    <w:autoRedefine/>
    <w:qFormat/>
    <w:uiPriority w:val="0"/>
    <w:pPr>
      <w:numPr>
        <w:ilvl w:val="0"/>
        <w:numId w:val="8"/>
      </w:numPr>
      <w:jc w:val="center"/>
    </w:pPr>
    <w:rPr>
      <w:rFonts w:ascii="黑体" w:hAnsi="Times New Roman" w:eastAsia="黑体" w:cs="Times New Roman"/>
      <w:sz w:val="21"/>
      <w:lang w:val="en-US" w:eastAsia="zh-CN" w:bidi="ar-SA"/>
    </w:rPr>
  </w:style>
  <w:style w:type="paragraph" w:customStyle="1" w:styleId="117">
    <w:name w:val="注："/>
    <w:next w:val="64"/>
    <w:autoRedefine/>
    <w:qFormat/>
    <w:uiPriority w:val="0"/>
    <w:pPr>
      <w:widowControl w:val="0"/>
      <w:numPr>
        <w:ilvl w:val="0"/>
        <w:numId w:val="9"/>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118">
    <w:name w:val="注×："/>
    <w:autoRedefine/>
    <w:qFormat/>
    <w:uiPriority w:val="0"/>
    <w:pPr>
      <w:widowControl w:val="0"/>
      <w:numPr>
        <w:ilvl w:val="0"/>
        <w:numId w:val="10"/>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19">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character" w:customStyle="1" w:styleId="120">
    <w:name w:val="批注框文本 Char"/>
    <w:link w:val="24"/>
    <w:autoRedefine/>
    <w:semiHidden/>
    <w:qFormat/>
    <w:uiPriority w:val="99"/>
    <w:rPr>
      <w:sz w:val="18"/>
      <w:szCs w:val="18"/>
    </w:rPr>
  </w:style>
  <w:style w:type="character" w:customStyle="1" w:styleId="121">
    <w:name w:val="apple-converted-space"/>
    <w:basedOn w:val="37"/>
    <w:autoRedefine/>
    <w:qFormat/>
    <w:uiPriority w:val="0"/>
  </w:style>
  <w:style w:type="character" w:customStyle="1" w:styleId="122">
    <w:name w:val="日期 Char"/>
    <w:link w:val="23"/>
    <w:autoRedefine/>
    <w:semiHidden/>
    <w:qFormat/>
    <w:uiPriority w:val="99"/>
    <w:rPr>
      <w:szCs w:val="21"/>
    </w:rPr>
  </w:style>
  <w:style w:type="paragraph" w:styleId="123">
    <w:name w:val="List Paragraph"/>
    <w:basedOn w:val="1"/>
    <w:autoRedefine/>
    <w:qFormat/>
    <w:uiPriority w:val="34"/>
    <w:pPr>
      <w:ind w:firstLine="420" w:firstLineChars="200"/>
    </w:pPr>
  </w:style>
  <w:style w:type="paragraph" w:customStyle="1" w:styleId="124">
    <w:name w:val="TOC 标题1"/>
    <w:basedOn w:val="3"/>
    <w:next w:val="1"/>
    <w:autoRedefine/>
    <w:semiHidden/>
    <w:unhideWhenUsed/>
    <w:qFormat/>
    <w:uiPriority w:val="39"/>
    <w:pPr>
      <w:widowControl/>
      <w:spacing w:before="0" w:after="0" w:line="276" w:lineRule="auto"/>
      <w:jc w:val="left"/>
      <w:outlineLvl w:val="9"/>
    </w:pPr>
    <w:rPr>
      <w:rFonts w:ascii="Cambria" w:hAnsi="Cambria"/>
      <w:color w:val="365F91"/>
      <w:kern w:val="0"/>
      <w:sz w:val="28"/>
      <w:szCs w:val="28"/>
    </w:rPr>
  </w:style>
  <w:style w:type="character" w:customStyle="1" w:styleId="125">
    <w:name w:val="批注文字 Char"/>
    <w:link w:val="19"/>
    <w:autoRedefine/>
    <w:semiHidden/>
    <w:qFormat/>
    <w:uiPriority w:val="99"/>
    <w:rPr>
      <w:kern w:val="2"/>
      <w:sz w:val="21"/>
      <w:szCs w:val="21"/>
    </w:rPr>
  </w:style>
  <w:style w:type="character" w:customStyle="1" w:styleId="126">
    <w:name w:val="访问过的超链接"/>
    <w:autoRedefine/>
    <w:semiHidden/>
    <w:unhideWhenUsed/>
    <w:qFormat/>
    <w:uiPriority w:val="99"/>
    <w:rPr>
      <w:color w:val="954F72"/>
      <w:u w:val="single"/>
    </w:rPr>
  </w:style>
  <w:style w:type="character" w:customStyle="1" w:styleId="127">
    <w:name w:val="正文文本 Char"/>
    <w:basedOn w:val="37"/>
    <w:link w:val="20"/>
    <w:autoRedefine/>
    <w:qFormat/>
    <w:uiPriority w:val="0"/>
    <w:rPr>
      <w:kern w:val="2"/>
      <w:sz w:val="28"/>
      <w:szCs w:val="24"/>
    </w:rPr>
  </w:style>
  <w:style w:type="character" w:customStyle="1" w:styleId="128">
    <w:name w:val="标题 Char"/>
    <w:link w:val="33"/>
    <w:autoRedefine/>
    <w:qFormat/>
    <w:uiPriority w:val="99"/>
    <w:rPr>
      <w:rFonts w:ascii="Arial" w:hAnsi="Arial" w:cs="Arial"/>
      <w:b/>
      <w:bCs/>
      <w:kern w:val="2"/>
      <w:sz w:val="32"/>
      <w:szCs w:val="32"/>
    </w:rPr>
  </w:style>
  <w:style w:type="character" w:customStyle="1" w:styleId="129">
    <w:name w:val="批注主题 Char"/>
    <w:basedOn w:val="125"/>
    <w:link w:val="34"/>
    <w:autoRedefine/>
    <w:semiHidden/>
    <w:qFormat/>
    <w:uiPriority w:val="99"/>
    <w:rPr>
      <w:b/>
      <w:bCs/>
      <w:szCs w:val="24"/>
    </w:rPr>
  </w:style>
  <w:style w:type="paragraph" w:customStyle="1" w:styleId="130">
    <w:name w:val="样式05：章的编号和标题"/>
    <w:basedOn w:val="3"/>
    <w:autoRedefine/>
    <w:qFormat/>
    <w:uiPriority w:val="99"/>
    <w:pPr>
      <w:spacing w:beforeLines="80" w:afterLines="80"/>
      <w:jc w:val="left"/>
    </w:pPr>
    <w:rPr>
      <w:b w:val="0"/>
    </w:rPr>
  </w:style>
  <w:style w:type="paragraph" w:customStyle="1" w:styleId="131">
    <w:name w:val="样式01：正文、定义（首行缩进2字符）"/>
    <w:basedOn w:val="1"/>
    <w:autoRedefine/>
    <w:qFormat/>
    <w:uiPriority w:val="0"/>
    <w:pPr>
      <w:ind w:firstLine="420" w:firstLineChars="200"/>
    </w:pPr>
    <w:rPr>
      <w:rFonts w:eastAsiaTheme="minorEastAsia"/>
      <w:szCs w:val="21"/>
    </w:rPr>
  </w:style>
  <w:style w:type="paragraph" w:customStyle="1" w:styleId="132">
    <w:name w:val="样式08：术语、强制性说明 黑体"/>
    <w:basedOn w:val="131"/>
    <w:autoRedefine/>
    <w:qFormat/>
    <w:uiPriority w:val="0"/>
    <w:rPr>
      <w:rFonts w:ascii="黑体" w:hAnsi="黑体" w:eastAsia="黑体"/>
    </w:rPr>
  </w:style>
  <w:style w:type="character" w:customStyle="1" w:styleId="133">
    <w:name w:val="样式06：术语和条的编号 Char"/>
    <w:basedOn w:val="37"/>
    <w:link w:val="134"/>
    <w:autoRedefine/>
    <w:qFormat/>
    <w:uiPriority w:val="99"/>
    <w:rPr>
      <w:rFonts w:ascii="黑体" w:eastAsia="黑体" w:hAnsiTheme="minorEastAsia"/>
      <w:szCs w:val="21"/>
    </w:rPr>
  </w:style>
  <w:style w:type="paragraph" w:customStyle="1" w:styleId="134">
    <w:name w:val="样式06：术语和条的编号"/>
    <w:basedOn w:val="1"/>
    <w:link w:val="133"/>
    <w:autoRedefine/>
    <w:qFormat/>
    <w:uiPriority w:val="99"/>
    <w:rPr>
      <w:rFonts w:ascii="黑体" w:eastAsia="黑体" w:hAnsiTheme="minorEastAsia"/>
      <w:szCs w:val="21"/>
    </w:rPr>
  </w:style>
  <w:style w:type="paragraph" w:customStyle="1" w:styleId="135">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6">
    <w:name w:val="标准文件_章标题"/>
    <w:next w:val="135"/>
    <w:autoRedefine/>
    <w:qFormat/>
    <w:uiPriority w:val="0"/>
    <w:pPr>
      <w:numPr>
        <w:ilvl w:val="1"/>
        <w:numId w:val="1"/>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37">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8">
    <w:name w:val="列表段落1"/>
    <w:basedOn w:val="1"/>
    <w:autoRedefine/>
    <w:qFormat/>
    <w:uiPriority w:val="34"/>
    <w:pPr>
      <w:adjustRightInd/>
      <w:spacing w:line="240" w:lineRule="auto"/>
      <w:ind w:firstLine="420" w:firstLineChars="200"/>
    </w:pPr>
    <w:rPr>
      <w:rFonts w:ascii="Times New Roman" w:hAnsi="Times New Roman"/>
      <w:szCs w:val="24"/>
    </w:rPr>
  </w:style>
  <w:style w:type="paragraph" w:customStyle="1" w:styleId="139">
    <w:name w:val="标准文件_二级无标题"/>
    <w:basedOn w:val="140"/>
    <w:autoRedefine/>
    <w:qFormat/>
    <w:uiPriority w:val="0"/>
    <w:pPr>
      <w:spacing w:beforeLines="0" w:afterLines="0"/>
      <w:outlineLvl w:val="9"/>
    </w:pPr>
    <w:rPr>
      <w:rFonts w:ascii="宋体" w:eastAsia="宋体"/>
    </w:rPr>
  </w:style>
  <w:style w:type="paragraph" w:customStyle="1" w:styleId="140">
    <w:name w:val="标准文件_二级条标题"/>
    <w:next w:val="135"/>
    <w:autoRedefine/>
    <w:qFormat/>
    <w:uiPriority w:val="0"/>
    <w:pPr>
      <w:widowControl w:val="0"/>
      <w:numPr>
        <w:ilvl w:val="3"/>
        <w:numId w:val="1"/>
      </w:numPr>
      <w:spacing w:beforeLines="50" w:afterLines="50"/>
      <w:ind w:left="283"/>
      <w:jc w:val="both"/>
      <w:outlineLvl w:val="2"/>
    </w:pPr>
    <w:rPr>
      <w:rFonts w:ascii="黑体" w:hAnsi="Times New Roman" w:eastAsia="黑体" w:cs="Times New Roman"/>
      <w:sz w:val="21"/>
      <w:lang w:val="en-US" w:eastAsia="zh-CN" w:bidi="ar-SA"/>
    </w:rPr>
  </w:style>
  <w:style w:type="paragraph" w:customStyle="1" w:styleId="141">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142">
    <w:name w:val="标准文件_参考文献标题"/>
    <w:basedOn w:val="1"/>
    <w:next w:val="1"/>
    <w:autoRedefine/>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143">
    <w:name w:val="样式12：表的编号和标题"/>
    <w:basedOn w:val="144"/>
    <w:autoRedefine/>
    <w:qFormat/>
    <w:uiPriority w:val="0"/>
    <w:pPr>
      <w:spacing w:before="28" w:afterLines="60"/>
    </w:pPr>
  </w:style>
  <w:style w:type="paragraph" w:customStyle="1" w:styleId="144">
    <w:name w:val="样式8：表的编号和标题"/>
    <w:basedOn w:val="3"/>
    <w:autoRedefine/>
    <w:qFormat/>
    <w:uiPriority w:val="0"/>
    <w:pPr>
      <w:spacing w:beforeLines="10" w:afterLines="50"/>
    </w:pPr>
    <w:rPr>
      <w:b w:val="0"/>
    </w:rPr>
  </w:style>
  <w:style w:type="paragraph" w:customStyle="1" w:styleId="145">
    <w:name w:val="样式10：附录的编号和标题"/>
    <w:basedOn w:val="3"/>
    <w:autoRedefine/>
    <w:qFormat/>
    <w:uiPriority w:val="99"/>
    <w:pPr>
      <w:spacing w:beforeLines="0" w:afterLines="50" w:line="276" w:lineRule="auto"/>
    </w:pPr>
    <w:rPr>
      <w:b w:val="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Template>
  <Company>微软中国</Company>
  <Pages>8</Pages>
  <Words>3376</Words>
  <Characters>3634</Characters>
  <Lines>46</Lines>
  <Paragraphs>13</Paragraphs>
  <TotalTime>3</TotalTime>
  <ScaleCrop>false</ScaleCrop>
  <LinksUpToDate>false</LinksUpToDate>
  <CharactersWithSpaces>3836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2019-05-26T02:51:00Z</dcterms:created>
  <dc:creator>china</dc:creator>
  <cp:lastModifiedBy>大爱肉狗</cp:lastModifiedBy>
  <cp:lastPrinted>2024-10-30T01:01:00Z</cp:lastPrinted>
  <dcterms:modified xsi:type="dcterms:W3CDTF">2024-12-16T11:12:36Z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30597512F374ABD87F9A5F67750F4A1C_43</vt:lpwstr>
  </property>
</Properties>
</file>