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fffffffffc"/>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7B7453" w:rsidRPr="00672BFD" w14:paraId="292DD9B9" w14:textId="77777777" w:rsidTr="007B7453">
        <w:tc>
          <w:tcPr>
            <w:tcW w:w="509" w:type="dxa"/>
          </w:tcPr>
          <w:p w14:paraId="3A7B3076" w14:textId="77777777" w:rsidR="00672BFD" w:rsidRPr="00405884" w:rsidRDefault="00672BFD" w:rsidP="0024666E">
            <w:pPr>
              <w:pStyle w:val="afff9"/>
              <w:framePr w:wrap="notBeside" w:vAnchor="page" w:hAnchor="page" w:x="1372" w:y="568"/>
              <w:tabs>
                <w:tab w:val="clear" w:pos="4153"/>
                <w:tab w:val="clear" w:pos="8306"/>
              </w:tabs>
              <w:spacing w:line="240" w:lineRule="auto"/>
              <w:jc w:val="left"/>
              <w:rPr>
                <w:rFonts w:ascii="黑体" w:eastAsia="黑体" w:hAnsi="黑体"/>
                <w:sz w:val="21"/>
                <w:szCs w:val="21"/>
              </w:rPr>
            </w:pPr>
            <w:r w:rsidRPr="00405884">
              <w:rPr>
                <w:rFonts w:ascii="Times New Roman" w:eastAsia="黑体" w:hAnsi="Times New Roman"/>
                <w:sz w:val="21"/>
                <w:szCs w:val="21"/>
              </w:rPr>
              <w:t>ICS</w:t>
            </w:r>
            <w:r w:rsidRPr="00405884">
              <w:rPr>
                <w:rFonts w:ascii="黑体" w:eastAsia="黑体" w:hAnsi="黑体"/>
                <w:sz w:val="21"/>
                <w:szCs w:val="21"/>
              </w:rPr>
              <w:t xml:space="preserve"> </w:t>
            </w:r>
            <w:r w:rsidR="006A25E5">
              <w:rPr>
                <w:rFonts w:ascii="黑体" w:eastAsia="黑体" w:hAnsi="黑体"/>
                <w:sz w:val="21"/>
                <w:szCs w:val="21"/>
              </w:rPr>
              <w:t xml:space="preserve"> </w:t>
            </w:r>
          </w:p>
        </w:tc>
        <w:tc>
          <w:tcPr>
            <w:tcW w:w="8855" w:type="dxa"/>
          </w:tcPr>
          <w:p w14:paraId="22FEEF44" w14:textId="3AA0D61A" w:rsidR="00672BFD" w:rsidRPr="00672BFD" w:rsidRDefault="004A17E6" w:rsidP="00C94DF2">
            <w:pPr>
              <w:pStyle w:val="afff9"/>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sidR="00746C7D">
              <w:rPr>
                <w:rFonts w:ascii="黑体" w:eastAsia="黑体" w:hAnsi="黑体"/>
                <w:sz w:val="21"/>
                <w:szCs w:val="21"/>
              </w:rPr>
              <w:t>45.02</w:t>
            </w:r>
            <w:r w:rsidR="002771AC">
              <w:rPr>
                <w:rFonts w:ascii="黑体" w:eastAsia="黑体" w:hAnsi="黑体"/>
                <w:sz w:val="21"/>
                <w:szCs w:val="21"/>
              </w:rPr>
              <w:t xml:space="preserve"> </w:t>
            </w:r>
            <w:r>
              <w:rPr>
                <w:rFonts w:ascii="黑体" w:eastAsia="黑体" w:hAnsi="黑体"/>
                <w:sz w:val="21"/>
                <w:szCs w:val="21"/>
              </w:rPr>
              <w:fldChar w:fldCharType="end"/>
            </w:r>
            <w:bookmarkEnd w:id="0"/>
          </w:p>
        </w:tc>
      </w:tr>
      <w:tr w:rsidR="007B7453" w:rsidRPr="00672BFD" w14:paraId="6E842CF9" w14:textId="77777777" w:rsidTr="007B7453">
        <w:tc>
          <w:tcPr>
            <w:tcW w:w="509" w:type="dxa"/>
          </w:tcPr>
          <w:p w14:paraId="5F0655C3" w14:textId="77777777" w:rsidR="00672BFD" w:rsidRPr="00672BFD" w:rsidRDefault="00672BFD" w:rsidP="0024666E">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Times New Roman" w:eastAsia="黑体" w:hAnsi="Times New Roman"/>
                <w:sz w:val="21"/>
                <w:szCs w:val="21"/>
              </w:rPr>
              <w:t>CCS</w:t>
            </w:r>
            <w:r w:rsidR="0024666E">
              <w:rPr>
                <w:rFonts w:ascii="Times New Roman" w:eastAsia="黑体" w:hAnsi="Times New Roman"/>
                <w:sz w:val="21"/>
                <w:szCs w:val="21"/>
              </w:rPr>
              <w:t xml:space="preserve"> </w:t>
            </w:r>
            <w:r w:rsidRPr="00672BFD">
              <w:rPr>
                <w:rFonts w:ascii="黑体" w:eastAsia="黑体" w:hAnsi="黑体"/>
                <w:sz w:val="21"/>
                <w:szCs w:val="21"/>
              </w:rPr>
              <w:t xml:space="preserve"> </w:t>
            </w:r>
          </w:p>
        </w:tc>
        <w:tc>
          <w:tcPr>
            <w:tcW w:w="8855" w:type="dxa"/>
          </w:tcPr>
          <w:p w14:paraId="11150597" w14:textId="26A51003" w:rsidR="00FB231D" w:rsidRPr="00672BFD" w:rsidRDefault="00672BFD" w:rsidP="0024666E">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黑体" w:eastAsia="黑体" w:hAnsi="黑体"/>
                <w:sz w:val="21"/>
                <w:szCs w:val="21"/>
              </w:rPr>
              <w:fldChar w:fldCharType="begin">
                <w:ffData>
                  <w:name w:val="CSDN"/>
                  <w:enabled/>
                  <w:calcOnExit w:val="0"/>
                  <w:textInput>
                    <w:default w:val="点击此处添加CCS号"/>
                  </w:textInput>
                </w:ffData>
              </w:fldChar>
            </w:r>
            <w:bookmarkStart w:id="1" w:name="CSDN"/>
            <w:r w:rsidRPr="00672BFD">
              <w:rPr>
                <w:rFonts w:ascii="黑体" w:eastAsia="黑体" w:hAnsi="黑体"/>
                <w:sz w:val="21"/>
                <w:szCs w:val="21"/>
              </w:rPr>
              <w:instrText xml:space="preserve"> FORMTEXT </w:instrText>
            </w:r>
            <w:r w:rsidRPr="00672BFD">
              <w:rPr>
                <w:rFonts w:ascii="黑体" w:eastAsia="黑体" w:hAnsi="黑体"/>
                <w:sz w:val="21"/>
                <w:szCs w:val="21"/>
              </w:rPr>
            </w:r>
            <w:r w:rsidRPr="00672BFD">
              <w:rPr>
                <w:rFonts w:ascii="黑体" w:eastAsia="黑体" w:hAnsi="黑体"/>
                <w:sz w:val="21"/>
                <w:szCs w:val="21"/>
              </w:rPr>
              <w:fldChar w:fldCharType="separate"/>
            </w:r>
            <w:r w:rsidR="00746C7D">
              <w:rPr>
                <w:rFonts w:ascii="黑体" w:eastAsia="黑体" w:hAnsi="黑体"/>
                <w:sz w:val="21"/>
                <w:szCs w:val="21"/>
              </w:rPr>
              <w:t>P 65</w:t>
            </w:r>
            <w:r w:rsidRPr="00672BFD">
              <w:rPr>
                <w:rFonts w:ascii="黑体" w:eastAsia="黑体" w:hAnsi="黑体"/>
                <w:sz w:val="21"/>
                <w:szCs w:val="21"/>
              </w:rPr>
              <w:fldChar w:fldCharType="end"/>
            </w:r>
            <w:bookmarkEnd w:id="1"/>
          </w:p>
        </w:tc>
      </w:tr>
    </w:tbl>
    <w:tbl>
      <w:tblPr>
        <w:tblStyle w:val="afffffffffc"/>
        <w:tblpPr w:leftFromText="180" w:rightFromText="180" w:vertAnchor="text" w:horzAnchor="margin" w:tblpX="2683" w:tblpY="578"/>
        <w:tblW w:w="0" w:type="auto"/>
        <w:tblBorders>
          <w:top w:val="none" w:sz="0" w:space="0" w:color="auto"/>
          <w:left w:val="none" w:sz="0" w:space="0" w:color="auto"/>
          <w:bottom w:val="none" w:sz="0" w:space="0" w:color="auto"/>
          <w:right w:val="none" w:sz="0" w:space="0" w:color="auto"/>
        </w:tblBorders>
        <w:tblCellMar>
          <w:right w:w="221" w:type="dxa"/>
        </w:tblCellMar>
        <w:tblLook w:val="04A0" w:firstRow="1" w:lastRow="0" w:firstColumn="1" w:lastColumn="0" w:noHBand="0" w:noVBand="1"/>
      </w:tblPr>
      <w:tblGrid>
        <w:gridCol w:w="6407"/>
      </w:tblGrid>
      <w:tr w:rsidR="001446C2" w14:paraId="1E9ECE76" w14:textId="77777777" w:rsidTr="00DF5F11">
        <w:tc>
          <w:tcPr>
            <w:tcW w:w="6407" w:type="dxa"/>
          </w:tcPr>
          <w:p w14:paraId="5FBE325C" w14:textId="6F2131B7" w:rsidR="001446C2" w:rsidRDefault="001446C2" w:rsidP="00EB63A0">
            <w:pPr>
              <w:pStyle w:val="affff5"/>
              <w:framePr w:w="0" w:hRule="auto" w:wrap="auto" w:hAnchor="text" w:xAlign="left" w:yAlign="inline" w:anchorLock="0"/>
              <w:rPr>
                <w:rFonts w:ascii="宋体" w:hAnsi="宋体"/>
                <w:sz w:val="28"/>
                <w:szCs w:val="28"/>
              </w:rPr>
            </w:pPr>
            <w:bookmarkStart w:id="2" w:name="_Hlk26473981"/>
            <w:r>
              <w:rPr>
                <w:noProof/>
              </w:rPr>
              <w:drawing>
                <wp:inline distT="0" distB="0" distL="0" distR="0" wp14:anchorId="047F60FC" wp14:editId="25B858F9">
                  <wp:extent cx="796719" cy="397766"/>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未标题-1.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sidRPr="001446C2">
              <w:rPr>
                <w:sz w:val="21"/>
                <w:szCs w:val="21"/>
              </w:rPr>
              <w:t xml:space="preserve"> </w:t>
            </w:r>
            <w:r w:rsidR="00EB63A0">
              <w:t>32</w:t>
            </w:r>
          </w:p>
        </w:tc>
      </w:tr>
    </w:tbl>
    <w:p w14:paraId="4D6352F1" w14:textId="5FB60417" w:rsidR="0000040A" w:rsidRPr="007B7453" w:rsidRDefault="0050412D" w:rsidP="000107E0">
      <w:pPr>
        <w:pStyle w:val="affff6"/>
        <w:framePr w:w="9639" w:h="624" w:hRule="exact" w:hSpace="181" w:vSpace="181" w:wrap="around" w:hAnchor="page" w:x="1305" w:y="2269"/>
        <w:rPr>
          <w:rFonts w:ascii="黑体" w:eastAsia="黑体" w:hAnsi="黑体"/>
          <w:b w:val="0"/>
          <w:bCs w:val="0"/>
          <w:w w:val="100"/>
          <w:sz w:val="48"/>
          <w:szCs w:val="48"/>
        </w:rPr>
      </w:pPr>
      <w:r>
        <w:rPr>
          <w:rFonts w:ascii="黑体" w:eastAsia="黑体" w:hint="eastAsia"/>
          <w:b w:val="0"/>
          <w:w w:val="100"/>
          <w:sz w:val="48"/>
        </w:rPr>
        <w:t>江苏省</w:t>
      </w:r>
      <w:r w:rsidR="00B77EC8">
        <w:rPr>
          <w:rFonts w:ascii="黑体" w:eastAsia="黑体" w:hAnsi="黑体" w:hint="eastAsia"/>
          <w:b w:val="0"/>
          <w:bCs w:val="0"/>
          <w:w w:val="100"/>
          <w:sz w:val="48"/>
          <w:szCs w:val="48"/>
        </w:rPr>
        <w:t>地方</w:t>
      </w:r>
      <w:r w:rsidR="007B7453">
        <w:rPr>
          <w:rFonts w:ascii="黑体" w:eastAsia="黑体" w:hAnsi="黑体" w:hint="eastAsia"/>
          <w:b w:val="0"/>
          <w:bCs w:val="0"/>
          <w:w w:val="100"/>
          <w:sz w:val="48"/>
          <w:szCs w:val="48"/>
        </w:rPr>
        <w:t>标准</w:t>
      </w:r>
    </w:p>
    <w:bookmarkEnd w:id="2"/>
    <w:p w14:paraId="7671CBBA" w14:textId="77777777" w:rsidR="00AA456B" w:rsidRPr="005F4712" w:rsidRDefault="00634D9E" w:rsidP="00A952D7">
      <w:pPr>
        <w:pStyle w:val="affffffffff3"/>
        <w:framePr w:wrap="auto"/>
        <w:rPr>
          <w:lang w:val="fr-FR"/>
        </w:rPr>
      </w:pPr>
      <w:r w:rsidRPr="005F4712">
        <w:rPr>
          <w:lang w:val="fr-FR"/>
        </w:rPr>
        <w:t>DB</w:t>
      </w:r>
      <w:r w:rsidRPr="005F4712">
        <w:rPr>
          <w:sz w:val="15"/>
          <w:szCs w:val="15"/>
          <w:lang w:val="fr-FR"/>
        </w:rPr>
        <w:t xml:space="preserve"> </w:t>
      </w:r>
      <w:r w:rsidR="005F4712">
        <w:fldChar w:fldCharType="begin">
          <w:ffData>
            <w:name w:val="文字1"/>
            <w:enabled/>
            <w:calcOnExit w:val="0"/>
            <w:textInput>
              <w:default w:val="XX/T"/>
            </w:textInput>
          </w:ffData>
        </w:fldChar>
      </w:r>
      <w:bookmarkStart w:id="3" w:name="文字1"/>
      <w:r w:rsidR="005F4712" w:rsidRPr="005F4712">
        <w:rPr>
          <w:lang w:val="fr-FR"/>
        </w:rPr>
        <w:instrText xml:space="preserve"> FORMTEXT </w:instrText>
      </w:r>
      <w:r w:rsidR="005F4712">
        <w:fldChar w:fldCharType="separate"/>
      </w:r>
      <w:r w:rsidR="005F4712" w:rsidRPr="005F4712">
        <w:rPr>
          <w:lang w:val="fr-FR"/>
        </w:rPr>
        <w:t>XX/T</w:t>
      </w:r>
      <w:r w:rsidR="005F4712">
        <w:fldChar w:fldCharType="end"/>
      </w:r>
      <w:bookmarkEnd w:id="3"/>
      <w:r w:rsidRPr="005F4712">
        <w:rPr>
          <w:lang w:val="fr-FR"/>
        </w:rPr>
        <w:t xml:space="preserve"> </w:t>
      </w:r>
      <w:r w:rsidR="006E23EA">
        <w:fldChar w:fldCharType="begin">
          <w:ffData>
            <w:name w:val="NSTD_CODE_F"/>
            <w:enabled/>
            <w:calcOnExit w:val="0"/>
            <w:textInput>
              <w:default w:val="XXXX"/>
            </w:textInput>
          </w:ffData>
        </w:fldChar>
      </w:r>
      <w:bookmarkStart w:id="4" w:name="NSTD_CODE_F"/>
      <w:r w:rsidR="006E23EA" w:rsidRPr="0012059C">
        <w:rPr>
          <w:lang w:val="fr-FR"/>
        </w:rPr>
        <w:instrText xml:space="preserve"> FORMTEXT </w:instrText>
      </w:r>
      <w:r w:rsidR="006E23EA">
        <w:fldChar w:fldCharType="separate"/>
      </w:r>
      <w:r w:rsidR="006E23EA" w:rsidRPr="0012059C">
        <w:rPr>
          <w:lang w:val="fr-FR"/>
        </w:rPr>
        <w:t>XXXX</w:t>
      </w:r>
      <w:r w:rsidR="006E23EA">
        <w:fldChar w:fldCharType="end"/>
      </w:r>
      <w:bookmarkEnd w:id="4"/>
      <w:r w:rsidR="004644A6" w:rsidRPr="005F4712">
        <w:rPr>
          <w:rFonts w:hAnsi="黑体"/>
          <w:lang w:val="fr-FR"/>
        </w:rPr>
        <w:t>—</w:t>
      </w:r>
      <w:r w:rsidR="00087A77">
        <w:fldChar w:fldCharType="begin">
          <w:ffData>
            <w:name w:val="NSTD_CODE_B"/>
            <w:enabled/>
            <w:calcOnExit w:val="0"/>
            <w:textInput>
              <w:default w:val="XXXX"/>
            </w:textInput>
          </w:ffData>
        </w:fldChar>
      </w:r>
      <w:bookmarkStart w:id="5" w:name="NSTD_CODE_B"/>
      <w:r w:rsidR="00087A77" w:rsidRPr="005F4712">
        <w:rPr>
          <w:lang w:val="fr-FR"/>
        </w:rPr>
        <w:instrText xml:space="preserve"> FORMTEXT </w:instrText>
      </w:r>
      <w:r w:rsidR="00087A77">
        <w:fldChar w:fldCharType="separate"/>
      </w:r>
      <w:r w:rsidR="00087A77" w:rsidRPr="005F4712">
        <w:rPr>
          <w:lang w:val="fr-FR"/>
        </w:rPr>
        <w:t>XXXX</w:t>
      </w:r>
      <w:r w:rsidR="00087A77">
        <w:fldChar w:fldCharType="end"/>
      </w:r>
      <w:bookmarkEnd w:id="5"/>
    </w:p>
    <w:p w14:paraId="06A19928" w14:textId="51048C19" w:rsidR="00E846C8" w:rsidRPr="001E4882" w:rsidRDefault="00087A77" w:rsidP="00A952D7">
      <w:pPr>
        <w:pStyle w:val="affffffffff4"/>
        <w:framePr w:wrap="auto"/>
        <w:rPr>
          <w:rFonts w:hAnsi="黑体"/>
        </w:rPr>
      </w:pPr>
      <w:r w:rsidRPr="001E4882">
        <w:rPr>
          <w:rFonts w:hAnsi="黑体"/>
        </w:rPr>
        <w:fldChar w:fldCharType="begin">
          <w:ffData>
            <w:name w:val="OSTD_CODE"/>
            <w:enabled/>
            <w:calcOnExit w:val="0"/>
            <w:textInput/>
          </w:ffData>
        </w:fldChar>
      </w:r>
      <w:bookmarkStart w:id="6" w:name="OSTD_CODE"/>
      <w:r w:rsidRPr="001E4882">
        <w:rPr>
          <w:rFonts w:hAnsi="黑体"/>
        </w:rPr>
        <w:instrText xml:space="preserve"> FORMTEXT </w:instrText>
      </w:r>
      <w:r w:rsidRPr="001E4882">
        <w:rPr>
          <w:rFonts w:hAnsi="黑体"/>
        </w:rPr>
      </w:r>
      <w:r w:rsidRPr="001E4882">
        <w:rPr>
          <w:rFonts w:hAnsi="黑体"/>
        </w:rPr>
        <w:fldChar w:fldCharType="separate"/>
      </w:r>
      <w:r w:rsidR="00746C7D">
        <w:rPr>
          <w:rFonts w:hAnsi="黑体"/>
        </w:rPr>
        <w:t> </w:t>
      </w:r>
      <w:r w:rsidR="00746C7D">
        <w:rPr>
          <w:rFonts w:hAnsi="黑体"/>
        </w:rPr>
        <w:t> </w:t>
      </w:r>
      <w:r w:rsidR="00746C7D">
        <w:rPr>
          <w:rFonts w:hAnsi="黑体"/>
        </w:rPr>
        <w:t> </w:t>
      </w:r>
      <w:r w:rsidR="00746C7D">
        <w:rPr>
          <w:rFonts w:hAnsi="黑体"/>
        </w:rPr>
        <w:t> </w:t>
      </w:r>
      <w:r w:rsidR="00746C7D">
        <w:rPr>
          <w:rFonts w:hAnsi="黑体"/>
        </w:rPr>
        <w:t> </w:t>
      </w:r>
      <w:r w:rsidRPr="001E4882">
        <w:rPr>
          <w:rFonts w:hAnsi="黑体"/>
        </w:rPr>
        <w:fldChar w:fldCharType="end"/>
      </w:r>
      <w:bookmarkEnd w:id="6"/>
    </w:p>
    <w:p w14:paraId="007D4D4E" w14:textId="77777777" w:rsidR="008F70BD" w:rsidRPr="007B7453" w:rsidRDefault="007439EB" w:rsidP="007B7453">
      <w:pPr>
        <w:spacing w:line="240" w:lineRule="auto"/>
        <w:rPr>
          <w:rFonts w:ascii="黑体" w:eastAsia="黑体" w:hAnsi="黑体"/>
          <w:kern w:val="0"/>
          <w:sz w:val="10"/>
          <w:szCs w:val="10"/>
        </w:rPr>
      </w:pPr>
      <w:r w:rsidRPr="007B7453">
        <w:rPr>
          <w:rFonts w:ascii="黑体" w:eastAsia="黑体" w:hAnsi="黑体"/>
          <w:noProof/>
          <w:kern w:val="0"/>
          <w:sz w:val="10"/>
          <w:szCs w:val="10"/>
        </w:rPr>
        <mc:AlternateContent>
          <mc:Choice Requires="wps">
            <w:drawing>
              <wp:anchor distT="0" distB="0" distL="114300" distR="114300" simplePos="0" relativeHeight="251660288" behindDoc="0" locked="0" layoutInCell="1" allowOverlap="0" wp14:anchorId="2C3A0F7E" wp14:editId="4A710FBE">
                <wp:simplePos x="0" y="0"/>
                <wp:positionH relativeFrom="page">
                  <wp:posOffset>900430</wp:posOffset>
                </wp:positionH>
                <wp:positionV relativeFrom="page">
                  <wp:posOffset>2700655</wp:posOffset>
                </wp:positionV>
                <wp:extent cx="612000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95747F" id="直接连接符 73" o:spid="_x0000_s1026" style="position:absolute;left:0;text-align:lef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" o:allowoverlap="f">
                <w10:wrap anchorx="page" anchory="page"/>
              </v:line>
            </w:pict>
          </mc:Fallback>
        </mc:AlternateContent>
      </w:r>
    </w:p>
    <w:p w14:paraId="620B5E89" w14:textId="77777777" w:rsidR="006816A4" w:rsidRDefault="006816A4" w:rsidP="0036429C">
      <w:pPr>
        <w:pStyle w:val="affff6"/>
        <w:framePr w:w="9639" w:h="6976" w:hRule="exact" w:hSpace="0" w:vSpace="0" w:wrap="around" w:hAnchor="page" w:y="6408"/>
        <w:jc w:val="center"/>
        <w:rPr>
          <w:rFonts w:ascii="黑体" w:eastAsia="黑体" w:hAnsi="黑体"/>
          <w:b w:val="0"/>
          <w:bCs w:val="0"/>
          <w:w w:val="100"/>
        </w:rPr>
      </w:pPr>
    </w:p>
    <w:p w14:paraId="69368642" w14:textId="3B4A1FF0" w:rsidR="006816A4" w:rsidRDefault="0012059C" w:rsidP="00463B77">
      <w:pPr>
        <w:pStyle w:val="affffffffff5"/>
        <w:framePr w:h="6974" w:hRule="exact" w:wrap="around" w:x="1419" w:anchorLock="1"/>
      </w:pPr>
      <w:r>
        <w:fldChar w:fldCharType="begin">
          <w:ffData>
            <w:name w:val="CSTD_NAME"/>
            <w:enabled/>
            <w:calcOnExit w:val="0"/>
            <w:textInput>
              <w:default w:val="点击此处添加标准名称"/>
            </w:textInput>
          </w:ffData>
        </w:fldChar>
      </w:r>
      <w:bookmarkStart w:id="7" w:name="CSTD_NAME"/>
      <w:r>
        <w:instrText xml:space="preserve"> FORMTEXT </w:instrText>
      </w:r>
      <w:r>
        <w:fldChar w:fldCharType="separate"/>
      </w:r>
      <w:r w:rsidR="00235309">
        <w:t>市域铁路设计规范</w:t>
      </w:r>
      <w:r>
        <w:fldChar w:fldCharType="end"/>
      </w:r>
      <w:bookmarkEnd w:id="7"/>
    </w:p>
    <w:p w14:paraId="6BC98B22" w14:textId="77777777" w:rsidR="00815419" w:rsidRPr="00815419" w:rsidRDefault="00815419" w:rsidP="00324EDD">
      <w:pPr>
        <w:framePr w:w="9639" w:h="6974" w:hRule="exact" w:wrap="around" w:vAnchor="page" w:hAnchor="page" w:x="1419" w:y="6408" w:anchorLock="1"/>
        <w:ind w:left="-1418"/>
      </w:pPr>
    </w:p>
    <w:p w14:paraId="2DEB8C8A" w14:textId="44C120A4" w:rsidR="00755402" w:rsidRPr="00D3660F" w:rsidRDefault="00F515EE" w:rsidP="00463B77">
      <w:pPr>
        <w:pStyle w:val="afffffff5"/>
        <w:framePr w:w="9639" w:h="6974" w:hRule="exact" w:wrap="around" w:vAnchor="page" w:hAnchor="page" w:x="1419" w:y="6408" w:anchorLock="1"/>
        <w:textAlignment w:val="bottom"/>
        <w:rPr>
          <w:rFonts w:ascii="黑体" w:eastAsia="黑体" w:hAnsi="黑体"/>
          <w:noProof/>
          <w:szCs w:val="28"/>
        </w:rPr>
      </w:pPr>
      <w:r w:rsidRPr="00D3660F">
        <w:rPr>
          <w:rFonts w:ascii="黑体" w:eastAsia="黑体" w:hAnsi="黑体"/>
          <w:noProof/>
          <w:szCs w:val="28"/>
        </w:rPr>
        <w:fldChar w:fldCharType="begin">
          <w:ffData>
            <w:name w:val="ESTD_NAME"/>
            <w:enabled/>
            <w:calcOnExit w:val="0"/>
            <w:textInput>
              <w:default w:val="点击此处添加标准名称的英文译名"/>
            </w:textInput>
          </w:ffData>
        </w:fldChar>
      </w:r>
      <w:bookmarkStart w:id="8" w:name="ESTD_NAME"/>
      <w:r w:rsidRPr="00D3660F">
        <w:rPr>
          <w:rFonts w:ascii="黑体" w:eastAsia="黑体" w:hAnsi="黑体"/>
          <w:noProof/>
          <w:szCs w:val="28"/>
        </w:rPr>
        <w:instrText xml:space="preserve"> FORMTEXT </w:instrText>
      </w:r>
      <w:r w:rsidRPr="00D3660F">
        <w:rPr>
          <w:rFonts w:ascii="黑体" w:eastAsia="黑体" w:hAnsi="黑体"/>
          <w:noProof/>
          <w:szCs w:val="28"/>
        </w:rPr>
      </w:r>
      <w:r w:rsidRPr="00D3660F">
        <w:rPr>
          <w:rFonts w:ascii="黑体" w:eastAsia="黑体" w:hAnsi="黑体"/>
          <w:noProof/>
          <w:szCs w:val="28"/>
        </w:rPr>
        <w:fldChar w:fldCharType="separate"/>
      </w:r>
      <w:r w:rsidR="00746C7D" w:rsidRPr="00746C7D">
        <w:rPr>
          <w:rFonts w:ascii="黑体" w:eastAsia="黑体" w:hAnsi="黑体"/>
          <w:noProof/>
          <w:szCs w:val="28"/>
        </w:rPr>
        <w:t>Specification for design of suburban railways</w:t>
      </w:r>
      <w:r w:rsidRPr="00D3660F">
        <w:rPr>
          <w:rFonts w:ascii="黑体" w:eastAsia="黑体" w:hAnsi="黑体"/>
          <w:noProof/>
          <w:szCs w:val="28"/>
        </w:rPr>
        <w:fldChar w:fldCharType="end"/>
      </w:r>
      <w:bookmarkEnd w:id="8"/>
      <w:r w:rsidR="00094040">
        <w:rPr>
          <w:rFonts w:ascii="黑体" w:eastAsia="黑体" w:hAnsi="黑体"/>
          <w:noProof/>
          <w:szCs w:val="28"/>
        </w:rPr>
        <w:t xml:space="preserve"> </w:t>
      </w:r>
    </w:p>
    <w:p w14:paraId="407B6745" w14:textId="77777777" w:rsidR="00815419" w:rsidRPr="00324EDD" w:rsidRDefault="00815419" w:rsidP="00324EDD">
      <w:pPr>
        <w:framePr w:w="9639" w:h="6974" w:hRule="exact" w:wrap="around" w:vAnchor="page" w:hAnchor="page" w:x="1419" w:y="6408" w:anchorLock="1"/>
        <w:spacing w:line="760" w:lineRule="exact"/>
        <w:ind w:left="-1418"/>
      </w:pPr>
    </w:p>
    <w:p w14:paraId="59359370" w14:textId="77777777" w:rsidR="00B87131" w:rsidRPr="008B50C8" w:rsidRDefault="00B87131" w:rsidP="00463B77">
      <w:pPr>
        <w:pStyle w:val="afffffff5"/>
        <w:framePr w:w="9639" w:h="6974" w:hRule="exact" w:wrap="around" w:vAnchor="page" w:hAnchor="page" w:x="1419" w:y="6408" w:anchorLock="1"/>
        <w:textAlignment w:val="bottom"/>
        <w:rPr>
          <w:rFonts w:eastAsia="黑体"/>
          <w:noProof/>
          <w:szCs w:val="28"/>
        </w:rPr>
      </w:pPr>
    </w:p>
    <w:p w14:paraId="77661390" w14:textId="08EF29E9" w:rsidR="00CA7AFD" w:rsidRPr="00AC4D95" w:rsidRDefault="00E11F58" w:rsidP="00463B77">
      <w:pPr>
        <w:pStyle w:val="afffffff5"/>
        <w:framePr w:w="9639" w:h="6974" w:hRule="exact" w:wrap="around" w:vAnchor="page" w:hAnchor="page" w:x="1419" w:y="6408" w:anchorLock="1"/>
        <w:spacing w:before="440" w:after="160"/>
        <w:textAlignment w:val="bottom"/>
        <w:rPr>
          <w:noProof/>
          <w:sz w:val="24"/>
          <w:szCs w:val="28"/>
        </w:rPr>
      </w:pPr>
      <w:r>
        <w:rPr>
          <w:noProof/>
          <w:sz w:val="24"/>
          <w:szCs w:val="28"/>
        </w:rPr>
        <w:fldChar w:fldCharType="begin">
          <w:ffData>
            <w:name w:val="下拉1"/>
            <w:enabled/>
            <w:calcOnExit w:val="0"/>
            <w:ddList>
              <w:listEntry w:val=" "/>
              <w:listEntry w:val="草案版次选择"/>
              <w:listEntry w:val="（工作组讨论稿）"/>
              <w:listEntry w:val="（征求意见稿）"/>
              <w:listEntry w:val="（送审讨论稿）"/>
              <w:listEntry w:val="（送审稿）"/>
              <w:listEntry w:val="（报批稿）"/>
            </w:ddList>
          </w:ffData>
        </w:fldChar>
      </w:r>
      <w:bookmarkStart w:id="9" w:name="下拉1"/>
      <w:r>
        <w:rPr>
          <w:noProof/>
          <w:sz w:val="24"/>
          <w:szCs w:val="28"/>
        </w:rPr>
        <w:instrText xml:space="preserve"> FORMDROPDOWN </w:instrText>
      </w:r>
      <w:r w:rsidR="00CA2808">
        <w:rPr>
          <w:noProof/>
          <w:sz w:val="24"/>
          <w:szCs w:val="28"/>
        </w:rPr>
      </w:r>
      <w:r w:rsidR="00CA2808">
        <w:rPr>
          <w:noProof/>
          <w:sz w:val="24"/>
          <w:szCs w:val="28"/>
        </w:rPr>
        <w:fldChar w:fldCharType="separate"/>
      </w:r>
      <w:r>
        <w:rPr>
          <w:noProof/>
          <w:sz w:val="24"/>
          <w:szCs w:val="28"/>
        </w:rPr>
        <w:fldChar w:fldCharType="end"/>
      </w:r>
      <w:bookmarkEnd w:id="9"/>
      <w:r w:rsidR="00467942">
        <w:rPr>
          <w:rFonts w:hint="eastAsia"/>
          <w:noProof/>
          <w:sz w:val="24"/>
          <w:szCs w:val="28"/>
        </w:rPr>
        <w:t>报批</w:t>
      </w:r>
      <w:r>
        <w:rPr>
          <w:rFonts w:hint="eastAsia"/>
          <w:noProof/>
          <w:sz w:val="24"/>
          <w:szCs w:val="28"/>
        </w:rPr>
        <w:t>稿</w:t>
      </w:r>
    </w:p>
    <w:p w14:paraId="22098063" w14:textId="32E81B1D" w:rsidR="0036429C" w:rsidRDefault="00B378E5" w:rsidP="00463B77">
      <w:pPr>
        <w:pStyle w:val="afffffff5"/>
        <w:framePr w:w="9639" w:h="6974" w:hRule="exact" w:wrap="around" w:vAnchor="page" w:hAnchor="page" w:x="1419" w:y="6408" w:anchorLock="1"/>
        <w:spacing w:before="180" w:line="240" w:lineRule="atLeast"/>
        <w:textAlignment w:val="bottom"/>
        <w:rPr>
          <w:noProof/>
          <w:sz w:val="21"/>
          <w:szCs w:val="28"/>
        </w:rPr>
      </w:pPr>
      <w:r>
        <w:rPr>
          <w:noProof/>
          <w:sz w:val="21"/>
          <w:szCs w:val="28"/>
        </w:rPr>
        <w:fldChar w:fldCharType="begin">
          <w:ffData>
            <w:name w:val="CMPLSH_DATE"/>
            <w:enabled/>
            <w:calcOnExit w:val="0"/>
            <w:textInput/>
          </w:ffData>
        </w:fldChar>
      </w:r>
      <w:bookmarkStart w:id="10" w:name="CMPLSH_DATE"/>
      <w:r>
        <w:rPr>
          <w:noProof/>
          <w:sz w:val="21"/>
          <w:szCs w:val="28"/>
        </w:rPr>
        <w:instrText xml:space="preserve"> FORMTEXT </w:instrText>
      </w:r>
      <w:r>
        <w:rPr>
          <w:noProof/>
          <w:sz w:val="21"/>
          <w:szCs w:val="28"/>
        </w:rPr>
      </w:r>
      <w:r>
        <w:rPr>
          <w:noProof/>
          <w:sz w:val="21"/>
          <w:szCs w:val="28"/>
        </w:rPr>
        <w:fldChar w:fldCharType="separate"/>
      </w:r>
      <w:r w:rsidR="00746C7D">
        <w:rPr>
          <w:noProof/>
          <w:sz w:val="21"/>
          <w:szCs w:val="28"/>
        </w:rPr>
        <w:t> </w:t>
      </w:r>
      <w:r w:rsidR="00746C7D">
        <w:rPr>
          <w:noProof/>
          <w:sz w:val="21"/>
          <w:szCs w:val="28"/>
        </w:rPr>
        <w:t> </w:t>
      </w:r>
      <w:r w:rsidR="00746C7D">
        <w:rPr>
          <w:noProof/>
          <w:sz w:val="21"/>
          <w:szCs w:val="28"/>
        </w:rPr>
        <w:t> </w:t>
      </w:r>
      <w:r w:rsidR="00746C7D">
        <w:rPr>
          <w:noProof/>
          <w:sz w:val="21"/>
          <w:szCs w:val="28"/>
        </w:rPr>
        <w:t> </w:t>
      </w:r>
      <w:r w:rsidR="00746C7D">
        <w:rPr>
          <w:noProof/>
          <w:sz w:val="21"/>
          <w:szCs w:val="28"/>
        </w:rPr>
        <w:t> </w:t>
      </w:r>
      <w:r>
        <w:rPr>
          <w:noProof/>
          <w:sz w:val="21"/>
          <w:szCs w:val="28"/>
        </w:rPr>
        <w:fldChar w:fldCharType="end"/>
      </w:r>
      <w:bookmarkEnd w:id="10"/>
    </w:p>
    <w:p w14:paraId="4AD3DE68" w14:textId="0DBCF27C" w:rsidR="00CD50A1" w:rsidRDefault="00087A77" w:rsidP="00EE7869">
      <w:pPr>
        <w:pStyle w:val="affffffffff1"/>
        <w:framePr w:wrap="around" w:y="14176"/>
      </w:pPr>
      <w:r>
        <w:rPr>
          <w:rFonts w:ascii="黑体"/>
        </w:rPr>
        <w:fldChar w:fldCharType="begin">
          <w:ffData>
            <w:name w:val="PLSH_DATE_Y"/>
            <w:enabled/>
            <w:calcOnExit w:val="0"/>
            <w:textInput>
              <w:default w:val="XXXX"/>
              <w:maxLength w:val="4"/>
            </w:textInput>
          </w:ffData>
        </w:fldChar>
      </w:r>
      <w:bookmarkStart w:id="11" w:name="PLSH_DATE_Y"/>
      <w:r>
        <w:rPr>
          <w:rFonts w:ascii="黑体"/>
        </w:rPr>
        <w:instrText xml:space="preserve"> FORMTEXT </w:instrText>
      </w:r>
      <w:r>
        <w:rPr>
          <w:rFonts w:ascii="黑体"/>
        </w:rPr>
      </w:r>
      <w:r>
        <w:rPr>
          <w:rFonts w:ascii="黑体"/>
        </w:rPr>
        <w:fldChar w:fldCharType="separate"/>
      </w:r>
      <w:r w:rsidR="00746C7D">
        <w:rPr>
          <w:rFonts w:ascii="黑体"/>
        </w:rPr>
        <w:t>2024</w:t>
      </w:r>
      <w:r>
        <w:rPr>
          <w:rFonts w:ascii="黑体"/>
        </w:rPr>
        <w:fldChar w:fldCharType="end"/>
      </w:r>
      <w:bookmarkEnd w:id="11"/>
      <w:r w:rsidR="00CD50A1">
        <w:t xml:space="preserve"> </w:t>
      </w:r>
      <w:r w:rsidR="00CD50A1" w:rsidRPr="00BB6C98">
        <w:rPr>
          <w:rFonts w:ascii="黑体"/>
        </w:rPr>
        <w:t>-</w:t>
      </w:r>
      <w:r w:rsidR="00CD50A1">
        <w:t xml:space="preserve"> </w:t>
      </w:r>
      <w:r>
        <w:rPr>
          <w:rFonts w:ascii="黑体"/>
        </w:rPr>
        <w:fldChar w:fldCharType="begin">
          <w:ffData>
            <w:name w:val="PLSH_DATE_M"/>
            <w:enabled/>
            <w:calcOnExit w:val="0"/>
            <w:textInput>
              <w:default w:val="XX"/>
              <w:maxLength w:val="2"/>
            </w:textInput>
          </w:ffData>
        </w:fldChar>
      </w:r>
      <w:bookmarkStart w:id="12" w:name="PLSH_DATE_M"/>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2"/>
      <w:r w:rsidR="00CD50A1">
        <w:t xml:space="preserve"> </w:t>
      </w:r>
      <w:r w:rsidR="00CD50A1" w:rsidRPr="00BB6C98">
        <w:rPr>
          <w:rFonts w:ascii="黑体"/>
        </w:rPr>
        <w:t>-</w:t>
      </w:r>
      <w:r w:rsidR="00CD50A1">
        <w:t xml:space="preserve"> </w:t>
      </w:r>
      <w:r>
        <w:rPr>
          <w:rFonts w:ascii="黑体"/>
        </w:rPr>
        <w:fldChar w:fldCharType="begin">
          <w:ffData>
            <w:name w:val="PLSH_DATE_D"/>
            <w:enabled/>
            <w:calcOnExit w:val="0"/>
            <w:textInput>
              <w:default w:val="XX"/>
              <w:maxLength w:val="2"/>
            </w:textInput>
          </w:ffData>
        </w:fldChar>
      </w:r>
      <w:bookmarkStart w:id="13" w:name="PLSH_DATE_D"/>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3"/>
      <w:r w:rsidR="00CD50A1">
        <w:rPr>
          <w:rFonts w:hint="eastAsia"/>
        </w:rPr>
        <w:t>发布</w:t>
      </w:r>
    </w:p>
    <w:p w14:paraId="3D08225C" w14:textId="7F2646CC" w:rsidR="00CD50A1" w:rsidRDefault="00087A77" w:rsidP="00EE7869">
      <w:pPr>
        <w:pStyle w:val="affffffffff2"/>
        <w:framePr w:wrap="around" w:y="14176"/>
      </w:pPr>
      <w:r>
        <w:rPr>
          <w:rFonts w:ascii="黑体"/>
        </w:rPr>
        <w:fldChar w:fldCharType="begin">
          <w:ffData>
            <w:name w:val="CROT_DATE_Y"/>
            <w:enabled/>
            <w:calcOnExit w:val="0"/>
            <w:textInput>
              <w:default w:val="XXXX"/>
              <w:maxLength w:val="4"/>
            </w:textInput>
          </w:ffData>
        </w:fldChar>
      </w:r>
      <w:bookmarkStart w:id="14" w:name="CROT_DATE_Y"/>
      <w:r>
        <w:rPr>
          <w:rFonts w:ascii="黑体"/>
        </w:rPr>
        <w:instrText xml:space="preserve"> FORMTEXT </w:instrText>
      </w:r>
      <w:r>
        <w:rPr>
          <w:rFonts w:ascii="黑体"/>
        </w:rPr>
      </w:r>
      <w:r>
        <w:rPr>
          <w:rFonts w:ascii="黑体"/>
        </w:rPr>
        <w:fldChar w:fldCharType="separate"/>
      </w:r>
      <w:r w:rsidR="00746C7D">
        <w:rPr>
          <w:rFonts w:ascii="黑体"/>
        </w:rPr>
        <w:t>2024</w:t>
      </w:r>
      <w:r>
        <w:rPr>
          <w:rFonts w:ascii="黑体"/>
        </w:rPr>
        <w:fldChar w:fldCharType="end"/>
      </w:r>
      <w:bookmarkEnd w:id="14"/>
      <w:r w:rsidR="00CD50A1">
        <w:t xml:space="preserve"> </w:t>
      </w:r>
      <w:r w:rsidR="00CD50A1" w:rsidRPr="00BB6C98">
        <w:rPr>
          <w:rFonts w:ascii="黑体"/>
        </w:rPr>
        <w:t>-</w:t>
      </w:r>
      <w:r w:rsidR="00CD50A1">
        <w:t xml:space="preserve"> </w:t>
      </w:r>
      <w:r>
        <w:rPr>
          <w:rFonts w:ascii="黑体"/>
        </w:rPr>
        <w:fldChar w:fldCharType="begin">
          <w:ffData>
            <w:name w:val="CROT_DATE_M"/>
            <w:enabled/>
            <w:calcOnExit w:val="0"/>
            <w:textInput>
              <w:default w:val="XX"/>
              <w:maxLength w:val="2"/>
            </w:textInput>
          </w:ffData>
        </w:fldChar>
      </w:r>
      <w:bookmarkStart w:id="15" w:name="CROT_DATE_M"/>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5"/>
      <w:r w:rsidR="00CD50A1">
        <w:t xml:space="preserve"> </w:t>
      </w:r>
      <w:r w:rsidR="00CD50A1" w:rsidRPr="00BB6C98">
        <w:rPr>
          <w:rFonts w:ascii="黑体"/>
        </w:rPr>
        <w:t>-</w:t>
      </w:r>
      <w:r w:rsidR="00CD50A1">
        <w:t xml:space="preserve"> </w:t>
      </w:r>
      <w:r>
        <w:rPr>
          <w:rFonts w:ascii="黑体"/>
        </w:rPr>
        <w:fldChar w:fldCharType="begin">
          <w:ffData>
            <w:name w:val="CROT_DATE_D"/>
            <w:enabled/>
            <w:calcOnExit w:val="0"/>
            <w:textInput>
              <w:default w:val="XX"/>
              <w:maxLength w:val="2"/>
            </w:textInput>
          </w:ffData>
        </w:fldChar>
      </w:r>
      <w:bookmarkStart w:id="16" w:name="CROT_DATE_D"/>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6"/>
      <w:r w:rsidR="00CD50A1">
        <w:rPr>
          <w:rFonts w:hint="eastAsia"/>
        </w:rPr>
        <w:t>实施</w:t>
      </w:r>
    </w:p>
    <w:p w14:paraId="7C1AF072" w14:textId="72B50E48" w:rsidR="007B7453" w:rsidRPr="004C7E8B" w:rsidRDefault="007476DA" w:rsidP="00A4006C">
      <w:pPr>
        <w:pStyle w:val="affffffff5"/>
        <w:framePr w:h="584" w:hRule="exact" w:hSpace="181" w:vSpace="181" w:wrap="around" w:y="15027"/>
        <w:rPr>
          <w:rFonts w:hAnsi="黑体"/>
        </w:rPr>
      </w:pPr>
      <w:r>
        <w:rPr>
          <w:rFonts w:hAnsi="黑体"/>
          <w:w w:val="100"/>
          <w:sz w:val="28"/>
        </w:rPr>
        <w:fldChar w:fldCharType="begin">
          <w:ffData>
            <w:name w:val="fm"/>
            <w:enabled/>
            <w:calcOnExit w:val="0"/>
            <w:textInput>
              <w:default w:val="江 苏 省 市 场 监 督 管 理 局"/>
            </w:textInput>
          </w:ffData>
        </w:fldChar>
      </w:r>
      <w:bookmarkStart w:id="17" w:name="fm"/>
      <w:r>
        <w:rPr>
          <w:rFonts w:hAnsi="黑体"/>
          <w:w w:val="100"/>
          <w:sz w:val="28"/>
        </w:rPr>
        <w:instrText xml:space="preserve"> FORMTEXT </w:instrText>
      </w:r>
      <w:r>
        <w:rPr>
          <w:rFonts w:hAnsi="黑体"/>
          <w:w w:val="100"/>
          <w:sz w:val="28"/>
        </w:rPr>
      </w:r>
      <w:r>
        <w:rPr>
          <w:rFonts w:hAnsi="黑体"/>
          <w:w w:val="100"/>
          <w:sz w:val="28"/>
        </w:rPr>
        <w:fldChar w:fldCharType="separate"/>
      </w:r>
      <w:r>
        <w:rPr>
          <w:rFonts w:hAnsi="黑体"/>
          <w:noProof/>
          <w:w w:val="100"/>
          <w:sz w:val="28"/>
        </w:rPr>
        <w:t>江 苏 省 市 场 监 督 管 理 局</w:t>
      </w:r>
      <w:r>
        <w:rPr>
          <w:rFonts w:hAnsi="黑体"/>
          <w:w w:val="100"/>
          <w:sz w:val="28"/>
        </w:rPr>
        <w:fldChar w:fldCharType="end"/>
      </w:r>
      <w:bookmarkEnd w:id="17"/>
      <w:r w:rsidR="00196EF5" w:rsidRPr="004C7E8B">
        <w:rPr>
          <w:rFonts w:ascii="Times New Roman"/>
          <w:w w:val="100"/>
          <w:sz w:val="28"/>
        </w:rPr>
        <w:t> </w:t>
      </w:r>
      <w:r w:rsidR="00196EF5" w:rsidRPr="004C7E8B">
        <w:rPr>
          <w:rFonts w:ascii="Times New Roman"/>
          <w:w w:val="100"/>
          <w:sz w:val="28"/>
        </w:rPr>
        <w:t> </w:t>
      </w:r>
      <w:r w:rsidR="007B7453" w:rsidRPr="004C7E8B">
        <w:rPr>
          <w:rStyle w:val="afffffffffffa"/>
          <w:rFonts w:hAnsi="黑体" w:hint="eastAsia"/>
          <w:position w:val="0"/>
        </w:rPr>
        <w:t>发</w:t>
      </w:r>
      <w:r w:rsidR="007B7453" w:rsidRPr="004C7E8B">
        <w:rPr>
          <w:rStyle w:val="afffffffffffa"/>
          <w:rFonts w:hAnsi="黑体" w:hint="eastAsia"/>
          <w:spacing w:val="0"/>
          <w:position w:val="0"/>
        </w:rPr>
        <w:t>布</w:t>
      </w:r>
    </w:p>
    <w:p w14:paraId="30873B21" w14:textId="77777777" w:rsidR="00A02BAE" w:rsidRPr="00CD50A1" w:rsidRDefault="006A37B9" w:rsidP="00A02BAE">
      <w:pPr>
        <w:rPr>
          <w:rFonts w:ascii="宋体" w:hAnsi="宋体"/>
          <w:sz w:val="28"/>
          <w:szCs w:val="28"/>
        </w:rPr>
        <w:sectPr w:rsidR="00A02BAE" w:rsidRPr="00CD50A1" w:rsidSect="000A5A1C">
          <w:headerReference w:type="default" r:id="rId9"/>
          <w:footerReference w:type="even" r:id="rId10"/>
          <w:headerReference w:type="first" r:id="rId11"/>
          <w:footerReference w:type="first" r:id="rId12"/>
          <w:type w:val="continuous"/>
          <w:pgSz w:w="11906" w:h="16838" w:code="9"/>
          <w:pgMar w:top="-338" w:right="1134" w:bottom="1021" w:left="1134" w:header="0" w:footer="0"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3360" behindDoc="0" locked="1" layoutInCell="1" allowOverlap="1" wp14:anchorId="6E75C3FD" wp14:editId="36ECA431">
                <wp:simplePos x="0" y="0"/>
                <wp:positionH relativeFrom="page">
                  <wp:posOffset>899795</wp:posOffset>
                </wp:positionH>
                <wp:positionV relativeFrom="page">
                  <wp:posOffset>9253220</wp:posOffset>
                </wp:positionV>
                <wp:extent cx="612000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8FCE9F" id="直接连接符 5" o:spid="_x0000_s1026" style="position:absolute;left:0;text-align:lef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">
                <w10:wrap anchorx="page" anchory="page"/>
                <w10:anchorlock/>
              </v:line>
            </w:pict>
          </mc:Fallback>
        </mc:AlternateContent>
      </w:r>
    </w:p>
    <w:p w14:paraId="2B4F8F04" w14:textId="77777777" w:rsidR="00235309" w:rsidRDefault="00235309" w:rsidP="00235309">
      <w:pPr>
        <w:pStyle w:val="affffff2"/>
        <w:spacing w:after="468"/>
      </w:pPr>
      <w:r w:rsidRPr="00235309">
        <w:rPr>
          <w:rFonts w:hint="eastAsia"/>
          <w:spacing w:val="320"/>
        </w:rPr>
        <w:lastRenderedPageBreak/>
        <w:t>目</w:t>
      </w:r>
      <w:r>
        <w:rPr>
          <w:rFonts w:hint="eastAsia"/>
        </w:rPr>
        <w:t>次</w:t>
      </w:r>
    </w:p>
    <w:p w14:paraId="4FB4149F" w14:textId="425823FD" w:rsidR="00B1286B" w:rsidRDefault="00235309">
      <w:pPr>
        <w:pStyle w:val="TOC1"/>
        <w:tabs>
          <w:tab w:val="right" w:leader="dot" w:pos="9344"/>
        </w:tabs>
        <w:rPr>
          <w:rFonts w:asciiTheme="minorHAnsi" w:eastAsiaTheme="minorEastAsia" w:hAnsiTheme="minorHAnsi" w:cstheme="minorBidi"/>
          <w:noProof/>
          <w:szCs w:val="22"/>
        </w:rPr>
      </w:pPr>
      <w:r w:rsidRPr="00235309">
        <w:fldChar w:fldCharType="begin"/>
      </w:r>
      <w:r w:rsidRPr="00235309">
        <w:instrText xml:space="preserve"> TOC \o "1-1" \h \t "标准文件_一级条标题,2,标准文件_附录一级条标题,2," </w:instrText>
      </w:r>
      <w:r w:rsidRPr="00235309">
        <w:fldChar w:fldCharType="separate"/>
      </w:r>
      <w:hyperlink w:anchor="_Toc182476361" w:history="1">
        <w:r w:rsidR="00B1286B" w:rsidRPr="00485EE7">
          <w:rPr>
            <w:rStyle w:val="affffffe"/>
            <w:noProof/>
            <w:spacing w:val="320"/>
          </w:rPr>
          <w:t>前</w:t>
        </w:r>
        <w:r w:rsidR="00B1286B" w:rsidRPr="00485EE7">
          <w:rPr>
            <w:rStyle w:val="affffffe"/>
            <w:noProof/>
          </w:rPr>
          <w:t>言</w:t>
        </w:r>
        <w:r w:rsidR="00B1286B">
          <w:rPr>
            <w:noProof/>
          </w:rPr>
          <w:tab/>
        </w:r>
        <w:r w:rsidR="00B1286B">
          <w:rPr>
            <w:noProof/>
          </w:rPr>
          <w:fldChar w:fldCharType="begin"/>
        </w:r>
        <w:r w:rsidR="00B1286B">
          <w:rPr>
            <w:noProof/>
          </w:rPr>
          <w:instrText xml:space="preserve"> PAGEREF _Toc182476361 \h </w:instrText>
        </w:r>
        <w:r w:rsidR="00B1286B">
          <w:rPr>
            <w:noProof/>
          </w:rPr>
        </w:r>
        <w:r w:rsidR="00B1286B">
          <w:rPr>
            <w:noProof/>
          </w:rPr>
          <w:fldChar w:fldCharType="separate"/>
        </w:r>
        <w:r w:rsidR="00620087">
          <w:rPr>
            <w:noProof/>
          </w:rPr>
          <w:t>VIII</w:t>
        </w:r>
        <w:r w:rsidR="00B1286B">
          <w:rPr>
            <w:noProof/>
          </w:rPr>
          <w:fldChar w:fldCharType="end"/>
        </w:r>
      </w:hyperlink>
    </w:p>
    <w:p w14:paraId="4A880229" w14:textId="7E34ADDB" w:rsidR="00B1286B" w:rsidRDefault="00CA2808">
      <w:pPr>
        <w:pStyle w:val="TOC1"/>
        <w:tabs>
          <w:tab w:val="right" w:leader="dot" w:pos="9344"/>
        </w:tabs>
        <w:rPr>
          <w:rFonts w:asciiTheme="minorHAnsi" w:eastAsiaTheme="minorEastAsia" w:hAnsiTheme="minorHAnsi" w:cstheme="minorBidi"/>
          <w:noProof/>
          <w:szCs w:val="22"/>
        </w:rPr>
      </w:pPr>
      <w:hyperlink w:anchor="_Toc182476362" w:history="1">
        <w:r w:rsidR="00B1286B" w:rsidRPr="00485EE7">
          <w:rPr>
            <w:rStyle w:val="affffffe"/>
            <w:noProof/>
          </w:rPr>
          <w:t>1 范围</w:t>
        </w:r>
        <w:r w:rsidR="00B1286B">
          <w:rPr>
            <w:noProof/>
          </w:rPr>
          <w:tab/>
        </w:r>
        <w:r w:rsidR="00B1286B">
          <w:rPr>
            <w:noProof/>
          </w:rPr>
          <w:fldChar w:fldCharType="begin"/>
        </w:r>
        <w:r w:rsidR="00B1286B">
          <w:rPr>
            <w:noProof/>
          </w:rPr>
          <w:instrText xml:space="preserve"> PAGEREF _Toc182476362 \h </w:instrText>
        </w:r>
        <w:r w:rsidR="00B1286B">
          <w:rPr>
            <w:noProof/>
          </w:rPr>
        </w:r>
        <w:r w:rsidR="00B1286B">
          <w:rPr>
            <w:noProof/>
          </w:rPr>
          <w:fldChar w:fldCharType="separate"/>
        </w:r>
        <w:r w:rsidR="00620087">
          <w:rPr>
            <w:noProof/>
          </w:rPr>
          <w:t>1</w:t>
        </w:r>
        <w:r w:rsidR="00B1286B">
          <w:rPr>
            <w:noProof/>
          </w:rPr>
          <w:fldChar w:fldCharType="end"/>
        </w:r>
      </w:hyperlink>
    </w:p>
    <w:p w14:paraId="5EC7B609" w14:textId="536309C2" w:rsidR="00B1286B" w:rsidRDefault="00CA2808">
      <w:pPr>
        <w:pStyle w:val="TOC1"/>
        <w:tabs>
          <w:tab w:val="right" w:leader="dot" w:pos="9344"/>
        </w:tabs>
        <w:rPr>
          <w:rFonts w:asciiTheme="minorHAnsi" w:eastAsiaTheme="minorEastAsia" w:hAnsiTheme="minorHAnsi" w:cstheme="minorBidi"/>
          <w:noProof/>
          <w:szCs w:val="22"/>
        </w:rPr>
      </w:pPr>
      <w:hyperlink w:anchor="_Toc182476363" w:history="1">
        <w:r w:rsidR="00B1286B" w:rsidRPr="00485EE7">
          <w:rPr>
            <w:rStyle w:val="affffffe"/>
            <w:noProof/>
          </w:rPr>
          <w:t>2 规范性引用文件</w:t>
        </w:r>
        <w:r w:rsidR="00B1286B">
          <w:rPr>
            <w:noProof/>
          </w:rPr>
          <w:tab/>
        </w:r>
        <w:r w:rsidR="00B1286B">
          <w:rPr>
            <w:noProof/>
          </w:rPr>
          <w:fldChar w:fldCharType="begin"/>
        </w:r>
        <w:r w:rsidR="00B1286B">
          <w:rPr>
            <w:noProof/>
          </w:rPr>
          <w:instrText xml:space="preserve"> PAGEREF _Toc182476363 \h </w:instrText>
        </w:r>
        <w:r w:rsidR="00B1286B">
          <w:rPr>
            <w:noProof/>
          </w:rPr>
        </w:r>
        <w:r w:rsidR="00B1286B">
          <w:rPr>
            <w:noProof/>
          </w:rPr>
          <w:fldChar w:fldCharType="separate"/>
        </w:r>
        <w:r w:rsidR="00620087">
          <w:rPr>
            <w:noProof/>
          </w:rPr>
          <w:t>1</w:t>
        </w:r>
        <w:r w:rsidR="00B1286B">
          <w:rPr>
            <w:noProof/>
          </w:rPr>
          <w:fldChar w:fldCharType="end"/>
        </w:r>
      </w:hyperlink>
    </w:p>
    <w:p w14:paraId="2E9F5AA0" w14:textId="02C23F92" w:rsidR="00B1286B" w:rsidRDefault="00CA2808">
      <w:pPr>
        <w:pStyle w:val="TOC1"/>
        <w:tabs>
          <w:tab w:val="right" w:leader="dot" w:pos="9344"/>
        </w:tabs>
        <w:rPr>
          <w:rFonts w:asciiTheme="minorHAnsi" w:eastAsiaTheme="minorEastAsia" w:hAnsiTheme="minorHAnsi" w:cstheme="minorBidi"/>
          <w:noProof/>
          <w:szCs w:val="22"/>
        </w:rPr>
      </w:pPr>
      <w:hyperlink w:anchor="_Toc182476364" w:history="1">
        <w:r w:rsidR="00B1286B" w:rsidRPr="00485EE7">
          <w:rPr>
            <w:rStyle w:val="affffffe"/>
            <w:noProof/>
          </w:rPr>
          <w:t>3 术语和定义、缩略语</w:t>
        </w:r>
        <w:r w:rsidR="00B1286B">
          <w:rPr>
            <w:noProof/>
          </w:rPr>
          <w:tab/>
        </w:r>
        <w:r w:rsidR="00B1286B">
          <w:rPr>
            <w:noProof/>
          </w:rPr>
          <w:fldChar w:fldCharType="begin"/>
        </w:r>
        <w:r w:rsidR="00B1286B">
          <w:rPr>
            <w:noProof/>
          </w:rPr>
          <w:instrText xml:space="preserve"> PAGEREF _Toc182476364 \h </w:instrText>
        </w:r>
        <w:r w:rsidR="00B1286B">
          <w:rPr>
            <w:noProof/>
          </w:rPr>
        </w:r>
        <w:r w:rsidR="00B1286B">
          <w:rPr>
            <w:noProof/>
          </w:rPr>
          <w:fldChar w:fldCharType="separate"/>
        </w:r>
        <w:r w:rsidR="00620087">
          <w:rPr>
            <w:noProof/>
          </w:rPr>
          <w:t>5</w:t>
        </w:r>
        <w:r w:rsidR="00B1286B">
          <w:rPr>
            <w:noProof/>
          </w:rPr>
          <w:fldChar w:fldCharType="end"/>
        </w:r>
      </w:hyperlink>
    </w:p>
    <w:p w14:paraId="3264806C" w14:textId="2E722053" w:rsidR="00B1286B" w:rsidRDefault="00CA2808">
      <w:pPr>
        <w:pStyle w:val="TOC2"/>
        <w:rPr>
          <w:rFonts w:asciiTheme="minorHAnsi" w:eastAsiaTheme="minorEastAsia" w:hAnsiTheme="minorHAnsi" w:cstheme="minorBidi"/>
          <w:noProof/>
          <w:szCs w:val="22"/>
        </w:rPr>
      </w:pPr>
      <w:hyperlink w:anchor="_Toc182476365" w:history="1">
        <w:r w:rsidR="00B1286B" w:rsidRPr="00485EE7">
          <w:rPr>
            <w:rStyle w:val="affffffe"/>
            <w:noProof/>
            <w14:scene3d>
              <w14:camera w14:prst="orthographicFront"/>
              <w14:lightRig w14:rig="threePt" w14:dir="t">
                <w14:rot w14:lat="0" w14:lon="0" w14:rev="0"/>
              </w14:lightRig>
            </w14:scene3d>
          </w:rPr>
          <w:t>3.1</w:t>
        </w:r>
        <w:r w:rsidR="00B1286B" w:rsidRPr="00485EE7">
          <w:rPr>
            <w:rStyle w:val="affffffe"/>
            <w:noProof/>
          </w:rPr>
          <w:t xml:space="preserve"> 术语和定义</w:t>
        </w:r>
        <w:r w:rsidR="00B1286B">
          <w:rPr>
            <w:noProof/>
          </w:rPr>
          <w:tab/>
        </w:r>
        <w:r w:rsidR="00B1286B">
          <w:rPr>
            <w:noProof/>
          </w:rPr>
          <w:fldChar w:fldCharType="begin"/>
        </w:r>
        <w:r w:rsidR="00B1286B">
          <w:rPr>
            <w:noProof/>
          </w:rPr>
          <w:instrText xml:space="preserve"> PAGEREF _Toc182476365 \h </w:instrText>
        </w:r>
        <w:r w:rsidR="00B1286B">
          <w:rPr>
            <w:noProof/>
          </w:rPr>
        </w:r>
        <w:r w:rsidR="00B1286B">
          <w:rPr>
            <w:noProof/>
          </w:rPr>
          <w:fldChar w:fldCharType="separate"/>
        </w:r>
        <w:r w:rsidR="00620087">
          <w:rPr>
            <w:noProof/>
          </w:rPr>
          <w:t>5</w:t>
        </w:r>
        <w:r w:rsidR="00B1286B">
          <w:rPr>
            <w:noProof/>
          </w:rPr>
          <w:fldChar w:fldCharType="end"/>
        </w:r>
      </w:hyperlink>
    </w:p>
    <w:p w14:paraId="549F6FF9" w14:textId="4BDB594F" w:rsidR="00B1286B" w:rsidRDefault="00CA2808">
      <w:pPr>
        <w:pStyle w:val="TOC2"/>
        <w:rPr>
          <w:rFonts w:asciiTheme="minorHAnsi" w:eastAsiaTheme="minorEastAsia" w:hAnsiTheme="minorHAnsi" w:cstheme="minorBidi"/>
          <w:noProof/>
          <w:szCs w:val="22"/>
        </w:rPr>
      </w:pPr>
      <w:hyperlink w:anchor="_Toc182476366" w:history="1">
        <w:r w:rsidR="00B1286B" w:rsidRPr="00485EE7">
          <w:rPr>
            <w:rStyle w:val="affffffe"/>
            <w:noProof/>
          </w:rPr>
          <w:t>3.2 缩略语</w:t>
        </w:r>
        <w:r w:rsidR="00B1286B">
          <w:rPr>
            <w:noProof/>
          </w:rPr>
          <w:tab/>
        </w:r>
        <w:r w:rsidR="00B1286B">
          <w:rPr>
            <w:noProof/>
          </w:rPr>
          <w:fldChar w:fldCharType="begin"/>
        </w:r>
        <w:r w:rsidR="00B1286B">
          <w:rPr>
            <w:noProof/>
          </w:rPr>
          <w:instrText xml:space="preserve"> PAGEREF _Toc182476366 \h </w:instrText>
        </w:r>
        <w:r w:rsidR="00B1286B">
          <w:rPr>
            <w:noProof/>
          </w:rPr>
        </w:r>
        <w:r w:rsidR="00B1286B">
          <w:rPr>
            <w:noProof/>
          </w:rPr>
          <w:fldChar w:fldCharType="separate"/>
        </w:r>
        <w:r w:rsidR="00620087">
          <w:rPr>
            <w:noProof/>
          </w:rPr>
          <w:t>6</w:t>
        </w:r>
        <w:r w:rsidR="00B1286B">
          <w:rPr>
            <w:noProof/>
          </w:rPr>
          <w:fldChar w:fldCharType="end"/>
        </w:r>
      </w:hyperlink>
    </w:p>
    <w:p w14:paraId="03977AE7" w14:textId="058BC0C6" w:rsidR="00B1286B" w:rsidRDefault="00CA2808">
      <w:pPr>
        <w:pStyle w:val="TOC1"/>
        <w:tabs>
          <w:tab w:val="right" w:leader="dot" w:pos="9344"/>
        </w:tabs>
        <w:rPr>
          <w:rFonts w:asciiTheme="minorHAnsi" w:eastAsiaTheme="minorEastAsia" w:hAnsiTheme="minorHAnsi" w:cstheme="minorBidi"/>
          <w:noProof/>
          <w:szCs w:val="22"/>
        </w:rPr>
      </w:pPr>
      <w:hyperlink w:anchor="_Toc182476367" w:history="1">
        <w:r w:rsidR="00B1286B" w:rsidRPr="00485EE7">
          <w:rPr>
            <w:rStyle w:val="affffffe"/>
            <w:noProof/>
          </w:rPr>
          <w:t>4 基本规定</w:t>
        </w:r>
        <w:r w:rsidR="00B1286B">
          <w:rPr>
            <w:noProof/>
          </w:rPr>
          <w:tab/>
        </w:r>
        <w:r w:rsidR="00B1286B">
          <w:rPr>
            <w:noProof/>
          </w:rPr>
          <w:fldChar w:fldCharType="begin"/>
        </w:r>
        <w:r w:rsidR="00B1286B">
          <w:rPr>
            <w:noProof/>
          </w:rPr>
          <w:instrText xml:space="preserve"> PAGEREF _Toc182476367 \h </w:instrText>
        </w:r>
        <w:r w:rsidR="00B1286B">
          <w:rPr>
            <w:noProof/>
          </w:rPr>
        </w:r>
        <w:r w:rsidR="00B1286B">
          <w:rPr>
            <w:noProof/>
          </w:rPr>
          <w:fldChar w:fldCharType="separate"/>
        </w:r>
        <w:r w:rsidR="00620087">
          <w:rPr>
            <w:noProof/>
          </w:rPr>
          <w:t>6</w:t>
        </w:r>
        <w:r w:rsidR="00B1286B">
          <w:rPr>
            <w:noProof/>
          </w:rPr>
          <w:fldChar w:fldCharType="end"/>
        </w:r>
      </w:hyperlink>
    </w:p>
    <w:p w14:paraId="6552A26B" w14:textId="092C0071" w:rsidR="00B1286B" w:rsidRDefault="00CA2808">
      <w:pPr>
        <w:pStyle w:val="TOC1"/>
        <w:tabs>
          <w:tab w:val="right" w:leader="dot" w:pos="9344"/>
        </w:tabs>
        <w:rPr>
          <w:rFonts w:asciiTheme="minorHAnsi" w:eastAsiaTheme="minorEastAsia" w:hAnsiTheme="minorHAnsi" w:cstheme="minorBidi"/>
          <w:noProof/>
          <w:szCs w:val="22"/>
        </w:rPr>
      </w:pPr>
      <w:hyperlink w:anchor="_Toc182476368" w:history="1">
        <w:r w:rsidR="00B1286B" w:rsidRPr="00485EE7">
          <w:rPr>
            <w:rStyle w:val="affffffe"/>
            <w:noProof/>
          </w:rPr>
          <w:t>5 总体设计</w:t>
        </w:r>
        <w:r w:rsidR="00B1286B">
          <w:rPr>
            <w:noProof/>
          </w:rPr>
          <w:tab/>
        </w:r>
        <w:r w:rsidR="00B1286B">
          <w:rPr>
            <w:noProof/>
          </w:rPr>
          <w:fldChar w:fldCharType="begin"/>
        </w:r>
        <w:r w:rsidR="00B1286B">
          <w:rPr>
            <w:noProof/>
          </w:rPr>
          <w:instrText xml:space="preserve"> PAGEREF _Toc182476368 \h </w:instrText>
        </w:r>
        <w:r w:rsidR="00B1286B">
          <w:rPr>
            <w:noProof/>
          </w:rPr>
        </w:r>
        <w:r w:rsidR="00B1286B">
          <w:rPr>
            <w:noProof/>
          </w:rPr>
          <w:fldChar w:fldCharType="separate"/>
        </w:r>
        <w:r w:rsidR="00620087">
          <w:rPr>
            <w:noProof/>
          </w:rPr>
          <w:t>7</w:t>
        </w:r>
        <w:r w:rsidR="00B1286B">
          <w:rPr>
            <w:noProof/>
          </w:rPr>
          <w:fldChar w:fldCharType="end"/>
        </w:r>
      </w:hyperlink>
    </w:p>
    <w:p w14:paraId="2E2DCD0C" w14:textId="0BECD62A" w:rsidR="00B1286B" w:rsidRDefault="00CA2808">
      <w:pPr>
        <w:pStyle w:val="TOC2"/>
        <w:rPr>
          <w:rFonts w:asciiTheme="minorHAnsi" w:eastAsiaTheme="minorEastAsia" w:hAnsiTheme="minorHAnsi" w:cstheme="minorBidi"/>
          <w:noProof/>
          <w:szCs w:val="22"/>
        </w:rPr>
      </w:pPr>
      <w:hyperlink w:anchor="_Toc182476369" w:history="1">
        <w:r w:rsidR="00B1286B" w:rsidRPr="00485EE7">
          <w:rPr>
            <w:rStyle w:val="affffffe"/>
            <w:noProof/>
            <w14:scene3d>
              <w14:camera w14:prst="orthographicFront"/>
              <w14:lightRig w14:rig="threePt" w14:dir="t">
                <w14:rot w14:lat="0" w14:lon="0" w14:rev="0"/>
              </w14:lightRig>
            </w14:scene3d>
          </w:rPr>
          <w:t>5.1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_Toc182476369 \h </w:instrText>
        </w:r>
        <w:r w:rsidR="00B1286B">
          <w:rPr>
            <w:noProof/>
          </w:rPr>
        </w:r>
        <w:r w:rsidR="00B1286B">
          <w:rPr>
            <w:noProof/>
          </w:rPr>
          <w:fldChar w:fldCharType="separate"/>
        </w:r>
        <w:r w:rsidR="00620087">
          <w:rPr>
            <w:noProof/>
          </w:rPr>
          <w:t>7</w:t>
        </w:r>
        <w:r w:rsidR="00B1286B">
          <w:rPr>
            <w:noProof/>
          </w:rPr>
          <w:fldChar w:fldCharType="end"/>
        </w:r>
      </w:hyperlink>
    </w:p>
    <w:p w14:paraId="2E200799" w14:textId="2519B9EF" w:rsidR="00B1286B" w:rsidRDefault="00CA2808">
      <w:pPr>
        <w:pStyle w:val="TOC2"/>
        <w:rPr>
          <w:rFonts w:asciiTheme="minorHAnsi" w:eastAsiaTheme="minorEastAsia" w:hAnsiTheme="minorHAnsi" w:cstheme="minorBidi"/>
          <w:noProof/>
          <w:szCs w:val="22"/>
        </w:rPr>
      </w:pPr>
      <w:hyperlink w:anchor="_Toc182476370" w:history="1">
        <w:r w:rsidR="00B1286B" w:rsidRPr="00485EE7">
          <w:rPr>
            <w:rStyle w:val="affffffe"/>
            <w:noProof/>
            <w14:scene3d>
              <w14:camera w14:prst="orthographicFront"/>
              <w14:lightRig w14:rig="threePt" w14:dir="t">
                <w14:rot w14:lat="0" w14:lon="0" w14:rev="0"/>
              </w14:lightRig>
            </w14:scene3d>
          </w:rPr>
          <w:t>5.2</w:t>
        </w:r>
        <w:r w:rsidR="00B1286B" w:rsidRPr="00485EE7">
          <w:rPr>
            <w:rStyle w:val="affffffe"/>
            <w:noProof/>
          </w:rPr>
          <w:t xml:space="preserve"> 主要技术标准</w:t>
        </w:r>
        <w:r w:rsidR="00B1286B">
          <w:rPr>
            <w:noProof/>
          </w:rPr>
          <w:tab/>
        </w:r>
        <w:r w:rsidR="00B1286B">
          <w:rPr>
            <w:noProof/>
          </w:rPr>
          <w:fldChar w:fldCharType="begin"/>
        </w:r>
        <w:r w:rsidR="00B1286B">
          <w:rPr>
            <w:noProof/>
          </w:rPr>
          <w:instrText xml:space="preserve"> PAGEREF _Toc182476370 \h </w:instrText>
        </w:r>
        <w:r w:rsidR="00B1286B">
          <w:rPr>
            <w:noProof/>
          </w:rPr>
        </w:r>
        <w:r w:rsidR="00B1286B">
          <w:rPr>
            <w:noProof/>
          </w:rPr>
          <w:fldChar w:fldCharType="separate"/>
        </w:r>
        <w:r w:rsidR="00620087">
          <w:rPr>
            <w:noProof/>
          </w:rPr>
          <w:t>7</w:t>
        </w:r>
        <w:r w:rsidR="00B1286B">
          <w:rPr>
            <w:noProof/>
          </w:rPr>
          <w:fldChar w:fldCharType="end"/>
        </w:r>
      </w:hyperlink>
    </w:p>
    <w:p w14:paraId="1DD041F0" w14:textId="58EEA46A" w:rsidR="00B1286B" w:rsidRDefault="00CA2808">
      <w:pPr>
        <w:pStyle w:val="TOC2"/>
        <w:rPr>
          <w:rFonts w:asciiTheme="minorHAnsi" w:eastAsiaTheme="minorEastAsia" w:hAnsiTheme="minorHAnsi" w:cstheme="minorBidi"/>
          <w:noProof/>
          <w:szCs w:val="22"/>
        </w:rPr>
      </w:pPr>
      <w:hyperlink w:anchor="_Toc182476371" w:history="1">
        <w:r w:rsidR="00B1286B" w:rsidRPr="00485EE7">
          <w:rPr>
            <w:rStyle w:val="affffffe"/>
            <w:noProof/>
            <w14:scene3d>
              <w14:camera w14:prst="orthographicFront"/>
              <w14:lightRig w14:rig="threePt" w14:dir="t">
                <w14:rot w14:lat="0" w14:lon="0" w14:rev="0"/>
              </w14:lightRig>
            </w14:scene3d>
          </w:rPr>
          <w:t>5.3</w:t>
        </w:r>
        <w:r w:rsidR="00B1286B" w:rsidRPr="00485EE7">
          <w:rPr>
            <w:rStyle w:val="affffffe"/>
            <w:noProof/>
          </w:rPr>
          <w:t xml:space="preserve"> 综合选线</w:t>
        </w:r>
        <w:r w:rsidR="00B1286B">
          <w:rPr>
            <w:noProof/>
          </w:rPr>
          <w:tab/>
        </w:r>
        <w:r w:rsidR="00B1286B">
          <w:rPr>
            <w:noProof/>
          </w:rPr>
          <w:fldChar w:fldCharType="begin"/>
        </w:r>
        <w:r w:rsidR="00B1286B">
          <w:rPr>
            <w:noProof/>
          </w:rPr>
          <w:instrText xml:space="preserve"> PAGEREF _Toc182476371 \h </w:instrText>
        </w:r>
        <w:r w:rsidR="00B1286B">
          <w:rPr>
            <w:noProof/>
          </w:rPr>
        </w:r>
        <w:r w:rsidR="00B1286B">
          <w:rPr>
            <w:noProof/>
          </w:rPr>
          <w:fldChar w:fldCharType="separate"/>
        </w:r>
        <w:r w:rsidR="00620087">
          <w:rPr>
            <w:noProof/>
          </w:rPr>
          <w:t>8</w:t>
        </w:r>
        <w:r w:rsidR="00B1286B">
          <w:rPr>
            <w:noProof/>
          </w:rPr>
          <w:fldChar w:fldCharType="end"/>
        </w:r>
      </w:hyperlink>
    </w:p>
    <w:p w14:paraId="597E675B" w14:textId="18552774" w:rsidR="00B1286B" w:rsidRDefault="00CA2808">
      <w:pPr>
        <w:pStyle w:val="TOC2"/>
        <w:rPr>
          <w:rFonts w:asciiTheme="minorHAnsi" w:eastAsiaTheme="minorEastAsia" w:hAnsiTheme="minorHAnsi" w:cstheme="minorBidi"/>
          <w:noProof/>
          <w:szCs w:val="22"/>
        </w:rPr>
      </w:pPr>
      <w:hyperlink w:anchor="_Toc182476372" w:history="1">
        <w:r w:rsidR="00B1286B" w:rsidRPr="00485EE7">
          <w:rPr>
            <w:rStyle w:val="affffffe"/>
            <w:noProof/>
            <w14:scene3d>
              <w14:camera w14:prst="orthographicFront"/>
              <w14:lightRig w14:rig="threePt" w14:dir="t">
                <w14:rot w14:lat="0" w14:lon="0" w14:rev="0"/>
              </w14:lightRig>
            </w14:scene3d>
          </w:rPr>
          <w:t>5.4</w:t>
        </w:r>
        <w:r w:rsidR="00B1286B" w:rsidRPr="00485EE7">
          <w:rPr>
            <w:rStyle w:val="affffffe"/>
            <w:noProof/>
          </w:rPr>
          <w:t xml:space="preserve"> 系统设计</w:t>
        </w:r>
        <w:r w:rsidR="00B1286B">
          <w:rPr>
            <w:noProof/>
          </w:rPr>
          <w:tab/>
        </w:r>
        <w:r w:rsidR="00B1286B">
          <w:rPr>
            <w:noProof/>
          </w:rPr>
          <w:fldChar w:fldCharType="begin"/>
        </w:r>
        <w:r w:rsidR="00B1286B">
          <w:rPr>
            <w:noProof/>
          </w:rPr>
          <w:instrText xml:space="preserve"> PAGEREF _Toc182476372 \h </w:instrText>
        </w:r>
        <w:r w:rsidR="00B1286B">
          <w:rPr>
            <w:noProof/>
          </w:rPr>
        </w:r>
        <w:r w:rsidR="00B1286B">
          <w:rPr>
            <w:noProof/>
          </w:rPr>
          <w:fldChar w:fldCharType="separate"/>
        </w:r>
        <w:r w:rsidR="00620087">
          <w:rPr>
            <w:noProof/>
          </w:rPr>
          <w:t>8</w:t>
        </w:r>
        <w:r w:rsidR="00B1286B">
          <w:rPr>
            <w:noProof/>
          </w:rPr>
          <w:fldChar w:fldCharType="end"/>
        </w:r>
      </w:hyperlink>
    </w:p>
    <w:p w14:paraId="614FFFB9" w14:textId="7F356F4A" w:rsidR="00B1286B" w:rsidRDefault="00CA2808">
      <w:pPr>
        <w:pStyle w:val="TOC1"/>
        <w:tabs>
          <w:tab w:val="right" w:leader="dot" w:pos="9344"/>
        </w:tabs>
        <w:rPr>
          <w:rFonts w:asciiTheme="minorHAnsi" w:eastAsiaTheme="minorEastAsia" w:hAnsiTheme="minorHAnsi" w:cstheme="minorBidi"/>
          <w:noProof/>
          <w:szCs w:val="22"/>
        </w:rPr>
      </w:pPr>
      <w:hyperlink w:anchor="_Toc182476373" w:history="1">
        <w:r w:rsidR="00B1286B" w:rsidRPr="00485EE7">
          <w:rPr>
            <w:rStyle w:val="affffffe"/>
            <w:noProof/>
          </w:rPr>
          <w:t>6 客流预测</w:t>
        </w:r>
        <w:r w:rsidR="00B1286B">
          <w:rPr>
            <w:noProof/>
          </w:rPr>
          <w:tab/>
        </w:r>
        <w:r w:rsidR="00B1286B">
          <w:rPr>
            <w:noProof/>
          </w:rPr>
          <w:fldChar w:fldCharType="begin"/>
        </w:r>
        <w:r w:rsidR="00B1286B">
          <w:rPr>
            <w:noProof/>
          </w:rPr>
          <w:instrText xml:space="preserve"> PAGEREF _Toc182476373 \h </w:instrText>
        </w:r>
        <w:r w:rsidR="00B1286B">
          <w:rPr>
            <w:noProof/>
          </w:rPr>
        </w:r>
        <w:r w:rsidR="00B1286B">
          <w:rPr>
            <w:noProof/>
          </w:rPr>
          <w:fldChar w:fldCharType="separate"/>
        </w:r>
        <w:r w:rsidR="00620087">
          <w:rPr>
            <w:noProof/>
          </w:rPr>
          <w:t>9</w:t>
        </w:r>
        <w:r w:rsidR="00B1286B">
          <w:rPr>
            <w:noProof/>
          </w:rPr>
          <w:fldChar w:fldCharType="end"/>
        </w:r>
      </w:hyperlink>
    </w:p>
    <w:p w14:paraId="55124B1A" w14:textId="2A752780" w:rsidR="00B1286B" w:rsidRDefault="00CA2808">
      <w:pPr>
        <w:pStyle w:val="TOC2"/>
        <w:rPr>
          <w:rFonts w:asciiTheme="minorHAnsi" w:eastAsiaTheme="minorEastAsia" w:hAnsiTheme="minorHAnsi" w:cstheme="minorBidi"/>
          <w:noProof/>
          <w:szCs w:val="22"/>
        </w:rPr>
      </w:pPr>
      <w:hyperlink w:anchor="_Toc182476374" w:history="1">
        <w:r w:rsidR="00B1286B" w:rsidRPr="00485EE7">
          <w:rPr>
            <w:rStyle w:val="affffffe"/>
            <w:noProof/>
            <w14:scene3d>
              <w14:camera w14:prst="orthographicFront"/>
              <w14:lightRig w14:rig="threePt" w14:dir="t">
                <w14:rot w14:lat="0" w14:lon="0" w14:rev="0"/>
              </w14:lightRig>
            </w14:scene3d>
          </w:rPr>
          <w:t>6.1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_Toc182476374 \h </w:instrText>
        </w:r>
        <w:r w:rsidR="00B1286B">
          <w:rPr>
            <w:noProof/>
          </w:rPr>
        </w:r>
        <w:r w:rsidR="00B1286B">
          <w:rPr>
            <w:noProof/>
          </w:rPr>
          <w:fldChar w:fldCharType="separate"/>
        </w:r>
        <w:r w:rsidR="00620087">
          <w:rPr>
            <w:noProof/>
          </w:rPr>
          <w:t>9</w:t>
        </w:r>
        <w:r w:rsidR="00B1286B">
          <w:rPr>
            <w:noProof/>
          </w:rPr>
          <w:fldChar w:fldCharType="end"/>
        </w:r>
      </w:hyperlink>
    </w:p>
    <w:p w14:paraId="39D7F7B1" w14:textId="217D1BC2" w:rsidR="00B1286B" w:rsidRDefault="00CA2808">
      <w:pPr>
        <w:pStyle w:val="TOC2"/>
        <w:rPr>
          <w:rFonts w:asciiTheme="minorHAnsi" w:eastAsiaTheme="minorEastAsia" w:hAnsiTheme="minorHAnsi" w:cstheme="minorBidi"/>
          <w:noProof/>
          <w:szCs w:val="22"/>
        </w:rPr>
      </w:pPr>
      <w:hyperlink w:anchor="_Toc182476375" w:history="1">
        <w:r w:rsidR="00B1286B" w:rsidRPr="00485EE7">
          <w:rPr>
            <w:rStyle w:val="affffffe"/>
            <w:noProof/>
            <w14:scene3d>
              <w14:camera w14:prst="orthographicFront"/>
              <w14:lightRig w14:rig="threePt" w14:dir="t">
                <w14:rot w14:lat="0" w14:lon="0" w14:rev="0"/>
              </w14:lightRig>
            </w14:scene3d>
          </w:rPr>
          <w:t>6.2</w:t>
        </w:r>
        <w:r w:rsidR="00B1286B" w:rsidRPr="00485EE7">
          <w:rPr>
            <w:rStyle w:val="affffffe"/>
            <w:noProof/>
          </w:rPr>
          <w:t xml:space="preserve"> 基础资料与数据</w:t>
        </w:r>
        <w:r w:rsidR="00B1286B">
          <w:rPr>
            <w:noProof/>
          </w:rPr>
          <w:tab/>
        </w:r>
        <w:r w:rsidR="00B1286B">
          <w:rPr>
            <w:noProof/>
          </w:rPr>
          <w:fldChar w:fldCharType="begin"/>
        </w:r>
        <w:r w:rsidR="00B1286B">
          <w:rPr>
            <w:noProof/>
          </w:rPr>
          <w:instrText xml:space="preserve"> PAGEREF _Toc182476375 \h </w:instrText>
        </w:r>
        <w:r w:rsidR="00B1286B">
          <w:rPr>
            <w:noProof/>
          </w:rPr>
        </w:r>
        <w:r w:rsidR="00B1286B">
          <w:rPr>
            <w:noProof/>
          </w:rPr>
          <w:fldChar w:fldCharType="separate"/>
        </w:r>
        <w:r w:rsidR="00620087">
          <w:rPr>
            <w:noProof/>
          </w:rPr>
          <w:t>9</w:t>
        </w:r>
        <w:r w:rsidR="00B1286B">
          <w:rPr>
            <w:noProof/>
          </w:rPr>
          <w:fldChar w:fldCharType="end"/>
        </w:r>
      </w:hyperlink>
    </w:p>
    <w:p w14:paraId="2D461393" w14:textId="7AA55C39" w:rsidR="00B1286B" w:rsidRDefault="00CA2808">
      <w:pPr>
        <w:pStyle w:val="TOC2"/>
        <w:rPr>
          <w:rFonts w:asciiTheme="minorHAnsi" w:eastAsiaTheme="minorEastAsia" w:hAnsiTheme="minorHAnsi" w:cstheme="minorBidi"/>
          <w:noProof/>
          <w:szCs w:val="22"/>
        </w:rPr>
      </w:pPr>
      <w:hyperlink w:anchor="_Toc182476376" w:history="1">
        <w:r w:rsidR="00B1286B" w:rsidRPr="00485EE7">
          <w:rPr>
            <w:rStyle w:val="affffffe"/>
            <w:noProof/>
            <w14:scene3d>
              <w14:camera w14:prst="orthographicFront"/>
              <w14:lightRig w14:rig="threePt" w14:dir="t">
                <w14:rot w14:lat="0" w14:lon="0" w14:rev="0"/>
              </w14:lightRig>
            </w14:scene3d>
          </w:rPr>
          <w:t>6.3</w:t>
        </w:r>
        <w:r w:rsidR="00B1286B" w:rsidRPr="00485EE7">
          <w:rPr>
            <w:rStyle w:val="affffffe"/>
            <w:noProof/>
          </w:rPr>
          <w:t xml:space="preserve"> 预测内容</w:t>
        </w:r>
        <w:r w:rsidR="00B1286B">
          <w:rPr>
            <w:noProof/>
          </w:rPr>
          <w:tab/>
        </w:r>
        <w:r w:rsidR="00B1286B">
          <w:rPr>
            <w:noProof/>
          </w:rPr>
          <w:fldChar w:fldCharType="begin"/>
        </w:r>
        <w:r w:rsidR="00B1286B">
          <w:rPr>
            <w:noProof/>
          </w:rPr>
          <w:instrText xml:space="preserve"> PAGEREF _Toc182476376 \h </w:instrText>
        </w:r>
        <w:r w:rsidR="00B1286B">
          <w:rPr>
            <w:noProof/>
          </w:rPr>
        </w:r>
        <w:r w:rsidR="00B1286B">
          <w:rPr>
            <w:noProof/>
          </w:rPr>
          <w:fldChar w:fldCharType="separate"/>
        </w:r>
        <w:r w:rsidR="00620087">
          <w:rPr>
            <w:noProof/>
          </w:rPr>
          <w:t>10</w:t>
        </w:r>
        <w:r w:rsidR="00B1286B">
          <w:rPr>
            <w:noProof/>
          </w:rPr>
          <w:fldChar w:fldCharType="end"/>
        </w:r>
      </w:hyperlink>
    </w:p>
    <w:p w14:paraId="7469B2CF" w14:textId="27013442" w:rsidR="00B1286B" w:rsidRDefault="00CA2808">
      <w:pPr>
        <w:pStyle w:val="TOC1"/>
        <w:tabs>
          <w:tab w:val="right" w:leader="dot" w:pos="9344"/>
        </w:tabs>
        <w:rPr>
          <w:rFonts w:asciiTheme="minorHAnsi" w:eastAsiaTheme="minorEastAsia" w:hAnsiTheme="minorHAnsi" w:cstheme="minorBidi"/>
          <w:noProof/>
          <w:szCs w:val="22"/>
        </w:rPr>
      </w:pPr>
      <w:hyperlink w:anchor="_Toc182476377" w:history="1">
        <w:r w:rsidR="00B1286B" w:rsidRPr="00485EE7">
          <w:rPr>
            <w:rStyle w:val="affffffe"/>
            <w:noProof/>
          </w:rPr>
          <w:t>7 行车组织与运营管理</w:t>
        </w:r>
        <w:r w:rsidR="00B1286B">
          <w:rPr>
            <w:noProof/>
          </w:rPr>
          <w:tab/>
        </w:r>
        <w:r w:rsidR="00B1286B">
          <w:rPr>
            <w:noProof/>
          </w:rPr>
          <w:fldChar w:fldCharType="begin"/>
        </w:r>
        <w:r w:rsidR="00B1286B">
          <w:rPr>
            <w:noProof/>
          </w:rPr>
          <w:instrText xml:space="preserve"> PAGEREF _Toc182476377 \h </w:instrText>
        </w:r>
        <w:r w:rsidR="00B1286B">
          <w:rPr>
            <w:noProof/>
          </w:rPr>
        </w:r>
        <w:r w:rsidR="00B1286B">
          <w:rPr>
            <w:noProof/>
          </w:rPr>
          <w:fldChar w:fldCharType="separate"/>
        </w:r>
        <w:r w:rsidR="00620087">
          <w:rPr>
            <w:noProof/>
          </w:rPr>
          <w:t>10</w:t>
        </w:r>
        <w:r w:rsidR="00B1286B">
          <w:rPr>
            <w:noProof/>
          </w:rPr>
          <w:fldChar w:fldCharType="end"/>
        </w:r>
      </w:hyperlink>
    </w:p>
    <w:p w14:paraId="15FDA92F" w14:textId="1FD5D77E" w:rsidR="00B1286B" w:rsidRDefault="00CA2808">
      <w:pPr>
        <w:pStyle w:val="TOC2"/>
        <w:rPr>
          <w:rFonts w:asciiTheme="minorHAnsi" w:eastAsiaTheme="minorEastAsia" w:hAnsiTheme="minorHAnsi" w:cstheme="minorBidi"/>
          <w:noProof/>
          <w:szCs w:val="22"/>
        </w:rPr>
      </w:pPr>
      <w:hyperlink w:anchor="_Toc182476378" w:history="1">
        <w:r w:rsidR="00B1286B" w:rsidRPr="00485EE7">
          <w:rPr>
            <w:rStyle w:val="affffffe"/>
            <w:noProof/>
            <w14:scene3d>
              <w14:camera w14:prst="orthographicFront"/>
              <w14:lightRig w14:rig="threePt" w14:dir="t">
                <w14:rot w14:lat="0" w14:lon="0" w14:rev="0"/>
              </w14:lightRig>
            </w14:scene3d>
          </w:rPr>
          <w:t>7.1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_Toc182476378 \h </w:instrText>
        </w:r>
        <w:r w:rsidR="00B1286B">
          <w:rPr>
            <w:noProof/>
          </w:rPr>
        </w:r>
        <w:r w:rsidR="00B1286B">
          <w:rPr>
            <w:noProof/>
          </w:rPr>
          <w:fldChar w:fldCharType="separate"/>
        </w:r>
        <w:r w:rsidR="00620087">
          <w:rPr>
            <w:noProof/>
          </w:rPr>
          <w:t>10</w:t>
        </w:r>
        <w:r w:rsidR="00B1286B">
          <w:rPr>
            <w:noProof/>
          </w:rPr>
          <w:fldChar w:fldCharType="end"/>
        </w:r>
      </w:hyperlink>
    </w:p>
    <w:p w14:paraId="3F503ED3" w14:textId="6D5418A9" w:rsidR="00B1286B" w:rsidRDefault="00CA2808">
      <w:pPr>
        <w:pStyle w:val="TOC2"/>
        <w:rPr>
          <w:rFonts w:asciiTheme="minorHAnsi" w:eastAsiaTheme="minorEastAsia" w:hAnsiTheme="minorHAnsi" w:cstheme="minorBidi"/>
          <w:noProof/>
          <w:szCs w:val="22"/>
        </w:rPr>
      </w:pPr>
      <w:hyperlink w:anchor="_Toc182476379" w:history="1">
        <w:r w:rsidR="00B1286B" w:rsidRPr="00485EE7">
          <w:rPr>
            <w:rStyle w:val="affffffe"/>
            <w:noProof/>
            <w14:scene3d>
              <w14:camera w14:prst="orthographicFront"/>
              <w14:lightRig w14:rig="threePt" w14:dir="t">
                <w14:rot w14:lat="0" w14:lon="0" w14:rev="0"/>
              </w14:lightRig>
            </w14:scene3d>
          </w:rPr>
          <w:t>7.2</w:t>
        </w:r>
        <w:r w:rsidR="00B1286B" w:rsidRPr="00485EE7">
          <w:rPr>
            <w:rStyle w:val="affffffe"/>
            <w:noProof/>
          </w:rPr>
          <w:t xml:space="preserve"> 运输能力</w:t>
        </w:r>
        <w:r w:rsidR="00B1286B">
          <w:rPr>
            <w:noProof/>
          </w:rPr>
          <w:tab/>
        </w:r>
        <w:r w:rsidR="00B1286B">
          <w:rPr>
            <w:noProof/>
          </w:rPr>
          <w:fldChar w:fldCharType="begin"/>
        </w:r>
        <w:r w:rsidR="00B1286B">
          <w:rPr>
            <w:noProof/>
          </w:rPr>
          <w:instrText xml:space="preserve"> PAGEREF _Toc182476379 \h </w:instrText>
        </w:r>
        <w:r w:rsidR="00B1286B">
          <w:rPr>
            <w:noProof/>
          </w:rPr>
        </w:r>
        <w:r w:rsidR="00B1286B">
          <w:rPr>
            <w:noProof/>
          </w:rPr>
          <w:fldChar w:fldCharType="separate"/>
        </w:r>
        <w:r w:rsidR="00620087">
          <w:rPr>
            <w:noProof/>
          </w:rPr>
          <w:t>10</w:t>
        </w:r>
        <w:r w:rsidR="00B1286B">
          <w:rPr>
            <w:noProof/>
          </w:rPr>
          <w:fldChar w:fldCharType="end"/>
        </w:r>
      </w:hyperlink>
    </w:p>
    <w:p w14:paraId="0486FAD3" w14:textId="7BD34D54" w:rsidR="00B1286B" w:rsidRDefault="00CA2808">
      <w:pPr>
        <w:pStyle w:val="TOC2"/>
        <w:rPr>
          <w:rFonts w:asciiTheme="minorHAnsi" w:eastAsiaTheme="minorEastAsia" w:hAnsiTheme="minorHAnsi" w:cstheme="minorBidi"/>
          <w:noProof/>
          <w:szCs w:val="22"/>
        </w:rPr>
      </w:pPr>
      <w:hyperlink w:anchor="_Toc182476380" w:history="1">
        <w:r w:rsidR="00B1286B" w:rsidRPr="00485EE7">
          <w:rPr>
            <w:rStyle w:val="affffffe"/>
            <w:noProof/>
            <w14:scene3d>
              <w14:camera w14:prst="orthographicFront"/>
              <w14:lightRig w14:rig="threePt" w14:dir="t">
                <w14:rot w14:lat="0" w14:lon="0" w14:rev="0"/>
              </w14:lightRig>
            </w14:scene3d>
          </w:rPr>
          <w:t>7.3</w:t>
        </w:r>
        <w:r w:rsidR="00B1286B" w:rsidRPr="00485EE7">
          <w:rPr>
            <w:rStyle w:val="affffffe"/>
            <w:noProof/>
          </w:rPr>
          <w:t xml:space="preserve"> 运输模式</w:t>
        </w:r>
        <w:r w:rsidR="00B1286B">
          <w:rPr>
            <w:noProof/>
          </w:rPr>
          <w:tab/>
        </w:r>
        <w:r w:rsidR="00B1286B">
          <w:rPr>
            <w:noProof/>
          </w:rPr>
          <w:fldChar w:fldCharType="begin"/>
        </w:r>
        <w:r w:rsidR="00B1286B">
          <w:rPr>
            <w:noProof/>
          </w:rPr>
          <w:instrText xml:space="preserve"> PAGEREF _Toc182476380 \h </w:instrText>
        </w:r>
        <w:r w:rsidR="00B1286B">
          <w:rPr>
            <w:noProof/>
          </w:rPr>
        </w:r>
        <w:r w:rsidR="00B1286B">
          <w:rPr>
            <w:noProof/>
          </w:rPr>
          <w:fldChar w:fldCharType="separate"/>
        </w:r>
        <w:r w:rsidR="00620087">
          <w:rPr>
            <w:noProof/>
          </w:rPr>
          <w:t>11</w:t>
        </w:r>
        <w:r w:rsidR="00B1286B">
          <w:rPr>
            <w:noProof/>
          </w:rPr>
          <w:fldChar w:fldCharType="end"/>
        </w:r>
      </w:hyperlink>
    </w:p>
    <w:p w14:paraId="49511FC8" w14:textId="6959101B" w:rsidR="00B1286B" w:rsidRDefault="00CA2808">
      <w:pPr>
        <w:pStyle w:val="TOC2"/>
        <w:rPr>
          <w:rFonts w:asciiTheme="minorHAnsi" w:eastAsiaTheme="minorEastAsia" w:hAnsiTheme="minorHAnsi" w:cstheme="minorBidi"/>
          <w:noProof/>
          <w:szCs w:val="22"/>
        </w:rPr>
      </w:pPr>
      <w:hyperlink w:anchor="_Toc182476381" w:history="1">
        <w:r w:rsidR="00B1286B" w:rsidRPr="00485EE7">
          <w:rPr>
            <w:rStyle w:val="affffffe"/>
            <w:noProof/>
            <w14:scene3d>
              <w14:camera w14:prst="orthographicFront"/>
              <w14:lightRig w14:rig="threePt" w14:dir="t">
                <w14:rot w14:lat="0" w14:lon="0" w14:rev="0"/>
              </w14:lightRig>
            </w14:scene3d>
          </w:rPr>
          <w:t>7.4</w:t>
        </w:r>
        <w:r w:rsidR="00B1286B" w:rsidRPr="00485EE7">
          <w:rPr>
            <w:rStyle w:val="affffffe"/>
            <w:noProof/>
          </w:rPr>
          <w:t xml:space="preserve"> 配线</w:t>
        </w:r>
        <w:r w:rsidR="00B1286B">
          <w:rPr>
            <w:noProof/>
          </w:rPr>
          <w:tab/>
        </w:r>
        <w:r w:rsidR="00B1286B">
          <w:rPr>
            <w:noProof/>
          </w:rPr>
          <w:fldChar w:fldCharType="begin"/>
        </w:r>
        <w:r w:rsidR="00B1286B">
          <w:rPr>
            <w:noProof/>
          </w:rPr>
          <w:instrText xml:space="preserve"> PAGEREF _Toc182476381 \h </w:instrText>
        </w:r>
        <w:r w:rsidR="00B1286B">
          <w:rPr>
            <w:noProof/>
          </w:rPr>
        </w:r>
        <w:r w:rsidR="00B1286B">
          <w:rPr>
            <w:noProof/>
          </w:rPr>
          <w:fldChar w:fldCharType="separate"/>
        </w:r>
        <w:r w:rsidR="00620087">
          <w:rPr>
            <w:noProof/>
          </w:rPr>
          <w:t>11</w:t>
        </w:r>
        <w:r w:rsidR="00B1286B">
          <w:rPr>
            <w:noProof/>
          </w:rPr>
          <w:fldChar w:fldCharType="end"/>
        </w:r>
      </w:hyperlink>
    </w:p>
    <w:p w14:paraId="483D1F29" w14:textId="5DCA4786" w:rsidR="00B1286B" w:rsidRDefault="00CA2808">
      <w:pPr>
        <w:pStyle w:val="TOC2"/>
        <w:rPr>
          <w:rFonts w:asciiTheme="minorHAnsi" w:eastAsiaTheme="minorEastAsia" w:hAnsiTheme="minorHAnsi" w:cstheme="minorBidi"/>
          <w:noProof/>
          <w:szCs w:val="22"/>
        </w:rPr>
      </w:pPr>
      <w:hyperlink w:anchor="_Toc182476382" w:history="1">
        <w:r w:rsidR="00B1286B" w:rsidRPr="00485EE7">
          <w:rPr>
            <w:rStyle w:val="affffffe"/>
            <w:noProof/>
            <w14:scene3d>
              <w14:camera w14:prst="orthographicFront"/>
              <w14:lightRig w14:rig="threePt" w14:dir="t">
                <w14:rot w14:lat="0" w14:lon="0" w14:rev="0"/>
              </w14:lightRig>
            </w14:scene3d>
          </w:rPr>
          <w:t>7.5</w:t>
        </w:r>
        <w:r w:rsidR="00B1286B" w:rsidRPr="00485EE7">
          <w:rPr>
            <w:rStyle w:val="affffffe"/>
            <w:noProof/>
          </w:rPr>
          <w:t xml:space="preserve"> 运营管理</w:t>
        </w:r>
        <w:r w:rsidR="00B1286B">
          <w:rPr>
            <w:noProof/>
          </w:rPr>
          <w:tab/>
        </w:r>
        <w:r w:rsidR="00B1286B">
          <w:rPr>
            <w:noProof/>
          </w:rPr>
          <w:fldChar w:fldCharType="begin"/>
        </w:r>
        <w:r w:rsidR="00B1286B">
          <w:rPr>
            <w:noProof/>
          </w:rPr>
          <w:instrText xml:space="preserve"> PAGEREF _Toc182476382 \h </w:instrText>
        </w:r>
        <w:r w:rsidR="00B1286B">
          <w:rPr>
            <w:noProof/>
          </w:rPr>
        </w:r>
        <w:r w:rsidR="00B1286B">
          <w:rPr>
            <w:noProof/>
          </w:rPr>
          <w:fldChar w:fldCharType="separate"/>
        </w:r>
        <w:r w:rsidR="00620087">
          <w:rPr>
            <w:noProof/>
          </w:rPr>
          <w:t>11</w:t>
        </w:r>
        <w:r w:rsidR="00B1286B">
          <w:rPr>
            <w:noProof/>
          </w:rPr>
          <w:fldChar w:fldCharType="end"/>
        </w:r>
      </w:hyperlink>
    </w:p>
    <w:p w14:paraId="6BE14A20" w14:textId="4C0CBBF9" w:rsidR="00B1286B" w:rsidRDefault="00CA2808">
      <w:pPr>
        <w:pStyle w:val="TOC1"/>
        <w:tabs>
          <w:tab w:val="right" w:leader="dot" w:pos="9344"/>
        </w:tabs>
        <w:rPr>
          <w:rFonts w:asciiTheme="minorHAnsi" w:eastAsiaTheme="minorEastAsia" w:hAnsiTheme="minorHAnsi" w:cstheme="minorBidi"/>
          <w:noProof/>
          <w:szCs w:val="22"/>
        </w:rPr>
      </w:pPr>
      <w:hyperlink w:anchor="_Toc182476383" w:history="1">
        <w:r w:rsidR="00B1286B" w:rsidRPr="00485EE7">
          <w:rPr>
            <w:rStyle w:val="affffffe"/>
            <w:noProof/>
          </w:rPr>
          <w:t>8 车辆</w:t>
        </w:r>
        <w:r w:rsidR="00B1286B">
          <w:rPr>
            <w:noProof/>
          </w:rPr>
          <w:tab/>
        </w:r>
        <w:r w:rsidR="00B1286B">
          <w:rPr>
            <w:noProof/>
          </w:rPr>
          <w:fldChar w:fldCharType="begin"/>
        </w:r>
        <w:r w:rsidR="00B1286B">
          <w:rPr>
            <w:noProof/>
          </w:rPr>
          <w:instrText xml:space="preserve"> PAGEREF _Toc182476383 \h </w:instrText>
        </w:r>
        <w:r w:rsidR="00B1286B">
          <w:rPr>
            <w:noProof/>
          </w:rPr>
        </w:r>
        <w:r w:rsidR="00B1286B">
          <w:rPr>
            <w:noProof/>
          </w:rPr>
          <w:fldChar w:fldCharType="separate"/>
        </w:r>
        <w:r w:rsidR="00620087">
          <w:rPr>
            <w:noProof/>
          </w:rPr>
          <w:t>11</w:t>
        </w:r>
        <w:r w:rsidR="00B1286B">
          <w:rPr>
            <w:noProof/>
          </w:rPr>
          <w:fldChar w:fldCharType="end"/>
        </w:r>
      </w:hyperlink>
    </w:p>
    <w:p w14:paraId="3CE58C7C" w14:textId="0E64D840" w:rsidR="00B1286B" w:rsidRDefault="00CA2808">
      <w:pPr>
        <w:pStyle w:val="TOC2"/>
        <w:rPr>
          <w:rFonts w:asciiTheme="minorHAnsi" w:eastAsiaTheme="minorEastAsia" w:hAnsiTheme="minorHAnsi" w:cstheme="minorBidi"/>
          <w:noProof/>
          <w:szCs w:val="22"/>
        </w:rPr>
      </w:pPr>
      <w:hyperlink w:anchor="_Toc182476384" w:history="1">
        <w:r w:rsidR="00B1286B" w:rsidRPr="00485EE7">
          <w:rPr>
            <w:rStyle w:val="affffffe"/>
            <w:noProof/>
            <w14:scene3d>
              <w14:camera w14:prst="orthographicFront"/>
              <w14:lightRig w14:rig="threePt" w14:dir="t">
                <w14:rot w14:lat="0" w14:lon="0" w14:rev="0"/>
              </w14:lightRig>
            </w14:scene3d>
          </w:rPr>
          <w:t>8.1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_Toc182476384 \h </w:instrText>
        </w:r>
        <w:r w:rsidR="00B1286B">
          <w:rPr>
            <w:noProof/>
          </w:rPr>
        </w:r>
        <w:r w:rsidR="00B1286B">
          <w:rPr>
            <w:noProof/>
          </w:rPr>
          <w:fldChar w:fldCharType="separate"/>
        </w:r>
        <w:r w:rsidR="00620087">
          <w:rPr>
            <w:noProof/>
          </w:rPr>
          <w:t>11</w:t>
        </w:r>
        <w:r w:rsidR="00B1286B">
          <w:rPr>
            <w:noProof/>
          </w:rPr>
          <w:fldChar w:fldCharType="end"/>
        </w:r>
      </w:hyperlink>
    </w:p>
    <w:p w14:paraId="4D4B4963" w14:textId="2D474430" w:rsidR="00B1286B" w:rsidRDefault="00CA2808">
      <w:pPr>
        <w:pStyle w:val="TOC2"/>
        <w:rPr>
          <w:rFonts w:asciiTheme="minorHAnsi" w:eastAsiaTheme="minorEastAsia" w:hAnsiTheme="minorHAnsi" w:cstheme="minorBidi"/>
          <w:noProof/>
          <w:szCs w:val="22"/>
        </w:rPr>
      </w:pPr>
      <w:hyperlink w:anchor="_Toc182476385" w:history="1">
        <w:r w:rsidR="00B1286B" w:rsidRPr="00485EE7">
          <w:rPr>
            <w:rStyle w:val="affffffe"/>
            <w:noProof/>
            <w14:scene3d>
              <w14:camera w14:prst="orthographicFront"/>
              <w14:lightRig w14:rig="threePt" w14:dir="t">
                <w14:rot w14:lat="0" w14:lon="0" w14:rev="0"/>
              </w14:lightRig>
            </w14:scene3d>
          </w:rPr>
          <w:t>8.2</w:t>
        </w:r>
        <w:r w:rsidR="00B1286B" w:rsidRPr="00485EE7">
          <w:rPr>
            <w:rStyle w:val="affffffe"/>
            <w:noProof/>
          </w:rPr>
          <w:t xml:space="preserve"> 车辆型式与列车编组</w:t>
        </w:r>
        <w:r w:rsidR="00B1286B">
          <w:rPr>
            <w:noProof/>
          </w:rPr>
          <w:tab/>
        </w:r>
        <w:r w:rsidR="00B1286B">
          <w:rPr>
            <w:noProof/>
          </w:rPr>
          <w:fldChar w:fldCharType="begin"/>
        </w:r>
        <w:r w:rsidR="00B1286B">
          <w:rPr>
            <w:noProof/>
          </w:rPr>
          <w:instrText xml:space="preserve"> PAGEREF _Toc182476385 \h </w:instrText>
        </w:r>
        <w:r w:rsidR="00B1286B">
          <w:rPr>
            <w:noProof/>
          </w:rPr>
        </w:r>
        <w:r w:rsidR="00B1286B">
          <w:rPr>
            <w:noProof/>
          </w:rPr>
          <w:fldChar w:fldCharType="separate"/>
        </w:r>
        <w:r w:rsidR="00620087">
          <w:rPr>
            <w:noProof/>
          </w:rPr>
          <w:t>13</w:t>
        </w:r>
        <w:r w:rsidR="00B1286B">
          <w:rPr>
            <w:noProof/>
          </w:rPr>
          <w:fldChar w:fldCharType="end"/>
        </w:r>
      </w:hyperlink>
    </w:p>
    <w:p w14:paraId="5C4B3AB9" w14:textId="4E8EF678" w:rsidR="00B1286B" w:rsidRDefault="00CA2808">
      <w:pPr>
        <w:pStyle w:val="TOC2"/>
        <w:rPr>
          <w:rFonts w:asciiTheme="minorHAnsi" w:eastAsiaTheme="minorEastAsia" w:hAnsiTheme="minorHAnsi" w:cstheme="minorBidi"/>
          <w:noProof/>
          <w:szCs w:val="22"/>
        </w:rPr>
      </w:pPr>
      <w:hyperlink w:anchor="_Toc182476386" w:history="1">
        <w:r w:rsidR="00B1286B" w:rsidRPr="00485EE7">
          <w:rPr>
            <w:rStyle w:val="affffffe"/>
            <w:noProof/>
            <w14:scene3d>
              <w14:camera w14:prst="orthographicFront"/>
              <w14:lightRig w14:rig="threePt" w14:dir="t">
                <w14:rot w14:lat="0" w14:lon="0" w14:rev="0"/>
              </w14:lightRig>
            </w14:scene3d>
          </w:rPr>
          <w:t>8.3</w:t>
        </w:r>
        <w:r w:rsidR="00B1286B" w:rsidRPr="00485EE7">
          <w:rPr>
            <w:rStyle w:val="affffffe"/>
            <w:noProof/>
          </w:rPr>
          <w:t xml:space="preserve"> 车体与设备</w:t>
        </w:r>
        <w:r w:rsidR="00B1286B">
          <w:rPr>
            <w:noProof/>
          </w:rPr>
          <w:tab/>
        </w:r>
        <w:r w:rsidR="00B1286B">
          <w:rPr>
            <w:noProof/>
          </w:rPr>
          <w:fldChar w:fldCharType="begin"/>
        </w:r>
        <w:r w:rsidR="00B1286B">
          <w:rPr>
            <w:noProof/>
          </w:rPr>
          <w:instrText xml:space="preserve"> PAGEREF _Toc182476386 \h </w:instrText>
        </w:r>
        <w:r w:rsidR="00B1286B">
          <w:rPr>
            <w:noProof/>
          </w:rPr>
        </w:r>
        <w:r w:rsidR="00B1286B">
          <w:rPr>
            <w:noProof/>
          </w:rPr>
          <w:fldChar w:fldCharType="separate"/>
        </w:r>
        <w:r w:rsidR="00620087">
          <w:rPr>
            <w:noProof/>
          </w:rPr>
          <w:t>14</w:t>
        </w:r>
        <w:r w:rsidR="00B1286B">
          <w:rPr>
            <w:noProof/>
          </w:rPr>
          <w:fldChar w:fldCharType="end"/>
        </w:r>
      </w:hyperlink>
    </w:p>
    <w:p w14:paraId="4D18AA4A" w14:textId="4C47C0F2" w:rsidR="00B1286B" w:rsidRDefault="00CA2808">
      <w:pPr>
        <w:pStyle w:val="TOC2"/>
        <w:rPr>
          <w:rFonts w:asciiTheme="minorHAnsi" w:eastAsiaTheme="minorEastAsia" w:hAnsiTheme="minorHAnsi" w:cstheme="minorBidi"/>
          <w:noProof/>
          <w:szCs w:val="22"/>
        </w:rPr>
      </w:pPr>
      <w:hyperlink w:anchor="_Toc182476387" w:history="1">
        <w:r w:rsidR="00B1286B" w:rsidRPr="00485EE7">
          <w:rPr>
            <w:rStyle w:val="affffffe"/>
            <w:noProof/>
            <w14:scene3d>
              <w14:camera w14:prst="orthographicFront"/>
              <w14:lightRig w14:rig="threePt" w14:dir="t">
                <w14:rot w14:lat="0" w14:lon="0" w14:rev="0"/>
              </w14:lightRig>
            </w14:scene3d>
          </w:rPr>
          <w:t>8.4</w:t>
        </w:r>
        <w:r w:rsidR="00B1286B" w:rsidRPr="00485EE7">
          <w:rPr>
            <w:rStyle w:val="affffffe"/>
            <w:noProof/>
          </w:rPr>
          <w:t xml:space="preserve"> 转向架</w:t>
        </w:r>
        <w:r w:rsidR="00B1286B">
          <w:rPr>
            <w:noProof/>
          </w:rPr>
          <w:tab/>
        </w:r>
        <w:r w:rsidR="00B1286B">
          <w:rPr>
            <w:noProof/>
          </w:rPr>
          <w:fldChar w:fldCharType="begin"/>
        </w:r>
        <w:r w:rsidR="00B1286B">
          <w:rPr>
            <w:noProof/>
          </w:rPr>
          <w:instrText xml:space="preserve"> PAGEREF _Toc182476387 \h </w:instrText>
        </w:r>
        <w:r w:rsidR="00B1286B">
          <w:rPr>
            <w:noProof/>
          </w:rPr>
        </w:r>
        <w:r w:rsidR="00B1286B">
          <w:rPr>
            <w:noProof/>
          </w:rPr>
          <w:fldChar w:fldCharType="separate"/>
        </w:r>
        <w:r w:rsidR="00620087">
          <w:rPr>
            <w:noProof/>
          </w:rPr>
          <w:t>14</w:t>
        </w:r>
        <w:r w:rsidR="00B1286B">
          <w:rPr>
            <w:noProof/>
          </w:rPr>
          <w:fldChar w:fldCharType="end"/>
        </w:r>
      </w:hyperlink>
    </w:p>
    <w:p w14:paraId="4649C5FA" w14:textId="62FD8B70" w:rsidR="00B1286B" w:rsidRDefault="00CA2808">
      <w:pPr>
        <w:pStyle w:val="TOC2"/>
        <w:rPr>
          <w:rFonts w:asciiTheme="minorHAnsi" w:eastAsiaTheme="minorEastAsia" w:hAnsiTheme="minorHAnsi" w:cstheme="minorBidi"/>
          <w:noProof/>
          <w:szCs w:val="22"/>
        </w:rPr>
      </w:pPr>
      <w:hyperlink w:anchor="_Toc182476388" w:history="1">
        <w:r w:rsidR="00B1286B" w:rsidRPr="00485EE7">
          <w:rPr>
            <w:rStyle w:val="affffffe"/>
            <w:noProof/>
            <w14:scene3d>
              <w14:camera w14:prst="orthographicFront"/>
              <w14:lightRig w14:rig="threePt" w14:dir="t">
                <w14:rot w14:lat="0" w14:lon="0" w14:rev="0"/>
              </w14:lightRig>
            </w14:scene3d>
          </w:rPr>
          <w:t>8.5</w:t>
        </w:r>
        <w:r w:rsidR="00B1286B" w:rsidRPr="00485EE7">
          <w:rPr>
            <w:rStyle w:val="affffffe"/>
            <w:noProof/>
          </w:rPr>
          <w:t xml:space="preserve"> 电气系统</w:t>
        </w:r>
        <w:r w:rsidR="00B1286B">
          <w:rPr>
            <w:noProof/>
          </w:rPr>
          <w:tab/>
        </w:r>
        <w:r w:rsidR="00B1286B">
          <w:rPr>
            <w:noProof/>
          </w:rPr>
          <w:fldChar w:fldCharType="begin"/>
        </w:r>
        <w:r w:rsidR="00B1286B">
          <w:rPr>
            <w:noProof/>
          </w:rPr>
          <w:instrText xml:space="preserve"> PAGEREF _Toc182476388 \h </w:instrText>
        </w:r>
        <w:r w:rsidR="00B1286B">
          <w:rPr>
            <w:noProof/>
          </w:rPr>
        </w:r>
        <w:r w:rsidR="00B1286B">
          <w:rPr>
            <w:noProof/>
          </w:rPr>
          <w:fldChar w:fldCharType="separate"/>
        </w:r>
        <w:r w:rsidR="00620087">
          <w:rPr>
            <w:noProof/>
          </w:rPr>
          <w:t>15</w:t>
        </w:r>
        <w:r w:rsidR="00B1286B">
          <w:rPr>
            <w:noProof/>
          </w:rPr>
          <w:fldChar w:fldCharType="end"/>
        </w:r>
      </w:hyperlink>
    </w:p>
    <w:p w14:paraId="173CF3A5" w14:textId="7D92D0CF" w:rsidR="00B1286B" w:rsidRDefault="00CA2808">
      <w:pPr>
        <w:pStyle w:val="TOC2"/>
        <w:rPr>
          <w:rFonts w:asciiTheme="minorHAnsi" w:eastAsiaTheme="minorEastAsia" w:hAnsiTheme="minorHAnsi" w:cstheme="minorBidi"/>
          <w:noProof/>
          <w:szCs w:val="22"/>
        </w:rPr>
      </w:pPr>
      <w:hyperlink w:anchor="_Toc182476389" w:history="1">
        <w:r w:rsidR="00B1286B" w:rsidRPr="00485EE7">
          <w:rPr>
            <w:rStyle w:val="affffffe"/>
            <w:noProof/>
            <w14:scene3d>
              <w14:camera w14:prst="orthographicFront"/>
              <w14:lightRig w14:rig="threePt" w14:dir="t">
                <w14:rot w14:lat="0" w14:lon="0" w14:rev="0"/>
              </w14:lightRig>
            </w14:scene3d>
          </w:rPr>
          <w:t>8.6</w:t>
        </w:r>
        <w:r w:rsidR="00B1286B" w:rsidRPr="00485EE7">
          <w:rPr>
            <w:rStyle w:val="affffffe"/>
            <w:noProof/>
          </w:rPr>
          <w:t xml:space="preserve"> 制动系统</w:t>
        </w:r>
        <w:r w:rsidR="00B1286B">
          <w:rPr>
            <w:noProof/>
          </w:rPr>
          <w:tab/>
        </w:r>
        <w:r w:rsidR="00B1286B">
          <w:rPr>
            <w:noProof/>
          </w:rPr>
          <w:fldChar w:fldCharType="begin"/>
        </w:r>
        <w:r w:rsidR="00B1286B">
          <w:rPr>
            <w:noProof/>
          </w:rPr>
          <w:instrText xml:space="preserve"> PAGEREF _Toc182476389 \h </w:instrText>
        </w:r>
        <w:r w:rsidR="00B1286B">
          <w:rPr>
            <w:noProof/>
          </w:rPr>
        </w:r>
        <w:r w:rsidR="00B1286B">
          <w:rPr>
            <w:noProof/>
          </w:rPr>
          <w:fldChar w:fldCharType="separate"/>
        </w:r>
        <w:r w:rsidR="00620087">
          <w:rPr>
            <w:noProof/>
          </w:rPr>
          <w:t>15</w:t>
        </w:r>
        <w:r w:rsidR="00B1286B">
          <w:rPr>
            <w:noProof/>
          </w:rPr>
          <w:fldChar w:fldCharType="end"/>
        </w:r>
      </w:hyperlink>
    </w:p>
    <w:p w14:paraId="185BC308" w14:textId="2D153488" w:rsidR="00B1286B" w:rsidRDefault="00CA2808">
      <w:pPr>
        <w:pStyle w:val="TOC2"/>
        <w:rPr>
          <w:rFonts w:asciiTheme="minorHAnsi" w:eastAsiaTheme="minorEastAsia" w:hAnsiTheme="minorHAnsi" w:cstheme="minorBidi"/>
          <w:noProof/>
          <w:szCs w:val="22"/>
        </w:rPr>
      </w:pPr>
      <w:hyperlink w:anchor="_Toc182476390" w:history="1">
        <w:r w:rsidR="00B1286B" w:rsidRPr="00485EE7">
          <w:rPr>
            <w:rStyle w:val="affffffe"/>
            <w:noProof/>
            <w14:scene3d>
              <w14:camera w14:prst="orthographicFront"/>
              <w14:lightRig w14:rig="threePt" w14:dir="t">
                <w14:rot w14:lat="0" w14:lon="0" w14:rev="0"/>
              </w14:lightRig>
            </w14:scene3d>
          </w:rPr>
          <w:t>8.7</w:t>
        </w:r>
        <w:r w:rsidR="00B1286B" w:rsidRPr="00485EE7">
          <w:rPr>
            <w:rStyle w:val="affffffe"/>
            <w:noProof/>
          </w:rPr>
          <w:t xml:space="preserve"> 安全与应急设施</w:t>
        </w:r>
        <w:r w:rsidR="00B1286B">
          <w:rPr>
            <w:noProof/>
          </w:rPr>
          <w:tab/>
        </w:r>
        <w:r w:rsidR="00B1286B">
          <w:rPr>
            <w:noProof/>
          </w:rPr>
          <w:fldChar w:fldCharType="begin"/>
        </w:r>
        <w:r w:rsidR="00B1286B">
          <w:rPr>
            <w:noProof/>
          </w:rPr>
          <w:instrText xml:space="preserve"> PAGEREF _Toc182476390 \h </w:instrText>
        </w:r>
        <w:r w:rsidR="00B1286B">
          <w:rPr>
            <w:noProof/>
          </w:rPr>
        </w:r>
        <w:r w:rsidR="00B1286B">
          <w:rPr>
            <w:noProof/>
          </w:rPr>
          <w:fldChar w:fldCharType="separate"/>
        </w:r>
        <w:r w:rsidR="00620087">
          <w:rPr>
            <w:noProof/>
          </w:rPr>
          <w:t>16</w:t>
        </w:r>
        <w:r w:rsidR="00B1286B">
          <w:rPr>
            <w:noProof/>
          </w:rPr>
          <w:fldChar w:fldCharType="end"/>
        </w:r>
      </w:hyperlink>
    </w:p>
    <w:p w14:paraId="1355C554" w14:textId="3AA48BB6" w:rsidR="00B1286B" w:rsidRDefault="00CA2808">
      <w:pPr>
        <w:pStyle w:val="TOC1"/>
        <w:tabs>
          <w:tab w:val="right" w:leader="dot" w:pos="9344"/>
        </w:tabs>
        <w:rPr>
          <w:rFonts w:asciiTheme="minorHAnsi" w:eastAsiaTheme="minorEastAsia" w:hAnsiTheme="minorHAnsi" w:cstheme="minorBidi"/>
          <w:noProof/>
          <w:szCs w:val="22"/>
        </w:rPr>
      </w:pPr>
      <w:hyperlink w:anchor="_Toc182476391" w:history="1">
        <w:r w:rsidR="00B1286B" w:rsidRPr="00485EE7">
          <w:rPr>
            <w:rStyle w:val="affffffe"/>
            <w:noProof/>
          </w:rPr>
          <w:t>9 限界</w:t>
        </w:r>
        <w:r w:rsidR="00B1286B">
          <w:rPr>
            <w:noProof/>
          </w:rPr>
          <w:tab/>
        </w:r>
        <w:r w:rsidR="00B1286B">
          <w:rPr>
            <w:noProof/>
          </w:rPr>
          <w:fldChar w:fldCharType="begin"/>
        </w:r>
        <w:r w:rsidR="00B1286B">
          <w:rPr>
            <w:noProof/>
          </w:rPr>
          <w:instrText xml:space="preserve"> PAGEREF _Toc182476391 \h </w:instrText>
        </w:r>
        <w:r w:rsidR="00B1286B">
          <w:rPr>
            <w:noProof/>
          </w:rPr>
        </w:r>
        <w:r w:rsidR="00B1286B">
          <w:rPr>
            <w:noProof/>
          </w:rPr>
          <w:fldChar w:fldCharType="separate"/>
        </w:r>
        <w:r w:rsidR="00620087">
          <w:rPr>
            <w:noProof/>
          </w:rPr>
          <w:t>16</w:t>
        </w:r>
        <w:r w:rsidR="00B1286B">
          <w:rPr>
            <w:noProof/>
          </w:rPr>
          <w:fldChar w:fldCharType="end"/>
        </w:r>
      </w:hyperlink>
    </w:p>
    <w:p w14:paraId="5C7FDC90" w14:textId="2654A404" w:rsidR="00B1286B" w:rsidRDefault="00CA2808">
      <w:pPr>
        <w:pStyle w:val="TOC2"/>
        <w:rPr>
          <w:rFonts w:asciiTheme="minorHAnsi" w:eastAsiaTheme="minorEastAsia" w:hAnsiTheme="minorHAnsi" w:cstheme="minorBidi"/>
          <w:noProof/>
          <w:szCs w:val="22"/>
        </w:rPr>
      </w:pPr>
      <w:hyperlink w:anchor="_Toc182476392" w:history="1">
        <w:r w:rsidR="00B1286B" w:rsidRPr="00485EE7">
          <w:rPr>
            <w:rStyle w:val="affffffe"/>
            <w:noProof/>
            <w14:scene3d>
              <w14:camera w14:prst="orthographicFront"/>
              <w14:lightRig w14:rig="threePt" w14:dir="t">
                <w14:rot w14:lat="0" w14:lon="0" w14:rev="0"/>
              </w14:lightRig>
            </w14:scene3d>
          </w:rPr>
          <w:t>9.1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_Toc182476392 \h </w:instrText>
        </w:r>
        <w:r w:rsidR="00B1286B">
          <w:rPr>
            <w:noProof/>
          </w:rPr>
        </w:r>
        <w:r w:rsidR="00B1286B">
          <w:rPr>
            <w:noProof/>
          </w:rPr>
          <w:fldChar w:fldCharType="separate"/>
        </w:r>
        <w:r w:rsidR="00620087">
          <w:rPr>
            <w:noProof/>
          </w:rPr>
          <w:t>16</w:t>
        </w:r>
        <w:r w:rsidR="00B1286B">
          <w:rPr>
            <w:noProof/>
          </w:rPr>
          <w:fldChar w:fldCharType="end"/>
        </w:r>
      </w:hyperlink>
    </w:p>
    <w:p w14:paraId="303D713B" w14:textId="5DEF0CED" w:rsidR="00B1286B" w:rsidRDefault="00CA2808">
      <w:pPr>
        <w:pStyle w:val="TOC2"/>
        <w:rPr>
          <w:rFonts w:asciiTheme="minorHAnsi" w:eastAsiaTheme="minorEastAsia" w:hAnsiTheme="minorHAnsi" w:cstheme="minorBidi"/>
          <w:noProof/>
          <w:szCs w:val="22"/>
        </w:rPr>
      </w:pPr>
      <w:hyperlink w:anchor="_Toc182476393" w:history="1">
        <w:r w:rsidR="00B1286B" w:rsidRPr="00485EE7">
          <w:rPr>
            <w:rStyle w:val="affffffe"/>
            <w:noProof/>
            <w14:scene3d>
              <w14:camera w14:prst="orthographicFront"/>
              <w14:lightRig w14:rig="threePt" w14:dir="t">
                <w14:rot w14:lat="0" w14:lon="0" w14:rev="0"/>
              </w14:lightRig>
            </w14:scene3d>
          </w:rPr>
          <w:t>9.2</w:t>
        </w:r>
        <w:r w:rsidR="00B1286B" w:rsidRPr="00485EE7">
          <w:rPr>
            <w:rStyle w:val="affffffe"/>
            <w:noProof/>
          </w:rPr>
          <w:t xml:space="preserve"> 计算参数</w:t>
        </w:r>
        <w:r w:rsidR="00B1286B">
          <w:rPr>
            <w:noProof/>
          </w:rPr>
          <w:tab/>
        </w:r>
        <w:r w:rsidR="00B1286B">
          <w:rPr>
            <w:noProof/>
          </w:rPr>
          <w:fldChar w:fldCharType="begin"/>
        </w:r>
        <w:r w:rsidR="00B1286B">
          <w:rPr>
            <w:noProof/>
          </w:rPr>
          <w:instrText xml:space="preserve"> PAGEREF _Toc182476393 \h </w:instrText>
        </w:r>
        <w:r w:rsidR="00B1286B">
          <w:rPr>
            <w:noProof/>
          </w:rPr>
        </w:r>
        <w:r w:rsidR="00B1286B">
          <w:rPr>
            <w:noProof/>
          </w:rPr>
          <w:fldChar w:fldCharType="separate"/>
        </w:r>
        <w:r w:rsidR="00620087">
          <w:rPr>
            <w:noProof/>
          </w:rPr>
          <w:t>16</w:t>
        </w:r>
        <w:r w:rsidR="00B1286B">
          <w:rPr>
            <w:noProof/>
          </w:rPr>
          <w:fldChar w:fldCharType="end"/>
        </w:r>
      </w:hyperlink>
    </w:p>
    <w:p w14:paraId="402DB402" w14:textId="5E97EA42" w:rsidR="00B1286B" w:rsidRDefault="00CA2808">
      <w:pPr>
        <w:pStyle w:val="TOC2"/>
        <w:rPr>
          <w:rFonts w:asciiTheme="minorHAnsi" w:eastAsiaTheme="minorEastAsia" w:hAnsiTheme="minorHAnsi" w:cstheme="minorBidi"/>
          <w:noProof/>
          <w:szCs w:val="22"/>
        </w:rPr>
      </w:pPr>
      <w:hyperlink w:anchor="_Toc182476394" w:history="1">
        <w:r w:rsidR="00B1286B" w:rsidRPr="00485EE7">
          <w:rPr>
            <w:rStyle w:val="affffffe"/>
            <w:noProof/>
            <w14:scene3d>
              <w14:camera w14:prst="orthographicFront"/>
              <w14:lightRig w14:rig="threePt" w14:dir="t">
                <w14:rot w14:lat="0" w14:lon="0" w14:rev="0"/>
              </w14:lightRig>
            </w14:scene3d>
          </w:rPr>
          <w:t>9.3</w:t>
        </w:r>
        <w:r w:rsidR="00B1286B" w:rsidRPr="00485EE7">
          <w:rPr>
            <w:rStyle w:val="affffffe"/>
            <w:noProof/>
          </w:rPr>
          <w:t xml:space="preserve"> 车辆限界</w:t>
        </w:r>
        <w:r w:rsidR="00B1286B">
          <w:rPr>
            <w:noProof/>
          </w:rPr>
          <w:tab/>
        </w:r>
        <w:r w:rsidR="00B1286B">
          <w:rPr>
            <w:noProof/>
          </w:rPr>
          <w:fldChar w:fldCharType="begin"/>
        </w:r>
        <w:r w:rsidR="00B1286B">
          <w:rPr>
            <w:noProof/>
          </w:rPr>
          <w:instrText xml:space="preserve"> PAGEREF _Toc182476394 \h </w:instrText>
        </w:r>
        <w:r w:rsidR="00B1286B">
          <w:rPr>
            <w:noProof/>
          </w:rPr>
        </w:r>
        <w:r w:rsidR="00B1286B">
          <w:rPr>
            <w:noProof/>
          </w:rPr>
          <w:fldChar w:fldCharType="separate"/>
        </w:r>
        <w:r w:rsidR="00620087">
          <w:rPr>
            <w:noProof/>
          </w:rPr>
          <w:t>17</w:t>
        </w:r>
        <w:r w:rsidR="00B1286B">
          <w:rPr>
            <w:noProof/>
          </w:rPr>
          <w:fldChar w:fldCharType="end"/>
        </w:r>
      </w:hyperlink>
    </w:p>
    <w:p w14:paraId="345F86D2" w14:textId="56405E31" w:rsidR="00B1286B" w:rsidRDefault="00CA2808">
      <w:pPr>
        <w:pStyle w:val="TOC2"/>
        <w:rPr>
          <w:rFonts w:asciiTheme="minorHAnsi" w:eastAsiaTheme="minorEastAsia" w:hAnsiTheme="minorHAnsi" w:cstheme="minorBidi"/>
          <w:noProof/>
          <w:szCs w:val="22"/>
        </w:rPr>
      </w:pPr>
      <w:hyperlink w:anchor="_Toc182476395" w:history="1">
        <w:r w:rsidR="00B1286B" w:rsidRPr="00485EE7">
          <w:rPr>
            <w:rStyle w:val="affffffe"/>
            <w:noProof/>
            <w14:scene3d>
              <w14:camera w14:prst="orthographicFront"/>
              <w14:lightRig w14:rig="threePt" w14:dir="t">
                <w14:rot w14:lat="0" w14:lon="0" w14:rev="0"/>
              </w14:lightRig>
            </w14:scene3d>
          </w:rPr>
          <w:t>9.4</w:t>
        </w:r>
        <w:r w:rsidR="00B1286B" w:rsidRPr="00485EE7">
          <w:rPr>
            <w:rStyle w:val="affffffe"/>
            <w:noProof/>
          </w:rPr>
          <w:t xml:space="preserve"> 设备限界</w:t>
        </w:r>
        <w:r w:rsidR="00B1286B">
          <w:rPr>
            <w:noProof/>
          </w:rPr>
          <w:tab/>
        </w:r>
        <w:r w:rsidR="00B1286B">
          <w:rPr>
            <w:noProof/>
          </w:rPr>
          <w:fldChar w:fldCharType="begin"/>
        </w:r>
        <w:r w:rsidR="00B1286B">
          <w:rPr>
            <w:noProof/>
          </w:rPr>
          <w:instrText xml:space="preserve"> PAGEREF _Toc182476395 \h </w:instrText>
        </w:r>
        <w:r w:rsidR="00B1286B">
          <w:rPr>
            <w:noProof/>
          </w:rPr>
        </w:r>
        <w:r w:rsidR="00B1286B">
          <w:rPr>
            <w:noProof/>
          </w:rPr>
          <w:fldChar w:fldCharType="separate"/>
        </w:r>
        <w:r w:rsidR="00620087">
          <w:rPr>
            <w:noProof/>
          </w:rPr>
          <w:t>17</w:t>
        </w:r>
        <w:r w:rsidR="00B1286B">
          <w:rPr>
            <w:noProof/>
          </w:rPr>
          <w:fldChar w:fldCharType="end"/>
        </w:r>
      </w:hyperlink>
    </w:p>
    <w:p w14:paraId="4FC3F4D0" w14:textId="50B99FDC" w:rsidR="00B1286B" w:rsidRDefault="00CA2808">
      <w:pPr>
        <w:pStyle w:val="TOC2"/>
        <w:rPr>
          <w:rFonts w:asciiTheme="minorHAnsi" w:eastAsiaTheme="minorEastAsia" w:hAnsiTheme="minorHAnsi" w:cstheme="minorBidi"/>
          <w:noProof/>
          <w:szCs w:val="22"/>
        </w:rPr>
      </w:pPr>
      <w:hyperlink w:anchor="_Toc182476396" w:history="1">
        <w:r w:rsidR="00B1286B" w:rsidRPr="00485EE7">
          <w:rPr>
            <w:rStyle w:val="affffffe"/>
            <w:noProof/>
            <w14:scene3d>
              <w14:camera w14:prst="orthographicFront"/>
              <w14:lightRig w14:rig="threePt" w14:dir="t">
                <w14:rot w14:lat="0" w14:lon="0" w14:rev="0"/>
              </w14:lightRig>
            </w14:scene3d>
          </w:rPr>
          <w:t>9.5</w:t>
        </w:r>
        <w:r w:rsidR="00B1286B" w:rsidRPr="00485EE7">
          <w:rPr>
            <w:rStyle w:val="affffffe"/>
            <w:noProof/>
          </w:rPr>
          <w:t xml:space="preserve"> 建筑限界</w:t>
        </w:r>
        <w:r w:rsidR="00B1286B">
          <w:rPr>
            <w:noProof/>
          </w:rPr>
          <w:tab/>
        </w:r>
        <w:r w:rsidR="00B1286B">
          <w:rPr>
            <w:noProof/>
          </w:rPr>
          <w:fldChar w:fldCharType="begin"/>
        </w:r>
        <w:r w:rsidR="00B1286B">
          <w:rPr>
            <w:noProof/>
          </w:rPr>
          <w:instrText xml:space="preserve"> PAGEREF _Toc182476396 \h </w:instrText>
        </w:r>
        <w:r w:rsidR="00B1286B">
          <w:rPr>
            <w:noProof/>
          </w:rPr>
        </w:r>
        <w:r w:rsidR="00B1286B">
          <w:rPr>
            <w:noProof/>
          </w:rPr>
          <w:fldChar w:fldCharType="separate"/>
        </w:r>
        <w:r w:rsidR="00620087">
          <w:rPr>
            <w:noProof/>
          </w:rPr>
          <w:t>18</w:t>
        </w:r>
        <w:r w:rsidR="00B1286B">
          <w:rPr>
            <w:noProof/>
          </w:rPr>
          <w:fldChar w:fldCharType="end"/>
        </w:r>
      </w:hyperlink>
    </w:p>
    <w:p w14:paraId="2B93B731" w14:textId="58CCE248" w:rsidR="00B1286B" w:rsidRDefault="00CA2808">
      <w:pPr>
        <w:pStyle w:val="TOC2"/>
        <w:rPr>
          <w:rFonts w:asciiTheme="minorHAnsi" w:eastAsiaTheme="minorEastAsia" w:hAnsiTheme="minorHAnsi" w:cstheme="minorBidi"/>
          <w:noProof/>
          <w:szCs w:val="22"/>
        </w:rPr>
      </w:pPr>
      <w:hyperlink w:anchor="_Toc182476397" w:history="1">
        <w:r w:rsidR="00B1286B" w:rsidRPr="00485EE7">
          <w:rPr>
            <w:rStyle w:val="affffffe"/>
            <w:noProof/>
            <w14:scene3d>
              <w14:camera w14:prst="orthographicFront"/>
              <w14:lightRig w14:rig="threePt" w14:dir="t">
                <w14:rot w14:lat="0" w14:lon="0" w14:rev="0"/>
              </w14:lightRig>
            </w14:scene3d>
          </w:rPr>
          <w:t>9.6</w:t>
        </w:r>
        <w:r w:rsidR="00B1286B" w:rsidRPr="00485EE7">
          <w:rPr>
            <w:rStyle w:val="affffffe"/>
            <w:noProof/>
          </w:rPr>
          <w:t xml:space="preserve"> 轨旁设备及限界检测</w:t>
        </w:r>
        <w:r w:rsidR="00B1286B">
          <w:rPr>
            <w:noProof/>
          </w:rPr>
          <w:tab/>
        </w:r>
        <w:r w:rsidR="00B1286B">
          <w:rPr>
            <w:noProof/>
          </w:rPr>
          <w:fldChar w:fldCharType="begin"/>
        </w:r>
        <w:r w:rsidR="00B1286B">
          <w:rPr>
            <w:noProof/>
          </w:rPr>
          <w:instrText xml:space="preserve"> PAGEREF _Toc182476397 \h </w:instrText>
        </w:r>
        <w:r w:rsidR="00B1286B">
          <w:rPr>
            <w:noProof/>
          </w:rPr>
        </w:r>
        <w:r w:rsidR="00B1286B">
          <w:rPr>
            <w:noProof/>
          </w:rPr>
          <w:fldChar w:fldCharType="separate"/>
        </w:r>
        <w:r w:rsidR="00620087">
          <w:rPr>
            <w:noProof/>
          </w:rPr>
          <w:t>21</w:t>
        </w:r>
        <w:r w:rsidR="00B1286B">
          <w:rPr>
            <w:noProof/>
          </w:rPr>
          <w:fldChar w:fldCharType="end"/>
        </w:r>
      </w:hyperlink>
    </w:p>
    <w:p w14:paraId="5CE78E4B" w14:textId="1022A0C2" w:rsidR="00B1286B" w:rsidRDefault="00CA2808">
      <w:pPr>
        <w:pStyle w:val="TOC2"/>
        <w:rPr>
          <w:rFonts w:asciiTheme="minorHAnsi" w:eastAsiaTheme="minorEastAsia" w:hAnsiTheme="minorHAnsi" w:cstheme="minorBidi"/>
          <w:noProof/>
          <w:szCs w:val="22"/>
        </w:rPr>
      </w:pPr>
      <w:hyperlink w:anchor="_Toc182476398" w:history="1">
        <w:r w:rsidR="00B1286B" w:rsidRPr="00485EE7">
          <w:rPr>
            <w:rStyle w:val="affffffe"/>
            <w:noProof/>
            <w14:scene3d>
              <w14:camera w14:prst="orthographicFront"/>
              <w14:lightRig w14:rig="threePt" w14:dir="t">
                <w14:rot w14:lat="0" w14:lon="0" w14:rev="0"/>
              </w14:lightRig>
            </w14:scene3d>
          </w:rPr>
          <w:t>9.7</w:t>
        </w:r>
        <w:r w:rsidR="00B1286B" w:rsidRPr="00485EE7">
          <w:rPr>
            <w:rStyle w:val="affffffe"/>
            <w:noProof/>
          </w:rPr>
          <w:t xml:space="preserve"> 管线综合</w:t>
        </w:r>
        <w:r w:rsidR="00B1286B">
          <w:rPr>
            <w:noProof/>
          </w:rPr>
          <w:tab/>
        </w:r>
        <w:r w:rsidR="00B1286B">
          <w:rPr>
            <w:noProof/>
          </w:rPr>
          <w:fldChar w:fldCharType="begin"/>
        </w:r>
        <w:r w:rsidR="00B1286B">
          <w:rPr>
            <w:noProof/>
          </w:rPr>
          <w:instrText xml:space="preserve"> PAGEREF _Toc182476398 \h </w:instrText>
        </w:r>
        <w:r w:rsidR="00B1286B">
          <w:rPr>
            <w:noProof/>
          </w:rPr>
        </w:r>
        <w:r w:rsidR="00B1286B">
          <w:rPr>
            <w:noProof/>
          </w:rPr>
          <w:fldChar w:fldCharType="separate"/>
        </w:r>
        <w:r w:rsidR="00620087">
          <w:rPr>
            <w:noProof/>
          </w:rPr>
          <w:t>21</w:t>
        </w:r>
        <w:r w:rsidR="00B1286B">
          <w:rPr>
            <w:noProof/>
          </w:rPr>
          <w:fldChar w:fldCharType="end"/>
        </w:r>
      </w:hyperlink>
    </w:p>
    <w:p w14:paraId="3A4AB5A1" w14:textId="494A4389" w:rsidR="00B1286B" w:rsidRDefault="00CA2808">
      <w:pPr>
        <w:pStyle w:val="TOC1"/>
        <w:tabs>
          <w:tab w:val="right" w:leader="dot" w:pos="9344"/>
        </w:tabs>
        <w:rPr>
          <w:rFonts w:asciiTheme="minorHAnsi" w:eastAsiaTheme="minorEastAsia" w:hAnsiTheme="minorHAnsi" w:cstheme="minorBidi"/>
          <w:noProof/>
          <w:szCs w:val="22"/>
        </w:rPr>
      </w:pPr>
      <w:hyperlink w:anchor="_Toc182476399" w:history="1">
        <w:r w:rsidR="00B1286B" w:rsidRPr="00485EE7">
          <w:rPr>
            <w:rStyle w:val="affffffe"/>
            <w:noProof/>
          </w:rPr>
          <w:t>10 线路</w:t>
        </w:r>
        <w:r w:rsidR="00B1286B">
          <w:rPr>
            <w:noProof/>
          </w:rPr>
          <w:tab/>
        </w:r>
        <w:r w:rsidR="00B1286B">
          <w:rPr>
            <w:noProof/>
          </w:rPr>
          <w:fldChar w:fldCharType="begin"/>
        </w:r>
        <w:r w:rsidR="00B1286B">
          <w:rPr>
            <w:noProof/>
          </w:rPr>
          <w:instrText xml:space="preserve"> PAGEREF _Toc182476399 \h </w:instrText>
        </w:r>
        <w:r w:rsidR="00B1286B">
          <w:rPr>
            <w:noProof/>
          </w:rPr>
        </w:r>
        <w:r w:rsidR="00B1286B">
          <w:rPr>
            <w:noProof/>
          </w:rPr>
          <w:fldChar w:fldCharType="separate"/>
        </w:r>
        <w:r w:rsidR="00620087">
          <w:rPr>
            <w:noProof/>
          </w:rPr>
          <w:t>22</w:t>
        </w:r>
        <w:r w:rsidR="00B1286B">
          <w:rPr>
            <w:noProof/>
          </w:rPr>
          <w:fldChar w:fldCharType="end"/>
        </w:r>
      </w:hyperlink>
    </w:p>
    <w:p w14:paraId="5F26A7EB" w14:textId="45C3921A" w:rsidR="00B1286B" w:rsidRDefault="00CA2808">
      <w:pPr>
        <w:pStyle w:val="TOC2"/>
        <w:rPr>
          <w:rFonts w:asciiTheme="minorHAnsi" w:eastAsiaTheme="minorEastAsia" w:hAnsiTheme="minorHAnsi" w:cstheme="minorBidi"/>
          <w:noProof/>
          <w:szCs w:val="22"/>
        </w:rPr>
      </w:pPr>
      <w:hyperlink w:anchor="_Toc182476400" w:history="1">
        <w:r w:rsidR="00B1286B" w:rsidRPr="00485EE7">
          <w:rPr>
            <w:rStyle w:val="affffffe"/>
            <w:noProof/>
            <w14:scene3d>
              <w14:camera w14:prst="orthographicFront"/>
              <w14:lightRig w14:rig="threePt" w14:dir="t">
                <w14:rot w14:lat="0" w14:lon="0" w14:rev="0"/>
              </w14:lightRig>
            </w14:scene3d>
          </w:rPr>
          <w:t>10.1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_Toc182476400 \h </w:instrText>
        </w:r>
        <w:r w:rsidR="00B1286B">
          <w:rPr>
            <w:noProof/>
          </w:rPr>
        </w:r>
        <w:r w:rsidR="00B1286B">
          <w:rPr>
            <w:noProof/>
          </w:rPr>
          <w:fldChar w:fldCharType="separate"/>
        </w:r>
        <w:r w:rsidR="00620087">
          <w:rPr>
            <w:noProof/>
          </w:rPr>
          <w:t>22</w:t>
        </w:r>
        <w:r w:rsidR="00B1286B">
          <w:rPr>
            <w:noProof/>
          </w:rPr>
          <w:fldChar w:fldCharType="end"/>
        </w:r>
      </w:hyperlink>
    </w:p>
    <w:p w14:paraId="6904D8AE" w14:textId="065CEA7C" w:rsidR="00B1286B" w:rsidRDefault="00CA2808">
      <w:pPr>
        <w:pStyle w:val="TOC2"/>
        <w:rPr>
          <w:rFonts w:asciiTheme="minorHAnsi" w:eastAsiaTheme="minorEastAsia" w:hAnsiTheme="minorHAnsi" w:cstheme="minorBidi"/>
          <w:noProof/>
          <w:szCs w:val="22"/>
        </w:rPr>
      </w:pPr>
      <w:hyperlink w:anchor="_Toc182476401" w:history="1">
        <w:r w:rsidR="00B1286B" w:rsidRPr="00485EE7">
          <w:rPr>
            <w:rStyle w:val="affffffe"/>
            <w:noProof/>
            <w14:scene3d>
              <w14:camera w14:prst="orthographicFront"/>
              <w14:lightRig w14:rig="threePt" w14:dir="t">
                <w14:rot w14:lat="0" w14:lon="0" w14:rev="0"/>
              </w14:lightRig>
            </w14:scene3d>
          </w:rPr>
          <w:t>10.2</w:t>
        </w:r>
        <w:r w:rsidR="00B1286B" w:rsidRPr="00485EE7">
          <w:rPr>
            <w:rStyle w:val="affffffe"/>
            <w:noProof/>
          </w:rPr>
          <w:t xml:space="preserve"> 线路平面</w:t>
        </w:r>
        <w:r w:rsidR="00B1286B">
          <w:rPr>
            <w:noProof/>
          </w:rPr>
          <w:tab/>
        </w:r>
        <w:r w:rsidR="00B1286B">
          <w:rPr>
            <w:noProof/>
          </w:rPr>
          <w:fldChar w:fldCharType="begin"/>
        </w:r>
        <w:r w:rsidR="00B1286B">
          <w:rPr>
            <w:noProof/>
          </w:rPr>
          <w:instrText xml:space="preserve"> PAGEREF _Toc182476401 \h </w:instrText>
        </w:r>
        <w:r w:rsidR="00B1286B">
          <w:rPr>
            <w:noProof/>
          </w:rPr>
        </w:r>
        <w:r w:rsidR="00B1286B">
          <w:rPr>
            <w:noProof/>
          </w:rPr>
          <w:fldChar w:fldCharType="separate"/>
        </w:r>
        <w:r w:rsidR="00620087">
          <w:rPr>
            <w:noProof/>
          </w:rPr>
          <w:t>22</w:t>
        </w:r>
        <w:r w:rsidR="00B1286B">
          <w:rPr>
            <w:noProof/>
          </w:rPr>
          <w:fldChar w:fldCharType="end"/>
        </w:r>
      </w:hyperlink>
    </w:p>
    <w:p w14:paraId="79F98424" w14:textId="48B2BF0A" w:rsidR="00B1286B" w:rsidRDefault="00CA2808">
      <w:pPr>
        <w:pStyle w:val="TOC2"/>
        <w:rPr>
          <w:rFonts w:asciiTheme="minorHAnsi" w:eastAsiaTheme="minorEastAsia" w:hAnsiTheme="minorHAnsi" w:cstheme="minorBidi"/>
          <w:noProof/>
          <w:szCs w:val="22"/>
        </w:rPr>
      </w:pPr>
      <w:hyperlink w:anchor="_Toc182476402" w:history="1">
        <w:r w:rsidR="00B1286B" w:rsidRPr="00485EE7">
          <w:rPr>
            <w:rStyle w:val="affffffe"/>
            <w:noProof/>
            <w14:scene3d>
              <w14:camera w14:prst="orthographicFront"/>
              <w14:lightRig w14:rig="threePt" w14:dir="t">
                <w14:rot w14:lat="0" w14:lon="0" w14:rev="0"/>
              </w14:lightRig>
            </w14:scene3d>
          </w:rPr>
          <w:t>10.3</w:t>
        </w:r>
        <w:r w:rsidR="00B1286B" w:rsidRPr="00485EE7">
          <w:rPr>
            <w:rStyle w:val="affffffe"/>
            <w:noProof/>
          </w:rPr>
          <w:t xml:space="preserve"> 线路纵断面</w:t>
        </w:r>
        <w:r w:rsidR="00B1286B">
          <w:rPr>
            <w:noProof/>
          </w:rPr>
          <w:tab/>
        </w:r>
        <w:r w:rsidR="00B1286B">
          <w:rPr>
            <w:noProof/>
          </w:rPr>
          <w:fldChar w:fldCharType="begin"/>
        </w:r>
        <w:r w:rsidR="00B1286B">
          <w:rPr>
            <w:noProof/>
          </w:rPr>
          <w:instrText xml:space="preserve"> PAGEREF _Toc182476402 \h </w:instrText>
        </w:r>
        <w:r w:rsidR="00B1286B">
          <w:rPr>
            <w:noProof/>
          </w:rPr>
        </w:r>
        <w:r w:rsidR="00B1286B">
          <w:rPr>
            <w:noProof/>
          </w:rPr>
          <w:fldChar w:fldCharType="separate"/>
        </w:r>
        <w:r w:rsidR="00620087">
          <w:rPr>
            <w:noProof/>
          </w:rPr>
          <w:t>25</w:t>
        </w:r>
        <w:r w:rsidR="00B1286B">
          <w:rPr>
            <w:noProof/>
          </w:rPr>
          <w:fldChar w:fldCharType="end"/>
        </w:r>
      </w:hyperlink>
    </w:p>
    <w:p w14:paraId="744F5FB9" w14:textId="1E5BEED2" w:rsidR="00B1286B" w:rsidRDefault="00CA2808">
      <w:pPr>
        <w:pStyle w:val="TOC2"/>
        <w:rPr>
          <w:rFonts w:asciiTheme="minorHAnsi" w:eastAsiaTheme="minorEastAsia" w:hAnsiTheme="minorHAnsi" w:cstheme="minorBidi"/>
          <w:noProof/>
          <w:szCs w:val="22"/>
        </w:rPr>
      </w:pPr>
      <w:hyperlink w:anchor="_Toc182476403" w:history="1">
        <w:r w:rsidR="00B1286B" w:rsidRPr="00485EE7">
          <w:rPr>
            <w:rStyle w:val="affffffe"/>
            <w:noProof/>
            <w14:scene3d>
              <w14:camera w14:prst="orthographicFront"/>
              <w14:lightRig w14:rig="threePt" w14:dir="t">
                <w14:rot w14:lat="0" w14:lon="0" w14:rev="0"/>
              </w14:lightRig>
            </w14:scene3d>
          </w:rPr>
          <w:t>10.4</w:t>
        </w:r>
        <w:r w:rsidR="00B1286B" w:rsidRPr="00485EE7">
          <w:rPr>
            <w:rStyle w:val="affffffe"/>
            <w:noProof/>
          </w:rPr>
          <w:t xml:space="preserve"> 交叉与安全设施</w:t>
        </w:r>
        <w:r w:rsidR="00B1286B">
          <w:rPr>
            <w:noProof/>
          </w:rPr>
          <w:tab/>
        </w:r>
        <w:r w:rsidR="00B1286B">
          <w:rPr>
            <w:noProof/>
          </w:rPr>
          <w:fldChar w:fldCharType="begin"/>
        </w:r>
        <w:r w:rsidR="00B1286B">
          <w:rPr>
            <w:noProof/>
          </w:rPr>
          <w:instrText xml:space="preserve"> PAGEREF _Toc182476403 \h </w:instrText>
        </w:r>
        <w:r w:rsidR="00B1286B">
          <w:rPr>
            <w:noProof/>
          </w:rPr>
        </w:r>
        <w:r w:rsidR="00B1286B">
          <w:rPr>
            <w:noProof/>
          </w:rPr>
          <w:fldChar w:fldCharType="separate"/>
        </w:r>
        <w:r w:rsidR="00620087">
          <w:rPr>
            <w:noProof/>
          </w:rPr>
          <w:t>26</w:t>
        </w:r>
        <w:r w:rsidR="00B1286B">
          <w:rPr>
            <w:noProof/>
          </w:rPr>
          <w:fldChar w:fldCharType="end"/>
        </w:r>
      </w:hyperlink>
    </w:p>
    <w:p w14:paraId="241825C8" w14:textId="4F9E2C53" w:rsidR="00B1286B" w:rsidRDefault="00CA2808">
      <w:pPr>
        <w:pStyle w:val="TOC2"/>
        <w:rPr>
          <w:rFonts w:asciiTheme="minorHAnsi" w:eastAsiaTheme="minorEastAsia" w:hAnsiTheme="minorHAnsi" w:cstheme="minorBidi"/>
          <w:noProof/>
          <w:szCs w:val="22"/>
        </w:rPr>
      </w:pPr>
      <w:hyperlink w:anchor="_Toc182476404" w:history="1">
        <w:r w:rsidR="00B1286B" w:rsidRPr="00485EE7">
          <w:rPr>
            <w:rStyle w:val="affffffe"/>
            <w:noProof/>
            <w14:scene3d>
              <w14:camera w14:prst="orthographicFront"/>
              <w14:lightRig w14:rig="threePt" w14:dir="t">
                <w14:rot w14:lat="0" w14:lon="0" w14:rev="0"/>
              </w14:lightRig>
            </w14:scene3d>
          </w:rPr>
          <w:t>10.5</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_Toc182476404 \h </w:instrText>
        </w:r>
        <w:r w:rsidR="00B1286B">
          <w:rPr>
            <w:noProof/>
          </w:rPr>
        </w:r>
        <w:r w:rsidR="00B1286B">
          <w:rPr>
            <w:noProof/>
          </w:rPr>
          <w:fldChar w:fldCharType="separate"/>
        </w:r>
        <w:r w:rsidR="00620087">
          <w:rPr>
            <w:noProof/>
          </w:rPr>
          <w:t>26</w:t>
        </w:r>
        <w:r w:rsidR="00B1286B">
          <w:rPr>
            <w:noProof/>
          </w:rPr>
          <w:fldChar w:fldCharType="end"/>
        </w:r>
      </w:hyperlink>
    </w:p>
    <w:p w14:paraId="4D6E40F2" w14:textId="502A46DC" w:rsidR="00B1286B" w:rsidRDefault="00CA2808">
      <w:pPr>
        <w:pStyle w:val="TOC1"/>
        <w:tabs>
          <w:tab w:val="right" w:leader="dot" w:pos="9344"/>
        </w:tabs>
        <w:rPr>
          <w:rFonts w:asciiTheme="minorHAnsi" w:eastAsiaTheme="minorEastAsia" w:hAnsiTheme="minorHAnsi" w:cstheme="minorBidi"/>
          <w:noProof/>
          <w:szCs w:val="22"/>
        </w:rPr>
      </w:pPr>
      <w:hyperlink w:anchor="_Toc182476405" w:history="1">
        <w:r w:rsidR="00B1286B" w:rsidRPr="00485EE7">
          <w:rPr>
            <w:rStyle w:val="affffffe"/>
            <w:noProof/>
          </w:rPr>
          <w:t>11 站场</w:t>
        </w:r>
        <w:r w:rsidR="00B1286B">
          <w:rPr>
            <w:noProof/>
          </w:rPr>
          <w:tab/>
        </w:r>
        <w:r w:rsidR="00B1286B">
          <w:rPr>
            <w:noProof/>
          </w:rPr>
          <w:fldChar w:fldCharType="begin"/>
        </w:r>
        <w:r w:rsidR="00B1286B">
          <w:rPr>
            <w:noProof/>
          </w:rPr>
          <w:instrText xml:space="preserve"> PAGEREF _Toc182476405 \h </w:instrText>
        </w:r>
        <w:r w:rsidR="00B1286B">
          <w:rPr>
            <w:noProof/>
          </w:rPr>
        </w:r>
        <w:r w:rsidR="00B1286B">
          <w:rPr>
            <w:noProof/>
          </w:rPr>
          <w:fldChar w:fldCharType="separate"/>
        </w:r>
        <w:r w:rsidR="00620087">
          <w:rPr>
            <w:noProof/>
          </w:rPr>
          <w:t>26</w:t>
        </w:r>
        <w:r w:rsidR="00B1286B">
          <w:rPr>
            <w:noProof/>
          </w:rPr>
          <w:fldChar w:fldCharType="end"/>
        </w:r>
      </w:hyperlink>
    </w:p>
    <w:p w14:paraId="19BE7535" w14:textId="2BC1E157" w:rsidR="00B1286B" w:rsidRDefault="00CA2808">
      <w:pPr>
        <w:pStyle w:val="TOC2"/>
        <w:rPr>
          <w:rFonts w:asciiTheme="minorHAnsi" w:eastAsiaTheme="minorEastAsia" w:hAnsiTheme="minorHAnsi" w:cstheme="minorBidi"/>
          <w:noProof/>
          <w:szCs w:val="22"/>
        </w:rPr>
      </w:pPr>
      <w:hyperlink w:anchor="_Toc182476406" w:history="1">
        <w:r w:rsidR="00B1286B" w:rsidRPr="00485EE7">
          <w:rPr>
            <w:rStyle w:val="affffffe"/>
            <w:noProof/>
            <w14:scene3d>
              <w14:camera w14:prst="orthographicFront"/>
              <w14:lightRig w14:rig="threePt" w14:dir="t">
                <w14:rot w14:lat="0" w14:lon="0" w14:rev="0"/>
              </w14:lightRig>
            </w14:scene3d>
          </w:rPr>
          <w:t>11.1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_Toc182476406 \h </w:instrText>
        </w:r>
        <w:r w:rsidR="00B1286B">
          <w:rPr>
            <w:noProof/>
          </w:rPr>
        </w:r>
        <w:r w:rsidR="00B1286B">
          <w:rPr>
            <w:noProof/>
          </w:rPr>
          <w:fldChar w:fldCharType="separate"/>
        </w:r>
        <w:r w:rsidR="00620087">
          <w:rPr>
            <w:noProof/>
          </w:rPr>
          <w:t>26</w:t>
        </w:r>
        <w:r w:rsidR="00B1286B">
          <w:rPr>
            <w:noProof/>
          </w:rPr>
          <w:fldChar w:fldCharType="end"/>
        </w:r>
      </w:hyperlink>
    </w:p>
    <w:p w14:paraId="3AA33E4F" w14:textId="25DF1180" w:rsidR="00B1286B" w:rsidRDefault="00CA2808">
      <w:pPr>
        <w:pStyle w:val="TOC2"/>
        <w:rPr>
          <w:rFonts w:asciiTheme="minorHAnsi" w:eastAsiaTheme="minorEastAsia" w:hAnsiTheme="minorHAnsi" w:cstheme="minorBidi"/>
          <w:noProof/>
          <w:szCs w:val="22"/>
        </w:rPr>
      </w:pPr>
      <w:hyperlink w:anchor="_Toc182476407" w:history="1">
        <w:r w:rsidR="00B1286B" w:rsidRPr="00485EE7">
          <w:rPr>
            <w:rStyle w:val="affffffe"/>
            <w:noProof/>
            <w14:scene3d>
              <w14:camera w14:prst="orthographicFront"/>
              <w14:lightRig w14:rig="threePt" w14:dir="t">
                <w14:rot w14:lat="0" w14:lon="0" w14:rev="0"/>
              </w14:lightRig>
            </w14:scene3d>
          </w:rPr>
          <w:t>11.2</w:t>
        </w:r>
        <w:r w:rsidR="00B1286B" w:rsidRPr="00485EE7">
          <w:rPr>
            <w:rStyle w:val="affffffe"/>
            <w:noProof/>
          </w:rPr>
          <w:t xml:space="preserve"> 站线布置</w:t>
        </w:r>
        <w:r w:rsidR="00B1286B">
          <w:rPr>
            <w:noProof/>
          </w:rPr>
          <w:tab/>
        </w:r>
        <w:r w:rsidR="00B1286B">
          <w:rPr>
            <w:noProof/>
          </w:rPr>
          <w:fldChar w:fldCharType="begin"/>
        </w:r>
        <w:r w:rsidR="00B1286B">
          <w:rPr>
            <w:noProof/>
          </w:rPr>
          <w:instrText xml:space="preserve"> PAGEREF _Toc182476407 \h </w:instrText>
        </w:r>
        <w:r w:rsidR="00B1286B">
          <w:rPr>
            <w:noProof/>
          </w:rPr>
        </w:r>
        <w:r w:rsidR="00B1286B">
          <w:rPr>
            <w:noProof/>
          </w:rPr>
          <w:fldChar w:fldCharType="separate"/>
        </w:r>
        <w:r w:rsidR="00620087">
          <w:rPr>
            <w:noProof/>
          </w:rPr>
          <w:t>27</w:t>
        </w:r>
        <w:r w:rsidR="00B1286B">
          <w:rPr>
            <w:noProof/>
          </w:rPr>
          <w:fldChar w:fldCharType="end"/>
        </w:r>
      </w:hyperlink>
    </w:p>
    <w:p w14:paraId="239A1E30" w14:textId="4C207B84" w:rsidR="00B1286B" w:rsidRDefault="00CA2808">
      <w:pPr>
        <w:pStyle w:val="TOC2"/>
        <w:rPr>
          <w:rFonts w:asciiTheme="minorHAnsi" w:eastAsiaTheme="minorEastAsia" w:hAnsiTheme="minorHAnsi" w:cstheme="minorBidi"/>
          <w:noProof/>
          <w:szCs w:val="22"/>
        </w:rPr>
      </w:pPr>
      <w:hyperlink w:anchor="_Toc182476408" w:history="1">
        <w:r w:rsidR="00B1286B" w:rsidRPr="00485EE7">
          <w:rPr>
            <w:rStyle w:val="affffffe"/>
            <w:noProof/>
            <w14:scene3d>
              <w14:camera w14:prst="orthographicFront"/>
              <w14:lightRig w14:rig="threePt" w14:dir="t">
                <w14:rot w14:lat="0" w14:lon="0" w14:rev="0"/>
              </w14:lightRig>
            </w14:scene3d>
          </w:rPr>
          <w:t>11.3</w:t>
        </w:r>
        <w:r w:rsidR="00B1286B" w:rsidRPr="00485EE7">
          <w:rPr>
            <w:rStyle w:val="affffffe"/>
            <w:noProof/>
          </w:rPr>
          <w:t xml:space="preserve"> 站线平、纵断面</w:t>
        </w:r>
        <w:r w:rsidR="00B1286B">
          <w:rPr>
            <w:noProof/>
          </w:rPr>
          <w:tab/>
        </w:r>
        <w:r w:rsidR="00B1286B">
          <w:rPr>
            <w:noProof/>
          </w:rPr>
          <w:fldChar w:fldCharType="begin"/>
        </w:r>
        <w:r w:rsidR="00B1286B">
          <w:rPr>
            <w:noProof/>
          </w:rPr>
          <w:instrText xml:space="preserve"> PAGEREF _Toc182476408 \h </w:instrText>
        </w:r>
        <w:r w:rsidR="00B1286B">
          <w:rPr>
            <w:noProof/>
          </w:rPr>
        </w:r>
        <w:r w:rsidR="00B1286B">
          <w:rPr>
            <w:noProof/>
          </w:rPr>
          <w:fldChar w:fldCharType="separate"/>
        </w:r>
        <w:r w:rsidR="00620087">
          <w:rPr>
            <w:noProof/>
          </w:rPr>
          <w:t>28</w:t>
        </w:r>
        <w:r w:rsidR="00B1286B">
          <w:rPr>
            <w:noProof/>
          </w:rPr>
          <w:fldChar w:fldCharType="end"/>
        </w:r>
      </w:hyperlink>
    </w:p>
    <w:p w14:paraId="6A84E7D5" w14:textId="5637EB04" w:rsidR="00B1286B" w:rsidRDefault="00CA2808">
      <w:pPr>
        <w:pStyle w:val="TOC2"/>
        <w:rPr>
          <w:rFonts w:asciiTheme="minorHAnsi" w:eastAsiaTheme="minorEastAsia" w:hAnsiTheme="minorHAnsi" w:cstheme="minorBidi"/>
          <w:noProof/>
          <w:szCs w:val="22"/>
        </w:rPr>
      </w:pPr>
      <w:hyperlink w:anchor="_Toc182476409" w:history="1">
        <w:r w:rsidR="00B1286B" w:rsidRPr="00485EE7">
          <w:rPr>
            <w:rStyle w:val="affffffe"/>
            <w:noProof/>
            <w14:scene3d>
              <w14:camera w14:prst="orthographicFront"/>
              <w14:lightRig w14:rig="threePt" w14:dir="t">
                <w14:rot w14:lat="0" w14:lon="0" w14:rev="0"/>
              </w14:lightRig>
            </w14:scene3d>
          </w:rPr>
          <w:t>11.4</w:t>
        </w:r>
        <w:r w:rsidR="00B1286B" w:rsidRPr="00485EE7">
          <w:rPr>
            <w:rStyle w:val="affffffe"/>
            <w:noProof/>
          </w:rPr>
          <w:t xml:space="preserve"> 站场路基、排水及其他</w:t>
        </w:r>
        <w:r w:rsidR="00B1286B">
          <w:rPr>
            <w:noProof/>
          </w:rPr>
          <w:tab/>
        </w:r>
        <w:r w:rsidR="00B1286B">
          <w:rPr>
            <w:noProof/>
          </w:rPr>
          <w:fldChar w:fldCharType="begin"/>
        </w:r>
        <w:r w:rsidR="00B1286B">
          <w:rPr>
            <w:noProof/>
          </w:rPr>
          <w:instrText xml:space="preserve"> PAGEREF _Toc182476409 \h </w:instrText>
        </w:r>
        <w:r w:rsidR="00B1286B">
          <w:rPr>
            <w:noProof/>
          </w:rPr>
        </w:r>
        <w:r w:rsidR="00B1286B">
          <w:rPr>
            <w:noProof/>
          </w:rPr>
          <w:fldChar w:fldCharType="separate"/>
        </w:r>
        <w:r w:rsidR="00620087">
          <w:rPr>
            <w:noProof/>
          </w:rPr>
          <w:t>30</w:t>
        </w:r>
        <w:r w:rsidR="00B1286B">
          <w:rPr>
            <w:noProof/>
          </w:rPr>
          <w:fldChar w:fldCharType="end"/>
        </w:r>
      </w:hyperlink>
    </w:p>
    <w:p w14:paraId="07BED2C3" w14:textId="3FD4BD80" w:rsidR="00B1286B" w:rsidRDefault="00CA2808">
      <w:pPr>
        <w:pStyle w:val="TOC2"/>
        <w:rPr>
          <w:rFonts w:asciiTheme="minorHAnsi" w:eastAsiaTheme="minorEastAsia" w:hAnsiTheme="minorHAnsi" w:cstheme="minorBidi"/>
          <w:noProof/>
          <w:szCs w:val="22"/>
        </w:rPr>
      </w:pPr>
      <w:hyperlink w:anchor="_Toc182476410" w:history="1">
        <w:r w:rsidR="00B1286B" w:rsidRPr="00485EE7">
          <w:rPr>
            <w:rStyle w:val="affffffe"/>
            <w:noProof/>
            <w14:scene3d>
              <w14:camera w14:prst="orthographicFront"/>
              <w14:lightRig w14:rig="threePt" w14:dir="t">
                <w14:rot w14:lat="0" w14:lon="0" w14:rev="0"/>
              </w14:lightRig>
            </w14:scene3d>
          </w:rPr>
          <w:t>11.5</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_Toc182476410 \h </w:instrText>
        </w:r>
        <w:r w:rsidR="00B1286B">
          <w:rPr>
            <w:noProof/>
          </w:rPr>
        </w:r>
        <w:r w:rsidR="00B1286B">
          <w:rPr>
            <w:noProof/>
          </w:rPr>
          <w:fldChar w:fldCharType="separate"/>
        </w:r>
        <w:r w:rsidR="00620087">
          <w:rPr>
            <w:noProof/>
          </w:rPr>
          <w:t>30</w:t>
        </w:r>
        <w:r w:rsidR="00B1286B">
          <w:rPr>
            <w:noProof/>
          </w:rPr>
          <w:fldChar w:fldCharType="end"/>
        </w:r>
      </w:hyperlink>
    </w:p>
    <w:p w14:paraId="3EA84A66" w14:textId="68BA5A0D" w:rsidR="00B1286B" w:rsidRDefault="00CA2808">
      <w:pPr>
        <w:pStyle w:val="TOC1"/>
        <w:tabs>
          <w:tab w:val="right" w:leader="dot" w:pos="9344"/>
        </w:tabs>
        <w:rPr>
          <w:rFonts w:asciiTheme="minorHAnsi" w:eastAsiaTheme="minorEastAsia" w:hAnsiTheme="minorHAnsi" w:cstheme="minorBidi"/>
          <w:noProof/>
          <w:szCs w:val="22"/>
        </w:rPr>
      </w:pPr>
      <w:hyperlink w:anchor="_Toc182476411" w:history="1">
        <w:r w:rsidR="00B1286B" w:rsidRPr="00485EE7">
          <w:rPr>
            <w:rStyle w:val="affffffe"/>
            <w:noProof/>
          </w:rPr>
          <w:t>12 轨道</w:t>
        </w:r>
        <w:r w:rsidR="00B1286B">
          <w:rPr>
            <w:noProof/>
          </w:rPr>
          <w:tab/>
        </w:r>
        <w:r w:rsidR="00B1286B">
          <w:rPr>
            <w:noProof/>
          </w:rPr>
          <w:fldChar w:fldCharType="begin"/>
        </w:r>
        <w:r w:rsidR="00B1286B">
          <w:rPr>
            <w:noProof/>
          </w:rPr>
          <w:instrText xml:space="preserve"> PAGEREF _Toc182476411 \h </w:instrText>
        </w:r>
        <w:r w:rsidR="00B1286B">
          <w:rPr>
            <w:noProof/>
          </w:rPr>
        </w:r>
        <w:r w:rsidR="00B1286B">
          <w:rPr>
            <w:noProof/>
          </w:rPr>
          <w:fldChar w:fldCharType="separate"/>
        </w:r>
        <w:r w:rsidR="00620087">
          <w:rPr>
            <w:noProof/>
          </w:rPr>
          <w:t>30</w:t>
        </w:r>
        <w:r w:rsidR="00B1286B">
          <w:rPr>
            <w:noProof/>
          </w:rPr>
          <w:fldChar w:fldCharType="end"/>
        </w:r>
      </w:hyperlink>
    </w:p>
    <w:p w14:paraId="593AF070" w14:textId="178A209B" w:rsidR="00B1286B" w:rsidRDefault="00CA2808">
      <w:pPr>
        <w:pStyle w:val="TOC2"/>
        <w:rPr>
          <w:rFonts w:asciiTheme="minorHAnsi" w:eastAsiaTheme="minorEastAsia" w:hAnsiTheme="minorHAnsi" w:cstheme="minorBidi"/>
          <w:noProof/>
          <w:szCs w:val="22"/>
        </w:rPr>
      </w:pPr>
      <w:hyperlink w:anchor="_Toc182476412" w:history="1">
        <w:r w:rsidR="00B1286B" w:rsidRPr="00485EE7">
          <w:rPr>
            <w:rStyle w:val="affffffe"/>
            <w:noProof/>
            <w14:scene3d>
              <w14:camera w14:prst="orthographicFront"/>
              <w14:lightRig w14:rig="threePt" w14:dir="t">
                <w14:rot w14:lat="0" w14:lon="0" w14:rev="0"/>
              </w14:lightRig>
            </w14:scene3d>
          </w:rPr>
          <w:t>12.1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_Toc182476412 \h </w:instrText>
        </w:r>
        <w:r w:rsidR="00B1286B">
          <w:rPr>
            <w:noProof/>
          </w:rPr>
        </w:r>
        <w:r w:rsidR="00B1286B">
          <w:rPr>
            <w:noProof/>
          </w:rPr>
          <w:fldChar w:fldCharType="separate"/>
        </w:r>
        <w:r w:rsidR="00620087">
          <w:rPr>
            <w:noProof/>
          </w:rPr>
          <w:t>31</w:t>
        </w:r>
        <w:r w:rsidR="00B1286B">
          <w:rPr>
            <w:noProof/>
          </w:rPr>
          <w:fldChar w:fldCharType="end"/>
        </w:r>
      </w:hyperlink>
    </w:p>
    <w:p w14:paraId="4526DA2B" w14:textId="248CC642" w:rsidR="00B1286B" w:rsidRDefault="00CA2808">
      <w:pPr>
        <w:pStyle w:val="TOC2"/>
        <w:rPr>
          <w:rFonts w:asciiTheme="minorHAnsi" w:eastAsiaTheme="minorEastAsia" w:hAnsiTheme="minorHAnsi" w:cstheme="minorBidi"/>
          <w:noProof/>
          <w:szCs w:val="22"/>
        </w:rPr>
      </w:pPr>
      <w:hyperlink w:anchor="_Toc182476413" w:history="1">
        <w:r w:rsidR="00B1286B" w:rsidRPr="00485EE7">
          <w:rPr>
            <w:rStyle w:val="affffffe"/>
            <w:noProof/>
            <w14:scene3d>
              <w14:camera w14:prst="orthographicFront"/>
              <w14:lightRig w14:rig="threePt" w14:dir="t">
                <w14:rot w14:lat="0" w14:lon="0" w14:rev="0"/>
              </w14:lightRig>
            </w14:scene3d>
          </w:rPr>
          <w:t>12.2</w:t>
        </w:r>
        <w:r w:rsidR="00B1286B" w:rsidRPr="00485EE7">
          <w:rPr>
            <w:rStyle w:val="affffffe"/>
            <w:noProof/>
          </w:rPr>
          <w:t xml:space="preserve"> 基本技术要求</w:t>
        </w:r>
        <w:r w:rsidR="00B1286B">
          <w:rPr>
            <w:noProof/>
          </w:rPr>
          <w:tab/>
        </w:r>
        <w:r w:rsidR="00B1286B">
          <w:rPr>
            <w:noProof/>
          </w:rPr>
          <w:fldChar w:fldCharType="begin"/>
        </w:r>
        <w:r w:rsidR="00B1286B">
          <w:rPr>
            <w:noProof/>
          </w:rPr>
          <w:instrText xml:space="preserve"> PAGEREF _Toc182476413 \h </w:instrText>
        </w:r>
        <w:r w:rsidR="00B1286B">
          <w:rPr>
            <w:noProof/>
          </w:rPr>
        </w:r>
        <w:r w:rsidR="00B1286B">
          <w:rPr>
            <w:noProof/>
          </w:rPr>
          <w:fldChar w:fldCharType="separate"/>
        </w:r>
        <w:r w:rsidR="00620087">
          <w:rPr>
            <w:noProof/>
          </w:rPr>
          <w:t>31</w:t>
        </w:r>
        <w:r w:rsidR="00B1286B">
          <w:rPr>
            <w:noProof/>
          </w:rPr>
          <w:fldChar w:fldCharType="end"/>
        </w:r>
      </w:hyperlink>
    </w:p>
    <w:p w14:paraId="7E8C8985" w14:textId="2AA2E016" w:rsidR="00B1286B" w:rsidRDefault="00CA2808">
      <w:pPr>
        <w:pStyle w:val="TOC2"/>
        <w:rPr>
          <w:rFonts w:asciiTheme="minorHAnsi" w:eastAsiaTheme="minorEastAsia" w:hAnsiTheme="minorHAnsi" w:cstheme="minorBidi"/>
          <w:noProof/>
          <w:szCs w:val="22"/>
        </w:rPr>
      </w:pPr>
      <w:hyperlink w:anchor="_Toc182476414" w:history="1">
        <w:r w:rsidR="00B1286B" w:rsidRPr="00485EE7">
          <w:rPr>
            <w:rStyle w:val="affffffe"/>
            <w:noProof/>
            <w14:scene3d>
              <w14:camera w14:prst="orthographicFront"/>
              <w14:lightRig w14:rig="threePt" w14:dir="t">
                <w14:rot w14:lat="0" w14:lon="0" w14:rev="0"/>
              </w14:lightRig>
            </w14:scene3d>
          </w:rPr>
          <w:t>12.3</w:t>
        </w:r>
        <w:r w:rsidR="00B1286B" w:rsidRPr="00485EE7">
          <w:rPr>
            <w:rStyle w:val="affffffe"/>
            <w:noProof/>
          </w:rPr>
          <w:t xml:space="preserve"> 轨道部件</w:t>
        </w:r>
        <w:r w:rsidR="00B1286B">
          <w:rPr>
            <w:noProof/>
          </w:rPr>
          <w:tab/>
        </w:r>
        <w:r w:rsidR="00B1286B">
          <w:rPr>
            <w:noProof/>
          </w:rPr>
          <w:fldChar w:fldCharType="begin"/>
        </w:r>
        <w:r w:rsidR="00B1286B">
          <w:rPr>
            <w:noProof/>
          </w:rPr>
          <w:instrText xml:space="preserve"> PAGEREF _Toc182476414 \h </w:instrText>
        </w:r>
        <w:r w:rsidR="00B1286B">
          <w:rPr>
            <w:noProof/>
          </w:rPr>
        </w:r>
        <w:r w:rsidR="00B1286B">
          <w:rPr>
            <w:noProof/>
          </w:rPr>
          <w:fldChar w:fldCharType="separate"/>
        </w:r>
        <w:r w:rsidR="00620087">
          <w:rPr>
            <w:noProof/>
          </w:rPr>
          <w:t>33</w:t>
        </w:r>
        <w:r w:rsidR="00B1286B">
          <w:rPr>
            <w:noProof/>
          </w:rPr>
          <w:fldChar w:fldCharType="end"/>
        </w:r>
      </w:hyperlink>
    </w:p>
    <w:p w14:paraId="7084B4B7" w14:textId="2BCD7074" w:rsidR="00B1286B" w:rsidRDefault="00CA2808">
      <w:pPr>
        <w:pStyle w:val="TOC2"/>
        <w:rPr>
          <w:rFonts w:asciiTheme="minorHAnsi" w:eastAsiaTheme="minorEastAsia" w:hAnsiTheme="minorHAnsi" w:cstheme="minorBidi"/>
          <w:noProof/>
          <w:szCs w:val="22"/>
        </w:rPr>
      </w:pPr>
      <w:hyperlink w:anchor="_Toc182476415" w:history="1">
        <w:r w:rsidR="00B1286B" w:rsidRPr="00485EE7">
          <w:rPr>
            <w:rStyle w:val="affffffe"/>
            <w:noProof/>
            <w14:scene3d>
              <w14:camera w14:prst="orthographicFront"/>
              <w14:lightRig w14:rig="threePt" w14:dir="t">
                <w14:rot w14:lat="0" w14:lon="0" w14:rev="0"/>
              </w14:lightRig>
            </w14:scene3d>
          </w:rPr>
          <w:t>12.4</w:t>
        </w:r>
        <w:r w:rsidR="00B1286B" w:rsidRPr="00485EE7">
          <w:rPr>
            <w:rStyle w:val="affffffe"/>
            <w:noProof/>
          </w:rPr>
          <w:t xml:space="preserve"> 无砟轨道</w:t>
        </w:r>
        <w:r w:rsidR="00B1286B">
          <w:rPr>
            <w:noProof/>
          </w:rPr>
          <w:tab/>
        </w:r>
        <w:r w:rsidR="00B1286B">
          <w:rPr>
            <w:noProof/>
          </w:rPr>
          <w:fldChar w:fldCharType="begin"/>
        </w:r>
        <w:r w:rsidR="00B1286B">
          <w:rPr>
            <w:noProof/>
          </w:rPr>
          <w:instrText xml:space="preserve"> PAGEREF _Toc182476415 \h </w:instrText>
        </w:r>
        <w:r w:rsidR="00B1286B">
          <w:rPr>
            <w:noProof/>
          </w:rPr>
        </w:r>
        <w:r w:rsidR="00B1286B">
          <w:rPr>
            <w:noProof/>
          </w:rPr>
          <w:fldChar w:fldCharType="separate"/>
        </w:r>
        <w:r w:rsidR="00620087">
          <w:rPr>
            <w:noProof/>
          </w:rPr>
          <w:t>34</w:t>
        </w:r>
        <w:r w:rsidR="00B1286B">
          <w:rPr>
            <w:noProof/>
          </w:rPr>
          <w:fldChar w:fldCharType="end"/>
        </w:r>
      </w:hyperlink>
    </w:p>
    <w:p w14:paraId="2E15C4FF" w14:textId="0F68EAD4" w:rsidR="00B1286B" w:rsidRDefault="00CA2808">
      <w:pPr>
        <w:pStyle w:val="TOC2"/>
        <w:rPr>
          <w:rFonts w:asciiTheme="minorHAnsi" w:eastAsiaTheme="minorEastAsia" w:hAnsiTheme="minorHAnsi" w:cstheme="minorBidi"/>
          <w:noProof/>
          <w:szCs w:val="22"/>
        </w:rPr>
      </w:pPr>
      <w:hyperlink w:anchor="_Toc182476416" w:history="1">
        <w:r w:rsidR="00B1286B" w:rsidRPr="00485EE7">
          <w:rPr>
            <w:rStyle w:val="affffffe"/>
            <w:noProof/>
            <w14:scene3d>
              <w14:camera w14:prst="orthographicFront"/>
              <w14:lightRig w14:rig="threePt" w14:dir="t">
                <w14:rot w14:lat="0" w14:lon="0" w14:rev="0"/>
              </w14:lightRig>
            </w14:scene3d>
          </w:rPr>
          <w:t>12.5</w:t>
        </w:r>
        <w:r w:rsidR="00B1286B" w:rsidRPr="00485EE7">
          <w:rPr>
            <w:rStyle w:val="affffffe"/>
            <w:noProof/>
          </w:rPr>
          <w:t xml:space="preserve"> 正线有砟道床</w:t>
        </w:r>
        <w:r w:rsidR="00B1286B">
          <w:rPr>
            <w:noProof/>
          </w:rPr>
          <w:tab/>
        </w:r>
        <w:r w:rsidR="00B1286B">
          <w:rPr>
            <w:noProof/>
          </w:rPr>
          <w:fldChar w:fldCharType="begin"/>
        </w:r>
        <w:r w:rsidR="00B1286B">
          <w:rPr>
            <w:noProof/>
          </w:rPr>
          <w:instrText xml:space="preserve"> PAGEREF _Toc182476416 \h </w:instrText>
        </w:r>
        <w:r w:rsidR="00B1286B">
          <w:rPr>
            <w:noProof/>
          </w:rPr>
        </w:r>
        <w:r w:rsidR="00B1286B">
          <w:rPr>
            <w:noProof/>
          </w:rPr>
          <w:fldChar w:fldCharType="separate"/>
        </w:r>
        <w:r w:rsidR="00620087">
          <w:rPr>
            <w:noProof/>
          </w:rPr>
          <w:t>35</w:t>
        </w:r>
        <w:r w:rsidR="00B1286B">
          <w:rPr>
            <w:noProof/>
          </w:rPr>
          <w:fldChar w:fldCharType="end"/>
        </w:r>
      </w:hyperlink>
    </w:p>
    <w:p w14:paraId="14332F80" w14:textId="3883C215" w:rsidR="00B1286B" w:rsidRDefault="00CA2808">
      <w:pPr>
        <w:pStyle w:val="TOC2"/>
        <w:rPr>
          <w:rFonts w:asciiTheme="minorHAnsi" w:eastAsiaTheme="minorEastAsia" w:hAnsiTheme="minorHAnsi" w:cstheme="minorBidi"/>
          <w:noProof/>
          <w:szCs w:val="22"/>
        </w:rPr>
      </w:pPr>
      <w:hyperlink w:anchor="_Toc182476417" w:history="1">
        <w:r w:rsidR="00B1286B" w:rsidRPr="00485EE7">
          <w:rPr>
            <w:rStyle w:val="affffffe"/>
            <w:noProof/>
            <w14:scene3d>
              <w14:camera w14:prst="orthographicFront"/>
              <w14:lightRig w14:rig="threePt" w14:dir="t">
                <w14:rot w14:lat="0" w14:lon="0" w14:rev="0"/>
              </w14:lightRig>
            </w14:scene3d>
          </w:rPr>
          <w:t>12.6</w:t>
        </w:r>
        <w:r w:rsidR="00B1286B" w:rsidRPr="00485EE7">
          <w:rPr>
            <w:rStyle w:val="affffffe"/>
            <w:noProof/>
          </w:rPr>
          <w:t xml:space="preserve"> 轨道结构过渡段</w:t>
        </w:r>
        <w:r w:rsidR="00B1286B">
          <w:rPr>
            <w:noProof/>
          </w:rPr>
          <w:tab/>
        </w:r>
        <w:r w:rsidR="00B1286B">
          <w:rPr>
            <w:noProof/>
          </w:rPr>
          <w:fldChar w:fldCharType="begin"/>
        </w:r>
        <w:r w:rsidR="00B1286B">
          <w:rPr>
            <w:noProof/>
          </w:rPr>
          <w:instrText xml:space="preserve"> PAGEREF _Toc182476417 \h </w:instrText>
        </w:r>
        <w:r w:rsidR="00B1286B">
          <w:rPr>
            <w:noProof/>
          </w:rPr>
        </w:r>
        <w:r w:rsidR="00B1286B">
          <w:rPr>
            <w:noProof/>
          </w:rPr>
          <w:fldChar w:fldCharType="separate"/>
        </w:r>
        <w:r w:rsidR="00620087">
          <w:rPr>
            <w:noProof/>
          </w:rPr>
          <w:t>35</w:t>
        </w:r>
        <w:r w:rsidR="00B1286B">
          <w:rPr>
            <w:noProof/>
          </w:rPr>
          <w:fldChar w:fldCharType="end"/>
        </w:r>
      </w:hyperlink>
    </w:p>
    <w:p w14:paraId="0AB1F235" w14:textId="34953556" w:rsidR="00B1286B" w:rsidRDefault="00CA2808">
      <w:pPr>
        <w:pStyle w:val="TOC2"/>
        <w:rPr>
          <w:rFonts w:asciiTheme="minorHAnsi" w:eastAsiaTheme="minorEastAsia" w:hAnsiTheme="minorHAnsi" w:cstheme="minorBidi"/>
          <w:noProof/>
          <w:szCs w:val="22"/>
        </w:rPr>
      </w:pPr>
      <w:hyperlink w:anchor="_Toc182476418" w:history="1">
        <w:r w:rsidR="00B1286B" w:rsidRPr="00485EE7">
          <w:rPr>
            <w:rStyle w:val="affffffe"/>
            <w:noProof/>
            <w14:scene3d>
              <w14:camera w14:prst="orthographicFront"/>
              <w14:lightRig w14:rig="threePt" w14:dir="t">
                <w14:rot w14:lat="0" w14:lon="0" w14:rev="0"/>
              </w14:lightRig>
            </w14:scene3d>
          </w:rPr>
          <w:t>12.7</w:t>
        </w:r>
        <w:r w:rsidR="00B1286B" w:rsidRPr="00485EE7">
          <w:rPr>
            <w:rStyle w:val="affffffe"/>
            <w:noProof/>
          </w:rPr>
          <w:t xml:space="preserve"> 配线、车场线轨道</w:t>
        </w:r>
        <w:r w:rsidR="00B1286B">
          <w:rPr>
            <w:noProof/>
          </w:rPr>
          <w:tab/>
        </w:r>
        <w:r w:rsidR="00B1286B">
          <w:rPr>
            <w:noProof/>
          </w:rPr>
          <w:fldChar w:fldCharType="begin"/>
        </w:r>
        <w:r w:rsidR="00B1286B">
          <w:rPr>
            <w:noProof/>
          </w:rPr>
          <w:instrText xml:space="preserve"> PAGEREF _Toc182476418 \h </w:instrText>
        </w:r>
        <w:r w:rsidR="00B1286B">
          <w:rPr>
            <w:noProof/>
          </w:rPr>
        </w:r>
        <w:r w:rsidR="00B1286B">
          <w:rPr>
            <w:noProof/>
          </w:rPr>
          <w:fldChar w:fldCharType="separate"/>
        </w:r>
        <w:r w:rsidR="00620087">
          <w:rPr>
            <w:noProof/>
          </w:rPr>
          <w:t>35</w:t>
        </w:r>
        <w:r w:rsidR="00B1286B">
          <w:rPr>
            <w:noProof/>
          </w:rPr>
          <w:fldChar w:fldCharType="end"/>
        </w:r>
      </w:hyperlink>
    </w:p>
    <w:p w14:paraId="67A59146" w14:textId="3D69AF39" w:rsidR="00B1286B" w:rsidRDefault="00CA2808">
      <w:pPr>
        <w:pStyle w:val="TOC2"/>
        <w:rPr>
          <w:rFonts w:asciiTheme="minorHAnsi" w:eastAsiaTheme="minorEastAsia" w:hAnsiTheme="minorHAnsi" w:cstheme="minorBidi"/>
          <w:noProof/>
          <w:szCs w:val="22"/>
        </w:rPr>
      </w:pPr>
      <w:hyperlink w:anchor="_Toc182476419" w:history="1">
        <w:r w:rsidR="00B1286B" w:rsidRPr="00485EE7">
          <w:rPr>
            <w:rStyle w:val="affffffe"/>
            <w:noProof/>
            <w14:scene3d>
              <w14:camera w14:prst="orthographicFront"/>
              <w14:lightRig w14:rig="threePt" w14:dir="t">
                <w14:rot w14:lat="0" w14:lon="0" w14:rev="0"/>
              </w14:lightRig>
            </w14:scene3d>
          </w:rPr>
          <w:t>12.8</w:t>
        </w:r>
        <w:r w:rsidR="00B1286B" w:rsidRPr="00485EE7">
          <w:rPr>
            <w:rStyle w:val="affffffe"/>
            <w:noProof/>
          </w:rPr>
          <w:t xml:space="preserve"> 无缝线路</w:t>
        </w:r>
        <w:r w:rsidR="00B1286B">
          <w:rPr>
            <w:noProof/>
          </w:rPr>
          <w:tab/>
        </w:r>
        <w:r w:rsidR="00B1286B">
          <w:rPr>
            <w:noProof/>
          </w:rPr>
          <w:fldChar w:fldCharType="begin"/>
        </w:r>
        <w:r w:rsidR="00B1286B">
          <w:rPr>
            <w:noProof/>
          </w:rPr>
          <w:instrText xml:space="preserve"> PAGEREF _Toc182476419 \h </w:instrText>
        </w:r>
        <w:r w:rsidR="00B1286B">
          <w:rPr>
            <w:noProof/>
          </w:rPr>
        </w:r>
        <w:r w:rsidR="00B1286B">
          <w:rPr>
            <w:noProof/>
          </w:rPr>
          <w:fldChar w:fldCharType="separate"/>
        </w:r>
        <w:r w:rsidR="00620087">
          <w:rPr>
            <w:noProof/>
          </w:rPr>
          <w:t>36</w:t>
        </w:r>
        <w:r w:rsidR="00B1286B">
          <w:rPr>
            <w:noProof/>
          </w:rPr>
          <w:fldChar w:fldCharType="end"/>
        </w:r>
      </w:hyperlink>
    </w:p>
    <w:p w14:paraId="55C32935" w14:textId="6AC7ABBD" w:rsidR="00B1286B" w:rsidRDefault="00CA2808">
      <w:pPr>
        <w:pStyle w:val="TOC2"/>
        <w:rPr>
          <w:rFonts w:asciiTheme="minorHAnsi" w:eastAsiaTheme="minorEastAsia" w:hAnsiTheme="minorHAnsi" w:cstheme="minorBidi"/>
          <w:noProof/>
          <w:szCs w:val="22"/>
        </w:rPr>
      </w:pPr>
      <w:hyperlink w:anchor="_Toc182476420" w:history="1">
        <w:r w:rsidR="00B1286B" w:rsidRPr="00485EE7">
          <w:rPr>
            <w:rStyle w:val="affffffe"/>
            <w:noProof/>
            <w14:scene3d>
              <w14:camera w14:prst="orthographicFront"/>
              <w14:lightRig w14:rig="threePt" w14:dir="t">
                <w14:rot w14:lat="0" w14:lon="0" w14:rev="0"/>
              </w14:lightRig>
            </w14:scene3d>
          </w:rPr>
          <w:t>12.9</w:t>
        </w:r>
        <w:r w:rsidR="00B1286B" w:rsidRPr="00485EE7">
          <w:rPr>
            <w:rStyle w:val="affffffe"/>
            <w:noProof/>
          </w:rPr>
          <w:t xml:space="preserve"> 减振轨道</w:t>
        </w:r>
        <w:r w:rsidR="00B1286B">
          <w:rPr>
            <w:noProof/>
          </w:rPr>
          <w:tab/>
        </w:r>
        <w:r w:rsidR="00B1286B">
          <w:rPr>
            <w:noProof/>
          </w:rPr>
          <w:fldChar w:fldCharType="begin"/>
        </w:r>
        <w:r w:rsidR="00B1286B">
          <w:rPr>
            <w:noProof/>
          </w:rPr>
          <w:instrText xml:space="preserve"> PAGEREF _Toc182476420 \h </w:instrText>
        </w:r>
        <w:r w:rsidR="00B1286B">
          <w:rPr>
            <w:noProof/>
          </w:rPr>
        </w:r>
        <w:r w:rsidR="00B1286B">
          <w:rPr>
            <w:noProof/>
          </w:rPr>
          <w:fldChar w:fldCharType="separate"/>
        </w:r>
        <w:r w:rsidR="00620087">
          <w:rPr>
            <w:noProof/>
          </w:rPr>
          <w:t>37</w:t>
        </w:r>
        <w:r w:rsidR="00B1286B">
          <w:rPr>
            <w:noProof/>
          </w:rPr>
          <w:fldChar w:fldCharType="end"/>
        </w:r>
      </w:hyperlink>
    </w:p>
    <w:p w14:paraId="3B10BCFB" w14:textId="70C2B8A2" w:rsidR="00B1286B" w:rsidRDefault="00CA2808">
      <w:pPr>
        <w:pStyle w:val="TOC2"/>
        <w:rPr>
          <w:rFonts w:asciiTheme="minorHAnsi" w:eastAsiaTheme="minorEastAsia" w:hAnsiTheme="minorHAnsi" w:cstheme="minorBidi"/>
          <w:noProof/>
          <w:szCs w:val="22"/>
        </w:rPr>
      </w:pPr>
      <w:hyperlink w:anchor="_Toc182476421" w:history="1">
        <w:r w:rsidR="00B1286B" w:rsidRPr="00485EE7">
          <w:rPr>
            <w:rStyle w:val="affffffe"/>
            <w:noProof/>
            <w14:scene3d>
              <w14:camera w14:prst="orthographicFront"/>
              <w14:lightRig w14:rig="threePt" w14:dir="t">
                <w14:rot w14:lat="0" w14:lon="0" w14:rev="0"/>
              </w14:lightRig>
            </w14:scene3d>
          </w:rPr>
          <w:t>12.10</w:t>
        </w:r>
        <w:r w:rsidR="00B1286B" w:rsidRPr="00485EE7">
          <w:rPr>
            <w:rStyle w:val="affffffe"/>
            <w:noProof/>
          </w:rPr>
          <w:t xml:space="preserve"> 轨道附属设备及常备材料</w:t>
        </w:r>
        <w:r w:rsidR="00B1286B">
          <w:rPr>
            <w:noProof/>
          </w:rPr>
          <w:tab/>
        </w:r>
        <w:r w:rsidR="00B1286B">
          <w:rPr>
            <w:noProof/>
          </w:rPr>
          <w:fldChar w:fldCharType="begin"/>
        </w:r>
        <w:r w:rsidR="00B1286B">
          <w:rPr>
            <w:noProof/>
          </w:rPr>
          <w:instrText xml:space="preserve"> PAGEREF _Toc182476421 \h </w:instrText>
        </w:r>
        <w:r w:rsidR="00B1286B">
          <w:rPr>
            <w:noProof/>
          </w:rPr>
        </w:r>
        <w:r w:rsidR="00B1286B">
          <w:rPr>
            <w:noProof/>
          </w:rPr>
          <w:fldChar w:fldCharType="separate"/>
        </w:r>
        <w:r w:rsidR="00620087">
          <w:rPr>
            <w:noProof/>
          </w:rPr>
          <w:t>37</w:t>
        </w:r>
        <w:r w:rsidR="00B1286B">
          <w:rPr>
            <w:noProof/>
          </w:rPr>
          <w:fldChar w:fldCharType="end"/>
        </w:r>
      </w:hyperlink>
    </w:p>
    <w:p w14:paraId="0C2EC426" w14:textId="10182DB4" w:rsidR="00B1286B" w:rsidRDefault="00CA2808">
      <w:pPr>
        <w:pStyle w:val="TOC2"/>
        <w:rPr>
          <w:rFonts w:asciiTheme="minorHAnsi" w:eastAsiaTheme="minorEastAsia" w:hAnsiTheme="minorHAnsi" w:cstheme="minorBidi"/>
          <w:noProof/>
          <w:szCs w:val="22"/>
        </w:rPr>
      </w:pPr>
      <w:hyperlink w:anchor="_Toc182476422" w:history="1">
        <w:r w:rsidR="00B1286B" w:rsidRPr="00485EE7">
          <w:rPr>
            <w:rStyle w:val="affffffe"/>
            <w:noProof/>
            <w14:scene3d>
              <w14:camera w14:prst="orthographicFront"/>
              <w14:lightRig w14:rig="threePt" w14:dir="t">
                <w14:rot w14:lat="0" w14:lon="0" w14:rev="0"/>
              </w14:lightRig>
            </w14:scene3d>
          </w:rPr>
          <w:t>12.11</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_Toc182476422 \h </w:instrText>
        </w:r>
        <w:r w:rsidR="00B1286B">
          <w:rPr>
            <w:noProof/>
          </w:rPr>
        </w:r>
        <w:r w:rsidR="00B1286B">
          <w:rPr>
            <w:noProof/>
          </w:rPr>
          <w:fldChar w:fldCharType="separate"/>
        </w:r>
        <w:r w:rsidR="00620087">
          <w:rPr>
            <w:noProof/>
          </w:rPr>
          <w:t>38</w:t>
        </w:r>
        <w:r w:rsidR="00B1286B">
          <w:rPr>
            <w:noProof/>
          </w:rPr>
          <w:fldChar w:fldCharType="end"/>
        </w:r>
      </w:hyperlink>
    </w:p>
    <w:p w14:paraId="7927ACE9" w14:textId="6E5644A9" w:rsidR="00B1286B" w:rsidRDefault="00CA2808">
      <w:pPr>
        <w:pStyle w:val="TOC1"/>
        <w:tabs>
          <w:tab w:val="right" w:leader="dot" w:pos="9344"/>
        </w:tabs>
        <w:rPr>
          <w:rFonts w:asciiTheme="minorHAnsi" w:eastAsiaTheme="minorEastAsia" w:hAnsiTheme="minorHAnsi" w:cstheme="minorBidi"/>
          <w:noProof/>
          <w:szCs w:val="22"/>
        </w:rPr>
      </w:pPr>
      <w:hyperlink w:anchor="_Toc182476423" w:history="1">
        <w:r w:rsidR="00B1286B" w:rsidRPr="00485EE7">
          <w:rPr>
            <w:rStyle w:val="affffffe"/>
            <w:noProof/>
          </w:rPr>
          <w:t>13 路基</w:t>
        </w:r>
        <w:r w:rsidR="00B1286B">
          <w:rPr>
            <w:noProof/>
          </w:rPr>
          <w:tab/>
        </w:r>
        <w:r w:rsidR="00B1286B">
          <w:rPr>
            <w:noProof/>
          </w:rPr>
          <w:fldChar w:fldCharType="begin"/>
        </w:r>
        <w:r w:rsidR="00B1286B">
          <w:rPr>
            <w:noProof/>
          </w:rPr>
          <w:instrText xml:space="preserve"> PAGEREF _Toc182476423 \h </w:instrText>
        </w:r>
        <w:r w:rsidR="00B1286B">
          <w:rPr>
            <w:noProof/>
          </w:rPr>
        </w:r>
        <w:r w:rsidR="00B1286B">
          <w:rPr>
            <w:noProof/>
          </w:rPr>
          <w:fldChar w:fldCharType="separate"/>
        </w:r>
        <w:r w:rsidR="00620087">
          <w:rPr>
            <w:noProof/>
          </w:rPr>
          <w:t>38</w:t>
        </w:r>
        <w:r w:rsidR="00B1286B">
          <w:rPr>
            <w:noProof/>
          </w:rPr>
          <w:fldChar w:fldCharType="end"/>
        </w:r>
      </w:hyperlink>
    </w:p>
    <w:p w14:paraId="02214EF3" w14:textId="31B6BF5B" w:rsidR="00B1286B" w:rsidRDefault="00CA2808">
      <w:pPr>
        <w:pStyle w:val="TOC2"/>
        <w:rPr>
          <w:rFonts w:asciiTheme="minorHAnsi" w:eastAsiaTheme="minorEastAsia" w:hAnsiTheme="minorHAnsi" w:cstheme="minorBidi"/>
          <w:noProof/>
          <w:szCs w:val="22"/>
        </w:rPr>
      </w:pPr>
      <w:hyperlink w:anchor="_Toc182476424" w:history="1">
        <w:r w:rsidR="00B1286B" w:rsidRPr="00485EE7">
          <w:rPr>
            <w:rStyle w:val="affffffe"/>
            <w:noProof/>
            <w14:scene3d>
              <w14:camera w14:prst="orthographicFront"/>
              <w14:lightRig w14:rig="threePt" w14:dir="t">
                <w14:rot w14:lat="0" w14:lon="0" w14:rev="0"/>
              </w14:lightRig>
            </w14:scene3d>
          </w:rPr>
          <w:t>13.1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_Toc182476424 \h </w:instrText>
        </w:r>
        <w:r w:rsidR="00B1286B">
          <w:rPr>
            <w:noProof/>
          </w:rPr>
        </w:r>
        <w:r w:rsidR="00B1286B">
          <w:rPr>
            <w:noProof/>
          </w:rPr>
          <w:fldChar w:fldCharType="separate"/>
        </w:r>
        <w:r w:rsidR="00620087">
          <w:rPr>
            <w:noProof/>
          </w:rPr>
          <w:t>38</w:t>
        </w:r>
        <w:r w:rsidR="00B1286B">
          <w:rPr>
            <w:noProof/>
          </w:rPr>
          <w:fldChar w:fldCharType="end"/>
        </w:r>
      </w:hyperlink>
    </w:p>
    <w:p w14:paraId="52DE6DC2" w14:textId="5231C037" w:rsidR="00B1286B" w:rsidRDefault="00CA2808">
      <w:pPr>
        <w:pStyle w:val="TOC2"/>
        <w:rPr>
          <w:rFonts w:asciiTheme="minorHAnsi" w:eastAsiaTheme="minorEastAsia" w:hAnsiTheme="minorHAnsi" w:cstheme="minorBidi"/>
          <w:noProof/>
          <w:szCs w:val="22"/>
        </w:rPr>
      </w:pPr>
      <w:hyperlink w:anchor="_Toc182476425" w:history="1">
        <w:r w:rsidR="00B1286B" w:rsidRPr="00485EE7">
          <w:rPr>
            <w:rStyle w:val="affffffe"/>
            <w:noProof/>
            <w14:scene3d>
              <w14:camera w14:prst="orthographicFront"/>
              <w14:lightRig w14:rig="threePt" w14:dir="t">
                <w14:rot w14:lat="0" w14:lon="0" w14:rev="0"/>
              </w14:lightRig>
            </w14:scene3d>
          </w:rPr>
          <w:t>13.2</w:t>
        </w:r>
        <w:r w:rsidR="00B1286B" w:rsidRPr="00485EE7">
          <w:rPr>
            <w:rStyle w:val="affffffe"/>
            <w:noProof/>
          </w:rPr>
          <w:t xml:space="preserve"> 路基横断面形式</w:t>
        </w:r>
        <w:r w:rsidR="00B1286B">
          <w:rPr>
            <w:noProof/>
          </w:rPr>
          <w:tab/>
        </w:r>
        <w:r w:rsidR="00B1286B">
          <w:rPr>
            <w:noProof/>
          </w:rPr>
          <w:fldChar w:fldCharType="begin"/>
        </w:r>
        <w:r w:rsidR="00B1286B">
          <w:rPr>
            <w:noProof/>
          </w:rPr>
          <w:instrText xml:space="preserve"> PAGEREF _Toc182476425 \h </w:instrText>
        </w:r>
        <w:r w:rsidR="00B1286B">
          <w:rPr>
            <w:noProof/>
          </w:rPr>
        </w:r>
        <w:r w:rsidR="00B1286B">
          <w:rPr>
            <w:noProof/>
          </w:rPr>
          <w:fldChar w:fldCharType="separate"/>
        </w:r>
        <w:r w:rsidR="00620087">
          <w:rPr>
            <w:noProof/>
          </w:rPr>
          <w:t>39</w:t>
        </w:r>
        <w:r w:rsidR="00B1286B">
          <w:rPr>
            <w:noProof/>
          </w:rPr>
          <w:fldChar w:fldCharType="end"/>
        </w:r>
      </w:hyperlink>
    </w:p>
    <w:p w14:paraId="3A258F22" w14:textId="180C5995" w:rsidR="00B1286B" w:rsidRDefault="00CA2808">
      <w:pPr>
        <w:pStyle w:val="TOC2"/>
        <w:rPr>
          <w:rFonts w:asciiTheme="minorHAnsi" w:eastAsiaTheme="minorEastAsia" w:hAnsiTheme="minorHAnsi" w:cstheme="minorBidi"/>
          <w:noProof/>
          <w:szCs w:val="22"/>
        </w:rPr>
      </w:pPr>
      <w:hyperlink w:anchor="_Toc182476426" w:history="1">
        <w:r w:rsidR="00B1286B" w:rsidRPr="00485EE7">
          <w:rPr>
            <w:rStyle w:val="affffffe"/>
            <w:noProof/>
            <w14:scene3d>
              <w14:camera w14:prst="orthographicFront"/>
              <w14:lightRig w14:rig="threePt" w14:dir="t">
                <w14:rot w14:lat="0" w14:lon="0" w14:rev="0"/>
              </w14:lightRig>
            </w14:scene3d>
          </w:rPr>
          <w:t>13.3</w:t>
        </w:r>
        <w:r w:rsidR="00B1286B" w:rsidRPr="00485EE7">
          <w:rPr>
            <w:rStyle w:val="affffffe"/>
            <w:noProof/>
          </w:rPr>
          <w:t xml:space="preserve"> 基床</w:t>
        </w:r>
        <w:r w:rsidR="00B1286B">
          <w:rPr>
            <w:noProof/>
          </w:rPr>
          <w:tab/>
        </w:r>
        <w:r w:rsidR="00B1286B">
          <w:rPr>
            <w:noProof/>
          </w:rPr>
          <w:fldChar w:fldCharType="begin"/>
        </w:r>
        <w:r w:rsidR="00B1286B">
          <w:rPr>
            <w:noProof/>
          </w:rPr>
          <w:instrText xml:space="preserve"> PAGEREF _Toc182476426 \h </w:instrText>
        </w:r>
        <w:r w:rsidR="00B1286B">
          <w:rPr>
            <w:noProof/>
          </w:rPr>
        </w:r>
        <w:r w:rsidR="00B1286B">
          <w:rPr>
            <w:noProof/>
          </w:rPr>
          <w:fldChar w:fldCharType="separate"/>
        </w:r>
        <w:r w:rsidR="00620087">
          <w:rPr>
            <w:noProof/>
          </w:rPr>
          <w:t>42</w:t>
        </w:r>
        <w:r w:rsidR="00B1286B">
          <w:rPr>
            <w:noProof/>
          </w:rPr>
          <w:fldChar w:fldCharType="end"/>
        </w:r>
      </w:hyperlink>
    </w:p>
    <w:p w14:paraId="4DF0EC29" w14:textId="1362148C" w:rsidR="00B1286B" w:rsidRDefault="00CA2808">
      <w:pPr>
        <w:pStyle w:val="TOC2"/>
        <w:rPr>
          <w:rFonts w:asciiTheme="minorHAnsi" w:eastAsiaTheme="minorEastAsia" w:hAnsiTheme="minorHAnsi" w:cstheme="minorBidi"/>
          <w:noProof/>
          <w:szCs w:val="22"/>
        </w:rPr>
      </w:pPr>
      <w:hyperlink w:anchor="_Toc182476427" w:history="1">
        <w:r w:rsidR="00B1286B" w:rsidRPr="00485EE7">
          <w:rPr>
            <w:rStyle w:val="affffffe"/>
            <w:noProof/>
            <w14:scene3d>
              <w14:camera w14:prst="orthographicFront"/>
              <w14:lightRig w14:rig="threePt" w14:dir="t">
                <w14:rot w14:lat="0" w14:lon="0" w14:rev="0"/>
              </w14:lightRig>
            </w14:scene3d>
          </w:rPr>
          <w:t>13.4</w:t>
        </w:r>
        <w:r w:rsidR="00B1286B" w:rsidRPr="00485EE7">
          <w:rPr>
            <w:rStyle w:val="affffffe"/>
            <w:noProof/>
          </w:rPr>
          <w:t xml:space="preserve"> 路堤</w:t>
        </w:r>
        <w:r w:rsidR="00B1286B">
          <w:rPr>
            <w:noProof/>
          </w:rPr>
          <w:tab/>
        </w:r>
        <w:r w:rsidR="00B1286B">
          <w:rPr>
            <w:noProof/>
          </w:rPr>
          <w:fldChar w:fldCharType="begin"/>
        </w:r>
        <w:r w:rsidR="00B1286B">
          <w:rPr>
            <w:noProof/>
          </w:rPr>
          <w:instrText xml:space="preserve"> PAGEREF _Toc182476427 \h </w:instrText>
        </w:r>
        <w:r w:rsidR="00B1286B">
          <w:rPr>
            <w:noProof/>
          </w:rPr>
        </w:r>
        <w:r w:rsidR="00B1286B">
          <w:rPr>
            <w:noProof/>
          </w:rPr>
          <w:fldChar w:fldCharType="separate"/>
        </w:r>
        <w:r w:rsidR="00620087">
          <w:rPr>
            <w:noProof/>
          </w:rPr>
          <w:t>44</w:t>
        </w:r>
        <w:r w:rsidR="00B1286B">
          <w:rPr>
            <w:noProof/>
          </w:rPr>
          <w:fldChar w:fldCharType="end"/>
        </w:r>
      </w:hyperlink>
    </w:p>
    <w:p w14:paraId="2EA0AE72" w14:textId="061FFA30" w:rsidR="00B1286B" w:rsidRDefault="00CA2808">
      <w:pPr>
        <w:pStyle w:val="TOC2"/>
        <w:rPr>
          <w:rFonts w:asciiTheme="minorHAnsi" w:eastAsiaTheme="minorEastAsia" w:hAnsiTheme="minorHAnsi" w:cstheme="minorBidi"/>
          <w:noProof/>
          <w:szCs w:val="22"/>
        </w:rPr>
      </w:pPr>
      <w:hyperlink w:anchor="_Toc182476428" w:history="1">
        <w:r w:rsidR="00B1286B" w:rsidRPr="00485EE7">
          <w:rPr>
            <w:rStyle w:val="affffffe"/>
            <w:noProof/>
            <w14:scene3d>
              <w14:camera w14:prst="orthographicFront"/>
              <w14:lightRig w14:rig="threePt" w14:dir="t">
                <w14:rot w14:lat="0" w14:lon="0" w14:rev="0"/>
              </w14:lightRig>
            </w14:scene3d>
          </w:rPr>
          <w:t>13.5</w:t>
        </w:r>
        <w:r w:rsidR="00B1286B" w:rsidRPr="00485EE7">
          <w:rPr>
            <w:rStyle w:val="affffffe"/>
            <w:noProof/>
          </w:rPr>
          <w:t xml:space="preserve"> 路堑</w:t>
        </w:r>
        <w:r w:rsidR="00B1286B">
          <w:rPr>
            <w:noProof/>
          </w:rPr>
          <w:tab/>
        </w:r>
        <w:r w:rsidR="00B1286B">
          <w:rPr>
            <w:noProof/>
          </w:rPr>
          <w:fldChar w:fldCharType="begin"/>
        </w:r>
        <w:r w:rsidR="00B1286B">
          <w:rPr>
            <w:noProof/>
          </w:rPr>
          <w:instrText xml:space="preserve"> PAGEREF _Toc182476428 \h </w:instrText>
        </w:r>
        <w:r w:rsidR="00B1286B">
          <w:rPr>
            <w:noProof/>
          </w:rPr>
        </w:r>
        <w:r w:rsidR="00B1286B">
          <w:rPr>
            <w:noProof/>
          </w:rPr>
          <w:fldChar w:fldCharType="separate"/>
        </w:r>
        <w:r w:rsidR="00620087">
          <w:rPr>
            <w:noProof/>
          </w:rPr>
          <w:t>44</w:t>
        </w:r>
        <w:r w:rsidR="00B1286B">
          <w:rPr>
            <w:noProof/>
          </w:rPr>
          <w:fldChar w:fldCharType="end"/>
        </w:r>
      </w:hyperlink>
    </w:p>
    <w:p w14:paraId="6551252D" w14:textId="58B220DD" w:rsidR="00B1286B" w:rsidRDefault="00CA2808">
      <w:pPr>
        <w:pStyle w:val="TOC2"/>
        <w:rPr>
          <w:rFonts w:asciiTheme="minorHAnsi" w:eastAsiaTheme="minorEastAsia" w:hAnsiTheme="minorHAnsi" w:cstheme="minorBidi"/>
          <w:noProof/>
          <w:szCs w:val="22"/>
        </w:rPr>
      </w:pPr>
      <w:hyperlink w:anchor="_Toc182476429" w:history="1">
        <w:r w:rsidR="00B1286B" w:rsidRPr="00485EE7">
          <w:rPr>
            <w:rStyle w:val="affffffe"/>
            <w:noProof/>
            <w14:scene3d>
              <w14:camera w14:prst="orthographicFront"/>
              <w14:lightRig w14:rig="threePt" w14:dir="t">
                <w14:rot w14:lat="0" w14:lon="0" w14:rev="0"/>
              </w14:lightRig>
            </w14:scene3d>
          </w:rPr>
          <w:t>13.6</w:t>
        </w:r>
        <w:r w:rsidR="00B1286B" w:rsidRPr="00485EE7">
          <w:rPr>
            <w:rStyle w:val="affffffe"/>
            <w:noProof/>
          </w:rPr>
          <w:t xml:space="preserve"> 过渡段</w:t>
        </w:r>
        <w:r w:rsidR="00B1286B">
          <w:rPr>
            <w:noProof/>
          </w:rPr>
          <w:tab/>
        </w:r>
        <w:r w:rsidR="00B1286B">
          <w:rPr>
            <w:noProof/>
          </w:rPr>
          <w:fldChar w:fldCharType="begin"/>
        </w:r>
        <w:r w:rsidR="00B1286B">
          <w:rPr>
            <w:noProof/>
          </w:rPr>
          <w:instrText xml:space="preserve"> PAGEREF _Toc182476429 \h </w:instrText>
        </w:r>
        <w:r w:rsidR="00B1286B">
          <w:rPr>
            <w:noProof/>
          </w:rPr>
        </w:r>
        <w:r w:rsidR="00B1286B">
          <w:rPr>
            <w:noProof/>
          </w:rPr>
          <w:fldChar w:fldCharType="separate"/>
        </w:r>
        <w:r w:rsidR="00620087">
          <w:rPr>
            <w:noProof/>
          </w:rPr>
          <w:t>44</w:t>
        </w:r>
        <w:r w:rsidR="00B1286B">
          <w:rPr>
            <w:noProof/>
          </w:rPr>
          <w:fldChar w:fldCharType="end"/>
        </w:r>
      </w:hyperlink>
    </w:p>
    <w:p w14:paraId="750C2069" w14:textId="564BB00D" w:rsidR="00B1286B" w:rsidRDefault="00CA2808">
      <w:pPr>
        <w:pStyle w:val="TOC2"/>
        <w:rPr>
          <w:rFonts w:asciiTheme="minorHAnsi" w:eastAsiaTheme="minorEastAsia" w:hAnsiTheme="minorHAnsi" w:cstheme="minorBidi"/>
          <w:noProof/>
          <w:szCs w:val="22"/>
        </w:rPr>
      </w:pPr>
      <w:hyperlink w:anchor="_Toc182476430" w:history="1">
        <w:r w:rsidR="00B1286B" w:rsidRPr="00485EE7">
          <w:rPr>
            <w:rStyle w:val="affffffe"/>
            <w:noProof/>
            <w14:scene3d>
              <w14:camera w14:prst="orthographicFront"/>
              <w14:lightRig w14:rig="threePt" w14:dir="t">
                <w14:rot w14:lat="0" w14:lon="0" w14:rev="0"/>
              </w14:lightRig>
            </w14:scene3d>
          </w:rPr>
          <w:t>13.7</w:t>
        </w:r>
        <w:r w:rsidR="00B1286B" w:rsidRPr="00485EE7">
          <w:rPr>
            <w:rStyle w:val="affffffe"/>
            <w:noProof/>
          </w:rPr>
          <w:t xml:space="preserve"> 地基处理</w:t>
        </w:r>
        <w:r w:rsidR="00B1286B">
          <w:rPr>
            <w:noProof/>
          </w:rPr>
          <w:tab/>
        </w:r>
        <w:r w:rsidR="00B1286B">
          <w:rPr>
            <w:noProof/>
          </w:rPr>
          <w:fldChar w:fldCharType="begin"/>
        </w:r>
        <w:r w:rsidR="00B1286B">
          <w:rPr>
            <w:noProof/>
          </w:rPr>
          <w:instrText xml:space="preserve"> PAGEREF _Toc182476430 \h </w:instrText>
        </w:r>
        <w:r w:rsidR="00B1286B">
          <w:rPr>
            <w:noProof/>
          </w:rPr>
        </w:r>
        <w:r w:rsidR="00B1286B">
          <w:rPr>
            <w:noProof/>
          </w:rPr>
          <w:fldChar w:fldCharType="separate"/>
        </w:r>
        <w:r w:rsidR="00620087">
          <w:rPr>
            <w:noProof/>
          </w:rPr>
          <w:t>48</w:t>
        </w:r>
        <w:r w:rsidR="00B1286B">
          <w:rPr>
            <w:noProof/>
          </w:rPr>
          <w:fldChar w:fldCharType="end"/>
        </w:r>
      </w:hyperlink>
    </w:p>
    <w:p w14:paraId="6D446004" w14:textId="14726EA0" w:rsidR="00B1286B" w:rsidRDefault="00CA2808">
      <w:pPr>
        <w:pStyle w:val="TOC2"/>
        <w:rPr>
          <w:rFonts w:asciiTheme="minorHAnsi" w:eastAsiaTheme="minorEastAsia" w:hAnsiTheme="minorHAnsi" w:cstheme="minorBidi"/>
          <w:noProof/>
          <w:szCs w:val="22"/>
        </w:rPr>
      </w:pPr>
      <w:hyperlink w:anchor="_Toc182476431" w:history="1">
        <w:r w:rsidR="00B1286B" w:rsidRPr="00485EE7">
          <w:rPr>
            <w:rStyle w:val="affffffe"/>
            <w:noProof/>
            <w14:scene3d>
              <w14:camera w14:prst="orthographicFront"/>
              <w14:lightRig w14:rig="threePt" w14:dir="t">
                <w14:rot w14:lat="0" w14:lon="0" w14:rev="0"/>
              </w14:lightRig>
            </w14:scene3d>
          </w:rPr>
          <w:t>13.8</w:t>
        </w:r>
        <w:r w:rsidR="00B1286B" w:rsidRPr="00485EE7">
          <w:rPr>
            <w:rStyle w:val="affffffe"/>
            <w:noProof/>
          </w:rPr>
          <w:t xml:space="preserve"> 路基排水</w:t>
        </w:r>
        <w:r w:rsidR="00B1286B">
          <w:rPr>
            <w:noProof/>
          </w:rPr>
          <w:tab/>
        </w:r>
        <w:r w:rsidR="00B1286B">
          <w:rPr>
            <w:noProof/>
          </w:rPr>
          <w:fldChar w:fldCharType="begin"/>
        </w:r>
        <w:r w:rsidR="00B1286B">
          <w:rPr>
            <w:noProof/>
          </w:rPr>
          <w:instrText xml:space="preserve"> PAGEREF _Toc182476431 \h </w:instrText>
        </w:r>
        <w:r w:rsidR="00B1286B">
          <w:rPr>
            <w:noProof/>
          </w:rPr>
        </w:r>
        <w:r w:rsidR="00B1286B">
          <w:rPr>
            <w:noProof/>
          </w:rPr>
          <w:fldChar w:fldCharType="separate"/>
        </w:r>
        <w:r w:rsidR="00620087">
          <w:rPr>
            <w:noProof/>
          </w:rPr>
          <w:t>48</w:t>
        </w:r>
        <w:r w:rsidR="00B1286B">
          <w:rPr>
            <w:noProof/>
          </w:rPr>
          <w:fldChar w:fldCharType="end"/>
        </w:r>
      </w:hyperlink>
    </w:p>
    <w:p w14:paraId="73246DAA" w14:textId="05528FB0" w:rsidR="00B1286B" w:rsidRDefault="00CA2808">
      <w:pPr>
        <w:pStyle w:val="TOC2"/>
        <w:rPr>
          <w:rFonts w:asciiTheme="minorHAnsi" w:eastAsiaTheme="minorEastAsia" w:hAnsiTheme="minorHAnsi" w:cstheme="minorBidi"/>
          <w:noProof/>
          <w:szCs w:val="22"/>
        </w:rPr>
      </w:pPr>
      <w:hyperlink w:anchor="_Toc182476432" w:history="1">
        <w:r w:rsidR="00B1286B" w:rsidRPr="00485EE7">
          <w:rPr>
            <w:rStyle w:val="affffffe"/>
            <w:noProof/>
            <w14:scene3d>
              <w14:camera w14:prst="orthographicFront"/>
              <w14:lightRig w14:rig="threePt" w14:dir="t">
                <w14:rot w14:lat="0" w14:lon="0" w14:rev="0"/>
              </w14:lightRig>
            </w14:scene3d>
          </w:rPr>
          <w:t>13.9</w:t>
        </w:r>
        <w:r w:rsidR="00B1286B" w:rsidRPr="00485EE7">
          <w:rPr>
            <w:rStyle w:val="affffffe"/>
            <w:noProof/>
          </w:rPr>
          <w:t xml:space="preserve"> 路基防护</w:t>
        </w:r>
        <w:r w:rsidR="00B1286B">
          <w:rPr>
            <w:noProof/>
          </w:rPr>
          <w:tab/>
        </w:r>
        <w:r w:rsidR="00B1286B">
          <w:rPr>
            <w:noProof/>
          </w:rPr>
          <w:fldChar w:fldCharType="begin"/>
        </w:r>
        <w:r w:rsidR="00B1286B">
          <w:rPr>
            <w:noProof/>
          </w:rPr>
          <w:instrText xml:space="preserve"> PAGEREF _Toc182476432 \h </w:instrText>
        </w:r>
        <w:r w:rsidR="00B1286B">
          <w:rPr>
            <w:noProof/>
          </w:rPr>
        </w:r>
        <w:r w:rsidR="00B1286B">
          <w:rPr>
            <w:noProof/>
          </w:rPr>
          <w:fldChar w:fldCharType="separate"/>
        </w:r>
        <w:r w:rsidR="00620087">
          <w:rPr>
            <w:noProof/>
          </w:rPr>
          <w:t>49</w:t>
        </w:r>
        <w:r w:rsidR="00B1286B">
          <w:rPr>
            <w:noProof/>
          </w:rPr>
          <w:fldChar w:fldCharType="end"/>
        </w:r>
      </w:hyperlink>
    </w:p>
    <w:p w14:paraId="57900878" w14:textId="18F011E3" w:rsidR="00B1286B" w:rsidRDefault="00CA2808">
      <w:pPr>
        <w:pStyle w:val="TOC2"/>
        <w:rPr>
          <w:rFonts w:asciiTheme="minorHAnsi" w:eastAsiaTheme="minorEastAsia" w:hAnsiTheme="minorHAnsi" w:cstheme="minorBidi"/>
          <w:noProof/>
          <w:szCs w:val="22"/>
        </w:rPr>
      </w:pPr>
      <w:hyperlink w:anchor="_Toc182476433" w:history="1">
        <w:r w:rsidR="00B1286B" w:rsidRPr="00485EE7">
          <w:rPr>
            <w:rStyle w:val="affffffe"/>
            <w:noProof/>
            <w14:scene3d>
              <w14:camera w14:prst="orthographicFront"/>
              <w14:lightRig w14:rig="threePt" w14:dir="t">
                <w14:rot w14:lat="0" w14:lon="0" w14:rev="0"/>
              </w14:lightRig>
            </w14:scene3d>
          </w:rPr>
          <w:t>13.10</w:t>
        </w:r>
        <w:r w:rsidR="00B1286B" w:rsidRPr="00485EE7">
          <w:rPr>
            <w:rStyle w:val="affffffe"/>
            <w:noProof/>
          </w:rPr>
          <w:t xml:space="preserve"> 路基支挡</w:t>
        </w:r>
        <w:r w:rsidR="00B1286B">
          <w:rPr>
            <w:noProof/>
          </w:rPr>
          <w:tab/>
        </w:r>
        <w:r w:rsidR="00B1286B">
          <w:rPr>
            <w:noProof/>
          </w:rPr>
          <w:fldChar w:fldCharType="begin"/>
        </w:r>
        <w:r w:rsidR="00B1286B">
          <w:rPr>
            <w:noProof/>
          </w:rPr>
          <w:instrText xml:space="preserve"> PAGEREF _Toc182476433 \h </w:instrText>
        </w:r>
        <w:r w:rsidR="00B1286B">
          <w:rPr>
            <w:noProof/>
          </w:rPr>
        </w:r>
        <w:r w:rsidR="00B1286B">
          <w:rPr>
            <w:noProof/>
          </w:rPr>
          <w:fldChar w:fldCharType="separate"/>
        </w:r>
        <w:r w:rsidR="00620087">
          <w:rPr>
            <w:noProof/>
          </w:rPr>
          <w:t>49</w:t>
        </w:r>
        <w:r w:rsidR="00B1286B">
          <w:rPr>
            <w:noProof/>
          </w:rPr>
          <w:fldChar w:fldCharType="end"/>
        </w:r>
      </w:hyperlink>
    </w:p>
    <w:p w14:paraId="4BA1CB38" w14:textId="6CF8A537" w:rsidR="00B1286B" w:rsidRDefault="00CA2808">
      <w:pPr>
        <w:pStyle w:val="TOC2"/>
        <w:rPr>
          <w:rFonts w:asciiTheme="minorHAnsi" w:eastAsiaTheme="minorEastAsia" w:hAnsiTheme="minorHAnsi" w:cstheme="minorBidi"/>
          <w:noProof/>
          <w:szCs w:val="22"/>
        </w:rPr>
      </w:pPr>
      <w:hyperlink w:anchor="_Toc182476434" w:history="1">
        <w:r w:rsidR="00B1286B" w:rsidRPr="00485EE7">
          <w:rPr>
            <w:rStyle w:val="affffffe"/>
            <w:noProof/>
            <w14:scene3d>
              <w14:camera w14:prst="orthographicFront"/>
              <w14:lightRig w14:rig="threePt" w14:dir="t">
                <w14:rot w14:lat="0" w14:lon="0" w14:rev="0"/>
              </w14:lightRig>
            </w14:scene3d>
          </w:rPr>
          <w:t>13.11</w:t>
        </w:r>
        <w:r w:rsidR="00B1286B" w:rsidRPr="00485EE7">
          <w:rPr>
            <w:rStyle w:val="affffffe"/>
            <w:noProof/>
          </w:rPr>
          <w:t xml:space="preserve"> 路基变形观测</w:t>
        </w:r>
        <w:r w:rsidR="00B1286B">
          <w:rPr>
            <w:noProof/>
          </w:rPr>
          <w:tab/>
        </w:r>
        <w:r w:rsidR="00B1286B">
          <w:rPr>
            <w:noProof/>
          </w:rPr>
          <w:fldChar w:fldCharType="begin"/>
        </w:r>
        <w:r w:rsidR="00B1286B">
          <w:rPr>
            <w:noProof/>
          </w:rPr>
          <w:instrText xml:space="preserve"> PAGEREF _Toc182476434 \h </w:instrText>
        </w:r>
        <w:r w:rsidR="00B1286B">
          <w:rPr>
            <w:noProof/>
          </w:rPr>
        </w:r>
        <w:r w:rsidR="00B1286B">
          <w:rPr>
            <w:noProof/>
          </w:rPr>
          <w:fldChar w:fldCharType="separate"/>
        </w:r>
        <w:r w:rsidR="00620087">
          <w:rPr>
            <w:noProof/>
          </w:rPr>
          <w:t>49</w:t>
        </w:r>
        <w:r w:rsidR="00B1286B">
          <w:rPr>
            <w:noProof/>
          </w:rPr>
          <w:fldChar w:fldCharType="end"/>
        </w:r>
      </w:hyperlink>
    </w:p>
    <w:p w14:paraId="18FE0534" w14:textId="556BAB6C" w:rsidR="00B1286B" w:rsidRDefault="00CA2808">
      <w:pPr>
        <w:pStyle w:val="TOC2"/>
        <w:rPr>
          <w:rFonts w:asciiTheme="minorHAnsi" w:eastAsiaTheme="minorEastAsia" w:hAnsiTheme="minorHAnsi" w:cstheme="minorBidi"/>
          <w:noProof/>
          <w:szCs w:val="22"/>
        </w:rPr>
      </w:pPr>
      <w:hyperlink w:anchor="_Toc182476435" w:history="1">
        <w:r w:rsidR="00B1286B" w:rsidRPr="00485EE7">
          <w:rPr>
            <w:rStyle w:val="affffffe"/>
            <w:noProof/>
            <w14:scene3d>
              <w14:camera w14:prst="orthographicFront"/>
              <w14:lightRig w14:rig="threePt" w14:dir="t">
                <w14:rot w14:lat="0" w14:lon="0" w14:rev="0"/>
              </w14:lightRig>
            </w14:scene3d>
          </w:rPr>
          <w:t>13.12</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_Toc182476435 \h </w:instrText>
        </w:r>
        <w:r w:rsidR="00B1286B">
          <w:rPr>
            <w:noProof/>
          </w:rPr>
        </w:r>
        <w:r w:rsidR="00B1286B">
          <w:rPr>
            <w:noProof/>
          </w:rPr>
          <w:fldChar w:fldCharType="separate"/>
        </w:r>
        <w:r w:rsidR="00620087">
          <w:rPr>
            <w:noProof/>
          </w:rPr>
          <w:t>50</w:t>
        </w:r>
        <w:r w:rsidR="00B1286B">
          <w:rPr>
            <w:noProof/>
          </w:rPr>
          <w:fldChar w:fldCharType="end"/>
        </w:r>
      </w:hyperlink>
    </w:p>
    <w:p w14:paraId="641A57E8" w14:textId="6AB3F04D" w:rsidR="00B1286B" w:rsidRDefault="00CA2808">
      <w:pPr>
        <w:pStyle w:val="TOC1"/>
        <w:tabs>
          <w:tab w:val="right" w:leader="dot" w:pos="9344"/>
        </w:tabs>
        <w:rPr>
          <w:rFonts w:asciiTheme="minorHAnsi" w:eastAsiaTheme="minorEastAsia" w:hAnsiTheme="minorHAnsi" w:cstheme="minorBidi"/>
          <w:noProof/>
          <w:szCs w:val="22"/>
        </w:rPr>
      </w:pPr>
      <w:hyperlink w:anchor="_Toc182476436" w:history="1">
        <w:r w:rsidR="00B1286B" w:rsidRPr="00485EE7">
          <w:rPr>
            <w:rStyle w:val="affffffe"/>
            <w:noProof/>
          </w:rPr>
          <w:t>14 桥涵</w:t>
        </w:r>
        <w:r w:rsidR="00B1286B">
          <w:rPr>
            <w:noProof/>
          </w:rPr>
          <w:tab/>
        </w:r>
        <w:r w:rsidR="00B1286B">
          <w:rPr>
            <w:noProof/>
          </w:rPr>
          <w:fldChar w:fldCharType="begin"/>
        </w:r>
        <w:r w:rsidR="00B1286B">
          <w:rPr>
            <w:noProof/>
          </w:rPr>
          <w:instrText xml:space="preserve"> PAGEREF _Toc182476436 \h </w:instrText>
        </w:r>
        <w:r w:rsidR="00B1286B">
          <w:rPr>
            <w:noProof/>
          </w:rPr>
        </w:r>
        <w:r w:rsidR="00B1286B">
          <w:rPr>
            <w:noProof/>
          </w:rPr>
          <w:fldChar w:fldCharType="separate"/>
        </w:r>
        <w:r w:rsidR="00620087">
          <w:rPr>
            <w:noProof/>
          </w:rPr>
          <w:t>50</w:t>
        </w:r>
        <w:r w:rsidR="00B1286B">
          <w:rPr>
            <w:noProof/>
          </w:rPr>
          <w:fldChar w:fldCharType="end"/>
        </w:r>
      </w:hyperlink>
    </w:p>
    <w:p w14:paraId="61AB4C13" w14:textId="4430E1B4" w:rsidR="00B1286B" w:rsidRDefault="00CA2808">
      <w:pPr>
        <w:pStyle w:val="TOC2"/>
        <w:rPr>
          <w:rFonts w:asciiTheme="minorHAnsi" w:eastAsiaTheme="minorEastAsia" w:hAnsiTheme="minorHAnsi" w:cstheme="minorBidi"/>
          <w:noProof/>
          <w:szCs w:val="22"/>
        </w:rPr>
      </w:pPr>
      <w:hyperlink w:anchor="_Toc182476437" w:history="1">
        <w:r w:rsidR="00B1286B" w:rsidRPr="00485EE7">
          <w:rPr>
            <w:rStyle w:val="affffffe"/>
            <w:noProof/>
            <w14:scene3d>
              <w14:camera w14:prst="orthographicFront"/>
              <w14:lightRig w14:rig="threePt" w14:dir="t">
                <w14:rot w14:lat="0" w14:lon="0" w14:rev="0"/>
              </w14:lightRig>
            </w14:scene3d>
          </w:rPr>
          <w:t>14.1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_Toc182476437 \h </w:instrText>
        </w:r>
        <w:r w:rsidR="00B1286B">
          <w:rPr>
            <w:noProof/>
          </w:rPr>
        </w:r>
        <w:r w:rsidR="00B1286B">
          <w:rPr>
            <w:noProof/>
          </w:rPr>
          <w:fldChar w:fldCharType="separate"/>
        </w:r>
        <w:r w:rsidR="00620087">
          <w:rPr>
            <w:noProof/>
          </w:rPr>
          <w:t>50</w:t>
        </w:r>
        <w:r w:rsidR="00B1286B">
          <w:rPr>
            <w:noProof/>
          </w:rPr>
          <w:fldChar w:fldCharType="end"/>
        </w:r>
      </w:hyperlink>
    </w:p>
    <w:p w14:paraId="03926B38" w14:textId="632044CD" w:rsidR="00B1286B" w:rsidRDefault="00CA2808">
      <w:pPr>
        <w:pStyle w:val="TOC2"/>
        <w:rPr>
          <w:rFonts w:asciiTheme="minorHAnsi" w:eastAsiaTheme="minorEastAsia" w:hAnsiTheme="minorHAnsi" w:cstheme="minorBidi"/>
          <w:noProof/>
          <w:szCs w:val="22"/>
        </w:rPr>
      </w:pPr>
      <w:hyperlink w:anchor="_Toc182476438" w:history="1">
        <w:r w:rsidR="00B1286B" w:rsidRPr="00485EE7">
          <w:rPr>
            <w:rStyle w:val="affffffe"/>
            <w:noProof/>
            <w14:scene3d>
              <w14:camera w14:prst="orthographicFront"/>
              <w14:lightRig w14:rig="threePt" w14:dir="t">
                <w14:rot w14:lat="0" w14:lon="0" w14:rev="0"/>
              </w14:lightRig>
            </w14:scene3d>
          </w:rPr>
          <w:t>14.2</w:t>
        </w:r>
        <w:r w:rsidR="00B1286B" w:rsidRPr="00485EE7">
          <w:rPr>
            <w:rStyle w:val="affffffe"/>
            <w:noProof/>
          </w:rPr>
          <w:t xml:space="preserve"> 设计荷载</w:t>
        </w:r>
        <w:r w:rsidR="00B1286B">
          <w:rPr>
            <w:noProof/>
          </w:rPr>
          <w:tab/>
        </w:r>
        <w:r w:rsidR="00B1286B">
          <w:rPr>
            <w:noProof/>
          </w:rPr>
          <w:fldChar w:fldCharType="begin"/>
        </w:r>
        <w:r w:rsidR="00B1286B">
          <w:rPr>
            <w:noProof/>
          </w:rPr>
          <w:instrText xml:space="preserve"> PAGEREF _Toc182476438 \h </w:instrText>
        </w:r>
        <w:r w:rsidR="00B1286B">
          <w:rPr>
            <w:noProof/>
          </w:rPr>
        </w:r>
        <w:r w:rsidR="00B1286B">
          <w:rPr>
            <w:noProof/>
          </w:rPr>
          <w:fldChar w:fldCharType="separate"/>
        </w:r>
        <w:r w:rsidR="00620087">
          <w:rPr>
            <w:noProof/>
          </w:rPr>
          <w:t>51</w:t>
        </w:r>
        <w:r w:rsidR="00B1286B">
          <w:rPr>
            <w:noProof/>
          </w:rPr>
          <w:fldChar w:fldCharType="end"/>
        </w:r>
      </w:hyperlink>
    </w:p>
    <w:p w14:paraId="2327EF8E" w14:textId="54D75496" w:rsidR="00B1286B" w:rsidRDefault="00CA2808">
      <w:pPr>
        <w:pStyle w:val="TOC2"/>
        <w:rPr>
          <w:rFonts w:asciiTheme="minorHAnsi" w:eastAsiaTheme="minorEastAsia" w:hAnsiTheme="minorHAnsi" w:cstheme="minorBidi"/>
          <w:noProof/>
          <w:szCs w:val="22"/>
        </w:rPr>
      </w:pPr>
      <w:hyperlink w:anchor="_Toc182476439" w:history="1">
        <w:r w:rsidR="00B1286B" w:rsidRPr="00485EE7">
          <w:rPr>
            <w:rStyle w:val="affffffe"/>
            <w:noProof/>
            <w14:scene3d>
              <w14:camera w14:prst="orthographicFront"/>
              <w14:lightRig w14:rig="threePt" w14:dir="t">
                <w14:rot w14:lat="0" w14:lon="0" w14:rev="0"/>
              </w14:lightRig>
            </w14:scene3d>
          </w:rPr>
          <w:t>14.3</w:t>
        </w:r>
        <w:r w:rsidR="00B1286B" w:rsidRPr="00485EE7">
          <w:rPr>
            <w:rStyle w:val="affffffe"/>
            <w:noProof/>
          </w:rPr>
          <w:t xml:space="preserve"> 结构变形、变位和基频的限值</w:t>
        </w:r>
        <w:r w:rsidR="00B1286B">
          <w:rPr>
            <w:noProof/>
          </w:rPr>
          <w:tab/>
        </w:r>
        <w:r w:rsidR="00B1286B">
          <w:rPr>
            <w:noProof/>
          </w:rPr>
          <w:fldChar w:fldCharType="begin"/>
        </w:r>
        <w:r w:rsidR="00B1286B">
          <w:rPr>
            <w:noProof/>
          </w:rPr>
          <w:instrText xml:space="preserve"> PAGEREF _Toc182476439 \h </w:instrText>
        </w:r>
        <w:r w:rsidR="00B1286B">
          <w:rPr>
            <w:noProof/>
          </w:rPr>
        </w:r>
        <w:r w:rsidR="00B1286B">
          <w:rPr>
            <w:noProof/>
          </w:rPr>
          <w:fldChar w:fldCharType="separate"/>
        </w:r>
        <w:r w:rsidR="00620087">
          <w:rPr>
            <w:noProof/>
          </w:rPr>
          <w:t>54</w:t>
        </w:r>
        <w:r w:rsidR="00B1286B">
          <w:rPr>
            <w:noProof/>
          </w:rPr>
          <w:fldChar w:fldCharType="end"/>
        </w:r>
      </w:hyperlink>
    </w:p>
    <w:p w14:paraId="4E1DD481" w14:textId="78C0D7EF" w:rsidR="00B1286B" w:rsidRDefault="00CA2808">
      <w:pPr>
        <w:pStyle w:val="TOC2"/>
        <w:rPr>
          <w:rFonts w:asciiTheme="minorHAnsi" w:eastAsiaTheme="minorEastAsia" w:hAnsiTheme="minorHAnsi" w:cstheme="minorBidi"/>
          <w:noProof/>
          <w:szCs w:val="22"/>
        </w:rPr>
      </w:pPr>
      <w:hyperlink w:anchor="_Toc182476440" w:history="1">
        <w:r w:rsidR="00B1286B" w:rsidRPr="00485EE7">
          <w:rPr>
            <w:rStyle w:val="affffffe"/>
            <w:noProof/>
            <w14:scene3d>
              <w14:camera w14:prst="orthographicFront"/>
              <w14:lightRig w14:rig="threePt" w14:dir="t">
                <w14:rot w14:lat="0" w14:lon="0" w14:rev="0"/>
              </w14:lightRig>
            </w14:scene3d>
          </w:rPr>
          <w:t>14.4</w:t>
        </w:r>
        <w:r w:rsidR="00B1286B" w:rsidRPr="00485EE7">
          <w:rPr>
            <w:rStyle w:val="affffffe"/>
            <w:noProof/>
          </w:rPr>
          <w:t xml:space="preserve"> 结构与构造</w:t>
        </w:r>
        <w:r w:rsidR="00B1286B">
          <w:rPr>
            <w:noProof/>
          </w:rPr>
          <w:tab/>
        </w:r>
        <w:r w:rsidR="00B1286B">
          <w:rPr>
            <w:noProof/>
          </w:rPr>
          <w:fldChar w:fldCharType="begin"/>
        </w:r>
        <w:r w:rsidR="00B1286B">
          <w:rPr>
            <w:noProof/>
          </w:rPr>
          <w:instrText xml:space="preserve"> PAGEREF _Toc182476440 \h </w:instrText>
        </w:r>
        <w:r w:rsidR="00B1286B">
          <w:rPr>
            <w:noProof/>
          </w:rPr>
        </w:r>
        <w:r w:rsidR="00B1286B">
          <w:rPr>
            <w:noProof/>
          </w:rPr>
          <w:fldChar w:fldCharType="separate"/>
        </w:r>
        <w:r w:rsidR="00620087">
          <w:rPr>
            <w:noProof/>
          </w:rPr>
          <w:t>57</w:t>
        </w:r>
        <w:r w:rsidR="00B1286B">
          <w:rPr>
            <w:noProof/>
          </w:rPr>
          <w:fldChar w:fldCharType="end"/>
        </w:r>
      </w:hyperlink>
    </w:p>
    <w:p w14:paraId="696E425C" w14:textId="51164452" w:rsidR="00B1286B" w:rsidRDefault="00CA2808">
      <w:pPr>
        <w:pStyle w:val="TOC2"/>
        <w:rPr>
          <w:rFonts w:asciiTheme="minorHAnsi" w:eastAsiaTheme="minorEastAsia" w:hAnsiTheme="minorHAnsi" w:cstheme="minorBidi"/>
          <w:noProof/>
          <w:szCs w:val="22"/>
        </w:rPr>
      </w:pPr>
      <w:hyperlink w:anchor="_Toc182476441" w:history="1">
        <w:r w:rsidR="00B1286B" w:rsidRPr="00485EE7">
          <w:rPr>
            <w:rStyle w:val="affffffe"/>
            <w:noProof/>
            <w14:scene3d>
              <w14:camera w14:prst="orthographicFront"/>
              <w14:lightRig w14:rig="threePt" w14:dir="t">
                <w14:rot w14:lat="0" w14:lon="0" w14:rev="0"/>
              </w14:lightRig>
            </w14:scene3d>
          </w:rPr>
          <w:t>14.5</w:t>
        </w:r>
        <w:r w:rsidR="00B1286B" w:rsidRPr="00485EE7">
          <w:rPr>
            <w:rStyle w:val="affffffe"/>
            <w:noProof/>
          </w:rPr>
          <w:t xml:space="preserve"> 桥面布置及附属设施</w:t>
        </w:r>
        <w:r w:rsidR="00B1286B">
          <w:rPr>
            <w:noProof/>
          </w:rPr>
          <w:tab/>
        </w:r>
        <w:r w:rsidR="00B1286B">
          <w:rPr>
            <w:noProof/>
          </w:rPr>
          <w:fldChar w:fldCharType="begin"/>
        </w:r>
        <w:r w:rsidR="00B1286B">
          <w:rPr>
            <w:noProof/>
          </w:rPr>
          <w:instrText xml:space="preserve"> PAGEREF _Toc182476441 \h </w:instrText>
        </w:r>
        <w:r w:rsidR="00B1286B">
          <w:rPr>
            <w:noProof/>
          </w:rPr>
        </w:r>
        <w:r w:rsidR="00B1286B">
          <w:rPr>
            <w:noProof/>
          </w:rPr>
          <w:fldChar w:fldCharType="separate"/>
        </w:r>
        <w:r w:rsidR="00620087">
          <w:rPr>
            <w:noProof/>
          </w:rPr>
          <w:t>59</w:t>
        </w:r>
        <w:r w:rsidR="00B1286B">
          <w:rPr>
            <w:noProof/>
          </w:rPr>
          <w:fldChar w:fldCharType="end"/>
        </w:r>
      </w:hyperlink>
    </w:p>
    <w:p w14:paraId="45F4BA09" w14:textId="08BD03E9" w:rsidR="00B1286B" w:rsidRDefault="00CA2808">
      <w:pPr>
        <w:pStyle w:val="TOC2"/>
        <w:rPr>
          <w:rFonts w:asciiTheme="minorHAnsi" w:eastAsiaTheme="minorEastAsia" w:hAnsiTheme="minorHAnsi" w:cstheme="minorBidi"/>
          <w:noProof/>
          <w:szCs w:val="22"/>
        </w:rPr>
      </w:pPr>
      <w:hyperlink w:anchor="_Toc182476442" w:history="1">
        <w:r w:rsidR="00B1286B" w:rsidRPr="00485EE7">
          <w:rPr>
            <w:rStyle w:val="affffffe"/>
            <w:noProof/>
            <w14:scene3d>
              <w14:camera w14:prst="orthographicFront"/>
              <w14:lightRig w14:rig="threePt" w14:dir="t">
                <w14:rot w14:lat="0" w14:lon="0" w14:rev="0"/>
              </w14:lightRig>
            </w14:scene3d>
          </w:rPr>
          <w:t>14.6</w:t>
        </w:r>
        <w:r w:rsidR="00B1286B" w:rsidRPr="00485EE7">
          <w:rPr>
            <w:rStyle w:val="affffffe"/>
            <w:noProof/>
          </w:rPr>
          <w:t xml:space="preserve"> 高架车站桥梁结构</w:t>
        </w:r>
        <w:r w:rsidR="00B1286B">
          <w:rPr>
            <w:noProof/>
          </w:rPr>
          <w:tab/>
        </w:r>
        <w:r w:rsidR="00B1286B">
          <w:rPr>
            <w:noProof/>
          </w:rPr>
          <w:fldChar w:fldCharType="begin"/>
        </w:r>
        <w:r w:rsidR="00B1286B">
          <w:rPr>
            <w:noProof/>
          </w:rPr>
          <w:instrText xml:space="preserve"> PAGEREF _Toc182476442 \h </w:instrText>
        </w:r>
        <w:r w:rsidR="00B1286B">
          <w:rPr>
            <w:noProof/>
          </w:rPr>
        </w:r>
        <w:r w:rsidR="00B1286B">
          <w:rPr>
            <w:noProof/>
          </w:rPr>
          <w:fldChar w:fldCharType="separate"/>
        </w:r>
        <w:r w:rsidR="00620087">
          <w:rPr>
            <w:noProof/>
          </w:rPr>
          <w:t>60</w:t>
        </w:r>
        <w:r w:rsidR="00B1286B">
          <w:rPr>
            <w:noProof/>
          </w:rPr>
          <w:fldChar w:fldCharType="end"/>
        </w:r>
      </w:hyperlink>
    </w:p>
    <w:p w14:paraId="5891B359" w14:textId="2FD52A6E" w:rsidR="00B1286B" w:rsidRDefault="00CA2808">
      <w:pPr>
        <w:pStyle w:val="TOC2"/>
        <w:rPr>
          <w:rFonts w:asciiTheme="minorHAnsi" w:eastAsiaTheme="minorEastAsia" w:hAnsiTheme="minorHAnsi" w:cstheme="minorBidi"/>
          <w:noProof/>
          <w:szCs w:val="22"/>
        </w:rPr>
      </w:pPr>
      <w:hyperlink w:anchor="_Toc182476443" w:history="1">
        <w:r w:rsidR="00B1286B" w:rsidRPr="00485EE7">
          <w:rPr>
            <w:rStyle w:val="affffffe"/>
            <w:noProof/>
            <w14:scene3d>
              <w14:camera w14:prst="orthographicFront"/>
              <w14:lightRig w14:rig="threePt" w14:dir="t">
                <w14:rot w14:lat="0" w14:lon="0" w14:rev="0"/>
              </w14:lightRig>
            </w14:scene3d>
          </w:rPr>
          <w:t>14.7</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_Toc182476443 \h </w:instrText>
        </w:r>
        <w:r w:rsidR="00B1286B">
          <w:rPr>
            <w:noProof/>
          </w:rPr>
        </w:r>
        <w:r w:rsidR="00B1286B">
          <w:rPr>
            <w:noProof/>
          </w:rPr>
          <w:fldChar w:fldCharType="separate"/>
        </w:r>
        <w:r w:rsidR="00620087">
          <w:rPr>
            <w:noProof/>
          </w:rPr>
          <w:t>60</w:t>
        </w:r>
        <w:r w:rsidR="00B1286B">
          <w:rPr>
            <w:noProof/>
          </w:rPr>
          <w:fldChar w:fldCharType="end"/>
        </w:r>
      </w:hyperlink>
    </w:p>
    <w:p w14:paraId="689A537E" w14:textId="10143037" w:rsidR="00B1286B" w:rsidRDefault="00CA2808">
      <w:pPr>
        <w:pStyle w:val="TOC1"/>
        <w:tabs>
          <w:tab w:val="right" w:leader="dot" w:pos="9344"/>
        </w:tabs>
        <w:rPr>
          <w:rFonts w:asciiTheme="minorHAnsi" w:eastAsiaTheme="minorEastAsia" w:hAnsiTheme="minorHAnsi" w:cstheme="minorBidi"/>
          <w:noProof/>
          <w:szCs w:val="22"/>
        </w:rPr>
      </w:pPr>
      <w:hyperlink w:anchor="_Toc182476444" w:history="1">
        <w:r w:rsidR="00B1286B" w:rsidRPr="00485EE7">
          <w:rPr>
            <w:rStyle w:val="affffffe"/>
            <w:noProof/>
          </w:rPr>
          <w:t>15 隧道</w:t>
        </w:r>
        <w:r w:rsidR="00B1286B">
          <w:rPr>
            <w:noProof/>
          </w:rPr>
          <w:tab/>
        </w:r>
        <w:r w:rsidR="00B1286B">
          <w:rPr>
            <w:noProof/>
          </w:rPr>
          <w:fldChar w:fldCharType="begin"/>
        </w:r>
        <w:r w:rsidR="00B1286B">
          <w:rPr>
            <w:noProof/>
          </w:rPr>
          <w:instrText xml:space="preserve"> PAGEREF _Toc182476444 \h </w:instrText>
        </w:r>
        <w:r w:rsidR="00B1286B">
          <w:rPr>
            <w:noProof/>
          </w:rPr>
        </w:r>
        <w:r w:rsidR="00B1286B">
          <w:rPr>
            <w:noProof/>
          </w:rPr>
          <w:fldChar w:fldCharType="separate"/>
        </w:r>
        <w:r w:rsidR="00620087">
          <w:rPr>
            <w:noProof/>
          </w:rPr>
          <w:t>60</w:t>
        </w:r>
        <w:r w:rsidR="00B1286B">
          <w:rPr>
            <w:noProof/>
          </w:rPr>
          <w:fldChar w:fldCharType="end"/>
        </w:r>
      </w:hyperlink>
    </w:p>
    <w:p w14:paraId="0381F3C6" w14:textId="63680715" w:rsidR="00B1286B" w:rsidRDefault="00CA2808">
      <w:pPr>
        <w:pStyle w:val="TOC2"/>
        <w:rPr>
          <w:rFonts w:asciiTheme="minorHAnsi" w:eastAsiaTheme="minorEastAsia" w:hAnsiTheme="minorHAnsi" w:cstheme="minorBidi"/>
          <w:noProof/>
          <w:szCs w:val="22"/>
        </w:rPr>
      </w:pPr>
      <w:hyperlink w:anchor="_Toc182476445" w:history="1">
        <w:r w:rsidR="00B1286B" w:rsidRPr="00485EE7">
          <w:rPr>
            <w:rStyle w:val="affffffe"/>
            <w:noProof/>
            <w14:scene3d>
              <w14:camera w14:prst="orthographicFront"/>
              <w14:lightRig w14:rig="threePt" w14:dir="t">
                <w14:rot w14:lat="0" w14:lon="0" w14:rev="0"/>
              </w14:lightRig>
            </w14:scene3d>
          </w:rPr>
          <w:t>15.1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_Toc182476445 \h </w:instrText>
        </w:r>
        <w:r w:rsidR="00B1286B">
          <w:rPr>
            <w:noProof/>
          </w:rPr>
        </w:r>
        <w:r w:rsidR="00B1286B">
          <w:rPr>
            <w:noProof/>
          </w:rPr>
          <w:fldChar w:fldCharType="separate"/>
        </w:r>
        <w:r w:rsidR="00620087">
          <w:rPr>
            <w:noProof/>
          </w:rPr>
          <w:t>60</w:t>
        </w:r>
        <w:r w:rsidR="00B1286B">
          <w:rPr>
            <w:noProof/>
          </w:rPr>
          <w:fldChar w:fldCharType="end"/>
        </w:r>
      </w:hyperlink>
    </w:p>
    <w:p w14:paraId="2B71B518" w14:textId="63CBE1D0" w:rsidR="00B1286B" w:rsidRDefault="00CA2808">
      <w:pPr>
        <w:pStyle w:val="TOC2"/>
        <w:rPr>
          <w:rFonts w:asciiTheme="minorHAnsi" w:eastAsiaTheme="minorEastAsia" w:hAnsiTheme="minorHAnsi" w:cstheme="minorBidi"/>
          <w:noProof/>
          <w:szCs w:val="22"/>
        </w:rPr>
      </w:pPr>
      <w:hyperlink w:anchor="_Toc182476446" w:history="1">
        <w:r w:rsidR="00B1286B" w:rsidRPr="00485EE7">
          <w:rPr>
            <w:rStyle w:val="affffffe"/>
            <w:noProof/>
            <w14:scene3d>
              <w14:camera w14:prst="orthographicFront"/>
              <w14:lightRig w14:rig="threePt" w14:dir="t">
                <w14:rot w14:lat="0" w14:lon="0" w14:rev="0"/>
              </w14:lightRig>
            </w14:scene3d>
          </w:rPr>
          <w:t>15.2</w:t>
        </w:r>
        <w:r w:rsidR="00B1286B" w:rsidRPr="00485EE7">
          <w:rPr>
            <w:rStyle w:val="affffffe"/>
            <w:noProof/>
          </w:rPr>
          <w:t xml:space="preserve"> 隧道衬砌内轮廓</w:t>
        </w:r>
        <w:r w:rsidR="00B1286B">
          <w:rPr>
            <w:noProof/>
          </w:rPr>
          <w:tab/>
        </w:r>
        <w:r w:rsidR="00B1286B">
          <w:rPr>
            <w:noProof/>
          </w:rPr>
          <w:fldChar w:fldCharType="begin"/>
        </w:r>
        <w:r w:rsidR="00B1286B">
          <w:rPr>
            <w:noProof/>
          </w:rPr>
          <w:instrText xml:space="preserve"> PAGEREF _Toc182476446 \h </w:instrText>
        </w:r>
        <w:r w:rsidR="00B1286B">
          <w:rPr>
            <w:noProof/>
          </w:rPr>
        </w:r>
        <w:r w:rsidR="00B1286B">
          <w:rPr>
            <w:noProof/>
          </w:rPr>
          <w:fldChar w:fldCharType="separate"/>
        </w:r>
        <w:r w:rsidR="00620087">
          <w:rPr>
            <w:noProof/>
          </w:rPr>
          <w:t>60</w:t>
        </w:r>
        <w:r w:rsidR="00B1286B">
          <w:rPr>
            <w:noProof/>
          </w:rPr>
          <w:fldChar w:fldCharType="end"/>
        </w:r>
      </w:hyperlink>
    </w:p>
    <w:p w14:paraId="443D1C1B" w14:textId="46BA4508" w:rsidR="00B1286B" w:rsidRDefault="00CA2808">
      <w:pPr>
        <w:pStyle w:val="TOC2"/>
        <w:rPr>
          <w:rFonts w:asciiTheme="minorHAnsi" w:eastAsiaTheme="minorEastAsia" w:hAnsiTheme="minorHAnsi" w:cstheme="minorBidi"/>
          <w:noProof/>
          <w:szCs w:val="22"/>
        </w:rPr>
      </w:pPr>
      <w:hyperlink w:anchor="_Toc182476447" w:history="1">
        <w:r w:rsidR="00B1286B" w:rsidRPr="00485EE7">
          <w:rPr>
            <w:rStyle w:val="affffffe"/>
            <w:noProof/>
            <w14:scene3d>
              <w14:camera w14:prst="orthographicFront"/>
              <w14:lightRig w14:rig="threePt" w14:dir="t">
                <w14:rot w14:lat="0" w14:lon="0" w14:rev="0"/>
              </w14:lightRig>
            </w14:scene3d>
          </w:rPr>
          <w:t>15.3</w:t>
        </w:r>
        <w:r w:rsidR="00B1286B" w:rsidRPr="00485EE7">
          <w:rPr>
            <w:rStyle w:val="affffffe"/>
            <w:noProof/>
          </w:rPr>
          <w:t xml:space="preserve"> 设计荷载</w:t>
        </w:r>
        <w:r w:rsidR="00B1286B">
          <w:rPr>
            <w:noProof/>
          </w:rPr>
          <w:tab/>
        </w:r>
        <w:r w:rsidR="00B1286B">
          <w:rPr>
            <w:noProof/>
          </w:rPr>
          <w:fldChar w:fldCharType="begin"/>
        </w:r>
        <w:r w:rsidR="00B1286B">
          <w:rPr>
            <w:noProof/>
          </w:rPr>
          <w:instrText xml:space="preserve"> PAGEREF _Toc182476447 \h </w:instrText>
        </w:r>
        <w:r w:rsidR="00B1286B">
          <w:rPr>
            <w:noProof/>
          </w:rPr>
        </w:r>
        <w:r w:rsidR="00B1286B">
          <w:rPr>
            <w:noProof/>
          </w:rPr>
          <w:fldChar w:fldCharType="separate"/>
        </w:r>
        <w:r w:rsidR="00620087">
          <w:rPr>
            <w:noProof/>
          </w:rPr>
          <w:t>61</w:t>
        </w:r>
        <w:r w:rsidR="00B1286B">
          <w:rPr>
            <w:noProof/>
          </w:rPr>
          <w:fldChar w:fldCharType="end"/>
        </w:r>
      </w:hyperlink>
    </w:p>
    <w:p w14:paraId="776C0F19" w14:textId="0DBB745F" w:rsidR="00B1286B" w:rsidRDefault="00CA2808">
      <w:pPr>
        <w:pStyle w:val="TOC2"/>
        <w:rPr>
          <w:rFonts w:asciiTheme="minorHAnsi" w:eastAsiaTheme="minorEastAsia" w:hAnsiTheme="minorHAnsi" w:cstheme="minorBidi"/>
          <w:noProof/>
          <w:szCs w:val="22"/>
        </w:rPr>
      </w:pPr>
      <w:hyperlink w:anchor="_Toc182476448" w:history="1">
        <w:r w:rsidR="00B1286B" w:rsidRPr="00485EE7">
          <w:rPr>
            <w:rStyle w:val="affffffe"/>
            <w:noProof/>
            <w14:scene3d>
              <w14:camera w14:prst="orthographicFront"/>
              <w14:lightRig w14:rig="threePt" w14:dir="t">
                <w14:rot w14:lat="0" w14:lon="0" w14:rev="0"/>
              </w14:lightRig>
            </w14:scene3d>
          </w:rPr>
          <w:t>15.4</w:t>
        </w:r>
        <w:r w:rsidR="00B1286B" w:rsidRPr="00485EE7">
          <w:rPr>
            <w:rStyle w:val="affffffe"/>
            <w:noProof/>
          </w:rPr>
          <w:t xml:space="preserve"> 建筑材料</w:t>
        </w:r>
        <w:r w:rsidR="00B1286B">
          <w:rPr>
            <w:noProof/>
          </w:rPr>
          <w:tab/>
        </w:r>
        <w:r w:rsidR="00B1286B">
          <w:rPr>
            <w:noProof/>
          </w:rPr>
          <w:fldChar w:fldCharType="begin"/>
        </w:r>
        <w:r w:rsidR="00B1286B">
          <w:rPr>
            <w:noProof/>
          </w:rPr>
          <w:instrText xml:space="preserve"> PAGEREF _Toc182476448 \h </w:instrText>
        </w:r>
        <w:r w:rsidR="00B1286B">
          <w:rPr>
            <w:noProof/>
          </w:rPr>
        </w:r>
        <w:r w:rsidR="00B1286B">
          <w:rPr>
            <w:noProof/>
          </w:rPr>
          <w:fldChar w:fldCharType="separate"/>
        </w:r>
        <w:r w:rsidR="00620087">
          <w:rPr>
            <w:noProof/>
          </w:rPr>
          <w:t>62</w:t>
        </w:r>
        <w:r w:rsidR="00B1286B">
          <w:rPr>
            <w:noProof/>
          </w:rPr>
          <w:fldChar w:fldCharType="end"/>
        </w:r>
      </w:hyperlink>
    </w:p>
    <w:p w14:paraId="078C2361" w14:textId="2DCE90FF" w:rsidR="00B1286B" w:rsidRDefault="00CA2808">
      <w:pPr>
        <w:pStyle w:val="TOC2"/>
        <w:rPr>
          <w:rFonts w:asciiTheme="minorHAnsi" w:eastAsiaTheme="minorEastAsia" w:hAnsiTheme="minorHAnsi" w:cstheme="minorBidi"/>
          <w:noProof/>
          <w:szCs w:val="22"/>
        </w:rPr>
      </w:pPr>
      <w:hyperlink w:anchor="_Toc182476449" w:history="1">
        <w:r w:rsidR="00B1286B" w:rsidRPr="00485EE7">
          <w:rPr>
            <w:rStyle w:val="affffffe"/>
            <w:noProof/>
            <w14:scene3d>
              <w14:camera w14:prst="orthographicFront"/>
              <w14:lightRig w14:rig="threePt" w14:dir="t">
                <w14:rot w14:lat="0" w14:lon="0" w14:rev="0"/>
              </w14:lightRig>
            </w14:scene3d>
          </w:rPr>
          <w:t>15.5</w:t>
        </w:r>
        <w:r w:rsidR="00B1286B" w:rsidRPr="00485EE7">
          <w:rPr>
            <w:rStyle w:val="affffffe"/>
            <w:noProof/>
          </w:rPr>
          <w:t xml:space="preserve"> 隧道结构设计</w:t>
        </w:r>
        <w:r w:rsidR="00B1286B">
          <w:rPr>
            <w:noProof/>
          </w:rPr>
          <w:tab/>
        </w:r>
        <w:r w:rsidR="00B1286B">
          <w:rPr>
            <w:noProof/>
          </w:rPr>
          <w:fldChar w:fldCharType="begin"/>
        </w:r>
        <w:r w:rsidR="00B1286B">
          <w:rPr>
            <w:noProof/>
          </w:rPr>
          <w:instrText xml:space="preserve"> PAGEREF _Toc182476449 \h </w:instrText>
        </w:r>
        <w:r w:rsidR="00B1286B">
          <w:rPr>
            <w:noProof/>
          </w:rPr>
        </w:r>
        <w:r w:rsidR="00B1286B">
          <w:rPr>
            <w:noProof/>
          </w:rPr>
          <w:fldChar w:fldCharType="separate"/>
        </w:r>
        <w:r w:rsidR="00620087">
          <w:rPr>
            <w:noProof/>
          </w:rPr>
          <w:t>63</w:t>
        </w:r>
        <w:r w:rsidR="00B1286B">
          <w:rPr>
            <w:noProof/>
          </w:rPr>
          <w:fldChar w:fldCharType="end"/>
        </w:r>
      </w:hyperlink>
    </w:p>
    <w:p w14:paraId="2635E5EE" w14:textId="74FEA2DB" w:rsidR="00B1286B" w:rsidRDefault="00CA2808">
      <w:pPr>
        <w:pStyle w:val="TOC2"/>
        <w:rPr>
          <w:rFonts w:asciiTheme="minorHAnsi" w:eastAsiaTheme="minorEastAsia" w:hAnsiTheme="minorHAnsi" w:cstheme="minorBidi"/>
          <w:noProof/>
          <w:szCs w:val="22"/>
        </w:rPr>
      </w:pPr>
      <w:hyperlink w:anchor="_Toc182476450" w:history="1">
        <w:r w:rsidR="00B1286B" w:rsidRPr="00485EE7">
          <w:rPr>
            <w:rStyle w:val="affffffe"/>
            <w:noProof/>
            <w14:scene3d>
              <w14:camera w14:prst="orthographicFront"/>
              <w14:lightRig w14:rig="threePt" w14:dir="t">
                <w14:rot w14:lat="0" w14:lon="0" w14:rev="0"/>
              </w14:lightRig>
            </w14:scene3d>
          </w:rPr>
          <w:t>15.6</w:t>
        </w:r>
        <w:r w:rsidR="00B1286B" w:rsidRPr="00485EE7">
          <w:rPr>
            <w:rStyle w:val="affffffe"/>
            <w:noProof/>
          </w:rPr>
          <w:t xml:space="preserve"> 抗震设计</w:t>
        </w:r>
        <w:r w:rsidR="00B1286B">
          <w:rPr>
            <w:noProof/>
          </w:rPr>
          <w:tab/>
        </w:r>
        <w:r w:rsidR="00B1286B">
          <w:rPr>
            <w:noProof/>
          </w:rPr>
          <w:fldChar w:fldCharType="begin"/>
        </w:r>
        <w:r w:rsidR="00B1286B">
          <w:rPr>
            <w:noProof/>
          </w:rPr>
          <w:instrText xml:space="preserve"> PAGEREF _Toc182476450 \h </w:instrText>
        </w:r>
        <w:r w:rsidR="00B1286B">
          <w:rPr>
            <w:noProof/>
          </w:rPr>
        </w:r>
        <w:r w:rsidR="00B1286B">
          <w:rPr>
            <w:noProof/>
          </w:rPr>
          <w:fldChar w:fldCharType="separate"/>
        </w:r>
        <w:r w:rsidR="00620087">
          <w:rPr>
            <w:noProof/>
          </w:rPr>
          <w:t>64</w:t>
        </w:r>
        <w:r w:rsidR="00B1286B">
          <w:rPr>
            <w:noProof/>
          </w:rPr>
          <w:fldChar w:fldCharType="end"/>
        </w:r>
      </w:hyperlink>
    </w:p>
    <w:p w14:paraId="7CC29CF2" w14:textId="7EFA6DFB" w:rsidR="00B1286B" w:rsidRDefault="00CA2808">
      <w:pPr>
        <w:pStyle w:val="TOC2"/>
        <w:rPr>
          <w:rFonts w:asciiTheme="minorHAnsi" w:eastAsiaTheme="minorEastAsia" w:hAnsiTheme="minorHAnsi" w:cstheme="minorBidi"/>
          <w:noProof/>
          <w:szCs w:val="22"/>
        </w:rPr>
      </w:pPr>
      <w:hyperlink w:anchor="_Toc182476451" w:history="1">
        <w:r w:rsidR="00B1286B" w:rsidRPr="00485EE7">
          <w:rPr>
            <w:rStyle w:val="affffffe"/>
            <w:noProof/>
            <w14:scene3d>
              <w14:camera w14:prst="orthographicFront"/>
              <w14:lightRig w14:rig="threePt" w14:dir="t">
                <w14:rot w14:lat="0" w14:lon="0" w14:rev="0"/>
              </w14:lightRig>
            </w14:scene3d>
          </w:rPr>
          <w:t>15.7</w:t>
        </w:r>
        <w:r w:rsidR="00B1286B" w:rsidRPr="00485EE7">
          <w:rPr>
            <w:rStyle w:val="affffffe"/>
            <w:noProof/>
          </w:rPr>
          <w:t xml:space="preserve"> 隧道内附属构筑物</w:t>
        </w:r>
        <w:r w:rsidR="00B1286B">
          <w:rPr>
            <w:noProof/>
          </w:rPr>
          <w:tab/>
        </w:r>
        <w:r w:rsidR="00B1286B">
          <w:rPr>
            <w:noProof/>
          </w:rPr>
          <w:fldChar w:fldCharType="begin"/>
        </w:r>
        <w:r w:rsidR="00B1286B">
          <w:rPr>
            <w:noProof/>
          </w:rPr>
          <w:instrText xml:space="preserve"> PAGEREF _Toc182476451 \h </w:instrText>
        </w:r>
        <w:r w:rsidR="00B1286B">
          <w:rPr>
            <w:noProof/>
          </w:rPr>
        </w:r>
        <w:r w:rsidR="00B1286B">
          <w:rPr>
            <w:noProof/>
          </w:rPr>
          <w:fldChar w:fldCharType="separate"/>
        </w:r>
        <w:r w:rsidR="00620087">
          <w:rPr>
            <w:noProof/>
          </w:rPr>
          <w:t>65</w:t>
        </w:r>
        <w:r w:rsidR="00B1286B">
          <w:rPr>
            <w:noProof/>
          </w:rPr>
          <w:fldChar w:fldCharType="end"/>
        </w:r>
      </w:hyperlink>
    </w:p>
    <w:p w14:paraId="510BE6AD" w14:textId="66DFB167" w:rsidR="00B1286B" w:rsidRDefault="00CA2808">
      <w:pPr>
        <w:pStyle w:val="TOC2"/>
        <w:rPr>
          <w:rFonts w:asciiTheme="minorHAnsi" w:eastAsiaTheme="minorEastAsia" w:hAnsiTheme="minorHAnsi" w:cstheme="minorBidi"/>
          <w:noProof/>
          <w:szCs w:val="22"/>
        </w:rPr>
      </w:pPr>
      <w:hyperlink w:anchor="_Toc182476452" w:history="1">
        <w:r w:rsidR="00B1286B" w:rsidRPr="00485EE7">
          <w:rPr>
            <w:rStyle w:val="affffffe"/>
            <w:noProof/>
            <w14:scene3d>
              <w14:camera w14:prst="orthographicFront"/>
              <w14:lightRig w14:rig="threePt" w14:dir="t">
                <w14:rot w14:lat="0" w14:lon="0" w14:rev="0"/>
              </w14:lightRig>
            </w14:scene3d>
          </w:rPr>
          <w:t>15.8</w:t>
        </w:r>
        <w:r w:rsidR="00B1286B" w:rsidRPr="00485EE7">
          <w:rPr>
            <w:rStyle w:val="affffffe"/>
            <w:noProof/>
          </w:rPr>
          <w:t xml:space="preserve"> 隧道洞口</w:t>
        </w:r>
        <w:r w:rsidR="00B1286B">
          <w:rPr>
            <w:noProof/>
          </w:rPr>
          <w:tab/>
        </w:r>
        <w:r w:rsidR="00B1286B">
          <w:rPr>
            <w:noProof/>
          </w:rPr>
          <w:fldChar w:fldCharType="begin"/>
        </w:r>
        <w:r w:rsidR="00B1286B">
          <w:rPr>
            <w:noProof/>
          </w:rPr>
          <w:instrText xml:space="preserve"> PAGEREF _Toc182476452 \h </w:instrText>
        </w:r>
        <w:r w:rsidR="00B1286B">
          <w:rPr>
            <w:noProof/>
          </w:rPr>
        </w:r>
        <w:r w:rsidR="00B1286B">
          <w:rPr>
            <w:noProof/>
          </w:rPr>
          <w:fldChar w:fldCharType="separate"/>
        </w:r>
        <w:r w:rsidR="00620087">
          <w:rPr>
            <w:noProof/>
          </w:rPr>
          <w:t>65</w:t>
        </w:r>
        <w:r w:rsidR="00B1286B">
          <w:rPr>
            <w:noProof/>
          </w:rPr>
          <w:fldChar w:fldCharType="end"/>
        </w:r>
      </w:hyperlink>
    </w:p>
    <w:p w14:paraId="509D50F1" w14:textId="25E62115" w:rsidR="00B1286B" w:rsidRDefault="00CA2808">
      <w:pPr>
        <w:pStyle w:val="TOC2"/>
        <w:rPr>
          <w:rFonts w:asciiTheme="minorHAnsi" w:eastAsiaTheme="minorEastAsia" w:hAnsiTheme="minorHAnsi" w:cstheme="minorBidi"/>
          <w:noProof/>
          <w:szCs w:val="22"/>
        </w:rPr>
      </w:pPr>
      <w:hyperlink w:anchor="_Toc182476453" w:history="1">
        <w:r w:rsidR="00B1286B" w:rsidRPr="00485EE7">
          <w:rPr>
            <w:rStyle w:val="affffffe"/>
            <w:noProof/>
            <w14:scene3d>
              <w14:camera w14:prst="orthographicFront"/>
              <w14:lightRig w14:rig="threePt" w14:dir="t">
                <w14:rot w14:lat="0" w14:lon="0" w14:rev="0"/>
              </w14:lightRig>
            </w14:scene3d>
          </w:rPr>
          <w:t>15.9</w:t>
        </w:r>
        <w:r w:rsidR="00B1286B" w:rsidRPr="00485EE7">
          <w:rPr>
            <w:rStyle w:val="affffffe"/>
            <w:noProof/>
          </w:rPr>
          <w:t xml:space="preserve"> 隧道防排水</w:t>
        </w:r>
        <w:r w:rsidR="00B1286B">
          <w:rPr>
            <w:noProof/>
          </w:rPr>
          <w:tab/>
        </w:r>
        <w:r w:rsidR="00B1286B">
          <w:rPr>
            <w:noProof/>
          </w:rPr>
          <w:fldChar w:fldCharType="begin"/>
        </w:r>
        <w:r w:rsidR="00B1286B">
          <w:rPr>
            <w:noProof/>
          </w:rPr>
          <w:instrText xml:space="preserve"> PAGEREF _Toc182476453 \h </w:instrText>
        </w:r>
        <w:r w:rsidR="00B1286B">
          <w:rPr>
            <w:noProof/>
          </w:rPr>
        </w:r>
        <w:r w:rsidR="00B1286B">
          <w:rPr>
            <w:noProof/>
          </w:rPr>
          <w:fldChar w:fldCharType="separate"/>
        </w:r>
        <w:r w:rsidR="00620087">
          <w:rPr>
            <w:noProof/>
          </w:rPr>
          <w:t>65</w:t>
        </w:r>
        <w:r w:rsidR="00B1286B">
          <w:rPr>
            <w:noProof/>
          </w:rPr>
          <w:fldChar w:fldCharType="end"/>
        </w:r>
      </w:hyperlink>
    </w:p>
    <w:p w14:paraId="3E36FC13" w14:textId="16C13A2C" w:rsidR="00B1286B" w:rsidRDefault="00CA2808">
      <w:pPr>
        <w:pStyle w:val="TOC2"/>
        <w:rPr>
          <w:rFonts w:asciiTheme="minorHAnsi" w:eastAsiaTheme="minorEastAsia" w:hAnsiTheme="minorHAnsi" w:cstheme="minorBidi"/>
          <w:noProof/>
          <w:szCs w:val="22"/>
        </w:rPr>
      </w:pPr>
      <w:hyperlink w:anchor="_Toc182476454" w:history="1">
        <w:r w:rsidR="00B1286B" w:rsidRPr="00485EE7">
          <w:rPr>
            <w:rStyle w:val="affffffe"/>
            <w:noProof/>
            <w14:scene3d>
              <w14:camera w14:prst="orthographicFront"/>
              <w14:lightRig w14:rig="threePt" w14:dir="t">
                <w14:rot w14:lat="0" w14:lon="0" w14:rev="0"/>
              </w14:lightRig>
            </w14:scene3d>
          </w:rPr>
          <w:t>15.10</w:t>
        </w:r>
        <w:r w:rsidR="00B1286B" w:rsidRPr="00485EE7">
          <w:rPr>
            <w:rStyle w:val="affffffe"/>
            <w:noProof/>
          </w:rPr>
          <w:t xml:space="preserve"> 监控与量测</w:t>
        </w:r>
        <w:r w:rsidR="00B1286B">
          <w:rPr>
            <w:noProof/>
          </w:rPr>
          <w:tab/>
        </w:r>
        <w:r w:rsidR="00B1286B">
          <w:rPr>
            <w:noProof/>
          </w:rPr>
          <w:fldChar w:fldCharType="begin"/>
        </w:r>
        <w:r w:rsidR="00B1286B">
          <w:rPr>
            <w:noProof/>
          </w:rPr>
          <w:instrText xml:space="preserve"> PAGEREF _Toc182476454 \h </w:instrText>
        </w:r>
        <w:r w:rsidR="00B1286B">
          <w:rPr>
            <w:noProof/>
          </w:rPr>
        </w:r>
        <w:r w:rsidR="00B1286B">
          <w:rPr>
            <w:noProof/>
          </w:rPr>
          <w:fldChar w:fldCharType="separate"/>
        </w:r>
        <w:r w:rsidR="00620087">
          <w:rPr>
            <w:noProof/>
          </w:rPr>
          <w:t>66</w:t>
        </w:r>
        <w:r w:rsidR="00B1286B">
          <w:rPr>
            <w:noProof/>
          </w:rPr>
          <w:fldChar w:fldCharType="end"/>
        </w:r>
      </w:hyperlink>
    </w:p>
    <w:p w14:paraId="5E714C87" w14:textId="1E0CB887" w:rsidR="00B1286B" w:rsidRDefault="00CA2808">
      <w:pPr>
        <w:pStyle w:val="TOC2"/>
        <w:rPr>
          <w:rFonts w:asciiTheme="minorHAnsi" w:eastAsiaTheme="minorEastAsia" w:hAnsiTheme="minorHAnsi" w:cstheme="minorBidi"/>
          <w:noProof/>
          <w:szCs w:val="22"/>
        </w:rPr>
      </w:pPr>
      <w:hyperlink w:anchor="_Toc182476455" w:history="1">
        <w:r w:rsidR="00B1286B" w:rsidRPr="00485EE7">
          <w:rPr>
            <w:rStyle w:val="affffffe"/>
            <w:noProof/>
            <w14:scene3d>
              <w14:camera w14:prst="orthographicFront"/>
              <w14:lightRig w14:rig="threePt" w14:dir="t">
                <w14:rot w14:lat="0" w14:lon="0" w14:rev="0"/>
              </w14:lightRig>
            </w14:scene3d>
          </w:rPr>
          <w:t>15.11</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_Toc182476455 \h </w:instrText>
        </w:r>
        <w:r w:rsidR="00B1286B">
          <w:rPr>
            <w:noProof/>
          </w:rPr>
        </w:r>
        <w:r w:rsidR="00B1286B">
          <w:rPr>
            <w:noProof/>
          </w:rPr>
          <w:fldChar w:fldCharType="separate"/>
        </w:r>
        <w:r w:rsidR="00620087">
          <w:rPr>
            <w:noProof/>
          </w:rPr>
          <w:t>66</w:t>
        </w:r>
        <w:r w:rsidR="00B1286B">
          <w:rPr>
            <w:noProof/>
          </w:rPr>
          <w:fldChar w:fldCharType="end"/>
        </w:r>
      </w:hyperlink>
    </w:p>
    <w:p w14:paraId="3B91B8E6" w14:textId="1ED4FBC1" w:rsidR="00B1286B" w:rsidRDefault="00CA2808">
      <w:pPr>
        <w:pStyle w:val="TOC1"/>
        <w:tabs>
          <w:tab w:val="right" w:leader="dot" w:pos="9344"/>
        </w:tabs>
        <w:rPr>
          <w:rFonts w:asciiTheme="minorHAnsi" w:eastAsiaTheme="minorEastAsia" w:hAnsiTheme="minorHAnsi" w:cstheme="minorBidi"/>
          <w:noProof/>
          <w:szCs w:val="22"/>
        </w:rPr>
      </w:pPr>
      <w:hyperlink w:anchor="_Toc182476456" w:history="1">
        <w:r w:rsidR="00B1286B" w:rsidRPr="00485EE7">
          <w:rPr>
            <w:rStyle w:val="affffffe"/>
            <w:noProof/>
          </w:rPr>
          <w:t>16 车站建筑</w:t>
        </w:r>
        <w:r w:rsidR="00B1286B">
          <w:rPr>
            <w:noProof/>
          </w:rPr>
          <w:tab/>
        </w:r>
        <w:r w:rsidR="00B1286B">
          <w:rPr>
            <w:noProof/>
          </w:rPr>
          <w:fldChar w:fldCharType="begin"/>
        </w:r>
        <w:r w:rsidR="00B1286B">
          <w:rPr>
            <w:noProof/>
          </w:rPr>
          <w:instrText xml:space="preserve"> PAGEREF _Toc182476456 \h </w:instrText>
        </w:r>
        <w:r w:rsidR="00B1286B">
          <w:rPr>
            <w:noProof/>
          </w:rPr>
        </w:r>
        <w:r w:rsidR="00B1286B">
          <w:rPr>
            <w:noProof/>
          </w:rPr>
          <w:fldChar w:fldCharType="separate"/>
        </w:r>
        <w:r w:rsidR="00620087">
          <w:rPr>
            <w:noProof/>
          </w:rPr>
          <w:t>66</w:t>
        </w:r>
        <w:r w:rsidR="00B1286B">
          <w:rPr>
            <w:noProof/>
          </w:rPr>
          <w:fldChar w:fldCharType="end"/>
        </w:r>
      </w:hyperlink>
    </w:p>
    <w:p w14:paraId="606F31EF" w14:textId="633B30C9" w:rsidR="00B1286B" w:rsidRDefault="00CA2808">
      <w:pPr>
        <w:pStyle w:val="TOC2"/>
        <w:rPr>
          <w:rFonts w:asciiTheme="minorHAnsi" w:eastAsiaTheme="minorEastAsia" w:hAnsiTheme="minorHAnsi" w:cstheme="minorBidi"/>
          <w:noProof/>
          <w:szCs w:val="22"/>
        </w:rPr>
      </w:pPr>
      <w:hyperlink w:anchor="_Toc182476457" w:history="1">
        <w:r w:rsidR="00B1286B" w:rsidRPr="00485EE7">
          <w:rPr>
            <w:rStyle w:val="affffffe"/>
            <w:noProof/>
            <w14:scene3d>
              <w14:camera w14:prst="orthographicFront"/>
              <w14:lightRig w14:rig="threePt" w14:dir="t">
                <w14:rot w14:lat="0" w14:lon="0" w14:rev="0"/>
              </w14:lightRig>
            </w14:scene3d>
          </w:rPr>
          <w:t>16.1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_Toc182476457 \h </w:instrText>
        </w:r>
        <w:r w:rsidR="00B1286B">
          <w:rPr>
            <w:noProof/>
          </w:rPr>
        </w:r>
        <w:r w:rsidR="00B1286B">
          <w:rPr>
            <w:noProof/>
          </w:rPr>
          <w:fldChar w:fldCharType="separate"/>
        </w:r>
        <w:r w:rsidR="00620087">
          <w:rPr>
            <w:noProof/>
          </w:rPr>
          <w:t>66</w:t>
        </w:r>
        <w:r w:rsidR="00B1286B">
          <w:rPr>
            <w:noProof/>
          </w:rPr>
          <w:fldChar w:fldCharType="end"/>
        </w:r>
      </w:hyperlink>
    </w:p>
    <w:p w14:paraId="24DB8A9F" w14:textId="4A7C23D0" w:rsidR="00B1286B" w:rsidRDefault="00CA2808">
      <w:pPr>
        <w:pStyle w:val="TOC2"/>
        <w:rPr>
          <w:rFonts w:asciiTheme="minorHAnsi" w:eastAsiaTheme="minorEastAsia" w:hAnsiTheme="minorHAnsi" w:cstheme="minorBidi"/>
          <w:noProof/>
          <w:szCs w:val="22"/>
        </w:rPr>
      </w:pPr>
      <w:hyperlink w:anchor="_Toc182476458" w:history="1">
        <w:r w:rsidR="00B1286B" w:rsidRPr="00485EE7">
          <w:rPr>
            <w:rStyle w:val="affffffe"/>
            <w:noProof/>
            <w14:scene3d>
              <w14:camera w14:prst="orthographicFront"/>
              <w14:lightRig w14:rig="threePt" w14:dir="t">
                <w14:rot w14:lat="0" w14:lon="0" w14:rev="0"/>
              </w14:lightRig>
            </w14:scene3d>
          </w:rPr>
          <w:t>16.2</w:t>
        </w:r>
        <w:r w:rsidR="00B1286B" w:rsidRPr="00485EE7">
          <w:rPr>
            <w:rStyle w:val="affffffe"/>
            <w:noProof/>
          </w:rPr>
          <w:t xml:space="preserve"> 车站分类分级</w:t>
        </w:r>
        <w:r w:rsidR="00B1286B">
          <w:rPr>
            <w:noProof/>
          </w:rPr>
          <w:tab/>
        </w:r>
        <w:r w:rsidR="00B1286B">
          <w:rPr>
            <w:noProof/>
          </w:rPr>
          <w:fldChar w:fldCharType="begin"/>
        </w:r>
        <w:r w:rsidR="00B1286B">
          <w:rPr>
            <w:noProof/>
          </w:rPr>
          <w:instrText xml:space="preserve"> PAGEREF _Toc182476458 \h </w:instrText>
        </w:r>
        <w:r w:rsidR="00B1286B">
          <w:rPr>
            <w:noProof/>
          </w:rPr>
        </w:r>
        <w:r w:rsidR="00B1286B">
          <w:rPr>
            <w:noProof/>
          </w:rPr>
          <w:fldChar w:fldCharType="separate"/>
        </w:r>
        <w:r w:rsidR="00620087">
          <w:rPr>
            <w:noProof/>
          </w:rPr>
          <w:t>67</w:t>
        </w:r>
        <w:r w:rsidR="00B1286B">
          <w:rPr>
            <w:noProof/>
          </w:rPr>
          <w:fldChar w:fldCharType="end"/>
        </w:r>
      </w:hyperlink>
    </w:p>
    <w:p w14:paraId="1561C5B7" w14:textId="40ED0FAD" w:rsidR="00B1286B" w:rsidRDefault="00CA2808">
      <w:pPr>
        <w:pStyle w:val="TOC2"/>
        <w:rPr>
          <w:rFonts w:asciiTheme="minorHAnsi" w:eastAsiaTheme="minorEastAsia" w:hAnsiTheme="minorHAnsi" w:cstheme="minorBidi"/>
          <w:noProof/>
          <w:szCs w:val="22"/>
        </w:rPr>
      </w:pPr>
      <w:hyperlink w:anchor="_Toc182476459" w:history="1">
        <w:r w:rsidR="00B1286B" w:rsidRPr="00485EE7">
          <w:rPr>
            <w:rStyle w:val="affffffe"/>
            <w:noProof/>
            <w14:scene3d>
              <w14:camera w14:prst="orthographicFront"/>
              <w14:lightRig w14:rig="threePt" w14:dir="t">
                <w14:rot w14:lat="0" w14:lon="0" w14:rev="0"/>
              </w14:lightRig>
            </w14:scene3d>
          </w:rPr>
          <w:t>16.3</w:t>
        </w:r>
        <w:r w:rsidR="00B1286B" w:rsidRPr="00485EE7">
          <w:rPr>
            <w:rStyle w:val="affffffe"/>
            <w:noProof/>
          </w:rPr>
          <w:t xml:space="preserve"> 主要设计标准</w:t>
        </w:r>
        <w:r w:rsidR="00B1286B">
          <w:rPr>
            <w:noProof/>
          </w:rPr>
          <w:tab/>
        </w:r>
        <w:r w:rsidR="00B1286B">
          <w:rPr>
            <w:noProof/>
          </w:rPr>
          <w:fldChar w:fldCharType="begin"/>
        </w:r>
        <w:r w:rsidR="00B1286B">
          <w:rPr>
            <w:noProof/>
          </w:rPr>
          <w:instrText xml:space="preserve"> PAGEREF _Toc182476459 \h </w:instrText>
        </w:r>
        <w:r w:rsidR="00B1286B">
          <w:rPr>
            <w:noProof/>
          </w:rPr>
        </w:r>
        <w:r w:rsidR="00B1286B">
          <w:rPr>
            <w:noProof/>
          </w:rPr>
          <w:fldChar w:fldCharType="separate"/>
        </w:r>
        <w:r w:rsidR="00620087">
          <w:rPr>
            <w:noProof/>
          </w:rPr>
          <w:t>68</w:t>
        </w:r>
        <w:r w:rsidR="00B1286B">
          <w:rPr>
            <w:noProof/>
          </w:rPr>
          <w:fldChar w:fldCharType="end"/>
        </w:r>
      </w:hyperlink>
    </w:p>
    <w:p w14:paraId="62EAA9B0" w14:textId="699E1D8E" w:rsidR="00B1286B" w:rsidRDefault="00CA2808">
      <w:pPr>
        <w:pStyle w:val="TOC2"/>
        <w:rPr>
          <w:rFonts w:asciiTheme="minorHAnsi" w:eastAsiaTheme="minorEastAsia" w:hAnsiTheme="minorHAnsi" w:cstheme="minorBidi"/>
          <w:noProof/>
          <w:szCs w:val="22"/>
        </w:rPr>
      </w:pPr>
      <w:hyperlink w:anchor="_Toc182476460" w:history="1">
        <w:r w:rsidR="00B1286B" w:rsidRPr="00485EE7">
          <w:rPr>
            <w:rStyle w:val="affffffe"/>
            <w:noProof/>
            <w14:scene3d>
              <w14:camera w14:prst="orthographicFront"/>
              <w14:lightRig w14:rig="threePt" w14:dir="t">
                <w14:rot w14:lat="0" w14:lon="0" w14:rev="0"/>
              </w14:lightRig>
            </w14:scene3d>
          </w:rPr>
          <w:t>16.4</w:t>
        </w:r>
        <w:r w:rsidR="00B1286B" w:rsidRPr="00485EE7">
          <w:rPr>
            <w:rStyle w:val="affffffe"/>
            <w:noProof/>
          </w:rPr>
          <w:t xml:space="preserve"> 总体布局</w:t>
        </w:r>
        <w:r w:rsidR="00B1286B">
          <w:rPr>
            <w:noProof/>
          </w:rPr>
          <w:tab/>
        </w:r>
        <w:r w:rsidR="00B1286B">
          <w:rPr>
            <w:noProof/>
          </w:rPr>
          <w:fldChar w:fldCharType="begin"/>
        </w:r>
        <w:r w:rsidR="00B1286B">
          <w:rPr>
            <w:noProof/>
          </w:rPr>
          <w:instrText xml:space="preserve"> PAGEREF _Toc182476460 \h </w:instrText>
        </w:r>
        <w:r w:rsidR="00B1286B">
          <w:rPr>
            <w:noProof/>
          </w:rPr>
        </w:r>
        <w:r w:rsidR="00B1286B">
          <w:rPr>
            <w:noProof/>
          </w:rPr>
          <w:fldChar w:fldCharType="separate"/>
        </w:r>
        <w:r w:rsidR="00620087">
          <w:rPr>
            <w:noProof/>
          </w:rPr>
          <w:t>69</w:t>
        </w:r>
        <w:r w:rsidR="00B1286B">
          <w:rPr>
            <w:noProof/>
          </w:rPr>
          <w:fldChar w:fldCharType="end"/>
        </w:r>
      </w:hyperlink>
    </w:p>
    <w:p w14:paraId="5F7CA538" w14:textId="55A8CA3B" w:rsidR="00B1286B" w:rsidRDefault="00CA2808">
      <w:pPr>
        <w:pStyle w:val="TOC2"/>
        <w:rPr>
          <w:rFonts w:asciiTheme="minorHAnsi" w:eastAsiaTheme="minorEastAsia" w:hAnsiTheme="minorHAnsi" w:cstheme="minorBidi"/>
          <w:noProof/>
          <w:szCs w:val="22"/>
        </w:rPr>
      </w:pPr>
      <w:hyperlink w:anchor="_Toc182476461" w:history="1">
        <w:r w:rsidR="00B1286B" w:rsidRPr="00485EE7">
          <w:rPr>
            <w:rStyle w:val="affffffe"/>
            <w:noProof/>
            <w14:scene3d>
              <w14:camera w14:prst="orthographicFront"/>
              <w14:lightRig w14:rig="threePt" w14:dir="t">
                <w14:rot w14:lat="0" w14:lon="0" w14:rev="0"/>
              </w14:lightRig>
            </w14:scene3d>
          </w:rPr>
          <w:t>16.5</w:t>
        </w:r>
        <w:r w:rsidR="00B1286B" w:rsidRPr="00485EE7">
          <w:rPr>
            <w:rStyle w:val="affffffe"/>
            <w:noProof/>
          </w:rPr>
          <w:t xml:space="preserve"> 车站平面布局</w:t>
        </w:r>
        <w:r w:rsidR="00B1286B">
          <w:rPr>
            <w:noProof/>
          </w:rPr>
          <w:tab/>
        </w:r>
        <w:r w:rsidR="00B1286B">
          <w:rPr>
            <w:noProof/>
          </w:rPr>
          <w:fldChar w:fldCharType="begin"/>
        </w:r>
        <w:r w:rsidR="00B1286B">
          <w:rPr>
            <w:noProof/>
          </w:rPr>
          <w:instrText xml:space="preserve"> PAGEREF _Toc182476461 \h </w:instrText>
        </w:r>
        <w:r w:rsidR="00B1286B">
          <w:rPr>
            <w:noProof/>
          </w:rPr>
        </w:r>
        <w:r w:rsidR="00B1286B">
          <w:rPr>
            <w:noProof/>
          </w:rPr>
          <w:fldChar w:fldCharType="separate"/>
        </w:r>
        <w:r w:rsidR="00620087">
          <w:rPr>
            <w:noProof/>
          </w:rPr>
          <w:t>70</w:t>
        </w:r>
        <w:r w:rsidR="00B1286B">
          <w:rPr>
            <w:noProof/>
          </w:rPr>
          <w:fldChar w:fldCharType="end"/>
        </w:r>
      </w:hyperlink>
    </w:p>
    <w:p w14:paraId="4BDB3ED8" w14:textId="401DA822" w:rsidR="00B1286B" w:rsidRDefault="00CA2808">
      <w:pPr>
        <w:pStyle w:val="TOC2"/>
        <w:rPr>
          <w:rFonts w:asciiTheme="minorHAnsi" w:eastAsiaTheme="minorEastAsia" w:hAnsiTheme="minorHAnsi" w:cstheme="minorBidi"/>
          <w:noProof/>
          <w:szCs w:val="22"/>
        </w:rPr>
      </w:pPr>
      <w:hyperlink w:anchor="_Toc182476462" w:history="1">
        <w:r w:rsidR="00B1286B" w:rsidRPr="00485EE7">
          <w:rPr>
            <w:rStyle w:val="affffffe"/>
            <w:noProof/>
            <w14:scene3d>
              <w14:camera w14:prst="orthographicFront"/>
              <w14:lightRig w14:rig="threePt" w14:dir="t">
                <w14:rot w14:lat="0" w14:lon="0" w14:rev="0"/>
              </w14:lightRig>
            </w14:scene3d>
          </w:rPr>
          <w:t>16.6</w:t>
        </w:r>
        <w:r w:rsidR="00B1286B" w:rsidRPr="00485EE7">
          <w:rPr>
            <w:rStyle w:val="affffffe"/>
            <w:noProof/>
          </w:rPr>
          <w:t xml:space="preserve"> 车站垂直交通设施</w:t>
        </w:r>
        <w:r w:rsidR="00B1286B">
          <w:rPr>
            <w:noProof/>
          </w:rPr>
          <w:tab/>
        </w:r>
        <w:r w:rsidR="00B1286B">
          <w:rPr>
            <w:noProof/>
          </w:rPr>
          <w:fldChar w:fldCharType="begin"/>
        </w:r>
        <w:r w:rsidR="00B1286B">
          <w:rPr>
            <w:noProof/>
          </w:rPr>
          <w:instrText xml:space="preserve"> PAGEREF _Toc182476462 \h </w:instrText>
        </w:r>
        <w:r w:rsidR="00B1286B">
          <w:rPr>
            <w:noProof/>
          </w:rPr>
        </w:r>
        <w:r w:rsidR="00B1286B">
          <w:rPr>
            <w:noProof/>
          </w:rPr>
          <w:fldChar w:fldCharType="separate"/>
        </w:r>
        <w:r w:rsidR="00620087">
          <w:rPr>
            <w:noProof/>
          </w:rPr>
          <w:t>70</w:t>
        </w:r>
        <w:r w:rsidR="00B1286B">
          <w:rPr>
            <w:noProof/>
          </w:rPr>
          <w:fldChar w:fldCharType="end"/>
        </w:r>
      </w:hyperlink>
    </w:p>
    <w:p w14:paraId="3506B4B8" w14:textId="310F21DE" w:rsidR="00B1286B" w:rsidRDefault="00CA2808">
      <w:pPr>
        <w:pStyle w:val="TOC2"/>
        <w:rPr>
          <w:rFonts w:asciiTheme="minorHAnsi" w:eastAsiaTheme="minorEastAsia" w:hAnsiTheme="minorHAnsi" w:cstheme="minorBidi"/>
          <w:noProof/>
          <w:szCs w:val="22"/>
        </w:rPr>
      </w:pPr>
      <w:hyperlink w:anchor="_Toc182476463" w:history="1">
        <w:r w:rsidR="00B1286B" w:rsidRPr="00485EE7">
          <w:rPr>
            <w:rStyle w:val="affffffe"/>
            <w:noProof/>
            <w14:scene3d>
              <w14:camera w14:prst="orthographicFront"/>
              <w14:lightRig w14:rig="threePt" w14:dir="t">
                <w14:rot w14:lat="0" w14:lon="0" w14:rev="0"/>
              </w14:lightRig>
            </w14:scene3d>
          </w:rPr>
          <w:t>16.7</w:t>
        </w:r>
        <w:r w:rsidR="00B1286B" w:rsidRPr="00485EE7">
          <w:rPr>
            <w:rStyle w:val="affffffe"/>
            <w:noProof/>
          </w:rPr>
          <w:t xml:space="preserve"> 车站附属设施</w:t>
        </w:r>
        <w:r w:rsidR="00B1286B">
          <w:rPr>
            <w:noProof/>
          </w:rPr>
          <w:tab/>
        </w:r>
        <w:r w:rsidR="00B1286B">
          <w:rPr>
            <w:noProof/>
          </w:rPr>
          <w:fldChar w:fldCharType="begin"/>
        </w:r>
        <w:r w:rsidR="00B1286B">
          <w:rPr>
            <w:noProof/>
          </w:rPr>
          <w:instrText xml:space="preserve"> PAGEREF _Toc182476463 \h </w:instrText>
        </w:r>
        <w:r w:rsidR="00B1286B">
          <w:rPr>
            <w:noProof/>
          </w:rPr>
        </w:r>
        <w:r w:rsidR="00B1286B">
          <w:rPr>
            <w:noProof/>
          </w:rPr>
          <w:fldChar w:fldCharType="separate"/>
        </w:r>
        <w:r w:rsidR="00620087">
          <w:rPr>
            <w:noProof/>
          </w:rPr>
          <w:t>71</w:t>
        </w:r>
        <w:r w:rsidR="00B1286B">
          <w:rPr>
            <w:noProof/>
          </w:rPr>
          <w:fldChar w:fldCharType="end"/>
        </w:r>
      </w:hyperlink>
    </w:p>
    <w:p w14:paraId="5D4FBEEC" w14:textId="20F46EB5" w:rsidR="00B1286B" w:rsidRDefault="00CA2808">
      <w:pPr>
        <w:pStyle w:val="TOC2"/>
        <w:rPr>
          <w:rFonts w:asciiTheme="minorHAnsi" w:eastAsiaTheme="minorEastAsia" w:hAnsiTheme="minorHAnsi" w:cstheme="minorBidi"/>
          <w:noProof/>
          <w:szCs w:val="22"/>
        </w:rPr>
      </w:pPr>
      <w:hyperlink w:anchor="_Toc182476464" w:history="1">
        <w:r w:rsidR="00B1286B" w:rsidRPr="00485EE7">
          <w:rPr>
            <w:rStyle w:val="affffffe"/>
            <w:noProof/>
            <w14:scene3d>
              <w14:camera w14:prst="orthographicFront"/>
              <w14:lightRig w14:rig="threePt" w14:dir="t">
                <w14:rot w14:lat="0" w14:lon="0" w14:rev="0"/>
              </w14:lightRig>
            </w14:scene3d>
          </w:rPr>
          <w:t>16.8</w:t>
        </w:r>
        <w:r w:rsidR="00B1286B" w:rsidRPr="00485EE7">
          <w:rPr>
            <w:rStyle w:val="affffffe"/>
            <w:noProof/>
          </w:rPr>
          <w:t xml:space="preserve"> 车站环境设计</w:t>
        </w:r>
        <w:r w:rsidR="00B1286B">
          <w:rPr>
            <w:noProof/>
          </w:rPr>
          <w:tab/>
        </w:r>
        <w:r w:rsidR="00B1286B">
          <w:rPr>
            <w:noProof/>
          </w:rPr>
          <w:fldChar w:fldCharType="begin"/>
        </w:r>
        <w:r w:rsidR="00B1286B">
          <w:rPr>
            <w:noProof/>
          </w:rPr>
          <w:instrText xml:space="preserve"> PAGEREF _Toc182476464 \h </w:instrText>
        </w:r>
        <w:r w:rsidR="00B1286B">
          <w:rPr>
            <w:noProof/>
          </w:rPr>
        </w:r>
        <w:r w:rsidR="00B1286B">
          <w:rPr>
            <w:noProof/>
          </w:rPr>
          <w:fldChar w:fldCharType="separate"/>
        </w:r>
        <w:r w:rsidR="00620087">
          <w:rPr>
            <w:noProof/>
          </w:rPr>
          <w:t>71</w:t>
        </w:r>
        <w:r w:rsidR="00B1286B">
          <w:rPr>
            <w:noProof/>
          </w:rPr>
          <w:fldChar w:fldCharType="end"/>
        </w:r>
      </w:hyperlink>
    </w:p>
    <w:p w14:paraId="575C59E5" w14:textId="4BA04FD8" w:rsidR="00B1286B" w:rsidRDefault="00CA2808">
      <w:pPr>
        <w:pStyle w:val="TOC2"/>
        <w:rPr>
          <w:rFonts w:asciiTheme="minorHAnsi" w:eastAsiaTheme="minorEastAsia" w:hAnsiTheme="minorHAnsi" w:cstheme="minorBidi"/>
          <w:noProof/>
          <w:szCs w:val="22"/>
        </w:rPr>
      </w:pPr>
      <w:hyperlink w:anchor="_Toc182476465" w:history="1">
        <w:r w:rsidR="00B1286B" w:rsidRPr="00485EE7">
          <w:rPr>
            <w:rStyle w:val="affffffe"/>
            <w:noProof/>
            <w14:scene3d>
              <w14:camera w14:prst="orthographicFront"/>
              <w14:lightRig w14:rig="threePt" w14:dir="t">
                <w14:rot w14:lat="0" w14:lon="0" w14:rev="0"/>
              </w14:lightRig>
            </w14:scene3d>
          </w:rPr>
          <w:t>16.9</w:t>
        </w:r>
        <w:r w:rsidR="00B1286B" w:rsidRPr="00485EE7">
          <w:rPr>
            <w:rStyle w:val="affffffe"/>
            <w:noProof/>
          </w:rPr>
          <w:t xml:space="preserve"> 车站无障碍设计</w:t>
        </w:r>
        <w:r w:rsidR="00B1286B">
          <w:rPr>
            <w:noProof/>
          </w:rPr>
          <w:tab/>
        </w:r>
        <w:r w:rsidR="00B1286B">
          <w:rPr>
            <w:noProof/>
          </w:rPr>
          <w:fldChar w:fldCharType="begin"/>
        </w:r>
        <w:r w:rsidR="00B1286B">
          <w:rPr>
            <w:noProof/>
          </w:rPr>
          <w:instrText xml:space="preserve"> PAGEREF _Toc182476465 \h </w:instrText>
        </w:r>
        <w:r w:rsidR="00B1286B">
          <w:rPr>
            <w:noProof/>
          </w:rPr>
        </w:r>
        <w:r w:rsidR="00B1286B">
          <w:rPr>
            <w:noProof/>
          </w:rPr>
          <w:fldChar w:fldCharType="separate"/>
        </w:r>
        <w:r w:rsidR="00620087">
          <w:rPr>
            <w:noProof/>
          </w:rPr>
          <w:t>71</w:t>
        </w:r>
        <w:r w:rsidR="00B1286B">
          <w:rPr>
            <w:noProof/>
          </w:rPr>
          <w:fldChar w:fldCharType="end"/>
        </w:r>
      </w:hyperlink>
    </w:p>
    <w:p w14:paraId="0CF19131" w14:textId="5C2C9133" w:rsidR="00B1286B" w:rsidRDefault="00CA2808">
      <w:pPr>
        <w:pStyle w:val="TOC2"/>
        <w:rPr>
          <w:rFonts w:asciiTheme="minorHAnsi" w:eastAsiaTheme="minorEastAsia" w:hAnsiTheme="minorHAnsi" w:cstheme="minorBidi"/>
          <w:noProof/>
          <w:szCs w:val="22"/>
        </w:rPr>
      </w:pPr>
      <w:hyperlink w:anchor="_Toc182476466" w:history="1">
        <w:r w:rsidR="00B1286B" w:rsidRPr="00485EE7">
          <w:rPr>
            <w:rStyle w:val="affffffe"/>
            <w:noProof/>
            <w14:scene3d>
              <w14:camera w14:prst="orthographicFront"/>
              <w14:lightRig w14:rig="threePt" w14:dir="t">
                <w14:rot w14:lat="0" w14:lon="0" w14:rev="0"/>
              </w14:lightRig>
            </w14:scene3d>
          </w:rPr>
          <w:t>16.10</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_Toc182476466 \h </w:instrText>
        </w:r>
        <w:r w:rsidR="00B1286B">
          <w:rPr>
            <w:noProof/>
          </w:rPr>
        </w:r>
        <w:r w:rsidR="00B1286B">
          <w:rPr>
            <w:noProof/>
          </w:rPr>
          <w:fldChar w:fldCharType="separate"/>
        </w:r>
        <w:r w:rsidR="00620087">
          <w:rPr>
            <w:noProof/>
          </w:rPr>
          <w:t>71</w:t>
        </w:r>
        <w:r w:rsidR="00B1286B">
          <w:rPr>
            <w:noProof/>
          </w:rPr>
          <w:fldChar w:fldCharType="end"/>
        </w:r>
      </w:hyperlink>
    </w:p>
    <w:p w14:paraId="2A5BC6F7" w14:textId="722BBCBB" w:rsidR="00B1286B" w:rsidRDefault="00CA2808">
      <w:pPr>
        <w:pStyle w:val="TOC1"/>
        <w:tabs>
          <w:tab w:val="right" w:leader="dot" w:pos="9344"/>
        </w:tabs>
        <w:rPr>
          <w:rFonts w:asciiTheme="minorHAnsi" w:eastAsiaTheme="minorEastAsia" w:hAnsiTheme="minorHAnsi" w:cstheme="minorBidi"/>
          <w:noProof/>
          <w:szCs w:val="22"/>
        </w:rPr>
      </w:pPr>
      <w:hyperlink w:anchor="_Toc182476467" w:history="1">
        <w:r w:rsidR="00B1286B" w:rsidRPr="00485EE7">
          <w:rPr>
            <w:rStyle w:val="affffffe"/>
            <w:noProof/>
          </w:rPr>
          <w:t>17 车站结构</w:t>
        </w:r>
        <w:r w:rsidR="00B1286B">
          <w:rPr>
            <w:noProof/>
          </w:rPr>
          <w:tab/>
        </w:r>
        <w:r w:rsidR="00B1286B">
          <w:rPr>
            <w:noProof/>
          </w:rPr>
          <w:fldChar w:fldCharType="begin"/>
        </w:r>
        <w:r w:rsidR="00B1286B">
          <w:rPr>
            <w:noProof/>
          </w:rPr>
          <w:instrText xml:space="preserve"> PAGEREF _Toc182476467 \h </w:instrText>
        </w:r>
        <w:r w:rsidR="00B1286B">
          <w:rPr>
            <w:noProof/>
          </w:rPr>
        </w:r>
        <w:r w:rsidR="00B1286B">
          <w:rPr>
            <w:noProof/>
          </w:rPr>
          <w:fldChar w:fldCharType="separate"/>
        </w:r>
        <w:r w:rsidR="00620087">
          <w:rPr>
            <w:noProof/>
          </w:rPr>
          <w:t>72</w:t>
        </w:r>
        <w:r w:rsidR="00B1286B">
          <w:rPr>
            <w:noProof/>
          </w:rPr>
          <w:fldChar w:fldCharType="end"/>
        </w:r>
      </w:hyperlink>
    </w:p>
    <w:p w14:paraId="1DECB41F" w14:textId="3FC0F454" w:rsidR="00B1286B" w:rsidRDefault="00CA2808">
      <w:pPr>
        <w:pStyle w:val="TOC2"/>
        <w:rPr>
          <w:rFonts w:asciiTheme="minorHAnsi" w:eastAsiaTheme="minorEastAsia" w:hAnsiTheme="minorHAnsi" w:cstheme="minorBidi"/>
          <w:noProof/>
          <w:szCs w:val="22"/>
        </w:rPr>
      </w:pPr>
      <w:hyperlink w:anchor="_Toc182476468" w:history="1">
        <w:r w:rsidR="00B1286B" w:rsidRPr="00485EE7">
          <w:rPr>
            <w:rStyle w:val="affffffe"/>
            <w:noProof/>
            <w14:scene3d>
              <w14:camera w14:prst="orthographicFront"/>
              <w14:lightRig w14:rig="threePt" w14:dir="t">
                <w14:rot w14:lat="0" w14:lon="0" w14:rev="0"/>
              </w14:lightRig>
            </w14:scene3d>
          </w:rPr>
          <w:t>17.1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_Toc182476468 \h </w:instrText>
        </w:r>
        <w:r w:rsidR="00B1286B">
          <w:rPr>
            <w:noProof/>
          </w:rPr>
        </w:r>
        <w:r w:rsidR="00B1286B">
          <w:rPr>
            <w:noProof/>
          </w:rPr>
          <w:fldChar w:fldCharType="separate"/>
        </w:r>
        <w:r w:rsidR="00620087">
          <w:rPr>
            <w:noProof/>
          </w:rPr>
          <w:t>72</w:t>
        </w:r>
        <w:r w:rsidR="00B1286B">
          <w:rPr>
            <w:noProof/>
          </w:rPr>
          <w:fldChar w:fldCharType="end"/>
        </w:r>
      </w:hyperlink>
    </w:p>
    <w:p w14:paraId="1CC6BA31" w14:textId="469EEF9F" w:rsidR="00B1286B" w:rsidRDefault="00CA2808">
      <w:pPr>
        <w:pStyle w:val="TOC2"/>
        <w:rPr>
          <w:rFonts w:asciiTheme="minorHAnsi" w:eastAsiaTheme="minorEastAsia" w:hAnsiTheme="minorHAnsi" w:cstheme="minorBidi"/>
          <w:noProof/>
          <w:szCs w:val="22"/>
        </w:rPr>
      </w:pPr>
      <w:hyperlink w:anchor="_Toc182476469" w:history="1">
        <w:r w:rsidR="00B1286B" w:rsidRPr="00485EE7">
          <w:rPr>
            <w:rStyle w:val="affffffe"/>
            <w:noProof/>
            <w14:scene3d>
              <w14:camera w14:prst="orthographicFront"/>
              <w14:lightRig w14:rig="threePt" w14:dir="t">
                <w14:rot w14:lat="0" w14:lon="0" w14:rev="0"/>
              </w14:lightRig>
            </w14:scene3d>
          </w:rPr>
          <w:t>17.2</w:t>
        </w:r>
        <w:r w:rsidR="00B1286B" w:rsidRPr="00485EE7">
          <w:rPr>
            <w:rStyle w:val="affffffe"/>
            <w:noProof/>
          </w:rPr>
          <w:t xml:space="preserve"> 设计荷载及工程材料</w:t>
        </w:r>
        <w:r w:rsidR="00B1286B">
          <w:rPr>
            <w:noProof/>
          </w:rPr>
          <w:tab/>
        </w:r>
        <w:r w:rsidR="00B1286B">
          <w:rPr>
            <w:noProof/>
          </w:rPr>
          <w:fldChar w:fldCharType="begin"/>
        </w:r>
        <w:r w:rsidR="00B1286B">
          <w:rPr>
            <w:noProof/>
          </w:rPr>
          <w:instrText xml:space="preserve"> PAGEREF _Toc182476469 \h </w:instrText>
        </w:r>
        <w:r w:rsidR="00B1286B">
          <w:rPr>
            <w:noProof/>
          </w:rPr>
        </w:r>
        <w:r w:rsidR="00B1286B">
          <w:rPr>
            <w:noProof/>
          </w:rPr>
          <w:fldChar w:fldCharType="separate"/>
        </w:r>
        <w:r w:rsidR="00620087">
          <w:rPr>
            <w:noProof/>
          </w:rPr>
          <w:t>72</w:t>
        </w:r>
        <w:r w:rsidR="00B1286B">
          <w:rPr>
            <w:noProof/>
          </w:rPr>
          <w:fldChar w:fldCharType="end"/>
        </w:r>
      </w:hyperlink>
    </w:p>
    <w:p w14:paraId="0EE1B4BB" w14:textId="0364457E" w:rsidR="00B1286B" w:rsidRDefault="00CA2808">
      <w:pPr>
        <w:pStyle w:val="TOC2"/>
        <w:rPr>
          <w:rFonts w:asciiTheme="minorHAnsi" w:eastAsiaTheme="minorEastAsia" w:hAnsiTheme="minorHAnsi" w:cstheme="minorBidi"/>
          <w:noProof/>
          <w:szCs w:val="22"/>
        </w:rPr>
      </w:pPr>
      <w:hyperlink w:anchor="_Toc182476470" w:history="1">
        <w:r w:rsidR="00B1286B" w:rsidRPr="00485EE7">
          <w:rPr>
            <w:rStyle w:val="affffffe"/>
            <w:noProof/>
            <w14:scene3d>
              <w14:camera w14:prst="orthographicFront"/>
              <w14:lightRig w14:rig="threePt" w14:dir="t">
                <w14:rot w14:lat="0" w14:lon="0" w14:rev="0"/>
              </w14:lightRig>
            </w14:scene3d>
          </w:rPr>
          <w:t>17.3</w:t>
        </w:r>
        <w:r w:rsidR="00B1286B" w:rsidRPr="00485EE7">
          <w:rPr>
            <w:rStyle w:val="affffffe"/>
            <w:noProof/>
          </w:rPr>
          <w:t xml:space="preserve"> 高架及地面车站结构设计</w:t>
        </w:r>
        <w:r w:rsidR="00B1286B">
          <w:rPr>
            <w:noProof/>
          </w:rPr>
          <w:tab/>
        </w:r>
        <w:r w:rsidR="00B1286B">
          <w:rPr>
            <w:noProof/>
          </w:rPr>
          <w:fldChar w:fldCharType="begin"/>
        </w:r>
        <w:r w:rsidR="00B1286B">
          <w:rPr>
            <w:noProof/>
          </w:rPr>
          <w:instrText xml:space="preserve"> PAGEREF _Toc182476470 \h </w:instrText>
        </w:r>
        <w:r w:rsidR="00B1286B">
          <w:rPr>
            <w:noProof/>
          </w:rPr>
        </w:r>
        <w:r w:rsidR="00B1286B">
          <w:rPr>
            <w:noProof/>
          </w:rPr>
          <w:fldChar w:fldCharType="separate"/>
        </w:r>
        <w:r w:rsidR="00620087">
          <w:rPr>
            <w:noProof/>
          </w:rPr>
          <w:t>75</w:t>
        </w:r>
        <w:r w:rsidR="00B1286B">
          <w:rPr>
            <w:noProof/>
          </w:rPr>
          <w:fldChar w:fldCharType="end"/>
        </w:r>
      </w:hyperlink>
    </w:p>
    <w:p w14:paraId="03DF35FD" w14:textId="50A95ECF" w:rsidR="00B1286B" w:rsidRDefault="00CA2808">
      <w:pPr>
        <w:pStyle w:val="TOC2"/>
        <w:rPr>
          <w:rFonts w:asciiTheme="minorHAnsi" w:eastAsiaTheme="minorEastAsia" w:hAnsiTheme="minorHAnsi" w:cstheme="minorBidi"/>
          <w:noProof/>
          <w:szCs w:val="22"/>
        </w:rPr>
      </w:pPr>
      <w:hyperlink w:anchor="_Toc182476471" w:history="1">
        <w:r w:rsidR="00B1286B" w:rsidRPr="00485EE7">
          <w:rPr>
            <w:rStyle w:val="affffffe"/>
            <w:noProof/>
            <w14:scene3d>
              <w14:camera w14:prst="orthographicFront"/>
              <w14:lightRig w14:rig="threePt" w14:dir="t">
                <w14:rot w14:lat="0" w14:lon="0" w14:rev="0"/>
              </w14:lightRig>
            </w14:scene3d>
          </w:rPr>
          <w:t>17.4</w:t>
        </w:r>
        <w:r w:rsidR="00B1286B" w:rsidRPr="00485EE7">
          <w:rPr>
            <w:rStyle w:val="affffffe"/>
            <w:noProof/>
          </w:rPr>
          <w:t xml:space="preserve"> 地下车站结构设计</w:t>
        </w:r>
        <w:r w:rsidR="00B1286B">
          <w:rPr>
            <w:noProof/>
          </w:rPr>
          <w:tab/>
        </w:r>
        <w:r w:rsidR="00B1286B">
          <w:rPr>
            <w:noProof/>
          </w:rPr>
          <w:fldChar w:fldCharType="begin"/>
        </w:r>
        <w:r w:rsidR="00B1286B">
          <w:rPr>
            <w:noProof/>
          </w:rPr>
          <w:instrText xml:space="preserve"> PAGEREF _Toc182476471 \h </w:instrText>
        </w:r>
        <w:r w:rsidR="00B1286B">
          <w:rPr>
            <w:noProof/>
          </w:rPr>
        </w:r>
        <w:r w:rsidR="00B1286B">
          <w:rPr>
            <w:noProof/>
          </w:rPr>
          <w:fldChar w:fldCharType="separate"/>
        </w:r>
        <w:r w:rsidR="00620087">
          <w:rPr>
            <w:noProof/>
          </w:rPr>
          <w:t>76</w:t>
        </w:r>
        <w:r w:rsidR="00B1286B">
          <w:rPr>
            <w:noProof/>
          </w:rPr>
          <w:fldChar w:fldCharType="end"/>
        </w:r>
      </w:hyperlink>
    </w:p>
    <w:p w14:paraId="2526EC66" w14:textId="01955E7C" w:rsidR="00B1286B" w:rsidRDefault="00CA2808">
      <w:pPr>
        <w:pStyle w:val="TOC2"/>
        <w:rPr>
          <w:rFonts w:asciiTheme="minorHAnsi" w:eastAsiaTheme="minorEastAsia" w:hAnsiTheme="minorHAnsi" w:cstheme="minorBidi"/>
          <w:noProof/>
          <w:szCs w:val="22"/>
        </w:rPr>
      </w:pPr>
      <w:hyperlink w:anchor="_Toc182476472" w:history="1">
        <w:r w:rsidR="00B1286B" w:rsidRPr="00485EE7">
          <w:rPr>
            <w:rStyle w:val="affffffe"/>
            <w:noProof/>
            <w14:scene3d>
              <w14:camera w14:prst="orthographicFront"/>
              <w14:lightRig w14:rig="threePt" w14:dir="t">
                <w14:rot w14:lat="0" w14:lon="0" w14:rev="0"/>
              </w14:lightRig>
            </w14:scene3d>
          </w:rPr>
          <w:t>17.5</w:t>
        </w:r>
        <w:r w:rsidR="00B1286B" w:rsidRPr="00485EE7">
          <w:rPr>
            <w:rStyle w:val="affffffe"/>
            <w:noProof/>
          </w:rPr>
          <w:t xml:space="preserve"> 车站结构防水</w:t>
        </w:r>
        <w:r w:rsidR="00B1286B">
          <w:rPr>
            <w:noProof/>
          </w:rPr>
          <w:tab/>
        </w:r>
        <w:r w:rsidR="00B1286B">
          <w:rPr>
            <w:noProof/>
          </w:rPr>
          <w:fldChar w:fldCharType="begin"/>
        </w:r>
        <w:r w:rsidR="00B1286B">
          <w:rPr>
            <w:noProof/>
          </w:rPr>
          <w:instrText xml:space="preserve"> PAGEREF _Toc182476472 \h </w:instrText>
        </w:r>
        <w:r w:rsidR="00B1286B">
          <w:rPr>
            <w:noProof/>
          </w:rPr>
        </w:r>
        <w:r w:rsidR="00B1286B">
          <w:rPr>
            <w:noProof/>
          </w:rPr>
          <w:fldChar w:fldCharType="separate"/>
        </w:r>
        <w:r w:rsidR="00620087">
          <w:rPr>
            <w:noProof/>
          </w:rPr>
          <w:t>78</w:t>
        </w:r>
        <w:r w:rsidR="00B1286B">
          <w:rPr>
            <w:noProof/>
          </w:rPr>
          <w:fldChar w:fldCharType="end"/>
        </w:r>
      </w:hyperlink>
    </w:p>
    <w:p w14:paraId="6147D573" w14:textId="4230ECF7" w:rsidR="00B1286B" w:rsidRDefault="00CA2808">
      <w:pPr>
        <w:pStyle w:val="TOC2"/>
        <w:rPr>
          <w:rFonts w:asciiTheme="minorHAnsi" w:eastAsiaTheme="minorEastAsia" w:hAnsiTheme="minorHAnsi" w:cstheme="minorBidi"/>
          <w:noProof/>
          <w:szCs w:val="22"/>
        </w:rPr>
      </w:pPr>
      <w:hyperlink w:anchor="_Toc182476473" w:history="1">
        <w:r w:rsidR="00B1286B" w:rsidRPr="00485EE7">
          <w:rPr>
            <w:rStyle w:val="affffffe"/>
            <w:noProof/>
            <w14:scene3d>
              <w14:camera w14:prst="orthographicFront"/>
              <w14:lightRig w14:rig="threePt" w14:dir="t">
                <w14:rot w14:lat="0" w14:lon="0" w14:rev="0"/>
              </w14:lightRig>
            </w14:scene3d>
          </w:rPr>
          <w:t>17.6</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_Toc182476473 \h </w:instrText>
        </w:r>
        <w:r w:rsidR="00B1286B">
          <w:rPr>
            <w:noProof/>
          </w:rPr>
        </w:r>
        <w:r w:rsidR="00B1286B">
          <w:rPr>
            <w:noProof/>
          </w:rPr>
          <w:fldChar w:fldCharType="separate"/>
        </w:r>
        <w:r w:rsidR="00620087">
          <w:rPr>
            <w:noProof/>
          </w:rPr>
          <w:t>78</w:t>
        </w:r>
        <w:r w:rsidR="00B1286B">
          <w:rPr>
            <w:noProof/>
          </w:rPr>
          <w:fldChar w:fldCharType="end"/>
        </w:r>
      </w:hyperlink>
    </w:p>
    <w:p w14:paraId="1BD49929" w14:textId="0AD92890" w:rsidR="00B1286B" w:rsidRDefault="00CA2808">
      <w:pPr>
        <w:pStyle w:val="TOC1"/>
        <w:tabs>
          <w:tab w:val="right" w:leader="dot" w:pos="9344"/>
        </w:tabs>
        <w:rPr>
          <w:rFonts w:asciiTheme="minorHAnsi" w:eastAsiaTheme="minorEastAsia" w:hAnsiTheme="minorHAnsi" w:cstheme="minorBidi"/>
          <w:noProof/>
          <w:szCs w:val="22"/>
        </w:rPr>
      </w:pPr>
      <w:hyperlink w:anchor="_Toc182476474" w:history="1">
        <w:r w:rsidR="00B1286B" w:rsidRPr="00485EE7">
          <w:rPr>
            <w:rStyle w:val="affffffe"/>
            <w:noProof/>
          </w:rPr>
          <w:t>18 牵引供电</w:t>
        </w:r>
        <w:r w:rsidR="00B1286B">
          <w:rPr>
            <w:noProof/>
          </w:rPr>
          <w:tab/>
        </w:r>
        <w:r w:rsidR="00B1286B">
          <w:rPr>
            <w:noProof/>
          </w:rPr>
          <w:fldChar w:fldCharType="begin"/>
        </w:r>
        <w:r w:rsidR="00B1286B">
          <w:rPr>
            <w:noProof/>
          </w:rPr>
          <w:instrText xml:space="preserve"> PAGEREF _Toc182476474 \h </w:instrText>
        </w:r>
        <w:r w:rsidR="00B1286B">
          <w:rPr>
            <w:noProof/>
          </w:rPr>
        </w:r>
        <w:r w:rsidR="00B1286B">
          <w:rPr>
            <w:noProof/>
          </w:rPr>
          <w:fldChar w:fldCharType="separate"/>
        </w:r>
        <w:r w:rsidR="00620087">
          <w:rPr>
            <w:noProof/>
          </w:rPr>
          <w:t>79</w:t>
        </w:r>
        <w:r w:rsidR="00B1286B">
          <w:rPr>
            <w:noProof/>
          </w:rPr>
          <w:fldChar w:fldCharType="end"/>
        </w:r>
      </w:hyperlink>
    </w:p>
    <w:p w14:paraId="46048173" w14:textId="3DC3B7F3" w:rsidR="00B1286B" w:rsidRDefault="00CA2808">
      <w:pPr>
        <w:pStyle w:val="TOC2"/>
        <w:rPr>
          <w:rFonts w:asciiTheme="minorHAnsi" w:eastAsiaTheme="minorEastAsia" w:hAnsiTheme="minorHAnsi" w:cstheme="minorBidi"/>
          <w:noProof/>
          <w:szCs w:val="22"/>
        </w:rPr>
      </w:pPr>
      <w:hyperlink w:anchor="_Toc182476475" w:history="1">
        <w:r w:rsidR="00B1286B" w:rsidRPr="00485EE7">
          <w:rPr>
            <w:rStyle w:val="affffffe"/>
            <w:noProof/>
            <w14:scene3d>
              <w14:camera w14:prst="orthographicFront"/>
              <w14:lightRig w14:rig="threePt" w14:dir="t">
                <w14:rot w14:lat="0" w14:lon="0" w14:rev="0"/>
              </w14:lightRig>
            </w14:scene3d>
          </w:rPr>
          <w:t>18.1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_Toc182476475 \h </w:instrText>
        </w:r>
        <w:r w:rsidR="00B1286B">
          <w:rPr>
            <w:noProof/>
          </w:rPr>
        </w:r>
        <w:r w:rsidR="00B1286B">
          <w:rPr>
            <w:noProof/>
          </w:rPr>
          <w:fldChar w:fldCharType="separate"/>
        </w:r>
        <w:r w:rsidR="00620087">
          <w:rPr>
            <w:noProof/>
          </w:rPr>
          <w:t>79</w:t>
        </w:r>
        <w:r w:rsidR="00B1286B">
          <w:rPr>
            <w:noProof/>
          </w:rPr>
          <w:fldChar w:fldCharType="end"/>
        </w:r>
      </w:hyperlink>
    </w:p>
    <w:p w14:paraId="35E70486" w14:textId="5189F6EF" w:rsidR="00B1286B" w:rsidRDefault="00CA2808">
      <w:pPr>
        <w:pStyle w:val="TOC2"/>
        <w:rPr>
          <w:rFonts w:asciiTheme="minorHAnsi" w:eastAsiaTheme="minorEastAsia" w:hAnsiTheme="minorHAnsi" w:cstheme="minorBidi"/>
          <w:noProof/>
          <w:szCs w:val="22"/>
        </w:rPr>
      </w:pPr>
      <w:hyperlink w:anchor="_Toc182476476" w:history="1">
        <w:r w:rsidR="00B1286B" w:rsidRPr="00485EE7">
          <w:rPr>
            <w:rStyle w:val="affffffe"/>
            <w:noProof/>
            <w14:scene3d>
              <w14:camera w14:prst="orthographicFront"/>
              <w14:lightRig w14:rig="threePt" w14:dir="t">
                <w14:rot w14:lat="0" w14:lon="0" w14:rev="0"/>
              </w14:lightRig>
            </w14:scene3d>
          </w:rPr>
          <w:t>18.2</w:t>
        </w:r>
        <w:r w:rsidR="00B1286B" w:rsidRPr="00485EE7">
          <w:rPr>
            <w:rStyle w:val="affffffe"/>
            <w:noProof/>
          </w:rPr>
          <w:t xml:space="preserve"> 交流牵引供电系统</w:t>
        </w:r>
        <w:r w:rsidR="00B1286B">
          <w:rPr>
            <w:noProof/>
          </w:rPr>
          <w:tab/>
        </w:r>
        <w:r w:rsidR="00B1286B">
          <w:rPr>
            <w:noProof/>
          </w:rPr>
          <w:fldChar w:fldCharType="begin"/>
        </w:r>
        <w:r w:rsidR="00B1286B">
          <w:rPr>
            <w:noProof/>
          </w:rPr>
          <w:instrText xml:space="preserve"> PAGEREF _Toc182476476 \h </w:instrText>
        </w:r>
        <w:r w:rsidR="00B1286B">
          <w:rPr>
            <w:noProof/>
          </w:rPr>
        </w:r>
        <w:r w:rsidR="00B1286B">
          <w:rPr>
            <w:noProof/>
          </w:rPr>
          <w:fldChar w:fldCharType="separate"/>
        </w:r>
        <w:r w:rsidR="00620087">
          <w:rPr>
            <w:noProof/>
          </w:rPr>
          <w:t>79</w:t>
        </w:r>
        <w:r w:rsidR="00B1286B">
          <w:rPr>
            <w:noProof/>
          </w:rPr>
          <w:fldChar w:fldCharType="end"/>
        </w:r>
      </w:hyperlink>
    </w:p>
    <w:p w14:paraId="7AA56A28" w14:textId="1DBE41EB" w:rsidR="00B1286B" w:rsidRDefault="00CA2808">
      <w:pPr>
        <w:pStyle w:val="TOC2"/>
        <w:rPr>
          <w:rFonts w:asciiTheme="minorHAnsi" w:eastAsiaTheme="minorEastAsia" w:hAnsiTheme="minorHAnsi" w:cstheme="minorBidi"/>
          <w:noProof/>
          <w:szCs w:val="22"/>
        </w:rPr>
      </w:pPr>
      <w:hyperlink w:anchor="_Toc182476477" w:history="1">
        <w:r w:rsidR="00B1286B" w:rsidRPr="00485EE7">
          <w:rPr>
            <w:rStyle w:val="affffffe"/>
            <w:noProof/>
            <w14:scene3d>
              <w14:camera w14:prst="orthographicFront"/>
              <w14:lightRig w14:rig="threePt" w14:dir="t">
                <w14:rot w14:lat="0" w14:lon="0" w14:rev="0"/>
              </w14:lightRig>
            </w14:scene3d>
          </w:rPr>
          <w:t>18.3</w:t>
        </w:r>
        <w:r w:rsidR="00B1286B" w:rsidRPr="00485EE7">
          <w:rPr>
            <w:rStyle w:val="affffffe"/>
            <w:noProof/>
          </w:rPr>
          <w:t xml:space="preserve"> 直流牵引供电系统</w:t>
        </w:r>
        <w:r w:rsidR="00B1286B">
          <w:rPr>
            <w:noProof/>
          </w:rPr>
          <w:tab/>
        </w:r>
        <w:r w:rsidR="00B1286B">
          <w:rPr>
            <w:noProof/>
          </w:rPr>
          <w:fldChar w:fldCharType="begin"/>
        </w:r>
        <w:r w:rsidR="00B1286B">
          <w:rPr>
            <w:noProof/>
          </w:rPr>
          <w:instrText xml:space="preserve"> PAGEREF _Toc182476477 \h </w:instrText>
        </w:r>
        <w:r w:rsidR="00B1286B">
          <w:rPr>
            <w:noProof/>
          </w:rPr>
        </w:r>
        <w:r w:rsidR="00B1286B">
          <w:rPr>
            <w:noProof/>
          </w:rPr>
          <w:fldChar w:fldCharType="separate"/>
        </w:r>
        <w:r w:rsidR="00620087">
          <w:rPr>
            <w:noProof/>
          </w:rPr>
          <w:t>79</w:t>
        </w:r>
        <w:r w:rsidR="00B1286B">
          <w:rPr>
            <w:noProof/>
          </w:rPr>
          <w:fldChar w:fldCharType="end"/>
        </w:r>
      </w:hyperlink>
    </w:p>
    <w:p w14:paraId="36E68CCC" w14:textId="67CC2035" w:rsidR="00B1286B" w:rsidRDefault="00CA2808">
      <w:pPr>
        <w:pStyle w:val="TOC2"/>
        <w:rPr>
          <w:rFonts w:asciiTheme="minorHAnsi" w:eastAsiaTheme="minorEastAsia" w:hAnsiTheme="minorHAnsi" w:cstheme="minorBidi"/>
          <w:noProof/>
          <w:szCs w:val="22"/>
        </w:rPr>
      </w:pPr>
      <w:hyperlink w:anchor="_Toc182476478" w:history="1">
        <w:r w:rsidR="00B1286B" w:rsidRPr="00485EE7">
          <w:rPr>
            <w:rStyle w:val="affffffe"/>
            <w:noProof/>
            <w14:scene3d>
              <w14:camera w14:prst="orthographicFront"/>
              <w14:lightRig w14:rig="threePt" w14:dir="t">
                <w14:rot w14:lat="0" w14:lon="0" w14:rev="0"/>
              </w14:lightRig>
            </w14:scene3d>
          </w:rPr>
          <w:t>18.4</w:t>
        </w:r>
        <w:r w:rsidR="00B1286B" w:rsidRPr="00485EE7">
          <w:rPr>
            <w:rStyle w:val="affffffe"/>
            <w:noProof/>
          </w:rPr>
          <w:t xml:space="preserve"> 外部电源</w:t>
        </w:r>
        <w:r w:rsidR="00B1286B">
          <w:rPr>
            <w:noProof/>
          </w:rPr>
          <w:tab/>
        </w:r>
        <w:r w:rsidR="00B1286B">
          <w:rPr>
            <w:noProof/>
          </w:rPr>
          <w:fldChar w:fldCharType="begin"/>
        </w:r>
        <w:r w:rsidR="00B1286B">
          <w:rPr>
            <w:noProof/>
          </w:rPr>
          <w:instrText xml:space="preserve"> PAGEREF _Toc182476478 \h </w:instrText>
        </w:r>
        <w:r w:rsidR="00B1286B">
          <w:rPr>
            <w:noProof/>
          </w:rPr>
        </w:r>
        <w:r w:rsidR="00B1286B">
          <w:rPr>
            <w:noProof/>
          </w:rPr>
          <w:fldChar w:fldCharType="separate"/>
        </w:r>
        <w:r w:rsidR="00620087">
          <w:rPr>
            <w:noProof/>
          </w:rPr>
          <w:t>80</w:t>
        </w:r>
        <w:r w:rsidR="00B1286B">
          <w:rPr>
            <w:noProof/>
          </w:rPr>
          <w:fldChar w:fldCharType="end"/>
        </w:r>
      </w:hyperlink>
    </w:p>
    <w:p w14:paraId="45B44926" w14:textId="1FE68CDE" w:rsidR="00B1286B" w:rsidRDefault="00CA2808">
      <w:pPr>
        <w:pStyle w:val="TOC2"/>
        <w:rPr>
          <w:rFonts w:asciiTheme="minorHAnsi" w:eastAsiaTheme="minorEastAsia" w:hAnsiTheme="minorHAnsi" w:cstheme="minorBidi"/>
          <w:noProof/>
          <w:szCs w:val="22"/>
        </w:rPr>
      </w:pPr>
      <w:hyperlink w:anchor="_Toc182476479" w:history="1">
        <w:r w:rsidR="00B1286B" w:rsidRPr="00485EE7">
          <w:rPr>
            <w:rStyle w:val="affffffe"/>
            <w:noProof/>
            <w14:scene3d>
              <w14:camera w14:prst="orthographicFront"/>
              <w14:lightRig w14:rig="threePt" w14:dir="t">
                <w14:rot w14:lat="0" w14:lon="0" w14:rev="0"/>
              </w14:lightRig>
            </w14:scene3d>
          </w:rPr>
          <w:t>18.5</w:t>
        </w:r>
        <w:r w:rsidR="00B1286B" w:rsidRPr="00485EE7">
          <w:rPr>
            <w:rStyle w:val="affffffe"/>
            <w:noProof/>
          </w:rPr>
          <w:t xml:space="preserve"> 主变电所及中压网络</w:t>
        </w:r>
        <w:r w:rsidR="00B1286B">
          <w:rPr>
            <w:noProof/>
          </w:rPr>
          <w:tab/>
        </w:r>
        <w:r w:rsidR="00B1286B">
          <w:rPr>
            <w:noProof/>
          </w:rPr>
          <w:fldChar w:fldCharType="begin"/>
        </w:r>
        <w:r w:rsidR="00B1286B">
          <w:rPr>
            <w:noProof/>
          </w:rPr>
          <w:instrText xml:space="preserve"> PAGEREF _Toc182476479 \h </w:instrText>
        </w:r>
        <w:r w:rsidR="00B1286B">
          <w:rPr>
            <w:noProof/>
          </w:rPr>
        </w:r>
        <w:r w:rsidR="00B1286B">
          <w:rPr>
            <w:noProof/>
          </w:rPr>
          <w:fldChar w:fldCharType="separate"/>
        </w:r>
        <w:r w:rsidR="00620087">
          <w:rPr>
            <w:noProof/>
          </w:rPr>
          <w:t>80</w:t>
        </w:r>
        <w:r w:rsidR="00B1286B">
          <w:rPr>
            <w:noProof/>
          </w:rPr>
          <w:fldChar w:fldCharType="end"/>
        </w:r>
      </w:hyperlink>
    </w:p>
    <w:p w14:paraId="306704E2" w14:textId="0710B1F8" w:rsidR="00B1286B" w:rsidRDefault="00CA2808">
      <w:pPr>
        <w:pStyle w:val="TOC2"/>
        <w:rPr>
          <w:rFonts w:asciiTheme="minorHAnsi" w:eastAsiaTheme="minorEastAsia" w:hAnsiTheme="minorHAnsi" w:cstheme="minorBidi"/>
          <w:noProof/>
          <w:szCs w:val="22"/>
        </w:rPr>
      </w:pPr>
      <w:hyperlink w:anchor="_Toc182476480" w:history="1">
        <w:r w:rsidR="00B1286B" w:rsidRPr="00485EE7">
          <w:rPr>
            <w:rStyle w:val="affffffe"/>
            <w:noProof/>
            <w14:scene3d>
              <w14:camera w14:prst="orthographicFront"/>
              <w14:lightRig w14:rig="threePt" w14:dir="t">
                <w14:rot w14:lat="0" w14:lon="0" w14:rev="0"/>
              </w14:lightRig>
            </w14:scene3d>
          </w:rPr>
          <w:t>18.6</w:t>
        </w:r>
        <w:r w:rsidR="00B1286B" w:rsidRPr="00485EE7">
          <w:rPr>
            <w:rStyle w:val="affffffe"/>
            <w:noProof/>
          </w:rPr>
          <w:t xml:space="preserve"> 牵引变电</w:t>
        </w:r>
        <w:r w:rsidR="00B1286B">
          <w:rPr>
            <w:noProof/>
          </w:rPr>
          <w:tab/>
        </w:r>
        <w:r w:rsidR="00B1286B">
          <w:rPr>
            <w:noProof/>
          </w:rPr>
          <w:fldChar w:fldCharType="begin"/>
        </w:r>
        <w:r w:rsidR="00B1286B">
          <w:rPr>
            <w:noProof/>
          </w:rPr>
          <w:instrText xml:space="preserve"> PAGEREF _Toc182476480 \h </w:instrText>
        </w:r>
        <w:r w:rsidR="00B1286B">
          <w:rPr>
            <w:noProof/>
          </w:rPr>
        </w:r>
        <w:r w:rsidR="00B1286B">
          <w:rPr>
            <w:noProof/>
          </w:rPr>
          <w:fldChar w:fldCharType="separate"/>
        </w:r>
        <w:r w:rsidR="00620087">
          <w:rPr>
            <w:noProof/>
          </w:rPr>
          <w:t>80</w:t>
        </w:r>
        <w:r w:rsidR="00B1286B">
          <w:rPr>
            <w:noProof/>
          </w:rPr>
          <w:fldChar w:fldCharType="end"/>
        </w:r>
      </w:hyperlink>
    </w:p>
    <w:p w14:paraId="7B330FEA" w14:textId="4EF30A70" w:rsidR="00B1286B" w:rsidRDefault="00CA2808">
      <w:pPr>
        <w:pStyle w:val="TOC2"/>
        <w:rPr>
          <w:rFonts w:asciiTheme="minorHAnsi" w:eastAsiaTheme="minorEastAsia" w:hAnsiTheme="minorHAnsi" w:cstheme="minorBidi"/>
          <w:noProof/>
          <w:szCs w:val="22"/>
        </w:rPr>
      </w:pPr>
      <w:hyperlink w:anchor="_Toc182476481" w:history="1">
        <w:r w:rsidR="00B1286B" w:rsidRPr="00485EE7">
          <w:rPr>
            <w:rStyle w:val="affffffe"/>
            <w:noProof/>
            <w14:scene3d>
              <w14:camera w14:prst="orthographicFront"/>
              <w14:lightRig w14:rig="threePt" w14:dir="t">
                <w14:rot w14:lat="0" w14:lon="0" w14:rev="0"/>
              </w14:lightRig>
            </w14:scene3d>
          </w:rPr>
          <w:t>18.7</w:t>
        </w:r>
        <w:r w:rsidR="00B1286B" w:rsidRPr="00485EE7">
          <w:rPr>
            <w:rStyle w:val="affffffe"/>
            <w:noProof/>
          </w:rPr>
          <w:t xml:space="preserve"> 供电调度</w:t>
        </w:r>
        <w:r w:rsidR="00B1286B">
          <w:rPr>
            <w:noProof/>
          </w:rPr>
          <w:tab/>
        </w:r>
        <w:r w:rsidR="00B1286B">
          <w:rPr>
            <w:noProof/>
          </w:rPr>
          <w:fldChar w:fldCharType="begin"/>
        </w:r>
        <w:r w:rsidR="00B1286B">
          <w:rPr>
            <w:noProof/>
          </w:rPr>
          <w:instrText xml:space="preserve"> PAGEREF _Toc182476481 \h </w:instrText>
        </w:r>
        <w:r w:rsidR="00B1286B">
          <w:rPr>
            <w:noProof/>
          </w:rPr>
        </w:r>
        <w:r w:rsidR="00B1286B">
          <w:rPr>
            <w:noProof/>
          </w:rPr>
          <w:fldChar w:fldCharType="separate"/>
        </w:r>
        <w:r w:rsidR="00620087">
          <w:rPr>
            <w:noProof/>
          </w:rPr>
          <w:t>82</w:t>
        </w:r>
        <w:r w:rsidR="00B1286B">
          <w:rPr>
            <w:noProof/>
          </w:rPr>
          <w:fldChar w:fldCharType="end"/>
        </w:r>
      </w:hyperlink>
    </w:p>
    <w:p w14:paraId="70F67E96" w14:textId="3C597E63" w:rsidR="00B1286B" w:rsidRDefault="00CA2808">
      <w:pPr>
        <w:pStyle w:val="TOC2"/>
        <w:rPr>
          <w:rFonts w:asciiTheme="minorHAnsi" w:eastAsiaTheme="minorEastAsia" w:hAnsiTheme="minorHAnsi" w:cstheme="minorBidi"/>
          <w:noProof/>
          <w:szCs w:val="22"/>
        </w:rPr>
      </w:pPr>
      <w:hyperlink w:anchor="_Toc182476482" w:history="1">
        <w:r w:rsidR="00B1286B" w:rsidRPr="00485EE7">
          <w:rPr>
            <w:rStyle w:val="affffffe"/>
            <w:noProof/>
            <w14:scene3d>
              <w14:camera w14:prst="orthographicFront"/>
              <w14:lightRig w14:rig="threePt" w14:dir="t">
                <w14:rot w14:lat="0" w14:lon="0" w14:rev="0"/>
              </w14:lightRig>
            </w14:scene3d>
          </w:rPr>
          <w:t>18.8</w:t>
        </w:r>
        <w:r w:rsidR="00B1286B" w:rsidRPr="00485EE7">
          <w:rPr>
            <w:rStyle w:val="affffffe"/>
            <w:noProof/>
          </w:rPr>
          <w:t xml:space="preserve"> 牵引网</w:t>
        </w:r>
        <w:r w:rsidR="00B1286B">
          <w:rPr>
            <w:noProof/>
          </w:rPr>
          <w:tab/>
        </w:r>
        <w:r w:rsidR="00B1286B">
          <w:rPr>
            <w:noProof/>
          </w:rPr>
          <w:fldChar w:fldCharType="begin"/>
        </w:r>
        <w:r w:rsidR="00B1286B">
          <w:rPr>
            <w:noProof/>
          </w:rPr>
          <w:instrText xml:space="preserve"> PAGEREF _Toc182476482 \h </w:instrText>
        </w:r>
        <w:r w:rsidR="00B1286B">
          <w:rPr>
            <w:noProof/>
          </w:rPr>
        </w:r>
        <w:r w:rsidR="00B1286B">
          <w:rPr>
            <w:noProof/>
          </w:rPr>
          <w:fldChar w:fldCharType="separate"/>
        </w:r>
        <w:r w:rsidR="00620087">
          <w:rPr>
            <w:noProof/>
          </w:rPr>
          <w:t>82</w:t>
        </w:r>
        <w:r w:rsidR="00B1286B">
          <w:rPr>
            <w:noProof/>
          </w:rPr>
          <w:fldChar w:fldCharType="end"/>
        </w:r>
      </w:hyperlink>
    </w:p>
    <w:p w14:paraId="3B6346FD" w14:textId="06CEADE4" w:rsidR="00B1286B" w:rsidRDefault="00CA2808">
      <w:pPr>
        <w:pStyle w:val="TOC2"/>
        <w:rPr>
          <w:rFonts w:asciiTheme="minorHAnsi" w:eastAsiaTheme="minorEastAsia" w:hAnsiTheme="minorHAnsi" w:cstheme="minorBidi"/>
          <w:noProof/>
          <w:szCs w:val="22"/>
        </w:rPr>
      </w:pPr>
      <w:hyperlink w:anchor="_Toc182476483" w:history="1">
        <w:r w:rsidR="00B1286B" w:rsidRPr="00485EE7">
          <w:rPr>
            <w:rStyle w:val="affffffe"/>
            <w:noProof/>
            <w14:scene3d>
              <w14:camera w14:prst="orthographicFront"/>
              <w14:lightRig w14:rig="threePt" w14:dir="t">
                <w14:rot w14:lat="0" w14:lon="0" w14:rev="0"/>
              </w14:lightRig>
            </w14:scene3d>
          </w:rPr>
          <w:t>18.9</w:t>
        </w:r>
        <w:r w:rsidR="00B1286B" w:rsidRPr="00485EE7">
          <w:rPr>
            <w:rStyle w:val="affffffe"/>
            <w:noProof/>
          </w:rPr>
          <w:t xml:space="preserve"> 电磁干扰防护</w:t>
        </w:r>
        <w:r w:rsidR="00B1286B">
          <w:rPr>
            <w:noProof/>
          </w:rPr>
          <w:tab/>
        </w:r>
        <w:r w:rsidR="00B1286B">
          <w:rPr>
            <w:noProof/>
          </w:rPr>
          <w:fldChar w:fldCharType="begin"/>
        </w:r>
        <w:r w:rsidR="00B1286B">
          <w:rPr>
            <w:noProof/>
          </w:rPr>
          <w:instrText xml:space="preserve"> PAGEREF _Toc182476483 \h </w:instrText>
        </w:r>
        <w:r w:rsidR="00B1286B">
          <w:rPr>
            <w:noProof/>
          </w:rPr>
        </w:r>
        <w:r w:rsidR="00B1286B">
          <w:rPr>
            <w:noProof/>
          </w:rPr>
          <w:fldChar w:fldCharType="separate"/>
        </w:r>
        <w:r w:rsidR="00620087">
          <w:rPr>
            <w:noProof/>
          </w:rPr>
          <w:t>88</w:t>
        </w:r>
        <w:r w:rsidR="00B1286B">
          <w:rPr>
            <w:noProof/>
          </w:rPr>
          <w:fldChar w:fldCharType="end"/>
        </w:r>
      </w:hyperlink>
    </w:p>
    <w:p w14:paraId="6AA7338C" w14:textId="70F53E4C" w:rsidR="00B1286B" w:rsidRDefault="00CA2808">
      <w:pPr>
        <w:pStyle w:val="TOC2"/>
        <w:rPr>
          <w:rFonts w:asciiTheme="minorHAnsi" w:eastAsiaTheme="minorEastAsia" w:hAnsiTheme="minorHAnsi" w:cstheme="minorBidi"/>
          <w:noProof/>
          <w:szCs w:val="22"/>
        </w:rPr>
      </w:pPr>
      <w:hyperlink w:anchor="_Toc182476484" w:history="1">
        <w:r w:rsidR="00B1286B" w:rsidRPr="00485EE7">
          <w:rPr>
            <w:rStyle w:val="affffffe"/>
            <w:noProof/>
            <w14:scene3d>
              <w14:camera w14:prst="orthographicFront"/>
              <w14:lightRig w14:rig="threePt" w14:dir="t">
                <w14:rot w14:lat="0" w14:lon="0" w14:rev="0"/>
              </w14:lightRig>
            </w14:scene3d>
          </w:rPr>
          <w:t>18.10</w:t>
        </w:r>
        <w:r w:rsidR="00B1286B" w:rsidRPr="00485EE7">
          <w:rPr>
            <w:rStyle w:val="affffffe"/>
            <w:noProof/>
          </w:rPr>
          <w:t xml:space="preserve"> 杂散电流</w:t>
        </w:r>
        <w:r w:rsidR="00B1286B">
          <w:rPr>
            <w:noProof/>
          </w:rPr>
          <w:tab/>
        </w:r>
        <w:r w:rsidR="00B1286B">
          <w:rPr>
            <w:noProof/>
          </w:rPr>
          <w:fldChar w:fldCharType="begin"/>
        </w:r>
        <w:r w:rsidR="00B1286B">
          <w:rPr>
            <w:noProof/>
          </w:rPr>
          <w:instrText xml:space="preserve"> PAGEREF _Toc182476484 \h </w:instrText>
        </w:r>
        <w:r w:rsidR="00B1286B">
          <w:rPr>
            <w:noProof/>
          </w:rPr>
        </w:r>
        <w:r w:rsidR="00B1286B">
          <w:rPr>
            <w:noProof/>
          </w:rPr>
          <w:fldChar w:fldCharType="separate"/>
        </w:r>
        <w:r w:rsidR="00620087">
          <w:rPr>
            <w:noProof/>
          </w:rPr>
          <w:t>88</w:t>
        </w:r>
        <w:r w:rsidR="00B1286B">
          <w:rPr>
            <w:noProof/>
          </w:rPr>
          <w:fldChar w:fldCharType="end"/>
        </w:r>
      </w:hyperlink>
    </w:p>
    <w:p w14:paraId="2B716152" w14:textId="13699E2D" w:rsidR="00B1286B" w:rsidRDefault="00CA2808">
      <w:pPr>
        <w:pStyle w:val="TOC2"/>
        <w:rPr>
          <w:rFonts w:asciiTheme="minorHAnsi" w:eastAsiaTheme="minorEastAsia" w:hAnsiTheme="minorHAnsi" w:cstheme="minorBidi"/>
          <w:noProof/>
          <w:szCs w:val="22"/>
        </w:rPr>
      </w:pPr>
      <w:hyperlink w:anchor="_Toc182476485" w:history="1">
        <w:r w:rsidR="00B1286B" w:rsidRPr="00485EE7">
          <w:rPr>
            <w:rStyle w:val="affffffe"/>
            <w:noProof/>
            <w14:scene3d>
              <w14:camera w14:prst="orthographicFront"/>
              <w14:lightRig w14:rig="threePt" w14:dir="t">
                <w14:rot w14:lat="0" w14:lon="0" w14:rev="0"/>
              </w14:lightRig>
            </w14:scene3d>
          </w:rPr>
          <w:t>18.11</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_Toc182476485 \h </w:instrText>
        </w:r>
        <w:r w:rsidR="00B1286B">
          <w:rPr>
            <w:noProof/>
          </w:rPr>
        </w:r>
        <w:r w:rsidR="00B1286B">
          <w:rPr>
            <w:noProof/>
          </w:rPr>
          <w:fldChar w:fldCharType="separate"/>
        </w:r>
        <w:r w:rsidR="00620087">
          <w:rPr>
            <w:noProof/>
          </w:rPr>
          <w:t>89</w:t>
        </w:r>
        <w:r w:rsidR="00B1286B">
          <w:rPr>
            <w:noProof/>
          </w:rPr>
          <w:fldChar w:fldCharType="end"/>
        </w:r>
      </w:hyperlink>
    </w:p>
    <w:p w14:paraId="37AF4A00" w14:textId="6C0BBD0A" w:rsidR="00B1286B" w:rsidRDefault="00CA2808">
      <w:pPr>
        <w:pStyle w:val="TOC1"/>
        <w:tabs>
          <w:tab w:val="right" w:leader="dot" w:pos="9344"/>
        </w:tabs>
        <w:rPr>
          <w:rFonts w:asciiTheme="minorHAnsi" w:eastAsiaTheme="minorEastAsia" w:hAnsiTheme="minorHAnsi" w:cstheme="minorBidi"/>
          <w:noProof/>
          <w:szCs w:val="22"/>
        </w:rPr>
      </w:pPr>
      <w:hyperlink w:anchor="_Toc182476486" w:history="1">
        <w:r w:rsidR="00B1286B" w:rsidRPr="00485EE7">
          <w:rPr>
            <w:rStyle w:val="affffffe"/>
            <w:noProof/>
          </w:rPr>
          <w:t>19 通信</w:t>
        </w:r>
        <w:r w:rsidR="00B1286B">
          <w:rPr>
            <w:noProof/>
          </w:rPr>
          <w:tab/>
        </w:r>
        <w:r w:rsidR="00B1286B">
          <w:rPr>
            <w:noProof/>
          </w:rPr>
          <w:fldChar w:fldCharType="begin"/>
        </w:r>
        <w:r w:rsidR="00B1286B">
          <w:rPr>
            <w:noProof/>
          </w:rPr>
          <w:instrText xml:space="preserve"> PAGEREF _Toc182476486 \h </w:instrText>
        </w:r>
        <w:r w:rsidR="00B1286B">
          <w:rPr>
            <w:noProof/>
          </w:rPr>
        </w:r>
        <w:r w:rsidR="00B1286B">
          <w:rPr>
            <w:noProof/>
          </w:rPr>
          <w:fldChar w:fldCharType="separate"/>
        </w:r>
        <w:r w:rsidR="00620087">
          <w:rPr>
            <w:noProof/>
          </w:rPr>
          <w:t>90</w:t>
        </w:r>
        <w:r w:rsidR="00B1286B">
          <w:rPr>
            <w:noProof/>
          </w:rPr>
          <w:fldChar w:fldCharType="end"/>
        </w:r>
      </w:hyperlink>
    </w:p>
    <w:p w14:paraId="5AB6B937" w14:textId="17595EF2" w:rsidR="00B1286B" w:rsidRDefault="00CA2808">
      <w:pPr>
        <w:pStyle w:val="TOC2"/>
        <w:rPr>
          <w:rFonts w:asciiTheme="minorHAnsi" w:eastAsiaTheme="minorEastAsia" w:hAnsiTheme="minorHAnsi" w:cstheme="minorBidi"/>
          <w:noProof/>
          <w:szCs w:val="22"/>
        </w:rPr>
      </w:pPr>
      <w:hyperlink w:anchor="_Toc182476487" w:history="1">
        <w:r w:rsidR="00B1286B" w:rsidRPr="00485EE7">
          <w:rPr>
            <w:rStyle w:val="affffffe"/>
            <w:noProof/>
            <w14:scene3d>
              <w14:camera w14:prst="orthographicFront"/>
              <w14:lightRig w14:rig="threePt" w14:dir="t">
                <w14:rot w14:lat="0" w14:lon="0" w14:rev="0"/>
              </w14:lightRig>
            </w14:scene3d>
          </w:rPr>
          <w:t>19.1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_Toc182476487 \h </w:instrText>
        </w:r>
        <w:r w:rsidR="00B1286B">
          <w:rPr>
            <w:noProof/>
          </w:rPr>
        </w:r>
        <w:r w:rsidR="00B1286B">
          <w:rPr>
            <w:noProof/>
          </w:rPr>
          <w:fldChar w:fldCharType="separate"/>
        </w:r>
        <w:r w:rsidR="00620087">
          <w:rPr>
            <w:noProof/>
          </w:rPr>
          <w:t>90</w:t>
        </w:r>
        <w:r w:rsidR="00B1286B">
          <w:rPr>
            <w:noProof/>
          </w:rPr>
          <w:fldChar w:fldCharType="end"/>
        </w:r>
      </w:hyperlink>
    </w:p>
    <w:p w14:paraId="2EEC5D4E" w14:textId="3353E92A" w:rsidR="00B1286B" w:rsidRDefault="00CA2808">
      <w:pPr>
        <w:pStyle w:val="TOC2"/>
        <w:rPr>
          <w:rFonts w:asciiTheme="minorHAnsi" w:eastAsiaTheme="minorEastAsia" w:hAnsiTheme="minorHAnsi" w:cstheme="minorBidi"/>
          <w:noProof/>
          <w:szCs w:val="22"/>
        </w:rPr>
      </w:pPr>
      <w:hyperlink w:anchor="_Toc182476488" w:history="1">
        <w:r w:rsidR="00B1286B" w:rsidRPr="00485EE7">
          <w:rPr>
            <w:rStyle w:val="affffffe"/>
            <w:noProof/>
            <w14:scene3d>
              <w14:camera w14:prst="orthographicFront"/>
              <w14:lightRig w14:rig="threePt" w14:dir="t">
                <w14:rot w14:lat="0" w14:lon="0" w14:rev="0"/>
              </w14:lightRig>
            </w14:scene3d>
          </w:rPr>
          <w:t>19.2</w:t>
        </w:r>
        <w:r w:rsidR="00B1286B" w:rsidRPr="00485EE7">
          <w:rPr>
            <w:rStyle w:val="affffffe"/>
            <w:noProof/>
          </w:rPr>
          <w:t xml:space="preserve"> 通信线路</w:t>
        </w:r>
        <w:r w:rsidR="00B1286B">
          <w:rPr>
            <w:noProof/>
          </w:rPr>
          <w:tab/>
        </w:r>
        <w:r w:rsidR="00B1286B">
          <w:rPr>
            <w:noProof/>
          </w:rPr>
          <w:fldChar w:fldCharType="begin"/>
        </w:r>
        <w:r w:rsidR="00B1286B">
          <w:rPr>
            <w:noProof/>
          </w:rPr>
          <w:instrText xml:space="preserve"> PAGEREF _Toc182476488 \h </w:instrText>
        </w:r>
        <w:r w:rsidR="00B1286B">
          <w:rPr>
            <w:noProof/>
          </w:rPr>
        </w:r>
        <w:r w:rsidR="00B1286B">
          <w:rPr>
            <w:noProof/>
          </w:rPr>
          <w:fldChar w:fldCharType="separate"/>
        </w:r>
        <w:r w:rsidR="00620087">
          <w:rPr>
            <w:noProof/>
          </w:rPr>
          <w:t>90</w:t>
        </w:r>
        <w:r w:rsidR="00B1286B">
          <w:rPr>
            <w:noProof/>
          </w:rPr>
          <w:fldChar w:fldCharType="end"/>
        </w:r>
      </w:hyperlink>
    </w:p>
    <w:p w14:paraId="3CC44982" w14:textId="5C81743F" w:rsidR="00B1286B" w:rsidRDefault="00CA2808">
      <w:pPr>
        <w:pStyle w:val="TOC2"/>
        <w:rPr>
          <w:rFonts w:asciiTheme="minorHAnsi" w:eastAsiaTheme="minorEastAsia" w:hAnsiTheme="minorHAnsi" w:cstheme="minorBidi"/>
          <w:noProof/>
          <w:szCs w:val="22"/>
        </w:rPr>
      </w:pPr>
      <w:hyperlink w:anchor="_Toc182476489" w:history="1">
        <w:r w:rsidR="00B1286B" w:rsidRPr="00485EE7">
          <w:rPr>
            <w:rStyle w:val="affffffe"/>
            <w:noProof/>
            <w14:scene3d>
              <w14:camera w14:prst="orthographicFront"/>
              <w14:lightRig w14:rig="threePt" w14:dir="t">
                <w14:rot w14:lat="0" w14:lon="0" w14:rev="0"/>
              </w14:lightRig>
            </w14:scene3d>
          </w:rPr>
          <w:t>19.3</w:t>
        </w:r>
        <w:r w:rsidR="00B1286B" w:rsidRPr="00485EE7">
          <w:rPr>
            <w:rStyle w:val="affffffe"/>
            <w:noProof/>
          </w:rPr>
          <w:t xml:space="preserve"> 传输系统</w:t>
        </w:r>
        <w:r w:rsidR="00B1286B">
          <w:rPr>
            <w:noProof/>
          </w:rPr>
          <w:tab/>
        </w:r>
        <w:r w:rsidR="00B1286B">
          <w:rPr>
            <w:noProof/>
          </w:rPr>
          <w:fldChar w:fldCharType="begin"/>
        </w:r>
        <w:r w:rsidR="00B1286B">
          <w:rPr>
            <w:noProof/>
          </w:rPr>
          <w:instrText xml:space="preserve"> PAGEREF _Toc182476489 \h </w:instrText>
        </w:r>
        <w:r w:rsidR="00B1286B">
          <w:rPr>
            <w:noProof/>
          </w:rPr>
        </w:r>
        <w:r w:rsidR="00B1286B">
          <w:rPr>
            <w:noProof/>
          </w:rPr>
          <w:fldChar w:fldCharType="separate"/>
        </w:r>
        <w:r w:rsidR="00620087">
          <w:rPr>
            <w:noProof/>
          </w:rPr>
          <w:t>91</w:t>
        </w:r>
        <w:r w:rsidR="00B1286B">
          <w:rPr>
            <w:noProof/>
          </w:rPr>
          <w:fldChar w:fldCharType="end"/>
        </w:r>
      </w:hyperlink>
    </w:p>
    <w:p w14:paraId="5144E7B4" w14:textId="062E9193" w:rsidR="00B1286B" w:rsidRDefault="00CA2808">
      <w:pPr>
        <w:pStyle w:val="TOC2"/>
        <w:rPr>
          <w:rFonts w:asciiTheme="minorHAnsi" w:eastAsiaTheme="minorEastAsia" w:hAnsiTheme="minorHAnsi" w:cstheme="minorBidi"/>
          <w:noProof/>
          <w:szCs w:val="22"/>
        </w:rPr>
      </w:pPr>
      <w:hyperlink w:anchor="_Toc182476490" w:history="1">
        <w:r w:rsidR="00B1286B" w:rsidRPr="00485EE7">
          <w:rPr>
            <w:rStyle w:val="affffffe"/>
            <w:noProof/>
            <w14:scene3d>
              <w14:camera w14:prst="orthographicFront"/>
              <w14:lightRig w14:rig="threePt" w14:dir="t">
                <w14:rot w14:lat="0" w14:lon="0" w14:rev="0"/>
              </w14:lightRig>
            </w14:scene3d>
          </w:rPr>
          <w:t>19.4</w:t>
        </w:r>
        <w:r w:rsidR="00B1286B" w:rsidRPr="00485EE7">
          <w:rPr>
            <w:rStyle w:val="affffffe"/>
            <w:noProof/>
          </w:rPr>
          <w:t xml:space="preserve"> 公务电话系统</w:t>
        </w:r>
        <w:r w:rsidR="00B1286B">
          <w:rPr>
            <w:noProof/>
          </w:rPr>
          <w:tab/>
        </w:r>
        <w:r w:rsidR="00B1286B">
          <w:rPr>
            <w:noProof/>
          </w:rPr>
          <w:fldChar w:fldCharType="begin"/>
        </w:r>
        <w:r w:rsidR="00B1286B">
          <w:rPr>
            <w:noProof/>
          </w:rPr>
          <w:instrText xml:space="preserve"> PAGEREF _Toc182476490 \h </w:instrText>
        </w:r>
        <w:r w:rsidR="00B1286B">
          <w:rPr>
            <w:noProof/>
          </w:rPr>
        </w:r>
        <w:r w:rsidR="00B1286B">
          <w:rPr>
            <w:noProof/>
          </w:rPr>
          <w:fldChar w:fldCharType="separate"/>
        </w:r>
        <w:r w:rsidR="00620087">
          <w:rPr>
            <w:noProof/>
          </w:rPr>
          <w:t>91</w:t>
        </w:r>
        <w:r w:rsidR="00B1286B">
          <w:rPr>
            <w:noProof/>
          </w:rPr>
          <w:fldChar w:fldCharType="end"/>
        </w:r>
      </w:hyperlink>
    </w:p>
    <w:p w14:paraId="5B79B84F" w14:textId="0B609941" w:rsidR="00B1286B" w:rsidRDefault="00CA2808">
      <w:pPr>
        <w:pStyle w:val="TOC2"/>
        <w:rPr>
          <w:rFonts w:asciiTheme="minorHAnsi" w:eastAsiaTheme="minorEastAsia" w:hAnsiTheme="minorHAnsi" w:cstheme="minorBidi"/>
          <w:noProof/>
          <w:szCs w:val="22"/>
        </w:rPr>
      </w:pPr>
      <w:hyperlink w:anchor="_Toc182476491" w:history="1">
        <w:r w:rsidR="00B1286B" w:rsidRPr="00485EE7">
          <w:rPr>
            <w:rStyle w:val="affffffe"/>
            <w:noProof/>
            <w14:scene3d>
              <w14:camera w14:prst="orthographicFront"/>
              <w14:lightRig w14:rig="threePt" w14:dir="t">
                <w14:rot w14:lat="0" w14:lon="0" w14:rev="0"/>
              </w14:lightRig>
            </w14:scene3d>
          </w:rPr>
          <w:t>19.5</w:t>
        </w:r>
        <w:r w:rsidR="00B1286B" w:rsidRPr="00485EE7">
          <w:rPr>
            <w:rStyle w:val="affffffe"/>
            <w:noProof/>
          </w:rPr>
          <w:t xml:space="preserve"> 有线调度通信系统</w:t>
        </w:r>
        <w:r w:rsidR="00B1286B">
          <w:rPr>
            <w:noProof/>
          </w:rPr>
          <w:tab/>
        </w:r>
        <w:r w:rsidR="00B1286B">
          <w:rPr>
            <w:noProof/>
          </w:rPr>
          <w:fldChar w:fldCharType="begin"/>
        </w:r>
        <w:r w:rsidR="00B1286B">
          <w:rPr>
            <w:noProof/>
          </w:rPr>
          <w:instrText xml:space="preserve"> PAGEREF _Toc182476491 \h </w:instrText>
        </w:r>
        <w:r w:rsidR="00B1286B">
          <w:rPr>
            <w:noProof/>
          </w:rPr>
        </w:r>
        <w:r w:rsidR="00B1286B">
          <w:rPr>
            <w:noProof/>
          </w:rPr>
          <w:fldChar w:fldCharType="separate"/>
        </w:r>
        <w:r w:rsidR="00620087">
          <w:rPr>
            <w:noProof/>
          </w:rPr>
          <w:t>92</w:t>
        </w:r>
        <w:r w:rsidR="00B1286B">
          <w:rPr>
            <w:noProof/>
          </w:rPr>
          <w:fldChar w:fldCharType="end"/>
        </w:r>
      </w:hyperlink>
    </w:p>
    <w:p w14:paraId="67A09952" w14:textId="3042D594" w:rsidR="00B1286B" w:rsidRDefault="00CA2808">
      <w:pPr>
        <w:pStyle w:val="TOC2"/>
        <w:rPr>
          <w:rFonts w:asciiTheme="minorHAnsi" w:eastAsiaTheme="minorEastAsia" w:hAnsiTheme="minorHAnsi" w:cstheme="minorBidi"/>
          <w:noProof/>
          <w:szCs w:val="22"/>
        </w:rPr>
      </w:pPr>
      <w:hyperlink w:anchor="_Toc182476492" w:history="1">
        <w:r w:rsidR="00B1286B" w:rsidRPr="00485EE7">
          <w:rPr>
            <w:rStyle w:val="affffffe"/>
            <w:noProof/>
            <w14:scene3d>
              <w14:camera w14:prst="orthographicFront"/>
              <w14:lightRig w14:rig="threePt" w14:dir="t">
                <w14:rot w14:lat="0" w14:lon="0" w14:rev="0"/>
              </w14:lightRig>
            </w14:scene3d>
          </w:rPr>
          <w:t>19.6</w:t>
        </w:r>
        <w:r w:rsidR="00B1286B" w:rsidRPr="00485EE7">
          <w:rPr>
            <w:rStyle w:val="affffffe"/>
            <w:noProof/>
          </w:rPr>
          <w:t xml:space="preserve"> 移动通信系统</w:t>
        </w:r>
        <w:r w:rsidR="00B1286B">
          <w:rPr>
            <w:noProof/>
          </w:rPr>
          <w:tab/>
        </w:r>
        <w:r w:rsidR="00B1286B">
          <w:rPr>
            <w:noProof/>
          </w:rPr>
          <w:fldChar w:fldCharType="begin"/>
        </w:r>
        <w:r w:rsidR="00B1286B">
          <w:rPr>
            <w:noProof/>
          </w:rPr>
          <w:instrText xml:space="preserve"> PAGEREF _Toc182476492 \h </w:instrText>
        </w:r>
        <w:r w:rsidR="00B1286B">
          <w:rPr>
            <w:noProof/>
          </w:rPr>
        </w:r>
        <w:r w:rsidR="00B1286B">
          <w:rPr>
            <w:noProof/>
          </w:rPr>
          <w:fldChar w:fldCharType="separate"/>
        </w:r>
        <w:r w:rsidR="00620087">
          <w:rPr>
            <w:noProof/>
          </w:rPr>
          <w:t>92</w:t>
        </w:r>
        <w:r w:rsidR="00B1286B">
          <w:rPr>
            <w:noProof/>
          </w:rPr>
          <w:fldChar w:fldCharType="end"/>
        </w:r>
      </w:hyperlink>
    </w:p>
    <w:p w14:paraId="1726CAD7" w14:textId="4CED3EA8" w:rsidR="00B1286B" w:rsidRDefault="00CA2808">
      <w:pPr>
        <w:pStyle w:val="TOC2"/>
        <w:rPr>
          <w:rFonts w:asciiTheme="minorHAnsi" w:eastAsiaTheme="minorEastAsia" w:hAnsiTheme="minorHAnsi" w:cstheme="minorBidi"/>
          <w:noProof/>
          <w:szCs w:val="22"/>
        </w:rPr>
      </w:pPr>
      <w:hyperlink w:anchor="_Toc182476493" w:history="1">
        <w:r w:rsidR="00B1286B" w:rsidRPr="00485EE7">
          <w:rPr>
            <w:rStyle w:val="affffffe"/>
            <w:noProof/>
            <w14:scene3d>
              <w14:camera w14:prst="orthographicFront"/>
              <w14:lightRig w14:rig="threePt" w14:dir="t">
                <w14:rot w14:lat="0" w14:lon="0" w14:rev="0"/>
              </w14:lightRig>
            </w14:scene3d>
          </w:rPr>
          <w:t>19.7</w:t>
        </w:r>
        <w:r w:rsidR="00B1286B" w:rsidRPr="00485EE7">
          <w:rPr>
            <w:rStyle w:val="affffffe"/>
            <w:noProof/>
          </w:rPr>
          <w:t xml:space="preserve"> 会议电视系统</w:t>
        </w:r>
        <w:r w:rsidR="00B1286B">
          <w:rPr>
            <w:noProof/>
          </w:rPr>
          <w:tab/>
        </w:r>
        <w:r w:rsidR="00B1286B">
          <w:rPr>
            <w:noProof/>
          </w:rPr>
          <w:fldChar w:fldCharType="begin"/>
        </w:r>
        <w:r w:rsidR="00B1286B">
          <w:rPr>
            <w:noProof/>
          </w:rPr>
          <w:instrText xml:space="preserve"> PAGEREF _Toc182476493 \h </w:instrText>
        </w:r>
        <w:r w:rsidR="00B1286B">
          <w:rPr>
            <w:noProof/>
          </w:rPr>
        </w:r>
        <w:r w:rsidR="00B1286B">
          <w:rPr>
            <w:noProof/>
          </w:rPr>
          <w:fldChar w:fldCharType="separate"/>
        </w:r>
        <w:r w:rsidR="00620087">
          <w:rPr>
            <w:noProof/>
          </w:rPr>
          <w:t>93</w:t>
        </w:r>
        <w:r w:rsidR="00B1286B">
          <w:rPr>
            <w:noProof/>
          </w:rPr>
          <w:fldChar w:fldCharType="end"/>
        </w:r>
      </w:hyperlink>
    </w:p>
    <w:p w14:paraId="46404ABC" w14:textId="6E71FBB6" w:rsidR="00B1286B" w:rsidRDefault="00CA2808">
      <w:pPr>
        <w:pStyle w:val="TOC2"/>
        <w:rPr>
          <w:rFonts w:asciiTheme="minorHAnsi" w:eastAsiaTheme="minorEastAsia" w:hAnsiTheme="minorHAnsi" w:cstheme="minorBidi"/>
          <w:noProof/>
          <w:szCs w:val="22"/>
        </w:rPr>
      </w:pPr>
      <w:hyperlink w:anchor="_Toc182476494" w:history="1">
        <w:r w:rsidR="00B1286B" w:rsidRPr="00485EE7">
          <w:rPr>
            <w:rStyle w:val="affffffe"/>
            <w:noProof/>
            <w14:scene3d>
              <w14:camera w14:prst="orthographicFront"/>
              <w14:lightRig w14:rig="threePt" w14:dir="t">
                <w14:rot w14:lat="0" w14:lon="0" w14:rev="0"/>
              </w14:lightRig>
            </w14:scene3d>
          </w:rPr>
          <w:t>19.8</w:t>
        </w:r>
        <w:r w:rsidR="00B1286B" w:rsidRPr="00485EE7">
          <w:rPr>
            <w:rStyle w:val="affffffe"/>
            <w:noProof/>
          </w:rPr>
          <w:t xml:space="preserve"> 综合视频监控系统</w:t>
        </w:r>
        <w:r w:rsidR="00B1286B">
          <w:rPr>
            <w:noProof/>
          </w:rPr>
          <w:tab/>
        </w:r>
        <w:r w:rsidR="00B1286B">
          <w:rPr>
            <w:noProof/>
          </w:rPr>
          <w:fldChar w:fldCharType="begin"/>
        </w:r>
        <w:r w:rsidR="00B1286B">
          <w:rPr>
            <w:noProof/>
          </w:rPr>
          <w:instrText xml:space="preserve"> PAGEREF _Toc182476494 \h </w:instrText>
        </w:r>
        <w:r w:rsidR="00B1286B">
          <w:rPr>
            <w:noProof/>
          </w:rPr>
        </w:r>
        <w:r w:rsidR="00B1286B">
          <w:rPr>
            <w:noProof/>
          </w:rPr>
          <w:fldChar w:fldCharType="separate"/>
        </w:r>
        <w:r w:rsidR="00620087">
          <w:rPr>
            <w:noProof/>
          </w:rPr>
          <w:t>93</w:t>
        </w:r>
        <w:r w:rsidR="00B1286B">
          <w:rPr>
            <w:noProof/>
          </w:rPr>
          <w:fldChar w:fldCharType="end"/>
        </w:r>
      </w:hyperlink>
    </w:p>
    <w:p w14:paraId="2B7FE3B7" w14:textId="157E6174" w:rsidR="00B1286B" w:rsidRDefault="00CA2808">
      <w:pPr>
        <w:pStyle w:val="TOC2"/>
        <w:rPr>
          <w:rFonts w:asciiTheme="minorHAnsi" w:eastAsiaTheme="minorEastAsia" w:hAnsiTheme="minorHAnsi" w:cstheme="minorBidi"/>
          <w:noProof/>
          <w:szCs w:val="22"/>
        </w:rPr>
      </w:pPr>
      <w:hyperlink w:anchor="_Toc182476495" w:history="1">
        <w:r w:rsidR="00B1286B" w:rsidRPr="00485EE7">
          <w:rPr>
            <w:rStyle w:val="affffffe"/>
            <w:noProof/>
            <w14:scene3d>
              <w14:camera w14:prst="orthographicFront"/>
              <w14:lightRig w14:rig="threePt" w14:dir="t">
                <w14:rot w14:lat="0" w14:lon="0" w14:rev="0"/>
              </w14:lightRig>
            </w14:scene3d>
          </w:rPr>
          <w:t>19.9</w:t>
        </w:r>
        <w:r w:rsidR="00B1286B" w:rsidRPr="00485EE7">
          <w:rPr>
            <w:rStyle w:val="affffffe"/>
            <w:noProof/>
          </w:rPr>
          <w:t xml:space="preserve"> 时钟同步及时间同步系统</w:t>
        </w:r>
        <w:r w:rsidR="00B1286B">
          <w:rPr>
            <w:noProof/>
          </w:rPr>
          <w:tab/>
        </w:r>
        <w:r w:rsidR="00B1286B">
          <w:rPr>
            <w:noProof/>
          </w:rPr>
          <w:fldChar w:fldCharType="begin"/>
        </w:r>
        <w:r w:rsidR="00B1286B">
          <w:rPr>
            <w:noProof/>
          </w:rPr>
          <w:instrText xml:space="preserve"> PAGEREF _Toc182476495 \h </w:instrText>
        </w:r>
        <w:r w:rsidR="00B1286B">
          <w:rPr>
            <w:noProof/>
          </w:rPr>
        </w:r>
        <w:r w:rsidR="00B1286B">
          <w:rPr>
            <w:noProof/>
          </w:rPr>
          <w:fldChar w:fldCharType="separate"/>
        </w:r>
        <w:r w:rsidR="00620087">
          <w:rPr>
            <w:noProof/>
          </w:rPr>
          <w:t>94</w:t>
        </w:r>
        <w:r w:rsidR="00B1286B">
          <w:rPr>
            <w:noProof/>
          </w:rPr>
          <w:fldChar w:fldCharType="end"/>
        </w:r>
      </w:hyperlink>
    </w:p>
    <w:p w14:paraId="644FC004" w14:textId="7A7A1862" w:rsidR="00B1286B" w:rsidRDefault="00CA2808">
      <w:pPr>
        <w:pStyle w:val="TOC2"/>
        <w:rPr>
          <w:rFonts w:asciiTheme="minorHAnsi" w:eastAsiaTheme="minorEastAsia" w:hAnsiTheme="minorHAnsi" w:cstheme="minorBidi"/>
          <w:noProof/>
          <w:szCs w:val="22"/>
        </w:rPr>
      </w:pPr>
      <w:hyperlink w:anchor="_Toc182476496" w:history="1">
        <w:r w:rsidR="00B1286B" w:rsidRPr="00485EE7">
          <w:rPr>
            <w:rStyle w:val="affffffe"/>
            <w:noProof/>
            <w14:scene3d>
              <w14:camera w14:prst="orthographicFront"/>
              <w14:lightRig w14:rig="threePt" w14:dir="t">
                <w14:rot w14:lat="0" w14:lon="0" w14:rev="0"/>
              </w14:lightRig>
            </w14:scene3d>
          </w:rPr>
          <w:t>19.10</w:t>
        </w:r>
        <w:r w:rsidR="00B1286B" w:rsidRPr="00485EE7">
          <w:rPr>
            <w:rStyle w:val="affffffe"/>
            <w:noProof/>
          </w:rPr>
          <w:t xml:space="preserve"> 电源及接地系统</w:t>
        </w:r>
        <w:r w:rsidR="00B1286B">
          <w:rPr>
            <w:noProof/>
          </w:rPr>
          <w:tab/>
        </w:r>
        <w:r w:rsidR="00B1286B">
          <w:rPr>
            <w:noProof/>
          </w:rPr>
          <w:fldChar w:fldCharType="begin"/>
        </w:r>
        <w:r w:rsidR="00B1286B">
          <w:rPr>
            <w:noProof/>
          </w:rPr>
          <w:instrText xml:space="preserve"> PAGEREF _Toc182476496 \h </w:instrText>
        </w:r>
        <w:r w:rsidR="00B1286B">
          <w:rPr>
            <w:noProof/>
          </w:rPr>
        </w:r>
        <w:r w:rsidR="00B1286B">
          <w:rPr>
            <w:noProof/>
          </w:rPr>
          <w:fldChar w:fldCharType="separate"/>
        </w:r>
        <w:r w:rsidR="00620087">
          <w:rPr>
            <w:noProof/>
          </w:rPr>
          <w:t>94</w:t>
        </w:r>
        <w:r w:rsidR="00B1286B">
          <w:rPr>
            <w:noProof/>
          </w:rPr>
          <w:fldChar w:fldCharType="end"/>
        </w:r>
      </w:hyperlink>
    </w:p>
    <w:p w14:paraId="62863FCE" w14:textId="4689B2FE" w:rsidR="00B1286B" w:rsidRDefault="00CA2808">
      <w:pPr>
        <w:pStyle w:val="TOC2"/>
        <w:rPr>
          <w:rFonts w:asciiTheme="minorHAnsi" w:eastAsiaTheme="minorEastAsia" w:hAnsiTheme="minorHAnsi" w:cstheme="minorBidi"/>
          <w:noProof/>
          <w:szCs w:val="22"/>
        </w:rPr>
      </w:pPr>
      <w:hyperlink w:anchor="_Toc182476497" w:history="1">
        <w:r w:rsidR="00B1286B" w:rsidRPr="00485EE7">
          <w:rPr>
            <w:rStyle w:val="affffffe"/>
            <w:noProof/>
            <w14:scene3d>
              <w14:camera w14:prst="orthographicFront"/>
              <w14:lightRig w14:rig="threePt" w14:dir="t">
                <w14:rot w14:lat="0" w14:lon="0" w14:rev="0"/>
              </w14:lightRig>
            </w14:scene3d>
          </w:rPr>
          <w:t>19.11</w:t>
        </w:r>
        <w:r w:rsidR="00B1286B" w:rsidRPr="00485EE7">
          <w:rPr>
            <w:rStyle w:val="affffffe"/>
            <w:noProof/>
          </w:rPr>
          <w:t xml:space="preserve"> 电源及设备环境监控系统</w:t>
        </w:r>
        <w:r w:rsidR="00B1286B">
          <w:rPr>
            <w:noProof/>
          </w:rPr>
          <w:tab/>
        </w:r>
        <w:r w:rsidR="00B1286B">
          <w:rPr>
            <w:noProof/>
          </w:rPr>
          <w:fldChar w:fldCharType="begin"/>
        </w:r>
        <w:r w:rsidR="00B1286B">
          <w:rPr>
            <w:noProof/>
          </w:rPr>
          <w:instrText xml:space="preserve"> PAGEREF _Toc182476497 \h </w:instrText>
        </w:r>
        <w:r w:rsidR="00B1286B">
          <w:rPr>
            <w:noProof/>
          </w:rPr>
        </w:r>
        <w:r w:rsidR="00B1286B">
          <w:rPr>
            <w:noProof/>
          </w:rPr>
          <w:fldChar w:fldCharType="separate"/>
        </w:r>
        <w:r w:rsidR="00620087">
          <w:rPr>
            <w:noProof/>
          </w:rPr>
          <w:t>94</w:t>
        </w:r>
        <w:r w:rsidR="00B1286B">
          <w:rPr>
            <w:noProof/>
          </w:rPr>
          <w:fldChar w:fldCharType="end"/>
        </w:r>
      </w:hyperlink>
    </w:p>
    <w:p w14:paraId="534AA052" w14:textId="64B603FD" w:rsidR="00B1286B" w:rsidRDefault="00CA2808">
      <w:pPr>
        <w:pStyle w:val="TOC2"/>
        <w:rPr>
          <w:rFonts w:asciiTheme="minorHAnsi" w:eastAsiaTheme="minorEastAsia" w:hAnsiTheme="minorHAnsi" w:cstheme="minorBidi"/>
          <w:noProof/>
          <w:szCs w:val="22"/>
        </w:rPr>
      </w:pPr>
      <w:hyperlink w:anchor="_Toc182476498" w:history="1">
        <w:r w:rsidR="00B1286B" w:rsidRPr="00485EE7">
          <w:rPr>
            <w:rStyle w:val="affffffe"/>
            <w:noProof/>
            <w14:scene3d>
              <w14:camera w14:prst="orthographicFront"/>
              <w14:lightRig w14:rig="threePt" w14:dir="t">
                <w14:rot w14:lat="0" w14:lon="0" w14:rev="0"/>
              </w14:lightRig>
            </w14:scene3d>
          </w:rPr>
          <w:t>19.12</w:t>
        </w:r>
        <w:r w:rsidR="00B1286B" w:rsidRPr="00485EE7">
          <w:rPr>
            <w:rStyle w:val="affffffe"/>
            <w:noProof/>
          </w:rPr>
          <w:t xml:space="preserve"> 通信安全防护</w:t>
        </w:r>
        <w:r w:rsidR="00B1286B">
          <w:rPr>
            <w:noProof/>
          </w:rPr>
          <w:tab/>
        </w:r>
        <w:r w:rsidR="00B1286B">
          <w:rPr>
            <w:noProof/>
          </w:rPr>
          <w:fldChar w:fldCharType="begin"/>
        </w:r>
        <w:r w:rsidR="00B1286B">
          <w:rPr>
            <w:noProof/>
          </w:rPr>
          <w:instrText xml:space="preserve"> PAGEREF _Toc182476498 \h </w:instrText>
        </w:r>
        <w:r w:rsidR="00B1286B">
          <w:rPr>
            <w:noProof/>
          </w:rPr>
        </w:r>
        <w:r w:rsidR="00B1286B">
          <w:rPr>
            <w:noProof/>
          </w:rPr>
          <w:fldChar w:fldCharType="separate"/>
        </w:r>
        <w:r w:rsidR="00620087">
          <w:rPr>
            <w:noProof/>
          </w:rPr>
          <w:t>95</w:t>
        </w:r>
        <w:r w:rsidR="00B1286B">
          <w:rPr>
            <w:noProof/>
          </w:rPr>
          <w:fldChar w:fldCharType="end"/>
        </w:r>
      </w:hyperlink>
    </w:p>
    <w:p w14:paraId="70F54580" w14:textId="388E8830" w:rsidR="00B1286B" w:rsidRDefault="00CA2808">
      <w:pPr>
        <w:pStyle w:val="TOC2"/>
        <w:rPr>
          <w:rFonts w:asciiTheme="minorHAnsi" w:eastAsiaTheme="minorEastAsia" w:hAnsiTheme="minorHAnsi" w:cstheme="minorBidi"/>
          <w:noProof/>
          <w:szCs w:val="22"/>
        </w:rPr>
      </w:pPr>
      <w:hyperlink w:anchor="_Toc182476499" w:history="1">
        <w:r w:rsidR="00B1286B" w:rsidRPr="00485EE7">
          <w:rPr>
            <w:rStyle w:val="affffffe"/>
            <w:noProof/>
            <w14:scene3d>
              <w14:camera w14:prst="orthographicFront"/>
              <w14:lightRig w14:rig="threePt" w14:dir="t">
                <w14:rot w14:lat="0" w14:lon="0" w14:rev="0"/>
              </w14:lightRig>
            </w14:scene3d>
          </w:rPr>
          <w:t>19.13</w:t>
        </w:r>
        <w:r w:rsidR="00B1286B" w:rsidRPr="00485EE7">
          <w:rPr>
            <w:rStyle w:val="affffffe"/>
            <w:noProof/>
          </w:rPr>
          <w:t xml:space="preserve"> 公安通信系统</w:t>
        </w:r>
        <w:r w:rsidR="00B1286B">
          <w:rPr>
            <w:noProof/>
          </w:rPr>
          <w:tab/>
        </w:r>
        <w:r w:rsidR="00B1286B">
          <w:rPr>
            <w:noProof/>
          </w:rPr>
          <w:fldChar w:fldCharType="begin"/>
        </w:r>
        <w:r w:rsidR="00B1286B">
          <w:rPr>
            <w:noProof/>
          </w:rPr>
          <w:instrText xml:space="preserve"> PAGEREF _Toc182476499 \h </w:instrText>
        </w:r>
        <w:r w:rsidR="00B1286B">
          <w:rPr>
            <w:noProof/>
          </w:rPr>
        </w:r>
        <w:r w:rsidR="00B1286B">
          <w:rPr>
            <w:noProof/>
          </w:rPr>
          <w:fldChar w:fldCharType="separate"/>
        </w:r>
        <w:r w:rsidR="00620087">
          <w:rPr>
            <w:noProof/>
          </w:rPr>
          <w:t>95</w:t>
        </w:r>
        <w:r w:rsidR="00B1286B">
          <w:rPr>
            <w:noProof/>
          </w:rPr>
          <w:fldChar w:fldCharType="end"/>
        </w:r>
      </w:hyperlink>
    </w:p>
    <w:p w14:paraId="0C7825EE" w14:textId="01C30577" w:rsidR="00B1286B" w:rsidRDefault="00CA2808">
      <w:pPr>
        <w:pStyle w:val="TOC2"/>
        <w:rPr>
          <w:rFonts w:asciiTheme="minorHAnsi" w:eastAsiaTheme="minorEastAsia" w:hAnsiTheme="minorHAnsi" w:cstheme="minorBidi"/>
          <w:noProof/>
          <w:szCs w:val="22"/>
        </w:rPr>
      </w:pPr>
      <w:hyperlink w:anchor="_Toc182476500" w:history="1">
        <w:r w:rsidR="00B1286B" w:rsidRPr="00485EE7">
          <w:rPr>
            <w:rStyle w:val="affffffe"/>
            <w:noProof/>
            <w14:scene3d>
              <w14:camera w14:prst="orthographicFront"/>
              <w14:lightRig w14:rig="threePt" w14:dir="t">
                <w14:rot w14:lat="0" w14:lon="0" w14:rev="0"/>
              </w14:lightRig>
            </w14:scene3d>
          </w:rPr>
          <w:t>19.14</w:t>
        </w:r>
        <w:r w:rsidR="00B1286B" w:rsidRPr="00485EE7">
          <w:rPr>
            <w:rStyle w:val="affffffe"/>
            <w:noProof/>
          </w:rPr>
          <w:t xml:space="preserve"> 民用通信引入系统</w:t>
        </w:r>
        <w:r w:rsidR="00B1286B">
          <w:rPr>
            <w:noProof/>
          </w:rPr>
          <w:tab/>
        </w:r>
        <w:r w:rsidR="00B1286B">
          <w:rPr>
            <w:noProof/>
          </w:rPr>
          <w:fldChar w:fldCharType="begin"/>
        </w:r>
        <w:r w:rsidR="00B1286B">
          <w:rPr>
            <w:noProof/>
          </w:rPr>
          <w:instrText xml:space="preserve"> PAGEREF _Toc182476500 \h </w:instrText>
        </w:r>
        <w:r w:rsidR="00B1286B">
          <w:rPr>
            <w:noProof/>
          </w:rPr>
        </w:r>
        <w:r w:rsidR="00B1286B">
          <w:rPr>
            <w:noProof/>
          </w:rPr>
          <w:fldChar w:fldCharType="separate"/>
        </w:r>
        <w:r w:rsidR="00620087">
          <w:rPr>
            <w:noProof/>
          </w:rPr>
          <w:t>95</w:t>
        </w:r>
        <w:r w:rsidR="00B1286B">
          <w:rPr>
            <w:noProof/>
          </w:rPr>
          <w:fldChar w:fldCharType="end"/>
        </w:r>
      </w:hyperlink>
    </w:p>
    <w:p w14:paraId="7853DA9F" w14:textId="157BA3B7" w:rsidR="00B1286B" w:rsidRDefault="00CA2808">
      <w:pPr>
        <w:pStyle w:val="TOC2"/>
        <w:rPr>
          <w:rFonts w:asciiTheme="minorHAnsi" w:eastAsiaTheme="minorEastAsia" w:hAnsiTheme="minorHAnsi" w:cstheme="minorBidi"/>
          <w:noProof/>
          <w:szCs w:val="22"/>
        </w:rPr>
      </w:pPr>
      <w:hyperlink w:anchor="_Toc182476501" w:history="1">
        <w:r w:rsidR="00B1286B" w:rsidRPr="00485EE7">
          <w:rPr>
            <w:rStyle w:val="affffffe"/>
            <w:noProof/>
            <w14:scene3d>
              <w14:camera w14:prst="orthographicFront"/>
              <w14:lightRig w14:rig="threePt" w14:dir="t">
                <w14:rot w14:lat="0" w14:lon="0" w14:rev="0"/>
              </w14:lightRig>
            </w14:scene3d>
          </w:rPr>
          <w:t>19.15</w:t>
        </w:r>
        <w:r w:rsidR="00B1286B" w:rsidRPr="00485EE7">
          <w:rPr>
            <w:rStyle w:val="affffffe"/>
            <w:noProof/>
          </w:rPr>
          <w:t xml:space="preserve"> 通信设备运行环境</w:t>
        </w:r>
        <w:r w:rsidR="00B1286B">
          <w:rPr>
            <w:noProof/>
          </w:rPr>
          <w:tab/>
        </w:r>
        <w:r w:rsidR="00B1286B">
          <w:rPr>
            <w:noProof/>
          </w:rPr>
          <w:fldChar w:fldCharType="begin"/>
        </w:r>
        <w:r w:rsidR="00B1286B">
          <w:rPr>
            <w:noProof/>
          </w:rPr>
          <w:instrText xml:space="preserve"> PAGEREF _Toc182476501 \h </w:instrText>
        </w:r>
        <w:r w:rsidR="00B1286B">
          <w:rPr>
            <w:noProof/>
          </w:rPr>
        </w:r>
        <w:r w:rsidR="00B1286B">
          <w:rPr>
            <w:noProof/>
          </w:rPr>
          <w:fldChar w:fldCharType="separate"/>
        </w:r>
        <w:r w:rsidR="00620087">
          <w:rPr>
            <w:noProof/>
          </w:rPr>
          <w:t>95</w:t>
        </w:r>
        <w:r w:rsidR="00B1286B">
          <w:rPr>
            <w:noProof/>
          </w:rPr>
          <w:fldChar w:fldCharType="end"/>
        </w:r>
      </w:hyperlink>
    </w:p>
    <w:p w14:paraId="43F70AAF" w14:textId="31B170B1" w:rsidR="00B1286B" w:rsidRDefault="00CA2808">
      <w:pPr>
        <w:pStyle w:val="TOC2"/>
        <w:rPr>
          <w:rFonts w:asciiTheme="minorHAnsi" w:eastAsiaTheme="minorEastAsia" w:hAnsiTheme="minorHAnsi" w:cstheme="minorBidi"/>
          <w:noProof/>
          <w:szCs w:val="22"/>
        </w:rPr>
      </w:pPr>
      <w:hyperlink w:anchor="_Toc182476502" w:history="1">
        <w:r w:rsidR="00B1286B" w:rsidRPr="00485EE7">
          <w:rPr>
            <w:rStyle w:val="affffffe"/>
            <w:noProof/>
            <w14:scene3d>
              <w14:camera w14:prst="orthographicFront"/>
              <w14:lightRig w14:rig="threePt" w14:dir="t">
                <w14:rot w14:lat="0" w14:lon="0" w14:rev="0"/>
              </w14:lightRig>
            </w14:scene3d>
          </w:rPr>
          <w:t>19.16</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_Toc182476502 \h </w:instrText>
        </w:r>
        <w:r w:rsidR="00B1286B">
          <w:rPr>
            <w:noProof/>
          </w:rPr>
        </w:r>
        <w:r w:rsidR="00B1286B">
          <w:rPr>
            <w:noProof/>
          </w:rPr>
          <w:fldChar w:fldCharType="separate"/>
        </w:r>
        <w:r w:rsidR="00620087">
          <w:rPr>
            <w:noProof/>
          </w:rPr>
          <w:t>95</w:t>
        </w:r>
        <w:r w:rsidR="00B1286B">
          <w:rPr>
            <w:noProof/>
          </w:rPr>
          <w:fldChar w:fldCharType="end"/>
        </w:r>
      </w:hyperlink>
    </w:p>
    <w:p w14:paraId="7761BE67" w14:textId="630E98DB" w:rsidR="00B1286B" w:rsidRDefault="00CA2808">
      <w:pPr>
        <w:pStyle w:val="TOC1"/>
        <w:tabs>
          <w:tab w:val="right" w:leader="dot" w:pos="9344"/>
        </w:tabs>
        <w:rPr>
          <w:rFonts w:asciiTheme="minorHAnsi" w:eastAsiaTheme="minorEastAsia" w:hAnsiTheme="minorHAnsi" w:cstheme="minorBidi"/>
          <w:noProof/>
          <w:szCs w:val="22"/>
        </w:rPr>
      </w:pPr>
      <w:hyperlink w:anchor="_Toc182476503" w:history="1">
        <w:r w:rsidR="00B1286B" w:rsidRPr="00485EE7">
          <w:rPr>
            <w:rStyle w:val="affffffe"/>
            <w:noProof/>
          </w:rPr>
          <w:t>20 电力</w:t>
        </w:r>
        <w:r w:rsidR="00B1286B">
          <w:rPr>
            <w:noProof/>
          </w:rPr>
          <w:tab/>
        </w:r>
        <w:r w:rsidR="00B1286B">
          <w:rPr>
            <w:noProof/>
          </w:rPr>
          <w:fldChar w:fldCharType="begin"/>
        </w:r>
        <w:r w:rsidR="00B1286B">
          <w:rPr>
            <w:noProof/>
          </w:rPr>
          <w:instrText xml:space="preserve"> PAGEREF _Toc182476503 \h </w:instrText>
        </w:r>
        <w:r w:rsidR="00B1286B">
          <w:rPr>
            <w:noProof/>
          </w:rPr>
        </w:r>
        <w:r w:rsidR="00B1286B">
          <w:rPr>
            <w:noProof/>
          </w:rPr>
          <w:fldChar w:fldCharType="separate"/>
        </w:r>
        <w:r w:rsidR="00620087">
          <w:rPr>
            <w:noProof/>
          </w:rPr>
          <w:t>96</w:t>
        </w:r>
        <w:r w:rsidR="00B1286B">
          <w:rPr>
            <w:noProof/>
          </w:rPr>
          <w:fldChar w:fldCharType="end"/>
        </w:r>
      </w:hyperlink>
    </w:p>
    <w:p w14:paraId="7BD265A8" w14:textId="36F08FA8" w:rsidR="00B1286B" w:rsidRDefault="00CA2808">
      <w:pPr>
        <w:pStyle w:val="TOC2"/>
        <w:rPr>
          <w:rFonts w:asciiTheme="minorHAnsi" w:eastAsiaTheme="minorEastAsia" w:hAnsiTheme="minorHAnsi" w:cstheme="minorBidi"/>
          <w:noProof/>
          <w:szCs w:val="22"/>
        </w:rPr>
      </w:pPr>
      <w:hyperlink w:anchor="_Toc182476504" w:history="1">
        <w:r w:rsidR="00B1286B" w:rsidRPr="00485EE7">
          <w:rPr>
            <w:rStyle w:val="affffffe"/>
            <w:noProof/>
            <w14:scene3d>
              <w14:camera w14:prst="orthographicFront"/>
              <w14:lightRig w14:rig="threePt" w14:dir="t">
                <w14:rot w14:lat="0" w14:lon="0" w14:rev="0"/>
              </w14:lightRig>
            </w14:scene3d>
          </w:rPr>
          <w:t>20.1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_Toc182476504 \h </w:instrText>
        </w:r>
        <w:r w:rsidR="00B1286B">
          <w:rPr>
            <w:noProof/>
          </w:rPr>
        </w:r>
        <w:r w:rsidR="00B1286B">
          <w:rPr>
            <w:noProof/>
          </w:rPr>
          <w:fldChar w:fldCharType="separate"/>
        </w:r>
        <w:r w:rsidR="00620087">
          <w:rPr>
            <w:noProof/>
          </w:rPr>
          <w:t>96</w:t>
        </w:r>
        <w:r w:rsidR="00B1286B">
          <w:rPr>
            <w:noProof/>
          </w:rPr>
          <w:fldChar w:fldCharType="end"/>
        </w:r>
      </w:hyperlink>
    </w:p>
    <w:p w14:paraId="5192E221" w14:textId="0BE25FD7" w:rsidR="00B1286B" w:rsidRDefault="00CA2808">
      <w:pPr>
        <w:pStyle w:val="TOC2"/>
        <w:rPr>
          <w:rFonts w:asciiTheme="minorHAnsi" w:eastAsiaTheme="minorEastAsia" w:hAnsiTheme="minorHAnsi" w:cstheme="minorBidi"/>
          <w:noProof/>
          <w:szCs w:val="22"/>
        </w:rPr>
      </w:pPr>
      <w:hyperlink w:anchor="_Toc182476505" w:history="1">
        <w:r w:rsidR="00B1286B" w:rsidRPr="00485EE7">
          <w:rPr>
            <w:rStyle w:val="affffffe"/>
            <w:noProof/>
            <w14:scene3d>
              <w14:camera w14:prst="orthographicFront"/>
              <w14:lightRig w14:rig="threePt" w14:dir="t">
                <w14:rot w14:lat="0" w14:lon="0" w14:rev="0"/>
              </w14:lightRig>
            </w14:scene3d>
          </w:rPr>
          <w:t>20.2</w:t>
        </w:r>
        <w:r w:rsidR="00B1286B" w:rsidRPr="00485EE7">
          <w:rPr>
            <w:rStyle w:val="affffffe"/>
            <w:noProof/>
          </w:rPr>
          <w:t xml:space="preserve"> 供配电系统</w:t>
        </w:r>
        <w:r w:rsidR="00B1286B">
          <w:rPr>
            <w:noProof/>
          </w:rPr>
          <w:tab/>
        </w:r>
        <w:r w:rsidR="00B1286B">
          <w:rPr>
            <w:noProof/>
          </w:rPr>
          <w:fldChar w:fldCharType="begin"/>
        </w:r>
        <w:r w:rsidR="00B1286B">
          <w:rPr>
            <w:noProof/>
          </w:rPr>
          <w:instrText xml:space="preserve"> PAGEREF _Toc182476505 \h </w:instrText>
        </w:r>
        <w:r w:rsidR="00B1286B">
          <w:rPr>
            <w:noProof/>
          </w:rPr>
        </w:r>
        <w:r w:rsidR="00B1286B">
          <w:rPr>
            <w:noProof/>
          </w:rPr>
          <w:fldChar w:fldCharType="separate"/>
        </w:r>
        <w:r w:rsidR="00620087">
          <w:rPr>
            <w:noProof/>
          </w:rPr>
          <w:t>96</w:t>
        </w:r>
        <w:r w:rsidR="00B1286B">
          <w:rPr>
            <w:noProof/>
          </w:rPr>
          <w:fldChar w:fldCharType="end"/>
        </w:r>
      </w:hyperlink>
    </w:p>
    <w:p w14:paraId="0AF9EED2" w14:textId="7C2790EF" w:rsidR="00B1286B" w:rsidRDefault="00CA2808">
      <w:pPr>
        <w:pStyle w:val="TOC2"/>
        <w:rPr>
          <w:rFonts w:asciiTheme="minorHAnsi" w:eastAsiaTheme="minorEastAsia" w:hAnsiTheme="minorHAnsi" w:cstheme="minorBidi"/>
          <w:noProof/>
          <w:szCs w:val="22"/>
        </w:rPr>
      </w:pPr>
      <w:hyperlink w:anchor="_Toc182476506" w:history="1">
        <w:r w:rsidR="00B1286B" w:rsidRPr="00485EE7">
          <w:rPr>
            <w:rStyle w:val="affffffe"/>
            <w:noProof/>
            <w14:scene3d>
              <w14:camera w14:prst="orthographicFront"/>
              <w14:lightRig w14:rig="threePt" w14:dir="t">
                <w14:rot w14:lat="0" w14:lon="0" w14:rev="0"/>
              </w14:lightRig>
            </w14:scene3d>
          </w:rPr>
          <w:t>20.3</w:t>
        </w:r>
        <w:r w:rsidR="00B1286B" w:rsidRPr="00485EE7">
          <w:rPr>
            <w:rStyle w:val="affffffe"/>
            <w:noProof/>
          </w:rPr>
          <w:t xml:space="preserve"> 变、配电所</w:t>
        </w:r>
        <w:r w:rsidR="00B1286B">
          <w:rPr>
            <w:noProof/>
          </w:rPr>
          <w:tab/>
        </w:r>
        <w:r w:rsidR="00B1286B">
          <w:rPr>
            <w:noProof/>
          </w:rPr>
          <w:fldChar w:fldCharType="begin"/>
        </w:r>
        <w:r w:rsidR="00B1286B">
          <w:rPr>
            <w:noProof/>
          </w:rPr>
          <w:instrText xml:space="preserve"> PAGEREF _Toc182476506 \h </w:instrText>
        </w:r>
        <w:r w:rsidR="00B1286B">
          <w:rPr>
            <w:noProof/>
          </w:rPr>
        </w:r>
        <w:r w:rsidR="00B1286B">
          <w:rPr>
            <w:noProof/>
          </w:rPr>
          <w:fldChar w:fldCharType="separate"/>
        </w:r>
        <w:r w:rsidR="00620087">
          <w:rPr>
            <w:noProof/>
          </w:rPr>
          <w:t>97</w:t>
        </w:r>
        <w:r w:rsidR="00B1286B">
          <w:rPr>
            <w:noProof/>
          </w:rPr>
          <w:fldChar w:fldCharType="end"/>
        </w:r>
      </w:hyperlink>
    </w:p>
    <w:p w14:paraId="314BB82B" w14:textId="5AFC1D9E" w:rsidR="00B1286B" w:rsidRDefault="00CA2808">
      <w:pPr>
        <w:pStyle w:val="TOC2"/>
        <w:rPr>
          <w:rFonts w:asciiTheme="minorHAnsi" w:eastAsiaTheme="minorEastAsia" w:hAnsiTheme="minorHAnsi" w:cstheme="minorBidi"/>
          <w:noProof/>
          <w:szCs w:val="22"/>
        </w:rPr>
      </w:pPr>
      <w:hyperlink w:anchor="_Toc182476507" w:history="1">
        <w:r w:rsidR="00B1286B" w:rsidRPr="00485EE7">
          <w:rPr>
            <w:rStyle w:val="affffffe"/>
            <w:noProof/>
            <w14:scene3d>
              <w14:camera w14:prst="orthographicFront"/>
              <w14:lightRig w14:rig="threePt" w14:dir="t">
                <w14:rot w14:lat="0" w14:lon="0" w14:rev="0"/>
              </w14:lightRig>
            </w14:scene3d>
          </w:rPr>
          <w:t>20.4</w:t>
        </w:r>
        <w:r w:rsidR="00B1286B" w:rsidRPr="00485EE7">
          <w:rPr>
            <w:rStyle w:val="affffffe"/>
            <w:noProof/>
          </w:rPr>
          <w:t xml:space="preserve"> 电力线路</w:t>
        </w:r>
        <w:r w:rsidR="00B1286B">
          <w:rPr>
            <w:noProof/>
          </w:rPr>
          <w:tab/>
        </w:r>
        <w:r w:rsidR="00B1286B">
          <w:rPr>
            <w:noProof/>
          </w:rPr>
          <w:fldChar w:fldCharType="begin"/>
        </w:r>
        <w:r w:rsidR="00B1286B">
          <w:rPr>
            <w:noProof/>
          </w:rPr>
          <w:instrText xml:space="preserve"> PAGEREF _Toc182476507 \h </w:instrText>
        </w:r>
        <w:r w:rsidR="00B1286B">
          <w:rPr>
            <w:noProof/>
          </w:rPr>
        </w:r>
        <w:r w:rsidR="00B1286B">
          <w:rPr>
            <w:noProof/>
          </w:rPr>
          <w:fldChar w:fldCharType="separate"/>
        </w:r>
        <w:r w:rsidR="00620087">
          <w:rPr>
            <w:noProof/>
          </w:rPr>
          <w:t>98</w:t>
        </w:r>
        <w:r w:rsidR="00B1286B">
          <w:rPr>
            <w:noProof/>
          </w:rPr>
          <w:fldChar w:fldCharType="end"/>
        </w:r>
      </w:hyperlink>
    </w:p>
    <w:p w14:paraId="40E52735" w14:textId="18591EFB" w:rsidR="00B1286B" w:rsidRDefault="00CA2808">
      <w:pPr>
        <w:pStyle w:val="TOC2"/>
        <w:rPr>
          <w:rFonts w:asciiTheme="minorHAnsi" w:eastAsiaTheme="minorEastAsia" w:hAnsiTheme="minorHAnsi" w:cstheme="minorBidi"/>
          <w:noProof/>
          <w:szCs w:val="22"/>
        </w:rPr>
      </w:pPr>
      <w:hyperlink w:anchor="_Toc182476508" w:history="1">
        <w:r w:rsidR="00B1286B" w:rsidRPr="00485EE7">
          <w:rPr>
            <w:rStyle w:val="affffffe"/>
            <w:noProof/>
            <w14:scene3d>
              <w14:camera w14:prst="orthographicFront"/>
              <w14:lightRig w14:rig="threePt" w14:dir="t">
                <w14:rot w14:lat="0" w14:lon="0" w14:rev="0"/>
              </w14:lightRig>
            </w14:scene3d>
          </w:rPr>
          <w:t>20.5</w:t>
        </w:r>
        <w:r w:rsidR="00B1286B" w:rsidRPr="00485EE7">
          <w:rPr>
            <w:rStyle w:val="affffffe"/>
            <w:noProof/>
          </w:rPr>
          <w:t xml:space="preserve"> 电力远动</w:t>
        </w:r>
        <w:r w:rsidR="00B1286B">
          <w:rPr>
            <w:noProof/>
          </w:rPr>
          <w:tab/>
        </w:r>
        <w:r w:rsidR="00B1286B">
          <w:rPr>
            <w:noProof/>
          </w:rPr>
          <w:fldChar w:fldCharType="begin"/>
        </w:r>
        <w:r w:rsidR="00B1286B">
          <w:rPr>
            <w:noProof/>
          </w:rPr>
          <w:instrText xml:space="preserve"> PAGEREF _Toc182476508 \h </w:instrText>
        </w:r>
        <w:r w:rsidR="00B1286B">
          <w:rPr>
            <w:noProof/>
          </w:rPr>
        </w:r>
        <w:r w:rsidR="00B1286B">
          <w:rPr>
            <w:noProof/>
          </w:rPr>
          <w:fldChar w:fldCharType="separate"/>
        </w:r>
        <w:r w:rsidR="00620087">
          <w:rPr>
            <w:noProof/>
          </w:rPr>
          <w:t>98</w:t>
        </w:r>
        <w:r w:rsidR="00B1286B">
          <w:rPr>
            <w:noProof/>
          </w:rPr>
          <w:fldChar w:fldCharType="end"/>
        </w:r>
      </w:hyperlink>
    </w:p>
    <w:p w14:paraId="321DF113" w14:textId="411DCF8A" w:rsidR="00B1286B" w:rsidRDefault="00CA2808">
      <w:pPr>
        <w:pStyle w:val="TOC2"/>
        <w:rPr>
          <w:rFonts w:asciiTheme="minorHAnsi" w:eastAsiaTheme="minorEastAsia" w:hAnsiTheme="minorHAnsi" w:cstheme="minorBidi"/>
          <w:noProof/>
          <w:szCs w:val="22"/>
        </w:rPr>
      </w:pPr>
      <w:hyperlink w:anchor="_Toc182476509" w:history="1">
        <w:r w:rsidR="00B1286B" w:rsidRPr="00485EE7">
          <w:rPr>
            <w:rStyle w:val="affffffe"/>
            <w:noProof/>
            <w14:scene3d>
              <w14:camera w14:prst="orthographicFront"/>
              <w14:lightRig w14:rig="threePt" w14:dir="t">
                <w14:rot w14:lat="0" w14:lon="0" w14:rev="0"/>
              </w14:lightRig>
            </w14:scene3d>
          </w:rPr>
          <w:t>20.6</w:t>
        </w:r>
        <w:r w:rsidR="00B1286B" w:rsidRPr="00485EE7">
          <w:rPr>
            <w:rStyle w:val="affffffe"/>
            <w:noProof/>
          </w:rPr>
          <w:t xml:space="preserve"> 动力照明</w:t>
        </w:r>
        <w:r w:rsidR="00B1286B">
          <w:rPr>
            <w:noProof/>
          </w:rPr>
          <w:tab/>
        </w:r>
        <w:r w:rsidR="00B1286B">
          <w:rPr>
            <w:noProof/>
          </w:rPr>
          <w:fldChar w:fldCharType="begin"/>
        </w:r>
        <w:r w:rsidR="00B1286B">
          <w:rPr>
            <w:noProof/>
          </w:rPr>
          <w:instrText xml:space="preserve"> PAGEREF _Toc182476509 \h </w:instrText>
        </w:r>
        <w:r w:rsidR="00B1286B">
          <w:rPr>
            <w:noProof/>
          </w:rPr>
        </w:r>
        <w:r w:rsidR="00B1286B">
          <w:rPr>
            <w:noProof/>
          </w:rPr>
          <w:fldChar w:fldCharType="separate"/>
        </w:r>
        <w:r w:rsidR="00620087">
          <w:rPr>
            <w:noProof/>
          </w:rPr>
          <w:t>98</w:t>
        </w:r>
        <w:r w:rsidR="00B1286B">
          <w:rPr>
            <w:noProof/>
          </w:rPr>
          <w:fldChar w:fldCharType="end"/>
        </w:r>
      </w:hyperlink>
    </w:p>
    <w:p w14:paraId="41B6310E" w14:textId="024EA386" w:rsidR="00B1286B" w:rsidRDefault="00CA2808">
      <w:pPr>
        <w:pStyle w:val="TOC2"/>
        <w:rPr>
          <w:rFonts w:asciiTheme="minorHAnsi" w:eastAsiaTheme="minorEastAsia" w:hAnsiTheme="minorHAnsi" w:cstheme="minorBidi"/>
          <w:noProof/>
          <w:szCs w:val="22"/>
        </w:rPr>
      </w:pPr>
      <w:hyperlink w:anchor="_Toc182476510" w:history="1">
        <w:r w:rsidR="00B1286B" w:rsidRPr="00485EE7">
          <w:rPr>
            <w:rStyle w:val="affffffe"/>
            <w:noProof/>
            <w14:scene3d>
              <w14:camera w14:prst="orthographicFront"/>
              <w14:lightRig w14:rig="threePt" w14:dir="t">
                <w14:rot w14:lat="0" w14:lon="0" w14:rev="0"/>
              </w14:lightRig>
            </w14:scene3d>
          </w:rPr>
          <w:t>20.7</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_Toc182476510 \h </w:instrText>
        </w:r>
        <w:r w:rsidR="00B1286B">
          <w:rPr>
            <w:noProof/>
          </w:rPr>
        </w:r>
        <w:r w:rsidR="00B1286B">
          <w:rPr>
            <w:noProof/>
          </w:rPr>
          <w:fldChar w:fldCharType="separate"/>
        </w:r>
        <w:r w:rsidR="00620087">
          <w:rPr>
            <w:noProof/>
          </w:rPr>
          <w:t>99</w:t>
        </w:r>
        <w:r w:rsidR="00B1286B">
          <w:rPr>
            <w:noProof/>
          </w:rPr>
          <w:fldChar w:fldCharType="end"/>
        </w:r>
      </w:hyperlink>
    </w:p>
    <w:p w14:paraId="0584C70C" w14:textId="4D702256" w:rsidR="00B1286B" w:rsidRDefault="00CA2808">
      <w:pPr>
        <w:pStyle w:val="TOC1"/>
        <w:tabs>
          <w:tab w:val="right" w:leader="dot" w:pos="9344"/>
        </w:tabs>
        <w:rPr>
          <w:rFonts w:asciiTheme="minorHAnsi" w:eastAsiaTheme="minorEastAsia" w:hAnsiTheme="minorHAnsi" w:cstheme="minorBidi"/>
          <w:noProof/>
          <w:szCs w:val="22"/>
        </w:rPr>
      </w:pPr>
      <w:hyperlink w:anchor="_Toc182476511" w:history="1">
        <w:r w:rsidR="00B1286B" w:rsidRPr="00485EE7">
          <w:rPr>
            <w:rStyle w:val="affffffe"/>
            <w:noProof/>
          </w:rPr>
          <w:t>21 信号</w:t>
        </w:r>
        <w:r w:rsidR="00B1286B">
          <w:rPr>
            <w:noProof/>
          </w:rPr>
          <w:tab/>
        </w:r>
        <w:r w:rsidR="00B1286B">
          <w:rPr>
            <w:noProof/>
          </w:rPr>
          <w:fldChar w:fldCharType="begin"/>
        </w:r>
        <w:r w:rsidR="00B1286B">
          <w:rPr>
            <w:noProof/>
          </w:rPr>
          <w:instrText xml:space="preserve"> PAGEREF _Toc182476511 \h </w:instrText>
        </w:r>
        <w:r w:rsidR="00B1286B">
          <w:rPr>
            <w:noProof/>
          </w:rPr>
        </w:r>
        <w:r w:rsidR="00B1286B">
          <w:rPr>
            <w:noProof/>
          </w:rPr>
          <w:fldChar w:fldCharType="separate"/>
        </w:r>
        <w:r w:rsidR="00620087">
          <w:rPr>
            <w:noProof/>
          </w:rPr>
          <w:t>99</w:t>
        </w:r>
        <w:r w:rsidR="00B1286B">
          <w:rPr>
            <w:noProof/>
          </w:rPr>
          <w:fldChar w:fldCharType="end"/>
        </w:r>
      </w:hyperlink>
    </w:p>
    <w:p w14:paraId="51D4CC7C" w14:textId="3A8247F5" w:rsidR="00B1286B" w:rsidRDefault="00CA2808">
      <w:pPr>
        <w:pStyle w:val="TOC2"/>
        <w:rPr>
          <w:rFonts w:asciiTheme="minorHAnsi" w:eastAsiaTheme="minorEastAsia" w:hAnsiTheme="minorHAnsi" w:cstheme="minorBidi"/>
          <w:noProof/>
          <w:szCs w:val="22"/>
        </w:rPr>
      </w:pPr>
      <w:hyperlink w:anchor="_Toc182476512" w:history="1">
        <w:r w:rsidR="00B1286B" w:rsidRPr="00485EE7">
          <w:rPr>
            <w:rStyle w:val="affffffe"/>
            <w:noProof/>
            <w14:scene3d>
              <w14:camera w14:prst="orthographicFront"/>
              <w14:lightRig w14:rig="threePt" w14:dir="t">
                <w14:rot w14:lat="0" w14:lon="0" w14:rev="0"/>
              </w14:lightRig>
            </w14:scene3d>
          </w:rPr>
          <w:t>21.1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_Toc182476512 \h </w:instrText>
        </w:r>
        <w:r w:rsidR="00B1286B">
          <w:rPr>
            <w:noProof/>
          </w:rPr>
        </w:r>
        <w:r w:rsidR="00B1286B">
          <w:rPr>
            <w:noProof/>
          </w:rPr>
          <w:fldChar w:fldCharType="separate"/>
        </w:r>
        <w:r w:rsidR="00620087">
          <w:rPr>
            <w:noProof/>
          </w:rPr>
          <w:t>99</w:t>
        </w:r>
        <w:r w:rsidR="00B1286B">
          <w:rPr>
            <w:noProof/>
          </w:rPr>
          <w:fldChar w:fldCharType="end"/>
        </w:r>
      </w:hyperlink>
    </w:p>
    <w:p w14:paraId="6BB58291" w14:textId="6BC8273B" w:rsidR="00B1286B" w:rsidRDefault="00CA2808">
      <w:pPr>
        <w:pStyle w:val="TOC2"/>
        <w:rPr>
          <w:rFonts w:asciiTheme="minorHAnsi" w:eastAsiaTheme="minorEastAsia" w:hAnsiTheme="minorHAnsi" w:cstheme="minorBidi"/>
          <w:noProof/>
          <w:szCs w:val="22"/>
        </w:rPr>
      </w:pPr>
      <w:hyperlink w:anchor="_Toc182476513" w:history="1">
        <w:r w:rsidR="00B1286B" w:rsidRPr="00485EE7">
          <w:rPr>
            <w:rStyle w:val="affffffe"/>
            <w:noProof/>
            <w14:scene3d>
              <w14:camera w14:prst="orthographicFront"/>
              <w14:lightRig w14:rig="threePt" w14:dir="t">
                <w14:rot w14:lat="0" w14:lon="0" w14:rev="0"/>
              </w14:lightRig>
            </w14:scene3d>
          </w:rPr>
          <w:t>21.2</w:t>
        </w:r>
        <w:r w:rsidR="00B1286B" w:rsidRPr="00485EE7">
          <w:rPr>
            <w:rStyle w:val="affffffe"/>
            <w:noProof/>
          </w:rPr>
          <w:t xml:space="preserve"> 系统要求</w:t>
        </w:r>
        <w:r w:rsidR="00B1286B">
          <w:rPr>
            <w:noProof/>
          </w:rPr>
          <w:tab/>
        </w:r>
        <w:r w:rsidR="00B1286B">
          <w:rPr>
            <w:noProof/>
          </w:rPr>
          <w:fldChar w:fldCharType="begin"/>
        </w:r>
        <w:r w:rsidR="00B1286B">
          <w:rPr>
            <w:noProof/>
          </w:rPr>
          <w:instrText xml:space="preserve"> PAGEREF _Toc182476513 \h </w:instrText>
        </w:r>
        <w:r w:rsidR="00B1286B">
          <w:rPr>
            <w:noProof/>
          </w:rPr>
        </w:r>
        <w:r w:rsidR="00B1286B">
          <w:rPr>
            <w:noProof/>
          </w:rPr>
          <w:fldChar w:fldCharType="separate"/>
        </w:r>
        <w:r w:rsidR="00620087">
          <w:rPr>
            <w:noProof/>
          </w:rPr>
          <w:t>100</w:t>
        </w:r>
        <w:r w:rsidR="00B1286B">
          <w:rPr>
            <w:noProof/>
          </w:rPr>
          <w:fldChar w:fldCharType="end"/>
        </w:r>
      </w:hyperlink>
    </w:p>
    <w:p w14:paraId="2D5EE67E" w14:textId="29D9A80A" w:rsidR="00B1286B" w:rsidRDefault="00CA2808">
      <w:pPr>
        <w:pStyle w:val="TOC2"/>
        <w:rPr>
          <w:rFonts w:asciiTheme="minorHAnsi" w:eastAsiaTheme="minorEastAsia" w:hAnsiTheme="minorHAnsi" w:cstheme="minorBidi"/>
          <w:noProof/>
          <w:szCs w:val="22"/>
        </w:rPr>
      </w:pPr>
      <w:hyperlink w:anchor="_Toc182476514" w:history="1">
        <w:r w:rsidR="00B1286B" w:rsidRPr="00485EE7">
          <w:rPr>
            <w:rStyle w:val="affffffe"/>
            <w:noProof/>
            <w14:scene3d>
              <w14:camera w14:prst="orthographicFront"/>
              <w14:lightRig w14:rig="threePt" w14:dir="t">
                <w14:rot w14:lat="0" w14:lon="0" w14:rev="0"/>
              </w14:lightRig>
            </w14:scene3d>
          </w:rPr>
          <w:t>21.3</w:t>
        </w:r>
        <w:r w:rsidR="00B1286B" w:rsidRPr="00485EE7">
          <w:rPr>
            <w:rStyle w:val="affffffe"/>
            <w:noProof/>
          </w:rPr>
          <w:t xml:space="preserve"> 行车调度指挥系统</w:t>
        </w:r>
        <w:r w:rsidR="00B1286B">
          <w:rPr>
            <w:noProof/>
          </w:rPr>
          <w:tab/>
        </w:r>
        <w:r w:rsidR="00B1286B">
          <w:rPr>
            <w:noProof/>
          </w:rPr>
          <w:fldChar w:fldCharType="begin"/>
        </w:r>
        <w:r w:rsidR="00B1286B">
          <w:rPr>
            <w:noProof/>
          </w:rPr>
          <w:instrText xml:space="preserve"> PAGEREF _Toc182476514 \h </w:instrText>
        </w:r>
        <w:r w:rsidR="00B1286B">
          <w:rPr>
            <w:noProof/>
          </w:rPr>
        </w:r>
        <w:r w:rsidR="00B1286B">
          <w:rPr>
            <w:noProof/>
          </w:rPr>
          <w:fldChar w:fldCharType="separate"/>
        </w:r>
        <w:r w:rsidR="00620087">
          <w:rPr>
            <w:noProof/>
          </w:rPr>
          <w:t>101</w:t>
        </w:r>
        <w:r w:rsidR="00B1286B">
          <w:rPr>
            <w:noProof/>
          </w:rPr>
          <w:fldChar w:fldCharType="end"/>
        </w:r>
      </w:hyperlink>
    </w:p>
    <w:p w14:paraId="2CBD4651" w14:textId="714AE0BC" w:rsidR="00B1286B" w:rsidRDefault="00CA2808">
      <w:pPr>
        <w:pStyle w:val="TOC2"/>
        <w:rPr>
          <w:rFonts w:asciiTheme="minorHAnsi" w:eastAsiaTheme="minorEastAsia" w:hAnsiTheme="minorHAnsi" w:cstheme="minorBidi"/>
          <w:noProof/>
          <w:szCs w:val="22"/>
        </w:rPr>
      </w:pPr>
      <w:hyperlink w:anchor="_Toc182476515" w:history="1">
        <w:r w:rsidR="00B1286B" w:rsidRPr="00485EE7">
          <w:rPr>
            <w:rStyle w:val="affffffe"/>
            <w:noProof/>
            <w14:scene3d>
              <w14:camera w14:prst="orthographicFront"/>
              <w14:lightRig w14:rig="threePt" w14:dir="t">
                <w14:rot w14:lat="0" w14:lon="0" w14:rev="0"/>
              </w14:lightRig>
            </w14:scene3d>
          </w:rPr>
          <w:t>21.4</w:t>
        </w:r>
        <w:r w:rsidR="00B1286B" w:rsidRPr="00485EE7">
          <w:rPr>
            <w:rStyle w:val="affffffe"/>
            <w:noProof/>
          </w:rPr>
          <w:t xml:space="preserve"> 列车自动防护系统</w:t>
        </w:r>
        <w:r w:rsidR="00B1286B">
          <w:rPr>
            <w:noProof/>
          </w:rPr>
          <w:tab/>
        </w:r>
        <w:r w:rsidR="00B1286B">
          <w:rPr>
            <w:noProof/>
          </w:rPr>
          <w:fldChar w:fldCharType="begin"/>
        </w:r>
        <w:r w:rsidR="00B1286B">
          <w:rPr>
            <w:noProof/>
          </w:rPr>
          <w:instrText xml:space="preserve"> PAGEREF _Toc182476515 \h </w:instrText>
        </w:r>
        <w:r w:rsidR="00B1286B">
          <w:rPr>
            <w:noProof/>
          </w:rPr>
        </w:r>
        <w:r w:rsidR="00B1286B">
          <w:rPr>
            <w:noProof/>
          </w:rPr>
          <w:fldChar w:fldCharType="separate"/>
        </w:r>
        <w:r w:rsidR="00620087">
          <w:rPr>
            <w:noProof/>
          </w:rPr>
          <w:t>101</w:t>
        </w:r>
        <w:r w:rsidR="00B1286B">
          <w:rPr>
            <w:noProof/>
          </w:rPr>
          <w:fldChar w:fldCharType="end"/>
        </w:r>
      </w:hyperlink>
    </w:p>
    <w:p w14:paraId="743F6365" w14:textId="707C1F9B" w:rsidR="00B1286B" w:rsidRDefault="00CA2808">
      <w:pPr>
        <w:pStyle w:val="TOC2"/>
        <w:rPr>
          <w:rFonts w:asciiTheme="minorHAnsi" w:eastAsiaTheme="minorEastAsia" w:hAnsiTheme="minorHAnsi" w:cstheme="minorBidi"/>
          <w:noProof/>
          <w:szCs w:val="22"/>
        </w:rPr>
      </w:pPr>
      <w:hyperlink w:anchor="_Toc182476516" w:history="1">
        <w:r w:rsidR="00B1286B" w:rsidRPr="00485EE7">
          <w:rPr>
            <w:rStyle w:val="affffffe"/>
            <w:noProof/>
            <w14:scene3d>
              <w14:camera w14:prst="orthographicFront"/>
              <w14:lightRig w14:rig="threePt" w14:dir="t">
                <w14:rot w14:lat="0" w14:lon="0" w14:rev="0"/>
              </w14:lightRig>
            </w14:scene3d>
          </w:rPr>
          <w:t>21.5</w:t>
        </w:r>
        <w:r w:rsidR="00B1286B" w:rsidRPr="00485EE7">
          <w:rPr>
            <w:rStyle w:val="affffffe"/>
            <w:noProof/>
          </w:rPr>
          <w:t xml:space="preserve"> 列车自动运行系统</w:t>
        </w:r>
        <w:r w:rsidR="00B1286B">
          <w:rPr>
            <w:noProof/>
          </w:rPr>
          <w:tab/>
        </w:r>
        <w:r w:rsidR="00B1286B">
          <w:rPr>
            <w:noProof/>
          </w:rPr>
          <w:fldChar w:fldCharType="begin"/>
        </w:r>
        <w:r w:rsidR="00B1286B">
          <w:rPr>
            <w:noProof/>
          </w:rPr>
          <w:instrText xml:space="preserve"> PAGEREF _Toc182476516 \h </w:instrText>
        </w:r>
        <w:r w:rsidR="00B1286B">
          <w:rPr>
            <w:noProof/>
          </w:rPr>
        </w:r>
        <w:r w:rsidR="00B1286B">
          <w:rPr>
            <w:noProof/>
          </w:rPr>
          <w:fldChar w:fldCharType="separate"/>
        </w:r>
        <w:r w:rsidR="00620087">
          <w:rPr>
            <w:noProof/>
          </w:rPr>
          <w:t>102</w:t>
        </w:r>
        <w:r w:rsidR="00B1286B">
          <w:rPr>
            <w:noProof/>
          </w:rPr>
          <w:fldChar w:fldCharType="end"/>
        </w:r>
      </w:hyperlink>
    </w:p>
    <w:p w14:paraId="3ED50EF4" w14:textId="6D063EB7" w:rsidR="00B1286B" w:rsidRDefault="00CA2808">
      <w:pPr>
        <w:pStyle w:val="TOC2"/>
        <w:rPr>
          <w:rFonts w:asciiTheme="minorHAnsi" w:eastAsiaTheme="minorEastAsia" w:hAnsiTheme="minorHAnsi" w:cstheme="minorBidi"/>
          <w:noProof/>
          <w:szCs w:val="22"/>
        </w:rPr>
      </w:pPr>
      <w:hyperlink w:anchor="_Toc182476517" w:history="1">
        <w:r w:rsidR="00B1286B" w:rsidRPr="00485EE7">
          <w:rPr>
            <w:rStyle w:val="affffffe"/>
            <w:noProof/>
            <w14:scene3d>
              <w14:camera w14:prst="orthographicFront"/>
              <w14:lightRig w14:rig="threePt" w14:dir="t">
                <w14:rot w14:lat="0" w14:lon="0" w14:rev="0"/>
              </w14:lightRig>
            </w14:scene3d>
          </w:rPr>
          <w:t>21.6</w:t>
        </w:r>
        <w:r w:rsidR="00B1286B" w:rsidRPr="00485EE7">
          <w:rPr>
            <w:rStyle w:val="affffffe"/>
            <w:noProof/>
          </w:rPr>
          <w:t xml:space="preserve"> 车站联锁系统</w:t>
        </w:r>
        <w:r w:rsidR="00B1286B">
          <w:rPr>
            <w:noProof/>
          </w:rPr>
          <w:tab/>
        </w:r>
        <w:r w:rsidR="00B1286B">
          <w:rPr>
            <w:noProof/>
          </w:rPr>
          <w:fldChar w:fldCharType="begin"/>
        </w:r>
        <w:r w:rsidR="00B1286B">
          <w:rPr>
            <w:noProof/>
          </w:rPr>
          <w:instrText xml:space="preserve"> PAGEREF _Toc182476517 \h </w:instrText>
        </w:r>
        <w:r w:rsidR="00B1286B">
          <w:rPr>
            <w:noProof/>
          </w:rPr>
        </w:r>
        <w:r w:rsidR="00B1286B">
          <w:rPr>
            <w:noProof/>
          </w:rPr>
          <w:fldChar w:fldCharType="separate"/>
        </w:r>
        <w:r w:rsidR="00620087">
          <w:rPr>
            <w:noProof/>
          </w:rPr>
          <w:t>102</w:t>
        </w:r>
        <w:r w:rsidR="00B1286B">
          <w:rPr>
            <w:noProof/>
          </w:rPr>
          <w:fldChar w:fldCharType="end"/>
        </w:r>
      </w:hyperlink>
    </w:p>
    <w:p w14:paraId="0EAB8AD3" w14:textId="70B61374" w:rsidR="00B1286B" w:rsidRDefault="00CA2808">
      <w:pPr>
        <w:pStyle w:val="TOC2"/>
        <w:rPr>
          <w:rFonts w:asciiTheme="minorHAnsi" w:eastAsiaTheme="minorEastAsia" w:hAnsiTheme="minorHAnsi" w:cstheme="minorBidi"/>
          <w:noProof/>
          <w:szCs w:val="22"/>
        </w:rPr>
      </w:pPr>
      <w:hyperlink w:anchor="_Toc182476518" w:history="1">
        <w:r w:rsidR="00B1286B" w:rsidRPr="00485EE7">
          <w:rPr>
            <w:rStyle w:val="affffffe"/>
            <w:noProof/>
            <w14:scene3d>
              <w14:camera w14:prst="orthographicFront"/>
              <w14:lightRig w14:rig="threePt" w14:dir="t">
                <w14:rot w14:lat="0" w14:lon="0" w14:rev="0"/>
              </w14:lightRig>
            </w14:scene3d>
          </w:rPr>
          <w:t>21.7</w:t>
        </w:r>
        <w:r w:rsidR="00B1286B" w:rsidRPr="00485EE7">
          <w:rPr>
            <w:rStyle w:val="affffffe"/>
            <w:noProof/>
          </w:rPr>
          <w:t xml:space="preserve"> 信号集中监测</w:t>
        </w:r>
        <w:r w:rsidR="00B1286B">
          <w:rPr>
            <w:noProof/>
          </w:rPr>
          <w:tab/>
        </w:r>
        <w:r w:rsidR="00B1286B">
          <w:rPr>
            <w:noProof/>
          </w:rPr>
          <w:fldChar w:fldCharType="begin"/>
        </w:r>
        <w:r w:rsidR="00B1286B">
          <w:rPr>
            <w:noProof/>
          </w:rPr>
          <w:instrText xml:space="preserve"> PAGEREF _Toc182476518 \h </w:instrText>
        </w:r>
        <w:r w:rsidR="00B1286B">
          <w:rPr>
            <w:noProof/>
          </w:rPr>
        </w:r>
        <w:r w:rsidR="00B1286B">
          <w:rPr>
            <w:noProof/>
          </w:rPr>
          <w:fldChar w:fldCharType="separate"/>
        </w:r>
        <w:r w:rsidR="00620087">
          <w:rPr>
            <w:noProof/>
          </w:rPr>
          <w:t>103</w:t>
        </w:r>
        <w:r w:rsidR="00B1286B">
          <w:rPr>
            <w:noProof/>
          </w:rPr>
          <w:fldChar w:fldCharType="end"/>
        </w:r>
      </w:hyperlink>
    </w:p>
    <w:p w14:paraId="65F96E82" w14:textId="0E2D37FF" w:rsidR="00B1286B" w:rsidRDefault="00CA2808">
      <w:pPr>
        <w:pStyle w:val="TOC2"/>
        <w:rPr>
          <w:rFonts w:asciiTheme="minorHAnsi" w:eastAsiaTheme="minorEastAsia" w:hAnsiTheme="minorHAnsi" w:cstheme="minorBidi"/>
          <w:noProof/>
          <w:szCs w:val="22"/>
        </w:rPr>
      </w:pPr>
      <w:hyperlink w:anchor="_Toc182476519" w:history="1">
        <w:r w:rsidR="00B1286B" w:rsidRPr="00485EE7">
          <w:rPr>
            <w:rStyle w:val="affffffe"/>
            <w:noProof/>
            <w14:scene3d>
              <w14:camera w14:prst="orthographicFront"/>
              <w14:lightRig w14:rig="threePt" w14:dir="t">
                <w14:rot w14:lat="0" w14:lon="0" w14:rev="0"/>
              </w14:lightRig>
            </w14:scene3d>
          </w:rPr>
          <w:t>21.8</w:t>
        </w:r>
        <w:r w:rsidR="00B1286B" w:rsidRPr="00485EE7">
          <w:rPr>
            <w:rStyle w:val="affffffe"/>
            <w:noProof/>
          </w:rPr>
          <w:t xml:space="preserve"> 数据传输网络</w:t>
        </w:r>
        <w:r w:rsidR="00B1286B">
          <w:rPr>
            <w:noProof/>
          </w:rPr>
          <w:tab/>
        </w:r>
        <w:r w:rsidR="00B1286B">
          <w:rPr>
            <w:noProof/>
          </w:rPr>
          <w:fldChar w:fldCharType="begin"/>
        </w:r>
        <w:r w:rsidR="00B1286B">
          <w:rPr>
            <w:noProof/>
          </w:rPr>
          <w:instrText xml:space="preserve"> PAGEREF _Toc182476519 \h </w:instrText>
        </w:r>
        <w:r w:rsidR="00B1286B">
          <w:rPr>
            <w:noProof/>
          </w:rPr>
        </w:r>
        <w:r w:rsidR="00B1286B">
          <w:rPr>
            <w:noProof/>
          </w:rPr>
          <w:fldChar w:fldCharType="separate"/>
        </w:r>
        <w:r w:rsidR="00620087">
          <w:rPr>
            <w:noProof/>
          </w:rPr>
          <w:t>104</w:t>
        </w:r>
        <w:r w:rsidR="00B1286B">
          <w:rPr>
            <w:noProof/>
          </w:rPr>
          <w:fldChar w:fldCharType="end"/>
        </w:r>
      </w:hyperlink>
    </w:p>
    <w:p w14:paraId="2D11515C" w14:textId="15539323" w:rsidR="00B1286B" w:rsidRDefault="00CA2808">
      <w:pPr>
        <w:pStyle w:val="TOC2"/>
        <w:rPr>
          <w:rFonts w:asciiTheme="minorHAnsi" w:eastAsiaTheme="minorEastAsia" w:hAnsiTheme="minorHAnsi" w:cstheme="minorBidi"/>
          <w:noProof/>
          <w:szCs w:val="22"/>
        </w:rPr>
      </w:pPr>
      <w:hyperlink w:anchor="_Toc182476520" w:history="1">
        <w:r w:rsidR="00B1286B" w:rsidRPr="00485EE7">
          <w:rPr>
            <w:rStyle w:val="affffffe"/>
            <w:noProof/>
            <w14:scene3d>
              <w14:camera w14:prst="orthographicFront"/>
              <w14:lightRig w14:rig="threePt" w14:dir="t">
                <w14:rot w14:lat="0" w14:lon="0" w14:rev="0"/>
              </w14:lightRig>
            </w14:scene3d>
          </w:rPr>
          <w:t>21.9</w:t>
        </w:r>
        <w:r w:rsidR="00B1286B" w:rsidRPr="00485EE7">
          <w:rPr>
            <w:rStyle w:val="affffffe"/>
            <w:noProof/>
          </w:rPr>
          <w:t xml:space="preserve"> 信号电源</w:t>
        </w:r>
        <w:r w:rsidR="00B1286B">
          <w:rPr>
            <w:noProof/>
          </w:rPr>
          <w:tab/>
        </w:r>
        <w:r w:rsidR="00B1286B">
          <w:rPr>
            <w:noProof/>
          </w:rPr>
          <w:fldChar w:fldCharType="begin"/>
        </w:r>
        <w:r w:rsidR="00B1286B">
          <w:rPr>
            <w:noProof/>
          </w:rPr>
          <w:instrText xml:space="preserve"> PAGEREF _Toc182476520 \h </w:instrText>
        </w:r>
        <w:r w:rsidR="00B1286B">
          <w:rPr>
            <w:noProof/>
          </w:rPr>
        </w:r>
        <w:r w:rsidR="00B1286B">
          <w:rPr>
            <w:noProof/>
          </w:rPr>
          <w:fldChar w:fldCharType="separate"/>
        </w:r>
        <w:r w:rsidR="00620087">
          <w:rPr>
            <w:noProof/>
          </w:rPr>
          <w:t>104</w:t>
        </w:r>
        <w:r w:rsidR="00B1286B">
          <w:rPr>
            <w:noProof/>
          </w:rPr>
          <w:fldChar w:fldCharType="end"/>
        </w:r>
      </w:hyperlink>
    </w:p>
    <w:p w14:paraId="0C6B11FD" w14:textId="38E14787" w:rsidR="00B1286B" w:rsidRDefault="00CA2808">
      <w:pPr>
        <w:pStyle w:val="TOC2"/>
        <w:rPr>
          <w:rFonts w:asciiTheme="minorHAnsi" w:eastAsiaTheme="minorEastAsia" w:hAnsiTheme="minorHAnsi" w:cstheme="minorBidi"/>
          <w:noProof/>
          <w:szCs w:val="22"/>
        </w:rPr>
      </w:pPr>
      <w:hyperlink w:anchor="_Toc182476521" w:history="1">
        <w:r w:rsidR="00B1286B" w:rsidRPr="00485EE7">
          <w:rPr>
            <w:rStyle w:val="affffffe"/>
            <w:noProof/>
            <w14:scene3d>
              <w14:camera w14:prst="orthographicFront"/>
              <w14:lightRig w14:rig="threePt" w14:dir="t">
                <w14:rot w14:lat="0" w14:lon="0" w14:rev="0"/>
              </w14:lightRig>
            </w14:scene3d>
          </w:rPr>
          <w:t>21.10</w:t>
        </w:r>
        <w:r w:rsidR="00B1286B" w:rsidRPr="00485EE7">
          <w:rPr>
            <w:rStyle w:val="affffffe"/>
            <w:noProof/>
          </w:rPr>
          <w:t xml:space="preserve"> 光电缆线路与防护</w:t>
        </w:r>
        <w:r w:rsidR="00B1286B">
          <w:rPr>
            <w:noProof/>
          </w:rPr>
          <w:tab/>
        </w:r>
        <w:r w:rsidR="00B1286B">
          <w:rPr>
            <w:noProof/>
          </w:rPr>
          <w:fldChar w:fldCharType="begin"/>
        </w:r>
        <w:r w:rsidR="00B1286B">
          <w:rPr>
            <w:noProof/>
          </w:rPr>
          <w:instrText xml:space="preserve"> PAGEREF _Toc182476521 \h </w:instrText>
        </w:r>
        <w:r w:rsidR="00B1286B">
          <w:rPr>
            <w:noProof/>
          </w:rPr>
        </w:r>
        <w:r w:rsidR="00B1286B">
          <w:rPr>
            <w:noProof/>
          </w:rPr>
          <w:fldChar w:fldCharType="separate"/>
        </w:r>
        <w:r w:rsidR="00620087">
          <w:rPr>
            <w:noProof/>
          </w:rPr>
          <w:t>104</w:t>
        </w:r>
        <w:r w:rsidR="00B1286B">
          <w:rPr>
            <w:noProof/>
          </w:rPr>
          <w:fldChar w:fldCharType="end"/>
        </w:r>
      </w:hyperlink>
    </w:p>
    <w:p w14:paraId="029DC90B" w14:textId="4FA2535D" w:rsidR="00B1286B" w:rsidRDefault="00CA2808">
      <w:pPr>
        <w:pStyle w:val="TOC2"/>
        <w:rPr>
          <w:rFonts w:asciiTheme="minorHAnsi" w:eastAsiaTheme="minorEastAsia" w:hAnsiTheme="minorHAnsi" w:cstheme="minorBidi"/>
          <w:noProof/>
          <w:szCs w:val="22"/>
        </w:rPr>
      </w:pPr>
      <w:hyperlink w:anchor="_Toc182476522" w:history="1">
        <w:r w:rsidR="00B1286B" w:rsidRPr="00485EE7">
          <w:rPr>
            <w:rStyle w:val="affffffe"/>
            <w:noProof/>
            <w14:scene3d>
              <w14:camera w14:prst="orthographicFront"/>
              <w14:lightRig w14:rig="threePt" w14:dir="t">
                <w14:rot w14:lat="0" w14:lon="0" w14:rev="0"/>
              </w14:lightRig>
            </w14:scene3d>
          </w:rPr>
          <w:t>21.11</w:t>
        </w:r>
        <w:r w:rsidR="00B1286B" w:rsidRPr="00485EE7">
          <w:rPr>
            <w:rStyle w:val="affffffe"/>
            <w:noProof/>
          </w:rPr>
          <w:t xml:space="preserve"> 防雷及接地</w:t>
        </w:r>
        <w:r w:rsidR="00B1286B">
          <w:rPr>
            <w:noProof/>
          </w:rPr>
          <w:tab/>
        </w:r>
        <w:r w:rsidR="00B1286B">
          <w:rPr>
            <w:noProof/>
          </w:rPr>
          <w:fldChar w:fldCharType="begin"/>
        </w:r>
        <w:r w:rsidR="00B1286B">
          <w:rPr>
            <w:noProof/>
          </w:rPr>
          <w:instrText xml:space="preserve"> PAGEREF _Toc182476522 \h </w:instrText>
        </w:r>
        <w:r w:rsidR="00B1286B">
          <w:rPr>
            <w:noProof/>
          </w:rPr>
        </w:r>
        <w:r w:rsidR="00B1286B">
          <w:rPr>
            <w:noProof/>
          </w:rPr>
          <w:fldChar w:fldCharType="separate"/>
        </w:r>
        <w:r w:rsidR="00620087">
          <w:rPr>
            <w:noProof/>
          </w:rPr>
          <w:t>105</w:t>
        </w:r>
        <w:r w:rsidR="00B1286B">
          <w:rPr>
            <w:noProof/>
          </w:rPr>
          <w:fldChar w:fldCharType="end"/>
        </w:r>
      </w:hyperlink>
    </w:p>
    <w:p w14:paraId="7A364BF6" w14:textId="38C637EB" w:rsidR="00B1286B" w:rsidRDefault="00CA2808">
      <w:pPr>
        <w:pStyle w:val="TOC2"/>
        <w:rPr>
          <w:rFonts w:asciiTheme="minorHAnsi" w:eastAsiaTheme="minorEastAsia" w:hAnsiTheme="minorHAnsi" w:cstheme="minorBidi"/>
          <w:noProof/>
          <w:szCs w:val="22"/>
        </w:rPr>
      </w:pPr>
      <w:hyperlink w:anchor="_Toc182476523" w:history="1">
        <w:r w:rsidR="00B1286B" w:rsidRPr="00485EE7">
          <w:rPr>
            <w:rStyle w:val="affffffe"/>
            <w:noProof/>
            <w14:scene3d>
              <w14:camera w14:prst="orthographicFront"/>
              <w14:lightRig w14:rig="threePt" w14:dir="t">
                <w14:rot w14:lat="0" w14:lon="0" w14:rev="0"/>
              </w14:lightRig>
            </w14:scene3d>
          </w:rPr>
          <w:t>21.12</w:t>
        </w:r>
        <w:r w:rsidR="00B1286B" w:rsidRPr="00485EE7">
          <w:rPr>
            <w:rStyle w:val="affffffe"/>
            <w:noProof/>
          </w:rPr>
          <w:t xml:space="preserve"> 信号房屋</w:t>
        </w:r>
        <w:r w:rsidR="00B1286B">
          <w:rPr>
            <w:noProof/>
          </w:rPr>
          <w:tab/>
        </w:r>
        <w:r w:rsidR="00B1286B">
          <w:rPr>
            <w:noProof/>
          </w:rPr>
          <w:fldChar w:fldCharType="begin"/>
        </w:r>
        <w:r w:rsidR="00B1286B">
          <w:rPr>
            <w:noProof/>
          </w:rPr>
          <w:instrText xml:space="preserve"> PAGEREF _Toc182476523 \h </w:instrText>
        </w:r>
        <w:r w:rsidR="00B1286B">
          <w:rPr>
            <w:noProof/>
          </w:rPr>
        </w:r>
        <w:r w:rsidR="00B1286B">
          <w:rPr>
            <w:noProof/>
          </w:rPr>
          <w:fldChar w:fldCharType="separate"/>
        </w:r>
        <w:r w:rsidR="00620087">
          <w:rPr>
            <w:noProof/>
          </w:rPr>
          <w:t>106</w:t>
        </w:r>
        <w:r w:rsidR="00B1286B">
          <w:rPr>
            <w:noProof/>
          </w:rPr>
          <w:fldChar w:fldCharType="end"/>
        </w:r>
      </w:hyperlink>
    </w:p>
    <w:p w14:paraId="100D1994" w14:textId="0FF454D0" w:rsidR="00B1286B" w:rsidRDefault="00CA2808">
      <w:pPr>
        <w:pStyle w:val="TOC2"/>
        <w:rPr>
          <w:rFonts w:asciiTheme="minorHAnsi" w:eastAsiaTheme="minorEastAsia" w:hAnsiTheme="minorHAnsi" w:cstheme="minorBidi"/>
          <w:noProof/>
          <w:szCs w:val="22"/>
        </w:rPr>
      </w:pPr>
      <w:hyperlink w:anchor="_Toc182476524" w:history="1">
        <w:r w:rsidR="00B1286B" w:rsidRPr="00485EE7">
          <w:rPr>
            <w:rStyle w:val="affffffe"/>
            <w:noProof/>
            <w14:scene3d>
              <w14:camera w14:prst="orthographicFront"/>
              <w14:lightRig w14:rig="threePt" w14:dir="t">
                <w14:rot w14:lat="0" w14:lon="0" w14:rev="0"/>
              </w14:lightRig>
            </w14:scene3d>
          </w:rPr>
          <w:t>21.13</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_Toc182476524 \h </w:instrText>
        </w:r>
        <w:r w:rsidR="00B1286B">
          <w:rPr>
            <w:noProof/>
          </w:rPr>
        </w:r>
        <w:r w:rsidR="00B1286B">
          <w:rPr>
            <w:noProof/>
          </w:rPr>
          <w:fldChar w:fldCharType="separate"/>
        </w:r>
        <w:r w:rsidR="00620087">
          <w:rPr>
            <w:noProof/>
          </w:rPr>
          <w:t>106</w:t>
        </w:r>
        <w:r w:rsidR="00B1286B">
          <w:rPr>
            <w:noProof/>
          </w:rPr>
          <w:fldChar w:fldCharType="end"/>
        </w:r>
      </w:hyperlink>
    </w:p>
    <w:p w14:paraId="619AFAE3" w14:textId="11401053" w:rsidR="00B1286B" w:rsidRDefault="00CA2808">
      <w:pPr>
        <w:pStyle w:val="TOC1"/>
        <w:tabs>
          <w:tab w:val="right" w:leader="dot" w:pos="9344"/>
        </w:tabs>
        <w:rPr>
          <w:rFonts w:asciiTheme="minorHAnsi" w:eastAsiaTheme="minorEastAsia" w:hAnsiTheme="minorHAnsi" w:cstheme="minorBidi"/>
          <w:noProof/>
          <w:szCs w:val="22"/>
        </w:rPr>
      </w:pPr>
      <w:hyperlink w:anchor="_Toc182476525" w:history="1">
        <w:r w:rsidR="00B1286B" w:rsidRPr="00485EE7">
          <w:rPr>
            <w:rStyle w:val="affffffe"/>
            <w:noProof/>
          </w:rPr>
          <w:t>22 安全防护与监控</w:t>
        </w:r>
        <w:r w:rsidR="00B1286B">
          <w:rPr>
            <w:noProof/>
          </w:rPr>
          <w:tab/>
        </w:r>
        <w:r w:rsidR="00B1286B">
          <w:rPr>
            <w:noProof/>
          </w:rPr>
          <w:fldChar w:fldCharType="begin"/>
        </w:r>
        <w:r w:rsidR="00B1286B">
          <w:rPr>
            <w:noProof/>
          </w:rPr>
          <w:instrText xml:space="preserve"> PAGEREF _Toc182476525 \h </w:instrText>
        </w:r>
        <w:r w:rsidR="00B1286B">
          <w:rPr>
            <w:noProof/>
          </w:rPr>
        </w:r>
        <w:r w:rsidR="00B1286B">
          <w:rPr>
            <w:noProof/>
          </w:rPr>
          <w:fldChar w:fldCharType="separate"/>
        </w:r>
        <w:r w:rsidR="00620087">
          <w:rPr>
            <w:noProof/>
          </w:rPr>
          <w:t>107</w:t>
        </w:r>
        <w:r w:rsidR="00B1286B">
          <w:rPr>
            <w:noProof/>
          </w:rPr>
          <w:fldChar w:fldCharType="end"/>
        </w:r>
      </w:hyperlink>
    </w:p>
    <w:p w14:paraId="1197B22E" w14:textId="794F8E39" w:rsidR="00B1286B" w:rsidRDefault="00CA2808">
      <w:pPr>
        <w:pStyle w:val="TOC2"/>
        <w:rPr>
          <w:rFonts w:asciiTheme="minorHAnsi" w:eastAsiaTheme="minorEastAsia" w:hAnsiTheme="minorHAnsi" w:cstheme="minorBidi"/>
          <w:noProof/>
          <w:szCs w:val="22"/>
        </w:rPr>
      </w:pPr>
      <w:hyperlink w:anchor="_Toc182476526" w:history="1">
        <w:r w:rsidR="00B1286B" w:rsidRPr="00485EE7">
          <w:rPr>
            <w:rStyle w:val="affffffe"/>
            <w:noProof/>
            <w14:scene3d>
              <w14:camera w14:prst="orthographicFront"/>
              <w14:lightRig w14:rig="threePt" w14:dir="t">
                <w14:rot w14:lat="0" w14:lon="0" w14:rev="0"/>
              </w14:lightRig>
            </w14:scene3d>
          </w:rPr>
          <w:t>22.1</w:t>
        </w:r>
        <w:r w:rsidR="00B1286B" w:rsidRPr="00485EE7">
          <w:rPr>
            <w:rStyle w:val="affffffe"/>
            <w:noProof/>
          </w:rPr>
          <w:t xml:space="preserve"> 火灾自动报警系统</w:t>
        </w:r>
        <w:r w:rsidR="00B1286B">
          <w:rPr>
            <w:noProof/>
          </w:rPr>
          <w:tab/>
        </w:r>
        <w:r w:rsidR="00B1286B">
          <w:rPr>
            <w:noProof/>
          </w:rPr>
          <w:fldChar w:fldCharType="begin"/>
        </w:r>
        <w:r w:rsidR="00B1286B">
          <w:rPr>
            <w:noProof/>
          </w:rPr>
          <w:instrText xml:space="preserve"> PAGEREF _Toc182476526 \h </w:instrText>
        </w:r>
        <w:r w:rsidR="00B1286B">
          <w:rPr>
            <w:noProof/>
          </w:rPr>
        </w:r>
        <w:r w:rsidR="00B1286B">
          <w:rPr>
            <w:noProof/>
          </w:rPr>
          <w:fldChar w:fldCharType="separate"/>
        </w:r>
        <w:r w:rsidR="00620087">
          <w:rPr>
            <w:noProof/>
          </w:rPr>
          <w:t>107</w:t>
        </w:r>
        <w:r w:rsidR="00B1286B">
          <w:rPr>
            <w:noProof/>
          </w:rPr>
          <w:fldChar w:fldCharType="end"/>
        </w:r>
      </w:hyperlink>
    </w:p>
    <w:p w14:paraId="039B4EC7" w14:textId="0DE8C924" w:rsidR="00B1286B" w:rsidRDefault="00CA2808">
      <w:pPr>
        <w:pStyle w:val="TOC2"/>
        <w:rPr>
          <w:rFonts w:asciiTheme="minorHAnsi" w:eastAsiaTheme="minorEastAsia" w:hAnsiTheme="minorHAnsi" w:cstheme="minorBidi"/>
          <w:noProof/>
          <w:szCs w:val="22"/>
        </w:rPr>
      </w:pPr>
      <w:hyperlink w:anchor="_Toc182476527" w:history="1">
        <w:r w:rsidR="00B1286B" w:rsidRPr="00485EE7">
          <w:rPr>
            <w:rStyle w:val="affffffe"/>
            <w:noProof/>
            <w14:scene3d>
              <w14:camera w14:prst="orthographicFront"/>
              <w14:lightRig w14:rig="threePt" w14:dir="t">
                <w14:rot w14:lat="0" w14:lon="0" w14:rev="0"/>
              </w14:lightRig>
            </w14:scene3d>
          </w:rPr>
          <w:t>22.2</w:t>
        </w:r>
        <w:r w:rsidR="00B1286B" w:rsidRPr="00485EE7">
          <w:rPr>
            <w:rStyle w:val="affffffe"/>
            <w:noProof/>
          </w:rPr>
          <w:t xml:space="preserve"> 环境设备监控系统</w:t>
        </w:r>
        <w:r w:rsidR="00B1286B">
          <w:rPr>
            <w:noProof/>
          </w:rPr>
          <w:tab/>
        </w:r>
        <w:r w:rsidR="00B1286B">
          <w:rPr>
            <w:noProof/>
          </w:rPr>
          <w:fldChar w:fldCharType="begin"/>
        </w:r>
        <w:r w:rsidR="00B1286B">
          <w:rPr>
            <w:noProof/>
          </w:rPr>
          <w:instrText xml:space="preserve"> PAGEREF _Toc182476527 \h </w:instrText>
        </w:r>
        <w:r w:rsidR="00B1286B">
          <w:rPr>
            <w:noProof/>
          </w:rPr>
        </w:r>
        <w:r w:rsidR="00B1286B">
          <w:rPr>
            <w:noProof/>
          </w:rPr>
          <w:fldChar w:fldCharType="separate"/>
        </w:r>
        <w:r w:rsidR="00620087">
          <w:rPr>
            <w:noProof/>
          </w:rPr>
          <w:t>108</w:t>
        </w:r>
        <w:r w:rsidR="00B1286B">
          <w:rPr>
            <w:noProof/>
          </w:rPr>
          <w:fldChar w:fldCharType="end"/>
        </w:r>
      </w:hyperlink>
    </w:p>
    <w:p w14:paraId="7829E761" w14:textId="6163CBC1" w:rsidR="00B1286B" w:rsidRDefault="00CA2808">
      <w:pPr>
        <w:pStyle w:val="TOC2"/>
        <w:rPr>
          <w:rFonts w:asciiTheme="minorHAnsi" w:eastAsiaTheme="minorEastAsia" w:hAnsiTheme="minorHAnsi" w:cstheme="minorBidi"/>
          <w:noProof/>
          <w:szCs w:val="22"/>
        </w:rPr>
      </w:pPr>
      <w:hyperlink w:anchor="_Toc182476528" w:history="1">
        <w:r w:rsidR="00B1286B" w:rsidRPr="00485EE7">
          <w:rPr>
            <w:rStyle w:val="affffffe"/>
            <w:noProof/>
            <w14:scene3d>
              <w14:camera w14:prst="orthographicFront"/>
              <w14:lightRig w14:rig="threePt" w14:dir="t">
                <w14:rot w14:lat="0" w14:lon="0" w14:rev="0"/>
              </w14:lightRig>
            </w14:scene3d>
          </w:rPr>
          <w:t>22.3</w:t>
        </w:r>
        <w:r w:rsidR="00B1286B" w:rsidRPr="00485EE7">
          <w:rPr>
            <w:rStyle w:val="affffffe"/>
            <w:noProof/>
          </w:rPr>
          <w:t xml:space="preserve"> 门禁系统</w:t>
        </w:r>
        <w:r w:rsidR="00B1286B">
          <w:rPr>
            <w:noProof/>
          </w:rPr>
          <w:tab/>
        </w:r>
        <w:r w:rsidR="00B1286B">
          <w:rPr>
            <w:noProof/>
          </w:rPr>
          <w:fldChar w:fldCharType="begin"/>
        </w:r>
        <w:r w:rsidR="00B1286B">
          <w:rPr>
            <w:noProof/>
          </w:rPr>
          <w:instrText xml:space="preserve"> PAGEREF _Toc182476528 \h </w:instrText>
        </w:r>
        <w:r w:rsidR="00B1286B">
          <w:rPr>
            <w:noProof/>
          </w:rPr>
        </w:r>
        <w:r w:rsidR="00B1286B">
          <w:rPr>
            <w:noProof/>
          </w:rPr>
          <w:fldChar w:fldCharType="separate"/>
        </w:r>
        <w:r w:rsidR="00620087">
          <w:rPr>
            <w:noProof/>
          </w:rPr>
          <w:t>108</w:t>
        </w:r>
        <w:r w:rsidR="00B1286B">
          <w:rPr>
            <w:noProof/>
          </w:rPr>
          <w:fldChar w:fldCharType="end"/>
        </w:r>
      </w:hyperlink>
    </w:p>
    <w:p w14:paraId="7A9E7231" w14:textId="478A42A8" w:rsidR="00B1286B" w:rsidRDefault="00CA2808">
      <w:pPr>
        <w:pStyle w:val="TOC2"/>
        <w:rPr>
          <w:rFonts w:asciiTheme="minorHAnsi" w:eastAsiaTheme="minorEastAsia" w:hAnsiTheme="minorHAnsi" w:cstheme="minorBidi"/>
          <w:noProof/>
          <w:szCs w:val="22"/>
        </w:rPr>
      </w:pPr>
      <w:hyperlink w:anchor="_Toc182476529" w:history="1">
        <w:r w:rsidR="00B1286B" w:rsidRPr="00485EE7">
          <w:rPr>
            <w:rStyle w:val="affffffe"/>
            <w:noProof/>
            <w14:scene3d>
              <w14:camera w14:prst="orthographicFront"/>
              <w14:lightRig w14:rig="threePt" w14:dir="t">
                <w14:rot w14:lat="0" w14:lon="0" w14:rev="0"/>
              </w14:lightRig>
            </w14:scene3d>
          </w:rPr>
          <w:t>22.4</w:t>
        </w:r>
        <w:r w:rsidR="00B1286B" w:rsidRPr="00485EE7">
          <w:rPr>
            <w:rStyle w:val="affffffe"/>
            <w:noProof/>
          </w:rPr>
          <w:t xml:space="preserve"> 综合监控系统</w:t>
        </w:r>
        <w:r w:rsidR="00B1286B">
          <w:rPr>
            <w:noProof/>
          </w:rPr>
          <w:tab/>
        </w:r>
        <w:r w:rsidR="00B1286B">
          <w:rPr>
            <w:noProof/>
          </w:rPr>
          <w:fldChar w:fldCharType="begin"/>
        </w:r>
        <w:r w:rsidR="00B1286B">
          <w:rPr>
            <w:noProof/>
          </w:rPr>
          <w:instrText xml:space="preserve"> PAGEREF _Toc182476529 \h </w:instrText>
        </w:r>
        <w:r w:rsidR="00B1286B">
          <w:rPr>
            <w:noProof/>
          </w:rPr>
        </w:r>
        <w:r w:rsidR="00B1286B">
          <w:rPr>
            <w:noProof/>
          </w:rPr>
          <w:fldChar w:fldCharType="separate"/>
        </w:r>
        <w:r w:rsidR="00620087">
          <w:rPr>
            <w:noProof/>
          </w:rPr>
          <w:t>109</w:t>
        </w:r>
        <w:r w:rsidR="00B1286B">
          <w:rPr>
            <w:noProof/>
          </w:rPr>
          <w:fldChar w:fldCharType="end"/>
        </w:r>
      </w:hyperlink>
    </w:p>
    <w:p w14:paraId="2B8FA8AE" w14:textId="17361330" w:rsidR="00B1286B" w:rsidRDefault="00CA2808">
      <w:pPr>
        <w:pStyle w:val="TOC2"/>
        <w:rPr>
          <w:rFonts w:asciiTheme="minorHAnsi" w:eastAsiaTheme="minorEastAsia" w:hAnsiTheme="minorHAnsi" w:cstheme="minorBidi"/>
          <w:noProof/>
          <w:szCs w:val="22"/>
        </w:rPr>
      </w:pPr>
      <w:hyperlink w:anchor="_Toc182476530" w:history="1">
        <w:r w:rsidR="00B1286B" w:rsidRPr="00485EE7">
          <w:rPr>
            <w:rStyle w:val="affffffe"/>
            <w:noProof/>
            <w14:scene3d>
              <w14:camera w14:prst="orthographicFront"/>
              <w14:lightRig w14:rig="threePt" w14:dir="t">
                <w14:rot w14:lat="0" w14:lon="0" w14:rev="0"/>
              </w14:lightRig>
            </w14:scene3d>
          </w:rPr>
          <w:t>22.5</w:t>
        </w:r>
        <w:r w:rsidR="00B1286B" w:rsidRPr="00485EE7">
          <w:rPr>
            <w:rStyle w:val="affffffe"/>
            <w:noProof/>
          </w:rPr>
          <w:t xml:space="preserve"> 安防系统</w:t>
        </w:r>
        <w:r w:rsidR="00B1286B">
          <w:rPr>
            <w:noProof/>
          </w:rPr>
          <w:tab/>
        </w:r>
        <w:r w:rsidR="00B1286B">
          <w:rPr>
            <w:noProof/>
          </w:rPr>
          <w:fldChar w:fldCharType="begin"/>
        </w:r>
        <w:r w:rsidR="00B1286B">
          <w:rPr>
            <w:noProof/>
          </w:rPr>
          <w:instrText xml:space="preserve"> PAGEREF _Toc182476530 \h </w:instrText>
        </w:r>
        <w:r w:rsidR="00B1286B">
          <w:rPr>
            <w:noProof/>
          </w:rPr>
        </w:r>
        <w:r w:rsidR="00B1286B">
          <w:rPr>
            <w:noProof/>
          </w:rPr>
          <w:fldChar w:fldCharType="separate"/>
        </w:r>
        <w:r w:rsidR="00620087">
          <w:rPr>
            <w:noProof/>
          </w:rPr>
          <w:t>109</w:t>
        </w:r>
        <w:r w:rsidR="00B1286B">
          <w:rPr>
            <w:noProof/>
          </w:rPr>
          <w:fldChar w:fldCharType="end"/>
        </w:r>
      </w:hyperlink>
    </w:p>
    <w:p w14:paraId="4146DDD3" w14:textId="3BA5F4AD" w:rsidR="00B1286B" w:rsidRDefault="00CA2808">
      <w:pPr>
        <w:pStyle w:val="TOC1"/>
        <w:tabs>
          <w:tab w:val="right" w:leader="dot" w:pos="9344"/>
        </w:tabs>
        <w:rPr>
          <w:rFonts w:asciiTheme="minorHAnsi" w:eastAsiaTheme="minorEastAsia" w:hAnsiTheme="minorHAnsi" w:cstheme="minorBidi"/>
          <w:noProof/>
          <w:szCs w:val="22"/>
        </w:rPr>
      </w:pPr>
      <w:hyperlink w:anchor="_Toc182476531" w:history="1">
        <w:r w:rsidR="00B1286B" w:rsidRPr="00485EE7">
          <w:rPr>
            <w:rStyle w:val="affffffe"/>
            <w:noProof/>
          </w:rPr>
          <w:t>23 信息</w:t>
        </w:r>
        <w:r w:rsidR="00B1286B">
          <w:rPr>
            <w:noProof/>
          </w:rPr>
          <w:tab/>
        </w:r>
        <w:r w:rsidR="00B1286B">
          <w:rPr>
            <w:noProof/>
          </w:rPr>
          <w:fldChar w:fldCharType="begin"/>
        </w:r>
        <w:r w:rsidR="00B1286B">
          <w:rPr>
            <w:noProof/>
          </w:rPr>
          <w:instrText xml:space="preserve"> PAGEREF _Toc182476531 \h </w:instrText>
        </w:r>
        <w:r w:rsidR="00B1286B">
          <w:rPr>
            <w:noProof/>
          </w:rPr>
        </w:r>
        <w:r w:rsidR="00B1286B">
          <w:rPr>
            <w:noProof/>
          </w:rPr>
          <w:fldChar w:fldCharType="separate"/>
        </w:r>
        <w:r w:rsidR="00620087">
          <w:rPr>
            <w:noProof/>
          </w:rPr>
          <w:t>110</w:t>
        </w:r>
        <w:r w:rsidR="00B1286B">
          <w:rPr>
            <w:noProof/>
          </w:rPr>
          <w:fldChar w:fldCharType="end"/>
        </w:r>
      </w:hyperlink>
    </w:p>
    <w:p w14:paraId="56B8AD7C" w14:textId="1DCD0DBC" w:rsidR="00B1286B" w:rsidRDefault="00CA2808">
      <w:pPr>
        <w:pStyle w:val="TOC2"/>
        <w:rPr>
          <w:rFonts w:asciiTheme="minorHAnsi" w:eastAsiaTheme="minorEastAsia" w:hAnsiTheme="minorHAnsi" w:cstheme="minorBidi"/>
          <w:noProof/>
          <w:szCs w:val="22"/>
        </w:rPr>
      </w:pPr>
      <w:hyperlink w:anchor="_Toc182476532" w:history="1">
        <w:r w:rsidR="00B1286B" w:rsidRPr="00485EE7">
          <w:rPr>
            <w:rStyle w:val="affffffe"/>
            <w:noProof/>
            <w14:scene3d>
              <w14:camera w14:prst="orthographicFront"/>
              <w14:lightRig w14:rig="threePt" w14:dir="t">
                <w14:rot w14:lat="0" w14:lon="0" w14:rev="0"/>
              </w14:lightRig>
            </w14:scene3d>
          </w:rPr>
          <w:t>23.1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_Toc182476532 \h </w:instrText>
        </w:r>
        <w:r w:rsidR="00B1286B">
          <w:rPr>
            <w:noProof/>
          </w:rPr>
        </w:r>
        <w:r w:rsidR="00B1286B">
          <w:rPr>
            <w:noProof/>
          </w:rPr>
          <w:fldChar w:fldCharType="separate"/>
        </w:r>
        <w:r w:rsidR="00620087">
          <w:rPr>
            <w:noProof/>
          </w:rPr>
          <w:t>110</w:t>
        </w:r>
        <w:r w:rsidR="00B1286B">
          <w:rPr>
            <w:noProof/>
          </w:rPr>
          <w:fldChar w:fldCharType="end"/>
        </w:r>
      </w:hyperlink>
    </w:p>
    <w:p w14:paraId="05E452FB" w14:textId="09A98815" w:rsidR="00B1286B" w:rsidRDefault="00CA2808">
      <w:pPr>
        <w:pStyle w:val="TOC2"/>
        <w:rPr>
          <w:rFonts w:asciiTheme="minorHAnsi" w:eastAsiaTheme="minorEastAsia" w:hAnsiTheme="minorHAnsi" w:cstheme="minorBidi"/>
          <w:noProof/>
          <w:szCs w:val="22"/>
        </w:rPr>
      </w:pPr>
      <w:hyperlink w:anchor="_Toc182476533" w:history="1">
        <w:r w:rsidR="00B1286B" w:rsidRPr="00485EE7">
          <w:rPr>
            <w:rStyle w:val="affffffe"/>
            <w:noProof/>
            <w14:scene3d>
              <w14:camera w14:prst="orthographicFront"/>
              <w14:lightRig w14:rig="threePt" w14:dir="t">
                <w14:rot w14:lat="0" w14:lon="0" w14:rev="0"/>
              </w14:lightRig>
            </w14:scene3d>
          </w:rPr>
          <w:t>23.2</w:t>
        </w:r>
        <w:r w:rsidR="00B1286B" w:rsidRPr="00485EE7">
          <w:rPr>
            <w:rStyle w:val="affffffe"/>
            <w:noProof/>
          </w:rPr>
          <w:t xml:space="preserve"> 客票系统</w:t>
        </w:r>
        <w:r w:rsidR="00B1286B">
          <w:rPr>
            <w:noProof/>
          </w:rPr>
          <w:tab/>
        </w:r>
        <w:r w:rsidR="00B1286B">
          <w:rPr>
            <w:noProof/>
          </w:rPr>
          <w:fldChar w:fldCharType="begin"/>
        </w:r>
        <w:r w:rsidR="00B1286B">
          <w:rPr>
            <w:noProof/>
          </w:rPr>
          <w:instrText xml:space="preserve"> PAGEREF _Toc182476533 \h </w:instrText>
        </w:r>
        <w:r w:rsidR="00B1286B">
          <w:rPr>
            <w:noProof/>
          </w:rPr>
        </w:r>
        <w:r w:rsidR="00B1286B">
          <w:rPr>
            <w:noProof/>
          </w:rPr>
          <w:fldChar w:fldCharType="separate"/>
        </w:r>
        <w:r w:rsidR="00620087">
          <w:rPr>
            <w:noProof/>
          </w:rPr>
          <w:t>110</w:t>
        </w:r>
        <w:r w:rsidR="00B1286B">
          <w:rPr>
            <w:noProof/>
          </w:rPr>
          <w:fldChar w:fldCharType="end"/>
        </w:r>
      </w:hyperlink>
    </w:p>
    <w:p w14:paraId="23500E00" w14:textId="028F2ED8" w:rsidR="00B1286B" w:rsidRDefault="00CA2808">
      <w:pPr>
        <w:pStyle w:val="TOC2"/>
        <w:rPr>
          <w:rFonts w:asciiTheme="minorHAnsi" w:eastAsiaTheme="minorEastAsia" w:hAnsiTheme="minorHAnsi" w:cstheme="minorBidi"/>
          <w:noProof/>
          <w:szCs w:val="22"/>
        </w:rPr>
      </w:pPr>
      <w:hyperlink w:anchor="_Toc182476534" w:history="1">
        <w:r w:rsidR="00B1286B" w:rsidRPr="00485EE7">
          <w:rPr>
            <w:rStyle w:val="affffffe"/>
            <w:noProof/>
            <w14:scene3d>
              <w14:camera w14:prst="orthographicFront"/>
              <w14:lightRig w14:rig="threePt" w14:dir="t">
                <w14:rot w14:lat="0" w14:lon="0" w14:rev="0"/>
              </w14:lightRig>
            </w14:scene3d>
          </w:rPr>
          <w:t>23.3</w:t>
        </w:r>
        <w:r w:rsidR="00B1286B" w:rsidRPr="00485EE7">
          <w:rPr>
            <w:rStyle w:val="affffffe"/>
            <w:noProof/>
          </w:rPr>
          <w:t xml:space="preserve"> 旅客服务信息系统</w:t>
        </w:r>
        <w:r w:rsidR="00B1286B">
          <w:rPr>
            <w:noProof/>
          </w:rPr>
          <w:tab/>
        </w:r>
        <w:r w:rsidR="00B1286B">
          <w:rPr>
            <w:noProof/>
          </w:rPr>
          <w:fldChar w:fldCharType="begin"/>
        </w:r>
        <w:r w:rsidR="00B1286B">
          <w:rPr>
            <w:noProof/>
          </w:rPr>
          <w:instrText xml:space="preserve"> PAGEREF _Toc182476534 \h </w:instrText>
        </w:r>
        <w:r w:rsidR="00B1286B">
          <w:rPr>
            <w:noProof/>
          </w:rPr>
        </w:r>
        <w:r w:rsidR="00B1286B">
          <w:rPr>
            <w:noProof/>
          </w:rPr>
          <w:fldChar w:fldCharType="separate"/>
        </w:r>
        <w:r w:rsidR="00620087">
          <w:rPr>
            <w:noProof/>
          </w:rPr>
          <w:t>111</w:t>
        </w:r>
        <w:r w:rsidR="00B1286B">
          <w:rPr>
            <w:noProof/>
          </w:rPr>
          <w:fldChar w:fldCharType="end"/>
        </w:r>
      </w:hyperlink>
    </w:p>
    <w:p w14:paraId="5135CCEC" w14:textId="364ECB61" w:rsidR="00B1286B" w:rsidRDefault="00CA2808">
      <w:pPr>
        <w:pStyle w:val="TOC2"/>
        <w:rPr>
          <w:rFonts w:asciiTheme="minorHAnsi" w:eastAsiaTheme="minorEastAsia" w:hAnsiTheme="minorHAnsi" w:cstheme="minorBidi"/>
          <w:noProof/>
          <w:szCs w:val="22"/>
        </w:rPr>
      </w:pPr>
      <w:hyperlink w:anchor="_Toc182476535" w:history="1">
        <w:r w:rsidR="00B1286B" w:rsidRPr="00485EE7">
          <w:rPr>
            <w:rStyle w:val="affffffe"/>
            <w:noProof/>
            <w14:scene3d>
              <w14:camera w14:prst="orthographicFront"/>
              <w14:lightRig w14:rig="threePt" w14:dir="t">
                <w14:rot w14:lat="0" w14:lon="0" w14:rev="0"/>
              </w14:lightRig>
            </w14:scene3d>
          </w:rPr>
          <w:t>23.4</w:t>
        </w:r>
        <w:r w:rsidR="00B1286B" w:rsidRPr="00485EE7">
          <w:rPr>
            <w:rStyle w:val="affffffe"/>
            <w:noProof/>
          </w:rPr>
          <w:t xml:space="preserve"> 办公信息系统</w:t>
        </w:r>
        <w:r w:rsidR="00B1286B">
          <w:rPr>
            <w:noProof/>
          </w:rPr>
          <w:tab/>
        </w:r>
        <w:r w:rsidR="00B1286B">
          <w:rPr>
            <w:noProof/>
          </w:rPr>
          <w:fldChar w:fldCharType="begin"/>
        </w:r>
        <w:r w:rsidR="00B1286B">
          <w:rPr>
            <w:noProof/>
          </w:rPr>
          <w:instrText xml:space="preserve"> PAGEREF _Toc182476535 \h </w:instrText>
        </w:r>
        <w:r w:rsidR="00B1286B">
          <w:rPr>
            <w:noProof/>
          </w:rPr>
        </w:r>
        <w:r w:rsidR="00B1286B">
          <w:rPr>
            <w:noProof/>
          </w:rPr>
          <w:fldChar w:fldCharType="separate"/>
        </w:r>
        <w:r w:rsidR="00620087">
          <w:rPr>
            <w:noProof/>
          </w:rPr>
          <w:t>111</w:t>
        </w:r>
        <w:r w:rsidR="00B1286B">
          <w:rPr>
            <w:noProof/>
          </w:rPr>
          <w:fldChar w:fldCharType="end"/>
        </w:r>
      </w:hyperlink>
    </w:p>
    <w:p w14:paraId="1803590C" w14:textId="49460CE1" w:rsidR="00B1286B" w:rsidRDefault="00CA2808">
      <w:pPr>
        <w:pStyle w:val="TOC2"/>
        <w:rPr>
          <w:rFonts w:asciiTheme="minorHAnsi" w:eastAsiaTheme="minorEastAsia" w:hAnsiTheme="minorHAnsi" w:cstheme="minorBidi"/>
          <w:noProof/>
          <w:szCs w:val="22"/>
        </w:rPr>
      </w:pPr>
      <w:hyperlink w:anchor="_Toc182476536" w:history="1">
        <w:r w:rsidR="00B1286B" w:rsidRPr="00485EE7">
          <w:rPr>
            <w:rStyle w:val="affffffe"/>
            <w:noProof/>
            <w14:scene3d>
              <w14:camera w14:prst="orthographicFront"/>
              <w14:lightRig w14:rig="threePt" w14:dir="t">
                <w14:rot w14:lat="0" w14:lon="0" w14:rev="0"/>
              </w14:lightRig>
            </w14:scene3d>
          </w:rPr>
          <w:t>23.5</w:t>
        </w:r>
        <w:r w:rsidR="00B1286B" w:rsidRPr="00485EE7">
          <w:rPr>
            <w:rStyle w:val="affffffe"/>
            <w:noProof/>
          </w:rPr>
          <w:t xml:space="preserve"> 市域动车组管理信息系统</w:t>
        </w:r>
        <w:r w:rsidR="00B1286B">
          <w:rPr>
            <w:noProof/>
          </w:rPr>
          <w:tab/>
        </w:r>
        <w:r w:rsidR="00B1286B">
          <w:rPr>
            <w:noProof/>
          </w:rPr>
          <w:fldChar w:fldCharType="begin"/>
        </w:r>
        <w:r w:rsidR="00B1286B">
          <w:rPr>
            <w:noProof/>
          </w:rPr>
          <w:instrText xml:space="preserve"> PAGEREF _Toc182476536 \h </w:instrText>
        </w:r>
        <w:r w:rsidR="00B1286B">
          <w:rPr>
            <w:noProof/>
          </w:rPr>
        </w:r>
        <w:r w:rsidR="00B1286B">
          <w:rPr>
            <w:noProof/>
          </w:rPr>
          <w:fldChar w:fldCharType="separate"/>
        </w:r>
        <w:r w:rsidR="00620087">
          <w:rPr>
            <w:noProof/>
          </w:rPr>
          <w:t>112</w:t>
        </w:r>
        <w:r w:rsidR="00B1286B">
          <w:rPr>
            <w:noProof/>
          </w:rPr>
          <w:fldChar w:fldCharType="end"/>
        </w:r>
      </w:hyperlink>
    </w:p>
    <w:p w14:paraId="537BD6A2" w14:textId="1521D2F4" w:rsidR="00B1286B" w:rsidRDefault="00CA2808">
      <w:pPr>
        <w:pStyle w:val="TOC2"/>
        <w:rPr>
          <w:rFonts w:asciiTheme="minorHAnsi" w:eastAsiaTheme="minorEastAsia" w:hAnsiTheme="minorHAnsi" w:cstheme="minorBidi"/>
          <w:noProof/>
          <w:szCs w:val="22"/>
        </w:rPr>
      </w:pPr>
      <w:hyperlink w:anchor="_Toc182476537" w:history="1">
        <w:r w:rsidR="00B1286B" w:rsidRPr="00485EE7">
          <w:rPr>
            <w:rStyle w:val="affffffe"/>
            <w:noProof/>
            <w14:scene3d>
              <w14:camera w14:prst="orthographicFront"/>
              <w14:lightRig w14:rig="threePt" w14:dir="t">
                <w14:rot w14:lat="0" w14:lon="0" w14:rev="0"/>
              </w14:lightRig>
            </w14:scene3d>
          </w:rPr>
          <w:t>23.6</w:t>
        </w:r>
        <w:r w:rsidR="00B1286B" w:rsidRPr="00485EE7">
          <w:rPr>
            <w:rStyle w:val="affffffe"/>
            <w:noProof/>
          </w:rPr>
          <w:t xml:space="preserve"> 计算机网络</w:t>
        </w:r>
        <w:r w:rsidR="00B1286B">
          <w:rPr>
            <w:noProof/>
          </w:rPr>
          <w:tab/>
        </w:r>
        <w:r w:rsidR="00B1286B">
          <w:rPr>
            <w:noProof/>
          </w:rPr>
          <w:fldChar w:fldCharType="begin"/>
        </w:r>
        <w:r w:rsidR="00B1286B">
          <w:rPr>
            <w:noProof/>
          </w:rPr>
          <w:instrText xml:space="preserve"> PAGEREF _Toc182476537 \h </w:instrText>
        </w:r>
        <w:r w:rsidR="00B1286B">
          <w:rPr>
            <w:noProof/>
          </w:rPr>
        </w:r>
        <w:r w:rsidR="00B1286B">
          <w:rPr>
            <w:noProof/>
          </w:rPr>
          <w:fldChar w:fldCharType="separate"/>
        </w:r>
        <w:r w:rsidR="00620087">
          <w:rPr>
            <w:noProof/>
          </w:rPr>
          <w:t>112</w:t>
        </w:r>
        <w:r w:rsidR="00B1286B">
          <w:rPr>
            <w:noProof/>
          </w:rPr>
          <w:fldChar w:fldCharType="end"/>
        </w:r>
      </w:hyperlink>
    </w:p>
    <w:p w14:paraId="50E5E44F" w14:textId="09B545ED" w:rsidR="00B1286B" w:rsidRDefault="00CA2808">
      <w:pPr>
        <w:pStyle w:val="TOC2"/>
        <w:rPr>
          <w:rFonts w:asciiTheme="minorHAnsi" w:eastAsiaTheme="minorEastAsia" w:hAnsiTheme="minorHAnsi" w:cstheme="minorBidi"/>
          <w:noProof/>
          <w:szCs w:val="22"/>
        </w:rPr>
      </w:pPr>
      <w:hyperlink w:anchor="_Toc182476538" w:history="1">
        <w:r w:rsidR="00B1286B" w:rsidRPr="00485EE7">
          <w:rPr>
            <w:rStyle w:val="affffffe"/>
            <w:noProof/>
            <w14:scene3d>
              <w14:camera w14:prst="orthographicFront"/>
              <w14:lightRig w14:rig="threePt" w14:dir="t">
                <w14:rot w14:lat="0" w14:lon="0" w14:rev="0"/>
              </w14:lightRig>
            </w14:scene3d>
          </w:rPr>
          <w:t>23.7</w:t>
        </w:r>
        <w:r w:rsidR="00B1286B" w:rsidRPr="00485EE7">
          <w:rPr>
            <w:rStyle w:val="affffffe"/>
            <w:noProof/>
          </w:rPr>
          <w:t xml:space="preserve"> 信息安全</w:t>
        </w:r>
        <w:r w:rsidR="00B1286B">
          <w:rPr>
            <w:noProof/>
          </w:rPr>
          <w:tab/>
        </w:r>
        <w:r w:rsidR="00B1286B">
          <w:rPr>
            <w:noProof/>
          </w:rPr>
          <w:fldChar w:fldCharType="begin"/>
        </w:r>
        <w:r w:rsidR="00B1286B">
          <w:rPr>
            <w:noProof/>
          </w:rPr>
          <w:instrText xml:space="preserve"> PAGEREF _Toc182476538 \h </w:instrText>
        </w:r>
        <w:r w:rsidR="00B1286B">
          <w:rPr>
            <w:noProof/>
          </w:rPr>
        </w:r>
        <w:r w:rsidR="00B1286B">
          <w:rPr>
            <w:noProof/>
          </w:rPr>
          <w:fldChar w:fldCharType="separate"/>
        </w:r>
        <w:r w:rsidR="00620087">
          <w:rPr>
            <w:noProof/>
          </w:rPr>
          <w:t>112</w:t>
        </w:r>
        <w:r w:rsidR="00B1286B">
          <w:rPr>
            <w:noProof/>
          </w:rPr>
          <w:fldChar w:fldCharType="end"/>
        </w:r>
      </w:hyperlink>
    </w:p>
    <w:p w14:paraId="1E749447" w14:textId="14AD0334" w:rsidR="00B1286B" w:rsidRDefault="00CA2808">
      <w:pPr>
        <w:pStyle w:val="TOC2"/>
        <w:rPr>
          <w:rFonts w:asciiTheme="minorHAnsi" w:eastAsiaTheme="minorEastAsia" w:hAnsiTheme="minorHAnsi" w:cstheme="minorBidi"/>
          <w:noProof/>
          <w:szCs w:val="22"/>
        </w:rPr>
      </w:pPr>
      <w:hyperlink w:anchor="_Toc182476539" w:history="1">
        <w:r w:rsidR="00B1286B" w:rsidRPr="00485EE7">
          <w:rPr>
            <w:rStyle w:val="affffffe"/>
            <w:noProof/>
            <w14:scene3d>
              <w14:camera w14:prst="orthographicFront"/>
              <w14:lightRig w14:rig="threePt" w14:dir="t">
                <w14:rot w14:lat="0" w14:lon="0" w14:rev="0"/>
              </w14:lightRig>
            </w14:scene3d>
          </w:rPr>
          <w:t>23.8</w:t>
        </w:r>
        <w:r w:rsidR="00B1286B" w:rsidRPr="00485EE7">
          <w:rPr>
            <w:rStyle w:val="affffffe"/>
            <w:noProof/>
          </w:rPr>
          <w:t xml:space="preserve"> 运行环境</w:t>
        </w:r>
        <w:r w:rsidR="00B1286B">
          <w:rPr>
            <w:noProof/>
          </w:rPr>
          <w:tab/>
        </w:r>
        <w:r w:rsidR="00B1286B">
          <w:rPr>
            <w:noProof/>
          </w:rPr>
          <w:fldChar w:fldCharType="begin"/>
        </w:r>
        <w:r w:rsidR="00B1286B">
          <w:rPr>
            <w:noProof/>
          </w:rPr>
          <w:instrText xml:space="preserve"> PAGEREF _Toc182476539 \h </w:instrText>
        </w:r>
        <w:r w:rsidR="00B1286B">
          <w:rPr>
            <w:noProof/>
          </w:rPr>
        </w:r>
        <w:r w:rsidR="00B1286B">
          <w:rPr>
            <w:noProof/>
          </w:rPr>
          <w:fldChar w:fldCharType="separate"/>
        </w:r>
        <w:r w:rsidR="00620087">
          <w:rPr>
            <w:noProof/>
          </w:rPr>
          <w:t>112</w:t>
        </w:r>
        <w:r w:rsidR="00B1286B">
          <w:rPr>
            <w:noProof/>
          </w:rPr>
          <w:fldChar w:fldCharType="end"/>
        </w:r>
      </w:hyperlink>
    </w:p>
    <w:p w14:paraId="796918A5" w14:textId="314EDD50" w:rsidR="00B1286B" w:rsidRDefault="00CA2808">
      <w:pPr>
        <w:pStyle w:val="TOC2"/>
        <w:rPr>
          <w:rFonts w:asciiTheme="minorHAnsi" w:eastAsiaTheme="minorEastAsia" w:hAnsiTheme="minorHAnsi" w:cstheme="minorBidi"/>
          <w:noProof/>
          <w:szCs w:val="22"/>
        </w:rPr>
      </w:pPr>
      <w:hyperlink w:anchor="_Toc182476540" w:history="1">
        <w:r w:rsidR="00B1286B" w:rsidRPr="00485EE7">
          <w:rPr>
            <w:rStyle w:val="affffffe"/>
            <w:noProof/>
            <w14:scene3d>
              <w14:camera w14:prst="orthographicFront"/>
              <w14:lightRig w14:rig="threePt" w14:dir="t">
                <w14:rot w14:lat="0" w14:lon="0" w14:rev="0"/>
              </w14:lightRig>
            </w14:scene3d>
          </w:rPr>
          <w:t>23.9</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_Toc182476540 \h </w:instrText>
        </w:r>
        <w:r w:rsidR="00B1286B">
          <w:rPr>
            <w:noProof/>
          </w:rPr>
        </w:r>
        <w:r w:rsidR="00B1286B">
          <w:rPr>
            <w:noProof/>
          </w:rPr>
          <w:fldChar w:fldCharType="separate"/>
        </w:r>
        <w:r w:rsidR="00620087">
          <w:rPr>
            <w:noProof/>
          </w:rPr>
          <w:t>112</w:t>
        </w:r>
        <w:r w:rsidR="00B1286B">
          <w:rPr>
            <w:noProof/>
          </w:rPr>
          <w:fldChar w:fldCharType="end"/>
        </w:r>
      </w:hyperlink>
    </w:p>
    <w:p w14:paraId="4FE35C44" w14:textId="72C3787B" w:rsidR="00B1286B" w:rsidRDefault="00CA2808">
      <w:pPr>
        <w:pStyle w:val="TOC1"/>
        <w:tabs>
          <w:tab w:val="right" w:leader="dot" w:pos="9344"/>
        </w:tabs>
        <w:rPr>
          <w:rFonts w:asciiTheme="minorHAnsi" w:eastAsiaTheme="minorEastAsia" w:hAnsiTheme="minorHAnsi" w:cstheme="minorBidi"/>
          <w:noProof/>
          <w:szCs w:val="22"/>
        </w:rPr>
      </w:pPr>
      <w:hyperlink w:anchor="_Toc182476541" w:history="1">
        <w:r w:rsidR="00B1286B" w:rsidRPr="00485EE7">
          <w:rPr>
            <w:rStyle w:val="affffffe"/>
            <w:noProof/>
          </w:rPr>
          <w:t>24 车站机械设备</w:t>
        </w:r>
        <w:r w:rsidR="00B1286B">
          <w:rPr>
            <w:noProof/>
          </w:rPr>
          <w:tab/>
        </w:r>
        <w:r w:rsidR="00B1286B">
          <w:rPr>
            <w:noProof/>
          </w:rPr>
          <w:fldChar w:fldCharType="begin"/>
        </w:r>
        <w:r w:rsidR="00B1286B">
          <w:rPr>
            <w:noProof/>
          </w:rPr>
          <w:instrText xml:space="preserve"> PAGEREF _Toc182476541 \h </w:instrText>
        </w:r>
        <w:r w:rsidR="00B1286B">
          <w:rPr>
            <w:noProof/>
          </w:rPr>
        </w:r>
        <w:r w:rsidR="00B1286B">
          <w:rPr>
            <w:noProof/>
          </w:rPr>
          <w:fldChar w:fldCharType="separate"/>
        </w:r>
        <w:r w:rsidR="00620087">
          <w:rPr>
            <w:noProof/>
          </w:rPr>
          <w:t>113</w:t>
        </w:r>
        <w:r w:rsidR="00B1286B">
          <w:rPr>
            <w:noProof/>
          </w:rPr>
          <w:fldChar w:fldCharType="end"/>
        </w:r>
      </w:hyperlink>
    </w:p>
    <w:p w14:paraId="60576CF3" w14:textId="0FE887B4" w:rsidR="00B1286B" w:rsidRDefault="00CA2808">
      <w:pPr>
        <w:pStyle w:val="TOC2"/>
        <w:rPr>
          <w:rFonts w:asciiTheme="minorHAnsi" w:eastAsiaTheme="minorEastAsia" w:hAnsiTheme="minorHAnsi" w:cstheme="minorBidi"/>
          <w:noProof/>
          <w:szCs w:val="22"/>
        </w:rPr>
      </w:pPr>
      <w:hyperlink w:anchor="_Toc182476542" w:history="1">
        <w:r w:rsidR="00B1286B" w:rsidRPr="00485EE7">
          <w:rPr>
            <w:rStyle w:val="affffffe"/>
            <w:noProof/>
            <w14:scene3d>
              <w14:camera w14:prst="orthographicFront"/>
              <w14:lightRig w14:rig="threePt" w14:dir="t">
                <w14:rot w14:lat="0" w14:lon="0" w14:rev="0"/>
              </w14:lightRig>
            </w14:scene3d>
          </w:rPr>
          <w:t>24.1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_Toc182476542 \h </w:instrText>
        </w:r>
        <w:r w:rsidR="00B1286B">
          <w:rPr>
            <w:noProof/>
          </w:rPr>
        </w:r>
        <w:r w:rsidR="00B1286B">
          <w:rPr>
            <w:noProof/>
          </w:rPr>
          <w:fldChar w:fldCharType="separate"/>
        </w:r>
        <w:r w:rsidR="00620087">
          <w:rPr>
            <w:noProof/>
          </w:rPr>
          <w:t>113</w:t>
        </w:r>
        <w:r w:rsidR="00B1286B">
          <w:rPr>
            <w:noProof/>
          </w:rPr>
          <w:fldChar w:fldCharType="end"/>
        </w:r>
      </w:hyperlink>
    </w:p>
    <w:p w14:paraId="14FB94B9" w14:textId="41678E46" w:rsidR="00B1286B" w:rsidRDefault="00CA2808">
      <w:pPr>
        <w:pStyle w:val="TOC2"/>
        <w:rPr>
          <w:rFonts w:asciiTheme="minorHAnsi" w:eastAsiaTheme="minorEastAsia" w:hAnsiTheme="minorHAnsi" w:cstheme="minorBidi"/>
          <w:noProof/>
          <w:szCs w:val="22"/>
        </w:rPr>
      </w:pPr>
      <w:hyperlink w:anchor="_Toc182476543" w:history="1">
        <w:r w:rsidR="00B1286B" w:rsidRPr="00485EE7">
          <w:rPr>
            <w:rStyle w:val="affffffe"/>
            <w:noProof/>
            <w14:scene3d>
              <w14:camera w14:prst="orthographicFront"/>
              <w14:lightRig w14:rig="threePt" w14:dir="t">
                <w14:rot w14:lat="0" w14:lon="0" w14:rev="0"/>
              </w14:lightRig>
            </w14:scene3d>
          </w:rPr>
          <w:t>24.2</w:t>
        </w:r>
        <w:r w:rsidR="00B1286B" w:rsidRPr="00485EE7">
          <w:rPr>
            <w:rStyle w:val="affffffe"/>
            <w:noProof/>
          </w:rPr>
          <w:t xml:space="preserve"> 自动扶梯和自动人行道</w:t>
        </w:r>
        <w:r w:rsidR="00B1286B">
          <w:rPr>
            <w:noProof/>
          </w:rPr>
          <w:tab/>
        </w:r>
        <w:r w:rsidR="00B1286B">
          <w:rPr>
            <w:noProof/>
          </w:rPr>
          <w:fldChar w:fldCharType="begin"/>
        </w:r>
        <w:r w:rsidR="00B1286B">
          <w:rPr>
            <w:noProof/>
          </w:rPr>
          <w:instrText xml:space="preserve"> PAGEREF _Toc182476543 \h </w:instrText>
        </w:r>
        <w:r w:rsidR="00B1286B">
          <w:rPr>
            <w:noProof/>
          </w:rPr>
        </w:r>
        <w:r w:rsidR="00B1286B">
          <w:rPr>
            <w:noProof/>
          </w:rPr>
          <w:fldChar w:fldCharType="separate"/>
        </w:r>
        <w:r w:rsidR="00620087">
          <w:rPr>
            <w:noProof/>
          </w:rPr>
          <w:t>113</w:t>
        </w:r>
        <w:r w:rsidR="00B1286B">
          <w:rPr>
            <w:noProof/>
          </w:rPr>
          <w:fldChar w:fldCharType="end"/>
        </w:r>
      </w:hyperlink>
    </w:p>
    <w:p w14:paraId="12854D02" w14:textId="28EB29E3" w:rsidR="00B1286B" w:rsidRDefault="00CA2808">
      <w:pPr>
        <w:pStyle w:val="TOC2"/>
        <w:rPr>
          <w:rFonts w:asciiTheme="minorHAnsi" w:eastAsiaTheme="minorEastAsia" w:hAnsiTheme="minorHAnsi" w:cstheme="minorBidi"/>
          <w:noProof/>
          <w:szCs w:val="22"/>
        </w:rPr>
      </w:pPr>
      <w:hyperlink w:anchor="_Toc182476544" w:history="1">
        <w:r w:rsidR="00B1286B" w:rsidRPr="00485EE7">
          <w:rPr>
            <w:rStyle w:val="affffffe"/>
            <w:noProof/>
            <w14:scene3d>
              <w14:camera w14:prst="orthographicFront"/>
              <w14:lightRig w14:rig="threePt" w14:dir="t">
                <w14:rot w14:lat="0" w14:lon="0" w14:rev="0"/>
              </w14:lightRig>
            </w14:scene3d>
          </w:rPr>
          <w:t>24.3</w:t>
        </w:r>
        <w:r w:rsidR="00B1286B" w:rsidRPr="00485EE7">
          <w:rPr>
            <w:rStyle w:val="affffffe"/>
            <w:noProof/>
          </w:rPr>
          <w:t xml:space="preserve"> 电梯</w:t>
        </w:r>
        <w:r w:rsidR="00B1286B">
          <w:rPr>
            <w:noProof/>
          </w:rPr>
          <w:tab/>
        </w:r>
        <w:r w:rsidR="00B1286B">
          <w:rPr>
            <w:noProof/>
          </w:rPr>
          <w:fldChar w:fldCharType="begin"/>
        </w:r>
        <w:r w:rsidR="00B1286B">
          <w:rPr>
            <w:noProof/>
          </w:rPr>
          <w:instrText xml:space="preserve"> PAGEREF _Toc182476544 \h </w:instrText>
        </w:r>
        <w:r w:rsidR="00B1286B">
          <w:rPr>
            <w:noProof/>
          </w:rPr>
        </w:r>
        <w:r w:rsidR="00B1286B">
          <w:rPr>
            <w:noProof/>
          </w:rPr>
          <w:fldChar w:fldCharType="separate"/>
        </w:r>
        <w:r w:rsidR="00620087">
          <w:rPr>
            <w:noProof/>
          </w:rPr>
          <w:t>114</w:t>
        </w:r>
        <w:r w:rsidR="00B1286B">
          <w:rPr>
            <w:noProof/>
          </w:rPr>
          <w:fldChar w:fldCharType="end"/>
        </w:r>
      </w:hyperlink>
    </w:p>
    <w:p w14:paraId="1EE80A5D" w14:textId="4394092C" w:rsidR="00B1286B" w:rsidRDefault="00CA2808">
      <w:pPr>
        <w:pStyle w:val="TOC2"/>
        <w:rPr>
          <w:rFonts w:asciiTheme="minorHAnsi" w:eastAsiaTheme="minorEastAsia" w:hAnsiTheme="minorHAnsi" w:cstheme="minorBidi"/>
          <w:noProof/>
          <w:szCs w:val="22"/>
        </w:rPr>
      </w:pPr>
      <w:hyperlink w:anchor="_Toc182476545" w:history="1">
        <w:r w:rsidR="00B1286B" w:rsidRPr="00485EE7">
          <w:rPr>
            <w:rStyle w:val="affffffe"/>
            <w:noProof/>
            <w14:scene3d>
              <w14:camera w14:prst="orthographicFront"/>
              <w14:lightRig w14:rig="threePt" w14:dir="t">
                <w14:rot w14:lat="0" w14:lon="0" w14:rev="0"/>
              </w14:lightRig>
            </w14:scene3d>
          </w:rPr>
          <w:t>24.4</w:t>
        </w:r>
        <w:r w:rsidR="00B1286B" w:rsidRPr="00485EE7">
          <w:rPr>
            <w:rStyle w:val="affffffe"/>
            <w:noProof/>
          </w:rPr>
          <w:t xml:space="preserve"> 轮椅升降机</w:t>
        </w:r>
        <w:r w:rsidR="00B1286B">
          <w:rPr>
            <w:noProof/>
          </w:rPr>
          <w:tab/>
        </w:r>
        <w:r w:rsidR="00B1286B">
          <w:rPr>
            <w:noProof/>
          </w:rPr>
          <w:fldChar w:fldCharType="begin"/>
        </w:r>
        <w:r w:rsidR="00B1286B">
          <w:rPr>
            <w:noProof/>
          </w:rPr>
          <w:instrText xml:space="preserve"> PAGEREF _Toc182476545 \h </w:instrText>
        </w:r>
        <w:r w:rsidR="00B1286B">
          <w:rPr>
            <w:noProof/>
          </w:rPr>
        </w:r>
        <w:r w:rsidR="00B1286B">
          <w:rPr>
            <w:noProof/>
          </w:rPr>
          <w:fldChar w:fldCharType="separate"/>
        </w:r>
        <w:r w:rsidR="00620087">
          <w:rPr>
            <w:noProof/>
          </w:rPr>
          <w:t>114</w:t>
        </w:r>
        <w:r w:rsidR="00B1286B">
          <w:rPr>
            <w:noProof/>
          </w:rPr>
          <w:fldChar w:fldCharType="end"/>
        </w:r>
      </w:hyperlink>
    </w:p>
    <w:p w14:paraId="46E253F2" w14:textId="6746D2C7" w:rsidR="00B1286B" w:rsidRDefault="00CA2808">
      <w:pPr>
        <w:pStyle w:val="TOC2"/>
        <w:rPr>
          <w:rFonts w:asciiTheme="minorHAnsi" w:eastAsiaTheme="minorEastAsia" w:hAnsiTheme="minorHAnsi" w:cstheme="minorBidi"/>
          <w:noProof/>
          <w:szCs w:val="22"/>
        </w:rPr>
      </w:pPr>
      <w:hyperlink w:anchor="_Toc182476546" w:history="1">
        <w:r w:rsidR="00B1286B" w:rsidRPr="00485EE7">
          <w:rPr>
            <w:rStyle w:val="affffffe"/>
            <w:noProof/>
            <w14:scene3d>
              <w14:camera w14:prst="orthographicFront"/>
              <w14:lightRig w14:rig="threePt" w14:dir="t">
                <w14:rot w14:lat="0" w14:lon="0" w14:rev="0"/>
              </w14:lightRig>
            </w14:scene3d>
          </w:rPr>
          <w:t>24.5</w:t>
        </w:r>
        <w:r w:rsidR="00B1286B" w:rsidRPr="00485EE7">
          <w:rPr>
            <w:rStyle w:val="affffffe"/>
            <w:noProof/>
          </w:rPr>
          <w:t xml:space="preserve"> 站台门</w:t>
        </w:r>
        <w:r w:rsidR="00B1286B">
          <w:rPr>
            <w:noProof/>
          </w:rPr>
          <w:tab/>
        </w:r>
        <w:r w:rsidR="00B1286B">
          <w:rPr>
            <w:noProof/>
          </w:rPr>
          <w:fldChar w:fldCharType="begin"/>
        </w:r>
        <w:r w:rsidR="00B1286B">
          <w:rPr>
            <w:noProof/>
          </w:rPr>
          <w:instrText xml:space="preserve"> PAGEREF _Toc182476546 \h </w:instrText>
        </w:r>
        <w:r w:rsidR="00B1286B">
          <w:rPr>
            <w:noProof/>
          </w:rPr>
        </w:r>
        <w:r w:rsidR="00B1286B">
          <w:rPr>
            <w:noProof/>
          </w:rPr>
          <w:fldChar w:fldCharType="separate"/>
        </w:r>
        <w:r w:rsidR="00620087">
          <w:rPr>
            <w:noProof/>
          </w:rPr>
          <w:t>114</w:t>
        </w:r>
        <w:r w:rsidR="00B1286B">
          <w:rPr>
            <w:noProof/>
          </w:rPr>
          <w:fldChar w:fldCharType="end"/>
        </w:r>
      </w:hyperlink>
    </w:p>
    <w:p w14:paraId="73BB53A9" w14:textId="5D5D60E9" w:rsidR="00B1286B" w:rsidRDefault="00CA2808">
      <w:pPr>
        <w:pStyle w:val="TOC2"/>
        <w:rPr>
          <w:rFonts w:asciiTheme="minorHAnsi" w:eastAsiaTheme="minorEastAsia" w:hAnsiTheme="minorHAnsi" w:cstheme="minorBidi"/>
          <w:noProof/>
          <w:szCs w:val="22"/>
        </w:rPr>
      </w:pPr>
      <w:hyperlink w:anchor="_Toc182476547" w:history="1">
        <w:r w:rsidR="00B1286B" w:rsidRPr="00485EE7">
          <w:rPr>
            <w:rStyle w:val="affffffe"/>
            <w:noProof/>
            <w14:scene3d>
              <w14:camera w14:prst="orthographicFront"/>
              <w14:lightRig w14:rig="threePt" w14:dir="t">
                <w14:rot w14:lat="0" w14:lon="0" w14:rev="0"/>
              </w14:lightRig>
            </w14:scene3d>
          </w:rPr>
          <w:t>24.6</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_Toc182476547 \h </w:instrText>
        </w:r>
        <w:r w:rsidR="00B1286B">
          <w:rPr>
            <w:noProof/>
          </w:rPr>
        </w:r>
        <w:r w:rsidR="00B1286B">
          <w:rPr>
            <w:noProof/>
          </w:rPr>
          <w:fldChar w:fldCharType="separate"/>
        </w:r>
        <w:r w:rsidR="00620087">
          <w:rPr>
            <w:noProof/>
          </w:rPr>
          <w:t>115</w:t>
        </w:r>
        <w:r w:rsidR="00B1286B">
          <w:rPr>
            <w:noProof/>
          </w:rPr>
          <w:fldChar w:fldCharType="end"/>
        </w:r>
      </w:hyperlink>
    </w:p>
    <w:p w14:paraId="7485780C" w14:textId="7137D56A" w:rsidR="00B1286B" w:rsidRDefault="00CA2808">
      <w:pPr>
        <w:pStyle w:val="TOC1"/>
        <w:tabs>
          <w:tab w:val="right" w:leader="dot" w:pos="9344"/>
        </w:tabs>
        <w:rPr>
          <w:rFonts w:asciiTheme="minorHAnsi" w:eastAsiaTheme="minorEastAsia" w:hAnsiTheme="minorHAnsi" w:cstheme="minorBidi"/>
          <w:noProof/>
          <w:szCs w:val="22"/>
        </w:rPr>
      </w:pPr>
      <w:hyperlink w:anchor="_Toc182476548" w:history="1">
        <w:r w:rsidR="00B1286B" w:rsidRPr="00485EE7">
          <w:rPr>
            <w:rStyle w:val="affffffe"/>
            <w:noProof/>
          </w:rPr>
          <w:t>25 运营控制中心</w:t>
        </w:r>
        <w:r w:rsidR="00B1286B">
          <w:rPr>
            <w:noProof/>
          </w:rPr>
          <w:tab/>
        </w:r>
        <w:r w:rsidR="00B1286B">
          <w:rPr>
            <w:noProof/>
          </w:rPr>
          <w:fldChar w:fldCharType="begin"/>
        </w:r>
        <w:r w:rsidR="00B1286B">
          <w:rPr>
            <w:noProof/>
          </w:rPr>
          <w:instrText xml:space="preserve"> PAGEREF _Toc182476548 \h </w:instrText>
        </w:r>
        <w:r w:rsidR="00B1286B">
          <w:rPr>
            <w:noProof/>
          </w:rPr>
        </w:r>
        <w:r w:rsidR="00B1286B">
          <w:rPr>
            <w:noProof/>
          </w:rPr>
          <w:fldChar w:fldCharType="separate"/>
        </w:r>
        <w:r w:rsidR="00620087">
          <w:rPr>
            <w:noProof/>
          </w:rPr>
          <w:t>115</w:t>
        </w:r>
        <w:r w:rsidR="00B1286B">
          <w:rPr>
            <w:noProof/>
          </w:rPr>
          <w:fldChar w:fldCharType="end"/>
        </w:r>
      </w:hyperlink>
    </w:p>
    <w:p w14:paraId="3F5B55BA" w14:textId="43E52A7C" w:rsidR="00B1286B" w:rsidRDefault="00CA2808">
      <w:pPr>
        <w:pStyle w:val="TOC2"/>
        <w:rPr>
          <w:rFonts w:asciiTheme="minorHAnsi" w:eastAsiaTheme="minorEastAsia" w:hAnsiTheme="minorHAnsi" w:cstheme="minorBidi"/>
          <w:noProof/>
          <w:szCs w:val="22"/>
        </w:rPr>
      </w:pPr>
      <w:hyperlink w:anchor="_Toc182476549" w:history="1">
        <w:r w:rsidR="00B1286B" w:rsidRPr="00485EE7">
          <w:rPr>
            <w:rStyle w:val="affffffe"/>
            <w:noProof/>
            <w14:scene3d>
              <w14:camera w14:prst="orthographicFront"/>
              <w14:lightRig w14:rig="threePt" w14:dir="t">
                <w14:rot w14:lat="0" w14:lon="0" w14:rev="0"/>
              </w14:lightRig>
            </w14:scene3d>
          </w:rPr>
          <w:t>25.1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_Toc182476549 \h </w:instrText>
        </w:r>
        <w:r w:rsidR="00B1286B">
          <w:rPr>
            <w:noProof/>
          </w:rPr>
        </w:r>
        <w:r w:rsidR="00B1286B">
          <w:rPr>
            <w:noProof/>
          </w:rPr>
          <w:fldChar w:fldCharType="separate"/>
        </w:r>
        <w:r w:rsidR="00620087">
          <w:rPr>
            <w:noProof/>
          </w:rPr>
          <w:t>115</w:t>
        </w:r>
        <w:r w:rsidR="00B1286B">
          <w:rPr>
            <w:noProof/>
          </w:rPr>
          <w:fldChar w:fldCharType="end"/>
        </w:r>
      </w:hyperlink>
    </w:p>
    <w:p w14:paraId="2DF493AB" w14:textId="7633D6BE" w:rsidR="00B1286B" w:rsidRDefault="00CA2808">
      <w:pPr>
        <w:pStyle w:val="TOC2"/>
        <w:rPr>
          <w:rFonts w:asciiTheme="minorHAnsi" w:eastAsiaTheme="minorEastAsia" w:hAnsiTheme="minorHAnsi" w:cstheme="minorBidi"/>
          <w:noProof/>
          <w:szCs w:val="22"/>
        </w:rPr>
      </w:pPr>
      <w:hyperlink w:anchor="_Toc182476550" w:history="1">
        <w:r w:rsidR="00B1286B" w:rsidRPr="00485EE7">
          <w:rPr>
            <w:rStyle w:val="affffffe"/>
            <w:noProof/>
            <w14:scene3d>
              <w14:camera w14:prst="orthographicFront"/>
              <w14:lightRig w14:rig="threePt" w14:dir="t">
                <w14:rot w14:lat="0" w14:lon="0" w14:rev="0"/>
              </w14:lightRig>
            </w14:scene3d>
          </w:rPr>
          <w:t>25.2</w:t>
        </w:r>
        <w:r w:rsidR="00B1286B" w:rsidRPr="00485EE7">
          <w:rPr>
            <w:rStyle w:val="affffffe"/>
            <w:noProof/>
          </w:rPr>
          <w:t xml:space="preserve"> 选址与规模</w:t>
        </w:r>
        <w:r w:rsidR="00B1286B">
          <w:rPr>
            <w:noProof/>
          </w:rPr>
          <w:tab/>
        </w:r>
        <w:r w:rsidR="00B1286B">
          <w:rPr>
            <w:noProof/>
          </w:rPr>
          <w:fldChar w:fldCharType="begin"/>
        </w:r>
        <w:r w:rsidR="00B1286B">
          <w:rPr>
            <w:noProof/>
          </w:rPr>
          <w:instrText xml:space="preserve"> PAGEREF _Toc182476550 \h </w:instrText>
        </w:r>
        <w:r w:rsidR="00B1286B">
          <w:rPr>
            <w:noProof/>
          </w:rPr>
        </w:r>
        <w:r w:rsidR="00B1286B">
          <w:rPr>
            <w:noProof/>
          </w:rPr>
          <w:fldChar w:fldCharType="separate"/>
        </w:r>
        <w:r w:rsidR="00620087">
          <w:rPr>
            <w:noProof/>
          </w:rPr>
          <w:t>116</w:t>
        </w:r>
        <w:r w:rsidR="00B1286B">
          <w:rPr>
            <w:noProof/>
          </w:rPr>
          <w:fldChar w:fldCharType="end"/>
        </w:r>
      </w:hyperlink>
    </w:p>
    <w:p w14:paraId="1AD1CB75" w14:textId="5FFB5029" w:rsidR="00B1286B" w:rsidRDefault="00CA2808">
      <w:pPr>
        <w:pStyle w:val="TOC2"/>
        <w:rPr>
          <w:rFonts w:asciiTheme="minorHAnsi" w:eastAsiaTheme="minorEastAsia" w:hAnsiTheme="minorHAnsi" w:cstheme="minorBidi"/>
          <w:noProof/>
          <w:szCs w:val="22"/>
        </w:rPr>
      </w:pPr>
      <w:hyperlink w:anchor="_Toc182476551" w:history="1">
        <w:r w:rsidR="00B1286B" w:rsidRPr="00485EE7">
          <w:rPr>
            <w:rStyle w:val="affffffe"/>
            <w:noProof/>
            <w14:scene3d>
              <w14:camera w14:prst="orthographicFront"/>
              <w14:lightRig w14:rig="threePt" w14:dir="t">
                <w14:rot w14:lat="0" w14:lon="0" w14:rev="0"/>
              </w14:lightRig>
            </w14:scene3d>
          </w:rPr>
          <w:t>25.3</w:t>
        </w:r>
        <w:r w:rsidR="00B1286B" w:rsidRPr="00485EE7">
          <w:rPr>
            <w:rStyle w:val="affffffe"/>
            <w:noProof/>
          </w:rPr>
          <w:t xml:space="preserve"> 布局</w:t>
        </w:r>
        <w:r w:rsidR="00B1286B">
          <w:rPr>
            <w:noProof/>
          </w:rPr>
          <w:tab/>
        </w:r>
        <w:r w:rsidR="00B1286B">
          <w:rPr>
            <w:noProof/>
          </w:rPr>
          <w:fldChar w:fldCharType="begin"/>
        </w:r>
        <w:r w:rsidR="00B1286B">
          <w:rPr>
            <w:noProof/>
          </w:rPr>
          <w:instrText xml:space="preserve"> PAGEREF _Toc182476551 \h </w:instrText>
        </w:r>
        <w:r w:rsidR="00B1286B">
          <w:rPr>
            <w:noProof/>
          </w:rPr>
        </w:r>
        <w:r w:rsidR="00B1286B">
          <w:rPr>
            <w:noProof/>
          </w:rPr>
          <w:fldChar w:fldCharType="separate"/>
        </w:r>
        <w:r w:rsidR="00620087">
          <w:rPr>
            <w:noProof/>
          </w:rPr>
          <w:t>116</w:t>
        </w:r>
        <w:r w:rsidR="00B1286B">
          <w:rPr>
            <w:noProof/>
          </w:rPr>
          <w:fldChar w:fldCharType="end"/>
        </w:r>
      </w:hyperlink>
    </w:p>
    <w:p w14:paraId="7D771427" w14:textId="5D388506" w:rsidR="00B1286B" w:rsidRDefault="00CA2808">
      <w:pPr>
        <w:pStyle w:val="TOC2"/>
        <w:rPr>
          <w:rFonts w:asciiTheme="minorHAnsi" w:eastAsiaTheme="minorEastAsia" w:hAnsiTheme="minorHAnsi" w:cstheme="minorBidi"/>
          <w:noProof/>
          <w:szCs w:val="22"/>
        </w:rPr>
      </w:pPr>
      <w:hyperlink w:anchor="_Toc182476552" w:history="1">
        <w:r w:rsidR="00B1286B" w:rsidRPr="00485EE7">
          <w:rPr>
            <w:rStyle w:val="affffffe"/>
            <w:noProof/>
            <w14:scene3d>
              <w14:camera w14:prst="orthographicFront"/>
              <w14:lightRig w14:rig="threePt" w14:dir="t">
                <w14:rot w14:lat="0" w14:lon="0" w14:rev="0"/>
              </w14:lightRig>
            </w14:scene3d>
          </w:rPr>
          <w:t>25.4</w:t>
        </w:r>
        <w:r w:rsidR="00B1286B" w:rsidRPr="00485EE7">
          <w:rPr>
            <w:rStyle w:val="affffffe"/>
            <w:noProof/>
          </w:rPr>
          <w:t xml:space="preserve"> 建筑与结构</w:t>
        </w:r>
        <w:r w:rsidR="00B1286B">
          <w:rPr>
            <w:noProof/>
          </w:rPr>
          <w:tab/>
        </w:r>
        <w:r w:rsidR="00B1286B">
          <w:rPr>
            <w:noProof/>
          </w:rPr>
          <w:fldChar w:fldCharType="begin"/>
        </w:r>
        <w:r w:rsidR="00B1286B">
          <w:rPr>
            <w:noProof/>
          </w:rPr>
          <w:instrText xml:space="preserve"> PAGEREF _Toc182476552 \h </w:instrText>
        </w:r>
        <w:r w:rsidR="00B1286B">
          <w:rPr>
            <w:noProof/>
          </w:rPr>
        </w:r>
        <w:r w:rsidR="00B1286B">
          <w:rPr>
            <w:noProof/>
          </w:rPr>
          <w:fldChar w:fldCharType="separate"/>
        </w:r>
        <w:r w:rsidR="00620087">
          <w:rPr>
            <w:noProof/>
          </w:rPr>
          <w:t>116</w:t>
        </w:r>
        <w:r w:rsidR="00B1286B">
          <w:rPr>
            <w:noProof/>
          </w:rPr>
          <w:fldChar w:fldCharType="end"/>
        </w:r>
      </w:hyperlink>
    </w:p>
    <w:p w14:paraId="5C4D1567" w14:textId="20151EE1" w:rsidR="00B1286B" w:rsidRDefault="00CA2808">
      <w:pPr>
        <w:pStyle w:val="TOC2"/>
        <w:rPr>
          <w:rFonts w:asciiTheme="minorHAnsi" w:eastAsiaTheme="minorEastAsia" w:hAnsiTheme="minorHAnsi" w:cstheme="minorBidi"/>
          <w:noProof/>
          <w:szCs w:val="22"/>
        </w:rPr>
      </w:pPr>
      <w:hyperlink w:anchor="_Toc182476553" w:history="1">
        <w:r w:rsidR="00B1286B" w:rsidRPr="00485EE7">
          <w:rPr>
            <w:rStyle w:val="affffffe"/>
            <w:noProof/>
            <w14:scene3d>
              <w14:camera w14:prst="orthographicFront"/>
              <w14:lightRig w14:rig="threePt" w14:dir="t">
                <w14:rot w14:lat="0" w14:lon="0" w14:rev="0"/>
              </w14:lightRig>
            </w14:scene3d>
          </w:rPr>
          <w:t>25.5</w:t>
        </w:r>
        <w:r w:rsidR="00B1286B" w:rsidRPr="00485EE7">
          <w:rPr>
            <w:rStyle w:val="affffffe"/>
            <w:noProof/>
          </w:rPr>
          <w:t xml:space="preserve"> 附属设施</w:t>
        </w:r>
        <w:r w:rsidR="00B1286B">
          <w:rPr>
            <w:noProof/>
          </w:rPr>
          <w:tab/>
        </w:r>
        <w:r w:rsidR="00B1286B">
          <w:rPr>
            <w:noProof/>
          </w:rPr>
          <w:fldChar w:fldCharType="begin"/>
        </w:r>
        <w:r w:rsidR="00B1286B">
          <w:rPr>
            <w:noProof/>
          </w:rPr>
          <w:instrText xml:space="preserve"> PAGEREF _Toc182476553 \h </w:instrText>
        </w:r>
        <w:r w:rsidR="00B1286B">
          <w:rPr>
            <w:noProof/>
          </w:rPr>
        </w:r>
        <w:r w:rsidR="00B1286B">
          <w:rPr>
            <w:noProof/>
          </w:rPr>
          <w:fldChar w:fldCharType="separate"/>
        </w:r>
        <w:r w:rsidR="00620087">
          <w:rPr>
            <w:noProof/>
          </w:rPr>
          <w:t>116</w:t>
        </w:r>
        <w:r w:rsidR="00B1286B">
          <w:rPr>
            <w:noProof/>
          </w:rPr>
          <w:fldChar w:fldCharType="end"/>
        </w:r>
      </w:hyperlink>
    </w:p>
    <w:p w14:paraId="143AE65D" w14:textId="0A578818" w:rsidR="00B1286B" w:rsidRDefault="00CA2808">
      <w:pPr>
        <w:pStyle w:val="TOC1"/>
        <w:tabs>
          <w:tab w:val="right" w:leader="dot" w:pos="9344"/>
        </w:tabs>
        <w:rPr>
          <w:rFonts w:asciiTheme="minorHAnsi" w:eastAsiaTheme="minorEastAsia" w:hAnsiTheme="minorHAnsi" w:cstheme="minorBidi"/>
          <w:noProof/>
          <w:szCs w:val="22"/>
        </w:rPr>
      </w:pPr>
      <w:hyperlink w:anchor="_Toc182476554" w:history="1">
        <w:r w:rsidR="00B1286B" w:rsidRPr="00485EE7">
          <w:rPr>
            <w:rStyle w:val="affffffe"/>
            <w:noProof/>
          </w:rPr>
          <w:t>26 通风与空调</w:t>
        </w:r>
        <w:r w:rsidR="00B1286B">
          <w:rPr>
            <w:noProof/>
          </w:rPr>
          <w:tab/>
        </w:r>
        <w:r w:rsidR="00B1286B">
          <w:rPr>
            <w:noProof/>
          </w:rPr>
          <w:fldChar w:fldCharType="begin"/>
        </w:r>
        <w:r w:rsidR="00B1286B">
          <w:rPr>
            <w:noProof/>
          </w:rPr>
          <w:instrText xml:space="preserve"> PAGEREF _Toc182476554 \h </w:instrText>
        </w:r>
        <w:r w:rsidR="00B1286B">
          <w:rPr>
            <w:noProof/>
          </w:rPr>
        </w:r>
        <w:r w:rsidR="00B1286B">
          <w:rPr>
            <w:noProof/>
          </w:rPr>
          <w:fldChar w:fldCharType="separate"/>
        </w:r>
        <w:r w:rsidR="00620087">
          <w:rPr>
            <w:noProof/>
          </w:rPr>
          <w:t>117</w:t>
        </w:r>
        <w:r w:rsidR="00B1286B">
          <w:rPr>
            <w:noProof/>
          </w:rPr>
          <w:fldChar w:fldCharType="end"/>
        </w:r>
      </w:hyperlink>
    </w:p>
    <w:p w14:paraId="32A43E60" w14:textId="10E299EB" w:rsidR="00B1286B" w:rsidRDefault="00CA2808">
      <w:pPr>
        <w:pStyle w:val="TOC2"/>
        <w:rPr>
          <w:rFonts w:asciiTheme="minorHAnsi" w:eastAsiaTheme="minorEastAsia" w:hAnsiTheme="minorHAnsi" w:cstheme="minorBidi"/>
          <w:noProof/>
          <w:szCs w:val="22"/>
        </w:rPr>
      </w:pPr>
      <w:hyperlink w:anchor="_Toc182476555" w:history="1">
        <w:r w:rsidR="00B1286B" w:rsidRPr="00485EE7">
          <w:rPr>
            <w:rStyle w:val="affffffe"/>
            <w:noProof/>
            <w14:scene3d>
              <w14:camera w14:prst="orthographicFront"/>
              <w14:lightRig w14:rig="threePt" w14:dir="t">
                <w14:rot w14:lat="0" w14:lon="0" w14:rev="0"/>
              </w14:lightRig>
            </w14:scene3d>
          </w:rPr>
          <w:t>26.1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_Toc182476555 \h </w:instrText>
        </w:r>
        <w:r w:rsidR="00B1286B">
          <w:rPr>
            <w:noProof/>
          </w:rPr>
        </w:r>
        <w:r w:rsidR="00B1286B">
          <w:rPr>
            <w:noProof/>
          </w:rPr>
          <w:fldChar w:fldCharType="separate"/>
        </w:r>
        <w:r w:rsidR="00620087">
          <w:rPr>
            <w:noProof/>
          </w:rPr>
          <w:t>117</w:t>
        </w:r>
        <w:r w:rsidR="00B1286B">
          <w:rPr>
            <w:noProof/>
          </w:rPr>
          <w:fldChar w:fldCharType="end"/>
        </w:r>
      </w:hyperlink>
    </w:p>
    <w:p w14:paraId="61F9B261" w14:textId="4C67170C" w:rsidR="00B1286B" w:rsidRDefault="00CA2808">
      <w:pPr>
        <w:pStyle w:val="TOC2"/>
        <w:rPr>
          <w:rFonts w:asciiTheme="minorHAnsi" w:eastAsiaTheme="minorEastAsia" w:hAnsiTheme="minorHAnsi" w:cstheme="minorBidi"/>
          <w:noProof/>
          <w:szCs w:val="22"/>
        </w:rPr>
      </w:pPr>
      <w:hyperlink w:anchor="_Toc182476556" w:history="1">
        <w:r w:rsidR="00B1286B" w:rsidRPr="00485EE7">
          <w:rPr>
            <w:rStyle w:val="affffffe"/>
            <w:noProof/>
            <w14:scene3d>
              <w14:camera w14:prst="orthographicFront"/>
              <w14:lightRig w14:rig="threePt" w14:dir="t">
                <w14:rot w14:lat="0" w14:lon="0" w14:rev="0"/>
              </w14:lightRig>
            </w14:scene3d>
          </w:rPr>
          <w:t>26.2</w:t>
        </w:r>
        <w:r w:rsidR="00B1286B" w:rsidRPr="00485EE7">
          <w:rPr>
            <w:rStyle w:val="affffffe"/>
            <w:noProof/>
          </w:rPr>
          <w:t xml:space="preserve"> 地面、高架车站及地面建筑的通风与空调</w:t>
        </w:r>
        <w:r w:rsidR="00B1286B">
          <w:rPr>
            <w:noProof/>
          </w:rPr>
          <w:tab/>
        </w:r>
        <w:r w:rsidR="00B1286B">
          <w:rPr>
            <w:noProof/>
          </w:rPr>
          <w:fldChar w:fldCharType="begin"/>
        </w:r>
        <w:r w:rsidR="00B1286B">
          <w:rPr>
            <w:noProof/>
          </w:rPr>
          <w:instrText xml:space="preserve"> PAGEREF _Toc182476556 \h </w:instrText>
        </w:r>
        <w:r w:rsidR="00B1286B">
          <w:rPr>
            <w:noProof/>
          </w:rPr>
        </w:r>
        <w:r w:rsidR="00B1286B">
          <w:rPr>
            <w:noProof/>
          </w:rPr>
          <w:fldChar w:fldCharType="separate"/>
        </w:r>
        <w:r w:rsidR="00620087">
          <w:rPr>
            <w:noProof/>
          </w:rPr>
          <w:t>117</w:t>
        </w:r>
        <w:r w:rsidR="00B1286B">
          <w:rPr>
            <w:noProof/>
          </w:rPr>
          <w:fldChar w:fldCharType="end"/>
        </w:r>
      </w:hyperlink>
    </w:p>
    <w:p w14:paraId="433D1458" w14:textId="5DA936B1" w:rsidR="00B1286B" w:rsidRDefault="00CA2808">
      <w:pPr>
        <w:pStyle w:val="TOC2"/>
        <w:rPr>
          <w:rFonts w:asciiTheme="minorHAnsi" w:eastAsiaTheme="minorEastAsia" w:hAnsiTheme="minorHAnsi" w:cstheme="minorBidi"/>
          <w:noProof/>
          <w:szCs w:val="22"/>
        </w:rPr>
      </w:pPr>
      <w:hyperlink w:anchor="_Toc182476557" w:history="1">
        <w:r w:rsidR="00B1286B" w:rsidRPr="00485EE7">
          <w:rPr>
            <w:rStyle w:val="affffffe"/>
            <w:noProof/>
            <w14:scene3d>
              <w14:camera w14:prst="orthographicFront"/>
              <w14:lightRig w14:rig="threePt" w14:dir="t">
                <w14:rot w14:lat="0" w14:lon="0" w14:rev="0"/>
              </w14:lightRig>
            </w14:scene3d>
          </w:rPr>
          <w:t>26.3</w:t>
        </w:r>
        <w:r w:rsidR="00B1286B" w:rsidRPr="00485EE7">
          <w:rPr>
            <w:rStyle w:val="affffffe"/>
            <w:noProof/>
          </w:rPr>
          <w:t xml:space="preserve"> 区间隧道通风系统</w:t>
        </w:r>
        <w:r w:rsidR="00B1286B">
          <w:rPr>
            <w:noProof/>
          </w:rPr>
          <w:tab/>
        </w:r>
        <w:r w:rsidR="00B1286B">
          <w:rPr>
            <w:noProof/>
          </w:rPr>
          <w:fldChar w:fldCharType="begin"/>
        </w:r>
        <w:r w:rsidR="00B1286B">
          <w:rPr>
            <w:noProof/>
          </w:rPr>
          <w:instrText xml:space="preserve"> PAGEREF _Toc182476557 \h </w:instrText>
        </w:r>
        <w:r w:rsidR="00B1286B">
          <w:rPr>
            <w:noProof/>
          </w:rPr>
        </w:r>
        <w:r w:rsidR="00B1286B">
          <w:rPr>
            <w:noProof/>
          </w:rPr>
          <w:fldChar w:fldCharType="separate"/>
        </w:r>
        <w:r w:rsidR="00620087">
          <w:rPr>
            <w:noProof/>
          </w:rPr>
          <w:t>118</w:t>
        </w:r>
        <w:r w:rsidR="00B1286B">
          <w:rPr>
            <w:noProof/>
          </w:rPr>
          <w:fldChar w:fldCharType="end"/>
        </w:r>
      </w:hyperlink>
    </w:p>
    <w:p w14:paraId="19425D65" w14:textId="10B5A420" w:rsidR="00B1286B" w:rsidRDefault="00CA2808">
      <w:pPr>
        <w:pStyle w:val="TOC2"/>
        <w:rPr>
          <w:rFonts w:asciiTheme="minorHAnsi" w:eastAsiaTheme="minorEastAsia" w:hAnsiTheme="minorHAnsi" w:cstheme="minorBidi"/>
          <w:noProof/>
          <w:szCs w:val="22"/>
        </w:rPr>
      </w:pPr>
      <w:hyperlink w:anchor="_Toc182476558" w:history="1">
        <w:r w:rsidR="00B1286B" w:rsidRPr="00485EE7">
          <w:rPr>
            <w:rStyle w:val="affffffe"/>
            <w:noProof/>
            <w14:scene3d>
              <w14:camera w14:prst="orthographicFront"/>
              <w14:lightRig w14:rig="threePt" w14:dir="t">
                <w14:rot w14:lat="0" w14:lon="0" w14:rev="0"/>
              </w14:lightRig>
            </w14:scene3d>
          </w:rPr>
          <w:t>26.4</w:t>
        </w:r>
        <w:r w:rsidR="00B1286B" w:rsidRPr="00485EE7">
          <w:rPr>
            <w:rStyle w:val="affffffe"/>
            <w:noProof/>
          </w:rPr>
          <w:t xml:space="preserve"> 地下车站公共区通风与空调系统</w:t>
        </w:r>
        <w:r w:rsidR="00B1286B">
          <w:rPr>
            <w:noProof/>
          </w:rPr>
          <w:tab/>
        </w:r>
        <w:r w:rsidR="00B1286B">
          <w:rPr>
            <w:noProof/>
          </w:rPr>
          <w:fldChar w:fldCharType="begin"/>
        </w:r>
        <w:r w:rsidR="00B1286B">
          <w:rPr>
            <w:noProof/>
          </w:rPr>
          <w:instrText xml:space="preserve"> PAGEREF _Toc182476558 \h </w:instrText>
        </w:r>
        <w:r w:rsidR="00B1286B">
          <w:rPr>
            <w:noProof/>
          </w:rPr>
        </w:r>
        <w:r w:rsidR="00B1286B">
          <w:rPr>
            <w:noProof/>
          </w:rPr>
          <w:fldChar w:fldCharType="separate"/>
        </w:r>
        <w:r w:rsidR="00620087">
          <w:rPr>
            <w:noProof/>
          </w:rPr>
          <w:t>118</w:t>
        </w:r>
        <w:r w:rsidR="00B1286B">
          <w:rPr>
            <w:noProof/>
          </w:rPr>
          <w:fldChar w:fldCharType="end"/>
        </w:r>
      </w:hyperlink>
    </w:p>
    <w:p w14:paraId="2205B4F9" w14:textId="1E9B76BF" w:rsidR="00B1286B" w:rsidRDefault="00CA2808">
      <w:pPr>
        <w:pStyle w:val="TOC2"/>
        <w:rPr>
          <w:rFonts w:asciiTheme="minorHAnsi" w:eastAsiaTheme="minorEastAsia" w:hAnsiTheme="minorHAnsi" w:cstheme="minorBidi"/>
          <w:noProof/>
          <w:szCs w:val="22"/>
        </w:rPr>
      </w:pPr>
      <w:hyperlink w:anchor="_Toc182476559" w:history="1">
        <w:r w:rsidR="00B1286B" w:rsidRPr="00485EE7">
          <w:rPr>
            <w:rStyle w:val="affffffe"/>
            <w:noProof/>
            <w14:scene3d>
              <w14:camera w14:prst="orthographicFront"/>
              <w14:lightRig w14:rig="threePt" w14:dir="t">
                <w14:rot w14:lat="0" w14:lon="0" w14:rev="0"/>
              </w14:lightRig>
            </w14:scene3d>
          </w:rPr>
          <w:t>26.5</w:t>
        </w:r>
        <w:r w:rsidR="00B1286B" w:rsidRPr="00485EE7">
          <w:rPr>
            <w:rStyle w:val="affffffe"/>
            <w:noProof/>
          </w:rPr>
          <w:t xml:space="preserve"> 地下车站设备与管理用房通风、空调系统</w:t>
        </w:r>
        <w:r w:rsidR="00B1286B">
          <w:rPr>
            <w:noProof/>
          </w:rPr>
          <w:tab/>
        </w:r>
        <w:r w:rsidR="00B1286B">
          <w:rPr>
            <w:noProof/>
          </w:rPr>
          <w:fldChar w:fldCharType="begin"/>
        </w:r>
        <w:r w:rsidR="00B1286B">
          <w:rPr>
            <w:noProof/>
          </w:rPr>
          <w:instrText xml:space="preserve"> PAGEREF _Toc182476559 \h </w:instrText>
        </w:r>
        <w:r w:rsidR="00B1286B">
          <w:rPr>
            <w:noProof/>
          </w:rPr>
        </w:r>
        <w:r w:rsidR="00B1286B">
          <w:rPr>
            <w:noProof/>
          </w:rPr>
          <w:fldChar w:fldCharType="separate"/>
        </w:r>
        <w:r w:rsidR="00620087">
          <w:rPr>
            <w:noProof/>
          </w:rPr>
          <w:t>119</w:t>
        </w:r>
        <w:r w:rsidR="00B1286B">
          <w:rPr>
            <w:noProof/>
          </w:rPr>
          <w:fldChar w:fldCharType="end"/>
        </w:r>
      </w:hyperlink>
    </w:p>
    <w:p w14:paraId="4FFC80A9" w14:textId="7883C6AA" w:rsidR="00B1286B" w:rsidRDefault="00CA2808">
      <w:pPr>
        <w:pStyle w:val="TOC2"/>
        <w:rPr>
          <w:rFonts w:asciiTheme="minorHAnsi" w:eastAsiaTheme="minorEastAsia" w:hAnsiTheme="minorHAnsi" w:cstheme="minorBidi"/>
          <w:noProof/>
          <w:szCs w:val="22"/>
        </w:rPr>
      </w:pPr>
      <w:hyperlink w:anchor="_Toc182476560" w:history="1">
        <w:r w:rsidR="00B1286B" w:rsidRPr="00485EE7">
          <w:rPr>
            <w:rStyle w:val="affffffe"/>
            <w:noProof/>
            <w14:scene3d>
              <w14:camera w14:prst="orthographicFront"/>
              <w14:lightRig w14:rig="threePt" w14:dir="t">
                <w14:rot w14:lat="0" w14:lon="0" w14:rev="0"/>
              </w14:lightRig>
            </w14:scene3d>
          </w:rPr>
          <w:t>26.6</w:t>
        </w:r>
        <w:r w:rsidR="00B1286B" w:rsidRPr="00485EE7">
          <w:rPr>
            <w:rStyle w:val="affffffe"/>
            <w:noProof/>
          </w:rPr>
          <w:t xml:space="preserve"> 空调冷源及水系统</w:t>
        </w:r>
        <w:r w:rsidR="00B1286B">
          <w:rPr>
            <w:noProof/>
          </w:rPr>
          <w:tab/>
        </w:r>
        <w:r w:rsidR="00B1286B">
          <w:rPr>
            <w:noProof/>
          </w:rPr>
          <w:fldChar w:fldCharType="begin"/>
        </w:r>
        <w:r w:rsidR="00B1286B">
          <w:rPr>
            <w:noProof/>
          </w:rPr>
          <w:instrText xml:space="preserve"> PAGEREF _Toc182476560 \h </w:instrText>
        </w:r>
        <w:r w:rsidR="00B1286B">
          <w:rPr>
            <w:noProof/>
          </w:rPr>
        </w:r>
        <w:r w:rsidR="00B1286B">
          <w:rPr>
            <w:noProof/>
          </w:rPr>
          <w:fldChar w:fldCharType="separate"/>
        </w:r>
        <w:r w:rsidR="00620087">
          <w:rPr>
            <w:noProof/>
          </w:rPr>
          <w:t>119</w:t>
        </w:r>
        <w:r w:rsidR="00B1286B">
          <w:rPr>
            <w:noProof/>
          </w:rPr>
          <w:fldChar w:fldCharType="end"/>
        </w:r>
      </w:hyperlink>
    </w:p>
    <w:p w14:paraId="24E0A2D2" w14:textId="4D53A1BE" w:rsidR="00B1286B" w:rsidRDefault="00CA2808">
      <w:pPr>
        <w:pStyle w:val="TOC2"/>
        <w:rPr>
          <w:rFonts w:asciiTheme="minorHAnsi" w:eastAsiaTheme="minorEastAsia" w:hAnsiTheme="minorHAnsi" w:cstheme="minorBidi"/>
          <w:noProof/>
          <w:szCs w:val="22"/>
        </w:rPr>
      </w:pPr>
      <w:hyperlink w:anchor="_Toc182476561" w:history="1">
        <w:r w:rsidR="00B1286B" w:rsidRPr="00485EE7">
          <w:rPr>
            <w:rStyle w:val="affffffe"/>
            <w:noProof/>
            <w14:scene3d>
              <w14:camera w14:prst="orthographicFront"/>
              <w14:lightRig w14:rig="threePt" w14:dir="t">
                <w14:rot w14:lat="0" w14:lon="0" w14:rev="0"/>
              </w14:lightRig>
            </w14:scene3d>
          </w:rPr>
          <w:t>26.7</w:t>
        </w:r>
        <w:r w:rsidR="00B1286B" w:rsidRPr="00485EE7">
          <w:rPr>
            <w:rStyle w:val="affffffe"/>
            <w:noProof/>
          </w:rPr>
          <w:t xml:space="preserve"> 通风与空调系统控制</w:t>
        </w:r>
        <w:r w:rsidR="00B1286B">
          <w:rPr>
            <w:noProof/>
          </w:rPr>
          <w:tab/>
        </w:r>
        <w:r w:rsidR="00B1286B">
          <w:rPr>
            <w:noProof/>
          </w:rPr>
          <w:fldChar w:fldCharType="begin"/>
        </w:r>
        <w:r w:rsidR="00B1286B">
          <w:rPr>
            <w:noProof/>
          </w:rPr>
          <w:instrText xml:space="preserve"> PAGEREF _Toc182476561 \h </w:instrText>
        </w:r>
        <w:r w:rsidR="00B1286B">
          <w:rPr>
            <w:noProof/>
          </w:rPr>
        </w:r>
        <w:r w:rsidR="00B1286B">
          <w:rPr>
            <w:noProof/>
          </w:rPr>
          <w:fldChar w:fldCharType="separate"/>
        </w:r>
        <w:r w:rsidR="00620087">
          <w:rPr>
            <w:noProof/>
          </w:rPr>
          <w:t>119</w:t>
        </w:r>
        <w:r w:rsidR="00B1286B">
          <w:rPr>
            <w:noProof/>
          </w:rPr>
          <w:fldChar w:fldCharType="end"/>
        </w:r>
      </w:hyperlink>
    </w:p>
    <w:p w14:paraId="58D31A72" w14:textId="2EB52507" w:rsidR="00B1286B" w:rsidRDefault="00CA2808">
      <w:pPr>
        <w:pStyle w:val="TOC2"/>
        <w:rPr>
          <w:rFonts w:asciiTheme="minorHAnsi" w:eastAsiaTheme="minorEastAsia" w:hAnsiTheme="minorHAnsi" w:cstheme="minorBidi"/>
          <w:noProof/>
          <w:szCs w:val="22"/>
        </w:rPr>
      </w:pPr>
      <w:hyperlink w:anchor="_Toc182476562" w:history="1">
        <w:r w:rsidR="00B1286B" w:rsidRPr="00485EE7">
          <w:rPr>
            <w:rStyle w:val="affffffe"/>
            <w:noProof/>
            <w14:scene3d>
              <w14:camera w14:prst="orthographicFront"/>
              <w14:lightRig w14:rig="threePt" w14:dir="t">
                <w14:rot w14:lat="0" w14:lon="0" w14:rev="0"/>
              </w14:lightRig>
            </w14:scene3d>
          </w:rPr>
          <w:t>26.8</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_Toc182476562 \h </w:instrText>
        </w:r>
        <w:r w:rsidR="00B1286B">
          <w:rPr>
            <w:noProof/>
          </w:rPr>
        </w:r>
        <w:r w:rsidR="00B1286B">
          <w:rPr>
            <w:noProof/>
          </w:rPr>
          <w:fldChar w:fldCharType="separate"/>
        </w:r>
        <w:r w:rsidR="00620087">
          <w:rPr>
            <w:noProof/>
          </w:rPr>
          <w:t>119</w:t>
        </w:r>
        <w:r w:rsidR="00B1286B">
          <w:rPr>
            <w:noProof/>
          </w:rPr>
          <w:fldChar w:fldCharType="end"/>
        </w:r>
      </w:hyperlink>
    </w:p>
    <w:p w14:paraId="35AA5E2F" w14:textId="0127EFAD" w:rsidR="00B1286B" w:rsidRDefault="00CA2808">
      <w:pPr>
        <w:pStyle w:val="TOC1"/>
        <w:tabs>
          <w:tab w:val="right" w:leader="dot" w:pos="9344"/>
        </w:tabs>
        <w:rPr>
          <w:rFonts w:asciiTheme="minorHAnsi" w:eastAsiaTheme="minorEastAsia" w:hAnsiTheme="minorHAnsi" w:cstheme="minorBidi"/>
          <w:noProof/>
          <w:szCs w:val="22"/>
        </w:rPr>
      </w:pPr>
      <w:hyperlink w:anchor="_Toc182476563" w:history="1">
        <w:r w:rsidR="00B1286B" w:rsidRPr="00485EE7">
          <w:rPr>
            <w:rStyle w:val="affffffe"/>
            <w:noProof/>
          </w:rPr>
          <w:t>27 给水与排水</w:t>
        </w:r>
        <w:r w:rsidR="00B1286B">
          <w:rPr>
            <w:noProof/>
          </w:rPr>
          <w:tab/>
        </w:r>
        <w:r w:rsidR="00B1286B">
          <w:rPr>
            <w:noProof/>
          </w:rPr>
          <w:fldChar w:fldCharType="begin"/>
        </w:r>
        <w:r w:rsidR="00B1286B">
          <w:rPr>
            <w:noProof/>
          </w:rPr>
          <w:instrText xml:space="preserve"> PAGEREF _Toc182476563 \h </w:instrText>
        </w:r>
        <w:r w:rsidR="00B1286B">
          <w:rPr>
            <w:noProof/>
          </w:rPr>
        </w:r>
        <w:r w:rsidR="00B1286B">
          <w:rPr>
            <w:noProof/>
          </w:rPr>
          <w:fldChar w:fldCharType="separate"/>
        </w:r>
        <w:r w:rsidR="00620087">
          <w:rPr>
            <w:noProof/>
          </w:rPr>
          <w:t>119</w:t>
        </w:r>
        <w:r w:rsidR="00B1286B">
          <w:rPr>
            <w:noProof/>
          </w:rPr>
          <w:fldChar w:fldCharType="end"/>
        </w:r>
      </w:hyperlink>
    </w:p>
    <w:p w14:paraId="63EBF196" w14:textId="69448219" w:rsidR="00B1286B" w:rsidRDefault="00CA2808">
      <w:pPr>
        <w:pStyle w:val="TOC2"/>
        <w:rPr>
          <w:rFonts w:asciiTheme="minorHAnsi" w:eastAsiaTheme="minorEastAsia" w:hAnsiTheme="minorHAnsi" w:cstheme="minorBidi"/>
          <w:noProof/>
          <w:szCs w:val="22"/>
        </w:rPr>
      </w:pPr>
      <w:hyperlink w:anchor="_Toc182476564" w:history="1">
        <w:r w:rsidR="00B1286B" w:rsidRPr="00485EE7">
          <w:rPr>
            <w:rStyle w:val="affffffe"/>
            <w:noProof/>
            <w14:scene3d>
              <w14:camera w14:prst="orthographicFront"/>
              <w14:lightRig w14:rig="threePt" w14:dir="t">
                <w14:rot w14:lat="0" w14:lon="0" w14:rev="0"/>
              </w14:lightRig>
            </w14:scene3d>
          </w:rPr>
          <w:t>27.1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_Toc182476564 \h </w:instrText>
        </w:r>
        <w:r w:rsidR="00B1286B">
          <w:rPr>
            <w:noProof/>
          </w:rPr>
        </w:r>
        <w:r w:rsidR="00B1286B">
          <w:rPr>
            <w:noProof/>
          </w:rPr>
          <w:fldChar w:fldCharType="separate"/>
        </w:r>
        <w:r w:rsidR="00620087">
          <w:rPr>
            <w:noProof/>
          </w:rPr>
          <w:t>120</w:t>
        </w:r>
        <w:r w:rsidR="00B1286B">
          <w:rPr>
            <w:noProof/>
          </w:rPr>
          <w:fldChar w:fldCharType="end"/>
        </w:r>
      </w:hyperlink>
    </w:p>
    <w:p w14:paraId="6D9FF064" w14:textId="23964ADA" w:rsidR="00B1286B" w:rsidRDefault="00CA2808">
      <w:pPr>
        <w:pStyle w:val="TOC2"/>
        <w:rPr>
          <w:rFonts w:asciiTheme="minorHAnsi" w:eastAsiaTheme="minorEastAsia" w:hAnsiTheme="minorHAnsi" w:cstheme="minorBidi"/>
          <w:noProof/>
          <w:szCs w:val="22"/>
        </w:rPr>
      </w:pPr>
      <w:hyperlink w:anchor="_Toc182476565" w:history="1">
        <w:r w:rsidR="00B1286B" w:rsidRPr="00485EE7">
          <w:rPr>
            <w:rStyle w:val="affffffe"/>
            <w:noProof/>
            <w14:scene3d>
              <w14:camera w14:prst="orthographicFront"/>
              <w14:lightRig w14:rig="threePt" w14:dir="t">
                <w14:rot w14:lat="0" w14:lon="0" w14:rev="0"/>
              </w14:lightRig>
            </w14:scene3d>
          </w:rPr>
          <w:t>27.2</w:t>
        </w:r>
        <w:r w:rsidR="00B1286B" w:rsidRPr="00485EE7">
          <w:rPr>
            <w:rStyle w:val="affffffe"/>
            <w:noProof/>
          </w:rPr>
          <w:t xml:space="preserve"> 给水</w:t>
        </w:r>
        <w:r w:rsidR="00B1286B">
          <w:rPr>
            <w:noProof/>
          </w:rPr>
          <w:tab/>
        </w:r>
        <w:r w:rsidR="00B1286B">
          <w:rPr>
            <w:noProof/>
          </w:rPr>
          <w:fldChar w:fldCharType="begin"/>
        </w:r>
        <w:r w:rsidR="00B1286B">
          <w:rPr>
            <w:noProof/>
          </w:rPr>
          <w:instrText xml:space="preserve"> PAGEREF _Toc182476565 \h </w:instrText>
        </w:r>
        <w:r w:rsidR="00B1286B">
          <w:rPr>
            <w:noProof/>
          </w:rPr>
        </w:r>
        <w:r w:rsidR="00B1286B">
          <w:rPr>
            <w:noProof/>
          </w:rPr>
          <w:fldChar w:fldCharType="separate"/>
        </w:r>
        <w:r w:rsidR="00620087">
          <w:rPr>
            <w:noProof/>
          </w:rPr>
          <w:t>120</w:t>
        </w:r>
        <w:r w:rsidR="00B1286B">
          <w:rPr>
            <w:noProof/>
          </w:rPr>
          <w:fldChar w:fldCharType="end"/>
        </w:r>
      </w:hyperlink>
    </w:p>
    <w:p w14:paraId="2BD6118F" w14:textId="54098334" w:rsidR="00B1286B" w:rsidRDefault="00CA2808">
      <w:pPr>
        <w:pStyle w:val="TOC2"/>
        <w:rPr>
          <w:rFonts w:asciiTheme="minorHAnsi" w:eastAsiaTheme="minorEastAsia" w:hAnsiTheme="minorHAnsi" w:cstheme="minorBidi"/>
          <w:noProof/>
          <w:szCs w:val="22"/>
        </w:rPr>
      </w:pPr>
      <w:hyperlink w:anchor="_Toc182476566" w:history="1">
        <w:r w:rsidR="00B1286B" w:rsidRPr="00485EE7">
          <w:rPr>
            <w:rStyle w:val="affffffe"/>
            <w:noProof/>
            <w14:scene3d>
              <w14:camera w14:prst="orthographicFront"/>
              <w14:lightRig w14:rig="threePt" w14:dir="t">
                <w14:rot w14:lat="0" w14:lon="0" w14:rev="0"/>
              </w14:lightRig>
            </w14:scene3d>
          </w:rPr>
          <w:t>27.3</w:t>
        </w:r>
        <w:r w:rsidR="00B1286B" w:rsidRPr="00485EE7">
          <w:rPr>
            <w:rStyle w:val="affffffe"/>
            <w:noProof/>
          </w:rPr>
          <w:t xml:space="preserve"> 排水</w:t>
        </w:r>
        <w:r w:rsidR="00B1286B">
          <w:rPr>
            <w:noProof/>
          </w:rPr>
          <w:tab/>
        </w:r>
        <w:r w:rsidR="00B1286B">
          <w:rPr>
            <w:noProof/>
          </w:rPr>
          <w:fldChar w:fldCharType="begin"/>
        </w:r>
        <w:r w:rsidR="00B1286B">
          <w:rPr>
            <w:noProof/>
          </w:rPr>
          <w:instrText xml:space="preserve"> PAGEREF _Toc182476566 \h </w:instrText>
        </w:r>
        <w:r w:rsidR="00B1286B">
          <w:rPr>
            <w:noProof/>
          </w:rPr>
        </w:r>
        <w:r w:rsidR="00B1286B">
          <w:rPr>
            <w:noProof/>
          </w:rPr>
          <w:fldChar w:fldCharType="separate"/>
        </w:r>
        <w:r w:rsidR="00620087">
          <w:rPr>
            <w:noProof/>
          </w:rPr>
          <w:t>120</w:t>
        </w:r>
        <w:r w:rsidR="00B1286B">
          <w:rPr>
            <w:noProof/>
          </w:rPr>
          <w:fldChar w:fldCharType="end"/>
        </w:r>
      </w:hyperlink>
    </w:p>
    <w:p w14:paraId="4E6C5DB6" w14:textId="438D9FCF" w:rsidR="00B1286B" w:rsidRDefault="00CA2808">
      <w:pPr>
        <w:pStyle w:val="TOC2"/>
        <w:rPr>
          <w:rFonts w:asciiTheme="minorHAnsi" w:eastAsiaTheme="minorEastAsia" w:hAnsiTheme="minorHAnsi" w:cstheme="minorBidi"/>
          <w:noProof/>
          <w:szCs w:val="22"/>
        </w:rPr>
      </w:pPr>
      <w:hyperlink w:anchor="_Toc182476567" w:history="1">
        <w:r w:rsidR="00B1286B" w:rsidRPr="00485EE7">
          <w:rPr>
            <w:rStyle w:val="affffffe"/>
            <w:noProof/>
            <w14:scene3d>
              <w14:camera w14:prst="orthographicFront"/>
              <w14:lightRig w14:rig="threePt" w14:dir="t">
                <w14:rot w14:lat="0" w14:lon="0" w14:rev="0"/>
              </w14:lightRig>
            </w14:scene3d>
          </w:rPr>
          <w:t>27.4</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_Toc182476567 \h </w:instrText>
        </w:r>
        <w:r w:rsidR="00B1286B">
          <w:rPr>
            <w:noProof/>
          </w:rPr>
        </w:r>
        <w:r w:rsidR="00B1286B">
          <w:rPr>
            <w:noProof/>
          </w:rPr>
          <w:fldChar w:fldCharType="separate"/>
        </w:r>
        <w:r w:rsidR="00620087">
          <w:rPr>
            <w:noProof/>
          </w:rPr>
          <w:t>121</w:t>
        </w:r>
        <w:r w:rsidR="00B1286B">
          <w:rPr>
            <w:noProof/>
          </w:rPr>
          <w:fldChar w:fldCharType="end"/>
        </w:r>
      </w:hyperlink>
    </w:p>
    <w:p w14:paraId="2E53E2E3" w14:textId="354E7B15" w:rsidR="00B1286B" w:rsidRDefault="00CA2808">
      <w:pPr>
        <w:pStyle w:val="TOC1"/>
        <w:tabs>
          <w:tab w:val="right" w:leader="dot" w:pos="9344"/>
        </w:tabs>
        <w:rPr>
          <w:rFonts w:asciiTheme="minorHAnsi" w:eastAsiaTheme="minorEastAsia" w:hAnsiTheme="minorHAnsi" w:cstheme="minorBidi"/>
          <w:noProof/>
          <w:szCs w:val="22"/>
        </w:rPr>
      </w:pPr>
      <w:hyperlink w:anchor="_Toc182476568" w:history="1">
        <w:r w:rsidR="00B1286B" w:rsidRPr="00485EE7">
          <w:rPr>
            <w:rStyle w:val="affffffe"/>
            <w:noProof/>
          </w:rPr>
          <w:t>28 车辆基地与综合维修</w:t>
        </w:r>
        <w:r w:rsidR="00B1286B">
          <w:rPr>
            <w:noProof/>
          </w:rPr>
          <w:tab/>
        </w:r>
        <w:r w:rsidR="00B1286B">
          <w:rPr>
            <w:noProof/>
          </w:rPr>
          <w:fldChar w:fldCharType="begin"/>
        </w:r>
        <w:r w:rsidR="00B1286B">
          <w:rPr>
            <w:noProof/>
          </w:rPr>
          <w:instrText xml:space="preserve"> PAGEREF _Toc182476568 \h </w:instrText>
        </w:r>
        <w:r w:rsidR="00B1286B">
          <w:rPr>
            <w:noProof/>
          </w:rPr>
        </w:r>
        <w:r w:rsidR="00B1286B">
          <w:rPr>
            <w:noProof/>
          </w:rPr>
          <w:fldChar w:fldCharType="separate"/>
        </w:r>
        <w:r w:rsidR="00620087">
          <w:rPr>
            <w:noProof/>
          </w:rPr>
          <w:t>121</w:t>
        </w:r>
        <w:r w:rsidR="00B1286B">
          <w:rPr>
            <w:noProof/>
          </w:rPr>
          <w:fldChar w:fldCharType="end"/>
        </w:r>
      </w:hyperlink>
    </w:p>
    <w:p w14:paraId="6333FB26" w14:textId="60BFFD0E" w:rsidR="00B1286B" w:rsidRDefault="00CA2808">
      <w:pPr>
        <w:pStyle w:val="TOC2"/>
        <w:rPr>
          <w:rFonts w:asciiTheme="minorHAnsi" w:eastAsiaTheme="minorEastAsia" w:hAnsiTheme="minorHAnsi" w:cstheme="minorBidi"/>
          <w:noProof/>
          <w:szCs w:val="22"/>
        </w:rPr>
      </w:pPr>
      <w:hyperlink w:anchor="_Toc182476569" w:history="1">
        <w:r w:rsidR="00B1286B" w:rsidRPr="00485EE7">
          <w:rPr>
            <w:rStyle w:val="affffffe"/>
            <w:noProof/>
            <w14:scene3d>
              <w14:camera w14:prst="orthographicFront"/>
              <w14:lightRig w14:rig="threePt" w14:dir="t">
                <w14:rot w14:lat="0" w14:lon="0" w14:rev="0"/>
              </w14:lightRig>
            </w14:scene3d>
          </w:rPr>
          <w:t>28.1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_Toc182476569 \h </w:instrText>
        </w:r>
        <w:r w:rsidR="00B1286B">
          <w:rPr>
            <w:noProof/>
          </w:rPr>
        </w:r>
        <w:r w:rsidR="00B1286B">
          <w:rPr>
            <w:noProof/>
          </w:rPr>
          <w:fldChar w:fldCharType="separate"/>
        </w:r>
        <w:r w:rsidR="00620087">
          <w:rPr>
            <w:noProof/>
          </w:rPr>
          <w:t>121</w:t>
        </w:r>
        <w:r w:rsidR="00B1286B">
          <w:rPr>
            <w:noProof/>
          </w:rPr>
          <w:fldChar w:fldCharType="end"/>
        </w:r>
      </w:hyperlink>
    </w:p>
    <w:p w14:paraId="5C36D518" w14:textId="23D96DAE" w:rsidR="00B1286B" w:rsidRDefault="00CA2808">
      <w:pPr>
        <w:pStyle w:val="TOC2"/>
        <w:rPr>
          <w:rFonts w:asciiTheme="minorHAnsi" w:eastAsiaTheme="minorEastAsia" w:hAnsiTheme="minorHAnsi" w:cstheme="minorBidi"/>
          <w:noProof/>
          <w:szCs w:val="22"/>
        </w:rPr>
      </w:pPr>
      <w:hyperlink w:anchor="_Toc182476570" w:history="1">
        <w:r w:rsidR="00B1286B" w:rsidRPr="00485EE7">
          <w:rPr>
            <w:rStyle w:val="affffffe"/>
            <w:noProof/>
            <w14:scene3d>
              <w14:camera w14:prst="orthographicFront"/>
              <w14:lightRig w14:rig="threePt" w14:dir="t">
                <w14:rot w14:lat="0" w14:lon="0" w14:rev="0"/>
              </w14:lightRig>
            </w14:scene3d>
          </w:rPr>
          <w:t>28.2</w:t>
        </w:r>
        <w:r w:rsidR="00B1286B" w:rsidRPr="00485EE7">
          <w:rPr>
            <w:rStyle w:val="affffffe"/>
            <w:noProof/>
          </w:rPr>
          <w:t xml:space="preserve"> 总平面布置</w:t>
        </w:r>
        <w:r w:rsidR="00B1286B">
          <w:rPr>
            <w:noProof/>
          </w:rPr>
          <w:tab/>
        </w:r>
        <w:r w:rsidR="00B1286B">
          <w:rPr>
            <w:noProof/>
          </w:rPr>
          <w:fldChar w:fldCharType="begin"/>
        </w:r>
        <w:r w:rsidR="00B1286B">
          <w:rPr>
            <w:noProof/>
          </w:rPr>
          <w:instrText xml:space="preserve"> PAGEREF _Toc182476570 \h </w:instrText>
        </w:r>
        <w:r w:rsidR="00B1286B">
          <w:rPr>
            <w:noProof/>
          </w:rPr>
        </w:r>
        <w:r w:rsidR="00B1286B">
          <w:rPr>
            <w:noProof/>
          </w:rPr>
          <w:fldChar w:fldCharType="separate"/>
        </w:r>
        <w:r w:rsidR="00620087">
          <w:rPr>
            <w:noProof/>
          </w:rPr>
          <w:t>121</w:t>
        </w:r>
        <w:r w:rsidR="00B1286B">
          <w:rPr>
            <w:noProof/>
          </w:rPr>
          <w:fldChar w:fldCharType="end"/>
        </w:r>
      </w:hyperlink>
    </w:p>
    <w:p w14:paraId="3E99CFF6" w14:textId="391E259C" w:rsidR="00B1286B" w:rsidRDefault="00CA2808">
      <w:pPr>
        <w:pStyle w:val="TOC2"/>
        <w:rPr>
          <w:rFonts w:asciiTheme="minorHAnsi" w:eastAsiaTheme="minorEastAsia" w:hAnsiTheme="minorHAnsi" w:cstheme="minorBidi"/>
          <w:noProof/>
          <w:szCs w:val="22"/>
        </w:rPr>
      </w:pPr>
      <w:hyperlink w:anchor="_Toc182476571" w:history="1">
        <w:r w:rsidR="00B1286B" w:rsidRPr="00485EE7">
          <w:rPr>
            <w:rStyle w:val="affffffe"/>
            <w:noProof/>
            <w14:scene3d>
              <w14:camera w14:prst="orthographicFront"/>
              <w14:lightRig w14:rig="threePt" w14:dir="t">
                <w14:rot w14:lat="0" w14:lon="0" w14:rev="0"/>
              </w14:lightRig>
            </w14:scene3d>
          </w:rPr>
          <w:t>28.3</w:t>
        </w:r>
        <w:r w:rsidR="00B1286B" w:rsidRPr="00485EE7">
          <w:rPr>
            <w:rStyle w:val="affffffe"/>
            <w:noProof/>
          </w:rPr>
          <w:t xml:space="preserve"> 车辆运用整备设施</w:t>
        </w:r>
        <w:r w:rsidR="00B1286B">
          <w:rPr>
            <w:noProof/>
          </w:rPr>
          <w:tab/>
        </w:r>
        <w:r w:rsidR="00B1286B">
          <w:rPr>
            <w:noProof/>
          </w:rPr>
          <w:fldChar w:fldCharType="begin"/>
        </w:r>
        <w:r w:rsidR="00B1286B">
          <w:rPr>
            <w:noProof/>
          </w:rPr>
          <w:instrText xml:space="preserve"> PAGEREF _Toc182476571 \h </w:instrText>
        </w:r>
        <w:r w:rsidR="00B1286B">
          <w:rPr>
            <w:noProof/>
          </w:rPr>
        </w:r>
        <w:r w:rsidR="00B1286B">
          <w:rPr>
            <w:noProof/>
          </w:rPr>
          <w:fldChar w:fldCharType="separate"/>
        </w:r>
        <w:r w:rsidR="00620087">
          <w:rPr>
            <w:noProof/>
          </w:rPr>
          <w:t>122</w:t>
        </w:r>
        <w:r w:rsidR="00B1286B">
          <w:rPr>
            <w:noProof/>
          </w:rPr>
          <w:fldChar w:fldCharType="end"/>
        </w:r>
      </w:hyperlink>
    </w:p>
    <w:p w14:paraId="2DCBECD5" w14:textId="0A29F190" w:rsidR="00B1286B" w:rsidRDefault="00CA2808">
      <w:pPr>
        <w:pStyle w:val="TOC2"/>
        <w:rPr>
          <w:rFonts w:asciiTheme="minorHAnsi" w:eastAsiaTheme="minorEastAsia" w:hAnsiTheme="minorHAnsi" w:cstheme="minorBidi"/>
          <w:noProof/>
          <w:szCs w:val="22"/>
        </w:rPr>
      </w:pPr>
      <w:hyperlink w:anchor="_Toc182476572" w:history="1">
        <w:r w:rsidR="00B1286B" w:rsidRPr="00485EE7">
          <w:rPr>
            <w:rStyle w:val="affffffe"/>
            <w:noProof/>
            <w14:scene3d>
              <w14:camera w14:prst="orthographicFront"/>
              <w14:lightRig w14:rig="threePt" w14:dir="t">
                <w14:rot w14:lat="0" w14:lon="0" w14:rev="0"/>
              </w14:lightRig>
            </w14:scene3d>
          </w:rPr>
          <w:t>28.4</w:t>
        </w:r>
        <w:r w:rsidR="00B1286B" w:rsidRPr="00485EE7">
          <w:rPr>
            <w:rStyle w:val="affffffe"/>
            <w:noProof/>
          </w:rPr>
          <w:t xml:space="preserve"> 车辆检修设施</w:t>
        </w:r>
        <w:r w:rsidR="00B1286B">
          <w:rPr>
            <w:noProof/>
          </w:rPr>
          <w:tab/>
        </w:r>
        <w:r w:rsidR="00B1286B">
          <w:rPr>
            <w:noProof/>
          </w:rPr>
          <w:fldChar w:fldCharType="begin"/>
        </w:r>
        <w:r w:rsidR="00B1286B">
          <w:rPr>
            <w:noProof/>
          </w:rPr>
          <w:instrText xml:space="preserve"> PAGEREF _Toc182476572 \h </w:instrText>
        </w:r>
        <w:r w:rsidR="00B1286B">
          <w:rPr>
            <w:noProof/>
          </w:rPr>
        </w:r>
        <w:r w:rsidR="00B1286B">
          <w:rPr>
            <w:noProof/>
          </w:rPr>
          <w:fldChar w:fldCharType="separate"/>
        </w:r>
        <w:r w:rsidR="00620087">
          <w:rPr>
            <w:noProof/>
          </w:rPr>
          <w:t>123</w:t>
        </w:r>
        <w:r w:rsidR="00B1286B">
          <w:rPr>
            <w:noProof/>
          </w:rPr>
          <w:fldChar w:fldCharType="end"/>
        </w:r>
      </w:hyperlink>
    </w:p>
    <w:p w14:paraId="03496067" w14:textId="4DED1C17" w:rsidR="00B1286B" w:rsidRDefault="00CA2808">
      <w:pPr>
        <w:pStyle w:val="TOC2"/>
        <w:rPr>
          <w:rFonts w:asciiTheme="minorHAnsi" w:eastAsiaTheme="minorEastAsia" w:hAnsiTheme="minorHAnsi" w:cstheme="minorBidi"/>
          <w:noProof/>
          <w:szCs w:val="22"/>
        </w:rPr>
      </w:pPr>
      <w:hyperlink w:anchor="_Toc182476573" w:history="1">
        <w:r w:rsidR="00B1286B" w:rsidRPr="00485EE7">
          <w:rPr>
            <w:rStyle w:val="affffffe"/>
            <w:noProof/>
            <w14:scene3d>
              <w14:camera w14:prst="orthographicFront"/>
              <w14:lightRig w14:rig="threePt" w14:dir="t">
                <w14:rot w14:lat="0" w14:lon="0" w14:rev="0"/>
              </w14:lightRig>
            </w14:scene3d>
          </w:rPr>
          <w:t>28.5</w:t>
        </w:r>
        <w:r w:rsidR="00B1286B" w:rsidRPr="00485EE7">
          <w:rPr>
            <w:rStyle w:val="affffffe"/>
            <w:noProof/>
          </w:rPr>
          <w:t xml:space="preserve"> 综合维修</w:t>
        </w:r>
        <w:r w:rsidR="00B1286B">
          <w:rPr>
            <w:noProof/>
          </w:rPr>
          <w:tab/>
        </w:r>
        <w:r w:rsidR="00B1286B">
          <w:rPr>
            <w:noProof/>
          </w:rPr>
          <w:fldChar w:fldCharType="begin"/>
        </w:r>
        <w:r w:rsidR="00B1286B">
          <w:rPr>
            <w:noProof/>
          </w:rPr>
          <w:instrText xml:space="preserve"> PAGEREF _Toc182476573 \h </w:instrText>
        </w:r>
        <w:r w:rsidR="00B1286B">
          <w:rPr>
            <w:noProof/>
          </w:rPr>
        </w:r>
        <w:r w:rsidR="00B1286B">
          <w:rPr>
            <w:noProof/>
          </w:rPr>
          <w:fldChar w:fldCharType="separate"/>
        </w:r>
        <w:r w:rsidR="00620087">
          <w:rPr>
            <w:noProof/>
          </w:rPr>
          <w:t>124</w:t>
        </w:r>
        <w:r w:rsidR="00B1286B">
          <w:rPr>
            <w:noProof/>
          </w:rPr>
          <w:fldChar w:fldCharType="end"/>
        </w:r>
      </w:hyperlink>
    </w:p>
    <w:p w14:paraId="31040BA9" w14:textId="7B3EB1EC" w:rsidR="00B1286B" w:rsidRDefault="00CA2808">
      <w:pPr>
        <w:pStyle w:val="TOC2"/>
        <w:rPr>
          <w:rFonts w:asciiTheme="minorHAnsi" w:eastAsiaTheme="minorEastAsia" w:hAnsiTheme="minorHAnsi" w:cstheme="minorBidi"/>
          <w:noProof/>
          <w:szCs w:val="22"/>
        </w:rPr>
      </w:pPr>
      <w:hyperlink w:anchor="_Toc182476574" w:history="1">
        <w:r w:rsidR="00B1286B" w:rsidRPr="00485EE7">
          <w:rPr>
            <w:rStyle w:val="affffffe"/>
            <w:noProof/>
            <w14:scene3d>
              <w14:camera w14:prst="orthographicFront"/>
              <w14:lightRig w14:rig="threePt" w14:dir="t">
                <w14:rot w14:lat="0" w14:lon="0" w14:rev="0"/>
              </w14:lightRig>
            </w14:scene3d>
          </w:rPr>
          <w:t>28.6</w:t>
        </w:r>
        <w:r w:rsidR="00B1286B" w:rsidRPr="00485EE7">
          <w:rPr>
            <w:rStyle w:val="affffffe"/>
            <w:noProof/>
          </w:rPr>
          <w:t xml:space="preserve"> 物资总库</w:t>
        </w:r>
        <w:r w:rsidR="00B1286B">
          <w:rPr>
            <w:noProof/>
          </w:rPr>
          <w:tab/>
        </w:r>
        <w:r w:rsidR="00B1286B">
          <w:rPr>
            <w:noProof/>
          </w:rPr>
          <w:fldChar w:fldCharType="begin"/>
        </w:r>
        <w:r w:rsidR="00B1286B">
          <w:rPr>
            <w:noProof/>
          </w:rPr>
          <w:instrText xml:space="preserve"> PAGEREF _Toc182476574 \h </w:instrText>
        </w:r>
        <w:r w:rsidR="00B1286B">
          <w:rPr>
            <w:noProof/>
          </w:rPr>
        </w:r>
        <w:r w:rsidR="00B1286B">
          <w:rPr>
            <w:noProof/>
          </w:rPr>
          <w:fldChar w:fldCharType="separate"/>
        </w:r>
        <w:r w:rsidR="00620087">
          <w:rPr>
            <w:noProof/>
          </w:rPr>
          <w:t>125</w:t>
        </w:r>
        <w:r w:rsidR="00B1286B">
          <w:rPr>
            <w:noProof/>
          </w:rPr>
          <w:fldChar w:fldCharType="end"/>
        </w:r>
      </w:hyperlink>
    </w:p>
    <w:p w14:paraId="03402DBD" w14:textId="41D334D6" w:rsidR="00B1286B" w:rsidRDefault="00CA2808">
      <w:pPr>
        <w:pStyle w:val="TOC2"/>
        <w:rPr>
          <w:rFonts w:asciiTheme="minorHAnsi" w:eastAsiaTheme="minorEastAsia" w:hAnsiTheme="minorHAnsi" w:cstheme="minorBidi"/>
          <w:noProof/>
          <w:szCs w:val="22"/>
        </w:rPr>
      </w:pPr>
      <w:hyperlink w:anchor="_Toc182476575" w:history="1">
        <w:r w:rsidR="00B1286B" w:rsidRPr="00485EE7">
          <w:rPr>
            <w:rStyle w:val="affffffe"/>
            <w:noProof/>
            <w14:scene3d>
              <w14:camera w14:prst="orthographicFront"/>
              <w14:lightRig w14:rig="threePt" w14:dir="t">
                <w14:rot w14:lat="0" w14:lon="0" w14:rev="0"/>
              </w14:lightRig>
            </w14:scene3d>
          </w:rPr>
          <w:t>28.7</w:t>
        </w:r>
        <w:r w:rsidR="00B1286B" w:rsidRPr="00485EE7">
          <w:rPr>
            <w:rStyle w:val="affffffe"/>
            <w:noProof/>
          </w:rPr>
          <w:t xml:space="preserve"> 其他设施</w:t>
        </w:r>
        <w:r w:rsidR="00B1286B">
          <w:rPr>
            <w:noProof/>
          </w:rPr>
          <w:tab/>
        </w:r>
        <w:r w:rsidR="00B1286B">
          <w:rPr>
            <w:noProof/>
          </w:rPr>
          <w:fldChar w:fldCharType="begin"/>
        </w:r>
        <w:r w:rsidR="00B1286B">
          <w:rPr>
            <w:noProof/>
          </w:rPr>
          <w:instrText xml:space="preserve"> PAGEREF _Toc182476575 \h </w:instrText>
        </w:r>
        <w:r w:rsidR="00B1286B">
          <w:rPr>
            <w:noProof/>
          </w:rPr>
        </w:r>
        <w:r w:rsidR="00B1286B">
          <w:rPr>
            <w:noProof/>
          </w:rPr>
          <w:fldChar w:fldCharType="separate"/>
        </w:r>
        <w:r w:rsidR="00620087">
          <w:rPr>
            <w:noProof/>
          </w:rPr>
          <w:t>125</w:t>
        </w:r>
        <w:r w:rsidR="00B1286B">
          <w:rPr>
            <w:noProof/>
          </w:rPr>
          <w:fldChar w:fldCharType="end"/>
        </w:r>
      </w:hyperlink>
    </w:p>
    <w:p w14:paraId="50275FE2" w14:textId="0D68FA7C" w:rsidR="00B1286B" w:rsidRDefault="00CA2808">
      <w:pPr>
        <w:pStyle w:val="TOC1"/>
        <w:tabs>
          <w:tab w:val="right" w:leader="dot" w:pos="9344"/>
        </w:tabs>
        <w:rPr>
          <w:rFonts w:asciiTheme="minorHAnsi" w:eastAsiaTheme="minorEastAsia" w:hAnsiTheme="minorHAnsi" w:cstheme="minorBidi"/>
          <w:noProof/>
          <w:szCs w:val="22"/>
        </w:rPr>
      </w:pPr>
      <w:hyperlink w:anchor="_Toc182476576" w:history="1">
        <w:r w:rsidR="00B1286B" w:rsidRPr="00485EE7">
          <w:rPr>
            <w:rStyle w:val="affffffe"/>
            <w:noProof/>
          </w:rPr>
          <w:t>29 综合接地</w:t>
        </w:r>
        <w:r w:rsidR="00B1286B">
          <w:rPr>
            <w:noProof/>
          </w:rPr>
          <w:tab/>
        </w:r>
        <w:r w:rsidR="00B1286B">
          <w:rPr>
            <w:noProof/>
          </w:rPr>
          <w:fldChar w:fldCharType="begin"/>
        </w:r>
        <w:r w:rsidR="00B1286B">
          <w:rPr>
            <w:noProof/>
          </w:rPr>
          <w:instrText xml:space="preserve"> PAGEREF _Toc182476576 \h </w:instrText>
        </w:r>
        <w:r w:rsidR="00B1286B">
          <w:rPr>
            <w:noProof/>
          </w:rPr>
        </w:r>
        <w:r w:rsidR="00B1286B">
          <w:rPr>
            <w:noProof/>
          </w:rPr>
          <w:fldChar w:fldCharType="separate"/>
        </w:r>
        <w:r w:rsidR="00620087">
          <w:rPr>
            <w:noProof/>
          </w:rPr>
          <w:t>125</w:t>
        </w:r>
        <w:r w:rsidR="00B1286B">
          <w:rPr>
            <w:noProof/>
          </w:rPr>
          <w:fldChar w:fldCharType="end"/>
        </w:r>
      </w:hyperlink>
    </w:p>
    <w:p w14:paraId="11965219" w14:textId="2A629EE0" w:rsidR="00B1286B" w:rsidRDefault="00CA2808">
      <w:pPr>
        <w:pStyle w:val="TOC2"/>
        <w:rPr>
          <w:rFonts w:asciiTheme="minorHAnsi" w:eastAsiaTheme="minorEastAsia" w:hAnsiTheme="minorHAnsi" w:cstheme="minorBidi"/>
          <w:noProof/>
          <w:szCs w:val="22"/>
        </w:rPr>
      </w:pPr>
      <w:hyperlink w:anchor="_Toc182476577" w:history="1">
        <w:r w:rsidR="00B1286B" w:rsidRPr="00485EE7">
          <w:rPr>
            <w:rStyle w:val="affffffe"/>
            <w:noProof/>
            <w14:scene3d>
              <w14:camera w14:prst="orthographicFront"/>
              <w14:lightRig w14:rig="threePt" w14:dir="t">
                <w14:rot w14:lat="0" w14:lon="0" w14:rev="0"/>
              </w14:lightRig>
            </w14:scene3d>
          </w:rPr>
          <w:t>29.1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_Toc182476577 \h </w:instrText>
        </w:r>
        <w:r w:rsidR="00B1286B">
          <w:rPr>
            <w:noProof/>
          </w:rPr>
        </w:r>
        <w:r w:rsidR="00B1286B">
          <w:rPr>
            <w:noProof/>
          </w:rPr>
          <w:fldChar w:fldCharType="separate"/>
        </w:r>
        <w:r w:rsidR="00620087">
          <w:rPr>
            <w:noProof/>
          </w:rPr>
          <w:t>125</w:t>
        </w:r>
        <w:r w:rsidR="00B1286B">
          <w:rPr>
            <w:noProof/>
          </w:rPr>
          <w:fldChar w:fldCharType="end"/>
        </w:r>
      </w:hyperlink>
    </w:p>
    <w:p w14:paraId="4ED85043" w14:textId="55E82829" w:rsidR="00B1286B" w:rsidRDefault="00CA2808">
      <w:pPr>
        <w:pStyle w:val="TOC2"/>
        <w:rPr>
          <w:rFonts w:asciiTheme="minorHAnsi" w:eastAsiaTheme="minorEastAsia" w:hAnsiTheme="minorHAnsi" w:cstheme="minorBidi"/>
          <w:noProof/>
          <w:szCs w:val="22"/>
        </w:rPr>
      </w:pPr>
      <w:hyperlink w:anchor="_Toc182476578" w:history="1">
        <w:r w:rsidR="00B1286B" w:rsidRPr="00485EE7">
          <w:rPr>
            <w:rStyle w:val="affffffe"/>
            <w:noProof/>
            <w14:scene3d>
              <w14:camera w14:prst="orthographicFront"/>
              <w14:lightRig w14:rig="threePt" w14:dir="t">
                <w14:rot w14:lat="0" w14:lon="0" w14:rev="0"/>
              </w14:lightRig>
            </w14:scene3d>
          </w:rPr>
          <w:t>29.2</w:t>
        </w:r>
        <w:r w:rsidR="00B1286B" w:rsidRPr="00485EE7">
          <w:rPr>
            <w:rStyle w:val="affffffe"/>
            <w:noProof/>
          </w:rPr>
          <w:t xml:space="preserve"> 交流牵引模式下的综合接地</w:t>
        </w:r>
        <w:r w:rsidR="00B1286B">
          <w:rPr>
            <w:noProof/>
          </w:rPr>
          <w:tab/>
        </w:r>
        <w:r w:rsidR="00B1286B">
          <w:rPr>
            <w:noProof/>
          </w:rPr>
          <w:fldChar w:fldCharType="begin"/>
        </w:r>
        <w:r w:rsidR="00B1286B">
          <w:rPr>
            <w:noProof/>
          </w:rPr>
          <w:instrText xml:space="preserve"> PAGEREF _Toc182476578 \h </w:instrText>
        </w:r>
        <w:r w:rsidR="00B1286B">
          <w:rPr>
            <w:noProof/>
          </w:rPr>
        </w:r>
        <w:r w:rsidR="00B1286B">
          <w:rPr>
            <w:noProof/>
          </w:rPr>
          <w:fldChar w:fldCharType="separate"/>
        </w:r>
        <w:r w:rsidR="00620087">
          <w:rPr>
            <w:noProof/>
          </w:rPr>
          <w:t>125</w:t>
        </w:r>
        <w:r w:rsidR="00B1286B">
          <w:rPr>
            <w:noProof/>
          </w:rPr>
          <w:fldChar w:fldCharType="end"/>
        </w:r>
      </w:hyperlink>
    </w:p>
    <w:p w14:paraId="5B8C099B" w14:textId="76BA67A0" w:rsidR="00B1286B" w:rsidRDefault="00CA2808">
      <w:pPr>
        <w:pStyle w:val="TOC2"/>
        <w:rPr>
          <w:rFonts w:asciiTheme="minorHAnsi" w:eastAsiaTheme="minorEastAsia" w:hAnsiTheme="minorHAnsi" w:cstheme="minorBidi"/>
          <w:noProof/>
          <w:szCs w:val="22"/>
        </w:rPr>
      </w:pPr>
      <w:hyperlink w:anchor="_Toc182476579" w:history="1">
        <w:r w:rsidR="00B1286B" w:rsidRPr="00485EE7">
          <w:rPr>
            <w:rStyle w:val="affffffe"/>
            <w:noProof/>
            <w14:scene3d>
              <w14:camera w14:prst="orthographicFront"/>
              <w14:lightRig w14:rig="threePt" w14:dir="t">
                <w14:rot w14:lat="0" w14:lon="0" w14:rev="0"/>
              </w14:lightRig>
            </w14:scene3d>
          </w:rPr>
          <w:t>29.3</w:t>
        </w:r>
        <w:r w:rsidR="00B1286B" w:rsidRPr="00485EE7">
          <w:rPr>
            <w:rStyle w:val="affffffe"/>
            <w:noProof/>
          </w:rPr>
          <w:t xml:space="preserve"> 直流牵引模式下的综合接地</w:t>
        </w:r>
        <w:r w:rsidR="00B1286B">
          <w:rPr>
            <w:noProof/>
          </w:rPr>
          <w:tab/>
        </w:r>
        <w:r w:rsidR="00B1286B">
          <w:rPr>
            <w:noProof/>
          </w:rPr>
          <w:fldChar w:fldCharType="begin"/>
        </w:r>
        <w:r w:rsidR="00B1286B">
          <w:rPr>
            <w:noProof/>
          </w:rPr>
          <w:instrText xml:space="preserve"> PAGEREF _Toc182476579 \h </w:instrText>
        </w:r>
        <w:r w:rsidR="00B1286B">
          <w:rPr>
            <w:noProof/>
          </w:rPr>
        </w:r>
        <w:r w:rsidR="00B1286B">
          <w:rPr>
            <w:noProof/>
          </w:rPr>
          <w:fldChar w:fldCharType="separate"/>
        </w:r>
        <w:r w:rsidR="00620087">
          <w:rPr>
            <w:noProof/>
          </w:rPr>
          <w:t>128</w:t>
        </w:r>
        <w:r w:rsidR="00B1286B">
          <w:rPr>
            <w:noProof/>
          </w:rPr>
          <w:fldChar w:fldCharType="end"/>
        </w:r>
      </w:hyperlink>
    </w:p>
    <w:p w14:paraId="26597566" w14:textId="22E7C667" w:rsidR="00B1286B" w:rsidRDefault="00CA2808">
      <w:pPr>
        <w:pStyle w:val="TOC2"/>
        <w:rPr>
          <w:rFonts w:asciiTheme="minorHAnsi" w:eastAsiaTheme="minorEastAsia" w:hAnsiTheme="minorHAnsi" w:cstheme="minorBidi"/>
          <w:noProof/>
          <w:szCs w:val="22"/>
        </w:rPr>
      </w:pPr>
      <w:hyperlink w:anchor="_Toc182476580" w:history="1">
        <w:r w:rsidR="00B1286B" w:rsidRPr="00485EE7">
          <w:rPr>
            <w:rStyle w:val="affffffe"/>
            <w:noProof/>
            <w14:scene3d>
              <w14:camera w14:prst="orthographicFront"/>
              <w14:lightRig w14:rig="threePt" w14:dir="t">
                <w14:rot w14:lat="0" w14:lon="0" w14:rev="0"/>
              </w14:lightRig>
            </w14:scene3d>
          </w:rPr>
          <w:t>29.4</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_Toc182476580 \h </w:instrText>
        </w:r>
        <w:r w:rsidR="00B1286B">
          <w:rPr>
            <w:noProof/>
          </w:rPr>
        </w:r>
        <w:r w:rsidR="00B1286B">
          <w:rPr>
            <w:noProof/>
          </w:rPr>
          <w:fldChar w:fldCharType="separate"/>
        </w:r>
        <w:r w:rsidR="00620087">
          <w:rPr>
            <w:noProof/>
          </w:rPr>
          <w:t>128</w:t>
        </w:r>
        <w:r w:rsidR="00B1286B">
          <w:rPr>
            <w:noProof/>
          </w:rPr>
          <w:fldChar w:fldCharType="end"/>
        </w:r>
      </w:hyperlink>
    </w:p>
    <w:p w14:paraId="50F987B8" w14:textId="61C4058A" w:rsidR="00B1286B" w:rsidRDefault="00CA2808">
      <w:pPr>
        <w:pStyle w:val="TOC1"/>
        <w:tabs>
          <w:tab w:val="right" w:leader="dot" w:pos="9344"/>
        </w:tabs>
        <w:rPr>
          <w:rFonts w:asciiTheme="minorHAnsi" w:eastAsiaTheme="minorEastAsia" w:hAnsiTheme="minorHAnsi" w:cstheme="minorBidi"/>
          <w:noProof/>
          <w:szCs w:val="22"/>
        </w:rPr>
      </w:pPr>
      <w:hyperlink w:anchor="_Toc182476581" w:history="1">
        <w:r w:rsidR="00B1286B" w:rsidRPr="00485EE7">
          <w:rPr>
            <w:rStyle w:val="affffffe"/>
            <w:noProof/>
          </w:rPr>
          <w:t>30 防灾</w:t>
        </w:r>
        <w:r w:rsidR="00B1286B">
          <w:rPr>
            <w:noProof/>
          </w:rPr>
          <w:tab/>
        </w:r>
        <w:r w:rsidR="00B1286B">
          <w:rPr>
            <w:noProof/>
          </w:rPr>
          <w:fldChar w:fldCharType="begin"/>
        </w:r>
        <w:r w:rsidR="00B1286B">
          <w:rPr>
            <w:noProof/>
          </w:rPr>
          <w:instrText xml:space="preserve"> PAGEREF _Toc182476581 \h </w:instrText>
        </w:r>
        <w:r w:rsidR="00B1286B">
          <w:rPr>
            <w:noProof/>
          </w:rPr>
        </w:r>
        <w:r w:rsidR="00B1286B">
          <w:rPr>
            <w:noProof/>
          </w:rPr>
          <w:fldChar w:fldCharType="separate"/>
        </w:r>
        <w:r w:rsidR="00620087">
          <w:rPr>
            <w:noProof/>
          </w:rPr>
          <w:t>128</w:t>
        </w:r>
        <w:r w:rsidR="00B1286B">
          <w:rPr>
            <w:noProof/>
          </w:rPr>
          <w:fldChar w:fldCharType="end"/>
        </w:r>
      </w:hyperlink>
    </w:p>
    <w:p w14:paraId="0FD88A7E" w14:textId="2B52BCF6" w:rsidR="00B1286B" w:rsidRDefault="00CA2808">
      <w:pPr>
        <w:pStyle w:val="TOC2"/>
        <w:rPr>
          <w:rFonts w:asciiTheme="minorHAnsi" w:eastAsiaTheme="minorEastAsia" w:hAnsiTheme="minorHAnsi" w:cstheme="minorBidi"/>
          <w:noProof/>
          <w:szCs w:val="22"/>
        </w:rPr>
      </w:pPr>
      <w:hyperlink w:anchor="_Toc182476582" w:history="1">
        <w:r w:rsidR="00B1286B" w:rsidRPr="00485EE7">
          <w:rPr>
            <w:rStyle w:val="affffffe"/>
            <w:noProof/>
            <w14:scene3d>
              <w14:camera w14:prst="orthographicFront"/>
              <w14:lightRig w14:rig="threePt" w14:dir="t">
                <w14:rot w14:lat="0" w14:lon="0" w14:rev="0"/>
              </w14:lightRig>
            </w14:scene3d>
          </w:rPr>
          <w:t>30.1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_Toc182476582 \h </w:instrText>
        </w:r>
        <w:r w:rsidR="00B1286B">
          <w:rPr>
            <w:noProof/>
          </w:rPr>
        </w:r>
        <w:r w:rsidR="00B1286B">
          <w:rPr>
            <w:noProof/>
          </w:rPr>
          <w:fldChar w:fldCharType="separate"/>
        </w:r>
        <w:r w:rsidR="00620087">
          <w:rPr>
            <w:noProof/>
          </w:rPr>
          <w:t>128</w:t>
        </w:r>
        <w:r w:rsidR="00B1286B">
          <w:rPr>
            <w:noProof/>
          </w:rPr>
          <w:fldChar w:fldCharType="end"/>
        </w:r>
      </w:hyperlink>
    </w:p>
    <w:p w14:paraId="0145C5CA" w14:textId="3555B05F" w:rsidR="00B1286B" w:rsidRDefault="00CA2808">
      <w:pPr>
        <w:pStyle w:val="TOC2"/>
        <w:rPr>
          <w:rFonts w:asciiTheme="minorHAnsi" w:eastAsiaTheme="minorEastAsia" w:hAnsiTheme="minorHAnsi" w:cstheme="minorBidi"/>
          <w:noProof/>
          <w:szCs w:val="22"/>
        </w:rPr>
      </w:pPr>
      <w:hyperlink w:anchor="_Toc182476583" w:history="1">
        <w:r w:rsidR="00B1286B" w:rsidRPr="00485EE7">
          <w:rPr>
            <w:rStyle w:val="affffffe"/>
            <w:noProof/>
            <w14:scene3d>
              <w14:camera w14:prst="orthographicFront"/>
              <w14:lightRig w14:rig="threePt" w14:dir="t">
                <w14:rot w14:lat="0" w14:lon="0" w14:rev="0"/>
              </w14:lightRig>
            </w14:scene3d>
          </w:rPr>
          <w:t>30.2</w:t>
        </w:r>
        <w:r w:rsidR="00B1286B" w:rsidRPr="00485EE7">
          <w:rPr>
            <w:rStyle w:val="affffffe"/>
            <w:noProof/>
          </w:rPr>
          <w:t xml:space="preserve"> 建筑防火</w:t>
        </w:r>
        <w:r w:rsidR="00B1286B">
          <w:rPr>
            <w:noProof/>
          </w:rPr>
          <w:tab/>
        </w:r>
        <w:r w:rsidR="00B1286B">
          <w:rPr>
            <w:noProof/>
          </w:rPr>
          <w:fldChar w:fldCharType="begin"/>
        </w:r>
        <w:r w:rsidR="00B1286B">
          <w:rPr>
            <w:noProof/>
          </w:rPr>
          <w:instrText xml:space="preserve"> PAGEREF _Toc182476583 \h </w:instrText>
        </w:r>
        <w:r w:rsidR="00B1286B">
          <w:rPr>
            <w:noProof/>
          </w:rPr>
        </w:r>
        <w:r w:rsidR="00B1286B">
          <w:rPr>
            <w:noProof/>
          </w:rPr>
          <w:fldChar w:fldCharType="separate"/>
        </w:r>
        <w:r w:rsidR="00620087">
          <w:rPr>
            <w:noProof/>
          </w:rPr>
          <w:t>128</w:t>
        </w:r>
        <w:r w:rsidR="00B1286B">
          <w:rPr>
            <w:noProof/>
          </w:rPr>
          <w:fldChar w:fldCharType="end"/>
        </w:r>
      </w:hyperlink>
    </w:p>
    <w:p w14:paraId="6CC18AD5" w14:textId="6DA5CE45" w:rsidR="00B1286B" w:rsidRDefault="00CA2808">
      <w:pPr>
        <w:pStyle w:val="TOC2"/>
        <w:rPr>
          <w:rFonts w:asciiTheme="minorHAnsi" w:eastAsiaTheme="minorEastAsia" w:hAnsiTheme="minorHAnsi" w:cstheme="minorBidi"/>
          <w:noProof/>
          <w:szCs w:val="22"/>
        </w:rPr>
      </w:pPr>
      <w:hyperlink w:anchor="_Toc182476584" w:history="1">
        <w:r w:rsidR="00B1286B" w:rsidRPr="00485EE7">
          <w:rPr>
            <w:rStyle w:val="affffffe"/>
            <w:noProof/>
            <w14:scene3d>
              <w14:camera w14:prst="orthographicFront"/>
              <w14:lightRig w14:rig="threePt" w14:dir="t">
                <w14:rot w14:lat="0" w14:lon="0" w14:rev="0"/>
              </w14:lightRig>
            </w14:scene3d>
          </w:rPr>
          <w:t>30.3</w:t>
        </w:r>
        <w:r w:rsidR="00B1286B" w:rsidRPr="00485EE7">
          <w:rPr>
            <w:rStyle w:val="affffffe"/>
            <w:noProof/>
          </w:rPr>
          <w:t xml:space="preserve"> 区间防灾疏散及救援</w:t>
        </w:r>
        <w:r w:rsidR="00B1286B">
          <w:rPr>
            <w:noProof/>
          </w:rPr>
          <w:tab/>
        </w:r>
        <w:r w:rsidR="00B1286B">
          <w:rPr>
            <w:noProof/>
          </w:rPr>
          <w:fldChar w:fldCharType="begin"/>
        </w:r>
        <w:r w:rsidR="00B1286B">
          <w:rPr>
            <w:noProof/>
          </w:rPr>
          <w:instrText xml:space="preserve"> PAGEREF _Toc182476584 \h </w:instrText>
        </w:r>
        <w:r w:rsidR="00B1286B">
          <w:rPr>
            <w:noProof/>
          </w:rPr>
        </w:r>
        <w:r w:rsidR="00B1286B">
          <w:rPr>
            <w:noProof/>
          </w:rPr>
          <w:fldChar w:fldCharType="separate"/>
        </w:r>
        <w:r w:rsidR="00620087">
          <w:rPr>
            <w:noProof/>
          </w:rPr>
          <w:t>130</w:t>
        </w:r>
        <w:r w:rsidR="00B1286B">
          <w:rPr>
            <w:noProof/>
          </w:rPr>
          <w:fldChar w:fldCharType="end"/>
        </w:r>
      </w:hyperlink>
    </w:p>
    <w:p w14:paraId="57F7ECEA" w14:textId="179BD19D" w:rsidR="00B1286B" w:rsidRDefault="00CA2808">
      <w:pPr>
        <w:pStyle w:val="TOC2"/>
        <w:rPr>
          <w:rFonts w:asciiTheme="minorHAnsi" w:eastAsiaTheme="minorEastAsia" w:hAnsiTheme="minorHAnsi" w:cstheme="minorBidi"/>
          <w:noProof/>
          <w:szCs w:val="22"/>
        </w:rPr>
      </w:pPr>
      <w:hyperlink w:anchor="_Toc182476585" w:history="1">
        <w:r w:rsidR="00B1286B" w:rsidRPr="00485EE7">
          <w:rPr>
            <w:rStyle w:val="affffffe"/>
            <w:noProof/>
            <w14:scene3d>
              <w14:camera w14:prst="orthographicFront"/>
              <w14:lightRig w14:rig="threePt" w14:dir="t">
                <w14:rot w14:lat="0" w14:lon="0" w14:rev="0"/>
              </w14:lightRig>
            </w14:scene3d>
          </w:rPr>
          <w:t>30.4</w:t>
        </w:r>
        <w:r w:rsidR="00B1286B" w:rsidRPr="00485EE7">
          <w:rPr>
            <w:rStyle w:val="affffffe"/>
            <w:noProof/>
          </w:rPr>
          <w:t xml:space="preserve"> 消防给水与灭火装置</w:t>
        </w:r>
        <w:r w:rsidR="00B1286B">
          <w:rPr>
            <w:noProof/>
          </w:rPr>
          <w:tab/>
        </w:r>
        <w:r w:rsidR="00B1286B">
          <w:rPr>
            <w:noProof/>
          </w:rPr>
          <w:fldChar w:fldCharType="begin"/>
        </w:r>
        <w:r w:rsidR="00B1286B">
          <w:rPr>
            <w:noProof/>
          </w:rPr>
          <w:instrText xml:space="preserve"> PAGEREF _Toc182476585 \h </w:instrText>
        </w:r>
        <w:r w:rsidR="00B1286B">
          <w:rPr>
            <w:noProof/>
          </w:rPr>
        </w:r>
        <w:r w:rsidR="00B1286B">
          <w:rPr>
            <w:noProof/>
          </w:rPr>
          <w:fldChar w:fldCharType="separate"/>
        </w:r>
        <w:r w:rsidR="00620087">
          <w:rPr>
            <w:noProof/>
          </w:rPr>
          <w:t>131</w:t>
        </w:r>
        <w:r w:rsidR="00B1286B">
          <w:rPr>
            <w:noProof/>
          </w:rPr>
          <w:fldChar w:fldCharType="end"/>
        </w:r>
      </w:hyperlink>
    </w:p>
    <w:p w14:paraId="5D48A2CD" w14:textId="597B3EE8" w:rsidR="00B1286B" w:rsidRDefault="00CA2808">
      <w:pPr>
        <w:pStyle w:val="TOC2"/>
        <w:rPr>
          <w:rFonts w:asciiTheme="minorHAnsi" w:eastAsiaTheme="minorEastAsia" w:hAnsiTheme="minorHAnsi" w:cstheme="minorBidi"/>
          <w:noProof/>
          <w:szCs w:val="22"/>
        </w:rPr>
      </w:pPr>
      <w:hyperlink w:anchor="_Toc182476586" w:history="1">
        <w:r w:rsidR="00B1286B" w:rsidRPr="00485EE7">
          <w:rPr>
            <w:rStyle w:val="affffffe"/>
            <w:noProof/>
            <w14:scene3d>
              <w14:camera w14:prst="orthographicFront"/>
              <w14:lightRig w14:rig="threePt" w14:dir="t">
                <w14:rot w14:lat="0" w14:lon="0" w14:rev="0"/>
              </w14:lightRig>
            </w14:scene3d>
          </w:rPr>
          <w:t>30.5</w:t>
        </w:r>
        <w:r w:rsidR="00B1286B" w:rsidRPr="00485EE7">
          <w:rPr>
            <w:rStyle w:val="affffffe"/>
            <w:noProof/>
          </w:rPr>
          <w:t xml:space="preserve"> 防烟、排烟与事故通风</w:t>
        </w:r>
        <w:r w:rsidR="00B1286B">
          <w:rPr>
            <w:noProof/>
          </w:rPr>
          <w:tab/>
        </w:r>
        <w:r w:rsidR="00B1286B">
          <w:rPr>
            <w:noProof/>
          </w:rPr>
          <w:fldChar w:fldCharType="begin"/>
        </w:r>
        <w:r w:rsidR="00B1286B">
          <w:rPr>
            <w:noProof/>
          </w:rPr>
          <w:instrText xml:space="preserve"> PAGEREF _Toc182476586 \h </w:instrText>
        </w:r>
        <w:r w:rsidR="00B1286B">
          <w:rPr>
            <w:noProof/>
          </w:rPr>
        </w:r>
        <w:r w:rsidR="00B1286B">
          <w:rPr>
            <w:noProof/>
          </w:rPr>
          <w:fldChar w:fldCharType="separate"/>
        </w:r>
        <w:r w:rsidR="00620087">
          <w:rPr>
            <w:noProof/>
          </w:rPr>
          <w:t>132</w:t>
        </w:r>
        <w:r w:rsidR="00B1286B">
          <w:rPr>
            <w:noProof/>
          </w:rPr>
          <w:fldChar w:fldCharType="end"/>
        </w:r>
      </w:hyperlink>
    </w:p>
    <w:p w14:paraId="469A6B7D" w14:textId="1060C826" w:rsidR="00B1286B" w:rsidRDefault="00CA2808">
      <w:pPr>
        <w:pStyle w:val="TOC2"/>
        <w:rPr>
          <w:rFonts w:asciiTheme="minorHAnsi" w:eastAsiaTheme="minorEastAsia" w:hAnsiTheme="minorHAnsi" w:cstheme="minorBidi"/>
          <w:noProof/>
          <w:szCs w:val="22"/>
        </w:rPr>
      </w:pPr>
      <w:hyperlink w:anchor="_Toc182476587" w:history="1">
        <w:r w:rsidR="00B1286B" w:rsidRPr="00485EE7">
          <w:rPr>
            <w:rStyle w:val="affffffe"/>
            <w:noProof/>
            <w14:scene3d>
              <w14:camera w14:prst="orthographicFront"/>
              <w14:lightRig w14:rig="threePt" w14:dir="t">
                <w14:rot w14:lat="0" w14:lon="0" w14:rev="0"/>
              </w14:lightRig>
            </w14:scene3d>
          </w:rPr>
          <w:t>30.6</w:t>
        </w:r>
        <w:r w:rsidR="00B1286B" w:rsidRPr="00485EE7">
          <w:rPr>
            <w:rStyle w:val="affffffe"/>
            <w:noProof/>
          </w:rPr>
          <w:t xml:space="preserve"> 防灾通信</w:t>
        </w:r>
        <w:r w:rsidR="00B1286B">
          <w:rPr>
            <w:noProof/>
          </w:rPr>
          <w:tab/>
        </w:r>
        <w:r w:rsidR="00B1286B">
          <w:rPr>
            <w:noProof/>
          </w:rPr>
          <w:fldChar w:fldCharType="begin"/>
        </w:r>
        <w:r w:rsidR="00B1286B">
          <w:rPr>
            <w:noProof/>
          </w:rPr>
          <w:instrText xml:space="preserve"> PAGEREF _Toc182476587 \h </w:instrText>
        </w:r>
        <w:r w:rsidR="00B1286B">
          <w:rPr>
            <w:noProof/>
          </w:rPr>
        </w:r>
        <w:r w:rsidR="00B1286B">
          <w:rPr>
            <w:noProof/>
          </w:rPr>
          <w:fldChar w:fldCharType="separate"/>
        </w:r>
        <w:r w:rsidR="00620087">
          <w:rPr>
            <w:noProof/>
          </w:rPr>
          <w:t>133</w:t>
        </w:r>
        <w:r w:rsidR="00B1286B">
          <w:rPr>
            <w:noProof/>
          </w:rPr>
          <w:fldChar w:fldCharType="end"/>
        </w:r>
      </w:hyperlink>
    </w:p>
    <w:p w14:paraId="2D1A6C29" w14:textId="33F06EC0" w:rsidR="00B1286B" w:rsidRDefault="00CA2808">
      <w:pPr>
        <w:pStyle w:val="TOC2"/>
        <w:rPr>
          <w:rFonts w:asciiTheme="minorHAnsi" w:eastAsiaTheme="minorEastAsia" w:hAnsiTheme="minorHAnsi" w:cstheme="minorBidi"/>
          <w:noProof/>
          <w:szCs w:val="22"/>
        </w:rPr>
      </w:pPr>
      <w:hyperlink w:anchor="_Toc182476588" w:history="1">
        <w:r w:rsidR="00B1286B" w:rsidRPr="00485EE7">
          <w:rPr>
            <w:rStyle w:val="affffffe"/>
            <w:noProof/>
            <w14:scene3d>
              <w14:camera w14:prst="orthographicFront"/>
              <w14:lightRig w14:rig="threePt" w14:dir="t">
                <w14:rot w14:lat="0" w14:lon="0" w14:rev="0"/>
              </w14:lightRig>
            </w14:scene3d>
          </w:rPr>
          <w:t>30.7</w:t>
        </w:r>
        <w:r w:rsidR="00B1286B" w:rsidRPr="00485EE7">
          <w:rPr>
            <w:rStyle w:val="affffffe"/>
            <w:noProof/>
          </w:rPr>
          <w:t xml:space="preserve"> 防灾用电与应急照明</w:t>
        </w:r>
        <w:r w:rsidR="00B1286B">
          <w:rPr>
            <w:noProof/>
          </w:rPr>
          <w:tab/>
        </w:r>
        <w:r w:rsidR="00B1286B">
          <w:rPr>
            <w:noProof/>
          </w:rPr>
          <w:fldChar w:fldCharType="begin"/>
        </w:r>
        <w:r w:rsidR="00B1286B">
          <w:rPr>
            <w:noProof/>
          </w:rPr>
          <w:instrText xml:space="preserve"> PAGEREF _Toc182476588 \h </w:instrText>
        </w:r>
        <w:r w:rsidR="00B1286B">
          <w:rPr>
            <w:noProof/>
          </w:rPr>
        </w:r>
        <w:r w:rsidR="00B1286B">
          <w:rPr>
            <w:noProof/>
          </w:rPr>
          <w:fldChar w:fldCharType="separate"/>
        </w:r>
        <w:r w:rsidR="00620087">
          <w:rPr>
            <w:noProof/>
          </w:rPr>
          <w:t>133</w:t>
        </w:r>
        <w:r w:rsidR="00B1286B">
          <w:rPr>
            <w:noProof/>
          </w:rPr>
          <w:fldChar w:fldCharType="end"/>
        </w:r>
      </w:hyperlink>
    </w:p>
    <w:p w14:paraId="69B41AE3" w14:textId="01825769" w:rsidR="00B1286B" w:rsidRDefault="00CA2808">
      <w:pPr>
        <w:pStyle w:val="TOC2"/>
        <w:rPr>
          <w:rFonts w:asciiTheme="minorHAnsi" w:eastAsiaTheme="minorEastAsia" w:hAnsiTheme="minorHAnsi" w:cstheme="minorBidi"/>
          <w:noProof/>
          <w:szCs w:val="22"/>
        </w:rPr>
      </w:pPr>
      <w:hyperlink w:anchor="_Toc182476589" w:history="1">
        <w:r w:rsidR="00B1286B" w:rsidRPr="00485EE7">
          <w:rPr>
            <w:rStyle w:val="affffffe"/>
            <w:noProof/>
            <w14:scene3d>
              <w14:camera w14:prst="orthographicFront"/>
              <w14:lightRig w14:rig="threePt" w14:dir="t">
                <w14:rot w14:lat="0" w14:lon="0" w14:rev="0"/>
              </w14:lightRig>
            </w14:scene3d>
          </w:rPr>
          <w:t>30.8</w:t>
        </w:r>
        <w:r w:rsidR="00B1286B" w:rsidRPr="00485EE7">
          <w:rPr>
            <w:rStyle w:val="affffffe"/>
            <w:noProof/>
          </w:rPr>
          <w:t xml:space="preserve"> 其他灾害预防与报警</w:t>
        </w:r>
        <w:r w:rsidR="00B1286B">
          <w:rPr>
            <w:noProof/>
          </w:rPr>
          <w:tab/>
        </w:r>
        <w:r w:rsidR="00B1286B">
          <w:rPr>
            <w:noProof/>
          </w:rPr>
          <w:fldChar w:fldCharType="begin"/>
        </w:r>
        <w:r w:rsidR="00B1286B">
          <w:rPr>
            <w:noProof/>
          </w:rPr>
          <w:instrText xml:space="preserve"> PAGEREF _Toc182476589 \h </w:instrText>
        </w:r>
        <w:r w:rsidR="00B1286B">
          <w:rPr>
            <w:noProof/>
          </w:rPr>
        </w:r>
        <w:r w:rsidR="00B1286B">
          <w:rPr>
            <w:noProof/>
          </w:rPr>
          <w:fldChar w:fldCharType="separate"/>
        </w:r>
        <w:r w:rsidR="00620087">
          <w:rPr>
            <w:noProof/>
          </w:rPr>
          <w:t>134</w:t>
        </w:r>
        <w:r w:rsidR="00B1286B">
          <w:rPr>
            <w:noProof/>
          </w:rPr>
          <w:fldChar w:fldCharType="end"/>
        </w:r>
      </w:hyperlink>
    </w:p>
    <w:p w14:paraId="3D7866EF" w14:textId="00BAB979" w:rsidR="00B1286B" w:rsidRDefault="00CA2808">
      <w:pPr>
        <w:pStyle w:val="TOC2"/>
        <w:rPr>
          <w:rFonts w:asciiTheme="minorHAnsi" w:eastAsiaTheme="minorEastAsia" w:hAnsiTheme="minorHAnsi" w:cstheme="minorBidi"/>
          <w:noProof/>
          <w:szCs w:val="22"/>
        </w:rPr>
      </w:pPr>
      <w:hyperlink w:anchor="_Toc182476590" w:history="1">
        <w:r w:rsidR="00B1286B" w:rsidRPr="00485EE7">
          <w:rPr>
            <w:rStyle w:val="affffffe"/>
            <w:noProof/>
            <w14:scene3d>
              <w14:camera w14:prst="orthographicFront"/>
              <w14:lightRig w14:rig="threePt" w14:dir="t">
                <w14:rot w14:lat="0" w14:lon="0" w14:rev="0"/>
              </w14:lightRig>
            </w14:scene3d>
          </w:rPr>
          <w:t>30.9</w:t>
        </w:r>
        <w:r w:rsidR="00B1286B" w:rsidRPr="00485EE7">
          <w:rPr>
            <w:rStyle w:val="affffffe"/>
            <w:noProof/>
          </w:rPr>
          <w:t xml:space="preserve"> 灾害监测</w:t>
        </w:r>
        <w:r w:rsidR="00B1286B">
          <w:rPr>
            <w:noProof/>
          </w:rPr>
          <w:tab/>
        </w:r>
        <w:r w:rsidR="00B1286B">
          <w:rPr>
            <w:noProof/>
          </w:rPr>
          <w:fldChar w:fldCharType="begin"/>
        </w:r>
        <w:r w:rsidR="00B1286B">
          <w:rPr>
            <w:noProof/>
          </w:rPr>
          <w:instrText xml:space="preserve"> PAGEREF _Toc182476590 \h </w:instrText>
        </w:r>
        <w:r w:rsidR="00B1286B">
          <w:rPr>
            <w:noProof/>
          </w:rPr>
        </w:r>
        <w:r w:rsidR="00B1286B">
          <w:rPr>
            <w:noProof/>
          </w:rPr>
          <w:fldChar w:fldCharType="separate"/>
        </w:r>
        <w:r w:rsidR="00620087">
          <w:rPr>
            <w:noProof/>
          </w:rPr>
          <w:t>134</w:t>
        </w:r>
        <w:r w:rsidR="00B1286B">
          <w:rPr>
            <w:noProof/>
          </w:rPr>
          <w:fldChar w:fldCharType="end"/>
        </w:r>
      </w:hyperlink>
    </w:p>
    <w:p w14:paraId="4F11AAF3" w14:textId="7B51A6A1" w:rsidR="00B1286B" w:rsidRDefault="00CA2808">
      <w:pPr>
        <w:pStyle w:val="TOC2"/>
        <w:rPr>
          <w:rFonts w:asciiTheme="minorHAnsi" w:eastAsiaTheme="minorEastAsia" w:hAnsiTheme="minorHAnsi" w:cstheme="minorBidi"/>
          <w:noProof/>
          <w:szCs w:val="22"/>
        </w:rPr>
      </w:pPr>
      <w:hyperlink w:anchor="_Toc182476591" w:history="1">
        <w:r w:rsidR="00B1286B" w:rsidRPr="00485EE7">
          <w:rPr>
            <w:rStyle w:val="affffffe"/>
            <w:noProof/>
            <w14:scene3d>
              <w14:camera w14:prst="orthographicFront"/>
              <w14:lightRig w14:rig="threePt" w14:dir="t">
                <w14:rot w14:lat="0" w14:lon="0" w14:rev="0"/>
              </w14:lightRig>
            </w14:scene3d>
          </w:rPr>
          <w:t>30.10</w:t>
        </w:r>
        <w:r w:rsidR="00B1286B" w:rsidRPr="00485EE7">
          <w:rPr>
            <w:rStyle w:val="affffffe"/>
            <w:noProof/>
          </w:rPr>
          <w:t xml:space="preserve"> 接口设计</w:t>
        </w:r>
        <w:r w:rsidR="00B1286B">
          <w:rPr>
            <w:noProof/>
          </w:rPr>
          <w:tab/>
        </w:r>
        <w:r w:rsidR="00B1286B">
          <w:rPr>
            <w:noProof/>
          </w:rPr>
          <w:fldChar w:fldCharType="begin"/>
        </w:r>
        <w:r w:rsidR="00B1286B">
          <w:rPr>
            <w:noProof/>
          </w:rPr>
          <w:instrText xml:space="preserve"> PAGEREF _Toc182476591 \h </w:instrText>
        </w:r>
        <w:r w:rsidR="00B1286B">
          <w:rPr>
            <w:noProof/>
          </w:rPr>
        </w:r>
        <w:r w:rsidR="00B1286B">
          <w:rPr>
            <w:noProof/>
          </w:rPr>
          <w:fldChar w:fldCharType="separate"/>
        </w:r>
        <w:r w:rsidR="00620087">
          <w:rPr>
            <w:noProof/>
          </w:rPr>
          <w:t>134</w:t>
        </w:r>
        <w:r w:rsidR="00B1286B">
          <w:rPr>
            <w:noProof/>
          </w:rPr>
          <w:fldChar w:fldCharType="end"/>
        </w:r>
      </w:hyperlink>
    </w:p>
    <w:p w14:paraId="73D81B18" w14:textId="6E3E575B" w:rsidR="00B1286B" w:rsidRDefault="00CA2808">
      <w:pPr>
        <w:pStyle w:val="TOC1"/>
        <w:tabs>
          <w:tab w:val="right" w:leader="dot" w:pos="9344"/>
        </w:tabs>
        <w:rPr>
          <w:rFonts w:asciiTheme="minorHAnsi" w:eastAsiaTheme="minorEastAsia" w:hAnsiTheme="minorHAnsi" w:cstheme="minorBidi"/>
          <w:noProof/>
          <w:szCs w:val="22"/>
        </w:rPr>
      </w:pPr>
      <w:hyperlink w:anchor="_Toc182476592" w:history="1">
        <w:r w:rsidR="00B1286B" w:rsidRPr="00485EE7">
          <w:rPr>
            <w:rStyle w:val="affffffe"/>
            <w:noProof/>
          </w:rPr>
          <w:t>31 环境保护</w:t>
        </w:r>
        <w:r w:rsidR="00B1286B">
          <w:rPr>
            <w:noProof/>
          </w:rPr>
          <w:tab/>
        </w:r>
        <w:r w:rsidR="00B1286B">
          <w:rPr>
            <w:noProof/>
          </w:rPr>
          <w:fldChar w:fldCharType="begin"/>
        </w:r>
        <w:r w:rsidR="00B1286B">
          <w:rPr>
            <w:noProof/>
          </w:rPr>
          <w:instrText xml:space="preserve"> PAGEREF _Toc182476592 \h </w:instrText>
        </w:r>
        <w:r w:rsidR="00B1286B">
          <w:rPr>
            <w:noProof/>
          </w:rPr>
        </w:r>
        <w:r w:rsidR="00B1286B">
          <w:rPr>
            <w:noProof/>
          </w:rPr>
          <w:fldChar w:fldCharType="separate"/>
        </w:r>
        <w:r w:rsidR="00620087">
          <w:rPr>
            <w:noProof/>
          </w:rPr>
          <w:t>134</w:t>
        </w:r>
        <w:r w:rsidR="00B1286B">
          <w:rPr>
            <w:noProof/>
          </w:rPr>
          <w:fldChar w:fldCharType="end"/>
        </w:r>
      </w:hyperlink>
    </w:p>
    <w:p w14:paraId="44945A5C" w14:textId="6596887F" w:rsidR="00B1286B" w:rsidRDefault="00CA2808">
      <w:pPr>
        <w:pStyle w:val="TOC2"/>
        <w:rPr>
          <w:rFonts w:asciiTheme="minorHAnsi" w:eastAsiaTheme="minorEastAsia" w:hAnsiTheme="minorHAnsi" w:cstheme="minorBidi"/>
          <w:noProof/>
          <w:szCs w:val="22"/>
        </w:rPr>
      </w:pPr>
      <w:hyperlink w:anchor="_Toc182476593" w:history="1">
        <w:r w:rsidR="00B1286B" w:rsidRPr="00485EE7">
          <w:rPr>
            <w:rStyle w:val="affffffe"/>
            <w:noProof/>
            <w14:scene3d>
              <w14:camera w14:prst="orthographicFront"/>
              <w14:lightRig w14:rig="threePt" w14:dir="t">
                <w14:rot w14:lat="0" w14:lon="0" w14:rev="0"/>
              </w14:lightRig>
            </w14:scene3d>
          </w:rPr>
          <w:t>31.1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_Toc182476593 \h </w:instrText>
        </w:r>
        <w:r w:rsidR="00B1286B">
          <w:rPr>
            <w:noProof/>
          </w:rPr>
        </w:r>
        <w:r w:rsidR="00B1286B">
          <w:rPr>
            <w:noProof/>
          </w:rPr>
          <w:fldChar w:fldCharType="separate"/>
        </w:r>
        <w:r w:rsidR="00620087">
          <w:rPr>
            <w:noProof/>
          </w:rPr>
          <w:t>134</w:t>
        </w:r>
        <w:r w:rsidR="00B1286B">
          <w:rPr>
            <w:noProof/>
          </w:rPr>
          <w:fldChar w:fldCharType="end"/>
        </w:r>
      </w:hyperlink>
    </w:p>
    <w:p w14:paraId="0A5B51F8" w14:textId="124F44C2" w:rsidR="00B1286B" w:rsidRDefault="00CA2808">
      <w:pPr>
        <w:pStyle w:val="TOC2"/>
        <w:rPr>
          <w:rFonts w:asciiTheme="minorHAnsi" w:eastAsiaTheme="minorEastAsia" w:hAnsiTheme="minorHAnsi" w:cstheme="minorBidi"/>
          <w:noProof/>
          <w:szCs w:val="22"/>
        </w:rPr>
      </w:pPr>
      <w:hyperlink w:anchor="_Toc182476594" w:history="1">
        <w:r w:rsidR="00B1286B" w:rsidRPr="00485EE7">
          <w:rPr>
            <w:rStyle w:val="affffffe"/>
            <w:noProof/>
            <w14:scene3d>
              <w14:camera w14:prst="orthographicFront"/>
              <w14:lightRig w14:rig="threePt" w14:dir="t">
                <w14:rot w14:lat="0" w14:lon="0" w14:rev="0"/>
              </w14:lightRig>
            </w14:scene3d>
          </w:rPr>
          <w:t>31.2</w:t>
        </w:r>
        <w:r w:rsidR="00B1286B" w:rsidRPr="00485EE7">
          <w:rPr>
            <w:rStyle w:val="affffffe"/>
            <w:noProof/>
          </w:rPr>
          <w:t xml:space="preserve"> 环保选线、选址</w:t>
        </w:r>
        <w:r w:rsidR="00B1286B">
          <w:rPr>
            <w:noProof/>
          </w:rPr>
          <w:tab/>
        </w:r>
        <w:r w:rsidR="00B1286B">
          <w:rPr>
            <w:noProof/>
          </w:rPr>
          <w:fldChar w:fldCharType="begin"/>
        </w:r>
        <w:r w:rsidR="00B1286B">
          <w:rPr>
            <w:noProof/>
          </w:rPr>
          <w:instrText xml:space="preserve"> PAGEREF _Toc182476594 \h </w:instrText>
        </w:r>
        <w:r w:rsidR="00B1286B">
          <w:rPr>
            <w:noProof/>
          </w:rPr>
        </w:r>
        <w:r w:rsidR="00B1286B">
          <w:rPr>
            <w:noProof/>
          </w:rPr>
          <w:fldChar w:fldCharType="separate"/>
        </w:r>
        <w:r w:rsidR="00620087">
          <w:rPr>
            <w:noProof/>
          </w:rPr>
          <w:t>135</w:t>
        </w:r>
        <w:r w:rsidR="00B1286B">
          <w:rPr>
            <w:noProof/>
          </w:rPr>
          <w:fldChar w:fldCharType="end"/>
        </w:r>
      </w:hyperlink>
    </w:p>
    <w:p w14:paraId="6C6442B3" w14:textId="4EE9AD5B" w:rsidR="00B1286B" w:rsidRDefault="00CA2808">
      <w:pPr>
        <w:pStyle w:val="TOC2"/>
        <w:rPr>
          <w:rFonts w:asciiTheme="minorHAnsi" w:eastAsiaTheme="minorEastAsia" w:hAnsiTheme="minorHAnsi" w:cstheme="minorBidi"/>
          <w:noProof/>
          <w:szCs w:val="22"/>
        </w:rPr>
      </w:pPr>
      <w:hyperlink w:anchor="_Toc182476595" w:history="1">
        <w:r w:rsidR="00B1286B" w:rsidRPr="00485EE7">
          <w:rPr>
            <w:rStyle w:val="affffffe"/>
            <w:noProof/>
            <w14:scene3d>
              <w14:camera w14:prst="orthographicFront"/>
              <w14:lightRig w14:rig="threePt" w14:dir="t">
                <w14:rot w14:lat="0" w14:lon="0" w14:rev="0"/>
              </w14:lightRig>
            </w14:scene3d>
          </w:rPr>
          <w:t>31.3</w:t>
        </w:r>
        <w:r w:rsidR="00B1286B" w:rsidRPr="00485EE7">
          <w:rPr>
            <w:rStyle w:val="affffffe"/>
            <w:noProof/>
          </w:rPr>
          <w:t xml:space="preserve"> 声环境保护</w:t>
        </w:r>
        <w:r w:rsidR="00B1286B">
          <w:rPr>
            <w:noProof/>
          </w:rPr>
          <w:tab/>
        </w:r>
        <w:r w:rsidR="00B1286B">
          <w:rPr>
            <w:noProof/>
          </w:rPr>
          <w:fldChar w:fldCharType="begin"/>
        </w:r>
        <w:r w:rsidR="00B1286B">
          <w:rPr>
            <w:noProof/>
          </w:rPr>
          <w:instrText xml:space="preserve"> PAGEREF _Toc182476595 \h </w:instrText>
        </w:r>
        <w:r w:rsidR="00B1286B">
          <w:rPr>
            <w:noProof/>
          </w:rPr>
        </w:r>
        <w:r w:rsidR="00B1286B">
          <w:rPr>
            <w:noProof/>
          </w:rPr>
          <w:fldChar w:fldCharType="separate"/>
        </w:r>
        <w:r w:rsidR="00620087">
          <w:rPr>
            <w:noProof/>
          </w:rPr>
          <w:t>135</w:t>
        </w:r>
        <w:r w:rsidR="00B1286B">
          <w:rPr>
            <w:noProof/>
          </w:rPr>
          <w:fldChar w:fldCharType="end"/>
        </w:r>
      </w:hyperlink>
    </w:p>
    <w:p w14:paraId="5D5FC24A" w14:textId="6DC75CFA" w:rsidR="00B1286B" w:rsidRDefault="00CA2808">
      <w:pPr>
        <w:pStyle w:val="TOC2"/>
        <w:rPr>
          <w:rFonts w:asciiTheme="minorHAnsi" w:eastAsiaTheme="minorEastAsia" w:hAnsiTheme="minorHAnsi" w:cstheme="minorBidi"/>
          <w:noProof/>
          <w:szCs w:val="22"/>
        </w:rPr>
      </w:pPr>
      <w:hyperlink w:anchor="_Toc182476596" w:history="1">
        <w:r w:rsidR="00B1286B" w:rsidRPr="00485EE7">
          <w:rPr>
            <w:rStyle w:val="affffffe"/>
            <w:noProof/>
            <w14:scene3d>
              <w14:camera w14:prst="orthographicFront"/>
              <w14:lightRig w14:rig="threePt" w14:dir="t">
                <w14:rot w14:lat="0" w14:lon="0" w14:rev="0"/>
              </w14:lightRig>
            </w14:scene3d>
          </w:rPr>
          <w:t>31.4</w:t>
        </w:r>
        <w:r w:rsidR="00B1286B" w:rsidRPr="00485EE7">
          <w:rPr>
            <w:rStyle w:val="affffffe"/>
            <w:noProof/>
          </w:rPr>
          <w:t xml:space="preserve"> 振动环境保护</w:t>
        </w:r>
        <w:r w:rsidR="00B1286B">
          <w:rPr>
            <w:noProof/>
          </w:rPr>
          <w:tab/>
        </w:r>
        <w:r w:rsidR="00B1286B">
          <w:rPr>
            <w:noProof/>
          </w:rPr>
          <w:fldChar w:fldCharType="begin"/>
        </w:r>
        <w:r w:rsidR="00B1286B">
          <w:rPr>
            <w:noProof/>
          </w:rPr>
          <w:instrText xml:space="preserve"> PAGEREF _Toc182476596 \h </w:instrText>
        </w:r>
        <w:r w:rsidR="00B1286B">
          <w:rPr>
            <w:noProof/>
          </w:rPr>
        </w:r>
        <w:r w:rsidR="00B1286B">
          <w:rPr>
            <w:noProof/>
          </w:rPr>
          <w:fldChar w:fldCharType="separate"/>
        </w:r>
        <w:r w:rsidR="00620087">
          <w:rPr>
            <w:noProof/>
          </w:rPr>
          <w:t>135</w:t>
        </w:r>
        <w:r w:rsidR="00B1286B">
          <w:rPr>
            <w:noProof/>
          </w:rPr>
          <w:fldChar w:fldCharType="end"/>
        </w:r>
      </w:hyperlink>
    </w:p>
    <w:p w14:paraId="3DAD7510" w14:textId="7C020BA2" w:rsidR="00B1286B" w:rsidRDefault="00CA2808">
      <w:pPr>
        <w:pStyle w:val="TOC2"/>
        <w:rPr>
          <w:rFonts w:asciiTheme="minorHAnsi" w:eastAsiaTheme="minorEastAsia" w:hAnsiTheme="minorHAnsi" w:cstheme="minorBidi"/>
          <w:noProof/>
          <w:szCs w:val="22"/>
        </w:rPr>
      </w:pPr>
      <w:hyperlink w:anchor="_Toc182476597" w:history="1">
        <w:r w:rsidR="00B1286B" w:rsidRPr="00485EE7">
          <w:rPr>
            <w:rStyle w:val="affffffe"/>
            <w:noProof/>
            <w14:scene3d>
              <w14:camera w14:prst="orthographicFront"/>
              <w14:lightRig w14:rig="threePt" w14:dir="t">
                <w14:rot w14:lat="0" w14:lon="0" w14:rev="0"/>
              </w14:lightRig>
            </w14:scene3d>
          </w:rPr>
          <w:t>31.5</w:t>
        </w:r>
        <w:r w:rsidR="00B1286B" w:rsidRPr="00485EE7">
          <w:rPr>
            <w:rStyle w:val="affffffe"/>
            <w:noProof/>
          </w:rPr>
          <w:t xml:space="preserve"> 水环境保护</w:t>
        </w:r>
        <w:r w:rsidR="00B1286B">
          <w:rPr>
            <w:noProof/>
          </w:rPr>
          <w:tab/>
        </w:r>
        <w:r w:rsidR="00B1286B">
          <w:rPr>
            <w:noProof/>
          </w:rPr>
          <w:fldChar w:fldCharType="begin"/>
        </w:r>
        <w:r w:rsidR="00B1286B">
          <w:rPr>
            <w:noProof/>
          </w:rPr>
          <w:instrText xml:space="preserve"> PAGEREF _Toc182476597 \h </w:instrText>
        </w:r>
        <w:r w:rsidR="00B1286B">
          <w:rPr>
            <w:noProof/>
          </w:rPr>
        </w:r>
        <w:r w:rsidR="00B1286B">
          <w:rPr>
            <w:noProof/>
          </w:rPr>
          <w:fldChar w:fldCharType="separate"/>
        </w:r>
        <w:r w:rsidR="00620087">
          <w:rPr>
            <w:noProof/>
          </w:rPr>
          <w:t>136</w:t>
        </w:r>
        <w:r w:rsidR="00B1286B">
          <w:rPr>
            <w:noProof/>
          </w:rPr>
          <w:fldChar w:fldCharType="end"/>
        </w:r>
      </w:hyperlink>
    </w:p>
    <w:p w14:paraId="4270BB08" w14:textId="14F73799" w:rsidR="00B1286B" w:rsidRDefault="00CA2808">
      <w:pPr>
        <w:pStyle w:val="TOC2"/>
        <w:rPr>
          <w:rFonts w:asciiTheme="minorHAnsi" w:eastAsiaTheme="minorEastAsia" w:hAnsiTheme="minorHAnsi" w:cstheme="minorBidi"/>
          <w:noProof/>
          <w:szCs w:val="22"/>
        </w:rPr>
      </w:pPr>
      <w:hyperlink w:anchor="_Toc182476598" w:history="1">
        <w:r w:rsidR="00B1286B" w:rsidRPr="00485EE7">
          <w:rPr>
            <w:rStyle w:val="affffffe"/>
            <w:noProof/>
            <w14:scene3d>
              <w14:camera w14:prst="orthographicFront"/>
              <w14:lightRig w14:rig="threePt" w14:dir="t">
                <w14:rot w14:lat="0" w14:lon="0" w14:rev="0"/>
              </w14:lightRig>
            </w14:scene3d>
          </w:rPr>
          <w:t>31.6</w:t>
        </w:r>
        <w:r w:rsidR="00B1286B" w:rsidRPr="00485EE7">
          <w:rPr>
            <w:rStyle w:val="affffffe"/>
            <w:noProof/>
          </w:rPr>
          <w:t xml:space="preserve"> 大气环境保护</w:t>
        </w:r>
        <w:r w:rsidR="00B1286B">
          <w:rPr>
            <w:noProof/>
          </w:rPr>
          <w:tab/>
        </w:r>
        <w:r w:rsidR="00B1286B">
          <w:rPr>
            <w:noProof/>
          </w:rPr>
          <w:fldChar w:fldCharType="begin"/>
        </w:r>
        <w:r w:rsidR="00B1286B">
          <w:rPr>
            <w:noProof/>
          </w:rPr>
          <w:instrText xml:space="preserve"> PAGEREF _Toc182476598 \h </w:instrText>
        </w:r>
        <w:r w:rsidR="00B1286B">
          <w:rPr>
            <w:noProof/>
          </w:rPr>
        </w:r>
        <w:r w:rsidR="00B1286B">
          <w:rPr>
            <w:noProof/>
          </w:rPr>
          <w:fldChar w:fldCharType="separate"/>
        </w:r>
        <w:r w:rsidR="00620087">
          <w:rPr>
            <w:noProof/>
          </w:rPr>
          <w:t>136</w:t>
        </w:r>
        <w:r w:rsidR="00B1286B">
          <w:rPr>
            <w:noProof/>
          </w:rPr>
          <w:fldChar w:fldCharType="end"/>
        </w:r>
      </w:hyperlink>
    </w:p>
    <w:p w14:paraId="79C40209" w14:textId="43BE3B92" w:rsidR="00B1286B" w:rsidRDefault="00CA2808">
      <w:pPr>
        <w:pStyle w:val="TOC2"/>
        <w:rPr>
          <w:rFonts w:asciiTheme="minorHAnsi" w:eastAsiaTheme="minorEastAsia" w:hAnsiTheme="minorHAnsi" w:cstheme="minorBidi"/>
          <w:noProof/>
          <w:szCs w:val="22"/>
        </w:rPr>
      </w:pPr>
      <w:hyperlink w:anchor="_Toc182476599" w:history="1">
        <w:r w:rsidR="00B1286B" w:rsidRPr="00485EE7">
          <w:rPr>
            <w:rStyle w:val="affffffe"/>
            <w:noProof/>
            <w14:scene3d>
              <w14:camera w14:prst="orthographicFront"/>
              <w14:lightRig w14:rig="threePt" w14:dir="t">
                <w14:rot w14:lat="0" w14:lon="0" w14:rev="0"/>
              </w14:lightRig>
            </w14:scene3d>
          </w:rPr>
          <w:t>31.7</w:t>
        </w:r>
        <w:r w:rsidR="00B1286B" w:rsidRPr="00485EE7">
          <w:rPr>
            <w:rStyle w:val="affffffe"/>
            <w:noProof/>
          </w:rPr>
          <w:t xml:space="preserve"> 固废污染防护</w:t>
        </w:r>
        <w:r w:rsidR="00B1286B">
          <w:rPr>
            <w:noProof/>
          </w:rPr>
          <w:tab/>
        </w:r>
        <w:r w:rsidR="00B1286B">
          <w:rPr>
            <w:noProof/>
          </w:rPr>
          <w:fldChar w:fldCharType="begin"/>
        </w:r>
        <w:r w:rsidR="00B1286B">
          <w:rPr>
            <w:noProof/>
          </w:rPr>
          <w:instrText xml:space="preserve"> PAGEREF _Toc182476599 \h </w:instrText>
        </w:r>
        <w:r w:rsidR="00B1286B">
          <w:rPr>
            <w:noProof/>
          </w:rPr>
        </w:r>
        <w:r w:rsidR="00B1286B">
          <w:rPr>
            <w:noProof/>
          </w:rPr>
          <w:fldChar w:fldCharType="separate"/>
        </w:r>
        <w:r w:rsidR="00620087">
          <w:rPr>
            <w:noProof/>
          </w:rPr>
          <w:t>136</w:t>
        </w:r>
        <w:r w:rsidR="00B1286B">
          <w:rPr>
            <w:noProof/>
          </w:rPr>
          <w:fldChar w:fldCharType="end"/>
        </w:r>
      </w:hyperlink>
    </w:p>
    <w:p w14:paraId="6F8F1531" w14:textId="439E8211" w:rsidR="00B1286B" w:rsidRDefault="00CA2808">
      <w:pPr>
        <w:pStyle w:val="TOC2"/>
        <w:rPr>
          <w:rFonts w:asciiTheme="minorHAnsi" w:eastAsiaTheme="minorEastAsia" w:hAnsiTheme="minorHAnsi" w:cstheme="minorBidi"/>
          <w:noProof/>
          <w:szCs w:val="22"/>
        </w:rPr>
      </w:pPr>
      <w:hyperlink w:anchor="_Toc182476600" w:history="1">
        <w:r w:rsidR="00B1286B" w:rsidRPr="00485EE7">
          <w:rPr>
            <w:rStyle w:val="affffffe"/>
            <w:noProof/>
            <w14:scene3d>
              <w14:camera w14:prst="orthographicFront"/>
              <w14:lightRig w14:rig="threePt" w14:dir="t">
                <w14:rot w14:lat="0" w14:lon="0" w14:rev="0"/>
              </w14:lightRig>
            </w14:scene3d>
          </w:rPr>
          <w:t>31.8</w:t>
        </w:r>
        <w:r w:rsidR="00B1286B" w:rsidRPr="00485EE7">
          <w:rPr>
            <w:rStyle w:val="affffffe"/>
            <w:noProof/>
          </w:rPr>
          <w:t xml:space="preserve"> 电磁污染防护</w:t>
        </w:r>
        <w:r w:rsidR="00B1286B">
          <w:rPr>
            <w:noProof/>
          </w:rPr>
          <w:tab/>
        </w:r>
        <w:r w:rsidR="00B1286B">
          <w:rPr>
            <w:noProof/>
          </w:rPr>
          <w:fldChar w:fldCharType="begin"/>
        </w:r>
        <w:r w:rsidR="00B1286B">
          <w:rPr>
            <w:noProof/>
          </w:rPr>
          <w:instrText xml:space="preserve"> PAGEREF _Toc182476600 \h </w:instrText>
        </w:r>
        <w:r w:rsidR="00B1286B">
          <w:rPr>
            <w:noProof/>
          </w:rPr>
        </w:r>
        <w:r w:rsidR="00B1286B">
          <w:rPr>
            <w:noProof/>
          </w:rPr>
          <w:fldChar w:fldCharType="separate"/>
        </w:r>
        <w:r w:rsidR="00620087">
          <w:rPr>
            <w:noProof/>
          </w:rPr>
          <w:t>137</w:t>
        </w:r>
        <w:r w:rsidR="00B1286B">
          <w:rPr>
            <w:noProof/>
          </w:rPr>
          <w:fldChar w:fldCharType="end"/>
        </w:r>
      </w:hyperlink>
    </w:p>
    <w:p w14:paraId="5F2CF7CD" w14:textId="560EF5EA" w:rsidR="00B1286B" w:rsidRDefault="00CA2808">
      <w:pPr>
        <w:pStyle w:val="TOC1"/>
        <w:tabs>
          <w:tab w:val="right" w:leader="dot" w:pos="9344"/>
        </w:tabs>
        <w:rPr>
          <w:rFonts w:asciiTheme="minorHAnsi" w:eastAsiaTheme="minorEastAsia" w:hAnsiTheme="minorHAnsi" w:cstheme="minorBidi"/>
          <w:noProof/>
          <w:szCs w:val="22"/>
        </w:rPr>
      </w:pPr>
      <w:hyperlink w:anchor="_Toc182476601" w:history="1">
        <w:r w:rsidR="00B1286B" w:rsidRPr="00485EE7">
          <w:rPr>
            <w:rStyle w:val="affffffe"/>
            <w:noProof/>
          </w:rPr>
          <w:t>32 交通一体化</w:t>
        </w:r>
        <w:r w:rsidR="00B1286B">
          <w:rPr>
            <w:noProof/>
          </w:rPr>
          <w:tab/>
        </w:r>
        <w:r w:rsidR="00B1286B">
          <w:rPr>
            <w:noProof/>
          </w:rPr>
          <w:fldChar w:fldCharType="begin"/>
        </w:r>
        <w:r w:rsidR="00B1286B">
          <w:rPr>
            <w:noProof/>
          </w:rPr>
          <w:instrText xml:space="preserve"> PAGEREF _Toc182476601 \h </w:instrText>
        </w:r>
        <w:r w:rsidR="00B1286B">
          <w:rPr>
            <w:noProof/>
          </w:rPr>
        </w:r>
        <w:r w:rsidR="00B1286B">
          <w:rPr>
            <w:noProof/>
          </w:rPr>
          <w:fldChar w:fldCharType="separate"/>
        </w:r>
        <w:r w:rsidR="00620087">
          <w:rPr>
            <w:noProof/>
          </w:rPr>
          <w:t>137</w:t>
        </w:r>
        <w:r w:rsidR="00B1286B">
          <w:rPr>
            <w:noProof/>
          </w:rPr>
          <w:fldChar w:fldCharType="end"/>
        </w:r>
      </w:hyperlink>
    </w:p>
    <w:p w14:paraId="5B2B6F2E" w14:textId="0212DCF0" w:rsidR="00B1286B" w:rsidRDefault="00CA2808">
      <w:pPr>
        <w:pStyle w:val="TOC2"/>
        <w:rPr>
          <w:rFonts w:asciiTheme="minorHAnsi" w:eastAsiaTheme="minorEastAsia" w:hAnsiTheme="minorHAnsi" w:cstheme="minorBidi"/>
          <w:noProof/>
          <w:szCs w:val="22"/>
        </w:rPr>
      </w:pPr>
      <w:hyperlink w:anchor="_Toc182476602" w:history="1">
        <w:r w:rsidR="00B1286B" w:rsidRPr="00485EE7">
          <w:rPr>
            <w:rStyle w:val="affffffe"/>
            <w:noProof/>
            <w14:scene3d>
              <w14:camera w14:prst="orthographicFront"/>
              <w14:lightRig w14:rig="threePt" w14:dir="t">
                <w14:rot w14:lat="0" w14:lon="0" w14:rev="0"/>
              </w14:lightRig>
            </w14:scene3d>
          </w:rPr>
          <w:t>32.1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_Toc182476602 \h </w:instrText>
        </w:r>
        <w:r w:rsidR="00B1286B">
          <w:rPr>
            <w:noProof/>
          </w:rPr>
        </w:r>
        <w:r w:rsidR="00B1286B">
          <w:rPr>
            <w:noProof/>
          </w:rPr>
          <w:fldChar w:fldCharType="separate"/>
        </w:r>
        <w:r w:rsidR="00620087">
          <w:rPr>
            <w:noProof/>
          </w:rPr>
          <w:t>137</w:t>
        </w:r>
        <w:r w:rsidR="00B1286B">
          <w:rPr>
            <w:noProof/>
          </w:rPr>
          <w:fldChar w:fldCharType="end"/>
        </w:r>
      </w:hyperlink>
    </w:p>
    <w:p w14:paraId="2C550D48" w14:textId="63DDE55D" w:rsidR="00B1286B" w:rsidRDefault="00CA2808">
      <w:pPr>
        <w:pStyle w:val="TOC2"/>
        <w:rPr>
          <w:rFonts w:asciiTheme="minorHAnsi" w:eastAsiaTheme="minorEastAsia" w:hAnsiTheme="minorHAnsi" w:cstheme="minorBidi"/>
          <w:noProof/>
          <w:szCs w:val="22"/>
        </w:rPr>
      </w:pPr>
      <w:hyperlink w:anchor="_Toc182476603" w:history="1">
        <w:r w:rsidR="00B1286B" w:rsidRPr="00485EE7">
          <w:rPr>
            <w:rStyle w:val="affffffe"/>
            <w:noProof/>
            <w14:scene3d>
              <w14:camera w14:prst="orthographicFront"/>
              <w14:lightRig w14:rig="threePt" w14:dir="t">
                <w14:rot w14:lat="0" w14:lon="0" w14:rev="0"/>
              </w14:lightRig>
            </w14:scene3d>
          </w:rPr>
          <w:t>32.2</w:t>
        </w:r>
        <w:r w:rsidR="00B1286B" w:rsidRPr="00485EE7">
          <w:rPr>
            <w:rStyle w:val="affffffe"/>
            <w:rFonts w:hAnsi="黑体"/>
            <w:noProof/>
          </w:rPr>
          <w:t xml:space="preserve"> 行人接驳设施</w:t>
        </w:r>
        <w:r w:rsidR="00B1286B">
          <w:rPr>
            <w:noProof/>
          </w:rPr>
          <w:tab/>
        </w:r>
        <w:r w:rsidR="00B1286B">
          <w:rPr>
            <w:noProof/>
          </w:rPr>
          <w:fldChar w:fldCharType="begin"/>
        </w:r>
        <w:r w:rsidR="00B1286B">
          <w:rPr>
            <w:noProof/>
          </w:rPr>
          <w:instrText xml:space="preserve"> PAGEREF _Toc182476603 \h </w:instrText>
        </w:r>
        <w:r w:rsidR="00B1286B">
          <w:rPr>
            <w:noProof/>
          </w:rPr>
        </w:r>
        <w:r w:rsidR="00B1286B">
          <w:rPr>
            <w:noProof/>
          </w:rPr>
          <w:fldChar w:fldCharType="separate"/>
        </w:r>
        <w:r w:rsidR="00620087">
          <w:rPr>
            <w:noProof/>
          </w:rPr>
          <w:t>138</w:t>
        </w:r>
        <w:r w:rsidR="00B1286B">
          <w:rPr>
            <w:noProof/>
          </w:rPr>
          <w:fldChar w:fldCharType="end"/>
        </w:r>
      </w:hyperlink>
    </w:p>
    <w:p w14:paraId="55EB4744" w14:textId="088BC96C" w:rsidR="00B1286B" w:rsidRDefault="00CA2808">
      <w:pPr>
        <w:pStyle w:val="TOC2"/>
        <w:rPr>
          <w:rFonts w:asciiTheme="minorHAnsi" w:eastAsiaTheme="minorEastAsia" w:hAnsiTheme="minorHAnsi" w:cstheme="minorBidi"/>
          <w:noProof/>
          <w:szCs w:val="22"/>
        </w:rPr>
      </w:pPr>
      <w:hyperlink w:anchor="_Toc182476604" w:history="1">
        <w:r w:rsidR="00B1286B" w:rsidRPr="00485EE7">
          <w:rPr>
            <w:rStyle w:val="affffffe"/>
            <w:noProof/>
            <w14:scene3d>
              <w14:camera w14:prst="orthographicFront"/>
              <w14:lightRig w14:rig="threePt" w14:dir="t">
                <w14:rot w14:lat="0" w14:lon="0" w14:rev="0"/>
              </w14:lightRig>
            </w14:scene3d>
          </w:rPr>
          <w:t>32.3</w:t>
        </w:r>
        <w:r w:rsidR="00B1286B" w:rsidRPr="00485EE7">
          <w:rPr>
            <w:rStyle w:val="affffffe"/>
            <w:noProof/>
          </w:rPr>
          <w:t xml:space="preserve"> 非机动车接驳设施</w:t>
        </w:r>
        <w:r w:rsidR="00B1286B">
          <w:rPr>
            <w:noProof/>
          </w:rPr>
          <w:tab/>
        </w:r>
        <w:r w:rsidR="00B1286B">
          <w:rPr>
            <w:noProof/>
          </w:rPr>
          <w:fldChar w:fldCharType="begin"/>
        </w:r>
        <w:r w:rsidR="00B1286B">
          <w:rPr>
            <w:noProof/>
          </w:rPr>
          <w:instrText xml:space="preserve"> PAGEREF _Toc182476604 \h </w:instrText>
        </w:r>
        <w:r w:rsidR="00B1286B">
          <w:rPr>
            <w:noProof/>
          </w:rPr>
        </w:r>
        <w:r w:rsidR="00B1286B">
          <w:rPr>
            <w:noProof/>
          </w:rPr>
          <w:fldChar w:fldCharType="separate"/>
        </w:r>
        <w:r w:rsidR="00620087">
          <w:rPr>
            <w:noProof/>
          </w:rPr>
          <w:t>138</w:t>
        </w:r>
        <w:r w:rsidR="00B1286B">
          <w:rPr>
            <w:noProof/>
          </w:rPr>
          <w:fldChar w:fldCharType="end"/>
        </w:r>
      </w:hyperlink>
    </w:p>
    <w:p w14:paraId="3E19D9D0" w14:textId="211E02D9" w:rsidR="00B1286B" w:rsidRDefault="00CA2808">
      <w:pPr>
        <w:pStyle w:val="TOC2"/>
        <w:rPr>
          <w:rFonts w:asciiTheme="minorHAnsi" w:eastAsiaTheme="minorEastAsia" w:hAnsiTheme="minorHAnsi" w:cstheme="minorBidi"/>
          <w:noProof/>
          <w:szCs w:val="22"/>
        </w:rPr>
      </w:pPr>
      <w:hyperlink w:anchor="_Toc182476605" w:history="1">
        <w:r w:rsidR="00B1286B" w:rsidRPr="00485EE7">
          <w:rPr>
            <w:rStyle w:val="affffffe"/>
            <w:noProof/>
            <w14:scene3d>
              <w14:camera w14:prst="orthographicFront"/>
              <w14:lightRig w14:rig="threePt" w14:dir="t">
                <w14:rot w14:lat="0" w14:lon="0" w14:rev="0"/>
              </w14:lightRig>
            </w14:scene3d>
          </w:rPr>
          <w:t>32.4</w:t>
        </w:r>
        <w:r w:rsidR="00B1286B" w:rsidRPr="00485EE7">
          <w:rPr>
            <w:rStyle w:val="affffffe"/>
            <w:noProof/>
          </w:rPr>
          <w:t xml:space="preserve"> 公交接驳设施</w:t>
        </w:r>
        <w:r w:rsidR="00B1286B">
          <w:rPr>
            <w:noProof/>
          </w:rPr>
          <w:tab/>
        </w:r>
        <w:r w:rsidR="00B1286B">
          <w:rPr>
            <w:noProof/>
          </w:rPr>
          <w:fldChar w:fldCharType="begin"/>
        </w:r>
        <w:r w:rsidR="00B1286B">
          <w:rPr>
            <w:noProof/>
          </w:rPr>
          <w:instrText xml:space="preserve"> PAGEREF _Toc182476605 \h </w:instrText>
        </w:r>
        <w:r w:rsidR="00B1286B">
          <w:rPr>
            <w:noProof/>
          </w:rPr>
        </w:r>
        <w:r w:rsidR="00B1286B">
          <w:rPr>
            <w:noProof/>
          </w:rPr>
          <w:fldChar w:fldCharType="separate"/>
        </w:r>
        <w:r w:rsidR="00620087">
          <w:rPr>
            <w:noProof/>
          </w:rPr>
          <w:t>139</w:t>
        </w:r>
        <w:r w:rsidR="00B1286B">
          <w:rPr>
            <w:noProof/>
          </w:rPr>
          <w:fldChar w:fldCharType="end"/>
        </w:r>
      </w:hyperlink>
    </w:p>
    <w:p w14:paraId="00C5DFCD" w14:textId="5980341C" w:rsidR="00B1286B" w:rsidRDefault="00CA2808">
      <w:pPr>
        <w:pStyle w:val="TOC2"/>
        <w:rPr>
          <w:rFonts w:asciiTheme="minorHAnsi" w:eastAsiaTheme="minorEastAsia" w:hAnsiTheme="minorHAnsi" w:cstheme="minorBidi"/>
          <w:noProof/>
          <w:szCs w:val="22"/>
        </w:rPr>
      </w:pPr>
      <w:hyperlink w:anchor="_Toc182476606" w:history="1">
        <w:r w:rsidR="00B1286B" w:rsidRPr="00485EE7">
          <w:rPr>
            <w:rStyle w:val="affffffe"/>
            <w:noProof/>
            <w14:scene3d>
              <w14:camera w14:prst="orthographicFront"/>
              <w14:lightRig w14:rig="threePt" w14:dir="t">
                <w14:rot w14:lat="0" w14:lon="0" w14:rev="0"/>
              </w14:lightRig>
            </w14:scene3d>
          </w:rPr>
          <w:t>32.5</w:t>
        </w:r>
        <w:r w:rsidR="00B1286B" w:rsidRPr="00485EE7">
          <w:rPr>
            <w:rStyle w:val="affffffe"/>
            <w:noProof/>
          </w:rPr>
          <w:t xml:space="preserve"> 出租车接驳设施</w:t>
        </w:r>
        <w:r w:rsidR="00B1286B">
          <w:rPr>
            <w:noProof/>
          </w:rPr>
          <w:tab/>
        </w:r>
        <w:r w:rsidR="00B1286B">
          <w:rPr>
            <w:noProof/>
          </w:rPr>
          <w:fldChar w:fldCharType="begin"/>
        </w:r>
        <w:r w:rsidR="00B1286B">
          <w:rPr>
            <w:noProof/>
          </w:rPr>
          <w:instrText xml:space="preserve"> PAGEREF _Toc182476606 \h </w:instrText>
        </w:r>
        <w:r w:rsidR="00B1286B">
          <w:rPr>
            <w:noProof/>
          </w:rPr>
        </w:r>
        <w:r w:rsidR="00B1286B">
          <w:rPr>
            <w:noProof/>
          </w:rPr>
          <w:fldChar w:fldCharType="separate"/>
        </w:r>
        <w:r w:rsidR="00620087">
          <w:rPr>
            <w:noProof/>
          </w:rPr>
          <w:t>139</w:t>
        </w:r>
        <w:r w:rsidR="00B1286B">
          <w:rPr>
            <w:noProof/>
          </w:rPr>
          <w:fldChar w:fldCharType="end"/>
        </w:r>
      </w:hyperlink>
    </w:p>
    <w:p w14:paraId="422769C7" w14:textId="2F38FE98" w:rsidR="00B1286B" w:rsidRDefault="00CA2808">
      <w:pPr>
        <w:pStyle w:val="TOC2"/>
        <w:rPr>
          <w:rFonts w:asciiTheme="minorHAnsi" w:eastAsiaTheme="minorEastAsia" w:hAnsiTheme="minorHAnsi" w:cstheme="minorBidi"/>
          <w:noProof/>
          <w:szCs w:val="22"/>
        </w:rPr>
      </w:pPr>
      <w:hyperlink w:anchor="_Toc182476607" w:history="1">
        <w:r w:rsidR="00B1286B" w:rsidRPr="00485EE7">
          <w:rPr>
            <w:rStyle w:val="affffffe"/>
            <w:noProof/>
            <w14:scene3d>
              <w14:camera w14:prst="orthographicFront"/>
              <w14:lightRig w14:rig="threePt" w14:dir="t">
                <w14:rot w14:lat="0" w14:lon="0" w14:rev="0"/>
              </w14:lightRig>
            </w14:scene3d>
          </w:rPr>
          <w:t>32.6</w:t>
        </w:r>
        <w:r w:rsidR="00B1286B" w:rsidRPr="00485EE7">
          <w:rPr>
            <w:rStyle w:val="affffffe"/>
            <w:noProof/>
          </w:rPr>
          <w:t xml:space="preserve"> 小汽车接驳设施</w:t>
        </w:r>
        <w:r w:rsidR="00B1286B">
          <w:rPr>
            <w:noProof/>
          </w:rPr>
          <w:tab/>
        </w:r>
        <w:r w:rsidR="00B1286B">
          <w:rPr>
            <w:noProof/>
          </w:rPr>
          <w:fldChar w:fldCharType="begin"/>
        </w:r>
        <w:r w:rsidR="00B1286B">
          <w:rPr>
            <w:noProof/>
          </w:rPr>
          <w:instrText xml:space="preserve"> PAGEREF _Toc182476607 \h </w:instrText>
        </w:r>
        <w:r w:rsidR="00B1286B">
          <w:rPr>
            <w:noProof/>
          </w:rPr>
        </w:r>
        <w:r w:rsidR="00B1286B">
          <w:rPr>
            <w:noProof/>
          </w:rPr>
          <w:fldChar w:fldCharType="separate"/>
        </w:r>
        <w:r w:rsidR="00620087">
          <w:rPr>
            <w:noProof/>
          </w:rPr>
          <w:t>139</w:t>
        </w:r>
        <w:r w:rsidR="00B1286B">
          <w:rPr>
            <w:noProof/>
          </w:rPr>
          <w:fldChar w:fldCharType="end"/>
        </w:r>
      </w:hyperlink>
    </w:p>
    <w:p w14:paraId="7D11DADF" w14:textId="654C743F" w:rsidR="00B1286B" w:rsidRDefault="00CA2808">
      <w:pPr>
        <w:pStyle w:val="TOC1"/>
        <w:tabs>
          <w:tab w:val="right" w:leader="dot" w:pos="9344"/>
        </w:tabs>
        <w:rPr>
          <w:rFonts w:asciiTheme="minorHAnsi" w:eastAsiaTheme="minorEastAsia" w:hAnsiTheme="minorHAnsi" w:cstheme="minorBidi"/>
          <w:noProof/>
          <w:szCs w:val="22"/>
        </w:rPr>
      </w:pPr>
      <w:hyperlink w:anchor="_Toc182476608" w:history="1">
        <w:r w:rsidR="00B1286B" w:rsidRPr="00485EE7">
          <w:rPr>
            <w:rStyle w:val="affffffe"/>
            <w:noProof/>
          </w:rPr>
          <w:t>33 绿色设计</w:t>
        </w:r>
        <w:r w:rsidR="00B1286B">
          <w:rPr>
            <w:noProof/>
          </w:rPr>
          <w:tab/>
        </w:r>
        <w:r w:rsidR="00B1286B">
          <w:rPr>
            <w:noProof/>
          </w:rPr>
          <w:fldChar w:fldCharType="begin"/>
        </w:r>
        <w:r w:rsidR="00B1286B">
          <w:rPr>
            <w:noProof/>
          </w:rPr>
          <w:instrText xml:space="preserve"> PAGEREF _Toc182476608 \h </w:instrText>
        </w:r>
        <w:r w:rsidR="00B1286B">
          <w:rPr>
            <w:noProof/>
          </w:rPr>
        </w:r>
        <w:r w:rsidR="00B1286B">
          <w:rPr>
            <w:noProof/>
          </w:rPr>
          <w:fldChar w:fldCharType="separate"/>
        </w:r>
        <w:r w:rsidR="00620087">
          <w:rPr>
            <w:noProof/>
          </w:rPr>
          <w:t>139</w:t>
        </w:r>
        <w:r w:rsidR="00B1286B">
          <w:rPr>
            <w:noProof/>
          </w:rPr>
          <w:fldChar w:fldCharType="end"/>
        </w:r>
      </w:hyperlink>
    </w:p>
    <w:p w14:paraId="310691AD" w14:textId="4B697EE4" w:rsidR="00B1286B" w:rsidRDefault="00CA2808">
      <w:pPr>
        <w:pStyle w:val="TOC2"/>
        <w:rPr>
          <w:rFonts w:asciiTheme="minorHAnsi" w:eastAsiaTheme="minorEastAsia" w:hAnsiTheme="minorHAnsi" w:cstheme="minorBidi"/>
          <w:noProof/>
          <w:szCs w:val="22"/>
        </w:rPr>
      </w:pPr>
      <w:hyperlink w:anchor="_Toc182476609" w:history="1">
        <w:r w:rsidR="00B1286B" w:rsidRPr="00485EE7">
          <w:rPr>
            <w:rStyle w:val="affffffe"/>
            <w:noProof/>
            <w14:scene3d>
              <w14:camera w14:prst="orthographicFront"/>
              <w14:lightRig w14:rig="threePt" w14:dir="t">
                <w14:rot w14:lat="0" w14:lon="0" w14:rev="0"/>
              </w14:lightRig>
            </w14:scene3d>
          </w:rPr>
          <w:t>33.1</w:t>
        </w:r>
        <w:r w:rsidR="00B1286B" w:rsidRPr="00485EE7">
          <w:rPr>
            <w:rStyle w:val="affffffe"/>
            <w:noProof/>
          </w:rPr>
          <w:t xml:space="preserve"> 一般规定</w:t>
        </w:r>
        <w:r w:rsidR="00B1286B">
          <w:rPr>
            <w:noProof/>
          </w:rPr>
          <w:tab/>
        </w:r>
        <w:r w:rsidR="00B1286B">
          <w:rPr>
            <w:noProof/>
          </w:rPr>
          <w:fldChar w:fldCharType="begin"/>
        </w:r>
        <w:r w:rsidR="00B1286B">
          <w:rPr>
            <w:noProof/>
          </w:rPr>
          <w:instrText xml:space="preserve"> PAGEREF _Toc182476609 \h </w:instrText>
        </w:r>
        <w:r w:rsidR="00B1286B">
          <w:rPr>
            <w:noProof/>
          </w:rPr>
        </w:r>
        <w:r w:rsidR="00B1286B">
          <w:rPr>
            <w:noProof/>
          </w:rPr>
          <w:fldChar w:fldCharType="separate"/>
        </w:r>
        <w:r w:rsidR="00620087">
          <w:rPr>
            <w:noProof/>
          </w:rPr>
          <w:t>139</w:t>
        </w:r>
        <w:r w:rsidR="00B1286B">
          <w:rPr>
            <w:noProof/>
          </w:rPr>
          <w:fldChar w:fldCharType="end"/>
        </w:r>
      </w:hyperlink>
    </w:p>
    <w:p w14:paraId="640F6CA4" w14:textId="12647480" w:rsidR="00B1286B" w:rsidRDefault="00CA2808">
      <w:pPr>
        <w:pStyle w:val="TOC2"/>
        <w:rPr>
          <w:rFonts w:asciiTheme="minorHAnsi" w:eastAsiaTheme="minorEastAsia" w:hAnsiTheme="minorHAnsi" w:cstheme="minorBidi"/>
          <w:noProof/>
          <w:szCs w:val="22"/>
        </w:rPr>
      </w:pPr>
      <w:hyperlink w:anchor="_Toc182476610" w:history="1">
        <w:r w:rsidR="00B1286B" w:rsidRPr="00485EE7">
          <w:rPr>
            <w:rStyle w:val="affffffe"/>
            <w:noProof/>
            <w14:scene3d>
              <w14:camera w14:prst="orthographicFront"/>
              <w14:lightRig w14:rig="threePt" w14:dir="t">
                <w14:rot w14:lat="0" w14:lon="0" w14:rev="0"/>
              </w14:lightRig>
            </w14:scene3d>
          </w:rPr>
          <w:t>33.2</w:t>
        </w:r>
        <w:r w:rsidR="00B1286B" w:rsidRPr="00485EE7">
          <w:rPr>
            <w:rStyle w:val="affffffe"/>
            <w:noProof/>
          </w:rPr>
          <w:t xml:space="preserve"> 线路</w:t>
        </w:r>
        <w:r w:rsidR="00B1286B">
          <w:rPr>
            <w:noProof/>
          </w:rPr>
          <w:tab/>
        </w:r>
        <w:r w:rsidR="00B1286B">
          <w:rPr>
            <w:noProof/>
          </w:rPr>
          <w:fldChar w:fldCharType="begin"/>
        </w:r>
        <w:r w:rsidR="00B1286B">
          <w:rPr>
            <w:noProof/>
          </w:rPr>
          <w:instrText xml:space="preserve"> PAGEREF _Toc182476610 \h </w:instrText>
        </w:r>
        <w:r w:rsidR="00B1286B">
          <w:rPr>
            <w:noProof/>
          </w:rPr>
        </w:r>
        <w:r w:rsidR="00B1286B">
          <w:rPr>
            <w:noProof/>
          </w:rPr>
          <w:fldChar w:fldCharType="separate"/>
        </w:r>
        <w:r w:rsidR="00620087">
          <w:rPr>
            <w:noProof/>
          </w:rPr>
          <w:t>139</w:t>
        </w:r>
        <w:r w:rsidR="00B1286B">
          <w:rPr>
            <w:noProof/>
          </w:rPr>
          <w:fldChar w:fldCharType="end"/>
        </w:r>
      </w:hyperlink>
    </w:p>
    <w:p w14:paraId="3EC7C4C4" w14:textId="57A49A02" w:rsidR="00B1286B" w:rsidRDefault="00CA2808">
      <w:pPr>
        <w:pStyle w:val="TOC2"/>
        <w:rPr>
          <w:rFonts w:asciiTheme="minorHAnsi" w:eastAsiaTheme="minorEastAsia" w:hAnsiTheme="minorHAnsi" w:cstheme="minorBidi"/>
          <w:noProof/>
          <w:szCs w:val="22"/>
        </w:rPr>
      </w:pPr>
      <w:hyperlink w:anchor="_Toc182476611" w:history="1">
        <w:r w:rsidR="00B1286B" w:rsidRPr="00485EE7">
          <w:rPr>
            <w:rStyle w:val="affffffe"/>
            <w:noProof/>
            <w14:scene3d>
              <w14:camera w14:prst="orthographicFront"/>
              <w14:lightRig w14:rig="threePt" w14:dir="t">
                <w14:rot w14:lat="0" w14:lon="0" w14:rev="0"/>
              </w14:lightRig>
            </w14:scene3d>
          </w:rPr>
          <w:t>33.3</w:t>
        </w:r>
        <w:r w:rsidR="00B1286B" w:rsidRPr="00485EE7">
          <w:rPr>
            <w:rStyle w:val="affffffe"/>
            <w:noProof/>
          </w:rPr>
          <w:t xml:space="preserve"> 轨道</w:t>
        </w:r>
        <w:r w:rsidR="00B1286B">
          <w:rPr>
            <w:noProof/>
          </w:rPr>
          <w:tab/>
        </w:r>
        <w:r w:rsidR="00B1286B">
          <w:rPr>
            <w:noProof/>
          </w:rPr>
          <w:fldChar w:fldCharType="begin"/>
        </w:r>
        <w:r w:rsidR="00B1286B">
          <w:rPr>
            <w:noProof/>
          </w:rPr>
          <w:instrText xml:space="preserve"> PAGEREF _Toc182476611 \h </w:instrText>
        </w:r>
        <w:r w:rsidR="00B1286B">
          <w:rPr>
            <w:noProof/>
          </w:rPr>
        </w:r>
        <w:r w:rsidR="00B1286B">
          <w:rPr>
            <w:noProof/>
          </w:rPr>
          <w:fldChar w:fldCharType="separate"/>
        </w:r>
        <w:r w:rsidR="00620087">
          <w:rPr>
            <w:noProof/>
          </w:rPr>
          <w:t>140</w:t>
        </w:r>
        <w:r w:rsidR="00B1286B">
          <w:rPr>
            <w:noProof/>
          </w:rPr>
          <w:fldChar w:fldCharType="end"/>
        </w:r>
      </w:hyperlink>
    </w:p>
    <w:p w14:paraId="10D47058" w14:textId="20E368AD" w:rsidR="00B1286B" w:rsidRDefault="00CA2808">
      <w:pPr>
        <w:pStyle w:val="TOC2"/>
        <w:rPr>
          <w:rFonts w:asciiTheme="minorHAnsi" w:eastAsiaTheme="minorEastAsia" w:hAnsiTheme="minorHAnsi" w:cstheme="minorBidi"/>
          <w:noProof/>
          <w:szCs w:val="22"/>
        </w:rPr>
      </w:pPr>
      <w:hyperlink w:anchor="_Toc182476612" w:history="1">
        <w:r w:rsidR="00B1286B" w:rsidRPr="00485EE7">
          <w:rPr>
            <w:rStyle w:val="affffffe"/>
            <w:noProof/>
            <w14:scene3d>
              <w14:camera w14:prst="orthographicFront"/>
              <w14:lightRig w14:rig="threePt" w14:dir="t">
                <w14:rot w14:lat="0" w14:lon="0" w14:rev="0"/>
              </w14:lightRig>
            </w14:scene3d>
          </w:rPr>
          <w:t>33.4</w:t>
        </w:r>
        <w:r w:rsidR="00B1286B" w:rsidRPr="00485EE7">
          <w:rPr>
            <w:rStyle w:val="affffffe"/>
            <w:noProof/>
          </w:rPr>
          <w:t xml:space="preserve"> 路基</w:t>
        </w:r>
        <w:r w:rsidR="00B1286B">
          <w:rPr>
            <w:noProof/>
          </w:rPr>
          <w:tab/>
        </w:r>
        <w:r w:rsidR="00B1286B">
          <w:rPr>
            <w:noProof/>
          </w:rPr>
          <w:fldChar w:fldCharType="begin"/>
        </w:r>
        <w:r w:rsidR="00B1286B">
          <w:rPr>
            <w:noProof/>
          </w:rPr>
          <w:instrText xml:space="preserve"> PAGEREF _Toc182476612 \h </w:instrText>
        </w:r>
        <w:r w:rsidR="00B1286B">
          <w:rPr>
            <w:noProof/>
          </w:rPr>
        </w:r>
        <w:r w:rsidR="00B1286B">
          <w:rPr>
            <w:noProof/>
          </w:rPr>
          <w:fldChar w:fldCharType="separate"/>
        </w:r>
        <w:r w:rsidR="00620087">
          <w:rPr>
            <w:noProof/>
          </w:rPr>
          <w:t>140</w:t>
        </w:r>
        <w:r w:rsidR="00B1286B">
          <w:rPr>
            <w:noProof/>
          </w:rPr>
          <w:fldChar w:fldCharType="end"/>
        </w:r>
      </w:hyperlink>
    </w:p>
    <w:p w14:paraId="40E68AFA" w14:textId="023609D4" w:rsidR="00B1286B" w:rsidRDefault="00CA2808">
      <w:pPr>
        <w:pStyle w:val="TOC2"/>
        <w:rPr>
          <w:rFonts w:asciiTheme="minorHAnsi" w:eastAsiaTheme="minorEastAsia" w:hAnsiTheme="minorHAnsi" w:cstheme="minorBidi"/>
          <w:noProof/>
          <w:szCs w:val="22"/>
        </w:rPr>
      </w:pPr>
      <w:hyperlink w:anchor="_Toc182476613" w:history="1">
        <w:r w:rsidR="00B1286B" w:rsidRPr="00485EE7">
          <w:rPr>
            <w:rStyle w:val="affffffe"/>
            <w:noProof/>
            <w14:scene3d>
              <w14:camera w14:prst="orthographicFront"/>
              <w14:lightRig w14:rig="threePt" w14:dir="t">
                <w14:rot w14:lat="0" w14:lon="0" w14:rev="0"/>
              </w14:lightRig>
            </w14:scene3d>
          </w:rPr>
          <w:t>33.5</w:t>
        </w:r>
        <w:r w:rsidR="00B1286B" w:rsidRPr="00485EE7">
          <w:rPr>
            <w:rStyle w:val="affffffe"/>
            <w:noProof/>
          </w:rPr>
          <w:t xml:space="preserve"> 桥梁</w:t>
        </w:r>
        <w:r w:rsidR="00B1286B">
          <w:rPr>
            <w:noProof/>
          </w:rPr>
          <w:tab/>
        </w:r>
        <w:r w:rsidR="00B1286B">
          <w:rPr>
            <w:noProof/>
          </w:rPr>
          <w:fldChar w:fldCharType="begin"/>
        </w:r>
        <w:r w:rsidR="00B1286B">
          <w:rPr>
            <w:noProof/>
          </w:rPr>
          <w:instrText xml:space="preserve"> PAGEREF _Toc182476613 \h </w:instrText>
        </w:r>
        <w:r w:rsidR="00B1286B">
          <w:rPr>
            <w:noProof/>
          </w:rPr>
        </w:r>
        <w:r w:rsidR="00B1286B">
          <w:rPr>
            <w:noProof/>
          </w:rPr>
          <w:fldChar w:fldCharType="separate"/>
        </w:r>
        <w:r w:rsidR="00620087">
          <w:rPr>
            <w:noProof/>
          </w:rPr>
          <w:t>140</w:t>
        </w:r>
        <w:r w:rsidR="00B1286B">
          <w:rPr>
            <w:noProof/>
          </w:rPr>
          <w:fldChar w:fldCharType="end"/>
        </w:r>
      </w:hyperlink>
    </w:p>
    <w:p w14:paraId="676E7CB3" w14:textId="6C181D39" w:rsidR="00B1286B" w:rsidRDefault="00CA2808">
      <w:pPr>
        <w:pStyle w:val="TOC2"/>
        <w:rPr>
          <w:rFonts w:asciiTheme="minorHAnsi" w:eastAsiaTheme="minorEastAsia" w:hAnsiTheme="minorHAnsi" w:cstheme="minorBidi"/>
          <w:noProof/>
          <w:szCs w:val="22"/>
        </w:rPr>
      </w:pPr>
      <w:hyperlink w:anchor="_Toc182476614" w:history="1">
        <w:r w:rsidR="00B1286B" w:rsidRPr="00485EE7">
          <w:rPr>
            <w:rStyle w:val="affffffe"/>
            <w:noProof/>
            <w14:scene3d>
              <w14:camera w14:prst="orthographicFront"/>
              <w14:lightRig w14:rig="threePt" w14:dir="t">
                <w14:rot w14:lat="0" w14:lon="0" w14:rev="0"/>
              </w14:lightRig>
            </w14:scene3d>
          </w:rPr>
          <w:t>33.6</w:t>
        </w:r>
        <w:r w:rsidR="00B1286B" w:rsidRPr="00485EE7">
          <w:rPr>
            <w:rStyle w:val="affffffe"/>
            <w:noProof/>
          </w:rPr>
          <w:t xml:space="preserve"> 隧道</w:t>
        </w:r>
        <w:r w:rsidR="00B1286B">
          <w:rPr>
            <w:noProof/>
          </w:rPr>
          <w:tab/>
        </w:r>
        <w:r w:rsidR="00B1286B">
          <w:rPr>
            <w:noProof/>
          </w:rPr>
          <w:fldChar w:fldCharType="begin"/>
        </w:r>
        <w:r w:rsidR="00B1286B">
          <w:rPr>
            <w:noProof/>
          </w:rPr>
          <w:instrText xml:space="preserve"> PAGEREF _Toc182476614 \h </w:instrText>
        </w:r>
        <w:r w:rsidR="00B1286B">
          <w:rPr>
            <w:noProof/>
          </w:rPr>
        </w:r>
        <w:r w:rsidR="00B1286B">
          <w:rPr>
            <w:noProof/>
          </w:rPr>
          <w:fldChar w:fldCharType="separate"/>
        </w:r>
        <w:r w:rsidR="00620087">
          <w:rPr>
            <w:noProof/>
          </w:rPr>
          <w:t>140</w:t>
        </w:r>
        <w:r w:rsidR="00B1286B">
          <w:rPr>
            <w:noProof/>
          </w:rPr>
          <w:fldChar w:fldCharType="end"/>
        </w:r>
      </w:hyperlink>
    </w:p>
    <w:p w14:paraId="14B2BDBD" w14:textId="6F6FD616" w:rsidR="00B1286B" w:rsidRDefault="00CA2808">
      <w:pPr>
        <w:pStyle w:val="TOC2"/>
        <w:rPr>
          <w:rFonts w:asciiTheme="minorHAnsi" w:eastAsiaTheme="minorEastAsia" w:hAnsiTheme="minorHAnsi" w:cstheme="minorBidi"/>
          <w:noProof/>
          <w:szCs w:val="22"/>
        </w:rPr>
      </w:pPr>
      <w:hyperlink w:anchor="_Toc182476615" w:history="1">
        <w:r w:rsidR="00B1286B" w:rsidRPr="00485EE7">
          <w:rPr>
            <w:rStyle w:val="affffffe"/>
            <w:noProof/>
            <w14:scene3d>
              <w14:camera w14:prst="orthographicFront"/>
              <w14:lightRig w14:rig="threePt" w14:dir="t">
                <w14:rot w14:lat="0" w14:lon="0" w14:rev="0"/>
              </w14:lightRig>
            </w14:scene3d>
          </w:rPr>
          <w:t>33.7</w:t>
        </w:r>
        <w:r w:rsidR="00B1286B" w:rsidRPr="00485EE7">
          <w:rPr>
            <w:rStyle w:val="affffffe"/>
            <w:noProof/>
          </w:rPr>
          <w:t xml:space="preserve"> 站场及车站</w:t>
        </w:r>
        <w:r w:rsidR="00B1286B">
          <w:rPr>
            <w:noProof/>
          </w:rPr>
          <w:tab/>
        </w:r>
        <w:r w:rsidR="00B1286B">
          <w:rPr>
            <w:noProof/>
          </w:rPr>
          <w:fldChar w:fldCharType="begin"/>
        </w:r>
        <w:r w:rsidR="00B1286B">
          <w:rPr>
            <w:noProof/>
          </w:rPr>
          <w:instrText xml:space="preserve"> PAGEREF _Toc182476615 \h </w:instrText>
        </w:r>
        <w:r w:rsidR="00B1286B">
          <w:rPr>
            <w:noProof/>
          </w:rPr>
        </w:r>
        <w:r w:rsidR="00B1286B">
          <w:rPr>
            <w:noProof/>
          </w:rPr>
          <w:fldChar w:fldCharType="separate"/>
        </w:r>
        <w:r w:rsidR="00620087">
          <w:rPr>
            <w:noProof/>
          </w:rPr>
          <w:t>140</w:t>
        </w:r>
        <w:r w:rsidR="00B1286B">
          <w:rPr>
            <w:noProof/>
          </w:rPr>
          <w:fldChar w:fldCharType="end"/>
        </w:r>
      </w:hyperlink>
    </w:p>
    <w:p w14:paraId="2825C5EA" w14:textId="10F32182" w:rsidR="00B1286B" w:rsidRDefault="00CA2808">
      <w:pPr>
        <w:pStyle w:val="TOC2"/>
        <w:rPr>
          <w:rFonts w:asciiTheme="minorHAnsi" w:eastAsiaTheme="minorEastAsia" w:hAnsiTheme="minorHAnsi" w:cstheme="minorBidi"/>
          <w:noProof/>
          <w:szCs w:val="22"/>
        </w:rPr>
      </w:pPr>
      <w:hyperlink w:anchor="_Toc182476616" w:history="1">
        <w:r w:rsidR="00B1286B" w:rsidRPr="00485EE7">
          <w:rPr>
            <w:rStyle w:val="affffffe"/>
            <w:noProof/>
            <w14:scene3d>
              <w14:camera w14:prst="orthographicFront"/>
              <w14:lightRig w14:rig="threePt" w14:dir="t">
                <w14:rot w14:lat="0" w14:lon="0" w14:rev="0"/>
              </w14:lightRig>
            </w14:scene3d>
          </w:rPr>
          <w:t>33.8</w:t>
        </w:r>
        <w:r w:rsidR="00B1286B" w:rsidRPr="00485EE7">
          <w:rPr>
            <w:rStyle w:val="affffffe"/>
            <w:noProof/>
          </w:rPr>
          <w:t xml:space="preserve"> 车辆基地</w:t>
        </w:r>
        <w:r w:rsidR="00B1286B">
          <w:rPr>
            <w:noProof/>
          </w:rPr>
          <w:tab/>
        </w:r>
        <w:r w:rsidR="00B1286B">
          <w:rPr>
            <w:noProof/>
          </w:rPr>
          <w:fldChar w:fldCharType="begin"/>
        </w:r>
        <w:r w:rsidR="00B1286B">
          <w:rPr>
            <w:noProof/>
          </w:rPr>
          <w:instrText xml:space="preserve"> PAGEREF _Toc182476616 \h </w:instrText>
        </w:r>
        <w:r w:rsidR="00B1286B">
          <w:rPr>
            <w:noProof/>
          </w:rPr>
        </w:r>
        <w:r w:rsidR="00B1286B">
          <w:rPr>
            <w:noProof/>
          </w:rPr>
          <w:fldChar w:fldCharType="separate"/>
        </w:r>
        <w:r w:rsidR="00620087">
          <w:rPr>
            <w:noProof/>
          </w:rPr>
          <w:t>141</w:t>
        </w:r>
        <w:r w:rsidR="00B1286B">
          <w:rPr>
            <w:noProof/>
          </w:rPr>
          <w:fldChar w:fldCharType="end"/>
        </w:r>
      </w:hyperlink>
    </w:p>
    <w:p w14:paraId="4C267C12" w14:textId="28369DDA" w:rsidR="00B1286B" w:rsidRDefault="00CA2808">
      <w:pPr>
        <w:pStyle w:val="TOC2"/>
        <w:rPr>
          <w:rFonts w:asciiTheme="minorHAnsi" w:eastAsiaTheme="minorEastAsia" w:hAnsiTheme="minorHAnsi" w:cstheme="minorBidi"/>
          <w:noProof/>
          <w:szCs w:val="22"/>
        </w:rPr>
      </w:pPr>
      <w:hyperlink w:anchor="_Toc182476617" w:history="1">
        <w:r w:rsidR="00B1286B" w:rsidRPr="00485EE7">
          <w:rPr>
            <w:rStyle w:val="affffffe"/>
            <w:noProof/>
            <w14:scene3d>
              <w14:camera w14:prst="orthographicFront"/>
              <w14:lightRig w14:rig="threePt" w14:dir="t">
                <w14:rot w14:lat="0" w14:lon="0" w14:rev="0"/>
              </w14:lightRig>
            </w14:scene3d>
          </w:rPr>
          <w:t>33.9</w:t>
        </w:r>
        <w:r w:rsidR="00B1286B" w:rsidRPr="00485EE7">
          <w:rPr>
            <w:rStyle w:val="affffffe"/>
            <w:noProof/>
          </w:rPr>
          <w:t xml:space="preserve"> 给水及排水</w:t>
        </w:r>
        <w:r w:rsidR="00B1286B">
          <w:rPr>
            <w:noProof/>
          </w:rPr>
          <w:tab/>
        </w:r>
        <w:r w:rsidR="00B1286B">
          <w:rPr>
            <w:noProof/>
          </w:rPr>
          <w:fldChar w:fldCharType="begin"/>
        </w:r>
        <w:r w:rsidR="00B1286B">
          <w:rPr>
            <w:noProof/>
          </w:rPr>
          <w:instrText xml:space="preserve"> PAGEREF _Toc182476617 \h </w:instrText>
        </w:r>
        <w:r w:rsidR="00B1286B">
          <w:rPr>
            <w:noProof/>
          </w:rPr>
        </w:r>
        <w:r w:rsidR="00B1286B">
          <w:rPr>
            <w:noProof/>
          </w:rPr>
          <w:fldChar w:fldCharType="separate"/>
        </w:r>
        <w:r w:rsidR="00620087">
          <w:rPr>
            <w:noProof/>
          </w:rPr>
          <w:t>141</w:t>
        </w:r>
        <w:r w:rsidR="00B1286B">
          <w:rPr>
            <w:noProof/>
          </w:rPr>
          <w:fldChar w:fldCharType="end"/>
        </w:r>
      </w:hyperlink>
    </w:p>
    <w:p w14:paraId="7B72A51D" w14:textId="40CFC718" w:rsidR="00B1286B" w:rsidRDefault="00CA2808">
      <w:pPr>
        <w:pStyle w:val="TOC2"/>
        <w:rPr>
          <w:rFonts w:asciiTheme="minorHAnsi" w:eastAsiaTheme="minorEastAsia" w:hAnsiTheme="minorHAnsi" w:cstheme="minorBidi"/>
          <w:noProof/>
          <w:szCs w:val="22"/>
        </w:rPr>
      </w:pPr>
      <w:hyperlink w:anchor="_Toc182476618" w:history="1">
        <w:r w:rsidR="00B1286B" w:rsidRPr="00485EE7">
          <w:rPr>
            <w:rStyle w:val="affffffe"/>
            <w:noProof/>
            <w14:scene3d>
              <w14:camera w14:prst="orthographicFront"/>
              <w14:lightRig w14:rig="threePt" w14:dir="t">
                <w14:rot w14:lat="0" w14:lon="0" w14:rev="0"/>
              </w14:lightRig>
            </w14:scene3d>
          </w:rPr>
          <w:t>33.10</w:t>
        </w:r>
        <w:r w:rsidR="00B1286B" w:rsidRPr="00485EE7">
          <w:rPr>
            <w:rStyle w:val="affffffe"/>
            <w:noProof/>
          </w:rPr>
          <w:t xml:space="preserve"> 机电系统</w:t>
        </w:r>
        <w:r w:rsidR="00B1286B">
          <w:rPr>
            <w:noProof/>
          </w:rPr>
          <w:tab/>
        </w:r>
        <w:r w:rsidR="00B1286B">
          <w:rPr>
            <w:noProof/>
          </w:rPr>
          <w:fldChar w:fldCharType="begin"/>
        </w:r>
        <w:r w:rsidR="00B1286B">
          <w:rPr>
            <w:noProof/>
          </w:rPr>
          <w:instrText xml:space="preserve"> PAGEREF _Toc182476618 \h </w:instrText>
        </w:r>
        <w:r w:rsidR="00B1286B">
          <w:rPr>
            <w:noProof/>
          </w:rPr>
        </w:r>
        <w:r w:rsidR="00B1286B">
          <w:rPr>
            <w:noProof/>
          </w:rPr>
          <w:fldChar w:fldCharType="separate"/>
        </w:r>
        <w:r w:rsidR="00620087">
          <w:rPr>
            <w:noProof/>
          </w:rPr>
          <w:t>141</w:t>
        </w:r>
        <w:r w:rsidR="00B1286B">
          <w:rPr>
            <w:noProof/>
          </w:rPr>
          <w:fldChar w:fldCharType="end"/>
        </w:r>
      </w:hyperlink>
    </w:p>
    <w:p w14:paraId="78353CEC" w14:textId="213B9DF6" w:rsidR="00B1286B" w:rsidRDefault="00CA2808">
      <w:pPr>
        <w:pStyle w:val="TOC1"/>
        <w:tabs>
          <w:tab w:val="right" w:leader="dot" w:pos="9344"/>
        </w:tabs>
        <w:rPr>
          <w:rFonts w:asciiTheme="minorHAnsi" w:eastAsiaTheme="minorEastAsia" w:hAnsiTheme="minorHAnsi" w:cstheme="minorBidi"/>
          <w:noProof/>
          <w:szCs w:val="22"/>
        </w:rPr>
      </w:pPr>
      <w:hyperlink w:anchor="_Toc182476619" w:history="1">
        <w:r w:rsidR="00B1286B" w:rsidRPr="00485EE7">
          <w:rPr>
            <w:rStyle w:val="affffffe"/>
            <w:noProof/>
            <w:spacing w:val="100"/>
          </w:rPr>
          <w:t>附录A</w:t>
        </w:r>
        <w:r w:rsidR="00B1286B" w:rsidRPr="00485EE7">
          <w:rPr>
            <w:rStyle w:val="affffffe"/>
            <w:noProof/>
          </w:rPr>
          <w:t xml:space="preserve"> （规范性） 市域A1型车车辆轮廓线、车辆限界及设备限界</w:t>
        </w:r>
        <w:r w:rsidR="00B1286B">
          <w:rPr>
            <w:noProof/>
          </w:rPr>
          <w:tab/>
        </w:r>
        <w:r w:rsidR="00B1286B">
          <w:rPr>
            <w:noProof/>
          </w:rPr>
          <w:fldChar w:fldCharType="begin"/>
        </w:r>
        <w:r w:rsidR="00B1286B">
          <w:rPr>
            <w:noProof/>
          </w:rPr>
          <w:instrText xml:space="preserve"> PAGEREF _Toc182476619 \h </w:instrText>
        </w:r>
        <w:r w:rsidR="00B1286B">
          <w:rPr>
            <w:noProof/>
          </w:rPr>
        </w:r>
        <w:r w:rsidR="00B1286B">
          <w:rPr>
            <w:noProof/>
          </w:rPr>
          <w:fldChar w:fldCharType="separate"/>
        </w:r>
        <w:r w:rsidR="00620087">
          <w:rPr>
            <w:noProof/>
          </w:rPr>
          <w:t>143</w:t>
        </w:r>
        <w:r w:rsidR="00B1286B">
          <w:rPr>
            <w:noProof/>
          </w:rPr>
          <w:fldChar w:fldCharType="end"/>
        </w:r>
      </w:hyperlink>
    </w:p>
    <w:p w14:paraId="1B16400B" w14:textId="1961D5CF" w:rsidR="00B1286B" w:rsidRDefault="00CA2808">
      <w:pPr>
        <w:pStyle w:val="TOC1"/>
        <w:tabs>
          <w:tab w:val="right" w:leader="dot" w:pos="9344"/>
        </w:tabs>
        <w:rPr>
          <w:rFonts w:asciiTheme="minorHAnsi" w:eastAsiaTheme="minorEastAsia" w:hAnsiTheme="minorHAnsi" w:cstheme="minorBidi"/>
          <w:noProof/>
          <w:szCs w:val="22"/>
        </w:rPr>
      </w:pPr>
      <w:hyperlink w:anchor="_Toc182476621" w:history="1">
        <w:r w:rsidR="00B1286B" w:rsidRPr="00485EE7">
          <w:rPr>
            <w:rStyle w:val="affffffe"/>
            <w:noProof/>
            <w:spacing w:val="100"/>
          </w:rPr>
          <w:t>附录B</w:t>
        </w:r>
        <w:r w:rsidR="00B1286B" w:rsidRPr="00485EE7">
          <w:rPr>
            <w:rStyle w:val="affffffe"/>
            <w:noProof/>
          </w:rPr>
          <w:t xml:space="preserve"> （规范性） 市域A2型车车辆轮廓线、车辆限界及设备限界</w:t>
        </w:r>
        <w:r w:rsidR="00B1286B">
          <w:rPr>
            <w:noProof/>
          </w:rPr>
          <w:tab/>
        </w:r>
        <w:r w:rsidR="00B1286B">
          <w:rPr>
            <w:noProof/>
          </w:rPr>
          <w:fldChar w:fldCharType="begin"/>
        </w:r>
        <w:r w:rsidR="00B1286B">
          <w:rPr>
            <w:noProof/>
          </w:rPr>
          <w:instrText xml:space="preserve"> PAGEREF _Toc182476621 \h </w:instrText>
        </w:r>
        <w:r w:rsidR="00B1286B">
          <w:rPr>
            <w:noProof/>
          </w:rPr>
        </w:r>
        <w:r w:rsidR="00B1286B">
          <w:rPr>
            <w:noProof/>
          </w:rPr>
          <w:fldChar w:fldCharType="separate"/>
        </w:r>
        <w:r w:rsidR="00620087">
          <w:rPr>
            <w:noProof/>
          </w:rPr>
          <w:t>145</w:t>
        </w:r>
        <w:r w:rsidR="00B1286B">
          <w:rPr>
            <w:noProof/>
          </w:rPr>
          <w:fldChar w:fldCharType="end"/>
        </w:r>
      </w:hyperlink>
    </w:p>
    <w:p w14:paraId="03771ACC" w14:textId="0E46A709" w:rsidR="00B1286B" w:rsidRDefault="00CA2808">
      <w:pPr>
        <w:pStyle w:val="TOC1"/>
        <w:tabs>
          <w:tab w:val="right" w:leader="dot" w:pos="9344"/>
        </w:tabs>
        <w:rPr>
          <w:rFonts w:asciiTheme="minorHAnsi" w:eastAsiaTheme="minorEastAsia" w:hAnsiTheme="minorHAnsi" w:cstheme="minorBidi"/>
          <w:noProof/>
          <w:szCs w:val="22"/>
        </w:rPr>
      </w:pPr>
      <w:hyperlink w:anchor="_Toc182476623" w:history="1">
        <w:r w:rsidR="00B1286B" w:rsidRPr="00485EE7">
          <w:rPr>
            <w:rStyle w:val="affffffe"/>
            <w:noProof/>
            <w:spacing w:val="100"/>
          </w:rPr>
          <w:t>附录C</w:t>
        </w:r>
        <w:r w:rsidR="00B1286B" w:rsidRPr="00485EE7">
          <w:rPr>
            <w:rStyle w:val="affffffe"/>
            <w:noProof/>
          </w:rPr>
          <w:t xml:space="preserve"> （规范性） 市域B1型车车辆轮廓线、车辆限界及设备限界</w:t>
        </w:r>
        <w:r w:rsidR="00B1286B">
          <w:rPr>
            <w:noProof/>
          </w:rPr>
          <w:tab/>
        </w:r>
        <w:r w:rsidR="00B1286B">
          <w:rPr>
            <w:noProof/>
          </w:rPr>
          <w:fldChar w:fldCharType="begin"/>
        </w:r>
        <w:r w:rsidR="00B1286B">
          <w:rPr>
            <w:noProof/>
          </w:rPr>
          <w:instrText xml:space="preserve"> PAGEREF _Toc182476623 \h </w:instrText>
        </w:r>
        <w:r w:rsidR="00B1286B">
          <w:rPr>
            <w:noProof/>
          </w:rPr>
        </w:r>
        <w:r w:rsidR="00B1286B">
          <w:rPr>
            <w:noProof/>
          </w:rPr>
          <w:fldChar w:fldCharType="separate"/>
        </w:r>
        <w:r w:rsidR="00620087">
          <w:rPr>
            <w:noProof/>
          </w:rPr>
          <w:t>147</w:t>
        </w:r>
        <w:r w:rsidR="00B1286B">
          <w:rPr>
            <w:noProof/>
          </w:rPr>
          <w:fldChar w:fldCharType="end"/>
        </w:r>
      </w:hyperlink>
    </w:p>
    <w:p w14:paraId="6FE648A8" w14:textId="7D03A9BA" w:rsidR="00B1286B" w:rsidRDefault="00CA2808">
      <w:pPr>
        <w:pStyle w:val="TOC1"/>
        <w:tabs>
          <w:tab w:val="right" w:leader="dot" w:pos="9344"/>
        </w:tabs>
        <w:rPr>
          <w:rFonts w:asciiTheme="minorHAnsi" w:eastAsiaTheme="minorEastAsia" w:hAnsiTheme="minorHAnsi" w:cstheme="minorBidi"/>
          <w:noProof/>
          <w:szCs w:val="22"/>
        </w:rPr>
      </w:pPr>
      <w:hyperlink w:anchor="_Toc182476625" w:history="1">
        <w:r w:rsidR="00B1286B" w:rsidRPr="00485EE7">
          <w:rPr>
            <w:rStyle w:val="affffffe"/>
            <w:noProof/>
            <w:spacing w:val="100"/>
          </w:rPr>
          <w:t>附录D</w:t>
        </w:r>
        <w:r w:rsidR="00B1286B" w:rsidRPr="00485EE7">
          <w:rPr>
            <w:rStyle w:val="affffffe"/>
            <w:noProof/>
          </w:rPr>
          <w:t xml:space="preserve"> （规范性） 市域B2型车车辆轮廓线、车辆限界及设备限界</w:t>
        </w:r>
        <w:r w:rsidR="00B1286B">
          <w:rPr>
            <w:noProof/>
          </w:rPr>
          <w:tab/>
        </w:r>
        <w:r w:rsidR="00B1286B">
          <w:rPr>
            <w:noProof/>
          </w:rPr>
          <w:fldChar w:fldCharType="begin"/>
        </w:r>
        <w:r w:rsidR="00B1286B">
          <w:rPr>
            <w:noProof/>
          </w:rPr>
          <w:instrText xml:space="preserve"> PAGEREF _Toc182476625 \h </w:instrText>
        </w:r>
        <w:r w:rsidR="00B1286B">
          <w:rPr>
            <w:noProof/>
          </w:rPr>
        </w:r>
        <w:r w:rsidR="00B1286B">
          <w:rPr>
            <w:noProof/>
          </w:rPr>
          <w:fldChar w:fldCharType="separate"/>
        </w:r>
        <w:r w:rsidR="00620087">
          <w:rPr>
            <w:noProof/>
          </w:rPr>
          <w:t>149</w:t>
        </w:r>
        <w:r w:rsidR="00B1286B">
          <w:rPr>
            <w:noProof/>
          </w:rPr>
          <w:fldChar w:fldCharType="end"/>
        </w:r>
      </w:hyperlink>
    </w:p>
    <w:p w14:paraId="3881DD2A" w14:textId="7D12AE0D" w:rsidR="00B1286B" w:rsidRDefault="00CA2808">
      <w:pPr>
        <w:pStyle w:val="TOC1"/>
        <w:tabs>
          <w:tab w:val="right" w:leader="dot" w:pos="9344"/>
        </w:tabs>
        <w:rPr>
          <w:rFonts w:asciiTheme="minorHAnsi" w:eastAsiaTheme="minorEastAsia" w:hAnsiTheme="minorHAnsi" w:cstheme="minorBidi"/>
          <w:noProof/>
          <w:szCs w:val="22"/>
        </w:rPr>
      </w:pPr>
      <w:hyperlink w:anchor="_Toc182476627" w:history="1">
        <w:r w:rsidR="00B1286B" w:rsidRPr="00485EE7">
          <w:rPr>
            <w:rStyle w:val="affffffe"/>
            <w:noProof/>
            <w:spacing w:val="100"/>
          </w:rPr>
          <w:t>附录E</w:t>
        </w:r>
        <w:r w:rsidR="00B1286B" w:rsidRPr="00485EE7">
          <w:rPr>
            <w:rStyle w:val="affffffe"/>
            <w:noProof/>
          </w:rPr>
          <w:t xml:space="preserve"> （规范性） 市域C、D型车车辆轮廓线、车辆限界及设备限界</w:t>
        </w:r>
        <w:r w:rsidR="00B1286B">
          <w:rPr>
            <w:noProof/>
          </w:rPr>
          <w:tab/>
        </w:r>
        <w:r w:rsidR="00B1286B">
          <w:rPr>
            <w:noProof/>
          </w:rPr>
          <w:fldChar w:fldCharType="begin"/>
        </w:r>
        <w:r w:rsidR="00B1286B">
          <w:rPr>
            <w:noProof/>
          </w:rPr>
          <w:instrText xml:space="preserve"> PAGEREF _Toc182476627 \h </w:instrText>
        </w:r>
        <w:r w:rsidR="00B1286B">
          <w:rPr>
            <w:noProof/>
          </w:rPr>
        </w:r>
        <w:r w:rsidR="00B1286B">
          <w:rPr>
            <w:noProof/>
          </w:rPr>
          <w:fldChar w:fldCharType="separate"/>
        </w:r>
        <w:r w:rsidR="00620087">
          <w:rPr>
            <w:noProof/>
          </w:rPr>
          <w:t>151</w:t>
        </w:r>
        <w:r w:rsidR="00B1286B">
          <w:rPr>
            <w:noProof/>
          </w:rPr>
          <w:fldChar w:fldCharType="end"/>
        </w:r>
      </w:hyperlink>
    </w:p>
    <w:p w14:paraId="685515C1" w14:textId="7899732F" w:rsidR="00B1286B" w:rsidRDefault="00CA2808">
      <w:pPr>
        <w:pStyle w:val="TOC1"/>
        <w:tabs>
          <w:tab w:val="right" w:leader="dot" w:pos="9344"/>
        </w:tabs>
        <w:rPr>
          <w:rFonts w:asciiTheme="minorHAnsi" w:eastAsiaTheme="minorEastAsia" w:hAnsiTheme="minorHAnsi" w:cstheme="minorBidi"/>
          <w:noProof/>
          <w:szCs w:val="22"/>
        </w:rPr>
      </w:pPr>
      <w:hyperlink w:anchor="_Toc182476629" w:history="1">
        <w:r w:rsidR="00B1286B" w:rsidRPr="00485EE7">
          <w:rPr>
            <w:rStyle w:val="affffffe"/>
            <w:noProof/>
            <w:spacing w:val="100"/>
          </w:rPr>
          <w:t>附录F</w:t>
        </w:r>
        <w:r w:rsidR="00B1286B" w:rsidRPr="00485EE7">
          <w:rPr>
            <w:rStyle w:val="affffffe"/>
            <w:noProof/>
          </w:rPr>
          <w:t xml:space="preserve"> （规范性） 缓和曲线地段建筑限界加宽计算</w:t>
        </w:r>
        <w:r w:rsidR="00B1286B">
          <w:rPr>
            <w:noProof/>
          </w:rPr>
          <w:tab/>
        </w:r>
        <w:r w:rsidR="00B1286B">
          <w:rPr>
            <w:noProof/>
          </w:rPr>
          <w:fldChar w:fldCharType="begin"/>
        </w:r>
        <w:r w:rsidR="00B1286B">
          <w:rPr>
            <w:noProof/>
          </w:rPr>
          <w:instrText xml:space="preserve"> PAGEREF _Toc182476629 \h </w:instrText>
        </w:r>
        <w:r w:rsidR="00B1286B">
          <w:rPr>
            <w:noProof/>
          </w:rPr>
        </w:r>
        <w:r w:rsidR="00B1286B">
          <w:rPr>
            <w:noProof/>
          </w:rPr>
          <w:fldChar w:fldCharType="separate"/>
        </w:r>
        <w:r w:rsidR="00620087">
          <w:rPr>
            <w:noProof/>
          </w:rPr>
          <w:t>153</w:t>
        </w:r>
        <w:r w:rsidR="00B1286B">
          <w:rPr>
            <w:noProof/>
          </w:rPr>
          <w:fldChar w:fldCharType="end"/>
        </w:r>
      </w:hyperlink>
    </w:p>
    <w:p w14:paraId="767E9160" w14:textId="2F2504FE" w:rsidR="00B1286B" w:rsidRDefault="00CA2808">
      <w:pPr>
        <w:pStyle w:val="TOC1"/>
        <w:tabs>
          <w:tab w:val="right" w:leader="dot" w:pos="9344"/>
        </w:tabs>
        <w:rPr>
          <w:rFonts w:asciiTheme="minorHAnsi" w:eastAsiaTheme="minorEastAsia" w:hAnsiTheme="minorHAnsi" w:cstheme="minorBidi"/>
          <w:noProof/>
          <w:szCs w:val="22"/>
        </w:rPr>
      </w:pPr>
      <w:hyperlink w:anchor="_Toc182476635" w:history="1">
        <w:r w:rsidR="00B1286B" w:rsidRPr="00485EE7">
          <w:rPr>
            <w:rStyle w:val="affffffe"/>
            <w:noProof/>
            <w:spacing w:val="105"/>
          </w:rPr>
          <w:t>参考文</w:t>
        </w:r>
        <w:r w:rsidR="00B1286B" w:rsidRPr="00485EE7">
          <w:rPr>
            <w:rStyle w:val="affffffe"/>
            <w:noProof/>
          </w:rPr>
          <w:t>献</w:t>
        </w:r>
        <w:r w:rsidR="00B1286B">
          <w:rPr>
            <w:noProof/>
          </w:rPr>
          <w:tab/>
        </w:r>
        <w:r w:rsidR="00B1286B">
          <w:rPr>
            <w:noProof/>
          </w:rPr>
          <w:fldChar w:fldCharType="begin"/>
        </w:r>
        <w:r w:rsidR="00B1286B">
          <w:rPr>
            <w:noProof/>
          </w:rPr>
          <w:instrText xml:space="preserve"> PAGEREF _Toc182476635 \h </w:instrText>
        </w:r>
        <w:r w:rsidR="00B1286B">
          <w:rPr>
            <w:noProof/>
          </w:rPr>
        </w:r>
        <w:r w:rsidR="00B1286B">
          <w:rPr>
            <w:noProof/>
          </w:rPr>
          <w:fldChar w:fldCharType="separate"/>
        </w:r>
        <w:r w:rsidR="00620087">
          <w:rPr>
            <w:noProof/>
          </w:rPr>
          <w:t>155</w:t>
        </w:r>
        <w:r w:rsidR="00B1286B">
          <w:rPr>
            <w:noProof/>
          </w:rPr>
          <w:fldChar w:fldCharType="end"/>
        </w:r>
      </w:hyperlink>
    </w:p>
    <w:p w14:paraId="2927C2DC" w14:textId="709BF999" w:rsidR="00235309" w:rsidRPr="00235309" w:rsidRDefault="00235309" w:rsidP="00235309">
      <w:pPr>
        <w:pStyle w:val="affffff2"/>
        <w:spacing w:after="468"/>
        <w:sectPr w:rsidR="00235309" w:rsidRPr="00235309" w:rsidSect="000A5A1C">
          <w:headerReference w:type="even" r:id="rId13"/>
          <w:headerReference w:type="default" r:id="rId14"/>
          <w:footerReference w:type="even" r:id="rId15"/>
          <w:footerReference w:type="default" r:id="rId16"/>
          <w:pgSz w:w="11906" w:h="16838" w:code="9"/>
          <w:pgMar w:top="1928" w:right="1134" w:bottom="1134" w:left="1134" w:header="1418" w:footer="1134" w:gutter="284"/>
          <w:pgNumType w:fmt="upperRoman" w:start="1"/>
          <w:cols w:space="425"/>
          <w:formProt w:val="0"/>
          <w:docGrid w:type="lines" w:linePitch="312"/>
        </w:sectPr>
      </w:pPr>
      <w:r w:rsidRPr="00235309">
        <w:fldChar w:fldCharType="end"/>
      </w:r>
    </w:p>
    <w:p w14:paraId="68622608" w14:textId="3F43DAA5" w:rsidR="00235309" w:rsidRDefault="00235309" w:rsidP="00235309">
      <w:pPr>
        <w:pStyle w:val="a7"/>
        <w:spacing w:before="900" w:after="468"/>
      </w:pPr>
      <w:bookmarkStart w:id="18" w:name="_Toc182476361"/>
      <w:bookmarkStart w:id="19" w:name="BookMark2"/>
      <w:r w:rsidRPr="00235309">
        <w:rPr>
          <w:spacing w:val="320"/>
        </w:rPr>
        <w:lastRenderedPageBreak/>
        <w:t>前</w:t>
      </w:r>
      <w:r>
        <w:t>言</w:t>
      </w:r>
      <w:bookmarkEnd w:id="18"/>
    </w:p>
    <w:p w14:paraId="0E7407D5" w14:textId="77777777" w:rsidR="00235309" w:rsidRPr="00765F6E" w:rsidRDefault="00235309" w:rsidP="0050412D">
      <w:pPr>
        <w:pStyle w:val="affffb"/>
        <w:ind w:firstLine="420"/>
      </w:pPr>
      <w:r w:rsidRPr="00765F6E">
        <w:rPr>
          <w:rFonts w:hint="eastAsia"/>
        </w:rPr>
        <w:t>本文件按照GB/T 1.1</w:t>
      </w:r>
      <w:r w:rsidRPr="00765F6E">
        <w:t>—</w:t>
      </w:r>
      <w:r w:rsidRPr="00765F6E">
        <w:rPr>
          <w:rFonts w:hint="eastAsia"/>
        </w:rPr>
        <w:t>2020《标准化工作导则  第1部分：标准化文件的结构和起草规则》的规定起草。</w:t>
      </w:r>
    </w:p>
    <w:p w14:paraId="145D3698" w14:textId="77777777" w:rsidR="00235309" w:rsidRPr="00765F6E" w:rsidRDefault="00235309" w:rsidP="0050412D">
      <w:pPr>
        <w:pStyle w:val="affffb"/>
        <w:ind w:firstLine="420"/>
      </w:pPr>
      <w:r w:rsidRPr="00765F6E">
        <w:rPr>
          <w:rFonts w:hint="eastAsia"/>
        </w:rPr>
        <w:t>请注意本文件的某些内容可能涉及专利。本文件的发布机构不承担识别专利的责任。</w:t>
      </w:r>
    </w:p>
    <w:p w14:paraId="57086A3C" w14:textId="381956CA" w:rsidR="00235309" w:rsidRPr="00765F6E" w:rsidRDefault="00235309">
      <w:pPr>
        <w:pStyle w:val="affffb"/>
        <w:ind w:firstLine="420"/>
      </w:pPr>
      <w:r w:rsidRPr="00765F6E">
        <w:rPr>
          <w:rFonts w:hint="eastAsia"/>
        </w:rPr>
        <w:t>本文件由</w:t>
      </w:r>
      <w:r w:rsidR="00C668E4">
        <w:rPr>
          <w:rFonts w:hint="eastAsia"/>
        </w:rPr>
        <w:t>江苏省</w:t>
      </w:r>
      <w:r w:rsidR="00B23EDB">
        <w:rPr>
          <w:rFonts w:hint="eastAsia"/>
        </w:rPr>
        <w:t>交通</w:t>
      </w:r>
      <w:r w:rsidR="00C668E4">
        <w:rPr>
          <w:rFonts w:hint="eastAsia"/>
        </w:rPr>
        <w:t>运输</w:t>
      </w:r>
      <w:r w:rsidR="00B23EDB">
        <w:rPr>
          <w:rFonts w:hint="eastAsia"/>
        </w:rPr>
        <w:t>厅提出</w:t>
      </w:r>
      <w:r w:rsidR="00C668E4">
        <w:rPr>
          <w:rFonts w:hint="eastAsia"/>
        </w:rPr>
        <w:t>、</w:t>
      </w:r>
      <w:r w:rsidR="00B23EDB">
        <w:rPr>
          <w:rFonts w:hint="eastAsia"/>
        </w:rPr>
        <w:t>归口</w:t>
      </w:r>
      <w:r w:rsidR="00C668E4">
        <w:rPr>
          <w:rFonts w:hint="eastAsia"/>
        </w:rPr>
        <w:t>并</w:t>
      </w:r>
      <w:r w:rsidR="008452CA">
        <w:rPr>
          <w:rFonts w:hint="eastAsia"/>
        </w:rPr>
        <w:t>组织</w:t>
      </w:r>
      <w:r w:rsidR="00B23EDB">
        <w:rPr>
          <w:rFonts w:hint="eastAsia"/>
        </w:rPr>
        <w:t>实施。</w:t>
      </w:r>
    </w:p>
    <w:p w14:paraId="78E06758" w14:textId="77777777" w:rsidR="00235309" w:rsidRPr="00765F6E" w:rsidRDefault="00235309" w:rsidP="0050412D">
      <w:pPr>
        <w:pStyle w:val="affffb"/>
        <w:ind w:firstLine="420"/>
      </w:pPr>
      <w:r w:rsidRPr="00765F6E">
        <w:rPr>
          <w:rFonts w:hint="eastAsia"/>
        </w:rPr>
        <w:t>本文件起草单位：苏交科集团股份有限公司、中铁上海设计院集团有限公司、中车南京浦镇车辆有限公司。</w:t>
      </w:r>
    </w:p>
    <w:p w14:paraId="2F199BB4" w14:textId="6EFFA093" w:rsidR="00235309" w:rsidRPr="00235309" w:rsidRDefault="00235309" w:rsidP="0050412D">
      <w:pPr>
        <w:pStyle w:val="affffb"/>
        <w:ind w:firstLine="420"/>
        <w:sectPr w:rsidR="00235309" w:rsidRPr="00235309" w:rsidSect="000A5A1C">
          <w:headerReference w:type="even" r:id="rId17"/>
          <w:headerReference w:type="default" r:id="rId18"/>
          <w:footerReference w:type="even" r:id="rId19"/>
          <w:footerReference w:type="default" r:id="rId20"/>
          <w:pgSz w:w="11906" w:h="16838" w:code="9"/>
          <w:pgMar w:top="1928" w:right="1134" w:bottom="1134" w:left="1134" w:header="1418" w:footer="1134" w:gutter="284"/>
          <w:pgNumType w:fmt="upperRoman"/>
          <w:cols w:space="425"/>
          <w:formProt w:val="0"/>
          <w:docGrid w:type="lines" w:linePitch="312"/>
        </w:sectPr>
      </w:pPr>
      <w:r w:rsidRPr="00765F6E">
        <w:rPr>
          <w:rFonts w:hint="eastAsia"/>
        </w:rPr>
        <w:t>本文件主要起草人：</w:t>
      </w:r>
      <w:r w:rsidR="002B1C8A" w:rsidRPr="002B1C8A">
        <w:rPr>
          <w:rFonts w:hint="eastAsia"/>
        </w:rPr>
        <w:t>张海军、游玉石、刘继兵、罗运国、陈娣、饶雪平、周晓琦、胡佳乔、邓锐、张淮北、张文、王瑞、张静、毛耀增、王健、安秘、祝清、朱少荣、张浩文、何建栋、薛望、张翔、陈景林、黄娜、刘磊、葛佳辉、陈彬、王尧周、刘斌、侯悦、许琳琪、王柄达、陆云、王法武、齐林、黄玲珍、黄建平、苑方丞、徐硕均、李亮、孙萍、辜斌、林鹏、冯海锋、张飞飞、柏锋、王茜、刘智平、赵博、刘建、周期、宁贝贝、刘信、阎珺、林腾达、王亚丽、张龙飞、李栋、傅启清、肖飞、周啸、杨陈、张运航、房明</w:t>
      </w:r>
      <w:r w:rsidRPr="00765F6E">
        <w:rPr>
          <w:rFonts w:hint="eastAsia"/>
        </w:rPr>
        <w:t>。</w:t>
      </w:r>
    </w:p>
    <w:p w14:paraId="4EF42240" w14:textId="55DA346A" w:rsidR="00894836" w:rsidRPr="00145D9D" w:rsidRDefault="00894836" w:rsidP="00093D25">
      <w:pPr>
        <w:spacing w:line="20" w:lineRule="exact"/>
        <w:jc w:val="center"/>
        <w:rPr>
          <w:rFonts w:ascii="黑体" w:eastAsia="黑体" w:hAnsi="黑体"/>
          <w:sz w:val="32"/>
          <w:szCs w:val="32"/>
        </w:rPr>
      </w:pPr>
      <w:bookmarkStart w:id="20" w:name="BookMark4"/>
      <w:bookmarkEnd w:id="19"/>
    </w:p>
    <w:p w14:paraId="06D2D31C" w14:textId="77777777" w:rsidR="00894836" w:rsidRDefault="00894836" w:rsidP="00093D25">
      <w:pPr>
        <w:spacing w:line="20" w:lineRule="exact"/>
        <w:jc w:val="center"/>
        <w:rPr>
          <w:rFonts w:ascii="黑体" w:eastAsia="黑体" w:hAnsi="黑体"/>
          <w:sz w:val="32"/>
          <w:szCs w:val="32"/>
        </w:rPr>
      </w:pPr>
    </w:p>
    <w:sdt>
      <w:sdtPr>
        <w:tag w:val="NEW_STAND_NAME"/>
        <w:id w:val="595910757"/>
        <w:lock w:val="sdtLocked"/>
        <w:placeholder>
          <w:docPart w:val="621B105CBC4448ABA2C3CA624B15FAF0"/>
        </w:placeholder>
      </w:sdtPr>
      <w:sdtEndPr/>
      <w:sdtContent>
        <w:bookmarkStart w:id="21" w:name="NEW_STAND_NAME" w:displacedByCustomXml="prev"/>
        <w:p w14:paraId="60F99530" w14:textId="69CD0163" w:rsidR="00F26B7E" w:rsidRPr="00F26B7E" w:rsidRDefault="00746C7D" w:rsidP="00235309">
          <w:pPr>
            <w:pStyle w:val="afffffffff8"/>
            <w:spacing w:beforeLines="1" w:before="3" w:afterLines="220" w:after="686"/>
          </w:pPr>
          <w:r>
            <w:rPr>
              <w:rFonts w:hint="eastAsia"/>
            </w:rPr>
            <w:t>市域铁路设计规范</w:t>
          </w:r>
        </w:p>
      </w:sdtContent>
    </w:sdt>
    <w:bookmarkEnd w:id="21" w:displacedByCustomXml="prev"/>
    <w:p w14:paraId="61DD3F3B" w14:textId="012727B8" w:rsidR="00E2552F" w:rsidRDefault="00E2552F" w:rsidP="00A77CCB">
      <w:pPr>
        <w:pStyle w:val="affd"/>
        <w:spacing w:before="312" w:after="312"/>
      </w:pPr>
      <w:bookmarkStart w:id="22" w:name="_Toc17233325"/>
      <w:bookmarkStart w:id="23" w:name="_Toc17233333"/>
      <w:bookmarkStart w:id="24" w:name="_Toc24884211"/>
      <w:bookmarkStart w:id="25" w:name="_Toc24884218"/>
      <w:bookmarkStart w:id="26" w:name="_Toc26648465"/>
      <w:bookmarkStart w:id="27" w:name="_Toc26718930"/>
      <w:bookmarkStart w:id="28" w:name="_Toc26986530"/>
      <w:bookmarkStart w:id="29" w:name="_Toc26986771"/>
      <w:bookmarkStart w:id="30" w:name="_Toc97191423"/>
      <w:bookmarkStart w:id="31" w:name="_Toc174538610"/>
      <w:bookmarkStart w:id="32" w:name="_Toc182476362"/>
      <w:r>
        <w:rPr>
          <w:rFonts w:hint="eastAsia"/>
        </w:rPr>
        <w:t>范围</w:t>
      </w:r>
      <w:bookmarkEnd w:id="22"/>
      <w:bookmarkEnd w:id="23"/>
      <w:bookmarkEnd w:id="24"/>
      <w:bookmarkEnd w:id="25"/>
      <w:bookmarkEnd w:id="26"/>
      <w:bookmarkEnd w:id="27"/>
      <w:bookmarkEnd w:id="28"/>
      <w:bookmarkEnd w:id="29"/>
      <w:bookmarkEnd w:id="30"/>
      <w:bookmarkEnd w:id="31"/>
      <w:bookmarkEnd w:id="32"/>
    </w:p>
    <w:p w14:paraId="4A2B5378" w14:textId="3EF76F22" w:rsidR="00746C7D" w:rsidRPr="00765F6E" w:rsidRDefault="00746C7D" w:rsidP="00746C7D">
      <w:pPr>
        <w:pStyle w:val="affffb"/>
        <w:ind w:firstLine="420"/>
      </w:pPr>
      <w:bookmarkStart w:id="33" w:name="_Toc17233326"/>
      <w:bookmarkStart w:id="34" w:name="_Toc17233334"/>
      <w:bookmarkStart w:id="35" w:name="_Toc24884212"/>
      <w:bookmarkStart w:id="36" w:name="_Toc24884219"/>
      <w:bookmarkStart w:id="37" w:name="_Toc26648466"/>
      <w:r>
        <w:rPr>
          <w:rFonts w:hint="eastAsia"/>
        </w:rPr>
        <w:t>本文件规定</w:t>
      </w:r>
      <w:r w:rsidRPr="00765F6E">
        <w:rPr>
          <w:rFonts w:hint="eastAsia"/>
        </w:rPr>
        <w:t>了市域铁路设计</w:t>
      </w:r>
      <w:r w:rsidR="005974FC">
        <w:rPr>
          <w:rFonts w:hint="eastAsia"/>
        </w:rPr>
        <w:t>基本规定</w:t>
      </w:r>
      <w:r w:rsidRPr="00765F6E">
        <w:rPr>
          <w:rFonts w:hint="eastAsia"/>
        </w:rPr>
        <w:t>、总体设计、客流预测、行车组织与运营管理、车辆、限界、线路、站场、轨道、路基、桥涵、隧道、车站建筑、车站结构、牵引供电、通信</w:t>
      </w:r>
      <w:r w:rsidR="00514385">
        <w:rPr>
          <w:rFonts w:hint="eastAsia"/>
        </w:rPr>
        <w:t>、</w:t>
      </w:r>
      <w:r w:rsidR="00514385" w:rsidRPr="00765F6E">
        <w:rPr>
          <w:rFonts w:hint="eastAsia"/>
        </w:rPr>
        <w:t>电力</w:t>
      </w:r>
      <w:r w:rsidRPr="00765F6E">
        <w:rPr>
          <w:rFonts w:hint="eastAsia"/>
        </w:rPr>
        <w:t>、信号、安全防护与监控、信息、车站机械设备、运营控制中心、通风与空调、给</w:t>
      </w:r>
      <w:r w:rsidR="00945067">
        <w:rPr>
          <w:rFonts w:hint="eastAsia"/>
        </w:rPr>
        <w:t>水与</w:t>
      </w:r>
      <w:r w:rsidRPr="00765F6E">
        <w:rPr>
          <w:rFonts w:hint="eastAsia"/>
        </w:rPr>
        <w:t>排水、车辆基地及综合维修、综合接地、防灾、环境保护</w:t>
      </w:r>
      <w:r w:rsidR="005974FC">
        <w:rPr>
          <w:rFonts w:hint="eastAsia"/>
        </w:rPr>
        <w:t>、交通一体化、绿色</w:t>
      </w:r>
      <w:r w:rsidR="00C14412">
        <w:rPr>
          <w:rFonts w:hint="eastAsia"/>
        </w:rPr>
        <w:t>设计</w:t>
      </w:r>
      <w:r w:rsidRPr="00765F6E">
        <w:rPr>
          <w:rFonts w:hint="eastAsia"/>
        </w:rPr>
        <w:t>的</w:t>
      </w:r>
      <w:r w:rsidR="005974FC">
        <w:rPr>
          <w:rFonts w:hint="eastAsia"/>
        </w:rPr>
        <w:t>内容</w:t>
      </w:r>
      <w:r w:rsidRPr="00765F6E">
        <w:rPr>
          <w:rFonts w:hint="eastAsia"/>
        </w:rPr>
        <w:t>。</w:t>
      </w:r>
    </w:p>
    <w:p w14:paraId="631D6666" w14:textId="1BAE6D3A" w:rsidR="00746C7D" w:rsidRDefault="00746C7D" w:rsidP="00746C7D">
      <w:pPr>
        <w:pStyle w:val="affffb"/>
        <w:spacing w:after="156"/>
        <w:ind w:firstLine="420"/>
      </w:pPr>
      <w:r w:rsidRPr="00765F6E">
        <w:rPr>
          <w:rFonts w:hint="eastAsia"/>
        </w:rPr>
        <w:t>本文件适用于新建速度为1</w:t>
      </w:r>
      <w:r w:rsidRPr="00765F6E">
        <w:t>2</w:t>
      </w:r>
      <w:r w:rsidRPr="00765F6E">
        <w:rPr>
          <w:rFonts w:hint="eastAsia"/>
        </w:rPr>
        <w:t>0km/h～160km/h、仅运行市域列车的标准轨距</w:t>
      </w:r>
      <w:r w:rsidR="002367E3">
        <w:rPr>
          <w:rFonts w:hint="eastAsia"/>
        </w:rPr>
        <w:t>的轨道交通</w:t>
      </w:r>
      <w:r w:rsidR="007B2BBD">
        <w:rPr>
          <w:rFonts w:hint="eastAsia"/>
        </w:rPr>
        <w:t>系统</w:t>
      </w:r>
      <w:r>
        <w:rPr>
          <w:rFonts w:hint="eastAsia"/>
        </w:rPr>
        <w:t>。</w:t>
      </w:r>
    </w:p>
    <w:p w14:paraId="5DBC61F5" w14:textId="3D252F8B" w:rsidR="00E2552F" w:rsidRDefault="00746C7D" w:rsidP="00A77CCB">
      <w:pPr>
        <w:pStyle w:val="affd"/>
        <w:spacing w:before="312" w:after="312"/>
      </w:pPr>
      <w:bookmarkStart w:id="38" w:name="_Toc26718931"/>
      <w:bookmarkStart w:id="39" w:name="_Toc26986531"/>
      <w:bookmarkStart w:id="40" w:name="_Toc26986772"/>
      <w:bookmarkStart w:id="41" w:name="_Toc97191424"/>
      <w:bookmarkStart w:id="42" w:name="_Toc174538611"/>
      <w:bookmarkStart w:id="43" w:name="_Toc182476363"/>
      <w:r>
        <w:rPr>
          <w:rFonts w:hint="eastAsia"/>
        </w:rPr>
        <w:t>规范性引用文件</w:t>
      </w:r>
      <w:bookmarkEnd w:id="33"/>
      <w:bookmarkEnd w:id="34"/>
      <w:bookmarkEnd w:id="35"/>
      <w:bookmarkEnd w:id="36"/>
      <w:bookmarkEnd w:id="37"/>
      <w:bookmarkEnd w:id="38"/>
      <w:bookmarkEnd w:id="39"/>
      <w:bookmarkEnd w:id="40"/>
      <w:bookmarkEnd w:id="41"/>
      <w:bookmarkEnd w:id="42"/>
      <w:bookmarkEnd w:id="43"/>
    </w:p>
    <w:sdt>
      <w:sdtPr>
        <w:rPr>
          <w:rFonts w:hint="eastAsia"/>
        </w:rPr>
        <w:id w:val="715848253"/>
        <w:placeholder>
          <w:docPart w:val="E4B42A1F48514467953FA3D33C739F7A"/>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14:paraId="1F06D470" w14:textId="77777777" w:rsidR="008A57E6" w:rsidRDefault="008A57E6" w:rsidP="009D0776">
          <w:pPr>
            <w:pStyle w:val="affffb"/>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70CDD35F"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 xml:space="preserve">1402  </w:t>
      </w:r>
      <w:bookmarkStart w:id="44" w:name="_Hlk170895462"/>
      <w:r w:rsidRPr="00765F6E">
        <w:rPr>
          <w:rFonts w:hint="eastAsia"/>
        </w:rPr>
        <w:t>轨道交通牵引供电系统电压</w:t>
      </w:r>
      <w:bookmarkEnd w:id="44"/>
    </w:p>
    <w:p w14:paraId="2332CC30"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3096</w:t>
      </w:r>
      <w:r w:rsidRPr="00765F6E">
        <w:t xml:space="preserve">  </w:t>
      </w:r>
      <w:r w:rsidRPr="00765F6E">
        <w:rPr>
          <w:rFonts w:hint="eastAsia"/>
        </w:rPr>
        <w:t>声环境质量标准</w:t>
      </w:r>
    </w:p>
    <w:p w14:paraId="6ED01DD5" w14:textId="2A80083D" w:rsidR="00746C7D" w:rsidRPr="00765F6E" w:rsidRDefault="00746C7D" w:rsidP="009D0776">
      <w:pPr>
        <w:pStyle w:val="affffb"/>
        <w:ind w:firstLine="420"/>
      </w:pPr>
      <w:r w:rsidRPr="00765F6E">
        <w:rPr>
          <w:rFonts w:hint="eastAsia"/>
        </w:rPr>
        <w:t>GB/T</w:t>
      </w:r>
      <w:r w:rsidRPr="00765F6E">
        <w:t xml:space="preserve"> </w:t>
      </w:r>
      <w:r w:rsidR="006D7F69" w:rsidRPr="00CA33AB">
        <w:rPr>
          <w:rFonts w:hint="eastAsia"/>
        </w:rPr>
        <w:t>4208</w:t>
      </w:r>
      <w:r w:rsidR="006D7F69">
        <w:rPr>
          <w:rFonts w:hint="eastAsia"/>
        </w:rPr>
        <w:t>-</w:t>
      </w:r>
      <w:r w:rsidR="006D7F69">
        <w:t>2017</w:t>
      </w:r>
      <w:r w:rsidRPr="00765F6E">
        <w:t xml:space="preserve">  </w:t>
      </w:r>
      <w:r w:rsidRPr="00765F6E">
        <w:rPr>
          <w:rFonts w:hint="eastAsia"/>
        </w:rPr>
        <w:t>外壳防护等级（IP代码）</w:t>
      </w:r>
    </w:p>
    <w:p w14:paraId="411570C3" w14:textId="1DF71569" w:rsidR="00746C7D" w:rsidRPr="00765F6E" w:rsidRDefault="00746C7D" w:rsidP="009D0776">
      <w:pPr>
        <w:pStyle w:val="affffb"/>
        <w:ind w:firstLine="420"/>
      </w:pPr>
      <w:r w:rsidRPr="00765F6E">
        <w:rPr>
          <w:rFonts w:hint="eastAsia"/>
        </w:rPr>
        <w:t xml:space="preserve">GB/T </w:t>
      </w:r>
      <w:r w:rsidR="00F13369" w:rsidRPr="00CA33AB">
        <w:t>5599</w:t>
      </w:r>
      <w:r w:rsidR="00F13369" w:rsidRPr="00CA33AB">
        <w:rPr>
          <w:rFonts w:hint="eastAsia"/>
        </w:rPr>
        <w:t>-</w:t>
      </w:r>
      <w:r w:rsidR="00F13369" w:rsidRPr="00CA33AB">
        <w:t>2019</w:t>
      </w:r>
      <w:r w:rsidRPr="00765F6E">
        <w:t xml:space="preserve">  </w:t>
      </w:r>
      <w:r w:rsidRPr="00765F6E">
        <w:rPr>
          <w:rFonts w:hint="eastAsia"/>
        </w:rPr>
        <w:t>机车车辆动力学性能评定及试验鉴定规范</w:t>
      </w:r>
    </w:p>
    <w:p w14:paraId="6E93B065"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6364</w:t>
      </w:r>
      <w:r w:rsidRPr="00765F6E">
        <w:t xml:space="preserve">  </w:t>
      </w:r>
      <w:r w:rsidRPr="00765F6E">
        <w:rPr>
          <w:rFonts w:hint="eastAsia"/>
        </w:rPr>
        <w:t>航空无线电导航台站电磁环境要求</w:t>
      </w:r>
    </w:p>
    <w:p w14:paraId="32E2FE70"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6830  电信线路遭受强电线路危险影响的容许值</w:t>
      </w:r>
    </w:p>
    <w:p w14:paraId="4947F052"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 xml:space="preserve">8702 </w:t>
      </w:r>
      <w:r w:rsidRPr="00765F6E">
        <w:t xml:space="preserve"> </w:t>
      </w:r>
      <w:r w:rsidRPr="00765F6E">
        <w:rPr>
          <w:rFonts w:hint="eastAsia"/>
        </w:rPr>
        <w:t>电磁环境控制限值</w:t>
      </w:r>
    </w:p>
    <w:p w14:paraId="67DB4743"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9672  公共交通等候室卫生标准</w:t>
      </w:r>
    </w:p>
    <w:p w14:paraId="6249CE7F"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10070  城市区域环境振动标准</w:t>
      </w:r>
    </w:p>
    <w:p w14:paraId="4483D353" w14:textId="533F03BB" w:rsidR="00746C7D" w:rsidRDefault="00746C7D" w:rsidP="009D0776">
      <w:pPr>
        <w:pStyle w:val="affffb"/>
        <w:ind w:firstLine="420"/>
      </w:pPr>
      <w:r w:rsidRPr="00765F6E">
        <w:rPr>
          <w:rFonts w:hint="eastAsia"/>
        </w:rPr>
        <w:t>GB/T</w:t>
      </w:r>
      <w:r w:rsidRPr="00765F6E">
        <w:t xml:space="preserve"> </w:t>
      </w:r>
      <w:r w:rsidRPr="00765F6E">
        <w:rPr>
          <w:rFonts w:hint="eastAsia"/>
        </w:rPr>
        <w:t>11032</w:t>
      </w:r>
      <w:r w:rsidRPr="00765F6E">
        <w:t xml:space="preserve">  交流无间隙金属氧化物避雷器</w:t>
      </w:r>
    </w:p>
    <w:p w14:paraId="1F0CAB75" w14:textId="77777777" w:rsidR="00DF4AF5" w:rsidRDefault="00DF4AF5" w:rsidP="00DF4AF5">
      <w:pPr>
        <w:pStyle w:val="affffb"/>
        <w:ind w:firstLine="420"/>
      </w:pPr>
      <w:r w:rsidRPr="00765F6E">
        <w:rPr>
          <w:rFonts w:hint="eastAsia"/>
        </w:rPr>
        <w:t>GB</w:t>
      </w:r>
      <w:r w:rsidRPr="00765F6E">
        <w:t xml:space="preserve"> </w:t>
      </w:r>
      <w:r w:rsidRPr="00765F6E">
        <w:rPr>
          <w:rFonts w:hint="eastAsia"/>
        </w:rPr>
        <w:t>12</w:t>
      </w:r>
      <w:r>
        <w:t>5</w:t>
      </w:r>
      <w:r w:rsidRPr="00765F6E">
        <w:rPr>
          <w:rFonts w:hint="eastAsia"/>
        </w:rPr>
        <w:t>23  建筑施工场界环境噪声排放标准</w:t>
      </w:r>
    </w:p>
    <w:p w14:paraId="104EF44B"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12528</w:t>
      </w:r>
      <w:r w:rsidRPr="00765F6E">
        <w:t xml:space="preserve">  交流额定电压3kV及以下轨道交通车辆用电缆</w:t>
      </w:r>
    </w:p>
    <w:p w14:paraId="3FFE8C41"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12758  城市轨道交通信号系统通用技术条件</w:t>
      </w:r>
    </w:p>
    <w:p w14:paraId="78B3FA61" w14:textId="3A9FF76C" w:rsidR="00C66548" w:rsidRPr="00765F6E" w:rsidRDefault="00C66548" w:rsidP="009D0776">
      <w:pPr>
        <w:pStyle w:val="affffb"/>
        <w:ind w:firstLine="420"/>
      </w:pPr>
      <w:r w:rsidRPr="00C66548">
        <w:t>GB 13271</w:t>
      </w:r>
      <w:r>
        <w:t xml:space="preserve"> </w:t>
      </w:r>
      <w:r w:rsidRPr="00C66548">
        <w:rPr>
          <w:rFonts w:hint="eastAsia"/>
        </w:rPr>
        <w:t>锅炉大气污染物排放标准</w:t>
      </w:r>
    </w:p>
    <w:p w14:paraId="6E76297B" w14:textId="77777777" w:rsidR="00746C7D" w:rsidRPr="006A7381" w:rsidRDefault="00746C7D" w:rsidP="009D0776">
      <w:pPr>
        <w:pStyle w:val="affffb"/>
        <w:ind w:firstLine="420"/>
      </w:pPr>
      <w:r w:rsidRPr="006A7381">
        <w:t xml:space="preserve">GB 13495.1  </w:t>
      </w:r>
      <w:r w:rsidRPr="006A7381">
        <w:rPr>
          <w:rFonts w:hint="eastAsia"/>
        </w:rPr>
        <w:t>消防安全标志 第1部分：标志</w:t>
      </w:r>
    </w:p>
    <w:p w14:paraId="4622444D" w14:textId="77777777" w:rsidR="00746C7D" w:rsidRPr="006A7381" w:rsidRDefault="00746C7D" w:rsidP="009D0776">
      <w:pPr>
        <w:pStyle w:val="affffb"/>
        <w:ind w:firstLine="420"/>
      </w:pPr>
      <w:r w:rsidRPr="006A7381">
        <w:rPr>
          <w:rFonts w:hint="eastAsia"/>
        </w:rPr>
        <w:t>GB</w:t>
      </w:r>
      <w:r w:rsidRPr="006A7381">
        <w:t xml:space="preserve"> </w:t>
      </w:r>
      <w:r w:rsidRPr="006A7381">
        <w:rPr>
          <w:rFonts w:hint="eastAsia"/>
        </w:rPr>
        <w:t>13618  对空情报、雷达战电磁环境防护要求</w:t>
      </w:r>
    </w:p>
    <w:p w14:paraId="2BA3181D" w14:textId="77777777" w:rsidR="00746C7D" w:rsidRPr="006A7381" w:rsidRDefault="00746C7D" w:rsidP="009D0776">
      <w:pPr>
        <w:pStyle w:val="affffb"/>
        <w:ind w:firstLine="420"/>
      </w:pPr>
      <w:r w:rsidRPr="006A7381">
        <w:rPr>
          <w:rFonts w:hint="eastAsia"/>
        </w:rPr>
        <w:t>GB/T</w:t>
      </w:r>
      <w:r w:rsidRPr="006A7381">
        <w:t xml:space="preserve"> </w:t>
      </w:r>
      <w:r w:rsidRPr="006A7381">
        <w:rPr>
          <w:rFonts w:hint="eastAsia"/>
        </w:rPr>
        <w:t>14285  继电保护和安全自动装置技术规程</w:t>
      </w:r>
    </w:p>
    <w:p w14:paraId="2AE0D7B8" w14:textId="77777777" w:rsidR="00746C7D" w:rsidRPr="00765F6E" w:rsidRDefault="00746C7D" w:rsidP="009D0776">
      <w:pPr>
        <w:pStyle w:val="affffb"/>
        <w:ind w:firstLine="420"/>
      </w:pPr>
      <w:r w:rsidRPr="006A7381">
        <w:rPr>
          <w:rFonts w:hint="eastAsia"/>
        </w:rPr>
        <w:t>GB</w:t>
      </w:r>
      <w:r w:rsidRPr="006A7381">
        <w:t xml:space="preserve"> </w:t>
      </w:r>
      <w:r w:rsidRPr="006A7381">
        <w:rPr>
          <w:rFonts w:hint="eastAsia"/>
        </w:rPr>
        <w:t>15763.2  建筑用安全玻璃 第2部分 钢化玻璃</w:t>
      </w:r>
    </w:p>
    <w:p w14:paraId="0EC076C1" w14:textId="1B9198AD" w:rsidR="00746C7D" w:rsidRDefault="00746C7D" w:rsidP="009D0776">
      <w:pPr>
        <w:pStyle w:val="affffb"/>
        <w:ind w:firstLine="420"/>
      </w:pPr>
      <w:r w:rsidRPr="00765F6E">
        <w:rPr>
          <w:rFonts w:hint="eastAsia"/>
        </w:rPr>
        <w:t>GB/T</w:t>
      </w:r>
      <w:r w:rsidRPr="00765F6E">
        <w:t xml:space="preserve"> </w:t>
      </w:r>
      <w:r w:rsidRPr="00765F6E">
        <w:rPr>
          <w:rFonts w:hint="eastAsia"/>
        </w:rPr>
        <w:t>16275  城市轨道交通照明</w:t>
      </w:r>
    </w:p>
    <w:p w14:paraId="3B9AD6AD" w14:textId="23F0D432" w:rsidR="00C66548" w:rsidRPr="00C66548" w:rsidRDefault="00C66548" w:rsidP="009D0776">
      <w:pPr>
        <w:pStyle w:val="affffb"/>
        <w:ind w:firstLine="420"/>
      </w:pPr>
      <w:r>
        <w:rPr>
          <w:rFonts w:hint="eastAsia"/>
        </w:rPr>
        <w:t>G</w:t>
      </w:r>
      <w:r>
        <w:t xml:space="preserve">B 16297 </w:t>
      </w:r>
      <w:r w:rsidRPr="00C66548">
        <w:rPr>
          <w:rFonts w:hint="eastAsia"/>
        </w:rPr>
        <w:t>大气污染物综合排放标准</w:t>
      </w:r>
    </w:p>
    <w:p w14:paraId="0898737A"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16899  自动扶梯和自动人行道的制造与安装安全规范</w:t>
      </w:r>
    </w:p>
    <w:p w14:paraId="5B92CCFC" w14:textId="77777777" w:rsidR="00746C7D" w:rsidRPr="00765F6E" w:rsidRDefault="00746C7D" w:rsidP="009D0776">
      <w:pPr>
        <w:pStyle w:val="affffb"/>
        <w:ind w:firstLine="420"/>
      </w:pPr>
      <w:r w:rsidRPr="00765F6E">
        <w:t xml:space="preserve">GB 17945  </w:t>
      </w:r>
      <w:r w:rsidRPr="00765F6E">
        <w:rPr>
          <w:rFonts w:hint="eastAsia"/>
        </w:rPr>
        <w:t>消防应急照明和疏散指示系统</w:t>
      </w:r>
    </w:p>
    <w:p w14:paraId="29CECC32" w14:textId="77777777" w:rsidR="00746C7D" w:rsidRPr="00765F6E" w:rsidRDefault="00746C7D" w:rsidP="009D0776">
      <w:pPr>
        <w:pStyle w:val="affffb"/>
        <w:ind w:firstLine="420"/>
      </w:pPr>
      <w:r w:rsidRPr="00765F6E">
        <w:rPr>
          <w:rFonts w:hint="eastAsia"/>
        </w:rPr>
        <w:t xml:space="preserve">GB 18306 </w:t>
      </w:r>
      <w:r w:rsidRPr="00765F6E">
        <w:t xml:space="preserve"> </w:t>
      </w:r>
      <w:r w:rsidRPr="00765F6E">
        <w:rPr>
          <w:rFonts w:hint="eastAsia"/>
        </w:rPr>
        <w:t>中国地震动参数区划图</w:t>
      </w:r>
    </w:p>
    <w:p w14:paraId="7D7C5C2C" w14:textId="77777777" w:rsidR="00746C7D" w:rsidRPr="00765F6E" w:rsidRDefault="00746C7D" w:rsidP="009D0776">
      <w:pPr>
        <w:pStyle w:val="affffb"/>
        <w:ind w:firstLine="420"/>
      </w:pPr>
      <w:r w:rsidRPr="00AB04C1">
        <w:rPr>
          <w:rFonts w:hint="eastAsia"/>
        </w:rPr>
        <w:t>GB/T</w:t>
      </w:r>
      <w:r w:rsidRPr="00AB04C1">
        <w:t xml:space="preserve"> </w:t>
      </w:r>
      <w:r w:rsidRPr="00AB04C1">
        <w:rPr>
          <w:rFonts w:hint="eastAsia"/>
        </w:rPr>
        <w:t>19531</w:t>
      </w:r>
      <w:r w:rsidRPr="00765F6E">
        <w:rPr>
          <w:rFonts w:hint="eastAsia"/>
        </w:rPr>
        <w:t xml:space="preserve">  地震台站观测环境技术要求</w:t>
      </w:r>
    </w:p>
    <w:p w14:paraId="26E9052A"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20840.</w:t>
      </w:r>
      <w:r w:rsidRPr="00765F6E">
        <w:t xml:space="preserve">1  </w:t>
      </w:r>
      <w:r w:rsidRPr="00765F6E">
        <w:rPr>
          <w:rFonts w:hint="eastAsia"/>
        </w:rPr>
        <w:t xml:space="preserve">互感器 </w:t>
      </w:r>
      <w:r w:rsidRPr="00765F6E">
        <w:t xml:space="preserve"> </w:t>
      </w:r>
      <w:r w:rsidRPr="00765F6E">
        <w:rPr>
          <w:rFonts w:hint="eastAsia"/>
        </w:rPr>
        <w:t>第1部分：通用技术要求</w:t>
      </w:r>
    </w:p>
    <w:p w14:paraId="5477D56D"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20840.</w:t>
      </w:r>
      <w:r w:rsidRPr="00765F6E">
        <w:t xml:space="preserve">2  </w:t>
      </w:r>
      <w:r w:rsidRPr="00765F6E">
        <w:rPr>
          <w:rFonts w:hint="eastAsia"/>
        </w:rPr>
        <w:t xml:space="preserve">互感器 </w:t>
      </w:r>
      <w:r w:rsidRPr="00765F6E">
        <w:t xml:space="preserve"> </w:t>
      </w:r>
      <w:r w:rsidRPr="00765F6E">
        <w:rPr>
          <w:rFonts w:hint="eastAsia"/>
        </w:rPr>
        <w:t>第2部分：电流互感器的补充技术要求</w:t>
      </w:r>
    </w:p>
    <w:p w14:paraId="1443A725" w14:textId="77777777" w:rsidR="00746C7D" w:rsidRPr="00765F6E" w:rsidRDefault="00746C7D" w:rsidP="009D0776">
      <w:pPr>
        <w:pStyle w:val="affffb"/>
        <w:ind w:firstLine="420"/>
      </w:pPr>
      <w:r w:rsidRPr="00765F6E">
        <w:rPr>
          <w:rFonts w:hint="eastAsia"/>
        </w:rPr>
        <w:lastRenderedPageBreak/>
        <w:t>GB</w:t>
      </w:r>
      <w:r w:rsidRPr="00765F6E">
        <w:t xml:space="preserve"> </w:t>
      </w:r>
      <w:r w:rsidRPr="00765F6E">
        <w:rPr>
          <w:rFonts w:hint="eastAsia"/>
        </w:rPr>
        <w:t>20840.</w:t>
      </w:r>
      <w:r w:rsidRPr="00765F6E">
        <w:t xml:space="preserve">3  </w:t>
      </w:r>
      <w:r w:rsidRPr="00765F6E">
        <w:rPr>
          <w:rFonts w:hint="eastAsia"/>
        </w:rPr>
        <w:t xml:space="preserve">互感器 </w:t>
      </w:r>
      <w:r w:rsidRPr="00765F6E">
        <w:t xml:space="preserve"> </w:t>
      </w:r>
      <w:r w:rsidRPr="00765F6E">
        <w:rPr>
          <w:rFonts w:hint="eastAsia"/>
        </w:rPr>
        <w:t>第3部分：电磁式电压互感器的补充技术要求</w:t>
      </w:r>
    </w:p>
    <w:p w14:paraId="026FE32D" w14:textId="4B6EB3E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21413</w:t>
      </w:r>
      <w:r w:rsidR="00DF4AF5">
        <w:rPr>
          <w:rFonts w:hint="eastAsia"/>
        </w:rPr>
        <w:t>（所有部分）</w:t>
      </w:r>
      <w:r w:rsidRPr="00765F6E">
        <w:rPr>
          <w:rFonts w:hint="eastAsia"/>
        </w:rPr>
        <w:t xml:space="preserve">  </w:t>
      </w:r>
      <w:r>
        <w:rPr>
          <w:rFonts w:hint="eastAsia"/>
        </w:rPr>
        <w:t>轨道交通 机车车辆电气设备</w:t>
      </w:r>
    </w:p>
    <w:p w14:paraId="196AF9AF" w14:textId="77777777" w:rsidR="00746C7D" w:rsidRPr="00765F6E" w:rsidRDefault="00746C7D" w:rsidP="009D0776">
      <w:pPr>
        <w:pStyle w:val="affffb"/>
        <w:ind w:firstLine="420"/>
      </w:pPr>
      <w:r w:rsidRPr="00765F6E">
        <w:t>GB/T 21414  轨道交通 机车车辆 电气隐患防护的规定</w:t>
      </w:r>
    </w:p>
    <w:p w14:paraId="37F97B3B"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 xml:space="preserve">21561.1 </w:t>
      </w:r>
      <w:r w:rsidRPr="00765F6E">
        <w:t xml:space="preserve"> </w:t>
      </w:r>
      <w:r w:rsidRPr="00765F6E">
        <w:rPr>
          <w:rFonts w:hint="eastAsia"/>
        </w:rPr>
        <w:t xml:space="preserve">轨道交通 </w:t>
      </w:r>
      <w:r w:rsidRPr="00765F6E">
        <w:t xml:space="preserve"> </w:t>
      </w:r>
      <w:r w:rsidRPr="00765F6E">
        <w:rPr>
          <w:rFonts w:hint="eastAsia"/>
        </w:rPr>
        <w:t xml:space="preserve">机车车辆受电弓特性和试验 </w:t>
      </w:r>
      <w:r w:rsidRPr="00765F6E">
        <w:t xml:space="preserve"> </w:t>
      </w:r>
      <w:r w:rsidRPr="00765F6E">
        <w:rPr>
          <w:rFonts w:hint="eastAsia"/>
        </w:rPr>
        <w:t>第1部分：干线机车车辆受电弓</w:t>
      </w:r>
    </w:p>
    <w:p w14:paraId="78F949F1"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21561.2</w:t>
      </w:r>
      <w:r w:rsidRPr="00765F6E">
        <w:t xml:space="preserve">  </w:t>
      </w:r>
      <w:r w:rsidRPr="00765F6E">
        <w:rPr>
          <w:rFonts w:hint="eastAsia"/>
        </w:rPr>
        <w:t xml:space="preserve">轨道交通 </w:t>
      </w:r>
      <w:r w:rsidRPr="00765F6E">
        <w:t xml:space="preserve"> </w:t>
      </w:r>
      <w:r w:rsidRPr="00765F6E">
        <w:rPr>
          <w:rFonts w:hint="eastAsia"/>
        </w:rPr>
        <w:t xml:space="preserve">机车车辆受电弓特性和试验 </w:t>
      </w:r>
      <w:r w:rsidRPr="00765F6E">
        <w:t xml:space="preserve"> </w:t>
      </w:r>
      <w:r w:rsidRPr="00765F6E">
        <w:rPr>
          <w:rFonts w:hint="eastAsia"/>
        </w:rPr>
        <w:t>第2部分：地铁和轻轨车辆受电弓</w:t>
      </w:r>
    </w:p>
    <w:p w14:paraId="0E9695A5"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23239  信息安全技术网络安全等级保护基本要求</w:t>
      </w:r>
    </w:p>
    <w:p w14:paraId="41F78E6B"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 xml:space="preserve">24338.2  轨道交通电磁兼容 </w:t>
      </w:r>
      <w:r w:rsidRPr="00765F6E">
        <w:t xml:space="preserve"> </w:t>
      </w:r>
      <w:r w:rsidRPr="00765F6E">
        <w:rPr>
          <w:rFonts w:hint="eastAsia"/>
        </w:rPr>
        <w:t>第2部分：整个轨道系统对外界的发射</w:t>
      </w:r>
    </w:p>
    <w:p w14:paraId="511F708B"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25119</w:t>
      </w:r>
      <w:r w:rsidRPr="00765F6E">
        <w:t xml:space="preserve">  轨道交通  机车车辆电子装置</w:t>
      </w:r>
    </w:p>
    <w:p w14:paraId="3E2D5DE3"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25120</w:t>
      </w:r>
      <w:r w:rsidRPr="00765F6E">
        <w:t xml:space="preserve">  轨道交通  机车车辆牵引变压器和电抗器</w:t>
      </w:r>
    </w:p>
    <w:p w14:paraId="6D779BB0"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25122.1</w:t>
      </w:r>
      <w:r w:rsidRPr="00765F6E">
        <w:t xml:space="preserve">  </w:t>
      </w:r>
      <w:r w:rsidRPr="00765F6E">
        <w:rPr>
          <w:rFonts w:hint="eastAsia"/>
        </w:rPr>
        <w:t>轨道交通 机车车辆用电力变流器</w:t>
      </w:r>
      <w:r w:rsidRPr="00765F6E">
        <w:t xml:space="preserve">  </w:t>
      </w:r>
      <w:r w:rsidRPr="00765F6E">
        <w:rPr>
          <w:rFonts w:hint="eastAsia"/>
        </w:rPr>
        <w:t>第1部分：特性和试验方法</w:t>
      </w:r>
    </w:p>
    <w:p w14:paraId="209CA10E"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25123.2</w:t>
      </w:r>
      <w:r w:rsidRPr="00765F6E">
        <w:t xml:space="preserve">  </w:t>
      </w:r>
      <w:r w:rsidRPr="00765F6E">
        <w:rPr>
          <w:rFonts w:hint="eastAsia"/>
        </w:rPr>
        <w:t xml:space="preserve">电力牵引 </w:t>
      </w:r>
      <w:r w:rsidRPr="00765F6E">
        <w:t xml:space="preserve"> </w:t>
      </w:r>
      <w:r w:rsidRPr="00765F6E">
        <w:rPr>
          <w:rFonts w:hint="eastAsia"/>
        </w:rPr>
        <w:t xml:space="preserve">轨道机车车辆和公路车辆用旋转电机 </w:t>
      </w:r>
      <w:r w:rsidRPr="00765F6E">
        <w:t xml:space="preserve"> </w:t>
      </w:r>
      <w:r w:rsidRPr="00765F6E">
        <w:rPr>
          <w:rFonts w:hint="eastAsia"/>
        </w:rPr>
        <w:t>第2部分：电子变流器供电的交流电动机</w:t>
      </w:r>
    </w:p>
    <w:p w14:paraId="33DB6224"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25123.</w:t>
      </w:r>
      <w:r w:rsidRPr="00765F6E">
        <w:t xml:space="preserve">4  </w:t>
      </w:r>
      <w:r w:rsidRPr="00765F6E">
        <w:rPr>
          <w:rFonts w:hint="eastAsia"/>
        </w:rPr>
        <w:t xml:space="preserve">电力牵引 </w:t>
      </w:r>
      <w:r w:rsidRPr="00765F6E">
        <w:t xml:space="preserve"> </w:t>
      </w:r>
      <w:r w:rsidRPr="00765F6E">
        <w:rPr>
          <w:rFonts w:hint="eastAsia"/>
        </w:rPr>
        <w:t xml:space="preserve">轨道机车车辆和公路车辆用旋转电机 </w:t>
      </w:r>
      <w:r w:rsidRPr="00765F6E">
        <w:t xml:space="preserve"> </w:t>
      </w:r>
      <w:r w:rsidRPr="00765F6E">
        <w:rPr>
          <w:rFonts w:hint="eastAsia"/>
        </w:rPr>
        <w:t>第4部分：与电子变流器相连的永磁同步电机</w:t>
      </w:r>
    </w:p>
    <w:p w14:paraId="0250C092"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28026.1</w:t>
      </w:r>
      <w:r w:rsidRPr="00765F6E">
        <w:t xml:space="preserve">  </w:t>
      </w:r>
      <w:r w:rsidRPr="00765F6E">
        <w:rPr>
          <w:rFonts w:hint="eastAsia"/>
        </w:rPr>
        <w:t xml:space="preserve">轨道交通 </w:t>
      </w:r>
      <w:r w:rsidRPr="00765F6E">
        <w:t xml:space="preserve"> </w:t>
      </w:r>
      <w:r w:rsidRPr="00765F6E">
        <w:rPr>
          <w:rFonts w:hint="eastAsia"/>
        </w:rPr>
        <w:t xml:space="preserve">地面装置 </w:t>
      </w:r>
      <w:r w:rsidRPr="00765F6E">
        <w:t xml:space="preserve"> </w:t>
      </w:r>
      <w:r w:rsidRPr="00765F6E">
        <w:rPr>
          <w:rFonts w:hint="eastAsia"/>
        </w:rPr>
        <w:t>电气安全、接地和回</w:t>
      </w:r>
      <w:r>
        <w:rPr>
          <w:rFonts w:hint="eastAsia"/>
        </w:rPr>
        <w:t>流</w:t>
      </w:r>
      <w:r w:rsidRPr="00765F6E">
        <w:rPr>
          <w:rFonts w:hint="eastAsia"/>
        </w:rPr>
        <w:t xml:space="preserve"> </w:t>
      </w:r>
      <w:r w:rsidRPr="00765F6E">
        <w:t xml:space="preserve"> </w:t>
      </w:r>
      <w:r w:rsidRPr="00765F6E">
        <w:rPr>
          <w:rFonts w:hint="eastAsia"/>
        </w:rPr>
        <w:t>第1部分：电击防护措施</w:t>
      </w:r>
    </w:p>
    <w:p w14:paraId="6EF84B12" w14:textId="77777777" w:rsidR="00746C7D" w:rsidRPr="00765F6E" w:rsidRDefault="00746C7D" w:rsidP="009D0776">
      <w:pPr>
        <w:pStyle w:val="affffb"/>
        <w:ind w:firstLine="420"/>
      </w:pPr>
      <w:bookmarkStart w:id="45" w:name="OLE_LINK5"/>
      <w:r w:rsidRPr="00765F6E">
        <w:rPr>
          <w:rFonts w:hint="eastAsia"/>
        </w:rPr>
        <w:t>GB/T</w:t>
      </w:r>
      <w:r w:rsidRPr="00765F6E">
        <w:t xml:space="preserve"> </w:t>
      </w:r>
      <w:r w:rsidRPr="00765F6E">
        <w:rPr>
          <w:rFonts w:hint="eastAsia"/>
        </w:rPr>
        <w:t>28026.2</w:t>
      </w:r>
      <w:bookmarkEnd w:id="45"/>
      <w:r w:rsidRPr="00765F6E">
        <w:rPr>
          <w:rFonts w:hint="eastAsia"/>
        </w:rPr>
        <w:t xml:space="preserve">  </w:t>
      </w:r>
      <w:r w:rsidRPr="0095309F">
        <w:rPr>
          <w:rFonts w:hint="eastAsia"/>
        </w:rPr>
        <w:t xml:space="preserve">轨道交通 </w:t>
      </w:r>
      <w:r w:rsidRPr="0095309F">
        <w:t xml:space="preserve"> </w:t>
      </w:r>
      <w:r w:rsidRPr="0095309F">
        <w:rPr>
          <w:rFonts w:hint="eastAsia"/>
        </w:rPr>
        <w:t xml:space="preserve">地面装置 </w:t>
      </w:r>
      <w:r w:rsidRPr="0095309F">
        <w:t xml:space="preserve"> </w:t>
      </w:r>
      <w:r w:rsidRPr="0095309F">
        <w:rPr>
          <w:rFonts w:hint="eastAsia"/>
        </w:rPr>
        <w:t xml:space="preserve">电气安全、接地和回流 </w:t>
      </w:r>
      <w:r w:rsidRPr="0095309F">
        <w:t xml:space="preserve"> </w:t>
      </w:r>
      <w:r w:rsidRPr="0095309F">
        <w:rPr>
          <w:rFonts w:hint="eastAsia"/>
        </w:rPr>
        <w:t>第2部分：直流牵引供电系统杂散电流的防护措施</w:t>
      </w:r>
    </w:p>
    <w:p w14:paraId="4664EDEC" w14:textId="77777777" w:rsidR="00746C7D" w:rsidRPr="00765F6E" w:rsidRDefault="00746C7D" w:rsidP="009D0776">
      <w:pPr>
        <w:pStyle w:val="affffb"/>
        <w:ind w:firstLine="420"/>
      </w:pPr>
      <w:r w:rsidRPr="00765F6E">
        <w:rPr>
          <w:rFonts w:hint="eastAsia"/>
        </w:rPr>
        <w:t>GB/T 32578</w:t>
      </w:r>
      <w:r w:rsidRPr="00765F6E">
        <w:t xml:space="preserve">  </w:t>
      </w:r>
      <w:r w:rsidRPr="00765F6E">
        <w:rPr>
          <w:rFonts w:hint="eastAsia"/>
        </w:rPr>
        <w:t>轨道交通 地面装置 电力牵引架空接触网</w:t>
      </w:r>
    </w:p>
    <w:p w14:paraId="3FBFE0CC"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34571</w:t>
      </w:r>
      <w:r w:rsidRPr="00765F6E">
        <w:t xml:space="preserve">  轨道交通  机车车辆布线规则</w:t>
      </w:r>
    </w:p>
    <w:p w14:paraId="3F1FD04B"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 xml:space="preserve">36981  轨道交通 </w:t>
      </w:r>
      <w:r w:rsidRPr="00765F6E">
        <w:t xml:space="preserve"> </w:t>
      </w:r>
      <w:r w:rsidRPr="00765F6E">
        <w:rPr>
          <w:rFonts w:hint="eastAsia"/>
        </w:rPr>
        <w:t>客运列车断电过分相系统相互匹配准则</w:t>
      </w:r>
    </w:p>
    <w:p w14:paraId="4286B373"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 xml:space="preserve">50009  建筑结构荷载规范 </w:t>
      </w:r>
    </w:p>
    <w:p w14:paraId="449F1353"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50010  混凝土结构设计规范</w:t>
      </w:r>
    </w:p>
    <w:p w14:paraId="25B53B1C"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50011  建筑抗震设计规范</w:t>
      </w:r>
    </w:p>
    <w:p w14:paraId="34A9607D"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50014  室外排水设计标准</w:t>
      </w:r>
    </w:p>
    <w:p w14:paraId="60E7618B"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50015</w:t>
      </w:r>
      <w:r w:rsidRPr="00765F6E">
        <w:t xml:space="preserve">  </w:t>
      </w:r>
      <w:r w:rsidRPr="00765F6E">
        <w:rPr>
          <w:rFonts w:hint="eastAsia"/>
        </w:rPr>
        <w:t>建筑给水排水设计标准</w:t>
      </w:r>
    </w:p>
    <w:p w14:paraId="2795EBF0" w14:textId="77777777" w:rsidR="00746C7D" w:rsidRPr="00765F6E" w:rsidRDefault="00746C7D" w:rsidP="009D0776">
      <w:pPr>
        <w:pStyle w:val="affffb"/>
        <w:ind w:firstLine="420"/>
      </w:pPr>
      <w:r w:rsidRPr="00765F6E">
        <w:t xml:space="preserve">GB 50016  </w:t>
      </w:r>
      <w:r w:rsidRPr="00765F6E">
        <w:rPr>
          <w:rFonts w:hint="eastAsia"/>
        </w:rPr>
        <w:t>建筑设计防火规范</w:t>
      </w:r>
    </w:p>
    <w:p w14:paraId="3D8912E1" w14:textId="77777777" w:rsidR="00746C7D" w:rsidRPr="00765F6E" w:rsidRDefault="00746C7D" w:rsidP="009D0776">
      <w:pPr>
        <w:pStyle w:val="affffb"/>
        <w:ind w:firstLine="420"/>
      </w:pPr>
      <w:r w:rsidRPr="00765F6E">
        <w:t xml:space="preserve">GB 50017  </w:t>
      </w:r>
      <w:r w:rsidRPr="00765F6E">
        <w:rPr>
          <w:rFonts w:hint="eastAsia"/>
        </w:rPr>
        <w:t>钢结构设计标准</w:t>
      </w:r>
    </w:p>
    <w:p w14:paraId="4EA62086"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50019  工业建筑供暖通风与空气调节设计规范</w:t>
      </w:r>
    </w:p>
    <w:p w14:paraId="563A85E7"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50028  城镇燃气设计规范</w:t>
      </w:r>
    </w:p>
    <w:p w14:paraId="1E2FC4DD" w14:textId="77777777" w:rsidR="00746C7D" w:rsidRDefault="00746C7D" w:rsidP="009D0776">
      <w:pPr>
        <w:pStyle w:val="affffb"/>
        <w:ind w:firstLine="420"/>
      </w:pPr>
      <w:r w:rsidRPr="00765F6E">
        <w:rPr>
          <w:rFonts w:hint="eastAsia"/>
        </w:rPr>
        <w:t>GB</w:t>
      </w:r>
      <w:r w:rsidRPr="00765F6E">
        <w:t xml:space="preserve"> </w:t>
      </w:r>
      <w:r w:rsidRPr="00765F6E">
        <w:rPr>
          <w:rFonts w:hint="eastAsia"/>
        </w:rPr>
        <w:t>50034  建筑照明设计标准</w:t>
      </w:r>
    </w:p>
    <w:p w14:paraId="29A012E0" w14:textId="77777777" w:rsidR="00746C7D" w:rsidRPr="00765F6E" w:rsidRDefault="00746C7D" w:rsidP="009D0776">
      <w:pPr>
        <w:pStyle w:val="affffb"/>
        <w:ind w:firstLine="420"/>
      </w:pPr>
      <w:r w:rsidRPr="00765F6E">
        <w:rPr>
          <w:rFonts w:hint="eastAsia"/>
        </w:rPr>
        <w:t>GB 50038</w:t>
      </w:r>
      <w:r>
        <w:t xml:space="preserve">  </w:t>
      </w:r>
      <w:r w:rsidRPr="005A1F9E">
        <w:rPr>
          <w:rFonts w:hint="eastAsia"/>
        </w:rPr>
        <w:t>人民防空地下室设计规范</w:t>
      </w:r>
    </w:p>
    <w:p w14:paraId="7D00E4E0"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50052  供配电系统设计规范</w:t>
      </w:r>
    </w:p>
    <w:p w14:paraId="26596CD9"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50054  低压配电设计规范</w:t>
      </w:r>
    </w:p>
    <w:p w14:paraId="4FB183E4"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50055  通用用电设备配电设计规范</w:t>
      </w:r>
    </w:p>
    <w:p w14:paraId="681DB178" w14:textId="77777777" w:rsidR="00746C7D" w:rsidRPr="00765F6E" w:rsidRDefault="00746C7D" w:rsidP="009D0776">
      <w:pPr>
        <w:pStyle w:val="affffb"/>
        <w:ind w:firstLine="420"/>
      </w:pPr>
      <w:r w:rsidRPr="00765F6E">
        <w:rPr>
          <w:rFonts w:hint="eastAsia"/>
        </w:rPr>
        <w:t>GB 50057</w:t>
      </w:r>
      <w:r w:rsidRPr="00765F6E">
        <w:t xml:space="preserve">  </w:t>
      </w:r>
      <w:r w:rsidRPr="00765F6E">
        <w:rPr>
          <w:rFonts w:hint="eastAsia"/>
        </w:rPr>
        <w:t>建筑物防雷设计规范</w:t>
      </w:r>
    </w:p>
    <w:p w14:paraId="562E3B28"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50060  3～110kV高压配电装置设计规范</w:t>
      </w:r>
    </w:p>
    <w:p w14:paraId="46A06352" w14:textId="77777777" w:rsidR="00746C7D" w:rsidRPr="00765F6E" w:rsidRDefault="00746C7D" w:rsidP="009D0776">
      <w:pPr>
        <w:pStyle w:val="affffb"/>
        <w:ind w:firstLine="420"/>
      </w:pPr>
      <w:r w:rsidRPr="00765F6E">
        <w:t xml:space="preserve">GB 50061  </w:t>
      </w:r>
      <w:r w:rsidRPr="00765F6E">
        <w:rPr>
          <w:rFonts w:hint="eastAsia"/>
        </w:rPr>
        <w:t>66kv及以下架空电力线路设计国家标准规范</w:t>
      </w:r>
    </w:p>
    <w:p w14:paraId="120F08F3"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50062  电力装置的继电保护和自动装置设计规范</w:t>
      </w:r>
    </w:p>
    <w:p w14:paraId="65D702AE"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50064  交流电气装置的过电压保护和绝缘配合设计规范</w:t>
      </w:r>
    </w:p>
    <w:p w14:paraId="048EB417"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50065  交流电气装置的接地设计规范</w:t>
      </w:r>
    </w:p>
    <w:p w14:paraId="719F98E4"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50084  自动喷水灭火系统设计规范</w:t>
      </w:r>
    </w:p>
    <w:p w14:paraId="12B9480F"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50108  地下工程防水技术规范</w:t>
      </w:r>
    </w:p>
    <w:p w14:paraId="690E2A35"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 xml:space="preserve">50111  铁路工程抗震设计规范 </w:t>
      </w:r>
    </w:p>
    <w:p w14:paraId="5F762D63" w14:textId="77777777" w:rsidR="00746C7D" w:rsidRDefault="00746C7D" w:rsidP="009D0776">
      <w:pPr>
        <w:pStyle w:val="affffb"/>
        <w:ind w:firstLine="420"/>
      </w:pPr>
      <w:r w:rsidRPr="00765F6E">
        <w:rPr>
          <w:rFonts w:hint="eastAsia"/>
        </w:rPr>
        <w:lastRenderedPageBreak/>
        <w:t>GB</w:t>
      </w:r>
      <w:r w:rsidRPr="00765F6E">
        <w:t xml:space="preserve"> </w:t>
      </w:r>
      <w:r w:rsidRPr="00765F6E">
        <w:rPr>
          <w:rFonts w:hint="eastAsia"/>
        </w:rPr>
        <w:t>50</w:t>
      </w:r>
      <w:r w:rsidRPr="00765F6E">
        <w:t>116</w:t>
      </w:r>
      <w:r w:rsidRPr="00765F6E">
        <w:rPr>
          <w:rFonts w:hint="eastAsia"/>
        </w:rPr>
        <w:t xml:space="preserve">  火灾自动报警系统设计规范</w:t>
      </w:r>
    </w:p>
    <w:p w14:paraId="53B80BA6" w14:textId="77777777" w:rsidR="00746C7D" w:rsidRPr="00765F6E" w:rsidRDefault="00746C7D" w:rsidP="009D0776">
      <w:pPr>
        <w:pStyle w:val="affffb"/>
        <w:ind w:firstLine="420"/>
      </w:pPr>
      <w:r w:rsidRPr="004B2B1F">
        <w:t>GB 50139</w:t>
      </w:r>
      <w:r>
        <w:t xml:space="preserve">  </w:t>
      </w:r>
      <w:r>
        <w:rPr>
          <w:rFonts w:hint="eastAsia"/>
        </w:rPr>
        <w:t>内河通航标准</w:t>
      </w:r>
    </w:p>
    <w:p w14:paraId="56A3D398"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50140  建筑灭火器配置设计规范</w:t>
      </w:r>
    </w:p>
    <w:p w14:paraId="65F94476"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 xml:space="preserve">50156  </w:t>
      </w:r>
      <w:r w:rsidRPr="005E4A53">
        <w:rPr>
          <w:rFonts w:hint="eastAsia"/>
        </w:rPr>
        <w:t>汽车加油加气加氢站技术标准</w:t>
      </w:r>
    </w:p>
    <w:p w14:paraId="26C43F55"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50157  地铁设计规范</w:t>
      </w:r>
    </w:p>
    <w:p w14:paraId="51BE58E6"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50174  数据中心设计规范</w:t>
      </w:r>
    </w:p>
    <w:p w14:paraId="0E65522A"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50189  公共建筑节能设计标准</w:t>
      </w:r>
    </w:p>
    <w:p w14:paraId="600DCA3B"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50217  电力工程电缆设计标准</w:t>
      </w:r>
    </w:p>
    <w:p w14:paraId="0C142363"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50227  并联电容器装置设计规范</w:t>
      </w:r>
    </w:p>
    <w:p w14:paraId="7B9E3A4B"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50229  火力发电厂与电站设计防火规范</w:t>
      </w:r>
    </w:p>
    <w:p w14:paraId="002F4B55"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50343  建筑物电子信息系统防雷技术规范</w:t>
      </w:r>
    </w:p>
    <w:p w14:paraId="3169A790"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50370  气体灭火系统设计规范</w:t>
      </w:r>
    </w:p>
    <w:p w14:paraId="3D4E152F" w14:textId="77777777" w:rsidR="00746C7D" w:rsidRPr="00765F6E" w:rsidRDefault="00746C7D" w:rsidP="009D0776">
      <w:pPr>
        <w:pStyle w:val="affffb"/>
        <w:ind w:firstLine="420"/>
      </w:pPr>
      <w:r w:rsidRPr="00765F6E">
        <w:t xml:space="preserve">GB 50394  </w:t>
      </w:r>
      <w:r w:rsidRPr="00765F6E">
        <w:rPr>
          <w:rFonts w:hint="eastAsia"/>
        </w:rPr>
        <w:t>入侵报警系统工程设计规范[附条文说明]</w:t>
      </w:r>
    </w:p>
    <w:p w14:paraId="778F7414"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50452  古建筑防工业振动技术规范</w:t>
      </w:r>
    </w:p>
    <w:p w14:paraId="55651275" w14:textId="6959A231"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50476</w:t>
      </w:r>
      <w:r w:rsidR="00293BB7">
        <w:t>-2019</w:t>
      </w:r>
      <w:r w:rsidRPr="00765F6E">
        <w:rPr>
          <w:rFonts w:hint="eastAsia"/>
        </w:rPr>
        <w:t xml:space="preserve">  混凝土结构耐久性设计标准</w:t>
      </w:r>
    </w:p>
    <w:p w14:paraId="218201A0" w14:textId="77777777" w:rsidR="00746C7D" w:rsidRPr="00765F6E" w:rsidRDefault="00746C7D" w:rsidP="009D0776">
      <w:pPr>
        <w:pStyle w:val="affffb"/>
        <w:ind w:firstLine="420"/>
      </w:pPr>
      <w:r w:rsidRPr="00765F6E">
        <w:t xml:space="preserve">GB 50490  </w:t>
      </w:r>
      <w:r w:rsidRPr="00765F6E">
        <w:rPr>
          <w:rFonts w:hint="eastAsia"/>
        </w:rPr>
        <w:t>城市轨道交通技术规范</w:t>
      </w:r>
    </w:p>
    <w:p w14:paraId="138518EA"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50652  城市轨道交通地下工程建设风险管理规范</w:t>
      </w:r>
    </w:p>
    <w:p w14:paraId="74198EEA" w14:textId="77777777"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50698  埋地钢质管道交流干扰防护技术标准</w:t>
      </w:r>
    </w:p>
    <w:p w14:paraId="138C92E8" w14:textId="0932DC08" w:rsidR="00746C7D" w:rsidRPr="00765F6E" w:rsidRDefault="00746C7D" w:rsidP="009D0776">
      <w:pPr>
        <w:pStyle w:val="affffb"/>
        <w:ind w:firstLine="420"/>
      </w:pPr>
      <w:r w:rsidRPr="00765F6E">
        <w:rPr>
          <w:rFonts w:hint="eastAsia"/>
        </w:rPr>
        <w:t>GB/T</w:t>
      </w:r>
      <w:r w:rsidRPr="00765F6E">
        <w:t xml:space="preserve"> </w:t>
      </w:r>
      <w:r w:rsidRPr="00765F6E">
        <w:rPr>
          <w:rFonts w:hint="eastAsia"/>
        </w:rPr>
        <w:t>50719  电磁屏蔽室工程技术规范</w:t>
      </w:r>
    </w:p>
    <w:p w14:paraId="12EC9757"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50736  民用建筑供暖通风与空气调节设计规范</w:t>
      </w:r>
    </w:p>
    <w:p w14:paraId="19769BE8"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50763  无障碍设计规范</w:t>
      </w:r>
    </w:p>
    <w:p w14:paraId="7647C8B4"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50794  消防给水及消火栓系统技术规范</w:t>
      </w:r>
    </w:p>
    <w:p w14:paraId="3AEB8EC9"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50909</w:t>
      </w:r>
      <w:r w:rsidRPr="00765F6E">
        <w:t xml:space="preserve">  </w:t>
      </w:r>
      <w:r w:rsidRPr="00765F6E">
        <w:rPr>
          <w:rFonts w:hint="eastAsia"/>
        </w:rPr>
        <w:t>城市轨道交通结构抗震设计规范</w:t>
      </w:r>
    </w:p>
    <w:p w14:paraId="79D19659"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50911  城市轨道交通工程监测技术规范</w:t>
      </w:r>
    </w:p>
    <w:p w14:paraId="7881D2A8"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50991  埋地钢质管道直流干扰防护技术标准</w:t>
      </w:r>
    </w:p>
    <w:p w14:paraId="277B80D4"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51158  通信线路工程设计规范</w:t>
      </w:r>
    </w:p>
    <w:p w14:paraId="4809F9FD"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51251  建筑防烟排烟系统技术规范</w:t>
      </w:r>
    </w:p>
    <w:p w14:paraId="41C848DC"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51298  地铁防火设计标准</w:t>
      </w:r>
    </w:p>
    <w:p w14:paraId="3B9FF39E"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w:t>
      </w:r>
      <w:r w:rsidRPr="00765F6E">
        <w:t>1309</w:t>
      </w:r>
      <w:r w:rsidRPr="00765F6E">
        <w:rPr>
          <w:rFonts w:hint="eastAsia"/>
        </w:rPr>
        <w:t xml:space="preserve">  消防应急照明和疏散指示系统技术标准</w:t>
      </w:r>
    </w:p>
    <w:p w14:paraId="0251CA1F" w14:textId="77777777" w:rsidR="00746C7D" w:rsidRPr="00765F6E" w:rsidRDefault="00746C7D" w:rsidP="009D0776">
      <w:pPr>
        <w:pStyle w:val="affffb"/>
        <w:ind w:firstLine="420"/>
      </w:pPr>
      <w:r w:rsidRPr="00765F6E">
        <w:rPr>
          <w:rFonts w:hint="eastAsia"/>
        </w:rPr>
        <w:t>GB/T 51336</w:t>
      </w:r>
      <w:r w:rsidRPr="00765F6E">
        <w:t xml:space="preserve">  </w:t>
      </w:r>
      <w:r w:rsidRPr="00765F6E">
        <w:rPr>
          <w:rFonts w:hint="eastAsia"/>
        </w:rPr>
        <w:t>地下结构抗震设计标准</w:t>
      </w:r>
    </w:p>
    <w:p w14:paraId="16C3B2F3" w14:textId="77777777" w:rsidR="00746C7D" w:rsidRDefault="00746C7D" w:rsidP="009D0776">
      <w:pPr>
        <w:pStyle w:val="affffb"/>
        <w:ind w:firstLine="420"/>
      </w:pPr>
      <w:r w:rsidRPr="00765F6E">
        <w:rPr>
          <w:rFonts w:hint="eastAsia"/>
        </w:rPr>
        <w:t>GB</w:t>
      </w:r>
      <w:r w:rsidRPr="00765F6E">
        <w:t xml:space="preserve"> </w:t>
      </w:r>
      <w:r w:rsidRPr="00765F6E">
        <w:rPr>
          <w:rFonts w:hint="eastAsia"/>
        </w:rPr>
        <w:t>5</w:t>
      </w:r>
      <w:r w:rsidRPr="00765F6E">
        <w:t>1348</w:t>
      </w:r>
      <w:r w:rsidRPr="00765F6E">
        <w:rPr>
          <w:rFonts w:hint="eastAsia"/>
        </w:rPr>
        <w:t xml:space="preserve">  民用建筑电气设计标准</w:t>
      </w:r>
    </w:p>
    <w:p w14:paraId="6CB4C3C8" w14:textId="77777777" w:rsidR="00746C7D" w:rsidRPr="00765F6E" w:rsidRDefault="00746C7D" w:rsidP="009D0776">
      <w:pPr>
        <w:pStyle w:val="affffb"/>
        <w:ind w:firstLine="420"/>
      </w:pPr>
      <w:r>
        <w:rPr>
          <w:rFonts w:hint="eastAsia"/>
        </w:rPr>
        <w:t>G</w:t>
      </w:r>
      <w:r>
        <w:t xml:space="preserve">B 55019  </w:t>
      </w:r>
      <w:r w:rsidRPr="00AF30A0">
        <w:rPr>
          <w:rFonts w:hint="eastAsia"/>
        </w:rPr>
        <w:t>建筑与市政工程无障碍通用规范</w:t>
      </w:r>
    </w:p>
    <w:p w14:paraId="6DC7C6A4"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w:t>
      </w:r>
      <w:r w:rsidRPr="00765F6E">
        <w:t>5020</w:t>
      </w:r>
      <w:r w:rsidRPr="00765F6E">
        <w:rPr>
          <w:rFonts w:hint="eastAsia"/>
        </w:rPr>
        <w:t xml:space="preserve">  建筑给水排水与节水通用规范</w:t>
      </w:r>
    </w:p>
    <w:p w14:paraId="241C6C81" w14:textId="77777777" w:rsidR="00746C7D" w:rsidRDefault="00746C7D" w:rsidP="009D0776">
      <w:pPr>
        <w:pStyle w:val="affffb"/>
        <w:ind w:firstLine="420"/>
      </w:pPr>
      <w:r w:rsidRPr="00765F6E">
        <w:rPr>
          <w:rFonts w:hint="eastAsia"/>
        </w:rPr>
        <w:t>GB</w:t>
      </w:r>
      <w:r w:rsidRPr="00765F6E">
        <w:t xml:space="preserve"> </w:t>
      </w:r>
      <w:r w:rsidRPr="00765F6E">
        <w:rPr>
          <w:rFonts w:hint="eastAsia"/>
        </w:rPr>
        <w:t xml:space="preserve">55030 </w:t>
      </w:r>
      <w:r w:rsidRPr="00765F6E">
        <w:t xml:space="preserve"> </w:t>
      </w:r>
      <w:r w:rsidRPr="00765F6E">
        <w:rPr>
          <w:rFonts w:hint="eastAsia"/>
        </w:rPr>
        <w:t>建筑与市政工程防水通用规范</w:t>
      </w:r>
    </w:p>
    <w:p w14:paraId="717B4C21" w14:textId="77777777" w:rsidR="00746C7D" w:rsidRPr="00765F6E" w:rsidRDefault="00746C7D" w:rsidP="009D0776">
      <w:pPr>
        <w:pStyle w:val="affffb"/>
        <w:ind w:firstLine="420"/>
      </w:pPr>
      <w:r w:rsidRPr="00765F6E">
        <w:rPr>
          <w:rFonts w:hint="eastAsia"/>
        </w:rPr>
        <w:t xml:space="preserve">GB </w:t>
      </w:r>
      <w:r w:rsidRPr="00765F6E">
        <w:t>55036</w:t>
      </w:r>
      <w:r>
        <w:t xml:space="preserve">  </w:t>
      </w:r>
      <w:r w:rsidRPr="00ED2D3D">
        <w:rPr>
          <w:rStyle w:val="affff1"/>
          <w:rFonts w:ascii="Arial" w:hAnsi="Arial" w:cs="Arial"/>
          <w:b w:val="0"/>
          <w:bCs w:val="0"/>
          <w:szCs w:val="21"/>
          <w:shd w:val="clear" w:color="auto" w:fill="FFFFFF"/>
        </w:rPr>
        <w:t>消防设施通用规范</w:t>
      </w:r>
    </w:p>
    <w:p w14:paraId="222481D4" w14:textId="77777777" w:rsidR="00746C7D" w:rsidRPr="00765F6E" w:rsidRDefault="00746C7D" w:rsidP="009D0776">
      <w:pPr>
        <w:pStyle w:val="affffb"/>
        <w:ind w:firstLine="420"/>
      </w:pPr>
      <w:r w:rsidRPr="00765F6E">
        <w:rPr>
          <w:rFonts w:hint="eastAsia"/>
        </w:rPr>
        <w:t>GB</w:t>
      </w:r>
      <w:r w:rsidRPr="00765F6E">
        <w:t xml:space="preserve"> </w:t>
      </w:r>
      <w:r w:rsidRPr="00765F6E">
        <w:rPr>
          <w:rFonts w:hint="eastAsia"/>
        </w:rPr>
        <w:t>55037</w:t>
      </w:r>
      <w:r w:rsidRPr="00765F6E">
        <w:t xml:space="preserve">  </w:t>
      </w:r>
      <w:r w:rsidRPr="00765F6E">
        <w:rPr>
          <w:rFonts w:hint="eastAsia"/>
        </w:rPr>
        <w:t>建筑防火通用规范</w:t>
      </w:r>
    </w:p>
    <w:p w14:paraId="6D9574F5" w14:textId="25FAA853" w:rsidR="00746C7D" w:rsidRDefault="00746C7D" w:rsidP="009D0776">
      <w:pPr>
        <w:pStyle w:val="affffb"/>
        <w:ind w:firstLine="420"/>
      </w:pPr>
      <w:r w:rsidRPr="00765F6E">
        <w:rPr>
          <w:rFonts w:hint="eastAsia"/>
        </w:rPr>
        <w:t>CJJ</w:t>
      </w:r>
      <w:r w:rsidRPr="00765F6E">
        <w:t>/</w:t>
      </w:r>
      <w:r w:rsidRPr="00765F6E">
        <w:rPr>
          <w:rFonts w:hint="eastAsia"/>
        </w:rPr>
        <w:t>T 49</w:t>
      </w:r>
      <w:r w:rsidR="0092720E">
        <w:rPr>
          <w:rFonts w:hint="eastAsia"/>
        </w:rPr>
        <w:t>-</w:t>
      </w:r>
      <w:r w:rsidR="0092720E">
        <w:t>2020</w:t>
      </w:r>
      <w:r w:rsidRPr="00765F6E">
        <w:rPr>
          <w:rFonts w:hint="eastAsia"/>
        </w:rPr>
        <w:t xml:space="preserve"> </w:t>
      </w:r>
      <w:r w:rsidRPr="00765F6E">
        <w:t xml:space="preserve"> </w:t>
      </w:r>
      <w:r w:rsidRPr="00765F6E">
        <w:rPr>
          <w:rFonts w:hint="eastAsia"/>
        </w:rPr>
        <w:t>地铁杂散电流腐蚀防护技术标准</w:t>
      </w:r>
    </w:p>
    <w:p w14:paraId="19B4DE22" w14:textId="77777777" w:rsidR="00746C7D" w:rsidRPr="004428BC" w:rsidRDefault="00746C7D" w:rsidP="009D0776">
      <w:pPr>
        <w:pStyle w:val="affffb"/>
        <w:ind w:firstLine="420"/>
      </w:pPr>
      <w:r w:rsidRPr="00765F6E">
        <w:rPr>
          <w:rFonts w:hAnsi="宋体"/>
        </w:rPr>
        <w:t>CJJ 166</w:t>
      </w:r>
      <w:r>
        <w:rPr>
          <w:rFonts w:hAnsi="宋体"/>
        </w:rPr>
        <w:t xml:space="preserve">  </w:t>
      </w:r>
      <w:r w:rsidRPr="004428BC">
        <w:rPr>
          <w:rFonts w:hAnsi="宋体" w:hint="eastAsia"/>
        </w:rPr>
        <w:t>城市桥梁抗震设计规范</w:t>
      </w:r>
    </w:p>
    <w:p w14:paraId="6CF5ABF6" w14:textId="00AF7655" w:rsidR="00746C7D" w:rsidRDefault="00746C7D" w:rsidP="009D0776">
      <w:pPr>
        <w:pStyle w:val="affffb"/>
        <w:ind w:firstLine="420"/>
      </w:pPr>
      <w:r w:rsidRPr="00765F6E">
        <w:rPr>
          <w:rFonts w:hint="eastAsia"/>
        </w:rPr>
        <w:t>DL/T 5352  高压配电装置设计技术规程</w:t>
      </w:r>
    </w:p>
    <w:p w14:paraId="665B3853" w14:textId="794A08FB" w:rsidR="00BD39EB" w:rsidRPr="00765F6E" w:rsidRDefault="00BD39EB" w:rsidP="009D0776">
      <w:pPr>
        <w:pStyle w:val="affffb"/>
        <w:ind w:firstLine="420"/>
      </w:pPr>
      <w:r>
        <w:rPr>
          <w:rFonts w:hint="eastAsia"/>
        </w:rPr>
        <w:t>J</w:t>
      </w:r>
      <w:r>
        <w:t xml:space="preserve">GJ/T 170 </w:t>
      </w:r>
      <w:r w:rsidRPr="00BD39EB">
        <w:rPr>
          <w:rFonts w:hint="eastAsia"/>
        </w:rPr>
        <w:t>城市轨道交通引起建筑物振动与二次辐射噪声限值及其测量方法标准</w:t>
      </w:r>
    </w:p>
    <w:p w14:paraId="27D2F754" w14:textId="77777777" w:rsidR="00746C7D" w:rsidRPr="00765F6E" w:rsidRDefault="00746C7D" w:rsidP="009D0776">
      <w:pPr>
        <w:pStyle w:val="affffb"/>
        <w:ind w:firstLine="420"/>
      </w:pPr>
      <w:r w:rsidRPr="00765F6E">
        <w:t xml:space="preserve">JGJ 8  </w:t>
      </w:r>
      <w:r w:rsidRPr="00765F6E">
        <w:rPr>
          <w:rFonts w:hint="eastAsia"/>
        </w:rPr>
        <w:t>建筑变形测量规范</w:t>
      </w:r>
    </w:p>
    <w:p w14:paraId="636707D6" w14:textId="77777777" w:rsidR="00746C7D" w:rsidRDefault="00746C7D" w:rsidP="009D0776">
      <w:pPr>
        <w:pStyle w:val="affffb"/>
        <w:ind w:firstLine="420"/>
      </w:pPr>
      <w:r w:rsidRPr="00765F6E">
        <w:rPr>
          <w:rFonts w:hint="eastAsia"/>
        </w:rPr>
        <w:t xml:space="preserve">JGJ 120 </w:t>
      </w:r>
      <w:r w:rsidRPr="00765F6E">
        <w:t xml:space="preserve"> </w:t>
      </w:r>
      <w:r w:rsidRPr="00765F6E">
        <w:rPr>
          <w:rFonts w:hint="eastAsia"/>
        </w:rPr>
        <w:t>建筑基坑支护技术规程</w:t>
      </w:r>
    </w:p>
    <w:p w14:paraId="02A49109" w14:textId="77777777" w:rsidR="00746C7D" w:rsidRDefault="00746C7D" w:rsidP="009D0776">
      <w:pPr>
        <w:pStyle w:val="affffb"/>
        <w:ind w:firstLine="420"/>
      </w:pPr>
      <w:r w:rsidRPr="00C67B64">
        <w:t>JGJ</w:t>
      </w:r>
      <w:r>
        <w:t xml:space="preserve"> </w:t>
      </w:r>
      <w:r w:rsidRPr="00C67B64">
        <w:t>476</w:t>
      </w:r>
      <w:r>
        <w:t xml:space="preserve">  </w:t>
      </w:r>
      <w:r w:rsidRPr="004428BC">
        <w:rPr>
          <w:rFonts w:hint="eastAsia"/>
        </w:rPr>
        <w:t xml:space="preserve"> 建筑工程抗浮技术标准</w:t>
      </w:r>
    </w:p>
    <w:p w14:paraId="7E5CB625" w14:textId="77777777" w:rsidR="00746C7D" w:rsidRDefault="00746C7D" w:rsidP="009D0776">
      <w:pPr>
        <w:pStyle w:val="affffb"/>
        <w:ind w:firstLine="420"/>
      </w:pPr>
      <w:r w:rsidRPr="00765F6E">
        <w:lastRenderedPageBreak/>
        <w:t>JT/T 1246</w:t>
      </w:r>
      <w:r>
        <w:t xml:space="preserve">  </w:t>
      </w:r>
      <w:r w:rsidRPr="004428BC">
        <w:rPr>
          <w:rFonts w:hint="eastAsia"/>
        </w:rPr>
        <w:t>公路与铁路两用桥梁通用技术要求</w:t>
      </w:r>
    </w:p>
    <w:p w14:paraId="45C4AC45" w14:textId="77777777" w:rsidR="00746C7D" w:rsidRPr="004E567F" w:rsidRDefault="00746C7D" w:rsidP="009D0776">
      <w:pPr>
        <w:pStyle w:val="affffb"/>
        <w:ind w:firstLine="420"/>
      </w:pPr>
      <w:r w:rsidRPr="00765F6E">
        <w:rPr>
          <w:rFonts w:hAnsi="宋体"/>
        </w:rPr>
        <w:t>JTG/T 2331-01</w:t>
      </w:r>
      <w:r>
        <w:rPr>
          <w:rFonts w:hAnsi="宋体"/>
        </w:rPr>
        <w:t xml:space="preserve">  </w:t>
      </w:r>
      <w:r w:rsidRPr="004E567F">
        <w:rPr>
          <w:rFonts w:hAnsi="宋体" w:hint="eastAsia"/>
        </w:rPr>
        <w:t>公路桥梁抗震设计规范</w:t>
      </w:r>
    </w:p>
    <w:p w14:paraId="2511A32B" w14:textId="646D16E6" w:rsidR="00746C7D" w:rsidRDefault="00746C7D" w:rsidP="009D0776">
      <w:pPr>
        <w:pStyle w:val="affffb"/>
        <w:ind w:firstLine="420"/>
      </w:pPr>
      <w:r w:rsidRPr="00765F6E">
        <w:rPr>
          <w:rFonts w:hint="eastAsia"/>
        </w:rPr>
        <w:t>JTG 3363</w:t>
      </w:r>
      <w:r w:rsidR="002808D3">
        <w:rPr>
          <w:rFonts w:hint="eastAsia"/>
        </w:rPr>
        <w:t>-</w:t>
      </w:r>
      <w:r w:rsidR="002808D3">
        <w:t>2019</w:t>
      </w:r>
      <w:r w:rsidRPr="00765F6E">
        <w:rPr>
          <w:rFonts w:hint="eastAsia"/>
        </w:rPr>
        <w:t xml:space="preserve">  公路桥涵地基与基础设计规范</w:t>
      </w:r>
    </w:p>
    <w:p w14:paraId="06B2D13F" w14:textId="4E114606" w:rsidR="00746C7D" w:rsidRDefault="00746C7D" w:rsidP="009D0776">
      <w:pPr>
        <w:pStyle w:val="affffb"/>
        <w:ind w:firstLine="420"/>
      </w:pPr>
      <w:r w:rsidRPr="00765F6E">
        <w:t xml:space="preserve">JTG D60  </w:t>
      </w:r>
      <w:r w:rsidRPr="00765F6E">
        <w:rPr>
          <w:rFonts w:hint="eastAsia"/>
        </w:rPr>
        <w:t>公路桥涵设计通用规范</w:t>
      </w:r>
    </w:p>
    <w:p w14:paraId="06069353" w14:textId="77777777" w:rsidR="00DF4AF5" w:rsidRPr="00765F6E" w:rsidRDefault="00DF4AF5" w:rsidP="00DF4AF5">
      <w:pPr>
        <w:pStyle w:val="affffb"/>
        <w:ind w:firstLine="420"/>
      </w:pPr>
      <w:r w:rsidRPr="00765F6E">
        <w:rPr>
          <w:rFonts w:hAnsi="宋体"/>
        </w:rPr>
        <w:t>JTG D81</w:t>
      </w:r>
      <w:r>
        <w:rPr>
          <w:rFonts w:hAnsi="宋体"/>
        </w:rPr>
        <w:t xml:space="preserve">  </w:t>
      </w:r>
      <w:r w:rsidRPr="004E567F">
        <w:rPr>
          <w:rFonts w:hAnsi="宋体" w:hint="eastAsia"/>
        </w:rPr>
        <w:t>公路交通安全设施设计细则</w:t>
      </w:r>
    </w:p>
    <w:p w14:paraId="151221C6" w14:textId="77777777" w:rsidR="00746C7D" w:rsidRPr="000B3D74" w:rsidRDefault="00746C7D" w:rsidP="009D0776">
      <w:pPr>
        <w:pStyle w:val="affffb"/>
        <w:ind w:leftChars="200" w:left="420" w:firstLineChars="0" w:firstLine="0"/>
      </w:pPr>
      <w:r w:rsidRPr="00346626">
        <w:t xml:space="preserve">Q/CR </w:t>
      </w:r>
      <w:bookmarkStart w:id="46" w:name="OLE_LINK18"/>
      <w:r w:rsidRPr="00346626">
        <w:t>687</w:t>
      </w:r>
      <w:bookmarkEnd w:id="46"/>
      <w:r w:rsidRPr="00346626">
        <w:t xml:space="preserve">  </w:t>
      </w:r>
      <w:r w:rsidRPr="00346626">
        <w:rPr>
          <w:rFonts w:hint="eastAsia"/>
        </w:rPr>
        <w:t>牵引供电系统继电保护配置及整定计算技术导则</w:t>
      </w:r>
    </w:p>
    <w:p w14:paraId="73A67222" w14:textId="77777777" w:rsidR="00746C7D" w:rsidRDefault="00746C7D" w:rsidP="009D0776">
      <w:pPr>
        <w:pStyle w:val="affffb"/>
        <w:ind w:leftChars="200" w:left="420" w:firstLineChars="0" w:firstLine="0"/>
      </w:pPr>
      <w:r w:rsidRPr="007B2A9C">
        <w:t xml:space="preserve">Q/CR </w:t>
      </w:r>
      <w:bookmarkStart w:id="47" w:name="OLE_LINK16"/>
      <w:r w:rsidRPr="007B2A9C">
        <w:t>9230</w:t>
      </w:r>
      <w:bookmarkEnd w:id="47"/>
      <w:r w:rsidRPr="007B2A9C">
        <w:t xml:space="preserve">  </w:t>
      </w:r>
      <w:r w:rsidRPr="007B2A9C">
        <w:rPr>
          <w:rFonts w:hint="eastAsia"/>
        </w:rPr>
        <w:t>铁路工程沉降变形观测与评估技术规范</w:t>
      </w:r>
    </w:p>
    <w:p w14:paraId="53756DF3" w14:textId="77777777" w:rsidR="00746C7D" w:rsidRPr="00765F6E" w:rsidRDefault="00746C7D" w:rsidP="009D0776">
      <w:pPr>
        <w:pStyle w:val="affffb"/>
        <w:ind w:leftChars="200" w:left="420" w:firstLineChars="0" w:firstLine="0"/>
      </w:pPr>
      <w:r w:rsidRPr="00765F6E">
        <w:rPr>
          <w:rFonts w:hint="eastAsia"/>
        </w:rPr>
        <w:t>YD</w:t>
      </w:r>
      <w:r w:rsidRPr="00765F6E">
        <w:t>/</w:t>
      </w:r>
      <w:r w:rsidRPr="00765F6E">
        <w:rPr>
          <w:rFonts w:hint="eastAsia"/>
        </w:rPr>
        <w:t>T</w:t>
      </w:r>
      <w:r>
        <w:t xml:space="preserve"> </w:t>
      </w:r>
      <w:r w:rsidRPr="00765F6E">
        <w:rPr>
          <w:rFonts w:hint="eastAsia"/>
        </w:rPr>
        <w:t>1012</w:t>
      </w:r>
      <w:r w:rsidRPr="00765F6E">
        <w:t xml:space="preserve">  </w:t>
      </w:r>
      <w:r w:rsidRPr="00765F6E">
        <w:rPr>
          <w:rFonts w:hint="eastAsia"/>
        </w:rPr>
        <w:t>数字同步网节点时钟系列及其定时特性</w:t>
      </w:r>
    </w:p>
    <w:p w14:paraId="5B07D6D2" w14:textId="77777777" w:rsidR="00746C7D" w:rsidRPr="00765F6E" w:rsidRDefault="00746C7D" w:rsidP="009D0776">
      <w:pPr>
        <w:pStyle w:val="affffb"/>
        <w:ind w:firstLine="420"/>
      </w:pPr>
      <w:r w:rsidRPr="00765F6E">
        <w:rPr>
          <w:rFonts w:hint="eastAsia"/>
        </w:rPr>
        <w:t>YD</w:t>
      </w:r>
      <w:r>
        <w:t xml:space="preserve"> </w:t>
      </w:r>
      <w:r w:rsidRPr="00765F6E">
        <w:rPr>
          <w:rFonts w:hint="eastAsia"/>
        </w:rPr>
        <w:t>5076</w:t>
      </w:r>
      <w:r w:rsidRPr="00765F6E">
        <w:t xml:space="preserve"> </w:t>
      </w:r>
      <w:r w:rsidRPr="00765F6E">
        <w:rPr>
          <w:rFonts w:hint="eastAsia"/>
        </w:rPr>
        <w:t xml:space="preserve"> 固定电话交换网工程设计规范</w:t>
      </w:r>
    </w:p>
    <w:p w14:paraId="56C9246F" w14:textId="77777777" w:rsidR="00746C7D" w:rsidRPr="00765F6E" w:rsidRDefault="00746C7D" w:rsidP="009D0776">
      <w:pPr>
        <w:pStyle w:val="affffb"/>
        <w:ind w:firstLine="420"/>
      </w:pPr>
      <w:r w:rsidRPr="00765F6E">
        <w:rPr>
          <w:rFonts w:hint="eastAsia"/>
        </w:rPr>
        <w:t>YD</w:t>
      </w:r>
      <w:r w:rsidRPr="00765F6E">
        <w:t>/</w:t>
      </w:r>
      <w:r w:rsidRPr="00765F6E">
        <w:rPr>
          <w:rFonts w:hint="eastAsia"/>
        </w:rPr>
        <w:t>T</w:t>
      </w:r>
      <w:r>
        <w:t xml:space="preserve"> </w:t>
      </w:r>
      <w:r w:rsidRPr="00765F6E">
        <w:rPr>
          <w:rFonts w:hint="eastAsia"/>
        </w:rPr>
        <w:t>5089</w:t>
      </w:r>
      <w:r w:rsidRPr="00765F6E">
        <w:t xml:space="preserve"> </w:t>
      </w:r>
      <w:r w:rsidRPr="00765F6E">
        <w:rPr>
          <w:rFonts w:hint="eastAsia"/>
        </w:rPr>
        <w:t xml:space="preserve"> 数字同步网工程设计规范</w:t>
      </w:r>
    </w:p>
    <w:p w14:paraId="7D87909C" w14:textId="77777777" w:rsidR="00746C7D" w:rsidRPr="00765F6E" w:rsidRDefault="00746C7D" w:rsidP="009D0776">
      <w:pPr>
        <w:pStyle w:val="affffb"/>
        <w:ind w:leftChars="200" w:left="420" w:firstLineChars="0" w:firstLine="0"/>
      </w:pPr>
      <w:r w:rsidRPr="00765F6E">
        <w:rPr>
          <w:rFonts w:hint="eastAsia"/>
        </w:rPr>
        <w:t>TB/T</w:t>
      </w:r>
      <w:r w:rsidRPr="00765F6E">
        <w:t xml:space="preserve"> </w:t>
      </w:r>
      <w:r w:rsidRPr="00765F6E">
        <w:rPr>
          <w:rFonts w:hint="eastAsia"/>
        </w:rPr>
        <w:t>214  铁路碎石道砟</w:t>
      </w:r>
    </w:p>
    <w:p w14:paraId="54C3AC27"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1007  铁路信号设计规范</w:t>
      </w:r>
    </w:p>
    <w:p w14:paraId="71B03B31" w14:textId="77777777" w:rsidR="00746C7D" w:rsidRPr="00765F6E" w:rsidRDefault="00746C7D" w:rsidP="009D0776">
      <w:pPr>
        <w:pStyle w:val="affffb"/>
        <w:ind w:firstLine="420"/>
      </w:pPr>
      <w:r w:rsidRPr="00765F6E">
        <w:rPr>
          <w:rFonts w:hint="eastAsia"/>
        </w:rPr>
        <w:t>TB/T</w:t>
      </w:r>
      <w:r w:rsidRPr="00765F6E">
        <w:t xml:space="preserve"> </w:t>
      </w:r>
      <w:r w:rsidRPr="00765F6E">
        <w:rPr>
          <w:rFonts w:hint="eastAsia"/>
        </w:rPr>
        <w:t xml:space="preserve">1484（所有部分） </w:t>
      </w:r>
      <w:r w:rsidRPr="00765F6E">
        <w:t xml:space="preserve"> </w:t>
      </w:r>
      <w:r w:rsidRPr="00765F6E">
        <w:rPr>
          <w:rFonts w:hint="eastAsia"/>
        </w:rPr>
        <w:t>机车车辆电缆</w:t>
      </w:r>
    </w:p>
    <w:p w14:paraId="10DBBDA4" w14:textId="77777777" w:rsidR="00746C7D" w:rsidRDefault="00746C7D" w:rsidP="009D0776">
      <w:pPr>
        <w:pStyle w:val="affffb"/>
        <w:ind w:firstLine="420"/>
      </w:pPr>
      <w:r w:rsidRPr="00765F6E">
        <w:rPr>
          <w:rFonts w:hint="eastAsia"/>
        </w:rPr>
        <w:t>TB/T 2140</w:t>
      </w:r>
      <w:r w:rsidRPr="00765F6E">
        <w:t xml:space="preserve">  </w:t>
      </w:r>
      <w:r w:rsidRPr="00765F6E">
        <w:rPr>
          <w:rFonts w:hint="eastAsia"/>
        </w:rPr>
        <w:t>铁路碎石道砟</w:t>
      </w:r>
    </w:p>
    <w:p w14:paraId="5906F359" w14:textId="77777777" w:rsidR="00746C7D" w:rsidRPr="00765F6E" w:rsidRDefault="00746C7D" w:rsidP="009D0776">
      <w:pPr>
        <w:pStyle w:val="affffb"/>
        <w:ind w:firstLine="420"/>
      </w:pPr>
      <w:r w:rsidRPr="0095309F">
        <w:rPr>
          <w:rFonts w:hint="eastAsia"/>
        </w:rPr>
        <w:t>TB/T</w:t>
      </w:r>
      <w:r w:rsidRPr="0095309F">
        <w:t xml:space="preserve"> </w:t>
      </w:r>
      <w:r w:rsidRPr="0095309F">
        <w:rPr>
          <w:rFonts w:hint="eastAsia"/>
        </w:rPr>
        <w:t xml:space="preserve">2325  </w:t>
      </w:r>
      <w:r w:rsidRPr="004E567F">
        <w:rPr>
          <w:rFonts w:hint="eastAsia"/>
        </w:rPr>
        <w:t>机车车辆视听警示装置</w:t>
      </w:r>
    </w:p>
    <w:p w14:paraId="1382A4E0" w14:textId="77777777" w:rsidR="00746C7D" w:rsidRPr="00765F6E" w:rsidRDefault="00746C7D" w:rsidP="009D0776">
      <w:pPr>
        <w:pStyle w:val="affffb"/>
        <w:ind w:firstLine="420"/>
      </w:pPr>
      <w:r w:rsidRPr="00765F6E">
        <w:rPr>
          <w:rFonts w:hint="eastAsia"/>
        </w:rPr>
        <w:t>TB/T</w:t>
      </w:r>
      <w:r w:rsidRPr="00765F6E">
        <w:t xml:space="preserve"> </w:t>
      </w:r>
      <w:r w:rsidRPr="00765F6E">
        <w:rPr>
          <w:rFonts w:hint="eastAsia"/>
        </w:rPr>
        <w:t>3077  电力机车车顶绝缘子</w:t>
      </w:r>
    </w:p>
    <w:p w14:paraId="15FBD03D" w14:textId="77777777" w:rsidR="00746C7D" w:rsidRPr="00765F6E" w:rsidRDefault="00746C7D" w:rsidP="009D0776">
      <w:pPr>
        <w:pStyle w:val="affffb"/>
        <w:ind w:firstLine="420"/>
      </w:pPr>
      <w:r w:rsidRPr="00765F6E">
        <w:rPr>
          <w:rFonts w:hint="eastAsia"/>
        </w:rPr>
        <w:t xml:space="preserve">TB/T 3122 </w:t>
      </w:r>
      <w:r w:rsidRPr="00765F6E">
        <w:t xml:space="preserve"> </w:t>
      </w:r>
      <w:r w:rsidRPr="00765F6E">
        <w:rPr>
          <w:rFonts w:hint="eastAsia"/>
        </w:rPr>
        <w:t>铁路声屏障声学构件</w:t>
      </w:r>
    </w:p>
    <w:p w14:paraId="787063BD" w14:textId="52F12050" w:rsidR="00746C7D" w:rsidRDefault="00746C7D" w:rsidP="009D0776">
      <w:pPr>
        <w:pStyle w:val="affffb"/>
        <w:ind w:firstLine="420"/>
      </w:pPr>
      <w:r w:rsidRPr="0095309F">
        <w:t xml:space="preserve">TB/T 3205  </w:t>
      </w:r>
      <w:r w:rsidRPr="0095309F">
        <w:rPr>
          <w:rFonts w:hint="eastAsia"/>
        </w:rPr>
        <w:t>扼流变压器钢轨引接线、中点连接线、中点连接板</w:t>
      </w:r>
    </w:p>
    <w:p w14:paraId="38522117" w14:textId="77777777" w:rsidR="00504A9A" w:rsidRPr="00765F6E" w:rsidRDefault="00504A9A" w:rsidP="00504A9A">
      <w:pPr>
        <w:pStyle w:val="affffb"/>
        <w:ind w:firstLine="420"/>
      </w:pPr>
      <w:r w:rsidRPr="00765F6E">
        <w:rPr>
          <w:rFonts w:hint="eastAsia"/>
        </w:rPr>
        <w:t>TB/T</w:t>
      </w:r>
      <w:r w:rsidRPr="00765F6E">
        <w:t xml:space="preserve"> </w:t>
      </w:r>
      <w:r w:rsidRPr="00765F6E">
        <w:rPr>
          <w:rFonts w:hint="eastAsia"/>
        </w:rPr>
        <w:t>3271</w:t>
      </w:r>
      <w:r w:rsidRPr="00765F6E">
        <w:t xml:space="preserve">  </w:t>
      </w:r>
      <w:r w:rsidRPr="00765F6E">
        <w:rPr>
          <w:rFonts w:hint="eastAsia"/>
        </w:rPr>
        <w:t>轨道交通 受流系统 受电弓与接触网相互作用准则</w:t>
      </w:r>
    </w:p>
    <w:p w14:paraId="41CC473F" w14:textId="77777777" w:rsidR="00504A9A" w:rsidRPr="00765F6E" w:rsidRDefault="00504A9A" w:rsidP="00504A9A">
      <w:pPr>
        <w:pStyle w:val="affffb"/>
        <w:ind w:firstLine="420"/>
      </w:pPr>
      <w:r w:rsidRPr="00765F6E">
        <w:rPr>
          <w:rFonts w:hint="eastAsia"/>
        </w:rPr>
        <w:t>TB/T</w:t>
      </w:r>
      <w:r w:rsidRPr="00765F6E">
        <w:t xml:space="preserve"> </w:t>
      </w:r>
      <w:r w:rsidRPr="00765F6E">
        <w:rPr>
          <w:rFonts w:hint="eastAsia"/>
        </w:rPr>
        <w:t>3430</w:t>
      </w:r>
      <w:r w:rsidRPr="00765F6E">
        <w:t xml:space="preserve">  </w:t>
      </w:r>
      <w:r w:rsidRPr="00765F6E">
        <w:rPr>
          <w:rFonts w:hint="eastAsia"/>
        </w:rPr>
        <w:t>机车车辆真空断路器</w:t>
      </w:r>
    </w:p>
    <w:p w14:paraId="0AAF309D" w14:textId="77777777" w:rsidR="00746C7D" w:rsidRPr="00765F6E" w:rsidRDefault="00746C7D" w:rsidP="009D0776">
      <w:pPr>
        <w:pStyle w:val="affffb"/>
        <w:ind w:firstLine="420"/>
      </w:pPr>
      <w:r w:rsidRPr="00765F6E">
        <w:rPr>
          <w:rFonts w:hint="eastAsia"/>
        </w:rPr>
        <w:t>TB/T</w:t>
      </w:r>
      <w:r w:rsidRPr="00765F6E">
        <w:t xml:space="preserve"> </w:t>
      </w:r>
      <w:r w:rsidRPr="00765F6E">
        <w:rPr>
          <w:rFonts w:hint="eastAsia"/>
        </w:rPr>
        <w:t>3492</w:t>
      </w:r>
      <w:r w:rsidRPr="00765F6E">
        <w:t xml:space="preserve">  </w:t>
      </w:r>
      <w:r w:rsidRPr="00765F6E">
        <w:rPr>
          <w:rFonts w:hint="eastAsia"/>
        </w:rPr>
        <w:t xml:space="preserve">机车车辆电气设备 </w:t>
      </w:r>
      <w:r w:rsidRPr="00765F6E">
        <w:t xml:space="preserve"> </w:t>
      </w:r>
      <w:r w:rsidRPr="00765F6E">
        <w:rPr>
          <w:rFonts w:hint="eastAsia"/>
        </w:rPr>
        <w:t>高压隔离开关和接地开关</w:t>
      </w:r>
    </w:p>
    <w:p w14:paraId="7DE8C0B0" w14:textId="77777777" w:rsidR="00746C7D" w:rsidRPr="00765F6E" w:rsidRDefault="00746C7D" w:rsidP="009D0776">
      <w:pPr>
        <w:pStyle w:val="affffb"/>
        <w:ind w:firstLine="420"/>
      </w:pPr>
      <w:r w:rsidRPr="00765F6E">
        <w:rPr>
          <w:rFonts w:hint="eastAsia"/>
        </w:rPr>
        <w:t>TB/T 3549.1 机车车辆强度设计及试验鉴定规范 转向架 第1部分：转向架构架</w:t>
      </w:r>
    </w:p>
    <w:p w14:paraId="65350EFB"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10001  铁路路基设计规范</w:t>
      </w:r>
    </w:p>
    <w:p w14:paraId="3F8C9484"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10002  铁路桥涵设计规范</w:t>
      </w:r>
    </w:p>
    <w:p w14:paraId="0F2A63EC" w14:textId="781F6A0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 xml:space="preserve">10003  铁路隧道设计规范 </w:t>
      </w:r>
    </w:p>
    <w:p w14:paraId="684811A6"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 xml:space="preserve">10005  铁路混凝土结构耐久性设计规范 </w:t>
      </w:r>
    </w:p>
    <w:p w14:paraId="2FDA00FF"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 xml:space="preserve">10006 </w:t>
      </w:r>
      <w:r w:rsidRPr="00765F6E">
        <w:t xml:space="preserve"> </w:t>
      </w:r>
      <w:r w:rsidRPr="00765F6E">
        <w:rPr>
          <w:rFonts w:hint="eastAsia"/>
        </w:rPr>
        <w:t>铁路通信设计规范</w:t>
      </w:r>
    </w:p>
    <w:p w14:paraId="5964FB7F" w14:textId="77777777" w:rsidR="00746C7D" w:rsidRPr="00765F6E" w:rsidRDefault="00746C7D" w:rsidP="009D0776">
      <w:pPr>
        <w:pStyle w:val="affffb"/>
        <w:ind w:firstLine="420"/>
      </w:pPr>
      <w:r w:rsidRPr="00765F6E">
        <w:rPr>
          <w:rFonts w:hint="eastAsia"/>
        </w:rPr>
        <w:t>TB 10007</w:t>
      </w:r>
      <w:r w:rsidRPr="00765F6E">
        <w:t xml:space="preserve"> </w:t>
      </w:r>
      <w:r w:rsidRPr="00765F6E">
        <w:rPr>
          <w:rFonts w:hint="eastAsia"/>
        </w:rPr>
        <w:t xml:space="preserve"> 铁路信号设计规范</w:t>
      </w:r>
    </w:p>
    <w:p w14:paraId="12110E35"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 xml:space="preserve">10008  铁路电力设计规范 </w:t>
      </w:r>
    </w:p>
    <w:p w14:paraId="335ABD47"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10009  铁路电力牵引供电设计规范</w:t>
      </w:r>
    </w:p>
    <w:p w14:paraId="3B1C2535" w14:textId="77777777" w:rsidR="00746C7D" w:rsidRPr="00765F6E" w:rsidRDefault="00746C7D" w:rsidP="009D0776">
      <w:pPr>
        <w:pStyle w:val="affffb"/>
        <w:ind w:firstLine="420"/>
      </w:pPr>
      <w:r w:rsidRPr="0095309F">
        <w:rPr>
          <w:rFonts w:hint="eastAsia"/>
        </w:rPr>
        <w:t>TB</w:t>
      </w:r>
      <w:r w:rsidRPr="0095309F">
        <w:t xml:space="preserve"> </w:t>
      </w:r>
      <w:r w:rsidRPr="0095309F">
        <w:rPr>
          <w:rFonts w:hint="eastAsia"/>
        </w:rPr>
        <w:t>100</w:t>
      </w:r>
      <w:r w:rsidRPr="0095309F">
        <w:t>20</w:t>
      </w:r>
      <w:r w:rsidRPr="0095309F">
        <w:rPr>
          <w:rFonts w:hint="eastAsia"/>
        </w:rPr>
        <w:t xml:space="preserve">  铁路隧道防灾疏散救援工程设计规范</w:t>
      </w:r>
    </w:p>
    <w:p w14:paraId="41CC48FB"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10025  铁路路基支挡结构设计规范</w:t>
      </w:r>
    </w:p>
    <w:p w14:paraId="5518A025"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10035  铁路特殊路基设计规范</w:t>
      </w:r>
    </w:p>
    <w:p w14:paraId="2CC498EA"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1006</w:t>
      </w:r>
      <w:r w:rsidRPr="00765F6E">
        <w:t>3</w:t>
      </w:r>
      <w:r w:rsidRPr="00765F6E">
        <w:rPr>
          <w:rFonts w:hint="eastAsia"/>
        </w:rPr>
        <w:t xml:space="preserve">  铁路工程设计防火规范</w:t>
      </w:r>
    </w:p>
    <w:p w14:paraId="0D2B0AF3"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10064  铁路工程混凝土配筋设计规范</w:t>
      </w:r>
    </w:p>
    <w:p w14:paraId="58962B21" w14:textId="01DCCBC1" w:rsidR="00746C7D" w:rsidRPr="00765F6E" w:rsidRDefault="00746C7D" w:rsidP="009D0776">
      <w:pPr>
        <w:pStyle w:val="affffb"/>
        <w:ind w:firstLine="420"/>
      </w:pPr>
      <w:r w:rsidRPr="00765F6E">
        <w:rPr>
          <w:rFonts w:hint="eastAsia"/>
        </w:rPr>
        <w:t>TB</w:t>
      </w:r>
      <w:r w:rsidRPr="00765F6E">
        <w:t xml:space="preserve"> </w:t>
      </w:r>
      <w:r w:rsidR="004E34FD" w:rsidRPr="00765F6E">
        <w:rPr>
          <w:rFonts w:hint="eastAsia"/>
        </w:rPr>
        <w:t>10092</w:t>
      </w:r>
      <w:r w:rsidR="004E34FD" w:rsidRPr="000F4611">
        <w:t>-2017</w:t>
      </w:r>
      <w:r w:rsidRPr="00765F6E">
        <w:rPr>
          <w:rFonts w:hint="eastAsia"/>
        </w:rPr>
        <w:t xml:space="preserve">  铁路桥涵混凝土结构设计规范</w:t>
      </w:r>
    </w:p>
    <w:p w14:paraId="14018129"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10106  铁路工程地基处理技术规程</w:t>
      </w:r>
    </w:p>
    <w:p w14:paraId="18C4B227"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10180  铁路防雷及接地工程技术规范</w:t>
      </w:r>
    </w:p>
    <w:p w14:paraId="4CF334BE" w14:textId="77777777" w:rsidR="00746C7D" w:rsidRPr="00765F6E" w:rsidRDefault="00746C7D" w:rsidP="009D0776">
      <w:pPr>
        <w:pStyle w:val="affffb"/>
        <w:ind w:firstLine="420"/>
      </w:pPr>
      <w:r w:rsidRPr="00765F6E">
        <w:rPr>
          <w:rFonts w:hint="eastAsia"/>
        </w:rPr>
        <w:t>TB</w:t>
      </w:r>
      <w:r w:rsidRPr="00765F6E">
        <w:t xml:space="preserve"> </w:t>
      </w:r>
      <w:r w:rsidRPr="00765F6E">
        <w:rPr>
          <w:rFonts w:hint="eastAsia"/>
        </w:rPr>
        <w:t xml:space="preserve">10623  城际铁路设计规范 </w:t>
      </w:r>
    </w:p>
    <w:p w14:paraId="293B4E2B" w14:textId="1989AAFC" w:rsidR="00746C7D" w:rsidRPr="00765F6E" w:rsidRDefault="00746C7D" w:rsidP="009D0776">
      <w:pPr>
        <w:pStyle w:val="affffb"/>
        <w:ind w:firstLine="420"/>
      </w:pPr>
      <w:r w:rsidRPr="00765F6E">
        <w:t xml:space="preserve">TB </w:t>
      </w:r>
      <w:bookmarkStart w:id="48" w:name="OLE_LINK6"/>
      <w:r w:rsidRPr="00765F6E">
        <w:t>10624</w:t>
      </w:r>
      <w:bookmarkEnd w:id="48"/>
      <w:r w:rsidRPr="00765F6E">
        <w:t xml:space="preserve">  </w:t>
      </w:r>
      <w:r w:rsidRPr="00765F6E">
        <w:rPr>
          <w:rFonts w:hint="eastAsia"/>
        </w:rPr>
        <w:t>市域（郊）铁路设计规范</w:t>
      </w:r>
    </w:p>
    <w:p w14:paraId="24416D64" w14:textId="77777777" w:rsidR="00746C7D" w:rsidRPr="00765F6E" w:rsidRDefault="00746C7D" w:rsidP="009D0776">
      <w:pPr>
        <w:pStyle w:val="affffb"/>
        <w:ind w:firstLine="420"/>
      </w:pPr>
      <w:r w:rsidRPr="00765F6E">
        <w:t>DB32/T 310009</w:t>
      </w:r>
      <w:r w:rsidRPr="00765F6E">
        <w:rPr>
          <w:rFonts w:hint="eastAsia"/>
        </w:rPr>
        <w:t xml:space="preserve">  《市域（郊）铁路客运服务规范》（长三角区域统一标准）</w:t>
      </w:r>
    </w:p>
    <w:p w14:paraId="7D0E64F9" w14:textId="395CAB86" w:rsidR="00746C7D" w:rsidRDefault="00746C7D" w:rsidP="009D0776">
      <w:pPr>
        <w:pStyle w:val="affffb"/>
        <w:ind w:firstLine="420"/>
      </w:pPr>
      <w:bookmarkStart w:id="49" w:name="OLE_LINK15"/>
      <w:r w:rsidRPr="00346626">
        <w:t>DG/TJ 08-109</w:t>
      </w:r>
      <w:bookmarkEnd w:id="49"/>
      <w:r w:rsidRPr="00346626">
        <w:t xml:space="preserve"> </w:t>
      </w:r>
      <w:r w:rsidRPr="00346626">
        <w:rPr>
          <w:rFonts w:hint="eastAsia"/>
        </w:rPr>
        <w:t xml:space="preserve"> </w:t>
      </w:r>
      <w:r w:rsidRPr="000B3D74">
        <w:rPr>
          <w:rFonts w:hint="eastAsia"/>
        </w:rPr>
        <w:t>城市轨道交通设计规范</w:t>
      </w:r>
    </w:p>
    <w:p w14:paraId="21D08EB5" w14:textId="77777777" w:rsidR="00DF4AF5" w:rsidRPr="00765F6E" w:rsidRDefault="00DF4AF5" w:rsidP="00DF4AF5">
      <w:pPr>
        <w:pStyle w:val="affffb"/>
        <w:ind w:firstLine="420"/>
      </w:pPr>
      <w:r w:rsidRPr="00765F6E">
        <w:rPr>
          <w:rFonts w:hint="eastAsia"/>
        </w:rPr>
        <w:t>DGJ 32/J195  江苏省城市轨道交通工程监测规程</w:t>
      </w:r>
    </w:p>
    <w:p w14:paraId="2C44A7E2" w14:textId="77777777" w:rsidR="00746C7D" w:rsidRDefault="00746C7D" w:rsidP="009D0776">
      <w:pPr>
        <w:pStyle w:val="affffb"/>
        <w:ind w:firstLine="420"/>
      </w:pPr>
      <w:r w:rsidRPr="00765F6E">
        <w:rPr>
          <w:rFonts w:hint="eastAsia"/>
        </w:rPr>
        <w:lastRenderedPageBreak/>
        <w:t>ISO</w:t>
      </w:r>
      <w:r>
        <w:t xml:space="preserve"> </w:t>
      </w:r>
      <w:r w:rsidRPr="00765F6E">
        <w:rPr>
          <w:rFonts w:hint="eastAsia"/>
        </w:rPr>
        <w:t>3095</w:t>
      </w:r>
      <w:r>
        <w:t xml:space="preserve">  </w:t>
      </w:r>
      <w:r w:rsidRPr="00B14C94">
        <w:rPr>
          <w:rFonts w:hint="eastAsia"/>
        </w:rPr>
        <w:t>声学 轨道机车车辆发射噪声测量</w:t>
      </w:r>
      <w:r>
        <w:rPr>
          <w:rFonts w:hint="eastAsia"/>
        </w:rPr>
        <w:t>（</w:t>
      </w:r>
      <w:r w:rsidRPr="00B14C94">
        <w:t>Acoustics-Railway applications-Measurement ofnoise emitted byrailbound vehicles</w:t>
      </w:r>
      <w:r>
        <w:rPr>
          <w:rFonts w:hint="eastAsia"/>
        </w:rPr>
        <w:t>）</w:t>
      </w:r>
    </w:p>
    <w:p w14:paraId="60E953A7" w14:textId="77777777" w:rsidR="00746C7D" w:rsidRPr="00765F6E" w:rsidRDefault="00746C7D" w:rsidP="009D0776">
      <w:pPr>
        <w:pStyle w:val="affffb"/>
        <w:ind w:firstLine="420"/>
      </w:pPr>
      <w:r w:rsidRPr="00765F6E">
        <w:rPr>
          <w:rFonts w:hint="eastAsia"/>
        </w:rPr>
        <w:t>ISO</w:t>
      </w:r>
      <w:r>
        <w:t xml:space="preserve"> </w:t>
      </w:r>
      <w:r w:rsidRPr="00765F6E">
        <w:rPr>
          <w:rFonts w:hint="eastAsia"/>
        </w:rPr>
        <w:t>3</w:t>
      </w:r>
      <w:r>
        <w:t xml:space="preserve">381  </w:t>
      </w:r>
      <w:r w:rsidRPr="00BE7D49">
        <w:rPr>
          <w:rFonts w:hint="eastAsia"/>
        </w:rPr>
        <w:t>声学 轨道车辆内部噪声测量</w:t>
      </w:r>
      <w:r>
        <w:rPr>
          <w:rFonts w:hint="eastAsia"/>
        </w:rPr>
        <w:t>（</w:t>
      </w:r>
      <w:r w:rsidRPr="00BE7D49">
        <w:t>Railway applications-Acoustics</w:t>
      </w:r>
      <w:r>
        <w:rPr>
          <w:rFonts w:hint="eastAsia"/>
        </w:rPr>
        <w:t>-</w:t>
      </w:r>
      <w:r w:rsidRPr="00BE7D49">
        <w:t>Noise measurement</w:t>
      </w:r>
      <w:r>
        <w:t xml:space="preserve"> </w:t>
      </w:r>
      <w:r w:rsidRPr="00BE7D49">
        <w:t>inside railbound</w:t>
      </w:r>
      <w:r>
        <w:t xml:space="preserve"> </w:t>
      </w:r>
      <w:r w:rsidRPr="00BE7D49">
        <w:t>vehicles</w:t>
      </w:r>
      <w:r>
        <w:rPr>
          <w:rFonts w:hint="eastAsia"/>
        </w:rPr>
        <w:t>）</w:t>
      </w:r>
    </w:p>
    <w:p w14:paraId="723B239A" w14:textId="77777777" w:rsidR="00746C7D" w:rsidRPr="00765F6E" w:rsidRDefault="00746C7D" w:rsidP="009D0776">
      <w:pPr>
        <w:pStyle w:val="affffb"/>
        <w:ind w:firstLine="420"/>
      </w:pPr>
      <w:r w:rsidRPr="00765F6E">
        <w:rPr>
          <w:rFonts w:hint="eastAsia"/>
        </w:rPr>
        <w:t>IEC</w:t>
      </w:r>
      <w:r w:rsidRPr="00765F6E">
        <w:t xml:space="preserve"> </w:t>
      </w:r>
      <w:r w:rsidRPr="00765F6E">
        <w:rPr>
          <w:rFonts w:hint="eastAsia"/>
        </w:rPr>
        <w:t>62848-1</w:t>
      </w:r>
      <w:r w:rsidRPr="00765F6E">
        <w:t xml:space="preserve">  </w:t>
      </w:r>
      <w:r w:rsidRPr="00765F6E">
        <w:rPr>
          <w:rFonts w:hint="eastAsia"/>
        </w:rPr>
        <w:t>铁路用直流电涌放电器和限压装置 第1部分:无间隙金属氧化物电涌放电器（</w:t>
      </w:r>
      <w:r w:rsidRPr="00A27589">
        <w:t>Railway applications - DC surge arresters and voltage limiting devices - Part 1: Metal-oxide surge arresters without gaps</w:t>
      </w:r>
      <w:r w:rsidRPr="00765F6E">
        <w:rPr>
          <w:rFonts w:hint="eastAsia"/>
        </w:rPr>
        <w:t>）</w:t>
      </w:r>
    </w:p>
    <w:p w14:paraId="61D1C766" w14:textId="77777777" w:rsidR="00746C7D" w:rsidRDefault="00746C7D" w:rsidP="009D0776">
      <w:pPr>
        <w:pStyle w:val="affffb"/>
        <w:ind w:firstLine="420"/>
      </w:pPr>
      <w:r w:rsidRPr="00765F6E">
        <w:rPr>
          <w:rFonts w:hint="eastAsia"/>
        </w:rPr>
        <w:t>UIC 515-4</w:t>
      </w:r>
      <w:r w:rsidRPr="00765F6E">
        <w:t xml:space="preserve">  </w:t>
      </w:r>
      <w:r w:rsidRPr="00765F6E">
        <w:rPr>
          <w:rFonts w:hint="eastAsia"/>
        </w:rPr>
        <w:t>客车转向架结构强度试验方法</w:t>
      </w:r>
      <w:r>
        <w:rPr>
          <w:rFonts w:hint="eastAsia"/>
        </w:rPr>
        <w:t>（</w:t>
      </w:r>
      <w:r w:rsidRPr="005E72DA">
        <w:t>Passenger rolling stock - Trailer bogies - Running gear - Bogie frame structure strength tests</w:t>
      </w:r>
      <w:r>
        <w:rPr>
          <w:rFonts w:hint="eastAsia"/>
        </w:rPr>
        <w:t>）</w:t>
      </w:r>
    </w:p>
    <w:p w14:paraId="7F54EE12" w14:textId="020F710D" w:rsidR="009D0776" w:rsidRPr="00765F6E" w:rsidRDefault="009D0776" w:rsidP="009D0776">
      <w:pPr>
        <w:pStyle w:val="affd"/>
        <w:spacing w:before="312" w:after="312"/>
      </w:pPr>
      <w:bookmarkStart w:id="50" w:name="_Toc26986532"/>
      <w:bookmarkStart w:id="51" w:name="_Toc153290828"/>
      <w:bookmarkStart w:id="52" w:name="_Toc153210799"/>
      <w:bookmarkStart w:id="53" w:name="_Toc99791404"/>
      <w:bookmarkStart w:id="54" w:name="_Toc97192966"/>
      <w:bookmarkStart w:id="55" w:name="_Toc167895696"/>
      <w:bookmarkStart w:id="56" w:name="_Toc182476364"/>
      <w:bookmarkStart w:id="57" w:name="_Hlk174548890"/>
      <w:bookmarkEnd w:id="50"/>
      <w:r w:rsidRPr="00765F6E">
        <w:rPr>
          <w:rFonts w:hint="eastAsia"/>
          <w:szCs w:val="21"/>
        </w:rPr>
        <w:t>术语</w:t>
      </w:r>
      <w:r w:rsidR="00B23EDB">
        <w:rPr>
          <w:rFonts w:hint="eastAsia"/>
          <w:szCs w:val="21"/>
        </w:rPr>
        <w:t>和</w:t>
      </w:r>
      <w:r w:rsidRPr="00765F6E">
        <w:rPr>
          <w:rFonts w:hint="eastAsia"/>
          <w:szCs w:val="21"/>
        </w:rPr>
        <w:t>定义</w:t>
      </w:r>
      <w:bookmarkEnd w:id="51"/>
      <w:bookmarkEnd w:id="52"/>
      <w:bookmarkEnd w:id="53"/>
      <w:bookmarkEnd w:id="54"/>
      <w:r w:rsidRPr="00765F6E">
        <w:rPr>
          <w:rFonts w:hint="eastAsia"/>
          <w:szCs w:val="21"/>
        </w:rPr>
        <w:t>、缩略</w:t>
      </w:r>
      <w:r w:rsidR="00BE485B">
        <w:rPr>
          <w:rFonts w:hint="eastAsia"/>
          <w:szCs w:val="21"/>
        </w:rPr>
        <w:t>语</w:t>
      </w:r>
      <w:bookmarkEnd w:id="55"/>
      <w:bookmarkEnd w:id="56"/>
    </w:p>
    <w:p w14:paraId="466E06DC" w14:textId="77777777" w:rsidR="00737EB2" w:rsidRPr="00765F6E" w:rsidRDefault="00737EB2" w:rsidP="00737EB2">
      <w:pPr>
        <w:pStyle w:val="affe"/>
        <w:spacing w:before="156" w:after="156"/>
      </w:pPr>
      <w:bookmarkStart w:id="58" w:name="_Toc153290829"/>
      <w:bookmarkStart w:id="59" w:name="_Toc167895697"/>
      <w:bookmarkStart w:id="60" w:name="_Toc174538613"/>
      <w:bookmarkStart w:id="61" w:name="_Toc182476365"/>
      <w:bookmarkStart w:id="62" w:name="_Toc99791406"/>
      <w:bookmarkEnd w:id="57"/>
      <w:r w:rsidRPr="00765F6E">
        <w:rPr>
          <w:rFonts w:hint="eastAsia"/>
        </w:rPr>
        <w:t>术语</w:t>
      </w:r>
      <w:bookmarkEnd w:id="58"/>
      <w:r w:rsidRPr="00765F6E">
        <w:rPr>
          <w:rFonts w:hint="eastAsia"/>
        </w:rPr>
        <w:t>和定义</w:t>
      </w:r>
      <w:bookmarkEnd w:id="59"/>
      <w:bookmarkEnd w:id="60"/>
      <w:bookmarkEnd w:id="61"/>
    </w:p>
    <w:p w14:paraId="060A11D3" w14:textId="77777777" w:rsidR="00737EB2" w:rsidRPr="00765F6E" w:rsidRDefault="00737EB2" w:rsidP="00737EB2">
      <w:pPr>
        <w:pStyle w:val="affffb"/>
        <w:spacing w:before="156" w:after="156"/>
        <w:ind w:firstLine="420"/>
      </w:pPr>
      <w:r w:rsidRPr="00765F6E">
        <w:rPr>
          <w:rFonts w:hint="eastAsia"/>
        </w:rPr>
        <w:t>下列术语和定义适用于本文件。</w:t>
      </w:r>
    </w:p>
    <w:p w14:paraId="4B5A6E58" w14:textId="77777777" w:rsidR="00737EB2" w:rsidRPr="00765F6E" w:rsidRDefault="00737EB2" w:rsidP="009D0776">
      <w:pPr>
        <w:pStyle w:val="22"/>
      </w:pPr>
      <w:bookmarkStart w:id="63" w:name="_Toc153290830"/>
    </w:p>
    <w:p w14:paraId="674803A1" w14:textId="708A3DEE" w:rsidR="00737EB2" w:rsidRPr="00CA33AB" w:rsidRDefault="00737EB2" w:rsidP="009D0776">
      <w:pPr>
        <w:pStyle w:val="22"/>
        <w:numPr>
          <w:ilvl w:val="0"/>
          <w:numId w:val="0"/>
        </w:numPr>
        <w:ind w:left="420"/>
        <w:rPr>
          <w:rFonts w:ascii="黑体" w:eastAsia="黑体" w:hAnsi="黑体"/>
        </w:rPr>
      </w:pPr>
      <w:r w:rsidRPr="00CA33AB">
        <w:rPr>
          <w:rFonts w:ascii="黑体" w:eastAsia="黑体" w:hAnsi="黑体" w:hint="eastAsia"/>
        </w:rPr>
        <w:t>市域铁路</w:t>
      </w:r>
      <w:r w:rsidRPr="00CA33AB">
        <w:rPr>
          <w:rFonts w:ascii="黑体" w:eastAsia="黑体" w:hAnsi="黑体"/>
        </w:rPr>
        <w:t xml:space="preserve">  suburban railway</w:t>
      </w:r>
      <w:bookmarkEnd w:id="62"/>
      <w:bookmarkEnd w:id="63"/>
    </w:p>
    <w:p w14:paraId="50C01346" w14:textId="77777777" w:rsidR="00737EB2" w:rsidRPr="00765F6E" w:rsidRDefault="00737EB2" w:rsidP="009D0776">
      <w:pPr>
        <w:pStyle w:val="affffb"/>
        <w:ind w:firstLine="420"/>
      </w:pPr>
      <w:r w:rsidRPr="00765F6E">
        <w:t>城市中心城区联接周边城镇组团及其城镇组团之间的通勤化、快速度、大运量的轨道交通系统，提供城市公共交通服务，是城市综合交通体系的重要组成部分</w:t>
      </w:r>
      <w:r w:rsidRPr="00765F6E">
        <w:rPr>
          <w:rFonts w:hint="eastAsia"/>
        </w:rPr>
        <w:t>。</w:t>
      </w:r>
    </w:p>
    <w:p w14:paraId="73B051D2" w14:textId="77777777" w:rsidR="00737EB2" w:rsidRPr="00765F6E" w:rsidRDefault="00737EB2" w:rsidP="009D0776">
      <w:pPr>
        <w:pStyle w:val="new0"/>
        <w:ind w:firstLine="420"/>
        <w:rPr>
          <w:sz w:val="21"/>
          <w:szCs w:val="21"/>
        </w:rPr>
      </w:pPr>
      <w:r w:rsidRPr="00765F6E">
        <w:rPr>
          <w:sz w:val="21"/>
          <w:szCs w:val="21"/>
        </w:rPr>
        <w:t>[来源：</w:t>
      </w:r>
      <w:r w:rsidRPr="0046421E">
        <w:rPr>
          <w:sz w:val="21"/>
          <w:szCs w:val="21"/>
        </w:rPr>
        <w:t>发改基础〔2017〕1173号]</w:t>
      </w:r>
    </w:p>
    <w:p w14:paraId="4E3FECFC" w14:textId="77777777" w:rsidR="00737EB2" w:rsidRPr="00765F6E" w:rsidRDefault="00737EB2" w:rsidP="009D0776">
      <w:pPr>
        <w:pStyle w:val="22"/>
      </w:pPr>
      <w:bookmarkStart w:id="64" w:name="_Toc99791408"/>
      <w:bookmarkStart w:id="65" w:name="_Toc153290832"/>
    </w:p>
    <w:p w14:paraId="05735797" w14:textId="77777777" w:rsidR="00737EB2" w:rsidRPr="00CA33AB" w:rsidRDefault="00737EB2" w:rsidP="009D0776">
      <w:pPr>
        <w:pStyle w:val="22"/>
        <w:numPr>
          <w:ilvl w:val="0"/>
          <w:numId w:val="0"/>
        </w:numPr>
        <w:ind w:left="420"/>
        <w:rPr>
          <w:rFonts w:ascii="黑体" w:eastAsia="黑体" w:hAnsi="黑体"/>
        </w:rPr>
      </w:pPr>
      <w:r w:rsidRPr="00CA33AB">
        <w:rPr>
          <w:rFonts w:ascii="黑体" w:eastAsia="黑体" w:hAnsi="黑体" w:hint="eastAsia"/>
        </w:rPr>
        <w:t>ZS荷载  ZS Load</w:t>
      </w:r>
      <w:bookmarkEnd w:id="64"/>
      <w:bookmarkEnd w:id="65"/>
    </w:p>
    <w:p w14:paraId="34F3FFBE" w14:textId="77777777" w:rsidR="00737EB2" w:rsidRPr="00765F6E" w:rsidRDefault="00737EB2" w:rsidP="009D0776">
      <w:pPr>
        <w:pStyle w:val="affffb"/>
        <w:ind w:firstLine="420"/>
      </w:pPr>
      <w:r w:rsidRPr="00765F6E">
        <w:rPr>
          <w:rFonts w:hint="eastAsia"/>
        </w:rPr>
        <w:t>中华人民共和国市域铁路列车竖向静荷载的简称。</w:t>
      </w:r>
    </w:p>
    <w:p w14:paraId="0FA6E53B" w14:textId="46CD4DFA" w:rsidR="00737EB2" w:rsidRPr="00765F6E" w:rsidRDefault="00737EB2" w:rsidP="009D0776">
      <w:pPr>
        <w:pStyle w:val="new0"/>
        <w:ind w:firstLine="420"/>
        <w:rPr>
          <w:sz w:val="21"/>
          <w:szCs w:val="21"/>
        </w:rPr>
      </w:pPr>
      <w:r w:rsidRPr="00765F6E">
        <w:rPr>
          <w:sz w:val="21"/>
          <w:szCs w:val="21"/>
        </w:rPr>
        <w:t>[来源：TB 10624</w:t>
      </w:r>
      <w:r w:rsidR="007202A4">
        <w:rPr>
          <w:sz w:val="21"/>
          <w:szCs w:val="21"/>
        </w:rPr>
        <w:t>-2020</w:t>
      </w:r>
      <w:r w:rsidRPr="00765F6E">
        <w:rPr>
          <w:rFonts w:hint="eastAsia"/>
          <w:sz w:val="21"/>
          <w:szCs w:val="21"/>
        </w:rPr>
        <w:t>，</w:t>
      </w:r>
      <w:r w:rsidRPr="00765F6E">
        <w:rPr>
          <w:sz w:val="21"/>
          <w:szCs w:val="21"/>
        </w:rPr>
        <w:t>2.1.3]</w:t>
      </w:r>
    </w:p>
    <w:p w14:paraId="10B4CDAC" w14:textId="77777777" w:rsidR="00737EB2" w:rsidRPr="00765F6E" w:rsidRDefault="00737EB2" w:rsidP="009D0776">
      <w:pPr>
        <w:pStyle w:val="22"/>
      </w:pPr>
      <w:bookmarkStart w:id="66" w:name="_Toc99791409"/>
      <w:bookmarkStart w:id="67" w:name="_Toc153290833"/>
    </w:p>
    <w:p w14:paraId="0342ECAC" w14:textId="77777777" w:rsidR="00737EB2" w:rsidRPr="00CA33AB" w:rsidRDefault="00737EB2" w:rsidP="009D0776">
      <w:pPr>
        <w:pStyle w:val="22"/>
        <w:numPr>
          <w:ilvl w:val="0"/>
          <w:numId w:val="0"/>
        </w:numPr>
        <w:ind w:left="420"/>
        <w:rPr>
          <w:rFonts w:ascii="黑体" w:eastAsia="黑体" w:hAnsi="黑体"/>
        </w:rPr>
      </w:pPr>
      <w:r w:rsidRPr="00CA33AB">
        <w:rPr>
          <w:rFonts w:ascii="黑体" w:eastAsia="黑体" w:hAnsi="黑体" w:hint="eastAsia"/>
        </w:rPr>
        <w:t>车辆限界</w:t>
      </w:r>
      <w:r w:rsidRPr="00CA33AB">
        <w:rPr>
          <w:rFonts w:ascii="黑体" w:eastAsia="黑体" w:hAnsi="黑体"/>
        </w:rPr>
        <w:t xml:space="preserve">  kinematic gauge</w:t>
      </w:r>
      <w:bookmarkEnd w:id="66"/>
      <w:bookmarkEnd w:id="67"/>
    </w:p>
    <w:p w14:paraId="397E23E7" w14:textId="77777777" w:rsidR="00737EB2" w:rsidRPr="00765F6E" w:rsidRDefault="00737EB2" w:rsidP="009D0776">
      <w:pPr>
        <w:pStyle w:val="affffb"/>
        <w:ind w:firstLine="420"/>
      </w:pPr>
      <w:r w:rsidRPr="00765F6E">
        <w:t>车辆</w:t>
      </w:r>
      <w:r w:rsidRPr="00765F6E">
        <w:rPr>
          <w:rFonts w:hint="eastAsia"/>
        </w:rPr>
        <w:t>满载或</w:t>
      </w:r>
      <w:r w:rsidRPr="00765F6E">
        <w:t>空载</w:t>
      </w:r>
      <w:r w:rsidRPr="00765F6E">
        <w:rPr>
          <w:rFonts w:hint="eastAsia"/>
        </w:rPr>
        <w:t>在</w:t>
      </w:r>
      <w:r w:rsidRPr="00765F6E">
        <w:t>平</w:t>
      </w:r>
      <w:r w:rsidRPr="00765F6E">
        <w:rPr>
          <w:rFonts w:hint="eastAsia"/>
        </w:rPr>
        <w:t>直</w:t>
      </w:r>
      <w:r w:rsidRPr="00765F6E">
        <w:t>轨道上按规定速度运</w:t>
      </w:r>
      <w:r w:rsidRPr="00765F6E">
        <w:rPr>
          <w:rFonts w:hint="eastAsia"/>
        </w:rPr>
        <w:t>行</w:t>
      </w:r>
      <w:r w:rsidRPr="00765F6E">
        <w:t>，</w:t>
      </w:r>
      <w:r w:rsidRPr="00765F6E">
        <w:rPr>
          <w:rFonts w:hint="eastAsia"/>
        </w:rPr>
        <w:t>按规定</w:t>
      </w:r>
      <w:r w:rsidRPr="00765F6E">
        <w:t>的车辆和轨道公差值、磨耗量、弹性变形量</w:t>
      </w:r>
      <w:r w:rsidRPr="00765F6E">
        <w:rPr>
          <w:rFonts w:hint="eastAsia"/>
        </w:rPr>
        <w:t>，</w:t>
      </w:r>
      <w:r w:rsidRPr="00765F6E">
        <w:t>以及车辆振动等正常</w:t>
      </w:r>
      <w:r w:rsidRPr="00765F6E">
        <w:rPr>
          <w:rFonts w:hint="eastAsia"/>
        </w:rPr>
        <w:t>状态</w:t>
      </w:r>
      <w:r w:rsidRPr="00765F6E">
        <w:t>下运行的限定因素产生的车辆各部位横向和竖向动态偏移后形成的</w:t>
      </w:r>
      <w:r w:rsidRPr="00765F6E">
        <w:rPr>
          <w:rFonts w:hint="eastAsia"/>
        </w:rPr>
        <w:t>动态</w:t>
      </w:r>
      <w:r w:rsidRPr="00765F6E">
        <w:t>包络线，并以标准坐标系表示的界线。</w:t>
      </w:r>
    </w:p>
    <w:p w14:paraId="37342F36" w14:textId="4CB27E56" w:rsidR="00737EB2" w:rsidRPr="00765F6E" w:rsidRDefault="00737EB2" w:rsidP="009D0776">
      <w:pPr>
        <w:pStyle w:val="new0"/>
        <w:ind w:firstLine="420"/>
        <w:rPr>
          <w:sz w:val="21"/>
          <w:szCs w:val="21"/>
        </w:rPr>
      </w:pPr>
      <w:r w:rsidRPr="00765F6E">
        <w:rPr>
          <w:sz w:val="21"/>
          <w:szCs w:val="21"/>
        </w:rPr>
        <w:t>[来源：TB 10624</w:t>
      </w:r>
      <w:r w:rsidR="007202A4">
        <w:rPr>
          <w:sz w:val="21"/>
          <w:szCs w:val="21"/>
        </w:rPr>
        <w:t>-2020</w:t>
      </w:r>
      <w:r w:rsidRPr="00765F6E">
        <w:rPr>
          <w:rFonts w:hint="eastAsia"/>
          <w:sz w:val="21"/>
          <w:szCs w:val="21"/>
        </w:rPr>
        <w:t>，</w:t>
      </w:r>
      <w:r w:rsidRPr="00765F6E">
        <w:rPr>
          <w:sz w:val="21"/>
          <w:szCs w:val="21"/>
        </w:rPr>
        <w:t>2.1.4]</w:t>
      </w:r>
    </w:p>
    <w:p w14:paraId="6803F060" w14:textId="77777777" w:rsidR="00737EB2" w:rsidRPr="00765F6E" w:rsidRDefault="00737EB2" w:rsidP="009D0776">
      <w:pPr>
        <w:pStyle w:val="22"/>
      </w:pPr>
      <w:bookmarkStart w:id="68" w:name="_Toc153290834"/>
      <w:bookmarkStart w:id="69" w:name="_Toc99791410"/>
    </w:p>
    <w:p w14:paraId="7A2970D5" w14:textId="77777777" w:rsidR="00737EB2" w:rsidRPr="00CA33AB" w:rsidRDefault="00737EB2" w:rsidP="009D0776">
      <w:pPr>
        <w:pStyle w:val="22"/>
        <w:numPr>
          <w:ilvl w:val="0"/>
          <w:numId w:val="0"/>
        </w:numPr>
        <w:ind w:left="420"/>
        <w:rPr>
          <w:rFonts w:ascii="黑体" w:eastAsia="黑体" w:hAnsi="黑体"/>
        </w:rPr>
      </w:pPr>
      <w:r w:rsidRPr="00CA33AB">
        <w:rPr>
          <w:rFonts w:ascii="黑体" w:eastAsia="黑体" w:hAnsi="黑体" w:hint="eastAsia"/>
        </w:rPr>
        <w:t>设备限界</w:t>
      </w:r>
      <w:r w:rsidRPr="00CA33AB">
        <w:rPr>
          <w:rFonts w:ascii="黑体" w:eastAsia="黑体" w:hAnsi="黑体"/>
        </w:rPr>
        <w:t xml:space="preserve">  equipment gauge</w:t>
      </w:r>
      <w:bookmarkEnd w:id="68"/>
      <w:bookmarkEnd w:id="69"/>
    </w:p>
    <w:p w14:paraId="22DA930B" w14:textId="77777777" w:rsidR="00737EB2" w:rsidRPr="00765F6E" w:rsidRDefault="00737EB2" w:rsidP="009D0776">
      <w:pPr>
        <w:pStyle w:val="affffb"/>
        <w:ind w:firstLine="420"/>
      </w:pPr>
      <w:r w:rsidRPr="00765F6E">
        <w:rPr>
          <w:rFonts w:hint="eastAsia"/>
        </w:rPr>
        <w:t>基准坐标系中控制沿线设备安装在车辆限界外加安全余量而形成的界线。</w:t>
      </w:r>
    </w:p>
    <w:p w14:paraId="3647C39F" w14:textId="77777777" w:rsidR="00737EB2" w:rsidRPr="00765F6E" w:rsidRDefault="00737EB2" w:rsidP="009D0776">
      <w:pPr>
        <w:pStyle w:val="22"/>
      </w:pPr>
      <w:bookmarkStart w:id="70" w:name="_Toc153290835"/>
      <w:bookmarkStart w:id="71" w:name="_Toc99791411"/>
    </w:p>
    <w:p w14:paraId="7A286E32" w14:textId="77777777" w:rsidR="00737EB2" w:rsidRPr="00CA33AB" w:rsidRDefault="00737EB2" w:rsidP="009D0776">
      <w:pPr>
        <w:pStyle w:val="22"/>
        <w:numPr>
          <w:ilvl w:val="0"/>
          <w:numId w:val="0"/>
        </w:numPr>
        <w:ind w:left="420"/>
        <w:rPr>
          <w:rFonts w:ascii="黑体" w:eastAsia="黑体" w:hAnsi="黑体"/>
        </w:rPr>
      </w:pPr>
      <w:r w:rsidRPr="00CA33AB">
        <w:rPr>
          <w:rFonts w:ascii="黑体" w:eastAsia="黑体" w:hAnsi="黑体" w:hint="eastAsia"/>
        </w:rPr>
        <w:t>建筑限界</w:t>
      </w:r>
      <w:r w:rsidRPr="00CA33AB">
        <w:rPr>
          <w:rFonts w:ascii="黑体" w:eastAsia="黑体" w:hAnsi="黑体"/>
        </w:rPr>
        <w:t xml:space="preserve">  structure gauge</w:t>
      </w:r>
      <w:bookmarkEnd w:id="70"/>
      <w:bookmarkEnd w:id="71"/>
    </w:p>
    <w:p w14:paraId="7C186048" w14:textId="77777777" w:rsidR="00737EB2" w:rsidRPr="00765F6E" w:rsidRDefault="00737EB2" w:rsidP="009D0776">
      <w:pPr>
        <w:pStyle w:val="affffb"/>
        <w:ind w:firstLine="420"/>
      </w:pPr>
      <w:r w:rsidRPr="00765F6E">
        <w:rPr>
          <w:rFonts w:hint="eastAsia"/>
        </w:rPr>
        <w:t>位于设备限界外考虑了沿线设备安装后的最小有效界线。</w:t>
      </w:r>
    </w:p>
    <w:p w14:paraId="4E32AE8E" w14:textId="3FDEEFCA" w:rsidR="00737EB2" w:rsidRPr="00765F6E" w:rsidRDefault="00737EB2" w:rsidP="009D0776">
      <w:pPr>
        <w:pStyle w:val="new0"/>
        <w:ind w:firstLine="420"/>
        <w:rPr>
          <w:sz w:val="21"/>
          <w:szCs w:val="21"/>
        </w:rPr>
      </w:pPr>
      <w:r w:rsidRPr="00765F6E">
        <w:rPr>
          <w:sz w:val="21"/>
          <w:szCs w:val="21"/>
        </w:rPr>
        <w:t>[来源：TB 10624</w:t>
      </w:r>
      <w:r w:rsidR="007202A4">
        <w:rPr>
          <w:sz w:val="21"/>
          <w:szCs w:val="21"/>
        </w:rPr>
        <w:t>-2020</w:t>
      </w:r>
      <w:r w:rsidRPr="00765F6E">
        <w:rPr>
          <w:rFonts w:hint="eastAsia"/>
          <w:sz w:val="21"/>
          <w:szCs w:val="21"/>
        </w:rPr>
        <w:t>，</w:t>
      </w:r>
      <w:r w:rsidRPr="00765F6E">
        <w:rPr>
          <w:sz w:val="21"/>
          <w:szCs w:val="21"/>
        </w:rPr>
        <w:t>2.1.5]</w:t>
      </w:r>
    </w:p>
    <w:p w14:paraId="095F55EE" w14:textId="77777777" w:rsidR="00737EB2" w:rsidRPr="00765F6E" w:rsidRDefault="00737EB2" w:rsidP="009D0776">
      <w:pPr>
        <w:pStyle w:val="22"/>
      </w:pPr>
      <w:bookmarkStart w:id="72" w:name="_Toc99791414"/>
      <w:bookmarkStart w:id="73" w:name="_Toc153290838"/>
    </w:p>
    <w:p w14:paraId="297044DC" w14:textId="77777777" w:rsidR="00737EB2" w:rsidRPr="00CA33AB" w:rsidRDefault="00737EB2" w:rsidP="009D0776">
      <w:pPr>
        <w:pStyle w:val="22"/>
        <w:numPr>
          <w:ilvl w:val="0"/>
          <w:numId w:val="0"/>
        </w:numPr>
        <w:ind w:left="420"/>
        <w:rPr>
          <w:rFonts w:ascii="黑体" w:eastAsia="黑体" w:hAnsi="黑体"/>
        </w:rPr>
      </w:pPr>
      <w:r w:rsidRPr="00CA33AB">
        <w:rPr>
          <w:rFonts w:ascii="黑体" w:eastAsia="黑体" w:hAnsi="黑体" w:hint="eastAsia"/>
        </w:rPr>
        <w:t>站台计算长度</w:t>
      </w:r>
      <w:r w:rsidRPr="00CA33AB">
        <w:rPr>
          <w:rFonts w:ascii="黑体" w:eastAsia="黑体" w:hAnsi="黑体"/>
        </w:rPr>
        <w:t xml:space="preserve">  calculated length of platform</w:t>
      </w:r>
      <w:bookmarkEnd w:id="72"/>
      <w:bookmarkEnd w:id="73"/>
    </w:p>
    <w:p w14:paraId="530E64A4" w14:textId="77777777" w:rsidR="00737EB2" w:rsidRPr="00765F6E" w:rsidRDefault="00737EB2" w:rsidP="009D0776">
      <w:pPr>
        <w:pStyle w:val="affffb"/>
        <w:ind w:firstLine="420"/>
      </w:pPr>
      <w:r w:rsidRPr="00765F6E">
        <w:rPr>
          <w:rFonts w:hint="eastAsia"/>
        </w:rPr>
        <w:t>供乘客上、下列车乘降平台的使用长度。有站台门时，指站台门围合长度；无站台门时，指首末两节车辆尽端客室门外侧之间的长度加停车误差。</w:t>
      </w:r>
    </w:p>
    <w:p w14:paraId="6A37D4AC" w14:textId="6442B669" w:rsidR="00737EB2" w:rsidRPr="00765F6E" w:rsidRDefault="00737EB2" w:rsidP="009D0776">
      <w:pPr>
        <w:pStyle w:val="new0"/>
        <w:ind w:firstLine="420"/>
        <w:rPr>
          <w:sz w:val="21"/>
          <w:szCs w:val="21"/>
        </w:rPr>
      </w:pPr>
      <w:r w:rsidRPr="00765F6E">
        <w:rPr>
          <w:sz w:val="21"/>
          <w:szCs w:val="21"/>
        </w:rPr>
        <w:t>[来源：TB 10624</w:t>
      </w:r>
      <w:r w:rsidR="007202A4">
        <w:rPr>
          <w:sz w:val="21"/>
          <w:szCs w:val="21"/>
        </w:rPr>
        <w:t>-2020</w:t>
      </w:r>
      <w:r w:rsidRPr="00765F6E">
        <w:rPr>
          <w:rFonts w:hint="eastAsia"/>
          <w:sz w:val="21"/>
          <w:szCs w:val="21"/>
        </w:rPr>
        <w:t>，</w:t>
      </w:r>
      <w:r w:rsidRPr="00765F6E">
        <w:rPr>
          <w:sz w:val="21"/>
          <w:szCs w:val="21"/>
        </w:rPr>
        <w:t>2.1.9]</w:t>
      </w:r>
    </w:p>
    <w:p w14:paraId="7AE6B64E" w14:textId="77777777" w:rsidR="00737EB2" w:rsidRPr="00765F6E" w:rsidRDefault="00737EB2" w:rsidP="009D0776">
      <w:pPr>
        <w:pStyle w:val="22"/>
      </w:pPr>
      <w:bookmarkStart w:id="74" w:name="_Toc153290839"/>
      <w:bookmarkStart w:id="75" w:name="_Toc99791415"/>
    </w:p>
    <w:p w14:paraId="7FECB6C8" w14:textId="77777777" w:rsidR="00737EB2" w:rsidRPr="00CA33AB" w:rsidRDefault="00737EB2" w:rsidP="009D0776">
      <w:pPr>
        <w:pStyle w:val="22"/>
        <w:numPr>
          <w:ilvl w:val="0"/>
          <w:numId w:val="0"/>
        </w:numPr>
        <w:ind w:left="420"/>
        <w:rPr>
          <w:rFonts w:ascii="黑体" w:eastAsia="黑体" w:hAnsi="黑体"/>
        </w:rPr>
      </w:pPr>
      <w:r w:rsidRPr="00CA33AB">
        <w:rPr>
          <w:rFonts w:ascii="黑体" w:eastAsia="黑体" w:hAnsi="黑体" w:hint="eastAsia"/>
        </w:rPr>
        <w:t>有效站台</w:t>
      </w:r>
      <w:r w:rsidRPr="00CA33AB">
        <w:rPr>
          <w:rFonts w:ascii="黑体" w:eastAsia="黑体" w:hAnsi="黑体"/>
        </w:rPr>
        <w:t xml:space="preserve">  effective platform</w:t>
      </w:r>
      <w:bookmarkEnd w:id="74"/>
      <w:bookmarkEnd w:id="75"/>
    </w:p>
    <w:p w14:paraId="372D1EF4" w14:textId="77777777" w:rsidR="00737EB2" w:rsidRPr="00765F6E" w:rsidRDefault="00737EB2" w:rsidP="009D0776">
      <w:pPr>
        <w:pStyle w:val="affffb"/>
        <w:ind w:firstLine="420"/>
      </w:pPr>
      <w:r w:rsidRPr="00765F6E">
        <w:rPr>
          <w:rFonts w:hint="eastAsia"/>
        </w:rPr>
        <w:t>远期列车长度与停车误差之和，向上取整后对应的站台范围。</w:t>
      </w:r>
    </w:p>
    <w:p w14:paraId="590939B3" w14:textId="11A36944" w:rsidR="00737EB2" w:rsidRPr="00765F6E" w:rsidRDefault="00737EB2" w:rsidP="009D0776">
      <w:pPr>
        <w:pStyle w:val="new0"/>
        <w:ind w:firstLine="420"/>
        <w:rPr>
          <w:sz w:val="21"/>
          <w:szCs w:val="21"/>
        </w:rPr>
      </w:pPr>
      <w:r w:rsidRPr="00765F6E">
        <w:rPr>
          <w:sz w:val="21"/>
          <w:szCs w:val="21"/>
        </w:rPr>
        <w:lastRenderedPageBreak/>
        <w:t>[来源：TB 10624</w:t>
      </w:r>
      <w:r w:rsidR="007202A4">
        <w:rPr>
          <w:sz w:val="21"/>
          <w:szCs w:val="21"/>
        </w:rPr>
        <w:t>-2020</w:t>
      </w:r>
      <w:r w:rsidRPr="00765F6E">
        <w:rPr>
          <w:rFonts w:hint="eastAsia"/>
          <w:sz w:val="21"/>
          <w:szCs w:val="21"/>
        </w:rPr>
        <w:t>，</w:t>
      </w:r>
      <w:r w:rsidRPr="00765F6E">
        <w:rPr>
          <w:sz w:val="21"/>
          <w:szCs w:val="21"/>
        </w:rPr>
        <w:t>2.1.10]</w:t>
      </w:r>
    </w:p>
    <w:p w14:paraId="51F777AB" w14:textId="77777777" w:rsidR="00737EB2" w:rsidRPr="00765F6E" w:rsidRDefault="00737EB2" w:rsidP="00B45DCD">
      <w:pPr>
        <w:pStyle w:val="22"/>
      </w:pPr>
      <w:bookmarkStart w:id="76" w:name="_Toc99791416"/>
      <w:bookmarkStart w:id="77" w:name="_Toc153290840"/>
    </w:p>
    <w:p w14:paraId="1DB6CDB0" w14:textId="77777777" w:rsidR="00737EB2" w:rsidRPr="00CA33AB" w:rsidRDefault="00737EB2" w:rsidP="009D0776">
      <w:pPr>
        <w:pStyle w:val="22"/>
        <w:numPr>
          <w:ilvl w:val="0"/>
          <w:numId w:val="0"/>
        </w:numPr>
        <w:ind w:left="420"/>
        <w:rPr>
          <w:rFonts w:ascii="黑体" w:eastAsia="黑体" w:hAnsi="黑体"/>
        </w:rPr>
      </w:pPr>
      <w:r w:rsidRPr="00CA33AB">
        <w:rPr>
          <w:rFonts w:ascii="黑体" w:eastAsia="黑体" w:hAnsi="黑体" w:hint="eastAsia"/>
        </w:rPr>
        <w:t>独立隧道</w:t>
      </w:r>
      <w:r w:rsidRPr="00CA33AB">
        <w:rPr>
          <w:rFonts w:ascii="黑体" w:eastAsia="黑体" w:hAnsi="黑体"/>
        </w:rPr>
        <w:t xml:space="preserve">  independent tunnel</w:t>
      </w:r>
      <w:bookmarkEnd w:id="76"/>
      <w:bookmarkEnd w:id="77"/>
    </w:p>
    <w:p w14:paraId="08FDA85D" w14:textId="77777777" w:rsidR="00737EB2" w:rsidRPr="00765F6E" w:rsidRDefault="00737EB2" w:rsidP="009D0776">
      <w:pPr>
        <w:pStyle w:val="affffb"/>
        <w:ind w:firstLine="420"/>
      </w:pPr>
      <w:r w:rsidRPr="00765F6E">
        <w:rPr>
          <w:rFonts w:hint="eastAsia"/>
        </w:rPr>
        <w:t>两端洞口均不与地下车站连接的隧道。</w:t>
      </w:r>
    </w:p>
    <w:p w14:paraId="0630BFF2" w14:textId="6981F8EB" w:rsidR="00737EB2" w:rsidRPr="00765F6E" w:rsidRDefault="00737EB2" w:rsidP="009D0776">
      <w:pPr>
        <w:pStyle w:val="new0"/>
        <w:ind w:firstLine="420"/>
        <w:rPr>
          <w:sz w:val="21"/>
          <w:szCs w:val="21"/>
        </w:rPr>
      </w:pPr>
      <w:r w:rsidRPr="00765F6E">
        <w:rPr>
          <w:sz w:val="21"/>
          <w:szCs w:val="21"/>
        </w:rPr>
        <w:t>[来源：TB 10624</w:t>
      </w:r>
      <w:r w:rsidR="007202A4">
        <w:rPr>
          <w:sz w:val="21"/>
          <w:szCs w:val="21"/>
        </w:rPr>
        <w:t>-2020</w:t>
      </w:r>
      <w:r w:rsidRPr="00765F6E">
        <w:rPr>
          <w:rFonts w:hint="eastAsia"/>
          <w:sz w:val="21"/>
          <w:szCs w:val="21"/>
        </w:rPr>
        <w:t>，</w:t>
      </w:r>
      <w:r w:rsidRPr="00765F6E">
        <w:rPr>
          <w:sz w:val="21"/>
          <w:szCs w:val="21"/>
        </w:rPr>
        <w:t>2.1.11]</w:t>
      </w:r>
    </w:p>
    <w:p w14:paraId="17405752" w14:textId="11A45BCA" w:rsidR="00737EB2" w:rsidRPr="00765F6E" w:rsidRDefault="00737EB2" w:rsidP="00737EB2">
      <w:pPr>
        <w:pStyle w:val="affe"/>
        <w:numPr>
          <w:ilvl w:val="0"/>
          <w:numId w:val="0"/>
        </w:numPr>
        <w:spacing w:before="156" w:after="156"/>
      </w:pPr>
      <w:bookmarkStart w:id="78" w:name="_Toc153290841"/>
      <w:bookmarkStart w:id="79" w:name="_Toc153210800"/>
      <w:bookmarkStart w:id="80" w:name="_Toc99791417"/>
      <w:bookmarkStart w:id="81" w:name="_Toc167895698"/>
      <w:bookmarkStart w:id="82" w:name="_Toc174538614"/>
      <w:bookmarkStart w:id="83" w:name="_Toc182476366"/>
      <w:r w:rsidRPr="00765F6E">
        <w:t xml:space="preserve">3.2 </w:t>
      </w:r>
      <w:r w:rsidRPr="00765F6E">
        <w:rPr>
          <w:rFonts w:hint="eastAsia"/>
        </w:rPr>
        <w:t>缩略语</w:t>
      </w:r>
      <w:bookmarkEnd w:id="78"/>
      <w:bookmarkEnd w:id="79"/>
      <w:bookmarkEnd w:id="80"/>
      <w:bookmarkEnd w:id="81"/>
      <w:bookmarkEnd w:id="82"/>
      <w:bookmarkEnd w:id="83"/>
    </w:p>
    <w:p w14:paraId="1A62A54E" w14:textId="77777777" w:rsidR="00737EB2" w:rsidRPr="00765F6E" w:rsidRDefault="00737EB2" w:rsidP="009D0776">
      <w:pPr>
        <w:pStyle w:val="affffb"/>
        <w:ind w:firstLine="420"/>
      </w:pPr>
      <w:r w:rsidRPr="00765F6E">
        <w:rPr>
          <w:rFonts w:hint="eastAsia"/>
        </w:rPr>
        <w:t>下列缩略语适用于本文件。</w:t>
      </w:r>
    </w:p>
    <w:p w14:paraId="556C63DF" w14:textId="1C83CF23" w:rsidR="00737EB2" w:rsidRPr="00765F6E" w:rsidRDefault="00737EB2" w:rsidP="009D0776">
      <w:pPr>
        <w:pStyle w:val="affffb"/>
        <w:ind w:firstLine="420"/>
      </w:pPr>
      <w:r w:rsidRPr="00765F6E">
        <w:rPr>
          <w:rFonts w:hint="eastAsia"/>
        </w:rPr>
        <w:t>ATO</w:t>
      </w:r>
      <w:r>
        <w:rPr>
          <w:rFonts w:hint="eastAsia"/>
        </w:rPr>
        <w:t>：</w:t>
      </w:r>
      <w:r w:rsidR="00B23EDB" w:rsidRPr="00765F6E">
        <w:rPr>
          <w:rFonts w:hint="eastAsia"/>
        </w:rPr>
        <w:t>列车自动运行</w:t>
      </w:r>
      <w:r w:rsidR="00B23EDB">
        <w:rPr>
          <w:rFonts w:hint="eastAsia"/>
        </w:rPr>
        <w:t>（</w:t>
      </w:r>
      <w:r w:rsidR="00B23EDB" w:rsidRPr="00765F6E">
        <w:rPr>
          <w:rFonts w:hint="eastAsia"/>
        </w:rPr>
        <w:t>Automatic Train Operation</w:t>
      </w:r>
      <w:r w:rsidR="00B23EDB">
        <w:rPr>
          <w:rFonts w:hint="eastAsia"/>
        </w:rPr>
        <w:t>）</w:t>
      </w:r>
      <w:r w:rsidRPr="00765F6E">
        <w:rPr>
          <w:rFonts w:hint="eastAsia"/>
        </w:rPr>
        <w:t xml:space="preserve">  </w:t>
      </w:r>
    </w:p>
    <w:p w14:paraId="3A40473E" w14:textId="07AE37A0" w:rsidR="00737EB2" w:rsidRPr="00765F6E" w:rsidRDefault="00737EB2" w:rsidP="009D0776">
      <w:pPr>
        <w:pStyle w:val="affffb"/>
        <w:ind w:firstLine="420"/>
      </w:pPr>
      <w:r w:rsidRPr="00765F6E">
        <w:rPr>
          <w:rFonts w:hint="eastAsia"/>
        </w:rPr>
        <w:t>ATP</w:t>
      </w:r>
      <w:r>
        <w:rPr>
          <w:rFonts w:hint="eastAsia"/>
        </w:rPr>
        <w:t>：</w:t>
      </w:r>
      <w:r w:rsidR="009E36CA" w:rsidRPr="00765F6E">
        <w:rPr>
          <w:rFonts w:hint="eastAsia"/>
        </w:rPr>
        <w:t>列车超速防护</w:t>
      </w:r>
      <w:r w:rsidR="009E36CA">
        <w:rPr>
          <w:rFonts w:hint="eastAsia"/>
        </w:rPr>
        <w:t>（</w:t>
      </w:r>
      <w:r w:rsidRPr="00765F6E">
        <w:rPr>
          <w:rFonts w:hint="eastAsia"/>
        </w:rPr>
        <w:t xml:space="preserve">Automatic Train Protection  </w:t>
      </w:r>
    </w:p>
    <w:p w14:paraId="4EF9D836" w14:textId="1B3DAE74" w:rsidR="00737EB2" w:rsidRPr="00765F6E" w:rsidRDefault="00737EB2" w:rsidP="009D0776">
      <w:pPr>
        <w:pStyle w:val="affffb"/>
        <w:ind w:firstLine="420"/>
      </w:pPr>
      <w:r w:rsidRPr="00765F6E">
        <w:rPr>
          <w:rFonts w:hint="eastAsia"/>
        </w:rPr>
        <w:t>BAS</w:t>
      </w:r>
      <w:r>
        <w:rPr>
          <w:rFonts w:hint="eastAsia"/>
        </w:rPr>
        <w:t>：</w:t>
      </w:r>
      <w:r w:rsidR="009E36CA" w:rsidRPr="00765F6E">
        <w:rPr>
          <w:rFonts w:hint="eastAsia"/>
        </w:rPr>
        <w:t>机电设备监控系统</w:t>
      </w:r>
      <w:r w:rsidR="009E36CA">
        <w:rPr>
          <w:rFonts w:hint="eastAsia"/>
        </w:rPr>
        <w:t>（</w:t>
      </w:r>
      <w:r w:rsidR="009E36CA" w:rsidRPr="00765F6E">
        <w:rPr>
          <w:rFonts w:hint="eastAsia"/>
        </w:rPr>
        <w:t>Building Automation System</w:t>
      </w:r>
      <w:r w:rsidR="009E36CA">
        <w:rPr>
          <w:rFonts w:hint="eastAsia"/>
        </w:rPr>
        <w:t>）</w:t>
      </w:r>
      <w:r w:rsidRPr="00765F6E">
        <w:rPr>
          <w:rFonts w:hint="eastAsia"/>
        </w:rPr>
        <w:t xml:space="preserve">  </w:t>
      </w:r>
    </w:p>
    <w:p w14:paraId="61E85C6B" w14:textId="2BA6577A" w:rsidR="00737EB2" w:rsidRPr="00765F6E" w:rsidRDefault="00737EB2" w:rsidP="009D0776">
      <w:pPr>
        <w:pStyle w:val="affffb"/>
        <w:ind w:firstLine="420"/>
      </w:pPr>
      <w:r w:rsidRPr="00765F6E">
        <w:rPr>
          <w:rFonts w:hint="eastAsia"/>
        </w:rPr>
        <w:t>CBTC</w:t>
      </w:r>
      <w:r>
        <w:rPr>
          <w:rFonts w:hint="eastAsia"/>
        </w:rPr>
        <w:t>：</w:t>
      </w:r>
      <w:r w:rsidR="009E36CA" w:rsidRPr="00765F6E">
        <w:rPr>
          <w:rFonts w:hint="eastAsia"/>
        </w:rPr>
        <w:t>基于通信的列车运行控制</w:t>
      </w:r>
      <w:r w:rsidR="009E36CA">
        <w:rPr>
          <w:rFonts w:hint="eastAsia"/>
        </w:rPr>
        <w:t>（</w:t>
      </w:r>
      <w:r w:rsidR="009E36CA" w:rsidRPr="00765F6E">
        <w:rPr>
          <w:rFonts w:hint="eastAsia"/>
        </w:rPr>
        <w:t>Communication Based Train Control</w:t>
      </w:r>
      <w:r w:rsidR="009E36CA">
        <w:rPr>
          <w:rFonts w:hint="eastAsia"/>
        </w:rPr>
        <w:t>）</w:t>
      </w:r>
      <w:r w:rsidRPr="00765F6E">
        <w:rPr>
          <w:rFonts w:hint="eastAsia"/>
        </w:rPr>
        <w:t xml:space="preserve">  </w:t>
      </w:r>
    </w:p>
    <w:p w14:paraId="2A2E55AE" w14:textId="0E722008" w:rsidR="00737EB2" w:rsidRPr="00765F6E" w:rsidRDefault="00737EB2" w:rsidP="009D0776">
      <w:pPr>
        <w:pStyle w:val="affffb"/>
        <w:ind w:firstLine="420"/>
      </w:pPr>
      <w:r w:rsidRPr="00765F6E">
        <w:rPr>
          <w:rFonts w:hint="eastAsia"/>
        </w:rPr>
        <w:t>CTCS</w:t>
      </w:r>
      <w:r>
        <w:rPr>
          <w:rFonts w:hint="eastAsia"/>
        </w:rPr>
        <w:t>：</w:t>
      </w:r>
      <w:r w:rsidR="009E36CA" w:rsidRPr="00765F6E">
        <w:rPr>
          <w:rFonts w:hint="eastAsia"/>
        </w:rPr>
        <w:t>中国列车运行控制系统</w:t>
      </w:r>
      <w:r w:rsidR="009E36CA">
        <w:rPr>
          <w:rFonts w:hint="eastAsia"/>
        </w:rPr>
        <w:t>（</w:t>
      </w:r>
      <w:r w:rsidR="009E36CA" w:rsidRPr="00765F6E">
        <w:rPr>
          <w:rFonts w:hint="eastAsia"/>
        </w:rPr>
        <w:t>Chinese Train Control System</w:t>
      </w:r>
      <w:r w:rsidR="009E36CA">
        <w:rPr>
          <w:rFonts w:hint="eastAsia"/>
        </w:rPr>
        <w:t>）</w:t>
      </w:r>
      <w:r w:rsidRPr="00765F6E">
        <w:rPr>
          <w:rFonts w:hint="eastAsia"/>
        </w:rPr>
        <w:t xml:space="preserve">   </w:t>
      </w:r>
    </w:p>
    <w:p w14:paraId="63079778" w14:textId="4B438482" w:rsidR="00514385" w:rsidRDefault="00737EB2" w:rsidP="009D0776">
      <w:pPr>
        <w:pStyle w:val="affffb"/>
        <w:ind w:firstLine="420"/>
      </w:pPr>
      <w:r w:rsidRPr="00765F6E">
        <w:rPr>
          <w:rFonts w:hint="eastAsia"/>
        </w:rPr>
        <w:t>FAS</w:t>
      </w:r>
      <w:r>
        <w:rPr>
          <w:rFonts w:hint="eastAsia"/>
        </w:rPr>
        <w:t>：</w:t>
      </w:r>
      <w:r w:rsidR="009E36CA" w:rsidRPr="00765F6E">
        <w:rPr>
          <w:rFonts w:hint="eastAsia"/>
        </w:rPr>
        <w:t>火灾自动报警系统</w:t>
      </w:r>
      <w:r w:rsidR="009E36CA">
        <w:rPr>
          <w:rFonts w:hint="eastAsia"/>
        </w:rPr>
        <w:t>（</w:t>
      </w:r>
      <w:r w:rsidR="009E36CA" w:rsidRPr="00765F6E">
        <w:rPr>
          <w:rFonts w:hint="eastAsia"/>
        </w:rPr>
        <w:t>Fire Alarm System</w:t>
      </w:r>
      <w:r w:rsidR="009E36CA">
        <w:rPr>
          <w:rFonts w:hint="eastAsia"/>
        </w:rPr>
        <w:t>）</w:t>
      </w:r>
      <w:r w:rsidRPr="00765F6E">
        <w:rPr>
          <w:rFonts w:hint="eastAsia"/>
        </w:rPr>
        <w:t xml:space="preserve"> </w:t>
      </w:r>
    </w:p>
    <w:p w14:paraId="4E99C1C3" w14:textId="304D128E" w:rsidR="00737EB2" w:rsidRPr="00765F6E" w:rsidRDefault="00514385" w:rsidP="009D0776">
      <w:pPr>
        <w:pStyle w:val="affffb"/>
        <w:ind w:firstLine="420"/>
      </w:pPr>
      <w:r w:rsidRPr="00514385">
        <w:t>GSM-R</w:t>
      </w:r>
      <w:r>
        <w:rPr>
          <w:rFonts w:hint="eastAsia"/>
        </w:rPr>
        <w:t>：</w:t>
      </w:r>
      <w:r w:rsidR="00736792" w:rsidRPr="00736792">
        <w:rPr>
          <w:rFonts w:hint="eastAsia"/>
        </w:rPr>
        <w:t>铁路综合数字移动通信系统</w:t>
      </w:r>
      <w:r w:rsidR="00736792">
        <w:rPr>
          <w:rFonts w:hint="eastAsia"/>
        </w:rPr>
        <w:t>（</w:t>
      </w:r>
      <w:r w:rsidR="00736792" w:rsidRPr="00736792">
        <w:t xml:space="preserve">Global System for Mobile Communications </w:t>
      </w:r>
      <w:r w:rsidR="00736792" w:rsidRPr="00736792">
        <w:t>–</w:t>
      </w:r>
      <w:r w:rsidR="00736792" w:rsidRPr="00736792">
        <w:t xml:space="preserve"> Railway</w:t>
      </w:r>
      <w:r w:rsidR="00736792">
        <w:rPr>
          <w:rFonts w:hint="eastAsia"/>
        </w:rPr>
        <w:t>）</w:t>
      </w:r>
    </w:p>
    <w:p w14:paraId="0DCBEB2E" w14:textId="17CD9673" w:rsidR="00792E75" w:rsidRDefault="00737EB2" w:rsidP="009D0776">
      <w:pPr>
        <w:pStyle w:val="affffb"/>
        <w:ind w:firstLine="420"/>
      </w:pPr>
      <w:r w:rsidRPr="00765F6E">
        <w:rPr>
          <w:rFonts w:hint="eastAsia"/>
        </w:rPr>
        <w:t>LTE</w:t>
      </w:r>
      <w:r>
        <w:rPr>
          <w:rFonts w:hint="eastAsia"/>
        </w:rPr>
        <w:t>：</w:t>
      </w:r>
      <w:r w:rsidR="009E36CA" w:rsidRPr="00765F6E">
        <w:rPr>
          <w:rFonts w:hint="eastAsia"/>
        </w:rPr>
        <w:t>长期演进</w:t>
      </w:r>
      <w:r w:rsidR="009E36CA">
        <w:rPr>
          <w:rFonts w:hint="eastAsia"/>
        </w:rPr>
        <w:t>（</w:t>
      </w:r>
      <w:r w:rsidR="009E36CA" w:rsidRPr="00765F6E">
        <w:rPr>
          <w:rFonts w:hint="eastAsia"/>
        </w:rPr>
        <w:t>Long Term Evolution</w:t>
      </w:r>
      <w:r w:rsidR="009E36CA">
        <w:rPr>
          <w:rFonts w:hint="eastAsia"/>
        </w:rPr>
        <w:t>）</w:t>
      </w:r>
      <w:r w:rsidRPr="00765F6E">
        <w:rPr>
          <w:rFonts w:hint="eastAsia"/>
        </w:rPr>
        <w:t xml:space="preserve"> </w:t>
      </w:r>
    </w:p>
    <w:p w14:paraId="7BAB2F9A" w14:textId="45116A7B" w:rsidR="00737EB2" w:rsidRPr="00765F6E" w:rsidRDefault="00792E75" w:rsidP="009D0776">
      <w:pPr>
        <w:pStyle w:val="affffb"/>
        <w:ind w:firstLine="420"/>
      </w:pPr>
      <w:r>
        <w:t>MCU</w:t>
      </w:r>
      <w:r>
        <w:rPr>
          <w:rFonts w:hint="eastAsia"/>
        </w:rPr>
        <w:t>：多点控制单元</w:t>
      </w:r>
      <w:r w:rsidR="0011242F">
        <w:rPr>
          <w:rFonts w:hint="eastAsia"/>
        </w:rPr>
        <w:t>（</w:t>
      </w:r>
      <w:r w:rsidR="0011242F" w:rsidRPr="0011242F">
        <w:t>Multi Control Unit</w:t>
      </w:r>
      <w:r w:rsidR="0011242F">
        <w:rPr>
          <w:rFonts w:hint="eastAsia"/>
        </w:rPr>
        <w:t>）</w:t>
      </w:r>
      <w:r w:rsidR="00737EB2" w:rsidRPr="00765F6E">
        <w:rPr>
          <w:rFonts w:hint="eastAsia"/>
        </w:rPr>
        <w:t xml:space="preserve"> </w:t>
      </w:r>
    </w:p>
    <w:p w14:paraId="714E1802" w14:textId="467E03F4" w:rsidR="00737EB2" w:rsidRPr="00765F6E" w:rsidRDefault="00737EB2" w:rsidP="009D0776">
      <w:pPr>
        <w:pStyle w:val="affffb"/>
        <w:ind w:firstLine="420"/>
      </w:pPr>
      <w:r w:rsidRPr="00765F6E">
        <w:rPr>
          <w:rFonts w:hint="eastAsia"/>
        </w:rPr>
        <w:t>OD</w:t>
      </w:r>
      <w:r>
        <w:rPr>
          <w:rFonts w:hint="eastAsia"/>
        </w:rPr>
        <w:t>：</w:t>
      </w:r>
      <w:r w:rsidR="009E36CA" w:rsidRPr="00765F6E">
        <w:rPr>
          <w:rFonts w:hint="eastAsia"/>
        </w:rPr>
        <w:t>起讫点</w:t>
      </w:r>
      <w:r w:rsidR="009E36CA">
        <w:rPr>
          <w:rFonts w:hint="eastAsia"/>
        </w:rPr>
        <w:t>（</w:t>
      </w:r>
      <w:r w:rsidR="009E36CA" w:rsidRPr="00765F6E">
        <w:rPr>
          <w:rFonts w:hint="eastAsia"/>
        </w:rPr>
        <w:t>Origin-Destination</w:t>
      </w:r>
      <w:r w:rsidR="009E36CA">
        <w:rPr>
          <w:rFonts w:hint="eastAsia"/>
        </w:rPr>
        <w:t>）</w:t>
      </w:r>
      <w:r w:rsidRPr="00765F6E">
        <w:rPr>
          <w:rFonts w:hint="eastAsia"/>
        </w:rPr>
        <w:t xml:space="preserve">  </w:t>
      </w:r>
    </w:p>
    <w:p w14:paraId="5BFC08AD" w14:textId="67202ACA" w:rsidR="00737EB2" w:rsidRPr="00765F6E" w:rsidRDefault="00737EB2" w:rsidP="009D0776">
      <w:pPr>
        <w:pStyle w:val="affffb"/>
        <w:ind w:firstLine="420"/>
      </w:pPr>
      <w:r w:rsidRPr="00765F6E">
        <w:rPr>
          <w:rFonts w:hint="eastAsia"/>
        </w:rPr>
        <w:t>OTN</w:t>
      </w:r>
      <w:r>
        <w:rPr>
          <w:rFonts w:hint="eastAsia"/>
        </w:rPr>
        <w:t>：</w:t>
      </w:r>
      <w:r w:rsidR="009E36CA" w:rsidRPr="00765F6E">
        <w:rPr>
          <w:rFonts w:hint="eastAsia"/>
        </w:rPr>
        <w:t>光传送网</w:t>
      </w:r>
      <w:r w:rsidR="009E36CA">
        <w:rPr>
          <w:rFonts w:hint="eastAsia"/>
        </w:rPr>
        <w:t>（</w:t>
      </w:r>
      <w:r w:rsidR="009E36CA" w:rsidRPr="00765F6E">
        <w:rPr>
          <w:rFonts w:hint="eastAsia"/>
        </w:rPr>
        <w:t>Optical Transport Network</w:t>
      </w:r>
      <w:r w:rsidR="009E36CA">
        <w:rPr>
          <w:rFonts w:hint="eastAsia"/>
        </w:rPr>
        <w:t>）</w:t>
      </w:r>
      <w:r w:rsidRPr="00765F6E">
        <w:rPr>
          <w:rFonts w:hint="eastAsia"/>
        </w:rPr>
        <w:t xml:space="preserve">  </w:t>
      </w:r>
    </w:p>
    <w:p w14:paraId="6EE5A9BD" w14:textId="71E0E83B" w:rsidR="00737EB2" w:rsidRPr="00765F6E" w:rsidRDefault="00737EB2" w:rsidP="009D0776">
      <w:pPr>
        <w:pStyle w:val="affffb"/>
        <w:ind w:firstLine="420"/>
      </w:pPr>
      <w:r w:rsidRPr="00765F6E">
        <w:rPr>
          <w:rFonts w:hint="eastAsia"/>
        </w:rPr>
        <w:t>PTN</w:t>
      </w:r>
      <w:r>
        <w:rPr>
          <w:rFonts w:hint="eastAsia"/>
        </w:rPr>
        <w:t>：</w:t>
      </w:r>
      <w:r w:rsidR="009E36CA" w:rsidRPr="00765F6E">
        <w:rPr>
          <w:rFonts w:hint="eastAsia"/>
        </w:rPr>
        <w:t>分组传送网</w:t>
      </w:r>
      <w:r w:rsidR="009E36CA">
        <w:rPr>
          <w:rFonts w:hint="eastAsia"/>
        </w:rPr>
        <w:t>（</w:t>
      </w:r>
      <w:r w:rsidR="009E36CA" w:rsidRPr="00765F6E">
        <w:rPr>
          <w:rFonts w:hint="eastAsia"/>
        </w:rPr>
        <w:t>Packet Transport Network</w:t>
      </w:r>
      <w:r w:rsidR="009E36CA">
        <w:rPr>
          <w:rFonts w:hint="eastAsia"/>
        </w:rPr>
        <w:t>）</w:t>
      </w:r>
      <w:r w:rsidRPr="00765F6E">
        <w:rPr>
          <w:rFonts w:hint="eastAsia"/>
        </w:rPr>
        <w:t xml:space="preserve">  </w:t>
      </w:r>
    </w:p>
    <w:p w14:paraId="7BADB024" w14:textId="3DD3B6D7" w:rsidR="00737EB2" w:rsidRPr="00765F6E" w:rsidRDefault="00737EB2" w:rsidP="009D0776">
      <w:pPr>
        <w:pStyle w:val="affffb"/>
        <w:ind w:firstLine="420"/>
      </w:pPr>
      <w:r w:rsidRPr="00765F6E">
        <w:rPr>
          <w:rFonts w:hint="eastAsia"/>
        </w:rPr>
        <w:t>RRU</w:t>
      </w:r>
      <w:r>
        <w:rPr>
          <w:rFonts w:hint="eastAsia"/>
        </w:rPr>
        <w:t>：</w:t>
      </w:r>
      <w:r w:rsidR="009E36CA" w:rsidRPr="00765F6E">
        <w:rPr>
          <w:rFonts w:hint="eastAsia"/>
        </w:rPr>
        <w:t>射频拉远单元</w:t>
      </w:r>
      <w:r w:rsidR="009E36CA">
        <w:rPr>
          <w:rFonts w:hint="eastAsia"/>
        </w:rPr>
        <w:t>（</w:t>
      </w:r>
      <w:r w:rsidR="009E36CA" w:rsidRPr="00765F6E">
        <w:rPr>
          <w:rFonts w:hint="eastAsia"/>
        </w:rPr>
        <w:t>Remote Radio Unit</w:t>
      </w:r>
      <w:r w:rsidR="009E36CA">
        <w:rPr>
          <w:rFonts w:hint="eastAsia"/>
        </w:rPr>
        <w:t>）</w:t>
      </w:r>
      <w:r w:rsidRPr="00765F6E">
        <w:rPr>
          <w:rFonts w:hint="eastAsia"/>
        </w:rPr>
        <w:t xml:space="preserve">  </w:t>
      </w:r>
    </w:p>
    <w:p w14:paraId="430C64B9" w14:textId="77777777" w:rsidR="00495853" w:rsidRDefault="00737EB2" w:rsidP="009D0776">
      <w:pPr>
        <w:pStyle w:val="affffb"/>
        <w:ind w:firstLine="420"/>
      </w:pPr>
      <w:r w:rsidRPr="00765F6E">
        <w:rPr>
          <w:rFonts w:hint="eastAsia"/>
        </w:rPr>
        <w:t>SDH</w:t>
      </w:r>
      <w:r>
        <w:rPr>
          <w:rFonts w:hint="eastAsia"/>
        </w:rPr>
        <w:t>：</w:t>
      </w:r>
      <w:r w:rsidR="009E36CA" w:rsidRPr="00765F6E">
        <w:rPr>
          <w:rFonts w:hint="eastAsia"/>
        </w:rPr>
        <w:t>同步数字系统</w:t>
      </w:r>
      <w:r w:rsidR="009E36CA">
        <w:rPr>
          <w:rFonts w:hint="eastAsia"/>
        </w:rPr>
        <w:t>（</w:t>
      </w:r>
      <w:r w:rsidR="009E36CA" w:rsidRPr="00765F6E">
        <w:rPr>
          <w:rFonts w:hint="eastAsia"/>
        </w:rPr>
        <w:t>Synchronous Digital Hierarchy</w:t>
      </w:r>
      <w:r w:rsidR="009E36CA">
        <w:rPr>
          <w:rFonts w:hint="eastAsia"/>
        </w:rPr>
        <w:t>）</w:t>
      </w:r>
    </w:p>
    <w:p w14:paraId="514B5847" w14:textId="4D498D1D" w:rsidR="00737EB2" w:rsidRPr="00765F6E" w:rsidRDefault="00495853" w:rsidP="009D0776">
      <w:pPr>
        <w:pStyle w:val="affffb"/>
        <w:ind w:firstLine="420"/>
        <w:rPr>
          <w:highlight w:val="yellow"/>
        </w:rPr>
      </w:pPr>
      <w:r w:rsidRPr="00765F6E">
        <w:rPr>
          <w:rFonts w:hint="eastAsia"/>
        </w:rPr>
        <w:t>SPN</w:t>
      </w:r>
      <w:r>
        <w:rPr>
          <w:rFonts w:hint="eastAsia"/>
        </w:rPr>
        <w:t>：</w:t>
      </w:r>
      <w:r w:rsidRPr="00765F6E">
        <w:rPr>
          <w:rFonts w:hint="eastAsia"/>
        </w:rPr>
        <w:t>切片分组网</w:t>
      </w:r>
      <w:r>
        <w:rPr>
          <w:rFonts w:hint="eastAsia"/>
        </w:rPr>
        <w:t>（</w:t>
      </w:r>
      <w:r w:rsidRPr="00495853">
        <w:t>Slicing Packet Network</w:t>
      </w:r>
      <w:r>
        <w:rPr>
          <w:rFonts w:hint="eastAsia"/>
        </w:rPr>
        <w:t>）</w:t>
      </w:r>
      <w:r w:rsidR="00737EB2" w:rsidRPr="00765F6E">
        <w:rPr>
          <w:rFonts w:hint="eastAsia"/>
        </w:rPr>
        <w:t xml:space="preserve">  </w:t>
      </w:r>
    </w:p>
    <w:p w14:paraId="528677BB" w14:textId="2B2F241A" w:rsidR="00737EB2" w:rsidRPr="00765F6E" w:rsidRDefault="00737EB2" w:rsidP="009D0776">
      <w:pPr>
        <w:pStyle w:val="affffb"/>
        <w:ind w:firstLine="420"/>
      </w:pPr>
      <w:r w:rsidRPr="00765F6E">
        <w:rPr>
          <w:rFonts w:hint="eastAsia"/>
        </w:rPr>
        <w:t>TBM</w:t>
      </w:r>
      <w:r>
        <w:rPr>
          <w:rFonts w:hint="eastAsia"/>
        </w:rPr>
        <w:t>：</w:t>
      </w:r>
      <w:r w:rsidR="009E36CA" w:rsidRPr="00765F6E">
        <w:rPr>
          <w:rFonts w:hint="eastAsia"/>
        </w:rPr>
        <w:t>隧道掘进机</w:t>
      </w:r>
      <w:r w:rsidR="009E36CA">
        <w:rPr>
          <w:rFonts w:hint="eastAsia"/>
        </w:rPr>
        <w:t>（</w:t>
      </w:r>
      <w:r w:rsidR="009E36CA" w:rsidRPr="00765F6E">
        <w:rPr>
          <w:rFonts w:hint="eastAsia"/>
        </w:rPr>
        <w:t>Tunnel Boring Machine</w:t>
      </w:r>
      <w:r w:rsidR="009E36CA">
        <w:rPr>
          <w:rFonts w:hint="eastAsia"/>
        </w:rPr>
        <w:t>）</w:t>
      </w:r>
      <w:r w:rsidRPr="00765F6E">
        <w:rPr>
          <w:rFonts w:hint="eastAsia"/>
        </w:rPr>
        <w:t xml:space="preserve">  </w:t>
      </w:r>
    </w:p>
    <w:p w14:paraId="0BAC15E8" w14:textId="072368EF" w:rsidR="00737EB2" w:rsidRPr="00765F6E" w:rsidRDefault="00737EB2" w:rsidP="009D0776">
      <w:pPr>
        <w:pStyle w:val="affffb"/>
        <w:ind w:firstLine="420"/>
      </w:pPr>
      <w:r w:rsidRPr="00765F6E">
        <w:rPr>
          <w:rFonts w:hint="eastAsia"/>
        </w:rPr>
        <w:t>TCP/IP</w:t>
      </w:r>
      <w:r>
        <w:rPr>
          <w:rFonts w:hint="eastAsia"/>
        </w:rPr>
        <w:t>：</w:t>
      </w:r>
      <w:r w:rsidR="009E36CA" w:rsidRPr="00765F6E">
        <w:rPr>
          <w:rFonts w:hint="eastAsia"/>
        </w:rPr>
        <w:t>传输控制协议/网际协议</w:t>
      </w:r>
      <w:r w:rsidR="009E36CA">
        <w:rPr>
          <w:rFonts w:hint="eastAsia"/>
        </w:rPr>
        <w:t>（</w:t>
      </w:r>
      <w:r w:rsidR="009E36CA" w:rsidRPr="00765F6E">
        <w:rPr>
          <w:rFonts w:hint="eastAsia"/>
        </w:rPr>
        <w:t>Transmission Control Protocol/Internet Protocol</w:t>
      </w:r>
      <w:r w:rsidR="009E36CA">
        <w:rPr>
          <w:rFonts w:hint="eastAsia"/>
        </w:rPr>
        <w:t>）</w:t>
      </w:r>
      <w:r w:rsidRPr="00765F6E">
        <w:rPr>
          <w:rFonts w:hint="eastAsia"/>
        </w:rPr>
        <w:t xml:space="preserve">  </w:t>
      </w:r>
    </w:p>
    <w:p w14:paraId="5C3C7ECF" w14:textId="747D50B8" w:rsidR="00B10A37" w:rsidRDefault="00737EB2" w:rsidP="009D0776">
      <w:pPr>
        <w:pStyle w:val="affffb"/>
        <w:ind w:firstLine="420"/>
      </w:pPr>
      <w:r w:rsidRPr="00765F6E">
        <w:rPr>
          <w:rFonts w:hint="eastAsia"/>
        </w:rPr>
        <w:t>UPS</w:t>
      </w:r>
      <w:r>
        <w:rPr>
          <w:rFonts w:hint="eastAsia"/>
        </w:rPr>
        <w:t>：</w:t>
      </w:r>
      <w:r w:rsidR="009E36CA" w:rsidRPr="00765F6E">
        <w:rPr>
          <w:rFonts w:hint="eastAsia"/>
        </w:rPr>
        <w:t>不间断电源</w:t>
      </w:r>
      <w:r w:rsidR="006C5526">
        <w:rPr>
          <w:rFonts w:hint="eastAsia"/>
        </w:rPr>
        <w:t>（</w:t>
      </w:r>
      <w:r w:rsidR="006C5526" w:rsidRPr="00765F6E">
        <w:rPr>
          <w:rFonts w:hint="eastAsia"/>
        </w:rPr>
        <w:t>Uninterruptible Power Supply</w:t>
      </w:r>
      <w:r w:rsidR="006C5526">
        <w:rPr>
          <w:rFonts w:hint="eastAsia"/>
        </w:rPr>
        <w:t>）</w:t>
      </w:r>
      <w:r w:rsidRPr="00765F6E">
        <w:rPr>
          <w:rFonts w:hint="eastAsia"/>
        </w:rPr>
        <w:t xml:space="preserve"> </w:t>
      </w:r>
    </w:p>
    <w:p w14:paraId="58FB3244" w14:textId="658684B7" w:rsidR="00736792" w:rsidRDefault="00736792" w:rsidP="009D0776">
      <w:pPr>
        <w:pStyle w:val="affffb"/>
        <w:ind w:firstLine="420"/>
      </w:pPr>
      <w:r>
        <w:rPr>
          <w:rFonts w:hint="eastAsia"/>
        </w:rPr>
        <w:t>5</w:t>
      </w:r>
      <w:r>
        <w:t>G</w:t>
      </w:r>
      <w:r>
        <w:rPr>
          <w:rFonts w:hint="eastAsia"/>
        </w:rPr>
        <w:t>：</w:t>
      </w:r>
      <w:r>
        <w:rPr>
          <w:rFonts w:ascii="Helvetica" w:hAnsi="Helvetica" w:cs="Helvetica"/>
          <w:color w:val="333333"/>
          <w:szCs w:val="21"/>
          <w:shd w:val="clear" w:color="auto" w:fill="FFFFFF"/>
        </w:rPr>
        <w:t>第五代移动通信技术</w:t>
      </w:r>
      <w:r>
        <w:rPr>
          <w:rFonts w:ascii="Helvetica" w:hAnsi="Helvetica" w:cs="Helvetica" w:hint="eastAsia"/>
          <w:color w:val="333333"/>
          <w:szCs w:val="21"/>
          <w:shd w:val="clear" w:color="auto" w:fill="FFFFFF"/>
        </w:rPr>
        <w:t>（</w:t>
      </w:r>
      <w:r w:rsidRPr="00453DBE">
        <w:t>5th Generation Mobile Communication Technology</w:t>
      </w:r>
      <w:r>
        <w:rPr>
          <w:rFonts w:ascii="Helvetica" w:hAnsi="Helvetica" w:cs="Helvetica" w:hint="eastAsia"/>
          <w:color w:val="333333"/>
          <w:szCs w:val="21"/>
          <w:shd w:val="clear" w:color="auto" w:fill="FFFFFF"/>
        </w:rPr>
        <w:t>）</w:t>
      </w:r>
    </w:p>
    <w:p w14:paraId="6B7A8C21" w14:textId="34E04B42" w:rsidR="00B93F38" w:rsidRPr="00CB1AA6" w:rsidRDefault="00FB22CC" w:rsidP="00CB1AA6">
      <w:pPr>
        <w:pStyle w:val="affd"/>
        <w:spacing w:before="312" w:after="312"/>
      </w:pPr>
      <w:bookmarkStart w:id="84" w:name="_Toc182476367"/>
      <w:r>
        <w:rPr>
          <w:rFonts w:hint="eastAsia"/>
        </w:rPr>
        <w:t>基本规定</w:t>
      </w:r>
      <w:bookmarkStart w:id="85" w:name="_Toc180758956"/>
      <w:bookmarkStart w:id="86" w:name="_Toc181266367"/>
      <w:bookmarkEnd w:id="84"/>
      <w:bookmarkEnd w:id="85"/>
      <w:bookmarkEnd w:id="86"/>
    </w:p>
    <w:p w14:paraId="0846144B" w14:textId="23466719" w:rsidR="00737EB2" w:rsidRPr="009D0776" w:rsidRDefault="006F5759" w:rsidP="00813617">
      <w:pPr>
        <w:pStyle w:val="affffffffe"/>
      </w:pPr>
      <w:bookmarkStart w:id="87" w:name="_Toc99791420"/>
      <w:bookmarkStart w:id="88" w:name="_Toc153290845"/>
      <w:r w:rsidRPr="009D0776">
        <w:rPr>
          <w:rFonts w:hint="eastAsia"/>
        </w:rPr>
        <w:t>市域铁路设计应遵照技术先进、安全可靠、经济适用、节能环保等</w:t>
      </w:r>
      <w:bookmarkEnd w:id="87"/>
      <w:r w:rsidRPr="009D0776">
        <w:rPr>
          <w:rFonts w:hint="eastAsia"/>
        </w:rPr>
        <w:t>原则</w:t>
      </w:r>
      <w:bookmarkEnd w:id="88"/>
      <w:r w:rsidR="00737EB2" w:rsidRPr="009D0776">
        <w:rPr>
          <w:rFonts w:hint="eastAsia"/>
        </w:rPr>
        <w:t>。</w:t>
      </w:r>
    </w:p>
    <w:p w14:paraId="0385255E" w14:textId="32D3DE5B" w:rsidR="00737EB2" w:rsidRPr="009D0776" w:rsidRDefault="00737EB2" w:rsidP="00813617">
      <w:pPr>
        <w:pStyle w:val="affffffffe"/>
      </w:pPr>
      <w:bookmarkStart w:id="89" w:name="_Toc153290846"/>
      <w:bookmarkStart w:id="90" w:name="_Toc99791421"/>
      <w:r w:rsidRPr="009D0776">
        <w:rPr>
          <w:rFonts w:hint="eastAsia"/>
        </w:rPr>
        <w:t>市域铁路设计应根据高密度、公交化运输组织要求系统设置设施设备，并应符合</w:t>
      </w:r>
      <w:bookmarkStart w:id="91" w:name="_Hlk152594379"/>
      <w:r w:rsidRPr="009D0776">
        <w:rPr>
          <w:rFonts w:hint="eastAsia"/>
        </w:rPr>
        <w:t>长三角区域统一标准</w:t>
      </w:r>
      <w:r w:rsidRPr="009D0776">
        <w:rPr>
          <w:rFonts w:hint="eastAsia"/>
          <w:bCs/>
        </w:rPr>
        <w:t>DB3</w:t>
      </w:r>
      <w:r w:rsidRPr="009D0776">
        <w:rPr>
          <w:bCs/>
        </w:rPr>
        <w:t>2</w:t>
      </w:r>
      <w:r w:rsidRPr="009D0776">
        <w:rPr>
          <w:rFonts w:hint="eastAsia"/>
          <w:bCs/>
        </w:rPr>
        <w:t>/T</w:t>
      </w:r>
      <w:r w:rsidRPr="009D0776">
        <w:rPr>
          <w:bCs/>
        </w:rPr>
        <w:t xml:space="preserve"> 310009</w:t>
      </w:r>
      <w:bookmarkEnd w:id="91"/>
      <w:r w:rsidRPr="009D0776">
        <w:rPr>
          <w:rFonts w:hint="eastAsia"/>
        </w:rPr>
        <w:t>有关规定。</w:t>
      </w:r>
      <w:bookmarkEnd w:id="89"/>
      <w:bookmarkEnd w:id="90"/>
    </w:p>
    <w:p w14:paraId="25F72965" w14:textId="3E73C289" w:rsidR="00737EB2" w:rsidRPr="009D0776" w:rsidRDefault="00737EB2" w:rsidP="00813617">
      <w:pPr>
        <w:pStyle w:val="affffffffe"/>
      </w:pPr>
      <w:bookmarkStart w:id="92" w:name="_Toc99791422"/>
      <w:bookmarkStart w:id="93" w:name="_Toc153290847"/>
      <w:r w:rsidRPr="009D0776">
        <w:rPr>
          <w:rFonts w:hint="eastAsia"/>
        </w:rPr>
        <w:t>市域铁路设计应根据客运需求，合理确定技术标准，满足通勤出行1h以内时间目标要求。</w:t>
      </w:r>
      <w:bookmarkEnd w:id="92"/>
      <w:bookmarkEnd w:id="93"/>
    </w:p>
    <w:p w14:paraId="15FBBB8B" w14:textId="1A6EEF58" w:rsidR="00737EB2" w:rsidRPr="009D0776" w:rsidRDefault="00737EB2" w:rsidP="00813617">
      <w:pPr>
        <w:pStyle w:val="affffffffe"/>
      </w:pPr>
      <w:bookmarkStart w:id="94" w:name="_Toc153290848"/>
      <w:bookmarkStart w:id="95" w:name="_Toc99791423"/>
      <w:r w:rsidRPr="009D0776">
        <w:rPr>
          <w:rFonts w:hint="eastAsia"/>
        </w:rPr>
        <w:t>市域铁路设计应根据功能定位，科学选定线路设计速度、敷设方式、车站分布及车辆类型等，合理确定路基工后沉降、轨道型式、车站规模、桥梁刚度和隧道断面等，控制工程建设标准和投资。</w:t>
      </w:r>
      <w:bookmarkEnd w:id="94"/>
      <w:bookmarkEnd w:id="95"/>
    </w:p>
    <w:p w14:paraId="755691A5" w14:textId="4E8D07A9" w:rsidR="00737EB2" w:rsidRPr="009D0776" w:rsidRDefault="00737EB2" w:rsidP="00813617">
      <w:pPr>
        <w:pStyle w:val="affffffffe"/>
      </w:pPr>
      <w:bookmarkStart w:id="96" w:name="_Toc99791424"/>
      <w:bookmarkStart w:id="97" w:name="_Toc153290849"/>
      <w:r w:rsidRPr="009D0776">
        <w:rPr>
          <w:rFonts w:hint="eastAsia"/>
        </w:rPr>
        <w:t>市域铁路设计年度分为初期、近期和远期。初期为交付运营后</w:t>
      </w:r>
      <w:r w:rsidR="00B20D0E" w:rsidRPr="009D0776">
        <w:rPr>
          <w:rFonts w:hint="eastAsia"/>
        </w:rPr>
        <w:t>第</w:t>
      </w:r>
      <w:r w:rsidR="00B20D0E">
        <w:rPr>
          <w:rFonts w:hint="eastAsia"/>
        </w:rPr>
        <w:t>3</w:t>
      </w:r>
      <w:r w:rsidR="00B20D0E" w:rsidRPr="009D0776">
        <w:rPr>
          <w:rFonts w:hint="eastAsia"/>
        </w:rPr>
        <w:t>年</w:t>
      </w:r>
      <w:r w:rsidRPr="009D0776">
        <w:rPr>
          <w:rFonts w:hint="eastAsia"/>
        </w:rPr>
        <w:t>，近期为交付运营后</w:t>
      </w:r>
      <w:r w:rsidR="00B20D0E" w:rsidRPr="009D0776">
        <w:rPr>
          <w:rFonts w:hint="eastAsia"/>
        </w:rPr>
        <w:t>第</w:t>
      </w:r>
      <w:r w:rsidR="00B20D0E">
        <w:rPr>
          <w:rFonts w:hint="eastAsia"/>
        </w:rPr>
        <w:t>1</w:t>
      </w:r>
      <w:r w:rsidR="00B20D0E">
        <w:t>0</w:t>
      </w:r>
      <w:r w:rsidR="00B20D0E" w:rsidRPr="009D0776">
        <w:rPr>
          <w:rFonts w:hint="eastAsia"/>
        </w:rPr>
        <w:t>年</w:t>
      </w:r>
      <w:r w:rsidRPr="009D0776">
        <w:rPr>
          <w:rFonts w:hint="eastAsia"/>
        </w:rPr>
        <w:t>，远期为交付运营后</w:t>
      </w:r>
      <w:r w:rsidR="00B20D0E" w:rsidRPr="009D0776">
        <w:rPr>
          <w:rFonts w:hint="eastAsia"/>
        </w:rPr>
        <w:t>第</w:t>
      </w:r>
      <w:r w:rsidR="00B20D0E">
        <w:rPr>
          <w:rFonts w:hint="eastAsia"/>
        </w:rPr>
        <w:t>2</w:t>
      </w:r>
      <w:r w:rsidR="00B20D0E">
        <w:t>5</w:t>
      </w:r>
      <w:r w:rsidR="00B20D0E" w:rsidRPr="009D0776">
        <w:rPr>
          <w:rFonts w:hint="eastAsia"/>
        </w:rPr>
        <w:t>年</w:t>
      </w:r>
      <w:r w:rsidRPr="009D0776">
        <w:rPr>
          <w:rFonts w:hint="eastAsia"/>
        </w:rPr>
        <w:t>。</w:t>
      </w:r>
      <w:bookmarkEnd w:id="96"/>
      <w:r w:rsidRPr="009D0776">
        <w:rPr>
          <w:rFonts w:hint="eastAsia"/>
        </w:rPr>
        <w:t>建筑物和设备等按下列规定确定：</w:t>
      </w:r>
      <w:bookmarkEnd w:id="97"/>
    </w:p>
    <w:p w14:paraId="151E5218" w14:textId="480FFE04" w:rsidR="00737EB2" w:rsidRPr="00765F6E" w:rsidRDefault="00737EB2" w:rsidP="00813617">
      <w:pPr>
        <w:pStyle w:val="af6"/>
        <w:tabs>
          <w:tab w:val="left" w:pos="851"/>
        </w:tabs>
        <w:snapToGrid w:val="0"/>
        <w:contextualSpacing/>
      </w:pPr>
      <w:r w:rsidRPr="00765F6E">
        <w:t>市域铁路线下基础设施和不易改扩建的建筑物和设备</w:t>
      </w:r>
      <w:r w:rsidRPr="00765F6E">
        <w:rPr>
          <w:rFonts w:hint="eastAsia"/>
        </w:rPr>
        <w:t>，</w:t>
      </w:r>
      <w:r w:rsidRPr="00765F6E">
        <w:t>应按预测的远期高峰小时最大断面客流和客流特征</w:t>
      </w:r>
      <w:r w:rsidRPr="00765F6E">
        <w:rPr>
          <w:rFonts w:hint="eastAsia"/>
        </w:rPr>
        <w:t>确定</w:t>
      </w:r>
      <w:r w:rsidR="00DF50A3">
        <w:rPr>
          <w:rFonts w:hint="eastAsia"/>
        </w:rPr>
        <w:t>；</w:t>
      </w:r>
    </w:p>
    <w:p w14:paraId="47400C9B" w14:textId="77777777" w:rsidR="00737EB2" w:rsidRPr="00765F6E" w:rsidRDefault="00737EB2" w:rsidP="00813617">
      <w:pPr>
        <w:pStyle w:val="af6"/>
        <w:tabs>
          <w:tab w:val="left" w:pos="851"/>
        </w:tabs>
        <w:snapToGrid w:val="0"/>
        <w:contextualSpacing/>
      </w:pPr>
      <w:r w:rsidRPr="00765F6E">
        <w:t>易改扩建的建筑物和设备</w:t>
      </w:r>
      <w:r w:rsidRPr="00765F6E">
        <w:rPr>
          <w:rFonts w:hint="eastAsia"/>
        </w:rPr>
        <w:t>，</w:t>
      </w:r>
      <w:r w:rsidRPr="00765F6E">
        <w:t>可按近期高峰小时最大断面客流和客流特征</w:t>
      </w:r>
      <w:r w:rsidRPr="00765F6E">
        <w:rPr>
          <w:rFonts w:hint="eastAsia"/>
        </w:rPr>
        <w:t>确定，</w:t>
      </w:r>
      <w:r w:rsidRPr="00765F6E">
        <w:t>并预留远期发展条件</w:t>
      </w:r>
      <w:r w:rsidRPr="00765F6E">
        <w:rPr>
          <w:rFonts w:hint="eastAsia"/>
        </w:rPr>
        <w:t>；</w:t>
      </w:r>
    </w:p>
    <w:p w14:paraId="7F305E63" w14:textId="77777777" w:rsidR="00737EB2" w:rsidRPr="00765F6E" w:rsidRDefault="00737EB2" w:rsidP="00813617">
      <w:pPr>
        <w:pStyle w:val="af6"/>
        <w:tabs>
          <w:tab w:val="left" w:pos="851"/>
        </w:tabs>
        <w:snapToGrid w:val="0"/>
        <w:contextualSpacing/>
      </w:pPr>
      <w:r w:rsidRPr="00765F6E">
        <w:t>市域</w:t>
      </w:r>
      <w:r w:rsidRPr="00765F6E">
        <w:rPr>
          <w:rFonts w:hint="eastAsia"/>
        </w:rPr>
        <w:t>列</w:t>
      </w:r>
      <w:r w:rsidRPr="00765F6E">
        <w:t>车配置数量及随运营需求变化</w:t>
      </w:r>
      <w:r w:rsidRPr="00765F6E">
        <w:rPr>
          <w:rFonts w:hint="eastAsia"/>
        </w:rPr>
        <w:t>调整</w:t>
      </w:r>
      <w:r w:rsidRPr="00765F6E">
        <w:t>的运输设备可按初期运量</w:t>
      </w:r>
      <w:r w:rsidRPr="00765F6E">
        <w:rPr>
          <w:rFonts w:hint="eastAsia"/>
        </w:rPr>
        <w:t>确定。</w:t>
      </w:r>
    </w:p>
    <w:p w14:paraId="7DA1F220" w14:textId="53008335" w:rsidR="00737EB2" w:rsidRPr="009D0776" w:rsidRDefault="00737EB2" w:rsidP="00813617">
      <w:pPr>
        <w:pStyle w:val="affffffffe"/>
      </w:pPr>
      <w:bookmarkStart w:id="98" w:name="_Toc99791425"/>
      <w:bookmarkStart w:id="99" w:name="_Toc153290850"/>
      <w:r w:rsidRPr="009D0776">
        <w:rPr>
          <w:rFonts w:hint="eastAsia"/>
        </w:rPr>
        <w:t>市域铁路列车设计竖向静荷载应采用ZS荷载。</w:t>
      </w:r>
      <w:bookmarkEnd w:id="98"/>
      <w:bookmarkEnd w:id="99"/>
    </w:p>
    <w:p w14:paraId="48D2A0B3" w14:textId="0DB8A975" w:rsidR="00737EB2" w:rsidRPr="009D0776" w:rsidRDefault="00737EB2" w:rsidP="00813617">
      <w:pPr>
        <w:pStyle w:val="affffffffe"/>
      </w:pPr>
      <w:bookmarkStart w:id="100" w:name="_Toc153290851"/>
      <w:bookmarkStart w:id="101" w:name="_Toc99791426"/>
      <w:r w:rsidRPr="009D0776">
        <w:rPr>
          <w:rFonts w:hint="eastAsia"/>
        </w:rPr>
        <w:lastRenderedPageBreak/>
        <w:t>市域铁路路基、桥涵、隧道以及地下车站等主体结构和使用期间不可更换的结构构件设计使用年限为100年，地面及高架车站中不直接承受列车荷载的独立结构、不影响运营的可更换次要结构设计使用年限为50年。无砟轨道道床设计使用年限不应小于60年。</w:t>
      </w:r>
      <w:bookmarkEnd w:id="100"/>
      <w:bookmarkEnd w:id="101"/>
    </w:p>
    <w:p w14:paraId="536BBC3B" w14:textId="13545779" w:rsidR="00737EB2" w:rsidRPr="009D0776" w:rsidRDefault="00737EB2" w:rsidP="00813617">
      <w:pPr>
        <w:pStyle w:val="affffffffe"/>
      </w:pPr>
      <w:bookmarkStart w:id="102" w:name="_Toc99791427"/>
      <w:bookmarkStart w:id="103" w:name="_Toc153290852"/>
      <w:r w:rsidRPr="009D0776">
        <w:rPr>
          <w:rFonts w:hint="eastAsia"/>
        </w:rPr>
        <w:t>市域铁路应具备网络化运营条件，与干线铁路、城际铁路、城市轨道交通</w:t>
      </w:r>
      <w:r w:rsidR="008419F4">
        <w:rPr>
          <w:rFonts w:hint="eastAsia"/>
        </w:rPr>
        <w:t>通过</w:t>
      </w:r>
      <w:r w:rsidRPr="009D0776">
        <w:rPr>
          <w:rFonts w:hint="eastAsia"/>
        </w:rPr>
        <w:t>节点换乘或跨线运行，实现互联互通</w:t>
      </w:r>
      <w:r w:rsidR="008419F4">
        <w:rPr>
          <w:rFonts w:hint="eastAsia"/>
        </w:rPr>
        <w:t>，并</w:t>
      </w:r>
      <w:r w:rsidRPr="009D0776">
        <w:rPr>
          <w:rFonts w:hint="eastAsia"/>
        </w:rPr>
        <w:t>应</w:t>
      </w:r>
      <w:r w:rsidR="008419F4">
        <w:rPr>
          <w:rFonts w:hint="eastAsia"/>
        </w:rPr>
        <w:t>满足</w:t>
      </w:r>
      <w:r w:rsidRPr="009D0776">
        <w:rPr>
          <w:rFonts w:hint="eastAsia"/>
        </w:rPr>
        <w:t>长三角区域统一标准</w:t>
      </w:r>
      <w:r w:rsidRPr="009D0776">
        <w:rPr>
          <w:rFonts w:hint="eastAsia"/>
          <w:bCs/>
        </w:rPr>
        <w:t>DB3</w:t>
      </w:r>
      <w:r w:rsidRPr="009D0776">
        <w:rPr>
          <w:bCs/>
        </w:rPr>
        <w:t>2</w:t>
      </w:r>
      <w:r w:rsidRPr="009D0776">
        <w:rPr>
          <w:rFonts w:hint="eastAsia"/>
          <w:bCs/>
        </w:rPr>
        <w:t>/T</w:t>
      </w:r>
      <w:r w:rsidRPr="009D0776">
        <w:rPr>
          <w:bCs/>
        </w:rPr>
        <w:t xml:space="preserve"> 310009</w:t>
      </w:r>
      <w:r w:rsidRPr="009D0776">
        <w:rPr>
          <w:rFonts w:hint="eastAsia"/>
          <w:bCs/>
        </w:rPr>
        <w:t>的要求</w:t>
      </w:r>
      <w:r w:rsidRPr="009D0776">
        <w:rPr>
          <w:rFonts w:hint="eastAsia"/>
        </w:rPr>
        <w:t>。</w:t>
      </w:r>
      <w:bookmarkEnd w:id="102"/>
      <w:bookmarkEnd w:id="103"/>
    </w:p>
    <w:p w14:paraId="67210F07" w14:textId="288B5083" w:rsidR="00737EB2" w:rsidRPr="009D0776" w:rsidRDefault="00737EB2" w:rsidP="00813617">
      <w:pPr>
        <w:pStyle w:val="affffffffe"/>
      </w:pPr>
      <w:bookmarkStart w:id="104" w:name="_Toc99791428"/>
      <w:bookmarkStart w:id="105" w:name="_Toc153290853"/>
      <w:r w:rsidRPr="009D0776">
        <w:rPr>
          <w:rFonts w:hint="eastAsia"/>
        </w:rPr>
        <w:t>市域铁路车站</w:t>
      </w:r>
      <w:r w:rsidR="00C22326">
        <w:fldChar w:fldCharType="begin"/>
      </w:r>
      <w:r w:rsidR="00C22326">
        <w:fldChar w:fldCharType="end"/>
      </w:r>
      <w:r w:rsidRPr="009D0776">
        <w:rPr>
          <w:rFonts w:hint="eastAsia"/>
        </w:rPr>
        <w:t>应与机场、公路客站等重要交通枢纽高效衔接，符合便捷换乘、快速集散和基础设施、标识信息等资源共享的要求；并应配套建设步行和自行车服务设施，宜设置停车场。</w:t>
      </w:r>
      <w:bookmarkEnd w:id="104"/>
      <w:bookmarkEnd w:id="105"/>
    </w:p>
    <w:p w14:paraId="7A4A7973" w14:textId="73ECE5FB" w:rsidR="00737EB2" w:rsidRPr="009D0776" w:rsidRDefault="00737EB2" w:rsidP="00813617">
      <w:pPr>
        <w:pStyle w:val="affffffffe"/>
      </w:pPr>
      <w:bookmarkStart w:id="106" w:name="_Toc99791429"/>
      <w:bookmarkStart w:id="107" w:name="_Toc153290854"/>
      <w:r w:rsidRPr="009D0776">
        <w:rPr>
          <w:rFonts w:hint="eastAsia"/>
        </w:rPr>
        <w:t>市域铁路应按全封闭、全立交设计。</w:t>
      </w:r>
      <w:bookmarkEnd w:id="106"/>
      <w:bookmarkEnd w:id="107"/>
      <w:r w:rsidRPr="009D0776">
        <w:rPr>
          <w:rFonts w:hint="eastAsia"/>
        </w:rPr>
        <w:tab/>
      </w:r>
    </w:p>
    <w:p w14:paraId="16221EED" w14:textId="73F0B00C" w:rsidR="00737EB2" w:rsidRPr="009D0776" w:rsidRDefault="00737EB2" w:rsidP="00813617">
      <w:pPr>
        <w:pStyle w:val="affffffffe"/>
      </w:pPr>
      <w:bookmarkStart w:id="108" w:name="_Toc99791430"/>
      <w:bookmarkStart w:id="109" w:name="_Toc153290855"/>
      <w:r w:rsidRPr="009D0776">
        <w:rPr>
          <w:rFonts w:hint="eastAsia"/>
        </w:rPr>
        <w:t>市域铁路采用新技术、新工艺、新材料、新设备，应符合国家及行业的安全、可靠、成熟、经济、适用等有关规定，宜采用自动化、国产装备</w:t>
      </w:r>
      <w:bookmarkStart w:id="110" w:name="_Toc99791434"/>
      <w:bookmarkEnd w:id="108"/>
      <w:r w:rsidR="00DF50A3">
        <w:rPr>
          <w:rFonts w:hint="eastAsia"/>
        </w:rPr>
        <w:t>；</w:t>
      </w:r>
      <w:r w:rsidRPr="009D0776">
        <w:rPr>
          <w:rFonts w:hint="eastAsia"/>
        </w:rPr>
        <w:t>市域铁路应发展装配式建筑、绿色建筑和先进建造技术。</w:t>
      </w:r>
      <w:bookmarkEnd w:id="109"/>
    </w:p>
    <w:p w14:paraId="36091E2C" w14:textId="7EE4E9CF" w:rsidR="00737EB2" w:rsidRPr="009D0776" w:rsidRDefault="00737EB2" w:rsidP="00813617">
      <w:pPr>
        <w:pStyle w:val="affffffffe"/>
      </w:pPr>
      <w:bookmarkStart w:id="111" w:name="_Toc99791431"/>
      <w:bookmarkStart w:id="112" w:name="_Toc153290856"/>
      <w:bookmarkEnd w:id="110"/>
      <w:r w:rsidRPr="009D0776">
        <w:rPr>
          <w:rFonts w:hint="eastAsia"/>
        </w:rPr>
        <w:t>市域铁路设计应执行国家节约能源、节约用水、节省用地、节约材料、保护环境等有关法律、法规。</w:t>
      </w:r>
      <w:bookmarkEnd w:id="111"/>
      <w:bookmarkEnd w:id="112"/>
    </w:p>
    <w:p w14:paraId="16D7610B" w14:textId="77777777" w:rsidR="00737EB2" w:rsidRPr="009D0776" w:rsidRDefault="00737EB2" w:rsidP="00813617">
      <w:pPr>
        <w:pStyle w:val="affffffffe"/>
      </w:pPr>
      <w:bookmarkStart w:id="113" w:name="_Toc153290857"/>
      <w:bookmarkStart w:id="114" w:name="_Toc99791432"/>
      <w:r w:rsidRPr="009D0776">
        <w:rPr>
          <w:rFonts w:hint="eastAsia"/>
        </w:rPr>
        <w:t>市域铁路减振降噪设计应符合国家和江苏省现行的城市环境保护有关规定。</w:t>
      </w:r>
    </w:p>
    <w:p w14:paraId="5FB29B6A" w14:textId="49FDA538" w:rsidR="00737EB2" w:rsidRPr="009D0776" w:rsidRDefault="00737EB2" w:rsidP="00813617">
      <w:pPr>
        <w:pStyle w:val="affffffffe"/>
      </w:pPr>
      <w:r w:rsidRPr="009D0776">
        <w:rPr>
          <w:rFonts w:hint="eastAsia"/>
        </w:rPr>
        <w:t>市域铁路工程抗震设计应符合GB 50011、GB 50111规定，并应符合有关主管部门地震安全性要求。</w:t>
      </w:r>
      <w:bookmarkEnd w:id="113"/>
      <w:bookmarkEnd w:id="114"/>
    </w:p>
    <w:p w14:paraId="62012917" w14:textId="31494D70" w:rsidR="00737EB2" w:rsidRPr="009D0776" w:rsidRDefault="00737EB2" w:rsidP="00813617">
      <w:pPr>
        <w:pStyle w:val="affffffffe"/>
      </w:pPr>
      <w:r w:rsidRPr="009D0776">
        <w:rPr>
          <w:rFonts w:hint="eastAsia"/>
        </w:rPr>
        <w:t>市域铁路</w:t>
      </w:r>
      <w:r w:rsidR="007B2BBD">
        <w:rPr>
          <w:rFonts w:hint="eastAsia"/>
        </w:rPr>
        <w:t>防汛</w:t>
      </w:r>
      <w:r w:rsidRPr="009D0776">
        <w:rPr>
          <w:rFonts w:hint="eastAsia"/>
        </w:rPr>
        <w:t>防涝设计</w:t>
      </w:r>
      <w:r w:rsidR="007B2BBD">
        <w:rPr>
          <w:rFonts w:hint="eastAsia"/>
        </w:rPr>
        <w:t>应</w:t>
      </w:r>
      <w:r w:rsidR="00D95C67">
        <w:rPr>
          <w:rFonts w:hint="eastAsia"/>
        </w:rPr>
        <w:t>满足</w:t>
      </w:r>
      <w:r w:rsidR="00D95C67" w:rsidRPr="009D0776">
        <w:rPr>
          <w:rFonts w:hint="eastAsia"/>
        </w:rPr>
        <w:t>国家和江苏省有关规定</w:t>
      </w:r>
      <w:r w:rsidRPr="009D0776">
        <w:rPr>
          <w:rFonts w:hint="eastAsia"/>
        </w:rPr>
        <w:t>。</w:t>
      </w:r>
    </w:p>
    <w:p w14:paraId="424E0BAF" w14:textId="63CB1E78" w:rsidR="00FB6000" w:rsidRDefault="00FB6000" w:rsidP="00813617">
      <w:pPr>
        <w:pStyle w:val="affffffffe"/>
      </w:pPr>
      <w:r w:rsidRPr="009D0776">
        <w:rPr>
          <w:rFonts w:hint="eastAsia"/>
        </w:rPr>
        <w:t>市域铁路建设工程的劳动安全卫生设施应符合国家和江苏省有关规定</w:t>
      </w:r>
      <w:r w:rsidR="00A86845">
        <w:rPr>
          <w:rFonts w:hint="eastAsia"/>
        </w:rPr>
        <w:t>。</w:t>
      </w:r>
    </w:p>
    <w:p w14:paraId="619253A9" w14:textId="05473478" w:rsidR="00737EB2" w:rsidRDefault="00FB6000" w:rsidP="00813617">
      <w:pPr>
        <w:pStyle w:val="affffffffe"/>
      </w:pPr>
      <w:r w:rsidRPr="00FB6000">
        <w:rPr>
          <w:rFonts w:hint="eastAsia"/>
        </w:rPr>
        <w:t>江苏省市域铁路设计除应符合本规范外，还应符合国家和行业有关标准的规定</w:t>
      </w:r>
      <w:r>
        <w:rPr>
          <w:rFonts w:hint="eastAsia"/>
        </w:rPr>
        <w:t>。</w:t>
      </w:r>
    </w:p>
    <w:p w14:paraId="45A06159" w14:textId="77777777" w:rsidR="00737EB2" w:rsidRPr="00765F6E" w:rsidRDefault="00737EB2" w:rsidP="00737EB2">
      <w:pPr>
        <w:pStyle w:val="affd"/>
        <w:spacing w:before="312" w:after="312"/>
      </w:pPr>
      <w:bookmarkStart w:id="115" w:name="_Toc99791435"/>
      <w:bookmarkStart w:id="116" w:name="_Toc153210804"/>
      <w:bookmarkStart w:id="117" w:name="_Toc153290859"/>
      <w:bookmarkStart w:id="118" w:name="_Toc167895702"/>
      <w:bookmarkStart w:id="119" w:name="_Toc174538616"/>
      <w:bookmarkStart w:id="120" w:name="_Toc182476368"/>
      <w:r w:rsidRPr="00765F6E">
        <w:rPr>
          <w:rFonts w:hint="eastAsia"/>
        </w:rPr>
        <w:t>总体设计</w:t>
      </w:r>
      <w:bookmarkEnd w:id="115"/>
      <w:bookmarkEnd w:id="116"/>
      <w:bookmarkEnd w:id="117"/>
      <w:bookmarkEnd w:id="118"/>
      <w:bookmarkEnd w:id="119"/>
      <w:bookmarkEnd w:id="120"/>
    </w:p>
    <w:p w14:paraId="34C35CD6" w14:textId="77777777" w:rsidR="00737EB2" w:rsidRPr="00765F6E" w:rsidRDefault="00737EB2" w:rsidP="00737EB2">
      <w:pPr>
        <w:pStyle w:val="affe"/>
        <w:spacing w:before="156" w:after="156"/>
      </w:pPr>
      <w:bookmarkStart w:id="121" w:name="_Toc153210805"/>
      <w:bookmarkStart w:id="122" w:name="_Toc99791436"/>
      <w:bookmarkStart w:id="123" w:name="_Toc153290860"/>
      <w:bookmarkStart w:id="124" w:name="_Toc167895703"/>
      <w:bookmarkStart w:id="125" w:name="_Toc174538617"/>
      <w:bookmarkStart w:id="126" w:name="_Toc182476369"/>
      <w:r w:rsidRPr="00765F6E">
        <w:rPr>
          <w:rFonts w:hint="eastAsia"/>
        </w:rPr>
        <w:t>一般规定</w:t>
      </w:r>
      <w:bookmarkEnd w:id="121"/>
      <w:bookmarkEnd w:id="122"/>
      <w:bookmarkEnd w:id="123"/>
      <w:bookmarkEnd w:id="124"/>
      <w:bookmarkEnd w:id="125"/>
      <w:bookmarkEnd w:id="126"/>
    </w:p>
    <w:p w14:paraId="45CD5ED9" w14:textId="77777777" w:rsidR="00737EB2" w:rsidRPr="009D0776" w:rsidRDefault="00737EB2" w:rsidP="009D0776">
      <w:pPr>
        <w:pStyle w:val="22"/>
      </w:pPr>
      <w:bookmarkStart w:id="127" w:name="_Toc153290861"/>
      <w:bookmarkStart w:id="128" w:name="_Toc99791437"/>
      <w:r w:rsidRPr="009D0776">
        <w:rPr>
          <w:rFonts w:hint="eastAsia"/>
        </w:rPr>
        <w:t>市域铁路总体设计应符合国土空间规划，综合交通规划，江苏省铁路线网规划（轨道交通线网规划）和建设规划，以及江苏省主管部门对项目核准和审批要求。</w:t>
      </w:r>
      <w:bookmarkEnd w:id="127"/>
      <w:bookmarkEnd w:id="128"/>
    </w:p>
    <w:p w14:paraId="72BC9441" w14:textId="77777777" w:rsidR="00737EB2" w:rsidRPr="009D0776" w:rsidRDefault="00737EB2" w:rsidP="009D0776">
      <w:pPr>
        <w:pStyle w:val="22"/>
      </w:pPr>
      <w:bookmarkStart w:id="129" w:name="_Toc99791438"/>
      <w:bookmarkStart w:id="130" w:name="_Toc153290862"/>
      <w:r w:rsidRPr="009D0776">
        <w:rPr>
          <w:rFonts w:hint="eastAsia"/>
        </w:rPr>
        <w:t>市域铁路总体设计应充分研究客运需求，准确把握项目功能定位，合理选定主要技术标准、线路走向和建设方案。</w:t>
      </w:r>
      <w:bookmarkEnd w:id="129"/>
      <w:bookmarkEnd w:id="130"/>
    </w:p>
    <w:p w14:paraId="47907142" w14:textId="77777777" w:rsidR="00737EB2" w:rsidRPr="009D0776" w:rsidRDefault="00737EB2" w:rsidP="009D0776">
      <w:pPr>
        <w:pStyle w:val="22"/>
      </w:pPr>
      <w:bookmarkStart w:id="131" w:name="_Toc99791439"/>
      <w:bookmarkStart w:id="132" w:name="_Toc153290863"/>
      <w:r w:rsidRPr="009D0776">
        <w:rPr>
          <w:rFonts w:hint="eastAsia"/>
        </w:rPr>
        <w:t>市域铁路设计应以都市圈内客运需求为导向，综合分析项目全生命周期安全、质量、成本和效益，并将安全设计、风险管理贯穿于规划、建设、运营全过程。</w:t>
      </w:r>
      <w:bookmarkEnd w:id="131"/>
      <w:bookmarkEnd w:id="132"/>
    </w:p>
    <w:p w14:paraId="0B55BD55" w14:textId="297CEB8E" w:rsidR="00737EB2" w:rsidRPr="009D0776" w:rsidRDefault="00737EB2" w:rsidP="009D0776">
      <w:pPr>
        <w:pStyle w:val="22"/>
      </w:pPr>
      <w:bookmarkStart w:id="133" w:name="_Toc153290864"/>
      <w:bookmarkStart w:id="134" w:name="_Toc99791445"/>
      <w:r w:rsidRPr="009D0776">
        <w:rPr>
          <w:rFonts w:hint="eastAsia"/>
        </w:rPr>
        <w:t>市域铁路设计应加强与城市规划、建设、交通等部门协调，满足市域铁路建设的</w:t>
      </w:r>
      <w:r w:rsidR="0084480C">
        <w:rPr>
          <w:rFonts w:hint="eastAsia"/>
        </w:rPr>
        <w:t>功能需</w:t>
      </w:r>
      <w:r w:rsidRPr="009D0776">
        <w:rPr>
          <w:rFonts w:hint="eastAsia"/>
        </w:rPr>
        <w:t>求。</w:t>
      </w:r>
      <w:bookmarkEnd w:id="133"/>
      <w:bookmarkEnd w:id="134"/>
    </w:p>
    <w:p w14:paraId="734D1CE0" w14:textId="77777777" w:rsidR="00737EB2" w:rsidRPr="009D0776" w:rsidRDefault="00737EB2" w:rsidP="009D0776">
      <w:pPr>
        <w:pStyle w:val="22"/>
      </w:pPr>
      <w:bookmarkStart w:id="135" w:name="_Toc99791440"/>
      <w:bookmarkStart w:id="136" w:name="_Toc153290865"/>
      <w:r w:rsidRPr="009D0776">
        <w:rPr>
          <w:rFonts w:hint="eastAsia"/>
        </w:rPr>
        <w:t>市域铁路环境保护、水土保持设计应符合国家和江苏省有关规定和审批要求，遵循“保护优先、预防为主、综合治理”等原则，确保与自然环境、人文景观相协调。</w:t>
      </w:r>
      <w:bookmarkEnd w:id="135"/>
      <w:bookmarkEnd w:id="136"/>
    </w:p>
    <w:p w14:paraId="7059A3A6" w14:textId="77777777" w:rsidR="00737EB2" w:rsidRPr="009D0776" w:rsidRDefault="00737EB2" w:rsidP="009D0776">
      <w:pPr>
        <w:pStyle w:val="22"/>
      </w:pPr>
      <w:bookmarkStart w:id="137" w:name="_Toc99791441"/>
      <w:bookmarkStart w:id="138" w:name="_Toc153290866"/>
      <w:r w:rsidRPr="009D0776">
        <w:rPr>
          <w:rFonts w:hint="eastAsia"/>
        </w:rPr>
        <w:t>市域铁路开行跨线运行列车时，其设计应满足列车跨线运行的有关技术条件。</w:t>
      </w:r>
      <w:bookmarkEnd w:id="137"/>
      <w:bookmarkEnd w:id="138"/>
    </w:p>
    <w:p w14:paraId="39E81543" w14:textId="77777777" w:rsidR="00737EB2" w:rsidRPr="009D0776" w:rsidRDefault="00737EB2" w:rsidP="009D0776">
      <w:pPr>
        <w:pStyle w:val="22"/>
      </w:pPr>
      <w:bookmarkStart w:id="139" w:name="_Toc153290867"/>
      <w:bookmarkStart w:id="140" w:name="_Toc99791442"/>
      <w:r w:rsidRPr="009D0776">
        <w:rPr>
          <w:rFonts w:hint="eastAsia"/>
        </w:rPr>
        <w:t>市域铁路与其他铁路线路衔接时，车站应采用一体化设计，满足节点便捷换乘。</w:t>
      </w:r>
      <w:bookmarkEnd w:id="139"/>
      <w:bookmarkEnd w:id="140"/>
    </w:p>
    <w:p w14:paraId="17846BDB" w14:textId="77777777" w:rsidR="00737EB2" w:rsidRPr="009D0776" w:rsidRDefault="00737EB2" w:rsidP="009D0776">
      <w:pPr>
        <w:pStyle w:val="22"/>
      </w:pPr>
      <w:bookmarkStart w:id="141" w:name="_Toc153290868"/>
      <w:bookmarkStart w:id="142" w:name="_Toc99791443"/>
      <w:r w:rsidRPr="009D0776">
        <w:rPr>
          <w:rFonts w:hint="eastAsia"/>
        </w:rPr>
        <w:t>市域铁路设备选型应符合技术先进、安全可靠、经济适用、节能环保等原则。</w:t>
      </w:r>
      <w:bookmarkEnd w:id="141"/>
      <w:bookmarkEnd w:id="142"/>
    </w:p>
    <w:p w14:paraId="4E2A7318" w14:textId="77777777" w:rsidR="00737EB2" w:rsidRPr="00765F6E" w:rsidRDefault="00737EB2" w:rsidP="00737EB2">
      <w:pPr>
        <w:pStyle w:val="affe"/>
        <w:spacing w:before="156" w:after="156"/>
      </w:pPr>
      <w:bookmarkStart w:id="143" w:name="_Toc153210806"/>
      <w:bookmarkStart w:id="144" w:name="_Toc99791446"/>
      <w:bookmarkStart w:id="145" w:name="_Toc153290869"/>
      <w:bookmarkStart w:id="146" w:name="_Toc167895704"/>
      <w:bookmarkStart w:id="147" w:name="_Toc174538618"/>
      <w:bookmarkStart w:id="148" w:name="_Toc182476370"/>
      <w:r w:rsidRPr="00765F6E">
        <w:rPr>
          <w:rFonts w:hint="eastAsia"/>
        </w:rPr>
        <w:t>主要技术标准</w:t>
      </w:r>
      <w:bookmarkEnd w:id="143"/>
      <w:bookmarkEnd w:id="144"/>
      <w:bookmarkEnd w:id="145"/>
      <w:bookmarkEnd w:id="146"/>
      <w:bookmarkEnd w:id="147"/>
      <w:bookmarkEnd w:id="148"/>
    </w:p>
    <w:p w14:paraId="4D8E44F2" w14:textId="77777777" w:rsidR="00737EB2" w:rsidRPr="009D0776" w:rsidRDefault="00737EB2" w:rsidP="009D0776">
      <w:pPr>
        <w:pStyle w:val="22"/>
      </w:pPr>
      <w:bookmarkStart w:id="149" w:name="_Toc99791447"/>
      <w:bookmarkStart w:id="150" w:name="_Toc153290870"/>
      <w:r w:rsidRPr="009D0776">
        <w:rPr>
          <w:rFonts w:hint="eastAsia"/>
        </w:rPr>
        <w:t>市域铁路主要技术标准应根据其所在线网中的作用、客运需求、输送能力及工程条件等因素，经技术经济比选确定。市域铁路应包括下列主要技术标准：</w:t>
      </w:r>
      <w:bookmarkEnd w:id="149"/>
      <w:bookmarkEnd w:id="150"/>
    </w:p>
    <w:p w14:paraId="65F7E0F6" w14:textId="77777777" w:rsidR="00737EB2" w:rsidRPr="009D0776" w:rsidRDefault="00737EB2" w:rsidP="009D0776">
      <w:pPr>
        <w:pStyle w:val="22"/>
        <w:numPr>
          <w:ilvl w:val="0"/>
          <w:numId w:val="0"/>
        </w:numPr>
        <w:ind w:left="420"/>
      </w:pPr>
      <w:bookmarkStart w:id="151" w:name="_Toc99791448"/>
      <w:bookmarkStart w:id="152" w:name="_Toc153290871"/>
      <w:r w:rsidRPr="009D0776">
        <w:rPr>
          <w:rFonts w:hint="eastAsia"/>
        </w:rPr>
        <w:t>——设计速度</w:t>
      </w:r>
      <w:bookmarkEnd w:id="151"/>
      <w:bookmarkEnd w:id="152"/>
      <w:r w:rsidRPr="009D0776">
        <w:rPr>
          <w:rFonts w:hint="eastAsia"/>
        </w:rPr>
        <w:t xml:space="preserve">； </w:t>
      </w:r>
    </w:p>
    <w:p w14:paraId="717E3087" w14:textId="77777777" w:rsidR="00737EB2" w:rsidRPr="009D0776" w:rsidRDefault="00737EB2" w:rsidP="009D0776">
      <w:pPr>
        <w:pStyle w:val="22"/>
        <w:numPr>
          <w:ilvl w:val="0"/>
          <w:numId w:val="0"/>
        </w:numPr>
        <w:ind w:left="420"/>
      </w:pPr>
      <w:bookmarkStart w:id="153" w:name="_Toc153290872"/>
      <w:bookmarkStart w:id="154" w:name="_Toc99791449"/>
      <w:r w:rsidRPr="009D0776">
        <w:rPr>
          <w:rFonts w:hint="eastAsia"/>
        </w:rPr>
        <w:t>——正线数目</w:t>
      </w:r>
      <w:bookmarkEnd w:id="153"/>
      <w:bookmarkEnd w:id="154"/>
      <w:r w:rsidRPr="009D0776">
        <w:rPr>
          <w:rFonts w:hint="eastAsia"/>
        </w:rPr>
        <w:t>；</w:t>
      </w:r>
    </w:p>
    <w:p w14:paraId="1118B237" w14:textId="77777777" w:rsidR="00737EB2" w:rsidRPr="009D0776" w:rsidRDefault="00737EB2" w:rsidP="009D0776">
      <w:pPr>
        <w:pStyle w:val="22"/>
        <w:numPr>
          <w:ilvl w:val="0"/>
          <w:numId w:val="0"/>
        </w:numPr>
        <w:ind w:left="420"/>
      </w:pPr>
      <w:bookmarkStart w:id="155" w:name="_Toc99791450"/>
      <w:bookmarkStart w:id="156" w:name="_Toc153290873"/>
      <w:r w:rsidRPr="009D0776">
        <w:rPr>
          <w:rFonts w:hint="eastAsia"/>
        </w:rPr>
        <w:t>——正线线间距</w:t>
      </w:r>
      <w:bookmarkEnd w:id="155"/>
      <w:bookmarkEnd w:id="156"/>
      <w:r w:rsidRPr="009D0776">
        <w:rPr>
          <w:rFonts w:hint="eastAsia"/>
        </w:rPr>
        <w:t>；</w:t>
      </w:r>
    </w:p>
    <w:p w14:paraId="7B79B587" w14:textId="77777777" w:rsidR="00737EB2" w:rsidRPr="009D0776" w:rsidRDefault="00737EB2" w:rsidP="009D0776">
      <w:pPr>
        <w:pStyle w:val="22"/>
        <w:numPr>
          <w:ilvl w:val="0"/>
          <w:numId w:val="0"/>
        </w:numPr>
        <w:ind w:left="420"/>
      </w:pPr>
      <w:bookmarkStart w:id="157" w:name="_Toc99791451"/>
      <w:bookmarkStart w:id="158" w:name="_Toc153290874"/>
      <w:r w:rsidRPr="009D0776">
        <w:rPr>
          <w:rFonts w:hint="eastAsia"/>
        </w:rPr>
        <w:t>——最小平面曲线半径</w:t>
      </w:r>
      <w:bookmarkEnd w:id="157"/>
      <w:bookmarkEnd w:id="158"/>
      <w:r w:rsidRPr="009D0776">
        <w:rPr>
          <w:rFonts w:hint="eastAsia"/>
        </w:rPr>
        <w:t xml:space="preserve">； </w:t>
      </w:r>
    </w:p>
    <w:p w14:paraId="0735FC2D" w14:textId="77777777" w:rsidR="00737EB2" w:rsidRPr="009D0776" w:rsidRDefault="00737EB2" w:rsidP="009D0776">
      <w:pPr>
        <w:pStyle w:val="22"/>
        <w:numPr>
          <w:ilvl w:val="0"/>
          <w:numId w:val="0"/>
        </w:numPr>
        <w:ind w:left="420"/>
      </w:pPr>
      <w:bookmarkStart w:id="159" w:name="_Toc99791452"/>
      <w:bookmarkStart w:id="160" w:name="_Toc153290875"/>
      <w:r w:rsidRPr="009D0776">
        <w:rPr>
          <w:rFonts w:hint="eastAsia"/>
        </w:rPr>
        <w:t>——最大坡度</w:t>
      </w:r>
      <w:bookmarkEnd w:id="159"/>
      <w:bookmarkEnd w:id="160"/>
      <w:r w:rsidRPr="009D0776">
        <w:rPr>
          <w:rFonts w:hint="eastAsia"/>
        </w:rPr>
        <w:t>；</w:t>
      </w:r>
    </w:p>
    <w:p w14:paraId="3D17EED7" w14:textId="77777777" w:rsidR="00737EB2" w:rsidRPr="009D0776" w:rsidRDefault="00737EB2" w:rsidP="009D0776">
      <w:pPr>
        <w:pStyle w:val="22"/>
        <w:numPr>
          <w:ilvl w:val="0"/>
          <w:numId w:val="0"/>
        </w:numPr>
        <w:ind w:left="420"/>
      </w:pPr>
      <w:bookmarkStart w:id="161" w:name="_Toc153290876"/>
      <w:bookmarkStart w:id="162" w:name="_Toc99791453"/>
      <w:r w:rsidRPr="009D0776">
        <w:rPr>
          <w:rFonts w:hint="eastAsia"/>
        </w:rPr>
        <w:t>——车辆类型及列车编组</w:t>
      </w:r>
      <w:bookmarkEnd w:id="161"/>
      <w:bookmarkEnd w:id="162"/>
      <w:r w:rsidRPr="009D0776">
        <w:rPr>
          <w:rFonts w:hint="eastAsia"/>
        </w:rPr>
        <w:t>；</w:t>
      </w:r>
    </w:p>
    <w:p w14:paraId="5A327330" w14:textId="77777777" w:rsidR="00737EB2" w:rsidRPr="009D0776" w:rsidRDefault="00737EB2" w:rsidP="009D0776">
      <w:pPr>
        <w:pStyle w:val="22"/>
        <w:numPr>
          <w:ilvl w:val="0"/>
          <w:numId w:val="0"/>
        </w:numPr>
        <w:ind w:left="420"/>
      </w:pPr>
      <w:bookmarkStart w:id="163" w:name="_Toc153290877"/>
      <w:bookmarkStart w:id="164" w:name="_Toc99791454"/>
      <w:r w:rsidRPr="009D0776">
        <w:rPr>
          <w:rFonts w:hint="eastAsia"/>
        </w:rPr>
        <w:t>——牵引供电制式</w:t>
      </w:r>
      <w:bookmarkEnd w:id="163"/>
      <w:bookmarkEnd w:id="164"/>
      <w:r w:rsidRPr="009D0776">
        <w:rPr>
          <w:rFonts w:hint="eastAsia"/>
        </w:rPr>
        <w:t>；</w:t>
      </w:r>
    </w:p>
    <w:p w14:paraId="5C79E468" w14:textId="77777777" w:rsidR="00737EB2" w:rsidRPr="009D0776" w:rsidRDefault="00737EB2" w:rsidP="009D0776">
      <w:pPr>
        <w:pStyle w:val="22"/>
        <w:numPr>
          <w:ilvl w:val="0"/>
          <w:numId w:val="0"/>
        </w:numPr>
        <w:ind w:left="420"/>
      </w:pPr>
      <w:bookmarkStart w:id="165" w:name="_Toc153290878"/>
      <w:bookmarkStart w:id="166" w:name="_Toc99791455"/>
      <w:r w:rsidRPr="009D0776">
        <w:rPr>
          <w:rFonts w:hint="eastAsia"/>
        </w:rPr>
        <w:lastRenderedPageBreak/>
        <w:t>——列车运行控制方式</w:t>
      </w:r>
      <w:bookmarkEnd w:id="165"/>
      <w:bookmarkEnd w:id="166"/>
      <w:r w:rsidRPr="009D0776">
        <w:rPr>
          <w:rFonts w:hint="eastAsia"/>
        </w:rPr>
        <w:t xml:space="preserve">； </w:t>
      </w:r>
    </w:p>
    <w:p w14:paraId="4B3C602B" w14:textId="77777777" w:rsidR="00737EB2" w:rsidRPr="009D0776" w:rsidRDefault="00737EB2" w:rsidP="009D0776">
      <w:pPr>
        <w:pStyle w:val="22"/>
        <w:numPr>
          <w:ilvl w:val="0"/>
          <w:numId w:val="0"/>
        </w:numPr>
        <w:ind w:left="420"/>
      </w:pPr>
      <w:bookmarkStart w:id="167" w:name="_Toc99791456"/>
      <w:bookmarkStart w:id="168" w:name="_Toc153290879"/>
      <w:r w:rsidRPr="009D0776">
        <w:rPr>
          <w:rFonts w:hint="eastAsia"/>
        </w:rPr>
        <w:t>——调度指挥方式</w:t>
      </w:r>
      <w:bookmarkEnd w:id="167"/>
      <w:bookmarkEnd w:id="168"/>
      <w:r w:rsidRPr="009D0776">
        <w:rPr>
          <w:rFonts w:hint="eastAsia"/>
        </w:rPr>
        <w:t>；</w:t>
      </w:r>
    </w:p>
    <w:p w14:paraId="66422B29" w14:textId="77777777" w:rsidR="00737EB2" w:rsidRPr="009D0776" w:rsidRDefault="00737EB2" w:rsidP="009D0776">
      <w:pPr>
        <w:pStyle w:val="22"/>
        <w:numPr>
          <w:ilvl w:val="0"/>
          <w:numId w:val="0"/>
        </w:numPr>
        <w:ind w:left="420"/>
      </w:pPr>
      <w:bookmarkStart w:id="169" w:name="_Toc153290880"/>
      <w:bookmarkStart w:id="170" w:name="_Toc99791457"/>
      <w:r w:rsidRPr="009D0776">
        <w:rPr>
          <w:rFonts w:hint="eastAsia"/>
        </w:rPr>
        <w:t>——最小行车间隔</w:t>
      </w:r>
      <w:bookmarkEnd w:id="169"/>
      <w:bookmarkEnd w:id="170"/>
      <w:r w:rsidRPr="009D0776">
        <w:rPr>
          <w:rFonts w:hint="eastAsia"/>
        </w:rPr>
        <w:t>。</w:t>
      </w:r>
    </w:p>
    <w:p w14:paraId="137EA00F" w14:textId="77777777" w:rsidR="00737EB2" w:rsidRPr="009D0776" w:rsidRDefault="00737EB2" w:rsidP="009D0776">
      <w:pPr>
        <w:pStyle w:val="22"/>
      </w:pPr>
      <w:bookmarkStart w:id="171" w:name="_Toc99791458"/>
      <w:bookmarkStart w:id="172" w:name="_Toc153290881"/>
      <w:r w:rsidRPr="009D0776">
        <w:rPr>
          <w:rFonts w:hint="eastAsia"/>
        </w:rPr>
        <w:t>市域铁路线路设计速度应根据功能定位、客流需求、线路条件、车站分布及运输组织方案等因素，经技术经济比选确定，可分路段采用不同设计速度。</w:t>
      </w:r>
      <w:bookmarkEnd w:id="171"/>
      <w:bookmarkEnd w:id="172"/>
    </w:p>
    <w:p w14:paraId="7BCF22F5" w14:textId="77777777" w:rsidR="00737EB2" w:rsidRPr="009D0776" w:rsidRDefault="00737EB2" w:rsidP="009D0776">
      <w:pPr>
        <w:pStyle w:val="22"/>
      </w:pPr>
      <w:bookmarkStart w:id="173" w:name="_Toc99791459"/>
      <w:bookmarkStart w:id="174" w:name="_Toc153290882"/>
      <w:r w:rsidRPr="009D0776">
        <w:rPr>
          <w:rFonts w:hint="eastAsia"/>
        </w:rPr>
        <w:t>市域铁路正线应按双线设计，具备反向行车条件，可根据运输组织采用左侧或右侧行车方式</w:t>
      </w:r>
      <w:bookmarkEnd w:id="173"/>
      <w:r w:rsidRPr="009D0776">
        <w:rPr>
          <w:rFonts w:hint="eastAsia"/>
        </w:rPr>
        <w:t>。</w:t>
      </w:r>
      <w:bookmarkEnd w:id="174"/>
    </w:p>
    <w:p w14:paraId="547D0418" w14:textId="5082D5BC" w:rsidR="00737EB2" w:rsidRPr="009D0776" w:rsidRDefault="00737EB2" w:rsidP="009D0776">
      <w:pPr>
        <w:pStyle w:val="22"/>
      </w:pPr>
      <w:bookmarkStart w:id="175" w:name="_Toc99791460"/>
      <w:bookmarkStart w:id="176" w:name="_Toc153290883"/>
      <w:r w:rsidRPr="009D0776">
        <w:rPr>
          <w:rFonts w:hint="eastAsia"/>
        </w:rPr>
        <w:t>市域铁路正线线间距、最小平面曲线半径及最大坡度应根据车型、限界、设计速度、列车运行安全和乘客舒适度等因素确定。</w:t>
      </w:r>
      <w:bookmarkEnd w:id="175"/>
      <w:bookmarkEnd w:id="176"/>
    </w:p>
    <w:p w14:paraId="5B12E68E" w14:textId="77777777" w:rsidR="00737EB2" w:rsidRPr="009D0776" w:rsidRDefault="00737EB2" w:rsidP="009D0776">
      <w:pPr>
        <w:pStyle w:val="22"/>
      </w:pPr>
      <w:bookmarkStart w:id="177" w:name="_Toc99791461"/>
      <w:bookmarkStart w:id="178" w:name="_Toc153290884"/>
      <w:r w:rsidRPr="009D0776">
        <w:rPr>
          <w:rFonts w:hint="eastAsia"/>
        </w:rPr>
        <w:t>市域铁路车辆选型及列车编组应根据客流预测量，结合线网定位、运输组织方案等，经技术经济比选后确定。</w:t>
      </w:r>
      <w:bookmarkEnd w:id="177"/>
      <w:bookmarkEnd w:id="178"/>
    </w:p>
    <w:p w14:paraId="7F23CD9E" w14:textId="77777777" w:rsidR="00737EB2" w:rsidRPr="009D0776" w:rsidRDefault="00737EB2" w:rsidP="009D0776">
      <w:pPr>
        <w:pStyle w:val="22"/>
      </w:pPr>
      <w:bookmarkStart w:id="179" w:name="_Toc99791462"/>
      <w:bookmarkStart w:id="180" w:name="_Toc153290885"/>
      <w:r w:rsidRPr="009D0776">
        <w:rPr>
          <w:rFonts w:hint="eastAsia"/>
        </w:rPr>
        <w:t>市域铁路牵引供电制式应根据项目特点经技术经济比选后选用交流或直流等供电制式。当设计速度140km/h及以上时，宜采用交流牵引供电制式。</w:t>
      </w:r>
      <w:bookmarkEnd w:id="179"/>
      <w:bookmarkEnd w:id="180"/>
    </w:p>
    <w:p w14:paraId="1B942627" w14:textId="77777777" w:rsidR="00737EB2" w:rsidRPr="009D0776" w:rsidRDefault="00737EB2" w:rsidP="009D0776">
      <w:pPr>
        <w:pStyle w:val="22"/>
      </w:pPr>
      <w:bookmarkStart w:id="181" w:name="_Toc99791463"/>
      <w:bookmarkStart w:id="182" w:name="_Toc153290886"/>
      <w:r w:rsidRPr="009D0776">
        <w:rPr>
          <w:rFonts w:hint="eastAsia"/>
        </w:rPr>
        <w:t>市域铁路列车运行控制方式应根据其设计速度、行车间隔、停车精度及跨线运行等因素确定，并具备列车自动运行功能。</w:t>
      </w:r>
      <w:bookmarkEnd w:id="181"/>
      <w:r w:rsidRPr="009D0776">
        <w:rPr>
          <w:rFonts w:hint="eastAsia"/>
        </w:rPr>
        <w:t>调度指挥方式应采用集中调度方式。</w:t>
      </w:r>
      <w:bookmarkEnd w:id="182"/>
    </w:p>
    <w:p w14:paraId="1D887478" w14:textId="77777777" w:rsidR="00737EB2" w:rsidRPr="009D0776" w:rsidRDefault="00737EB2" w:rsidP="009D0776">
      <w:pPr>
        <w:pStyle w:val="22"/>
      </w:pPr>
      <w:bookmarkStart w:id="183" w:name="_Toc99791464"/>
      <w:bookmarkStart w:id="184" w:name="_Toc153290887"/>
      <w:r w:rsidRPr="009D0776">
        <w:rPr>
          <w:rFonts w:hint="eastAsia"/>
        </w:rPr>
        <w:t>市域铁路最小行车间隔应根据客流需求、列车编组及定员、服务水平、系统能力等因素确定</w:t>
      </w:r>
      <w:bookmarkEnd w:id="183"/>
      <w:r w:rsidRPr="009D0776">
        <w:rPr>
          <w:rFonts w:hint="eastAsia"/>
        </w:rPr>
        <w:t>。</w:t>
      </w:r>
      <w:bookmarkEnd w:id="184"/>
    </w:p>
    <w:p w14:paraId="16E8F251" w14:textId="77777777" w:rsidR="00737EB2" w:rsidRPr="00765F6E" w:rsidRDefault="00737EB2" w:rsidP="00737EB2">
      <w:pPr>
        <w:pStyle w:val="affe"/>
        <w:spacing w:before="156" w:after="156"/>
      </w:pPr>
      <w:bookmarkStart w:id="185" w:name="_Toc153290888"/>
      <w:bookmarkStart w:id="186" w:name="_Toc153210807"/>
      <w:bookmarkStart w:id="187" w:name="_Toc99791465"/>
      <w:bookmarkStart w:id="188" w:name="_Toc167895705"/>
      <w:bookmarkStart w:id="189" w:name="_Toc174538619"/>
      <w:bookmarkStart w:id="190" w:name="_Toc182476371"/>
      <w:r w:rsidRPr="00765F6E">
        <w:rPr>
          <w:rFonts w:hint="eastAsia"/>
        </w:rPr>
        <w:t>综合选线</w:t>
      </w:r>
      <w:bookmarkEnd w:id="185"/>
      <w:bookmarkEnd w:id="186"/>
      <w:bookmarkEnd w:id="187"/>
      <w:bookmarkEnd w:id="188"/>
      <w:bookmarkEnd w:id="189"/>
      <w:bookmarkEnd w:id="190"/>
    </w:p>
    <w:p w14:paraId="01A4D549" w14:textId="77777777" w:rsidR="00737EB2" w:rsidRPr="00B149D5" w:rsidRDefault="00737EB2" w:rsidP="009D0776">
      <w:pPr>
        <w:pStyle w:val="22"/>
      </w:pPr>
      <w:bookmarkStart w:id="191" w:name="_Toc153290889"/>
      <w:bookmarkStart w:id="192" w:name="_Toc99791466"/>
      <w:r w:rsidRPr="00B149D5">
        <w:rPr>
          <w:rFonts w:hint="eastAsia"/>
        </w:rPr>
        <w:t>市域铁路选线设计符合下列规定：</w:t>
      </w:r>
      <w:bookmarkEnd w:id="191"/>
      <w:bookmarkEnd w:id="192"/>
    </w:p>
    <w:p w14:paraId="2B970C6A" w14:textId="77777777" w:rsidR="00737EB2" w:rsidRPr="00565B34" w:rsidRDefault="00737EB2" w:rsidP="003334F3">
      <w:pPr>
        <w:pStyle w:val="af6"/>
        <w:numPr>
          <w:ilvl w:val="0"/>
          <w:numId w:val="296"/>
        </w:numPr>
        <w:tabs>
          <w:tab w:val="left" w:pos="851"/>
        </w:tabs>
        <w:snapToGrid w:val="0"/>
        <w:contextualSpacing/>
        <w:rPr>
          <w:rFonts w:hAnsi="宋体"/>
        </w:rPr>
      </w:pPr>
      <w:r w:rsidRPr="00565B34">
        <w:rPr>
          <w:rFonts w:hAnsi="宋体" w:hint="eastAsia"/>
        </w:rPr>
        <w:t>符合国土空间规划、综合交通规划、城市轨道交通规划等要求；</w:t>
      </w:r>
    </w:p>
    <w:p w14:paraId="5CC40F81" w14:textId="77777777" w:rsidR="00737EB2" w:rsidRPr="00B149D5" w:rsidRDefault="00737EB2" w:rsidP="00737EB2">
      <w:pPr>
        <w:pStyle w:val="af6"/>
        <w:tabs>
          <w:tab w:val="left" w:pos="851"/>
        </w:tabs>
        <w:snapToGrid w:val="0"/>
        <w:contextualSpacing/>
        <w:rPr>
          <w:rFonts w:hAnsi="宋体"/>
        </w:rPr>
      </w:pPr>
      <w:r w:rsidRPr="00B149D5">
        <w:rPr>
          <w:rFonts w:hAnsi="宋体" w:hint="eastAsia"/>
        </w:rPr>
        <w:t>符合主客流出行方向；</w:t>
      </w:r>
    </w:p>
    <w:p w14:paraId="6893BAC3" w14:textId="77777777" w:rsidR="00737EB2" w:rsidRPr="00B149D5" w:rsidRDefault="00737EB2" w:rsidP="00737EB2">
      <w:pPr>
        <w:pStyle w:val="af6"/>
        <w:tabs>
          <w:tab w:val="left" w:pos="851"/>
        </w:tabs>
        <w:snapToGrid w:val="0"/>
        <w:contextualSpacing/>
        <w:rPr>
          <w:rFonts w:hAnsi="宋体"/>
        </w:rPr>
      </w:pPr>
      <w:r w:rsidRPr="00B149D5">
        <w:rPr>
          <w:rFonts w:hAnsi="宋体" w:hint="eastAsia"/>
        </w:rPr>
        <w:t>符合环境保护、水土保持、文物保护等要求；</w:t>
      </w:r>
    </w:p>
    <w:p w14:paraId="0670CCC5" w14:textId="77777777" w:rsidR="00737EB2" w:rsidRPr="00B149D5" w:rsidRDefault="00737EB2" w:rsidP="00737EB2">
      <w:pPr>
        <w:pStyle w:val="af6"/>
        <w:tabs>
          <w:tab w:val="left" w:pos="851"/>
        </w:tabs>
        <w:snapToGrid w:val="0"/>
        <w:contextualSpacing/>
        <w:rPr>
          <w:rFonts w:hAnsi="宋体"/>
        </w:rPr>
      </w:pPr>
      <w:r w:rsidRPr="00B149D5">
        <w:rPr>
          <w:rFonts w:hAnsi="宋体" w:hint="eastAsia"/>
        </w:rPr>
        <w:t>减少占用耕地，避让永久基本农田和生态保护红线，无法避让的，经论证后确定；</w:t>
      </w:r>
    </w:p>
    <w:p w14:paraId="306C53B2" w14:textId="77777777" w:rsidR="00737EB2" w:rsidRPr="00B149D5" w:rsidRDefault="00737EB2" w:rsidP="00737EB2">
      <w:pPr>
        <w:pStyle w:val="af6"/>
        <w:tabs>
          <w:tab w:val="left" w:pos="851"/>
        </w:tabs>
        <w:snapToGrid w:val="0"/>
        <w:contextualSpacing/>
        <w:rPr>
          <w:rFonts w:hAnsi="宋体"/>
        </w:rPr>
      </w:pPr>
      <w:r w:rsidRPr="00B149D5">
        <w:rPr>
          <w:rFonts w:hAnsi="宋体" w:hint="eastAsia"/>
        </w:rPr>
        <w:t>宜绕避不良地质、危险源、敏感点、高价值设施，难以绕避时应采取保障运营安全的措施；</w:t>
      </w:r>
    </w:p>
    <w:p w14:paraId="46D39AFF" w14:textId="289FFFF8" w:rsidR="00737EB2" w:rsidRPr="00B149D5" w:rsidRDefault="00737EB2" w:rsidP="00737EB2">
      <w:pPr>
        <w:pStyle w:val="af6"/>
        <w:tabs>
          <w:tab w:val="left" w:pos="851"/>
        </w:tabs>
        <w:snapToGrid w:val="0"/>
        <w:contextualSpacing/>
        <w:rPr>
          <w:rFonts w:hAnsi="宋体"/>
        </w:rPr>
      </w:pPr>
      <w:r w:rsidRPr="00B149D5">
        <w:rPr>
          <w:rFonts w:hAnsi="宋体" w:hint="eastAsia"/>
        </w:rPr>
        <w:t>根据市域铁路与干线铁路、城际铁路及城市轨道交通的客流交换特征及运营需求，宜形成线网间多点换乘</w:t>
      </w:r>
      <w:r w:rsidR="00DF50A3">
        <w:rPr>
          <w:rFonts w:hAnsi="宋体" w:hint="eastAsia"/>
        </w:rPr>
        <w:t>；</w:t>
      </w:r>
    </w:p>
    <w:p w14:paraId="3EEDFF7B" w14:textId="68FC9110" w:rsidR="00737EB2" w:rsidRPr="00B149D5" w:rsidRDefault="00737EB2" w:rsidP="00737EB2">
      <w:pPr>
        <w:pStyle w:val="af6"/>
        <w:tabs>
          <w:tab w:val="left" w:pos="851"/>
        </w:tabs>
        <w:snapToGrid w:val="0"/>
        <w:contextualSpacing/>
        <w:rPr>
          <w:rFonts w:hAnsi="宋体"/>
        </w:rPr>
      </w:pPr>
      <w:r w:rsidRPr="00B149D5">
        <w:rPr>
          <w:rFonts w:hAnsi="宋体" w:hint="eastAsia"/>
        </w:rPr>
        <w:t>线路敷设方式应经建设条件、环保要求、工程经济等因素综合比选后合理确定</w:t>
      </w:r>
      <w:r w:rsidR="009E0193">
        <w:rPr>
          <w:rFonts w:hAnsi="宋体" w:hint="eastAsia"/>
        </w:rPr>
        <w:t>。</w:t>
      </w:r>
      <w:r w:rsidR="009E0193" w:rsidRPr="009E0193">
        <w:rPr>
          <w:rFonts w:hAnsi="宋体" w:hint="eastAsia"/>
        </w:rPr>
        <w:t>原则上以地面建设为主，困</w:t>
      </w:r>
      <w:r w:rsidR="009E0193">
        <w:rPr>
          <w:rFonts w:hAnsi="宋体" w:hint="eastAsia"/>
        </w:rPr>
        <w:t>难路段可考虑采用高架方式，进出枢纽的个别路段可研究采用地下方式</w:t>
      </w:r>
      <w:r w:rsidR="00DF50A3">
        <w:rPr>
          <w:rFonts w:hAnsi="宋体" w:hint="eastAsia"/>
        </w:rPr>
        <w:t>；</w:t>
      </w:r>
    </w:p>
    <w:p w14:paraId="4B6ED92A" w14:textId="21B2A2CD" w:rsidR="00737EB2" w:rsidRPr="00B149D5" w:rsidRDefault="00737EB2" w:rsidP="00737EB2">
      <w:pPr>
        <w:pStyle w:val="af6"/>
        <w:tabs>
          <w:tab w:val="left" w:pos="851"/>
        </w:tabs>
        <w:snapToGrid w:val="0"/>
        <w:contextualSpacing/>
        <w:rPr>
          <w:rFonts w:hAnsi="宋体"/>
        </w:rPr>
      </w:pPr>
      <w:r w:rsidRPr="00B149D5">
        <w:rPr>
          <w:rFonts w:hAnsi="宋体" w:hint="eastAsia"/>
        </w:rPr>
        <w:t>应节约土地，减少与其他铁路、公路交通等设施</w:t>
      </w:r>
      <w:r w:rsidR="009B4B0C">
        <w:rPr>
          <w:rFonts w:hAnsi="宋体" w:hint="eastAsia"/>
        </w:rPr>
        <w:t>之间</w:t>
      </w:r>
      <w:r w:rsidRPr="00B149D5">
        <w:rPr>
          <w:rFonts w:hAnsi="宋体" w:hint="eastAsia"/>
        </w:rPr>
        <w:t>产生“三角地”和“包心地”。</w:t>
      </w:r>
    </w:p>
    <w:p w14:paraId="768E0509" w14:textId="01B6274D" w:rsidR="00737EB2" w:rsidRPr="00B149D5" w:rsidRDefault="00737EB2" w:rsidP="009D0776">
      <w:pPr>
        <w:pStyle w:val="22"/>
      </w:pPr>
      <w:bookmarkStart w:id="193" w:name="_Toc153290890"/>
      <w:bookmarkStart w:id="194" w:name="_Toc99791467"/>
      <w:r w:rsidRPr="00B149D5">
        <w:rPr>
          <w:rFonts w:hint="eastAsia"/>
        </w:rPr>
        <w:t>市域铁路车站选址符合下列规定</w:t>
      </w:r>
      <w:bookmarkEnd w:id="193"/>
      <w:bookmarkEnd w:id="194"/>
      <w:r w:rsidR="00A86845">
        <w:rPr>
          <w:rFonts w:hint="eastAsia"/>
        </w:rPr>
        <w:t>：</w:t>
      </w:r>
    </w:p>
    <w:p w14:paraId="41640FDF" w14:textId="3D14C5A1" w:rsidR="00737EB2" w:rsidRPr="00F4725F" w:rsidRDefault="00737EB2" w:rsidP="00F4725F">
      <w:pPr>
        <w:pStyle w:val="af6"/>
        <w:numPr>
          <w:ilvl w:val="0"/>
          <w:numId w:val="352"/>
        </w:numPr>
        <w:tabs>
          <w:tab w:val="left" w:pos="851"/>
        </w:tabs>
        <w:snapToGrid w:val="0"/>
        <w:contextualSpacing/>
        <w:rPr>
          <w:rFonts w:hAnsi="宋体"/>
        </w:rPr>
      </w:pPr>
      <w:r w:rsidRPr="00F4725F">
        <w:rPr>
          <w:rFonts w:hAnsi="宋体" w:hint="eastAsia"/>
        </w:rPr>
        <w:t>车站分布应根据国土空间规划、沿线区域客流分布、设计速度、运输组织及工程条件等因素综合确定</w:t>
      </w:r>
      <w:r w:rsidR="00A86845">
        <w:rPr>
          <w:rFonts w:hAnsi="宋体" w:hint="eastAsia"/>
        </w:rPr>
        <w:t>；</w:t>
      </w:r>
    </w:p>
    <w:p w14:paraId="36C1C38A" w14:textId="77777777" w:rsidR="00737EB2" w:rsidRPr="00B149D5" w:rsidRDefault="00737EB2" w:rsidP="003334F3">
      <w:pPr>
        <w:pStyle w:val="af6"/>
        <w:tabs>
          <w:tab w:val="left" w:pos="851"/>
        </w:tabs>
        <w:snapToGrid w:val="0"/>
        <w:contextualSpacing/>
        <w:rPr>
          <w:rFonts w:hAnsi="宋体"/>
        </w:rPr>
      </w:pPr>
      <w:r w:rsidRPr="00B149D5">
        <w:rPr>
          <w:rFonts w:hAnsi="宋体" w:hint="eastAsia"/>
        </w:rPr>
        <w:t>市域铁路线路衔接的铁路、机场、城市轨道交通等交通枢纽、换乘中心宜设置车站。</w:t>
      </w:r>
    </w:p>
    <w:p w14:paraId="427763B1" w14:textId="77777777" w:rsidR="00737EB2" w:rsidRPr="00B149D5" w:rsidRDefault="00737EB2" w:rsidP="009D0776">
      <w:pPr>
        <w:pStyle w:val="22"/>
      </w:pPr>
      <w:bookmarkStart w:id="195" w:name="_Toc153290891"/>
      <w:bookmarkStart w:id="196" w:name="_Toc99791468"/>
      <w:r w:rsidRPr="00B149D5">
        <w:rPr>
          <w:rFonts w:hint="eastAsia"/>
        </w:rPr>
        <w:t>市域铁路地上线路与建（构）筑物的距离应符合TB 10063的规定。</w:t>
      </w:r>
      <w:bookmarkEnd w:id="195"/>
      <w:bookmarkEnd w:id="196"/>
    </w:p>
    <w:p w14:paraId="79385FFA" w14:textId="77777777" w:rsidR="00737EB2" w:rsidRPr="00765F6E" w:rsidRDefault="00737EB2" w:rsidP="009D0776">
      <w:pPr>
        <w:pStyle w:val="22"/>
      </w:pPr>
      <w:bookmarkStart w:id="197" w:name="_Toc153290892"/>
      <w:bookmarkStart w:id="198" w:name="_Toc99791469"/>
      <w:r w:rsidRPr="00B149D5">
        <w:rPr>
          <w:rFonts w:hint="eastAsia"/>
        </w:rPr>
        <w:t>市域铁路与其他铁路、城市轨道交通、公路、城市道路的保护距离应根据技术要求、安全防护和养护维修等因素综合分析确定。</w:t>
      </w:r>
      <w:bookmarkEnd w:id="197"/>
      <w:bookmarkEnd w:id="198"/>
    </w:p>
    <w:p w14:paraId="02C7027E" w14:textId="77777777" w:rsidR="00737EB2" w:rsidRPr="00765F6E" w:rsidRDefault="00737EB2" w:rsidP="00737EB2">
      <w:pPr>
        <w:pStyle w:val="affe"/>
        <w:spacing w:before="156" w:after="156"/>
      </w:pPr>
      <w:bookmarkStart w:id="199" w:name="_Toc153290893"/>
      <w:bookmarkStart w:id="200" w:name="_Toc153210808"/>
      <w:bookmarkStart w:id="201" w:name="_Toc99791470"/>
      <w:bookmarkStart w:id="202" w:name="_Toc167895706"/>
      <w:bookmarkStart w:id="203" w:name="_Toc174538620"/>
      <w:bookmarkStart w:id="204" w:name="_Toc182476372"/>
      <w:r w:rsidRPr="00765F6E">
        <w:rPr>
          <w:rFonts w:hint="eastAsia"/>
        </w:rPr>
        <w:t>系统设计</w:t>
      </w:r>
      <w:bookmarkEnd w:id="199"/>
      <w:bookmarkEnd w:id="200"/>
      <w:bookmarkEnd w:id="201"/>
      <w:bookmarkEnd w:id="202"/>
      <w:bookmarkEnd w:id="203"/>
      <w:bookmarkEnd w:id="204"/>
    </w:p>
    <w:p w14:paraId="27B75B3D" w14:textId="7B18CD18" w:rsidR="00737EB2" w:rsidRPr="00B149D5" w:rsidRDefault="00737EB2" w:rsidP="009D0776">
      <w:pPr>
        <w:pStyle w:val="22"/>
      </w:pPr>
      <w:bookmarkStart w:id="205" w:name="_Toc153290894"/>
      <w:bookmarkStart w:id="206" w:name="_Toc99791471"/>
      <w:r w:rsidRPr="00B149D5">
        <w:rPr>
          <w:rFonts w:hint="eastAsia"/>
        </w:rPr>
        <w:t>系统设计应实现系统功能最优为目的，各系统的标准、接口设计、固定和移动设施应匹配协调。</w:t>
      </w:r>
      <w:bookmarkEnd w:id="205"/>
      <w:bookmarkEnd w:id="206"/>
    </w:p>
    <w:p w14:paraId="4034073B" w14:textId="77777777" w:rsidR="00737EB2" w:rsidRPr="00B149D5" w:rsidRDefault="00737EB2" w:rsidP="009D0776">
      <w:pPr>
        <w:pStyle w:val="22"/>
      </w:pPr>
      <w:bookmarkStart w:id="207" w:name="_Toc153290895"/>
      <w:bookmarkStart w:id="208" w:name="_Toc99791473"/>
      <w:r w:rsidRPr="00B149D5">
        <w:rPr>
          <w:rFonts w:hint="eastAsia"/>
        </w:rPr>
        <w:t>车辆车厢内有效空余地板面积站立人数不宜超过4人/m</w:t>
      </w:r>
      <w:r w:rsidRPr="00B149D5">
        <w:rPr>
          <w:rFonts w:hint="eastAsia"/>
          <w:vertAlign w:val="superscript"/>
        </w:rPr>
        <w:t>2</w:t>
      </w:r>
      <w:r w:rsidRPr="00B149D5">
        <w:rPr>
          <w:rFonts w:hint="eastAsia"/>
        </w:rPr>
        <w:t>，车辆座位率不宜低于设计载客量的25%。</w:t>
      </w:r>
      <w:bookmarkEnd w:id="207"/>
      <w:bookmarkEnd w:id="208"/>
    </w:p>
    <w:p w14:paraId="27064BA2" w14:textId="77777777" w:rsidR="00737EB2" w:rsidRPr="00B149D5" w:rsidRDefault="00737EB2" w:rsidP="009D0776">
      <w:pPr>
        <w:pStyle w:val="22"/>
      </w:pPr>
      <w:bookmarkStart w:id="209" w:name="_Toc99791474"/>
      <w:bookmarkStart w:id="210" w:name="_Toc153290896"/>
      <w:r w:rsidRPr="00B149D5">
        <w:rPr>
          <w:rFonts w:hint="eastAsia"/>
        </w:rPr>
        <w:t>车站建筑规模应根据客流预测量、功能布局、交通衔接方式、建筑构成和候车模式等因素综合确定</w:t>
      </w:r>
      <w:bookmarkEnd w:id="209"/>
      <w:r w:rsidRPr="00B149D5">
        <w:rPr>
          <w:rFonts w:hint="eastAsia"/>
        </w:rPr>
        <w:t>。</w:t>
      </w:r>
      <w:bookmarkEnd w:id="210"/>
    </w:p>
    <w:p w14:paraId="37906097" w14:textId="77777777" w:rsidR="00737EB2" w:rsidRPr="00B149D5" w:rsidRDefault="00737EB2" w:rsidP="009D0776">
      <w:pPr>
        <w:pStyle w:val="22"/>
      </w:pPr>
      <w:bookmarkStart w:id="211" w:name="_Toc153290897"/>
      <w:bookmarkStart w:id="212" w:name="_Toc99791475"/>
      <w:r w:rsidRPr="00B149D5">
        <w:rPr>
          <w:rFonts w:hint="eastAsia"/>
        </w:rPr>
        <w:t>市域铁路车站应采用站台候车，站台应设置站台门，并与通过能力相匹配。</w:t>
      </w:r>
      <w:bookmarkEnd w:id="211"/>
    </w:p>
    <w:p w14:paraId="38D6596C" w14:textId="77777777" w:rsidR="00737EB2" w:rsidRPr="00B149D5" w:rsidRDefault="00737EB2" w:rsidP="009D0776">
      <w:pPr>
        <w:pStyle w:val="22"/>
      </w:pPr>
      <w:bookmarkStart w:id="213" w:name="_Toc153290898"/>
      <w:r w:rsidRPr="00B149D5">
        <w:rPr>
          <w:rFonts w:hint="eastAsia"/>
        </w:rPr>
        <w:t>车站及区间均应设置应急疏散设施</w:t>
      </w:r>
      <w:bookmarkEnd w:id="212"/>
      <w:r w:rsidRPr="00B149D5">
        <w:rPr>
          <w:rFonts w:hint="eastAsia"/>
        </w:rPr>
        <w:t>。</w:t>
      </w:r>
      <w:bookmarkEnd w:id="213"/>
    </w:p>
    <w:p w14:paraId="1231528A" w14:textId="77777777" w:rsidR="00737EB2" w:rsidRPr="00B149D5" w:rsidRDefault="00737EB2" w:rsidP="009D0776">
      <w:pPr>
        <w:pStyle w:val="22"/>
      </w:pPr>
      <w:bookmarkStart w:id="214" w:name="_Toc153290899"/>
      <w:bookmarkStart w:id="215" w:name="_Toc99791476"/>
      <w:r w:rsidRPr="00B149D5">
        <w:rPr>
          <w:rFonts w:hint="eastAsia"/>
        </w:rPr>
        <w:t>路基、桥梁、隧道和轨道等线下基础设施设计应采用与设计速度相匹配的技术标准，工程类型的选择应根据工程技术、地形地质、社会环境以及土地利用等因素比选确定。</w:t>
      </w:r>
      <w:bookmarkEnd w:id="214"/>
      <w:bookmarkEnd w:id="215"/>
    </w:p>
    <w:p w14:paraId="0938247E" w14:textId="77777777" w:rsidR="00737EB2" w:rsidRPr="00B149D5" w:rsidRDefault="00737EB2" w:rsidP="009D0776">
      <w:pPr>
        <w:pStyle w:val="22"/>
      </w:pPr>
      <w:bookmarkStart w:id="216" w:name="_Toc153290900"/>
      <w:bookmarkStart w:id="217" w:name="_Toc99791477"/>
      <w:r w:rsidRPr="00B149D5">
        <w:rPr>
          <w:rFonts w:hint="eastAsia"/>
        </w:rPr>
        <w:t>市域铁路设计应综合邻近区域地面沉降以及线路附近地下水抽取、基坑开挖降水和堆载等因素对线路沉降的影响。</w:t>
      </w:r>
      <w:bookmarkEnd w:id="216"/>
      <w:bookmarkEnd w:id="217"/>
    </w:p>
    <w:p w14:paraId="49DCBDA1" w14:textId="77777777" w:rsidR="00737EB2" w:rsidRPr="00B149D5" w:rsidRDefault="00737EB2" w:rsidP="009D0776">
      <w:pPr>
        <w:pStyle w:val="22"/>
      </w:pPr>
      <w:bookmarkStart w:id="218" w:name="_Toc153290901"/>
      <w:bookmarkStart w:id="219" w:name="_Toc99791478"/>
      <w:r w:rsidRPr="00B149D5">
        <w:rPr>
          <w:rFonts w:hint="eastAsia"/>
        </w:rPr>
        <w:t>市域铁路应在隧道穿越等级航道及湖泊等水域两端适当设置防淹门或采取其他防水淹措施。</w:t>
      </w:r>
      <w:bookmarkEnd w:id="218"/>
      <w:bookmarkEnd w:id="219"/>
    </w:p>
    <w:p w14:paraId="3463AABF" w14:textId="77777777" w:rsidR="00737EB2" w:rsidRPr="00B149D5" w:rsidRDefault="00737EB2" w:rsidP="009D0776">
      <w:pPr>
        <w:pStyle w:val="22"/>
      </w:pPr>
      <w:bookmarkStart w:id="220" w:name="_Toc99791479"/>
      <w:bookmarkStart w:id="221" w:name="_Toc153290902"/>
      <w:r w:rsidRPr="00B149D5">
        <w:rPr>
          <w:rFonts w:hint="eastAsia"/>
        </w:rPr>
        <w:lastRenderedPageBreak/>
        <w:t>市域铁路隧道空气压力波动应满足乘客舒适度要求，其控制标准应符合车厢内空气压力波动率不大于415Pa/s的要求，且时段压力波动不大于800 Pa/3s。</w:t>
      </w:r>
      <w:bookmarkEnd w:id="220"/>
      <w:bookmarkEnd w:id="221"/>
    </w:p>
    <w:p w14:paraId="6E9A3262" w14:textId="77777777" w:rsidR="00737EB2" w:rsidRPr="00B149D5" w:rsidRDefault="00737EB2" w:rsidP="009D0776">
      <w:pPr>
        <w:pStyle w:val="22"/>
      </w:pPr>
      <w:bookmarkStart w:id="222" w:name="_Toc153290903"/>
      <w:bookmarkStart w:id="223" w:name="_Toc99791480"/>
      <w:r w:rsidRPr="00B149D5">
        <w:rPr>
          <w:rFonts w:hint="eastAsia"/>
        </w:rPr>
        <w:t>市域铁路牵引供电应采用带回路流线的直接供电方式，供电电源应采用1</w:t>
      </w:r>
      <w:r w:rsidRPr="00B149D5">
        <w:t>10kV</w:t>
      </w:r>
      <w:r w:rsidRPr="00B149D5">
        <w:rPr>
          <w:rFonts w:hint="eastAsia"/>
        </w:rPr>
        <w:t>及以上电压等级。</w:t>
      </w:r>
      <w:bookmarkEnd w:id="222"/>
    </w:p>
    <w:p w14:paraId="2C8BC101" w14:textId="77777777" w:rsidR="00737EB2" w:rsidRPr="00B149D5" w:rsidRDefault="00737EB2" w:rsidP="009D0776">
      <w:pPr>
        <w:pStyle w:val="22"/>
      </w:pPr>
      <w:bookmarkStart w:id="224" w:name="_Toc153290904"/>
      <w:r w:rsidRPr="00B149D5">
        <w:rPr>
          <w:rFonts w:hint="eastAsia"/>
        </w:rPr>
        <w:t>市域铁路接触网电分相设置应根据牵引电设施分布、电分相型式和线路坡度条件，结合行车组织要求合理确定。</w:t>
      </w:r>
      <w:bookmarkEnd w:id="224"/>
    </w:p>
    <w:p w14:paraId="08781051" w14:textId="48F1BEF3" w:rsidR="00737EB2" w:rsidRPr="00B149D5" w:rsidRDefault="00737EB2" w:rsidP="009D0776">
      <w:pPr>
        <w:pStyle w:val="22"/>
      </w:pPr>
      <w:bookmarkStart w:id="225" w:name="_Toc153290905"/>
      <w:r w:rsidRPr="00B149D5">
        <w:rPr>
          <w:rFonts w:hint="eastAsia"/>
        </w:rPr>
        <w:t>市域铁路无线通信制式应根据运营控制中心管理模式、列车运行控制系统选型及应用需求选择，</w:t>
      </w:r>
      <w:r w:rsidR="00FD71BE">
        <w:rPr>
          <w:rFonts w:hint="eastAsia"/>
        </w:rPr>
        <w:t>宜</w:t>
      </w:r>
      <w:r w:rsidRPr="00B149D5">
        <w:rPr>
          <w:rFonts w:hint="eastAsia"/>
        </w:rPr>
        <w:t>选用G</w:t>
      </w:r>
      <w:r w:rsidRPr="00B149D5">
        <w:t>SM-R</w:t>
      </w:r>
      <w:r w:rsidRPr="00B149D5">
        <w:rPr>
          <w:rFonts w:hint="eastAsia"/>
        </w:rPr>
        <w:t>、L</w:t>
      </w:r>
      <w:r w:rsidRPr="00B149D5">
        <w:t>TE</w:t>
      </w:r>
      <w:r w:rsidRPr="00B149D5">
        <w:rPr>
          <w:rFonts w:hint="eastAsia"/>
        </w:rPr>
        <w:t>或5</w:t>
      </w:r>
      <w:r w:rsidRPr="00B149D5">
        <w:t>G</w:t>
      </w:r>
      <w:r w:rsidRPr="00B149D5">
        <w:rPr>
          <w:rFonts w:hint="eastAsia"/>
        </w:rPr>
        <w:t>国家数字移动通信技术标准。</w:t>
      </w:r>
      <w:bookmarkEnd w:id="223"/>
      <w:bookmarkEnd w:id="225"/>
    </w:p>
    <w:p w14:paraId="0116BBD0" w14:textId="55570EB9" w:rsidR="00737EB2" w:rsidRPr="00B149D5" w:rsidRDefault="00737EB2" w:rsidP="009D0776">
      <w:pPr>
        <w:pStyle w:val="22"/>
      </w:pPr>
      <w:bookmarkStart w:id="226" w:name="_Toc153290906"/>
      <w:bookmarkStart w:id="227" w:name="_Toc99791481"/>
      <w:r w:rsidRPr="00B149D5">
        <w:rPr>
          <w:rFonts w:hint="eastAsia"/>
        </w:rPr>
        <w:t>市域铁路信号系统应满足线路系统运输能力及跨线运营需求，</w:t>
      </w:r>
      <w:r w:rsidR="00FD71BE">
        <w:rPr>
          <w:rFonts w:hint="eastAsia"/>
        </w:rPr>
        <w:t>宜</w:t>
      </w:r>
      <w:r w:rsidRPr="00B149D5">
        <w:rPr>
          <w:rFonts w:hint="eastAsia"/>
        </w:rPr>
        <w:t>综合比选确定CTCS制式、CBTC制式或兼容CTCS制式和CBTC制式的列车运行控制系统。</w:t>
      </w:r>
      <w:bookmarkEnd w:id="226"/>
    </w:p>
    <w:p w14:paraId="602FB982" w14:textId="77777777" w:rsidR="00737EB2" w:rsidRPr="00B149D5" w:rsidRDefault="00737EB2" w:rsidP="009D0776">
      <w:pPr>
        <w:pStyle w:val="22"/>
      </w:pPr>
      <w:bookmarkStart w:id="228" w:name="_Toc153290907"/>
      <w:r w:rsidRPr="00B149D5">
        <w:rPr>
          <w:rFonts w:hint="eastAsia"/>
        </w:rPr>
        <w:t>客票系统宜推进市域铁路线路与相衔接的轨道交通线路票务系统互联互通，选用高效便捷、经济适用的乘车凭证，实现联网或兼容功能。</w:t>
      </w:r>
      <w:bookmarkEnd w:id="227"/>
      <w:bookmarkEnd w:id="228"/>
    </w:p>
    <w:p w14:paraId="21EC8ABE" w14:textId="77777777" w:rsidR="00737EB2" w:rsidRPr="00B149D5" w:rsidRDefault="00737EB2" w:rsidP="009D0776">
      <w:pPr>
        <w:pStyle w:val="22"/>
      </w:pPr>
      <w:bookmarkStart w:id="229" w:name="_Toc153290908"/>
      <w:bookmarkStart w:id="230" w:name="_Toc99791490"/>
      <w:bookmarkStart w:id="231" w:name="_Toc99791485"/>
      <w:r w:rsidRPr="00B149D5">
        <w:rPr>
          <w:rFonts w:hint="eastAsia"/>
        </w:rPr>
        <w:t>网络安全设计应符合GB/T</w:t>
      </w:r>
      <w:r w:rsidRPr="00B149D5">
        <w:t xml:space="preserve"> </w:t>
      </w:r>
      <w:r w:rsidRPr="00B149D5">
        <w:rPr>
          <w:rFonts w:hint="eastAsia"/>
        </w:rPr>
        <w:t>23239规定。</w:t>
      </w:r>
      <w:bookmarkEnd w:id="229"/>
      <w:bookmarkEnd w:id="230"/>
    </w:p>
    <w:p w14:paraId="0A936A27" w14:textId="77777777" w:rsidR="00737EB2" w:rsidRPr="00B149D5" w:rsidRDefault="00737EB2" w:rsidP="009D0776">
      <w:pPr>
        <w:pStyle w:val="22"/>
      </w:pPr>
      <w:bookmarkStart w:id="232" w:name="_Toc153290909"/>
      <w:r w:rsidRPr="00B149D5">
        <w:rPr>
          <w:rFonts w:hint="eastAsia"/>
        </w:rPr>
        <w:t>车辆基地应根据市域铁路线网规划远期设计规模确定；列车运用整备、检修设施、车场股道及相关房屋建筑宜按近期规模设计；其余地面建筑应根据工艺要求和远期规模，确定分期设计方案。</w:t>
      </w:r>
      <w:bookmarkEnd w:id="231"/>
      <w:bookmarkEnd w:id="232"/>
    </w:p>
    <w:p w14:paraId="545C0673" w14:textId="77777777" w:rsidR="00737EB2" w:rsidRPr="00B149D5" w:rsidRDefault="00737EB2" w:rsidP="009D0776">
      <w:pPr>
        <w:pStyle w:val="22"/>
      </w:pPr>
      <w:bookmarkStart w:id="233" w:name="_Toc153290910"/>
      <w:bookmarkStart w:id="234" w:name="_Toc99791486"/>
      <w:r w:rsidRPr="00B149D5">
        <w:rPr>
          <w:rFonts w:hint="eastAsia"/>
        </w:rPr>
        <w:t>市域铁路运营控制中心、市域动车组检修设施、固定设施维修基地、应急救援设施应根据线网规划和相关线路条件合理配置，满足资源共享要求。</w:t>
      </w:r>
      <w:bookmarkEnd w:id="233"/>
      <w:bookmarkEnd w:id="234"/>
    </w:p>
    <w:p w14:paraId="69705107" w14:textId="77777777" w:rsidR="00737EB2" w:rsidRPr="00B149D5" w:rsidRDefault="00737EB2" w:rsidP="009D0776">
      <w:pPr>
        <w:pStyle w:val="22"/>
      </w:pPr>
      <w:bookmarkStart w:id="235" w:name="_Toc153290911"/>
      <w:bookmarkStart w:id="236" w:name="_Toc99791487"/>
      <w:r w:rsidRPr="00B149D5">
        <w:rPr>
          <w:rFonts w:hint="eastAsia"/>
        </w:rPr>
        <w:t>生产及附属房屋应根据需要集中配置，其选址应根据地形地质、道路交通、水电引入、拆迁工程以及设计洪涝水位等因素比选确定。</w:t>
      </w:r>
      <w:bookmarkEnd w:id="235"/>
      <w:bookmarkEnd w:id="236"/>
    </w:p>
    <w:p w14:paraId="14E15EED" w14:textId="77777777" w:rsidR="00737EB2" w:rsidRPr="00B149D5" w:rsidRDefault="00737EB2" w:rsidP="009D0776">
      <w:pPr>
        <w:pStyle w:val="22"/>
      </w:pPr>
      <w:bookmarkStart w:id="237" w:name="_Toc153290912"/>
      <w:bookmarkStart w:id="238" w:name="_Toc99791472"/>
      <w:bookmarkStart w:id="239" w:name="_Toc99791488"/>
      <w:r w:rsidRPr="00B149D5">
        <w:rPr>
          <w:rFonts w:hint="eastAsia"/>
        </w:rPr>
        <w:t>市域铁路宜对车站、车辆基地毗邻地区特定范围按综合开发原则进行站城融合一体化设计，并应开展海绵城市专项设计。</w:t>
      </w:r>
      <w:bookmarkEnd w:id="237"/>
      <w:bookmarkEnd w:id="238"/>
    </w:p>
    <w:p w14:paraId="2503545C" w14:textId="77777777" w:rsidR="00737EB2" w:rsidRPr="00B149D5" w:rsidRDefault="00737EB2" w:rsidP="009D0776">
      <w:pPr>
        <w:pStyle w:val="22"/>
      </w:pPr>
      <w:bookmarkStart w:id="240" w:name="_Toc153290913"/>
      <w:r w:rsidRPr="00B149D5">
        <w:rPr>
          <w:rFonts w:hint="eastAsia"/>
        </w:rPr>
        <w:t>市域铁路设计应合理调配土石方，减少取方、弃方和临时占地数量。</w:t>
      </w:r>
      <w:bookmarkEnd w:id="239"/>
      <w:bookmarkEnd w:id="240"/>
    </w:p>
    <w:p w14:paraId="0BC811FC" w14:textId="77777777" w:rsidR="00737EB2" w:rsidRPr="00B149D5" w:rsidRDefault="00737EB2" w:rsidP="009D0776">
      <w:pPr>
        <w:pStyle w:val="22"/>
      </w:pPr>
      <w:bookmarkStart w:id="241" w:name="_Toc153290914"/>
      <w:bookmarkStart w:id="242" w:name="_Toc99791489"/>
      <w:r w:rsidRPr="00B149D5">
        <w:rPr>
          <w:rFonts w:hint="eastAsia"/>
        </w:rPr>
        <w:t>市域铁路工程人防及反恐设计应符合省、市主管部门要求。</w:t>
      </w:r>
      <w:bookmarkEnd w:id="241"/>
      <w:bookmarkEnd w:id="242"/>
    </w:p>
    <w:p w14:paraId="1566ABBE" w14:textId="77777777" w:rsidR="00737EB2" w:rsidRPr="00B149D5" w:rsidRDefault="00737EB2" w:rsidP="009D0776">
      <w:pPr>
        <w:pStyle w:val="22"/>
      </w:pPr>
      <w:bookmarkStart w:id="243" w:name="_Toc153290915"/>
      <w:bookmarkStart w:id="244" w:name="_Toc99791491"/>
      <w:r w:rsidRPr="00B149D5">
        <w:rPr>
          <w:rFonts w:hint="eastAsia"/>
        </w:rPr>
        <w:t>市域铁路设计应综合施工条件和养护维修条件，并选择标准、通用的设备、设施及部件。</w:t>
      </w:r>
      <w:bookmarkEnd w:id="243"/>
      <w:bookmarkEnd w:id="244"/>
    </w:p>
    <w:p w14:paraId="1ED75E89" w14:textId="77777777" w:rsidR="00737EB2" w:rsidRPr="00765F6E" w:rsidRDefault="00737EB2" w:rsidP="00737EB2">
      <w:pPr>
        <w:pStyle w:val="affd"/>
        <w:spacing w:before="312" w:after="312"/>
      </w:pPr>
      <w:bookmarkStart w:id="245" w:name="_Toc153290916"/>
      <w:bookmarkStart w:id="246" w:name="_Toc153210809"/>
      <w:bookmarkStart w:id="247" w:name="_Toc167895707"/>
      <w:bookmarkStart w:id="248" w:name="_Toc174538621"/>
      <w:bookmarkStart w:id="249" w:name="_Toc182476373"/>
      <w:bookmarkStart w:id="250" w:name="_Toc99791492"/>
      <w:r w:rsidRPr="00765F6E">
        <w:rPr>
          <w:rFonts w:hint="eastAsia"/>
        </w:rPr>
        <w:t>客流预测</w:t>
      </w:r>
      <w:bookmarkEnd w:id="245"/>
      <w:bookmarkEnd w:id="246"/>
      <w:bookmarkEnd w:id="247"/>
      <w:bookmarkEnd w:id="248"/>
      <w:bookmarkEnd w:id="249"/>
    </w:p>
    <w:p w14:paraId="47525E53" w14:textId="77777777" w:rsidR="00737EB2" w:rsidRPr="00765F6E" w:rsidRDefault="00737EB2" w:rsidP="00737EB2">
      <w:pPr>
        <w:pStyle w:val="affe"/>
        <w:spacing w:before="156" w:after="156"/>
      </w:pPr>
      <w:bookmarkStart w:id="251" w:name="_Toc153290917"/>
      <w:bookmarkStart w:id="252" w:name="_Toc167895708"/>
      <w:bookmarkStart w:id="253" w:name="_Toc174538622"/>
      <w:bookmarkStart w:id="254" w:name="_Toc182476374"/>
      <w:r w:rsidRPr="00765F6E">
        <w:rPr>
          <w:rFonts w:hint="eastAsia"/>
        </w:rPr>
        <w:t>一般规定</w:t>
      </w:r>
      <w:bookmarkEnd w:id="251"/>
      <w:bookmarkEnd w:id="252"/>
      <w:bookmarkEnd w:id="253"/>
      <w:bookmarkEnd w:id="254"/>
    </w:p>
    <w:p w14:paraId="3DF9649A" w14:textId="44ECD3F3" w:rsidR="00737EB2" w:rsidRPr="00B149D5" w:rsidRDefault="00737EB2" w:rsidP="009D0776">
      <w:pPr>
        <w:pStyle w:val="22"/>
      </w:pPr>
      <w:bookmarkStart w:id="255" w:name="_Toc153290918"/>
      <w:r w:rsidRPr="00B149D5">
        <w:rPr>
          <w:rFonts w:hint="eastAsia"/>
        </w:rPr>
        <w:t>市域铁路应采用定量预测模型进行客流预测，并经校核。模型范围应涵盖市域及线路服务范围，模型参数应以近5年内的综合交通调查数据为基础。</w:t>
      </w:r>
      <w:bookmarkEnd w:id="255"/>
    </w:p>
    <w:p w14:paraId="2395489B" w14:textId="77777777" w:rsidR="00737EB2" w:rsidRPr="00B149D5" w:rsidRDefault="00737EB2" w:rsidP="009D0776">
      <w:pPr>
        <w:pStyle w:val="22"/>
      </w:pPr>
      <w:bookmarkStart w:id="256" w:name="_Toc153290919"/>
      <w:r w:rsidRPr="00B149D5">
        <w:rPr>
          <w:rFonts w:hint="eastAsia"/>
        </w:rPr>
        <w:t>市域铁路应以市域综合交通网为基础，并结合区域国土空间规划、沿线土地利用规划等进行客流预测。</w:t>
      </w:r>
      <w:bookmarkEnd w:id="256"/>
    </w:p>
    <w:p w14:paraId="310F21ED" w14:textId="77777777" w:rsidR="00737EB2" w:rsidRPr="00B149D5" w:rsidRDefault="00737EB2" w:rsidP="009D0776">
      <w:pPr>
        <w:pStyle w:val="22"/>
      </w:pPr>
      <w:bookmarkStart w:id="257" w:name="_Toc153290920"/>
      <w:r w:rsidRPr="00B149D5">
        <w:rPr>
          <w:rFonts w:hint="eastAsia"/>
        </w:rPr>
        <w:t>基础年交通数据应使用涵盖模型范围的综合交通调查或专项调查数据，预测年交通数据应根据相关规划及预测确定。</w:t>
      </w:r>
      <w:bookmarkEnd w:id="257"/>
    </w:p>
    <w:p w14:paraId="2C953CBE" w14:textId="77777777" w:rsidR="00737EB2" w:rsidRPr="00B149D5" w:rsidRDefault="00737EB2" w:rsidP="009D0776">
      <w:pPr>
        <w:pStyle w:val="22"/>
      </w:pPr>
      <w:bookmarkStart w:id="258" w:name="_Toc153290921"/>
      <w:r w:rsidRPr="00B149D5">
        <w:rPr>
          <w:rFonts w:hint="eastAsia"/>
        </w:rPr>
        <w:t>市域铁路客流预测应包括模型范围交通需求分析、线网客流预测、线路客流预测、车站客流预测等，并分工作日、周末及节假日给出客流预测结果。</w:t>
      </w:r>
      <w:bookmarkEnd w:id="258"/>
    </w:p>
    <w:p w14:paraId="74480EFA" w14:textId="77777777" w:rsidR="00737EB2" w:rsidRPr="00B149D5" w:rsidRDefault="00737EB2" w:rsidP="009D0776">
      <w:pPr>
        <w:pStyle w:val="22"/>
      </w:pPr>
      <w:bookmarkStart w:id="259" w:name="_Toc153290922"/>
      <w:r w:rsidRPr="00B149D5">
        <w:rPr>
          <w:rFonts w:hint="eastAsia"/>
        </w:rPr>
        <w:t>市域铁路客流预测应进行客流敏感性测试和客流特征分析。</w:t>
      </w:r>
      <w:bookmarkEnd w:id="259"/>
    </w:p>
    <w:p w14:paraId="0B737161" w14:textId="77777777" w:rsidR="00737EB2" w:rsidRPr="00B149D5" w:rsidRDefault="00737EB2" w:rsidP="009D0776">
      <w:pPr>
        <w:pStyle w:val="22"/>
      </w:pPr>
      <w:bookmarkStart w:id="260" w:name="_Toc153290923"/>
      <w:r w:rsidRPr="00B149D5">
        <w:rPr>
          <w:rFonts w:hint="eastAsia"/>
        </w:rPr>
        <w:t>工程可行性研究阶段客流预测应包括模型范围交通需求分析、线网客流预测、线路客流预测、车站客流预测、站间客流</w:t>
      </w:r>
      <w:r w:rsidRPr="00B149D5">
        <w:t>OD预测</w:t>
      </w:r>
      <w:r w:rsidRPr="00B149D5">
        <w:rPr>
          <w:rFonts w:hint="eastAsia"/>
        </w:rPr>
        <w:t>、客流敏感性分析等主要内容。</w:t>
      </w:r>
      <w:bookmarkEnd w:id="260"/>
    </w:p>
    <w:p w14:paraId="66D140B8" w14:textId="77777777" w:rsidR="00737EB2" w:rsidRPr="00765F6E" w:rsidRDefault="00737EB2" w:rsidP="009D0776">
      <w:pPr>
        <w:pStyle w:val="22"/>
      </w:pPr>
      <w:bookmarkStart w:id="261" w:name="_Toc153290924"/>
      <w:r w:rsidRPr="00B149D5">
        <w:rPr>
          <w:rFonts w:hint="eastAsia"/>
        </w:rPr>
        <w:t>工程初步设计阶段客流预测应以工程可行性研究阶段客流预测成果为基础,除包括工程可行性研究阶段所有内容外,还应包括各车站高峰时段及其乘降量、换乘量，以及全日和高峰小时站点各出入口上下行进出客流量、不同接驳交通方式进出客流量预测等。</w:t>
      </w:r>
      <w:bookmarkEnd w:id="261"/>
    </w:p>
    <w:p w14:paraId="04ACD2AD" w14:textId="77777777" w:rsidR="00737EB2" w:rsidRPr="00765F6E" w:rsidRDefault="00737EB2" w:rsidP="00737EB2">
      <w:pPr>
        <w:pStyle w:val="affe"/>
        <w:spacing w:before="156" w:after="156"/>
      </w:pPr>
      <w:bookmarkStart w:id="262" w:name="_Toc153290925"/>
      <w:bookmarkStart w:id="263" w:name="_Toc167895709"/>
      <w:bookmarkStart w:id="264" w:name="_Toc174538623"/>
      <w:bookmarkStart w:id="265" w:name="_Toc182476375"/>
      <w:r w:rsidRPr="00765F6E">
        <w:rPr>
          <w:rFonts w:hint="eastAsia"/>
        </w:rPr>
        <w:t>基础资料与数据</w:t>
      </w:r>
      <w:bookmarkEnd w:id="262"/>
      <w:bookmarkEnd w:id="263"/>
      <w:bookmarkEnd w:id="264"/>
      <w:bookmarkEnd w:id="265"/>
    </w:p>
    <w:p w14:paraId="751AE5AD" w14:textId="1B77369A" w:rsidR="00737EB2" w:rsidRPr="00B149D5" w:rsidRDefault="00737EB2" w:rsidP="009D0776">
      <w:pPr>
        <w:pStyle w:val="22"/>
      </w:pPr>
      <w:bookmarkStart w:id="266" w:name="_Toc153210810"/>
      <w:bookmarkStart w:id="267" w:name="_Toc153290926"/>
      <w:r w:rsidRPr="00B149D5">
        <w:rPr>
          <w:rFonts w:hint="eastAsia"/>
        </w:rPr>
        <w:t>基础年交通数据应以涵盖市域范围交通综合调查或专项调查数据为基础，预测年交通数据应以综合交通规划为依据或通过现有数据预测得到。市域铁路客流预测的其他基础数据还应包括</w:t>
      </w:r>
      <w:bookmarkEnd w:id="266"/>
      <w:bookmarkEnd w:id="267"/>
      <w:r w:rsidR="00A86845">
        <w:rPr>
          <w:rFonts w:hint="eastAsia"/>
        </w:rPr>
        <w:t>：</w:t>
      </w:r>
    </w:p>
    <w:p w14:paraId="23EA0BD8" w14:textId="768A44F3" w:rsidR="00737EB2" w:rsidRPr="00453DBE" w:rsidRDefault="00737EB2" w:rsidP="003334F3">
      <w:pPr>
        <w:pStyle w:val="af6"/>
        <w:numPr>
          <w:ilvl w:val="0"/>
          <w:numId w:val="340"/>
        </w:numPr>
        <w:snapToGrid w:val="0"/>
        <w:contextualSpacing/>
        <w:rPr>
          <w:rFonts w:hAnsi="宋体"/>
        </w:rPr>
      </w:pPr>
      <w:bookmarkStart w:id="268" w:name="_Toc153210811"/>
      <w:r w:rsidRPr="00453DBE">
        <w:rPr>
          <w:rFonts w:hAnsi="宋体" w:hint="eastAsia"/>
        </w:rPr>
        <w:t>市域铁路所在交通走廊城市道路、公路、铁路等方式运行状况，包括路网总体负荷水平、道路、行驶速度，公路、铁路的发车班次和行驶速度信息等</w:t>
      </w:r>
      <w:bookmarkEnd w:id="268"/>
      <w:r w:rsidR="00A86845">
        <w:rPr>
          <w:rFonts w:hAnsi="宋体" w:hint="eastAsia"/>
        </w:rPr>
        <w:t>；</w:t>
      </w:r>
    </w:p>
    <w:p w14:paraId="64D529D2" w14:textId="77777777" w:rsidR="00737EB2" w:rsidRPr="00B149D5" w:rsidRDefault="00737EB2" w:rsidP="00737EB2">
      <w:pPr>
        <w:pStyle w:val="af6"/>
        <w:tabs>
          <w:tab w:val="left" w:pos="851"/>
        </w:tabs>
        <w:snapToGrid w:val="0"/>
        <w:contextualSpacing/>
        <w:rPr>
          <w:rFonts w:hAnsi="宋体"/>
        </w:rPr>
      </w:pPr>
      <w:bookmarkStart w:id="269" w:name="_Toc153210812"/>
      <w:r w:rsidRPr="00B149D5">
        <w:rPr>
          <w:rFonts w:hAnsi="宋体" w:hint="eastAsia"/>
        </w:rPr>
        <w:lastRenderedPageBreak/>
        <w:t>市域铁路所在交通走廊常规公共交通、长途客运巴士、铁路、水运等需求特征，包括日客运量、平均运距及客流走廊的公共交通断面客流量信息等。</w:t>
      </w:r>
      <w:bookmarkEnd w:id="269"/>
    </w:p>
    <w:p w14:paraId="60B23AA6" w14:textId="77777777" w:rsidR="00737EB2" w:rsidRPr="00765F6E" w:rsidRDefault="00737EB2" w:rsidP="00737EB2">
      <w:pPr>
        <w:pStyle w:val="affe"/>
        <w:spacing w:before="156" w:after="156"/>
      </w:pPr>
      <w:bookmarkStart w:id="270" w:name="_Toc153290927"/>
      <w:bookmarkStart w:id="271" w:name="_Toc167895710"/>
      <w:bookmarkStart w:id="272" w:name="_Toc174538624"/>
      <w:bookmarkStart w:id="273" w:name="_Toc182476376"/>
      <w:r w:rsidRPr="00765F6E">
        <w:rPr>
          <w:rFonts w:hint="eastAsia"/>
        </w:rPr>
        <w:t>预测内容</w:t>
      </w:r>
      <w:bookmarkEnd w:id="270"/>
      <w:bookmarkEnd w:id="271"/>
      <w:bookmarkEnd w:id="272"/>
      <w:bookmarkEnd w:id="273"/>
    </w:p>
    <w:p w14:paraId="3080D895" w14:textId="77777777" w:rsidR="00737EB2" w:rsidRPr="00B149D5" w:rsidRDefault="00737EB2" w:rsidP="009D0776">
      <w:pPr>
        <w:pStyle w:val="22"/>
      </w:pPr>
      <w:bookmarkStart w:id="274" w:name="_Toc153290928"/>
      <w:r w:rsidRPr="00B149D5">
        <w:rPr>
          <w:rFonts w:hint="eastAsia"/>
        </w:rPr>
        <w:t>市域交通需求预测内容应包括市域铁路服务范围内组团间全方式交通量、出行时空分布、交通方式结构等。</w:t>
      </w:r>
      <w:bookmarkEnd w:id="274"/>
    </w:p>
    <w:p w14:paraId="5A01A3A5" w14:textId="77777777" w:rsidR="00737EB2" w:rsidRPr="00B149D5" w:rsidRDefault="00737EB2" w:rsidP="009D0776">
      <w:pPr>
        <w:pStyle w:val="22"/>
      </w:pPr>
      <w:bookmarkStart w:id="275" w:name="_Toc153290929"/>
      <w:r w:rsidRPr="00B149D5">
        <w:rPr>
          <w:rFonts w:hint="eastAsia"/>
        </w:rPr>
        <w:t>线网客流预测结果应包括各期线网客流量、负荷强度平均乘距、换乘客流量和换乘系数以及线网中各条线路客流量负荷强度、平均运距、高峰小时单向最大断面客流量。</w:t>
      </w:r>
      <w:bookmarkEnd w:id="275"/>
    </w:p>
    <w:p w14:paraId="0BEFD0C7" w14:textId="77777777" w:rsidR="00737EB2" w:rsidRPr="00B149D5" w:rsidRDefault="00737EB2" w:rsidP="009D0776">
      <w:pPr>
        <w:pStyle w:val="22"/>
      </w:pPr>
      <w:bookmarkStart w:id="276" w:name="_Toc153290930"/>
      <w:r w:rsidRPr="00B149D5">
        <w:rPr>
          <w:rFonts w:hint="eastAsia"/>
        </w:rPr>
        <w:t>线路客流预测结果应符合下列规定：</w:t>
      </w:r>
      <w:bookmarkEnd w:id="276"/>
    </w:p>
    <w:p w14:paraId="0A2921FC" w14:textId="3D6F8B93" w:rsidR="00737EB2" w:rsidRPr="00453DBE" w:rsidRDefault="00737EB2" w:rsidP="003334F3">
      <w:pPr>
        <w:pStyle w:val="af6"/>
        <w:numPr>
          <w:ilvl w:val="0"/>
          <w:numId w:val="341"/>
        </w:numPr>
        <w:snapToGrid w:val="0"/>
        <w:contextualSpacing/>
        <w:rPr>
          <w:rFonts w:hAnsi="宋体"/>
        </w:rPr>
      </w:pPr>
      <w:r w:rsidRPr="00453DBE">
        <w:rPr>
          <w:rFonts w:hAnsi="宋体" w:hint="eastAsia"/>
        </w:rPr>
        <w:t>应包括初期、近期及远期的工作日全日和高峰小时的客流量、客流周转量、平均运距及运距分布、单向最大断面客流量、负荷强度、客流时段分布曲线等</w:t>
      </w:r>
      <w:r w:rsidR="00A86845">
        <w:rPr>
          <w:rFonts w:hAnsi="宋体" w:hint="eastAsia"/>
        </w:rPr>
        <w:t>；</w:t>
      </w:r>
    </w:p>
    <w:p w14:paraId="67098328" w14:textId="60397976" w:rsidR="00737EB2" w:rsidRPr="00B149D5" w:rsidRDefault="00737EB2" w:rsidP="00737EB2">
      <w:pPr>
        <w:pStyle w:val="af6"/>
        <w:tabs>
          <w:tab w:val="left" w:pos="851"/>
        </w:tabs>
        <w:snapToGrid w:val="0"/>
        <w:contextualSpacing/>
        <w:rPr>
          <w:rFonts w:hAnsi="宋体"/>
        </w:rPr>
      </w:pPr>
      <w:r w:rsidRPr="00B149D5">
        <w:rPr>
          <w:rFonts w:hAnsi="宋体" w:hint="eastAsia"/>
        </w:rPr>
        <w:t>应包括线路不同</w:t>
      </w:r>
      <w:r w:rsidR="00CB2402">
        <w:rPr>
          <w:rFonts w:hAnsi="宋体" w:hint="eastAsia"/>
        </w:rPr>
        <w:t>地段</w:t>
      </w:r>
      <w:r w:rsidRPr="00B149D5">
        <w:rPr>
          <w:rFonts w:hAnsi="宋体" w:hint="eastAsia"/>
        </w:rPr>
        <w:t>的客流在高峰时段、服务群体、运距构成、客流方向、出行目的差异性分析，工作日平峰期、周末及节假日期间客流特征差异性分析</w:t>
      </w:r>
      <w:r w:rsidR="00A86845">
        <w:rPr>
          <w:rFonts w:hAnsi="宋体" w:hint="eastAsia"/>
        </w:rPr>
        <w:t>；</w:t>
      </w:r>
    </w:p>
    <w:p w14:paraId="72F981BA" w14:textId="77777777" w:rsidR="00737EB2" w:rsidRPr="00B149D5" w:rsidRDefault="00737EB2" w:rsidP="00737EB2">
      <w:pPr>
        <w:pStyle w:val="af6"/>
        <w:tabs>
          <w:tab w:val="left" w:pos="851"/>
        </w:tabs>
        <w:snapToGrid w:val="0"/>
        <w:contextualSpacing/>
        <w:rPr>
          <w:rFonts w:hAnsi="宋体"/>
        </w:rPr>
      </w:pPr>
      <w:r w:rsidRPr="00B149D5">
        <w:rPr>
          <w:rFonts w:hAnsi="宋体" w:hint="eastAsia"/>
        </w:rPr>
        <w:t>当线路存在互联互通时，应包括互联互通线路的客流构成分析。</w:t>
      </w:r>
    </w:p>
    <w:p w14:paraId="68F2A17F" w14:textId="77777777" w:rsidR="00737EB2" w:rsidRPr="00B149D5" w:rsidRDefault="00737EB2" w:rsidP="009D0776">
      <w:pPr>
        <w:pStyle w:val="22"/>
      </w:pPr>
      <w:bookmarkStart w:id="277" w:name="_Toc153290931"/>
      <w:r w:rsidRPr="00B149D5">
        <w:rPr>
          <w:rFonts w:hint="eastAsia"/>
        </w:rPr>
        <w:t>车站客流预测结果应符合下列规定：</w:t>
      </w:r>
      <w:bookmarkEnd w:id="277"/>
    </w:p>
    <w:p w14:paraId="3F2A78C0" w14:textId="2F96B4F9" w:rsidR="00737EB2" w:rsidRPr="00453DBE" w:rsidRDefault="00737EB2" w:rsidP="003334F3">
      <w:pPr>
        <w:pStyle w:val="af6"/>
        <w:numPr>
          <w:ilvl w:val="0"/>
          <w:numId w:val="342"/>
        </w:numPr>
        <w:snapToGrid w:val="0"/>
        <w:contextualSpacing/>
        <w:rPr>
          <w:rFonts w:hAnsi="宋体"/>
        </w:rPr>
      </w:pPr>
      <w:r w:rsidRPr="00453DBE">
        <w:rPr>
          <w:rFonts w:hAnsi="宋体" w:hint="eastAsia"/>
        </w:rPr>
        <w:t>应包括初期、近期及远期的全日及早、晚高峰小时各车站乘降客流、站间断面客流量、站间OD、换乘站分方向换乘客流、针对重点车站或区域分析上下车客流的时间分布</w:t>
      </w:r>
      <w:r w:rsidR="00A86845">
        <w:rPr>
          <w:rFonts w:hAnsi="宋体" w:hint="eastAsia"/>
        </w:rPr>
        <w:t>；</w:t>
      </w:r>
    </w:p>
    <w:p w14:paraId="5B674201" w14:textId="196C027E" w:rsidR="00737EB2" w:rsidRPr="00B149D5" w:rsidRDefault="00737EB2" w:rsidP="00737EB2">
      <w:pPr>
        <w:pStyle w:val="af6"/>
        <w:tabs>
          <w:tab w:val="left" w:pos="851"/>
        </w:tabs>
        <w:snapToGrid w:val="0"/>
        <w:contextualSpacing/>
        <w:rPr>
          <w:rFonts w:hAnsi="宋体"/>
        </w:rPr>
      </w:pPr>
      <w:r w:rsidRPr="00B149D5">
        <w:rPr>
          <w:rFonts w:hAnsi="宋体" w:hint="eastAsia"/>
        </w:rPr>
        <w:t>当车站的客流高峰出现在非工作日早、晚高峰时，应包括车站高峰客流出现时段及乘降量规模的预测分析</w:t>
      </w:r>
      <w:r w:rsidR="00A86845">
        <w:rPr>
          <w:rFonts w:hAnsi="宋体" w:hint="eastAsia"/>
        </w:rPr>
        <w:t>；</w:t>
      </w:r>
    </w:p>
    <w:p w14:paraId="235BFB8E" w14:textId="77777777" w:rsidR="00737EB2" w:rsidRPr="00B149D5" w:rsidRDefault="00737EB2" w:rsidP="00737EB2">
      <w:pPr>
        <w:pStyle w:val="af6"/>
        <w:tabs>
          <w:tab w:val="left" w:pos="851"/>
        </w:tabs>
        <w:snapToGrid w:val="0"/>
        <w:contextualSpacing/>
        <w:rPr>
          <w:rFonts w:hAnsi="宋体"/>
        </w:rPr>
      </w:pPr>
      <w:r w:rsidRPr="00B149D5">
        <w:rPr>
          <w:rFonts w:hAnsi="宋体" w:hint="eastAsia"/>
        </w:rPr>
        <w:t>应根据客流的超高峰出行特征给出分象限的客流规模。</w:t>
      </w:r>
    </w:p>
    <w:p w14:paraId="1ACE2C3D" w14:textId="77777777" w:rsidR="00737EB2" w:rsidRPr="00B149D5" w:rsidRDefault="00737EB2" w:rsidP="009D0776">
      <w:pPr>
        <w:pStyle w:val="22"/>
      </w:pPr>
      <w:bookmarkStart w:id="278" w:name="_Toc153290932"/>
      <w:r w:rsidRPr="00B149D5">
        <w:rPr>
          <w:rFonts w:hint="eastAsia"/>
        </w:rPr>
        <w:t>客流敏感性分析时，应针对初期、近期、远期分别选取不同敏感性因素对客流指标进行测试。敏感性分析应给出全日客流量、高峰小时单向最大断面客流量波动范围。</w:t>
      </w:r>
      <w:bookmarkEnd w:id="278"/>
    </w:p>
    <w:p w14:paraId="7283D5BB" w14:textId="77777777" w:rsidR="00737EB2" w:rsidRPr="00765F6E" w:rsidRDefault="00737EB2" w:rsidP="00737EB2">
      <w:pPr>
        <w:pStyle w:val="affd"/>
        <w:spacing w:before="312" w:after="312"/>
      </w:pPr>
      <w:bookmarkStart w:id="279" w:name="_Toc153290933"/>
      <w:bookmarkStart w:id="280" w:name="_Toc153210813"/>
      <w:bookmarkStart w:id="281" w:name="_Toc167895711"/>
      <w:bookmarkStart w:id="282" w:name="_Toc174538625"/>
      <w:bookmarkStart w:id="283" w:name="_Toc182476377"/>
      <w:r w:rsidRPr="00765F6E">
        <w:rPr>
          <w:rFonts w:hint="eastAsia"/>
        </w:rPr>
        <w:t>行车组织与运营管理</w:t>
      </w:r>
      <w:bookmarkEnd w:id="250"/>
      <w:bookmarkEnd w:id="279"/>
      <w:bookmarkEnd w:id="280"/>
      <w:bookmarkEnd w:id="281"/>
      <w:bookmarkEnd w:id="282"/>
      <w:bookmarkEnd w:id="283"/>
    </w:p>
    <w:p w14:paraId="46AB6244" w14:textId="77777777" w:rsidR="00737EB2" w:rsidRPr="00765F6E" w:rsidRDefault="00737EB2" w:rsidP="00737EB2">
      <w:pPr>
        <w:pStyle w:val="affe"/>
        <w:spacing w:before="156" w:after="156"/>
      </w:pPr>
      <w:bookmarkStart w:id="284" w:name="_Toc99791493"/>
      <w:bookmarkStart w:id="285" w:name="_Toc153290934"/>
      <w:bookmarkStart w:id="286" w:name="_Toc153210814"/>
      <w:bookmarkStart w:id="287" w:name="_Toc167895712"/>
      <w:bookmarkStart w:id="288" w:name="_Toc174538626"/>
      <w:bookmarkStart w:id="289" w:name="_Toc182476378"/>
      <w:r w:rsidRPr="00765F6E">
        <w:rPr>
          <w:rFonts w:hint="eastAsia"/>
        </w:rPr>
        <w:t>一般规定</w:t>
      </w:r>
      <w:bookmarkEnd w:id="284"/>
      <w:bookmarkEnd w:id="285"/>
      <w:bookmarkEnd w:id="286"/>
      <w:bookmarkEnd w:id="287"/>
      <w:bookmarkEnd w:id="288"/>
      <w:bookmarkEnd w:id="289"/>
    </w:p>
    <w:p w14:paraId="37E5A3F2" w14:textId="77777777" w:rsidR="00737EB2" w:rsidRPr="00B149D5" w:rsidRDefault="00737EB2" w:rsidP="009D0776">
      <w:pPr>
        <w:pStyle w:val="22"/>
      </w:pPr>
      <w:bookmarkStart w:id="290" w:name="_Toc99791494"/>
      <w:bookmarkStart w:id="291" w:name="_Toc153290935"/>
      <w:r w:rsidRPr="00B149D5">
        <w:rPr>
          <w:rFonts w:hint="eastAsia"/>
        </w:rPr>
        <w:t>市域铁路行车组织设计应根据线网规划、客流规模和乘客出行特征，并符合正常运行状态、非正常运行状态和紧急运行状态的要求，合理确定运输模式和运输能力。</w:t>
      </w:r>
      <w:bookmarkEnd w:id="290"/>
      <w:bookmarkEnd w:id="291"/>
    </w:p>
    <w:p w14:paraId="7FCF3B33" w14:textId="77777777" w:rsidR="00737EB2" w:rsidRPr="00B149D5" w:rsidRDefault="00737EB2" w:rsidP="009D0776">
      <w:pPr>
        <w:pStyle w:val="22"/>
      </w:pPr>
      <w:bookmarkStart w:id="292" w:name="_Toc153290936"/>
      <w:bookmarkStart w:id="293" w:name="_Toc99791495"/>
      <w:r w:rsidRPr="00B149D5">
        <w:rPr>
          <w:rFonts w:hint="eastAsia"/>
        </w:rPr>
        <w:t>运输模式应根据市域铁路线路的功能定位、客流需求与特征、工程条件等因素综合确定。可分时段、分区段、分年度制定差异化运输模式。</w:t>
      </w:r>
      <w:bookmarkEnd w:id="292"/>
      <w:bookmarkEnd w:id="293"/>
    </w:p>
    <w:p w14:paraId="4C1F0DE3" w14:textId="77777777" w:rsidR="00737EB2" w:rsidRPr="00B149D5" w:rsidRDefault="00737EB2" w:rsidP="009D0776">
      <w:pPr>
        <w:pStyle w:val="22"/>
      </w:pPr>
      <w:bookmarkStart w:id="294" w:name="_Toc99791496"/>
      <w:bookmarkStart w:id="295" w:name="_Toc153290937"/>
      <w:r w:rsidRPr="00B149D5">
        <w:rPr>
          <w:rFonts w:hint="eastAsia"/>
        </w:rPr>
        <w:t>运输能力应根据客流需求综合分析确定，包含设计运输能力、系统设计能力、列车最小运行间隔、列车编组及乘客站立密度等内容。</w:t>
      </w:r>
      <w:bookmarkEnd w:id="294"/>
      <w:bookmarkEnd w:id="295"/>
    </w:p>
    <w:p w14:paraId="5E6488C4" w14:textId="3EB4EC56" w:rsidR="00737EB2" w:rsidRDefault="00737EB2" w:rsidP="009D0776">
      <w:pPr>
        <w:pStyle w:val="22"/>
      </w:pPr>
      <w:bookmarkStart w:id="296" w:name="_Toc153290938"/>
      <w:bookmarkStart w:id="297" w:name="_Toc99791497"/>
      <w:r w:rsidRPr="00B149D5">
        <w:rPr>
          <w:rFonts w:hint="eastAsia"/>
        </w:rPr>
        <w:t>配线设置应根据运输模式、系统设计能力和运营安全等要求，并结合线网规划、资源共享、工程实施条件、工程投资、网络化运营等因素综合确定。</w:t>
      </w:r>
      <w:bookmarkEnd w:id="296"/>
      <w:bookmarkEnd w:id="297"/>
    </w:p>
    <w:p w14:paraId="3DDB8299" w14:textId="684AFB95" w:rsidR="009031B1" w:rsidRPr="009031B1" w:rsidRDefault="009031B1" w:rsidP="009031B1">
      <w:pPr>
        <w:pStyle w:val="22"/>
      </w:pPr>
      <w:r w:rsidRPr="009031B1">
        <w:rPr>
          <w:rFonts w:hint="eastAsia"/>
        </w:rPr>
        <w:t>江苏省市域铁路客运服务应符合长三角区域统一标准有关规定</w:t>
      </w:r>
      <w:r>
        <w:rPr>
          <w:rFonts w:hint="eastAsia"/>
        </w:rPr>
        <w:t>。</w:t>
      </w:r>
    </w:p>
    <w:p w14:paraId="51DFB619" w14:textId="77777777" w:rsidR="00737EB2" w:rsidRPr="00765F6E" w:rsidRDefault="00737EB2" w:rsidP="00737EB2">
      <w:pPr>
        <w:pStyle w:val="affe"/>
        <w:spacing w:before="156" w:after="156"/>
      </w:pPr>
      <w:bookmarkStart w:id="298" w:name="_Toc99791499"/>
      <w:bookmarkStart w:id="299" w:name="_Toc153210815"/>
      <w:bookmarkStart w:id="300" w:name="_Toc153290939"/>
      <w:bookmarkStart w:id="301" w:name="_Toc167895713"/>
      <w:bookmarkStart w:id="302" w:name="_Toc174538627"/>
      <w:bookmarkStart w:id="303" w:name="_Toc182476379"/>
      <w:r w:rsidRPr="00765F6E">
        <w:rPr>
          <w:rFonts w:hint="eastAsia"/>
        </w:rPr>
        <w:t>运输</w:t>
      </w:r>
      <w:bookmarkEnd w:id="298"/>
      <w:bookmarkEnd w:id="299"/>
      <w:bookmarkEnd w:id="300"/>
      <w:r w:rsidRPr="00765F6E">
        <w:rPr>
          <w:rFonts w:hint="eastAsia"/>
        </w:rPr>
        <w:t>能力</w:t>
      </w:r>
      <w:bookmarkEnd w:id="301"/>
      <w:bookmarkEnd w:id="302"/>
      <w:bookmarkEnd w:id="303"/>
    </w:p>
    <w:p w14:paraId="0E59B055" w14:textId="77777777" w:rsidR="00737EB2" w:rsidRPr="00B149D5" w:rsidRDefault="00737EB2" w:rsidP="009D0776">
      <w:pPr>
        <w:pStyle w:val="22"/>
      </w:pPr>
      <w:bookmarkStart w:id="304" w:name="_Toc153290947"/>
      <w:bookmarkStart w:id="305" w:name="_Toc99791506"/>
      <w:r w:rsidRPr="00B149D5">
        <w:rPr>
          <w:rFonts w:hint="eastAsia"/>
        </w:rPr>
        <w:t>设计运输能力应满足设计年度单向高峰小时最大断面客流量的需要，并预留10%的余量。</w:t>
      </w:r>
      <w:bookmarkEnd w:id="304"/>
      <w:bookmarkEnd w:id="305"/>
    </w:p>
    <w:p w14:paraId="21CE58CA" w14:textId="2546036C" w:rsidR="00737EB2" w:rsidRPr="00B149D5" w:rsidRDefault="00737EB2" w:rsidP="009D0776">
      <w:pPr>
        <w:pStyle w:val="22"/>
      </w:pPr>
      <w:bookmarkStart w:id="306" w:name="_Toc99791507"/>
      <w:bookmarkStart w:id="307" w:name="_Toc153290948"/>
      <w:r w:rsidRPr="00B149D5">
        <w:rPr>
          <w:rFonts w:hint="eastAsia"/>
        </w:rPr>
        <w:t>系统设计能力应满足设计年度运输能力的需要，站站停运输模式下不宜大于</w:t>
      </w:r>
      <w:r w:rsidR="00C22326" w:rsidRPr="00BF0BA3">
        <w:t>24</w:t>
      </w:r>
      <w:r w:rsidRPr="00B149D5">
        <w:rPr>
          <w:rFonts w:hint="eastAsia"/>
        </w:rPr>
        <w:t>对/h。系统设计能力应根据运输模式核算车站通过能力、折返能力、咽喉通过能力、区间通过能力、出入段能力等内容；相关设施设备应符合最小行车间隔要求。</w:t>
      </w:r>
      <w:bookmarkEnd w:id="306"/>
      <w:bookmarkEnd w:id="307"/>
    </w:p>
    <w:p w14:paraId="043101CC" w14:textId="77777777" w:rsidR="00737EB2" w:rsidRPr="00B149D5" w:rsidRDefault="00737EB2" w:rsidP="009D0776">
      <w:pPr>
        <w:pStyle w:val="22"/>
      </w:pPr>
      <w:bookmarkStart w:id="308" w:name="_Toc99791508"/>
      <w:bookmarkStart w:id="309" w:name="_Toc153290949"/>
      <w:r w:rsidRPr="00B149D5">
        <w:rPr>
          <w:rFonts w:hint="eastAsia"/>
        </w:rPr>
        <w:t>采用</w:t>
      </w:r>
      <w:bookmarkEnd w:id="308"/>
      <w:r w:rsidRPr="00B149D5">
        <w:rPr>
          <w:rFonts w:hint="eastAsia"/>
        </w:rPr>
        <w:t>等间隔服务模式时，设计年度列车开行对数符合下列规定：</w:t>
      </w:r>
      <w:bookmarkEnd w:id="309"/>
    </w:p>
    <w:p w14:paraId="671E9C5D" w14:textId="77777777" w:rsidR="00737EB2" w:rsidRPr="00453DBE" w:rsidRDefault="00737EB2" w:rsidP="003334F3">
      <w:pPr>
        <w:pStyle w:val="af6"/>
        <w:numPr>
          <w:ilvl w:val="0"/>
          <w:numId w:val="339"/>
        </w:numPr>
        <w:snapToGrid w:val="0"/>
        <w:contextualSpacing/>
        <w:rPr>
          <w:rFonts w:hAnsi="宋体"/>
        </w:rPr>
      </w:pPr>
      <w:r w:rsidRPr="00453DBE">
        <w:rPr>
          <w:rFonts w:hAnsi="宋体" w:hint="eastAsia"/>
        </w:rPr>
        <w:t>初期高峰时段不宜小于</w:t>
      </w:r>
      <w:r w:rsidRPr="00453DBE">
        <w:rPr>
          <w:rFonts w:hAnsi="宋体"/>
        </w:rPr>
        <w:t xml:space="preserve"> 6 </w:t>
      </w:r>
      <w:r w:rsidRPr="00453DBE">
        <w:rPr>
          <w:rFonts w:hAnsi="宋体" w:hint="eastAsia"/>
        </w:rPr>
        <w:t>对/h，平峰时段不宜小于</w:t>
      </w:r>
      <w:r w:rsidRPr="00453DBE">
        <w:rPr>
          <w:rFonts w:hAnsi="宋体"/>
        </w:rPr>
        <w:t xml:space="preserve"> 4 </w:t>
      </w:r>
      <w:r w:rsidRPr="00453DBE">
        <w:rPr>
          <w:rFonts w:hAnsi="宋体" w:hint="eastAsia"/>
        </w:rPr>
        <w:t>对/h；</w:t>
      </w:r>
    </w:p>
    <w:p w14:paraId="1C6190E7" w14:textId="77777777" w:rsidR="00737EB2" w:rsidRPr="00B149D5" w:rsidRDefault="00737EB2" w:rsidP="00737EB2">
      <w:pPr>
        <w:pStyle w:val="af6"/>
        <w:tabs>
          <w:tab w:val="left" w:pos="851"/>
        </w:tabs>
        <w:snapToGrid w:val="0"/>
        <w:contextualSpacing/>
        <w:rPr>
          <w:rFonts w:hAnsi="宋体"/>
        </w:rPr>
      </w:pPr>
      <w:r w:rsidRPr="00B149D5">
        <w:rPr>
          <w:rFonts w:hAnsi="宋体" w:hint="eastAsia"/>
        </w:rPr>
        <w:t>远期高峰时段不宜小于 1</w:t>
      </w:r>
      <w:r w:rsidRPr="00B149D5">
        <w:rPr>
          <w:rFonts w:hAnsi="宋体"/>
        </w:rPr>
        <w:t>5</w:t>
      </w:r>
      <w:r w:rsidRPr="00B149D5">
        <w:rPr>
          <w:rFonts w:hAnsi="宋体" w:hint="eastAsia"/>
        </w:rPr>
        <w:t xml:space="preserve"> 对/h，平峰时段不宜小于 6 对/h；</w:t>
      </w:r>
    </w:p>
    <w:p w14:paraId="66009DB8" w14:textId="77777777" w:rsidR="00737EB2" w:rsidRPr="00B149D5" w:rsidRDefault="00737EB2" w:rsidP="00737EB2">
      <w:pPr>
        <w:pStyle w:val="af6"/>
        <w:tabs>
          <w:tab w:val="left" w:pos="851"/>
        </w:tabs>
        <w:snapToGrid w:val="0"/>
        <w:contextualSpacing/>
        <w:rPr>
          <w:rFonts w:hAnsi="宋体"/>
        </w:rPr>
      </w:pPr>
      <w:r w:rsidRPr="00B149D5">
        <w:rPr>
          <w:rFonts w:hAnsi="宋体" w:hint="eastAsia"/>
        </w:rPr>
        <w:t>穿越中心城区段宜适当加密。</w:t>
      </w:r>
    </w:p>
    <w:p w14:paraId="40AF97B3" w14:textId="77777777" w:rsidR="00737EB2" w:rsidRPr="00B149D5" w:rsidRDefault="00737EB2" w:rsidP="009D0776">
      <w:pPr>
        <w:pStyle w:val="22"/>
      </w:pPr>
      <w:bookmarkStart w:id="310" w:name="_Toc99791509"/>
      <w:bookmarkStart w:id="311" w:name="_Toc153290950"/>
      <w:r w:rsidRPr="00B149D5">
        <w:rPr>
          <w:rFonts w:hint="eastAsia"/>
        </w:rPr>
        <w:t>采用快慢车越行模式时，区间通过能力应通过铺画运行图方式确定。铺画运行图时，列车间隔时间应根据列车牵引制动性能、列控方式和车站布置形式等计算确定，列车区间运行时间、列车间隔时</w:t>
      </w:r>
      <w:r w:rsidRPr="00B149D5">
        <w:rPr>
          <w:rFonts w:hint="eastAsia"/>
        </w:rPr>
        <w:lastRenderedPageBreak/>
        <w:t>间应根据牵引计算确定。</w:t>
      </w:r>
      <w:bookmarkEnd w:id="310"/>
      <w:bookmarkEnd w:id="311"/>
    </w:p>
    <w:p w14:paraId="2B5B9189" w14:textId="77777777" w:rsidR="00737EB2" w:rsidRPr="00B149D5" w:rsidRDefault="00737EB2" w:rsidP="009D0776">
      <w:pPr>
        <w:pStyle w:val="22"/>
      </w:pPr>
      <w:bookmarkStart w:id="312" w:name="_Toc153290951"/>
      <w:bookmarkStart w:id="313" w:name="_Toc99791511"/>
      <w:r w:rsidRPr="00B149D5">
        <w:rPr>
          <w:rFonts w:hint="eastAsia"/>
        </w:rPr>
        <w:t>列车编组辆数应结合单向高峰小时最大断面客流量、运输模式和系统设计能力、列车定员、运营经济性等因素综合比选后确定，不宜大于8辆。</w:t>
      </w:r>
      <w:bookmarkEnd w:id="312"/>
      <w:bookmarkEnd w:id="313"/>
    </w:p>
    <w:p w14:paraId="72EAF0A2" w14:textId="77777777" w:rsidR="00737EB2" w:rsidRPr="00765F6E" w:rsidRDefault="00737EB2" w:rsidP="00737EB2">
      <w:pPr>
        <w:pStyle w:val="affe"/>
        <w:spacing w:before="156" w:after="156"/>
      </w:pPr>
      <w:bookmarkStart w:id="314" w:name="_Toc153290946"/>
      <w:bookmarkStart w:id="315" w:name="_Toc153210816"/>
      <w:bookmarkStart w:id="316" w:name="_Toc99791505"/>
      <w:bookmarkStart w:id="317" w:name="_Toc167895714"/>
      <w:bookmarkStart w:id="318" w:name="_Toc174538628"/>
      <w:bookmarkStart w:id="319" w:name="_Toc182476380"/>
      <w:r w:rsidRPr="00765F6E">
        <w:rPr>
          <w:rFonts w:hint="eastAsia"/>
        </w:rPr>
        <w:t>运输</w:t>
      </w:r>
      <w:bookmarkEnd w:id="314"/>
      <w:bookmarkEnd w:id="315"/>
      <w:bookmarkEnd w:id="316"/>
      <w:r w:rsidRPr="00765F6E">
        <w:rPr>
          <w:rFonts w:hint="eastAsia"/>
        </w:rPr>
        <w:t>模式</w:t>
      </w:r>
      <w:bookmarkEnd w:id="317"/>
      <w:bookmarkEnd w:id="318"/>
      <w:bookmarkEnd w:id="319"/>
    </w:p>
    <w:p w14:paraId="3A1E7C13" w14:textId="74F18265" w:rsidR="00737EB2" w:rsidRPr="00B149D5" w:rsidRDefault="00737EB2" w:rsidP="009D0776">
      <w:pPr>
        <w:pStyle w:val="22"/>
      </w:pPr>
      <w:bookmarkStart w:id="320" w:name="_Toc153290940"/>
      <w:bookmarkStart w:id="321" w:name="_Toc99791500"/>
      <w:r w:rsidRPr="00B149D5">
        <w:rPr>
          <w:rFonts w:hint="eastAsia"/>
        </w:rPr>
        <w:t>运输模式应根据线路的功能定位、客流需求、网络化运营需求、技术标准、工程条件、工程投资等因素综合比选确定，可采取</w:t>
      </w:r>
      <w:r w:rsidR="00C514D1">
        <w:rPr>
          <w:rFonts w:hint="eastAsia"/>
        </w:rPr>
        <w:t>列车在本线</w:t>
      </w:r>
      <w:r w:rsidRPr="00B149D5">
        <w:rPr>
          <w:rFonts w:hint="eastAsia"/>
        </w:rPr>
        <w:t>运行或跨线运行模式、快慢车越行或站站停等模式。</w:t>
      </w:r>
      <w:bookmarkEnd w:id="320"/>
      <w:bookmarkEnd w:id="321"/>
    </w:p>
    <w:p w14:paraId="3E8ABD3E" w14:textId="79D1C877" w:rsidR="00737EB2" w:rsidRPr="00B149D5" w:rsidRDefault="008C66FE" w:rsidP="009D0776">
      <w:pPr>
        <w:pStyle w:val="22"/>
      </w:pPr>
      <w:bookmarkStart w:id="322" w:name="_Toc153290941"/>
      <w:bookmarkStart w:id="323" w:name="_Toc99791501"/>
      <w:r>
        <w:rPr>
          <w:rFonts w:hint="eastAsia"/>
        </w:rPr>
        <w:t>旅客乘车</w:t>
      </w:r>
      <w:r w:rsidR="00737EB2" w:rsidRPr="00B149D5">
        <w:rPr>
          <w:rFonts w:hint="eastAsia"/>
        </w:rPr>
        <w:t>应采用站台候车、不对号入座的公交化模式，根据不同的客流需求特征，可采用等间隔服务模式或时刻表服务模式。</w:t>
      </w:r>
      <w:bookmarkEnd w:id="322"/>
    </w:p>
    <w:p w14:paraId="6B8AD348" w14:textId="77777777" w:rsidR="00737EB2" w:rsidRPr="00B149D5" w:rsidRDefault="00737EB2" w:rsidP="009D0776">
      <w:pPr>
        <w:pStyle w:val="22"/>
      </w:pPr>
      <w:bookmarkStart w:id="324" w:name="_Toc153290942"/>
      <w:r w:rsidRPr="00B149D5">
        <w:rPr>
          <w:rFonts w:hint="eastAsia"/>
        </w:rPr>
        <w:t>列车开行交路应根据客流分布规律、高峰小时断面流量、设置折返作业的工程条件确定，可根据客流特征、网络化运营需求等组织交路运行。</w:t>
      </w:r>
      <w:bookmarkEnd w:id="323"/>
      <w:bookmarkEnd w:id="324"/>
    </w:p>
    <w:p w14:paraId="47D8503D" w14:textId="77777777" w:rsidR="00737EB2" w:rsidRPr="00B149D5" w:rsidRDefault="00737EB2" w:rsidP="009D0776">
      <w:pPr>
        <w:pStyle w:val="22"/>
      </w:pPr>
      <w:bookmarkStart w:id="325" w:name="_Toc153290943"/>
      <w:bookmarkStart w:id="326" w:name="_Toc99791502"/>
      <w:r w:rsidRPr="00B149D5">
        <w:rPr>
          <w:rFonts w:hint="eastAsia"/>
        </w:rPr>
        <w:t>列车开行方案可结合不同时段和不同区段的客流需求、运输能力等因素，组织开行直达、大站停、隔站停、站站停等列车。</w:t>
      </w:r>
      <w:bookmarkEnd w:id="325"/>
      <w:bookmarkEnd w:id="326"/>
      <w:r w:rsidRPr="00B149D5">
        <w:rPr>
          <w:rFonts w:hint="eastAsia"/>
        </w:rPr>
        <w:t xml:space="preserve"> </w:t>
      </w:r>
    </w:p>
    <w:p w14:paraId="508B2154" w14:textId="77777777" w:rsidR="00737EB2" w:rsidRPr="00B149D5" w:rsidRDefault="00737EB2" w:rsidP="009D0776">
      <w:pPr>
        <w:pStyle w:val="22"/>
      </w:pPr>
      <w:bookmarkStart w:id="327" w:name="_Toc99791504"/>
      <w:bookmarkStart w:id="328" w:name="_Toc153290945"/>
      <w:r w:rsidRPr="00B149D5">
        <w:rPr>
          <w:rFonts w:hint="eastAsia"/>
        </w:rPr>
        <w:t>站台计算长度范围内越站列车通过站台的实际运行速度</w:t>
      </w:r>
      <w:bookmarkEnd w:id="327"/>
      <w:r w:rsidRPr="00B149D5">
        <w:rPr>
          <w:rFonts w:hint="eastAsia"/>
        </w:rPr>
        <w:t>不宜大于</w:t>
      </w:r>
      <w:r w:rsidRPr="00B149D5">
        <w:t>8</w:t>
      </w:r>
      <w:r w:rsidRPr="00B149D5">
        <w:rPr>
          <w:rFonts w:hint="eastAsia"/>
        </w:rPr>
        <w:t>0km/h。</w:t>
      </w:r>
      <w:bookmarkEnd w:id="328"/>
    </w:p>
    <w:p w14:paraId="048A864F" w14:textId="77777777" w:rsidR="00737EB2" w:rsidRPr="00765F6E" w:rsidRDefault="00737EB2" w:rsidP="00737EB2">
      <w:pPr>
        <w:pStyle w:val="affe"/>
        <w:spacing w:before="156" w:after="156"/>
      </w:pPr>
      <w:bookmarkStart w:id="329" w:name="_Toc153210817"/>
      <w:bookmarkStart w:id="330" w:name="_Toc153290952"/>
      <w:bookmarkStart w:id="331" w:name="_Toc99791512"/>
      <w:bookmarkStart w:id="332" w:name="_Toc167895715"/>
      <w:bookmarkStart w:id="333" w:name="_Toc174538629"/>
      <w:bookmarkStart w:id="334" w:name="_Toc182476381"/>
      <w:r w:rsidRPr="00765F6E">
        <w:rPr>
          <w:rFonts w:hint="eastAsia"/>
        </w:rPr>
        <w:t>配线</w:t>
      </w:r>
      <w:bookmarkEnd w:id="329"/>
      <w:bookmarkEnd w:id="330"/>
      <w:bookmarkEnd w:id="331"/>
      <w:bookmarkEnd w:id="332"/>
      <w:bookmarkEnd w:id="333"/>
      <w:bookmarkEnd w:id="334"/>
    </w:p>
    <w:p w14:paraId="514F42AA" w14:textId="21C5DCBC" w:rsidR="00737EB2" w:rsidRPr="00B149D5" w:rsidRDefault="00737EB2" w:rsidP="009D0776">
      <w:pPr>
        <w:pStyle w:val="22"/>
      </w:pPr>
      <w:bookmarkStart w:id="335" w:name="_Toc99791513"/>
      <w:bookmarkStart w:id="336" w:name="_Toc153290953"/>
      <w:r w:rsidRPr="00B149D5">
        <w:rPr>
          <w:rFonts w:hint="eastAsia"/>
        </w:rPr>
        <w:t>市域铁路运营配线应包括折返线、停车线、联络线、出入线、渡线、安全线等。</w:t>
      </w:r>
      <w:bookmarkEnd w:id="335"/>
      <w:bookmarkEnd w:id="336"/>
    </w:p>
    <w:p w14:paraId="68BD55E9" w14:textId="77777777" w:rsidR="00737EB2" w:rsidRPr="00B149D5" w:rsidRDefault="00737EB2" w:rsidP="009D0776">
      <w:pPr>
        <w:pStyle w:val="22"/>
      </w:pPr>
      <w:bookmarkStart w:id="337" w:name="_Toc99791515"/>
      <w:bookmarkStart w:id="338" w:name="_Toc153290954"/>
      <w:r w:rsidRPr="00B149D5">
        <w:rPr>
          <w:rFonts w:hint="eastAsia"/>
        </w:rPr>
        <w:t>到发线应根据运输组织模式、运行图铺画、信号系统要求、工程实施条件综合确定。</w:t>
      </w:r>
      <w:bookmarkEnd w:id="337"/>
      <w:bookmarkEnd w:id="338"/>
    </w:p>
    <w:p w14:paraId="4295C9E6" w14:textId="77777777" w:rsidR="00737EB2" w:rsidRPr="00B149D5" w:rsidRDefault="00737EB2" w:rsidP="009D0776">
      <w:pPr>
        <w:pStyle w:val="22"/>
      </w:pPr>
      <w:bookmarkStart w:id="339" w:name="_Toc153290955"/>
      <w:bookmarkStart w:id="340" w:name="_Toc99791514"/>
      <w:r w:rsidRPr="00B149D5">
        <w:rPr>
          <w:rFonts w:hint="eastAsia"/>
        </w:rPr>
        <w:t>折返线应根据行车交路设计确定，起终点站和中间折返站应设置折返线。折返线形式应根据系统能力，结合站台形式、工程实施条件、段外停车数量、运营故障救援等因素综合确定。</w:t>
      </w:r>
      <w:bookmarkEnd w:id="339"/>
      <w:bookmarkEnd w:id="340"/>
    </w:p>
    <w:p w14:paraId="076F58DF" w14:textId="60C30925" w:rsidR="00737EB2" w:rsidRPr="00B149D5" w:rsidRDefault="00D943EA" w:rsidP="009D0776">
      <w:pPr>
        <w:pStyle w:val="22"/>
      </w:pPr>
      <w:bookmarkStart w:id="341" w:name="_Toc153290956"/>
      <w:bookmarkStart w:id="342" w:name="_Toc99791516"/>
      <w:r>
        <w:rPr>
          <w:rFonts w:hint="eastAsia"/>
        </w:rPr>
        <w:t>故障列车的</w:t>
      </w:r>
      <w:r w:rsidRPr="00B149D5">
        <w:rPr>
          <w:rFonts w:hint="eastAsia"/>
        </w:rPr>
        <w:t>停车线应具备故障列车临时停放和组织临时交路折返的功能，可根据开行方案、工程条件，与到发线合设。停车线设置间距不宜大于20km，其间8km～10km或每隔2～3 座车站宜增设单渡线。</w:t>
      </w:r>
      <w:bookmarkEnd w:id="341"/>
      <w:bookmarkEnd w:id="342"/>
    </w:p>
    <w:p w14:paraId="55B10E18" w14:textId="77777777" w:rsidR="00737EB2" w:rsidRPr="00B149D5" w:rsidRDefault="00737EB2" w:rsidP="009D0776">
      <w:pPr>
        <w:pStyle w:val="22"/>
      </w:pPr>
      <w:bookmarkStart w:id="343" w:name="_Toc153290957"/>
      <w:bookmarkStart w:id="344" w:name="_Toc99791517"/>
      <w:r w:rsidRPr="00B149D5">
        <w:rPr>
          <w:rFonts w:hint="eastAsia"/>
        </w:rPr>
        <w:t>联络线应根据线网规划、资源共享、跨线运营等需求综合确定。</w:t>
      </w:r>
      <w:bookmarkEnd w:id="343"/>
      <w:bookmarkEnd w:id="344"/>
    </w:p>
    <w:p w14:paraId="04769992" w14:textId="09FE009B" w:rsidR="00737EB2" w:rsidRPr="00B149D5" w:rsidRDefault="00737EB2" w:rsidP="009D0776">
      <w:pPr>
        <w:pStyle w:val="22"/>
      </w:pPr>
      <w:bookmarkStart w:id="345" w:name="_Toc153290958"/>
      <w:bookmarkStart w:id="346" w:name="_Toc99791518"/>
      <w:r w:rsidRPr="00B149D5">
        <w:rPr>
          <w:rFonts w:hint="eastAsia"/>
        </w:rPr>
        <w:t>靠近隧道洞口的地下车站及临近江河湖海岸边的车站，其配线形式应根据</w:t>
      </w:r>
      <w:r w:rsidR="00C22326" w:rsidRPr="00BF0BA3">
        <w:rPr>
          <w:rFonts w:hint="eastAsia"/>
        </w:rPr>
        <w:t>各运行状态</w:t>
      </w:r>
      <w:r w:rsidRPr="00B149D5">
        <w:rPr>
          <w:rFonts w:hint="eastAsia"/>
        </w:rPr>
        <w:t>行车组织要求确定。</w:t>
      </w:r>
      <w:bookmarkEnd w:id="345"/>
      <w:bookmarkEnd w:id="346"/>
    </w:p>
    <w:p w14:paraId="54EE2A43" w14:textId="02988CD5" w:rsidR="00737EB2" w:rsidRPr="00765F6E" w:rsidRDefault="00737EB2" w:rsidP="00737EB2">
      <w:pPr>
        <w:pStyle w:val="affe"/>
        <w:spacing w:before="156" w:after="156"/>
      </w:pPr>
      <w:bookmarkStart w:id="347" w:name="_Toc153210818"/>
      <w:bookmarkStart w:id="348" w:name="_Toc99791519"/>
      <w:bookmarkStart w:id="349" w:name="_Toc153290959"/>
      <w:bookmarkStart w:id="350" w:name="_Toc167895716"/>
      <w:bookmarkStart w:id="351" w:name="_Toc174538630"/>
      <w:bookmarkStart w:id="352" w:name="_Toc182476382"/>
      <w:r w:rsidRPr="00765F6E">
        <w:rPr>
          <w:rFonts w:hint="eastAsia"/>
        </w:rPr>
        <w:t>运营管理</w:t>
      </w:r>
      <w:bookmarkEnd w:id="347"/>
      <w:bookmarkEnd w:id="348"/>
      <w:bookmarkEnd w:id="349"/>
      <w:bookmarkEnd w:id="350"/>
      <w:bookmarkEnd w:id="351"/>
      <w:bookmarkEnd w:id="352"/>
    </w:p>
    <w:p w14:paraId="4FD83D55" w14:textId="77777777" w:rsidR="00737EB2" w:rsidRPr="00B149D5" w:rsidRDefault="00737EB2" w:rsidP="009D0776">
      <w:pPr>
        <w:pStyle w:val="22"/>
      </w:pPr>
      <w:bookmarkStart w:id="353" w:name="_Toc153290960"/>
      <w:bookmarkStart w:id="354" w:name="_Toc99791521"/>
      <w:r w:rsidRPr="00B149D5">
        <w:rPr>
          <w:rFonts w:hint="eastAsia"/>
        </w:rPr>
        <w:t>运营组织架构应按提高管理效率、精简机构和人员的原则确定。每条线路系统定员</w:t>
      </w:r>
      <w:r w:rsidRPr="00B149D5">
        <w:rPr>
          <w:rFonts w:hint="eastAsia"/>
          <w:shd w:val="clear" w:color="auto" w:fill="FFFFFF" w:themeFill="background1"/>
        </w:rPr>
        <w:t>宜控制在不大于</w:t>
      </w:r>
      <w:r w:rsidRPr="00B149D5">
        <w:rPr>
          <w:rFonts w:hint="eastAsia"/>
        </w:rPr>
        <w:t>40人/km，首条运营市域铁路可适当提高标准。</w:t>
      </w:r>
      <w:bookmarkEnd w:id="353"/>
      <w:bookmarkEnd w:id="354"/>
    </w:p>
    <w:p w14:paraId="35B5BC6C" w14:textId="77777777" w:rsidR="00737EB2" w:rsidRPr="00B149D5" w:rsidRDefault="00737EB2" w:rsidP="009D0776">
      <w:pPr>
        <w:pStyle w:val="22"/>
      </w:pPr>
      <w:bookmarkStart w:id="355" w:name="_Toc153290961"/>
      <w:bookmarkStart w:id="356" w:name="_Toc99791522"/>
      <w:r w:rsidRPr="00B149D5">
        <w:rPr>
          <w:rFonts w:hint="eastAsia"/>
        </w:rPr>
        <w:t>全日运营时间不宜小于15h，并应与中心城区轨道交通网在运营时间上合理衔接。综合维修“天窗”时间不宜小于4h。</w:t>
      </w:r>
      <w:bookmarkEnd w:id="355"/>
      <w:bookmarkEnd w:id="356"/>
    </w:p>
    <w:p w14:paraId="180A4D35" w14:textId="77777777" w:rsidR="00737EB2" w:rsidRPr="00B149D5" w:rsidRDefault="00737EB2" w:rsidP="009D0776">
      <w:pPr>
        <w:pStyle w:val="22"/>
      </w:pPr>
      <w:bookmarkStart w:id="357" w:name="_Toc153290962"/>
      <w:bookmarkStart w:id="358" w:name="_Toc99791523"/>
      <w:r w:rsidRPr="00B149D5">
        <w:rPr>
          <w:rFonts w:hint="eastAsia"/>
        </w:rPr>
        <w:t>车站或车辆基地应设置符合运营要求的维修、抢险救援、培训及仓储等用房，并应为工作人员配置生产、生活用房和设施。</w:t>
      </w:r>
      <w:bookmarkEnd w:id="357"/>
      <w:bookmarkEnd w:id="358"/>
    </w:p>
    <w:p w14:paraId="5E40B927" w14:textId="77777777" w:rsidR="00737EB2" w:rsidRPr="00765F6E" w:rsidRDefault="00737EB2" w:rsidP="00737EB2">
      <w:pPr>
        <w:pStyle w:val="affd"/>
        <w:spacing w:before="312" w:after="312"/>
      </w:pPr>
      <w:bookmarkStart w:id="359" w:name="_Toc153290963"/>
      <w:bookmarkStart w:id="360" w:name="_Toc99791524"/>
      <w:bookmarkStart w:id="361" w:name="_Toc153210819"/>
      <w:bookmarkStart w:id="362" w:name="_Toc167895717"/>
      <w:bookmarkStart w:id="363" w:name="_Toc174538631"/>
      <w:bookmarkStart w:id="364" w:name="_Toc182476383"/>
      <w:r w:rsidRPr="00765F6E">
        <w:rPr>
          <w:rFonts w:hint="eastAsia"/>
        </w:rPr>
        <w:t>车辆</w:t>
      </w:r>
      <w:bookmarkEnd w:id="359"/>
      <w:bookmarkEnd w:id="360"/>
      <w:bookmarkEnd w:id="361"/>
      <w:bookmarkEnd w:id="362"/>
      <w:bookmarkEnd w:id="363"/>
      <w:bookmarkEnd w:id="364"/>
    </w:p>
    <w:p w14:paraId="740BF145" w14:textId="77777777" w:rsidR="00737EB2" w:rsidRPr="00765F6E" w:rsidRDefault="00737EB2" w:rsidP="00737EB2">
      <w:pPr>
        <w:pStyle w:val="affe"/>
        <w:spacing w:before="156" w:after="156"/>
      </w:pPr>
      <w:bookmarkStart w:id="365" w:name="_Toc153210820"/>
      <w:bookmarkStart w:id="366" w:name="_Toc99791525"/>
      <w:bookmarkStart w:id="367" w:name="_Toc153290964"/>
      <w:bookmarkStart w:id="368" w:name="_Toc167895718"/>
      <w:bookmarkStart w:id="369" w:name="_Toc174538632"/>
      <w:bookmarkStart w:id="370" w:name="_Toc182476384"/>
      <w:r w:rsidRPr="00765F6E">
        <w:rPr>
          <w:rFonts w:hint="eastAsia"/>
        </w:rPr>
        <w:t>一般规定</w:t>
      </w:r>
      <w:bookmarkEnd w:id="365"/>
      <w:bookmarkEnd w:id="366"/>
      <w:bookmarkEnd w:id="367"/>
      <w:bookmarkEnd w:id="368"/>
      <w:bookmarkEnd w:id="369"/>
      <w:bookmarkEnd w:id="370"/>
    </w:p>
    <w:p w14:paraId="0933D7AF" w14:textId="77777777" w:rsidR="00737EB2" w:rsidRPr="00B149D5" w:rsidRDefault="00737EB2" w:rsidP="009D0776">
      <w:pPr>
        <w:pStyle w:val="22"/>
      </w:pPr>
      <w:bookmarkStart w:id="371" w:name="_Toc153290965"/>
      <w:bookmarkStart w:id="372" w:name="_Toc99791526"/>
      <w:r w:rsidRPr="00B149D5">
        <w:rPr>
          <w:rFonts w:hint="eastAsia"/>
        </w:rPr>
        <w:t>车辆应具备高速运行、频繁启停及符合中长距离市域客流特征、公交化服务要求的能力。</w:t>
      </w:r>
      <w:bookmarkEnd w:id="371"/>
      <w:bookmarkEnd w:id="372"/>
      <w:r w:rsidRPr="00B149D5">
        <w:rPr>
          <w:rFonts w:hint="eastAsia"/>
        </w:rPr>
        <w:t xml:space="preserve"> </w:t>
      </w:r>
    </w:p>
    <w:p w14:paraId="24E6128B" w14:textId="77777777" w:rsidR="00737EB2" w:rsidRPr="00B149D5" w:rsidRDefault="00737EB2" w:rsidP="009D0776">
      <w:pPr>
        <w:pStyle w:val="22"/>
      </w:pPr>
      <w:bookmarkStart w:id="373" w:name="_Toc153290966"/>
      <w:bookmarkStart w:id="374" w:name="_Toc99791527"/>
      <w:r w:rsidRPr="00B149D5">
        <w:rPr>
          <w:rFonts w:hint="eastAsia"/>
        </w:rPr>
        <w:t>车辆应保证正常运行时行车安全和人身安全；同时应具备故障、事故和灾难情况下对人员和车辆救助条件。</w:t>
      </w:r>
      <w:bookmarkEnd w:id="373"/>
      <w:bookmarkEnd w:id="374"/>
      <w:r w:rsidRPr="00B149D5">
        <w:rPr>
          <w:rFonts w:hint="eastAsia"/>
        </w:rPr>
        <w:t xml:space="preserve"> </w:t>
      </w:r>
    </w:p>
    <w:p w14:paraId="29621A4A" w14:textId="77777777" w:rsidR="00737EB2" w:rsidRPr="00B149D5" w:rsidRDefault="00737EB2" w:rsidP="009D0776">
      <w:pPr>
        <w:pStyle w:val="22"/>
      </w:pPr>
      <w:bookmarkStart w:id="375" w:name="_Toc153290967"/>
      <w:bookmarkStart w:id="376" w:name="_Toc99791528"/>
      <w:r w:rsidRPr="00B149D5">
        <w:rPr>
          <w:rFonts w:hint="eastAsia"/>
        </w:rPr>
        <w:t>车辆及其内部设施应使用不燃材料或无卤、低烟的阻燃材料。</w:t>
      </w:r>
    </w:p>
    <w:p w14:paraId="339760C6" w14:textId="77777777" w:rsidR="00737EB2" w:rsidRPr="00B149D5" w:rsidRDefault="00737EB2" w:rsidP="009D0776">
      <w:pPr>
        <w:pStyle w:val="22"/>
      </w:pPr>
      <w:r w:rsidRPr="00B149D5">
        <w:rPr>
          <w:rFonts w:hint="eastAsia"/>
        </w:rPr>
        <w:t>车辆应采取减振和降噪措施，减小车辆噪声和对环境的影响。</w:t>
      </w:r>
      <w:bookmarkEnd w:id="375"/>
      <w:bookmarkEnd w:id="376"/>
    </w:p>
    <w:p w14:paraId="5168683E" w14:textId="26CA870F" w:rsidR="00737EB2" w:rsidRDefault="00737EB2" w:rsidP="009D0776">
      <w:pPr>
        <w:pStyle w:val="22"/>
      </w:pPr>
      <w:bookmarkStart w:id="377" w:name="_Toc99791529"/>
      <w:bookmarkStart w:id="378" w:name="_Toc153290968"/>
      <w:r w:rsidRPr="00B149D5">
        <w:rPr>
          <w:rFonts w:hint="eastAsia"/>
        </w:rPr>
        <w:t>车辆类型应根据当地预测客流量、环境条件、线路条件、运营需求等因素综合比较确定。车辆的主要技术规格宜符合表</w:t>
      </w:r>
      <w:r w:rsidRPr="00453DBE">
        <w:rPr>
          <w:bCs/>
        </w:rPr>
        <w:t>1</w:t>
      </w:r>
      <w:r w:rsidRPr="00B149D5">
        <w:rPr>
          <w:rFonts w:hint="eastAsia"/>
        </w:rPr>
        <w:t>的规定。</w:t>
      </w:r>
      <w:bookmarkEnd w:id="377"/>
      <w:bookmarkEnd w:id="378"/>
    </w:p>
    <w:p w14:paraId="42AC0485" w14:textId="77777777" w:rsidR="008C7BDB" w:rsidRPr="008C7BDB" w:rsidRDefault="008C7BDB" w:rsidP="008C7BDB">
      <w:pPr>
        <w:pStyle w:val="affffb"/>
        <w:ind w:firstLine="420"/>
      </w:pPr>
    </w:p>
    <w:p w14:paraId="2D73E3F9" w14:textId="413CAA9A" w:rsidR="00737EB2" w:rsidRPr="00765F6E" w:rsidRDefault="00737EB2" w:rsidP="00737EB2">
      <w:pPr>
        <w:pStyle w:val="aff3"/>
        <w:spacing w:before="156" w:after="156"/>
      </w:pPr>
      <w:r w:rsidRPr="00765F6E">
        <w:rPr>
          <w:rFonts w:hint="eastAsia"/>
        </w:rPr>
        <w:lastRenderedPageBreak/>
        <w:t>车辆主要技术规格</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36"/>
        <w:gridCol w:w="1037"/>
        <w:gridCol w:w="1037"/>
        <w:gridCol w:w="1037"/>
        <w:gridCol w:w="1037"/>
        <w:gridCol w:w="1037"/>
        <w:gridCol w:w="1037"/>
        <w:gridCol w:w="1038"/>
        <w:gridCol w:w="1038"/>
      </w:tblGrid>
      <w:tr w:rsidR="00737EB2" w:rsidRPr="00765F6E" w14:paraId="170D5C64" w14:textId="77777777" w:rsidTr="00871D47">
        <w:trPr>
          <w:trHeight w:val="176"/>
          <w:tblHeader/>
          <w:jc w:val="center"/>
        </w:trPr>
        <w:tc>
          <w:tcPr>
            <w:tcW w:w="1036" w:type="dxa"/>
            <w:tcBorders>
              <w:top w:val="single" w:sz="8" w:space="0" w:color="auto"/>
              <w:bottom w:val="single" w:sz="8" w:space="0" w:color="auto"/>
            </w:tcBorders>
            <w:shd w:val="clear" w:color="auto" w:fill="auto"/>
            <w:vAlign w:val="center"/>
          </w:tcPr>
          <w:p w14:paraId="51FD8BF1" w14:textId="77777777" w:rsidR="00737EB2" w:rsidRPr="00765F6E" w:rsidRDefault="00737EB2" w:rsidP="00871D47">
            <w:pPr>
              <w:pStyle w:val="afffffffff9"/>
            </w:pPr>
            <w:r w:rsidRPr="00765F6E">
              <w:rPr>
                <w:rFonts w:hint="eastAsia"/>
              </w:rPr>
              <w:t>序号</w:t>
            </w:r>
          </w:p>
        </w:tc>
        <w:tc>
          <w:tcPr>
            <w:tcW w:w="2074" w:type="dxa"/>
            <w:gridSpan w:val="2"/>
            <w:tcBorders>
              <w:top w:val="single" w:sz="8" w:space="0" w:color="auto"/>
              <w:bottom w:val="single" w:sz="8" w:space="0" w:color="auto"/>
            </w:tcBorders>
            <w:shd w:val="clear" w:color="auto" w:fill="auto"/>
            <w:vAlign w:val="center"/>
          </w:tcPr>
          <w:p w14:paraId="06EE7725" w14:textId="77777777" w:rsidR="00737EB2" w:rsidRPr="00765F6E" w:rsidRDefault="00737EB2" w:rsidP="00871D47">
            <w:pPr>
              <w:pStyle w:val="afffffffff9"/>
            </w:pPr>
            <w:r w:rsidRPr="00765F6E">
              <w:rPr>
                <w:rFonts w:hint="eastAsia"/>
              </w:rPr>
              <w:t>名称</w:t>
            </w:r>
          </w:p>
        </w:tc>
        <w:tc>
          <w:tcPr>
            <w:tcW w:w="2074" w:type="dxa"/>
            <w:gridSpan w:val="2"/>
            <w:tcBorders>
              <w:top w:val="single" w:sz="8" w:space="0" w:color="auto"/>
              <w:bottom w:val="single" w:sz="8" w:space="0" w:color="auto"/>
            </w:tcBorders>
            <w:shd w:val="clear" w:color="auto" w:fill="auto"/>
            <w:vAlign w:val="center"/>
          </w:tcPr>
          <w:p w14:paraId="055D6AB6" w14:textId="77777777" w:rsidR="00737EB2" w:rsidRPr="00765F6E" w:rsidRDefault="00737EB2" w:rsidP="00871D47">
            <w:pPr>
              <w:pStyle w:val="afffffffff9"/>
            </w:pPr>
            <w:r w:rsidRPr="00765F6E">
              <w:rPr>
                <w:rFonts w:hint="eastAsia"/>
              </w:rPr>
              <w:t>市域A型车</w:t>
            </w:r>
          </w:p>
        </w:tc>
        <w:tc>
          <w:tcPr>
            <w:tcW w:w="2074" w:type="dxa"/>
            <w:gridSpan w:val="2"/>
            <w:tcBorders>
              <w:top w:val="single" w:sz="8" w:space="0" w:color="auto"/>
              <w:bottom w:val="single" w:sz="8" w:space="0" w:color="auto"/>
            </w:tcBorders>
            <w:shd w:val="clear" w:color="auto" w:fill="auto"/>
            <w:vAlign w:val="center"/>
          </w:tcPr>
          <w:p w14:paraId="6BD3784B" w14:textId="77777777" w:rsidR="00737EB2" w:rsidRPr="00765F6E" w:rsidRDefault="00737EB2" w:rsidP="00871D47">
            <w:pPr>
              <w:pStyle w:val="afffffffff9"/>
            </w:pPr>
            <w:r w:rsidRPr="00765F6E">
              <w:rPr>
                <w:rFonts w:hint="eastAsia"/>
              </w:rPr>
              <w:t>市域B型车</w:t>
            </w:r>
          </w:p>
        </w:tc>
        <w:tc>
          <w:tcPr>
            <w:tcW w:w="1038" w:type="dxa"/>
            <w:tcBorders>
              <w:top w:val="single" w:sz="8" w:space="0" w:color="auto"/>
              <w:bottom w:val="single" w:sz="8" w:space="0" w:color="auto"/>
            </w:tcBorders>
            <w:shd w:val="clear" w:color="auto" w:fill="auto"/>
            <w:vAlign w:val="center"/>
          </w:tcPr>
          <w:p w14:paraId="2ABACD95" w14:textId="77777777" w:rsidR="00737EB2" w:rsidRPr="00765F6E" w:rsidRDefault="00737EB2" w:rsidP="00871D47">
            <w:pPr>
              <w:pStyle w:val="afffffffff9"/>
            </w:pPr>
            <w:r w:rsidRPr="00765F6E">
              <w:rPr>
                <w:rFonts w:hint="eastAsia"/>
              </w:rPr>
              <w:t>市域C型车</w:t>
            </w:r>
          </w:p>
        </w:tc>
        <w:tc>
          <w:tcPr>
            <w:tcW w:w="1038" w:type="dxa"/>
            <w:tcBorders>
              <w:top w:val="single" w:sz="8" w:space="0" w:color="auto"/>
              <w:bottom w:val="single" w:sz="8" w:space="0" w:color="auto"/>
            </w:tcBorders>
            <w:shd w:val="clear" w:color="auto" w:fill="auto"/>
            <w:vAlign w:val="center"/>
          </w:tcPr>
          <w:p w14:paraId="5B6D9C2D" w14:textId="77777777" w:rsidR="00737EB2" w:rsidRPr="00765F6E" w:rsidRDefault="00737EB2" w:rsidP="00871D47">
            <w:pPr>
              <w:pStyle w:val="afffffffff9"/>
            </w:pPr>
            <w:r w:rsidRPr="00765F6E">
              <w:rPr>
                <w:rFonts w:hint="eastAsia"/>
              </w:rPr>
              <w:t>市域D型车</w:t>
            </w:r>
          </w:p>
        </w:tc>
      </w:tr>
      <w:tr w:rsidR="00737EB2" w:rsidRPr="00765F6E" w14:paraId="50781DAC" w14:textId="77777777" w:rsidTr="00871D47">
        <w:trPr>
          <w:trHeight w:val="176"/>
          <w:jc w:val="center"/>
        </w:trPr>
        <w:tc>
          <w:tcPr>
            <w:tcW w:w="1036" w:type="dxa"/>
            <w:tcBorders>
              <w:top w:val="single" w:sz="8" w:space="0" w:color="auto"/>
            </w:tcBorders>
            <w:shd w:val="clear" w:color="auto" w:fill="auto"/>
            <w:vAlign w:val="center"/>
          </w:tcPr>
          <w:p w14:paraId="769E2D56" w14:textId="77777777" w:rsidR="00737EB2" w:rsidRPr="00765F6E" w:rsidRDefault="00737EB2" w:rsidP="00871D47">
            <w:pPr>
              <w:pStyle w:val="afffffffff9"/>
            </w:pPr>
            <w:r w:rsidRPr="00765F6E">
              <w:rPr>
                <w:rFonts w:hint="eastAsia"/>
              </w:rPr>
              <w:t>1</w:t>
            </w:r>
          </w:p>
        </w:tc>
        <w:tc>
          <w:tcPr>
            <w:tcW w:w="2074" w:type="dxa"/>
            <w:gridSpan w:val="2"/>
            <w:tcBorders>
              <w:top w:val="single" w:sz="8" w:space="0" w:color="auto"/>
            </w:tcBorders>
            <w:shd w:val="clear" w:color="auto" w:fill="auto"/>
            <w:vAlign w:val="center"/>
          </w:tcPr>
          <w:p w14:paraId="2D3E213F" w14:textId="77777777" w:rsidR="00737EB2" w:rsidRPr="00765F6E" w:rsidRDefault="00737EB2" w:rsidP="00871D47">
            <w:pPr>
              <w:pStyle w:val="afffffffff9"/>
            </w:pPr>
            <w:r w:rsidRPr="00765F6E">
              <w:rPr>
                <w:rFonts w:hint="eastAsia"/>
              </w:rPr>
              <w:t>供电电压</w:t>
            </w:r>
          </w:p>
        </w:tc>
        <w:tc>
          <w:tcPr>
            <w:tcW w:w="1037" w:type="dxa"/>
            <w:tcBorders>
              <w:top w:val="single" w:sz="8" w:space="0" w:color="auto"/>
            </w:tcBorders>
            <w:shd w:val="clear" w:color="auto" w:fill="auto"/>
            <w:vAlign w:val="center"/>
          </w:tcPr>
          <w:p w14:paraId="438E4208" w14:textId="77777777" w:rsidR="00737EB2" w:rsidRPr="00765F6E" w:rsidRDefault="00737EB2" w:rsidP="00871D47">
            <w:pPr>
              <w:pStyle w:val="afffffffff9"/>
            </w:pPr>
            <w:r w:rsidRPr="00765F6E">
              <w:t>AC25kV</w:t>
            </w:r>
          </w:p>
        </w:tc>
        <w:tc>
          <w:tcPr>
            <w:tcW w:w="1037" w:type="dxa"/>
            <w:tcBorders>
              <w:top w:val="single" w:sz="8" w:space="0" w:color="auto"/>
            </w:tcBorders>
            <w:shd w:val="clear" w:color="auto" w:fill="auto"/>
            <w:vAlign w:val="center"/>
          </w:tcPr>
          <w:p w14:paraId="43880612" w14:textId="77777777" w:rsidR="00737EB2" w:rsidRPr="00765F6E" w:rsidRDefault="00737EB2" w:rsidP="00871D47">
            <w:pPr>
              <w:pStyle w:val="afffffffff9"/>
            </w:pPr>
            <w:r w:rsidRPr="00765F6E">
              <w:t>DC1500V</w:t>
            </w:r>
          </w:p>
        </w:tc>
        <w:tc>
          <w:tcPr>
            <w:tcW w:w="1037" w:type="dxa"/>
            <w:tcBorders>
              <w:top w:val="single" w:sz="8" w:space="0" w:color="auto"/>
            </w:tcBorders>
            <w:shd w:val="clear" w:color="auto" w:fill="auto"/>
            <w:vAlign w:val="center"/>
          </w:tcPr>
          <w:p w14:paraId="545DC039" w14:textId="77777777" w:rsidR="00737EB2" w:rsidRPr="00765F6E" w:rsidRDefault="00737EB2" w:rsidP="00871D47">
            <w:pPr>
              <w:pStyle w:val="afffffffff9"/>
            </w:pPr>
            <w:r w:rsidRPr="00765F6E">
              <w:t>AC25kV</w:t>
            </w:r>
          </w:p>
        </w:tc>
        <w:tc>
          <w:tcPr>
            <w:tcW w:w="1037" w:type="dxa"/>
            <w:tcBorders>
              <w:top w:val="single" w:sz="8" w:space="0" w:color="auto"/>
            </w:tcBorders>
            <w:shd w:val="clear" w:color="auto" w:fill="auto"/>
            <w:vAlign w:val="center"/>
          </w:tcPr>
          <w:p w14:paraId="2BA422D3" w14:textId="77777777" w:rsidR="00737EB2" w:rsidRPr="00765F6E" w:rsidRDefault="00737EB2" w:rsidP="00871D47">
            <w:pPr>
              <w:pStyle w:val="afffffffff9"/>
            </w:pPr>
            <w:r w:rsidRPr="00765F6E">
              <w:t>DC1500V</w:t>
            </w:r>
          </w:p>
        </w:tc>
        <w:tc>
          <w:tcPr>
            <w:tcW w:w="1038" w:type="dxa"/>
            <w:tcBorders>
              <w:top w:val="single" w:sz="8" w:space="0" w:color="auto"/>
            </w:tcBorders>
            <w:shd w:val="clear" w:color="auto" w:fill="auto"/>
            <w:vAlign w:val="center"/>
          </w:tcPr>
          <w:p w14:paraId="52D8C381" w14:textId="77777777" w:rsidR="00737EB2" w:rsidRPr="00765F6E" w:rsidRDefault="00737EB2" w:rsidP="00871D47">
            <w:pPr>
              <w:pStyle w:val="afffffffff9"/>
            </w:pPr>
            <w:r w:rsidRPr="00765F6E">
              <w:t>AC25kV</w:t>
            </w:r>
          </w:p>
        </w:tc>
        <w:tc>
          <w:tcPr>
            <w:tcW w:w="1038" w:type="dxa"/>
            <w:tcBorders>
              <w:top w:val="single" w:sz="8" w:space="0" w:color="auto"/>
            </w:tcBorders>
            <w:shd w:val="clear" w:color="auto" w:fill="auto"/>
            <w:vAlign w:val="center"/>
          </w:tcPr>
          <w:p w14:paraId="60D1174F" w14:textId="77777777" w:rsidR="00737EB2" w:rsidRPr="00765F6E" w:rsidRDefault="00737EB2" w:rsidP="00871D47">
            <w:pPr>
              <w:pStyle w:val="afffffffff9"/>
            </w:pPr>
            <w:r w:rsidRPr="00765F6E">
              <w:t>AC25kV</w:t>
            </w:r>
          </w:p>
        </w:tc>
      </w:tr>
      <w:tr w:rsidR="00737EB2" w:rsidRPr="00765F6E" w14:paraId="1411B14A" w14:textId="77777777" w:rsidTr="00871D47">
        <w:trPr>
          <w:trHeight w:val="176"/>
          <w:jc w:val="center"/>
        </w:trPr>
        <w:tc>
          <w:tcPr>
            <w:tcW w:w="1036" w:type="dxa"/>
            <w:shd w:val="clear" w:color="auto" w:fill="auto"/>
            <w:vAlign w:val="center"/>
          </w:tcPr>
          <w:p w14:paraId="2B171F82" w14:textId="77777777" w:rsidR="00737EB2" w:rsidRPr="00765F6E" w:rsidRDefault="00737EB2" w:rsidP="00871D47">
            <w:pPr>
              <w:pStyle w:val="afffffffff9"/>
            </w:pPr>
            <w:r w:rsidRPr="00765F6E">
              <w:rPr>
                <w:rFonts w:hint="eastAsia"/>
              </w:rPr>
              <w:t>2</w:t>
            </w:r>
          </w:p>
        </w:tc>
        <w:tc>
          <w:tcPr>
            <w:tcW w:w="1037" w:type="dxa"/>
            <w:vMerge w:val="restart"/>
            <w:shd w:val="clear" w:color="auto" w:fill="auto"/>
            <w:vAlign w:val="center"/>
          </w:tcPr>
          <w:p w14:paraId="312097C4" w14:textId="77777777" w:rsidR="00737EB2" w:rsidRPr="00765F6E" w:rsidRDefault="00737EB2" w:rsidP="00871D47">
            <w:pPr>
              <w:pStyle w:val="afffffffff9"/>
            </w:pPr>
            <w:r w:rsidRPr="00765F6E">
              <w:rPr>
                <w:rFonts w:hint="eastAsia"/>
              </w:rPr>
              <w:t>车体基本长度/</w:t>
            </w:r>
            <w:r w:rsidRPr="00765F6E">
              <w:t>mm</w:t>
            </w:r>
          </w:p>
        </w:tc>
        <w:tc>
          <w:tcPr>
            <w:tcW w:w="1037" w:type="dxa"/>
            <w:shd w:val="clear" w:color="auto" w:fill="auto"/>
            <w:vAlign w:val="center"/>
          </w:tcPr>
          <w:p w14:paraId="4A6B165D" w14:textId="77777777" w:rsidR="00737EB2" w:rsidRPr="00765F6E" w:rsidRDefault="00737EB2" w:rsidP="00871D47">
            <w:pPr>
              <w:pStyle w:val="afffffffff9"/>
            </w:pPr>
            <w:r w:rsidRPr="00765F6E">
              <w:rPr>
                <w:rFonts w:hint="eastAsia"/>
              </w:rPr>
              <w:t>无司机室车辆</w:t>
            </w:r>
          </w:p>
        </w:tc>
        <w:tc>
          <w:tcPr>
            <w:tcW w:w="2074" w:type="dxa"/>
            <w:gridSpan w:val="2"/>
            <w:shd w:val="clear" w:color="auto" w:fill="auto"/>
            <w:vAlign w:val="center"/>
          </w:tcPr>
          <w:p w14:paraId="0945D7AA" w14:textId="77777777" w:rsidR="00737EB2" w:rsidRPr="00765F6E" w:rsidRDefault="00737EB2" w:rsidP="00871D47">
            <w:pPr>
              <w:pStyle w:val="afffffffff9"/>
            </w:pPr>
            <w:r w:rsidRPr="00765F6E">
              <w:t>22000</w:t>
            </w:r>
          </w:p>
        </w:tc>
        <w:tc>
          <w:tcPr>
            <w:tcW w:w="2074" w:type="dxa"/>
            <w:gridSpan w:val="2"/>
            <w:shd w:val="clear" w:color="auto" w:fill="auto"/>
            <w:vAlign w:val="center"/>
          </w:tcPr>
          <w:p w14:paraId="576F3B1F" w14:textId="77777777" w:rsidR="00737EB2" w:rsidRPr="00765F6E" w:rsidRDefault="00737EB2" w:rsidP="00871D47">
            <w:pPr>
              <w:pStyle w:val="afffffffff9"/>
            </w:pPr>
            <w:r w:rsidRPr="00765F6E">
              <w:t>19000</w:t>
            </w:r>
          </w:p>
        </w:tc>
        <w:tc>
          <w:tcPr>
            <w:tcW w:w="1038" w:type="dxa"/>
            <w:shd w:val="clear" w:color="auto" w:fill="auto"/>
            <w:vAlign w:val="center"/>
          </w:tcPr>
          <w:p w14:paraId="613BEE19" w14:textId="77777777" w:rsidR="00737EB2" w:rsidRPr="00765F6E" w:rsidRDefault="00737EB2" w:rsidP="00871D47">
            <w:pPr>
              <w:pStyle w:val="afffffffff9"/>
            </w:pPr>
            <w:r w:rsidRPr="00765F6E">
              <w:rPr>
                <w:rFonts w:hAnsi="宋体" w:cs="宋体"/>
                <w:szCs w:val="18"/>
              </w:rPr>
              <w:t>24</w:t>
            </w:r>
            <w:r w:rsidRPr="00765F6E">
              <w:rPr>
                <w:rFonts w:hAnsi="宋体" w:cs="宋体" w:hint="eastAsia"/>
                <w:w w:val="25"/>
              </w:rPr>
              <w:t xml:space="preserve">　</w:t>
            </w:r>
            <w:r w:rsidRPr="00765F6E">
              <w:rPr>
                <w:rFonts w:hAnsi="宋体" w:cs="宋体"/>
                <w:szCs w:val="18"/>
              </w:rPr>
              <w:t>500</w:t>
            </w:r>
          </w:p>
        </w:tc>
        <w:tc>
          <w:tcPr>
            <w:tcW w:w="1038" w:type="dxa"/>
            <w:shd w:val="clear" w:color="auto" w:fill="auto"/>
            <w:vAlign w:val="center"/>
          </w:tcPr>
          <w:p w14:paraId="532A2D1E" w14:textId="77777777" w:rsidR="00737EB2" w:rsidRPr="00765F6E" w:rsidRDefault="00737EB2" w:rsidP="00871D47">
            <w:pPr>
              <w:pStyle w:val="afffffffff9"/>
            </w:pPr>
            <w:r w:rsidRPr="00765F6E">
              <w:t>22000</w:t>
            </w:r>
          </w:p>
        </w:tc>
      </w:tr>
      <w:tr w:rsidR="00737EB2" w:rsidRPr="00765F6E" w14:paraId="16AAA181" w14:textId="77777777" w:rsidTr="00871D47">
        <w:trPr>
          <w:trHeight w:val="176"/>
          <w:jc w:val="center"/>
        </w:trPr>
        <w:tc>
          <w:tcPr>
            <w:tcW w:w="1036" w:type="dxa"/>
            <w:shd w:val="clear" w:color="auto" w:fill="auto"/>
            <w:vAlign w:val="center"/>
          </w:tcPr>
          <w:p w14:paraId="05CB321D" w14:textId="77777777" w:rsidR="00737EB2" w:rsidRPr="00765F6E" w:rsidRDefault="00737EB2" w:rsidP="00871D47">
            <w:pPr>
              <w:pStyle w:val="afffffffff9"/>
            </w:pPr>
            <w:r w:rsidRPr="00765F6E">
              <w:rPr>
                <w:rFonts w:hint="eastAsia"/>
              </w:rPr>
              <w:t>3</w:t>
            </w:r>
          </w:p>
        </w:tc>
        <w:tc>
          <w:tcPr>
            <w:tcW w:w="1037" w:type="dxa"/>
            <w:vMerge/>
            <w:shd w:val="clear" w:color="auto" w:fill="auto"/>
            <w:vAlign w:val="center"/>
          </w:tcPr>
          <w:p w14:paraId="5F4E27EC" w14:textId="77777777" w:rsidR="00737EB2" w:rsidRPr="00765F6E" w:rsidRDefault="00737EB2" w:rsidP="00871D47">
            <w:pPr>
              <w:pStyle w:val="afffffffff9"/>
            </w:pPr>
          </w:p>
        </w:tc>
        <w:tc>
          <w:tcPr>
            <w:tcW w:w="1037" w:type="dxa"/>
            <w:shd w:val="clear" w:color="auto" w:fill="auto"/>
            <w:vAlign w:val="center"/>
          </w:tcPr>
          <w:p w14:paraId="545E7B13" w14:textId="77777777" w:rsidR="00737EB2" w:rsidRPr="00765F6E" w:rsidRDefault="00737EB2" w:rsidP="00871D47">
            <w:pPr>
              <w:pStyle w:val="afffffffff9"/>
            </w:pPr>
            <w:r w:rsidRPr="00765F6E">
              <w:rPr>
                <w:rFonts w:hint="eastAsia"/>
              </w:rPr>
              <w:t>带司机室车辆</w:t>
            </w:r>
          </w:p>
        </w:tc>
        <w:tc>
          <w:tcPr>
            <w:tcW w:w="2074" w:type="dxa"/>
            <w:gridSpan w:val="2"/>
            <w:shd w:val="clear" w:color="auto" w:fill="auto"/>
            <w:vAlign w:val="center"/>
          </w:tcPr>
          <w:p w14:paraId="47A468C9" w14:textId="77777777" w:rsidR="00737EB2" w:rsidRPr="00765F6E" w:rsidRDefault="00737EB2" w:rsidP="00871D47">
            <w:pPr>
              <w:pStyle w:val="afffffffff9"/>
            </w:pPr>
            <w:r w:rsidRPr="00765F6E">
              <w:t>22000+</w:t>
            </w:r>
            <w:r w:rsidRPr="00765F6E">
              <w:t>Δ</w:t>
            </w:r>
            <w:r w:rsidRPr="00765F6E">
              <w:rPr>
                <w:rFonts w:hint="eastAsia"/>
                <w:vertAlign w:val="superscript"/>
              </w:rPr>
              <w:t>a</w:t>
            </w:r>
          </w:p>
        </w:tc>
        <w:tc>
          <w:tcPr>
            <w:tcW w:w="2074" w:type="dxa"/>
            <w:gridSpan w:val="2"/>
            <w:shd w:val="clear" w:color="auto" w:fill="auto"/>
            <w:vAlign w:val="center"/>
          </w:tcPr>
          <w:p w14:paraId="0954BB8B" w14:textId="77777777" w:rsidR="00737EB2" w:rsidRPr="00765F6E" w:rsidRDefault="00737EB2" w:rsidP="00871D47">
            <w:pPr>
              <w:pStyle w:val="afffffffff9"/>
            </w:pPr>
            <w:r w:rsidRPr="00765F6E">
              <w:t>19000+</w:t>
            </w:r>
            <w:r w:rsidRPr="00765F6E">
              <w:t>Δ</w:t>
            </w:r>
            <w:r w:rsidRPr="00765F6E">
              <w:rPr>
                <w:rFonts w:hint="eastAsia"/>
                <w:vertAlign w:val="superscript"/>
              </w:rPr>
              <w:t>a</w:t>
            </w:r>
          </w:p>
        </w:tc>
        <w:tc>
          <w:tcPr>
            <w:tcW w:w="1038" w:type="dxa"/>
            <w:shd w:val="clear" w:color="auto" w:fill="auto"/>
            <w:vAlign w:val="center"/>
          </w:tcPr>
          <w:p w14:paraId="12AB72C7" w14:textId="77777777" w:rsidR="00737EB2" w:rsidRPr="00765F6E" w:rsidRDefault="00737EB2" w:rsidP="00871D47">
            <w:pPr>
              <w:pStyle w:val="afffffffff9"/>
            </w:pPr>
            <w:r w:rsidRPr="00765F6E">
              <w:rPr>
                <w:rFonts w:hAnsi="宋体" w:cs="宋体"/>
                <w:szCs w:val="18"/>
              </w:rPr>
              <w:t>24</w:t>
            </w:r>
            <w:r w:rsidRPr="00765F6E">
              <w:rPr>
                <w:rFonts w:hAnsi="宋体" w:cs="宋体" w:hint="eastAsia"/>
                <w:w w:val="25"/>
              </w:rPr>
              <w:t xml:space="preserve">　</w:t>
            </w:r>
            <w:r w:rsidRPr="00765F6E">
              <w:rPr>
                <w:rFonts w:hAnsi="宋体" w:cs="宋体"/>
                <w:szCs w:val="18"/>
              </w:rPr>
              <w:t>500+</w:t>
            </w:r>
            <w:r w:rsidRPr="00765F6E">
              <w:rPr>
                <w:rFonts w:hAnsi="宋体" w:cs="宋体" w:hint="eastAsia"/>
                <w:szCs w:val="18"/>
              </w:rPr>
              <w:t>Δ</w:t>
            </w:r>
            <w:r w:rsidRPr="00765F6E">
              <w:rPr>
                <w:rFonts w:hAnsi="宋体" w:cs="宋体" w:hint="eastAsia"/>
                <w:szCs w:val="18"/>
                <w:vertAlign w:val="superscript"/>
              </w:rPr>
              <w:t>a</w:t>
            </w:r>
          </w:p>
        </w:tc>
        <w:tc>
          <w:tcPr>
            <w:tcW w:w="1038" w:type="dxa"/>
            <w:shd w:val="clear" w:color="auto" w:fill="auto"/>
            <w:vAlign w:val="center"/>
          </w:tcPr>
          <w:p w14:paraId="565F075F" w14:textId="77777777" w:rsidR="00737EB2" w:rsidRPr="00765F6E" w:rsidRDefault="00737EB2" w:rsidP="00871D47">
            <w:pPr>
              <w:pStyle w:val="afffffffff9"/>
            </w:pPr>
            <w:r w:rsidRPr="00765F6E">
              <w:t>22000+</w:t>
            </w:r>
            <w:r w:rsidRPr="00765F6E">
              <w:t>Δ</w:t>
            </w:r>
            <w:r w:rsidRPr="00765F6E">
              <w:rPr>
                <w:rFonts w:hint="eastAsia"/>
                <w:vertAlign w:val="superscript"/>
              </w:rPr>
              <w:t>a</w:t>
            </w:r>
          </w:p>
        </w:tc>
      </w:tr>
      <w:tr w:rsidR="00737EB2" w:rsidRPr="00765F6E" w14:paraId="0AD989A3" w14:textId="77777777" w:rsidTr="00871D47">
        <w:trPr>
          <w:trHeight w:val="176"/>
          <w:jc w:val="center"/>
        </w:trPr>
        <w:tc>
          <w:tcPr>
            <w:tcW w:w="1036" w:type="dxa"/>
            <w:shd w:val="clear" w:color="auto" w:fill="auto"/>
            <w:vAlign w:val="center"/>
          </w:tcPr>
          <w:p w14:paraId="2B028B1C" w14:textId="77777777" w:rsidR="00737EB2" w:rsidRPr="00765F6E" w:rsidRDefault="00737EB2" w:rsidP="00871D47">
            <w:pPr>
              <w:pStyle w:val="afffffffff9"/>
            </w:pPr>
            <w:r w:rsidRPr="00765F6E">
              <w:rPr>
                <w:rFonts w:hint="eastAsia"/>
              </w:rPr>
              <w:t>4</w:t>
            </w:r>
          </w:p>
        </w:tc>
        <w:tc>
          <w:tcPr>
            <w:tcW w:w="2074" w:type="dxa"/>
            <w:gridSpan w:val="2"/>
            <w:shd w:val="clear" w:color="auto" w:fill="auto"/>
            <w:vAlign w:val="center"/>
          </w:tcPr>
          <w:p w14:paraId="1B9F8252" w14:textId="77777777" w:rsidR="00737EB2" w:rsidRPr="00765F6E" w:rsidRDefault="00737EB2" w:rsidP="00871D47">
            <w:pPr>
              <w:pStyle w:val="afffffffff9"/>
            </w:pPr>
            <w:r w:rsidRPr="00765F6E">
              <w:rPr>
                <w:rFonts w:hint="eastAsia"/>
              </w:rPr>
              <w:t>车体基本宽度/m</w:t>
            </w:r>
            <w:r w:rsidRPr="00765F6E">
              <w:t>m</w:t>
            </w:r>
          </w:p>
        </w:tc>
        <w:tc>
          <w:tcPr>
            <w:tcW w:w="2074" w:type="dxa"/>
            <w:gridSpan w:val="2"/>
            <w:shd w:val="clear" w:color="auto" w:fill="auto"/>
            <w:vAlign w:val="center"/>
          </w:tcPr>
          <w:p w14:paraId="515752C3" w14:textId="77777777" w:rsidR="00737EB2" w:rsidRPr="00765F6E" w:rsidRDefault="00737EB2" w:rsidP="00871D47">
            <w:pPr>
              <w:pStyle w:val="afffffffff9"/>
            </w:pPr>
            <w:r w:rsidRPr="00765F6E">
              <w:t>3000</w:t>
            </w:r>
          </w:p>
        </w:tc>
        <w:tc>
          <w:tcPr>
            <w:tcW w:w="2074" w:type="dxa"/>
            <w:gridSpan w:val="2"/>
            <w:shd w:val="clear" w:color="auto" w:fill="auto"/>
            <w:vAlign w:val="center"/>
          </w:tcPr>
          <w:p w14:paraId="1E0EEDEA" w14:textId="77777777" w:rsidR="00737EB2" w:rsidRPr="00765F6E" w:rsidRDefault="00737EB2" w:rsidP="00871D47">
            <w:pPr>
              <w:pStyle w:val="afffffffff9"/>
            </w:pPr>
            <w:r w:rsidRPr="00765F6E">
              <w:t>3000</w:t>
            </w:r>
            <w:r w:rsidRPr="00765F6E">
              <w:rPr>
                <w:rFonts w:hint="eastAsia"/>
                <w:vertAlign w:val="superscript"/>
              </w:rPr>
              <w:t>b</w:t>
            </w:r>
          </w:p>
        </w:tc>
        <w:tc>
          <w:tcPr>
            <w:tcW w:w="1038" w:type="dxa"/>
            <w:shd w:val="clear" w:color="auto" w:fill="auto"/>
            <w:vAlign w:val="center"/>
          </w:tcPr>
          <w:p w14:paraId="3DC9F323" w14:textId="77777777" w:rsidR="00737EB2" w:rsidRPr="00765F6E" w:rsidRDefault="00737EB2" w:rsidP="00871D47">
            <w:pPr>
              <w:pStyle w:val="afffffffff9"/>
            </w:pPr>
            <w:r w:rsidRPr="00765F6E">
              <w:rPr>
                <w:rFonts w:hAnsi="宋体" w:hint="eastAsia"/>
                <w:szCs w:val="18"/>
              </w:rPr>
              <w:t>2800</w:t>
            </w:r>
            <w:r w:rsidRPr="00765F6E">
              <w:rPr>
                <w:rFonts w:hAnsi="宋体" w:hint="eastAsia"/>
                <w:szCs w:val="18"/>
                <w:vertAlign w:val="superscript"/>
              </w:rPr>
              <w:t>b</w:t>
            </w:r>
          </w:p>
        </w:tc>
        <w:tc>
          <w:tcPr>
            <w:tcW w:w="1038" w:type="dxa"/>
            <w:shd w:val="clear" w:color="auto" w:fill="auto"/>
            <w:vAlign w:val="center"/>
          </w:tcPr>
          <w:p w14:paraId="07816A59" w14:textId="77777777" w:rsidR="00737EB2" w:rsidRPr="00765F6E" w:rsidRDefault="00737EB2" w:rsidP="00871D47">
            <w:pPr>
              <w:pStyle w:val="afffffffff9"/>
            </w:pPr>
            <w:r w:rsidRPr="00765F6E">
              <w:rPr>
                <w:rFonts w:hAnsi="宋体" w:hint="eastAsia"/>
                <w:szCs w:val="18"/>
              </w:rPr>
              <w:t>3300</w:t>
            </w:r>
          </w:p>
        </w:tc>
      </w:tr>
      <w:tr w:rsidR="00737EB2" w:rsidRPr="00765F6E" w14:paraId="0999571E" w14:textId="77777777" w:rsidTr="00871D47">
        <w:trPr>
          <w:trHeight w:val="176"/>
          <w:jc w:val="center"/>
        </w:trPr>
        <w:tc>
          <w:tcPr>
            <w:tcW w:w="1036" w:type="dxa"/>
            <w:shd w:val="clear" w:color="auto" w:fill="auto"/>
            <w:vAlign w:val="center"/>
          </w:tcPr>
          <w:p w14:paraId="5681F99F" w14:textId="77777777" w:rsidR="00737EB2" w:rsidRPr="00765F6E" w:rsidRDefault="00737EB2" w:rsidP="00871D47">
            <w:pPr>
              <w:pStyle w:val="afffffffff9"/>
            </w:pPr>
            <w:r w:rsidRPr="00765F6E">
              <w:rPr>
                <w:rFonts w:hint="eastAsia"/>
              </w:rPr>
              <w:t>5</w:t>
            </w:r>
          </w:p>
        </w:tc>
        <w:tc>
          <w:tcPr>
            <w:tcW w:w="2074" w:type="dxa"/>
            <w:gridSpan w:val="2"/>
            <w:shd w:val="clear" w:color="auto" w:fill="auto"/>
            <w:vAlign w:val="center"/>
          </w:tcPr>
          <w:p w14:paraId="53522692" w14:textId="77777777" w:rsidR="00737EB2" w:rsidRPr="00765F6E" w:rsidRDefault="00737EB2" w:rsidP="00871D47">
            <w:pPr>
              <w:pStyle w:val="afffffffff9"/>
            </w:pPr>
            <w:r w:rsidRPr="00765F6E">
              <w:rPr>
                <w:rFonts w:hint="eastAsia"/>
              </w:rPr>
              <w:t>车辆落弓高度/m</w:t>
            </w:r>
            <w:r w:rsidRPr="00765F6E">
              <w:t>m</w:t>
            </w:r>
          </w:p>
        </w:tc>
        <w:tc>
          <w:tcPr>
            <w:tcW w:w="1037" w:type="dxa"/>
            <w:shd w:val="clear" w:color="auto" w:fill="auto"/>
            <w:vAlign w:val="center"/>
          </w:tcPr>
          <w:p w14:paraId="119E98C4" w14:textId="77777777" w:rsidR="00737EB2" w:rsidRPr="00765F6E" w:rsidRDefault="00737EB2" w:rsidP="00871D47">
            <w:pPr>
              <w:pStyle w:val="afffffffff9"/>
            </w:pPr>
            <w:r w:rsidRPr="00765F6E">
              <w:rPr>
                <w:rFonts w:hAnsi="宋体" w:hint="eastAsia"/>
                <w:szCs w:val="18"/>
              </w:rPr>
              <w:t>≤4450</w:t>
            </w:r>
          </w:p>
        </w:tc>
        <w:tc>
          <w:tcPr>
            <w:tcW w:w="1037" w:type="dxa"/>
            <w:shd w:val="clear" w:color="auto" w:fill="auto"/>
            <w:vAlign w:val="center"/>
          </w:tcPr>
          <w:p w14:paraId="0C5755FF" w14:textId="77777777" w:rsidR="00737EB2" w:rsidRPr="00765F6E" w:rsidRDefault="00737EB2" w:rsidP="00871D47">
            <w:pPr>
              <w:pStyle w:val="afffffffff9"/>
            </w:pPr>
            <w:r w:rsidRPr="00765F6E">
              <w:rPr>
                <w:rFonts w:hAnsi="宋体" w:hint="eastAsia"/>
                <w:szCs w:val="18"/>
              </w:rPr>
              <w:t>≤3850</w:t>
            </w:r>
          </w:p>
        </w:tc>
        <w:tc>
          <w:tcPr>
            <w:tcW w:w="1037" w:type="dxa"/>
            <w:shd w:val="clear" w:color="auto" w:fill="auto"/>
            <w:vAlign w:val="center"/>
          </w:tcPr>
          <w:p w14:paraId="0D8AD35C" w14:textId="77777777" w:rsidR="00737EB2" w:rsidRPr="00765F6E" w:rsidRDefault="00737EB2" w:rsidP="00871D47">
            <w:pPr>
              <w:pStyle w:val="afffffffff9"/>
            </w:pPr>
            <w:r w:rsidRPr="00765F6E">
              <w:rPr>
                <w:rFonts w:hAnsi="宋体" w:hint="eastAsia"/>
                <w:szCs w:val="18"/>
              </w:rPr>
              <w:t>≤4450</w:t>
            </w:r>
          </w:p>
        </w:tc>
        <w:tc>
          <w:tcPr>
            <w:tcW w:w="1037" w:type="dxa"/>
            <w:shd w:val="clear" w:color="auto" w:fill="auto"/>
            <w:vAlign w:val="center"/>
          </w:tcPr>
          <w:p w14:paraId="21DB1AFC" w14:textId="77777777" w:rsidR="00737EB2" w:rsidRPr="00765F6E" w:rsidRDefault="00737EB2" w:rsidP="00871D47">
            <w:pPr>
              <w:pStyle w:val="afffffffff9"/>
            </w:pPr>
            <w:r w:rsidRPr="00765F6E">
              <w:rPr>
                <w:rFonts w:hAnsi="宋体" w:hint="eastAsia"/>
                <w:szCs w:val="18"/>
              </w:rPr>
              <w:t>≤3850</w:t>
            </w:r>
          </w:p>
        </w:tc>
        <w:tc>
          <w:tcPr>
            <w:tcW w:w="1038" w:type="dxa"/>
            <w:shd w:val="clear" w:color="auto" w:fill="auto"/>
            <w:vAlign w:val="center"/>
          </w:tcPr>
          <w:p w14:paraId="6DA6EF9D" w14:textId="77777777" w:rsidR="00737EB2" w:rsidRPr="00765F6E" w:rsidRDefault="00737EB2" w:rsidP="00871D47">
            <w:pPr>
              <w:pStyle w:val="afffffffff9"/>
            </w:pPr>
            <w:r w:rsidRPr="00765F6E">
              <w:rPr>
                <w:rFonts w:hAnsi="宋体" w:hint="eastAsia"/>
                <w:szCs w:val="18"/>
              </w:rPr>
              <w:t>≤4640</w:t>
            </w:r>
          </w:p>
        </w:tc>
        <w:tc>
          <w:tcPr>
            <w:tcW w:w="1038" w:type="dxa"/>
            <w:shd w:val="clear" w:color="auto" w:fill="auto"/>
            <w:vAlign w:val="center"/>
          </w:tcPr>
          <w:p w14:paraId="38435179" w14:textId="77777777" w:rsidR="00737EB2" w:rsidRPr="00765F6E" w:rsidRDefault="00737EB2" w:rsidP="00871D47">
            <w:pPr>
              <w:pStyle w:val="afffffffff9"/>
            </w:pPr>
            <w:r w:rsidRPr="00765F6E">
              <w:rPr>
                <w:rFonts w:hAnsi="宋体" w:hint="eastAsia"/>
                <w:szCs w:val="18"/>
              </w:rPr>
              <w:t>≤4640</w:t>
            </w:r>
          </w:p>
        </w:tc>
      </w:tr>
      <w:tr w:rsidR="00737EB2" w:rsidRPr="00765F6E" w14:paraId="32F6662A" w14:textId="77777777" w:rsidTr="00871D47">
        <w:trPr>
          <w:trHeight w:val="176"/>
          <w:jc w:val="center"/>
        </w:trPr>
        <w:tc>
          <w:tcPr>
            <w:tcW w:w="1036" w:type="dxa"/>
            <w:shd w:val="clear" w:color="auto" w:fill="auto"/>
            <w:vAlign w:val="center"/>
          </w:tcPr>
          <w:p w14:paraId="5AAFCA4D" w14:textId="77777777" w:rsidR="00737EB2" w:rsidRPr="00765F6E" w:rsidRDefault="00737EB2" w:rsidP="00871D47">
            <w:pPr>
              <w:pStyle w:val="afffffffff9"/>
            </w:pPr>
            <w:r w:rsidRPr="00765F6E">
              <w:rPr>
                <w:rFonts w:hint="eastAsia"/>
              </w:rPr>
              <w:t>6</w:t>
            </w:r>
          </w:p>
        </w:tc>
        <w:tc>
          <w:tcPr>
            <w:tcW w:w="2074" w:type="dxa"/>
            <w:gridSpan w:val="2"/>
            <w:shd w:val="clear" w:color="auto" w:fill="auto"/>
            <w:vAlign w:val="center"/>
          </w:tcPr>
          <w:p w14:paraId="24F0D2DA" w14:textId="77777777" w:rsidR="00737EB2" w:rsidRPr="00765F6E" w:rsidRDefault="00737EB2" w:rsidP="00871D47">
            <w:pPr>
              <w:pStyle w:val="afffffffff9"/>
            </w:pPr>
            <w:r w:rsidRPr="00765F6E">
              <w:rPr>
                <w:rFonts w:hint="eastAsia"/>
              </w:rPr>
              <w:t>车内净高/m</w:t>
            </w:r>
            <w:r w:rsidRPr="00765F6E">
              <w:t>m</w:t>
            </w:r>
          </w:p>
        </w:tc>
        <w:tc>
          <w:tcPr>
            <w:tcW w:w="6224" w:type="dxa"/>
            <w:gridSpan w:val="6"/>
            <w:shd w:val="clear" w:color="auto" w:fill="auto"/>
            <w:vAlign w:val="center"/>
          </w:tcPr>
          <w:p w14:paraId="45D5B7BB" w14:textId="77777777" w:rsidR="00737EB2" w:rsidRPr="00765F6E" w:rsidRDefault="00737EB2" w:rsidP="00871D47">
            <w:pPr>
              <w:pStyle w:val="afffffffff9"/>
            </w:pPr>
            <w:r w:rsidRPr="00765F6E">
              <w:rPr>
                <w:rFonts w:hAnsi="宋体" w:hint="eastAsia"/>
                <w:szCs w:val="18"/>
              </w:rPr>
              <w:t>≥2100</w:t>
            </w:r>
          </w:p>
        </w:tc>
      </w:tr>
      <w:tr w:rsidR="00737EB2" w:rsidRPr="00765F6E" w14:paraId="38776609" w14:textId="77777777" w:rsidTr="00871D47">
        <w:trPr>
          <w:trHeight w:val="176"/>
          <w:jc w:val="center"/>
        </w:trPr>
        <w:tc>
          <w:tcPr>
            <w:tcW w:w="1036" w:type="dxa"/>
            <w:shd w:val="clear" w:color="auto" w:fill="auto"/>
            <w:vAlign w:val="center"/>
          </w:tcPr>
          <w:p w14:paraId="31BA1BF2" w14:textId="77777777" w:rsidR="00737EB2" w:rsidRPr="00765F6E" w:rsidRDefault="00737EB2" w:rsidP="00871D47">
            <w:pPr>
              <w:pStyle w:val="afffffffff9"/>
            </w:pPr>
            <w:r w:rsidRPr="00765F6E">
              <w:rPr>
                <w:rFonts w:hint="eastAsia"/>
              </w:rPr>
              <w:t>7</w:t>
            </w:r>
          </w:p>
        </w:tc>
        <w:tc>
          <w:tcPr>
            <w:tcW w:w="2074" w:type="dxa"/>
            <w:gridSpan w:val="2"/>
            <w:shd w:val="clear" w:color="auto" w:fill="auto"/>
            <w:vAlign w:val="center"/>
          </w:tcPr>
          <w:p w14:paraId="4BCEDFB7" w14:textId="77777777" w:rsidR="00737EB2" w:rsidRPr="00765F6E" w:rsidRDefault="00737EB2" w:rsidP="00871D47">
            <w:pPr>
              <w:pStyle w:val="afffffffff9"/>
            </w:pPr>
            <w:r w:rsidRPr="00765F6E">
              <w:rPr>
                <w:rFonts w:hint="eastAsia"/>
              </w:rPr>
              <w:t>地板面高/m</w:t>
            </w:r>
            <w:r w:rsidRPr="00765F6E">
              <w:t>m</w:t>
            </w:r>
          </w:p>
        </w:tc>
        <w:tc>
          <w:tcPr>
            <w:tcW w:w="2074" w:type="dxa"/>
            <w:gridSpan w:val="2"/>
            <w:shd w:val="clear" w:color="auto" w:fill="auto"/>
            <w:vAlign w:val="center"/>
          </w:tcPr>
          <w:p w14:paraId="5A695049" w14:textId="77777777" w:rsidR="00737EB2" w:rsidRPr="00765F6E" w:rsidRDefault="00737EB2" w:rsidP="00871D47">
            <w:pPr>
              <w:pStyle w:val="afffffffff9"/>
            </w:pPr>
            <w:r w:rsidRPr="00765F6E">
              <w:rPr>
                <w:rFonts w:hint="eastAsia"/>
              </w:rPr>
              <w:t>1130</w:t>
            </w:r>
          </w:p>
        </w:tc>
        <w:tc>
          <w:tcPr>
            <w:tcW w:w="2074" w:type="dxa"/>
            <w:gridSpan w:val="2"/>
            <w:shd w:val="clear" w:color="auto" w:fill="auto"/>
            <w:vAlign w:val="center"/>
          </w:tcPr>
          <w:p w14:paraId="1539F470" w14:textId="77777777" w:rsidR="00737EB2" w:rsidRPr="00765F6E" w:rsidRDefault="00737EB2" w:rsidP="00871D47">
            <w:pPr>
              <w:pStyle w:val="afffffffff9"/>
            </w:pPr>
            <w:r w:rsidRPr="00765F6E">
              <w:rPr>
                <w:rFonts w:hint="eastAsia"/>
              </w:rPr>
              <w:t>1100</w:t>
            </w:r>
          </w:p>
        </w:tc>
        <w:tc>
          <w:tcPr>
            <w:tcW w:w="1038" w:type="dxa"/>
            <w:shd w:val="clear" w:color="auto" w:fill="auto"/>
            <w:vAlign w:val="center"/>
          </w:tcPr>
          <w:p w14:paraId="6B632016" w14:textId="77777777" w:rsidR="00737EB2" w:rsidRPr="00765F6E" w:rsidRDefault="00737EB2" w:rsidP="00871D47">
            <w:pPr>
              <w:pStyle w:val="afffffffff9"/>
            </w:pPr>
            <w:r w:rsidRPr="00765F6E">
              <w:rPr>
                <w:rFonts w:hint="eastAsia"/>
              </w:rPr>
              <w:t>1280</w:t>
            </w:r>
          </w:p>
        </w:tc>
        <w:tc>
          <w:tcPr>
            <w:tcW w:w="1038" w:type="dxa"/>
            <w:shd w:val="clear" w:color="auto" w:fill="auto"/>
            <w:vAlign w:val="center"/>
          </w:tcPr>
          <w:p w14:paraId="54D2DD0F" w14:textId="77777777" w:rsidR="00737EB2" w:rsidRPr="00765F6E" w:rsidRDefault="00737EB2" w:rsidP="00871D47">
            <w:pPr>
              <w:pStyle w:val="afffffffff9"/>
            </w:pPr>
            <w:r w:rsidRPr="00765F6E">
              <w:rPr>
                <w:rFonts w:hint="eastAsia"/>
              </w:rPr>
              <w:t>1280</w:t>
            </w:r>
          </w:p>
        </w:tc>
      </w:tr>
      <w:tr w:rsidR="00737EB2" w:rsidRPr="00765F6E" w14:paraId="7B1FD9A1" w14:textId="77777777" w:rsidTr="00871D47">
        <w:trPr>
          <w:trHeight w:val="176"/>
          <w:jc w:val="center"/>
        </w:trPr>
        <w:tc>
          <w:tcPr>
            <w:tcW w:w="1036" w:type="dxa"/>
            <w:shd w:val="clear" w:color="auto" w:fill="auto"/>
            <w:vAlign w:val="center"/>
          </w:tcPr>
          <w:p w14:paraId="57923C16" w14:textId="77777777" w:rsidR="00737EB2" w:rsidRPr="00765F6E" w:rsidRDefault="00737EB2" w:rsidP="00871D47">
            <w:pPr>
              <w:pStyle w:val="afffffffff9"/>
            </w:pPr>
            <w:r w:rsidRPr="00765F6E">
              <w:rPr>
                <w:rFonts w:hint="eastAsia"/>
              </w:rPr>
              <w:t>8</w:t>
            </w:r>
          </w:p>
        </w:tc>
        <w:tc>
          <w:tcPr>
            <w:tcW w:w="2074" w:type="dxa"/>
            <w:gridSpan w:val="2"/>
            <w:shd w:val="clear" w:color="auto" w:fill="auto"/>
            <w:vAlign w:val="center"/>
          </w:tcPr>
          <w:p w14:paraId="20180983" w14:textId="77777777" w:rsidR="00737EB2" w:rsidRPr="00765F6E" w:rsidRDefault="00737EB2" w:rsidP="00871D47">
            <w:pPr>
              <w:pStyle w:val="afffffffff9"/>
            </w:pPr>
            <w:r w:rsidRPr="00765F6E">
              <w:rPr>
                <w:rFonts w:hint="eastAsia"/>
              </w:rPr>
              <w:t>每侧车门数对</w:t>
            </w:r>
          </w:p>
        </w:tc>
        <w:tc>
          <w:tcPr>
            <w:tcW w:w="2074" w:type="dxa"/>
            <w:gridSpan w:val="2"/>
            <w:shd w:val="clear" w:color="auto" w:fill="auto"/>
            <w:vAlign w:val="center"/>
          </w:tcPr>
          <w:p w14:paraId="5531A12F" w14:textId="77777777" w:rsidR="00737EB2" w:rsidRPr="00765F6E" w:rsidRDefault="00737EB2" w:rsidP="00871D47">
            <w:pPr>
              <w:pStyle w:val="afffffffff9"/>
            </w:pPr>
            <w:r w:rsidRPr="00765F6E">
              <w:rPr>
                <w:rFonts w:hAnsi="宋体" w:cs="宋体" w:hint="eastAsia"/>
                <w:szCs w:val="18"/>
              </w:rPr>
              <w:t>2～5</w:t>
            </w:r>
          </w:p>
        </w:tc>
        <w:tc>
          <w:tcPr>
            <w:tcW w:w="2074" w:type="dxa"/>
            <w:gridSpan w:val="2"/>
            <w:shd w:val="clear" w:color="auto" w:fill="auto"/>
            <w:vAlign w:val="center"/>
          </w:tcPr>
          <w:p w14:paraId="6C01638F" w14:textId="77777777" w:rsidR="00737EB2" w:rsidRPr="00765F6E" w:rsidRDefault="00737EB2" w:rsidP="00871D47">
            <w:pPr>
              <w:pStyle w:val="afffffffff9"/>
            </w:pPr>
            <w:r w:rsidRPr="00765F6E">
              <w:rPr>
                <w:rFonts w:hAnsi="宋体" w:cs="宋体" w:hint="eastAsia"/>
                <w:szCs w:val="18"/>
              </w:rPr>
              <w:t>2～</w:t>
            </w:r>
            <w:r w:rsidRPr="00765F6E">
              <w:rPr>
                <w:rFonts w:hAnsi="宋体" w:cs="宋体"/>
                <w:szCs w:val="18"/>
              </w:rPr>
              <w:t>4</w:t>
            </w:r>
          </w:p>
        </w:tc>
        <w:tc>
          <w:tcPr>
            <w:tcW w:w="1038" w:type="dxa"/>
            <w:shd w:val="clear" w:color="auto" w:fill="auto"/>
            <w:vAlign w:val="center"/>
          </w:tcPr>
          <w:p w14:paraId="0C555CD7" w14:textId="77777777" w:rsidR="00737EB2" w:rsidRPr="00765F6E" w:rsidRDefault="00737EB2" w:rsidP="00871D47">
            <w:pPr>
              <w:pStyle w:val="afffffffff9"/>
            </w:pPr>
            <w:r w:rsidRPr="00765F6E">
              <w:rPr>
                <w:rFonts w:hAnsi="宋体" w:cs="宋体" w:hint="eastAsia"/>
                <w:szCs w:val="18"/>
              </w:rPr>
              <w:t>2～</w:t>
            </w:r>
            <w:r w:rsidRPr="00765F6E">
              <w:rPr>
                <w:rFonts w:hAnsi="宋体" w:cs="宋体"/>
                <w:szCs w:val="18"/>
              </w:rPr>
              <w:t>4</w:t>
            </w:r>
          </w:p>
        </w:tc>
        <w:tc>
          <w:tcPr>
            <w:tcW w:w="1038" w:type="dxa"/>
            <w:shd w:val="clear" w:color="auto" w:fill="auto"/>
            <w:vAlign w:val="center"/>
          </w:tcPr>
          <w:p w14:paraId="41D74932" w14:textId="77777777" w:rsidR="00737EB2" w:rsidRPr="00765F6E" w:rsidRDefault="00737EB2" w:rsidP="00871D47">
            <w:pPr>
              <w:pStyle w:val="afffffffff9"/>
            </w:pPr>
            <w:r w:rsidRPr="00765F6E">
              <w:rPr>
                <w:rFonts w:hAnsi="宋体" w:cs="宋体" w:hint="eastAsia"/>
                <w:szCs w:val="18"/>
              </w:rPr>
              <w:t>2～</w:t>
            </w:r>
            <w:r w:rsidRPr="00765F6E">
              <w:rPr>
                <w:rFonts w:hAnsi="宋体" w:cs="宋体"/>
                <w:szCs w:val="18"/>
              </w:rPr>
              <w:t>4</w:t>
            </w:r>
          </w:p>
        </w:tc>
      </w:tr>
      <w:tr w:rsidR="00737EB2" w:rsidRPr="00765F6E" w14:paraId="08EB3A9A" w14:textId="77777777" w:rsidTr="00871D47">
        <w:trPr>
          <w:trHeight w:val="176"/>
          <w:jc w:val="center"/>
        </w:trPr>
        <w:tc>
          <w:tcPr>
            <w:tcW w:w="1036" w:type="dxa"/>
            <w:shd w:val="clear" w:color="auto" w:fill="auto"/>
            <w:vAlign w:val="center"/>
          </w:tcPr>
          <w:p w14:paraId="0FECE6DC" w14:textId="77777777" w:rsidR="00737EB2" w:rsidRPr="00765F6E" w:rsidRDefault="00737EB2" w:rsidP="00871D47">
            <w:pPr>
              <w:pStyle w:val="afffffffff9"/>
            </w:pPr>
            <w:r w:rsidRPr="00765F6E">
              <w:rPr>
                <w:rFonts w:hint="eastAsia"/>
              </w:rPr>
              <w:t>9</w:t>
            </w:r>
          </w:p>
        </w:tc>
        <w:tc>
          <w:tcPr>
            <w:tcW w:w="2074" w:type="dxa"/>
            <w:gridSpan w:val="2"/>
            <w:shd w:val="clear" w:color="auto" w:fill="auto"/>
            <w:vAlign w:val="center"/>
          </w:tcPr>
          <w:p w14:paraId="0E6132A8" w14:textId="77777777" w:rsidR="00737EB2" w:rsidRPr="00765F6E" w:rsidRDefault="00737EB2" w:rsidP="00871D47">
            <w:pPr>
              <w:pStyle w:val="afffffffff9"/>
            </w:pPr>
            <w:r w:rsidRPr="00765F6E">
              <w:rPr>
                <w:rFonts w:hint="eastAsia"/>
              </w:rPr>
              <w:t>车门宽度/m</w:t>
            </w:r>
            <w:r w:rsidRPr="00765F6E">
              <w:t>m</w:t>
            </w:r>
          </w:p>
        </w:tc>
        <w:tc>
          <w:tcPr>
            <w:tcW w:w="2074" w:type="dxa"/>
            <w:gridSpan w:val="2"/>
            <w:shd w:val="clear" w:color="auto" w:fill="auto"/>
            <w:vAlign w:val="center"/>
          </w:tcPr>
          <w:p w14:paraId="41E11B5E" w14:textId="77777777" w:rsidR="00737EB2" w:rsidRPr="00765F6E" w:rsidRDefault="00737EB2" w:rsidP="00871D47">
            <w:pPr>
              <w:pStyle w:val="afffffffff9"/>
            </w:pPr>
            <w:r w:rsidRPr="00765F6E">
              <w:rPr>
                <w:rFonts w:hint="eastAsia"/>
              </w:rPr>
              <w:t>1300～1400</w:t>
            </w:r>
          </w:p>
        </w:tc>
        <w:tc>
          <w:tcPr>
            <w:tcW w:w="2074" w:type="dxa"/>
            <w:gridSpan w:val="2"/>
            <w:shd w:val="clear" w:color="auto" w:fill="auto"/>
            <w:vAlign w:val="center"/>
          </w:tcPr>
          <w:p w14:paraId="73E3B1CC" w14:textId="77777777" w:rsidR="00737EB2" w:rsidRPr="00765F6E" w:rsidRDefault="00737EB2" w:rsidP="00871D47">
            <w:pPr>
              <w:pStyle w:val="afffffffff9"/>
            </w:pPr>
            <w:r w:rsidRPr="00765F6E">
              <w:rPr>
                <w:rFonts w:hint="eastAsia"/>
              </w:rPr>
              <w:t>1300～1400</w:t>
            </w:r>
          </w:p>
        </w:tc>
        <w:tc>
          <w:tcPr>
            <w:tcW w:w="1038" w:type="dxa"/>
            <w:shd w:val="clear" w:color="auto" w:fill="auto"/>
            <w:vAlign w:val="center"/>
          </w:tcPr>
          <w:p w14:paraId="0128D859" w14:textId="77777777" w:rsidR="00737EB2" w:rsidRPr="00765F6E" w:rsidRDefault="00737EB2" w:rsidP="00871D47">
            <w:pPr>
              <w:pStyle w:val="afffffffff9"/>
            </w:pPr>
            <w:r w:rsidRPr="00765F6E">
              <w:rPr>
                <w:rFonts w:hint="eastAsia"/>
              </w:rPr>
              <w:t>1300～1400</w:t>
            </w:r>
          </w:p>
        </w:tc>
        <w:tc>
          <w:tcPr>
            <w:tcW w:w="1038" w:type="dxa"/>
            <w:shd w:val="clear" w:color="auto" w:fill="auto"/>
            <w:vAlign w:val="center"/>
          </w:tcPr>
          <w:p w14:paraId="17007DEA" w14:textId="77777777" w:rsidR="00737EB2" w:rsidRPr="00765F6E" w:rsidRDefault="00737EB2" w:rsidP="00871D47">
            <w:pPr>
              <w:pStyle w:val="afffffffff9"/>
            </w:pPr>
            <w:r w:rsidRPr="00765F6E">
              <w:rPr>
                <w:rFonts w:hint="eastAsia"/>
              </w:rPr>
              <w:t>1300～1400</w:t>
            </w:r>
          </w:p>
        </w:tc>
      </w:tr>
      <w:tr w:rsidR="00737EB2" w:rsidRPr="00765F6E" w14:paraId="49E29830" w14:textId="77777777" w:rsidTr="00871D47">
        <w:trPr>
          <w:trHeight w:val="176"/>
          <w:jc w:val="center"/>
        </w:trPr>
        <w:tc>
          <w:tcPr>
            <w:tcW w:w="1036" w:type="dxa"/>
            <w:shd w:val="clear" w:color="auto" w:fill="auto"/>
            <w:vAlign w:val="center"/>
          </w:tcPr>
          <w:p w14:paraId="4333D497" w14:textId="77777777" w:rsidR="00737EB2" w:rsidRPr="00765F6E" w:rsidRDefault="00737EB2" w:rsidP="00871D47">
            <w:pPr>
              <w:pStyle w:val="afffffffff9"/>
            </w:pPr>
            <w:r w:rsidRPr="00765F6E">
              <w:rPr>
                <w:rFonts w:hint="eastAsia"/>
              </w:rPr>
              <w:t>10</w:t>
            </w:r>
          </w:p>
        </w:tc>
        <w:tc>
          <w:tcPr>
            <w:tcW w:w="2074" w:type="dxa"/>
            <w:gridSpan w:val="2"/>
            <w:shd w:val="clear" w:color="auto" w:fill="auto"/>
            <w:vAlign w:val="center"/>
          </w:tcPr>
          <w:p w14:paraId="366F6E40" w14:textId="77777777" w:rsidR="00737EB2" w:rsidRPr="00765F6E" w:rsidRDefault="00737EB2" w:rsidP="00871D47">
            <w:pPr>
              <w:pStyle w:val="afffffffff9"/>
            </w:pPr>
            <w:r w:rsidRPr="00765F6E">
              <w:rPr>
                <w:rFonts w:hint="eastAsia"/>
              </w:rPr>
              <w:t>车辆定距/m</w:t>
            </w:r>
            <w:r w:rsidRPr="00765F6E">
              <w:t>m</w:t>
            </w:r>
          </w:p>
        </w:tc>
        <w:tc>
          <w:tcPr>
            <w:tcW w:w="2074" w:type="dxa"/>
            <w:gridSpan w:val="2"/>
            <w:shd w:val="clear" w:color="auto" w:fill="auto"/>
            <w:vAlign w:val="center"/>
          </w:tcPr>
          <w:p w14:paraId="6BE550AF" w14:textId="77777777" w:rsidR="00737EB2" w:rsidRPr="00765F6E" w:rsidRDefault="00737EB2" w:rsidP="00871D47">
            <w:pPr>
              <w:pStyle w:val="afffffffff9"/>
            </w:pPr>
            <w:r w:rsidRPr="00765F6E">
              <w:rPr>
                <w:rFonts w:hint="eastAsia"/>
              </w:rPr>
              <w:t>15700</w:t>
            </w:r>
          </w:p>
        </w:tc>
        <w:tc>
          <w:tcPr>
            <w:tcW w:w="2074" w:type="dxa"/>
            <w:gridSpan w:val="2"/>
            <w:shd w:val="clear" w:color="auto" w:fill="auto"/>
            <w:vAlign w:val="center"/>
          </w:tcPr>
          <w:p w14:paraId="575535B2" w14:textId="77777777" w:rsidR="00737EB2" w:rsidRPr="00765F6E" w:rsidRDefault="00737EB2" w:rsidP="00871D47">
            <w:pPr>
              <w:pStyle w:val="afffffffff9"/>
            </w:pPr>
            <w:r w:rsidRPr="00765F6E">
              <w:rPr>
                <w:rFonts w:hint="eastAsia"/>
              </w:rPr>
              <w:t>12600</w:t>
            </w:r>
          </w:p>
        </w:tc>
        <w:tc>
          <w:tcPr>
            <w:tcW w:w="1038" w:type="dxa"/>
            <w:shd w:val="clear" w:color="auto" w:fill="auto"/>
            <w:vAlign w:val="center"/>
          </w:tcPr>
          <w:p w14:paraId="7AF9CBB2" w14:textId="77777777" w:rsidR="00737EB2" w:rsidRPr="00765F6E" w:rsidRDefault="00737EB2" w:rsidP="00871D47">
            <w:pPr>
              <w:pStyle w:val="afffffffff9"/>
            </w:pPr>
            <w:r w:rsidRPr="00765F6E">
              <w:rPr>
                <w:rFonts w:hAnsi="宋体" w:cs="宋体"/>
                <w:szCs w:val="18"/>
              </w:rPr>
              <w:t>17</w:t>
            </w:r>
            <w:r w:rsidRPr="00765F6E">
              <w:rPr>
                <w:rFonts w:hAnsi="宋体" w:cs="宋体" w:hint="eastAsia"/>
                <w:w w:val="25"/>
              </w:rPr>
              <w:t xml:space="preserve">　</w:t>
            </w:r>
            <w:r w:rsidRPr="00765F6E">
              <w:rPr>
                <w:rFonts w:hAnsi="宋体" w:cs="宋体"/>
                <w:szCs w:val="18"/>
              </w:rPr>
              <w:t>500</w:t>
            </w:r>
          </w:p>
        </w:tc>
        <w:tc>
          <w:tcPr>
            <w:tcW w:w="1038" w:type="dxa"/>
            <w:shd w:val="clear" w:color="auto" w:fill="auto"/>
            <w:vAlign w:val="center"/>
          </w:tcPr>
          <w:p w14:paraId="5C086A4B" w14:textId="77777777" w:rsidR="00737EB2" w:rsidRPr="00765F6E" w:rsidRDefault="00737EB2" w:rsidP="00871D47">
            <w:pPr>
              <w:pStyle w:val="afffffffff9"/>
            </w:pPr>
            <w:r w:rsidRPr="00765F6E">
              <w:rPr>
                <w:rFonts w:hint="eastAsia"/>
              </w:rPr>
              <w:t>15700</w:t>
            </w:r>
          </w:p>
        </w:tc>
      </w:tr>
      <w:tr w:rsidR="00737EB2" w:rsidRPr="00765F6E" w14:paraId="63086B22" w14:textId="77777777" w:rsidTr="00871D47">
        <w:trPr>
          <w:trHeight w:val="176"/>
          <w:jc w:val="center"/>
        </w:trPr>
        <w:tc>
          <w:tcPr>
            <w:tcW w:w="1036" w:type="dxa"/>
            <w:shd w:val="clear" w:color="auto" w:fill="auto"/>
            <w:vAlign w:val="center"/>
          </w:tcPr>
          <w:p w14:paraId="14F53438" w14:textId="77777777" w:rsidR="00737EB2" w:rsidRPr="00765F6E" w:rsidRDefault="00737EB2" w:rsidP="00871D47">
            <w:pPr>
              <w:pStyle w:val="afffffffff9"/>
            </w:pPr>
            <w:r w:rsidRPr="00765F6E">
              <w:rPr>
                <w:rFonts w:hint="eastAsia"/>
              </w:rPr>
              <w:t>11</w:t>
            </w:r>
          </w:p>
        </w:tc>
        <w:tc>
          <w:tcPr>
            <w:tcW w:w="2074" w:type="dxa"/>
            <w:gridSpan w:val="2"/>
            <w:shd w:val="clear" w:color="auto" w:fill="auto"/>
            <w:vAlign w:val="center"/>
          </w:tcPr>
          <w:p w14:paraId="1DE10676" w14:textId="77777777" w:rsidR="00737EB2" w:rsidRPr="00765F6E" w:rsidRDefault="00737EB2" w:rsidP="00871D47">
            <w:pPr>
              <w:pStyle w:val="afffffffff9"/>
            </w:pPr>
            <w:r w:rsidRPr="00765F6E">
              <w:rPr>
                <w:rFonts w:hint="eastAsia"/>
              </w:rPr>
              <w:t>固定轴距/m</w:t>
            </w:r>
          </w:p>
        </w:tc>
        <w:tc>
          <w:tcPr>
            <w:tcW w:w="2074" w:type="dxa"/>
            <w:gridSpan w:val="2"/>
            <w:shd w:val="clear" w:color="auto" w:fill="auto"/>
            <w:vAlign w:val="center"/>
          </w:tcPr>
          <w:p w14:paraId="5CC1A698" w14:textId="77777777" w:rsidR="00737EB2" w:rsidRPr="00765F6E" w:rsidRDefault="00737EB2" w:rsidP="00871D47">
            <w:pPr>
              <w:pStyle w:val="afffffffff9"/>
            </w:pPr>
            <w:r w:rsidRPr="00765F6E">
              <w:rPr>
                <w:rFonts w:hint="eastAsia"/>
              </w:rPr>
              <w:t>2500</w:t>
            </w:r>
          </w:p>
        </w:tc>
        <w:tc>
          <w:tcPr>
            <w:tcW w:w="2074" w:type="dxa"/>
            <w:gridSpan w:val="2"/>
            <w:shd w:val="clear" w:color="auto" w:fill="auto"/>
            <w:vAlign w:val="center"/>
          </w:tcPr>
          <w:p w14:paraId="0C210B3C" w14:textId="77777777" w:rsidR="00737EB2" w:rsidRPr="00765F6E" w:rsidRDefault="00737EB2" w:rsidP="00871D47">
            <w:pPr>
              <w:pStyle w:val="afffffffff9"/>
            </w:pPr>
            <w:r w:rsidRPr="00765F6E">
              <w:rPr>
                <w:rFonts w:hint="eastAsia"/>
              </w:rPr>
              <w:t>2300</w:t>
            </w:r>
          </w:p>
        </w:tc>
        <w:tc>
          <w:tcPr>
            <w:tcW w:w="1038" w:type="dxa"/>
            <w:shd w:val="clear" w:color="auto" w:fill="auto"/>
            <w:vAlign w:val="center"/>
          </w:tcPr>
          <w:p w14:paraId="6AB8B37E" w14:textId="77777777" w:rsidR="00737EB2" w:rsidRPr="00765F6E" w:rsidRDefault="00737EB2" w:rsidP="00871D47">
            <w:pPr>
              <w:pStyle w:val="afffffffff9"/>
            </w:pPr>
            <w:r w:rsidRPr="00765F6E">
              <w:rPr>
                <w:rFonts w:hint="eastAsia"/>
              </w:rPr>
              <w:t>2500</w:t>
            </w:r>
          </w:p>
        </w:tc>
        <w:tc>
          <w:tcPr>
            <w:tcW w:w="1038" w:type="dxa"/>
            <w:shd w:val="clear" w:color="auto" w:fill="auto"/>
            <w:vAlign w:val="center"/>
          </w:tcPr>
          <w:p w14:paraId="4ACAD98A" w14:textId="77777777" w:rsidR="00737EB2" w:rsidRPr="00765F6E" w:rsidRDefault="00737EB2" w:rsidP="00871D47">
            <w:pPr>
              <w:pStyle w:val="afffffffff9"/>
            </w:pPr>
            <w:r w:rsidRPr="00765F6E">
              <w:rPr>
                <w:rFonts w:hint="eastAsia"/>
              </w:rPr>
              <w:t>2500</w:t>
            </w:r>
          </w:p>
        </w:tc>
      </w:tr>
      <w:tr w:rsidR="00737EB2" w:rsidRPr="00765F6E" w14:paraId="56634F4C" w14:textId="77777777" w:rsidTr="00871D47">
        <w:trPr>
          <w:trHeight w:val="176"/>
          <w:jc w:val="center"/>
        </w:trPr>
        <w:tc>
          <w:tcPr>
            <w:tcW w:w="1036" w:type="dxa"/>
            <w:shd w:val="clear" w:color="auto" w:fill="auto"/>
            <w:vAlign w:val="center"/>
          </w:tcPr>
          <w:p w14:paraId="5502D5AF" w14:textId="77777777" w:rsidR="00737EB2" w:rsidRPr="00765F6E" w:rsidRDefault="00737EB2" w:rsidP="00871D47">
            <w:pPr>
              <w:pStyle w:val="afffffffff9"/>
            </w:pPr>
            <w:r w:rsidRPr="00765F6E">
              <w:rPr>
                <w:rFonts w:hint="eastAsia"/>
              </w:rPr>
              <w:t>12</w:t>
            </w:r>
          </w:p>
        </w:tc>
        <w:tc>
          <w:tcPr>
            <w:tcW w:w="2074" w:type="dxa"/>
            <w:gridSpan w:val="2"/>
            <w:shd w:val="clear" w:color="auto" w:fill="auto"/>
            <w:vAlign w:val="center"/>
          </w:tcPr>
          <w:p w14:paraId="68CC8EB6" w14:textId="77777777" w:rsidR="00737EB2" w:rsidRPr="00765F6E" w:rsidRDefault="00737EB2" w:rsidP="00871D47">
            <w:pPr>
              <w:pStyle w:val="afffffffff9"/>
            </w:pPr>
            <w:r w:rsidRPr="00765F6E">
              <w:rPr>
                <w:rFonts w:hint="eastAsia"/>
              </w:rPr>
              <w:t>车轮直径/m</w:t>
            </w:r>
            <w:r w:rsidRPr="00765F6E">
              <w:t>m</w:t>
            </w:r>
          </w:p>
        </w:tc>
        <w:tc>
          <w:tcPr>
            <w:tcW w:w="2074" w:type="dxa"/>
            <w:gridSpan w:val="2"/>
            <w:shd w:val="clear" w:color="auto" w:fill="auto"/>
            <w:vAlign w:val="center"/>
          </w:tcPr>
          <w:p w14:paraId="0A8BCACA" w14:textId="77777777" w:rsidR="00737EB2" w:rsidRPr="00765F6E" w:rsidRDefault="00737EB2" w:rsidP="00871D47">
            <w:pPr>
              <w:pStyle w:val="afffffffff9"/>
            </w:pPr>
            <w:r w:rsidRPr="00765F6E">
              <w:rPr>
                <w:rFonts w:hAnsi="宋体" w:cs="宋体"/>
                <w:szCs w:val="18"/>
              </w:rPr>
              <w:t>840或860</w:t>
            </w:r>
          </w:p>
        </w:tc>
        <w:tc>
          <w:tcPr>
            <w:tcW w:w="2074" w:type="dxa"/>
            <w:gridSpan w:val="2"/>
            <w:shd w:val="clear" w:color="auto" w:fill="auto"/>
            <w:vAlign w:val="center"/>
          </w:tcPr>
          <w:p w14:paraId="2FEF65B9" w14:textId="77777777" w:rsidR="00737EB2" w:rsidRPr="00765F6E" w:rsidRDefault="00737EB2" w:rsidP="00871D47">
            <w:pPr>
              <w:pStyle w:val="afffffffff9"/>
            </w:pPr>
            <w:r w:rsidRPr="00765F6E">
              <w:rPr>
                <w:rFonts w:hint="eastAsia"/>
              </w:rPr>
              <w:t>840</w:t>
            </w:r>
          </w:p>
        </w:tc>
        <w:tc>
          <w:tcPr>
            <w:tcW w:w="1038" w:type="dxa"/>
            <w:shd w:val="clear" w:color="auto" w:fill="auto"/>
            <w:vAlign w:val="center"/>
          </w:tcPr>
          <w:p w14:paraId="0E1E48D8" w14:textId="77777777" w:rsidR="00737EB2" w:rsidRPr="00765F6E" w:rsidRDefault="00737EB2" w:rsidP="00871D47">
            <w:pPr>
              <w:pStyle w:val="afffffffff9"/>
            </w:pPr>
            <w:r w:rsidRPr="00765F6E">
              <w:rPr>
                <w:rFonts w:hAnsi="宋体" w:cs="宋体"/>
                <w:szCs w:val="18"/>
              </w:rPr>
              <w:t>860</w:t>
            </w:r>
          </w:p>
        </w:tc>
        <w:tc>
          <w:tcPr>
            <w:tcW w:w="1038" w:type="dxa"/>
            <w:shd w:val="clear" w:color="auto" w:fill="auto"/>
            <w:vAlign w:val="center"/>
          </w:tcPr>
          <w:p w14:paraId="3ADD49C1" w14:textId="77777777" w:rsidR="00737EB2" w:rsidRPr="00765F6E" w:rsidRDefault="00737EB2" w:rsidP="00871D47">
            <w:pPr>
              <w:pStyle w:val="afffffffff9"/>
            </w:pPr>
            <w:r w:rsidRPr="00765F6E">
              <w:rPr>
                <w:rFonts w:hint="eastAsia"/>
              </w:rPr>
              <w:t>860</w:t>
            </w:r>
          </w:p>
        </w:tc>
      </w:tr>
      <w:tr w:rsidR="00737EB2" w:rsidRPr="00765F6E" w14:paraId="23C3CCF7" w14:textId="77777777" w:rsidTr="00871D47">
        <w:trPr>
          <w:trHeight w:val="176"/>
          <w:jc w:val="center"/>
        </w:trPr>
        <w:tc>
          <w:tcPr>
            <w:tcW w:w="1036" w:type="dxa"/>
            <w:shd w:val="clear" w:color="auto" w:fill="auto"/>
            <w:vAlign w:val="center"/>
          </w:tcPr>
          <w:p w14:paraId="3AE5FCD0" w14:textId="77777777" w:rsidR="00737EB2" w:rsidRPr="00765F6E" w:rsidRDefault="00737EB2" w:rsidP="00871D47">
            <w:pPr>
              <w:pStyle w:val="afffffffff9"/>
            </w:pPr>
            <w:r w:rsidRPr="00765F6E">
              <w:rPr>
                <w:rFonts w:hint="eastAsia"/>
              </w:rPr>
              <w:t>13</w:t>
            </w:r>
          </w:p>
        </w:tc>
        <w:tc>
          <w:tcPr>
            <w:tcW w:w="2074" w:type="dxa"/>
            <w:gridSpan w:val="2"/>
            <w:shd w:val="clear" w:color="auto" w:fill="auto"/>
            <w:vAlign w:val="center"/>
          </w:tcPr>
          <w:p w14:paraId="2420881D" w14:textId="77777777" w:rsidR="00737EB2" w:rsidRPr="00765F6E" w:rsidRDefault="00737EB2" w:rsidP="00871D47">
            <w:pPr>
              <w:pStyle w:val="afffffffff9"/>
            </w:pPr>
            <w:r w:rsidRPr="00765F6E">
              <w:rPr>
                <w:rFonts w:hint="eastAsia"/>
              </w:rPr>
              <w:t>轴重</w:t>
            </w:r>
            <w:r>
              <w:rPr>
                <w:rFonts w:hint="eastAsia"/>
              </w:rPr>
              <w:t>/</w:t>
            </w:r>
            <w:r w:rsidRPr="00765F6E">
              <w:t>t</w:t>
            </w:r>
          </w:p>
        </w:tc>
        <w:tc>
          <w:tcPr>
            <w:tcW w:w="2074" w:type="dxa"/>
            <w:gridSpan w:val="2"/>
            <w:shd w:val="clear" w:color="auto" w:fill="auto"/>
            <w:vAlign w:val="center"/>
          </w:tcPr>
          <w:p w14:paraId="0F127E21" w14:textId="77777777" w:rsidR="00737EB2" w:rsidRPr="00765F6E" w:rsidRDefault="00737EB2" w:rsidP="00871D47">
            <w:pPr>
              <w:pStyle w:val="afffffffff9"/>
            </w:pPr>
            <w:r w:rsidRPr="00765F6E">
              <w:rPr>
                <w:rFonts w:hAnsi="宋体" w:cs="宋体" w:hint="eastAsia"/>
                <w:szCs w:val="18"/>
              </w:rPr>
              <w:t>≤</w:t>
            </w:r>
            <w:r w:rsidRPr="00765F6E">
              <w:rPr>
                <w:rFonts w:hAnsi="宋体" w:cs="宋体"/>
                <w:szCs w:val="18"/>
              </w:rPr>
              <w:t>17</w:t>
            </w:r>
          </w:p>
        </w:tc>
        <w:tc>
          <w:tcPr>
            <w:tcW w:w="2074" w:type="dxa"/>
            <w:gridSpan w:val="2"/>
            <w:shd w:val="clear" w:color="auto" w:fill="auto"/>
            <w:vAlign w:val="center"/>
          </w:tcPr>
          <w:p w14:paraId="537D774D" w14:textId="77777777" w:rsidR="00737EB2" w:rsidRPr="00765F6E" w:rsidRDefault="00737EB2" w:rsidP="00871D47">
            <w:pPr>
              <w:pStyle w:val="afffffffff9"/>
            </w:pPr>
            <w:r w:rsidRPr="00765F6E">
              <w:rPr>
                <w:rFonts w:hAnsi="宋体" w:cs="宋体" w:hint="eastAsia"/>
                <w:szCs w:val="18"/>
              </w:rPr>
              <w:t>≤</w:t>
            </w:r>
            <w:r w:rsidRPr="00765F6E">
              <w:rPr>
                <w:rFonts w:hAnsi="宋体" w:cs="宋体"/>
                <w:szCs w:val="18"/>
              </w:rPr>
              <w:t>15</w:t>
            </w:r>
          </w:p>
        </w:tc>
        <w:tc>
          <w:tcPr>
            <w:tcW w:w="1038" w:type="dxa"/>
            <w:shd w:val="clear" w:color="auto" w:fill="auto"/>
            <w:vAlign w:val="center"/>
          </w:tcPr>
          <w:p w14:paraId="0F56B179" w14:textId="77777777" w:rsidR="00737EB2" w:rsidRPr="00765F6E" w:rsidRDefault="00737EB2" w:rsidP="00871D47">
            <w:pPr>
              <w:pStyle w:val="afffffffff9"/>
            </w:pPr>
            <w:r w:rsidRPr="00765F6E">
              <w:rPr>
                <w:rFonts w:hint="eastAsia"/>
              </w:rPr>
              <w:t>≤17</w:t>
            </w:r>
          </w:p>
        </w:tc>
        <w:tc>
          <w:tcPr>
            <w:tcW w:w="1038" w:type="dxa"/>
            <w:shd w:val="clear" w:color="auto" w:fill="auto"/>
            <w:vAlign w:val="center"/>
          </w:tcPr>
          <w:p w14:paraId="0BE32309" w14:textId="77777777" w:rsidR="00737EB2" w:rsidRPr="00765F6E" w:rsidRDefault="00737EB2" w:rsidP="00871D47">
            <w:pPr>
              <w:pStyle w:val="afffffffff9"/>
            </w:pPr>
            <w:r w:rsidRPr="00765F6E">
              <w:rPr>
                <w:rFonts w:hAnsi="宋体" w:hint="eastAsia"/>
                <w:szCs w:val="18"/>
              </w:rPr>
              <w:t>≤17</w:t>
            </w:r>
          </w:p>
        </w:tc>
      </w:tr>
      <w:tr w:rsidR="00737EB2" w:rsidRPr="00765F6E" w14:paraId="5AFE8F69" w14:textId="77777777" w:rsidTr="00871D47">
        <w:trPr>
          <w:trHeight w:val="176"/>
          <w:jc w:val="center"/>
        </w:trPr>
        <w:tc>
          <w:tcPr>
            <w:tcW w:w="1036" w:type="dxa"/>
            <w:tcBorders>
              <w:bottom w:val="single" w:sz="8" w:space="0" w:color="auto"/>
            </w:tcBorders>
            <w:shd w:val="clear" w:color="auto" w:fill="auto"/>
            <w:vAlign w:val="center"/>
          </w:tcPr>
          <w:p w14:paraId="299AD827" w14:textId="77777777" w:rsidR="00737EB2" w:rsidRPr="00765F6E" w:rsidRDefault="00737EB2" w:rsidP="00871D47">
            <w:pPr>
              <w:pStyle w:val="afffffffff9"/>
            </w:pPr>
            <w:r w:rsidRPr="00765F6E">
              <w:rPr>
                <w:rFonts w:hint="eastAsia"/>
              </w:rPr>
              <w:t>14</w:t>
            </w:r>
          </w:p>
        </w:tc>
        <w:tc>
          <w:tcPr>
            <w:tcW w:w="2074" w:type="dxa"/>
            <w:gridSpan w:val="2"/>
            <w:tcBorders>
              <w:bottom w:val="single" w:sz="8" w:space="0" w:color="auto"/>
            </w:tcBorders>
            <w:shd w:val="clear" w:color="auto" w:fill="auto"/>
            <w:vAlign w:val="center"/>
          </w:tcPr>
          <w:p w14:paraId="34632164" w14:textId="77777777" w:rsidR="00737EB2" w:rsidRPr="00765F6E" w:rsidRDefault="00737EB2" w:rsidP="00871D47">
            <w:pPr>
              <w:pStyle w:val="afffffffff9"/>
            </w:pPr>
            <w:r w:rsidRPr="00765F6E">
              <w:rPr>
                <w:rFonts w:hint="eastAsia"/>
              </w:rPr>
              <w:t>最高运行速度/（k</w:t>
            </w:r>
            <w:r w:rsidRPr="00765F6E">
              <w:t>m/h</w:t>
            </w:r>
            <w:r w:rsidRPr="00765F6E">
              <w:rPr>
                <w:rFonts w:hint="eastAsia"/>
              </w:rPr>
              <w:t>）</w:t>
            </w:r>
          </w:p>
        </w:tc>
        <w:tc>
          <w:tcPr>
            <w:tcW w:w="1037" w:type="dxa"/>
            <w:tcBorders>
              <w:bottom w:val="single" w:sz="8" w:space="0" w:color="auto"/>
            </w:tcBorders>
            <w:shd w:val="clear" w:color="auto" w:fill="auto"/>
            <w:vAlign w:val="center"/>
          </w:tcPr>
          <w:p w14:paraId="5A04CF45" w14:textId="77777777" w:rsidR="00737EB2" w:rsidRPr="00765F6E" w:rsidRDefault="00737EB2" w:rsidP="00871D47">
            <w:pPr>
              <w:pStyle w:val="afffffffff9"/>
            </w:pPr>
            <w:r w:rsidRPr="00765F6E">
              <w:rPr>
                <w:rFonts w:hint="eastAsia"/>
              </w:rPr>
              <w:t>120～160</w:t>
            </w:r>
          </w:p>
        </w:tc>
        <w:tc>
          <w:tcPr>
            <w:tcW w:w="1037" w:type="dxa"/>
            <w:tcBorders>
              <w:bottom w:val="single" w:sz="8" w:space="0" w:color="auto"/>
            </w:tcBorders>
            <w:shd w:val="clear" w:color="auto" w:fill="auto"/>
            <w:vAlign w:val="center"/>
          </w:tcPr>
          <w:p w14:paraId="05907106" w14:textId="77777777" w:rsidR="00737EB2" w:rsidRPr="00765F6E" w:rsidRDefault="00737EB2" w:rsidP="00871D47">
            <w:pPr>
              <w:pStyle w:val="afffffffff9"/>
            </w:pPr>
            <w:r w:rsidRPr="00765F6E">
              <w:rPr>
                <w:rFonts w:hAnsi="宋体" w:cs="宋体"/>
                <w:szCs w:val="18"/>
              </w:rPr>
              <w:t>120</w:t>
            </w:r>
            <w:r w:rsidRPr="00765F6E">
              <w:rPr>
                <w:rFonts w:hAnsi="宋体" w:cs="宋体" w:hint="eastAsia"/>
                <w:szCs w:val="18"/>
              </w:rPr>
              <w:t>～</w:t>
            </w:r>
            <w:r w:rsidRPr="00765F6E">
              <w:rPr>
                <w:rFonts w:hAnsi="宋体" w:cs="宋体"/>
                <w:szCs w:val="18"/>
              </w:rPr>
              <w:t>140</w:t>
            </w:r>
          </w:p>
        </w:tc>
        <w:tc>
          <w:tcPr>
            <w:tcW w:w="1037" w:type="dxa"/>
            <w:tcBorders>
              <w:bottom w:val="single" w:sz="8" w:space="0" w:color="auto"/>
            </w:tcBorders>
            <w:shd w:val="clear" w:color="auto" w:fill="auto"/>
            <w:vAlign w:val="center"/>
          </w:tcPr>
          <w:p w14:paraId="114C9653" w14:textId="77777777" w:rsidR="00737EB2" w:rsidRPr="00765F6E" w:rsidRDefault="00737EB2" w:rsidP="00871D47">
            <w:pPr>
              <w:pStyle w:val="afffffffff9"/>
            </w:pPr>
            <w:r w:rsidRPr="00765F6E">
              <w:rPr>
                <w:rFonts w:hAnsi="宋体" w:cs="宋体"/>
                <w:szCs w:val="18"/>
              </w:rPr>
              <w:t>1</w:t>
            </w:r>
            <w:r w:rsidRPr="00765F6E">
              <w:rPr>
                <w:rFonts w:hAnsi="宋体" w:cs="宋体" w:hint="eastAsia"/>
                <w:szCs w:val="18"/>
              </w:rPr>
              <w:t>2</w:t>
            </w:r>
            <w:r w:rsidRPr="00765F6E">
              <w:rPr>
                <w:rFonts w:hAnsi="宋体" w:cs="宋体"/>
                <w:szCs w:val="18"/>
              </w:rPr>
              <w:t>0</w:t>
            </w:r>
            <w:r w:rsidRPr="00765F6E">
              <w:rPr>
                <w:rFonts w:hAnsi="宋体" w:cs="宋体" w:hint="eastAsia"/>
                <w:szCs w:val="18"/>
              </w:rPr>
              <w:t>～</w:t>
            </w:r>
            <w:r w:rsidRPr="00765F6E">
              <w:rPr>
                <w:rFonts w:hAnsi="宋体" w:cs="宋体"/>
                <w:szCs w:val="18"/>
              </w:rPr>
              <w:t>160</w:t>
            </w:r>
          </w:p>
        </w:tc>
        <w:tc>
          <w:tcPr>
            <w:tcW w:w="1037" w:type="dxa"/>
            <w:tcBorders>
              <w:bottom w:val="single" w:sz="8" w:space="0" w:color="auto"/>
            </w:tcBorders>
            <w:shd w:val="clear" w:color="auto" w:fill="auto"/>
            <w:vAlign w:val="center"/>
          </w:tcPr>
          <w:p w14:paraId="422FA8E5" w14:textId="77777777" w:rsidR="00737EB2" w:rsidRPr="00765F6E" w:rsidRDefault="00737EB2" w:rsidP="00871D47">
            <w:pPr>
              <w:pStyle w:val="afffffffff9"/>
            </w:pPr>
            <w:r w:rsidRPr="00765F6E">
              <w:rPr>
                <w:rFonts w:hAnsi="宋体" w:cs="宋体"/>
                <w:szCs w:val="18"/>
              </w:rPr>
              <w:t>120</w:t>
            </w:r>
            <w:r w:rsidRPr="00765F6E">
              <w:rPr>
                <w:rFonts w:hAnsi="宋体" w:cs="宋体" w:hint="eastAsia"/>
                <w:szCs w:val="18"/>
              </w:rPr>
              <w:t>～</w:t>
            </w:r>
            <w:r w:rsidRPr="00765F6E">
              <w:rPr>
                <w:rFonts w:hAnsi="宋体" w:cs="宋体"/>
                <w:szCs w:val="18"/>
              </w:rPr>
              <w:t>140</w:t>
            </w:r>
          </w:p>
        </w:tc>
        <w:tc>
          <w:tcPr>
            <w:tcW w:w="1038" w:type="dxa"/>
            <w:tcBorders>
              <w:bottom w:val="single" w:sz="8" w:space="0" w:color="auto"/>
            </w:tcBorders>
            <w:shd w:val="clear" w:color="auto" w:fill="auto"/>
            <w:vAlign w:val="center"/>
          </w:tcPr>
          <w:p w14:paraId="396F429E" w14:textId="77777777" w:rsidR="00737EB2" w:rsidRPr="00765F6E" w:rsidRDefault="00737EB2" w:rsidP="00871D47">
            <w:pPr>
              <w:pStyle w:val="afffffffff9"/>
            </w:pPr>
            <w:r w:rsidRPr="00765F6E">
              <w:rPr>
                <w:rFonts w:hint="eastAsia"/>
              </w:rPr>
              <w:t>120～160</w:t>
            </w:r>
          </w:p>
        </w:tc>
        <w:tc>
          <w:tcPr>
            <w:tcW w:w="1038" w:type="dxa"/>
            <w:tcBorders>
              <w:bottom w:val="single" w:sz="8" w:space="0" w:color="auto"/>
            </w:tcBorders>
            <w:shd w:val="clear" w:color="auto" w:fill="auto"/>
            <w:vAlign w:val="center"/>
          </w:tcPr>
          <w:p w14:paraId="7C5B70AD" w14:textId="77777777" w:rsidR="00737EB2" w:rsidRPr="00765F6E" w:rsidRDefault="00737EB2" w:rsidP="00871D47">
            <w:pPr>
              <w:pStyle w:val="afffffffff9"/>
            </w:pPr>
            <w:r w:rsidRPr="00765F6E">
              <w:rPr>
                <w:rFonts w:hint="eastAsia"/>
              </w:rPr>
              <w:t>120～160</w:t>
            </w:r>
          </w:p>
        </w:tc>
      </w:tr>
      <w:tr w:rsidR="00737EB2" w:rsidRPr="00765F6E" w14:paraId="0875F45C" w14:textId="77777777" w:rsidTr="00871D47">
        <w:trPr>
          <w:trHeight w:val="176"/>
          <w:jc w:val="center"/>
        </w:trPr>
        <w:tc>
          <w:tcPr>
            <w:tcW w:w="9334" w:type="dxa"/>
            <w:gridSpan w:val="9"/>
            <w:tcBorders>
              <w:top w:val="single" w:sz="8" w:space="0" w:color="auto"/>
              <w:bottom w:val="single" w:sz="8" w:space="0" w:color="auto"/>
            </w:tcBorders>
            <w:shd w:val="clear" w:color="auto" w:fill="auto"/>
            <w:vAlign w:val="center"/>
          </w:tcPr>
          <w:p w14:paraId="72D0A501" w14:textId="77777777" w:rsidR="00737EB2" w:rsidRPr="00765F6E" w:rsidRDefault="00737EB2" w:rsidP="00871D47">
            <w:pPr>
              <w:pStyle w:val="a6"/>
              <w:numPr>
                <w:ilvl w:val="0"/>
                <w:numId w:val="0"/>
              </w:numPr>
              <w:ind w:firstLineChars="100" w:firstLine="180"/>
            </w:pPr>
            <w:r w:rsidRPr="00765F6E">
              <w:rPr>
                <w:rFonts w:hint="eastAsia"/>
              </w:rPr>
              <w:t>对于市域</w:t>
            </w:r>
            <w:r w:rsidRPr="00765F6E">
              <w:t>A</w:t>
            </w:r>
            <w:r w:rsidRPr="00765F6E">
              <w:rPr>
                <w:rFonts w:hint="eastAsia"/>
              </w:rPr>
              <w:t>、</w:t>
            </w:r>
            <w:r w:rsidRPr="00765F6E">
              <w:t>B</w:t>
            </w:r>
            <w:r w:rsidRPr="00765F6E">
              <w:rPr>
                <w:rFonts w:hint="eastAsia"/>
              </w:rPr>
              <w:t>型车辆，根据需要可采用鼓形车体，最大宽度分别不宜大于</w:t>
            </w:r>
            <w:r w:rsidRPr="00765F6E">
              <w:t>3100mm</w:t>
            </w:r>
            <w:r w:rsidRPr="00765F6E">
              <w:rPr>
                <w:rFonts w:hint="eastAsia"/>
              </w:rPr>
              <w:t>、</w:t>
            </w:r>
            <w:r w:rsidRPr="00765F6E">
              <w:t>2900mm</w:t>
            </w:r>
            <w:r w:rsidRPr="00765F6E">
              <w:rPr>
                <w:rFonts w:hint="eastAsia"/>
              </w:rPr>
              <w:t>。</w:t>
            </w:r>
          </w:p>
          <w:p w14:paraId="49570CDA" w14:textId="77777777" w:rsidR="00737EB2" w:rsidRPr="00765F6E" w:rsidRDefault="00737EB2" w:rsidP="00871D47">
            <w:pPr>
              <w:pStyle w:val="a6"/>
            </w:pPr>
            <w:r w:rsidRPr="00765F6E">
              <w:rPr>
                <w:rFonts w:hint="eastAsia"/>
              </w:rPr>
              <w:t>Δ</w:t>
            </w:r>
            <w:r w:rsidRPr="00765F6E">
              <w:t>—</w:t>
            </w:r>
            <w:r w:rsidRPr="00765F6E">
              <w:rPr>
                <w:rFonts w:hint="eastAsia"/>
              </w:rPr>
              <w:t>司机室加长量。具有可变编组的场合则可不需要司机室加长量。</w:t>
            </w:r>
          </w:p>
          <w:p w14:paraId="2B94D9D8" w14:textId="77777777" w:rsidR="00737EB2" w:rsidRPr="00765F6E" w:rsidRDefault="00737EB2" w:rsidP="00871D47">
            <w:pPr>
              <w:pStyle w:val="a6"/>
            </w:pPr>
            <w:r w:rsidRPr="00765F6E">
              <w:rPr>
                <w:rFonts w:hint="eastAsia"/>
              </w:rPr>
              <w:t>轴重为超员载荷下最大轴重，定员（AW2）站立面积人数为</w:t>
            </w:r>
            <w:r w:rsidRPr="00765F6E">
              <w:t>4</w:t>
            </w:r>
            <w:r w:rsidRPr="00765F6E">
              <w:rPr>
                <w:rFonts w:hint="eastAsia"/>
              </w:rPr>
              <w:t>人</w:t>
            </w:r>
            <w:r w:rsidRPr="00765F6E">
              <w:t>/m</w:t>
            </w:r>
            <w:r w:rsidRPr="00765F6E">
              <w:rPr>
                <w:vertAlign w:val="superscript"/>
              </w:rPr>
              <w:t>2</w:t>
            </w:r>
            <w:r w:rsidRPr="00765F6E">
              <w:rPr>
                <w:rFonts w:hint="eastAsia"/>
              </w:rPr>
              <w:t>，超员（AW3）站立面积人数为</w:t>
            </w:r>
            <w:r w:rsidRPr="00765F6E">
              <w:t>6</w:t>
            </w:r>
            <w:r w:rsidRPr="00765F6E">
              <w:rPr>
                <w:rFonts w:hint="eastAsia"/>
              </w:rPr>
              <w:t>人</w:t>
            </w:r>
            <w:r w:rsidRPr="00765F6E">
              <w:t>/m</w:t>
            </w:r>
            <w:r w:rsidRPr="00765F6E">
              <w:rPr>
                <w:vertAlign w:val="superscript"/>
              </w:rPr>
              <w:t>2</w:t>
            </w:r>
            <w:r w:rsidRPr="00765F6E">
              <w:rPr>
                <w:rFonts w:hint="eastAsia"/>
              </w:rPr>
              <w:t>。</w:t>
            </w:r>
          </w:p>
        </w:tc>
      </w:tr>
    </w:tbl>
    <w:p w14:paraId="302C2C70" w14:textId="77777777" w:rsidR="00737EB2" w:rsidRPr="00765F6E" w:rsidRDefault="00737EB2" w:rsidP="00737EB2">
      <w:pPr>
        <w:spacing w:line="240" w:lineRule="auto"/>
      </w:pPr>
    </w:p>
    <w:p w14:paraId="29B19550" w14:textId="77777777" w:rsidR="00737EB2" w:rsidRPr="00B149D5" w:rsidRDefault="00737EB2" w:rsidP="009D0776">
      <w:pPr>
        <w:pStyle w:val="22"/>
      </w:pPr>
      <w:bookmarkStart w:id="379" w:name="_Toc153290969"/>
      <w:bookmarkStart w:id="380" w:name="_Toc99791530"/>
      <w:r w:rsidRPr="00B149D5">
        <w:rPr>
          <w:rFonts w:hint="eastAsia"/>
        </w:rPr>
        <w:t>列车气密性可分为密封性能较好、非密封性等级，指标应按表2的规定执行。</w:t>
      </w:r>
      <w:bookmarkEnd w:id="379"/>
      <w:bookmarkEnd w:id="380"/>
    </w:p>
    <w:p w14:paraId="1CB9E2A0" w14:textId="77777777" w:rsidR="00737EB2" w:rsidRPr="00765F6E" w:rsidRDefault="00737EB2" w:rsidP="00737EB2">
      <w:pPr>
        <w:pStyle w:val="aff3"/>
        <w:spacing w:before="156" w:after="156"/>
      </w:pPr>
      <w:r w:rsidRPr="00765F6E">
        <w:rPr>
          <w:rFonts w:hint="eastAsia"/>
        </w:rPr>
        <w:t>车辆气密性指标要求</w:t>
      </w:r>
    </w:p>
    <w:tbl>
      <w:tblPr>
        <w:tblW w:w="9323"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881"/>
        <w:gridCol w:w="1457"/>
        <w:gridCol w:w="6985"/>
      </w:tblGrid>
      <w:tr w:rsidR="00737EB2" w:rsidRPr="00765F6E" w14:paraId="24D6B67F" w14:textId="77777777" w:rsidTr="00453DBE">
        <w:trPr>
          <w:trHeight w:val="205"/>
          <w:tblHeader/>
        </w:trPr>
        <w:tc>
          <w:tcPr>
            <w:tcW w:w="881" w:type="dxa"/>
            <w:tcBorders>
              <w:top w:val="single" w:sz="8" w:space="0" w:color="auto"/>
              <w:bottom w:val="single" w:sz="8" w:space="0" w:color="auto"/>
            </w:tcBorders>
            <w:shd w:val="clear" w:color="auto" w:fill="auto"/>
            <w:vAlign w:val="center"/>
          </w:tcPr>
          <w:p w14:paraId="2237CF52" w14:textId="77777777" w:rsidR="00737EB2" w:rsidRPr="00765F6E" w:rsidRDefault="00737EB2" w:rsidP="001136F1">
            <w:pPr>
              <w:pStyle w:val="afffffffff9"/>
            </w:pPr>
            <w:r w:rsidRPr="00765F6E">
              <w:rPr>
                <w:rFonts w:hint="eastAsia"/>
              </w:rPr>
              <w:t>等级</w:t>
            </w:r>
          </w:p>
        </w:tc>
        <w:tc>
          <w:tcPr>
            <w:tcW w:w="1457" w:type="dxa"/>
            <w:tcBorders>
              <w:top w:val="single" w:sz="8" w:space="0" w:color="auto"/>
              <w:bottom w:val="single" w:sz="8" w:space="0" w:color="auto"/>
            </w:tcBorders>
            <w:shd w:val="clear" w:color="auto" w:fill="auto"/>
            <w:vAlign w:val="center"/>
          </w:tcPr>
          <w:p w14:paraId="5219434C" w14:textId="77777777" w:rsidR="00737EB2" w:rsidRPr="00765F6E" w:rsidRDefault="00737EB2" w:rsidP="001136F1">
            <w:pPr>
              <w:pStyle w:val="afffffffff9"/>
            </w:pPr>
            <w:r w:rsidRPr="00765F6E">
              <w:rPr>
                <w:rFonts w:hint="eastAsia"/>
              </w:rPr>
              <w:t>动态密封指数τ</w:t>
            </w:r>
          </w:p>
        </w:tc>
        <w:tc>
          <w:tcPr>
            <w:tcW w:w="6985" w:type="dxa"/>
            <w:tcBorders>
              <w:top w:val="single" w:sz="8" w:space="0" w:color="auto"/>
              <w:bottom w:val="single" w:sz="8" w:space="0" w:color="auto"/>
            </w:tcBorders>
            <w:shd w:val="clear" w:color="auto" w:fill="auto"/>
            <w:vAlign w:val="center"/>
          </w:tcPr>
          <w:p w14:paraId="2E379187" w14:textId="77777777" w:rsidR="00737EB2" w:rsidRPr="00765F6E" w:rsidRDefault="00737EB2" w:rsidP="001136F1">
            <w:pPr>
              <w:pStyle w:val="afffffffff9"/>
            </w:pPr>
            <w:r w:rsidRPr="00765F6E">
              <w:rPr>
                <w:rFonts w:hint="eastAsia"/>
              </w:rPr>
              <w:t>静态密封性能</w:t>
            </w:r>
          </w:p>
        </w:tc>
      </w:tr>
      <w:tr w:rsidR="00737EB2" w:rsidRPr="00765F6E" w14:paraId="096AA61F" w14:textId="77777777" w:rsidTr="00453DBE">
        <w:trPr>
          <w:trHeight w:val="205"/>
        </w:trPr>
        <w:tc>
          <w:tcPr>
            <w:tcW w:w="881" w:type="dxa"/>
            <w:vMerge w:val="restart"/>
            <w:tcBorders>
              <w:top w:val="single" w:sz="8" w:space="0" w:color="auto"/>
            </w:tcBorders>
            <w:shd w:val="clear" w:color="auto" w:fill="auto"/>
            <w:vAlign w:val="center"/>
          </w:tcPr>
          <w:p w14:paraId="5C23E06E" w14:textId="77777777" w:rsidR="00737EB2" w:rsidRPr="00765F6E" w:rsidRDefault="00737EB2" w:rsidP="001136F1">
            <w:pPr>
              <w:pStyle w:val="afffffffff9"/>
            </w:pPr>
            <w:r w:rsidRPr="00765F6E">
              <w:rPr>
                <w:rFonts w:hint="eastAsia"/>
              </w:rPr>
              <w:t>密封性能较好</w:t>
            </w:r>
          </w:p>
        </w:tc>
        <w:tc>
          <w:tcPr>
            <w:tcW w:w="1457" w:type="dxa"/>
            <w:tcBorders>
              <w:top w:val="single" w:sz="8" w:space="0" w:color="auto"/>
            </w:tcBorders>
            <w:shd w:val="clear" w:color="auto" w:fill="auto"/>
            <w:vAlign w:val="center"/>
          </w:tcPr>
          <w:p w14:paraId="6765C1F0" w14:textId="77777777" w:rsidR="00737EB2" w:rsidRPr="00765F6E" w:rsidRDefault="00737EB2" w:rsidP="001136F1">
            <w:pPr>
              <w:pStyle w:val="afffffffff9"/>
            </w:pPr>
            <w:r w:rsidRPr="00765F6E">
              <w:rPr>
                <w:rFonts w:hint="eastAsia"/>
              </w:rPr>
              <w:t>τ＞6s</w:t>
            </w:r>
          </w:p>
        </w:tc>
        <w:tc>
          <w:tcPr>
            <w:tcW w:w="6985" w:type="dxa"/>
            <w:tcBorders>
              <w:top w:val="single" w:sz="8" w:space="0" w:color="auto"/>
            </w:tcBorders>
            <w:shd w:val="clear" w:color="auto" w:fill="auto"/>
            <w:vAlign w:val="center"/>
          </w:tcPr>
          <w:p w14:paraId="45CDF632" w14:textId="77777777" w:rsidR="00737EB2" w:rsidRPr="00765F6E" w:rsidRDefault="00737EB2" w:rsidP="001136F1">
            <w:pPr>
              <w:pStyle w:val="afffffffff9"/>
            </w:pPr>
            <w:r w:rsidRPr="00765F6E">
              <w:rPr>
                <w:rFonts w:hint="eastAsia"/>
              </w:rPr>
              <w:t>160km/h等级车辆，在整备状态下，单节车车辆关闭门窗及空调设备的对外开口时，车厢内空气压力由2600Pa降至1000Pa的时间应不小于18s</w:t>
            </w:r>
          </w:p>
        </w:tc>
      </w:tr>
      <w:tr w:rsidR="00737EB2" w:rsidRPr="00765F6E" w14:paraId="1B1AF24A" w14:textId="77777777" w:rsidTr="00453DBE">
        <w:trPr>
          <w:trHeight w:val="205"/>
        </w:trPr>
        <w:tc>
          <w:tcPr>
            <w:tcW w:w="881" w:type="dxa"/>
            <w:vMerge/>
            <w:shd w:val="clear" w:color="auto" w:fill="auto"/>
            <w:vAlign w:val="center"/>
          </w:tcPr>
          <w:p w14:paraId="5B73B173" w14:textId="77777777" w:rsidR="00737EB2" w:rsidRPr="00765F6E" w:rsidRDefault="00737EB2" w:rsidP="001136F1">
            <w:pPr>
              <w:pStyle w:val="afffffffff9"/>
            </w:pPr>
          </w:p>
        </w:tc>
        <w:tc>
          <w:tcPr>
            <w:tcW w:w="1457" w:type="dxa"/>
            <w:shd w:val="clear" w:color="auto" w:fill="auto"/>
            <w:vAlign w:val="center"/>
          </w:tcPr>
          <w:p w14:paraId="006B7FD8" w14:textId="77777777" w:rsidR="00737EB2" w:rsidRPr="00765F6E" w:rsidRDefault="00737EB2" w:rsidP="001136F1">
            <w:pPr>
              <w:pStyle w:val="afffffffff9"/>
            </w:pPr>
            <w:r w:rsidRPr="00765F6E">
              <w:rPr>
                <w:rFonts w:hint="eastAsia"/>
              </w:rPr>
              <w:t>τ＞5s</w:t>
            </w:r>
          </w:p>
        </w:tc>
        <w:tc>
          <w:tcPr>
            <w:tcW w:w="6985" w:type="dxa"/>
            <w:shd w:val="clear" w:color="auto" w:fill="auto"/>
            <w:vAlign w:val="center"/>
          </w:tcPr>
          <w:p w14:paraId="371426A2" w14:textId="77777777" w:rsidR="00737EB2" w:rsidRPr="00765F6E" w:rsidRDefault="00737EB2" w:rsidP="001136F1">
            <w:pPr>
              <w:pStyle w:val="afffffffff9"/>
            </w:pPr>
            <w:r w:rsidRPr="00765F6E">
              <w:rPr>
                <w:rFonts w:hint="eastAsia"/>
              </w:rPr>
              <w:t>120km/h～140km/h等级车辆，在整备状态下，单节车车辆关闭门窗及空调设备的对外开口时，车厢内空气压力由2100Pa降至1000Pa的时间应不小于15s</w:t>
            </w:r>
          </w:p>
        </w:tc>
      </w:tr>
      <w:tr w:rsidR="00737EB2" w:rsidRPr="00765F6E" w14:paraId="14C474AE" w14:textId="77777777" w:rsidTr="00453DBE">
        <w:trPr>
          <w:trHeight w:val="205"/>
        </w:trPr>
        <w:tc>
          <w:tcPr>
            <w:tcW w:w="881" w:type="dxa"/>
            <w:tcBorders>
              <w:bottom w:val="single" w:sz="8" w:space="0" w:color="auto"/>
            </w:tcBorders>
            <w:shd w:val="clear" w:color="auto" w:fill="auto"/>
            <w:vAlign w:val="center"/>
          </w:tcPr>
          <w:p w14:paraId="73CDD33A" w14:textId="77777777" w:rsidR="00737EB2" w:rsidRPr="00765F6E" w:rsidRDefault="00737EB2" w:rsidP="001136F1">
            <w:pPr>
              <w:pStyle w:val="afffffffff9"/>
            </w:pPr>
            <w:r w:rsidRPr="00765F6E">
              <w:rPr>
                <w:rFonts w:hint="eastAsia"/>
              </w:rPr>
              <w:t>非密封性</w:t>
            </w:r>
          </w:p>
        </w:tc>
        <w:tc>
          <w:tcPr>
            <w:tcW w:w="1457" w:type="dxa"/>
            <w:tcBorders>
              <w:bottom w:val="single" w:sz="8" w:space="0" w:color="auto"/>
            </w:tcBorders>
            <w:shd w:val="clear" w:color="auto" w:fill="auto"/>
            <w:vAlign w:val="center"/>
          </w:tcPr>
          <w:p w14:paraId="3A2D49D0" w14:textId="77777777" w:rsidR="00737EB2" w:rsidRPr="00765F6E" w:rsidRDefault="00737EB2" w:rsidP="001136F1">
            <w:pPr>
              <w:pStyle w:val="afffffffff9"/>
            </w:pPr>
            <w:r w:rsidRPr="00765F6E">
              <w:rPr>
                <w:rFonts w:hint="eastAsia"/>
              </w:rPr>
              <w:t>τ＜0.5s</w:t>
            </w:r>
          </w:p>
        </w:tc>
        <w:tc>
          <w:tcPr>
            <w:tcW w:w="6985" w:type="dxa"/>
            <w:tcBorders>
              <w:bottom w:val="single" w:sz="8" w:space="0" w:color="auto"/>
            </w:tcBorders>
            <w:shd w:val="clear" w:color="auto" w:fill="auto"/>
            <w:vAlign w:val="center"/>
          </w:tcPr>
          <w:p w14:paraId="76758035" w14:textId="3F19F656" w:rsidR="00737EB2" w:rsidRPr="00765F6E" w:rsidRDefault="00327039" w:rsidP="001136F1">
            <w:pPr>
              <w:pStyle w:val="afffffffff9"/>
            </w:pPr>
            <w:r>
              <w:rPr>
                <w:rFonts w:hint="eastAsia"/>
              </w:rPr>
              <w:t>—</w:t>
            </w:r>
          </w:p>
        </w:tc>
      </w:tr>
      <w:tr w:rsidR="00737EB2" w:rsidRPr="00765F6E" w14:paraId="20F98BC7" w14:textId="77777777" w:rsidTr="00453DBE">
        <w:trPr>
          <w:trHeight w:val="205"/>
        </w:trPr>
        <w:tc>
          <w:tcPr>
            <w:tcW w:w="9323" w:type="dxa"/>
            <w:gridSpan w:val="3"/>
            <w:tcBorders>
              <w:top w:val="single" w:sz="8" w:space="0" w:color="auto"/>
              <w:bottom w:val="single" w:sz="8" w:space="0" w:color="auto"/>
            </w:tcBorders>
            <w:shd w:val="clear" w:color="auto" w:fill="auto"/>
            <w:vAlign w:val="center"/>
          </w:tcPr>
          <w:p w14:paraId="4FBD01C4" w14:textId="3A86D5FB" w:rsidR="00737EB2" w:rsidRPr="00765F6E" w:rsidRDefault="00737EB2" w:rsidP="001136F1">
            <w:pPr>
              <w:pStyle w:val="a6"/>
              <w:numPr>
                <w:ilvl w:val="0"/>
                <w:numId w:val="0"/>
              </w:numPr>
              <w:ind w:firstLineChars="100" w:firstLine="180"/>
            </w:pPr>
            <w:r w:rsidRPr="00765F6E">
              <w:t>非密封性车辆适用于以地面及高架为主且明线以不超过120km/h速度运行，隧道限速100km/h及以下运行的线路。</w:t>
            </w:r>
          </w:p>
        </w:tc>
      </w:tr>
    </w:tbl>
    <w:p w14:paraId="20742763" w14:textId="77777777" w:rsidR="00737EB2" w:rsidRPr="00765F6E" w:rsidRDefault="00737EB2" w:rsidP="00B149D5">
      <w:pPr>
        <w:pStyle w:val="affffb"/>
        <w:ind w:firstLine="420"/>
        <w:jc w:val="center"/>
      </w:pPr>
    </w:p>
    <w:p w14:paraId="2317CF7E" w14:textId="77777777" w:rsidR="00737EB2" w:rsidRPr="00B149D5" w:rsidRDefault="00737EB2" w:rsidP="009D0776">
      <w:pPr>
        <w:pStyle w:val="22"/>
      </w:pPr>
      <w:bookmarkStart w:id="381" w:name="_Toc153290970"/>
      <w:bookmarkStart w:id="382" w:name="_Toc99791531"/>
      <w:r w:rsidRPr="00B149D5">
        <w:rPr>
          <w:rFonts w:hint="eastAsia"/>
        </w:rPr>
        <w:t>噪声</w:t>
      </w:r>
      <w:bookmarkEnd w:id="381"/>
      <w:bookmarkEnd w:id="382"/>
      <w:r w:rsidRPr="00B149D5">
        <w:rPr>
          <w:rFonts w:hint="eastAsia"/>
        </w:rPr>
        <w:t>符合下列规定：</w:t>
      </w:r>
    </w:p>
    <w:p w14:paraId="637FD609" w14:textId="77777777" w:rsidR="00737EB2" w:rsidRPr="00765F6E" w:rsidRDefault="00737EB2" w:rsidP="003334F3">
      <w:pPr>
        <w:pStyle w:val="af6"/>
        <w:numPr>
          <w:ilvl w:val="0"/>
          <w:numId w:val="338"/>
        </w:numPr>
        <w:snapToGrid w:val="0"/>
        <w:contextualSpacing/>
      </w:pPr>
      <w:r w:rsidRPr="00765F6E">
        <w:rPr>
          <w:rFonts w:hint="eastAsia"/>
        </w:rPr>
        <w:t>列车噪声测试应按ISO</w:t>
      </w:r>
      <w:r>
        <w:t xml:space="preserve"> </w:t>
      </w:r>
      <w:r w:rsidRPr="00765F6E">
        <w:rPr>
          <w:rFonts w:hint="eastAsia"/>
        </w:rPr>
        <w:t>3381和ISO</w:t>
      </w:r>
      <w:r>
        <w:t xml:space="preserve"> </w:t>
      </w:r>
      <w:r w:rsidRPr="00765F6E">
        <w:rPr>
          <w:rFonts w:hint="eastAsia"/>
        </w:rPr>
        <w:t>3095执行</w:t>
      </w:r>
      <w:r>
        <w:rPr>
          <w:rFonts w:hint="eastAsia"/>
        </w:rPr>
        <w:t>；</w:t>
      </w:r>
    </w:p>
    <w:p w14:paraId="3A42F920" w14:textId="670E85CA" w:rsidR="00737EB2" w:rsidRPr="00765F6E" w:rsidRDefault="00737EB2" w:rsidP="00737EB2">
      <w:pPr>
        <w:pStyle w:val="af6"/>
        <w:tabs>
          <w:tab w:val="left" w:pos="851"/>
        </w:tabs>
        <w:snapToGrid w:val="0"/>
        <w:contextualSpacing/>
      </w:pPr>
      <w:r w:rsidRPr="00765F6E">
        <w:rPr>
          <w:rFonts w:hint="eastAsia"/>
        </w:rPr>
        <w:t>列车车内噪声应沿车辆中心线距离地板面1.6m高处进行测量。列车处于静止状态和自由声场内，辅助设备正常运行时，测得客室噪声不应大于67dB（A），司机室噪声不应大于68dB（A）；列车在隧道外以最高运行速度（120±6）km/h～（160±8）km/h的恒定速度运行，客室座椅区中部测得的噪声不应大于75dB（A），司机室噪声不应大于78dB（A）</w:t>
      </w:r>
      <w:r w:rsidR="00BC6344">
        <w:rPr>
          <w:rFonts w:hint="eastAsia"/>
        </w:rPr>
        <w:t>；</w:t>
      </w:r>
    </w:p>
    <w:p w14:paraId="365C2302" w14:textId="27BF6D34" w:rsidR="00737EB2" w:rsidRPr="00765F6E" w:rsidRDefault="00737EB2" w:rsidP="00737EB2">
      <w:pPr>
        <w:pStyle w:val="af6"/>
        <w:tabs>
          <w:tab w:val="left" w:pos="851"/>
        </w:tabs>
        <w:snapToGrid w:val="0"/>
        <w:contextualSpacing/>
      </w:pPr>
      <w:r w:rsidRPr="00765F6E">
        <w:rPr>
          <w:rFonts w:hint="eastAsia"/>
        </w:rPr>
        <w:t>列车车外噪声应沿水平方向距离走行轨线路中心线7.5m、距离轨面1.2m高处进行测量。空载列车在静止状态、在露天地面区段自由声场内，当所有辅助设备同时运行时，在列车任意一侧，在列车长度范围内的任意点测得的噪声不应大于68dB（A）。列车在地面线路道碴轨道上运行，当列车以正常方式加速（0</w:t>
      </w:r>
      <w:r w:rsidR="000553A7">
        <w:rPr>
          <w:rFonts w:hAnsi="宋体" w:cs="宋体" w:hint="eastAsia"/>
          <w:szCs w:val="21"/>
        </w:rPr>
        <w:t>～</w:t>
      </w:r>
      <w:r w:rsidRPr="00765F6E">
        <w:rPr>
          <w:rFonts w:hint="eastAsia"/>
        </w:rPr>
        <w:t>30km/h）、惰行或减速（30</w:t>
      </w:r>
      <w:r w:rsidR="000553A7">
        <w:rPr>
          <w:rFonts w:hAnsi="宋体" w:cs="宋体" w:hint="eastAsia"/>
          <w:szCs w:val="21"/>
        </w:rPr>
        <w:t>～</w:t>
      </w:r>
      <w:r w:rsidRPr="00765F6E">
        <w:rPr>
          <w:rFonts w:hint="eastAsia"/>
        </w:rPr>
        <w:t>0km/h）运行时，在车外测得的噪声</w:t>
      </w:r>
      <w:r w:rsidRPr="00765F6E">
        <w:rPr>
          <w:rFonts w:hint="eastAsia"/>
        </w:rPr>
        <w:lastRenderedPageBreak/>
        <w:t>不应大于82dB（A）</w:t>
      </w:r>
      <w:r w:rsidR="00BC6344">
        <w:rPr>
          <w:rFonts w:hint="eastAsia"/>
        </w:rPr>
        <w:t>；</w:t>
      </w:r>
      <w:r w:rsidRPr="00765F6E">
        <w:rPr>
          <w:rFonts w:hint="eastAsia"/>
        </w:rPr>
        <w:t>列车以不超过其最高运行速度75%±5%的恒定速度运行时，在车外测得的噪声不应大于85dB（A）。</w:t>
      </w:r>
    </w:p>
    <w:p w14:paraId="07B7CA2A" w14:textId="77777777" w:rsidR="00737EB2" w:rsidRPr="00765F6E" w:rsidRDefault="00737EB2" w:rsidP="00737EB2">
      <w:pPr>
        <w:pStyle w:val="affe"/>
        <w:spacing w:before="156" w:after="156"/>
      </w:pPr>
      <w:bookmarkStart w:id="383" w:name="_Toc99791532"/>
      <w:bookmarkStart w:id="384" w:name="_Toc153290971"/>
      <w:bookmarkStart w:id="385" w:name="_Toc153210821"/>
      <w:bookmarkStart w:id="386" w:name="_Toc167895719"/>
      <w:bookmarkStart w:id="387" w:name="_Toc174538633"/>
      <w:bookmarkStart w:id="388" w:name="_Toc182476385"/>
      <w:r w:rsidRPr="00765F6E">
        <w:rPr>
          <w:rFonts w:hint="eastAsia"/>
        </w:rPr>
        <w:t>车辆型式与列车编组</w:t>
      </w:r>
      <w:bookmarkEnd w:id="383"/>
      <w:bookmarkEnd w:id="384"/>
      <w:bookmarkEnd w:id="385"/>
      <w:bookmarkEnd w:id="386"/>
      <w:bookmarkEnd w:id="387"/>
      <w:bookmarkEnd w:id="388"/>
    </w:p>
    <w:p w14:paraId="30D356D8" w14:textId="77777777" w:rsidR="00737EB2" w:rsidRPr="00CA33AB" w:rsidRDefault="00737EB2" w:rsidP="009D0776">
      <w:pPr>
        <w:pStyle w:val="22"/>
      </w:pPr>
      <w:bookmarkStart w:id="389" w:name="_Toc99791533"/>
      <w:bookmarkStart w:id="390" w:name="_Toc153290972"/>
      <w:r w:rsidRPr="00CA33AB">
        <w:rPr>
          <w:rFonts w:hint="eastAsia"/>
        </w:rPr>
        <w:t>列车动拖比应根据启动加速度、制动减速度、旅行速度、故障运行能力等因素确定，不应小于1:1。</w:t>
      </w:r>
      <w:bookmarkEnd w:id="389"/>
      <w:bookmarkEnd w:id="390"/>
    </w:p>
    <w:p w14:paraId="36B76F0A" w14:textId="77777777" w:rsidR="00737EB2" w:rsidRPr="00CA33AB" w:rsidRDefault="00737EB2" w:rsidP="009D0776">
      <w:pPr>
        <w:pStyle w:val="22"/>
      </w:pPr>
      <w:r w:rsidRPr="00CA33AB">
        <w:rPr>
          <w:rFonts w:hint="eastAsia"/>
        </w:rPr>
        <w:t>在定员载荷下，列车运行于平直干燥轨道上，车轮为半磨耗状态及额定供电电压时，列车加速性能宜符合表3的规定。</w:t>
      </w:r>
    </w:p>
    <w:p w14:paraId="362BB2EB" w14:textId="77777777" w:rsidR="00737EB2" w:rsidRPr="00765F6E" w:rsidRDefault="00737EB2" w:rsidP="00737EB2">
      <w:pPr>
        <w:pStyle w:val="aff3"/>
        <w:spacing w:before="156" w:after="156"/>
      </w:pPr>
      <w:r w:rsidRPr="00765F6E">
        <w:rPr>
          <w:rFonts w:hint="eastAsia"/>
        </w:rPr>
        <w:t>列车加速性能</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66"/>
        <w:gridCol w:w="1867"/>
        <w:gridCol w:w="1867"/>
        <w:gridCol w:w="1867"/>
        <w:gridCol w:w="1867"/>
      </w:tblGrid>
      <w:tr w:rsidR="00737EB2" w:rsidRPr="00765F6E" w14:paraId="5C0BF70D" w14:textId="77777777" w:rsidTr="00871D47">
        <w:trPr>
          <w:trHeight w:val="176"/>
          <w:tblHeader/>
          <w:jc w:val="center"/>
        </w:trPr>
        <w:tc>
          <w:tcPr>
            <w:tcW w:w="1866" w:type="dxa"/>
            <w:vMerge w:val="restart"/>
            <w:tcBorders>
              <w:top w:val="single" w:sz="8" w:space="0" w:color="auto"/>
            </w:tcBorders>
            <w:shd w:val="clear" w:color="auto" w:fill="auto"/>
            <w:vAlign w:val="center"/>
          </w:tcPr>
          <w:p w14:paraId="457BA482" w14:textId="77777777" w:rsidR="00737EB2" w:rsidRPr="00765F6E" w:rsidRDefault="00737EB2" w:rsidP="00871D47">
            <w:pPr>
              <w:pStyle w:val="afffffffff9"/>
            </w:pPr>
            <w:r w:rsidRPr="00765F6E">
              <w:rPr>
                <w:rFonts w:hint="eastAsia"/>
              </w:rPr>
              <w:t>最高运行速度</w:t>
            </w:r>
          </w:p>
          <w:p w14:paraId="3362DF7A" w14:textId="77777777" w:rsidR="00737EB2" w:rsidRPr="00765F6E" w:rsidRDefault="00737EB2" w:rsidP="00871D47">
            <w:pPr>
              <w:pStyle w:val="afffffffff9"/>
            </w:pPr>
            <w:r w:rsidRPr="00765F6E">
              <w:rPr>
                <w:rFonts w:hAnsi="宋体" w:cs="宋体"/>
                <w:szCs w:val="18"/>
              </w:rPr>
              <w:t>km/h</w:t>
            </w:r>
          </w:p>
        </w:tc>
        <w:tc>
          <w:tcPr>
            <w:tcW w:w="3734" w:type="dxa"/>
            <w:gridSpan w:val="2"/>
            <w:tcBorders>
              <w:top w:val="single" w:sz="8" w:space="0" w:color="auto"/>
              <w:bottom w:val="single" w:sz="8" w:space="0" w:color="auto"/>
            </w:tcBorders>
            <w:shd w:val="clear" w:color="auto" w:fill="auto"/>
            <w:vAlign w:val="center"/>
          </w:tcPr>
          <w:p w14:paraId="73241366" w14:textId="2937A302" w:rsidR="00737EB2" w:rsidRPr="00765F6E" w:rsidRDefault="00737EB2" w:rsidP="00871D47">
            <w:pPr>
              <w:pStyle w:val="afffffffff9"/>
            </w:pPr>
            <w:r w:rsidRPr="00765F6E">
              <w:rPr>
                <w:rFonts w:hint="eastAsia"/>
              </w:rPr>
              <w:t>动拖比1</w:t>
            </w:r>
            <w:r w:rsidR="00861B7A">
              <w:rPr>
                <w:rFonts w:hint="eastAsia"/>
              </w:rPr>
              <w:t>∶</w:t>
            </w:r>
            <w:r w:rsidRPr="00765F6E">
              <w:rPr>
                <w:rFonts w:hint="eastAsia"/>
              </w:rPr>
              <w:t>1</w:t>
            </w:r>
          </w:p>
        </w:tc>
        <w:tc>
          <w:tcPr>
            <w:tcW w:w="3734" w:type="dxa"/>
            <w:gridSpan w:val="2"/>
            <w:tcBorders>
              <w:top w:val="single" w:sz="8" w:space="0" w:color="auto"/>
              <w:bottom w:val="single" w:sz="8" w:space="0" w:color="auto"/>
            </w:tcBorders>
            <w:shd w:val="clear" w:color="auto" w:fill="auto"/>
            <w:vAlign w:val="center"/>
          </w:tcPr>
          <w:p w14:paraId="4A092637" w14:textId="3A85A739" w:rsidR="00737EB2" w:rsidRPr="00765F6E" w:rsidRDefault="00737EB2" w:rsidP="00871D47">
            <w:pPr>
              <w:pStyle w:val="afffffffff9"/>
            </w:pPr>
            <w:r w:rsidRPr="00765F6E">
              <w:rPr>
                <w:rFonts w:hint="eastAsia"/>
              </w:rPr>
              <w:t>动拖比不小于2</w:t>
            </w:r>
            <w:r w:rsidR="00861B7A">
              <w:rPr>
                <w:rFonts w:hint="eastAsia"/>
              </w:rPr>
              <w:t>∶</w:t>
            </w:r>
            <w:r w:rsidRPr="00765F6E">
              <w:rPr>
                <w:rFonts w:hint="eastAsia"/>
              </w:rPr>
              <w:t>1</w:t>
            </w:r>
          </w:p>
        </w:tc>
      </w:tr>
      <w:tr w:rsidR="00737EB2" w:rsidRPr="00765F6E" w14:paraId="337CDB62" w14:textId="77777777" w:rsidTr="00871D47">
        <w:trPr>
          <w:trHeight w:val="176"/>
          <w:jc w:val="center"/>
        </w:trPr>
        <w:tc>
          <w:tcPr>
            <w:tcW w:w="1866" w:type="dxa"/>
            <w:vMerge/>
            <w:shd w:val="clear" w:color="auto" w:fill="auto"/>
            <w:vAlign w:val="center"/>
          </w:tcPr>
          <w:p w14:paraId="52119D37" w14:textId="77777777" w:rsidR="00737EB2" w:rsidRPr="00765F6E" w:rsidRDefault="00737EB2" w:rsidP="00871D47">
            <w:pPr>
              <w:pStyle w:val="afffffffff9"/>
            </w:pPr>
          </w:p>
        </w:tc>
        <w:tc>
          <w:tcPr>
            <w:tcW w:w="1867" w:type="dxa"/>
            <w:tcBorders>
              <w:top w:val="single" w:sz="8" w:space="0" w:color="auto"/>
            </w:tcBorders>
            <w:shd w:val="clear" w:color="auto" w:fill="auto"/>
            <w:vAlign w:val="center"/>
          </w:tcPr>
          <w:p w14:paraId="08C92B9D" w14:textId="77777777" w:rsidR="00737EB2" w:rsidRPr="00765F6E" w:rsidRDefault="00737EB2" w:rsidP="00871D47">
            <w:pPr>
              <w:pStyle w:val="afffffffff9"/>
            </w:pPr>
            <w:r w:rsidRPr="00765F6E">
              <w:rPr>
                <w:rFonts w:hint="eastAsia"/>
              </w:rPr>
              <w:t>起动平均加速度</w:t>
            </w:r>
          </w:p>
          <w:p w14:paraId="289AD757" w14:textId="77777777" w:rsidR="00737EB2" w:rsidRPr="00765F6E" w:rsidRDefault="00737EB2" w:rsidP="00871D47">
            <w:pPr>
              <w:pStyle w:val="afffffffff9"/>
            </w:pPr>
            <w:r w:rsidRPr="00765F6E">
              <w:t>m/s</w:t>
            </w:r>
            <w:r w:rsidRPr="00765F6E">
              <w:rPr>
                <w:vertAlign w:val="superscript"/>
              </w:rPr>
              <w:t>2</w:t>
            </w:r>
          </w:p>
        </w:tc>
        <w:tc>
          <w:tcPr>
            <w:tcW w:w="1867" w:type="dxa"/>
            <w:tcBorders>
              <w:top w:val="single" w:sz="8" w:space="0" w:color="auto"/>
            </w:tcBorders>
            <w:shd w:val="clear" w:color="auto" w:fill="auto"/>
            <w:vAlign w:val="center"/>
          </w:tcPr>
          <w:p w14:paraId="5743EC03" w14:textId="77777777" w:rsidR="00737EB2" w:rsidRPr="00765F6E" w:rsidRDefault="00737EB2" w:rsidP="00871D47">
            <w:pPr>
              <w:pStyle w:val="afffffffff9"/>
            </w:pPr>
            <w:r w:rsidRPr="00765F6E">
              <w:rPr>
                <w:rFonts w:hint="eastAsia"/>
              </w:rPr>
              <w:t>平均加速度</w:t>
            </w:r>
          </w:p>
          <w:p w14:paraId="63C20CE6" w14:textId="77777777" w:rsidR="00737EB2" w:rsidRPr="00765F6E" w:rsidRDefault="00737EB2" w:rsidP="00871D47">
            <w:pPr>
              <w:pStyle w:val="afffffffff9"/>
            </w:pPr>
            <w:r w:rsidRPr="00765F6E">
              <w:t>m/s</w:t>
            </w:r>
            <w:r w:rsidRPr="00765F6E">
              <w:rPr>
                <w:vertAlign w:val="superscript"/>
              </w:rPr>
              <w:t>2</w:t>
            </w:r>
          </w:p>
        </w:tc>
        <w:tc>
          <w:tcPr>
            <w:tcW w:w="1867" w:type="dxa"/>
            <w:tcBorders>
              <w:top w:val="single" w:sz="8" w:space="0" w:color="auto"/>
            </w:tcBorders>
            <w:shd w:val="clear" w:color="auto" w:fill="auto"/>
            <w:vAlign w:val="center"/>
          </w:tcPr>
          <w:p w14:paraId="2675BD48" w14:textId="77777777" w:rsidR="00737EB2" w:rsidRPr="00765F6E" w:rsidRDefault="00737EB2" w:rsidP="00871D47">
            <w:pPr>
              <w:pStyle w:val="afffffffff9"/>
            </w:pPr>
            <w:r w:rsidRPr="00765F6E">
              <w:rPr>
                <w:rFonts w:hint="eastAsia"/>
              </w:rPr>
              <w:t>起动平均加速度</w:t>
            </w:r>
          </w:p>
          <w:p w14:paraId="0DEB31F3" w14:textId="77777777" w:rsidR="00737EB2" w:rsidRPr="00765F6E" w:rsidRDefault="00737EB2" w:rsidP="00871D47">
            <w:pPr>
              <w:pStyle w:val="afffffffff9"/>
            </w:pPr>
            <w:r w:rsidRPr="00765F6E">
              <w:t>m/s</w:t>
            </w:r>
            <w:r w:rsidRPr="00765F6E">
              <w:rPr>
                <w:vertAlign w:val="superscript"/>
              </w:rPr>
              <w:t>2</w:t>
            </w:r>
          </w:p>
        </w:tc>
        <w:tc>
          <w:tcPr>
            <w:tcW w:w="1867" w:type="dxa"/>
            <w:tcBorders>
              <w:top w:val="single" w:sz="8" w:space="0" w:color="auto"/>
            </w:tcBorders>
            <w:shd w:val="clear" w:color="auto" w:fill="auto"/>
            <w:vAlign w:val="center"/>
          </w:tcPr>
          <w:p w14:paraId="12E7F300" w14:textId="77777777" w:rsidR="00737EB2" w:rsidRPr="00765F6E" w:rsidRDefault="00737EB2" w:rsidP="00871D47">
            <w:pPr>
              <w:pStyle w:val="afffffffff9"/>
            </w:pPr>
            <w:r w:rsidRPr="00765F6E">
              <w:rPr>
                <w:rFonts w:hint="eastAsia"/>
              </w:rPr>
              <w:t>平均加速度</w:t>
            </w:r>
          </w:p>
          <w:p w14:paraId="6761F18F" w14:textId="77777777" w:rsidR="00737EB2" w:rsidRPr="00765F6E" w:rsidRDefault="00737EB2" w:rsidP="00871D47">
            <w:pPr>
              <w:pStyle w:val="afffffffff9"/>
            </w:pPr>
            <w:r w:rsidRPr="00765F6E">
              <w:t>m/s</w:t>
            </w:r>
            <w:r w:rsidRPr="00765F6E">
              <w:rPr>
                <w:vertAlign w:val="superscript"/>
              </w:rPr>
              <w:t>2</w:t>
            </w:r>
          </w:p>
        </w:tc>
      </w:tr>
      <w:tr w:rsidR="00737EB2" w:rsidRPr="00765F6E" w14:paraId="73FBFD90" w14:textId="77777777" w:rsidTr="00871D47">
        <w:trPr>
          <w:trHeight w:val="176"/>
          <w:jc w:val="center"/>
        </w:trPr>
        <w:tc>
          <w:tcPr>
            <w:tcW w:w="1866" w:type="dxa"/>
            <w:shd w:val="clear" w:color="auto" w:fill="auto"/>
            <w:vAlign w:val="center"/>
          </w:tcPr>
          <w:p w14:paraId="57F90FAC" w14:textId="77777777" w:rsidR="00737EB2" w:rsidRPr="00765F6E" w:rsidRDefault="00737EB2" w:rsidP="00871D47">
            <w:pPr>
              <w:pStyle w:val="afffffffff9"/>
            </w:pPr>
            <w:r w:rsidRPr="00765F6E">
              <w:rPr>
                <w:rFonts w:hAnsi="宋体" w:cs="宋体"/>
                <w:szCs w:val="18"/>
              </w:rPr>
              <w:t>120</w:t>
            </w:r>
          </w:p>
        </w:tc>
        <w:tc>
          <w:tcPr>
            <w:tcW w:w="1867" w:type="dxa"/>
            <w:shd w:val="clear" w:color="auto" w:fill="auto"/>
            <w:vAlign w:val="center"/>
          </w:tcPr>
          <w:p w14:paraId="08DB27DC" w14:textId="77777777" w:rsidR="00737EB2" w:rsidRPr="00765F6E" w:rsidRDefault="00737EB2" w:rsidP="00871D47">
            <w:pPr>
              <w:pStyle w:val="afffffffff9"/>
            </w:pPr>
            <w:r w:rsidRPr="00765F6E">
              <w:rPr>
                <w:rFonts w:hint="eastAsia"/>
              </w:rPr>
              <w:t>≥0.8</w:t>
            </w:r>
          </w:p>
        </w:tc>
        <w:tc>
          <w:tcPr>
            <w:tcW w:w="1867" w:type="dxa"/>
            <w:shd w:val="clear" w:color="auto" w:fill="auto"/>
            <w:vAlign w:val="center"/>
          </w:tcPr>
          <w:p w14:paraId="5A94C563" w14:textId="77777777" w:rsidR="00737EB2" w:rsidRPr="00765F6E" w:rsidRDefault="00737EB2" w:rsidP="00871D47">
            <w:pPr>
              <w:pStyle w:val="afffffffff9"/>
            </w:pPr>
            <w:r w:rsidRPr="00765F6E">
              <w:rPr>
                <w:rFonts w:hint="eastAsia"/>
              </w:rPr>
              <w:t>≥0.45</w:t>
            </w:r>
          </w:p>
        </w:tc>
        <w:tc>
          <w:tcPr>
            <w:tcW w:w="1867" w:type="dxa"/>
            <w:shd w:val="clear" w:color="auto" w:fill="auto"/>
            <w:vAlign w:val="center"/>
          </w:tcPr>
          <w:p w14:paraId="18655616" w14:textId="77777777" w:rsidR="00737EB2" w:rsidRPr="00765F6E" w:rsidRDefault="00737EB2" w:rsidP="00871D47">
            <w:pPr>
              <w:pStyle w:val="afffffffff9"/>
            </w:pPr>
            <w:r w:rsidRPr="00765F6E">
              <w:rPr>
                <w:rFonts w:hint="eastAsia"/>
              </w:rPr>
              <w:t>≥1.0</w:t>
            </w:r>
          </w:p>
        </w:tc>
        <w:tc>
          <w:tcPr>
            <w:tcW w:w="1867" w:type="dxa"/>
            <w:shd w:val="clear" w:color="auto" w:fill="auto"/>
            <w:vAlign w:val="center"/>
          </w:tcPr>
          <w:p w14:paraId="02A44BC9" w14:textId="77777777" w:rsidR="00737EB2" w:rsidRPr="00765F6E" w:rsidRDefault="00737EB2" w:rsidP="00871D47">
            <w:pPr>
              <w:pStyle w:val="afffffffff9"/>
            </w:pPr>
            <w:r w:rsidRPr="00765F6E">
              <w:rPr>
                <w:rFonts w:hint="eastAsia"/>
              </w:rPr>
              <w:t>≥0.5</w:t>
            </w:r>
          </w:p>
        </w:tc>
      </w:tr>
      <w:tr w:rsidR="00737EB2" w:rsidRPr="00765F6E" w14:paraId="0B2615DE" w14:textId="77777777" w:rsidTr="00871D47">
        <w:trPr>
          <w:trHeight w:val="176"/>
          <w:jc w:val="center"/>
        </w:trPr>
        <w:tc>
          <w:tcPr>
            <w:tcW w:w="1866" w:type="dxa"/>
            <w:shd w:val="clear" w:color="auto" w:fill="auto"/>
            <w:vAlign w:val="center"/>
          </w:tcPr>
          <w:p w14:paraId="253B6937" w14:textId="77777777" w:rsidR="00737EB2" w:rsidRPr="00765F6E" w:rsidRDefault="00737EB2" w:rsidP="00871D47">
            <w:pPr>
              <w:pStyle w:val="afffffffff9"/>
            </w:pPr>
            <w:r w:rsidRPr="00765F6E">
              <w:rPr>
                <w:rFonts w:hAnsi="宋体" w:cs="宋体"/>
                <w:szCs w:val="18"/>
              </w:rPr>
              <w:t>140</w:t>
            </w:r>
            <w:r w:rsidRPr="00765F6E">
              <w:rPr>
                <w:rFonts w:hAnsi="宋体" w:cs="宋体" w:hint="eastAsia"/>
                <w:w w:val="25"/>
              </w:rPr>
              <w:t xml:space="preserve">　</w:t>
            </w:r>
          </w:p>
        </w:tc>
        <w:tc>
          <w:tcPr>
            <w:tcW w:w="1867" w:type="dxa"/>
            <w:shd w:val="clear" w:color="auto" w:fill="auto"/>
            <w:vAlign w:val="center"/>
          </w:tcPr>
          <w:p w14:paraId="73401CBF" w14:textId="77777777" w:rsidR="00737EB2" w:rsidRPr="00765F6E" w:rsidRDefault="00737EB2" w:rsidP="00871D47">
            <w:pPr>
              <w:pStyle w:val="afffffffff9"/>
            </w:pPr>
            <w:r w:rsidRPr="00765F6E">
              <w:rPr>
                <w:rFonts w:hint="eastAsia"/>
              </w:rPr>
              <w:t>≥0.8</w:t>
            </w:r>
          </w:p>
        </w:tc>
        <w:tc>
          <w:tcPr>
            <w:tcW w:w="1867" w:type="dxa"/>
            <w:shd w:val="clear" w:color="auto" w:fill="auto"/>
            <w:vAlign w:val="center"/>
          </w:tcPr>
          <w:p w14:paraId="7D9BCD4F" w14:textId="77777777" w:rsidR="00737EB2" w:rsidRPr="00765F6E" w:rsidRDefault="00737EB2" w:rsidP="00871D47">
            <w:pPr>
              <w:pStyle w:val="afffffffff9"/>
            </w:pPr>
            <w:r w:rsidRPr="00765F6E">
              <w:rPr>
                <w:rFonts w:hint="eastAsia"/>
              </w:rPr>
              <w:t>≥0.4</w:t>
            </w:r>
          </w:p>
        </w:tc>
        <w:tc>
          <w:tcPr>
            <w:tcW w:w="1867" w:type="dxa"/>
            <w:shd w:val="clear" w:color="auto" w:fill="auto"/>
            <w:vAlign w:val="center"/>
          </w:tcPr>
          <w:p w14:paraId="5D204EB4" w14:textId="77777777" w:rsidR="00737EB2" w:rsidRPr="00765F6E" w:rsidRDefault="00737EB2" w:rsidP="00871D47">
            <w:pPr>
              <w:pStyle w:val="afffffffff9"/>
            </w:pPr>
            <w:r w:rsidRPr="00765F6E">
              <w:rPr>
                <w:rFonts w:hint="eastAsia"/>
              </w:rPr>
              <w:t>≥1.0</w:t>
            </w:r>
          </w:p>
        </w:tc>
        <w:tc>
          <w:tcPr>
            <w:tcW w:w="1867" w:type="dxa"/>
            <w:shd w:val="clear" w:color="auto" w:fill="auto"/>
            <w:vAlign w:val="center"/>
          </w:tcPr>
          <w:p w14:paraId="3B7824BC" w14:textId="77777777" w:rsidR="00737EB2" w:rsidRPr="00765F6E" w:rsidRDefault="00737EB2" w:rsidP="00871D47">
            <w:pPr>
              <w:pStyle w:val="afffffffff9"/>
            </w:pPr>
            <w:r w:rsidRPr="00765F6E">
              <w:rPr>
                <w:rFonts w:hint="eastAsia"/>
              </w:rPr>
              <w:t>≥0.45</w:t>
            </w:r>
          </w:p>
        </w:tc>
      </w:tr>
      <w:tr w:rsidR="00737EB2" w:rsidRPr="00765F6E" w14:paraId="48583CDC" w14:textId="77777777" w:rsidTr="00871D47">
        <w:trPr>
          <w:trHeight w:val="176"/>
          <w:jc w:val="center"/>
        </w:trPr>
        <w:tc>
          <w:tcPr>
            <w:tcW w:w="1866" w:type="dxa"/>
            <w:tcBorders>
              <w:bottom w:val="single" w:sz="8" w:space="0" w:color="auto"/>
            </w:tcBorders>
            <w:shd w:val="clear" w:color="auto" w:fill="auto"/>
            <w:vAlign w:val="center"/>
          </w:tcPr>
          <w:p w14:paraId="4F21A9C2" w14:textId="77777777" w:rsidR="00737EB2" w:rsidRPr="00765F6E" w:rsidRDefault="00737EB2" w:rsidP="00871D47">
            <w:pPr>
              <w:pStyle w:val="afffffffff9"/>
            </w:pPr>
            <w:r w:rsidRPr="00765F6E">
              <w:rPr>
                <w:rFonts w:hAnsi="宋体" w:cs="宋体"/>
                <w:szCs w:val="18"/>
              </w:rPr>
              <w:t>160</w:t>
            </w:r>
            <w:r w:rsidRPr="00765F6E">
              <w:rPr>
                <w:rFonts w:hAnsi="宋体" w:cs="宋体" w:hint="eastAsia"/>
                <w:w w:val="25"/>
              </w:rPr>
              <w:t xml:space="preserve">　</w:t>
            </w:r>
          </w:p>
        </w:tc>
        <w:tc>
          <w:tcPr>
            <w:tcW w:w="1867" w:type="dxa"/>
            <w:tcBorders>
              <w:bottom w:val="single" w:sz="8" w:space="0" w:color="auto"/>
            </w:tcBorders>
            <w:shd w:val="clear" w:color="auto" w:fill="auto"/>
            <w:vAlign w:val="center"/>
          </w:tcPr>
          <w:p w14:paraId="597A5596" w14:textId="77777777" w:rsidR="00737EB2" w:rsidRPr="00765F6E" w:rsidRDefault="00737EB2" w:rsidP="00871D47">
            <w:pPr>
              <w:pStyle w:val="afffffffff9"/>
            </w:pPr>
            <w:r w:rsidRPr="00765F6E">
              <w:rPr>
                <w:rFonts w:hint="eastAsia"/>
              </w:rPr>
              <w:t>≥0.8</w:t>
            </w:r>
          </w:p>
        </w:tc>
        <w:tc>
          <w:tcPr>
            <w:tcW w:w="1867" w:type="dxa"/>
            <w:tcBorders>
              <w:bottom w:val="single" w:sz="8" w:space="0" w:color="auto"/>
            </w:tcBorders>
            <w:shd w:val="clear" w:color="auto" w:fill="auto"/>
            <w:vAlign w:val="center"/>
          </w:tcPr>
          <w:p w14:paraId="45323ABA" w14:textId="77777777" w:rsidR="00737EB2" w:rsidRPr="00765F6E" w:rsidRDefault="00737EB2" w:rsidP="00871D47">
            <w:pPr>
              <w:pStyle w:val="afffffffff9"/>
            </w:pPr>
            <w:r w:rsidRPr="00765F6E">
              <w:rPr>
                <w:rFonts w:hint="eastAsia"/>
              </w:rPr>
              <w:t>≥0.35</w:t>
            </w:r>
          </w:p>
        </w:tc>
        <w:tc>
          <w:tcPr>
            <w:tcW w:w="1867" w:type="dxa"/>
            <w:tcBorders>
              <w:bottom w:val="single" w:sz="8" w:space="0" w:color="auto"/>
            </w:tcBorders>
            <w:shd w:val="clear" w:color="auto" w:fill="auto"/>
            <w:vAlign w:val="center"/>
          </w:tcPr>
          <w:p w14:paraId="3303C63E" w14:textId="77777777" w:rsidR="00737EB2" w:rsidRPr="00765F6E" w:rsidRDefault="00737EB2" w:rsidP="00871D47">
            <w:pPr>
              <w:pStyle w:val="afffffffff9"/>
            </w:pPr>
            <w:r w:rsidRPr="00765F6E">
              <w:rPr>
                <w:rFonts w:hint="eastAsia"/>
              </w:rPr>
              <w:t>≥1.0</w:t>
            </w:r>
          </w:p>
        </w:tc>
        <w:tc>
          <w:tcPr>
            <w:tcW w:w="1867" w:type="dxa"/>
            <w:tcBorders>
              <w:bottom w:val="single" w:sz="8" w:space="0" w:color="auto"/>
            </w:tcBorders>
            <w:shd w:val="clear" w:color="auto" w:fill="auto"/>
            <w:vAlign w:val="center"/>
          </w:tcPr>
          <w:p w14:paraId="32D8F5BE" w14:textId="77777777" w:rsidR="00737EB2" w:rsidRPr="00765F6E" w:rsidRDefault="00737EB2" w:rsidP="00871D47">
            <w:pPr>
              <w:pStyle w:val="afffffffff9"/>
            </w:pPr>
            <w:r w:rsidRPr="00765F6E">
              <w:rPr>
                <w:rFonts w:hint="eastAsia"/>
              </w:rPr>
              <w:t>≥0.4</w:t>
            </w:r>
          </w:p>
        </w:tc>
      </w:tr>
      <w:tr w:rsidR="00737EB2" w:rsidRPr="00765F6E" w14:paraId="480E58D1" w14:textId="77777777" w:rsidTr="00871D47">
        <w:trPr>
          <w:trHeight w:val="176"/>
          <w:jc w:val="center"/>
        </w:trPr>
        <w:tc>
          <w:tcPr>
            <w:tcW w:w="9334" w:type="dxa"/>
            <w:gridSpan w:val="5"/>
            <w:tcBorders>
              <w:top w:val="single" w:sz="8" w:space="0" w:color="auto"/>
              <w:bottom w:val="single" w:sz="8" w:space="0" w:color="auto"/>
            </w:tcBorders>
            <w:shd w:val="clear" w:color="auto" w:fill="auto"/>
            <w:vAlign w:val="center"/>
          </w:tcPr>
          <w:p w14:paraId="7C239EA8" w14:textId="77777777" w:rsidR="00737EB2" w:rsidRPr="00765F6E" w:rsidRDefault="00737EB2" w:rsidP="003334F3">
            <w:pPr>
              <w:pStyle w:val="a6"/>
              <w:numPr>
                <w:ilvl w:val="0"/>
                <w:numId w:val="38"/>
              </w:numPr>
            </w:pPr>
            <w:r w:rsidRPr="00765F6E">
              <w:rPr>
                <w:rFonts w:hint="eastAsia"/>
              </w:rPr>
              <w:t>起动平均加速度：列车从</w:t>
            </w:r>
            <w:r w:rsidRPr="00765F6E">
              <w:t>0km/h加速到40km/h的平均加速度。</w:t>
            </w:r>
          </w:p>
          <w:p w14:paraId="7D8A91F5" w14:textId="77777777" w:rsidR="00737EB2" w:rsidRPr="00765F6E" w:rsidRDefault="00737EB2" w:rsidP="00871D47">
            <w:pPr>
              <w:pStyle w:val="a6"/>
            </w:pPr>
            <w:r w:rsidRPr="00765F6E">
              <w:t>平均加速度：列车从0km/h加速到最高运行速度的平均加速度。</w:t>
            </w:r>
          </w:p>
        </w:tc>
      </w:tr>
    </w:tbl>
    <w:p w14:paraId="69722AA8" w14:textId="77777777" w:rsidR="00737EB2" w:rsidRPr="00765F6E" w:rsidRDefault="00737EB2" w:rsidP="00737EB2">
      <w:pPr>
        <w:spacing w:line="240" w:lineRule="auto"/>
      </w:pPr>
    </w:p>
    <w:p w14:paraId="5BDB5BFA" w14:textId="77777777" w:rsidR="00737EB2" w:rsidRPr="00CA33AB" w:rsidRDefault="00737EB2" w:rsidP="009D0776">
      <w:pPr>
        <w:pStyle w:val="22"/>
      </w:pPr>
      <w:r w:rsidRPr="00CA33AB">
        <w:rPr>
          <w:rFonts w:hint="eastAsia"/>
        </w:rPr>
        <w:t>在任何载荷下和平直线路干燥轨道上，列车从最高运行速度到停车，制动减速性能度应符合表4的规定。</w:t>
      </w:r>
    </w:p>
    <w:p w14:paraId="096463B6" w14:textId="77777777" w:rsidR="00737EB2" w:rsidRPr="00765F6E" w:rsidRDefault="00737EB2" w:rsidP="00737EB2">
      <w:pPr>
        <w:pStyle w:val="aff3"/>
        <w:spacing w:before="156" w:after="156"/>
      </w:pPr>
      <w:r w:rsidRPr="00765F6E">
        <w:rPr>
          <w:rFonts w:hint="eastAsia"/>
        </w:rPr>
        <w:t>列车制动减速性能</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1"/>
        <w:gridCol w:w="2401"/>
        <w:gridCol w:w="2363"/>
        <w:gridCol w:w="2899"/>
      </w:tblGrid>
      <w:tr w:rsidR="00737EB2" w:rsidRPr="00765F6E" w14:paraId="5A207E7C" w14:textId="77777777" w:rsidTr="00871D47">
        <w:trPr>
          <w:trHeight w:val="176"/>
          <w:jc w:val="center"/>
        </w:trPr>
        <w:tc>
          <w:tcPr>
            <w:tcW w:w="895" w:type="pct"/>
            <w:vMerge w:val="restart"/>
            <w:tcBorders>
              <w:top w:val="single" w:sz="8" w:space="0" w:color="auto"/>
              <w:left w:val="single" w:sz="8" w:space="0" w:color="auto"/>
            </w:tcBorders>
            <w:shd w:val="clear" w:color="auto" w:fill="auto"/>
            <w:vAlign w:val="center"/>
          </w:tcPr>
          <w:p w14:paraId="6B51E115" w14:textId="77777777" w:rsidR="00737EB2" w:rsidRPr="000553A7" w:rsidRDefault="00737EB2" w:rsidP="000553A7">
            <w:pPr>
              <w:spacing w:line="240" w:lineRule="auto"/>
              <w:jc w:val="center"/>
              <w:rPr>
                <w:rFonts w:ascii="宋体" w:hAnsi="宋体" w:cs="宋体"/>
                <w:sz w:val="18"/>
                <w:szCs w:val="18"/>
              </w:rPr>
            </w:pPr>
            <w:r w:rsidRPr="000553A7">
              <w:rPr>
                <w:rFonts w:ascii="宋体" w:hAnsi="宋体" w:cs="宋体" w:hint="eastAsia"/>
                <w:sz w:val="18"/>
                <w:szCs w:val="18"/>
              </w:rPr>
              <w:t>最高运行速度</w:t>
            </w:r>
          </w:p>
          <w:p w14:paraId="3F34C3A9" w14:textId="77777777" w:rsidR="00737EB2" w:rsidRPr="000553A7" w:rsidRDefault="00737EB2" w:rsidP="000553A7">
            <w:pPr>
              <w:spacing w:line="240" w:lineRule="auto"/>
              <w:jc w:val="center"/>
              <w:rPr>
                <w:rFonts w:ascii="宋体" w:hAnsi="宋体" w:cs="宋体"/>
                <w:sz w:val="18"/>
                <w:szCs w:val="18"/>
              </w:rPr>
            </w:pPr>
            <w:r w:rsidRPr="000553A7">
              <w:rPr>
                <w:rFonts w:ascii="宋体" w:hAnsi="宋体" w:cs="宋体" w:hint="eastAsia"/>
                <w:sz w:val="18"/>
                <w:szCs w:val="18"/>
              </w:rPr>
              <w:t>km/h</w:t>
            </w:r>
          </w:p>
        </w:tc>
        <w:tc>
          <w:tcPr>
            <w:tcW w:w="2552" w:type="pct"/>
            <w:gridSpan w:val="2"/>
            <w:tcBorders>
              <w:top w:val="single" w:sz="8" w:space="0" w:color="auto"/>
              <w:bottom w:val="single" w:sz="8" w:space="0" w:color="auto"/>
              <w:right w:val="single" w:sz="8" w:space="0" w:color="auto"/>
            </w:tcBorders>
            <w:shd w:val="clear" w:color="auto" w:fill="auto"/>
            <w:vAlign w:val="center"/>
          </w:tcPr>
          <w:p w14:paraId="66430CEC" w14:textId="77777777" w:rsidR="00737EB2" w:rsidRPr="00453DBE" w:rsidRDefault="00737EB2" w:rsidP="00453DBE">
            <w:pPr>
              <w:pStyle w:val="afffffffff1"/>
              <w:numPr>
                <w:ilvl w:val="0"/>
                <w:numId w:val="0"/>
              </w:numPr>
              <w:jc w:val="center"/>
              <w:rPr>
                <w:sz w:val="18"/>
                <w:szCs w:val="18"/>
              </w:rPr>
            </w:pPr>
            <w:r w:rsidRPr="00453DBE">
              <w:rPr>
                <w:rFonts w:hint="eastAsia"/>
                <w:sz w:val="18"/>
                <w:szCs w:val="18"/>
              </w:rPr>
              <w:t>常用制动平均减速度</w:t>
            </w:r>
          </w:p>
          <w:p w14:paraId="3553B478" w14:textId="77777777" w:rsidR="00737EB2" w:rsidRPr="00453DBE" w:rsidRDefault="00737EB2" w:rsidP="00453DBE">
            <w:pPr>
              <w:pStyle w:val="afffffffff1"/>
              <w:numPr>
                <w:ilvl w:val="0"/>
                <w:numId w:val="0"/>
              </w:numPr>
              <w:jc w:val="center"/>
              <w:rPr>
                <w:sz w:val="18"/>
                <w:szCs w:val="18"/>
              </w:rPr>
            </w:pPr>
            <w:r w:rsidRPr="00453DBE">
              <w:rPr>
                <w:sz w:val="18"/>
                <w:szCs w:val="18"/>
              </w:rPr>
              <w:t>m/s</w:t>
            </w:r>
            <w:r w:rsidRPr="00453DBE">
              <w:rPr>
                <w:sz w:val="18"/>
                <w:szCs w:val="18"/>
                <w:vertAlign w:val="superscript"/>
              </w:rPr>
              <w:t>2</w:t>
            </w:r>
          </w:p>
        </w:tc>
        <w:tc>
          <w:tcPr>
            <w:tcW w:w="1553" w:type="pct"/>
            <w:tcBorders>
              <w:top w:val="single" w:sz="8" w:space="0" w:color="auto"/>
              <w:bottom w:val="single" w:sz="8" w:space="0" w:color="auto"/>
              <w:right w:val="single" w:sz="8" w:space="0" w:color="auto"/>
            </w:tcBorders>
            <w:shd w:val="clear" w:color="auto" w:fill="auto"/>
            <w:vAlign w:val="center"/>
          </w:tcPr>
          <w:p w14:paraId="673F274C" w14:textId="77777777" w:rsidR="00737EB2" w:rsidRPr="00453DBE" w:rsidRDefault="00737EB2" w:rsidP="00453DBE">
            <w:pPr>
              <w:pStyle w:val="afffffffff1"/>
              <w:numPr>
                <w:ilvl w:val="0"/>
                <w:numId w:val="0"/>
              </w:numPr>
              <w:jc w:val="center"/>
              <w:rPr>
                <w:sz w:val="18"/>
                <w:szCs w:val="18"/>
              </w:rPr>
            </w:pPr>
            <w:r w:rsidRPr="00453DBE">
              <w:rPr>
                <w:rFonts w:hint="eastAsia"/>
                <w:sz w:val="18"/>
                <w:szCs w:val="18"/>
              </w:rPr>
              <w:t>紧急制动平均减速度</w:t>
            </w:r>
          </w:p>
          <w:p w14:paraId="7CD3884A" w14:textId="77777777" w:rsidR="00737EB2" w:rsidRPr="00453DBE" w:rsidRDefault="00737EB2" w:rsidP="00453DBE">
            <w:pPr>
              <w:pStyle w:val="afffffffff1"/>
              <w:numPr>
                <w:ilvl w:val="0"/>
                <w:numId w:val="0"/>
              </w:numPr>
              <w:jc w:val="center"/>
              <w:rPr>
                <w:sz w:val="18"/>
                <w:szCs w:val="18"/>
              </w:rPr>
            </w:pPr>
            <w:r w:rsidRPr="00453DBE">
              <w:rPr>
                <w:sz w:val="18"/>
                <w:szCs w:val="18"/>
              </w:rPr>
              <w:t>m/s</w:t>
            </w:r>
            <w:r w:rsidRPr="00453DBE">
              <w:rPr>
                <w:sz w:val="18"/>
                <w:szCs w:val="18"/>
                <w:vertAlign w:val="superscript"/>
              </w:rPr>
              <w:t>2</w:t>
            </w:r>
          </w:p>
        </w:tc>
      </w:tr>
      <w:tr w:rsidR="00737EB2" w:rsidRPr="00765F6E" w14:paraId="6528847D" w14:textId="77777777" w:rsidTr="00871D47">
        <w:trPr>
          <w:trHeight w:val="176"/>
          <w:jc w:val="center"/>
        </w:trPr>
        <w:tc>
          <w:tcPr>
            <w:tcW w:w="895" w:type="pct"/>
            <w:vMerge/>
            <w:tcBorders>
              <w:left w:val="single" w:sz="8" w:space="0" w:color="auto"/>
            </w:tcBorders>
            <w:shd w:val="clear" w:color="auto" w:fill="auto"/>
            <w:vAlign w:val="center"/>
          </w:tcPr>
          <w:p w14:paraId="2BA141C6" w14:textId="77777777" w:rsidR="00737EB2" w:rsidRPr="000553A7" w:rsidRDefault="00737EB2" w:rsidP="000553A7">
            <w:pPr>
              <w:jc w:val="center"/>
              <w:rPr>
                <w:rFonts w:ascii="宋体" w:hAnsi="宋体" w:cs="宋体"/>
                <w:sz w:val="18"/>
                <w:szCs w:val="18"/>
              </w:rPr>
            </w:pPr>
          </w:p>
        </w:tc>
        <w:tc>
          <w:tcPr>
            <w:tcW w:w="1286" w:type="pct"/>
            <w:tcBorders>
              <w:top w:val="single" w:sz="8" w:space="0" w:color="auto"/>
              <w:bottom w:val="single" w:sz="8" w:space="0" w:color="auto"/>
            </w:tcBorders>
            <w:shd w:val="clear" w:color="auto" w:fill="auto"/>
            <w:vAlign w:val="center"/>
          </w:tcPr>
          <w:p w14:paraId="646523E4" w14:textId="706A00E3" w:rsidR="00737EB2" w:rsidRPr="00453DBE" w:rsidRDefault="00737EB2" w:rsidP="00453DBE">
            <w:pPr>
              <w:pStyle w:val="afffffffff1"/>
              <w:numPr>
                <w:ilvl w:val="0"/>
                <w:numId w:val="0"/>
              </w:numPr>
              <w:jc w:val="center"/>
              <w:rPr>
                <w:sz w:val="18"/>
                <w:szCs w:val="18"/>
              </w:rPr>
            </w:pPr>
            <w:r w:rsidRPr="00453DBE">
              <w:rPr>
                <w:rFonts w:hint="eastAsia"/>
                <w:sz w:val="18"/>
                <w:szCs w:val="18"/>
              </w:rPr>
              <w:t>动拖比</w:t>
            </w:r>
            <w:r w:rsidRPr="00453DBE">
              <w:rPr>
                <w:sz w:val="18"/>
                <w:szCs w:val="18"/>
              </w:rPr>
              <w:t>1</w:t>
            </w:r>
            <w:r w:rsidR="00C3698C">
              <w:rPr>
                <w:rFonts w:hint="eastAsia"/>
                <w:sz w:val="18"/>
                <w:szCs w:val="18"/>
              </w:rPr>
              <w:t>∶</w:t>
            </w:r>
            <w:r w:rsidRPr="00453DBE">
              <w:rPr>
                <w:sz w:val="18"/>
                <w:szCs w:val="18"/>
              </w:rPr>
              <w:t>1</w:t>
            </w:r>
          </w:p>
        </w:tc>
        <w:tc>
          <w:tcPr>
            <w:tcW w:w="1266" w:type="pct"/>
            <w:tcBorders>
              <w:top w:val="single" w:sz="8" w:space="0" w:color="auto"/>
              <w:bottom w:val="single" w:sz="8" w:space="0" w:color="auto"/>
              <w:right w:val="single" w:sz="8" w:space="0" w:color="auto"/>
            </w:tcBorders>
            <w:shd w:val="clear" w:color="auto" w:fill="auto"/>
            <w:vAlign w:val="center"/>
          </w:tcPr>
          <w:p w14:paraId="171ECF4D" w14:textId="2DB108B7" w:rsidR="00737EB2" w:rsidRPr="00453DBE" w:rsidRDefault="00737EB2" w:rsidP="00453DBE">
            <w:pPr>
              <w:pStyle w:val="afffffffff1"/>
              <w:numPr>
                <w:ilvl w:val="0"/>
                <w:numId w:val="0"/>
              </w:numPr>
              <w:jc w:val="center"/>
              <w:rPr>
                <w:sz w:val="18"/>
                <w:szCs w:val="18"/>
              </w:rPr>
            </w:pPr>
            <w:r w:rsidRPr="00453DBE">
              <w:rPr>
                <w:rFonts w:hint="eastAsia"/>
                <w:sz w:val="18"/>
                <w:szCs w:val="18"/>
              </w:rPr>
              <w:t>动拖比≥</w:t>
            </w:r>
            <w:r w:rsidRPr="00453DBE">
              <w:rPr>
                <w:sz w:val="18"/>
                <w:szCs w:val="18"/>
              </w:rPr>
              <w:t>2</w:t>
            </w:r>
            <w:r w:rsidR="00C3698C">
              <w:rPr>
                <w:rFonts w:hint="eastAsia"/>
                <w:sz w:val="18"/>
                <w:szCs w:val="18"/>
              </w:rPr>
              <w:t>∶</w:t>
            </w:r>
            <w:r w:rsidRPr="00453DBE">
              <w:rPr>
                <w:sz w:val="18"/>
                <w:szCs w:val="18"/>
              </w:rPr>
              <w:t>1</w:t>
            </w:r>
          </w:p>
        </w:tc>
        <w:tc>
          <w:tcPr>
            <w:tcW w:w="1553" w:type="pct"/>
            <w:tcBorders>
              <w:top w:val="single" w:sz="8" w:space="0" w:color="auto"/>
              <w:bottom w:val="single" w:sz="8" w:space="0" w:color="auto"/>
              <w:right w:val="single" w:sz="8" w:space="0" w:color="auto"/>
            </w:tcBorders>
            <w:shd w:val="clear" w:color="auto" w:fill="auto"/>
            <w:vAlign w:val="center"/>
          </w:tcPr>
          <w:p w14:paraId="14037EEA" w14:textId="77777777" w:rsidR="00737EB2" w:rsidRPr="00453DBE" w:rsidRDefault="00737EB2" w:rsidP="00453DBE">
            <w:pPr>
              <w:pStyle w:val="afffffffff1"/>
              <w:numPr>
                <w:ilvl w:val="0"/>
                <w:numId w:val="0"/>
              </w:numPr>
              <w:jc w:val="center"/>
              <w:rPr>
                <w:sz w:val="18"/>
                <w:szCs w:val="18"/>
              </w:rPr>
            </w:pPr>
            <w:r w:rsidRPr="00453DBE">
              <w:rPr>
                <w:rFonts w:hint="eastAsia"/>
                <w:sz w:val="18"/>
                <w:szCs w:val="18"/>
              </w:rPr>
              <w:t>－</w:t>
            </w:r>
          </w:p>
        </w:tc>
      </w:tr>
      <w:tr w:rsidR="00737EB2" w:rsidRPr="00765F6E" w14:paraId="45EA5149" w14:textId="77777777" w:rsidTr="00871D47">
        <w:trPr>
          <w:trHeight w:val="176"/>
          <w:jc w:val="center"/>
        </w:trPr>
        <w:tc>
          <w:tcPr>
            <w:tcW w:w="895" w:type="pct"/>
            <w:tcBorders>
              <w:top w:val="single" w:sz="8" w:space="0" w:color="auto"/>
              <w:left w:val="single" w:sz="8" w:space="0" w:color="auto"/>
            </w:tcBorders>
            <w:shd w:val="clear" w:color="auto" w:fill="auto"/>
            <w:vAlign w:val="center"/>
          </w:tcPr>
          <w:p w14:paraId="5E6F9310" w14:textId="77777777" w:rsidR="00737EB2" w:rsidRPr="00453DBE" w:rsidRDefault="00737EB2" w:rsidP="00453DBE">
            <w:pPr>
              <w:pStyle w:val="afffffffff1"/>
              <w:numPr>
                <w:ilvl w:val="0"/>
                <w:numId w:val="0"/>
              </w:numPr>
              <w:jc w:val="center"/>
              <w:rPr>
                <w:sz w:val="18"/>
                <w:szCs w:val="18"/>
              </w:rPr>
            </w:pPr>
            <w:r w:rsidRPr="00453DBE">
              <w:rPr>
                <w:sz w:val="18"/>
                <w:szCs w:val="18"/>
              </w:rPr>
              <w:t>120</w:t>
            </w:r>
          </w:p>
        </w:tc>
        <w:tc>
          <w:tcPr>
            <w:tcW w:w="1286" w:type="pct"/>
            <w:tcBorders>
              <w:top w:val="single" w:sz="8" w:space="0" w:color="auto"/>
            </w:tcBorders>
            <w:shd w:val="clear" w:color="auto" w:fill="auto"/>
            <w:vAlign w:val="center"/>
          </w:tcPr>
          <w:p w14:paraId="7969BCFA" w14:textId="77777777" w:rsidR="00737EB2" w:rsidRPr="00453DBE" w:rsidRDefault="00737EB2" w:rsidP="00453DBE">
            <w:pPr>
              <w:pStyle w:val="afffffffff1"/>
              <w:numPr>
                <w:ilvl w:val="0"/>
                <w:numId w:val="0"/>
              </w:numPr>
              <w:jc w:val="center"/>
              <w:rPr>
                <w:sz w:val="18"/>
                <w:szCs w:val="18"/>
              </w:rPr>
            </w:pPr>
            <w:r w:rsidRPr="00453DBE">
              <w:rPr>
                <w:rFonts w:hint="eastAsia"/>
                <w:sz w:val="18"/>
                <w:szCs w:val="18"/>
              </w:rPr>
              <w:t>≥</w:t>
            </w:r>
            <w:r w:rsidRPr="00453DBE">
              <w:rPr>
                <w:sz w:val="18"/>
                <w:szCs w:val="18"/>
              </w:rPr>
              <w:t>1.0</w:t>
            </w:r>
          </w:p>
        </w:tc>
        <w:tc>
          <w:tcPr>
            <w:tcW w:w="1266" w:type="pct"/>
            <w:tcBorders>
              <w:top w:val="single" w:sz="8" w:space="0" w:color="auto"/>
              <w:right w:val="single" w:sz="8" w:space="0" w:color="auto"/>
            </w:tcBorders>
            <w:shd w:val="clear" w:color="auto" w:fill="auto"/>
            <w:vAlign w:val="center"/>
          </w:tcPr>
          <w:p w14:paraId="6883BFCC" w14:textId="77777777" w:rsidR="00737EB2" w:rsidRPr="00453DBE" w:rsidRDefault="00737EB2" w:rsidP="00453DBE">
            <w:pPr>
              <w:pStyle w:val="afffffffff1"/>
              <w:numPr>
                <w:ilvl w:val="0"/>
                <w:numId w:val="0"/>
              </w:numPr>
              <w:jc w:val="center"/>
              <w:rPr>
                <w:sz w:val="18"/>
                <w:szCs w:val="18"/>
              </w:rPr>
            </w:pPr>
            <w:r w:rsidRPr="00453DBE">
              <w:rPr>
                <w:rFonts w:hint="eastAsia"/>
                <w:sz w:val="18"/>
                <w:szCs w:val="18"/>
              </w:rPr>
              <w:t>≥</w:t>
            </w:r>
            <w:r w:rsidRPr="00453DBE">
              <w:rPr>
                <w:sz w:val="18"/>
                <w:szCs w:val="18"/>
              </w:rPr>
              <w:t>1.0</w:t>
            </w:r>
          </w:p>
        </w:tc>
        <w:tc>
          <w:tcPr>
            <w:tcW w:w="1553" w:type="pct"/>
            <w:tcBorders>
              <w:top w:val="single" w:sz="8" w:space="0" w:color="auto"/>
              <w:right w:val="single" w:sz="8" w:space="0" w:color="auto"/>
            </w:tcBorders>
            <w:shd w:val="clear" w:color="auto" w:fill="auto"/>
            <w:vAlign w:val="center"/>
          </w:tcPr>
          <w:p w14:paraId="2161F46A" w14:textId="77777777" w:rsidR="00737EB2" w:rsidRPr="00453DBE" w:rsidRDefault="00737EB2" w:rsidP="00453DBE">
            <w:pPr>
              <w:pStyle w:val="afffffffff1"/>
              <w:numPr>
                <w:ilvl w:val="0"/>
                <w:numId w:val="0"/>
              </w:numPr>
              <w:jc w:val="center"/>
              <w:rPr>
                <w:sz w:val="18"/>
                <w:szCs w:val="18"/>
              </w:rPr>
            </w:pPr>
            <w:r w:rsidRPr="00453DBE">
              <w:rPr>
                <w:rFonts w:hint="eastAsia"/>
                <w:sz w:val="18"/>
                <w:szCs w:val="18"/>
              </w:rPr>
              <w:t>≥</w:t>
            </w:r>
            <w:r w:rsidRPr="00453DBE">
              <w:rPr>
                <w:sz w:val="18"/>
                <w:szCs w:val="18"/>
              </w:rPr>
              <w:t>1.2</w:t>
            </w:r>
          </w:p>
        </w:tc>
      </w:tr>
      <w:tr w:rsidR="00737EB2" w:rsidRPr="00765F6E" w14:paraId="734BFB34" w14:textId="77777777" w:rsidTr="00871D47">
        <w:trPr>
          <w:trHeight w:val="176"/>
          <w:jc w:val="center"/>
        </w:trPr>
        <w:tc>
          <w:tcPr>
            <w:tcW w:w="895" w:type="pct"/>
            <w:tcBorders>
              <w:left w:val="single" w:sz="8" w:space="0" w:color="auto"/>
            </w:tcBorders>
            <w:shd w:val="clear" w:color="auto" w:fill="auto"/>
            <w:vAlign w:val="center"/>
          </w:tcPr>
          <w:p w14:paraId="493D4200" w14:textId="77777777" w:rsidR="00737EB2" w:rsidRPr="00453DBE" w:rsidRDefault="00737EB2" w:rsidP="00453DBE">
            <w:pPr>
              <w:pStyle w:val="afffffffff1"/>
              <w:numPr>
                <w:ilvl w:val="0"/>
                <w:numId w:val="0"/>
              </w:numPr>
              <w:jc w:val="center"/>
              <w:rPr>
                <w:sz w:val="18"/>
                <w:szCs w:val="18"/>
              </w:rPr>
            </w:pPr>
            <w:r w:rsidRPr="00453DBE">
              <w:rPr>
                <w:sz w:val="18"/>
                <w:szCs w:val="18"/>
              </w:rPr>
              <w:t>140</w:t>
            </w:r>
          </w:p>
        </w:tc>
        <w:tc>
          <w:tcPr>
            <w:tcW w:w="1286" w:type="pct"/>
            <w:shd w:val="clear" w:color="auto" w:fill="auto"/>
            <w:vAlign w:val="center"/>
          </w:tcPr>
          <w:p w14:paraId="4E19C3BB" w14:textId="77777777" w:rsidR="00737EB2" w:rsidRPr="00453DBE" w:rsidRDefault="00737EB2" w:rsidP="00453DBE">
            <w:pPr>
              <w:pStyle w:val="afffffffff1"/>
              <w:numPr>
                <w:ilvl w:val="0"/>
                <w:numId w:val="0"/>
              </w:numPr>
              <w:jc w:val="center"/>
              <w:rPr>
                <w:sz w:val="18"/>
                <w:szCs w:val="18"/>
              </w:rPr>
            </w:pPr>
            <w:r w:rsidRPr="00453DBE">
              <w:rPr>
                <w:rFonts w:hint="eastAsia"/>
                <w:sz w:val="18"/>
                <w:szCs w:val="18"/>
              </w:rPr>
              <w:t>≥</w:t>
            </w:r>
            <w:r w:rsidRPr="00453DBE">
              <w:rPr>
                <w:sz w:val="18"/>
                <w:szCs w:val="18"/>
              </w:rPr>
              <w:t>0.9</w:t>
            </w:r>
            <w:r w:rsidRPr="00453DBE">
              <w:rPr>
                <w:rFonts w:hint="eastAsia"/>
                <w:sz w:val="18"/>
                <w:szCs w:val="18"/>
              </w:rPr>
              <w:t>或≥</w:t>
            </w:r>
            <w:r w:rsidRPr="00453DBE">
              <w:rPr>
                <w:sz w:val="18"/>
                <w:szCs w:val="18"/>
              </w:rPr>
              <w:t>1.0</w:t>
            </w:r>
          </w:p>
        </w:tc>
        <w:tc>
          <w:tcPr>
            <w:tcW w:w="1266" w:type="pct"/>
            <w:tcBorders>
              <w:right w:val="single" w:sz="8" w:space="0" w:color="auto"/>
            </w:tcBorders>
            <w:shd w:val="clear" w:color="auto" w:fill="auto"/>
            <w:vAlign w:val="center"/>
          </w:tcPr>
          <w:p w14:paraId="4D76AC95" w14:textId="77777777" w:rsidR="00737EB2" w:rsidRPr="00453DBE" w:rsidRDefault="00737EB2" w:rsidP="00453DBE">
            <w:pPr>
              <w:pStyle w:val="afffffffff1"/>
              <w:numPr>
                <w:ilvl w:val="0"/>
                <w:numId w:val="0"/>
              </w:numPr>
              <w:jc w:val="center"/>
              <w:rPr>
                <w:sz w:val="18"/>
                <w:szCs w:val="18"/>
              </w:rPr>
            </w:pPr>
            <w:r w:rsidRPr="00453DBE">
              <w:rPr>
                <w:rFonts w:hint="eastAsia"/>
                <w:sz w:val="18"/>
                <w:szCs w:val="18"/>
              </w:rPr>
              <w:t>≥</w:t>
            </w:r>
            <w:r w:rsidRPr="00453DBE">
              <w:rPr>
                <w:sz w:val="18"/>
                <w:szCs w:val="18"/>
              </w:rPr>
              <w:t>1.0</w:t>
            </w:r>
          </w:p>
        </w:tc>
        <w:tc>
          <w:tcPr>
            <w:tcW w:w="1553" w:type="pct"/>
            <w:tcBorders>
              <w:right w:val="single" w:sz="8" w:space="0" w:color="auto"/>
            </w:tcBorders>
            <w:shd w:val="clear" w:color="auto" w:fill="auto"/>
            <w:vAlign w:val="center"/>
          </w:tcPr>
          <w:p w14:paraId="5CC7AD30" w14:textId="77777777" w:rsidR="00737EB2" w:rsidRPr="00453DBE" w:rsidRDefault="00737EB2" w:rsidP="00453DBE">
            <w:pPr>
              <w:pStyle w:val="afffffffff1"/>
              <w:numPr>
                <w:ilvl w:val="0"/>
                <w:numId w:val="0"/>
              </w:numPr>
              <w:jc w:val="center"/>
              <w:rPr>
                <w:sz w:val="18"/>
                <w:szCs w:val="18"/>
              </w:rPr>
            </w:pPr>
            <w:r w:rsidRPr="00453DBE">
              <w:rPr>
                <w:rFonts w:hint="eastAsia"/>
                <w:sz w:val="18"/>
                <w:szCs w:val="18"/>
              </w:rPr>
              <w:t>≥</w:t>
            </w:r>
            <w:r w:rsidRPr="00453DBE">
              <w:rPr>
                <w:sz w:val="18"/>
                <w:szCs w:val="18"/>
              </w:rPr>
              <w:t>1.1</w:t>
            </w:r>
            <w:r w:rsidRPr="00453DBE">
              <w:rPr>
                <w:rFonts w:hint="eastAsia"/>
                <w:sz w:val="18"/>
                <w:szCs w:val="18"/>
              </w:rPr>
              <w:t>或≥</w:t>
            </w:r>
            <w:r w:rsidRPr="00453DBE">
              <w:rPr>
                <w:sz w:val="18"/>
                <w:szCs w:val="18"/>
              </w:rPr>
              <w:t>1.2</w:t>
            </w:r>
          </w:p>
        </w:tc>
      </w:tr>
      <w:tr w:rsidR="00737EB2" w:rsidRPr="00765F6E" w14:paraId="0FC0681C" w14:textId="77777777" w:rsidTr="00871D47">
        <w:trPr>
          <w:trHeight w:val="176"/>
          <w:jc w:val="center"/>
        </w:trPr>
        <w:tc>
          <w:tcPr>
            <w:tcW w:w="895" w:type="pct"/>
            <w:tcBorders>
              <w:left w:val="single" w:sz="8" w:space="0" w:color="auto"/>
              <w:bottom w:val="single" w:sz="8" w:space="0" w:color="auto"/>
            </w:tcBorders>
            <w:shd w:val="clear" w:color="auto" w:fill="auto"/>
            <w:vAlign w:val="center"/>
          </w:tcPr>
          <w:p w14:paraId="44F0E1E4" w14:textId="77777777" w:rsidR="00737EB2" w:rsidRPr="00453DBE" w:rsidRDefault="00737EB2" w:rsidP="00453DBE">
            <w:pPr>
              <w:pStyle w:val="afffffffff1"/>
              <w:numPr>
                <w:ilvl w:val="0"/>
                <w:numId w:val="0"/>
              </w:numPr>
              <w:jc w:val="center"/>
              <w:rPr>
                <w:sz w:val="18"/>
                <w:szCs w:val="18"/>
              </w:rPr>
            </w:pPr>
            <w:r w:rsidRPr="00453DBE">
              <w:rPr>
                <w:sz w:val="18"/>
                <w:szCs w:val="18"/>
              </w:rPr>
              <w:t>160</w:t>
            </w:r>
          </w:p>
        </w:tc>
        <w:tc>
          <w:tcPr>
            <w:tcW w:w="1286" w:type="pct"/>
            <w:tcBorders>
              <w:bottom w:val="single" w:sz="8" w:space="0" w:color="auto"/>
            </w:tcBorders>
            <w:shd w:val="clear" w:color="auto" w:fill="auto"/>
            <w:vAlign w:val="center"/>
          </w:tcPr>
          <w:p w14:paraId="6816C629" w14:textId="77777777" w:rsidR="00737EB2" w:rsidRPr="00453DBE" w:rsidRDefault="00737EB2" w:rsidP="00453DBE">
            <w:pPr>
              <w:pStyle w:val="afffffffff1"/>
              <w:numPr>
                <w:ilvl w:val="0"/>
                <w:numId w:val="0"/>
              </w:numPr>
              <w:jc w:val="center"/>
              <w:rPr>
                <w:sz w:val="18"/>
                <w:szCs w:val="18"/>
              </w:rPr>
            </w:pPr>
            <w:r w:rsidRPr="00453DBE">
              <w:rPr>
                <w:rFonts w:hint="eastAsia"/>
                <w:sz w:val="18"/>
                <w:szCs w:val="18"/>
              </w:rPr>
              <w:t>≥</w:t>
            </w:r>
            <w:r w:rsidRPr="00453DBE">
              <w:rPr>
                <w:sz w:val="18"/>
                <w:szCs w:val="18"/>
              </w:rPr>
              <w:t>0.8</w:t>
            </w:r>
            <w:r w:rsidRPr="00453DBE">
              <w:rPr>
                <w:rFonts w:hint="eastAsia"/>
                <w:sz w:val="18"/>
                <w:szCs w:val="18"/>
              </w:rPr>
              <w:t>或≥</w:t>
            </w:r>
            <w:r w:rsidRPr="00453DBE">
              <w:rPr>
                <w:sz w:val="18"/>
                <w:szCs w:val="18"/>
              </w:rPr>
              <w:t>1.0</w:t>
            </w:r>
          </w:p>
        </w:tc>
        <w:tc>
          <w:tcPr>
            <w:tcW w:w="1266" w:type="pct"/>
            <w:tcBorders>
              <w:bottom w:val="single" w:sz="8" w:space="0" w:color="auto"/>
              <w:right w:val="single" w:sz="8" w:space="0" w:color="auto"/>
            </w:tcBorders>
            <w:shd w:val="clear" w:color="auto" w:fill="auto"/>
            <w:vAlign w:val="center"/>
          </w:tcPr>
          <w:p w14:paraId="4CBD0708" w14:textId="77777777" w:rsidR="00737EB2" w:rsidRPr="00453DBE" w:rsidRDefault="00737EB2" w:rsidP="00453DBE">
            <w:pPr>
              <w:pStyle w:val="afffffffff1"/>
              <w:numPr>
                <w:ilvl w:val="0"/>
                <w:numId w:val="0"/>
              </w:numPr>
              <w:jc w:val="center"/>
              <w:rPr>
                <w:sz w:val="18"/>
                <w:szCs w:val="18"/>
              </w:rPr>
            </w:pPr>
            <w:r w:rsidRPr="00453DBE">
              <w:rPr>
                <w:rFonts w:hint="eastAsia"/>
                <w:sz w:val="18"/>
                <w:szCs w:val="18"/>
              </w:rPr>
              <w:t>≥</w:t>
            </w:r>
            <w:r w:rsidRPr="00453DBE">
              <w:rPr>
                <w:sz w:val="18"/>
                <w:szCs w:val="18"/>
              </w:rPr>
              <w:t>0.9</w:t>
            </w:r>
            <w:r w:rsidRPr="00453DBE">
              <w:rPr>
                <w:rFonts w:hint="eastAsia"/>
                <w:sz w:val="18"/>
                <w:szCs w:val="18"/>
              </w:rPr>
              <w:t>或≥</w:t>
            </w:r>
            <w:r w:rsidRPr="00453DBE">
              <w:rPr>
                <w:sz w:val="18"/>
                <w:szCs w:val="18"/>
              </w:rPr>
              <w:t>1.0</w:t>
            </w:r>
          </w:p>
        </w:tc>
        <w:tc>
          <w:tcPr>
            <w:tcW w:w="1553" w:type="pct"/>
            <w:tcBorders>
              <w:bottom w:val="single" w:sz="8" w:space="0" w:color="auto"/>
              <w:right w:val="single" w:sz="8" w:space="0" w:color="auto"/>
            </w:tcBorders>
            <w:shd w:val="clear" w:color="auto" w:fill="auto"/>
            <w:vAlign w:val="center"/>
          </w:tcPr>
          <w:p w14:paraId="0AC3AC94" w14:textId="77777777" w:rsidR="00737EB2" w:rsidRPr="00453DBE" w:rsidRDefault="00737EB2" w:rsidP="00453DBE">
            <w:pPr>
              <w:pStyle w:val="afffffffff1"/>
              <w:numPr>
                <w:ilvl w:val="0"/>
                <w:numId w:val="0"/>
              </w:numPr>
              <w:jc w:val="center"/>
              <w:rPr>
                <w:sz w:val="18"/>
                <w:szCs w:val="18"/>
              </w:rPr>
            </w:pPr>
            <w:r w:rsidRPr="00453DBE">
              <w:rPr>
                <w:rFonts w:hint="eastAsia"/>
                <w:sz w:val="18"/>
                <w:szCs w:val="18"/>
              </w:rPr>
              <w:t>≥</w:t>
            </w:r>
            <w:r w:rsidRPr="00453DBE">
              <w:rPr>
                <w:sz w:val="18"/>
                <w:szCs w:val="18"/>
              </w:rPr>
              <w:t>1.0</w:t>
            </w:r>
            <w:r w:rsidRPr="00453DBE">
              <w:rPr>
                <w:rFonts w:hint="eastAsia"/>
                <w:sz w:val="18"/>
                <w:szCs w:val="18"/>
              </w:rPr>
              <w:t>或≥</w:t>
            </w:r>
            <w:r w:rsidRPr="00453DBE">
              <w:rPr>
                <w:sz w:val="18"/>
                <w:szCs w:val="18"/>
              </w:rPr>
              <w:t>1.1</w:t>
            </w:r>
          </w:p>
        </w:tc>
      </w:tr>
      <w:tr w:rsidR="00737EB2" w:rsidRPr="00765F6E" w14:paraId="75D882B2" w14:textId="77777777" w:rsidTr="00871D47">
        <w:trPr>
          <w:trHeight w:val="176"/>
          <w:jc w:val="center"/>
        </w:trPr>
        <w:tc>
          <w:tcPr>
            <w:tcW w:w="5000" w:type="pct"/>
            <w:gridSpan w:val="4"/>
            <w:tcBorders>
              <w:top w:val="single" w:sz="8" w:space="0" w:color="auto"/>
              <w:left w:val="single" w:sz="8" w:space="0" w:color="auto"/>
              <w:bottom w:val="single" w:sz="8" w:space="0" w:color="auto"/>
              <w:right w:val="single" w:sz="8" w:space="0" w:color="auto"/>
            </w:tcBorders>
            <w:shd w:val="clear" w:color="auto" w:fill="auto"/>
            <w:vAlign w:val="center"/>
          </w:tcPr>
          <w:p w14:paraId="6366B271" w14:textId="77777777" w:rsidR="00737EB2" w:rsidRPr="00765F6E" w:rsidRDefault="00737EB2" w:rsidP="00871D47">
            <w:pPr>
              <w:pStyle w:val="a6"/>
              <w:numPr>
                <w:ilvl w:val="0"/>
                <w:numId w:val="0"/>
              </w:numPr>
              <w:ind w:firstLineChars="100" w:firstLine="181"/>
            </w:pPr>
            <w:r w:rsidRPr="00780E3D">
              <w:rPr>
                <w:rFonts w:hint="eastAsia"/>
                <w:b/>
              </w:rPr>
              <w:t>注</w:t>
            </w:r>
            <w:r w:rsidRPr="00765F6E">
              <w:rPr>
                <w:rFonts w:hint="eastAsia"/>
              </w:rPr>
              <w:t>：</w:t>
            </w:r>
            <w:r w:rsidRPr="00765F6E">
              <w:t>制动减速度根据列车编组形式及线路条件综合确定。</w:t>
            </w:r>
          </w:p>
        </w:tc>
      </w:tr>
    </w:tbl>
    <w:p w14:paraId="0E1AEB37" w14:textId="77777777" w:rsidR="00737EB2" w:rsidRPr="00780E3D" w:rsidRDefault="00737EB2" w:rsidP="00737EB2">
      <w:pPr>
        <w:pStyle w:val="a6"/>
        <w:numPr>
          <w:ilvl w:val="0"/>
          <w:numId w:val="0"/>
        </w:numPr>
        <w:ind w:firstLineChars="100" w:firstLine="181"/>
        <w:rPr>
          <w:b/>
        </w:rPr>
      </w:pPr>
    </w:p>
    <w:p w14:paraId="39BE5CE5" w14:textId="77777777" w:rsidR="00737EB2" w:rsidRPr="00CA33AB" w:rsidRDefault="00737EB2" w:rsidP="009D0776">
      <w:pPr>
        <w:pStyle w:val="22"/>
      </w:pPr>
      <w:bookmarkStart w:id="391" w:name="_Toc99791536"/>
      <w:bookmarkStart w:id="392" w:name="_Toc153290975"/>
      <w:r w:rsidRPr="00CA33AB">
        <w:rPr>
          <w:rFonts w:hint="eastAsia"/>
        </w:rPr>
        <w:t>列车应具有下列故障运行能力</w:t>
      </w:r>
      <w:bookmarkEnd w:id="391"/>
      <w:bookmarkEnd w:id="392"/>
      <w:r w:rsidRPr="00CA33AB">
        <w:rPr>
          <w:rFonts w:hint="eastAsia"/>
        </w:rPr>
        <w:t>：</w:t>
      </w:r>
    </w:p>
    <w:p w14:paraId="56FE94B5" w14:textId="77777777" w:rsidR="00737EB2" w:rsidRPr="00453DBE" w:rsidRDefault="00737EB2" w:rsidP="003334F3">
      <w:pPr>
        <w:pStyle w:val="af6"/>
        <w:numPr>
          <w:ilvl w:val="0"/>
          <w:numId w:val="343"/>
        </w:numPr>
        <w:snapToGrid w:val="0"/>
        <w:contextualSpacing/>
        <w:rPr>
          <w:rFonts w:hAnsi="宋体"/>
        </w:rPr>
      </w:pPr>
      <w:r w:rsidRPr="00453DBE">
        <w:rPr>
          <w:rFonts w:hAnsi="宋体" w:hint="eastAsia"/>
        </w:rPr>
        <w:t>列车在超员载荷（AW3）下，当损失不大于1/4动力时，列车能完成一次单程运行；</w:t>
      </w:r>
    </w:p>
    <w:p w14:paraId="7F9BC395" w14:textId="7BA81EE2" w:rsidR="00737EB2" w:rsidRPr="00BF0BA3" w:rsidRDefault="00737EB2" w:rsidP="00737EB2">
      <w:pPr>
        <w:pStyle w:val="af6"/>
        <w:tabs>
          <w:tab w:val="left" w:pos="851"/>
        </w:tabs>
        <w:snapToGrid w:val="0"/>
        <w:contextualSpacing/>
        <w:rPr>
          <w:rFonts w:hAnsi="宋体"/>
        </w:rPr>
      </w:pPr>
      <w:r w:rsidRPr="00CA33AB">
        <w:rPr>
          <w:rFonts w:hAnsi="宋体" w:hint="eastAsia"/>
        </w:rPr>
        <w:t>列车在超员载荷（AW3）下，对于动拖比为1</w:t>
      </w:r>
      <w:r w:rsidR="00C3698C" w:rsidRPr="00D56CF9">
        <w:rPr>
          <w:rFonts w:hAnsi="宋体" w:hint="eastAsia"/>
        </w:rPr>
        <w:t>∶</w:t>
      </w:r>
      <w:r w:rsidRPr="00BF0BA3">
        <w:rPr>
          <w:rFonts w:hAnsi="宋体" w:hint="eastAsia"/>
        </w:rPr>
        <w:t>1的列车，当损失1/2动力时，列车能在30‰坡道上起动，并行驶到最近车站；</w:t>
      </w:r>
    </w:p>
    <w:p w14:paraId="15AB378C" w14:textId="7BB5AC19" w:rsidR="00737EB2" w:rsidRPr="00BF0BA3" w:rsidRDefault="00737EB2" w:rsidP="00737EB2">
      <w:pPr>
        <w:pStyle w:val="af6"/>
        <w:tabs>
          <w:tab w:val="left" w:pos="851"/>
        </w:tabs>
        <w:snapToGrid w:val="0"/>
        <w:contextualSpacing/>
        <w:rPr>
          <w:rFonts w:hAnsi="宋体"/>
        </w:rPr>
      </w:pPr>
      <w:r w:rsidRPr="00BF0BA3">
        <w:rPr>
          <w:rFonts w:hAnsi="宋体" w:hint="eastAsia"/>
        </w:rPr>
        <w:t>列车在超员载荷（AW3）下，对于动拖比大于或等于2</w:t>
      </w:r>
      <w:r w:rsidR="00C3698C" w:rsidRPr="00D56CF9">
        <w:rPr>
          <w:rFonts w:hAnsi="宋体" w:hint="eastAsia"/>
        </w:rPr>
        <w:t>∶</w:t>
      </w:r>
      <w:r w:rsidRPr="00BF0BA3">
        <w:rPr>
          <w:rFonts w:hAnsi="宋体" w:hint="eastAsia"/>
        </w:rPr>
        <w:t>1的列车，当损失1/2动力时，列车能在35‰坡道上起动，并行驶到最近车站；</w:t>
      </w:r>
    </w:p>
    <w:p w14:paraId="647EB89E" w14:textId="77777777" w:rsidR="00737EB2" w:rsidRPr="00BF0BA3" w:rsidRDefault="00737EB2" w:rsidP="00737EB2">
      <w:pPr>
        <w:pStyle w:val="af6"/>
        <w:tabs>
          <w:tab w:val="left" w:pos="851"/>
        </w:tabs>
        <w:snapToGrid w:val="0"/>
        <w:contextualSpacing/>
        <w:rPr>
          <w:rFonts w:hAnsi="宋体"/>
        </w:rPr>
      </w:pPr>
      <w:r w:rsidRPr="00BF0BA3">
        <w:rPr>
          <w:rFonts w:hAnsi="宋体" w:hint="eastAsia"/>
        </w:rPr>
        <w:t>列车在空车载荷（AW0）下，当损失不大于1/2动力时，列车能在正线最大的坡道上起动，并返回车辆基地。</w:t>
      </w:r>
    </w:p>
    <w:p w14:paraId="6C7D7F87" w14:textId="77777777" w:rsidR="00737EB2" w:rsidRPr="00BF0BA3" w:rsidRDefault="00737EB2" w:rsidP="009D0776">
      <w:pPr>
        <w:pStyle w:val="22"/>
      </w:pPr>
      <w:bookmarkStart w:id="393" w:name="_Toc153290976"/>
      <w:bookmarkStart w:id="394" w:name="_Toc99791537"/>
      <w:r w:rsidRPr="00BF0BA3">
        <w:rPr>
          <w:rFonts w:hint="eastAsia"/>
        </w:rPr>
        <w:t>列车应具有下列坡道救援能力</w:t>
      </w:r>
      <w:bookmarkEnd w:id="393"/>
      <w:bookmarkEnd w:id="394"/>
      <w:r w:rsidRPr="00BF0BA3">
        <w:rPr>
          <w:rFonts w:hint="eastAsia"/>
        </w:rPr>
        <w:t>：</w:t>
      </w:r>
    </w:p>
    <w:p w14:paraId="25926118" w14:textId="03983FC9" w:rsidR="00737EB2" w:rsidRPr="00BF0BA3" w:rsidRDefault="00737EB2" w:rsidP="00BC6344">
      <w:pPr>
        <w:pStyle w:val="af6"/>
        <w:numPr>
          <w:ilvl w:val="0"/>
          <w:numId w:val="354"/>
        </w:numPr>
        <w:tabs>
          <w:tab w:val="left" w:pos="851"/>
        </w:tabs>
        <w:snapToGrid w:val="0"/>
        <w:contextualSpacing/>
        <w:rPr>
          <w:rFonts w:hAnsi="宋体"/>
        </w:rPr>
      </w:pPr>
      <w:r w:rsidRPr="00BF0BA3">
        <w:rPr>
          <w:rFonts w:hAnsi="宋体" w:hint="eastAsia"/>
        </w:rPr>
        <w:t>一列空车载荷（AW0）且动拖比为1</w:t>
      </w:r>
      <w:r w:rsidR="00C3698C" w:rsidRPr="00D56CF9">
        <w:rPr>
          <w:rFonts w:hAnsi="宋体" w:hint="eastAsia"/>
        </w:rPr>
        <w:t>∶</w:t>
      </w:r>
      <w:r w:rsidRPr="00BF0BA3">
        <w:rPr>
          <w:rFonts w:hAnsi="宋体" w:hint="eastAsia"/>
        </w:rPr>
        <w:t>1的列车能将另一列停在30 ‰坡道上的相同编组超员载荷（AW3）无动力列车救援至最近的车站；</w:t>
      </w:r>
    </w:p>
    <w:p w14:paraId="7BA3A3B7" w14:textId="02D3A983" w:rsidR="00737EB2" w:rsidRPr="00CA33AB" w:rsidRDefault="00737EB2" w:rsidP="00737EB2">
      <w:pPr>
        <w:pStyle w:val="af6"/>
        <w:tabs>
          <w:tab w:val="left" w:pos="851"/>
        </w:tabs>
        <w:snapToGrid w:val="0"/>
        <w:contextualSpacing/>
        <w:rPr>
          <w:rFonts w:hAnsi="宋体"/>
        </w:rPr>
      </w:pPr>
      <w:r w:rsidRPr="00BF0BA3">
        <w:rPr>
          <w:rFonts w:hAnsi="宋体" w:hint="eastAsia"/>
        </w:rPr>
        <w:t>一列空车载荷（AW0）动拖比大于或等于2</w:t>
      </w:r>
      <w:r w:rsidR="00C3698C" w:rsidRPr="00D56CF9">
        <w:rPr>
          <w:rFonts w:hAnsi="宋体" w:hint="eastAsia"/>
        </w:rPr>
        <w:t>∶</w:t>
      </w:r>
      <w:r w:rsidRPr="00BF0BA3">
        <w:rPr>
          <w:rFonts w:hAnsi="宋体" w:hint="eastAsia"/>
        </w:rPr>
        <w:t>1的列车能</w:t>
      </w:r>
      <w:r w:rsidRPr="00CA33AB">
        <w:rPr>
          <w:rFonts w:hAnsi="宋体" w:hint="eastAsia"/>
        </w:rPr>
        <w:t>将另一列停在35 ‰坡道上的相同编组超员载荷（AW3）无动力列车救援至最近的车站；</w:t>
      </w:r>
    </w:p>
    <w:p w14:paraId="4FCCA70E" w14:textId="77777777" w:rsidR="00737EB2" w:rsidRPr="00CA33AB" w:rsidRDefault="00737EB2" w:rsidP="00737EB2">
      <w:pPr>
        <w:pStyle w:val="af6"/>
        <w:tabs>
          <w:tab w:val="left" w:pos="851"/>
        </w:tabs>
        <w:snapToGrid w:val="0"/>
        <w:contextualSpacing/>
        <w:rPr>
          <w:rFonts w:hAnsi="宋体"/>
        </w:rPr>
      </w:pPr>
      <w:r w:rsidRPr="00CA33AB">
        <w:rPr>
          <w:rFonts w:hAnsi="宋体" w:hint="eastAsia"/>
        </w:rPr>
        <w:t>一列空车载荷（AW0）列车能将另一列停在正线最大坡道上的相同编组</w:t>
      </w:r>
      <w:r w:rsidRPr="00CA33AB">
        <w:rPr>
          <w:rFonts w:hAnsi="宋体" w:cs="宋体" w:hint="eastAsia"/>
          <w:szCs w:val="21"/>
        </w:rPr>
        <w:t>空车载荷（</w:t>
      </w:r>
      <w:r w:rsidRPr="00CA33AB">
        <w:rPr>
          <w:rFonts w:hAnsi="宋体" w:cs="宋体"/>
          <w:szCs w:val="21"/>
        </w:rPr>
        <w:t>AW</w:t>
      </w:r>
      <w:r w:rsidRPr="00CA33AB">
        <w:rPr>
          <w:rFonts w:hAnsi="宋体" w:cs="宋体" w:hint="eastAsia"/>
          <w:szCs w:val="21"/>
        </w:rPr>
        <w:t>0）</w:t>
      </w:r>
      <w:r w:rsidRPr="00CA33AB">
        <w:rPr>
          <w:rFonts w:hAnsi="宋体" w:hint="eastAsia"/>
        </w:rPr>
        <w:t>无动力列车救援到车辆基地。</w:t>
      </w:r>
    </w:p>
    <w:p w14:paraId="79319C6C" w14:textId="77777777" w:rsidR="00737EB2" w:rsidRPr="00CA33AB" w:rsidRDefault="00737EB2" w:rsidP="009D0776">
      <w:pPr>
        <w:pStyle w:val="22"/>
      </w:pPr>
      <w:bookmarkStart w:id="395" w:name="_Toc99791538"/>
      <w:bookmarkStart w:id="396" w:name="_Toc153290977"/>
      <w:r w:rsidRPr="00CA33AB">
        <w:rPr>
          <w:rFonts w:hint="eastAsia"/>
        </w:rPr>
        <w:t>车辆耐碰撞性能</w:t>
      </w:r>
      <w:bookmarkEnd w:id="395"/>
      <w:r w:rsidRPr="00CA33AB">
        <w:rPr>
          <w:rFonts w:hint="eastAsia"/>
        </w:rPr>
        <w:t>应符合表5的规定</w:t>
      </w:r>
      <w:bookmarkEnd w:id="396"/>
      <w:r w:rsidRPr="00CA33AB">
        <w:rPr>
          <w:rFonts w:hint="eastAsia"/>
        </w:rPr>
        <w:t>。</w:t>
      </w:r>
    </w:p>
    <w:p w14:paraId="7F4AE15A" w14:textId="77777777" w:rsidR="00737EB2" w:rsidRPr="00765F6E" w:rsidRDefault="00737EB2" w:rsidP="00737EB2">
      <w:pPr>
        <w:pStyle w:val="aff3"/>
        <w:spacing w:before="156" w:after="156"/>
      </w:pPr>
      <w:r w:rsidRPr="00765F6E">
        <w:rPr>
          <w:rFonts w:hint="eastAsia"/>
        </w:rPr>
        <w:lastRenderedPageBreak/>
        <w:t>车辆耐碰撞性能</w:t>
      </w:r>
    </w:p>
    <w:tbl>
      <w:tblPr>
        <w:tblW w:w="9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67"/>
        <w:gridCol w:w="7802"/>
      </w:tblGrid>
      <w:tr w:rsidR="00737EB2" w:rsidRPr="00765F6E" w14:paraId="4C7F7888" w14:textId="77777777" w:rsidTr="00871D47">
        <w:trPr>
          <w:trHeight w:val="176"/>
          <w:jc w:val="center"/>
        </w:trPr>
        <w:tc>
          <w:tcPr>
            <w:tcW w:w="1267" w:type="dxa"/>
            <w:tcBorders>
              <w:top w:val="single" w:sz="8" w:space="0" w:color="auto"/>
              <w:left w:val="single" w:sz="8" w:space="0" w:color="auto"/>
              <w:bottom w:val="single" w:sz="8" w:space="0" w:color="auto"/>
              <w:right w:val="single" w:sz="4" w:space="0" w:color="auto"/>
            </w:tcBorders>
            <w:shd w:val="clear" w:color="auto" w:fill="auto"/>
            <w:vAlign w:val="center"/>
          </w:tcPr>
          <w:p w14:paraId="76B43F4A" w14:textId="54B391D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耐碰撞速度</w:t>
            </w:r>
          </w:p>
        </w:tc>
        <w:tc>
          <w:tcPr>
            <w:tcW w:w="7802" w:type="dxa"/>
            <w:tcBorders>
              <w:top w:val="single" w:sz="8" w:space="0" w:color="auto"/>
              <w:left w:val="single" w:sz="4" w:space="0" w:color="auto"/>
              <w:bottom w:val="single" w:sz="8" w:space="0" w:color="auto"/>
              <w:right w:val="single" w:sz="8" w:space="0" w:color="auto"/>
            </w:tcBorders>
            <w:shd w:val="clear" w:color="auto" w:fill="auto"/>
            <w:vAlign w:val="center"/>
          </w:tcPr>
          <w:p w14:paraId="7BECF4FD" w14:textId="77777777" w:rsidR="00737EB2" w:rsidRPr="00765F6E" w:rsidRDefault="00737EB2" w:rsidP="00871D47">
            <w:pPr>
              <w:pStyle w:val="affffffffffff2"/>
              <w:jc w:val="center"/>
              <w:rPr>
                <w:rFonts w:hAnsi="宋体" w:cs="宋体"/>
                <w:bCs/>
                <w:spacing w:val="4"/>
                <w:sz w:val="18"/>
                <w:szCs w:val="18"/>
              </w:rPr>
            </w:pPr>
            <w:r w:rsidRPr="00765F6E">
              <w:rPr>
                <w:rFonts w:hAnsi="宋体" w:cs="宋体" w:hint="eastAsia"/>
                <w:bCs/>
                <w:spacing w:val="4"/>
                <w:sz w:val="18"/>
                <w:szCs w:val="18"/>
              </w:rPr>
              <w:t>耐碰撞能力</w:t>
            </w:r>
          </w:p>
        </w:tc>
      </w:tr>
      <w:tr w:rsidR="00737EB2" w:rsidRPr="00765F6E" w14:paraId="3204D9A9" w14:textId="77777777" w:rsidTr="00871D47">
        <w:trPr>
          <w:trHeight w:val="176"/>
          <w:jc w:val="center"/>
        </w:trPr>
        <w:tc>
          <w:tcPr>
            <w:tcW w:w="1267" w:type="dxa"/>
            <w:tcBorders>
              <w:top w:val="single" w:sz="8" w:space="0" w:color="auto"/>
              <w:left w:val="single" w:sz="8" w:space="0" w:color="auto"/>
              <w:bottom w:val="single" w:sz="4" w:space="0" w:color="auto"/>
              <w:right w:val="single" w:sz="4" w:space="0" w:color="auto"/>
            </w:tcBorders>
            <w:shd w:val="clear" w:color="auto" w:fill="auto"/>
            <w:vAlign w:val="center"/>
          </w:tcPr>
          <w:p w14:paraId="513FE587" w14:textId="6C1E1CCF"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15</w:t>
            </w:r>
            <w:r w:rsidR="000553A7" w:rsidRPr="00765F6E">
              <w:rPr>
                <w:rFonts w:hAnsi="宋体" w:cs="宋体"/>
                <w:sz w:val="18"/>
                <w:szCs w:val="18"/>
              </w:rPr>
              <w:t>km/h</w:t>
            </w:r>
          </w:p>
        </w:tc>
        <w:tc>
          <w:tcPr>
            <w:tcW w:w="7802" w:type="dxa"/>
            <w:tcBorders>
              <w:top w:val="single" w:sz="8" w:space="0" w:color="auto"/>
              <w:left w:val="single" w:sz="4" w:space="0" w:color="auto"/>
              <w:bottom w:val="single" w:sz="4" w:space="0" w:color="auto"/>
              <w:right w:val="single" w:sz="8" w:space="0" w:color="auto"/>
            </w:tcBorders>
            <w:shd w:val="clear" w:color="auto" w:fill="auto"/>
            <w:vAlign w:val="center"/>
          </w:tcPr>
          <w:p w14:paraId="1B554A01" w14:textId="77777777" w:rsidR="00737EB2" w:rsidRPr="00765F6E" w:rsidRDefault="00737EB2" w:rsidP="00871D47">
            <w:pPr>
              <w:pStyle w:val="affffffffffff2"/>
              <w:jc w:val="left"/>
              <w:rPr>
                <w:rFonts w:hAnsi="宋体" w:cs="宋体"/>
                <w:bCs/>
                <w:spacing w:val="4"/>
                <w:sz w:val="18"/>
                <w:szCs w:val="18"/>
              </w:rPr>
            </w:pPr>
            <w:r w:rsidRPr="00765F6E">
              <w:rPr>
                <w:rFonts w:hAnsi="宋体" w:cs="宋体" w:hint="eastAsia"/>
                <w:bCs/>
                <w:spacing w:val="4"/>
                <w:sz w:val="18"/>
                <w:szCs w:val="18"/>
              </w:rPr>
              <w:t>在平直轨道上，列车以15 km/h 的速度撞击另一列静止的相同列车时，车辆吸能结构应动作并吸收碰撞产生的能量，而车辆除车钩之外的结构不受损坏</w:t>
            </w:r>
          </w:p>
        </w:tc>
      </w:tr>
      <w:tr w:rsidR="00737EB2" w:rsidRPr="00765F6E" w14:paraId="09DE8F94" w14:textId="77777777" w:rsidTr="00871D47">
        <w:trPr>
          <w:trHeight w:val="176"/>
          <w:jc w:val="center"/>
        </w:trPr>
        <w:tc>
          <w:tcPr>
            <w:tcW w:w="1267" w:type="dxa"/>
            <w:tcBorders>
              <w:top w:val="single" w:sz="4" w:space="0" w:color="auto"/>
              <w:left w:val="single" w:sz="8" w:space="0" w:color="auto"/>
              <w:bottom w:val="single" w:sz="4" w:space="0" w:color="auto"/>
              <w:right w:val="single" w:sz="4" w:space="0" w:color="auto"/>
            </w:tcBorders>
            <w:shd w:val="clear" w:color="auto" w:fill="auto"/>
            <w:vAlign w:val="center"/>
          </w:tcPr>
          <w:p w14:paraId="7F1F054D" w14:textId="7D536F23"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25</w:t>
            </w:r>
            <w:r w:rsidR="000553A7" w:rsidRPr="00765F6E">
              <w:rPr>
                <w:rFonts w:hAnsi="宋体" w:cs="宋体"/>
                <w:sz w:val="18"/>
                <w:szCs w:val="18"/>
              </w:rPr>
              <w:t>km/h</w:t>
            </w:r>
          </w:p>
        </w:tc>
        <w:tc>
          <w:tcPr>
            <w:tcW w:w="7802" w:type="dxa"/>
            <w:tcBorders>
              <w:top w:val="single" w:sz="4" w:space="0" w:color="auto"/>
              <w:left w:val="single" w:sz="4" w:space="0" w:color="auto"/>
              <w:bottom w:val="single" w:sz="4" w:space="0" w:color="auto"/>
              <w:right w:val="single" w:sz="8" w:space="0" w:color="auto"/>
            </w:tcBorders>
            <w:shd w:val="clear" w:color="auto" w:fill="auto"/>
            <w:vAlign w:val="center"/>
          </w:tcPr>
          <w:p w14:paraId="641B642A" w14:textId="77777777" w:rsidR="00737EB2" w:rsidRPr="00765F6E" w:rsidRDefault="00737EB2" w:rsidP="00871D47">
            <w:pPr>
              <w:pStyle w:val="affffffffffff2"/>
              <w:jc w:val="left"/>
              <w:rPr>
                <w:rFonts w:hAnsi="宋体" w:cs="宋体"/>
                <w:bCs/>
                <w:spacing w:val="4"/>
                <w:sz w:val="18"/>
                <w:szCs w:val="18"/>
              </w:rPr>
            </w:pPr>
            <w:r w:rsidRPr="00765F6E">
              <w:rPr>
                <w:rFonts w:hAnsi="宋体" w:cs="宋体" w:hint="eastAsia"/>
                <w:bCs/>
                <w:spacing w:val="4"/>
                <w:sz w:val="18"/>
                <w:szCs w:val="18"/>
              </w:rPr>
              <w:t>在平直轨道上，列车以25 km/h 的速度撞击另一列静止的相同列车时，车辆吸能结构应动作并吸收碰撞产生的能量，而车体主结构不受损坏</w:t>
            </w:r>
          </w:p>
        </w:tc>
      </w:tr>
      <w:tr w:rsidR="00737EB2" w:rsidRPr="00765F6E" w14:paraId="2F2A1DEB" w14:textId="77777777" w:rsidTr="00871D47">
        <w:trPr>
          <w:trHeight w:val="176"/>
          <w:jc w:val="center"/>
        </w:trPr>
        <w:tc>
          <w:tcPr>
            <w:tcW w:w="9069" w:type="dxa"/>
            <w:gridSpan w:val="2"/>
            <w:tcBorders>
              <w:top w:val="single" w:sz="8" w:space="0" w:color="auto"/>
              <w:left w:val="single" w:sz="8" w:space="0" w:color="auto"/>
              <w:bottom w:val="single" w:sz="8" w:space="0" w:color="auto"/>
              <w:right w:val="single" w:sz="8" w:space="0" w:color="auto"/>
            </w:tcBorders>
            <w:shd w:val="clear" w:color="auto" w:fill="auto"/>
            <w:vAlign w:val="center"/>
          </w:tcPr>
          <w:p w14:paraId="3A36DEF5" w14:textId="77777777" w:rsidR="00737EB2" w:rsidRPr="00765F6E" w:rsidRDefault="00737EB2" w:rsidP="00871D47">
            <w:pPr>
              <w:pStyle w:val="a6"/>
              <w:numPr>
                <w:ilvl w:val="0"/>
                <w:numId w:val="0"/>
              </w:numPr>
              <w:ind w:firstLineChars="100" w:firstLine="180"/>
            </w:pPr>
            <w:r w:rsidRPr="00765F6E">
              <w:rPr>
                <w:rFonts w:hint="eastAsia"/>
              </w:rPr>
              <w:t>适用于仅在专用市域线路上运行、没有平交道口、也没有与公路交通存在接口的市域车辆。</w:t>
            </w:r>
          </w:p>
          <w:p w14:paraId="66142DB3" w14:textId="07EEB7E8" w:rsidR="00737EB2" w:rsidRPr="00765F6E" w:rsidRDefault="00737EB2" w:rsidP="00871D47">
            <w:pPr>
              <w:pStyle w:val="a6"/>
              <w:numPr>
                <w:ilvl w:val="0"/>
                <w:numId w:val="0"/>
              </w:numPr>
              <w:ind w:firstLineChars="100" w:firstLine="180"/>
            </w:pPr>
            <w:r w:rsidRPr="00765F6E">
              <w:rPr>
                <w:rFonts w:hint="eastAsia"/>
              </w:rPr>
              <w:t>车辆耐碰撞性能计算时，碰撞质量</w:t>
            </w:r>
            <w:r w:rsidR="000553A7">
              <w:rPr>
                <w:rFonts w:hint="eastAsia"/>
              </w:rPr>
              <w:t>为</w:t>
            </w:r>
            <w:r w:rsidRPr="00765F6E">
              <w:t>AW0列车质量加上50%座席乘客的质量考虑。</w:t>
            </w:r>
          </w:p>
        </w:tc>
      </w:tr>
    </w:tbl>
    <w:p w14:paraId="7DCA9DCE" w14:textId="77777777" w:rsidR="00737EB2" w:rsidRPr="00765F6E" w:rsidRDefault="00737EB2" w:rsidP="00CA33AB">
      <w:pPr>
        <w:pStyle w:val="affffb"/>
        <w:ind w:firstLine="420"/>
      </w:pPr>
    </w:p>
    <w:p w14:paraId="6114D514" w14:textId="77777777" w:rsidR="00737EB2" w:rsidRPr="00765F6E" w:rsidRDefault="00737EB2" w:rsidP="00737EB2">
      <w:pPr>
        <w:pStyle w:val="affe"/>
        <w:spacing w:before="156" w:after="156"/>
      </w:pPr>
      <w:bookmarkStart w:id="397" w:name="_Toc153210822"/>
      <w:bookmarkStart w:id="398" w:name="_Toc153290978"/>
      <w:bookmarkStart w:id="399" w:name="_Toc99791539"/>
      <w:bookmarkStart w:id="400" w:name="_Toc167895720"/>
      <w:bookmarkStart w:id="401" w:name="_Toc174538634"/>
      <w:bookmarkStart w:id="402" w:name="_Toc182476386"/>
      <w:r w:rsidRPr="00765F6E">
        <w:rPr>
          <w:rFonts w:hint="eastAsia"/>
        </w:rPr>
        <w:t>车体与设备</w:t>
      </w:r>
      <w:bookmarkEnd w:id="397"/>
      <w:bookmarkEnd w:id="398"/>
      <w:bookmarkEnd w:id="399"/>
      <w:bookmarkEnd w:id="400"/>
      <w:bookmarkEnd w:id="401"/>
      <w:bookmarkEnd w:id="402"/>
    </w:p>
    <w:p w14:paraId="773F5A2C" w14:textId="06749358" w:rsidR="00737EB2" w:rsidRPr="00CA33AB" w:rsidRDefault="000553A7" w:rsidP="009D0776">
      <w:pPr>
        <w:pStyle w:val="22"/>
      </w:pPr>
      <w:bookmarkStart w:id="403" w:name="_Toc99791540"/>
      <w:bookmarkStart w:id="404" w:name="_Toc153290979"/>
      <w:r>
        <w:rPr>
          <w:rFonts w:hint="eastAsia"/>
        </w:rPr>
        <w:t>车体采用整体承载结构，在其使用期限内能承受极端条件下的静载荷、动载荷以及冲击载荷要求；并在架车、起吊和救援、调车、连挂、多辆编组回送作业的各种工况下，车体应力不超过设计许用应力，不产生疲劳失效。在最大垂直载荷作用下车体静挠度不超过两转向架支承点之间距离的</w:t>
      </w:r>
      <w:r>
        <w:t>1</w:t>
      </w:r>
      <w:r>
        <w:rPr>
          <w:rFonts w:hint="eastAsia"/>
        </w:rPr>
        <w:t>‰</w:t>
      </w:r>
      <w:r w:rsidR="00737EB2" w:rsidRPr="00CA33AB">
        <w:rPr>
          <w:rFonts w:hint="eastAsia"/>
        </w:rPr>
        <w:t>。</w:t>
      </w:r>
      <w:bookmarkEnd w:id="403"/>
      <w:bookmarkEnd w:id="404"/>
      <w:r w:rsidR="00737EB2" w:rsidRPr="00CA33AB">
        <w:rPr>
          <w:rFonts w:hint="eastAsia"/>
        </w:rPr>
        <w:t xml:space="preserve"> </w:t>
      </w:r>
    </w:p>
    <w:p w14:paraId="26EA351D" w14:textId="00DB4CD0" w:rsidR="000553A7" w:rsidRPr="000553A7" w:rsidRDefault="000553A7" w:rsidP="000553A7">
      <w:pPr>
        <w:pStyle w:val="22"/>
      </w:pPr>
      <w:bookmarkStart w:id="405" w:name="_Toc153290980"/>
      <w:bookmarkStart w:id="406" w:name="_Toc99791541"/>
      <w:r w:rsidRPr="00E94B63">
        <w:rPr>
          <w:rFonts w:hint="eastAsia"/>
          <w:szCs w:val="22"/>
        </w:rPr>
        <w:t>车体的计算、试验用纵向静载荷如合同中没有特殊规定，应符合表</w:t>
      </w:r>
      <w:r>
        <w:rPr>
          <w:rFonts w:hint="eastAsia"/>
          <w:szCs w:val="22"/>
        </w:rPr>
        <w:t>6</w:t>
      </w:r>
      <w:r w:rsidRPr="00E94B63">
        <w:rPr>
          <w:rFonts w:hint="eastAsia"/>
          <w:szCs w:val="22"/>
        </w:rPr>
        <w:t>规定</w:t>
      </w:r>
      <w:bookmarkEnd w:id="405"/>
      <w:bookmarkEnd w:id="406"/>
      <w:r w:rsidR="006D6F69">
        <w:rPr>
          <w:rFonts w:hint="eastAsia"/>
        </w:rPr>
        <w:t>。</w:t>
      </w:r>
    </w:p>
    <w:p w14:paraId="6B203264" w14:textId="2DBA7418" w:rsidR="000553A7" w:rsidRPr="00765F6E" w:rsidRDefault="000553A7" w:rsidP="000553A7">
      <w:pPr>
        <w:pStyle w:val="aff3"/>
        <w:spacing w:before="156" w:after="156"/>
      </w:pPr>
      <w:r>
        <w:rPr>
          <w:rFonts w:hint="eastAsia"/>
        </w:rPr>
        <w:t>纵向静载荷要求</w:t>
      </w:r>
    </w:p>
    <w:tbl>
      <w:tblPr>
        <w:tblW w:w="91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26"/>
        <w:gridCol w:w="2004"/>
        <w:gridCol w:w="2004"/>
        <w:gridCol w:w="2004"/>
      </w:tblGrid>
      <w:tr w:rsidR="000553A7" w14:paraId="61400ED9" w14:textId="77777777" w:rsidTr="00453DBE">
        <w:trPr>
          <w:trHeight w:hRule="exact" w:val="454"/>
          <w:jc w:val="center"/>
        </w:trPr>
        <w:tc>
          <w:tcPr>
            <w:tcW w:w="3126" w:type="dxa"/>
            <w:tcBorders>
              <w:top w:val="single" w:sz="8" w:space="0" w:color="auto"/>
              <w:left w:val="single" w:sz="8" w:space="0" w:color="auto"/>
              <w:bottom w:val="single" w:sz="8" w:space="0" w:color="auto"/>
            </w:tcBorders>
            <w:vAlign w:val="center"/>
          </w:tcPr>
          <w:p w14:paraId="41712FEB" w14:textId="3271D785" w:rsidR="000553A7" w:rsidRDefault="000553A7" w:rsidP="00453DBE">
            <w:pPr>
              <w:snapToGrid w:val="0"/>
              <w:spacing w:line="240" w:lineRule="auto"/>
              <w:jc w:val="center"/>
              <w:rPr>
                <w:rFonts w:ascii="宋体" w:hAnsi="Times New Roman" w:cs="宋体"/>
                <w:sz w:val="18"/>
                <w:szCs w:val="18"/>
              </w:rPr>
            </w:pPr>
            <w:r>
              <w:rPr>
                <w:rFonts w:ascii="宋体" w:hAnsi="Times New Roman" w:cs="宋体" w:hint="eastAsia"/>
                <w:sz w:val="18"/>
                <w:szCs w:val="18"/>
              </w:rPr>
              <w:t>荷载类型</w:t>
            </w:r>
          </w:p>
        </w:tc>
        <w:tc>
          <w:tcPr>
            <w:tcW w:w="2004" w:type="dxa"/>
            <w:tcBorders>
              <w:top w:val="single" w:sz="8" w:space="0" w:color="auto"/>
              <w:bottom w:val="single" w:sz="8" w:space="0" w:color="auto"/>
            </w:tcBorders>
            <w:vAlign w:val="center"/>
          </w:tcPr>
          <w:p w14:paraId="2E482975" w14:textId="77777777" w:rsidR="000553A7" w:rsidRDefault="000553A7" w:rsidP="006417E6">
            <w:pPr>
              <w:pStyle w:val="affffffffffff2"/>
              <w:jc w:val="center"/>
              <w:rPr>
                <w:rFonts w:hAnsi="宋体" w:cs="宋体"/>
                <w:sz w:val="18"/>
                <w:szCs w:val="18"/>
              </w:rPr>
            </w:pPr>
            <w:r>
              <w:rPr>
                <w:rFonts w:hAnsi="宋体" w:cs="宋体" w:hint="eastAsia"/>
                <w:sz w:val="18"/>
                <w:szCs w:val="18"/>
              </w:rPr>
              <w:t>市域C/</w:t>
            </w:r>
            <w:r>
              <w:rPr>
                <w:rFonts w:hAnsi="宋体" w:cs="宋体"/>
                <w:sz w:val="18"/>
                <w:szCs w:val="18"/>
              </w:rPr>
              <w:t>D</w:t>
            </w:r>
            <w:r>
              <w:rPr>
                <w:rFonts w:hAnsi="宋体" w:cs="宋体" w:hint="eastAsia"/>
                <w:sz w:val="18"/>
                <w:szCs w:val="18"/>
              </w:rPr>
              <w:t>型车</w:t>
            </w:r>
          </w:p>
        </w:tc>
        <w:tc>
          <w:tcPr>
            <w:tcW w:w="2004" w:type="dxa"/>
            <w:tcBorders>
              <w:top w:val="single" w:sz="8" w:space="0" w:color="auto"/>
              <w:bottom w:val="single" w:sz="8" w:space="0" w:color="auto"/>
            </w:tcBorders>
            <w:vAlign w:val="center"/>
          </w:tcPr>
          <w:p w14:paraId="216B343D" w14:textId="77777777" w:rsidR="000553A7" w:rsidRDefault="000553A7" w:rsidP="006417E6">
            <w:pPr>
              <w:pStyle w:val="affffffffffff2"/>
              <w:jc w:val="center"/>
              <w:rPr>
                <w:rFonts w:hAnsi="宋体" w:cs="宋体"/>
                <w:sz w:val="18"/>
                <w:szCs w:val="18"/>
              </w:rPr>
            </w:pPr>
            <w:r>
              <w:rPr>
                <w:rFonts w:hAnsi="宋体" w:cs="宋体" w:hint="eastAsia"/>
                <w:sz w:val="18"/>
                <w:szCs w:val="18"/>
              </w:rPr>
              <w:t>市域</w:t>
            </w:r>
            <w:r>
              <w:rPr>
                <w:rFonts w:hAnsi="宋体" w:cs="宋体"/>
                <w:sz w:val="18"/>
                <w:szCs w:val="18"/>
              </w:rPr>
              <w:t>A</w:t>
            </w:r>
            <w:r>
              <w:rPr>
                <w:rFonts w:hAnsi="宋体" w:cs="宋体" w:hint="eastAsia"/>
                <w:sz w:val="18"/>
                <w:szCs w:val="18"/>
              </w:rPr>
              <w:t>型车</w:t>
            </w:r>
          </w:p>
        </w:tc>
        <w:tc>
          <w:tcPr>
            <w:tcW w:w="2004" w:type="dxa"/>
            <w:tcBorders>
              <w:top w:val="single" w:sz="8" w:space="0" w:color="auto"/>
              <w:bottom w:val="single" w:sz="8" w:space="0" w:color="auto"/>
              <w:right w:val="single" w:sz="8" w:space="0" w:color="auto"/>
            </w:tcBorders>
            <w:vAlign w:val="center"/>
          </w:tcPr>
          <w:p w14:paraId="28BFCD9F" w14:textId="77777777" w:rsidR="000553A7" w:rsidRDefault="000553A7" w:rsidP="006417E6">
            <w:pPr>
              <w:pStyle w:val="affffffffffff2"/>
              <w:jc w:val="center"/>
              <w:rPr>
                <w:rFonts w:hAnsi="宋体" w:cs="宋体"/>
                <w:sz w:val="18"/>
                <w:szCs w:val="18"/>
              </w:rPr>
            </w:pPr>
            <w:r>
              <w:rPr>
                <w:rFonts w:hAnsi="宋体" w:cs="宋体" w:hint="eastAsia"/>
                <w:sz w:val="18"/>
                <w:szCs w:val="18"/>
              </w:rPr>
              <w:t>市域</w:t>
            </w:r>
            <w:r>
              <w:rPr>
                <w:rFonts w:hAnsi="宋体" w:cs="宋体"/>
                <w:sz w:val="18"/>
                <w:szCs w:val="18"/>
              </w:rPr>
              <w:t>B</w:t>
            </w:r>
            <w:r>
              <w:rPr>
                <w:rFonts w:hAnsi="宋体" w:cs="宋体" w:hint="eastAsia"/>
                <w:sz w:val="18"/>
                <w:szCs w:val="18"/>
              </w:rPr>
              <w:t>型车</w:t>
            </w:r>
          </w:p>
        </w:tc>
      </w:tr>
      <w:tr w:rsidR="000553A7" w14:paraId="27C3FC53" w14:textId="77777777" w:rsidTr="006417E6">
        <w:trPr>
          <w:trHeight w:hRule="exact" w:val="600"/>
          <w:jc w:val="center"/>
        </w:trPr>
        <w:tc>
          <w:tcPr>
            <w:tcW w:w="3126" w:type="dxa"/>
            <w:tcBorders>
              <w:top w:val="single" w:sz="8" w:space="0" w:color="auto"/>
              <w:left w:val="single" w:sz="8" w:space="0" w:color="auto"/>
            </w:tcBorders>
            <w:vAlign w:val="center"/>
          </w:tcPr>
          <w:p w14:paraId="71867C9C" w14:textId="77777777" w:rsidR="000553A7" w:rsidRDefault="000553A7" w:rsidP="006417E6">
            <w:pPr>
              <w:spacing w:line="240" w:lineRule="auto"/>
              <w:jc w:val="center"/>
              <w:rPr>
                <w:rFonts w:ascii="宋体" w:hAnsi="Times New Roman" w:cs="宋体"/>
                <w:sz w:val="18"/>
                <w:szCs w:val="18"/>
              </w:rPr>
            </w:pPr>
            <w:r>
              <w:rPr>
                <w:rFonts w:ascii="宋体" w:hAnsi="宋体" w:cs="宋体" w:hint="eastAsia"/>
                <w:sz w:val="18"/>
                <w:szCs w:val="18"/>
              </w:rPr>
              <w:t>压缩载荷</w:t>
            </w:r>
          </w:p>
          <w:p w14:paraId="4F676E72" w14:textId="77777777" w:rsidR="000553A7" w:rsidRDefault="000553A7" w:rsidP="006417E6">
            <w:pPr>
              <w:spacing w:line="240" w:lineRule="auto"/>
              <w:jc w:val="center"/>
              <w:rPr>
                <w:rFonts w:ascii="宋体" w:hAnsi="Times New Roman" w:cs="宋体"/>
                <w:sz w:val="18"/>
                <w:szCs w:val="18"/>
              </w:rPr>
            </w:pPr>
            <w:proofErr w:type="spellStart"/>
            <w:r>
              <w:rPr>
                <w:rFonts w:ascii="宋体" w:hAnsi="宋体" w:cs="宋体"/>
                <w:sz w:val="18"/>
                <w:szCs w:val="18"/>
              </w:rPr>
              <w:t>kN</w:t>
            </w:r>
            <w:proofErr w:type="spellEnd"/>
          </w:p>
        </w:tc>
        <w:tc>
          <w:tcPr>
            <w:tcW w:w="2004" w:type="dxa"/>
            <w:tcBorders>
              <w:top w:val="single" w:sz="8" w:space="0" w:color="auto"/>
            </w:tcBorders>
            <w:vAlign w:val="center"/>
          </w:tcPr>
          <w:p w14:paraId="4E04FC55" w14:textId="77777777" w:rsidR="000553A7" w:rsidRDefault="000553A7" w:rsidP="006417E6">
            <w:pPr>
              <w:pStyle w:val="affffffffffff2"/>
              <w:jc w:val="center"/>
              <w:rPr>
                <w:rFonts w:hAnsi="宋体" w:cs="宋体"/>
                <w:sz w:val="18"/>
                <w:szCs w:val="18"/>
              </w:rPr>
            </w:pPr>
            <w:r>
              <w:rPr>
                <w:rFonts w:hAnsi="宋体" w:cs="宋体"/>
                <w:sz w:val="18"/>
                <w:szCs w:val="18"/>
              </w:rPr>
              <w:t>1500</w:t>
            </w:r>
          </w:p>
        </w:tc>
        <w:tc>
          <w:tcPr>
            <w:tcW w:w="2004" w:type="dxa"/>
            <w:tcBorders>
              <w:top w:val="single" w:sz="8" w:space="0" w:color="auto"/>
            </w:tcBorders>
            <w:vAlign w:val="center"/>
          </w:tcPr>
          <w:p w14:paraId="30511874" w14:textId="77777777" w:rsidR="000553A7" w:rsidRDefault="000553A7" w:rsidP="006417E6">
            <w:pPr>
              <w:pStyle w:val="affffffffffff2"/>
              <w:jc w:val="center"/>
              <w:rPr>
                <w:rFonts w:hAnsi="宋体" w:cs="宋体"/>
                <w:sz w:val="18"/>
                <w:szCs w:val="18"/>
              </w:rPr>
            </w:pPr>
            <w:r>
              <w:rPr>
                <w:rFonts w:hAnsi="宋体" w:cs="宋体"/>
                <w:sz w:val="18"/>
                <w:szCs w:val="18"/>
              </w:rPr>
              <w:t>1200</w:t>
            </w:r>
          </w:p>
        </w:tc>
        <w:tc>
          <w:tcPr>
            <w:tcW w:w="2004" w:type="dxa"/>
            <w:tcBorders>
              <w:top w:val="single" w:sz="8" w:space="0" w:color="auto"/>
              <w:right w:val="single" w:sz="8" w:space="0" w:color="auto"/>
            </w:tcBorders>
            <w:vAlign w:val="center"/>
          </w:tcPr>
          <w:p w14:paraId="3223F03C" w14:textId="77777777" w:rsidR="000553A7" w:rsidRDefault="000553A7" w:rsidP="006417E6">
            <w:pPr>
              <w:pStyle w:val="affffffffffff2"/>
              <w:jc w:val="center"/>
              <w:rPr>
                <w:rFonts w:hAnsi="宋体" w:cs="宋体"/>
                <w:sz w:val="18"/>
                <w:szCs w:val="18"/>
              </w:rPr>
            </w:pPr>
            <w:r>
              <w:rPr>
                <w:rFonts w:hAnsi="宋体" w:cs="宋体"/>
                <w:sz w:val="18"/>
                <w:szCs w:val="18"/>
              </w:rPr>
              <w:t>1000</w:t>
            </w:r>
          </w:p>
        </w:tc>
      </w:tr>
      <w:tr w:rsidR="000553A7" w14:paraId="169DDFD8" w14:textId="77777777" w:rsidTr="006417E6">
        <w:trPr>
          <w:trHeight w:hRule="exact" w:val="628"/>
          <w:jc w:val="center"/>
        </w:trPr>
        <w:tc>
          <w:tcPr>
            <w:tcW w:w="3126" w:type="dxa"/>
            <w:tcBorders>
              <w:left w:val="single" w:sz="8" w:space="0" w:color="auto"/>
              <w:bottom w:val="single" w:sz="8" w:space="0" w:color="auto"/>
            </w:tcBorders>
            <w:vAlign w:val="center"/>
          </w:tcPr>
          <w:p w14:paraId="24B3BD6B" w14:textId="77777777" w:rsidR="000553A7" w:rsidRDefault="000553A7" w:rsidP="006417E6">
            <w:pPr>
              <w:spacing w:line="240" w:lineRule="auto"/>
              <w:jc w:val="center"/>
              <w:rPr>
                <w:rFonts w:ascii="宋体" w:hAnsi="Times New Roman" w:cs="宋体"/>
                <w:sz w:val="18"/>
                <w:szCs w:val="18"/>
              </w:rPr>
            </w:pPr>
            <w:r>
              <w:rPr>
                <w:rFonts w:ascii="宋体" w:hAnsi="宋体" w:cs="宋体" w:hint="eastAsia"/>
                <w:sz w:val="18"/>
                <w:szCs w:val="18"/>
              </w:rPr>
              <w:t>拉伸载荷</w:t>
            </w:r>
          </w:p>
          <w:p w14:paraId="1E766D5E" w14:textId="77777777" w:rsidR="000553A7" w:rsidRDefault="000553A7" w:rsidP="006417E6">
            <w:pPr>
              <w:spacing w:line="240" w:lineRule="auto"/>
              <w:jc w:val="center"/>
              <w:rPr>
                <w:rFonts w:ascii="宋体" w:hAnsi="Times New Roman" w:cs="宋体"/>
                <w:sz w:val="18"/>
                <w:szCs w:val="18"/>
              </w:rPr>
            </w:pPr>
            <w:proofErr w:type="spellStart"/>
            <w:r>
              <w:rPr>
                <w:rFonts w:ascii="宋体" w:hAnsi="宋体" w:cs="宋体"/>
                <w:sz w:val="18"/>
                <w:szCs w:val="18"/>
              </w:rPr>
              <w:t>kN</w:t>
            </w:r>
            <w:proofErr w:type="spellEnd"/>
          </w:p>
        </w:tc>
        <w:tc>
          <w:tcPr>
            <w:tcW w:w="2004" w:type="dxa"/>
            <w:tcBorders>
              <w:bottom w:val="single" w:sz="8" w:space="0" w:color="auto"/>
            </w:tcBorders>
            <w:vAlign w:val="center"/>
          </w:tcPr>
          <w:p w14:paraId="404E6B2B" w14:textId="77777777" w:rsidR="000553A7" w:rsidRDefault="000553A7" w:rsidP="006417E6">
            <w:pPr>
              <w:pStyle w:val="affffffffffff2"/>
              <w:jc w:val="center"/>
              <w:rPr>
                <w:rFonts w:hAnsi="宋体" w:cs="宋体"/>
                <w:sz w:val="18"/>
                <w:szCs w:val="18"/>
              </w:rPr>
            </w:pPr>
            <w:r>
              <w:rPr>
                <w:rFonts w:hAnsi="宋体" w:cs="宋体"/>
                <w:sz w:val="18"/>
                <w:szCs w:val="18"/>
              </w:rPr>
              <w:t>1000</w:t>
            </w:r>
          </w:p>
        </w:tc>
        <w:tc>
          <w:tcPr>
            <w:tcW w:w="2004" w:type="dxa"/>
            <w:tcBorders>
              <w:bottom w:val="single" w:sz="8" w:space="0" w:color="auto"/>
            </w:tcBorders>
            <w:vAlign w:val="center"/>
          </w:tcPr>
          <w:p w14:paraId="1B72170E" w14:textId="77777777" w:rsidR="000553A7" w:rsidRDefault="000553A7" w:rsidP="006417E6">
            <w:pPr>
              <w:pStyle w:val="affffffffffff2"/>
              <w:jc w:val="center"/>
              <w:rPr>
                <w:rFonts w:hAnsi="宋体" w:cs="宋体"/>
                <w:sz w:val="18"/>
                <w:szCs w:val="18"/>
              </w:rPr>
            </w:pPr>
            <w:r>
              <w:rPr>
                <w:rFonts w:hAnsi="宋体" w:cs="宋体"/>
                <w:sz w:val="18"/>
                <w:szCs w:val="18"/>
              </w:rPr>
              <w:t>960</w:t>
            </w:r>
          </w:p>
        </w:tc>
        <w:tc>
          <w:tcPr>
            <w:tcW w:w="2004" w:type="dxa"/>
            <w:tcBorders>
              <w:bottom w:val="single" w:sz="8" w:space="0" w:color="auto"/>
              <w:right w:val="single" w:sz="8" w:space="0" w:color="auto"/>
            </w:tcBorders>
            <w:vAlign w:val="center"/>
          </w:tcPr>
          <w:p w14:paraId="02EB440A" w14:textId="77777777" w:rsidR="000553A7" w:rsidRDefault="000553A7" w:rsidP="006417E6">
            <w:pPr>
              <w:pStyle w:val="affffffffffff2"/>
              <w:jc w:val="center"/>
              <w:rPr>
                <w:rFonts w:hAnsi="宋体" w:cs="宋体"/>
                <w:sz w:val="18"/>
                <w:szCs w:val="18"/>
              </w:rPr>
            </w:pPr>
            <w:r>
              <w:rPr>
                <w:rFonts w:hAnsi="宋体" w:cs="宋体"/>
                <w:sz w:val="18"/>
                <w:szCs w:val="18"/>
              </w:rPr>
              <w:t>850</w:t>
            </w:r>
          </w:p>
        </w:tc>
      </w:tr>
    </w:tbl>
    <w:p w14:paraId="6C770487" w14:textId="05C1F831" w:rsidR="000553A7" w:rsidRDefault="000553A7" w:rsidP="00453DBE">
      <w:pPr>
        <w:pStyle w:val="affffb"/>
        <w:ind w:firstLineChars="0" w:firstLine="0"/>
      </w:pPr>
    </w:p>
    <w:p w14:paraId="2509D682" w14:textId="5BF210C2" w:rsidR="000553A7" w:rsidRPr="000553A7" w:rsidRDefault="000553A7" w:rsidP="000553A7">
      <w:pPr>
        <w:pStyle w:val="22"/>
      </w:pPr>
      <w:r>
        <w:rPr>
          <w:rFonts w:hint="eastAsia"/>
        </w:rPr>
        <w:t>每平方米有效空余地板面积站立人数应按表</w:t>
      </w:r>
      <w:r>
        <w:rPr>
          <w:rFonts w:hint="eastAsia"/>
          <w:bCs/>
        </w:rPr>
        <w:t>7</w:t>
      </w:r>
      <w:r>
        <w:rPr>
          <w:rFonts w:hint="eastAsia"/>
        </w:rPr>
        <w:t>确定。</w:t>
      </w:r>
    </w:p>
    <w:p w14:paraId="3BAB4CA7" w14:textId="77777777" w:rsidR="00737EB2" w:rsidRPr="00765F6E" w:rsidRDefault="00737EB2" w:rsidP="00737EB2">
      <w:pPr>
        <w:pStyle w:val="aff3"/>
        <w:spacing w:before="156" w:after="156"/>
      </w:pPr>
      <w:r w:rsidRPr="00765F6E">
        <w:rPr>
          <w:rFonts w:hint="eastAsia"/>
        </w:rPr>
        <w:t>每平方米有效空余地板面积站立人数</w:t>
      </w:r>
    </w:p>
    <w:p w14:paraId="35A88174" w14:textId="77777777" w:rsidR="00737EB2" w:rsidRPr="00765F6E" w:rsidRDefault="00737EB2" w:rsidP="00CA33AB">
      <w:pPr>
        <w:pStyle w:val="affffb"/>
        <w:ind w:firstLine="360"/>
        <w:jc w:val="right"/>
        <w:rPr>
          <w:sz w:val="18"/>
          <w:szCs w:val="18"/>
        </w:rPr>
      </w:pPr>
      <w:r w:rsidRPr="00765F6E">
        <w:rPr>
          <w:rFonts w:hint="eastAsia"/>
          <w:sz w:val="18"/>
          <w:szCs w:val="18"/>
        </w:rPr>
        <w:t>单位为人每平方米</w:t>
      </w:r>
    </w:p>
    <w:tbl>
      <w:tblPr>
        <w:tblW w:w="934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978"/>
        <w:gridCol w:w="2189"/>
        <w:gridCol w:w="4177"/>
      </w:tblGrid>
      <w:tr w:rsidR="00737EB2" w:rsidRPr="00765F6E" w14:paraId="6FB1C92F" w14:textId="77777777" w:rsidTr="00871D47">
        <w:trPr>
          <w:trHeight w:val="176"/>
          <w:jc w:val="center"/>
        </w:trPr>
        <w:tc>
          <w:tcPr>
            <w:tcW w:w="2978" w:type="dxa"/>
            <w:tcBorders>
              <w:top w:val="single" w:sz="8" w:space="0" w:color="auto"/>
              <w:bottom w:val="single" w:sz="8" w:space="0" w:color="auto"/>
              <w:right w:val="single" w:sz="8" w:space="0" w:color="auto"/>
            </w:tcBorders>
            <w:shd w:val="clear" w:color="auto" w:fill="auto"/>
            <w:vAlign w:val="center"/>
          </w:tcPr>
          <w:p w14:paraId="1C7B105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定员</w:t>
            </w:r>
          </w:p>
        </w:tc>
        <w:tc>
          <w:tcPr>
            <w:tcW w:w="2189" w:type="dxa"/>
            <w:tcBorders>
              <w:top w:val="single" w:sz="8" w:space="0" w:color="auto"/>
              <w:left w:val="single" w:sz="8" w:space="0" w:color="auto"/>
              <w:bottom w:val="single" w:sz="8" w:space="0" w:color="auto"/>
              <w:right w:val="single" w:sz="8" w:space="0" w:color="auto"/>
            </w:tcBorders>
            <w:shd w:val="clear" w:color="auto" w:fill="auto"/>
            <w:vAlign w:val="center"/>
          </w:tcPr>
          <w:p w14:paraId="382F95B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超员</w:t>
            </w:r>
          </w:p>
        </w:tc>
        <w:tc>
          <w:tcPr>
            <w:tcW w:w="4177" w:type="dxa"/>
            <w:tcBorders>
              <w:top w:val="single" w:sz="8" w:space="0" w:color="auto"/>
              <w:left w:val="single" w:sz="8" w:space="0" w:color="auto"/>
              <w:bottom w:val="single" w:sz="8" w:space="0" w:color="auto"/>
            </w:tcBorders>
            <w:shd w:val="clear" w:color="auto" w:fill="auto"/>
            <w:vAlign w:val="center"/>
          </w:tcPr>
          <w:p w14:paraId="148FE78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车体静强度计算</w:t>
            </w:r>
          </w:p>
        </w:tc>
      </w:tr>
      <w:tr w:rsidR="00737EB2" w:rsidRPr="00765F6E" w14:paraId="253400D7" w14:textId="77777777" w:rsidTr="00871D47">
        <w:trPr>
          <w:trHeight w:val="176"/>
          <w:jc w:val="center"/>
        </w:trPr>
        <w:tc>
          <w:tcPr>
            <w:tcW w:w="2978" w:type="dxa"/>
            <w:tcBorders>
              <w:top w:val="single" w:sz="8" w:space="0" w:color="auto"/>
              <w:bottom w:val="single" w:sz="8" w:space="0" w:color="auto"/>
            </w:tcBorders>
            <w:shd w:val="clear" w:color="auto" w:fill="auto"/>
            <w:vAlign w:val="center"/>
          </w:tcPr>
          <w:p w14:paraId="127FF12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4</w:t>
            </w:r>
          </w:p>
        </w:tc>
        <w:tc>
          <w:tcPr>
            <w:tcW w:w="2189" w:type="dxa"/>
            <w:tcBorders>
              <w:top w:val="single" w:sz="8" w:space="0" w:color="auto"/>
              <w:bottom w:val="single" w:sz="8" w:space="0" w:color="auto"/>
            </w:tcBorders>
            <w:shd w:val="clear" w:color="auto" w:fill="auto"/>
            <w:vAlign w:val="center"/>
          </w:tcPr>
          <w:p w14:paraId="51545B2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6</w:t>
            </w:r>
          </w:p>
        </w:tc>
        <w:tc>
          <w:tcPr>
            <w:tcW w:w="4177" w:type="dxa"/>
            <w:tcBorders>
              <w:top w:val="single" w:sz="8" w:space="0" w:color="auto"/>
              <w:bottom w:val="single" w:sz="8" w:space="0" w:color="auto"/>
            </w:tcBorders>
            <w:shd w:val="clear" w:color="auto" w:fill="auto"/>
            <w:vAlign w:val="center"/>
          </w:tcPr>
          <w:p w14:paraId="2C3916F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9</w:t>
            </w:r>
          </w:p>
        </w:tc>
      </w:tr>
    </w:tbl>
    <w:p w14:paraId="57110787" w14:textId="77777777" w:rsidR="00737EB2" w:rsidRPr="00765F6E" w:rsidRDefault="00737EB2" w:rsidP="00737EB2">
      <w:pPr>
        <w:spacing w:line="240" w:lineRule="auto"/>
      </w:pPr>
    </w:p>
    <w:p w14:paraId="435AB490" w14:textId="77777777" w:rsidR="00737EB2" w:rsidRPr="00CA33AB" w:rsidRDefault="00737EB2" w:rsidP="009D0776">
      <w:pPr>
        <w:pStyle w:val="22"/>
      </w:pPr>
      <w:bookmarkStart w:id="407" w:name="_Toc99791543"/>
      <w:bookmarkStart w:id="408" w:name="_Toc153290982"/>
      <w:r w:rsidRPr="00CA33AB">
        <w:rPr>
          <w:rFonts w:hint="eastAsia"/>
        </w:rPr>
        <w:t>车辆结构设计寿命不应低于30 年。</w:t>
      </w:r>
      <w:bookmarkEnd w:id="407"/>
      <w:bookmarkEnd w:id="408"/>
      <w:r w:rsidRPr="00CA33AB">
        <w:rPr>
          <w:rFonts w:hint="eastAsia"/>
        </w:rPr>
        <w:t xml:space="preserve"> </w:t>
      </w:r>
    </w:p>
    <w:p w14:paraId="09CDCF15" w14:textId="3D51E3BC" w:rsidR="00737EB2" w:rsidRPr="00CA33AB" w:rsidRDefault="00737EB2" w:rsidP="009D0776">
      <w:pPr>
        <w:pStyle w:val="22"/>
      </w:pPr>
      <w:bookmarkStart w:id="409" w:name="_Toc153290983"/>
      <w:bookmarkStart w:id="410" w:name="_Toc99791544"/>
      <w:r w:rsidRPr="00CA33AB">
        <w:rPr>
          <w:rFonts w:hint="eastAsia"/>
        </w:rPr>
        <w:t>客室两侧车门数量应满足客流高峰时段乘客在规定停站时间内上下车需要。</w:t>
      </w:r>
      <w:bookmarkEnd w:id="409"/>
      <w:bookmarkEnd w:id="410"/>
    </w:p>
    <w:p w14:paraId="378E1925" w14:textId="099A8648" w:rsidR="00737EB2" w:rsidRPr="00CA33AB" w:rsidRDefault="000553A7" w:rsidP="009D0776">
      <w:pPr>
        <w:pStyle w:val="22"/>
      </w:pPr>
      <w:bookmarkStart w:id="411" w:name="_Toc153290984"/>
      <w:bookmarkStart w:id="412" w:name="_Toc99791545"/>
      <w:r>
        <w:rPr>
          <w:rFonts w:hint="eastAsia"/>
        </w:rPr>
        <w:t>客室内布置适量的客室座椅，宜以横排布置为主，座椅形状应满足人体工程学要求</w:t>
      </w:r>
      <w:r w:rsidR="00737EB2" w:rsidRPr="00CA33AB">
        <w:rPr>
          <w:rFonts w:hint="eastAsia"/>
        </w:rPr>
        <w:t>。</w:t>
      </w:r>
      <w:bookmarkEnd w:id="411"/>
      <w:bookmarkEnd w:id="412"/>
      <w:r w:rsidR="00737EB2" w:rsidRPr="00CA33AB">
        <w:rPr>
          <w:rFonts w:hint="eastAsia"/>
        </w:rPr>
        <w:t xml:space="preserve"> </w:t>
      </w:r>
    </w:p>
    <w:p w14:paraId="616762FA" w14:textId="77777777" w:rsidR="00737EB2" w:rsidRPr="00CA33AB" w:rsidRDefault="00737EB2" w:rsidP="009D0776">
      <w:pPr>
        <w:pStyle w:val="22"/>
      </w:pPr>
      <w:bookmarkStart w:id="413" w:name="_Toc99791546"/>
      <w:bookmarkStart w:id="414" w:name="_Toc153290985"/>
      <w:r w:rsidRPr="00CA33AB">
        <w:rPr>
          <w:rFonts w:hint="eastAsia"/>
        </w:rPr>
        <w:t>车辆应设有架车支座、车体吊装座。</w:t>
      </w:r>
      <w:bookmarkEnd w:id="413"/>
      <w:bookmarkEnd w:id="414"/>
    </w:p>
    <w:p w14:paraId="564CF60C" w14:textId="77777777" w:rsidR="00737EB2" w:rsidRPr="00765F6E" w:rsidRDefault="00737EB2" w:rsidP="00737EB2">
      <w:pPr>
        <w:pStyle w:val="affe"/>
        <w:spacing w:before="156" w:after="156"/>
      </w:pPr>
      <w:bookmarkStart w:id="415" w:name="_Toc153210823"/>
      <w:bookmarkStart w:id="416" w:name="_Toc99791547"/>
      <w:bookmarkStart w:id="417" w:name="_Toc153290986"/>
      <w:bookmarkStart w:id="418" w:name="_Toc167895721"/>
      <w:bookmarkStart w:id="419" w:name="_Toc174538635"/>
      <w:bookmarkStart w:id="420" w:name="_Toc182476387"/>
      <w:r w:rsidRPr="00765F6E">
        <w:rPr>
          <w:rFonts w:hint="eastAsia"/>
        </w:rPr>
        <w:t>转向架</w:t>
      </w:r>
      <w:bookmarkEnd w:id="415"/>
      <w:bookmarkEnd w:id="416"/>
      <w:bookmarkEnd w:id="417"/>
      <w:bookmarkEnd w:id="418"/>
      <w:bookmarkEnd w:id="419"/>
      <w:bookmarkEnd w:id="420"/>
    </w:p>
    <w:p w14:paraId="61881368" w14:textId="77777777" w:rsidR="00737EB2" w:rsidRPr="00CA33AB" w:rsidRDefault="00737EB2" w:rsidP="009D0776">
      <w:pPr>
        <w:pStyle w:val="22"/>
      </w:pPr>
      <w:bookmarkStart w:id="421" w:name="_Toc99791548"/>
      <w:bookmarkStart w:id="422" w:name="_Toc153290987"/>
      <w:r w:rsidRPr="00CA33AB">
        <w:rPr>
          <w:rFonts w:hint="eastAsia"/>
        </w:rPr>
        <w:t>车辆宜采用无摇枕两系悬挂转向架。</w:t>
      </w:r>
      <w:bookmarkEnd w:id="421"/>
      <w:bookmarkEnd w:id="422"/>
      <w:r w:rsidRPr="00CA33AB">
        <w:rPr>
          <w:rFonts w:hint="eastAsia"/>
        </w:rPr>
        <w:t xml:space="preserve"> </w:t>
      </w:r>
    </w:p>
    <w:p w14:paraId="3C5D6FF2" w14:textId="77777777" w:rsidR="00737EB2" w:rsidRPr="00CA33AB" w:rsidRDefault="00737EB2" w:rsidP="009D0776">
      <w:pPr>
        <w:pStyle w:val="22"/>
      </w:pPr>
      <w:bookmarkStart w:id="423" w:name="_Toc99791549"/>
      <w:bookmarkStart w:id="424" w:name="_Toc153290988"/>
      <w:r w:rsidRPr="00CA33AB">
        <w:rPr>
          <w:rFonts w:hint="eastAsia"/>
        </w:rPr>
        <w:t>转向架性能、主要尺寸应与车辆、线路相互匹配，相关部件在允许磨耗限度内应确保列车以最高允许速度安全平稳运行。在悬挂或减振系统损坏时，也应确保车辆在线路上以一定的限速安全运行到终点。</w:t>
      </w:r>
      <w:bookmarkEnd w:id="423"/>
      <w:bookmarkEnd w:id="424"/>
      <w:r w:rsidRPr="00CA33AB">
        <w:rPr>
          <w:rFonts w:hint="eastAsia"/>
        </w:rPr>
        <w:t xml:space="preserve"> </w:t>
      </w:r>
    </w:p>
    <w:p w14:paraId="679C77B8" w14:textId="25B199F7" w:rsidR="00737EB2" w:rsidRPr="00CA33AB" w:rsidRDefault="00737EB2" w:rsidP="009D0776">
      <w:pPr>
        <w:pStyle w:val="22"/>
      </w:pPr>
      <w:bookmarkStart w:id="425" w:name="_Toc99791550"/>
      <w:bookmarkStart w:id="426" w:name="_Toc153290989"/>
      <w:r w:rsidRPr="00CA33AB">
        <w:rPr>
          <w:rFonts w:hint="eastAsia"/>
        </w:rPr>
        <w:t>车辆运行平稳性指标和脱轨系数</w:t>
      </w:r>
      <w:bookmarkEnd w:id="425"/>
      <w:r w:rsidRPr="00CA33AB">
        <w:rPr>
          <w:rFonts w:hint="eastAsia"/>
        </w:rPr>
        <w:t>应符合</w:t>
      </w:r>
      <w:r w:rsidRPr="00CA33AB">
        <w:t>GB/T 5599</w:t>
      </w:r>
      <w:r w:rsidRPr="00CA33AB">
        <w:rPr>
          <w:rFonts w:hint="eastAsia"/>
        </w:rPr>
        <w:t>-</w:t>
      </w:r>
      <w:r w:rsidRPr="00CA33AB">
        <w:t>2019</w:t>
      </w:r>
      <w:r w:rsidRPr="00CA33AB">
        <w:rPr>
          <w:rFonts w:hint="eastAsia"/>
        </w:rPr>
        <w:t>的规定，平稳性指标应不大于2.5，经过15</w:t>
      </w:r>
      <w:r w:rsidR="00D73D65">
        <w:rPr>
          <w:rFonts w:hint="eastAsia"/>
        </w:rPr>
        <w:t>0</w:t>
      </w:r>
      <w:r w:rsidR="00D73D65">
        <w:t>000</w:t>
      </w:r>
      <w:r w:rsidRPr="00CA33AB">
        <w:rPr>
          <w:rFonts w:hint="eastAsia"/>
        </w:rPr>
        <w:t>km 运行后，平稳性指标应不大于2.75，车辆脱轨系数应不大于</w:t>
      </w:r>
      <w:r w:rsidRPr="00CA33AB">
        <w:t>1.0</w:t>
      </w:r>
      <w:r w:rsidRPr="00CA33AB">
        <w:rPr>
          <w:rFonts w:hint="eastAsia"/>
        </w:rPr>
        <w:t>。</w:t>
      </w:r>
      <w:bookmarkEnd w:id="426"/>
    </w:p>
    <w:p w14:paraId="78A9C1C1" w14:textId="77777777" w:rsidR="00737EB2" w:rsidRPr="00CA33AB" w:rsidRDefault="00737EB2" w:rsidP="009D0776">
      <w:pPr>
        <w:pStyle w:val="22"/>
      </w:pPr>
      <w:bookmarkStart w:id="427" w:name="_Toc99791551"/>
      <w:bookmarkStart w:id="428" w:name="_Toc153290990"/>
      <w:r w:rsidRPr="00CA33AB">
        <w:rPr>
          <w:rFonts w:hint="eastAsia"/>
        </w:rPr>
        <w:t>构架宜采用焊接结构，并应符合</w:t>
      </w:r>
      <w:r w:rsidRPr="00CA33AB">
        <w:t>TB/T 3549.1</w:t>
      </w:r>
      <w:r w:rsidRPr="00CA33AB">
        <w:rPr>
          <w:rFonts w:hint="eastAsia"/>
        </w:rPr>
        <w:t>或</w:t>
      </w:r>
      <w:r w:rsidRPr="00CA33AB">
        <w:t>UIC 515-4</w:t>
      </w:r>
      <w:r w:rsidRPr="00CA33AB">
        <w:rPr>
          <w:rFonts w:hint="eastAsia"/>
        </w:rPr>
        <w:t>的规定。</w:t>
      </w:r>
      <w:bookmarkEnd w:id="427"/>
      <w:bookmarkEnd w:id="428"/>
      <w:r w:rsidRPr="00CA33AB">
        <w:rPr>
          <w:rFonts w:hint="eastAsia"/>
        </w:rPr>
        <w:t xml:space="preserve"> </w:t>
      </w:r>
    </w:p>
    <w:p w14:paraId="237B093E" w14:textId="77777777" w:rsidR="00737EB2" w:rsidRPr="00CA33AB" w:rsidRDefault="00737EB2" w:rsidP="009D0776">
      <w:pPr>
        <w:pStyle w:val="22"/>
      </w:pPr>
      <w:bookmarkStart w:id="429" w:name="_Toc99791552"/>
      <w:bookmarkStart w:id="430" w:name="_Toc153290991"/>
      <w:r w:rsidRPr="00CA33AB">
        <w:rPr>
          <w:rFonts w:hint="eastAsia"/>
        </w:rPr>
        <w:t>车轮宜采用整体碾钢轮。</w:t>
      </w:r>
      <w:bookmarkEnd w:id="429"/>
      <w:bookmarkEnd w:id="430"/>
      <w:r w:rsidRPr="00CA33AB">
        <w:rPr>
          <w:rFonts w:hint="eastAsia"/>
        </w:rPr>
        <w:t xml:space="preserve"> </w:t>
      </w:r>
    </w:p>
    <w:p w14:paraId="421E5A61" w14:textId="77777777" w:rsidR="00737EB2" w:rsidRPr="00CA33AB" w:rsidRDefault="00737EB2" w:rsidP="009D0776">
      <w:pPr>
        <w:pStyle w:val="22"/>
      </w:pPr>
      <w:bookmarkStart w:id="431" w:name="_Toc99791553"/>
      <w:bookmarkStart w:id="432" w:name="_Toc153290992"/>
      <w:r w:rsidRPr="00CA33AB">
        <w:rPr>
          <w:rFonts w:hint="eastAsia"/>
        </w:rPr>
        <w:lastRenderedPageBreak/>
        <w:t>轴箱轴承宜设置温度报警装置。</w:t>
      </w:r>
      <w:bookmarkEnd w:id="431"/>
      <w:bookmarkEnd w:id="432"/>
      <w:r w:rsidRPr="00CA33AB">
        <w:rPr>
          <w:rFonts w:hint="eastAsia"/>
        </w:rPr>
        <w:t xml:space="preserve"> </w:t>
      </w:r>
    </w:p>
    <w:p w14:paraId="217E0053" w14:textId="77777777" w:rsidR="00737EB2" w:rsidRPr="00CA33AB" w:rsidRDefault="00737EB2" w:rsidP="009D0776">
      <w:pPr>
        <w:pStyle w:val="22"/>
      </w:pPr>
      <w:bookmarkStart w:id="433" w:name="_Toc99791554"/>
      <w:bookmarkStart w:id="434" w:name="_Toc153290993"/>
      <w:r w:rsidRPr="00CA33AB">
        <w:rPr>
          <w:rFonts w:hint="eastAsia"/>
        </w:rPr>
        <w:t>转向架构架设计寿命应不低于30年。</w:t>
      </w:r>
      <w:bookmarkEnd w:id="433"/>
      <w:bookmarkEnd w:id="434"/>
    </w:p>
    <w:p w14:paraId="79DF35C2" w14:textId="77777777" w:rsidR="00737EB2" w:rsidRPr="00765F6E" w:rsidRDefault="00737EB2" w:rsidP="00737EB2">
      <w:pPr>
        <w:pStyle w:val="affe"/>
        <w:spacing w:before="156" w:after="156"/>
      </w:pPr>
      <w:bookmarkStart w:id="435" w:name="_Toc153290994"/>
      <w:bookmarkStart w:id="436" w:name="_Toc99791555"/>
      <w:bookmarkStart w:id="437" w:name="_Toc153210824"/>
      <w:bookmarkStart w:id="438" w:name="_Toc167895722"/>
      <w:bookmarkStart w:id="439" w:name="_Toc174538636"/>
      <w:bookmarkStart w:id="440" w:name="_Toc182476388"/>
      <w:r w:rsidRPr="00765F6E">
        <w:rPr>
          <w:rFonts w:hint="eastAsia"/>
        </w:rPr>
        <w:t>电气系统</w:t>
      </w:r>
      <w:bookmarkEnd w:id="435"/>
      <w:bookmarkEnd w:id="436"/>
      <w:bookmarkEnd w:id="437"/>
      <w:bookmarkEnd w:id="438"/>
      <w:bookmarkEnd w:id="439"/>
      <w:bookmarkEnd w:id="440"/>
    </w:p>
    <w:p w14:paraId="031E49DE" w14:textId="77777777" w:rsidR="00737EB2" w:rsidRPr="00CA33AB" w:rsidRDefault="00737EB2" w:rsidP="009D0776">
      <w:pPr>
        <w:pStyle w:val="22"/>
      </w:pPr>
      <w:bookmarkStart w:id="441" w:name="_Toc99791556"/>
      <w:bookmarkStart w:id="442" w:name="_Toc153290995"/>
      <w:r w:rsidRPr="00CA33AB">
        <w:rPr>
          <w:rFonts w:hint="eastAsia"/>
        </w:rPr>
        <w:t>电气牵引应采用变频调压的交流传动系统。</w:t>
      </w:r>
      <w:bookmarkEnd w:id="441"/>
      <w:bookmarkEnd w:id="442"/>
    </w:p>
    <w:p w14:paraId="3C047CD3" w14:textId="77777777" w:rsidR="00737EB2" w:rsidRPr="00CA33AB" w:rsidRDefault="00737EB2" w:rsidP="009D0776">
      <w:pPr>
        <w:pStyle w:val="22"/>
      </w:pPr>
      <w:bookmarkStart w:id="443" w:name="_Toc99791557"/>
      <w:bookmarkStart w:id="444" w:name="_Toc153290996"/>
      <w:r w:rsidRPr="00CA33AB">
        <w:rPr>
          <w:rFonts w:hint="eastAsia"/>
        </w:rPr>
        <w:t>牵引电器应符合GB/T 21413（所有部分）的规定，牵引电机应符合GB/T 25123.2或GB/T 25123.4 的规定，电力变流器应符合GB/T 25122.1的规定，牵引变压器应符合GB/T 25120的规定，电子设备应符合GB/T 25119的规定。车顶绝缘子应符合TB/T 3077的规定。</w:t>
      </w:r>
      <w:bookmarkEnd w:id="443"/>
      <w:bookmarkEnd w:id="444"/>
    </w:p>
    <w:p w14:paraId="133586D2" w14:textId="081E299D" w:rsidR="00737EB2" w:rsidRPr="00CA33AB" w:rsidRDefault="00737EB2" w:rsidP="009D0776">
      <w:pPr>
        <w:pStyle w:val="22"/>
      </w:pPr>
      <w:bookmarkStart w:id="445" w:name="_Toc99791558"/>
      <w:bookmarkStart w:id="446" w:name="_Toc153290997"/>
      <w:r w:rsidRPr="00CA33AB">
        <w:rPr>
          <w:rFonts w:hint="eastAsia"/>
        </w:rPr>
        <w:t>电气系统应有良好绝缘保护，电路应能经受耐受电压试验，试验电压值应为受试电路中电气设备试验电压最低</w:t>
      </w:r>
      <w:r w:rsidR="000553A7">
        <w:rPr>
          <w:rFonts w:hint="eastAsia"/>
        </w:rPr>
        <w:t>值</w:t>
      </w:r>
      <w:r w:rsidRPr="00CA33AB">
        <w:rPr>
          <w:rFonts w:hint="eastAsia"/>
        </w:rPr>
        <w:t>的85%。试验时电子器件和电气仪表应采取防护或隔离措施</w:t>
      </w:r>
      <w:bookmarkEnd w:id="445"/>
      <w:r w:rsidRPr="00CA33AB">
        <w:rPr>
          <w:rFonts w:hint="eastAsia"/>
        </w:rPr>
        <w:t>。</w:t>
      </w:r>
      <w:bookmarkEnd w:id="446"/>
    </w:p>
    <w:p w14:paraId="0781DA71" w14:textId="77777777" w:rsidR="00737EB2" w:rsidRPr="00CA33AB" w:rsidRDefault="00737EB2" w:rsidP="009D0776">
      <w:pPr>
        <w:pStyle w:val="22"/>
      </w:pPr>
      <w:bookmarkStart w:id="447" w:name="_Toc99791559"/>
      <w:bookmarkStart w:id="448" w:name="_Toc153290998"/>
      <w:r w:rsidRPr="00CA33AB">
        <w:rPr>
          <w:rFonts w:hint="eastAsia"/>
        </w:rPr>
        <w:t>主电路、辅助电路、控制电路应有可靠保护。保护整定值、作用时间、动作程序应正确无误。主电路过电流保护还应与牵引变电站的过电流保护相协调，在短路状态下应能可靠分断，并应有故障显示和故障切除装置。</w:t>
      </w:r>
      <w:r w:rsidRPr="00CA33AB">
        <w:rPr>
          <w:rFonts w:hint="eastAsia"/>
          <w:szCs w:val="22"/>
        </w:rPr>
        <w:t>高压电气设备应具有安全保护措施，包括安全联锁等，确保维护和检修人员的安全。</w:t>
      </w:r>
      <w:bookmarkEnd w:id="447"/>
      <w:bookmarkEnd w:id="448"/>
    </w:p>
    <w:p w14:paraId="1BA5E4B7" w14:textId="77777777" w:rsidR="00737EB2" w:rsidRPr="00CA33AB" w:rsidRDefault="00737EB2" w:rsidP="009D0776">
      <w:pPr>
        <w:pStyle w:val="22"/>
      </w:pPr>
      <w:bookmarkStart w:id="449" w:name="_Toc99791560"/>
      <w:bookmarkStart w:id="450" w:name="_Toc153290999"/>
      <w:r w:rsidRPr="00CA33AB">
        <w:rPr>
          <w:rFonts w:hint="eastAsia"/>
        </w:rPr>
        <w:t>各电气设备保护性接地应可靠，接地线应有足够的截面积。各车轴上的接地装置应可靠地保护轴承不受接地电流的影响。各电路接地电阻应符合</w:t>
      </w:r>
      <w:r w:rsidRPr="00CA33AB">
        <w:rPr>
          <w:szCs w:val="22"/>
        </w:rPr>
        <w:t>GB/T 21414</w:t>
      </w:r>
      <w:r w:rsidRPr="00CA33AB">
        <w:rPr>
          <w:rFonts w:hint="eastAsia"/>
        </w:rPr>
        <w:t>有关规定。应确保车辆中可能因故障带电的金属件及所有可触及的导电体等电位连接。</w:t>
      </w:r>
      <w:bookmarkEnd w:id="449"/>
      <w:bookmarkEnd w:id="450"/>
    </w:p>
    <w:p w14:paraId="4643F4C8" w14:textId="77777777" w:rsidR="00737EB2" w:rsidRPr="00CA33AB" w:rsidRDefault="00737EB2" w:rsidP="009D0776">
      <w:pPr>
        <w:pStyle w:val="22"/>
      </w:pPr>
      <w:bookmarkStart w:id="451" w:name="_Toc99791561"/>
      <w:bookmarkStart w:id="452" w:name="_Toc153291000"/>
      <w:r w:rsidRPr="00CA33AB">
        <w:rPr>
          <w:rFonts w:hint="eastAsia"/>
        </w:rPr>
        <w:t>各电路回流线应独立连接到回流排上，回流排应与车体任何裸露导电部件绝缘，符合GB/T</w:t>
      </w:r>
      <w:r w:rsidRPr="00CA33AB">
        <w:t xml:space="preserve"> </w:t>
      </w:r>
      <w:r w:rsidRPr="00CA33AB">
        <w:rPr>
          <w:rFonts w:hint="eastAsia"/>
        </w:rPr>
        <w:t>21413.1有关规定。回流线不应危及过电流保护装置和接地装置的动作。</w:t>
      </w:r>
      <w:bookmarkEnd w:id="451"/>
      <w:bookmarkEnd w:id="452"/>
    </w:p>
    <w:p w14:paraId="38126E41" w14:textId="082F1B05" w:rsidR="00737EB2" w:rsidRPr="00CA33AB" w:rsidRDefault="00737EB2" w:rsidP="009D0776">
      <w:pPr>
        <w:pStyle w:val="22"/>
      </w:pPr>
      <w:bookmarkStart w:id="453" w:name="_Toc153291001"/>
      <w:bookmarkStart w:id="454" w:name="_Toc99791562"/>
      <w:r w:rsidRPr="00CA33AB">
        <w:rPr>
          <w:rFonts w:hint="eastAsia"/>
        </w:rPr>
        <w:t>牵引系统能够充分利用轮轨粘着条件，按照车辆载重自动调整牵引力或电制动力的大小，并应具有反应及时的防空转、防滑控制和防冲动控制功能。</w:t>
      </w:r>
      <w:bookmarkEnd w:id="453"/>
      <w:bookmarkEnd w:id="454"/>
    </w:p>
    <w:p w14:paraId="361C8609" w14:textId="4465C462" w:rsidR="00737EB2" w:rsidRPr="00CA33AB" w:rsidRDefault="00737EB2" w:rsidP="009D0776">
      <w:pPr>
        <w:pStyle w:val="22"/>
      </w:pPr>
      <w:bookmarkStart w:id="455" w:name="_Toc153291002"/>
      <w:bookmarkStart w:id="456" w:name="_Toc99791563"/>
      <w:r w:rsidRPr="00CA33AB">
        <w:rPr>
          <w:rFonts w:hint="eastAsia"/>
        </w:rPr>
        <w:t>受电弓应符合GB/T 21561.1或GB/T 21561.2的规定，</w:t>
      </w:r>
      <w:r w:rsidRPr="00CA33AB">
        <w:rPr>
          <w:szCs w:val="22"/>
        </w:rPr>
        <w:t>集电靴</w:t>
      </w:r>
      <w:r w:rsidR="0084480C">
        <w:rPr>
          <w:rFonts w:hint="eastAsia"/>
          <w:szCs w:val="22"/>
        </w:rPr>
        <w:t>应</w:t>
      </w:r>
      <w:r w:rsidRPr="00CA33AB">
        <w:rPr>
          <w:szCs w:val="22"/>
        </w:rPr>
        <w:t xml:space="preserve">符合GB/T </w:t>
      </w:r>
      <w:bookmarkStart w:id="457" w:name="OLE_LINK14"/>
      <w:r w:rsidRPr="00CA33AB">
        <w:rPr>
          <w:szCs w:val="22"/>
        </w:rPr>
        <w:t>32589</w:t>
      </w:r>
      <w:bookmarkEnd w:id="457"/>
      <w:r w:rsidRPr="00CA33AB">
        <w:rPr>
          <w:szCs w:val="22"/>
        </w:rPr>
        <w:t>的规定，</w:t>
      </w:r>
      <w:r w:rsidRPr="00CA33AB">
        <w:rPr>
          <w:rFonts w:hint="eastAsia"/>
        </w:rPr>
        <w:t>最高运行速度超过120km/h时，宜采用受电弓受流。受流器受流状态应良好，受流时应对受流器或供电设施均无损伤和异常磨耗。</w:t>
      </w:r>
      <w:r w:rsidRPr="00CA33AB">
        <w:rPr>
          <w:rFonts w:hint="eastAsia"/>
          <w:szCs w:val="22"/>
        </w:rPr>
        <w:t>受电弓静态接触力调节范围应符合TB/T 3271的规定，集电靴接触压力调节范围应为 120 N～180 N</w:t>
      </w:r>
      <w:r w:rsidRPr="00CA33AB">
        <w:rPr>
          <w:rFonts w:hint="eastAsia"/>
        </w:rPr>
        <w:t>。</w:t>
      </w:r>
      <w:bookmarkEnd w:id="455"/>
      <w:bookmarkEnd w:id="456"/>
    </w:p>
    <w:p w14:paraId="7F4ED99D" w14:textId="77777777" w:rsidR="00737EB2" w:rsidRPr="00CA33AB" w:rsidRDefault="00737EB2" w:rsidP="009D0776">
      <w:pPr>
        <w:pStyle w:val="22"/>
      </w:pPr>
      <w:bookmarkStart w:id="458" w:name="_Toc153291003"/>
      <w:bookmarkStart w:id="459" w:name="_Toc99791564"/>
      <w:r w:rsidRPr="00CA33AB">
        <w:rPr>
          <w:rFonts w:hint="eastAsia"/>
        </w:rPr>
        <w:t>当接触网供电制式为AC</w:t>
      </w:r>
      <w:r w:rsidRPr="00CA33AB">
        <w:t xml:space="preserve"> </w:t>
      </w:r>
      <w:r w:rsidRPr="00CA33AB">
        <w:rPr>
          <w:rFonts w:hint="eastAsia"/>
        </w:rPr>
        <w:t>25</w:t>
      </w:r>
      <w:r w:rsidRPr="00CA33AB">
        <w:t xml:space="preserve"> </w:t>
      </w:r>
      <w:r w:rsidRPr="00CA33AB">
        <w:rPr>
          <w:rFonts w:hint="eastAsia"/>
        </w:rPr>
        <w:t>kV、50</w:t>
      </w:r>
      <w:r w:rsidRPr="00CA33AB">
        <w:t xml:space="preserve"> </w:t>
      </w:r>
      <w:r w:rsidRPr="00CA33AB">
        <w:rPr>
          <w:rFonts w:hint="eastAsia"/>
        </w:rPr>
        <w:t>Hz时，最小电气间隙应不小于310</w:t>
      </w:r>
      <w:r w:rsidRPr="00CA33AB">
        <w:t xml:space="preserve"> </w:t>
      </w:r>
      <w:r w:rsidRPr="00CA33AB">
        <w:rPr>
          <w:rFonts w:hint="eastAsia"/>
        </w:rPr>
        <w:t>mm。AC</w:t>
      </w:r>
      <w:r w:rsidRPr="00CA33AB">
        <w:t xml:space="preserve"> </w:t>
      </w:r>
      <w:r w:rsidRPr="00CA33AB">
        <w:rPr>
          <w:rFonts w:hint="eastAsia"/>
        </w:rPr>
        <w:t>25</w:t>
      </w:r>
      <w:r w:rsidRPr="00CA33AB">
        <w:t xml:space="preserve"> </w:t>
      </w:r>
      <w:r w:rsidRPr="00CA33AB">
        <w:rPr>
          <w:rFonts w:hint="eastAsia"/>
        </w:rPr>
        <w:t>kV用真空断路器应符合TB/T 3430的规定，隔离开关及接地开关应符合TB/T</w:t>
      </w:r>
      <w:r w:rsidRPr="00CA33AB">
        <w:t xml:space="preserve"> </w:t>
      </w:r>
      <w:r w:rsidRPr="00CA33AB">
        <w:rPr>
          <w:rFonts w:hint="eastAsia"/>
        </w:rPr>
        <w:t>3492的规定。电压互感器及电流互感器应符合</w:t>
      </w:r>
      <w:r w:rsidRPr="00CA33AB">
        <w:rPr>
          <w:rFonts w:hint="eastAsia"/>
          <w:szCs w:val="22"/>
        </w:rPr>
        <w:t>GB 20840.1、GB 20840.2或GB 20840.3</w:t>
      </w:r>
      <w:r w:rsidRPr="00CA33AB">
        <w:rPr>
          <w:rFonts w:hint="eastAsia"/>
        </w:rPr>
        <w:t>的规定。</w:t>
      </w:r>
      <w:bookmarkEnd w:id="458"/>
      <w:bookmarkEnd w:id="459"/>
    </w:p>
    <w:p w14:paraId="0EFF4DC8" w14:textId="77777777" w:rsidR="00737EB2" w:rsidRPr="00CA33AB" w:rsidRDefault="00737EB2" w:rsidP="009D0776">
      <w:pPr>
        <w:pStyle w:val="22"/>
      </w:pPr>
      <w:bookmarkStart w:id="460" w:name="_Toc99791565"/>
      <w:bookmarkStart w:id="461" w:name="_Toc153291004"/>
      <w:r w:rsidRPr="00CA33AB">
        <w:rPr>
          <w:rFonts w:hint="eastAsia"/>
        </w:rPr>
        <w:t>接触网受电列车避雷装置应符合GB/T 11032或 IEC 62848-1的规定，且应满足避雷器保护值与相关参数相匹配。</w:t>
      </w:r>
      <w:r w:rsidRPr="00CA33AB">
        <w:rPr>
          <w:rFonts w:hint="eastAsia"/>
          <w:szCs w:val="22"/>
        </w:rPr>
        <w:t>对于直流供电车辆，避雷器应安装在车顶受电弓附近；对于交流供电车辆，避雷器应安装在受电弓附近和牵引变压器前端</w:t>
      </w:r>
      <w:r w:rsidRPr="00CA33AB">
        <w:rPr>
          <w:rFonts w:hint="eastAsia"/>
        </w:rPr>
        <w:t>。</w:t>
      </w:r>
      <w:bookmarkEnd w:id="460"/>
      <w:bookmarkEnd w:id="461"/>
    </w:p>
    <w:p w14:paraId="73579AF0" w14:textId="77777777" w:rsidR="00737EB2" w:rsidRPr="00CA33AB" w:rsidRDefault="00737EB2" w:rsidP="009D0776">
      <w:pPr>
        <w:pStyle w:val="22"/>
      </w:pPr>
      <w:bookmarkStart w:id="462" w:name="_Toc99791566"/>
      <w:bookmarkStart w:id="463" w:name="_Toc153291005"/>
      <w:r w:rsidRPr="00CA33AB">
        <w:rPr>
          <w:rFonts w:hint="eastAsia"/>
        </w:rPr>
        <w:t>辅助电源系统应由辅助变流器和蓄电池等组成。辅助变流器应符合 GB/T 25122.1的规定，其容量能满足车辆各种工况下的使用需求。</w:t>
      </w:r>
      <w:bookmarkEnd w:id="462"/>
      <w:bookmarkEnd w:id="463"/>
    </w:p>
    <w:p w14:paraId="02DFEC9E" w14:textId="77777777" w:rsidR="00737EB2" w:rsidRPr="00CA33AB" w:rsidRDefault="00737EB2" w:rsidP="009D0776">
      <w:pPr>
        <w:pStyle w:val="22"/>
      </w:pPr>
      <w:bookmarkStart w:id="464" w:name="_Toc153291006"/>
      <w:bookmarkStart w:id="465" w:name="_Toc99791567"/>
      <w:r w:rsidRPr="00CA33AB">
        <w:rPr>
          <w:rFonts w:hint="eastAsia"/>
        </w:rPr>
        <w:t>蓄电池容量能够满足车辆在故障情况下的应急照明、外部照明、车载安全设备、广播、通信、应急通风等系统工作不低于45　min，并保证列车开关门一次，网压恢复时满足辅助电源启动的需求。</w:t>
      </w:r>
      <w:bookmarkEnd w:id="464"/>
      <w:bookmarkEnd w:id="465"/>
    </w:p>
    <w:p w14:paraId="63850D96" w14:textId="0151700D" w:rsidR="00737EB2" w:rsidRPr="00CA33AB" w:rsidRDefault="00737EB2" w:rsidP="009D0776">
      <w:pPr>
        <w:pStyle w:val="22"/>
      </w:pPr>
      <w:bookmarkStart w:id="466" w:name="_Toc153291007"/>
      <w:bookmarkStart w:id="467" w:name="_Toc99791568"/>
      <w:r w:rsidRPr="00CA33AB">
        <w:rPr>
          <w:rFonts w:hint="eastAsia"/>
        </w:rPr>
        <w:t xml:space="preserve">车体外安装保持内部清洁的电气设备箱应具有不低于GB/T </w:t>
      </w:r>
      <w:bookmarkStart w:id="468" w:name="OLE_LINK17"/>
      <w:r w:rsidRPr="00CA33AB">
        <w:rPr>
          <w:rFonts w:hint="eastAsia"/>
        </w:rPr>
        <w:t>4208</w:t>
      </w:r>
      <w:bookmarkEnd w:id="468"/>
      <w:r w:rsidR="006D7F69">
        <w:rPr>
          <w:rFonts w:hint="eastAsia"/>
        </w:rPr>
        <w:t>-</w:t>
      </w:r>
      <w:r w:rsidR="006D7F69">
        <w:t>2017</w:t>
      </w:r>
      <w:r w:rsidRPr="00CA33AB">
        <w:rPr>
          <w:rFonts w:hint="eastAsia"/>
        </w:rPr>
        <w:t>中IP54等级的防护性能，电气连接器应具有不低于GB/T 4208</w:t>
      </w:r>
      <w:r w:rsidR="006D7F69">
        <w:rPr>
          <w:rFonts w:hint="eastAsia"/>
        </w:rPr>
        <w:t>-</w:t>
      </w:r>
      <w:r w:rsidR="006D7F69">
        <w:t>2017</w:t>
      </w:r>
      <w:r w:rsidRPr="00CA33AB">
        <w:rPr>
          <w:rFonts w:hint="eastAsia"/>
        </w:rPr>
        <w:t>中IP67等级的防护性能。</w:t>
      </w:r>
      <w:bookmarkEnd w:id="466"/>
      <w:bookmarkEnd w:id="467"/>
    </w:p>
    <w:p w14:paraId="02672970" w14:textId="77777777" w:rsidR="00737EB2" w:rsidRPr="00CA33AB" w:rsidRDefault="00737EB2" w:rsidP="009D0776">
      <w:pPr>
        <w:pStyle w:val="22"/>
      </w:pPr>
      <w:bookmarkStart w:id="469" w:name="_Toc153291008"/>
      <w:bookmarkStart w:id="470" w:name="_Toc99791569"/>
      <w:r w:rsidRPr="00CA33AB">
        <w:rPr>
          <w:rFonts w:hint="eastAsia"/>
        </w:rPr>
        <w:t>电路电气设备连接导线应采用多股铜芯电缆，电气耐压等级、导电性能、阻燃性能均应符合GB/T 12528、TB/T 1484（所有部分）或相关国际标准的规定，电缆所用材料在燃烧和热分解时应不产生有害和危险烟气，光缆和通信电缆应符合产品技术条件要求。</w:t>
      </w:r>
      <w:bookmarkEnd w:id="469"/>
      <w:bookmarkEnd w:id="470"/>
    </w:p>
    <w:p w14:paraId="4AAD4E0E" w14:textId="1D9FB45A" w:rsidR="00737EB2" w:rsidRPr="00CA33AB" w:rsidRDefault="00737EB2" w:rsidP="009D0776">
      <w:pPr>
        <w:pStyle w:val="22"/>
      </w:pPr>
      <w:bookmarkStart w:id="471" w:name="_Toc153291009"/>
      <w:bookmarkStart w:id="472" w:name="_Toc99791570"/>
      <w:r w:rsidRPr="00CA33AB">
        <w:rPr>
          <w:rFonts w:hint="eastAsia"/>
        </w:rPr>
        <w:t>电线电缆敷设应合理排列汇集，主、辅、控电路的电线电缆应分开走线，并应符合电磁兼容性要求，纳入专用电线管槽内，并用线卡、扎带等捆扎卡牢。必须交叉时，高压线缆接触部分应有附加绝缘加强。穿越电器箱壳线缆应用线夹卡牢，与箱壳临靠部位应加装护套。电线管槽应安装稳固；线管、线槽应防止油、水及其它污染物侵入。</w:t>
      </w:r>
      <w:r w:rsidR="000553A7">
        <w:rPr>
          <w:rFonts w:hint="eastAsia"/>
        </w:rPr>
        <w:t>车辆布线规则按照</w:t>
      </w:r>
      <w:r w:rsidR="000553A7">
        <w:t>GB/T 34571</w:t>
      </w:r>
      <w:r w:rsidR="000553A7">
        <w:rPr>
          <w:rFonts w:hint="eastAsia"/>
        </w:rPr>
        <w:t>执行</w:t>
      </w:r>
      <w:r w:rsidRPr="00CA33AB">
        <w:rPr>
          <w:rFonts w:hint="eastAsia"/>
        </w:rPr>
        <w:t>。</w:t>
      </w:r>
      <w:bookmarkEnd w:id="471"/>
      <w:bookmarkEnd w:id="472"/>
    </w:p>
    <w:p w14:paraId="75985AE8" w14:textId="77777777" w:rsidR="00737EB2" w:rsidRPr="00765F6E" w:rsidRDefault="00737EB2" w:rsidP="00737EB2">
      <w:pPr>
        <w:pStyle w:val="affe"/>
        <w:spacing w:before="156" w:after="156"/>
      </w:pPr>
      <w:bookmarkStart w:id="473" w:name="_Toc153210825"/>
      <w:bookmarkStart w:id="474" w:name="_Toc99791571"/>
      <w:bookmarkStart w:id="475" w:name="_Toc153291010"/>
      <w:bookmarkStart w:id="476" w:name="_Toc167895723"/>
      <w:bookmarkStart w:id="477" w:name="_Toc174538637"/>
      <w:bookmarkStart w:id="478" w:name="_Toc182476389"/>
      <w:r w:rsidRPr="00765F6E">
        <w:rPr>
          <w:rFonts w:hint="eastAsia"/>
        </w:rPr>
        <w:t>制动系统</w:t>
      </w:r>
      <w:bookmarkEnd w:id="473"/>
      <w:bookmarkEnd w:id="474"/>
      <w:bookmarkEnd w:id="475"/>
      <w:bookmarkEnd w:id="476"/>
      <w:bookmarkEnd w:id="477"/>
      <w:bookmarkEnd w:id="478"/>
    </w:p>
    <w:p w14:paraId="70E475BB" w14:textId="77777777" w:rsidR="00737EB2" w:rsidRPr="00CA33AB" w:rsidRDefault="00737EB2" w:rsidP="009D0776">
      <w:pPr>
        <w:pStyle w:val="22"/>
      </w:pPr>
      <w:bookmarkStart w:id="479" w:name="_Toc99791572"/>
      <w:bookmarkStart w:id="480" w:name="_Toc153291011"/>
      <w:r w:rsidRPr="00CA33AB">
        <w:rPr>
          <w:rFonts w:hint="eastAsia"/>
        </w:rPr>
        <w:t>列车空气制动系统包括风源系统、管路系统和制动控制装置等，应具备常用制动、紧急制动、停放制动、防滑控制等功能。</w:t>
      </w:r>
      <w:bookmarkEnd w:id="479"/>
      <w:bookmarkEnd w:id="480"/>
      <w:r w:rsidRPr="00CA33AB">
        <w:rPr>
          <w:rFonts w:hint="eastAsia"/>
        </w:rPr>
        <w:t xml:space="preserve"> </w:t>
      </w:r>
    </w:p>
    <w:p w14:paraId="07858617" w14:textId="77777777" w:rsidR="00737EB2" w:rsidRPr="00CA33AB" w:rsidRDefault="00737EB2" w:rsidP="009D0776">
      <w:pPr>
        <w:pStyle w:val="22"/>
      </w:pPr>
      <w:bookmarkStart w:id="481" w:name="_Toc153291012"/>
      <w:bookmarkStart w:id="482" w:name="_Toc99791573"/>
      <w:r w:rsidRPr="00CA33AB">
        <w:rPr>
          <w:rFonts w:hint="eastAsia"/>
        </w:rPr>
        <w:t>制动系统应采用微机控制，并应能根据空、重车载荷自动调整制动力大小，同时具有空车保证和重车限制功能。</w:t>
      </w:r>
      <w:bookmarkEnd w:id="481"/>
      <w:bookmarkEnd w:id="482"/>
      <w:r w:rsidRPr="00CA33AB">
        <w:rPr>
          <w:rFonts w:hint="eastAsia"/>
        </w:rPr>
        <w:t xml:space="preserve"> </w:t>
      </w:r>
    </w:p>
    <w:p w14:paraId="2875DD46" w14:textId="77777777" w:rsidR="00737EB2" w:rsidRPr="00CA33AB" w:rsidRDefault="00737EB2" w:rsidP="009D0776">
      <w:pPr>
        <w:pStyle w:val="22"/>
      </w:pPr>
      <w:bookmarkStart w:id="483" w:name="_Toc99791574"/>
      <w:bookmarkStart w:id="484" w:name="_Toc153291013"/>
      <w:r w:rsidRPr="00CA33AB">
        <w:rPr>
          <w:rFonts w:hint="eastAsia"/>
        </w:rPr>
        <w:lastRenderedPageBreak/>
        <w:t>常用制动应优先使用再生制动，制动能量应能被其他列车吸收，多余能量应由再生制动能量吸收装置吸收。再生制动力不足时，空气制动应按总制动力要求补充不足的制动力。</w:t>
      </w:r>
      <w:bookmarkEnd w:id="483"/>
      <w:bookmarkEnd w:id="484"/>
    </w:p>
    <w:p w14:paraId="4CB693C1" w14:textId="77777777" w:rsidR="00737EB2" w:rsidRPr="00CA33AB" w:rsidRDefault="00737EB2" w:rsidP="009D0776">
      <w:pPr>
        <w:pStyle w:val="22"/>
      </w:pPr>
      <w:bookmarkStart w:id="485" w:name="_Toc153291014"/>
      <w:bookmarkStart w:id="486" w:name="_Toc99791575"/>
      <w:r w:rsidRPr="00CA33AB">
        <w:rPr>
          <w:rFonts w:hint="eastAsia"/>
        </w:rPr>
        <w:t>常用制动宜采用基于速度的分段制动力控制，高速制动时，制动力应随速度减小而逐渐增加到最大，并保持到停车。</w:t>
      </w:r>
      <w:bookmarkEnd w:id="485"/>
      <w:bookmarkEnd w:id="486"/>
    </w:p>
    <w:p w14:paraId="134F3E57" w14:textId="77777777" w:rsidR="00737EB2" w:rsidRPr="00CA33AB" w:rsidRDefault="00737EB2" w:rsidP="009D0776">
      <w:pPr>
        <w:pStyle w:val="22"/>
      </w:pPr>
      <w:bookmarkStart w:id="487" w:name="_Toc153291015"/>
      <w:bookmarkStart w:id="488" w:name="_Toc99791576"/>
      <w:r w:rsidRPr="00CA33AB">
        <w:rPr>
          <w:rFonts w:hint="eastAsia"/>
        </w:rPr>
        <w:t>紧急制动应为纯空气制动。列车出现意外分离等严重故障影响列车安全时，应立刻自动实施紧急制动。</w:t>
      </w:r>
      <w:bookmarkEnd w:id="487"/>
      <w:bookmarkEnd w:id="488"/>
      <w:r w:rsidRPr="00CA33AB">
        <w:rPr>
          <w:rFonts w:hint="eastAsia"/>
        </w:rPr>
        <w:t xml:space="preserve"> </w:t>
      </w:r>
    </w:p>
    <w:p w14:paraId="6217404F" w14:textId="77777777" w:rsidR="00737EB2" w:rsidRPr="00CA33AB" w:rsidRDefault="00737EB2" w:rsidP="009D0776">
      <w:pPr>
        <w:pStyle w:val="22"/>
      </w:pPr>
      <w:bookmarkStart w:id="489" w:name="_Toc153291016"/>
      <w:bookmarkStart w:id="490" w:name="_Toc99791577"/>
      <w:r w:rsidRPr="00CA33AB">
        <w:rPr>
          <w:rFonts w:hint="eastAsia"/>
        </w:rPr>
        <w:t>停放制动系统应保证在线路最大坡道、列车在最大载荷情况下施加停放制动不发生溜车。</w:t>
      </w:r>
      <w:bookmarkEnd w:id="489"/>
      <w:bookmarkEnd w:id="490"/>
      <w:r w:rsidRPr="00CA33AB">
        <w:rPr>
          <w:rFonts w:hint="eastAsia"/>
        </w:rPr>
        <w:t xml:space="preserve"> </w:t>
      </w:r>
    </w:p>
    <w:p w14:paraId="310AF316" w14:textId="77777777" w:rsidR="00737EB2" w:rsidRPr="00CA33AB" w:rsidRDefault="00737EB2" w:rsidP="009D0776">
      <w:pPr>
        <w:pStyle w:val="22"/>
      </w:pPr>
      <w:bookmarkStart w:id="491" w:name="_Toc99791578"/>
      <w:bookmarkStart w:id="492" w:name="_Toc153291017"/>
      <w:r w:rsidRPr="00CA33AB">
        <w:rPr>
          <w:rFonts w:hint="eastAsia"/>
        </w:rPr>
        <w:t>基础制动应采用盘形制动装置。</w:t>
      </w:r>
      <w:bookmarkEnd w:id="491"/>
      <w:bookmarkEnd w:id="492"/>
      <w:r w:rsidRPr="00CA33AB">
        <w:rPr>
          <w:rFonts w:hint="eastAsia"/>
        </w:rPr>
        <w:t xml:space="preserve"> </w:t>
      </w:r>
    </w:p>
    <w:p w14:paraId="0C1C6B69" w14:textId="348502EA" w:rsidR="00737EB2" w:rsidRPr="00CA33AB" w:rsidRDefault="000553A7" w:rsidP="009D0776">
      <w:pPr>
        <w:pStyle w:val="22"/>
      </w:pPr>
      <w:bookmarkStart w:id="493" w:name="_Toc99791579"/>
      <w:bookmarkStart w:id="494" w:name="_Toc153291018"/>
      <w:r>
        <w:rPr>
          <w:rFonts w:hint="eastAsia"/>
        </w:rPr>
        <w:t>列车应有两台或两台以上独立的电动空气压缩机组，当一台机组失效时，其余压缩机组的性能、排气量、供气质量和储风缸容积均能满足整列车正常所需供气的要求</w:t>
      </w:r>
      <w:r w:rsidR="00737EB2" w:rsidRPr="00CA33AB">
        <w:rPr>
          <w:rFonts w:hint="eastAsia"/>
        </w:rPr>
        <w:t>。</w:t>
      </w:r>
      <w:bookmarkEnd w:id="493"/>
      <w:bookmarkEnd w:id="494"/>
      <w:r w:rsidR="00737EB2" w:rsidRPr="00CA33AB">
        <w:rPr>
          <w:rFonts w:hint="eastAsia"/>
        </w:rPr>
        <w:t xml:space="preserve"> </w:t>
      </w:r>
    </w:p>
    <w:p w14:paraId="39515B82" w14:textId="77777777" w:rsidR="00737EB2" w:rsidRPr="00CA33AB" w:rsidRDefault="00737EB2" w:rsidP="009D0776">
      <w:pPr>
        <w:pStyle w:val="22"/>
      </w:pPr>
      <w:bookmarkStart w:id="495" w:name="_Toc99791580"/>
      <w:bookmarkStart w:id="496" w:name="_Toc153291019"/>
      <w:r w:rsidRPr="00CA33AB">
        <w:rPr>
          <w:rFonts w:hint="eastAsia"/>
        </w:rPr>
        <w:t>每车应配备主风缸、制动风缸和辅助风缸，储存能力应符合车辆用风要求。</w:t>
      </w:r>
      <w:bookmarkEnd w:id="495"/>
      <w:bookmarkEnd w:id="496"/>
    </w:p>
    <w:p w14:paraId="01306532" w14:textId="77777777" w:rsidR="00737EB2" w:rsidRPr="00765F6E" w:rsidRDefault="00737EB2" w:rsidP="00737EB2">
      <w:pPr>
        <w:pStyle w:val="affe"/>
        <w:spacing w:before="156" w:after="156"/>
      </w:pPr>
      <w:bookmarkStart w:id="497" w:name="_Toc99791581"/>
      <w:bookmarkStart w:id="498" w:name="_Toc153291020"/>
      <w:bookmarkStart w:id="499" w:name="_Toc153210826"/>
      <w:bookmarkStart w:id="500" w:name="_Toc167895724"/>
      <w:bookmarkStart w:id="501" w:name="_Toc174538638"/>
      <w:bookmarkStart w:id="502" w:name="_Toc182476390"/>
      <w:r w:rsidRPr="00765F6E">
        <w:rPr>
          <w:rFonts w:hint="eastAsia"/>
        </w:rPr>
        <w:t>安全与应急设施</w:t>
      </w:r>
      <w:bookmarkEnd w:id="497"/>
      <w:bookmarkEnd w:id="498"/>
      <w:bookmarkEnd w:id="499"/>
      <w:bookmarkEnd w:id="500"/>
      <w:bookmarkEnd w:id="501"/>
      <w:bookmarkEnd w:id="502"/>
    </w:p>
    <w:p w14:paraId="38A6CFE9" w14:textId="6DD940E3" w:rsidR="00737EB2" w:rsidRPr="00CA33AB" w:rsidRDefault="000553A7" w:rsidP="009D0776">
      <w:pPr>
        <w:pStyle w:val="22"/>
      </w:pPr>
      <w:bookmarkStart w:id="503" w:name="_Toc7709"/>
      <w:bookmarkStart w:id="504" w:name="_Toc99791582"/>
      <w:bookmarkStart w:id="505" w:name="_Toc153291021"/>
      <w:r>
        <w:rPr>
          <w:rFonts w:hint="eastAsia"/>
        </w:rPr>
        <w:t>列车应具有在特殊情况下紧急疏散乘客的能力。不设置紧急疏散门且不具备</w:t>
      </w:r>
      <w:r>
        <w:rPr>
          <w:rFonts w:hint="eastAsia"/>
          <w:szCs w:val="21"/>
        </w:rPr>
        <w:t>侧向疏散平台疏散的情况下，列车应设置其它应急疏散设施</w:t>
      </w:r>
      <w:bookmarkEnd w:id="503"/>
      <w:bookmarkEnd w:id="504"/>
      <w:bookmarkEnd w:id="505"/>
      <w:r w:rsidR="00737EB2" w:rsidRPr="00CA33AB">
        <w:rPr>
          <w:rFonts w:hint="eastAsia"/>
        </w:rPr>
        <w:t xml:space="preserve">。 </w:t>
      </w:r>
    </w:p>
    <w:p w14:paraId="7282DF94" w14:textId="77777777" w:rsidR="00737EB2" w:rsidRPr="00CA33AB" w:rsidRDefault="00737EB2" w:rsidP="009D0776">
      <w:pPr>
        <w:pStyle w:val="22"/>
      </w:pPr>
      <w:bookmarkStart w:id="506" w:name="_Toc99791583"/>
      <w:bookmarkStart w:id="507" w:name="_Toc153291022"/>
      <w:r w:rsidRPr="00CA33AB">
        <w:rPr>
          <w:rFonts w:hint="eastAsia"/>
        </w:rPr>
        <w:t>列车应配置报警系统，客室内应设有乘客紧急报警装置，该报警装置应具有乘务员与乘客间双向通信功能。</w:t>
      </w:r>
      <w:bookmarkEnd w:id="506"/>
      <w:bookmarkEnd w:id="507"/>
      <w:r w:rsidRPr="00CA33AB">
        <w:rPr>
          <w:rFonts w:hint="eastAsia"/>
        </w:rPr>
        <w:t xml:space="preserve"> </w:t>
      </w:r>
    </w:p>
    <w:p w14:paraId="21C83671" w14:textId="77777777" w:rsidR="00737EB2" w:rsidRPr="00CA33AB" w:rsidRDefault="00737EB2" w:rsidP="009D0776">
      <w:pPr>
        <w:pStyle w:val="22"/>
      </w:pPr>
      <w:bookmarkStart w:id="508" w:name="_Toc153291023"/>
      <w:bookmarkStart w:id="509" w:name="_Toc99791584"/>
      <w:r w:rsidRPr="00CA33AB">
        <w:rPr>
          <w:rFonts w:hint="eastAsia"/>
        </w:rPr>
        <w:t>司机台应配置紧急停车操纵装置和警惕按钮。</w:t>
      </w:r>
      <w:bookmarkEnd w:id="508"/>
      <w:bookmarkEnd w:id="509"/>
      <w:r w:rsidRPr="00CA33AB">
        <w:rPr>
          <w:rFonts w:hint="eastAsia"/>
        </w:rPr>
        <w:t xml:space="preserve"> </w:t>
      </w:r>
    </w:p>
    <w:p w14:paraId="18DD4254" w14:textId="77777777" w:rsidR="00737EB2" w:rsidRPr="00CA33AB" w:rsidRDefault="00737EB2" w:rsidP="009D0776">
      <w:pPr>
        <w:pStyle w:val="22"/>
      </w:pPr>
      <w:bookmarkStart w:id="510" w:name="_Toc99791585"/>
      <w:bookmarkStart w:id="511" w:name="_Toc153291024"/>
      <w:r w:rsidRPr="00CA33AB">
        <w:rPr>
          <w:rFonts w:hint="eastAsia"/>
        </w:rPr>
        <w:t>司机室内应设置客室侧门开闭状态显示和车载信号显示装置。</w:t>
      </w:r>
      <w:bookmarkEnd w:id="510"/>
      <w:bookmarkEnd w:id="511"/>
      <w:r w:rsidRPr="00CA33AB">
        <w:rPr>
          <w:rFonts w:hint="eastAsia"/>
        </w:rPr>
        <w:t xml:space="preserve"> </w:t>
      </w:r>
    </w:p>
    <w:p w14:paraId="7B46499C" w14:textId="0B0F9C2E" w:rsidR="00737EB2" w:rsidRPr="00CA33AB" w:rsidRDefault="00737EB2" w:rsidP="009D0776">
      <w:pPr>
        <w:pStyle w:val="22"/>
      </w:pPr>
      <w:bookmarkStart w:id="512" w:name="_Toc99791586"/>
      <w:bookmarkStart w:id="513" w:name="_Toc153291025"/>
      <w:r w:rsidRPr="00CA33AB">
        <w:rPr>
          <w:rFonts w:hint="eastAsia"/>
        </w:rPr>
        <w:t>司机室前端应装设远近光变换的前照灯。照度值应符合</w:t>
      </w:r>
      <w:r w:rsidR="000553A7">
        <w:t>TB/T 2325.1</w:t>
      </w:r>
      <w:r w:rsidRPr="00CA33AB">
        <w:rPr>
          <w:rFonts w:hint="eastAsia"/>
        </w:rPr>
        <w:t>的规定。列车两端外侧应设有可视距离足够的红色防护灯。</w:t>
      </w:r>
      <w:bookmarkEnd w:id="512"/>
      <w:bookmarkEnd w:id="513"/>
    </w:p>
    <w:p w14:paraId="5282CF3F" w14:textId="77777777" w:rsidR="00737EB2" w:rsidRPr="00CA33AB" w:rsidRDefault="00737EB2" w:rsidP="009D0776">
      <w:pPr>
        <w:pStyle w:val="22"/>
      </w:pPr>
      <w:bookmarkStart w:id="514" w:name="_Toc153291026"/>
      <w:bookmarkStart w:id="515" w:name="_Toc99791587"/>
      <w:r w:rsidRPr="00CA33AB">
        <w:rPr>
          <w:rFonts w:hint="eastAsia"/>
        </w:rPr>
        <w:t>列车应设置鸣笛装置。</w:t>
      </w:r>
      <w:bookmarkEnd w:id="514"/>
    </w:p>
    <w:p w14:paraId="7F557B2D" w14:textId="6A591C2E" w:rsidR="00737EB2" w:rsidRPr="00CA33AB" w:rsidRDefault="00737EB2" w:rsidP="009D0776">
      <w:pPr>
        <w:pStyle w:val="22"/>
      </w:pPr>
      <w:bookmarkStart w:id="516" w:name="_Toc153291027"/>
      <w:r w:rsidRPr="00CA33AB">
        <w:rPr>
          <w:rFonts w:hint="eastAsia"/>
        </w:rPr>
        <w:t>列车及客室内应保持设施齐全，</w:t>
      </w:r>
      <w:r w:rsidR="00D73D65">
        <w:rPr>
          <w:rFonts w:hint="eastAsia"/>
        </w:rPr>
        <w:t>安全</w:t>
      </w:r>
      <w:r w:rsidRPr="00CA33AB">
        <w:rPr>
          <w:rFonts w:hint="eastAsia"/>
        </w:rPr>
        <w:t>状态良好，宜满足老、弱、病、残、孕等重点及特殊乘客的坐席需求。</w:t>
      </w:r>
      <w:bookmarkEnd w:id="515"/>
      <w:bookmarkEnd w:id="516"/>
      <w:r w:rsidRPr="00CA33AB">
        <w:rPr>
          <w:rFonts w:hint="eastAsia"/>
        </w:rPr>
        <w:t xml:space="preserve"> </w:t>
      </w:r>
    </w:p>
    <w:p w14:paraId="0D635EA5" w14:textId="6A321970" w:rsidR="00737EB2" w:rsidRPr="00CA33AB" w:rsidRDefault="000553A7" w:rsidP="009D0776">
      <w:pPr>
        <w:pStyle w:val="22"/>
      </w:pPr>
      <w:bookmarkStart w:id="517" w:name="_Toc99791588"/>
      <w:bookmarkStart w:id="518" w:name="_Toc153291028"/>
      <w:r>
        <w:rPr>
          <w:rFonts w:hint="eastAsia"/>
        </w:rPr>
        <w:t>车辆应设有警告标识，至少包括带电高压设备、消防设备及电器箱内的操作警示标识等</w:t>
      </w:r>
      <w:bookmarkEnd w:id="517"/>
      <w:r w:rsidR="00737EB2" w:rsidRPr="00CA33AB">
        <w:rPr>
          <w:rFonts w:hint="eastAsia"/>
        </w:rPr>
        <w:t>。</w:t>
      </w:r>
      <w:bookmarkEnd w:id="518"/>
    </w:p>
    <w:p w14:paraId="383285A2" w14:textId="77777777" w:rsidR="00737EB2" w:rsidRPr="00CA33AB" w:rsidRDefault="00737EB2" w:rsidP="009D0776">
      <w:pPr>
        <w:pStyle w:val="22"/>
      </w:pPr>
      <w:bookmarkStart w:id="519" w:name="_Toc99791589"/>
      <w:bookmarkStart w:id="520" w:name="_Toc153291029"/>
      <w:r w:rsidRPr="00CA33AB">
        <w:rPr>
          <w:rFonts w:hint="eastAsia"/>
        </w:rPr>
        <w:t>车辆客室、司机室应配置适合于电气装置与油脂类火灾的灭火器具，安放位置应有明显标识并便于取用。灭火时产生的气体不应对人体产生危害。</w:t>
      </w:r>
      <w:bookmarkEnd w:id="519"/>
      <w:bookmarkEnd w:id="520"/>
    </w:p>
    <w:p w14:paraId="053D5958" w14:textId="77777777" w:rsidR="00737EB2" w:rsidRPr="00CA33AB" w:rsidRDefault="00737EB2" w:rsidP="009D0776">
      <w:pPr>
        <w:pStyle w:val="22"/>
      </w:pPr>
      <w:bookmarkStart w:id="521" w:name="_Toc153291030"/>
      <w:bookmarkStart w:id="522" w:name="_Toc99791590"/>
      <w:r w:rsidRPr="00CA33AB">
        <w:rPr>
          <w:rFonts w:hint="eastAsia"/>
        </w:rPr>
        <w:t>列车应设置烟火报警装置。</w:t>
      </w:r>
      <w:bookmarkEnd w:id="521"/>
      <w:bookmarkEnd w:id="522"/>
    </w:p>
    <w:p w14:paraId="1D992F02" w14:textId="77777777" w:rsidR="00737EB2" w:rsidRPr="00765F6E" w:rsidRDefault="00737EB2" w:rsidP="00737EB2">
      <w:pPr>
        <w:pStyle w:val="affd"/>
        <w:spacing w:before="312" w:after="312"/>
      </w:pPr>
      <w:bookmarkStart w:id="523" w:name="_Toc99791592"/>
      <w:bookmarkStart w:id="524" w:name="_Toc153210827"/>
      <w:bookmarkStart w:id="525" w:name="_Toc153291032"/>
      <w:bookmarkStart w:id="526" w:name="_Toc167895725"/>
      <w:bookmarkStart w:id="527" w:name="_Toc174538639"/>
      <w:bookmarkStart w:id="528" w:name="_Toc182476391"/>
      <w:r w:rsidRPr="00765F6E">
        <w:rPr>
          <w:rFonts w:hint="eastAsia"/>
        </w:rPr>
        <w:t>限界</w:t>
      </w:r>
      <w:bookmarkEnd w:id="523"/>
      <w:bookmarkEnd w:id="524"/>
      <w:bookmarkEnd w:id="525"/>
      <w:bookmarkEnd w:id="526"/>
      <w:bookmarkEnd w:id="527"/>
      <w:bookmarkEnd w:id="528"/>
    </w:p>
    <w:p w14:paraId="18AD0F62" w14:textId="77777777" w:rsidR="00737EB2" w:rsidRPr="00765F6E" w:rsidRDefault="00737EB2" w:rsidP="00737EB2">
      <w:pPr>
        <w:pStyle w:val="affe"/>
        <w:spacing w:before="156" w:after="156"/>
      </w:pPr>
      <w:bookmarkStart w:id="529" w:name="_Toc153291033"/>
      <w:bookmarkStart w:id="530" w:name="_Toc99791593"/>
      <w:bookmarkStart w:id="531" w:name="_Toc153210828"/>
      <w:bookmarkStart w:id="532" w:name="_Toc167895726"/>
      <w:bookmarkStart w:id="533" w:name="_Toc174538640"/>
      <w:bookmarkStart w:id="534" w:name="_Toc182476392"/>
      <w:r w:rsidRPr="00765F6E">
        <w:rPr>
          <w:rFonts w:hint="eastAsia"/>
        </w:rPr>
        <w:t>一般规定</w:t>
      </w:r>
      <w:bookmarkEnd w:id="529"/>
      <w:bookmarkEnd w:id="530"/>
      <w:bookmarkEnd w:id="531"/>
      <w:bookmarkEnd w:id="532"/>
      <w:bookmarkEnd w:id="533"/>
      <w:bookmarkEnd w:id="534"/>
    </w:p>
    <w:p w14:paraId="4233EA29" w14:textId="77777777" w:rsidR="00737EB2" w:rsidRPr="00765F6E" w:rsidRDefault="00737EB2" w:rsidP="00167E6B">
      <w:pPr>
        <w:pStyle w:val="22"/>
      </w:pPr>
      <w:bookmarkStart w:id="535" w:name="_Toc99791594"/>
      <w:r w:rsidRPr="00765F6E">
        <w:rPr>
          <w:rFonts w:hint="eastAsia"/>
        </w:rPr>
        <w:t>市域铁路限界应包括车辆限界、设备限界和建筑限界。</w:t>
      </w:r>
      <w:bookmarkEnd w:id="535"/>
    </w:p>
    <w:p w14:paraId="5CAAEC47" w14:textId="7F567415" w:rsidR="00737EB2" w:rsidRPr="00765F6E" w:rsidRDefault="00737EB2" w:rsidP="00167E6B">
      <w:pPr>
        <w:pStyle w:val="22"/>
      </w:pPr>
      <w:bookmarkStart w:id="536" w:name="_Toc99791595"/>
      <w:r w:rsidRPr="00765F6E">
        <w:rPr>
          <w:rFonts w:hint="eastAsia"/>
        </w:rPr>
        <w:t>除站台、站台门和接触网（轨）外，沿线安装的任何设备（计入安装误差值、测量误差值及维护周期内的变形量）均不应侵入设备限界。</w:t>
      </w:r>
      <w:bookmarkEnd w:id="536"/>
    </w:p>
    <w:p w14:paraId="24374147" w14:textId="12AD1A3B" w:rsidR="00737EB2" w:rsidRPr="00765F6E" w:rsidRDefault="00737EB2" w:rsidP="00167E6B">
      <w:pPr>
        <w:pStyle w:val="22"/>
      </w:pPr>
      <w:bookmarkStart w:id="537" w:name="_Toc99791596"/>
      <w:r w:rsidRPr="00765F6E">
        <w:rPr>
          <w:rFonts w:hint="eastAsia"/>
        </w:rPr>
        <w:t>任何沿线永久性固定建筑物（计入施工误差值、测量误差值及结构永久变形量）均不应侵入建筑限界。</w:t>
      </w:r>
      <w:bookmarkEnd w:id="537"/>
    </w:p>
    <w:p w14:paraId="76D00054" w14:textId="1637B3A4" w:rsidR="00737EB2" w:rsidRPr="00765F6E" w:rsidRDefault="00167E6B" w:rsidP="00167E6B">
      <w:pPr>
        <w:pStyle w:val="22"/>
      </w:pPr>
      <w:bookmarkStart w:id="538" w:name="_Toc99791597"/>
      <w:r w:rsidRPr="00167E6B">
        <w:rPr>
          <w:rFonts w:hint="eastAsia"/>
        </w:rPr>
        <w:t>具备</w:t>
      </w:r>
      <w:r w:rsidRPr="00765F6E">
        <w:rPr>
          <w:rFonts w:hint="eastAsia"/>
        </w:rPr>
        <w:t>跨线运营</w:t>
      </w:r>
      <w:r>
        <w:rPr>
          <w:rFonts w:hint="eastAsia"/>
        </w:rPr>
        <w:t>条件</w:t>
      </w:r>
      <w:r w:rsidRPr="00765F6E">
        <w:rPr>
          <w:rFonts w:hint="eastAsia"/>
        </w:rPr>
        <w:t>的车站及区间，建筑限界应符合TB 10623的相关规定。</w:t>
      </w:r>
      <w:bookmarkEnd w:id="538"/>
    </w:p>
    <w:p w14:paraId="24A997EB" w14:textId="17F46C79" w:rsidR="00737EB2" w:rsidRPr="00765F6E" w:rsidRDefault="00737EB2" w:rsidP="00167E6B">
      <w:pPr>
        <w:pStyle w:val="22"/>
      </w:pPr>
      <w:bookmarkStart w:id="539" w:name="_Toc99791598"/>
      <w:r w:rsidRPr="00765F6E">
        <w:rPr>
          <w:rFonts w:hint="eastAsia"/>
        </w:rPr>
        <w:t>当计算限界的相关参数与本文件不同时，应重新核定车辆限界、设备限界和建筑限界。</w:t>
      </w:r>
      <w:bookmarkEnd w:id="539"/>
    </w:p>
    <w:p w14:paraId="1935E086" w14:textId="398DE658" w:rsidR="00737EB2" w:rsidRPr="00765F6E" w:rsidRDefault="00737EB2" w:rsidP="00167E6B">
      <w:pPr>
        <w:pStyle w:val="22"/>
      </w:pPr>
      <w:bookmarkStart w:id="540" w:name="_Toc99791599"/>
      <w:r w:rsidRPr="00765F6E">
        <w:rPr>
          <w:rFonts w:hint="eastAsia"/>
        </w:rPr>
        <w:t>最高运营速度为120km/h～160km/h的市域车的直线段车辆限界及设备限界应符合附录A～附录</w:t>
      </w:r>
      <w:r w:rsidRPr="00765F6E">
        <w:t>E</w:t>
      </w:r>
      <w:r w:rsidRPr="00765F6E">
        <w:rPr>
          <w:rFonts w:hint="eastAsia"/>
        </w:rPr>
        <w:t>。</w:t>
      </w:r>
      <w:bookmarkEnd w:id="540"/>
      <w:r w:rsidRPr="00765F6E">
        <w:rPr>
          <w:rFonts w:hint="eastAsia"/>
        </w:rPr>
        <w:t xml:space="preserve"> </w:t>
      </w:r>
    </w:p>
    <w:p w14:paraId="42F33977" w14:textId="4E00BA0E" w:rsidR="00737EB2" w:rsidRPr="00765F6E" w:rsidRDefault="00737EB2" w:rsidP="00167E6B">
      <w:pPr>
        <w:pStyle w:val="22"/>
      </w:pPr>
      <w:bookmarkStart w:id="541" w:name="_Toc99791600"/>
      <w:r w:rsidRPr="00765F6E">
        <w:rPr>
          <w:rFonts w:hint="eastAsia"/>
        </w:rPr>
        <w:t>同一车型，在最高运行速度120km/h～160km/h工况下应采用相同的车辆限界和设备限界。</w:t>
      </w:r>
      <w:bookmarkEnd w:id="541"/>
    </w:p>
    <w:p w14:paraId="07F05A55" w14:textId="558ED88B" w:rsidR="00737EB2" w:rsidRPr="00765F6E" w:rsidRDefault="00737EB2" w:rsidP="00737EB2">
      <w:pPr>
        <w:pStyle w:val="affe"/>
        <w:spacing w:before="156" w:after="156"/>
      </w:pPr>
      <w:bookmarkStart w:id="542" w:name="_Toc153210829"/>
      <w:bookmarkStart w:id="543" w:name="_Toc153291034"/>
      <w:bookmarkStart w:id="544" w:name="_Toc99791601"/>
      <w:bookmarkStart w:id="545" w:name="_Toc167895727"/>
      <w:bookmarkStart w:id="546" w:name="_Toc174538641"/>
      <w:bookmarkStart w:id="547" w:name="_Toc182476393"/>
      <w:r w:rsidRPr="00765F6E">
        <w:rPr>
          <w:rFonts w:hint="eastAsia"/>
        </w:rPr>
        <w:t>计算参数</w:t>
      </w:r>
      <w:bookmarkEnd w:id="542"/>
      <w:bookmarkEnd w:id="543"/>
      <w:bookmarkEnd w:id="544"/>
      <w:bookmarkEnd w:id="545"/>
      <w:bookmarkEnd w:id="546"/>
      <w:bookmarkEnd w:id="547"/>
    </w:p>
    <w:p w14:paraId="2AC62906" w14:textId="77777777" w:rsidR="00737EB2" w:rsidRPr="00CA33AB" w:rsidRDefault="00737EB2" w:rsidP="009D0776">
      <w:pPr>
        <w:pStyle w:val="22"/>
      </w:pPr>
      <w:bookmarkStart w:id="548" w:name="_Toc153291035"/>
      <w:bookmarkStart w:id="549" w:name="_Toc99791602"/>
      <w:r w:rsidRPr="00CA33AB">
        <w:rPr>
          <w:rFonts w:hint="eastAsia"/>
        </w:rPr>
        <w:t>限界计算采用的车辆参数应符合表1的规定。</w:t>
      </w:r>
      <w:bookmarkEnd w:id="548"/>
      <w:bookmarkEnd w:id="549"/>
    </w:p>
    <w:p w14:paraId="0F20A339" w14:textId="53CBA216" w:rsidR="00737EB2" w:rsidRPr="00CA33AB" w:rsidRDefault="00737EB2" w:rsidP="009D0776">
      <w:pPr>
        <w:pStyle w:val="22"/>
      </w:pPr>
      <w:bookmarkStart w:id="550" w:name="_Toc153291036"/>
      <w:bookmarkStart w:id="551" w:name="_Toc99791603"/>
      <w:r w:rsidRPr="00CA33AB">
        <w:rPr>
          <w:rFonts w:hint="eastAsia"/>
        </w:rPr>
        <w:t>轨道基本参数应符合</w:t>
      </w:r>
      <w:r w:rsidRPr="00BD03B6">
        <w:t>1</w:t>
      </w:r>
      <w:r w:rsidR="00BD03B6" w:rsidRPr="00BD03B6">
        <w:t>2</w:t>
      </w:r>
      <w:r w:rsidRPr="00BD03B6">
        <w:t>.2</w:t>
      </w:r>
      <w:r w:rsidR="00B920A3">
        <w:rPr>
          <w:rFonts w:hint="eastAsia"/>
        </w:rPr>
        <w:t>等</w:t>
      </w:r>
      <w:r w:rsidRPr="00CA33AB">
        <w:rPr>
          <w:rFonts w:hint="eastAsia"/>
        </w:rPr>
        <w:t>规定。</w:t>
      </w:r>
      <w:bookmarkEnd w:id="550"/>
      <w:bookmarkEnd w:id="551"/>
      <w:r w:rsidRPr="00CA33AB">
        <w:rPr>
          <w:rFonts w:hint="eastAsia"/>
        </w:rPr>
        <w:t xml:space="preserve"> </w:t>
      </w:r>
    </w:p>
    <w:p w14:paraId="72228597" w14:textId="77777777" w:rsidR="00737EB2" w:rsidRPr="00CA33AB" w:rsidRDefault="00737EB2" w:rsidP="009D0776">
      <w:pPr>
        <w:pStyle w:val="22"/>
      </w:pPr>
      <w:bookmarkStart w:id="552" w:name="_Toc153291037"/>
      <w:bookmarkStart w:id="553" w:name="_Toc99791604"/>
      <w:r w:rsidRPr="00CA33AB">
        <w:rPr>
          <w:rFonts w:hint="eastAsia"/>
        </w:rPr>
        <w:t>接触网安装符合下列规定：</w:t>
      </w:r>
      <w:bookmarkEnd w:id="552"/>
      <w:bookmarkEnd w:id="553"/>
    </w:p>
    <w:p w14:paraId="316BE16D" w14:textId="5A32CAF7" w:rsidR="00737EB2" w:rsidRPr="00CA33AB" w:rsidRDefault="00737EB2" w:rsidP="003334F3">
      <w:pPr>
        <w:pStyle w:val="af6"/>
        <w:numPr>
          <w:ilvl w:val="0"/>
          <w:numId w:val="40"/>
        </w:numPr>
        <w:tabs>
          <w:tab w:val="left" w:pos="851"/>
        </w:tabs>
        <w:snapToGrid w:val="0"/>
        <w:contextualSpacing/>
        <w:rPr>
          <w:rFonts w:hAnsi="宋体"/>
        </w:rPr>
      </w:pPr>
      <w:r w:rsidRPr="00CA33AB">
        <w:rPr>
          <w:rFonts w:hAnsi="宋体" w:hint="eastAsia"/>
        </w:rPr>
        <w:lastRenderedPageBreak/>
        <w:t>采用AC25 kV接触网授流的市域C、D型车辆，接触网导线距轨顶面安装高度宜为5300mm，不应小于5150mm</w:t>
      </w:r>
      <w:r w:rsidR="00BC6344">
        <w:rPr>
          <w:rFonts w:hAnsi="宋体" w:hint="eastAsia"/>
        </w:rPr>
        <w:t>；</w:t>
      </w:r>
      <w:r w:rsidRPr="00CA33AB">
        <w:rPr>
          <w:rFonts w:hAnsi="宋体" w:hint="eastAsia"/>
        </w:rPr>
        <w:t>市域A、B型车辆的接触网导线距轨顶面安装高度应符合</w:t>
      </w:r>
      <w:r w:rsidRPr="000F4611">
        <w:rPr>
          <w:rFonts w:hAnsi="宋体"/>
        </w:rPr>
        <w:t>18.8.3</w:t>
      </w:r>
      <w:r w:rsidRPr="00CA33AB">
        <w:rPr>
          <w:rFonts w:hAnsi="宋体" w:hint="eastAsia"/>
        </w:rPr>
        <w:t>中f</w:t>
      </w:r>
      <w:r w:rsidRPr="00CA33AB">
        <w:rPr>
          <w:rFonts w:hAnsi="宋体"/>
        </w:rPr>
        <w:t>)</w:t>
      </w:r>
      <w:r w:rsidRPr="00CA33AB">
        <w:rPr>
          <w:rFonts w:hAnsi="宋体" w:hint="eastAsia"/>
        </w:rPr>
        <w:t>的规定；</w:t>
      </w:r>
    </w:p>
    <w:p w14:paraId="12B3D7E9" w14:textId="77777777" w:rsidR="00737EB2" w:rsidRPr="00CA33AB" w:rsidRDefault="00737EB2" w:rsidP="003334F3">
      <w:pPr>
        <w:pStyle w:val="af6"/>
        <w:numPr>
          <w:ilvl w:val="0"/>
          <w:numId w:val="40"/>
        </w:numPr>
        <w:tabs>
          <w:tab w:val="left" w:pos="851"/>
        </w:tabs>
        <w:snapToGrid w:val="0"/>
        <w:contextualSpacing/>
        <w:rPr>
          <w:rFonts w:hAnsi="宋体"/>
        </w:rPr>
      </w:pPr>
      <w:r w:rsidRPr="00CA33AB">
        <w:rPr>
          <w:rFonts w:hAnsi="宋体" w:hint="eastAsia"/>
        </w:rPr>
        <w:t>采用DC 1500 V 供电的接触网授流的车辆，隧道内、高架与地面线、车场线接触网安装高度距轨面宜分别为4040mm、4600mm和5000mm。</w:t>
      </w:r>
    </w:p>
    <w:p w14:paraId="186EB9CC" w14:textId="77777777" w:rsidR="00737EB2" w:rsidRPr="00CA33AB" w:rsidRDefault="00737EB2" w:rsidP="009D0776">
      <w:pPr>
        <w:pStyle w:val="22"/>
      </w:pPr>
      <w:bookmarkStart w:id="554" w:name="_Toc99791605"/>
      <w:bookmarkStart w:id="555" w:name="_Toc153291038"/>
      <w:r w:rsidRPr="00CA33AB">
        <w:rPr>
          <w:rFonts w:hint="eastAsia"/>
        </w:rPr>
        <w:t>其他计算参数应符合下列规定：</w:t>
      </w:r>
      <w:bookmarkEnd w:id="554"/>
      <w:bookmarkEnd w:id="555"/>
    </w:p>
    <w:p w14:paraId="6ADA8AC4" w14:textId="4679BE9A" w:rsidR="00737EB2" w:rsidRPr="00CA33AB" w:rsidRDefault="00737EB2" w:rsidP="003334F3">
      <w:pPr>
        <w:pStyle w:val="af6"/>
        <w:numPr>
          <w:ilvl w:val="0"/>
          <w:numId w:val="41"/>
        </w:numPr>
        <w:tabs>
          <w:tab w:val="left" w:pos="851"/>
        </w:tabs>
        <w:snapToGrid w:val="0"/>
        <w:contextualSpacing/>
        <w:rPr>
          <w:rFonts w:hAnsi="宋体"/>
        </w:rPr>
      </w:pPr>
      <w:r w:rsidRPr="00CA33AB">
        <w:rPr>
          <w:rFonts w:hAnsi="宋体" w:hint="eastAsia"/>
        </w:rPr>
        <w:t>区间高架线或地面线风荷载采用400N/㎡</w:t>
      </w:r>
      <w:r w:rsidR="00BC6344">
        <w:rPr>
          <w:rFonts w:hAnsi="宋体" w:hint="eastAsia"/>
        </w:rPr>
        <w:t>；</w:t>
      </w:r>
    </w:p>
    <w:p w14:paraId="5D0A823A" w14:textId="77777777" w:rsidR="00737EB2" w:rsidRPr="00CA33AB" w:rsidRDefault="00737EB2" w:rsidP="003334F3">
      <w:pPr>
        <w:pStyle w:val="af6"/>
        <w:numPr>
          <w:ilvl w:val="0"/>
          <w:numId w:val="41"/>
        </w:numPr>
        <w:tabs>
          <w:tab w:val="left" w:pos="851"/>
        </w:tabs>
        <w:snapToGrid w:val="0"/>
        <w:contextualSpacing/>
        <w:rPr>
          <w:rFonts w:hAnsi="宋体"/>
        </w:rPr>
      </w:pPr>
      <w:r w:rsidRPr="00CA33AB">
        <w:rPr>
          <w:rFonts w:hAnsi="宋体" w:hint="eastAsia"/>
        </w:rPr>
        <w:t>列车过站最大限界计算速度采用80km/h；</w:t>
      </w:r>
    </w:p>
    <w:p w14:paraId="7732E32D" w14:textId="77777777" w:rsidR="00737EB2" w:rsidRPr="00CA33AB" w:rsidRDefault="00737EB2" w:rsidP="003334F3">
      <w:pPr>
        <w:pStyle w:val="af6"/>
        <w:numPr>
          <w:ilvl w:val="0"/>
          <w:numId w:val="41"/>
        </w:numPr>
        <w:tabs>
          <w:tab w:val="left" w:pos="851"/>
        </w:tabs>
        <w:snapToGrid w:val="0"/>
        <w:contextualSpacing/>
        <w:rPr>
          <w:rFonts w:hAnsi="宋体"/>
        </w:rPr>
      </w:pPr>
      <w:r w:rsidRPr="00CA33AB">
        <w:rPr>
          <w:rFonts w:hAnsi="宋体" w:hint="eastAsia"/>
        </w:rPr>
        <w:t>站台高架线或地面线风荷载采用210N/㎡；</w:t>
      </w:r>
    </w:p>
    <w:p w14:paraId="76423C11" w14:textId="77777777" w:rsidR="00737EB2" w:rsidRPr="00CA33AB" w:rsidRDefault="00737EB2" w:rsidP="003334F3">
      <w:pPr>
        <w:pStyle w:val="af6"/>
        <w:numPr>
          <w:ilvl w:val="0"/>
          <w:numId w:val="41"/>
        </w:numPr>
        <w:tabs>
          <w:tab w:val="left" w:pos="851"/>
        </w:tabs>
        <w:snapToGrid w:val="0"/>
        <w:contextualSpacing/>
        <w:rPr>
          <w:rFonts w:hAnsi="宋体"/>
        </w:rPr>
      </w:pPr>
      <w:r w:rsidRPr="00CA33AB">
        <w:rPr>
          <w:rFonts w:hAnsi="宋体" w:hint="eastAsia"/>
        </w:rPr>
        <w:t>区间高架线或地面线空载车辆线路强风停放的风压应按各地区实际线路条件确定。</w:t>
      </w:r>
    </w:p>
    <w:p w14:paraId="660748CA" w14:textId="56B4DC07" w:rsidR="00737EB2" w:rsidRPr="00765F6E" w:rsidRDefault="00737EB2" w:rsidP="00737EB2">
      <w:pPr>
        <w:pStyle w:val="affe"/>
        <w:spacing w:before="156" w:after="156"/>
      </w:pPr>
      <w:bookmarkStart w:id="556" w:name="_Toc153210830"/>
      <w:bookmarkStart w:id="557" w:name="_Toc99791606"/>
      <w:bookmarkStart w:id="558" w:name="_Toc153291039"/>
      <w:bookmarkStart w:id="559" w:name="_Toc167895728"/>
      <w:bookmarkStart w:id="560" w:name="_Toc174538642"/>
      <w:bookmarkStart w:id="561" w:name="_Toc182476394"/>
      <w:r w:rsidRPr="00765F6E">
        <w:rPr>
          <w:rFonts w:hint="eastAsia"/>
        </w:rPr>
        <w:t>车辆</w:t>
      </w:r>
      <w:bookmarkEnd w:id="556"/>
      <w:bookmarkEnd w:id="557"/>
      <w:bookmarkEnd w:id="558"/>
      <w:bookmarkEnd w:id="559"/>
      <w:bookmarkEnd w:id="560"/>
      <w:r w:rsidR="00D73D65">
        <w:rPr>
          <w:rFonts w:hint="eastAsia"/>
        </w:rPr>
        <w:t>限界</w:t>
      </w:r>
      <w:bookmarkEnd w:id="561"/>
    </w:p>
    <w:p w14:paraId="40806DE3" w14:textId="77777777" w:rsidR="00737EB2" w:rsidRPr="00CA33AB" w:rsidRDefault="00737EB2" w:rsidP="009D0776">
      <w:pPr>
        <w:pStyle w:val="22"/>
      </w:pPr>
      <w:bookmarkStart w:id="562" w:name="_Toc99791607"/>
      <w:bookmarkStart w:id="563" w:name="_Toc153291040"/>
      <w:r w:rsidRPr="00CA33AB">
        <w:rPr>
          <w:rFonts w:hint="eastAsia"/>
        </w:rPr>
        <w:t>车辆限界计算应符合下列规定：</w:t>
      </w:r>
      <w:bookmarkEnd w:id="562"/>
      <w:bookmarkEnd w:id="563"/>
    </w:p>
    <w:p w14:paraId="1A0464A6" w14:textId="77777777" w:rsidR="00737EB2" w:rsidRPr="00CA33AB" w:rsidRDefault="00737EB2" w:rsidP="003334F3">
      <w:pPr>
        <w:pStyle w:val="af6"/>
        <w:numPr>
          <w:ilvl w:val="0"/>
          <w:numId w:val="42"/>
        </w:numPr>
        <w:tabs>
          <w:tab w:val="left" w:pos="851"/>
        </w:tabs>
        <w:snapToGrid w:val="0"/>
        <w:contextualSpacing/>
        <w:rPr>
          <w:rFonts w:hAnsi="宋体"/>
        </w:rPr>
      </w:pPr>
      <w:r w:rsidRPr="00CA33AB">
        <w:rPr>
          <w:rFonts w:hAnsi="宋体" w:hint="eastAsia"/>
        </w:rPr>
        <w:t>车辆限界计算应以车辆在平直线上，以区间最高瞬时超速10%计算；</w:t>
      </w:r>
    </w:p>
    <w:p w14:paraId="3595FD36" w14:textId="77777777" w:rsidR="00737EB2" w:rsidRPr="00CA33AB" w:rsidRDefault="00737EB2" w:rsidP="003334F3">
      <w:pPr>
        <w:pStyle w:val="af6"/>
        <w:numPr>
          <w:ilvl w:val="0"/>
          <w:numId w:val="42"/>
        </w:numPr>
        <w:tabs>
          <w:tab w:val="left" w:pos="851"/>
        </w:tabs>
        <w:snapToGrid w:val="0"/>
        <w:contextualSpacing/>
        <w:rPr>
          <w:rFonts w:hAnsi="宋体"/>
        </w:rPr>
      </w:pPr>
      <w:r w:rsidRPr="00CA33AB">
        <w:rPr>
          <w:rFonts w:hAnsi="宋体" w:hint="eastAsia"/>
        </w:rPr>
        <w:t>根据线路环境，分为地面线、高架线和地下线车辆限界；</w:t>
      </w:r>
    </w:p>
    <w:p w14:paraId="561FD057" w14:textId="77777777" w:rsidR="00737EB2" w:rsidRPr="00CA33AB" w:rsidRDefault="00737EB2" w:rsidP="003334F3">
      <w:pPr>
        <w:pStyle w:val="af6"/>
        <w:numPr>
          <w:ilvl w:val="0"/>
          <w:numId w:val="42"/>
        </w:numPr>
        <w:tabs>
          <w:tab w:val="left" w:pos="851"/>
        </w:tabs>
        <w:snapToGrid w:val="0"/>
        <w:contextualSpacing/>
        <w:rPr>
          <w:rFonts w:hAnsi="宋体"/>
        </w:rPr>
      </w:pPr>
      <w:r w:rsidRPr="00CA33AB">
        <w:rPr>
          <w:rFonts w:hAnsi="宋体" w:hint="eastAsia"/>
        </w:rPr>
        <w:t>载荷工况应分空载、重载；</w:t>
      </w:r>
    </w:p>
    <w:p w14:paraId="1D887DA3" w14:textId="77777777" w:rsidR="00737EB2" w:rsidRPr="00CA33AB" w:rsidRDefault="00737EB2" w:rsidP="003334F3">
      <w:pPr>
        <w:pStyle w:val="af6"/>
        <w:numPr>
          <w:ilvl w:val="0"/>
          <w:numId w:val="42"/>
        </w:numPr>
        <w:tabs>
          <w:tab w:val="left" w:pos="851"/>
        </w:tabs>
        <w:snapToGrid w:val="0"/>
        <w:contextualSpacing/>
        <w:rPr>
          <w:rFonts w:hAnsi="宋体"/>
        </w:rPr>
      </w:pPr>
      <w:r w:rsidRPr="00CA33AB">
        <w:rPr>
          <w:rFonts w:hAnsi="宋体" w:hint="eastAsia"/>
        </w:rPr>
        <w:t>车辆限界应包括</w:t>
      </w:r>
      <w:r w:rsidRPr="00CA33AB">
        <w:rPr>
          <w:rFonts w:hAnsi="宋体"/>
        </w:rPr>
        <w:t>9</w:t>
      </w:r>
      <w:r w:rsidRPr="00CA33AB">
        <w:rPr>
          <w:rFonts w:hAnsi="宋体" w:hint="eastAsia"/>
        </w:rPr>
        <w:t>.3.2的所有计算因素，当车辆静止时，计算要素不应含振动；</w:t>
      </w:r>
    </w:p>
    <w:p w14:paraId="18489C80" w14:textId="77777777" w:rsidR="00737EB2" w:rsidRPr="00CA33AB" w:rsidRDefault="00737EB2" w:rsidP="003334F3">
      <w:pPr>
        <w:pStyle w:val="af6"/>
        <w:numPr>
          <w:ilvl w:val="0"/>
          <w:numId w:val="42"/>
        </w:numPr>
        <w:tabs>
          <w:tab w:val="left" w:pos="851"/>
        </w:tabs>
        <w:snapToGrid w:val="0"/>
        <w:contextualSpacing/>
        <w:rPr>
          <w:rFonts w:hAnsi="宋体"/>
        </w:rPr>
      </w:pPr>
      <w:r w:rsidRPr="00CA33AB">
        <w:rPr>
          <w:rFonts w:hAnsi="宋体" w:hint="eastAsia"/>
        </w:rPr>
        <w:t>车辆限界计算参数应分为随机因素和非随机因素两大类。对非随机因素应按线性相加合成，对按高斯概率分布的随机因素应采取均方根值合成，并将两大类形成车辆偏移量相加；</w:t>
      </w:r>
    </w:p>
    <w:p w14:paraId="34A89C83" w14:textId="77777777" w:rsidR="00737EB2" w:rsidRPr="00CA33AB" w:rsidRDefault="00737EB2" w:rsidP="003334F3">
      <w:pPr>
        <w:pStyle w:val="af6"/>
        <w:numPr>
          <w:ilvl w:val="0"/>
          <w:numId w:val="42"/>
        </w:numPr>
        <w:tabs>
          <w:tab w:val="left" w:pos="851"/>
        </w:tabs>
        <w:snapToGrid w:val="0"/>
        <w:contextualSpacing/>
        <w:rPr>
          <w:rFonts w:hAnsi="宋体"/>
        </w:rPr>
      </w:pPr>
      <w:r w:rsidRPr="00CA33AB">
        <w:rPr>
          <w:rFonts w:hAnsi="宋体" w:hint="eastAsia"/>
        </w:rPr>
        <w:t>区间车辆限界的偏移量应对车体、构架、簧下部分、踏面、轮缘、受电弓或受流器各部分分别计算。车站计算站台长度范围内车辆限界的偏移量应以车体与站台及屏蔽门存在相对关系的部分计算；</w:t>
      </w:r>
    </w:p>
    <w:p w14:paraId="43892867" w14:textId="77777777" w:rsidR="00737EB2" w:rsidRPr="00CA33AB" w:rsidRDefault="00737EB2" w:rsidP="003334F3">
      <w:pPr>
        <w:pStyle w:val="af6"/>
        <w:numPr>
          <w:ilvl w:val="0"/>
          <w:numId w:val="42"/>
        </w:numPr>
        <w:tabs>
          <w:tab w:val="left" w:pos="851"/>
        </w:tabs>
        <w:snapToGrid w:val="0"/>
        <w:contextualSpacing/>
        <w:rPr>
          <w:rFonts w:hAnsi="宋体"/>
        </w:rPr>
      </w:pPr>
      <w:r w:rsidRPr="00CA33AB">
        <w:rPr>
          <w:rFonts w:hAnsi="宋体" w:hint="eastAsia"/>
        </w:rPr>
        <w:t>车辆限界应取各工况及各控制断面偏移量计算结果的最大包络线；</w:t>
      </w:r>
    </w:p>
    <w:p w14:paraId="7FDFD6F3" w14:textId="77777777" w:rsidR="00737EB2" w:rsidRPr="00CA33AB" w:rsidRDefault="00737EB2" w:rsidP="003334F3">
      <w:pPr>
        <w:pStyle w:val="af6"/>
        <w:numPr>
          <w:ilvl w:val="0"/>
          <w:numId w:val="42"/>
        </w:numPr>
        <w:tabs>
          <w:tab w:val="left" w:pos="851"/>
        </w:tabs>
        <w:snapToGrid w:val="0"/>
        <w:contextualSpacing/>
        <w:rPr>
          <w:rFonts w:hAnsi="宋体"/>
        </w:rPr>
      </w:pPr>
      <w:r w:rsidRPr="00CA33AB">
        <w:rPr>
          <w:rFonts w:hAnsi="宋体" w:hint="eastAsia"/>
        </w:rPr>
        <w:t>站台区车辆限界和区间车辆限界计算方法应相同。</w:t>
      </w:r>
    </w:p>
    <w:p w14:paraId="494618D2" w14:textId="77777777" w:rsidR="00737EB2" w:rsidRPr="00CA33AB" w:rsidRDefault="00737EB2" w:rsidP="009D0776">
      <w:pPr>
        <w:pStyle w:val="22"/>
      </w:pPr>
      <w:bookmarkStart w:id="564" w:name="_Toc99791608"/>
      <w:bookmarkStart w:id="565" w:name="_Toc153291041"/>
      <w:r w:rsidRPr="00CA33AB">
        <w:rPr>
          <w:rFonts w:hint="eastAsia"/>
        </w:rPr>
        <w:t>车辆限界计算应分析下列因素的影响：</w:t>
      </w:r>
      <w:bookmarkEnd w:id="564"/>
      <w:bookmarkEnd w:id="565"/>
    </w:p>
    <w:p w14:paraId="21330389" w14:textId="77777777" w:rsidR="00737EB2" w:rsidRPr="00CA33AB" w:rsidRDefault="00737EB2" w:rsidP="003334F3">
      <w:pPr>
        <w:pStyle w:val="af6"/>
        <w:numPr>
          <w:ilvl w:val="0"/>
          <w:numId w:val="43"/>
        </w:numPr>
        <w:tabs>
          <w:tab w:val="left" w:pos="851"/>
        </w:tabs>
        <w:snapToGrid w:val="0"/>
        <w:contextualSpacing/>
        <w:rPr>
          <w:rFonts w:hAnsi="宋体"/>
        </w:rPr>
      </w:pPr>
      <w:bookmarkStart w:id="566" w:name="_Hlk153808683"/>
      <w:r w:rsidRPr="00CA33AB">
        <w:rPr>
          <w:rFonts w:hAnsi="宋体" w:hint="eastAsia"/>
        </w:rPr>
        <w:t>车辆制造误差；</w:t>
      </w:r>
    </w:p>
    <w:bookmarkEnd w:id="566"/>
    <w:p w14:paraId="3D1B710B" w14:textId="77777777" w:rsidR="00737EB2" w:rsidRPr="00CA33AB" w:rsidRDefault="00737EB2" w:rsidP="003334F3">
      <w:pPr>
        <w:pStyle w:val="af6"/>
        <w:numPr>
          <w:ilvl w:val="0"/>
          <w:numId w:val="43"/>
        </w:numPr>
        <w:tabs>
          <w:tab w:val="left" w:pos="851"/>
        </w:tabs>
        <w:snapToGrid w:val="0"/>
        <w:contextualSpacing/>
        <w:rPr>
          <w:rFonts w:hAnsi="宋体"/>
        </w:rPr>
      </w:pPr>
      <w:r w:rsidRPr="00CA33AB">
        <w:rPr>
          <w:rFonts w:hAnsi="宋体" w:hint="eastAsia"/>
        </w:rPr>
        <w:t>车辆维修限度；</w:t>
      </w:r>
    </w:p>
    <w:p w14:paraId="60CC7767" w14:textId="77777777" w:rsidR="00737EB2" w:rsidRPr="00CA33AB" w:rsidRDefault="00737EB2" w:rsidP="003334F3">
      <w:pPr>
        <w:pStyle w:val="af6"/>
        <w:numPr>
          <w:ilvl w:val="0"/>
          <w:numId w:val="43"/>
        </w:numPr>
        <w:tabs>
          <w:tab w:val="left" w:pos="851"/>
        </w:tabs>
        <w:snapToGrid w:val="0"/>
        <w:contextualSpacing/>
        <w:rPr>
          <w:rFonts w:hAnsi="宋体"/>
        </w:rPr>
      </w:pPr>
      <w:r w:rsidRPr="00CA33AB">
        <w:rPr>
          <w:rFonts w:hAnsi="宋体" w:hint="eastAsia"/>
        </w:rPr>
        <w:t>转向架轮对处于轨道上最不利运行位置引起的摇头偏斜放大量；</w:t>
      </w:r>
    </w:p>
    <w:p w14:paraId="1F0DA467" w14:textId="77777777" w:rsidR="00737EB2" w:rsidRPr="00CA33AB" w:rsidRDefault="00737EB2" w:rsidP="003334F3">
      <w:pPr>
        <w:pStyle w:val="af6"/>
        <w:numPr>
          <w:ilvl w:val="0"/>
          <w:numId w:val="43"/>
        </w:numPr>
        <w:tabs>
          <w:tab w:val="left" w:pos="851"/>
        </w:tabs>
        <w:snapToGrid w:val="0"/>
        <w:contextualSpacing/>
        <w:rPr>
          <w:rFonts w:hAnsi="宋体"/>
        </w:rPr>
      </w:pPr>
      <w:r w:rsidRPr="00CA33AB">
        <w:rPr>
          <w:rFonts w:hAnsi="宋体" w:hint="eastAsia"/>
        </w:rPr>
        <w:t>转向架构架相对于轮对的横向及竖向位移量；</w:t>
      </w:r>
    </w:p>
    <w:p w14:paraId="6968D22A" w14:textId="77777777" w:rsidR="00737EB2" w:rsidRPr="00CA33AB" w:rsidRDefault="00737EB2" w:rsidP="003334F3">
      <w:pPr>
        <w:pStyle w:val="af6"/>
        <w:numPr>
          <w:ilvl w:val="0"/>
          <w:numId w:val="43"/>
        </w:numPr>
        <w:tabs>
          <w:tab w:val="left" w:pos="851"/>
        </w:tabs>
        <w:snapToGrid w:val="0"/>
        <w:contextualSpacing/>
        <w:rPr>
          <w:rFonts w:hAnsi="宋体"/>
        </w:rPr>
      </w:pPr>
      <w:r w:rsidRPr="00CA33AB">
        <w:rPr>
          <w:rFonts w:hAnsi="宋体" w:hint="eastAsia"/>
        </w:rPr>
        <w:t>车体相对于转向架构架的横向及竖向位移量；</w:t>
      </w:r>
    </w:p>
    <w:p w14:paraId="755391C9" w14:textId="77777777" w:rsidR="00737EB2" w:rsidRPr="00CA33AB" w:rsidRDefault="00737EB2" w:rsidP="003334F3">
      <w:pPr>
        <w:pStyle w:val="af6"/>
        <w:numPr>
          <w:ilvl w:val="0"/>
          <w:numId w:val="43"/>
        </w:numPr>
        <w:tabs>
          <w:tab w:val="left" w:pos="851"/>
        </w:tabs>
        <w:snapToGrid w:val="0"/>
        <w:contextualSpacing/>
        <w:rPr>
          <w:rFonts w:hAnsi="宋体"/>
        </w:rPr>
      </w:pPr>
      <w:r w:rsidRPr="00CA33AB">
        <w:rPr>
          <w:rFonts w:hAnsi="宋体" w:hint="eastAsia"/>
        </w:rPr>
        <w:t>车体相对于轨道线路最不利位置引起的摇头偏斜放大量；</w:t>
      </w:r>
    </w:p>
    <w:p w14:paraId="220CC7E1" w14:textId="77777777" w:rsidR="00737EB2" w:rsidRPr="00CA33AB" w:rsidRDefault="00737EB2" w:rsidP="003334F3">
      <w:pPr>
        <w:pStyle w:val="af6"/>
        <w:numPr>
          <w:ilvl w:val="0"/>
          <w:numId w:val="43"/>
        </w:numPr>
        <w:tabs>
          <w:tab w:val="left" w:pos="851"/>
        </w:tabs>
        <w:snapToGrid w:val="0"/>
        <w:contextualSpacing/>
        <w:rPr>
          <w:rFonts w:hAnsi="宋体"/>
        </w:rPr>
      </w:pPr>
      <w:r w:rsidRPr="00CA33AB">
        <w:rPr>
          <w:rFonts w:hAnsi="宋体" w:hint="eastAsia"/>
        </w:rPr>
        <w:t>车辆的空重车挠度差及竖向位移量；</w:t>
      </w:r>
    </w:p>
    <w:p w14:paraId="5F5CBFF4" w14:textId="77777777" w:rsidR="00737EB2" w:rsidRPr="00CA33AB" w:rsidRDefault="00737EB2" w:rsidP="003334F3">
      <w:pPr>
        <w:pStyle w:val="af6"/>
        <w:numPr>
          <w:ilvl w:val="0"/>
          <w:numId w:val="43"/>
        </w:numPr>
        <w:tabs>
          <w:tab w:val="left" w:pos="851"/>
        </w:tabs>
        <w:snapToGrid w:val="0"/>
        <w:contextualSpacing/>
        <w:rPr>
          <w:rFonts w:hAnsi="宋体"/>
        </w:rPr>
      </w:pPr>
      <w:r w:rsidRPr="00CA33AB">
        <w:rPr>
          <w:rFonts w:hAnsi="宋体" w:hint="eastAsia"/>
        </w:rPr>
        <w:t>车辆制造及载荷不对称侧倾偏斜；</w:t>
      </w:r>
    </w:p>
    <w:p w14:paraId="043CDCD8" w14:textId="77777777" w:rsidR="00737EB2" w:rsidRPr="00CA33AB" w:rsidRDefault="00737EB2" w:rsidP="003334F3">
      <w:pPr>
        <w:pStyle w:val="af6"/>
        <w:numPr>
          <w:ilvl w:val="0"/>
          <w:numId w:val="43"/>
        </w:numPr>
        <w:tabs>
          <w:tab w:val="left" w:pos="851"/>
        </w:tabs>
        <w:snapToGrid w:val="0"/>
        <w:contextualSpacing/>
        <w:rPr>
          <w:rFonts w:hAnsi="宋体"/>
        </w:rPr>
      </w:pPr>
      <w:r w:rsidRPr="00CA33AB">
        <w:rPr>
          <w:rFonts w:hAnsi="宋体" w:hint="eastAsia"/>
        </w:rPr>
        <w:t>车辆一系悬挂及二系悬挂侧滚位移量；</w:t>
      </w:r>
    </w:p>
    <w:p w14:paraId="2DF0FED8" w14:textId="77777777" w:rsidR="00737EB2" w:rsidRPr="00CA33AB" w:rsidRDefault="00737EB2" w:rsidP="003334F3">
      <w:pPr>
        <w:pStyle w:val="af6"/>
        <w:numPr>
          <w:ilvl w:val="0"/>
          <w:numId w:val="43"/>
        </w:numPr>
        <w:tabs>
          <w:tab w:val="left" w:pos="851"/>
        </w:tabs>
        <w:snapToGrid w:val="0"/>
        <w:contextualSpacing/>
        <w:rPr>
          <w:rFonts w:hAnsi="宋体"/>
        </w:rPr>
      </w:pPr>
      <w:r w:rsidRPr="00CA33AB">
        <w:rPr>
          <w:rFonts w:hAnsi="宋体" w:hint="eastAsia"/>
        </w:rPr>
        <w:t>轨道线路的竖向及横向几何偏差、磨耗、维修限度及弹性变形量；</w:t>
      </w:r>
    </w:p>
    <w:p w14:paraId="116D7D0A" w14:textId="77777777" w:rsidR="00737EB2" w:rsidRPr="00CA33AB" w:rsidRDefault="00737EB2" w:rsidP="003334F3">
      <w:pPr>
        <w:pStyle w:val="af6"/>
        <w:numPr>
          <w:ilvl w:val="0"/>
          <w:numId w:val="43"/>
        </w:numPr>
        <w:tabs>
          <w:tab w:val="left" w:pos="851"/>
        </w:tabs>
        <w:snapToGrid w:val="0"/>
        <w:contextualSpacing/>
        <w:rPr>
          <w:rFonts w:hAnsi="宋体"/>
        </w:rPr>
      </w:pPr>
      <w:r w:rsidRPr="00CA33AB">
        <w:rPr>
          <w:rFonts w:hAnsi="宋体" w:hint="eastAsia"/>
        </w:rPr>
        <w:t>隧道外侧风；</w:t>
      </w:r>
    </w:p>
    <w:p w14:paraId="30629092" w14:textId="77777777" w:rsidR="00737EB2" w:rsidRPr="00CA33AB" w:rsidRDefault="00737EB2" w:rsidP="003334F3">
      <w:pPr>
        <w:pStyle w:val="af6"/>
        <w:numPr>
          <w:ilvl w:val="0"/>
          <w:numId w:val="43"/>
        </w:numPr>
        <w:tabs>
          <w:tab w:val="left" w:pos="851"/>
        </w:tabs>
        <w:snapToGrid w:val="0"/>
        <w:contextualSpacing/>
        <w:rPr>
          <w:rFonts w:hAnsi="宋体"/>
        </w:rPr>
      </w:pPr>
      <w:r w:rsidRPr="00CA33AB">
        <w:rPr>
          <w:rFonts w:hAnsi="宋体" w:hint="eastAsia"/>
        </w:rPr>
        <w:t>悬挂故障：任意一个轴箱悬挂失效后止档接触承载引起车辆偏斜，或任意一端转向架二系悬挂空气弹簧异常由左右压差引起的车辆偏斜、过充或失气。</w:t>
      </w:r>
    </w:p>
    <w:p w14:paraId="505103C2" w14:textId="63AA93DD" w:rsidR="00737EB2" w:rsidRPr="00765F6E" w:rsidRDefault="00737EB2" w:rsidP="00737EB2">
      <w:pPr>
        <w:pStyle w:val="affe"/>
        <w:spacing w:before="156" w:after="156"/>
      </w:pPr>
      <w:bookmarkStart w:id="567" w:name="_Toc99791609"/>
      <w:bookmarkStart w:id="568" w:name="_Toc153210831"/>
      <w:bookmarkStart w:id="569" w:name="_Toc153291042"/>
      <w:bookmarkStart w:id="570" w:name="_Toc167895729"/>
      <w:bookmarkStart w:id="571" w:name="_Toc174538643"/>
      <w:bookmarkStart w:id="572" w:name="_Toc182476395"/>
      <w:r w:rsidRPr="00765F6E">
        <w:rPr>
          <w:rFonts w:hint="eastAsia"/>
        </w:rPr>
        <w:t>设备</w:t>
      </w:r>
      <w:bookmarkEnd w:id="567"/>
      <w:bookmarkEnd w:id="568"/>
      <w:bookmarkEnd w:id="569"/>
      <w:bookmarkEnd w:id="570"/>
      <w:bookmarkEnd w:id="571"/>
      <w:r w:rsidR="00D73D65">
        <w:rPr>
          <w:rFonts w:hint="eastAsia"/>
        </w:rPr>
        <w:t>限界</w:t>
      </w:r>
      <w:bookmarkEnd w:id="572"/>
    </w:p>
    <w:p w14:paraId="4F0A17B2" w14:textId="77777777" w:rsidR="00737EB2" w:rsidRPr="00765F6E" w:rsidRDefault="00737EB2" w:rsidP="009D0776">
      <w:pPr>
        <w:pStyle w:val="22"/>
      </w:pPr>
      <w:bookmarkStart w:id="573" w:name="_Toc153291043"/>
      <w:r w:rsidRPr="00765F6E">
        <w:rPr>
          <w:rFonts w:hint="eastAsia"/>
        </w:rPr>
        <w:t>任何轨旁设备设置不应侵入设备限界，如列车过分相系统的地面磁感应器等。</w:t>
      </w:r>
      <w:bookmarkEnd w:id="573"/>
    </w:p>
    <w:p w14:paraId="513BE8EC" w14:textId="1F06D833" w:rsidR="00737EB2" w:rsidRPr="00765F6E" w:rsidRDefault="00737EB2" w:rsidP="009D0776">
      <w:pPr>
        <w:pStyle w:val="22"/>
      </w:pPr>
      <w:bookmarkStart w:id="574" w:name="_Toc99791612"/>
      <w:bookmarkStart w:id="575" w:name="_Toc153291044"/>
      <w:r w:rsidRPr="00765F6E">
        <w:rPr>
          <w:rFonts w:hint="eastAsia"/>
        </w:rPr>
        <w:t>直线地段设备限界与车辆限界之间应留安全间距。除站台、</w:t>
      </w:r>
      <w:r w:rsidR="001A029F">
        <w:rPr>
          <w:rFonts w:hint="eastAsia"/>
        </w:rPr>
        <w:t>站台</w:t>
      </w:r>
      <w:r w:rsidRPr="00765F6E">
        <w:rPr>
          <w:rFonts w:hint="eastAsia"/>
        </w:rPr>
        <w:t>门及接触网或接触轨带电部分外，沿线安装的任何设备，包括安装误差值、测量误差值及维护周期内的变形量均不应侵入设备限界。安全间距取值应符合下列规定：</w:t>
      </w:r>
    </w:p>
    <w:p w14:paraId="026376BC" w14:textId="77777777" w:rsidR="00737EB2" w:rsidRPr="00765F6E" w:rsidRDefault="00737EB2" w:rsidP="003334F3">
      <w:pPr>
        <w:pStyle w:val="af6"/>
        <w:numPr>
          <w:ilvl w:val="0"/>
          <w:numId w:val="44"/>
        </w:numPr>
        <w:tabs>
          <w:tab w:val="left" w:pos="851"/>
        </w:tabs>
        <w:snapToGrid w:val="0"/>
        <w:contextualSpacing/>
      </w:pPr>
      <w:r w:rsidRPr="00765F6E">
        <w:rPr>
          <w:rFonts w:hint="eastAsia"/>
        </w:rPr>
        <w:t>车体底架边梁以上区域的侧向安全间距不应小于 30mm；</w:t>
      </w:r>
    </w:p>
    <w:p w14:paraId="3CCECB56" w14:textId="45AC5985" w:rsidR="00737EB2" w:rsidRPr="00765F6E" w:rsidRDefault="00737EB2" w:rsidP="003334F3">
      <w:pPr>
        <w:pStyle w:val="af6"/>
        <w:tabs>
          <w:tab w:val="left" w:pos="851"/>
        </w:tabs>
        <w:snapToGrid w:val="0"/>
        <w:contextualSpacing/>
      </w:pPr>
      <w:r w:rsidRPr="00765F6E">
        <w:rPr>
          <w:rFonts w:hint="eastAsia"/>
        </w:rPr>
        <w:t>车体底架边梁及以下区域的侧向及向下安全间距不应小于20mm</w:t>
      </w:r>
      <w:r w:rsidR="008F4B37">
        <w:rPr>
          <w:rFonts w:hint="eastAsia"/>
        </w:rPr>
        <w:t>；</w:t>
      </w:r>
    </w:p>
    <w:p w14:paraId="645B6F32" w14:textId="47E5A721" w:rsidR="00737EB2" w:rsidRPr="00765F6E" w:rsidRDefault="00737EB2" w:rsidP="003334F3">
      <w:pPr>
        <w:pStyle w:val="af6"/>
        <w:tabs>
          <w:tab w:val="left" w:pos="851"/>
        </w:tabs>
        <w:snapToGrid w:val="0"/>
        <w:contextualSpacing/>
      </w:pPr>
      <w:r w:rsidRPr="00765F6E">
        <w:rPr>
          <w:rFonts w:hint="eastAsia"/>
        </w:rPr>
        <w:t>车体顶部向上且包含竖曲线几何偏移量的安全间距不应小于30mm</w:t>
      </w:r>
      <w:r w:rsidR="008F4B37">
        <w:rPr>
          <w:rFonts w:hint="eastAsia"/>
        </w:rPr>
        <w:t>；</w:t>
      </w:r>
    </w:p>
    <w:p w14:paraId="22C5B08D" w14:textId="3AFA5041" w:rsidR="00737EB2" w:rsidRPr="00765F6E" w:rsidRDefault="00737EB2" w:rsidP="003334F3">
      <w:pPr>
        <w:pStyle w:val="af6"/>
        <w:tabs>
          <w:tab w:val="left" w:pos="851"/>
        </w:tabs>
        <w:snapToGrid w:val="0"/>
        <w:contextualSpacing/>
      </w:pPr>
      <w:r w:rsidRPr="00765F6E">
        <w:rPr>
          <w:rFonts w:hint="eastAsia"/>
        </w:rPr>
        <w:t>车下吊挂物的安全间距侧向不应小于25mm、轨外向下不应小于30mm、轨内向下不应小于 25mm</w:t>
      </w:r>
      <w:r w:rsidR="008F4B37">
        <w:rPr>
          <w:rFonts w:hint="eastAsia"/>
        </w:rPr>
        <w:t>；</w:t>
      </w:r>
    </w:p>
    <w:p w14:paraId="1512CD78" w14:textId="19307C98" w:rsidR="00737EB2" w:rsidRPr="00765F6E" w:rsidRDefault="00737EB2" w:rsidP="003334F3">
      <w:pPr>
        <w:pStyle w:val="af6"/>
        <w:tabs>
          <w:tab w:val="left" w:pos="851"/>
        </w:tabs>
        <w:snapToGrid w:val="0"/>
        <w:contextualSpacing/>
      </w:pPr>
      <w:r w:rsidRPr="00765F6E">
        <w:rPr>
          <w:rFonts w:hint="eastAsia"/>
        </w:rPr>
        <w:t>转向架部分的侧向及向下安全间距应为10mm</w:t>
      </w:r>
      <w:r w:rsidR="00396F4E">
        <w:rPr>
          <w:rFonts w:hAnsi="宋体" w:hint="eastAsia"/>
        </w:rPr>
        <w:t>～</w:t>
      </w:r>
      <w:r w:rsidRPr="00765F6E">
        <w:rPr>
          <w:rFonts w:hint="eastAsia"/>
        </w:rPr>
        <w:t>15mm</w:t>
      </w:r>
      <w:r w:rsidR="008F4B37">
        <w:rPr>
          <w:rFonts w:hint="eastAsia"/>
        </w:rPr>
        <w:t>；</w:t>
      </w:r>
    </w:p>
    <w:p w14:paraId="0D612992" w14:textId="7B1E1533" w:rsidR="00737EB2" w:rsidRPr="00765F6E" w:rsidRDefault="00737EB2" w:rsidP="003334F3">
      <w:pPr>
        <w:pStyle w:val="af6"/>
        <w:tabs>
          <w:tab w:val="left" w:pos="851"/>
        </w:tabs>
        <w:snapToGrid w:val="0"/>
        <w:contextualSpacing/>
      </w:pPr>
      <w:bookmarkStart w:id="576" w:name="_Hlk153808774"/>
      <w:r w:rsidRPr="00765F6E">
        <w:rPr>
          <w:rFonts w:hint="eastAsia"/>
        </w:rPr>
        <w:t>受电弓部分的安全间距侧向应为30mm</w:t>
      </w:r>
      <w:r w:rsidR="00396F4E">
        <w:rPr>
          <w:rFonts w:hAnsi="宋体" w:hint="eastAsia"/>
        </w:rPr>
        <w:t>～</w:t>
      </w:r>
      <w:r w:rsidRPr="00765F6E">
        <w:rPr>
          <w:rFonts w:hint="eastAsia"/>
        </w:rPr>
        <w:t>50mm、向上不应小于30mm</w:t>
      </w:r>
      <w:bookmarkEnd w:id="576"/>
      <w:r w:rsidR="008F4B37">
        <w:rPr>
          <w:rFonts w:hint="eastAsia"/>
        </w:rPr>
        <w:t>；</w:t>
      </w:r>
    </w:p>
    <w:p w14:paraId="6384899F" w14:textId="77777777" w:rsidR="00737EB2" w:rsidRPr="00765F6E" w:rsidRDefault="00737EB2" w:rsidP="003334F3">
      <w:pPr>
        <w:pStyle w:val="af6"/>
        <w:tabs>
          <w:tab w:val="left" w:pos="851"/>
        </w:tabs>
        <w:snapToGrid w:val="0"/>
        <w:contextualSpacing/>
      </w:pPr>
      <w:r w:rsidRPr="00765F6E">
        <w:rPr>
          <w:rFonts w:hint="eastAsia"/>
        </w:rPr>
        <w:lastRenderedPageBreak/>
        <w:t>除轮对外，轨道区设备限界离轨顶平面最低高度轨内不应小于20mm、轨外不应小于15mm。</w:t>
      </w:r>
    </w:p>
    <w:p w14:paraId="6EA092D1" w14:textId="77777777" w:rsidR="00737EB2" w:rsidRPr="00765F6E" w:rsidRDefault="00737EB2" w:rsidP="009D0776">
      <w:pPr>
        <w:pStyle w:val="22"/>
      </w:pPr>
      <w:r w:rsidRPr="00765F6E">
        <w:t>设备限界计算点坐标应根据基准坐标系确定</w:t>
      </w:r>
      <w:r w:rsidRPr="00765F6E">
        <w:rPr>
          <w:rFonts w:hint="eastAsia"/>
        </w:rPr>
        <w:t>，</w:t>
      </w:r>
      <w:r w:rsidRPr="00765F6E">
        <w:t>设备限界应采用与车辆限界相同的基准坐标系</w:t>
      </w:r>
      <w:r w:rsidRPr="00765F6E">
        <w:rPr>
          <w:rFonts w:hint="eastAsia"/>
        </w:rPr>
        <w:t>。</w:t>
      </w:r>
      <w:bookmarkEnd w:id="574"/>
      <w:bookmarkEnd w:id="575"/>
    </w:p>
    <w:p w14:paraId="212D5802" w14:textId="77777777" w:rsidR="00737EB2" w:rsidRPr="00765F6E" w:rsidRDefault="00737EB2" w:rsidP="009D0776">
      <w:pPr>
        <w:pStyle w:val="22"/>
      </w:pPr>
      <w:bookmarkStart w:id="577" w:name="_Toc99791613"/>
      <w:bookmarkStart w:id="578" w:name="_Toc153291045"/>
      <w:r w:rsidRPr="00765F6E">
        <w:t>曲线地段设备限界应在直线地段设备限界基础上加宽和加高，根据车辆、轨道有关尺寸及技术参数，按照列车在曲线段的行车速度和超高值计算确定，接触网和接触轨受流侧除外。</w:t>
      </w:r>
      <w:bookmarkEnd w:id="577"/>
      <w:bookmarkEnd w:id="578"/>
    </w:p>
    <w:p w14:paraId="639616C5" w14:textId="77777777" w:rsidR="00737EB2" w:rsidRPr="00765F6E" w:rsidRDefault="00737EB2" w:rsidP="009D0776">
      <w:pPr>
        <w:pStyle w:val="22"/>
      </w:pPr>
      <w:bookmarkStart w:id="579" w:name="_Toc99791614"/>
      <w:bookmarkStart w:id="580" w:name="_Toc153291046"/>
      <w:r w:rsidRPr="00765F6E">
        <w:t>曲线几何偏移量引起的设备限界加宽和加高计算符合下列规定：</w:t>
      </w:r>
      <w:bookmarkEnd w:id="579"/>
      <w:bookmarkEnd w:id="580"/>
    </w:p>
    <w:p w14:paraId="0FF47FCD" w14:textId="77777777" w:rsidR="00737EB2" w:rsidRPr="00765F6E" w:rsidRDefault="00737EB2" w:rsidP="003334F3">
      <w:pPr>
        <w:pStyle w:val="af6"/>
        <w:numPr>
          <w:ilvl w:val="0"/>
          <w:numId w:val="45"/>
        </w:numPr>
        <w:tabs>
          <w:tab w:val="left" w:pos="851"/>
        </w:tabs>
        <w:snapToGrid w:val="0"/>
        <w:contextualSpacing/>
      </w:pPr>
      <w:r w:rsidRPr="00765F6E">
        <w:rPr>
          <w:rFonts w:hint="eastAsia"/>
        </w:rPr>
        <w:t>车体横向加宽量应按公式（1）、公式（2）计算；</w:t>
      </w:r>
    </w:p>
    <w:p w14:paraId="31D79518" w14:textId="79FD38CF" w:rsidR="00737EB2" w:rsidRPr="00765F6E" w:rsidRDefault="00737EB2" w:rsidP="00737EB2">
      <w:pPr>
        <w:pStyle w:val="af6"/>
        <w:tabs>
          <w:tab w:val="left" w:pos="851"/>
        </w:tabs>
        <w:snapToGrid w:val="0"/>
        <w:contextualSpacing/>
      </w:pPr>
      <w:r w:rsidRPr="00765F6E">
        <w:rPr>
          <w:rFonts w:hint="eastAsia"/>
        </w:rPr>
        <w:t>若车体竖向加高量已包括在直线设备限界内，可不计算，否则应按公式（3）、公式（4）计算</w:t>
      </w:r>
      <w:r w:rsidR="0038415A">
        <w:rPr>
          <w:rFonts w:hint="eastAsia"/>
        </w:rPr>
        <w:t>；</w:t>
      </w:r>
    </w:p>
    <w:p w14:paraId="367F8758" w14:textId="77777777" w:rsidR="00737EB2" w:rsidRPr="00765F6E" w:rsidRDefault="00737EB2" w:rsidP="00737EB2">
      <w:pPr>
        <w:pStyle w:val="af6"/>
        <w:tabs>
          <w:tab w:val="left" w:pos="851"/>
        </w:tabs>
        <w:snapToGrid w:val="0"/>
        <w:contextualSpacing/>
      </w:pPr>
      <w:r w:rsidRPr="00765F6E">
        <w:rPr>
          <w:rFonts w:hint="eastAsia"/>
        </w:rPr>
        <w:t>转向架横向加宽量应按公式（5）、公式（6）计算。</w:t>
      </w:r>
    </w:p>
    <w:p w14:paraId="55781BB3" w14:textId="77777777" w:rsidR="00737EB2" w:rsidRPr="00765F6E" w:rsidRDefault="00737EB2" w:rsidP="00737EB2">
      <w:pPr>
        <w:pStyle w:val="affffffd"/>
        <w:spacing w:before="156" w:after="156"/>
      </w:pPr>
      <w:r w:rsidRPr="00765F6E">
        <w:tab/>
      </w: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a</m:t>
            </m:r>
          </m:sub>
        </m:sSub>
        <m:r>
          <m:rPr>
            <m:sty m:val="p"/>
          </m:rPr>
          <w:rPr>
            <w:rFonts w:ascii="Cambria Math" w:hAnsi="Cambria Math"/>
          </w:rPr>
          <m:t>=1000</m:t>
        </m:r>
        <m:d>
          <m:dPr>
            <m:begChr m:val="["/>
            <m:endChr m:val="]"/>
            <m:ctrlPr>
              <w:rPr>
                <w:rFonts w:ascii="Cambria Math" w:hAnsi="Cambria Math"/>
              </w:rPr>
            </m:ctrlPr>
          </m:dPr>
          <m:e>
            <m:r>
              <m:rPr>
                <m:sty m:val="p"/>
              </m:rPr>
              <w:rPr>
                <w:rFonts w:ascii="Cambria Math" w:hAnsi="Cambria Math"/>
              </w:rPr>
              <m:t>4n</m:t>
            </m:r>
            <m:d>
              <m:dPr>
                <m:ctrlPr>
                  <w:rPr>
                    <w:rFonts w:ascii="Cambria Math" w:hAnsi="Cambria Math"/>
                  </w:rPr>
                </m:ctrlPr>
              </m:dPr>
              <m:e>
                <m:r>
                  <m:rPr>
                    <m:sty m:val="p"/>
                  </m:rPr>
                  <w:rPr>
                    <w:rFonts w:ascii="Cambria Math" w:hAnsi="Cambria Math"/>
                  </w:rPr>
                  <m:t>n+a</m:t>
                </m:r>
              </m:e>
            </m:d>
            <m:r>
              <m:rPr>
                <m:sty m:val="p"/>
              </m:rPr>
              <w:rPr>
                <w:rFonts w:ascii="Cambria Math" w:hAnsi="Cambria Math"/>
              </w:rPr>
              <m:t>-</m:t>
            </m:r>
            <m:sSup>
              <m:sSupPr>
                <m:ctrlPr>
                  <w:rPr>
                    <w:rFonts w:ascii="Cambria Math" w:hAnsi="Cambria Math"/>
                  </w:rPr>
                </m:ctrlPr>
              </m:sSupPr>
              <m:e>
                <m:r>
                  <m:rPr>
                    <m:sty m:val="p"/>
                  </m:rPr>
                  <w:rPr>
                    <w:rFonts w:ascii="Cambria Math" w:hAnsi="Cambria Math"/>
                  </w:rPr>
                  <m:t>p</m:t>
                </m:r>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r>
              <m:rPr>
                <m:sty m:val="p"/>
              </m:rPr>
              <w:rPr>
                <w:rFonts w:ascii="Cambria Math" w:hAnsi="Cambria Math"/>
              </w:rPr>
              <m:t>8R</m:t>
            </m:r>
          </m:e>
        </m:d>
      </m:oMath>
      <w:r w:rsidRPr="00765F6E">
        <w:rPr>
          <w:rFonts w:ascii="微软雅黑" w:eastAsia="微软雅黑" w:hAnsi="微软雅黑"/>
        </w:rPr>
        <w:tab/>
      </w:r>
      <w:r w:rsidRPr="00765F6E">
        <w:t>(</w:t>
      </w:r>
      <w:r w:rsidRPr="00765F6E">
        <w:fldChar w:fldCharType="begin"/>
      </w:r>
      <w:r w:rsidRPr="00765F6E">
        <w:instrText xml:space="preserve"> AUTONUM </w:instrText>
      </w:r>
      <w:r w:rsidRPr="00765F6E">
        <w:fldChar w:fldCharType="end"/>
      </w:r>
      <w:r w:rsidRPr="00765F6E">
        <w:t>)</w:t>
      </w:r>
    </w:p>
    <w:p w14:paraId="7BCB8EF8" w14:textId="77777777" w:rsidR="00737EB2" w:rsidRPr="00765F6E" w:rsidRDefault="00737EB2" w:rsidP="00737EB2">
      <w:pPr>
        <w:pStyle w:val="affffffd"/>
        <w:spacing w:before="156" w:after="156"/>
      </w:pPr>
      <w:r w:rsidRPr="00765F6E">
        <w:tab/>
      </w: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i</m:t>
            </m:r>
          </m:sub>
        </m:sSub>
        <m:r>
          <m:rPr>
            <m:sty m:val="p"/>
          </m:rPr>
          <w:rPr>
            <w:rFonts w:ascii="Cambria Math" w:hAnsi="Cambria Math"/>
          </w:rPr>
          <m:t>=1000</m:t>
        </m:r>
        <m:d>
          <m:dPr>
            <m:begChr m:val="["/>
            <m:endChr m:val="]"/>
            <m:ctrlPr>
              <w:rPr>
                <w:rFonts w:ascii="Cambria Math" w:hAnsi="Cambria Math"/>
              </w:rPr>
            </m:ctrlPr>
          </m:dPr>
          <m:e>
            <m:r>
              <m:rPr>
                <m:sty m:val="p"/>
              </m:rPr>
              <w:rPr>
                <w:rFonts w:ascii="Cambria Math" w:hAnsi="Cambria Math"/>
              </w:rPr>
              <m:t>4n</m:t>
            </m:r>
            <m:d>
              <m:dPr>
                <m:ctrlPr>
                  <w:rPr>
                    <w:rFonts w:ascii="Cambria Math" w:hAnsi="Cambria Math"/>
                  </w:rPr>
                </m:ctrlPr>
              </m:dPr>
              <m:e>
                <m:r>
                  <m:rPr>
                    <m:sty m:val="p"/>
                  </m:rPr>
                  <w:rPr>
                    <w:rFonts w:ascii="Cambria Math" w:hAnsi="Cambria Math"/>
                  </w:rPr>
                  <m:t>a-n</m:t>
                </m:r>
              </m:e>
            </m:d>
            <m:r>
              <m:rPr>
                <m:sty m:val="p"/>
              </m:rPr>
              <w:rPr>
                <w:rFonts w:ascii="Cambria Math" w:hAnsi="Cambria Math"/>
              </w:rPr>
              <m:t>+</m:t>
            </m:r>
            <m:sSup>
              <m:sSupPr>
                <m:ctrlPr>
                  <w:rPr>
                    <w:rFonts w:ascii="Cambria Math" w:hAnsi="Cambria Math"/>
                  </w:rPr>
                </m:ctrlPr>
              </m:sSupPr>
              <m:e>
                <m:r>
                  <m:rPr>
                    <m:sty m:val="p"/>
                  </m:rPr>
                  <w:rPr>
                    <w:rFonts w:ascii="Cambria Math" w:hAnsi="Cambria Math"/>
                  </w:rPr>
                  <m:t>p</m:t>
                </m:r>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r>
              <m:rPr>
                <m:sty m:val="p"/>
              </m:rPr>
              <w:rPr>
                <w:rFonts w:ascii="Cambria Math" w:hAnsi="Cambria Math"/>
              </w:rPr>
              <m:t>8R</m:t>
            </m:r>
          </m:e>
        </m:d>
      </m:oMath>
      <w:r w:rsidRPr="00765F6E">
        <w:rPr>
          <w:rFonts w:ascii="微软雅黑" w:eastAsia="微软雅黑" w:hAnsi="微软雅黑"/>
        </w:rPr>
        <w:tab/>
      </w:r>
      <w:r w:rsidRPr="00765F6E">
        <w:t>(</w:t>
      </w:r>
      <w:r w:rsidRPr="00765F6E">
        <w:fldChar w:fldCharType="begin"/>
      </w:r>
      <w:r w:rsidRPr="00765F6E">
        <w:instrText xml:space="preserve"> AUTONUM </w:instrText>
      </w:r>
      <w:r w:rsidRPr="00765F6E">
        <w:fldChar w:fldCharType="end"/>
      </w:r>
      <w:r w:rsidRPr="00765F6E">
        <w:t>)</w:t>
      </w:r>
    </w:p>
    <w:p w14:paraId="4B38C458" w14:textId="77777777" w:rsidR="00737EB2" w:rsidRPr="00765F6E" w:rsidRDefault="00737EB2" w:rsidP="00737EB2">
      <w:pPr>
        <w:pStyle w:val="affffffd"/>
        <w:spacing w:before="156" w:after="156"/>
      </w:pPr>
      <w:r w:rsidRPr="00765F6E">
        <w:tab/>
      </w: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a</m:t>
            </m:r>
          </m:sub>
        </m:sSub>
        <m:r>
          <m:rPr>
            <m:sty m:val="p"/>
          </m:rPr>
          <w:rPr>
            <w:rFonts w:ascii="Cambria Math" w:hAnsi="Cambria Math"/>
          </w:rPr>
          <m:t>=1000</m:t>
        </m:r>
        <m:d>
          <m:dPr>
            <m:begChr m:val="["/>
            <m:endChr m:val="]"/>
            <m:ctrlPr>
              <w:rPr>
                <w:rFonts w:ascii="Cambria Math" w:hAnsi="Cambria Math"/>
              </w:rPr>
            </m:ctrlPr>
          </m:dPr>
          <m:e>
            <m:r>
              <m:rPr>
                <m:sty m:val="p"/>
              </m:rPr>
              <w:rPr>
                <w:rFonts w:ascii="Cambria Math" w:hAnsi="Cambria Math"/>
              </w:rPr>
              <m:t>4n</m:t>
            </m:r>
            <m:d>
              <m:dPr>
                <m:ctrlPr>
                  <w:rPr>
                    <w:rFonts w:ascii="Cambria Math" w:hAnsi="Cambria Math"/>
                  </w:rPr>
                </m:ctrlPr>
              </m:dPr>
              <m:e>
                <m:r>
                  <m:rPr>
                    <m:sty m:val="p"/>
                  </m:rPr>
                  <w:rPr>
                    <w:rFonts w:ascii="Cambria Math" w:hAnsi="Cambria Math"/>
                  </w:rPr>
                  <m:t>n+a</m:t>
                </m:r>
              </m:e>
            </m:d>
            <m:r>
              <m:rPr>
                <m:sty m:val="p"/>
              </m:rPr>
              <w:rPr>
                <w:rFonts w:ascii="Cambria Math" w:hAnsi="Cambria Math"/>
              </w:rPr>
              <m:t>-</m:t>
            </m:r>
            <m:sSup>
              <m:sSupPr>
                <m:ctrlPr>
                  <w:rPr>
                    <w:rFonts w:ascii="Cambria Math" w:hAnsi="Cambria Math"/>
                  </w:rPr>
                </m:ctrlPr>
              </m:sSupPr>
              <m:e>
                <m:r>
                  <m:rPr>
                    <m:sty m:val="p"/>
                  </m:rPr>
                  <w:rPr>
                    <w:rFonts w:ascii="Cambria Math" w:hAnsi="Cambria Math"/>
                  </w:rPr>
                  <m:t>p</m:t>
                </m:r>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r>
              <m:rPr>
                <m:sty m:val="p"/>
              </m:rPr>
              <w:rPr>
                <w:rFonts w:ascii="Cambria Math" w:hAnsi="Cambria Math"/>
              </w:rPr>
              <m:t>8</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v</m:t>
                </m:r>
              </m:sub>
            </m:sSub>
          </m:e>
        </m:d>
      </m:oMath>
      <w:r w:rsidRPr="00765F6E">
        <w:rPr>
          <w:rFonts w:ascii="微软雅黑" w:eastAsia="微软雅黑" w:hAnsi="微软雅黑"/>
        </w:rPr>
        <w:tab/>
      </w:r>
      <w:r w:rsidRPr="00765F6E">
        <w:t>(</w:t>
      </w:r>
      <w:r w:rsidRPr="00765F6E">
        <w:fldChar w:fldCharType="begin"/>
      </w:r>
      <w:r w:rsidRPr="00765F6E">
        <w:instrText xml:space="preserve"> AUTONUM </w:instrText>
      </w:r>
      <w:r w:rsidRPr="00765F6E">
        <w:fldChar w:fldCharType="end"/>
      </w:r>
      <w:r w:rsidRPr="00765F6E">
        <w:t>)</w:t>
      </w:r>
    </w:p>
    <w:p w14:paraId="5BD12E5F" w14:textId="77777777" w:rsidR="00737EB2" w:rsidRPr="00765F6E" w:rsidRDefault="00737EB2" w:rsidP="00737EB2">
      <w:pPr>
        <w:pStyle w:val="affffffd"/>
        <w:spacing w:before="156" w:after="156"/>
      </w:pPr>
      <w:r w:rsidRPr="00765F6E">
        <w:tab/>
      </w: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i</m:t>
            </m:r>
          </m:sub>
        </m:sSub>
        <m:r>
          <m:rPr>
            <m:sty m:val="p"/>
          </m:rPr>
          <w:rPr>
            <w:rFonts w:ascii="Cambria Math" w:hAnsi="Cambria Math"/>
          </w:rPr>
          <m:t>=1000</m:t>
        </m:r>
        <m:d>
          <m:dPr>
            <m:begChr m:val="["/>
            <m:endChr m:val="]"/>
            <m:ctrlPr>
              <w:rPr>
                <w:rFonts w:ascii="Cambria Math" w:hAnsi="Cambria Math"/>
              </w:rPr>
            </m:ctrlPr>
          </m:dPr>
          <m:e>
            <m:r>
              <m:rPr>
                <m:sty m:val="p"/>
              </m:rPr>
              <w:rPr>
                <w:rFonts w:ascii="Cambria Math" w:hAnsi="Cambria Math"/>
              </w:rPr>
              <m:t>4n</m:t>
            </m:r>
            <m:d>
              <m:dPr>
                <m:ctrlPr>
                  <w:rPr>
                    <w:rFonts w:ascii="Cambria Math" w:hAnsi="Cambria Math"/>
                  </w:rPr>
                </m:ctrlPr>
              </m:dPr>
              <m:e>
                <m:r>
                  <m:rPr>
                    <m:sty m:val="p"/>
                  </m:rPr>
                  <w:rPr>
                    <w:rFonts w:ascii="Cambria Math" w:hAnsi="Cambria Math"/>
                  </w:rPr>
                  <m:t>a-n</m:t>
                </m:r>
              </m:e>
            </m:d>
            <m:r>
              <m:rPr>
                <m:sty m:val="p"/>
              </m:rPr>
              <w:rPr>
                <w:rFonts w:ascii="Cambria Math" w:hAnsi="Cambria Math"/>
              </w:rPr>
              <m:t>+</m:t>
            </m:r>
            <m:sSup>
              <m:sSupPr>
                <m:ctrlPr>
                  <w:rPr>
                    <w:rFonts w:ascii="Cambria Math" w:hAnsi="Cambria Math"/>
                  </w:rPr>
                </m:ctrlPr>
              </m:sSupPr>
              <m:e>
                <m:r>
                  <m:rPr>
                    <m:sty m:val="p"/>
                  </m:rPr>
                  <w:rPr>
                    <w:rFonts w:ascii="Cambria Math" w:hAnsi="Cambria Math"/>
                  </w:rPr>
                  <m:t>p</m:t>
                </m:r>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r>
              <m:rPr>
                <m:sty m:val="p"/>
              </m:rPr>
              <w:rPr>
                <w:rFonts w:ascii="Cambria Math" w:hAnsi="Cambria Math"/>
              </w:rPr>
              <m:t>8</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v</m:t>
                </m:r>
              </m:sub>
            </m:sSub>
          </m:e>
        </m:d>
      </m:oMath>
      <w:r w:rsidRPr="00765F6E">
        <w:rPr>
          <w:rFonts w:ascii="微软雅黑" w:eastAsia="微软雅黑" w:hAnsi="微软雅黑"/>
        </w:rPr>
        <w:tab/>
      </w:r>
      <w:r w:rsidRPr="00765F6E">
        <w:t>(</w:t>
      </w:r>
      <w:r w:rsidRPr="00765F6E">
        <w:fldChar w:fldCharType="begin"/>
      </w:r>
      <w:r w:rsidRPr="00765F6E">
        <w:instrText xml:space="preserve"> AUTONUM </w:instrText>
      </w:r>
      <w:r w:rsidRPr="00765F6E">
        <w:fldChar w:fldCharType="end"/>
      </w:r>
      <w:r w:rsidRPr="00765F6E">
        <w:t>)</w:t>
      </w:r>
    </w:p>
    <w:p w14:paraId="02ECDA84" w14:textId="77777777" w:rsidR="00737EB2" w:rsidRPr="00765F6E" w:rsidRDefault="00737EB2" w:rsidP="00737EB2">
      <w:pPr>
        <w:pStyle w:val="affffffd"/>
        <w:spacing w:before="156" w:after="156"/>
      </w:pPr>
      <w:r w:rsidRPr="00765F6E">
        <w:tab/>
      </w: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ba</m:t>
            </m:r>
          </m:sub>
        </m:sSub>
        <m:r>
          <m:rPr>
            <m:sty m:val="p"/>
          </m:rPr>
          <w:rPr>
            <w:rFonts w:ascii="Cambria Math" w:hAnsi="Cambria Math"/>
          </w:rPr>
          <m:t>=1000m</m:t>
        </m:r>
        <m:d>
          <m:dPr>
            <m:ctrlPr>
              <w:rPr>
                <w:rFonts w:ascii="Cambria Math" w:hAnsi="Cambria Math"/>
              </w:rPr>
            </m:ctrlPr>
          </m:dPr>
          <m:e>
            <m:r>
              <m:rPr>
                <m:sty m:val="p"/>
              </m:rPr>
              <w:rPr>
                <w:rFonts w:ascii="Cambria Math" w:hAnsi="Cambria Math"/>
              </w:rPr>
              <m:t>m+p</m:t>
            </m:r>
          </m:e>
        </m:d>
        <m:r>
          <m:rPr>
            <m:sty m:val="p"/>
          </m:rPr>
          <w:rPr>
            <w:rFonts w:ascii="Cambria Math" w:hAnsi="Cambria Math"/>
          </w:rPr>
          <m:t>/</m:t>
        </m:r>
        <m:d>
          <m:dPr>
            <m:ctrlPr>
              <w:rPr>
                <w:rFonts w:ascii="Cambria Math" w:hAnsi="Cambria Math"/>
              </w:rPr>
            </m:ctrlPr>
          </m:dPr>
          <m:e>
            <m:r>
              <m:rPr>
                <m:sty m:val="p"/>
              </m:rPr>
              <w:rPr>
                <w:rFonts w:ascii="Cambria Math" w:hAnsi="Cambria Math"/>
              </w:rPr>
              <m:t>2R</m:t>
            </m:r>
          </m:e>
        </m:d>
      </m:oMath>
      <w:r w:rsidRPr="00765F6E">
        <w:rPr>
          <w:rFonts w:ascii="微软雅黑" w:eastAsia="微软雅黑" w:hAnsi="微软雅黑"/>
        </w:rPr>
        <w:tab/>
      </w:r>
      <w:r w:rsidRPr="00765F6E">
        <w:t>(</w:t>
      </w:r>
      <w:r w:rsidRPr="00765F6E">
        <w:fldChar w:fldCharType="begin"/>
      </w:r>
      <w:r w:rsidRPr="00765F6E">
        <w:instrText xml:space="preserve"> AUTONUM </w:instrText>
      </w:r>
      <w:r w:rsidRPr="00765F6E">
        <w:fldChar w:fldCharType="end"/>
      </w:r>
      <w:r w:rsidRPr="00765F6E">
        <w:t>)</w:t>
      </w:r>
    </w:p>
    <w:p w14:paraId="5387B1EC" w14:textId="77777777" w:rsidR="00737EB2" w:rsidRPr="00765F6E" w:rsidRDefault="00737EB2" w:rsidP="00737EB2">
      <w:pPr>
        <w:pStyle w:val="affffffd"/>
        <w:spacing w:before="156" w:after="156"/>
      </w:pPr>
      <w:r w:rsidRPr="00765F6E">
        <w:tab/>
      </w: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bi</m:t>
            </m:r>
          </m:sub>
        </m:sSub>
        <m:r>
          <m:rPr>
            <m:sty m:val="p"/>
          </m:rPr>
          <w:rPr>
            <w:rFonts w:ascii="Cambria Math" w:hAnsi="Cambria Math"/>
          </w:rPr>
          <m:t>=1000m</m:t>
        </m:r>
        <m:d>
          <m:dPr>
            <m:ctrlPr>
              <w:rPr>
                <w:rFonts w:ascii="Cambria Math" w:hAnsi="Cambria Math"/>
              </w:rPr>
            </m:ctrlPr>
          </m:dPr>
          <m:e>
            <m:r>
              <m:rPr>
                <m:sty m:val="p"/>
              </m:rPr>
              <w:rPr>
                <w:rFonts w:ascii="Cambria Math" w:hAnsi="Cambria Math"/>
              </w:rPr>
              <m:t>p-m</m:t>
            </m:r>
          </m:e>
        </m:d>
        <m:r>
          <m:rPr>
            <m:sty m:val="p"/>
          </m:rPr>
          <w:rPr>
            <w:rFonts w:ascii="Cambria Math" w:hAnsi="Cambria Math"/>
          </w:rPr>
          <m:t>/</m:t>
        </m:r>
        <m:d>
          <m:dPr>
            <m:ctrlPr>
              <w:rPr>
                <w:rFonts w:ascii="Cambria Math" w:hAnsi="Cambria Math"/>
              </w:rPr>
            </m:ctrlPr>
          </m:dPr>
          <m:e>
            <m:r>
              <m:rPr>
                <m:sty m:val="p"/>
              </m:rPr>
              <w:rPr>
                <w:rFonts w:ascii="Cambria Math" w:hAnsi="Cambria Math"/>
              </w:rPr>
              <m:t>2R</m:t>
            </m:r>
          </m:e>
        </m:d>
      </m:oMath>
      <w:r w:rsidRPr="00765F6E">
        <w:rPr>
          <w:rFonts w:ascii="微软雅黑" w:eastAsia="微软雅黑" w:hAnsi="微软雅黑"/>
        </w:rPr>
        <w:tab/>
      </w:r>
      <w:r w:rsidRPr="00765F6E">
        <w:t>(</w:t>
      </w:r>
      <w:r w:rsidRPr="00765F6E">
        <w:fldChar w:fldCharType="begin"/>
      </w:r>
      <w:r w:rsidRPr="00765F6E">
        <w:instrText xml:space="preserve"> AUTONUM </w:instrText>
      </w:r>
      <w:r w:rsidRPr="00765F6E">
        <w:fldChar w:fldCharType="end"/>
      </w:r>
      <w:r w:rsidRPr="00765F6E">
        <w:t>)</w:t>
      </w:r>
    </w:p>
    <w:p w14:paraId="17C19EE1" w14:textId="3F77CC5A" w:rsidR="00737EB2" w:rsidRDefault="00737EB2" w:rsidP="00444A0B">
      <w:pPr>
        <w:pStyle w:val="affffa"/>
        <w:spacing w:line="240" w:lineRule="auto"/>
        <w:ind w:firstLine="420"/>
      </w:pPr>
      <w:r w:rsidRPr="00765F6E">
        <w:rPr>
          <w:rFonts w:hint="eastAsia"/>
        </w:rPr>
        <w:t>式中：</w:t>
      </w:r>
    </w:p>
    <w:p w14:paraId="38225E34" w14:textId="77777777" w:rsidR="00CE3AA2" w:rsidRPr="00765F6E" w:rsidRDefault="00CA2808" w:rsidP="00CE3AA2">
      <w:pPr>
        <w:spacing w:line="240" w:lineRule="auto"/>
        <w:ind w:leftChars="350" w:left="735"/>
        <w:contextualSpacing/>
        <w:rPr>
          <w:rFonts w:ascii="宋体" w:hAnsi="宋体"/>
        </w:rPr>
      </w:pP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a</m:t>
            </m:r>
          </m:sub>
        </m:sSub>
        <m:r>
          <m:rPr>
            <m:sty m:val="p"/>
          </m:rPr>
          <w:rPr>
            <w:rFonts w:ascii="Cambria Math" w:hAnsi="Cambria Math" w:hint="eastAsia"/>
          </w:rPr>
          <m:t>——</m:t>
        </m:r>
      </m:oMath>
      <w:r w:rsidR="00CE3AA2" w:rsidRPr="00765F6E">
        <w:rPr>
          <w:rFonts w:ascii="宋体" w:hAnsi="宋体"/>
        </w:rPr>
        <w:t>车体在平面曲线外侧几何偏移量</w:t>
      </w:r>
      <w:r w:rsidR="00CE3AA2" w:rsidRPr="00765F6E">
        <w:rPr>
          <w:rFonts w:ascii="宋体" w:hAnsi="宋体" w:hint="eastAsia"/>
        </w:rPr>
        <w:t>，单位为毫米</w:t>
      </w:r>
      <w:r w:rsidR="00CE3AA2" w:rsidRPr="00765F6E">
        <w:rPr>
          <w:rFonts w:ascii="宋体" w:hAnsi="宋体"/>
        </w:rPr>
        <w:t>（mm）</w:t>
      </w:r>
      <w:r w:rsidR="00CE3AA2" w:rsidRPr="00765F6E">
        <w:rPr>
          <w:rFonts w:ascii="宋体" w:hAnsi="宋体" w:hint="eastAsia"/>
        </w:rPr>
        <w:t>；</w:t>
      </w:r>
    </w:p>
    <w:p w14:paraId="5E29EA78" w14:textId="77777777" w:rsidR="00CE3AA2" w:rsidRPr="00765F6E" w:rsidRDefault="00CE3AA2" w:rsidP="00CE3AA2">
      <w:pPr>
        <w:spacing w:line="240" w:lineRule="auto"/>
        <w:ind w:leftChars="350" w:left="735"/>
        <w:contextualSpacing/>
        <w:rPr>
          <w:rFonts w:ascii="宋体" w:hAnsi="宋体"/>
        </w:rPr>
      </w:pPr>
      <w:r w:rsidRPr="00765F6E">
        <w:rPr>
          <w:rFonts w:ascii="Cambria Math" w:hAnsi="Cambria Math" w:hint="eastAsia"/>
        </w:rPr>
        <w:t>n</w:t>
      </w:r>
      <w:r w:rsidRPr="00765F6E">
        <w:rPr>
          <w:rFonts w:ascii="Cambria Math" w:hAnsi="Cambria Math" w:hint="eastAsia"/>
        </w:rPr>
        <w:t>——</w:t>
      </w:r>
      <w:r w:rsidRPr="00765F6E">
        <w:rPr>
          <w:rFonts w:ascii="宋体" w:hAnsi="宋体"/>
        </w:rPr>
        <w:t>车体计算断面至相邻中心销距离</w:t>
      </w:r>
      <w:r w:rsidRPr="00765F6E">
        <w:rPr>
          <w:rFonts w:ascii="宋体" w:hAnsi="宋体" w:hint="eastAsia"/>
        </w:rPr>
        <w:t>，单位为米</w:t>
      </w:r>
      <w:r w:rsidRPr="00765F6E">
        <w:rPr>
          <w:rFonts w:ascii="宋体" w:hAnsi="宋体"/>
        </w:rPr>
        <w:t>（m）</w:t>
      </w:r>
      <w:r w:rsidRPr="00765F6E">
        <w:rPr>
          <w:rFonts w:ascii="宋体" w:hAnsi="宋体" w:hint="eastAsia"/>
        </w:rPr>
        <w:t>；</w:t>
      </w:r>
    </w:p>
    <w:p w14:paraId="13C4886A" w14:textId="77777777" w:rsidR="00CE3AA2" w:rsidRPr="00765F6E" w:rsidRDefault="00CE3AA2" w:rsidP="00CE3AA2">
      <w:pPr>
        <w:spacing w:line="240" w:lineRule="auto"/>
        <w:ind w:leftChars="350" w:left="735"/>
        <w:contextualSpacing/>
        <w:rPr>
          <w:rFonts w:ascii="Cambria Math" w:hAnsi="Cambria Math"/>
        </w:rPr>
      </w:pPr>
      <w:r w:rsidRPr="00765F6E">
        <w:rPr>
          <w:rFonts w:ascii="宋体" w:hAnsi="宋体" w:hint="eastAsia"/>
        </w:rPr>
        <w:t>a</w:t>
      </w:r>
      <w:r w:rsidRPr="00765F6E">
        <w:rPr>
          <w:rFonts w:ascii="Cambria Math" w:hAnsi="Cambria Math" w:hint="eastAsia"/>
        </w:rPr>
        <w:t>——车辆定距，单位为米（</w:t>
      </w:r>
      <w:r w:rsidRPr="00765F6E">
        <w:rPr>
          <w:rFonts w:ascii="Cambria Math" w:hAnsi="Cambria Math" w:hint="eastAsia"/>
        </w:rPr>
        <w:t>m</w:t>
      </w:r>
      <w:r w:rsidRPr="00765F6E">
        <w:rPr>
          <w:rFonts w:ascii="Cambria Math" w:hAnsi="Cambria Math" w:hint="eastAsia"/>
        </w:rPr>
        <w:t>）；</w:t>
      </w:r>
    </w:p>
    <w:p w14:paraId="78423223" w14:textId="77777777" w:rsidR="00CE3AA2" w:rsidRPr="00765F6E" w:rsidRDefault="00CE3AA2" w:rsidP="00CE3AA2">
      <w:pPr>
        <w:spacing w:line="240" w:lineRule="auto"/>
        <w:ind w:leftChars="350" w:left="735"/>
        <w:contextualSpacing/>
        <w:rPr>
          <w:rFonts w:ascii="宋体" w:hAnsi="宋体"/>
        </w:rPr>
      </w:pPr>
      <w:r w:rsidRPr="00765F6E">
        <w:rPr>
          <w:rFonts w:ascii="Cambria Math" w:hAnsi="Cambria Math" w:hint="eastAsia"/>
        </w:rPr>
        <w:t>p</w:t>
      </w:r>
      <w:r w:rsidRPr="00765F6E">
        <w:rPr>
          <w:rFonts w:ascii="Cambria Math" w:hAnsi="Cambria Math" w:hint="eastAsia"/>
        </w:rPr>
        <w:t>——</w:t>
      </w:r>
      <w:r w:rsidRPr="00765F6E">
        <w:rPr>
          <w:rFonts w:ascii="宋体" w:hAnsi="宋体"/>
        </w:rPr>
        <w:t>转向架固定轴距</w:t>
      </w:r>
      <w:r w:rsidRPr="00765F6E">
        <w:rPr>
          <w:rFonts w:ascii="宋体" w:hAnsi="宋体" w:hint="eastAsia"/>
        </w:rPr>
        <w:t>，单位为米</w:t>
      </w:r>
      <w:r w:rsidRPr="00765F6E">
        <w:rPr>
          <w:rFonts w:ascii="宋体" w:hAnsi="宋体"/>
        </w:rPr>
        <w:t>（m）</w:t>
      </w:r>
      <w:r w:rsidRPr="00765F6E">
        <w:rPr>
          <w:rFonts w:ascii="宋体" w:hAnsi="宋体" w:hint="eastAsia"/>
        </w:rPr>
        <w:t>；</w:t>
      </w:r>
    </w:p>
    <w:p w14:paraId="0DB8EFB5" w14:textId="77777777" w:rsidR="00CE3AA2" w:rsidRPr="00765F6E" w:rsidRDefault="00CE3AA2" w:rsidP="00CE3AA2">
      <w:pPr>
        <w:spacing w:line="240" w:lineRule="auto"/>
        <w:ind w:leftChars="350" w:left="735"/>
        <w:contextualSpacing/>
        <w:rPr>
          <w:rFonts w:ascii="宋体" w:hAnsi="宋体"/>
        </w:rPr>
      </w:pPr>
      <w:r w:rsidRPr="00765F6E">
        <w:rPr>
          <w:rFonts w:ascii="Cambria Math" w:hAnsi="Cambria Math" w:hint="eastAsia"/>
        </w:rPr>
        <w:t>R</w:t>
      </w:r>
      <w:r w:rsidRPr="00765F6E">
        <w:rPr>
          <w:rFonts w:ascii="Cambria Math" w:hAnsi="Cambria Math" w:hint="eastAsia"/>
        </w:rPr>
        <w:t>——</w:t>
      </w:r>
      <w:r w:rsidRPr="00765F6E">
        <w:rPr>
          <w:rFonts w:ascii="宋体" w:hAnsi="宋体"/>
        </w:rPr>
        <w:t>线路平面曲线半径</w:t>
      </w:r>
      <w:r w:rsidRPr="00765F6E">
        <w:rPr>
          <w:rFonts w:ascii="宋体" w:hAnsi="宋体" w:hint="eastAsia"/>
        </w:rPr>
        <w:t>，单位为米</w:t>
      </w:r>
      <w:r w:rsidRPr="00765F6E">
        <w:rPr>
          <w:rFonts w:ascii="宋体" w:hAnsi="宋体"/>
        </w:rPr>
        <w:t>（m）</w:t>
      </w:r>
      <w:r w:rsidRPr="00765F6E">
        <w:rPr>
          <w:rFonts w:ascii="宋体" w:hAnsi="宋体" w:hint="eastAsia"/>
        </w:rPr>
        <w:t>；</w:t>
      </w:r>
    </w:p>
    <w:p w14:paraId="5CA13AA0" w14:textId="77777777" w:rsidR="00CE3AA2" w:rsidRPr="00765F6E" w:rsidRDefault="00CA2808" w:rsidP="00CE3AA2">
      <w:pPr>
        <w:spacing w:line="240" w:lineRule="auto"/>
        <w:ind w:leftChars="350" w:left="735"/>
        <w:contextualSpacing/>
        <w:rPr>
          <w:rFonts w:ascii="宋体" w:hAnsi="宋体"/>
        </w:rPr>
      </w:pP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i</m:t>
            </m:r>
          </m:sub>
        </m:sSub>
      </m:oMath>
      <w:r w:rsidR="00CE3AA2" w:rsidRPr="00765F6E">
        <w:rPr>
          <w:rFonts w:ascii="Cambria Math" w:hAnsi="Cambria Math" w:hint="eastAsia"/>
        </w:rPr>
        <w:t>——</w:t>
      </w:r>
      <w:r w:rsidR="00CE3AA2" w:rsidRPr="00765F6E">
        <w:rPr>
          <w:rFonts w:ascii="宋体" w:hAnsi="宋体"/>
        </w:rPr>
        <w:t>车体在平面曲线内侧几何偏移量</w:t>
      </w:r>
      <w:r w:rsidR="00CE3AA2" w:rsidRPr="00765F6E">
        <w:rPr>
          <w:rFonts w:ascii="宋体" w:hAnsi="宋体" w:hint="eastAsia"/>
        </w:rPr>
        <w:t>，单位为毫米</w:t>
      </w:r>
      <w:r w:rsidR="00CE3AA2" w:rsidRPr="00765F6E">
        <w:rPr>
          <w:rFonts w:ascii="宋体" w:hAnsi="宋体"/>
        </w:rPr>
        <w:t>（mm）</w:t>
      </w:r>
      <w:r w:rsidR="00CE3AA2" w:rsidRPr="00765F6E">
        <w:rPr>
          <w:rFonts w:ascii="宋体" w:hAnsi="宋体" w:hint="eastAsia"/>
        </w:rPr>
        <w:t>；</w:t>
      </w:r>
    </w:p>
    <w:p w14:paraId="1E787FF0" w14:textId="77777777" w:rsidR="00CE3AA2" w:rsidRPr="00765F6E" w:rsidRDefault="00CA2808" w:rsidP="00CE3AA2">
      <w:pPr>
        <w:spacing w:line="240" w:lineRule="auto"/>
        <w:ind w:leftChars="350" w:left="735"/>
        <w:contextualSpacing/>
        <w:rPr>
          <w:rFonts w:ascii="宋体" w:hAnsi="宋体"/>
        </w:rPr>
      </w:pP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a</m:t>
            </m:r>
          </m:sub>
        </m:sSub>
        <m:r>
          <m:rPr>
            <m:sty m:val="p"/>
          </m:rPr>
          <w:rPr>
            <w:rFonts w:ascii="Cambria Math" w:hAnsi="Cambria Math" w:hint="eastAsia"/>
          </w:rPr>
          <m:t>——</m:t>
        </m:r>
      </m:oMath>
      <w:r w:rsidR="00CE3AA2" w:rsidRPr="00765F6E">
        <w:rPr>
          <w:rFonts w:ascii="宋体" w:hAnsi="宋体"/>
        </w:rPr>
        <w:t>车体在凸形竖曲线外侧几何偏移量</w:t>
      </w:r>
      <w:r w:rsidR="00CE3AA2" w:rsidRPr="00765F6E">
        <w:rPr>
          <w:rFonts w:ascii="宋体" w:hAnsi="宋体" w:hint="eastAsia"/>
        </w:rPr>
        <w:t>，单位为毫米</w:t>
      </w:r>
      <w:r w:rsidR="00CE3AA2" w:rsidRPr="00765F6E">
        <w:rPr>
          <w:rFonts w:ascii="宋体" w:hAnsi="宋体"/>
        </w:rPr>
        <w:t>（mm）</w:t>
      </w:r>
      <w:r w:rsidR="00CE3AA2" w:rsidRPr="00765F6E">
        <w:rPr>
          <w:rFonts w:ascii="宋体" w:hAnsi="宋体" w:hint="eastAsia"/>
        </w:rPr>
        <w:t>；</w:t>
      </w:r>
    </w:p>
    <w:p w14:paraId="5EBE7752" w14:textId="77777777" w:rsidR="00CE3AA2" w:rsidRPr="00765F6E" w:rsidRDefault="00CA2808" w:rsidP="00CE3AA2">
      <w:pPr>
        <w:spacing w:line="240" w:lineRule="auto"/>
        <w:ind w:leftChars="350" w:left="735"/>
        <w:contextualSpacing/>
        <w:rPr>
          <w:rFonts w:ascii="宋体" w:hAnsi="宋体"/>
        </w:rPr>
      </w:pPr>
      <m:oMath>
        <m:sSub>
          <m:sSubPr>
            <m:ctrlPr>
              <w:rPr>
                <w:rFonts w:ascii="Cambria Math" w:hAnsi="Cambria Math"/>
              </w:rPr>
            </m:ctrlPr>
          </m:sSubPr>
          <m:e>
            <m:r>
              <m:rPr>
                <m:sty m:val="p"/>
              </m:rPr>
              <w:rPr>
                <w:rFonts w:ascii="Cambria Math" w:hAnsi="Cambria Math"/>
              </w:rPr>
              <m:t>R</m:t>
            </m:r>
          </m:e>
          <m:sub>
            <m:r>
              <m:rPr>
                <m:sty m:val="p"/>
              </m:rPr>
              <w:rPr>
                <w:rFonts w:ascii="Cambria Math" w:hAnsi="Cambria Math"/>
              </w:rPr>
              <m:t>v</m:t>
            </m:r>
          </m:sub>
        </m:sSub>
      </m:oMath>
      <w:r w:rsidR="00CE3AA2" w:rsidRPr="00765F6E">
        <w:rPr>
          <w:rFonts w:ascii="Cambria Math" w:hAnsi="Cambria Math" w:hint="eastAsia"/>
        </w:rPr>
        <w:t>——</w:t>
      </w:r>
      <w:r w:rsidR="00CE3AA2" w:rsidRPr="00765F6E">
        <w:rPr>
          <w:rFonts w:ascii="宋体" w:hAnsi="宋体"/>
        </w:rPr>
        <w:t>线路竖曲线半径</w:t>
      </w:r>
      <w:r w:rsidR="00CE3AA2" w:rsidRPr="00765F6E">
        <w:rPr>
          <w:rFonts w:ascii="宋体" w:hAnsi="宋体" w:hint="eastAsia"/>
        </w:rPr>
        <w:t>，单位为米</w:t>
      </w:r>
      <w:r w:rsidR="00CE3AA2" w:rsidRPr="00765F6E">
        <w:rPr>
          <w:rFonts w:ascii="宋体" w:hAnsi="宋体"/>
        </w:rPr>
        <w:t>（m）</w:t>
      </w:r>
      <w:r w:rsidR="00CE3AA2" w:rsidRPr="00765F6E">
        <w:rPr>
          <w:rFonts w:ascii="宋体" w:hAnsi="宋体" w:hint="eastAsia"/>
        </w:rPr>
        <w:t>；</w:t>
      </w:r>
    </w:p>
    <w:p w14:paraId="1E559A2A" w14:textId="64A0CF54" w:rsidR="00CE3AA2" w:rsidRPr="00765F6E" w:rsidRDefault="00CA2808" w:rsidP="00CE3AA2">
      <w:pPr>
        <w:spacing w:line="240" w:lineRule="auto"/>
        <w:ind w:leftChars="350" w:left="735"/>
        <w:contextualSpacing/>
        <w:rPr>
          <w:rFonts w:ascii="宋体" w:hAnsi="宋体"/>
        </w:rPr>
      </w:pP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i</m:t>
            </m:r>
          </m:sub>
        </m:sSub>
        <m:r>
          <m:rPr>
            <m:sty m:val="p"/>
          </m:rPr>
          <w:rPr>
            <w:rFonts w:ascii="Cambria Math" w:hAnsi="Cambria Math" w:hint="eastAsia"/>
          </w:rPr>
          <m:t>——</m:t>
        </m:r>
      </m:oMath>
      <w:r w:rsidR="00CE3AA2" w:rsidRPr="00765F6E">
        <w:rPr>
          <w:rFonts w:ascii="宋体" w:hAnsi="宋体"/>
        </w:rPr>
        <w:t>在凹形竖曲线内侧几何偏移量</w:t>
      </w:r>
      <w:r w:rsidR="00CE3AA2" w:rsidRPr="00765F6E">
        <w:rPr>
          <w:rFonts w:ascii="宋体" w:hAnsi="宋体" w:hint="eastAsia"/>
        </w:rPr>
        <w:t>，单位为毫米</w:t>
      </w:r>
      <w:r w:rsidR="00CE3AA2" w:rsidRPr="00765F6E">
        <w:rPr>
          <w:rFonts w:ascii="宋体" w:hAnsi="宋体"/>
        </w:rPr>
        <w:t>（mm）</w:t>
      </w:r>
      <w:r w:rsidR="00CE3AA2">
        <w:rPr>
          <w:rFonts w:ascii="宋体" w:hAnsi="宋体" w:hint="eastAsia"/>
        </w:rPr>
        <w:t>；</w:t>
      </w:r>
    </w:p>
    <w:p w14:paraId="351C808C" w14:textId="77777777" w:rsidR="00CE3AA2" w:rsidRPr="00765F6E" w:rsidRDefault="00CA2808" w:rsidP="00CE3AA2">
      <w:pPr>
        <w:spacing w:line="240" w:lineRule="auto"/>
        <w:ind w:leftChars="350" w:left="735"/>
        <w:contextualSpacing/>
        <w:rPr>
          <w:rFonts w:ascii="宋体" w:hAnsi="宋体"/>
        </w:rPr>
      </w:pP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ba</m:t>
            </m:r>
          </m:sub>
        </m:sSub>
        <m:r>
          <m:rPr>
            <m:sty m:val="p"/>
          </m:rPr>
          <w:rPr>
            <w:rFonts w:ascii="Cambria Math" w:hAnsi="Cambria Math" w:hint="eastAsia"/>
          </w:rPr>
          <m:t>——</m:t>
        </m:r>
      </m:oMath>
      <w:r w:rsidR="00CE3AA2" w:rsidRPr="00765F6E">
        <w:rPr>
          <w:rFonts w:ascii="宋体" w:hAnsi="宋体"/>
        </w:rPr>
        <w:t>转向架在平面曲线外侧几何偏移量</w:t>
      </w:r>
      <w:r w:rsidR="00CE3AA2" w:rsidRPr="00765F6E">
        <w:rPr>
          <w:rFonts w:ascii="宋体" w:hAnsi="宋体" w:hint="eastAsia"/>
        </w:rPr>
        <w:t>，单位为毫米</w:t>
      </w:r>
      <w:r w:rsidR="00CE3AA2" w:rsidRPr="00765F6E">
        <w:rPr>
          <w:rFonts w:ascii="宋体" w:hAnsi="宋体"/>
        </w:rPr>
        <w:t>（mm）</w:t>
      </w:r>
      <w:r w:rsidR="00CE3AA2" w:rsidRPr="00765F6E">
        <w:rPr>
          <w:rFonts w:ascii="宋体" w:hAnsi="宋体" w:hint="eastAsia"/>
        </w:rPr>
        <w:t>；</w:t>
      </w:r>
    </w:p>
    <w:p w14:paraId="79F8D6AE" w14:textId="77777777" w:rsidR="00737EB2" w:rsidRPr="00765F6E" w:rsidRDefault="00737EB2" w:rsidP="00444A0B">
      <w:pPr>
        <w:spacing w:line="240" w:lineRule="auto"/>
        <w:ind w:leftChars="350" w:left="735"/>
        <w:contextualSpacing/>
        <w:rPr>
          <w:rFonts w:ascii="宋体" w:hAnsi="宋体"/>
        </w:rPr>
      </w:pPr>
      <w:r w:rsidRPr="00765F6E">
        <w:rPr>
          <w:rFonts w:ascii="Cambria Math" w:hAnsi="Cambria Math"/>
        </w:rPr>
        <w:t>m</w:t>
      </w:r>
      <w:r w:rsidRPr="00765F6E">
        <w:rPr>
          <w:rFonts w:ascii="Cambria Math" w:hAnsi="Cambria Math" w:hint="eastAsia"/>
        </w:rPr>
        <w:t>——</w:t>
      </w:r>
      <w:r w:rsidRPr="00765F6E">
        <w:rPr>
          <w:rFonts w:ascii="宋体" w:hAnsi="宋体"/>
        </w:rPr>
        <w:t>转向架计算断面至相邻轴距离</w:t>
      </w:r>
      <w:r w:rsidRPr="00765F6E">
        <w:rPr>
          <w:rFonts w:ascii="宋体" w:hAnsi="宋体" w:hint="eastAsia"/>
        </w:rPr>
        <w:t>，单位为米</w:t>
      </w:r>
      <w:r w:rsidRPr="00765F6E">
        <w:rPr>
          <w:rFonts w:ascii="宋体" w:hAnsi="宋体"/>
        </w:rPr>
        <w:t>（m）</w:t>
      </w:r>
      <w:r w:rsidRPr="00765F6E">
        <w:rPr>
          <w:rFonts w:ascii="宋体" w:hAnsi="宋体" w:hint="eastAsia"/>
        </w:rPr>
        <w:t>；</w:t>
      </w:r>
    </w:p>
    <w:p w14:paraId="66BE0768" w14:textId="4AF85FAA" w:rsidR="00737EB2" w:rsidRPr="00765F6E" w:rsidRDefault="00CA2808" w:rsidP="00444A0B">
      <w:pPr>
        <w:spacing w:line="240" w:lineRule="auto"/>
        <w:ind w:leftChars="350" w:left="735"/>
        <w:contextualSpacing/>
        <w:rPr>
          <w:rFonts w:ascii="宋体" w:hAnsi="宋体"/>
        </w:rPr>
      </w:pPr>
      <m:oMath>
        <m:sSub>
          <m:sSubPr>
            <m:ctrlPr>
              <w:rPr>
                <w:rFonts w:ascii="Cambria Math" w:hAnsi="Cambria Math"/>
              </w:rPr>
            </m:ctrlPr>
          </m:sSubPr>
          <m:e>
            <m:r>
              <m:rPr>
                <m:sty m:val="p"/>
              </m:rPr>
              <w:rPr>
                <w:rFonts w:ascii="Cambria Math" w:hAnsi="Cambria Math"/>
              </w:rPr>
              <m:t>T</m:t>
            </m:r>
          </m:e>
          <m:sub>
            <m:r>
              <m:rPr>
                <m:sty m:val="p"/>
              </m:rPr>
              <w:rPr>
                <w:rFonts w:ascii="Cambria Math" w:hAnsi="Cambria Math"/>
              </w:rPr>
              <m:t>bi</m:t>
            </m:r>
          </m:sub>
        </m:sSub>
        <m:r>
          <m:rPr>
            <m:sty m:val="p"/>
          </m:rPr>
          <w:rPr>
            <w:rFonts w:ascii="Cambria Math" w:hAnsi="Cambria Math" w:hint="eastAsia"/>
          </w:rPr>
          <m:t>——</m:t>
        </m:r>
      </m:oMath>
      <w:r w:rsidR="00737EB2" w:rsidRPr="00765F6E">
        <w:rPr>
          <w:rFonts w:ascii="宋体" w:hAnsi="宋体"/>
        </w:rPr>
        <w:t>转向架在平面曲线内侧几何偏移量</w:t>
      </w:r>
      <w:r w:rsidR="00737EB2" w:rsidRPr="00765F6E">
        <w:rPr>
          <w:rFonts w:ascii="宋体" w:hAnsi="宋体" w:hint="eastAsia"/>
        </w:rPr>
        <w:t>，单位为毫米</w:t>
      </w:r>
      <w:r w:rsidR="00737EB2" w:rsidRPr="00765F6E">
        <w:rPr>
          <w:rFonts w:ascii="宋体" w:hAnsi="宋体"/>
        </w:rPr>
        <w:t>（mm）</w:t>
      </w:r>
      <w:r w:rsidR="00CE3AA2">
        <w:rPr>
          <w:rFonts w:ascii="宋体" w:hAnsi="宋体" w:hint="eastAsia"/>
        </w:rPr>
        <w:t>。</w:t>
      </w:r>
    </w:p>
    <w:p w14:paraId="334A4E4B" w14:textId="77777777" w:rsidR="00737EB2" w:rsidRPr="00765F6E" w:rsidRDefault="00737EB2" w:rsidP="009D0776">
      <w:pPr>
        <w:pStyle w:val="22"/>
      </w:pPr>
      <w:bookmarkStart w:id="581" w:name="_Toc153291047"/>
      <w:bookmarkStart w:id="582" w:name="_Toc99791615"/>
      <w:r w:rsidRPr="00765F6E">
        <w:rPr>
          <w:rFonts w:hint="eastAsia"/>
        </w:rPr>
        <w:t>曲线地段设备限界的加宽和加高，除应计及车辆曲线几何偏移外，还应计及曲线轨距加宽、内外轨磨耗、轨道弹性变形、以及超高曲线轨道参数变化量。</w:t>
      </w:r>
      <w:bookmarkEnd w:id="581"/>
      <w:bookmarkEnd w:id="582"/>
    </w:p>
    <w:p w14:paraId="44AA5F60" w14:textId="77777777" w:rsidR="00737EB2" w:rsidRPr="00765F6E" w:rsidRDefault="00737EB2" w:rsidP="00737EB2">
      <w:pPr>
        <w:pStyle w:val="affe"/>
        <w:spacing w:before="156" w:after="156"/>
      </w:pPr>
      <w:bookmarkStart w:id="583" w:name="_Toc153291048"/>
      <w:bookmarkStart w:id="584" w:name="_Toc153210832"/>
      <w:bookmarkStart w:id="585" w:name="_Toc99791616"/>
      <w:bookmarkStart w:id="586" w:name="_Toc167895730"/>
      <w:bookmarkStart w:id="587" w:name="_Toc174538644"/>
      <w:bookmarkStart w:id="588" w:name="_Toc182476396"/>
      <w:r w:rsidRPr="00765F6E">
        <w:rPr>
          <w:rFonts w:hint="eastAsia"/>
        </w:rPr>
        <w:t>建筑限界</w:t>
      </w:r>
      <w:bookmarkEnd w:id="583"/>
      <w:bookmarkEnd w:id="584"/>
      <w:bookmarkEnd w:id="585"/>
      <w:bookmarkEnd w:id="586"/>
      <w:bookmarkEnd w:id="587"/>
      <w:bookmarkEnd w:id="588"/>
    </w:p>
    <w:p w14:paraId="5719AE54" w14:textId="77777777" w:rsidR="00737EB2" w:rsidRPr="00765F6E" w:rsidRDefault="00737EB2" w:rsidP="009D0776">
      <w:pPr>
        <w:pStyle w:val="22"/>
      </w:pPr>
      <w:bookmarkStart w:id="589" w:name="_Toc99791617"/>
      <w:bookmarkStart w:id="590" w:name="_Toc153291049"/>
      <w:r w:rsidRPr="00765F6E">
        <w:rPr>
          <w:rFonts w:hint="eastAsia"/>
        </w:rPr>
        <w:t>矩形隧道与路基地段建筑限界计算符合下列规定：</w:t>
      </w:r>
      <w:bookmarkEnd w:id="589"/>
      <w:bookmarkEnd w:id="590"/>
    </w:p>
    <w:p w14:paraId="0F41BF29" w14:textId="5CC46A4B" w:rsidR="00737EB2" w:rsidRPr="00765F6E" w:rsidRDefault="00737EB2" w:rsidP="003334F3">
      <w:pPr>
        <w:pStyle w:val="af6"/>
        <w:numPr>
          <w:ilvl w:val="0"/>
          <w:numId w:val="46"/>
        </w:numPr>
        <w:tabs>
          <w:tab w:val="left" w:pos="851"/>
        </w:tabs>
        <w:snapToGrid w:val="0"/>
        <w:contextualSpacing/>
      </w:pPr>
      <w:r w:rsidRPr="00765F6E">
        <w:t>直线地段矩形隧道与路基地段建筑限界应在直线设备限界基础上按公式</w:t>
      </w:r>
      <w:r w:rsidRPr="00765F6E">
        <w:rPr>
          <w:rFonts w:hint="eastAsia"/>
        </w:rPr>
        <w:t>（7）～公式（10）</w:t>
      </w:r>
      <w:r w:rsidRPr="00765F6E">
        <w:t>计算</w:t>
      </w:r>
      <w:r w:rsidR="0038415A">
        <w:rPr>
          <w:rFonts w:hint="eastAsia"/>
        </w:rPr>
        <w:t>；</w:t>
      </w:r>
    </w:p>
    <w:p w14:paraId="684F37EC" w14:textId="77777777" w:rsidR="00737EB2" w:rsidRPr="004E68CD" w:rsidRDefault="00737EB2" w:rsidP="00737EB2">
      <w:pPr>
        <w:pStyle w:val="affffffd"/>
        <w:spacing w:before="156" w:after="156"/>
      </w:pPr>
      <w:r w:rsidRPr="00765F6E">
        <w:tab/>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L</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X</m:t>
            </m:r>
          </m:e>
          <m:sub>
            <m:r>
              <m:rPr>
                <m:sty m:val="p"/>
              </m:rPr>
              <w:rPr>
                <w:rFonts w:ascii="Cambria Math" w:hAnsi="Cambria Math"/>
                <w:vertAlign w:val="subscript"/>
              </w:rPr>
              <m:t>S</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L</m:t>
            </m:r>
          </m:sub>
        </m:sSub>
        <m:r>
          <m:rPr>
            <m:sty m:val="p"/>
          </m:rPr>
          <w:rPr>
            <w:rFonts w:ascii="Cambria Math" w:hAnsi="Cambria Math"/>
          </w:rPr>
          <m:t>+c</m:t>
        </m:r>
      </m:oMath>
      <w:r w:rsidRPr="004E68CD">
        <w:rPr>
          <w:rFonts w:ascii="微软雅黑" w:eastAsia="微软雅黑" w:hAnsi="微软雅黑"/>
        </w:rPr>
        <w:tab/>
      </w:r>
      <w:r w:rsidRPr="004E68CD">
        <w:t>(7)</w:t>
      </w:r>
    </w:p>
    <w:p w14:paraId="42214322" w14:textId="77777777" w:rsidR="00737EB2" w:rsidRPr="004E68CD" w:rsidRDefault="00737EB2" w:rsidP="00737EB2">
      <w:pPr>
        <w:pStyle w:val="affffffd"/>
        <w:spacing w:before="156" w:after="156"/>
      </w:pPr>
      <w:r w:rsidRPr="004E68CD">
        <w:tab/>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R</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X</m:t>
            </m:r>
          </m:e>
          <m:sub>
            <m:r>
              <m:rPr>
                <m:sty m:val="p"/>
              </m:rPr>
              <w:rPr>
                <w:rFonts w:ascii="Cambria Math" w:hAnsi="Cambria Math"/>
                <w:vertAlign w:val="subscript"/>
              </w:rPr>
              <m:t>S</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R</m:t>
            </m:r>
          </m:sub>
        </m:sSub>
        <m:r>
          <m:rPr>
            <m:sty m:val="p"/>
          </m:rPr>
          <w:rPr>
            <w:rFonts w:ascii="Cambria Math" w:hAnsi="Cambria Math"/>
          </w:rPr>
          <m:t>+c</m:t>
        </m:r>
      </m:oMath>
      <w:r w:rsidRPr="004E68CD">
        <w:rPr>
          <w:rFonts w:ascii="微软雅黑" w:eastAsia="微软雅黑" w:hAnsi="微软雅黑"/>
        </w:rPr>
        <w:tab/>
      </w:r>
      <w:r w:rsidRPr="004E68CD">
        <w:t>(8)</w:t>
      </w:r>
    </w:p>
    <w:p w14:paraId="1119467F" w14:textId="77777777" w:rsidR="00737EB2" w:rsidRPr="004E68CD" w:rsidRDefault="00737EB2" w:rsidP="00737EB2">
      <w:pPr>
        <w:pStyle w:val="affffffd"/>
        <w:spacing w:before="156" w:after="156"/>
      </w:pPr>
      <w:r w:rsidRPr="004E68CD">
        <w:tab/>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S</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L</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R</m:t>
            </m:r>
          </m:sub>
        </m:sSub>
        <m:r>
          <m:rPr>
            <m:sty m:val="p"/>
          </m:rPr>
          <w:rPr>
            <w:rFonts w:ascii="Cambria Math" w:hAnsi="Cambria Math"/>
          </w:rPr>
          <m:t xml:space="preserve"> </m:t>
        </m:r>
      </m:oMath>
      <w:r w:rsidRPr="004E68CD">
        <w:rPr>
          <w:rFonts w:ascii="微软雅黑" w:eastAsia="微软雅黑" w:hAnsi="微软雅黑"/>
        </w:rPr>
        <w:tab/>
      </w:r>
      <w:r w:rsidRPr="004E68CD">
        <w:t>(9)</w:t>
      </w:r>
    </w:p>
    <w:p w14:paraId="11B23322" w14:textId="77777777" w:rsidR="00737EB2" w:rsidRPr="00765F6E" w:rsidRDefault="00737EB2" w:rsidP="00737EB2">
      <w:pPr>
        <w:pStyle w:val="affffffd"/>
        <w:spacing w:before="156" w:after="156"/>
      </w:pPr>
      <w:r w:rsidRPr="004E68CD">
        <w:tab/>
      </w:r>
      <m:oMath>
        <m:r>
          <m:rPr>
            <m:sty m:val="p"/>
          </m:rPr>
          <w:rPr>
            <w:rFonts w:ascii="Cambria Math" w:hAnsi="Cambria Math"/>
          </w:rPr>
          <m:t>H=</m:t>
        </m:r>
        <m:sSub>
          <m:sSubPr>
            <m:ctrlPr>
              <w:rPr>
                <w:rFonts w:ascii="Cambria Math" w:hAnsi="Cambria Math"/>
              </w:rPr>
            </m:ctrlPr>
          </m:sSubPr>
          <m:e>
            <m:r>
              <m:rPr>
                <m:sty m:val="p"/>
              </m:rPr>
              <w:rPr>
                <w:rFonts w:ascii="Cambria Math" w:hAnsi="Cambria Math"/>
              </w:rPr>
              <m:t>h</m:t>
            </m:r>
          </m:e>
          <m:sub>
            <m:r>
              <m:rPr>
                <m:sty m:val="p"/>
              </m:rPr>
              <w:rPr>
                <w:rFonts w:ascii="Cambria Math" w:hAnsi="Cambria Math"/>
                <w:vertAlign w:val="subscript"/>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h</m:t>
            </m:r>
          </m:e>
          <m:sub>
            <m:r>
              <m:rPr>
                <m:sty m:val="p"/>
              </m:rPr>
              <w:rPr>
                <w:rFonts w:ascii="Cambria Math" w:hAnsi="Cambria Math"/>
                <w:vertAlign w:val="subscript"/>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h</m:t>
            </m:r>
          </m:e>
          <m:sub>
            <m:r>
              <m:rPr>
                <m:sty m:val="p"/>
              </m:rPr>
              <w:rPr>
                <w:rFonts w:ascii="Cambria Math" w:hAnsi="Cambria Math"/>
                <w:vertAlign w:val="subscript"/>
              </w:rPr>
              <m:t>3</m:t>
            </m:r>
          </m:sub>
        </m:sSub>
      </m:oMath>
      <w:r w:rsidRPr="004E68CD">
        <w:rPr>
          <w:rFonts w:ascii="微软雅黑" w:eastAsia="微软雅黑" w:hAnsi="微软雅黑"/>
        </w:rPr>
        <w:tab/>
      </w:r>
      <w:r w:rsidRPr="004E68CD">
        <w:t>(10)</w:t>
      </w:r>
    </w:p>
    <w:p w14:paraId="7C604D47" w14:textId="77777777" w:rsidR="00737EB2" w:rsidRPr="00765F6E" w:rsidRDefault="00737EB2" w:rsidP="00444A0B">
      <w:pPr>
        <w:pStyle w:val="affffa"/>
        <w:spacing w:line="240" w:lineRule="auto"/>
        <w:ind w:firstLine="420"/>
      </w:pPr>
      <w:r w:rsidRPr="00765F6E">
        <w:rPr>
          <w:rFonts w:hint="eastAsia"/>
        </w:rPr>
        <w:t>式中：</w:t>
      </w:r>
    </w:p>
    <w:p w14:paraId="1581AA43" w14:textId="2A4F28E3" w:rsidR="00737EB2" w:rsidRDefault="00737EB2" w:rsidP="00444A0B">
      <w:pPr>
        <w:snapToGrid w:val="0"/>
        <w:spacing w:line="240" w:lineRule="auto"/>
        <w:ind w:leftChars="350" w:left="735"/>
        <w:contextualSpacing/>
        <w:jc w:val="left"/>
        <w:rPr>
          <w:rFonts w:ascii="宋体" w:hAnsi="宋体"/>
        </w:rPr>
      </w:pPr>
      <w:r w:rsidRPr="00765F6E">
        <w:rPr>
          <w:rFonts w:ascii="Cambria Math" w:hAnsi="Cambria Math" w:hint="eastAsia"/>
        </w:rPr>
        <w:lastRenderedPageBreak/>
        <w:t>B</w:t>
      </w:r>
      <w:r w:rsidRPr="00765F6E">
        <w:rPr>
          <w:rFonts w:ascii="Cambria Math" w:hAnsi="Cambria Math" w:hint="eastAsia"/>
          <w:vertAlign w:val="subscript"/>
        </w:rPr>
        <w:t>L</w:t>
      </w:r>
      <w:r w:rsidRPr="00765F6E">
        <w:rPr>
          <w:rFonts w:ascii="宋体" w:hAnsi="宋体" w:hint="eastAsia"/>
        </w:rPr>
        <w:t>——线路中心线至建筑限界左侧面的距离，单位为毫米（</w:t>
      </w:r>
      <w:r w:rsidRPr="00765F6E">
        <w:rPr>
          <w:rFonts w:ascii="宋体" w:hAnsi="宋体"/>
        </w:rPr>
        <w:t>mm</w:t>
      </w:r>
      <w:r w:rsidRPr="00765F6E">
        <w:rPr>
          <w:rFonts w:ascii="宋体" w:hAnsi="宋体" w:hint="eastAsia"/>
        </w:rPr>
        <w:t>）；</w:t>
      </w:r>
    </w:p>
    <w:p w14:paraId="4FF38130" w14:textId="77777777" w:rsidR="00BB4572" w:rsidRPr="00765F6E" w:rsidRDefault="00BB4572" w:rsidP="00BB4572">
      <w:pPr>
        <w:snapToGrid w:val="0"/>
        <w:spacing w:line="240" w:lineRule="auto"/>
        <w:ind w:leftChars="350" w:left="735"/>
        <w:contextualSpacing/>
        <w:jc w:val="left"/>
        <w:rPr>
          <w:rFonts w:ascii="宋体" w:hAnsi="宋体"/>
        </w:rPr>
      </w:pPr>
      <w:r w:rsidRPr="00765F6E">
        <w:rPr>
          <w:rFonts w:ascii="Cambria Math" w:hAnsi="Cambria Math" w:hint="eastAsia"/>
        </w:rPr>
        <w:t>X</w:t>
      </w:r>
      <w:r w:rsidRPr="00765F6E">
        <w:rPr>
          <w:rFonts w:ascii="Cambria Math" w:hAnsi="Cambria Math" w:hint="eastAsia"/>
          <w:vertAlign w:val="subscript"/>
        </w:rPr>
        <w:t>S</w:t>
      </w:r>
      <w:r w:rsidRPr="00765F6E">
        <w:rPr>
          <w:rFonts w:ascii="宋体" w:hAnsi="宋体" w:hint="eastAsia"/>
        </w:rPr>
        <w:t>——直线地段设备限界最大宽度点的横坐标值，单位为毫米（</w:t>
      </w:r>
      <w:r w:rsidRPr="00765F6E">
        <w:rPr>
          <w:rFonts w:ascii="宋体" w:hAnsi="宋体"/>
        </w:rPr>
        <w:t>mm</w:t>
      </w:r>
      <w:r w:rsidRPr="00765F6E">
        <w:rPr>
          <w:rFonts w:ascii="宋体" w:hAnsi="宋体" w:hint="eastAsia"/>
        </w:rPr>
        <w:t>）；</w:t>
      </w:r>
    </w:p>
    <w:p w14:paraId="35C60CDC" w14:textId="77777777" w:rsidR="00BB4572" w:rsidRPr="00765F6E" w:rsidRDefault="00BB4572" w:rsidP="00BB4572">
      <w:pPr>
        <w:snapToGrid w:val="0"/>
        <w:spacing w:line="240" w:lineRule="auto"/>
        <w:ind w:leftChars="350" w:left="735"/>
        <w:contextualSpacing/>
        <w:jc w:val="left"/>
        <w:rPr>
          <w:rFonts w:ascii="宋体" w:hAnsi="宋体"/>
        </w:rPr>
      </w:pPr>
      <w:proofErr w:type="spellStart"/>
      <w:r w:rsidRPr="00765F6E">
        <w:rPr>
          <w:rFonts w:ascii="Cambria Math" w:hAnsi="Cambria Math" w:hint="eastAsia"/>
        </w:rPr>
        <w:t>b</w:t>
      </w:r>
      <w:r w:rsidRPr="00765F6E">
        <w:rPr>
          <w:rFonts w:ascii="Cambria Math" w:hAnsi="Cambria Math" w:hint="eastAsia"/>
          <w:vertAlign w:val="subscript"/>
        </w:rPr>
        <w:t>L</w:t>
      </w:r>
      <w:proofErr w:type="spellEnd"/>
      <w:r w:rsidRPr="00765F6E">
        <w:rPr>
          <w:rFonts w:ascii="宋体" w:hAnsi="宋体" w:hint="eastAsia"/>
        </w:rPr>
        <w:t>——左侧设备或支架最大宽度值，单位为毫米（</w:t>
      </w:r>
      <w:r w:rsidRPr="00765F6E">
        <w:rPr>
          <w:rFonts w:ascii="宋体" w:hAnsi="宋体"/>
        </w:rPr>
        <w:t>mm</w:t>
      </w:r>
      <w:r w:rsidRPr="00765F6E">
        <w:rPr>
          <w:rFonts w:ascii="宋体" w:hAnsi="宋体" w:hint="eastAsia"/>
        </w:rPr>
        <w:t>）；</w:t>
      </w:r>
    </w:p>
    <w:p w14:paraId="4D5AF4A9" w14:textId="2506178B" w:rsidR="00BB4572" w:rsidRDefault="00BB4572" w:rsidP="00BB4572">
      <w:pPr>
        <w:snapToGrid w:val="0"/>
        <w:spacing w:line="240" w:lineRule="auto"/>
        <w:ind w:leftChars="350" w:left="735"/>
        <w:contextualSpacing/>
        <w:jc w:val="left"/>
        <w:rPr>
          <w:rFonts w:ascii="宋体" w:hAnsi="宋体"/>
        </w:rPr>
      </w:pPr>
      <w:r w:rsidRPr="00765F6E">
        <w:rPr>
          <w:rFonts w:ascii="Cambria Math" w:hAnsi="Cambria Math" w:hint="eastAsia"/>
        </w:rPr>
        <w:t xml:space="preserve">c </w:t>
      </w:r>
      <w:r w:rsidRPr="00765F6E">
        <w:rPr>
          <w:rFonts w:ascii="宋体" w:hAnsi="宋体" w:hint="eastAsia"/>
        </w:rPr>
        <w:t>——安全间隙，包含设备安装误差值、测量误差值，单位为毫米（</w:t>
      </w:r>
      <w:r w:rsidRPr="00765F6E">
        <w:rPr>
          <w:rFonts w:ascii="宋体" w:hAnsi="宋体"/>
        </w:rPr>
        <w:t>mm</w:t>
      </w:r>
      <w:r w:rsidRPr="00765F6E">
        <w:rPr>
          <w:rFonts w:ascii="宋体" w:hAnsi="宋体" w:hint="eastAsia"/>
        </w:rPr>
        <w:t>）；</w:t>
      </w:r>
    </w:p>
    <w:p w14:paraId="64D97050" w14:textId="77777777" w:rsidR="00BB4572" w:rsidRPr="00765F6E" w:rsidRDefault="00BB4572" w:rsidP="00BB4572">
      <w:pPr>
        <w:snapToGrid w:val="0"/>
        <w:spacing w:line="240" w:lineRule="auto"/>
        <w:ind w:leftChars="350" w:left="735"/>
        <w:contextualSpacing/>
        <w:jc w:val="left"/>
        <w:rPr>
          <w:rFonts w:ascii="宋体" w:hAnsi="宋体"/>
        </w:rPr>
      </w:pPr>
      <w:r w:rsidRPr="00765F6E">
        <w:rPr>
          <w:rFonts w:ascii="Cambria Math" w:hAnsi="Cambria Math" w:hint="eastAsia"/>
        </w:rPr>
        <w:t>B</w:t>
      </w:r>
      <w:r w:rsidRPr="00765F6E">
        <w:rPr>
          <w:rFonts w:ascii="Cambria Math" w:hAnsi="Cambria Math" w:hint="eastAsia"/>
          <w:vertAlign w:val="subscript"/>
        </w:rPr>
        <w:t>R</w:t>
      </w:r>
      <w:r w:rsidRPr="00765F6E">
        <w:rPr>
          <w:rFonts w:ascii="宋体" w:hAnsi="宋体" w:hint="eastAsia"/>
        </w:rPr>
        <w:t>——线路中心线至建筑限界右侧面的距离，单位为毫米（</w:t>
      </w:r>
      <w:r w:rsidRPr="00765F6E">
        <w:rPr>
          <w:rFonts w:ascii="宋体" w:hAnsi="宋体"/>
        </w:rPr>
        <w:t>mm</w:t>
      </w:r>
      <w:r w:rsidRPr="00765F6E">
        <w:rPr>
          <w:rFonts w:ascii="宋体" w:hAnsi="宋体" w:hint="eastAsia"/>
        </w:rPr>
        <w:t>）；</w:t>
      </w:r>
    </w:p>
    <w:p w14:paraId="331C66BF" w14:textId="77777777" w:rsidR="00BB4572" w:rsidRPr="00765F6E" w:rsidRDefault="00BB4572" w:rsidP="00BB4572">
      <w:pPr>
        <w:snapToGrid w:val="0"/>
        <w:spacing w:line="240" w:lineRule="auto"/>
        <w:ind w:leftChars="350" w:left="735"/>
        <w:contextualSpacing/>
        <w:jc w:val="left"/>
        <w:rPr>
          <w:rFonts w:ascii="宋体" w:hAnsi="宋体"/>
        </w:rPr>
      </w:pPr>
      <w:proofErr w:type="spellStart"/>
      <w:r w:rsidRPr="00765F6E">
        <w:rPr>
          <w:rFonts w:ascii="Cambria Math" w:hAnsi="Cambria Math" w:hint="eastAsia"/>
        </w:rPr>
        <w:t>b</w:t>
      </w:r>
      <w:r w:rsidRPr="00765F6E">
        <w:rPr>
          <w:rFonts w:ascii="Cambria Math" w:hAnsi="Cambria Math" w:hint="eastAsia"/>
          <w:vertAlign w:val="subscript"/>
        </w:rPr>
        <w:t>R</w:t>
      </w:r>
      <w:proofErr w:type="spellEnd"/>
      <w:r w:rsidRPr="00765F6E">
        <w:rPr>
          <w:rFonts w:ascii="宋体" w:hAnsi="宋体" w:hint="eastAsia"/>
        </w:rPr>
        <w:t>——右侧设备或支架最大宽度值，单位为毫米（</w:t>
      </w:r>
      <w:r w:rsidRPr="00765F6E">
        <w:rPr>
          <w:rFonts w:ascii="宋体" w:hAnsi="宋体"/>
        </w:rPr>
        <w:t>mm</w:t>
      </w:r>
      <w:r w:rsidRPr="00765F6E">
        <w:rPr>
          <w:rFonts w:ascii="宋体" w:hAnsi="宋体" w:hint="eastAsia"/>
        </w:rPr>
        <w:t>）；</w:t>
      </w:r>
    </w:p>
    <w:p w14:paraId="158B1709" w14:textId="77777777" w:rsidR="00BB4572" w:rsidRPr="00765F6E" w:rsidRDefault="00BB4572" w:rsidP="00BB4572">
      <w:pPr>
        <w:snapToGrid w:val="0"/>
        <w:spacing w:line="240" w:lineRule="auto"/>
        <w:ind w:leftChars="350" w:left="735"/>
        <w:contextualSpacing/>
        <w:jc w:val="left"/>
        <w:rPr>
          <w:rFonts w:ascii="宋体" w:hAnsi="宋体"/>
        </w:rPr>
      </w:pPr>
      <w:r w:rsidRPr="00765F6E">
        <w:rPr>
          <w:rFonts w:ascii="Cambria Math" w:hAnsi="Cambria Math" w:hint="eastAsia"/>
        </w:rPr>
        <w:t>Bs</w:t>
      </w:r>
      <w:r w:rsidRPr="00765F6E">
        <w:rPr>
          <w:rFonts w:ascii="宋体" w:hAnsi="宋体" w:hint="eastAsia"/>
        </w:rPr>
        <w:t>——矩形隧道与路基地段直线建筑限界宽度，单位为毫米（</w:t>
      </w:r>
      <w:r w:rsidRPr="00765F6E">
        <w:rPr>
          <w:rFonts w:ascii="宋体" w:hAnsi="宋体"/>
        </w:rPr>
        <w:t>mm</w:t>
      </w:r>
      <w:r w:rsidRPr="00765F6E">
        <w:rPr>
          <w:rFonts w:ascii="宋体" w:hAnsi="宋体" w:hint="eastAsia"/>
        </w:rPr>
        <w:t>）；</w:t>
      </w:r>
    </w:p>
    <w:p w14:paraId="595E2EA8" w14:textId="77777777" w:rsidR="00737EB2" w:rsidRPr="00765F6E" w:rsidRDefault="00737EB2" w:rsidP="00444A0B">
      <w:pPr>
        <w:snapToGrid w:val="0"/>
        <w:spacing w:line="240" w:lineRule="auto"/>
        <w:ind w:leftChars="350" w:left="735"/>
        <w:contextualSpacing/>
        <w:jc w:val="left"/>
        <w:rPr>
          <w:rFonts w:ascii="宋体" w:hAnsi="宋体"/>
        </w:rPr>
      </w:pPr>
      <w:r w:rsidRPr="00765F6E">
        <w:rPr>
          <w:rFonts w:ascii="Cambria Math" w:hAnsi="Cambria Math" w:hint="eastAsia"/>
        </w:rPr>
        <w:t>H</w:t>
      </w:r>
      <w:r w:rsidRPr="00765F6E">
        <w:rPr>
          <w:rFonts w:ascii="宋体" w:hAnsi="宋体" w:hint="eastAsia"/>
        </w:rPr>
        <w:t>——接触网制式建筑限界高度，单位为毫米（</w:t>
      </w:r>
      <w:r w:rsidRPr="00765F6E">
        <w:rPr>
          <w:rFonts w:ascii="宋体" w:hAnsi="宋体"/>
        </w:rPr>
        <w:t>mm</w:t>
      </w:r>
      <w:r w:rsidRPr="00765F6E">
        <w:rPr>
          <w:rFonts w:ascii="宋体" w:hAnsi="宋体" w:hint="eastAsia"/>
        </w:rPr>
        <w:t>）；</w:t>
      </w:r>
    </w:p>
    <w:p w14:paraId="0D30D4DA" w14:textId="77777777" w:rsidR="00737EB2" w:rsidRPr="00765F6E" w:rsidRDefault="00737EB2" w:rsidP="00444A0B">
      <w:pPr>
        <w:snapToGrid w:val="0"/>
        <w:spacing w:line="240" w:lineRule="auto"/>
        <w:ind w:leftChars="350" w:left="735"/>
        <w:contextualSpacing/>
        <w:jc w:val="left"/>
        <w:rPr>
          <w:rFonts w:ascii="宋体" w:hAnsi="宋体"/>
        </w:rPr>
      </w:pPr>
      <w:r w:rsidRPr="00765F6E">
        <w:rPr>
          <w:rFonts w:ascii="Cambria Math" w:hAnsi="Cambria Math" w:hint="eastAsia"/>
        </w:rPr>
        <w:t>h</w:t>
      </w:r>
      <w:r w:rsidRPr="00765F6E">
        <w:rPr>
          <w:rFonts w:ascii="Cambria Math" w:hAnsi="Cambria Math" w:hint="eastAsia"/>
          <w:vertAlign w:val="subscript"/>
        </w:rPr>
        <w:t>1</w:t>
      </w:r>
      <w:r w:rsidRPr="00765F6E">
        <w:rPr>
          <w:rFonts w:ascii="宋体" w:hAnsi="宋体" w:hint="eastAsia"/>
        </w:rPr>
        <w:t>——接触导线距轨顶面高度，单位为毫米（</w:t>
      </w:r>
      <w:r w:rsidRPr="00765F6E">
        <w:rPr>
          <w:rFonts w:ascii="宋体" w:hAnsi="宋体"/>
        </w:rPr>
        <w:t>mm</w:t>
      </w:r>
      <w:r w:rsidRPr="00765F6E">
        <w:rPr>
          <w:rFonts w:ascii="宋体" w:hAnsi="宋体" w:hint="eastAsia"/>
        </w:rPr>
        <w:t>）；</w:t>
      </w:r>
    </w:p>
    <w:p w14:paraId="25625F4D" w14:textId="77777777" w:rsidR="00737EB2" w:rsidRPr="00765F6E" w:rsidRDefault="00737EB2" w:rsidP="00444A0B">
      <w:pPr>
        <w:snapToGrid w:val="0"/>
        <w:spacing w:line="240" w:lineRule="auto"/>
        <w:ind w:leftChars="350" w:left="735"/>
        <w:contextualSpacing/>
        <w:jc w:val="left"/>
        <w:rPr>
          <w:rFonts w:ascii="宋体" w:hAnsi="宋体"/>
        </w:rPr>
      </w:pPr>
      <w:r w:rsidRPr="00765F6E">
        <w:rPr>
          <w:rFonts w:ascii="Cambria Math" w:hAnsi="Cambria Math" w:hint="eastAsia"/>
        </w:rPr>
        <w:t>h</w:t>
      </w:r>
      <w:r w:rsidRPr="00765F6E">
        <w:rPr>
          <w:rFonts w:ascii="Cambria Math" w:hAnsi="Cambria Math" w:hint="eastAsia"/>
          <w:vertAlign w:val="subscript"/>
        </w:rPr>
        <w:t>2</w:t>
      </w:r>
      <w:r w:rsidRPr="00765F6E">
        <w:rPr>
          <w:rFonts w:ascii="宋体" w:hAnsi="宋体" w:hint="eastAsia"/>
        </w:rPr>
        <w:t>—一接触网结构高度（含电气间隙），单位为毫米（</w:t>
      </w:r>
      <w:r w:rsidRPr="00765F6E">
        <w:rPr>
          <w:rFonts w:ascii="宋体" w:hAnsi="宋体"/>
        </w:rPr>
        <w:t>mm</w:t>
      </w:r>
      <w:r w:rsidRPr="00765F6E">
        <w:rPr>
          <w:rFonts w:ascii="宋体" w:hAnsi="宋体" w:hint="eastAsia"/>
        </w:rPr>
        <w:t>）；</w:t>
      </w:r>
    </w:p>
    <w:p w14:paraId="49EED7FA" w14:textId="77777777" w:rsidR="00737EB2" w:rsidRPr="00765F6E" w:rsidRDefault="00737EB2" w:rsidP="00737EB2">
      <w:pPr>
        <w:snapToGrid w:val="0"/>
        <w:spacing w:line="240" w:lineRule="auto"/>
        <w:ind w:leftChars="350" w:left="735"/>
        <w:contextualSpacing/>
        <w:jc w:val="left"/>
        <w:rPr>
          <w:rFonts w:ascii="宋体" w:hAnsi="宋体"/>
        </w:rPr>
      </w:pPr>
      <w:r w:rsidRPr="00765F6E">
        <w:rPr>
          <w:rFonts w:ascii="Cambria Math" w:hAnsi="Cambria Math" w:hint="eastAsia"/>
        </w:rPr>
        <w:t>h</w:t>
      </w:r>
      <w:r w:rsidRPr="00765F6E">
        <w:rPr>
          <w:rFonts w:ascii="Cambria Math" w:hAnsi="Cambria Math" w:hint="eastAsia"/>
          <w:vertAlign w:val="subscript"/>
        </w:rPr>
        <w:t>3</w:t>
      </w:r>
      <w:r w:rsidRPr="00765F6E">
        <w:rPr>
          <w:rFonts w:ascii="宋体" w:hAnsi="宋体" w:hint="eastAsia"/>
        </w:rPr>
        <w:t>——轨道结构高度，单位为毫米（</w:t>
      </w:r>
      <w:r w:rsidRPr="00765F6E">
        <w:rPr>
          <w:rFonts w:ascii="宋体" w:hAnsi="宋体"/>
        </w:rPr>
        <w:t>mm</w:t>
      </w:r>
      <w:r w:rsidRPr="00765F6E">
        <w:rPr>
          <w:rFonts w:ascii="宋体" w:hAnsi="宋体" w:hint="eastAsia"/>
        </w:rPr>
        <w:t>）。</w:t>
      </w:r>
    </w:p>
    <w:p w14:paraId="6AE064D7" w14:textId="5361BBF1" w:rsidR="00737EB2" w:rsidRPr="00765F6E" w:rsidRDefault="00737EB2" w:rsidP="00737EB2">
      <w:pPr>
        <w:pStyle w:val="af6"/>
        <w:tabs>
          <w:tab w:val="left" w:pos="851"/>
        </w:tabs>
        <w:snapToGrid w:val="0"/>
        <w:contextualSpacing/>
      </w:pPr>
      <w:r w:rsidRPr="00765F6E">
        <w:t>曲线地段矩形隧道与路基地段建筑限界应在曲线设备限界基础上按公式</w:t>
      </w:r>
      <w:r w:rsidRPr="00765F6E">
        <w:rPr>
          <w:rFonts w:hint="eastAsia"/>
        </w:rPr>
        <w:t>（11）～公式（14）</w:t>
      </w:r>
      <w:r w:rsidRPr="00765F6E">
        <w:t>计算</w:t>
      </w:r>
      <w:r w:rsidR="0038415A">
        <w:rPr>
          <w:rFonts w:hint="eastAsia"/>
        </w:rPr>
        <w:t>；</w:t>
      </w:r>
    </w:p>
    <w:p w14:paraId="3D896FD6" w14:textId="537D15A0" w:rsidR="00737EB2" w:rsidRPr="004E68CD" w:rsidRDefault="00737EB2" w:rsidP="00737EB2">
      <w:pPr>
        <w:pStyle w:val="affffffd"/>
        <w:spacing w:before="156" w:after="156"/>
      </w:pPr>
      <w:r w:rsidRPr="00765F6E">
        <w:tab/>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a</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X</m:t>
            </m:r>
          </m:e>
          <m:sub>
            <m:r>
              <m:rPr>
                <m:sty m:val="p"/>
              </m:rPr>
              <w:rPr>
                <w:rFonts w:ascii="Cambria Math" w:hAnsi="Cambria Math"/>
                <w:vertAlign w:val="subscript"/>
              </w:rPr>
              <m:t>ka</m:t>
            </m:r>
          </m:sub>
        </m:sSub>
        <m:r>
          <m:rPr>
            <m:sty m:val="p"/>
          </m:rPr>
          <w:rPr>
            <w:rFonts w:ascii="Cambria Math" w:hAnsi="Cambria Math"/>
            <w:vertAlign w:val="subscript"/>
          </w:rPr>
          <m:t xml:space="preserve"> </m:t>
        </m:r>
        <m:r>
          <m:rPr>
            <m:sty m:val="p"/>
          </m:rPr>
          <w:rPr>
            <w:rFonts w:ascii="Cambria Math" w:hAnsi="Cambria Math"/>
          </w:rPr>
          <m:t xml:space="preserve">cosα </m:t>
        </m:r>
        <m:r>
          <m:rPr>
            <m:sty m:val="p"/>
          </m:rPr>
          <w:rPr>
            <w:rFonts w:ascii="Cambria Math" w:eastAsia="微软雅黑" w:hAnsi="Cambria Math" w:cs="微软雅黑"/>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vertAlign w:val="subscript"/>
              </w:rPr>
              <m:t>ka</m:t>
            </m:r>
          </m:sub>
        </m:sSub>
        <m:r>
          <m:rPr>
            <m:sty m:val="p"/>
          </m:rPr>
          <w:rPr>
            <w:rFonts w:ascii="Cambria Math" w:hAnsi="Cambria Math"/>
            <w:vertAlign w:val="subscript"/>
          </w:rPr>
          <m:t xml:space="preserve"> </m:t>
        </m:r>
        <m:r>
          <m:rPr>
            <m:sty m:val="p"/>
          </m:rPr>
          <w:rPr>
            <w:rFonts w:ascii="Cambria Math" w:hAnsi="Cambria Math"/>
          </w:rPr>
          <m:t>sinα+</m:t>
        </m:r>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R</m:t>
            </m:r>
          </m:sub>
        </m:sSub>
        <m:r>
          <m:rPr>
            <m:sty m:val="p"/>
          </m:rPr>
          <w:rPr>
            <w:rFonts w:ascii="Cambria Math" w:hAnsi="Cambria Math"/>
            <w:vertAlign w:val="subscript"/>
          </w:rPr>
          <m:t xml:space="preserve"> </m:t>
        </m:r>
        <m:r>
          <m:rPr>
            <m:sty m:val="p"/>
          </m:rPr>
          <w:rPr>
            <w:rFonts w:ascii="Cambria Math" w:hAnsi="Cambria Math"/>
          </w:rPr>
          <m:t>(</m:t>
        </m:r>
        <m:r>
          <m:rPr>
            <m:sty m:val="p"/>
          </m:rPr>
          <w:rPr>
            <w:rFonts w:ascii="Cambria Math" w:hAnsi="Cambria Math" w:hint="eastAsia"/>
          </w:rPr>
          <m:t>或</m:t>
        </m:r>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L</m:t>
            </m:r>
          </m:sub>
        </m:sSub>
        <m:r>
          <m:rPr>
            <m:sty m:val="p"/>
          </m:rPr>
          <w:rPr>
            <w:rFonts w:ascii="Cambria Math" w:hAnsi="Cambria Math"/>
          </w:rPr>
          <m:t>)+c</m:t>
        </m:r>
      </m:oMath>
      <w:r w:rsidRPr="004E68CD">
        <w:rPr>
          <w:rFonts w:ascii="微软雅黑" w:eastAsia="微软雅黑" w:hAnsi="微软雅黑"/>
        </w:rPr>
        <w:tab/>
      </w:r>
      <w:r w:rsidRPr="004E68CD">
        <w:t>(11)</w:t>
      </w:r>
    </w:p>
    <w:p w14:paraId="5C943597" w14:textId="02BA1574" w:rsidR="00737EB2" w:rsidRPr="004E68CD" w:rsidRDefault="00737EB2" w:rsidP="00737EB2">
      <w:pPr>
        <w:pStyle w:val="affffffd"/>
        <w:spacing w:before="156" w:after="156"/>
      </w:pPr>
      <w:r w:rsidRPr="004E68CD">
        <w:tab/>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X</m:t>
            </m:r>
          </m:e>
          <m:sub>
            <m:r>
              <m:rPr>
                <m:sty m:val="p"/>
              </m:rPr>
              <w:rPr>
                <w:rFonts w:ascii="Cambria Math" w:hAnsi="Cambria Math"/>
                <w:vertAlign w:val="subscript"/>
              </w:rPr>
              <m:t>ki</m:t>
            </m:r>
          </m:sub>
        </m:sSub>
        <m:r>
          <m:rPr>
            <m:sty m:val="p"/>
          </m:rPr>
          <w:rPr>
            <w:rFonts w:ascii="Cambria Math" w:hAnsi="Cambria Math"/>
            <w:vertAlign w:val="subscript"/>
          </w:rPr>
          <m:t xml:space="preserve"> </m:t>
        </m:r>
        <m:r>
          <m:rPr>
            <m:sty m:val="p"/>
          </m:rPr>
          <w:rPr>
            <w:rFonts w:ascii="Cambria Math" w:hAnsi="Cambria Math"/>
          </w:rPr>
          <m:t xml:space="preserve">cosα </m:t>
        </m:r>
        <m:r>
          <m:rPr>
            <m:sty m:val="p"/>
          </m:rPr>
          <w:rPr>
            <w:rFonts w:ascii="Cambria Math" w:eastAsia="微软雅黑" w:hAnsi="Cambria Math" w:cs="微软雅黑"/>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vertAlign w:val="subscript"/>
              </w:rPr>
              <m:t>ki</m:t>
            </m:r>
          </m:sub>
        </m:sSub>
        <m:r>
          <m:rPr>
            <m:sty m:val="p"/>
          </m:rPr>
          <w:rPr>
            <w:rFonts w:ascii="Cambria Math" w:hAnsi="Cambria Math"/>
            <w:vertAlign w:val="subscript"/>
          </w:rPr>
          <m:t xml:space="preserve"> </m:t>
        </m:r>
        <m:r>
          <m:rPr>
            <m:sty m:val="p"/>
          </m:rPr>
          <w:rPr>
            <w:rFonts w:ascii="Cambria Math" w:hAnsi="Cambria Math"/>
          </w:rPr>
          <m:t>sinα+</m:t>
        </m:r>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L</m:t>
            </m:r>
          </m:sub>
        </m:sSub>
        <m:r>
          <m:rPr>
            <m:sty m:val="p"/>
          </m:rPr>
          <w:rPr>
            <w:rFonts w:ascii="Cambria Math" w:hAnsi="Cambria Math"/>
            <w:vertAlign w:val="subscript"/>
          </w:rPr>
          <m:t xml:space="preserve"> </m:t>
        </m:r>
        <m:r>
          <m:rPr>
            <m:sty m:val="p"/>
          </m:rPr>
          <w:rPr>
            <w:rFonts w:ascii="Cambria Math" w:hAnsi="Cambria Math"/>
          </w:rPr>
          <m:t>(</m:t>
        </m:r>
        <m:r>
          <m:rPr>
            <m:sty m:val="p"/>
          </m:rPr>
          <w:rPr>
            <w:rFonts w:ascii="Cambria Math" w:hAnsi="Cambria Math" w:hint="eastAsia"/>
          </w:rPr>
          <m:t>或</m:t>
        </m:r>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R</m:t>
            </m:r>
          </m:sub>
        </m:sSub>
        <m:r>
          <m:rPr>
            <m:sty m:val="p"/>
          </m:rPr>
          <w:rPr>
            <w:rFonts w:ascii="Cambria Math" w:hAnsi="Cambria Math"/>
          </w:rPr>
          <m:t>)+c</m:t>
        </m:r>
      </m:oMath>
      <w:r w:rsidRPr="004E68CD">
        <w:rPr>
          <w:rFonts w:ascii="微软雅黑" w:eastAsia="微软雅黑" w:hAnsi="微软雅黑"/>
        </w:rPr>
        <w:tab/>
      </w:r>
      <w:r w:rsidRPr="004E68CD">
        <w:t>(12)</w:t>
      </w:r>
    </w:p>
    <w:p w14:paraId="3CD8BB52" w14:textId="1D83A04C" w:rsidR="00737EB2" w:rsidRPr="004E68CD" w:rsidRDefault="00737EB2" w:rsidP="00737EB2">
      <w:pPr>
        <w:pStyle w:val="affffffd"/>
        <w:spacing w:before="156" w:after="156"/>
      </w:pPr>
      <w:r w:rsidRPr="004E68CD">
        <w:tab/>
      </w:r>
      <m:oMath>
        <m:sSub>
          <m:sSubPr>
            <m:ctrlPr>
              <w:rPr>
                <w:rFonts w:ascii="Cambria Math" w:hAnsi="Cambria Math"/>
              </w:rPr>
            </m:ctrlPr>
          </m:sSubPr>
          <m:e>
            <m:r>
              <m:rPr>
                <m:sty m:val="p"/>
              </m:rPr>
              <w:rPr>
                <w:rFonts w:ascii="Cambria Math" w:hAnsi="Cambria Math"/>
              </w:rPr>
              <m:t>B</m:t>
            </m:r>
          </m:e>
          <m:sub>
            <m:r>
              <m:rPr>
                <m:sty m:val="p"/>
              </m:rPr>
              <w:rPr>
                <w:rFonts w:ascii="Cambria Math" w:hAnsi="Cambria Math"/>
                <w:vertAlign w:val="subscript"/>
              </w:rPr>
              <m:t>u</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X</m:t>
            </m:r>
          </m:e>
          <m:sub>
            <m:r>
              <m:rPr>
                <m:sty m:val="p"/>
              </m:rPr>
              <w:rPr>
                <w:rFonts w:ascii="Cambria Math" w:hAnsi="Cambria Math"/>
                <w:vertAlign w:val="subscript"/>
              </w:rPr>
              <m:t>kh</m:t>
            </m:r>
          </m:sub>
        </m:sSub>
        <m:r>
          <m:rPr>
            <m:sty m:val="p"/>
          </m:rPr>
          <w:rPr>
            <w:rFonts w:ascii="Cambria Math" w:hAnsi="Cambria Math"/>
            <w:vertAlign w:val="subscript"/>
          </w:rPr>
          <m:t xml:space="preserve"> </m:t>
        </m:r>
        <m:r>
          <m:rPr>
            <m:sty m:val="p"/>
          </m:rPr>
          <w:rPr>
            <w:rFonts w:ascii="Cambria Math" w:hAnsi="Cambria Math"/>
          </w:rPr>
          <m:t>sin</m:t>
        </m:r>
        <w:bookmarkStart w:id="591" w:name="OLE_LINK4"/>
        <m:r>
          <m:rPr>
            <m:sty m:val="p"/>
          </m:rPr>
          <w:rPr>
            <w:rFonts w:ascii="Cambria Math" w:hAnsi="Cambria Math"/>
          </w:rPr>
          <m:t>α</m:t>
        </m:r>
        <w:bookmarkEnd w:id="591"/>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vertAlign w:val="subscript"/>
              </w:rPr>
              <m:t>kh</m:t>
            </m:r>
          </m:sub>
        </m:sSub>
        <m:r>
          <m:rPr>
            <m:sty m:val="p"/>
          </m:rPr>
          <w:rPr>
            <w:rFonts w:ascii="Cambria Math" w:hAnsi="Cambria Math"/>
            <w:vertAlign w:val="subscript"/>
          </w:rPr>
          <m:t xml:space="preserve"> </m:t>
        </m:r>
        <m:r>
          <m:rPr>
            <m:sty m:val="p"/>
          </m:rPr>
          <w:rPr>
            <w:rFonts w:ascii="Cambria Math" w:hAnsi="Cambria Math"/>
          </w:rPr>
          <m:t>cosα+</m:t>
        </m:r>
        <m:sSub>
          <m:sSubPr>
            <m:ctrlPr>
              <w:rPr>
                <w:rFonts w:ascii="Cambria Math" w:hAnsi="Cambria Math"/>
              </w:rPr>
            </m:ctrlPr>
          </m:sSubPr>
          <m:e>
            <m:r>
              <m:rPr>
                <m:sty m:val="p"/>
              </m:rPr>
              <w:rPr>
                <w:rFonts w:ascii="Cambria Math" w:hAnsi="Cambria Math"/>
              </w:rPr>
              <m:t>h</m:t>
            </m:r>
          </m:e>
          <m:sub>
            <m:r>
              <m:rPr>
                <m:sty m:val="p"/>
              </m:rPr>
              <w:rPr>
                <w:rFonts w:ascii="Cambria Math" w:hAnsi="Cambria Math"/>
                <w:vertAlign w:val="subscript"/>
              </w:rPr>
              <m:t>3</m:t>
            </m:r>
          </m:sub>
        </m:sSub>
        <m:r>
          <m:rPr>
            <m:sty m:val="p"/>
          </m:rPr>
          <w:rPr>
            <w:rFonts w:ascii="Cambria Math" w:hAnsi="Cambria Math"/>
          </w:rPr>
          <m:t>+200</m:t>
        </m:r>
      </m:oMath>
      <w:r w:rsidRPr="004E68CD">
        <w:rPr>
          <w:rFonts w:ascii="微软雅黑" w:eastAsia="微软雅黑" w:hAnsi="微软雅黑"/>
        </w:rPr>
        <w:tab/>
      </w:r>
      <w:r w:rsidRPr="004E68CD">
        <w:t>(13)</w:t>
      </w:r>
    </w:p>
    <w:p w14:paraId="61970DFB" w14:textId="5DA9331D" w:rsidR="00737EB2" w:rsidRPr="00765F6E" w:rsidRDefault="00737EB2" w:rsidP="00737EB2">
      <w:pPr>
        <w:pStyle w:val="affffffd"/>
        <w:spacing w:before="156" w:after="156"/>
      </w:pPr>
      <w:r w:rsidRPr="004E68CD">
        <w:tab/>
      </w:r>
      <m:oMath>
        <m:r>
          <m:rPr>
            <m:sty m:val="p"/>
          </m:rPr>
          <w:rPr>
            <w:rFonts w:ascii="Cambria Math" w:hAnsi="Cambria Math"/>
          </w:rPr>
          <m:t>α=arcsin(h</m:t>
        </m:r>
        <m:r>
          <m:rPr>
            <m:sty m:val="p"/>
          </m:rPr>
          <w:rPr>
            <w:rFonts w:ascii="Cambria Math" w:hAnsi="Cambria Math"/>
            <w:vertAlign w:val="subscript"/>
          </w:rPr>
          <m:t>ac</m:t>
        </m:r>
        <m:r>
          <m:rPr>
            <m:sty m:val="p"/>
          </m:rPr>
          <w:rPr>
            <w:rFonts w:ascii="Cambria Math" w:hAnsi="Cambria Math"/>
          </w:rPr>
          <m:t>/s)</m:t>
        </m:r>
      </m:oMath>
      <w:r w:rsidRPr="004E68CD">
        <w:rPr>
          <w:rFonts w:ascii="微软雅黑" w:eastAsia="微软雅黑" w:hAnsi="微软雅黑"/>
        </w:rPr>
        <w:tab/>
      </w:r>
      <w:r w:rsidRPr="004E68CD">
        <w:t>(14)</w:t>
      </w:r>
    </w:p>
    <w:p w14:paraId="7B00442D" w14:textId="77777777" w:rsidR="00737EB2" w:rsidRPr="00765F6E" w:rsidRDefault="00737EB2" w:rsidP="00444A0B">
      <w:pPr>
        <w:pStyle w:val="affffa"/>
        <w:spacing w:line="240" w:lineRule="auto"/>
        <w:ind w:firstLine="420"/>
      </w:pPr>
      <w:r w:rsidRPr="00765F6E">
        <w:rPr>
          <w:rFonts w:hint="eastAsia"/>
        </w:rPr>
        <w:t>式中：</w:t>
      </w:r>
      <w:r w:rsidRPr="00765F6E">
        <w:rPr>
          <w:rFonts w:ascii="宋体" w:hAnsi="宋体" w:hint="eastAsia"/>
        </w:rPr>
        <w:t xml:space="preserve"> </w:t>
      </w:r>
    </w:p>
    <w:p w14:paraId="56C848F8" w14:textId="77777777" w:rsidR="00BB4572" w:rsidRPr="00765F6E" w:rsidRDefault="00BB4572" w:rsidP="00BB4572">
      <w:pPr>
        <w:adjustRightInd/>
        <w:spacing w:line="240" w:lineRule="auto"/>
        <w:ind w:leftChars="350" w:left="735"/>
        <w:jc w:val="left"/>
        <w:rPr>
          <w:rFonts w:ascii="宋体" w:hAnsi="宋体"/>
        </w:rPr>
      </w:pPr>
      <w:r w:rsidRPr="00765F6E">
        <w:rPr>
          <w:rFonts w:ascii="Cambria Math" w:hAnsi="Cambria Math"/>
        </w:rPr>
        <w:t>B</w:t>
      </w:r>
      <w:r w:rsidRPr="00765F6E">
        <w:rPr>
          <w:rFonts w:ascii="Cambria Math" w:hAnsi="Cambria Math"/>
          <w:vertAlign w:val="subscript"/>
        </w:rPr>
        <w:t>a</w:t>
      </w:r>
      <w:r w:rsidRPr="00765F6E">
        <w:rPr>
          <w:rFonts w:ascii="宋体" w:hAnsi="宋体" w:hint="eastAsia"/>
        </w:rPr>
        <w:t>——建筑限界曲线外侧宽度，单位为毫米（</w:t>
      </w:r>
      <w:r w:rsidRPr="00765F6E">
        <w:rPr>
          <w:rFonts w:ascii="宋体" w:hAnsi="宋体"/>
        </w:rPr>
        <w:t>mm</w:t>
      </w:r>
      <w:r w:rsidRPr="00765F6E">
        <w:rPr>
          <w:rFonts w:ascii="宋体" w:hAnsi="宋体" w:hint="eastAsia"/>
        </w:rPr>
        <w:t>）；</w:t>
      </w:r>
    </w:p>
    <w:p w14:paraId="15BB083A" w14:textId="77777777" w:rsidR="00CA4D83" w:rsidRPr="00765F6E" w:rsidRDefault="00CA4D83" w:rsidP="00CA4D83">
      <w:pPr>
        <w:adjustRightInd/>
        <w:spacing w:line="240" w:lineRule="auto"/>
        <w:ind w:leftChars="350" w:left="735"/>
        <w:jc w:val="left"/>
        <w:rPr>
          <w:rFonts w:ascii="宋体" w:hAnsi="宋体"/>
        </w:rPr>
      </w:pPr>
      <w:proofErr w:type="spellStart"/>
      <w:r w:rsidRPr="00765F6E">
        <w:rPr>
          <w:rFonts w:ascii="Cambria Math" w:hAnsi="Cambria Math" w:hint="eastAsia"/>
        </w:rPr>
        <w:t>X</w:t>
      </w:r>
      <w:r w:rsidRPr="00765F6E">
        <w:rPr>
          <w:rFonts w:ascii="Cambria Math" w:hAnsi="Cambria Math" w:hint="eastAsia"/>
          <w:vertAlign w:val="subscript"/>
        </w:rPr>
        <w:t>ka</w:t>
      </w:r>
      <w:proofErr w:type="spellEnd"/>
      <w:r w:rsidRPr="00765F6E">
        <w:rPr>
          <w:rFonts w:ascii="宋体" w:hAnsi="宋体" w:hint="eastAsia"/>
        </w:rPr>
        <w:t>——超高倾斜前曲线地段设备限界曲线外侧控制点的横坐标值，单位为毫米（</w:t>
      </w:r>
      <w:r w:rsidRPr="00765F6E">
        <w:rPr>
          <w:rFonts w:ascii="宋体" w:hAnsi="宋体"/>
        </w:rPr>
        <w:t>mm</w:t>
      </w:r>
      <w:r w:rsidRPr="00765F6E">
        <w:rPr>
          <w:rFonts w:ascii="宋体" w:hAnsi="宋体" w:hint="eastAsia"/>
        </w:rPr>
        <w:t>）；</w:t>
      </w:r>
    </w:p>
    <w:p w14:paraId="0186117B" w14:textId="77777777" w:rsidR="00CA4D83" w:rsidRPr="00765F6E" w:rsidRDefault="00CA4D83" w:rsidP="00CA4D83">
      <w:pPr>
        <w:adjustRightInd/>
        <w:spacing w:line="240" w:lineRule="auto"/>
        <w:ind w:leftChars="350" w:left="735"/>
        <w:jc w:val="left"/>
        <w:rPr>
          <w:rFonts w:ascii="宋体" w:hAnsi="宋体"/>
        </w:rPr>
      </w:pPr>
      <w:proofErr w:type="spellStart"/>
      <w:r w:rsidRPr="00765F6E">
        <w:rPr>
          <w:rFonts w:ascii="Cambria Math" w:hAnsi="Cambria Math" w:hint="eastAsia"/>
        </w:rPr>
        <w:t>Y</w:t>
      </w:r>
      <w:r w:rsidRPr="00765F6E">
        <w:rPr>
          <w:rFonts w:ascii="Cambria Math" w:hAnsi="Cambria Math" w:hint="eastAsia"/>
          <w:vertAlign w:val="subscript"/>
        </w:rPr>
        <w:t>ka</w:t>
      </w:r>
      <w:proofErr w:type="spellEnd"/>
      <w:r w:rsidRPr="00765F6E">
        <w:rPr>
          <w:rFonts w:ascii="宋体" w:hAnsi="宋体" w:hint="eastAsia"/>
        </w:rPr>
        <w:t>——超高倾斜前曲线地段设备限界曲线外侧控制点的纵坐标值，单位为毫米（</w:t>
      </w:r>
      <w:r w:rsidRPr="00765F6E">
        <w:rPr>
          <w:rFonts w:ascii="宋体" w:hAnsi="宋体"/>
        </w:rPr>
        <w:t>mm</w:t>
      </w:r>
      <w:r w:rsidRPr="00765F6E">
        <w:rPr>
          <w:rFonts w:ascii="宋体" w:hAnsi="宋体" w:hint="eastAsia"/>
        </w:rPr>
        <w:t>）；</w:t>
      </w:r>
    </w:p>
    <w:p w14:paraId="0EFFB7BE" w14:textId="77777777" w:rsidR="00CA4D83" w:rsidRPr="00765F6E" w:rsidRDefault="00CA4D83" w:rsidP="00CA4D83">
      <w:pPr>
        <w:adjustRightInd/>
        <w:spacing w:line="240" w:lineRule="auto"/>
        <w:ind w:leftChars="350" w:left="735"/>
        <w:jc w:val="left"/>
        <w:rPr>
          <w:rFonts w:ascii="宋体" w:hAnsi="宋体"/>
        </w:rPr>
      </w:pPr>
      <w:r w:rsidRPr="00765F6E">
        <w:rPr>
          <w:rFonts w:ascii="宋体" w:hAnsi="宋体" w:hint="eastAsia"/>
        </w:rPr>
        <w:t>B</w:t>
      </w:r>
      <w:r w:rsidRPr="00765F6E">
        <w:rPr>
          <w:rFonts w:ascii="宋体" w:hAnsi="宋体" w:hint="eastAsia"/>
          <w:vertAlign w:val="subscript"/>
        </w:rPr>
        <w:t>i</w:t>
      </w:r>
      <w:r w:rsidRPr="00765F6E">
        <w:rPr>
          <w:rFonts w:ascii="宋体" w:hAnsi="宋体" w:hint="eastAsia"/>
        </w:rPr>
        <w:t>——建筑限界曲线内侧宽度，单位为毫米（</w:t>
      </w:r>
      <w:r w:rsidRPr="00765F6E">
        <w:rPr>
          <w:rFonts w:ascii="宋体" w:hAnsi="宋体"/>
        </w:rPr>
        <w:t>mm</w:t>
      </w:r>
      <w:r w:rsidRPr="00765F6E">
        <w:rPr>
          <w:rFonts w:ascii="宋体" w:hAnsi="宋体" w:hint="eastAsia"/>
        </w:rPr>
        <w:t>）；</w:t>
      </w:r>
    </w:p>
    <w:p w14:paraId="784F3F0C" w14:textId="77777777" w:rsidR="00CA4D83" w:rsidRPr="00765F6E" w:rsidRDefault="00CA4D83" w:rsidP="00CA4D83">
      <w:pPr>
        <w:adjustRightInd/>
        <w:spacing w:line="240" w:lineRule="auto"/>
        <w:ind w:leftChars="350" w:left="735"/>
        <w:jc w:val="left"/>
        <w:rPr>
          <w:rFonts w:ascii="宋体" w:hAnsi="宋体"/>
        </w:rPr>
      </w:pPr>
      <w:proofErr w:type="spellStart"/>
      <w:r w:rsidRPr="00765F6E">
        <w:rPr>
          <w:rFonts w:ascii="Cambria Math" w:hAnsi="Cambria Math" w:hint="eastAsia"/>
        </w:rPr>
        <w:t>X</w:t>
      </w:r>
      <w:r w:rsidRPr="00765F6E">
        <w:rPr>
          <w:rFonts w:ascii="Cambria Math" w:hAnsi="Cambria Math" w:hint="eastAsia"/>
          <w:vertAlign w:val="subscript"/>
        </w:rPr>
        <w:t>ki</w:t>
      </w:r>
      <w:proofErr w:type="spellEnd"/>
      <w:r w:rsidRPr="00765F6E">
        <w:rPr>
          <w:rFonts w:ascii="宋体" w:hAnsi="宋体" w:hint="eastAsia"/>
        </w:rPr>
        <w:t>——超高倾斜前曲线地段设备限界曲线内侧控制点的横坐标值，单位为毫米（</w:t>
      </w:r>
      <w:r w:rsidRPr="00765F6E">
        <w:rPr>
          <w:rFonts w:ascii="宋体" w:hAnsi="宋体"/>
        </w:rPr>
        <w:t>mm</w:t>
      </w:r>
      <w:r w:rsidRPr="00765F6E">
        <w:rPr>
          <w:rFonts w:ascii="宋体" w:hAnsi="宋体" w:hint="eastAsia"/>
        </w:rPr>
        <w:t>）；</w:t>
      </w:r>
    </w:p>
    <w:p w14:paraId="14785025" w14:textId="77777777" w:rsidR="00CA4D83" w:rsidRPr="00765F6E" w:rsidRDefault="00CA4D83" w:rsidP="00CA4D83">
      <w:pPr>
        <w:adjustRightInd/>
        <w:spacing w:line="240" w:lineRule="auto"/>
        <w:ind w:leftChars="350" w:left="735"/>
        <w:jc w:val="left"/>
        <w:rPr>
          <w:rFonts w:ascii="宋体" w:hAnsi="宋体"/>
        </w:rPr>
      </w:pPr>
      <w:proofErr w:type="spellStart"/>
      <w:r w:rsidRPr="00765F6E">
        <w:rPr>
          <w:rFonts w:ascii="Cambria Math" w:hAnsi="Cambria Math" w:hint="eastAsia"/>
        </w:rPr>
        <w:t>Y</w:t>
      </w:r>
      <w:r w:rsidRPr="00765F6E">
        <w:rPr>
          <w:rFonts w:ascii="Cambria Math" w:hAnsi="Cambria Math" w:hint="eastAsia"/>
          <w:vertAlign w:val="subscript"/>
        </w:rPr>
        <w:t>ki</w:t>
      </w:r>
      <w:proofErr w:type="spellEnd"/>
      <w:r w:rsidRPr="00765F6E">
        <w:rPr>
          <w:rFonts w:ascii="宋体" w:hAnsi="宋体" w:hint="eastAsia"/>
        </w:rPr>
        <w:t>——超高倾斜前曲线地段设备限界曲线内侧控制点的纵坐标值，单位为毫米（</w:t>
      </w:r>
      <w:r w:rsidRPr="00765F6E">
        <w:rPr>
          <w:rFonts w:ascii="宋体" w:hAnsi="宋体"/>
        </w:rPr>
        <w:t>mm</w:t>
      </w:r>
      <w:r w:rsidRPr="00765F6E">
        <w:rPr>
          <w:rFonts w:ascii="宋体" w:hAnsi="宋体" w:hint="eastAsia"/>
        </w:rPr>
        <w:t>）；</w:t>
      </w:r>
    </w:p>
    <w:p w14:paraId="05A28847" w14:textId="77777777" w:rsidR="00CA4D83" w:rsidRPr="00765F6E" w:rsidRDefault="00CA4D83" w:rsidP="00CA4D83">
      <w:pPr>
        <w:adjustRightInd/>
        <w:spacing w:line="240" w:lineRule="auto"/>
        <w:ind w:leftChars="350" w:left="735"/>
        <w:jc w:val="left"/>
        <w:rPr>
          <w:rFonts w:ascii="宋体" w:hAnsi="宋体"/>
        </w:rPr>
      </w:pPr>
      <w:r w:rsidRPr="00765F6E">
        <w:rPr>
          <w:rFonts w:ascii="Cambria Math" w:hAnsi="Cambria Math" w:hint="eastAsia"/>
        </w:rPr>
        <w:t>B</w:t>
      </w:r>
      <w:r w:rsidRPr="00765F6E">
        <w:rPr>
          <w:rFonts w:ascii="Cambria Math" w:hAnsi="Cambria Math" w:hint="eastAsia"/>
          <w:vertAlign w:val="subscript"/>
        </w:rPr>
        <w:t>u</w:t>
      </w:r>
      <w:r w:rsidRPr="00765F6E">
        <w:rPr>
          <w:rFonts w:ascii="宋体" w:hAnsi="宋体" w:hint="eastAsia"/>
        </w:rPr>
        <w:t>——曲线地段矩形隧道与路基地段建筑限界高，单位为毫米（</w:t>
      </w:r>
      <w:r w:rsidRPr="00765F6E">
        <w:rPr>
          <w:rFonts w:ascii="宋体" w:hAnsi="宋体"/>
        </w:rPr>
        <w:t>mm</w:t>
      </w:r>
      <w:r w:rsidRPr="00765F6E">
        <w:rPr>
          <w:rFonts w:ascii="宋体" w:hAnsi="宋体" w:hint="eastAsia"/>
        </w:rPr>
        <w:t>）；</w:t>
      </w:r>
    </w:p>
    <w:p w14:paraId="4CD1081E" w14:textId="77777777" w:rsidR="00CA4D83" w:rsidRPr="00765F6E" w:rsidRDefault="00CA4D83" w:rsidP="00CA4D83">
      <w:pPr>
        <w:adjustRightInd/>
        <w:spacing w:line="240" w:lineRule="auto"/>
        <w:ind w:leftChars="350" w:left="735"/>
        <w:jc w:val="left"/>
        <w:rPr>
          <w:rFonts w:ascii="宋体" w:hAnsi="宋体"/>
        </w:rPr>
      </w:pPr>
      <w:proofErr w:type="spellStart"/>
      <w:r w:rsidRPr="00765F6E">
        <w:rPr>
          <w:rFonts w:ascii="Cambria Math" w:hAnsi="Cambria Math" w:hint="eastAsia"/>
        </w:rPr>
        <w:t>X</w:t>
      </w:r>
      <w:r w:rsidRPr="00765F6E">
        <w:rPr>
          <w:rFonts w:ascii="Cambria Math" w:hAnsi="Cambria Math" w:hint="eastAsia"/>
          <w:vertAlign w:val="subscript"/>
        </w:rPr>
        <w:t>kh</w:t>
      </w:r>
      <w:proofErr w:type="spellEnd"/>
      <w:r w:rsidRPr="00765F6E">
        <w:rPr>
          <w:rFonts w:ascii="宋体" w:hAnsi="宋体" w:hint="eastAsia"/>
        </w:rPr>
        <w:t>——超高倾斜前曲线地段设备限界最大高度点的横坐标值，单位为毫米（</w:t>
      </w:r>
      <w:r w:rsidRPr="00765F6E">
        <w:rPr>
          <w:rFonts w:ascii="宋体" w:hAnsi="宋体"/>
        </w:rPr>
        <w:t>mm</w:t>
      </w:r>
      <w:r w:rsidRPr="00765F6E">
        <w:rPr>
          <w:rFonts w:ascii="宋体" w:hAnsi="宋体" w:hint="eastAsia"/>
        </w:rPr>
        <w:t>）；</w:t>
      </w:r>
    </w:p>
    <w:p w14:paraId="0A313FFE" w14:textId="1B04F6D6" w:rsidR="00CA4D83" w:rsidRPr="00765F6E" w:rsidRDefault="00CA4D83" w:rsidP="00CA4D83">
      <w:pPr>
        <w:adjustRightInd/>
        <w:spacing w:line="240" w:lineRule="auto"/>
        <w:ind w:leftChars="350" w:left="735"/>
        <w:jc w:val="left"/>
        <w:rPr>
          <w:rFonts w:ascii="宋体" w:hAnsi="宋体"/>
        </w:rPr>
      </w:pPr>
      <w:proofErr w:type="spellStart"/>
      <w:r w:rsidRPr="00765F6E">
        <w:rPr>
          <w:rFonts w:ascii="Cambria Math" w:hAnsi="Cambria Math" w:hint="eastAsia"/>
        </w:rPr>
        <w:t>Y</w:t>
      </w:r>
      <w:r w:rsidRPr="00765F6E">
        <w:rPr>
          <w:rFonts w:ascii="Cambria Math" w:hAnsi="Cambria Math" w:hint="eastAsia"/>
          <w:vertAlign w:val="subscript"/>
        </w:rPr>
        <w:t>kh</w:t>
      </w:r>
      <w:proofErr w:type="spellEnd"/>
      <w:r w:rsidRPr="00765F6E">
        <w:rPr>
          <w:rFonts w:ascii="宋体" w:hAnsi="宋体" w:hint="eastAsia"/>
        </w:rPr>
        <w:t>——超高倾斜前曲线地段设备限界最大高度点的纵坐标值，单位为毫米（</w:t>
      </w:r>
      <w:r w:rsidRPr="00765F6E">
        <w:rPr>
          <w:rFonts w:ascii="宋体" w:hAnsi="宋体"/>
        </w:rPr>
        <w:t>mm</w:t>
      </w:r>
      <w:r w:rsidRPr="00765F6E">
        <w:rPr>
          <w:rFonts w:ascii="宋体" w:hAnsi="宋体" w:hint="eastAsia"/>
        </w:rPr>
        <w:t>）</w:t>
      </w:r>
      <w:r>
        <w:rPr>
          <w:rFonts w:ascii="宋体" w:hAnsi="宋体" w:hint="eastAsia"/>
        </w:rPr>
        <w:t>；</w:t>
      </w:r>
    </w:p>
    <w:p w14:paraId="54446510" w14:textId="3F1ABF85" w:rsidR="00737EB2" w:rsidRPr="00765F6E" w:rsidRDefault="00222DA8" w:rsidP="00444A0B">
      <w:pPr>
        <w:adjustRightInd/>
        <w:spacing w:line="240" w:lineRule="auto"/>
        <w:ind w:leftChars="350" w:left="735"/>
        <w:jc w:val="left"/>
        <w:rPr>
          <w:rFonts w:ascii="宋体" w:hAnsi="宋体"/>
        </w:rPr>
      </w:pPr>
      <m:oMath>
        <m:r>
          <m:rPr>
            <m:sty m:val="p"/>
          </m:rPr>
          <w:rPr>
            <w:rFonts w:ascii="Cambria Math" w:hAnsi="Cambria Math"/>
          </w:rPr>
          <m:t>α</m:t>
        </m:r>
      </m:oMath>
      <w:r w:rsidR="00737EB2" w:rsidRPr="00765F6E">
        <w:rPr>
          <w:rFonts w:ascii="宋体" w:hAnsi="宋体" w:hint="eastAsia"/>
        </w:rPr>
        <w:t>——</w:t>
      </w:r>
      <w:bookmarkStart w:id="592" w:name="_Hlk170917964"/>
      <w:r w:rsidR="00737EB2" w:rsidRPr="00765F6E">
        <w:rPr>
          <w:rFonts w:ascii="宋体" w:hAnsi="宋体" w:hint="eastAsia"/>
        </w:rPr>
        <w:t>轨道超高角，单位为度（°）；</w:t>
      </w:r>
      <w:bookmarkEnd w:id="592"/>
    </w:p>
    <w:p w14:paraId="5EE5F43F" w14:textId="77777777" w:rsidR="00737EB2" w:rsidRPr="00765F6E" w:rsidRDefault="00737EB2" w:rsidP="00444A0B">
      <w:pPr>
        <w:adjustRightInd/>
        <w:spacing w:line="240" w:lineRule="auto"/>
        <w:ind w:leftChars="350" w:left="735"/>
        <w:jc w:val="left"/>
        <w:rPr>
          <w:rFonts w:ascii="宋体" w:hAnsi="宋体"/>
        </w:rPr>
      </w:pPr>
      <w:r w:rsidRPr="00765F6E">
        <w:rPr>
          <w:rFonts w:ascii="宋体" w:hAnsi="宋体" w:hint="eastAsia"/>
        </w:rPr>
        <w:t>h</w:t>
      </w:r>
      <w:r w:rsidRPr="00765F6E">
        <w:rPr>
          <w:rFonts w:ascii="宋体" w:hAnsi="宋体" w:hint="eastAsia"/>
          <w:vertAlign w:val="subscript"/>
        </w:rPr>
        <w:t>ac</w:t>
      </w:r>
      <w:r w:rsidRPr="00765F6E">
        <w:rPr>
          <w:rFonts w:ascii="宋体" w:hAnsi="宋体" w:hint="eastAsia"/>
        </w:rPr>
        <w:t>——圆曲线段轨道超高值，单位为毫米（</w:t>
      </w:r>
      <w:r w:rsidRPr="00765F6E">
        <w:rPr>
          <w:rFonts w:ascii="宋体" w:hAnsi="宋体"/>
        </w:rPr>
        <w:t>mm</w:t>
      </w:r>
      <w:r w:rsidRPr="00765F6E">
        <w:rPr>
          <w:rFonts w:ascii="宋体" w:hAnsi="宋体" w:hint="eastAsia"/>
        </w:rPr>
        <w:t>）；</w:t>
      </w:r>
    </w:p>
    <w:p w14:paraId="36D80222" w14:textId="3641AF98" w:rsidR="00737EB2" w:rsidRPr="00765F6E" w:rsidRDefault="00737EB2" w:rsidP="00444A0B">
      <w:pPr>
        <w:adjustRightInd/>
        <w:spacing w:line="240" w:lineRule="auto"/>
        <w:ind w:leftChars="350" w:left="735"/>
        <w:jc w:val="left"/>
        <w:rPr>
          <w:rFonts w:ascii="宋体" w:hAnsi="宋体"/>
        </w:rPr>
      </w:pPr>
      <w:r w:rsidRPr="00765F6E">
        <w:rPr>
          <w:rFonts w:ascii="宋体" w:hAnsi="宋体" w:hint="eastAsia"/>
        </w:rPr>
        <w:t>s——滚动圆间距，单位为毫米（</w:t>
      </w:r>
      <w:r w:rsidRPr="00765F6E">
        <w:rPr>
          <w:rFonts w:ascii="宋体" w:hAnsi="宋体"/>
        </w:rPr>
        <w:t>mm</w:t>
      </w:r>
      <w:r w:rsidRPr="00765F6E">
        <w:rPr>
          <w:rFonts w:ascii="宋体" w:hAnsi="宋体" w:hint="eastAsia"/>
        </w:rPr>
        <w:t>）</w:t>
      </w:r>
      <w:r w:rsidR="00CA4D83">
        <w:rPr>
          <w:rFonts w:ascii="宋体" w:hAnsi="宋体" w:hint="eastAsia"/>
        </w:rPr>
        <w:t>。</w:t>
      </w:r>
    </w:p>
    <w:p w14:paraId="479CB5AD" w14:textId="77777777" w:rsidR="00737EB2" w:rsidRPr="00765F6E" w:rsidRDefault="00737EB2" w:rsidP="00737EB2">
      <w:pPr>
        <w:pStyle w:val="af6"/>
        <w:tabs>
          <w:tab w:val="left" w:pos="851"/>
        </w:tabs>
        <w:snapToGrid w:val="0"/>
        <w:contextualSpacing/>
      </w:pPr>
      <w:r w:rsidRPr="00765F6E">
        <w:rPr>
          <w:rFonts w:hint="eastAsia"/>
        </w:rPr>
        <w:t>全线矩形隧道轨顶面以上建筑限界高度宜采用曲线地段最大高度。</w:t>
      </w:r>
    </w:p>
    <w:p w14:paraId="61F28A3C" w14:textId="77777777" w:rsidR="00737EB2" w:rsidRPr="00765F6E" w:rsidRDefault="00737EB2" w:rsidP="009D0776">
      <w:pPr>
        <w:pStyle w:val="22"/>
      </w:pPr>
      <w:bookmarkStart w:id="593" w:name="_Toc99791618"/>
      <w:bookmarkStart w:id="594" w:name="_Toc153291050"/>
      <w:r w:rsidRPr="00765F6E">
        <w:rPr>
          <w:rFonts w:hint="eastAsia"/>
        </w:rPr>
        <w:t>建筑限界与设备限界之间无管线时，最小间距不应小于200mm，困难地段不应小于100mm。轨旁设备与设备限界之间安全间隙不应小于50mm。</w:t>
      </w:r>
      <w:bookmarkEnd w:id="593"/>
      <w:bookmarkEnd w:id="594"/>
    </w:p>
    <w:p w14:paraId="30ADF837" w14:textId="77777777" w:rsidR="00737EB2" w:rsidRPr="00765F6E" w:rsidRDefault="00737EB2" w:rsidP="009D0776">
      <w:pPr>
        <w:pStyle w:val="22"/>
      </w:pPr>
      <w:bookmarkStart w:id="595" w:name="_Toc99791619"/>
      <w:bookmarkStart w:id="596" w:name="_Toc153291051"/>
      <w:r w:rsidRPr="00765F6E">
        <w:rPr>
          <w:rFonts w:hint="eastAsia"/>
        </w:rPr>
        <w:t>单线圆形隧道，马蹄形隧道建筑限界应根据全线或工程单元区间平面曲线最小半径和最大轨道超高及空气动力学影响确定。</w:t>
      </w:r>
      <w:bookmarkEnd w:id="595"/>
      <w:bookmarkEnd w:id="596"/>
    </w:p>
    <w:p w14:paraId="1D181659" w14:textId="2F55582D" w:rsidR="00737EB2" w:rsidRPr="00765F6E" w:rsidRDefault="00737EB2" w:rsidP="009D0776">
      <w:pPr>
        <w:pStyle w:val="22"/>
      </w:pPr>
      <w:bookmarkStart w:id="597" w:name="_Toc99791620"/>
      <w:bookmarkStart w:id="598" w:name="_Toc153291052"/>
      <w:r w:rsidRPr="00765F6E">
        <w:rPr>
          <w:rFonts w:hint="eastAsia"/>
        </w:rPr>
        <w:t>单线圆形隧道、马蹄形隧道在曲线超高地段，轨道超高造成的内外侧不均匀位移量应采用隧道中心线向线路中心线内侧偏移方法确定。马蹄形隧道</w:t>
      </w:r>
      <w:r w:rsidR="00B8086D" w:rsidRPr="00765F6E">
        <w:rPr>
          <w:rFonts w:ascii="Cambria Math" w:hAnsi="Cambria Math"/>
        </w:rPr>
        <w:t>h</w:t>
      </w:r>
      <w:r w:rsidR="00B8086D" w:rsidRPr="00765F6E">
        <w:rPr>
          <w:rFonts w:ascii="Cambria Math" w:hAnsi="Cambria Math"/>
          <w:vertAlign w:val="subscript"/>
        </w:rPr>
        <w:t>0</w:t>
      </w:r>
      <w:r w:rsidRPr="00765F6E">
        <w:rPr>
          <w:rFonts w:hint="eastAsia"/>
        </w:rPr>
        <w:t>值与邻近圆形隧道应保持一致，位移量计算应符合下列规定</w:t>
      </w:r>
      <w:bookmarkEnd w:id="597"/>
      <w:bookmarkEnd w:id="598"/>
      <w:r w:rsidRPr="00765F6E">
        <w:rPr>
          <w:rFonts w:hint="eastAsia"/>
        </w:rPr>
        <w:t>；</w:t>
      </w:r>
    </w:p>
    <w:p w14:paraId="401E08EF" w14:textId="77777777" w:rsidR="00737EB2" w:rsidRPr="00765F6E" w:rsidRDefault="00737EB2" w:rsidP="003334F3">
      <w:pPr>
        <w:pStyle w:val="af6"/>
        <w:numPr>
          <w:ilvl w:val="0"/>
          <w:numId w:val="47"/>
        </w:numPr>
        <w:tabs>
          <w:tab w:val="left" w:pos="851"/>
        </w:tabs>
        <w:snapToGrid w:val="0"/>
        <w:contextualSpacing/>
      </w:pPr>
      <w:r w:rsidRPr="00765F6E">
        <w:t>当按半超高设置时，位移量应按公式</w:t>
      </w:r>
      <w:r w:rsidRPr="00765F6E">
        <w:rPr>
          <w:rFonts w:hint="eastAsia"/>
        </w:rPr>
        <w:t>（15）、</w:t>
      </w:r>
      <w:r>
        <w:rPr>
          <w:rFonts w:hint="eastAsia"/>
        </w:rPr>
        <w:t>公式</w:t>
      </w:r>
      <w:r w:rsidRPr="00765F6E">
        <w:rPr>
          <w:rFonts w:hint="eastAsia"/>
        </w:rPr>
        <w:t>（16）</w:t>
      </w:r>
      <w:r w:rsidRPr="00765F6E">
        <w:t>计算</w:t>
      </w:r>
      <w:r w:rsidRPr="00765F6E">
        <w:rPr>
          <w:rFonts w:hint="eastAsia"/>
        </w:rPr>
        <w:t>；</w:t>
      </w:r>
    </w:p>
    <w:p w14:paraId="5B497FEE" w14:textId="77777777" w:rsidR="00737EB2" w:rsidRPr="004E68CD" w:rsidRDefault="00737EB2" w:rsidP="00737EB2">
      <w:pPr>
        <w:pStyle w:val="affffffd"/>
        <w:spacing w:before="156" w:after="156"/>
      </w:pPr>
      <w:r w:rsidRPr="00765F6E">
        <w:tab/>
      </w:r>
      <m:oMath>
        <m:r>
          <m:rPr>
            <m:sty m:val="p"/>
          </m:rPr>
          <w:rPr>
            <w:rFonts w:ascii="Cambria Math" w:hAnsi="Cambria Math"/>
          </w:rPr>
          <m:t xml:space="preserve"> x</m:t>
        </m:r>
        <m:r>
          <m:rPr>
            <m:sty m:val="p"/>
          </m:rPr>
          <w:rPr>
            <w:rFonts w:ascii="Cambria Math" w:hAnsi="Cambria Math"/>
            <w:vertAlign w:val="superscript"/>
          </w:rPr>
          <m:t>’</m:t>
        </m:r>
        <m:r>
          <m:rPr>
            <m:sty m:val="p"/>
          </m:rPr>
          <w:rPr>
            <w:rFonts w:ascii="Cambria Math" w:hAnsi="Cambria Math"/>
          </w:rPr>
          <m:t>=</m:t>
        </m:r>
        <m:sSub>
          <m:sSubPr>
            <m:ctrlPr>
              <w:rPr>
                <w:rFonts w:ascii="Cambria Math" w:hAnsi="Cambria Math"/>
              </w:rPr>
            </m:ctrlPr>
          </m:sSubPr>
          <m:e>
            <m:r>
              <m:rPr>
                <m:sty m:val="p"/>
              </m:rPr>
              <w:rPr>
                <w:rFonts w:ascii="Cambria Math" w:hAnsi="Cambria Math"/>
              </w:rPr>
              <m:t>h</m:t>
            </m:r>
          </m:e>
          <m:sub>
            <m:r>
              <m:rPr>
                <m:sty m:val="p"/>
              </m:rPr>
              <w:rPr>
                <w:rFonts w:ascii="Cambria Math" w:hAnsi="Cambria Math"/>
                <w:vertAlign w:val="subscript"/>
              </w:rPr>
              <m:t>0</m:t>
            </m:r>
          </m:sub>
        </m:sSub>
        <m:r>
          <m:rPr>
            <m:sty m:val="p"/>
          </m:rPr>
          <w:rPr>
            <w:rFonts w:ascii="Cambria Math" w:hAnsi="Cambria Math"/>
            <w:vertAlign w:val="subscript"/>
          </w:rPr>
          <m:t xml:space="preserve"> </m:t>
        </m:r>
        <m:r>
          <m:rPr>
            <m:sty m:val="p"/>
          </m:rPr>
          <w:rPr>
            <w:rFonts w:ascii="Cambria Math" w:hAnsi="Cambria Math"/>
          </w:rPr>
          <m:t>(</m:t>
        </m:r>
        <m:sSub>
          <m:sSubPr>
            <m:ctrlPr>
              <w:rPr>
                <w:rFonts w:ascii="Cambria Math" w:hAnsi="Cambria Math"/>
              </w:rPr>
            </m:ctrlPr>
          </m:sSubPr>
          <m:e>
            <m:r>
              <m:rPr>
                <m:sty m:val="p"/>
              </m:rPr>
              <w:rPr>
                <w:rFonts w:ascii="Cambria Math" w:hAnsi="Cambria Math"/>
              </w:rPr>
              <m:t>h</m:t>
            </m:r>
          </m:e>
          <m:sub>
            <m:r>
              <m:rPr>
                <m:sty m:val="p"/>
              </m:rPr>
              <w:rPr>
                <w:rFonts w:ascii="Cambria Math" w:hAnsi="Cambria Math"/>
                <w:vertAlign w:val="subscript"/>
              </w:rPr>
              <m:t>ac</m:t>
            </m:r>
          </m:sub>
        </m:sSub>
        <m:r>
          <m:rPr>
            <m:sty m:val="p"/>
          </m:rPr>
          <w:rPr>
            <w:rFonts w:ascii="Cambria Math" w:hAnsi="Cambria Math"/>
          </w:rPr>
          <m:t>/s)</m:t>
        </m:r>
      </m:oMath>
      <w:r w:rsidRPr="004E68CD">
        <w:rPr>
          <w:rFonts w:ascii="微软雅黑" w:eastAsia="微软雅黑" w:hAnsi="微软雅黑"/>
        </w:rPr>
        <w:tab/>
      </w:r>
      <w:r w:rsidRPr="004E68CD">
        <w:t xml:space="preserve">(15) </w:t>
      </w:r>
    </w:p>
    <w:p w14:paraId="2DBDB5C3" w14:textId="00321EF2" w:rsidR="00737EB2" w:rsidRPr="00765F6E" w:rsidRDefault="00737EB2" w:rsidP="00737EB2">
      <w:pPr>
        <w:pStyle w:val="affffffd"/>
        <w:spacing w:before="156" w:after="156"/>
      </w:pPr>
      <w:r w:rsidRPr="004E68CD">
        <w:tab/>
      </w:r>
      <m:oMath>
        <m:r>
          <m:rPr>
            <m:sty m:val="p"/>
          </m:rPr>
          <w:rPr>
            <w:rFonts w:ascii="Cambria Math" w:hAnsi="Cambria Math"/>
          </w:rPr>
          <m:t xml:space="preserve"> y’=-</m:t>
        </m:r>
        <m:sSub>
          <m:sSubPr>
            <m:ctrlPr>
              <w:rPr>
                <w:rFonts w:ascii="Cambria Math" w:hAnsi="Cambria Math"/>
              </w:rPr>
            </m:ctrlPr>
          </m:sSubPr>
          <m:e>
            <m:r>
              <m:rPr>
                <m:sty m:val="p"/>
              </m:rPr>
              <w:rPr>
                <w:rFonts w:ascii="Cambria Math" w:hAnsi="Cambria Math"/>
              </w:rPr>
              <m:t>h</m:t>
            </m:r>
          </m:e>
          <m:sub>
            <m:r>
              <m:rPr>
                <m:sty m:val="p"/>
              </m:rPr>
              <w:rPr>
                <w:rFonts w:ascii="Cambria Math" w:hAnsi="Cambria Math"/>
                <w:vertAlign w:val="subscript"/>
              </w:rPr>
              <m:t>0</m:t>
            </m:r>
          </m:sub>
        </m:sSub>
        <m:r>
          <m:rPr>
            <m:sty m:val="p"/>
          </m:rPr>
          <w:rPr>
            <w:rFonts w:ascii="Cambria Math" w:hAnsi="Cambria Math"/>
            <w:vertAlign w:val="subscript"/>
          </w:rPr>
          <m:t xml:space="preserve"> </m:t>
        </m:r>
        <m:r>
          <m:rPr>
            <m:sty m:val="p"/>
          </m:rPr>
          <w:rPr>
            <w:rFonts w:ascii="Cambria Math" w:hAnsi="Cambria Math"/>
          </w:rPr>
          <m:t>(1-cosα)</m:t>
        </m:r>
      </m:oMath>
      <w:r w:rsidRPr="004E68CD">
        <w:rPr>
          <w:rFonts w:ascii="微软雅黑" w:eastAsia="微软雅黑" w:hAnsi="微软雅黑"/>
        </w:rPr>
        <w:tab/>
      </w:r>
      <w:r w:rsidRPr="004E68CD">
        <w:t>(16)</w:t>
      </w:r>
      <w:r w:rsidRPr="00765F6E">
        <w:t xml:space="preserve"> </w:t>
      </w:r>
    </w:p>
    <w:p w14:paraId="61F2CDAF" w14:textId="77777777" w:rsidR="00737EB2" w:rsidRPr="00765F6E" w:rsidRDefault="00737EB2" w:rsidP="00444A0B">
      <w:pPr>
        <w:pStyle w:val="affffa"/>
        <w:spacing w:line="240" w:lineRule="auto"/>
        <w:ind w:firstLine="420"/>
        <w:rPr>
          <w:rFonts w:ascii="宋体" w:hAnsi="宋体"/>
        </w:rPr>
      </w:pPr>
      <w:r w:rsidRPr="00765F6E">
        <w:rPr>
          <w:rFonts w:hint="eastAsia"/>
        </w:rPr>
        <w:t>式中：</w:t>
      </w:r>
    </w:p>
    <w:p w14:paraId="3AC9963B" w14:textId="11EF8A09" w:rsidR="00737EB2" w:rsidRDefault="00737EB2" w:rsidP="00444A0B">
      <w:pPr>
        <w:spacing w:line="240" w:lineRule="auto"/>
        <w:ind w:leftChars="200" w:left="840" w:hangingChars="200" w:hanging="420"/>
        <w:jc w:val="left"/>
        <w:rPr>
          <w:rFonts w:ascii="宋体" w:hAnsi="宋体"/>
        </w:rPr>
      </w:pPr>
      <w:r w:rsidRPr="00765F6E">
        <w:rPr>
          <w:rFonts w:ascii="Cambria Math" w:hAnsi="Cambria Math"/>
        </w:rPr>
        <w:lastRenderedPageBreak/>
        <w:t>x</w:t>
      </w:r>
      <w:r w:rsidRPr="00765F6E">
        <w:rPr>
          <w:rFonts w:ascii="Cambria Math" w:hAnsi="Cambria Math"/>
          <w:vertAlign w:val="superscript"/>
        </w:rPr>
        <w:t>’</w:t>
      </w:r>
      <w:r w:rsidRPr="00765F6E">
        <w:rPr>
          <w:rFonts w:ascii="宋体" w:hAnsi="宋体" w:hint="eastAsia"/>
        </w:rPr>
        <w:t>——按半超高设置的曲线地段圆形或马蹄形隧道建筑限界圆心的横向位移量，单位为毫米（</w:t>
      </w:r>
      <w:r w:rsidRPr="00765F6E">
        <w:rPr>
          <w:rFonts w:ascii="宋体" w:hAnsi="宋体"/>
        </w:rPr>
        <w:t>mm</w:t>
      </w:r>
      <w:r w:rsidRPr="00765F6E">
        <w:rPr>
          <w:rFonts w:ascii="宋体" w:hAnsi="宋体" w:hint="eastAsia"/>
        </w:rPr>
        <w:t>）；</w:t>
      </w:r>
    </w:p>
    <w:p w14:paraId="7056364B" w14:textId="77777777" w:rsidR="00CA4D83" w:rsidRDefault="00CA4D83" w:rsidP="00CA4D83">
      <w:pPr>
        <w:spacing w:line="240" w:lineRule="auto"/>
        <w:ind w:leftChars="200" w:left="420"/>
        <w:jc w:val="left"/>
        <w:rPr>
          <w:rFonts w:ascii="宋体" w:hAnsi="宋体"/>
        </w:rPr>
      </w:pPr>
      <w:bookmarkStart w:id="599" w:name="OLE_LINK3"/>
      <w:r w:rsidRPr="00765F6E">
        <w:rPr>
          <w:rFonts w:ascii="Cambria Math" w:hAnsi="Cambria Math"/>
        </w:rPr>
        <w:t>h</w:t>
      </w:r>
      <w:r w:rsidRPr="00765F6E">
        <w:rPr>
          <w:rFonts w:ascii="Cambria Math" w:hAnsi="Cambria Math"/>
          <w:vertAlign w:val="subscript"/>
        </w:rPr>
        <w:t>0</w:t>
      </w:r>
      <w:bookmarkEnd w:id="599"/>
      <w:r w:rsidRPr="00765F6E">
        <w:rPr>
          <w:rFonts w:ascii="宋体" w:hAnsi="宋体" w:hint="eastAsia"/>
        </w:rPr>
        <w:t>——直线地段圆形或马蹄形隧道建筑限界圆心距轨顶平面高度, 单位为毫米（</w:t>
      </w:r>
      <w:r w:rsidRPr="00765F6E">
        <w:rPr>
          <w:rFonts w:ascii="宋体" w:hAnsi="宋体"/>
        </w:rPr>
        <w:t>mm</w:t>
      </w:r>
      <w:r w:rsidRPr="00765F6E">
        <w:rPr>
          <w:rFonts w:ascii="宋体" w:hAnsi="宋体" w:hint="eastAsia"/>
        </w:rPr>
        <w:t>）</w:t>
      </w:r>
      <w:r>
        <w:rPr>
          <w:rFonts w:ascii="宋体" w:hAnsi="宋体" w:hint="eastAsia"/>
        </w:rPr>
        <w:t>；</w:t>
      </w:r>
    </w:p>
    <w:p w14:paraId="6854699B" w14:textId="77777777" w:rsidR="00CA4D83" w:rsidRDefault="00CA4D83" w:rsidP="00CA4D83">
      <w:pPr>
        <w:spacing w:line="240" w:lineRule="auto"/>
        <w:ind w:leftChars="200" w:left="420"/>
        <w:jc w:val="left"/>
        <w:rPr>
          <w:rFonts w:ascii="宋体" w:hAnsi="宋体"/>
          <w:vertAlign w:val="subscript"/>
        </w:rPr>
      </w:pPr>
      <w:r>
        <w:rPr>
          <w:rFonts w:ascii="宋体" w:hAnsi="宋体" w:hint="eastAsia"/>
        </w:rPr>
        <w:t>h</w:t>
      </w:r>
      <w:r w:rsidRPr="0095309F">
        <w:rPr>
          <w:rFonts w:ascii="宋体" w:hAnsi="宋体"/>
          <w:vertAlign w:val="subscript"/>
        </w:rPr>
        <w:t>ac</w:t>
      </w:r>
      <w:r w:rsidRPr="004E68CD">
        <w:rPr>
          <w:rFonts w:ascii="宋体" w:hAnsi="宋体" w:hint="eastAsia"/>
        </w:rPr>
        <w:t>——</w:t>
      </w:r>
      <w:r w:rsidRPr="0094681A">
        <w:rPr>
          <w:rFonts w:ascii="宋体" w:hAnsi="宋体" w:hint="eastAsia"/>
        </w:rPr>
        <w:t>圆曲线段轨道超高值，单位为毫米（mm）；</w:t>
      </w:r>
    </w:p>
    <w:p w14:paraId="26A56934" w14:textId="4829A24F" w:rsidR="00CA4D83" w:rsidRPr="00F34C33" w:rsidRDefault="00CA4D83" w:rsidP="00CA4D83">
      <w:pPr>
        <w:spacing w:line="240" w:lineRule="auto"/>
        <w:ind w:leftChars="200" w:left="420"/>
        <w:jc w:val="left"/>
        <w:rPr>
          <w:rFonts w:ascii="宋体" w:hAnsi="宋体"/>
        </w:rPr>
      </w:pPr>
      <w:r w:rsidRPr="0095309F">
        <w:rPr>
          <w:rFonts w:ascii="宋体" w:hAnsi="宋体"/>
        </w:rPr>
        <w:t>s</w:t>
      </w:r>
      <w:r w:rsidRPr="004E68CD">
        <w:rPr>
          <w:rFonts w:ascii="宋体" w:hAnsi="宋体" w:hint="eastAsia"/>
        </w:rPr>
        <w:t>——</w:t>
      </w:r>
      <w:r w:rsidRPr="0094681A">
        <w:rPr>
          <w:rFonts w:ascii="宋体" w:hAnsi="宋体" w:hint="eastAsia"/>
        </w:rPr>
        <w:t>滚动圆间距，单位为毫米（mm）</w:t>
      </w:r>
      <w:r>
        <w:rPr>
          <w:rFonts w:ascii="宋体" w:hAnsi="宋体" w:hint="eastAsia"/>
        </w:rPr>
        <w:t>；</w:t>
      </w:r>
    </w:p>
    <w:p w14:paraId="62951F3C" w14:textId="47E6BF4C" w:rsidR="00737EB2" w:rsidRPr="00765F6E" w:rsidRDefault="00737EB2" w:rsidP="00737EB2">
      <w:pPr>
        <w:spacing w:line="240" w:lineRule="auto"/>
        <w:ind w:leftChars="200" w:left="840" w:hangingChars="200" w:hanging="420"/>
        <w:jc w:val="left"/>
        <w:rPr>
          <w:rFonts w:ascii="宋体" w:hAnsi="宋体"/>
        </w:rPr>
      </w:pPr>
      <w:r w:rsidRPr="00765F6E">
        <w:rPr>
          <w:rFonts w:ascii="Cambria Math" w:hAnsi="Cambria Math"/>
        </w:rPr>
        <w:t>y’</w:t>
      </w:r>
      <w:r w:rsidRPr="00765F6E">
        <w:rPr>
          <w:rFonts w:ascii="宋体" w:hAnsi="宋体" w:hint="eastAsia"/>
        </w:rPr>
        <w:t>——按半超高设置的曲线地段圆形或马蹄形隧道建筑限界圆心的竖向位移量, 单位为毫米（</w:t>
      </w:r>
      <w:r w:rsidRPr="00765F6E">
        <w:rPr>
          <w:rFonts w:ascii="宋体" w:hAnsi="宋体"/>
        </w:rPr>
        <w:t>mm</w:t>
      </w:r>
      <w:r w:rsidRPr="00765F6E">
        <w:rPr>
          <w:rFonts w:ascii="宋体" w:hAnsi="宋体" w:hint="eastAsia"/>
        </w:rPr>
        <w:t>）</w:t>
      </w:r>
      <w:r w:rsidR="00CA4D83">
        <w:rPr>
          <w:rFonts w:ascii="宋体" w:hAnsi="宋体" w:hint="eastAsia"/>
        </w:rPr>
        <w:t>。</w:t>
      </w:r>
    </w:p>
    <w:p w14:paraId="337107E2" w14:textId="679B43CC" w:rsidR="00737EB2" w:rsidRPr="004E68CD" w:rsidRDefault="00737EB2" w:rsidP="00737EB2">
      <w:pPr>
        <w:pStyle w:val="af6"/>
        <w:tabs>
          <w:tab w:val="left" w:pos="851"/>
        </w:tabs>
        <w:snapToGrid w:val="0"/>
        <w:contextualSpacing/>
      </w:pPr>
      <w:r w:rsidRPr="004E68CD">
        <w:t>当按全超高设置时，位移量应按公式</w:t>
      </w:r>
      <w:r w:rsidRPr="004E68CD">
        <w:rPr>
          <w:rFonts w:hint="eastAsia"/>
        </w:rPr>
        <w:t>（17）、公式（18）</w:t>
      </w:r>
      <w:r w:rsidRPr="004E68CD">
        <w:t>计算</w:t>
      </w:r>
      <w:r w:rsidR="0038415A">
        <w:rPr>
          <w:rFonts w:hint="eastAsia"/>
        </w:rPr>
        <w:t>；</w:t>
      </w:r>
    </w:p>
    <w:p w14:paraId="124832D6" w14:textId="77777777" w:rsidR="00737EB2" w:rsidRPr="004E68CD" w:rsidRDefault="00737EB2" w:rsidP="00737EB2">
      <w:pPr>
        <w:pStyle w:val="affffffd"/>
        <w:spacing w:before="156" w:after="156"/>
      </w:pPr>
      <w:r w:rsidRPr="004E68CD">
        <w:tab/>
      </w:r>
      <m:oMath>
        <m:r>
          <m:rPr>
            <m:sty m:val="p"/>
          </m:rPr>
          <w:rPr>
            <w:rFonts w:ascii="Cambria Math" w:hAnsi="Cambria Math"/>
          </w:rPr>
          <m:t>x</m:t>
        </m:r>
        <m:r>
          <m:rPr>
            <m:sty m:val="p"/>
          </m:rPr>
          <w:rPr>
            <w:rFonts w:ascii="Cambria Math" w:hAnsi="Cambria Math"/>
            <w:vertAlign w:val="superscript"/>
          </w:rPr>
          <m:t>”</m:t>
        </m:r>
        <m:r>
          <m:rPr>
            <m:sty m:val="p"/>
          </m:rPr>
          <w:rPr>
            <w:rFonts w:ascii="Cambria Math" w:hAnsi="Cambria Math"/>
          </w:rPr>
          <m:t>=</m:t>
        </m:r>
        <m:sSub>
          <m:sSubPr>
            <m:ctrlPr>
              <w:rPr>
                <w:rFonts w:ascii="Cambria Math" w:hAnsi="Cambria Math"/>
              </w:rPr>
            </m:ctrlPr>
          </m:sSubPr>
          <m:e>
            <m:r>
              <m:rPr>
                <m:sty m:val="p"/>
              </m:rPr>
              <w:rPr>
                <w:rFonts w:ascii="Cambria Math" w:hAnsi="Cambria Math"/>
              </w:rPr>
              <m:t>h</m:t>
            </m:r>
          </m:e>
          <m:sub>
            <m:r>
              <m:rPr>
                <m:sty m:val="p"/>
              </m:rPr>
              <w:rPr>
                <w:rFonts w:ascii="Cambria Math" w:hAnsi="Cambria Math"/>
                <w:vertAlign w:val="subscript"/>
              </w:rPr>
              <m:t>0</m:t>
            </m:r>
          </m:sub>
        </m:sSub>
        <m:r>
          <m:rPr>
            <m:sty m:val="p"/>
          </m:rPr>
          <w:rPr>
            <w:rFonts w:ascii="Cambria Math" w:hAnsi="Cambria Math"/>
            <w:vertAlign w:val="subscript"/>
          </w:rPr>
          <m:t xml:space="preserve"> </m:t>
        </m:r>
        <m:r>
          <m:rPr>
            <m:sty m:val="p"/>
          </m:rPr>
          <w:rPr>
            <w:rFonts w:ascii="Cambria Math" w:hAnsi="Cambria Math"/>
          </w:rPr>
          <m:t>(</m:t>
        </m:r>
        <m:sSub>
          <m:sSubPr>
            <m:ctrlPr>
              <w:rPr>
                <w:rFonts w:ascii="Cambria Math" w:hAnsi="Cambria Math"/>
              </w:rPr>
            </m:ctrlPr>
          </m:sSubPr>
          <m:e>
            <m:r>
              <m:rPr>
                <m:sty m:val="p"/>
              </m:rPr>
              <w:rPr>
                <w:rFonts w:ascii="Cambria Math" w:hAnsi="Cambria Math"/>
              </w:rPr>
              <m:t>h</m:t>
            </m:r>
          </m:e>
          <m:sub>
            <m:r>
              <m:rPr>
                <m:sty m:val="p"/>
              </m:rPr>
              <w:rPr>
                <w:rFonts w:ascii="Cambria Math" w:hAnsi="Cambria Math"/>
                <w:vertAlign w:val="subscript"/>
              </w:rPr>
              <m:t>ac</m:t>
            </m:r>
          </m:sub>
        </m:sSub>
        <m:r>
          <m:rPr>
            <m:sty m:val="p"/>
          </m:rPr>
          <w:rPr>
            <w:rFonts w:ascii="Cambria Math" w:hAnsi="Cambria Math"/>
          </w:rPr>
          <m:t>/s)</m:t>
        </m:r>
      </m:oMath>
      <w:r w:rsidRPr="004E68CD">
        <w:rPr>
          <w:rFonts w:ascii="微软雅黑" w:eastAsia="微软雅黑" w:hAnsi="微软雅黑"/>
        </w:rPr>
        <w:tab/>
      </w:r>
      <w:r w:rsidRPr="004E68CD">
        <w:t xml:space="preserve">(17)   </w:t>
      </w:r>
    </w:p>
    <w:p w14:paraId="76D2E506" w14:textId="1DD9E449" w:rsidR="00737EB2" w:rsidRPr="00765F6E" w:rsidRDefault="00737EB2" w:rsidP="00737EB2">
      <w:pPr>
        <w:pStyle w:val="affffffd"/>
        <w:spacing w:before="156" w:after="156"/>
      </w:pPr>
      <w:r w:rsidRPr="004E68CD">
        <w:tab/>
      </w:r>
      <m:oMath>
        <m:r>
          <m:rPr>
            <m:sty m:val="p"/>
          </m:rPr>
          <w:rPr>
            <w:rFonts w:ascii="Cambria Math" w:hAnsi="Cambria Math"/>
          </w:rPr>
          <m:t>Y”=</m:t>
        </m:r>
        <m:sSub>
          <m:sSubPr>
            <m:ctrlPr>
              <w:rPr>
                <w:rFonts w:ascii="Cambria Math" w:hAnsi="Cambria Math"/>
              </w:rPr>
            </m:ctrlPr>
          </m:sSubPr>
          <m:e>
            <m:r>
              <m:rPr>
                <m:sty m:val="p"/>
              </m:rPr>
              <w:rPr>
                <w:rFonts w:ascii="Cambria Math" w:hAnsi="Cambria Math"/>
              </w:rPr>
              <m:t>h</m:t>
            </m:r>
          </m:e>
          <m:sub>
            <m:r>
              <m:rPr>
                <m:sty m:val="p"/>
              </m:rPr>
              <w:rPr>
                <w:rFonts w:ascii="Cambria Math" w:hAnsi="Cambria Math"/>
                <w:vertAlign w:val="subscript"/>
              </w:rPr>
              <m:t>ac</m:t>
            </m:r>
          </m:sub>
        </m:sSub>
        <m:r>
          <m:rPr>
            <m:sty m:val="p"/>
          </m:rPr>
          <w:rPr>
            <w:rFonts w:ascii="Cambria Math" w:hAnsi="Cambria Math"/>
          </w:rPr>
          <m:t xml:space="preserve">/2- </m:t>
        </m:r>
        <m:sSub>
          <m:sSubPr>
            <m:ctrlPr>
              <w:rPr>
                <w:rFonts w:ascii="Cambria Math" w:hAnsi="Cambria Math"/>
              </w:rPr>
            </m:ctrlPr>
          </m:sSubPr>
          <m:e>
            <m:r>
              <m:rPr>
                <m:sty m:val="p"/>
              </m:rPr>
              <w:rPr>
                <w:rFonts w:ascii="Cambria Math" w:hAnsi="Cambria Math"/>
              </w:rPr>
              <m:t>h</m:t>
            </m:r>
          </m:e>
          <m:sub>
            <m:r>
              <m:rPr>
                <m:sty m:val="p"/>
              </m:rPr>
              <w:rPr>
                <w:rFonts w:ascii="Cambria Math" w:hAnsi="Cambria Math"/>
                <w:vertAlign w:val="subscript"/>
              </w:rPr>
              <m:t>0</m:t>
            </m:r>
          </m:sub>
        </m:sSub>
        <m:r>
          <m:rPr>
            <m:sty m:val="p"/>
          </m:rPr>
          <w:rPr>
            <w:rFonts w:ascii="Cambria Math" w:hAnsi="Cambria Math"/>
          </w:rPr>
          <m:t xml:space="preserve"> (1-cosα)</m:t>
        </m:r>
      </m:oMath>
      <w:r w:rsidRPr="004E68CD">
        <w:rPr>
          <w:rFonts w:ascii="微软雅黑" w:eastAsia="微软雅黑" w:hAnsi="微软雅黑"/>
        </w:rPr>
        <w:tab/>
      </w:r>
      <w:r w:rsidRPr="004E68CD">
        <w:t>(18)</w:t>
      </w:r>
    </w:p>
    <w:p w14:paraId="13A91A9B" w14:textId="77777777" w:rsidR="00737EB2" w:rsidRPr="00765F6E" w:rsidRDefault="00737EB2" w:rsidP="005D4937">
      <w:pPr>
        <w:pStyle w:val="affffa"/>
        <w:ind w:firstLine="420"/>
        <w:rPr>
          <w:rFonts w:ascii="宋体" w:hAnsi="宋体"/>
        </w:rPr>
      </w:pPr>
      <w:r w:rsidRPr="00765F6E">
        <w:rPr>
          <w:rFonts w:hint="eastAsia"/>
        </w:rPr>
        <w:t>式中：</w:t>
      </w:r>
      <w:r w:rsidRPr="00765F6E">
        <w:rPr>
          <w:rFonts w:ascii="宋体" w:hAnsi="宋体"/>
        </w:rPr>
        <w:t xml:space="preserve"> </w:t>
      </w:r>
    </w:p>
    <w:p w14:paraId="596E76DC" w14:textId="70285596" w:rsidR="00737EB2" w:rsidRDefault="00737EB2" w:rsidP="00737EB2">
      <w:pPr>
        <w:adjustRightInd/>
        <w:spacing w:line="240" w:lineRule="auto"/>
        <w:ind w:leftChars="350" w:left="735"/>
        <w:jc w:val="left"/>
        <w:rPr>
          <w:rFonts w:ascii="宋体" w:hAnsi="宋体"/>
        </w:rPr>
      </w:pPr>
      <w:r w:rsidRPr="00765F6E">
        <w:rPr>
          <w:rFonts w:ascii="Cambria Math" w:hAnsi="Cambria Math"/>
        </w:rPr>
        <w:t>x</w:t>
      </w:r>
      <w:r w:rsidRPr="00765F6E">
        <w:rPr>
          <w:rFonts w:ascii="Cambria Math" w:hAnsi="Cambria Math"/>
          <w:vertAlign w:val="superscript"/>
        </w:rPr>
        <w:t>”</w:t>
      </w:r>
      <w:r w:rsidRPr="00765F6E">
        <w:rPr>
          <w:rFonts w:ascii="宋体" w:hAnsi="宋体" w:hint="eastAsia"/>
        </w:rPr>
        <w:t>——按全超高设置的曲线地段圆形或马蹄形隧道建筑限界圆心的横向位移量，单位为毫米（m</w:t>
      </w:r>
      <w:r w:rsidRPr="00765F6E">
        <w:rPr>
          <w:rFonts w:ascii="宋体" w:hAnsi="宋体"/>
        </w:rPr>
        <w:t>m</w:t>
      </w:r>
      <w:r w:rsidRPr="00765F6E">
        <w:rPr>
          <w:rFonts w:ascii="宋体" w:hAnsi="宋体" w:hint="eastAsia"/>
        </w:rPr>
        <w:t>）；</w:t>
      </w:r>
    </w:p>
    <w:p w14:paraId="6B2CAE2E" w14:textId="77777777" w:rsidR="00CA4D83" w:rsidRPr="006B5151" w:rsidRDefault="00CA4D83" w:rsidP="00CA4D83">
      <w:pPr>
        <w:adjustRightInd/>
        <w:spacing w:line="240" w:lineRule="auto"/>
        <w:ind w:leftChars="350" w:left="735"/>
        <w:jc w:val="left"/>
        <w:rPr>
          <w:rFonts w:ascii="宋体" w:hAnsi="宋体"/>
          <w:highlight w:val="yellow"/>
        </w:rPr>
      </w:pPr>
      <w:r w:rsidRPr="004E68CD">
        <w:rPr>
          <w:rFonts w:ascii="宋体" w:hAnsi="宋体"/>
        </w:rPr>
        <w:t>h</w:t>
      </w:r>
      <w:r w:rsidRPr="004E68CD">
        <w:rPr>
          <w:rFonts w:ascii="Cambria Math" w:hAnsi="Cambria Math"/>
          <w:vertAlign w:val="subscript"/>
        </w:rPr>
        <w:t>0</w:t>
      </w:r>
      <w:r w:rsidRPr="004E68CD">
        <w:rPr>
          <w:rFonts w:ascii="宋体" w:hAnsi="宋体" w:hint="eastAsia"/>
        </w:rPr>
        <w:t>——</w:t>
      </w:r>
      <w:r w:rsidRPr="00765F6E">
        <w:rPr>
          <w:rFonts w:ascii="宋体" w:hAnsi="宋体" w:hint="eastAsia"/>
        </w:rPr>
        <w:t>直线地段圆形或马蹄形隧道建筑限界圆心距轨顶平面高度, 单位为毫米（</w:t>
      </w:r>
      <w:r w:rsidRPr="00765F6E">
        <w:rPr>
          <w:rFonts w:ascii="宋体" w:hAnsi="宋体"/>
        </w:rPr>
        <w:t>mm</w:t>
      </w:r>
      <w:r w:rsidRPr="00765F6E">
        <w:rPr>
          <w:rFonts w:ascii="宋体" w:hAnsi="宋体" w:hint="eastAsia"/>
        </w:rPr>
        <w:t>）</w:t>
      </w:r>
      <w:r>
        <w:rPr>
          <w:rFonts w:ascii="宋体" w:hAnsi="宋体" w:hint="eastAsia"/>
        </w:rPr>
        <w:t>；</w:t>
      </w:r>
    </w:p>
    <w:p w14:paraId="3A61EA38" w14:textId="77777777" w:rsidR="00CA4D83" w:rsidRPr="006B5151" w:rsidRDefault="00CA4D83" w:rsidP="00CA4D83">
      <w:pPr>
        <w:adjustRightInd/>
        <w:spacing w:line="240" w:lineRule="auto"/>
        <w:ind w:leftChars="350" w:left="735"/>
        <w:jc w:val="left"/>
        <w:rPr>
          <w:rFonts w:ascii="宋体" w:hAnsi="宋体"/>
          <w:highlight w:val="yellow"/>
        </w:rPr>
      </w:pPr>
      <w:r w:rsidRPr="004E68CD">
        <w:rPr>
          <w:rFonts w:ascii="宋体" w:hAnsi="宋体"/>
        </w:rPr>
        <w:t>h</w:t>
      </w:r>
      <w:r w:rsidRPr="004E68CD">
        <w:rPr>
          <w:rFonts w:ascii="宋体" w:hAnsi="宋体"/>
          <w:vertAlign w:val="subscript"/>
        </w:rPr>
        <w:t>ac</w:t>
      </w:r>
      <w:r w:rsidRPr="004E68CD">
        <w:rPr>
          <w:rFonts w:ascii="宋体" w:hAnsi="宋体" w:hint="eastAsia"/>
        </w:rPr>
        <w:t>——</w:t>
      </w:r>
      <w:r w:rsidRPr="0094681A">
        <w:rPr>
          <w:rFonts w:ascii="宋体" w:hAnsi="宋体" w:hint="eastAsia"/>
        </w:rPr>
        <w:t>圆曲线段轨道超高值，单位为毫米（mm）；</w:t>
      </w:r>
    </w:p>
    <w:p w14:paraId="7AF7B60E" w14:textId="14DA62A6" w:rsidR="00CA4D83" w:rsidRPr="00765F6E" w:rsidRDefault="00CA4D83" w:rsidP="00CA4D83">
      <w:pPr>
        <w:adjustRightInd/>
        <w:spacing w:line="240" w:lineRule="auto"/>
        <w:ind w:leftChars="350" w:left="735"/>
        <w:jc w:val="left"/>
        <w:rPr>
          <w:rFonts w:ascii="宋体" w:hAnsi="宋体"/>
        </w:rPr>
      </w:pPr>
      <w:r w:rsidRPr="004E68CD">
        <w:rPr>
          <w:rFonts w:ascii="宋体" w:hAnsi="宋体"/>
        </w:rPr>
        <w:t xml:space="preserve">s </w:t>
      </w:r>
      <w:r w:rsidRPr="004E68CD">
        <w:rPr>
          <w:rFonts w:ascii="宋体" w:hAnsi="宋体" w:hint="eastAsia"/>
        </w:rPr>
        <w:t>——</w:t>
      </w:r>
      <w:r w:rsidRPr="0094681A">
        <w:rPr>
          <w:rFonts w:ascii="宋体" w:hAnsi="宋体" w:hint="eastAsia"/>
        </w:rPr>
        <w:t>滚动圆间距，单位为毫米（mm）</w:t>
      </w:r>
      <w:r>
        <w:rPr>
          <w:rFonts w:ascii="宋体" w:hAnsi="宋体" w:hint="eastAsia"/>
        </w:rPr>
        <w:t>；</w:t>
      </w:r>
    </w:p>
    <w:p w14:paraId="7DD2CBDB" w14:textId="42A0B116" w:rsidR="00737EB2" w:rsidRDefault="00737EB2" w:rsidP="00737EB2">
      <w:pPr>
        <w:adjustRightInd/>
        <w:spacing w:line="240" w:lineRule="auto"/>
        <w:ind w:leftChars="350" w:left="735"/>
        <w:jc w:val="left"/>
        <w:rPr>
          <w:rFonts w:ascii="宋体" w:hAnsi="宋体"/>
        </w:rPr>
      </w:pPr>
      <w:r w:rsidRPr="00765F6E">
        <w:rPr>
          <w:rFonts w:ascii="Cambria Math" w:hAnsi="Cambria Math"/>
        </w:rPr>
        <w:t>Y”</w:t>
      </w:r>
      <w:r w:rsidRPr="00765F6E">
        <w:rPr>
          <w:rFonts w:ascii="宋体" w:hAnsi="宋体" w:hint="eastAsia"/>
        </w:rPr>
        <w:t>——按全超高设置的曲线地段圆形或马蹄形隧道建筑限界圆心的竖向位移量, 单位为毫米（</w:t>
      </w:r>
      <w:r w:rsidRPr="00765F6E">
        <w:rPr>
          <w:rFonts w:ascii="宋体" w:hAnsi="宋体"/>
        </w:rPr>
        <w:t>mm</w:t>
      </w:r>
      <w:r w:rsidRPr="00765F6E">
        <w:rPr>
          <w:rFonts w:ascii="宋体" w:hAnsi="宋体" w:hint="eastAsia"/>
        </w:rPr>
        <w:t>）</w:t>
      </w:r>
      <w:r w:rsidR="00CA4D83">
        <w:rPr>
          <w:rFonts w:ascii="宋体" w:hAnsi="宋体" w:hint="eastAsia"/>
        </w:rPr>
        <w:t>。</w:t>
      </w:r>
    </w:p>
    <w:p w14:paraId="63CF2729" w14:textId="77777777" w:rsidR="00737EB2" w:rsidRPr="00765F6E" w:rsidRDefault="00737EB2" w:rsidP="009D0776">
      <w:pPr>
        <w:pStyle w:val="22"/>
      </w:pPr>
      <w:bookmarkStart w:id="600" w:name="_Toc153291053"/>
      <w:bookmarkStart w:id="601" w:name="_Toc99791621"/>
      <w:r w:rsidRPr="00765F6E">
        <w:rPr>
          <w:rFonts w:hint="eastAsia"/>
        </w:rPr>
        <w:t>道岔区建筑限界应在直线地段建筑限界的基础上，根据道岔和车辆技术参数，综合考虑超高和曲线轨道参数计算确定，并应满足道岔及转辙机安装和检修空间要求。</w:t>
      </w:r>
      <w:bookmarkEnd w:id="600"/>
      <w:bookmarkEnd w:id="601"/>
    </w:p>
    <w:p w14:paraId="1D1E32A7" w14:textId="77777777" w:rsidR="00737EB2" w:rsidRPr="00765F6E" w:rsidRDefault="00737EB2" w:rsidP="009D0776">
      <w:pPr>
        <w:pStyle w:val="22"/>
      </w:pPr>
      <w:bookmarkStart w:id="602" w:name="_Toc153291054"/>
      <w:bookmarkStart w:id="603" w:name="_Toc99791622"/>
      <w:r w:rsidRPr="00765F6E">
        <w:rPr>
          <w:rFonts w:hint="eastAsia"/>
        </w:rPr>
        <w:t>车站直线地段建筑限界符合下列规定：</w:t>
      </w:r>
      <w:bookmarkEnd w:id="602"/>
      <w:bookmarkEnd w:id="603"/>
    </w:p>
    <w:p w14:paraId="2A89F395" w14:textId="77777777" w:rsidR="00737EB2" w:rsidRPr="00765F6E" w:rsidRDefault="00737EB2" w:rsidP="003334F3">
      <w:pPr>
        <w:pStyle w:val="af6"/>
        <w:numPr>
          <w:ilvl w:val="0"/>
          <w:numId w:val="48"/>
        </w:numPr>
        <w:tabs>
          <w:tab w:val="left" w:pos="851"/>
        </w:tabs>
        <w:snapToGrid w:val="0"/>
        <w:contextualSpacing/>
      </w:pPr>
      <w:r w:rsidRPr="00765F6E">
        <w:rPr>
          <w:rFonts w:hint="eastAsia"/>
        </w:rPr>
        <w:t>站台面不应高于车厢地板面，并宜按低于车门处的车厢地板面50mm确定；</w:t>
      </w:r>
    </w:p>
    <w:p w14:paraId="0952567A" w14:textId="659FA550" w:rsidR="00737EB2" w:rsidRPr="00765F6E" w:rsidRDefault="00737EB2" w:rsidP="00737EB2">
      <w:pPr>
        <w:pStyle w:val="af6"/>
        <w:tabs>
          <w:tab w:val="left" w:pos="851"/>
        </w:tabs>
        <w:snapToGrid w:val="0"/>
        <w:contextualSpacing/>
      </w:pPr>
      <w:r w:rsidRPr="00765F6E">
        <w:rPr>
          <w:rFonts w:hint="eastAsia"/>
        </w:rPr>
        <w:t>直线地段有效站台建筑限界应符合表</w:t>
      </w:r>
      <w:r w:rsidR="00E512B4">
        <w:t>8</w:t>
      </w:r>
      <w:r w:rsidRPr="00765F6E">
        <w:rPr>
          <w:rFonts w:hint="eastAsia"/>
        </w:rPr>
        <w:t>的规定</w:t>
      </w:r>
      <w:r w:rsidR="0038415A">
        <w:rPr>
          <w:rFonts w:hint="eastAsia"/>
        </w:rPr>
        <w:t>；</w:t>
      </w:r>
    </w:p>
    <w:p w14:paraId="36CC3467" w14:textId="77777777" w:rsidR="00737EB2" w:rsidRPr="00765F6E" w:rsidRDefault="00737EB2" w:rsidP="00737EB2">
      <w:pPr>
        <w:pStyle w:val="aff3"/>
        <w:spacing w:before="156" w:after="156"/>
      </w:pPr>
      <w:r w:rsidRPr="00765F6E">
        <w:rPr>
          <w:rFonts w:hint="eastAsia"/>
        </w:rPr>
        <w:t>直线车站有效站台建筑限界</w:t>
      </w:r>
    </w:p>
    <w:p w14:paraId="53032218" w14:textId="77777777" w:rsidR="00737EB2" w:rsidRPr="00765F6E" w:rsidRDefault="00737EB2" w:rsidP="00CA33AB">
      <w:pPr>
        <w:pStyle w:val="affffb"/>
        <w:ind w:firstLine="360"/>
        <w:jc w:val="right"/>
        <w:rPr>
          <w:sz w:val="18"/>
          <w:szCs w:val="18"/>
        </w:rPr>
      </w:pPr>
      <w:r w:rsidRPr="00765F6E">
        <w:rPr>
          <w:rFonts w:hint="eastAsia"/>
          <w:sz w:val="18"/>
          <w:szCs w:val="18"/>
        </w:rPr>
        <w:t>单位为毫米</w:t>
      </w:r>
    </w:p>
    <w:tbl>
      <w:tblPr>
        <w:tblStyle w:val="12"/>
        <w:tblW w:w="5000" w:type="pct"/>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120"/>
        <w:gridCol w:w="3256"/>
        <w:gridCol w:w="3958"/>
      </w:tblGrid>
      <w:tr w:rsidR="00737EB2" w:rsidRPr="00765F6E" w14:paraId="4AC4759A" w14:textId="77777777" w:rsidTr="00871D47">
        <w:trPr>
          <w:trHeight w:val="176"/>
        </w:trPr>
        <w:tc>
          <w:tcPr>
            <w:tcW w:w="1136" w:type="pct"/>
            <w:tcBorders>
              <w:top w:val="single" w:sz="8" w:space="0" w:color="auto"/>
              <w:bottom w:val="single" w:sz="8" w:space="0" w:color="auto"/>
            </w:tcBorders>
            <w:shd w:val="clear" w:color="auto" w:fill="auto"/>
            <w:vAlign w:val="center"/>
          </w:tcPr>
          <w:p w14:paraId="3A3FC1EB"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kern w:val="0"/>
                <w:sz w:val="18"/>
                <w:szCs w:val="18"/>
              </w:rPr>
              <w:t>车型</w:t>
            </w:r>
          </w:p>
        </w:tc>
        <w:tc>
          <w:tcPr>
            <w:tcW w:w="1744" w:type="pct"/>
            <w:tcBorders>
              <w:top w:val="single" w:sz="8" w:space="0" w:color="auto"/>
              <w:bottom w:val="single" w:sz="8" w:space="0" w:color="auto"/>
            </w:tcBorders>
            <w:shd w:val="clear" w:color="auto" w:fill="auto"/>
            <w:vAlign w:val="center"/>
          </w:tcPr>
          <w:p w14:paraId="3AFF2DFC"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kern w:val="0"/>
                <w:sz w:val="18"/>
                <w:szCs w:val="18"/>
              </w:rPr>
              <w:t>站台面距轨顶面高度</w:t>
            </w:r>
          </w:p>
        </w:tc>
        <w:tc>
          <w:tcPr>
            <w:tcW w:w="2120" w:type="pct"/>
            <w:tcBorders>
              <w:top w:val="single" w:sz="8" w:space="0" w:color="auto"/>
              <w:bottom w:val="single" w:sz="8" w:space="0" w:color="auto"/>
            </w:tcBorders>
            <w:shd w:val="clear" w:color="auto" w:fill="auto"/>
            <w:vAlign w:val="center"/>
          </w:tcPr>
          <w:p w14:paraId="6A93FFAD"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kern w:val="0"/>
                <w:sz w:val="18"/>
                <w:szCs w:val="18"/>
              </w:rPr>
              <w:t>无越站站台边缘距线路中心线间距</w:t>
            </w:r>
          </w:p>
        </w:tc>
      </w:tr>
      <w:tr w:rsidR="00737EB2" w:rsidRPr="00765F6E" w14:paraId="5D1A2B0E" w14:textId="77777777" w:rsidTr="00871D47">
        <w:trPr>
          <w:trHeight w:val="176"/>
        </w:trPr>
        <w:tc>
          <w:tcPr>
            <w:tcW w:w="1136" w:type="pct"/>
            <w:tcBorders>
              <w:top w:val="single" w:sz="8" w:space="0" w:color="auto"/>
            </w:tcBorders>
            <w:shd w:val="clear" w:color="auto" w:fill="auto"/>
            <w:vAlign w:val="center"/>
          </w:tcPr>
          <w:p w14:paraId="6DE0620B"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kern w:val="0"/>
                <w:sz w:val="18"/>
                <w:szCs w:val="18"/>
              </w:rPr>
              <w:t>市域A</w:t>
            </w:r>
          </w:p>
        </w:tc>
        <w:tc>
          <w:tcPr>
            <w:tcW w:w="1744" w:type="pct"/>
            <w:tcBorders>
              <w:top w:val="single" w:sz="8" w:space="0" w:color="auto"/>
            </w:tcBorders>
            <w:shd w:val="clear" w:color="auto" w:fill="auto"/>
            <w:vAlign w:val="center"/>
          </w:tcPr>
          <w:p w14:paraId="541E3CAD"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302DDA">
              <w:rPr>
                <w:rFonts w:ascii="宋体" w:eastAsia="宋体" w:hAnsi="宋体" w:cs="宋体"/>
                <w:kern w:val="0"/>
                <w:sz w:val="18"/>
                <w:szCs w:val="18"/>
              </w:rPr>
              <w:object w:dxaOrig="532" w:dyaOrig="285" w14:anchorId="648D52C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65pt;height:15.05pt" o:ole="">
                  <v:imagedata r:id="rId21" o:title=""/>
                </v:shape>
                <o:OLEObject Type="Embed" ProgID="Equation.DSMT4" ShapeID="_x0000_i1025" DrawAspect="Content" ObjectID="_1793792790" r:id="rId22"/>
              </w:object>
            </w:r>
          </w:p>
        </w:tc>
        <w:tc>
          <w:tcPr>
            <w:tcW w:w="2120" w:type="pct"/>
            <w:tcBorders>
              <w:top w:val="single" w:sz="8" w:space="0" w:color="auto"/>
            </w:tcBorders>
            <w:shd w:val="clear" w:color="auto" w:fill="auto"/>
            <w:vAlign w:val="center"/>
          </w:tcPr>
          <w:p w14:paraId="270A9C48"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302DDA">
              <w:rPr>
                <w:rFonts w:ascii="宋体" w:eastAsia="宋体" w:hAnsi="宋体" w:cs="宋体"/>
                <w:kern w:val="0"/>
                <w:sz w:val="18"/>
                <w:szCs w:val="18"/>
              </w:rPr>
              <w:object w:dxaOrig="532" w:dyaOrig="285" w14:anchorId="1CAE0120">
                <v:shape id="_x0000_i1026" type="#_x0000_t75" style="width:27.65pt;height:15.05pt" o:ole="">
                  <v:imagedata r:id="rId23" o:title=""/>
                </v:shape>
                <o:OLEObject Type="Embed" ProgID="Equation.DSMT4" ShapeID="_x0000_i1026" DrawAspect="Content" ObjectID="_1793792791" r:id="rId24"/>
              </w:object>
            </w:r>
          </w:p>
        </w:tc>
      </w:tr>
      <w:tr w:rsidR="00737EB2" w:rsidRPr="00765F6E" w14:paraId="5CA075F7" w14:textId="77777777" w:rsidTr="00871D47">
        <w:trPr>
          <w:trHeight w:val="176"/>
        </w:trPr>
        <w:tc>
          <w:tcPr>
            <w:tcW w:w="1136" w:type="pct"/>
            <w:shd w:val="clear" w:color="auto" w:fill="auto"/>
            <w:vAlign w:val="center"/>
          </w:tcPr>
          <w:p w14:paraId="4FF29B11"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kern w:val="0"/>
                <w:sz w:val="18"/>
                <w:szCs w:val="18"/>
              </w:rPr>
              <w:t>市域B</w:t>
            </w:r>
          </w:p>
        </w:tc>
        <w:tc>
          <w:tcPr>
            <w:tcW w:w="1744" w:type="pct"/>
            <w:shd w:val="clear" w:color="auto" w:fill="auto"/>
            <w:vAlign w:val="center"/>
          </w:tcPr>
          <w:p w14:paraId="2933B2FE"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302DDA">
              <w:rPr>
                <w:rFonts w:ascii="宋体" w:eastAsia="宋体" w:hAnsi="宋体" w:cs="宋体"/>
                <w:kern w:val="0"/>
                <w:sz w:val="18"/>
                <w:szCs w:val="18"/>
              </w:rPr>
              <w:object w:dxaOrig="402" w:dyaOrig="285" w14:anchorId="5A6DF81F">
                <v:shape id="_x0000_i1027" type="#_x0000_t75" style="width:29.3pt;height:15.05pt" o:ole="">
                  <v:imagedata r:id="rId25" o:title=""/>
                </v:shape>
                <o:OLEObject Type="Embed" ProgID="Equation.DSMT4" ShapeID="_x0000_i1027" DrawAspect="Content" ObjectID="_1793792792" r:id="rId26"/>
              </w:object>
            </w:r>
          </w:p>
        </w:tc>
        <w:tc>
          <w:tcPr>
            <w:tcW w:w="2120" w:type="pct"/>
            <w:shd w:val="clear" w:color="auto" w:fill="auto"/>
            <w:vAlign w:val="center"/>
          </w:tcPr>
          <w:p w14:paraId="3F668F9E"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302DDA">
              <w:rPr>
                <w:rFonts w:ascii="宋体" w:eastAsia="宋体" w:hAnsi="宋体" w:cs="宋体"/>
                <w:kern w:val="0"/>
                <w:sz w:val="18"/>
                <w:szCs w:val="18"/>
              </w:rPr>
              <w:object w:dxaOrig="532" w:dyaOrig="285" w14:anchorId="47D4B2C0">
                <v:shape id="_x0000_i1028" type="#_x0000_t75" style="width:27.65pt;height:15.05pt" o:ole="">
                  <v:imagedata r:id="rId27" o:title=""/>
                </v:shape>
                <o:OLEObject Type="Embed" ProgID="Equation.DSMT4" ShapeID="_x0000_i1028" DrawAspect="Content" ObjectID="_1793792793" r:id="rId28"/>
              </w:object>
            </w:r>
          </w:p>
        </w:tc>
      </w:tr>
      <w:tr w:rsidR="00737EB2" w:rsidRPr="00765F6E" w14:paraId="74D6B177" w14:textId="77777777" w:rsidTr="00871D47">
        <w:trPr>
          <w:trHeight w:val="176"/>
        </w:trPr>
        <w:tc>
          <w:tcPr>
            <w:tcW w:w="1136" w:type="pct"/>
            <w:tcBorders>
              <w:bottom w:val="single" w:sz="8" w:space="0" w:color="auto"/>
            </w:tcBorders>
            <w:shd w:val="clear" w:color="auto" w:fill="auto"/>
            <w:vAlign w:val="center"/>
          </w:tcPr>
          <w:p w14:paraId="12DA6F35"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kern w:val="0"/>
                <w:sz w:val="18"/>
                <w:szCs w:val="18"/>
              </w:rPr>
              <w:t>市域C/D</w:t>
            </w:r>
          </w:p>
        </w:tc>
        <w:tc>
          <w:tcPr>
            <w:tcW w:w="1744" w:type="pct"/>
            <w:tcBorders>
              <w:bottom w:val="single" w:sz="8" w:space="0" w:color="auto"/>
            </w:tcBorders>
            <w:shd w:val="clear" w:color="auto" w:fill="auto"/>
            <w:vAlign w:val="center"/>
          </w:tcPr>
          <w:p w14:paraId="60E8FC00"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302DDA">
              <w:rPr>
                <w:rFonts w:ascii="宋体" w:eastAsia="宋体" w:hAnsi="宋体" w:cs="宋体"/>
                <w:kern w:val="0"/>
                <w:sz w:val="18"/>
                <w:szCs w:val="18"/>
              </w:rPr>
              <w:object w:dxaOrig="532" w:dyaOrig="285" w14:anchorId="45DA4265">
                <v:shape id="_x0000_i1029" type="#_x0000_t75" style="width:27.65pt;height:15.05pt" o:ole="">
                  <v:imagedata r:id="rId29" o:title=""/>
                </v:shape>
                <o:OLEObject Type="Embed" ProgID="Equation.DSMT4" ShapeID="_x0000_i1029" DrawAspect="Content" ObjectID="_1793792794" r:id="rId30"/>
              </w:object>
            </w:r>
          </w:p>
        </w:tc>
        <w:tc>
          <w:tcPr>
            <w:tcW w:w="2120" w:type="pct"/>
            <w:tcBorders>
              <w:bottom w:val="single" w:sz="8" w:space="0" w:color="auto"/>
            </w:tcBorders>
            <w:shd w:val="clear" w:color="auto" w:fill="auto"/>
            <w:vAlign w:val="center"/>
          </w:tcPr>
          <w:p w14:paraId="65186B3B"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302DDA">
              <w:rPr>
                <w:rFonts w:ascii="宋体" w:eastAsia="宋体" w:hAnsi="宋体" w:cs="宋体"/>
                <w:kern w:val="0"/>
                <w:sz w:val="18"/>
                <w:szCs w:val="18"/>
              </w:rPr>
              <w:object w:dxaOrig="532" w:dyaOrig="285" w14:anchorId="613203F1">
                <v:shape id="_x0000_i1030" type="#_x0000_t75" style="width:27.65pt;height:15.05pt" o:ole="">
                  <v:imagedata r:id="rId31" o:title=""/>
                </v:shape>
                <o:OLEObject Type="Embed" ProgID="Equation.DSMT4" ShapeID="_x0000_i1030" DrawAspect="Content" ObjectID="_1793792795" r:id="rId32"/>
              </w:object>
            </w:r>
          </w:p>
        </w:tc>
      </w:tr>
    </w:tbl>
    <w:p w14:paraId="6B6305CF" w14:textId="77777777" w:rsidR="00737EB2" w:rsidRPr="00765F6E" w:rsidRDefault="00737EB2" w:rsidP="00737EB2">
      <w:pPr>
        <w:spacing w:line="240" w:lineRule="auto"/>
      </w:pPr>
    </w:p>
    <w:p w14:paraId="50E2BF79" w14:textId="399AC72C" w:rsidR="00737EB2" w:rsidRPr="005D4937" w:rsidRDefault="00737EB2" w:rsidP="00737EB2">
      <w:pPr>
        <w:pStyle w:val="af6"/>
        <w:tabs>
          <w:tab w:val="left" w:pos="851"/>
        </w:tabs>
        <w:snapToGrid w:val="0"/>
        <w:contextualSpacing/>
        <w:rPr>
          <w:rFonts w:hAnsi="宋体"/>
        </w:rPr>
      </w:pPr>
      <w:r w:rsidRPr="00765F6E">
        <w:rPr>
          <w:rFonts w:hint="eastAsia"/>
        </w:rPr>
        <w:t>站台边缘不应侵入车辆限界。当列车最大过站速度不大于</w:t>
      </w:r>
      <w:r w:rsidR="002A34D0">
        <w:t>80</w:t>
      </w:r>
      <w:r w:rsidR="002A34D0" w:rsidRPr="00765F6E">
        <w:rPr>
          <w:rFonts w:hint="eastAsia"/>
        </w:rPr>
        <w:t>km</w:t>
      </w:r>
      <w:r w:rsidRPr="00765F6E">
        <w:rPr>
          <w:rFonts w:hint="eastAsia"/>
        </w:rPr>
        <w:t>/h时，站台边缘限界应按站台高度处车辆轮廓加</w:t>
      </w:r>
      <w:r w:rsidRPr="005D4937">
        <w:rPr>
          <w:rFonts w:hAnsi="宋体" w:hint="eastAsia"/>
        </w:rPr>
        <w:t>100mm确定；当列车最大过站速度大于</w:t>
      </w:r>
      <w:r w:rsidR="002A34D0">
        <w:rPr>
          <w:rFonts w:hAnsi="宋体"/>
        </w:rPr>
        <w:t>80</w:t>
      </w:r>
      <w:r w:rsidR="002A34D0" w:rsidRPr="005D4937">
        <w:rPr>
          <w:rFonts w:hAnsi="宋体" w:hint="eastAsia"/>
        </w:rPr>
        <w:t>km</w:t>
      </w:r>
      <w:r w:rsidRPr="005D4937">
        <w:rPr>
          <w:rFonts w:hAnsi="宋体" w:hint="eastAsia"/>
        </w:rPr>
        <w:t>/h时，站台边限界应按车辆限界加不小于10mm安全间隙确定，并不小于站台高度处车辆轮廓加100mm。</w:t>
      </w:r>
    </w:p>
    <w:p w14:paraId="25D866BE" w14:textId="77777777" w:rsidR="00737EB2" w:rsidRPr="005D4937" w:rsidRDefault="00737EB2" w:rsidP="009D0776">
      <w:pPr>
        <w:pStyle w:val="22"/>
      </w:pPr>
      <w:bookmarkStart w:id="604" w:name="_Toc153291055"/>
      <w:bookmarkStart w:id="605" w:name="_Toc99791623"/>
      <w:r w:rsidRPr="005D4937">
        <w:rPr>
          <w:rFonts w:hint="eastAsia"/>
        </w:rPr>
        <w:t>曲线站台边缘与车门之间间隙，应根据线路曲线半径和轨道超高计算确定。曲线站台边缘及站台门至线路中心线限界加宽，可分别根据直线地段车辆限界和设备限界计算，按附录</w:t>
      </w:r>
      <w:r w:rsidRPr="005D4937">
        <w:t>F</w:t>
      </w:r>
      <w:r w:rsidRPr="005D4937">
        <w:rPr>
          <w:rFonts w:hint="eastAsia"/>
        </w:rPr>
        <w:t>计算确定。曲线车站站台边缘与车辆轮廓线之间间隙不应大于180mm。</w:t>
      </w:r>
      <w:bookmarkEnd w:id="604"/>
      <w:bookmarkEnd w:id="605"/>
    </w:p>
    <w:p w14:paraId="79EA3C12" w14:textId="4B178B1A" w:rsidR="00737EB2" w:rsidRPr="005D4937" w:rsidRDefault="00737EB2" w:rsidP="009D0776">
      <w:pPr>
        <w:pStyle w:val="22"/>
      </w:pPr>
      <w:bookmarkStart w:id="606" w:name="_Toc99791624"/>
      <w:bookmarkStart w:id="607" w:name="_Toc153291056"/>
      <w:r w:rsidRPr="005D4937">
        <w:rPr>
          <w:rFonts w:hint="eastAsia"/>
        </w:rPr>
        <w:t>站台门不应侵入车辆限界，当列车最大过站速度不大于</w:t>
      </w:r>
      <w:r w:rsidR="002A34D0">
        <w:t>80</w:t>
      </w:r>
      <w:r w:rsidR="002A34D0" w:rsidRPr="005D4937">
        <w:rPr>
          <w:rFonts w:hint="eastAsia"/>
        </w:rPr>
        <w:t>km</w:t>
      </w:r>
      <w:r w:rsidRPr="005D4937">
        <w:rPr>
          <w:rFonts w:hint="eastAsia"/>
        </w:rPr>
        <w:t>/h时，不含施工误差及变形量站台门限界应按车辆轮廓线加130mm确定；当列车最大过站速度大于</w:t>
      </w:r>
      <w:r w:rsidR="002A34D0">
        <w:t>80</w:t>
      </w:r>
      <w:r w:rsidR="002A34D0" w:rsidRPr="005D4937">
        <w:rPr>
          <w:rFonts w:hint="eastAsia"/>
        </w:rPr>
        <w:t>km</w:t>
      </w:r>
      <w:r w:rsidRPr="005D4937">
        <w:rPr>
          <w:rFonts w:hint="eastAsia"/>
        </w:rPr>
        <w:t>/h时，站台</w:t>
      </w:r>
      <w:r w:rsidRPr="00765F6E">
        <w:rPr>
          <w:rFonts w:hint="eastAsia"/>
        </w:rPr>
        <w:t>门限界应按最大过站速度条件下车辆限界加</w:t>
      </w:r>
      <w:r w:rsidRPr="005D4937">
        <w:rPr>
          <w:rFonts w:hint="eastAsia"/>
        </w:rPr>
        <w:t>25mm</w:t>
      </w:r>
      <w:r w:rsidRPr="00765F6E">
        <w:rPr>
          <w:rFonts w:hint="eastAsia"/>
        </w:rPr>
        <w:t>确定，并不小于车辆轮廓</w:t>
      </w:r>
      <w:r w:rsidRPr="005D4937">
        <w:rPr>
          <w:rFonts w:hint="eastAsia"/>
        </w:rPr>
        <w:t>线加130mm</w:t>
      </w:r>
      <w:bookmarkEnd w:id="606"/>
      <w:r w:rsidRPr="005D4937">
        <w:rPr>
          <w:rFonts w:hint="eastAsia"/>
        </w:rPr>
        <w:t>。</w:t>
      </w:r>
      <w:bookmarkEnd w:id="607"/>
    </w:p>
    <w:p w14:paraId="2A0F6F75" w14:textId="77777777" w:rsidR="00737EB2" w:rsidRPr="00765F6E" w:rsidRDefault="00737EB2" w:rsidP="009D0776">
      <w:pPr>
        <w:pStyle w:val="22"/>
      </w:pPr>
      <w:bookmarkStart w:id="608" w:name="_Toc99791625"/>
      <w:bookmarkStart w:id="609" w:name="_Toc153291057"/>
      <w:r w:rsidRPr="005D4937">
        <w:rPr>
          <w:rFonts w:hint="eastAsia"/>
        </w:rPr>
        <w:t>人防隔断门和防淹门建筑限界宽度，其门框内边缘至设备限界安全间隙不应小于200mm，建筑限界高度应按矩形隧道限界高度确定。当车辆通过速度超过100km/h时，其门框内净空面积还宜考</w:t>
      </w:r>
      <w:r>
        <w:rPr>
          <w:rFonts w:hint="eastAsia"/>
        </w:rPr>
        <w:t>虑</w:t>
      </w:r>
      <w:r w:rsidRPr="00765F6E">
        <w:rPr>
          <w:rFonts w:hint="eastAsia"/>
        </w:rPr>
        <w:t>空气动力学影响。</w:t>
      </w:r>
      <w:bookmarkEnd w:id="608"/>
      <w:bookmarkEnd w:id="609"/>
    </w:p>
    <w:p w14:paraId="2D33AB27" w14:textId="77777777" w:rsidR="00737EB2" w:rsidRPr="00765F6E" w:rsidRDefault="00737EB2" w:rsidP="009D0776">
      <w:pPr>
        <w:pStyle w:val="22"/>
      </w:pPr>
      <w:bookmarkStart w:id="610" w:name="_Toc153291058"/>
      <w:bookmarkStart w:id="611" w:name="_Toc99791626"/>
      <w:r w:rsidRPr="00765F6E">
        <w:rPr>
          <w:rFonts w:hint="eastAsia"/>
        </w:rPr>
        <w:lastRenderedPageBreak/>
        <w:t>道岔警冲标至相邻两线的垂直距离应分别满足相邻两线设备限界的要求。</w:t>
      </w:r>
      <w:bookmarkEnd w:id="610"/>
      <w:bookmarkEnd w:id="611"/>
    </w:p>
    <w:p w14:paraId="3239D43B" w14:textId="77777777" w:rsidR="00737EB2" w:rsidRPr="00765F6E" w:rsidRDefault="00737EB2" w:rsidP="009D0776">
      <w:pPr>
        <w:pStyle w:val="22"/>
      </w:pPr>
      <w:bookmarkStart w:id="612" w:name="_Toc153291059"/>
      <w:bookmarkStart w:id="613" w:name="_Toc99791627"/>
      <w:r w:rsidRPr="00765F6E">
        <w:rPr>
          <w:rFonts w:hint="eastAsia"/>
        </w:rPr>
        <w:t>车辆基地建筑限界符合下列规定：</w:t>
      </w:r>
      <w:bookmarkEnd w:id="612"/>
      <w:bookmarkEnd w:id="613"/>
    </w:p>
    <w:p w14:paraId="6F8FA5D6" w14:textId="115C1298" w:rsidR="00737EB2" w:rsidRPr="00765F6E" w:rsidRDefault="00737EB2" w:rsidP="003334F3">
      <w:pPr>
        <w:pStyle w:val="af6"/>
        <w:numPr>
          <w:ilvl w:val="0"/>
          <w:numId w:val="49"/>
        </w:numPr>
        <w:tabs>
          <w:tab w:val="left" w:pos="851"/>
        </w:tabs>
        <w:snapToGrid w:val="0"/>
        <w:contextualSpacing/>
      </w:pPr>
      <w:r w:rsidRPr="00765F6E">
        <w:rPr>
          <w:rFonts w:hint="eastAsia"/>
        </w:rPr>
        <w:t>车辆基地库外限界应按不含疏散平台的矩形隧道区间建筑限界规定执行。考虑人员通行时，轨旁设备与车辆限界的距离不应小于600mm</w:t>
      </w:r>
      <w:r w:rsidR="009D1EA3">
        <w:rPr>
          <w:rFonts w:hint="eastAsia"/>
        </w:rPr>
        <w:t>；</w:t>
      </w:r>
    </w:p>
    <w:p w14:paraId="74D9EABD" w14:textId="0251C7FA" w:rsidR="00737EB2" w:rsidRPr="00765F6E" w:rsidRDefault="00737EB2" w:rsidP="003334F3">
      <w:pPr>
        <w:pStyle w:val="af6"/>
        <w:numPr>
          <w:ilvl w:val="0"/>
          <w:numId w:val="49"/>
        </w:numPr>
        <w:tabs>
          <w:tab w:val="left" w:pos="851"/>
        </w:tabs>
        <w:snapToGrid w:val="0"/>
        <w:contextualSpacing/>
      </w:pPr>
      <w:r w:rsidRPr="00765F6E">
        <w:rPr>
          <w:rFonts w:hint="eastAsia"/>
        </w:rPr>
        <w:t>车辆基地库内高架双层检修平台建筑限界应按行车速度不大于5km/h、空车、整体道床条件下计算的车辆限界确定，高平台及安全栅栏与车辆轮廓线之间宜留有80mm安全间隙，低平台边缘距线路中心线应与车站有效站台区域限界相同</w:t>
      </w:r>
      <w:r w:rsidR="009D1EA3">
        <w:rPr>
          <w:rFonts w:hint="eastAsia"/>
        </w:rPr>
        <w:t>；</w:t>
      </w:r>
    </w:p>
    <w:p w14:paraId="670F595B" w14:textId="3A48C3F3" w:rsidR="00737EB2" w:rsidRDefault="00737EB2" w:rsidP="003334F3">
      <w:pPr>
        <w:pStyle w:val="af6"/>
        <w:numPr>
          <w:ilvl w:val="0"/>
          <w:numId w:val="49"/>
        </w:numPr>
        <w:tabs>
          <w:tab w:val="left" w:pos="851"/>
        </w:tabs>
        <w:snapToGrid w:val="0"/>
        <w:contextualSpacing/>
      </w:pPr>
      <w:r w:rsidRPr="00765F6E">
        <w:rPr>
          <w:rFonts w:hint="eastAsia"/>
        </w:rPr>
        <w:t>受电弓车辆升弓进库时，车库大门应按受电弓限界确定，并符合电气间隙要求。</w:t>
      </w:r>
    </w:p>
    <w:p w14:paraId="52E3EC46" w14:textId="77777777" w:rsidR="00737EB2" w:rsidRPr="00765F6E" w:rsidRDefault="00737EB2" w:rsidP="009D0776">
      <w:pPr>
        <w:pStyle w:val="22"/>
      </w:pPr>
      <w:bookmarkStart w:id="614" w:name="_Toc153291060"/>
      <w:bookmarkStart w:id="615" w:name="_Toc99791628"/>
      <w:r w:rsidRPr="00765F6E">
        <w:rPr>
          <w:rFonts w:hint="eastAsia"/>
        </w:rPr>
        <w:t>直线地段疏散平台边缘与设备限界之间距离不应小</w:t>
      </w:r>
      <w:r w:rsidRPr="005D4937">
        <w:rPr>
          <w:rFonts w:hint="eastAsia"/>
        </w:rPr>
        <w:t>于20mm，曲线地段加宽应按矩形隧道曲线地段建筑限界加宽方法计算。</w:t>
      </w:r>
      <w:bookmarkEnd w:id="614"/>
      <w:bookmarkEnd w:id="615"/>
      <w:r w:rsidRPr="005D4937">
        <w:rPr>
          <w:rFonts w:hint="eastAsia"/>
        </w:rPr>
        <w:t>在车辆静止状态下，车辆轮廓距离疏散平</w:t>
      </w:r>
      <w:r w:rsidRPr="00765F6E">
        <w:rPr>
          <w:rFonts w:hint="eastAsia"/>
        </w:rPr>
        <w:t>台的间隙，曲线地段不应大于300mm。</w:t>
      </w:r>
    </w:p>
    <w:p w14:paraId="0CEC08B5" w14:textId="77777777" w:rsidR="00737EB2" w:rsidRPr="00765F6E" w:rsidRDefault="00737EB2" w:rsidP="00737EB2">
      <w:pPr>
        <w:pStyle w:val="affe"/>
        <w:spacing w:before="156" w:after="156"/>
      </w:pPr>
      <w:bookmarkStart w:id="616" w:name="_Toc153210833"/>
      <w:bookmarkStart w:id="617" w:name="_Toc153291061"/>
      <w:bookmarkStart w:id="618" w:name="_Toc99791629"/>
      <w:bookmarkStart w:id="619" w:name="_Toc167895731"/>
      <w:bookmarkStart w:id="620" w:name="_Toc174538645"/>
      <w:bookmarkStart w:id="621" w:name="_Toc182476397"/>
      <w:r w:rsidRPr="00765F6E">
        <w:rPr>
          <w:rFonts w:hint="eastAsia"/>
        </w:rPr>
        <w:t>轨旁设备及限界检测</w:t>
      </w:r>
      <w:bookmarkEnd w:id="616"/>
      <w:bookmarkEnd w:id="617"/>
      <w:bookmarkEnd w:id="618"/>
      <w:bookmarkEnd w:id="619"/>
      <w:bookmarkEnd w:id="620"/>
      <w:bookmarkEnd w:id="621"/>
    </w:p>
    <w:p w14:paraId="5616C1F9" w14:textId="77777777" w:rsidR="00737EB2" w:rsidRPr="00765F6E" w:rsidRDefault="00737EB2" w:rsidP="009D0776">
      <w:pPr>
        <w:pStyle w:val="22"/>
      </w:pPr>
      <w:bookmarkStart w:id="622" w:name="_Toc99791630"/>
      <w:bookmarkStart w:id="623" w:name="_Toc153291062"/>
      <w:r w:rsidRPr="00765F6E">
        <w:rPr>
          <w:rFonts w:hint="eastAsia"/>
        </w:rPr>
        <w:t>强弱电缆及设备宜分别布置于线路两侧，必需同侧布置时，其间距应符合强弱电干扰距离规定。</w:t>
      </w:r>
      <w:bookmarkEnd w:id="622"/>
      <w:bookmarkEnd w:id="623"/>
    </w:p>
    <w:p w14:paraId="421C4C77" w14:textId="1774097B" w:rsidR="00737EB2" w:rsidRPr="00765F6E" w:rsidRDefault="00737EB2" w:rsidP="009D0776">
      <w:pPr>
        <w:pStyle w:val="22"/>
      </w:pPr>
      <w:bookmarkStart w:id="624" w:name="_Toc153291063"/>
      <w:bookmarkStart w:id="625" w:name="_Toc99791631"/>
      <w:r w:rsidRPr="00765F6E">
        <w:rPr>
          <w:rFonts w:hint="eastAsia"/>
        </w:rPr>
        <w:t>采用左线行车时，区间疏散平台、强电电缆及设备宜设置在行车方向右侧，通信、信号等弱电电缆及设备、消防水管和信号机宜设置在行车方向左侧；采用右侧行车时，区间疏散平台、强电电缆及设备宜设置在行车方向左侧，通信、信号</w:t>
      </w:r>
      <w:r w:rsidR="0084480C">
        <w:rPr>
          <w:rFonts w:hint="eastAsia"/>
        </w:rPr>
        <w:t>等</w:t>
      </w:r>
      <w:r w:rsidRPr="00765F6E">
        <w:rPr>
          <w:rFonts w:hint="eastAsia"/>
        </w:rPr>
        <w:t>弱电电缆及设备、消防水管和信号机宜设置在行车方向右侧。</w:t>
      </w:r>
      <w:bookmarkEnd w:id="624"/>
      <w:bookmarkEnd w:id="625"/>
    </w:p>
    <w:p w14:paraId="52AE575B" w14:textId="77777777" w:rsidR="00737EB2" w:rsidRPr="00765F6E" w:rsidRDefault="00737EB2" w:rsidP="009D0776">
      <w:pPr>
        <w:pStyle w:val="22"/>
      </w:pPr>
      <w:bookmarkStart w:id="626" w:name="_Toc153291064"/>
      <w:bookmarkStart w:id="627" w:name="_Toc99791632"/>
      <w:r w:rsidRPr="00765F6E">
        <w:rPr>
          <w:rFonts w:hint="eastAsia"/>
        </w:rPr>
        <w:t>射流风机宜设置在隧道侧墙上方。</w:t>
      </w:r>
      <w:bookmarkEnd w:id="626"/>
      <w:bookmarkEnd w:id="627"/>
    </w:p>
    <w:p w14:paraId="055A2E01" w14:textId="77777777" w:rsidR="00737EB2" w:rsidRPr="00765F6E" w:rsidRDefault="00737EB2" w:rsidP="009D0776">
      <w:pPr>
        <w:pStyle w:val="22"/>
      </w:pPr>
      <w:bookmarkStart w:id="628" w:name="_Toc153291065"/>
      <w:bookmarkStart w:id="629" w:name="_Toc99791633"/>
      <w:r w:rsidRPr="00765F6E">
        <w:rPr>
          <w:rFonts w:hint="eastAsia"/>
        </w:rPr>
        <w:t>岛式车站的广告灯箱、信号机和弱电电缆宜设置于站台对侧，强电电缆宜设置在站台板下；侧式车站的广告灯箱宜设置在两线之间，弱电电缆宜设置于站台内的电缆通道，强电电缆宜设置在站台板下。</w:t>
      </w:r>
      <w:bookmarkEnd w:id="628"/>
      <w:bookmarkEnd w:id="629"/>
    </w:p>
    <w:p w14:paraId="6FA39E13" w14:textId="05977684" w:rsidR="00737EB2" w:rsidRDefault="00737EB2" w:rsidP="009D0776">
      <w:pPr>
        <w:pStyle w:val="22"/>
      </w:pPr>
      <w:bookmarkStart w:id="630" w:name="_Toc153291066"/>
      <w:bookmarkStart w:id="631" w:name="_Toc99791634"/>
      <w:r w:rsidRPr="00765F6E">
        <w:rPr>
          <w:rFonts w:hint="eastAsia"/>
        </w:rPr>
        <w:t>隧道贯通和设备安装后，应检测建筑限界和设备限界。</w:t>
      </w:r>
      <w:bookmarkEnd w:id="630"/>
      <w:bookmarkEnd w:id="631"/>
    </w:p>
    <w:p w14:paraId="3945BC60" w14:textId="6FA78860" w:rsidR="00A84D89" w:rsidRPr="00765F6E" w:rsidRDefault="00A84D89" w:rsidP="00A84D89">
      <w:pPr>
        <w:pStyle w:val="affe"/>
        <w:spacing w:before="156" w:after="156"/>
      </w:pPr>
      <w:bookmarkStart w:id="632" w:name="_Toc182476398"/>
      <w:r w:rsidRPr="00453DBE">
        <w:rPr>
          <w:rFonts w:hint="eastAsia"/>
        </w:rPr>
        <w:t>管线综</w:t>
      </w:r>
      <w:r>
        <w:rPr>
          <w:rFonts w:hint="eastAsia"/>
        </w:rPr>
        <w:t>合</w:t>
      </w:r>
      <w:bookmarkEnd w:id="632"/>
    </w:p>
    <w:p w14:paraId="059B1503" w14:textId="6D8E1F3E" w:rsidR="00A84D89" w:rsidRPr="00765F6E" w:rsidRDefault="00A84D89" w:rsidP="00A84D89">
      <w:pPr>
        <w:pStyle w:val="22"/>
      </w:pPr>
      <w:bookmarkStart w:id="633" w:name="_Hlk180154018"/>
      <w:r>
        <w:rPr>
          <w:rFonts w:hint="eastAsia"/>
        </w:rPr>
        <w:t>区间管线综合</w:t>
      </w:r>
      <w:r w:rsidR="009D1EA3">
        <w:rPr>
          <w:rFonts w:hint="eastAsia"/>
        </w:rPr>
        <w:t>：</w:t>
      </w:r>
    </w:p>
    <w:bookmarkEnd w:id="633"/>
    <w:p w14:paraId="422E5E62" w14:textId="5D2477A2" w:rsidR="00D040F3" w:rsidRDefault="00D040F3" w:rsidP="003334F3">
      <w:pPr>
        <w:pStyle w:val="af6"/>
        <w:numPr>
          <w:ilvl w:val="0"/>
          <w:numId w:val="298"/>
        </w:numPr>
      </w:pPr>
      <w:r>
        <w:rPr>
          <w:rFonts w:hint="eastAsia"/>
        </w:rPr>
        <w:t>区间设备、管线以及区间疏散平台的布置首先要满足限界要求</w:t>
      </w:r>
      <w:r w:rsidR="009D1EA3">
        <w:rPr>
          <w:rFonts w:hint="eastAsia"/>
        </w:rPr>
        <w:t>；</w:t>
      </w:r>
    </w:p>
    <w:p w14:paraId="2259312E" w14:textId="79B69CA4" w:rsidR="00D040F3" w:rsidRDefault="00D040F3" w:rsidP="003334F3">
      <w:pPr>
        <w:pStyle w:val="af6"/>
        <w:numPr>
          <w:ilvl w:val="0"/>
          <w:numId w:val="298"/>
        </w:numPr>
      </w:pPr>
      <w:r>
        <w:rPr>
          <w:rFonts w:hint="eastAsia"/>
        </w:rPr>
        <w:t>区间设备、管线的布置要满足相关专业、系统设备正常运行的需求以及对位置及空间的要求</w:t>
      </w:r>
      <w:r w:rsidR="009D1EA3">
        <w:rPr>
          <w:rFonts w:hint="eastAsia"/>
        </w:rPr>
        <w:t>；</w:t>
      </w:r>
    </w:p>
    <w:p w14:paraId="217E2689" w14:textId="0E98F5C8" w:rsidR="00D040F3" w:rsidRDefault="00D040F3" w:rsidP="003334F3">
      <w:pPr>
        <w:pStyle w:val="af6"/>
        <w:numPr>
          <w:ilvl w:val="0"/>
          <w:numId w:val="298"/>
        </w:numPr>
      </w:pPr>
      <w:r>
        <w:rPr>
          <w:rFonts w:hint="eastAsia"/>
        </w:rPr>
        <w:t>区间设备、管线综合的布置需尽量避免对乘客疏散的形成障碍，应尽量保证乘客疏散通道的连续性和无障碍性</w:t>
      </w:r>
      <w:r w:rsidR="009D1EA3">
        <w:rPr>
          <w:rFonts w:hint="eastAsia"/>
        </w:rPr>
        <w:t>；</w:t>
      </w:r>
    </w:p>
    <w:p w14:paraId="3E78708D" w14:textId="0507BF3D" w:rsidR="00D040F3" w:rsidRDefault="00D040F3" w:rsidP="003334F3">
      <w:pPr>
        <w:pStyle w:val="af6"/>
        <w:numPr>
          <w:ilvl w:val="0"/>
          <w:numId w:val="298"/>
        </w:numPr>
      </w:pPr>
      <w:r>
        <w:rPr>
          <w:rFonts w:hint="eastAsia"/>
        </w:rPr>
        <w:t>区间设备、管线综合的布置应顾全大局，各专业相互协调</w:t>
      </w:r>
      <w:r w:rsidR="009D1EA3">
        <w:rPr>
          <w:rFonts w:hint="eastAsia"/>
        </w:rPr>
        <w:t>；</w:t>
      </w:r>
    </w:p>
    <w:p w14:paraId="31A6F0A3" w14:textId="07E4A41F" w:rsidR="00D040F3" w:rsidRDefault="00D040F3" w:rsidP="003334F3">
      <w:pPr>
        <w:pStyle w:val="af6"/>
        <w:numPr>
          <w:ilvl w:val="0"/>
          <w:numId w:val="298"/>
        </w:numPr>
      </w:pPr>
      <w:r>
        <w:rPr>
          <w:rFonts w:hint="eastAsia"/>
        </w:rPr>
        <w:t>区间设备、管线综合设计要能明确指导各管线、设备的安装要求</w:t>
      </w:r>
      <w:r w:rsidR="009D1EA3">
        <w:rPr>
          <w:rFonts w:hint="eastAsia"/>
        </w:rPr>
        <w:t>；</w:t>
      </w:r>
    </w:p>
    <w:p w14:paraId="1EAA5709" w14:textId="392E9B30" w:rsidR="00A84D89" w:rsidRDefault="00D040F3" w:rsidP="003334F3">
      <w:pPr>
        <w:pStyle w:val="af6"/>
        <w:numPr>
          <w:ilvl w:val="0"/>
          <w:numId w:val="298"/>
        </w:numPr>
      </w:pPr>
      <w:r>
        <w:rPr>
          <w:rFonts w:hint="eastAsia"/>
        </w:rPr>
        <w:t>设置区间疏散平台原则上应具有连续性，并应结合区间疏散模式，合理设置平台辅助设备。各设备、管线以及区间疏散平台的设计应结合线路条件和区间结构条件，因地制宜。</w:t>
      </w:r>
    </w:p>
    <w:p w14:paraId="123B730C" w14:textId="227372BD" w:rsidR="00D040F3" w:rsidRPr="00765F6E" w:rsidRDefault="00D040F3" w:rsidP="00D040F3">
      <w:pPr>
        <w:pStyle w:val="22"/>
      </w:pPr>
      <w:r>
        <w:rPr>
          <w:rFonts w:hint="eastAsia"/>
        </w:rPr>
        <w:t>车站管线综合</w:t>
      </w:r>
      <w:r w:rsidR="009D1EA3">
        <w:rPr>
          <w:rFonts w:hint="eastAsia"/>
        </w:rPr>
        <w:t>：</w:t>
      </w:r>
    </w:p>
    <w:p w14:paraId="4B70407E" w14:textId="4B992BC5" w:rsidR="00D040F3" w:rsidRDefault="00D040F3" w:rsidP="003334F3">
      <w:pPr>
        <w:pStyle w:val="af6"/>
        <w:numPr>
          <w:ilvl w:val="0"/>
          <w:numId w:val="299"/>
        </w:numPr>
      </w:pPr>
      <w:r>
        <w:rPr>
          <w:rFonts w:hint="eastAsia"/>
        </w:rPr>
        <w:t>管线综合设计应遵循功能齐全、间距安全、空间合理、布局紧凑、便于安装、方便维护等原则，并兼顾经济与美观</w:t>
      </w:r>
      <w:r w:rsidR="009D1EA3">
        <w:rPr>
          <w:rFonts w:hint="eastAsia"/>
        </w:rPr>
        <w:t>；</w:t>
      </w:r>
    </w:p>
    <w:p w14:paraId="3A1F50CA" w14:textId="17D98246" w:rsidR="00D040F3" w:rsidRDefault="00D040F3" w:rsidP="003334F3">
      <w:pPr>
        <w:pStyle w:val="af6"/>
        <w:numPr>
          <w:ilvl w:val="0"/>
          <w:numId w:val="299"/>
        </w:numPr>
      </w:pPr>
      <w:r>
        <w:rPr>
          <w:rFonts w:hint="eastAsia"/>
        </w:rPr>
        <w:t>综合布置的多根管线宜采用综合支吊架，综合支吊架的荷载、位置、间距应满足管线受力要求，支吊架的杆件、节点、锚固点强度应经计算确定。抗震措施应符合GB 50981的相关规定</w:t>
      </w:r>
      <w:r w:rsidR="009D1EA3">
        <w:rPr>
          <w:rFonts w:hint="eastAsia"/>
        </w:rPr>
        <w:t>；</w:t>
      </w:r>
    </w:p>
    <w:p w14:paraId="33BCEA3B" w14:textId="5B145079" w:rsidR="00D040F3" w:rsidRDefault="00D040F3" w:rsidP="003334F3">
      <w:pPr>
        <w:pStyle w:val="af6"/>
        <w:numPr>
          <w:ilvl w:val="0"/>
          <w:numId w:val="299"/>
        </w:numPr>
      </w:pPr>
      <w:r>
        <w:rPr>
          <w:rFonts w:hint="eastAsia"/>
        </w:rPr>
        <w:t>车站管线综合区域宜包括车站公共区、设备管理用房去的管线走行空间、站台轨行区侧墙及站台板下空间</w:t>
      </w:r>
      <w:r w:rsidR="009D1EA3">
        <w:rPr>
          <w:rFonts w:hint="eastAsia"/>
        </w:rPr>
        <w:t>；</w:t>
      </w:r>
    </w:p>
    <w:p w14:paraId="33C30D23" w14:textId="00355B19" w:rsidR="00D040F3" w:rsidRDefault="00D040F3" w:rsidP="003334F3">
      <w:pPr>
        <w:pStyle w:val="af6"/>
        <w:numPr>
          <w:ilvl w:val="0"/>
          <w:numId w:val="299"/>
        </w:numPr>
      </w:pPr>
      <w:r>
        <w:rPr>
          <w:rFonts w:hint="eastAsia"/>
        </w:rPr>
        <w:t>管线综合范围宜包括通风、防排烟、空调水、给水排水管道，以及电力母线、强弱电的桥架布线、灯具、风口及吊顶内的各种机电设备、设施，不宜包括给水的末端支管和强弱电的末端配线</w:t>
      </w:r>
      <w:r w:rsidR="009D1EA3">
        <w:rPr>
          <w:rFonts w:hint="eastAsia"/>
        </w:rPr>
        <w:t>；</w:t>
      </w:r>
    </w:p>
    <w:p w14:paraId="4C52526B" w14:textId="06A406A4" w:rsidR="00D040F3" w:rsidRDefault="00D040F3" w:rsidP="003334F3">
      <w:pPr>
        <w:pStyle w:val="af6"/>
        <w:numPr>
          <w:ilvl w:val="0"/>
          <w:numId w:val="299"/>
        </w:numPr>
      </w:pPr>
      <w:r>
        <w:rPr>
          <w:rFonts w:hint="eastAsia"/>
        </w:rPr>
        <w:t>管线宜贴顶布置，应避开设备吊装孔、风系统风口、设备运输预留门洞</w:t>
      </w:r>
      <w:r w:rsidR="009D1EA3">
        <w:rPr>
          <w:rFonts w:hint="eastAsia"/>
        </w:rPr>
        <w:t>；</w:t>
      </w:r>
    </w:p>
    <w:p w14:paraId="1F9AC207" w14:textId="5B1FCFC0" w:rsidR="00D040F3" w:rsidRDefault="00D040F3" w:rsidP="003334F3">
      <w:pPr>
        <w:pStyle w:val="af6"/>
        <w:numPr>
          <w:ilvl w:val="0"/>
          <w:numId w:val="299"/>
        </w:numPr>
      </w:pPr>
      <w:r>
        <w:rPr>
          <w:rFonts w:hint="eastAsia"/>
        </w:rPr>
        <w:t>与设备无直接关系的管线不宜布置在设备的正上、下方，空调送风口不得布置在电气设备正上方</w:t>
      </w:r>
      <w:r w:rsidR="009D1EA3">
        <w:rPr>
          <w:rFonts w:hint="eastAsia"/>
        </w:rPr>
        <w:t>；</w:t>
      </w:r>
    </w:p>
    <w:p w14:paraId="05A008B6" w14:textId="77777777" w:rsidR="00D040F3" w:rsidRPr="00A84D89" w:rsidRDefault="00D040F3" w:rsidP="003334F3">
      <w:pPr>
        <w:pStyle w:val="af6"/>
        <w:numPr>
          <w:ilvl w:val="0"/>
          <w:numId w:val="299"/>
        </w:numPr>
      </w:pPr>
      <w:r>
        <w:rPr>
          <w:rFonts w:hint="eastAsia"/>
        </w:rPr>
        <w:lastRenderedPageBreak/>
        <w:t>多层管线布置时，通风及防排烟管道、电缆桥架、水管宜按上、中、下排列布置，且管线的布置应为设备、阀门、仪表、传感器、探测器、执行器等部件预留足够的检修空间。</w:t>
      </w:r>
    </w:p>
    <w:p w14:paraId="72F42434" w14:textId="77777777" w:rsidR="00737EB2" w:rsidRPr="00765F6E" w:rsidRDefault="00737EB2" w:rsidP="00737EB2">
      <w:pPr>
        <w:pStyle w:val="affd"/>
        <w:spacing w:before="312" w:after="312"/>
      </w:pPr>
      <w:bookmarkStart w:id="634" w:name="_Toc153291067"/>
      <w:bookmarkStart w:id="635" w:name="_Toc153210834"/>
      <w:bookmarkStart w:id="636" w:name="_Toc99791635"/>
      <w:bookmarkStart w:id="637" w:name="_Toc167895732"/>
      <w:bookmarkStart w:id="638" w:name="_Toc174538646"/>
      <w:bookmarkStart w:id="639" w:name="_Toc182476399"/>
      <w:r w:rsidRPr="00765F6E">
        <w:rPr>
          <w:rFonts w:hint="eastAsia"/>
        </w:rPr>
        <w:t>线路</w:t>
      </w:r>
      <w:bookmarkEnd w:id="634"/>
      <w:bookmarkEnd w:id="635"/>
      <w:bookmarkEnd w:id="636"/>
      <w:bookmarkEnd w:id="637"/>
      <w:bookmarkEnd w:id="638"/>
      <w:bookmarkEnd w:id="639"/>
    </w:p>
    <w:p w14:paraId="1B1DCEE9" w14:textId="77777777" w:rsidR="00737EB2" w:rsidRPr="00765F6E" w:rsidRDefault="00737EB2" w:rsidP="00737EB2">
      <w:pPr>
        <w:pStyle w:val="affe"/>
        <w:spacing w:before="156" w:after="156"/>
      </w:pPr>
      <w:bookmarkStart w:id="640" w:name="_Toc153291068"/>
      <w:bookmarkStart w:id="641" w:name="_Toc153210835"/>
      <w:bookmarkStart w:id="642" w:name="_Toc99791636"/>
      <w:bookmarkStart w:id="643" w:name="_Toc167895733"/>
      <w:bookmarkStart w:id="644" w:name="_Toc174538647"/>
      <w:bookmarkStart w:id="645" w:name="_Toc182476400"/>
      <w:r w:rsidRPr="00765F6E">
        <w:rPr>
          <w:rFonts w:hint="eastAsia"/>
        </w:rPr>
        <w:t>一般规定</w:t>
      </w:r>
      <w:bookmarkEnd w:id="640"/>
      <w:bookmarkEnd w:id="641"/>
      <w:bookmarkEnd w:id="642"/>
      <w:bookmarkEnd w:id="643"/>
      <w:bookmarkEnd w:id="644"/>
      <w:bookmarkEnd w:id="645"/>
    </w:p>
    <w:p w14:paraId="61978966" w14:textId="6D804D63" w:rsidR="00737EB2" w:rsidRPr="00CC17FB" w:rsidRDefault="00737EB2" w:rsidP="009D0776">
      <w:pPr>
        <w:pStyle w:val="22"/>
      </w:pPr>
      <w:bookmarkStart w:id="646" w:name="_Toc99791637"/>
      <w:bookmarkStart w:id="647" w:name="_Toc153291069"/>
      <w:r w:rsidRPr="00CC17FB">
        <w:rPr>
          <w:rFonts w:hint="eastAsia"/>
        </w:rPr>
        <w:t>线路按其在运营中的作用，可分为正线、到发线</w:t>
      </w:r>
      <w:r w:rsidR="00883F1E">
        <w:rPr>
          <w:rFonts w:hint="eastAsia"/>
        </w:rPr>
        <w:t>等</w:t>
      </w:r>
      <w:r w:rsidRPr="00CC17FB">
        <w:rPr>
          <w:rFonts w:hint="eastAsia"/>
        </w:rPr>
        <w:t>配线及车场线。</w:t>
      </w:r>
      <w:bookmarkEnd w:id="646"/>
      <w:bookmarkEnd w:id="647"/>
    </w:p>
    <w:p w14:paraId="0D7EF635" w14:textId="77777777" w:rsidR="00737EB2" w:rsidRPr="00765F6E" w:rsidRDefault="00737EB2" w:rsidP="009D0776">
      <w:pPr>
        <w:pStyle w:val="22"/>
      </w:pPr>
      <w:bookmarkStart w:id="648" w:name="_Toc153291070"/>
      <w:bookmarkStart w:id="649" w:name="_Toc99791638"/>
      <w:r w:rsidRPr="00765F6E">
        <w:rPr>
          <w:rFonts w:hint="eastAsia"/>
        </w:rPr>
        <w:t>线路平面、纵断面设计应符合线路平顺性和乘坐舒适度。</w:t>
      </w:r>
      <w:bookmarkEnd w:id="648"/>
      <w:bookmarkEnd w:id="649"/>
    </w:p>
    <w:p w14:paraId="5AB81529" w14:textId="77777777" w:rsidR="00737EB2" w:rsidRPr="00765F6E" w:rsidRDefault="00737EB2" w:rsidP="009D0776">
      <w:pPr>
        <w:pStyle w:val="22"/>
      </w:pPr>
      <w:bookmarkStart w:id="650" w:name="_Toc153291071"/>
      <w:bookmarkStart w:id="651" w:name="_Toc99791639"/>
      <w:r w:rsidRPr="00765F6E">
        <w:rPr>
          <w:rFonts w:hint="eastAsia"/>
        </w:rPr>
        <w:t>正线平面、纵断面设计应根据线路沿线条件合理选用技术标准。</w:t>
      </w:r>
      <w:bookmarkEnd w:id="650"/>
      <w:bookmarkEnd w:id="651"/>
    </w:p>
    <w:p w14:paraId="6310B1CA" w14:textId="718A9F10" w:rsidR="00737EB2" w:rsidRPr="00765F6E" w:rsidRDefault="00737EB2" w:rsidP="009D0776">
      <w:pPr>
        <w:pStyle w:val="22"/>
      </w:pPr>
      <w:bookmarkStart w:id="652" w:name="_Toc99791640"/>
      <w:bookmarkStart w:id="653" w:name="_Toc153291072"/>
      <w:r w:rsidRPr="00765F6E">
        <w:rPr>
          <w:rFonts w:hint="eastAsia"/>
        </w:rPr>
        <w:t>车站两端正线平面、纵断面设计标准可</w:t>
      </w:r>
      <w:r w:rsidR="00926010">
        <w:rPr>
          <w:rFonts w:hint="eastAsia"/>
        </w:rPr>
        <w:t>结合列车通过车站允许速度确定</w:t>
      </w:r>
      <w:r w:rsidRPr="00765F6E">
        <w:rPr>
          <w:rFonts w:hint="eastAsia"/>
        </w:rPr>
        <w:t>。</w:t>
      </w:r>
      <w:bookmarkEnd w:id="652"/>
      <w:bookmarkEnd w:id="653"/>
    </w:p>
    <w:p w14:paraId="128181CE" w14:textId="77777777" w:rsidR="00737EB2" w:rsidRPr="00765F6E" w:rsidRDefault="00737EB2" w:rsidP="009D0776">
      <w:pPr>
        <w:pStyle w:val="22"/>
      </w:pPr>
      <w:bookmarkStart w:id="654" w:name="_Toc153291073"/>
      <w:bookmarkStart w:id="655" w:name="_Toc99791641"/>
      <w:r w:rsidRPr="007C2200">
        <w:rPr>
          <w:rFonts w:hint="eastAsia"/>
        </w:rPr>
        <w:t>联络线</w:t>
      </w:r>
      <w:r w:rsidRPr="00765F6E">
        <w:rPr>
          <w:rFonts w:hint="eastAsia"/>
        </w:rPr>
        <w:t>用于跨线运营时，其平面、纵断面设计标准应根据设计速度，按正线速度等级标准合理选用；用于资源共享时，其平、纵断面设计标准应根据工程条件及行车速度确定。</w:t>
      </w:r>
      <w:bookmarkEnd w:id="654"/>
      <w:bookmarkEnd w:id="655"/>
    </w:p>
    <w:p w14:paraId="3F1AE281" w14:textId="77777777" w:rsidR="00737EB2" w:rsidRPr="00765F6E" w:rsidRDefault="00737EB2" w:rsidP="009D0776">
      <w:pPr>
        <w:pStyle w:val="22"/>
      </w:pPr>
      <w:bookmarkStart w:id="656" w:name="_Toc153291075"/>
      <w:bookmarkStart w:id="657" w:name="_Toc99791643"/>
      <w:r w:rsidRPr="00765F6E">
        <w:rPr>
          <w:rFonts w:hint="eastAsia"/>
        </w:rPr>
        <w:t>线路敷设方式应符合下列规定：</w:t>
      </w:r>
      <w:bookmarkEnd w:id="656"/>
      <w:bookmarkEnd w:id="657"/>
    </w:p>
    <w:p w14:paraId="057046D5" w14:textId="77777777" w:rsidR="00737EB2" w:rsidRPr="00765F6E" w:rsidRDefault="00737EB2" w:rsidP="003334F3">
      <w:pPr>
        <w:pStyle w:val="af6"/>
        <w:numPr>
          <w:ilvl w:val="0"/>
          <w:numId w:val="51"/>
        </w:numPr>
        <w:tabs>
          <w:tab w:val="left" w:pos="851"/>
        </w:tabs>
        <w:snapToGrid w:val="0"/>
        <w:contextualSpacing/>
        <w:rPr>
          <w:rFonts w:hAnsi="宋体"/>
        </w:rPr>
      </w:pPr>
      <w:r w:rsidRPr="00765F6E">
        <w:rPr>
          <w:rFonts w:hAnsi="宋体" w:hint="eastAsia"/>
        </w:rPr>
        <w:t>地面线应符合与其他设施设备安全距离的要求；</w:t>
      </w:r>
    </w:p>
    <w:p w14:paraId="3F5A164C" w14:textId="77777777" w:rsidR="00737EB2" w:rsidRPr="00765F6E" w:rsidRDefault="00737EB2" w:rsidP="003334F3">
      <w:pPr>
        <w:pStyle w:val="af6"/>
        <w:numPr>
          <w:ilvl w:val="0"/>
          <w:numId w:val="51"/>
        </w:numPr>
        <w:tabs>
          <w:tab w:val="left" w:pos="851"/>
        </w:tabs>
        <w:snapToGrid w:val="0"/>
        <w:contextualSpacing/>
        <w:rPr>
          <w:rFonts w:hAnsi="宋体"/>
        </w:rPr>
      </w:pPr>
      <w:r w:rsidRPr="00765F6E">
        <w:rPr>
          <w:rFonts w:hAnsi="宋体" w:hint="eastAsia"/>
        </w:rPr>
        <w:t>高架线路应符合结构造型、规模及景观性要求；</w:t>
      </w:r>
    </w:p>
    <w:p w14:paraId="7E162EEF" w14:textId="77777777" w:rsidR="00737EB2" w:rsidRPr="00765F6E" w:rsidRDefault="00737EB2" w:rsidP="003334F3">
      <w:pPr>
        <w:pStyle w:val="af6"/>
        <w:numPr>
          <w:ilvl w:val="0"/>
          <w:numId w:val="51"/>
        </w:numPr>
        <w:tabs>
          <w:tab w:val="left" w:pos="851"/>
        </w:tabs>
        <w:snapToGrid w:val="0"/>
        <w:contextualSpacing/>
        <w:rPr>
          <w:rFonts w:hAnsi="宋体"/>
        </w:rPr>
      </w:pPr>
      <w:r w:rsidRPr="00765F6E">
        <w:rPr>
          <w:rFonts w:hAnsi="宋体" w:hint="eastAsia"/>
        </w:rPr>
        <w:t>地下线路埋设深度应根据工程及水文地质条件、隧道形式及工法综合确定；隧道顶部覆土厚度应符合地面绿化、地下管线布设和综合利用地下空间资源等要求。</w:t>
      </w:r>
    </w:p>
    <w:p w14:paraId="3413720C" w14:textId="77777777" w:rsidR="00737EB2" w:rsidRPr="00765F6E" w:rsidRDefault="00737EB2" w:rsidP="00737EB2">
      <w:pPr>
        <w:pStyle w:val="affe"/>
        <w:spacing w:before="156" w:after="156"/>
      </w:pPr>
      <w:bookmarkStart w:id="658" w:name="_Toc153291076"/>
      <w:bookmarkStart w:id="659" w:name="_Toc153210836"/>
      <w:bookmarkStart w:id="660" w:name="_Toc99791644"/>
      <w:bookmarkStart w:id="661" w:name="_Toc167895734"/>
      <w:bookmarkStart w:id="662" w:name="_Toc174538648"/>
      <w:bookmarkStart w:id="663" w:name="_Toc182476401"/>
      <w:r w:rsidRPr="00765F6E">
        <w:rPr>
          <w:rFonts w:hint="eastAsia"/>
        </w:rPr>
        <w:t>线路平面</w:t>
      </w:r>
      <w:bookmarkEnd w:id="658"/>
      <w:bookmarkEnd w:id="659"/>
      <w:bookmarkEnd w:id="660"/>
      <w:bookmarkEnd w:id="661"/>
      <w:bookmarkEnd w:id="662"/>
      <w:bookmarkEnd w:id="663"/>
    </w:p>
    <w:p w14:paraId="690B0D80" w14:textId="77777777" w:rsidR="00737EB2" w:rsidRPr="005D4937" w:rsidRDefault="00737EB2" w:rsidP="009D0776">
      <w:pPr>
        <w:pStyle w:val="22"/>
      </w:pPr>
      <w:bookmarkStart w:id="664" w:name="_Toc153291077"/>
      <w:bookmarkStart w:id="665" w:name="_Toc99791645"/>
      <w:r w:rsidRPr="00765F6E">
        <w:rPr>
          <w:rFonts w:hint="eastAsia"/>
        </w:rPr>
        <w:t>正</w:t>
      </w:r>
      <w:r w:rsidRPr="005D4937">
        <w:rPr>
          <w:rFonts w:hint="eastAsia"/>
        </w:rPr>
        <w:t>线平面曲线半径应结合路段设计速度及工程条件等因素，因地制宜，由大到小合理选用，最大值不应大于12000m。</w:t>
      </w:r>
      <w:bookmarkEnd w:id="664"/>
      <w:bookmarkEnd w:id="665"/>
    </w:p>
    <w:p w14:paraId="6811CADA" w14:textId="77777777" w:rsidR="00737EB2" w:rsidRPr="00765F6E" w:rsidRDefault="00737EB2" w:rsidP="009D0776">
      <w:pPr>
        <w:pStyle w:val="22"/>
      </w:pPr>
      <w:bookmarkStart w:id="666" w:name="_Toc153291078"/>
      <w:bookmarkStart w:id="667" w:name="_Toc99791646"/>
      <w:r w:rsidRPr="005D4937">
        <w:rPr>
          <w:rFonts w:hint="eastAsia"/>
        </w:rPr>
        <w:t>正线平面最小曲线半径</w:t>
      </w:r>
      <w:r w:rsidRPr="00765F6E">
        <w:rPr>
          <w:rFonts w:hint="eastAsia"/>
        </w:rPr>
        <w:t>选用符合下列规定：</w:t>
      </w:r>
      <w:bookmarkEnd w:id="666"/>
      <w:bookmarkEnd w:id="667"/>
    </w:p>
    <w:p w14:paraId="0DA007DB" w14:textId="6E0529E9" w:rsidR="00737EB2" w:rsidRPr="00765F6E" w:rsidRDefault="00737EB2" w:rsidP="003334F3">
      <w:pPr>
        <w:pStyle w:val="af6"/>
        <w:numPr>
          <w:ilvl w:val="0"/>
          <w:numId w:val="52"/>
        </w:numPr>
        <w:tabs>
          <w:tab w:val="left" w:pos="851"/>
        </w:tabs>
        <w:snapToGrid w:val="0"/>
        <w:contextualSpacing/>
      </w:pPr>
      <w:r w:rsidRPr="00765F6E">
        <w:rPr>
          <w:rFonts w:hint="eastAsia"/>
        </w:rPr>
        <w:t>与设计速度匹配的平面最小曲线半径应符合表</w:t>
      </w:r>
      <w:r w:rsidR="00E512B4">
        <w:t>9</w:t>
      </w:r>
      <w:r w:rsidRPr="00765F6E">
        <w:rPr>
          <w:rFonts w:hint="eastAsia"/>
        </w:rPr>
        <w:t>的规定；</w:t>
      </w:r>
    </w:p>
    <w:p w14:paraId="4F5A1D4C" w14:textId="77777777" w:rsidR="00737EB2" w:rsidRPr="00765F6E" w:rsidRDefault="00737EB2" w:rsidP="00737EB2">
      <w:pPr>
        <w:pStyle w:val="aff3"/>
        <w:spacing w:before="156" w:after="156"/>
        <w:rPr>
          <w:rFonts w:ascii="宋体" w:eastAsia="宋体" w:hAnsi="宋体" w:cs="宋体"/>
          <w:sz w:val="18"/>
          <w:szCs w:val="18"/>
        </w:rPr>
      </w:pPr>
      <w:r w:rsidRPr="00765F6E">
        <w:rPr>
          <w:rFonts w:hint="eastAsia"/>
        </w:rPr>
        <w:t>平面最小曲线半径</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94"/>
        <w:gridCol w:w="1632"/>
        <w:gridCol w:w="1632"/>
        <w:gridCol w:w="1376"/>
      </w:tblGrid>
      <w:tr w:rsidR="00737EB2" w:rsidRPr="00765F6E" w14:paraId="3555ABC7" w14:textId="77777777" w:rsidTr="00871D47">
        <w:trPr>
          <w:trHeight w:val="176"/>
          <w:jc w:val="center"/>
        </w:trPr>
        <w:tc>
          <w:tcPr>
            <w:tcW w:w="2515" w:type="pct"/>
            <w:tcBorders>
              <w:top w:val="single" w:sz="8" w:space="0" w:color="auto"/>
              <w:left w:val="single" w:sz="8" w:space="0" w:color="auto"/>
              <w:bottom w:val="single" w:sz="8" w:space="0" w:color="auto"/>
            </w:tcBorders>
            <w:shd w:val="clear" w:color="auto" w:fill="auto"/>
            <w:vAlign w:val="center"/>
          </w:tcPr>
          <w:p w14:paraId="4F22C40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设计速度</w:t>
            </w:r>
            <w:r w:rsidRPr="00765F6E">
              <w:rPr>
                <w:rFonts w:ascii="宋体" w:hAnsi="宋体" w:cs="宋体" w:hint="eastAsia"/>
                <w:kern w:val="0"/>
                <w:sz w:val="18"/>
                <w:szCs w:val="18"/>
              </w:rPr>
              <w:t>/（</w:t>
            </w:r>
            <w:r w:rsidRPr="00765F6E">
              <w:rPr>
                <w:rFonts w:ascii="宋体" w:hAnsi="宋体" w:cs="宋体"/>
                <w:kern w:val="0"/>
                <w:sz w:val="18"/>
                <w:szCs w:val="18"/>
              </w:rPr>
              <w:t>km/h</w:t>
            </w:r>
            <w:r w:rsidRPr="00765F6E">
              <w:rPr>
                <w:rFonts w:ascii="宋体" w:hAnsi="宋体" w:cs="宋体" w:hint="eastAsia"/>
                <w:kern w:val="0"/>
                <w:sz w:val="18"/>
                <w:szCs w:val="18"/>
              </w:rPr>
              <w:t>）</w:t>
            </w:r>
          </w:p>
        </w:tc>
        <w:tc>
          <w:tcPr>
            <w:tcW w:w="874" w:type="pct"/>
            <w:tcBorders>
              <w:top w:val="single" w:sz="8" w:space="0" w:color="auto"/>
              <w:bottom w:val="single" w:sz="8" w:space="0" w:color="auto"/>
            </w:tcBorders>
            <w:shd w:val="clear" w:color="auto" w:fill="auto"/>
            <w:vAlign w:val="center"/>
          </w:tcPr>
          <w:p w14:paraId="03C7FF9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160</w:t>
            </w:r>
          </w:p>
        </w:tc>
        <w:tc>
          <w:tcPr>
            <w:tcW w:w="874" w:type="pct"/>
            <w:tcBorders>
              <w:top w:val="single" w:sz="8" w:space="0" w:color="auto"/>
              <w:bottom w:val="single" w:sz="8" w:space="0" w:color="auto"/>
            </w:tcBorders>
            <w:shd w:val="clear" w:color="auto" w:fill="auto"/>
            <w:vAlign w:val="center"/>
          </w:tcPr>
          <w:p w14:paraId="2AA507A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140</w:t>
            </w:r>
          </w:p>
        </w:tc>
        <w:tc>
          <w:tcPr>
            <w:tcW w:w="737" w:type="pct"/>
            <w:tcBorders>
              <w:top w:val="single" w:sz="8" w:space="0" w:color="auto"/>
              <w:bottom w:val="single" w:sz="8" w:space="0" w:color="auto"/>
              <w:right w:val="single" w:sz="8" w:space="0" w:color="auto"/>
            </w:tcBorders>
            <w:shd w:val="clear" w:color="auto" w:fill="auto"/>
            <w:vAlign w:val="center"/>
          </w:tcPr>
          <w:p w14:paraId="1823ED5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120</w:t>
            </w:r>
          </w:p>
        </w:tc>
      </w:tr>
      <w:tr w:rsidR="00737EB2" w:rsidRPr="00765F6E" w14:paraId="74A50A9D" w14:textId="77777777" w:rsidTr="00871D47">
        <w:trPr>
          <w:trHeight w:val="176"/>
          <w:jc w:val="center"/>
        </w:trPr>
        <w:tc>
          <w:tcPr>
            <w:tcW w:w="2515" w:type="pct"/>
            <w:tcBorders>
              <w:top w:val="single" w:sz="8" w:space="0" w:color="auto"/>
              <w:left w:val="single" w:sz="8" w:space="0" w:color="auto"/>
            </w:tcBorders>
            <w:shd w:val="clear" w:color="auto" w:fill="auto"/>
            <w:vAlign w:val="center"/>
          </w:tcPr>
          <w:p w14:paraId="32ABC47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一般</w:t>
            </w:r>
            <w:r w:rsidRPr="00765F6E">
              <w:rPr>
                <w:rFonts w:ascii="宋体" w:hAnsi="宋体" w:cs="宋体" w:hint="eastAsia"/>
                <w:kern w:val="0"/>
                <w:sz w:val="18"/>
                <w:szCs w:val="18"/>
              </w:rPr>
              <w:t>/</w:t>
            </w:r>
            <w:r w:rsidRPr="00765F6E">
              <w:rPr>
                <w:rFonts w:ascii="宋体" w:hAnsi="宋体" w:cs="宋体"/>
                <w:kern w:val="0"/>
                <w:sz w:val="18"/>
                <w:szCs w:val="18"/>
              </w:rPr>
              <w:t>m</w:t>
            </w:r>
          </w:p>
        </w:tc>
        <w:tc>
          <w:tcPr>
            <w:tcW w:w="874" w:type="pct"/>
            <w:tcBorders>
              <w:top w:val="single" w:sz="8" w:space="0" w:color="auto"/>
            </w:tcBorders>
            <w:shd w:val="clear" w:color="auto" w:fill="auto"/>
            <w:vAlign w:val="center"/>
          </w:tcPr>
          <w:p w14:paraId="029CD48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1400</w:t>
            </w:r>
          </w:p>
        </w:tc>
        <w:tc>
          <w:tcPr>
            <w:tcW w:w="874" w:type="pct"/>
            <w:tcBorders>
              <w:top w:val="single" w:sz="8" w:space="0" w:color="auto"/>
            </w:tcBorders>
            <w:shd w:val="clear" w:color="auto" w:fill="auto"/>
            <w:vAlign w:val="center"/>
          </w:tcPr>
          <w:p w14:paraId="5592544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1100</w:t>
            </w:r>
          </w:p>
        </w:tc>
        <w:tc>
          <w:tcPr>
            <w:tcW w:w="737" w:type="pct"/>
            <w:tcBorders>
              <w:top w:val="single" w:sz="8" w:space="0" w:color="auto"/>
              <w:right w:val="single" w:sz="8" w:space="0" w:color="auto"/>
            </w:tcBorders>
            <w:shd w:val="clear" w:color="auto" w:fill="auto"/>
            <w:vAlign w:val="center"/>
          </w:tcPr>
          <w:p w14:paraId="69B8E13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800</w:t>
            </w:r>
          </w:p>
        </w:tc>
      </w:tr>
      <w:tr w:rsidR="00737EB2" w:rsidRPr="00765F6E" w14:paraId="5C114422" w14:textId="77777777" w:rsidTr="00871D47">
        <w:trPr>
          <w:trHeight w:val="176"/>
          <w:jc w:val="center"/>
        </w:trPr>
        <w:tc>
          <w:tcPr>
            <w:tcW w:w="2515" w:type="pct"/>
            <w:tcBorders>
              <w:left w:val="single" w:sz="8" w:space="0" w:color="auto"/>
            </w:tcBorders>
            <w:shd w:val="clear" w:color="auto" w:fill="auto"/>
            <w:vAlign w:val="center"/>
          </w:tcPr>
          <w:p w14:paraId="7A95311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困难</w:t>
            </w:r>
            <w:r w:rsidRPr="00765F6E">
              <w:rPr>
                <w:rFonts w:ascii="宋体" w:hAnsi="宋体" w:cs="宋体" w:hint="eastAsia"/>
                <w:kern w:val="0"/>
                <w:sz w:val="18"/>
                <w:szCs w:val="18"/>
              </w:rPr>
              <w:t>/</w:t>
            </w:r>
            <w:r w:rsidRPr="00765F6E">
              <w:rPr>
                <w:rFonts w:ascii="宋体" w:hAnsi="宋体" w:cs="宋体"/>
                <w:kern w:val="0"/>
                <w:sz w:val="18"/>
                <w:szCs w:val="18"/>
              </w:rPr>
              <w:t>m</w:t>
            </w:r>
          </w:p>
        </w:tc>
        <w:tc>
          <w:tcPr>
            <w:tcW w:w="874" w:type="pct"/>
            <w:shd w:val="clear" w:color="auto" w:fill="auto"/>
            <w:vAlign w:val="center"/>
          </w:tcPr>
          <w:p w14:paraId="4889AD4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1300</w:t>
            </w:r>
          </w:p>
        </w:tc>
        <w:tc>
          <w:tcPr>
            <w:tcW w:w="874" w:type="pct"/>
            <w:shd w:val="clear" w:color="auto" w:fill="auto"/>
            <w:vAlign w:val="center"/>
          </w:tcPr>
          <w:p w14:paraId="64C8655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1000</w:t>
            </w:r>
          </w:p>
        </w:tc>
        <w:tc>
          <w:tcPr>
            <w:tcW w:w="737" w:type="pct"/>
            <w:tcBorders>
              <w:right w:val="single" w:sz="8" w:space="0" w:color="auto"/>
            </w:tcBorders>
            <w:shd w:val="clear" w:color="auto" w:fill="auto"/>
            <w:vAlign w:val="center"/>
          </w:tcPr>
          <w:p w14:paraId="76E576F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750</w:t>
            </w:r>
          </w:p>
        </w:tc>
      </w:tr>
      <w:tr w:rsidR="00737EB2" w:rsidRPr="00765F6E" w14:paraId="5380FC22" w14:textId="77777777" w:rsidTr="00871D47">
        <w:trPr>
          <w:trHeight w:val="176"/>
          <w:jc w:val="center"/>
        </w:trPr>
        <w:tc>
          <w:tcPr>
            <w:tcW w:w="5000" w:type="pct"/>
            <w:gridSpan w:val="4"/>
            <w:tcBorders>
              <w:top w:val="single" w:sz="8" w:space="0" w:color="auto"/>
              <w:left w:val="single" w:sz="8" w:space="0" w:color="auto"/>
              <w:bottom w:val="single" w:sz="8" w:space="0" w:color="auto"/>
              <w:right w:val="single" w:sz="8" w:space="0" w:color="auto"/>
            </w:tcBorders>
            <w:shd w:val="clear" w:color="auto" w:fill="auto"/>
            <w:vAlign w:val="center"/>
          </w:tcPr>
          <w:p w14:paraId="1D6FAFEF" w14:textId="77777777" w:rsidR="00737EB2" w:rsidRPr="00765F6E" w:rsidRDefault="00737EB2" w:rsidP="00871D47">
            <w:pPr>
              <w:pStyle w:val="a6"/>
              <w:numPr>
                <w:ilvl w:val="0"/>
                <w:numId w:val="0"/>
              </w:numPr>
              <w:ind w:firstLineChars="100" w:firstLine="180"/>
            </w:pPr>
            <w:r w:rsidRPr="00765F6E">
              <w:t>困难值应经技术经济比选后采用。</w:t>
            </w:r>
          </w:p>
          <w:p w14:paraId="60BD26A9" w14:textId="77777777" w:rsidR="00737EB2" w:rsidRPr="00765F6E" w:rsidRDefault="00737EB2" w:rsidP="00871D47">
            <w:pPr>
              <w:pStyle w:val="a6"/>
              <w:numPr>
                <w:ilvl w:val="0"/>
                <w:numId w:val="0"/>
              </w:numPr>
              <w:ind w:firstLineChars="100" w:firstLine="180"/>
            </w:pPr>
            <w:r w:rsidRPr="00765F6E">
              <w:t>车站两端减、加速地段的最小曲线半径应结合行车速度曲线合理选用。</w:t>
            </w:r>
          </w:p>
        </w:tc>
      </w:tr>
    </w:tbl>
    <w:p w14:paraId="16557CEB" w14:textId="77777777" w:rsidR="00737EB2" w:rsidRPr="00765F6E" w:rsidRDefault="00737EB2" w:rsidP="00737EB2">
      <w:pPr>
        <w:spacing w:line="240" w:lineRule="auto"/>
      </w:pPr>
    </w:p>
    <w:p w14:paraId="68A611AB" w14:textId="77777777" w:rsidR="00737EB2" w:rsidRPr="00765F6E" w:rsidRDefault="00737EB2" w:rsidP="003334F3">
      <w:pPr>
        <w:pStyle w:val="af6"/>
        <w:numPr>
          <w:ilvl w:val="0"/>
          <w:numId w:val="52"/>
        </w:numPr>
        <w:tabs>
          <w:tab w:val="left" w:pos="851"/>
        </w:tabs>
        <w:snapToGrid w:val="0"/>
        <w:contextualSpacing/>
      </w:pPr>
      <w:r w:rsidRPr="00765F6E">
        <w:rPr>
          <w:rFonts w:hint="eastAsia"/>
        </w:rPr>
        <w:t>限速地段平面最小曲线半径，运行市域A型车、市域C型车及市域D型车时，不宜小于350m，困难条件下不应小于300m；运行市域B型车时，不宜小于300m，困难条件下不应小于250m。</w:t>
      </w:r>
    </w:p>
    <w:p w14:paraId="4600C635" w14:textId="77777777" w:rsidR="00737EB2" w:rsidRPr="00765F6E" w:rsidRDefault="00737EB2" w:rsidP="009D0776">
      <w:pPr>
        <w:pStyle w:val="22"/>
      </w:pPr>
      <w:bookmarkStart w:id="668" w:name="_Toc99791647"/>
      <w:bookmarkStart w:id="669" w:name="_Toc153291079"/>
      <w:r w:rsidRPr="00765F6E">
        <w:rPr>
          <w:rFonts w:hint="eastAsia"/>
        </w:rPr>
        <w:t>正线不应设计复曲线。</w:t>
      </w:r>
      <w:bookmarkEnd w:id="668"/>
      <w:bookmarkEnd w:id="669"/>
    </w:p>
    <w:p w14:paraId="26C0A71D" w14:textId="77777777" w:rsidR="00737EB2" w:rsidRPr="00765F6E" w:rsidRDefault="00737EB2" w:rsidP="009D0776">
      <w:pPr>
        <w:pStyle w:val="22"/>
      </w:pPr>
      <w:bookmarkStart w:id="670" w:name="_Toc153291080"/>
      <w:bookmarkStart w:id="671" w:name="_Toc99791648"/>
      <w:r w:rsidRPr="00765F6E">
        <w:rPr>
          <w:rFonts w:hint="eastAsia"/>
        </w:rPr>
        <w:t>区间并行地段的左、右线曲线宜按同心圆设计。</w:t>
      </w:r>
      <w:bookmarkEnd w:id="670"/>
      <w:bookmarkEnd w:id="671"/>
    </w:p>
    <w:p w14:paraId="47D7BE6E" w14:textId="60758BA5" w:rsidR="00737EB2" w:rsidRPr="00765F6E" w:rsidRDefault="00737EB2" w:rsidP="009D0776">
      <w:pPr>
        <w:pStyle w:val="22"/>
      </w:pPr>
      <w:bookmarkStart w:id="672" w:name="_Toc153291081"/>
      <w:bookmarkStart w:id="673" w:name="_Toc99791649"/>
      <w:r w:rsidRPr="00765F6E">
        <w:rPr>
          <w:rFonts w:hint="eastAsia"/>
        </w:rPr>
        <w:t>区间直线地段最小线间距应符合表</w:t>
      </w:r>
      <w:r w:rsidR="00E512B4">
        <w:t>10</w:t>
      </w:r>
      <w:r w:rsidRPr="00765F6E">
        <w:rPr>
          <w:rFonts w:hint="eastAsia"/>
        </w:rPr>
        <w:t>的规定，当线间有建（构）筑物或设备时，应通过计算确定。曲线地段线间距加宽值应按表</w:t>
      </w:r>
      <w:r w:rsidR="00E512B4" w:rsidRPr="00765F6E">
        <w:rPr>
          <w:rFonts w:hint="eastAsia"/>
        </w:rPr>
        <w:t>1</w:t>
      </w:r>
      <w:r w:rsidR="00E512B4">
        <w:t>1</w:t>
      </w:r>
      <w:r w:rsidRPr="00765F6E">
        <w:rPr>
          <w:rFonts w:hint="eastAsia"/>
        </w:rPr>
        <w:t>选用。</w:t>
      </w:r>
      <w:bookmarkEnd w:id="672"/>
      <w:bookmarkEnd w:id="673"/>
    </w:p>
    <w:p w14:paraId="3AB152F6" w14:textId="77777777" w:rsidR="00737EB2" w:rsidRPr="00765F6E" w:rsidRDefault="00737EB2" w:rsidP="00737EB2">
      <w:pPr>
        <w:pStyle w:val="aff3"/>
        <w:spacing w:before="156" w:after="156"/>
      </w:pPr>
      <w:r w:rsidRPr="00765F6E">
        <w:rPr>
          <w:rFonts w:hint="eastAsia"/>
        </w:rPr>
        <w:t>区间直线地段最小线间距</w:t>
      </w:r>
    </w:p>
    <w:p w14:paraId="3FC86868" w14:textId="187B34E0" w:rsidR="00737EB2" w:rsidRPr="00765F6E" w:rsidRDefault="00737EB2" w:rsidP="00737EB2">
      <w:pPr>
        <w:adjustRightInd/>
        <w:spacing w:line="240" w:lineRule="auto"/>
        <w:jc w:val="right"/>
        <w:rPr>
          <w:rFonts w:ascii="宋体" w:hAnsi="宋体" w:cs="宋体"/>
          <w:kern w:val="0"/>
          <w:sz w:val="18"/>
          <w:szCs w:val="18"/>
        </w:rPr>
      </w:pPr>
      <w:r w:rsidRPr="00765F6E">
        <w:rPr>
          <w:rFonts w:ascii="宋体" w:hAnsi="宋体" w:cs="宋体" w:hint="eastAsia"/>
          <w:kern w:val="0"/>
          <w:sz w:val="18"/>
          <w:szCs w:val="18"/>
        </w:rPr>
        <w:t>单位为米</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4" w:space="0" w:color="auto"/>
        </w:tblBorders>
        <w:tblCellMar>
          <w:left w:w="0" w:type="dxa"/>
          <w:right w:w="0" w:type="dxa"/>
        </w:tblCellMar>
        <w:tblLook w:val="04A0" w:firstRow="1" w:lastRow="0" w:firstColumn="1" w:lastColumn="0" w:noHBand="0" w:noVBand="1"/>
      </w:tblPr>
      <w:tblGrid>
        <w:gridCol w:w="1866"/>
        <w:gridCol w:w="1866"/>
        <w:gridCol w:w="1867"/>
        <w:gridCol w:w="1867"/>
        <w:gridCol w:w="1868"/>
      </w:tblGrid>
      <w:tr w:rsidR="00737EB2" w:rsidRPr="00765F6E" w14:paraId="0817434D" w14:textId="77777777" w:rsidTr="00871D47">
        <w:trPr>
          <w:trHeight w:val="176"/>
          <w:jc w:val="center"/>
        </w:trPr>
        <w:tc>
          <w:tcPr>
            <w:tcW w:w="1866" w:type="dxa"/>
            <w:shd w:val="clear" w:color="auto" w:fill="auto"/>
            <w:vAlign w:val="center"/>
          </w:tcPr>
          <w:p w14:paraId="065A2AB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车辆类型</w:t>
            </w:r>
          </w:p>
        </w:tc>
        <w:tc>
          <w:tcPr>
            <w:tcW w:w="1866" w:type="dxa"/>
            <w:shd w:val="clear" w:color="auto" w:fill="auto"/>
            <w:vAlign w:val="center"/>
          </w:tcPr>
          <w:p w14:paraId="4C2636A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市域</w:t>
            </w:r>
            <w:r w:rsidRPr="00765F6E">
              <w:rPr>
                <w:rFonts w:ascii="宋体" w:hAnsi="宋体" w:cs="宋体"/>
                <w:kern w:val="0"/>
                <w:sz w:val="18"/>
                <w:szCs w:val="18"/>
              </w:rPr>
              <w:t>A</w:t>
            </w:r>
            <w:r w:rsidRPr="00765F6E">
              <w:rPr>
                <w:rFonts w:ascii="宋体" w:hAnsi="宋体" w:cs="宋体" w:hint="eastAsia"/>
                <w:kern w:val="0"/>
                <w:sz w:val="18"/>
                <w:szCs w:val="18"/>
              </w:rPr>
              <w:t>型车</w:t>
            </w:r>
          </w:p>
        </w:tc>
        <w:tc>
          <w:tcPr>
            <w:tcW w:w="1867" w:type="dxa"/>
            <w:shd w:val="clear" w:color="auto" w:fill="auto"/>
            <w:vAlign w:val="center"/>
          </w:tcPr>
          <w:p w14:paraId="710C768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市域</w:t>
            </w:r>
            <w:r w:rsidRPr="00765F6E">
              <w:rPr>
                <w:rFonts w:ascii="宋体" w:hAnsi="宋体" w:cs="宋体"/>
                <w:kern w:val="0"/>
                <w:sz w:val="18"/>
                <w:szCs w:val="18"/>
              </w:rPr>
              <w:t xml:space="preserve">B </w:t>
            </w:r>
            <w:r w:rsidRPr="00765F6E">
              <w:rPr>
                <w:rFonts w:ascii="宋体" w:hAnsi="宋体" w:cs="宋体" w:hint="eastAsia"/>
                <w:kern w:val="0"/>
                <w:sz w:val="18"/>
                <w:szCs w:val="18"/>
              </w:rPr>
              <w:t>型车</w:t>
            </w:r>
          </w:p>
        </w:tc>
        <w:tc>
          <w:tcPr>
            <w:tcW w:w="1867" w:type="dxa"/>
            <w:shd w:val="clear" w:color="auto" w:fill="auto"/>
            <w:vAlign w:val="center"/>
          </w:tcPr>
          <w:p w14:paraId="062BA6D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市域</w:t>
            </w:r>
            <w:r w:rsidRPr="00765F6E">
              <w:rPr>
                <w:rFonts w:ascii="宋体" w:hAnsi="宋体" w:cs="宋体"/>
                <w:kern w:val="0"/>
                <w:sz w:val="18"/>
                <w:szCs w:val="18"/>
              </w:rPr>
              <w:t xml:space="preserve">C </w:t>
            </w:r>
            <w:r w:rsidRPr="00765F6E">
              <w:rPr>
                <w:rFonts w:ascii="宋体" w:hAnsi="宋体" w:cs="宋体" w:hint="eastAsia"/>
                <w:kern w:val="0"/>
                <w:sz w:val="18"/>
                <w:szCs w:val="18"/>
              </w:rPr>
              <w:t>型车</w:t>
            </w:r>
          </w:p>
        </w:tc>
        <w:tc>
          <w:tcPr>
            <w:tcW w:w="1868" w:type="dxa"/>
            <w:shd w:val="clear" w:color="auto" w:fill="auto"/>
            <w:vAlign w:val="center"/>
          </w:tcPr>
          <w:p w14:paraId="53ABFD0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市域</w:t>
            </w:r>
            <w:r w:rsidRPr="00765F6E">
              <w:rPr>
                <w:rFonts w:ascii="宋体" w:hAnsi="宋体" w:cs="宋体"/>
                <w:kern w:val="0"/>
                <w:sz w:val="18"/>
                <w:szCs w:val="18"/>
              </w:rPr>
              <w:t xml:space="preserve">D </w:t>
            </w:r>
            <w:r w:rsidRPr="00765F6E">
              <w:rPr>
                <w:rFonts w:ascii="宋体" w:hAnsi="宋体" w:cs="宋体" w:hint="eastAsia"/>
                <w:kern w:val="0"/>
                <w:sz w:val="18"/>
                <w:szCs w:val="18"/>
              </w:rPr>
              <w:t>型车</w:t>
            </w:r>
          </w:p>
        </w:tc>
      </w:tr>
      <w:tr w:rsidR="00737EB2" w:rsidRPr="00765F6E" w14:paraId="1ADC17C3" w14:textId="77777777" w:rsidTr="00871D47">
        <w:trPr>
          <w:trHeight w:val="176"/>
          <w:jc w:val="center"/>
        </w:trPr>
        <w:tc>
          <w:tcPr>
            <w:tcW w:w="1866" w:type="dxa"/>
            <w:shd w:val="clear" w:color="auto" w:fill="auto"/>
            <w:vAlign w:val="center"/>
          </w:tcPr>
          <w:p w14:paraId="7F7D8C3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最小线间距</w:t>
            </w:r>
          </w:p>
        </w:tc>
        <w:tc>
          <w:tcPr>
            <w:tcW w:w="1866" w:type="dxa"/>
            <w:shd w:val="clear" w:color="auto" w:fill="auto"/>
            <w:vAlign w:val="center"/>
          </w:tcPr>
          <w:p w14:paraId="0E789FA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3.8</w:t>
            </w:r>
          </w:p>
        </w:tc>
        <w:tc>
          <w:tcPr>
            <w:tcW w:w="1867" w:type="dxa"/>
            <w:shd w:val="clear" w:color="auto" w:fill="auto"/>
            <w:vAlign w:val="center"/>
          </w:tcPr>
          <w:p w14:paraId="4492823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3.6</w:t>
            </w:r>
            <w:r w:rsidRPr="00765F6E">
              <w:rPr>
                <w:rFonts w:ascii="宋体" w:hAnsi="宋体" w:cs="宋体" w:hint="eastAsia"/>
                <w:kern w:val="0"/>
                <w:sz w:val="18"/>
                <w:szCs w:val="18"/>
              </w:rPr>
              <w:t>～</w:t>
            </w:r>
            <w:r w:rsidRPr="00765F6E">
              <w:rPr>
                <w:rFonts w:ascii="宋体" w:hAnsi="宋体" w:cs="宋体"/>
                <w:kern w:val="0"/>
                <w:sz w:val="18"/>
                <w:szCs w:val="18"/>
              </w:rPr>
              <w:t>3.8</w:t>
            </w:r>
          </w:p>
        </w:tc>
        <w:tc>
          <w:tcPr>
            <w:tcW w:w="1867" w:type="dxa"/>
            <w:shd w:val="clear" w:color="auto" w:fill="auto"/>
            <w:vAlign w:val="center"/>
          </w:tcPr>
          <w:p w14:paraId="4399838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1868" w:type="dxa"/>
            <w:shd w:val="clear" w:color="auto" w:fill="auto"/>
            <w:vAlign w:val="center"/>
          </w:tcPr>
          <w:p w14:paraId="73583AF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r>
      <w:tr w:rsidR="00737EB2" w:rsidRPr="00765F6E" w14:paraId="73D08A4C" w14:textId="77777777" w:rsidTr="00871D47">
        <w:trPr>
          <w:trHeight w:val="176"/>
          <w:jc w:val="center"/>
        </w:trPr>
        <w:tc>
          <w:tcPr>
            <w:tcW w:w="9334" w:type="dxa"/>
            <w:gridSpan w:val="5"/>
            <w:shd w:val="clear" w:color="auto" w:fill="auto"/>
            <w:vAlign w:val="center"/>
          </w:tcPr>
          <w:p w14:paraId="0888667D" w14:textId="77777777" w:rsidR="00737EB2" w:rsidRPr="00765F6E" w:rsidRDefault="00737EB2" w:rsidP="00737EB2">
            <w:pPr>
              <w:pStyle w:val="afff2"/>
              <w:ind w:left="584"/>
              <w:rPr>
                <w:lang w:bidi="ar"/>
              </w:rPr>
            </w:pPr>
            <w:r w:rsidRPr="00765F6E">
              <w:rPr>
                <w:lang w:bidi="ar"/>
              </w:rPr>
              <w:t>本表规定适用于新建市域铁路。</w:t>
            </w:r>
          </w:p>
        </w:tc>
      </w:tr>
    </w:tbl>
    <w:p w14:paraId="7B110E8B" w14:textId="77777777" w:rsidR="00FB55CA" w:rsidRDefault="00FB55CA"/>
    <w:p w14:paraId="68533C9B" w14:textId="77777777" w:rsidR="00737EB2" w:rsidRPr="00765F6E" w:rsidRDefault="00737EB2" w:rsidP="00737EB2">
      <w:pPr>
        <w:pStyle w:val="aff3"/>
        <w:spacing w:before="156" w:after="156"/>
      </w:pPr>
      <w:r w:rsidRPr="00765F6E">
        <w:rPr>
          <w:rFonts w:hint="eastAsia"/>
        </w:rPr>
        <w:lastRenderedPageBreak/>
        <w:t>曲线地段线间距加宽值</w:t>
      </w:r>
    </w:p>
    <w:tbl>
      <w:tblPr>
        <w:tblStyle w:val="afffffffffc"/>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38"/>
        <w:gridCol w:w="1277"/>
        <w:gridCol w:w="849"/>
        <w:gridCol w:w="991"/>
        <w:gridCol w:w="849"/>
        <w:gridCol w:w="851"/>
        <w:gridCol w:w="991"/>
        <w:gridCol w:w="848"/>
        <w:gridCol w:w="840"/>
      </w:tblGrid>
      <w:tr w:rsidR="00737EB2" w:rsidRPr="00765F6E" w14:paraId="23B41C05" w14:textId="77777777" w:rsidTr="00FB55CA">
        <w:trPr>
          <w:jc w:val="center"/>
        </w:trPr>
        <w:tc>
          <w:tcPr>
            <w:tcW w:w="984" w:type="pct"/>
            <w:tcBorders>
              <w:top w:val="single" w:sz="8" w:space="0" w:color="auto"/>
              <w:bottom w:val="single" w:sz="8" w:space="0" w:color="auto"/>
              <w:right w:val="single" w:sz="4" w:space="0" w:color="auto"/>
            </w:tcBorders>
          </w:tcPr>
          <w:p w14:paraId="5C48F833" w14:textId="77777777" w:rsidR="00737EB2" w:rsidRPr="00765F6E" w:rsidRDefault="00737EB2" w:rsidP="00871D47">
            <w:pPr>
              <w:pStyle w:val="affffb"/>
              <w:spacing w:before="156" w:after="156"/>
              <w:ind w:firstLineChars="0" w:firstLine="0"/>
              <w:jc w:val="center"/>
            </w:pPr>
            <w:r w:rsidRPr="00765F6E">
              <w:rPr>
                <w:rFonts w:hAnsi="宋体" w:cs="宋体" w:hint="eastAsia"/>
                <w:sz w:val="18"/>
                <w:szCs w:val="18"/>
              </w:rPr>
              <w:t>曲线半径/</w:t>
            </w:r>
            <w:r w:rsidRPr="00765F6E">
              <w:rPr>
                <w:rFonts w:hAnsi="宋体" w:cs="宋体"/>
                <w:sz w:val="18"/>
                <w:szCs w:val="18"/>
              </w:rPr>
              <w:t>m</w:t>
            </w:r>
          </w:p>
        </w:tc>
        <w:tc>
          <w:tcPr>
            <w:tcW w:w="684" w:type="pct"/>
            <w:tcBorders>
              <w:top w:val="single" w:sz="8" w:space="0" w:color="auto"/>
              <w:left w:val="single" w:sz="4" w:space="0" w:color="auto"/>
              <w:bottom w:val="single" w:sz="8" w:space="0" w:color="auto"/>
              <w:right w:val="single" w:sz="4" w:space="0" w:color="auto"/>
            </w:tcBorders>
            <w:vAlign w:val="center"/>
          </w:tcPr>
          <w:p w14:paraId="766699F6"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800</w:t>
            </w:r>
            <w:r w:rsidRPr="00765F6E">
              <w:rPr>
                <w:rFonts w:hAnsi="宋体" w:cs="宋体" w:hint="eastAsia"/>
                <w:sz w:val="18"/>
                <w:szCs w:val="18"/>
              </w:rPr>
              <w:t>及以上</w:t>
            </w:r>
          </w:p>
        </w:tc>
        <w:tc>
          <w:tcPr>
            <w:tcW w:w="455" w:type="pct"/>
            <w:tcBorders>
              <w:top w:val="single" w:sz="8" w:space="0" w:color="auto"/>
              <w:left w:val="single" w:sz="4" w:space="0" w:color="auto"/>
              <w:bottom w:val="single" w:sz="8" w:space="0" w:color="auto"/>
              <w:right w:val="single" w:sz="4" w:space="0" w:color="auto"/>
            </w:tcBorders>
            <w:vAlign w:val="center"/>
          </w:tcPr>
          <w:p w14:paraId="592D5F9D"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700</w:t>
            </w:r>
          </w:p>
        </w:tc>
        <w:tc>
          <w:tcPr>
            <w:tcW w:w="531" w:type="pct"/>
            <w:tcBorders>
              <w:top w:val="single" w:sz="8" w:space="0" w:color="auto"/>
              <w:left w:val="single" w:sz="4" w:space="0" w:color="auto"/>
              <w:bottom w:val="single" w:sz="8" w:space="0" w:color="auto"/>
              <w:right w:val="single" w:sz="4" w:space="0" w:color="auto"/>
            </w:tcBorders>
            <w:vAlign w:val="center"/>
          </w:tcPr>
          <w:p w14:paraId="3CB9DD95"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600</w:t>
            </w:r>
          </w:p>
        </w:tc>
        <w:tc>
          <w:tcPr>
            <w:tcW w:w="455" w:type="pct"/>
            <w:tcBorders>
              <w:top w:val="single" w:sz="8" w:space="0" w:color="auto"/>
              <w:left w:val="single" w:sz="4" w:space="0" w:color="auto"/>
              <w:bottom w:val="single" w:sz="8" w:space="0" w:color="auto"/>
              <w:right w:val="single" w:sz="4" w:space="0" w:color="auto"/>
            </w:tcBorders>
            <w:vAlign w:val="center"/>
          </w:tcPr>
          <w:p w14:paraId="417664E9"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500</w:t>
            </w:r>
          </w:p>
        </w:tc>
        <w:tc>
          <w:tcPr>
            <w:tcW w:w="456" w:type="pct"/>
            <w:tcBorders>
              <w:top w:val="single" w:sz="8" w:space="0" w:color="auto"/>
              <w:left w:val="single" w:sz="4" w:space="0" w:color="auto"/>
              <w:bottom w:val="single" w:sz="8" w:space="0" w:color="auto"/>
              <w:right w:val="single" w:sz="4" w:space="0" w:color="auto"/>
            </w:tcBorders>
            <w:vAlign w:val="center"/>
          </w:tcPr>
          <w:p w14:paraId="760A18EE"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400</w:t>
            </w:r>
          </w:p>
        </w:tc>
        <w:tc>
          <w:tcPr>
            <w:tcW w:w="531" w:type="pct"/>
            <w:tcBorders>
              <w:top w:val="single" w:sz="8" w:space="0" w:color="auto"/>
              <w:left w:val="single" w:sz="4" w:space="0" w:color="auto"/>
              <w:bottom w:val="single" w:sz="8" w:space="0" w:color="auto"/>
              <w:right w:val="single" w:sz="4" w:space="0" w:color="auto"/>
            </w:tcBorders>
            <w:vAlign w:val="center"/>
          </w:tcPr>
          <w:p w14:paraId="7C6B5DF0"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350</w:t>
            </w:r>
          </w:p>
        </w:tc>
        <w:tc>
          <w:tcPr>
            <w:tcW w:w="454" w:type="pct"/>
            <w:tcBorders>
              <w:top w:val="single" w:sz="8" w:space="0" w:color="auto"/>
              <w:left w:val="single" w:sz="4" w:space="0" w:color="auto"/>
              <w:bottom w:val="single" w:sz="8" w:space="0" w:color="auto"/>
              <w:right w:val="single" w:sz="4" w:space="0" w:color="auto"/>
            </w:tcBorders>
            <w:vAlign w:val="center"/>
          </w:tcPr>
          <w:p w14:paraId="3DFFCD94"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300</w:t>
            </w:r>
          </w:p>
        </w:tc>
        <w:tc>
          <w:tcPr>
            <w:tcW w:w="451" w:type="pct"/>
            <w:tcBorders>
              <w:top w:val="single" w:sz="8" w:space="0" w:color="auto"/>
              <w:left w:val="single" w:sz="4" w:space="0" w:color="auto"/>
              <w:bottom w:val="single" w:sz="8" w:space="0" w:color="auto"/>
            </w:tcBorders>
            <w:vAlign w:val="center"/>
          </w:tcPr>
          <w:p w14:paraId="197E7751"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250</w:t>
            </w:r>
          </w:p>
        </w:tc>
      </w:tr>
      <w:tr w:rsidR="00737EB2" w:rsidRPr="00765F6E" w14:paraId="5CB8D769" w14:textId="77777777" w:rsidTr="00FB55CA">
        <w:trPr>
          <w:jc w:val="center"/>
        </w:trPr>
        <w:tc>
          <w:tcPr>
            <w:tcW w:w="984" w:type="pct"/>
            <w:tcBorders>
              <w:top w:val="single" w:sz="8" w:space="0" w:color="auto"/>
              <w:right w:val="single" w:sz="4" w:space="0" w:color="auto"/>
            </w:tcBorders>
          </w:tcPr>
          <w:p w14:paraId="4FA3AB21" w14:textId="77777777" w:rsidR="00737EB2" w:rsidRPr="00765F6E" w:rsidRDefault="00737EB2" w:rsidP="00871D47">
            <w:pPr>
              <w:pStyle w:val="affffb"/>
              <w:spacing w:before="156" w:after="156"/>
              <w:ind w:firstLineChars="0" w:firstLine="0"/>
              <w:jc w:val="center"/>
            </w:pPr>
            <w:r w:rsidRPr="00765F6E">
              <w:rPr>
                <w:rFonts w:hAnsi="宋体" w:cs="宋体" w:hint="eastAsia"/>
                <w:sz w:val="18"/>
                <w:szCs w:val="18"/>
              </w:rPr>
              <w:t>加宽值/</w:t>
            </w:r>
            <w:r w:rsidRPr="00765F6E">
              <w:rPr>
                <w:rFonts w:hAnsi="宋体" w:cs="宋体"/>
                <w:sz w:val="18"/>
                <w:szCs w:val="18"/>
              </w:rPr>
              <w:t>mm</w:t>
            </w:r>
          </w:p>
        </w:tc>
        <w:tc>
          <w:tcPr>
            <w:tcW w:w="684" w:type="pct"/>
            <w:tcBorders>
              <w:top w:val="single" w:sz="8" w:space="0" w:color="auto"/>
              <w:left w:val="single" w:sz="4" w:space="0" w:color="auto"/>
              <w:right w:val="single" w:sz="4" w:space="0" w:color="auto"/>
            </w:tcBorders>
            <w:vAlign w:val="center"/>
          </w:tcPr>
          <w:p w14:paraId="54E8FD7C"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0</w:t>
            </w:r>
          </w:p>
        </w:tc>
        <w:tc>
          <w:tcPr>
            <w:tcW w:w="455" w:type="pct"/>
            <w:tcBorders>
              <w:top w:val="single" w:sz="8" w:space="0" w:color="auto"/>
              <w:left w:val="single" w:sz="4" w:space="0" w:color="auto"/>
              <w:right w:val="single" w:sz="4" w:space="0" w:color="auto"/>
            </w:tcBorders>
            <w:vAlign w:val="center"/>
          </w:tcPr>
          <w:p w14:paraId="0951587D"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10</w:t>
            </w:r>
          </w:p>
        </w:tc>
        <w:tc>
          <w:tcPr>
            <w:tcW w:w="531" w:type="pct"/>
            <w:tcBorders>
              <w:top w:val="single" w:sz="8" w:space="0" w:color="auto"/>
              <w:left w:val="single" w:sz="4" w:space="0" w:color="auto"/>
              <w:right w:val="single" w:sz="4" w:space="0" w:color="auto"/>
            </w:tcBorders>
            <w:vAlign w:val="center"/>
          </w:tcPr>
          <w:p w14:paraId="10BC701B"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25</w:t>
            </w:r>
          </w:p>
        </w:tc>
        <w:tc>
          <w:tcPr>
            <w:tcW w:w="455" w:type="pct"/>
            <w:tcBorders>
              <w:top w:val="single" w:sz="8" w:space="0" w:color="auto"/>
              <w:left w:val="single" w:sz="4" w:space="0" w:color="auto"/>
              <w:right w:val="single" w:sz="4" w:space="0" w:color="auto"/>
            </w:tcBorders>
            <w:vAlign w:val="center"/>
          </w:tcPr>
          <w:p w14:paraId="2825743B"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55</w:t>
            </w:r>
          </w:p>
        </w:tc>
        <w:tc>
          <w:tcPr>
            <w:tcW w:w="456" w:type="pct"/>
            <w:tcBorders>
              <w:top w:val="single" w:sz="8" w:space="0" w:color="auto"/>
              <w:left w:val="single" w:sz="4" w:space="0" w:color="auto"/>
              <w:right w:val="single" w:sz="4" w:space="0" w:color="auto"/>
            </w:tcBorders>
            <w:vAlign w:val="center"/>
          </w:tcPr>
          <w:p w14:paraId="3FE8CCA8"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95</w:t>
            </w:r>
          </w:p>
        </w:tc>
        <w:tc>
          <w:tcPr>
            <w:tcW w:w="531" w:type="pct"/>
            <w:tcBorders>
              <w:top w:val="single" w:sz="8" w:space="0" w:color="auto"/>
              <w:left w:val="single" w:sz="4" w:space="0" w:color="auto"/>
              <w:right w:val="single" w:sz="4" w:space="0" w:color="auto"/>
            </w:tcBorders>
            <w:vAlign w:val="center"/>
          </w:tcPr>
          <w:p w14:paraId="61001EF9"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125</w:t>
            </w:r>
          </w:p>
        </w:tc>
        <w:tc>
          <w:tcPr>
            <w:tcW w:w="454" w:type="pct"/>
            <w:tcBorders>
              <w:top w:val="single" w:sz="8" w:space="0" w:color="auto"/>
              <w:left w:val="single" w:sz="4" w:space="0" w:color="auto"/>
              <w:right w:val="single" w:sz="4" w:space="0" w:color="auto"/>
            </w:tcBorders>
            <w:vAlign w:val="center"/>
          </w:tcPr>
          <w:p w14:paraId="5CB11D68"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160</w:t>
            </w:r>
          </w:p>
        </w:tc>
        <w:tc>
          <w:tcPr>
            <w:tcW w:w="451" w:type="pct"/>
            <w:tcBorders>
              <w:top w:val="single" w:sz="8" w:space="0" w:color="auto"/>
              <w:left w:val="single" w:sz="4" w:space="0" w:color="auto"/>
            </w:tcBorders>
            <w:vAlign w:val="center"/>
          </w:tcPr>
          <w:p w14:paraId="11C20EA7" w14:textId="77777777" w:rsidR="00737EB2" w:rsidRPr="00765F6E" w:rsidRDefault="00737EB2" w:rsidP="00871D47">
            <w:pPr>
              <w:pStyle w:val="affffb"/>
              <w:spacing w:before="156" w:after="156"/>
              <w:ind w:firstLineChars="0" w:firstLine="0"/>
              <w:jc w:val="center"/>
            </w:pPr>
            <w:r w:rsidRPr="00765F6E">
              <w:rPr>
                <w:rFonts w:hAnsi="宋体" w:cs="宋体"/>
                <w:sz w:val="18"/>
                <w:szCs w:val="18"/>
              </w:rPr>
              <w:t>215</w:t>
            </w:r>
          </w:p>
        </w:tc>
      </w:tr>
      <w:tr w:rsidR="00737EB2" w:rsidRPr="00765F6E" w14:paraId="12CF97FF" w14:textId="77777777" w:rsidTr="00871D47">
        <w:trPr>
          <w:jc w:val="center"/>
        </w:trPr>
        <w:tc>
          <w:tcPr>
            <w:tcW w:w="5000" w:type="pct"/>
            <w:gridSpan w:val="9"/>
          </w:tcPr>
          <w:p w14:paraId="3A2CC092" w14:textId="77777777" w:rsidR="00737EB2" w:rsidRPr="00765F6E" w:rsidRDefault="00737EB2" w:rsidP="00F5582C">
            <w:pPr>
              <w:pStyle w:val="a6"/>
              <w:numPr>
                <w:ilvl w:val="0"/>
                <w:numId w:val="0"/>
              </w:numPr>
              <w:ind w:firstLineChars="60" w:firstLine="108"/>
              <w:jc w:val="left"/>
            </w:pPr>
            <w:r w:rsidRPr="00765F6E">
              <w:t>当外侧线路曲线超高大于内侧线路曲线超高时线间距加宽值应另行计算。</w:t>
            </w:r>
          </w:p>
          <w:p w14:paraId="61E46A51" w14:textId="77777777" w:rsidR="00737EB2" w:rsidRPr="00765F6E" w:rsidRDefault="00737EB2" w:rsidP="00453DBE">
            <w:pPr>
              <w:pStyle w:val="affffb"/>
              <w:ind w:firstLineChars="60" w:firstLine="108"/>
              <w:jc w:val="left"/>
            </w:pPr>
            <w:r w:rsidRPr="00765F6E">
              <w:rPr>
                <w:sz w:val="18"/>
                <w:szCs w:val="18"/>
              </w:rPr>
              <w:t>当线间有其他建构（筑）物或其他技术要求时加宽值应按要求计算确定。</w:t>
            </w:r>
          </w:p>
        </w:tc>
      </w:tr>
    </w:tbl>
    <w:p w14:paraId="4106BAB3" w14:textId="77777777" w:rsidR="00737EB2" w:rsidRPr="00765F6E" w:rsidRDefault="00737EB2" w:rsidP="005D4937">
      <w:pPr>
        <w:pStyle w:val="affffb"/>
        <w:ind w:firstLine="420"/>
      </w:pPr>
    </w:p>
    <w:p w14:paraId="3A352D2F" w14:textId="77777777" w:rsidR="00737EB2" w:rsidRPr="00765F6E" w:rsidRDefault="00737EB2" w:rsidP="009D0776">
      <w:pPr>
        <w:pStyle w:val="22"/>
      </w:pPr>
      <w:bookmarkStart w:id="674" w:name="_Toc153291082"/>
      <w:bookmarkStart w:id="675" w:name="_Toc99791650"/>
      <w:r w:rsidRPr="00765F6E">
        <w:rPr>
          <w:rFonts w:hint="eastAsia"/>
        </w:rPr>
        <w:t>山岭隧道两单洞地段、明挖及盾构隧道地段线间距应根据地质条件、隧道结构、防灾与救援及周边环境等因素确定。</w:t>
      </w:r>
      <w:bookmarkEnd w:id="674"/>
      <w:bookmarkEnd w:id="675"/>
    </w:p>
    <w:p w14:paraId="25133AD8" w14:textId="77777777" w:rsidR="00737EB2" w:rsidRPr="00765F6E" w:rsidRDefault="00737EB2" w:rsidP="009D0776">
      <w:pPr>
        <w:pStyle w:val="22"/>
      </w:pPr>
      <w:bookmarkStart w:id="676" w:name="_Toc99791651"/>
      <w:bookmarkStart w:id="677" w:name="_Toc153291083"/>
      <w:r w:rsidRPr="00765F6E">
        <w:rPr>
          <w:rFonts w:hint="eastAsia"/>
        </w:rPr>
        <w:t>区间正线与其他线路并行地段的线间距应根据相邻线路的行车速度、高程、线间建（构）筑物以及养护维修等因素确定。</w:t>
      </w:r>
      <w:bookmarkEnd w:id="676"/>
      <w:bookmarkEnd w:id="677"/>
    </w:p>
    <w:p w14:paraId="6DC530FB" w14:textId="77777777" w:rsidR="00737EB2" w:rsidRPr="00765F6E" w:rsidRDefault="00737EB2" w:rsidP="009D0776">
      <w:pPr>
        <w:pStyle w:val="22"/>
      </w:pPr>
      <w:bookmarkStart w:id="678" w:name="_Toc99791652"/>
      <w:bookmarkStart w:id="679" w:name="_Toc153291084"/>
      <w:r w:rsidRPr="00765F6E">
        <w:rPr>
          <w:rFonts w:hint="eastAsia"/>
        </w:rPr>
        <w:t>车站内两相邻线路线间距符合下列规定：</w:t>
      </w:r>
      <w:bookmarkEnd w:id="678"/>
      <w:bookmarkEnd w:id="679"/>
    </w:p>
    <w:p w14:paraId="40F4F615" w14:textId="77777777" w:rsidR="00737EB2" w:rsidRPr="00765F6E" w:rsidRDefault="00737EB2" w:rsidP="003334F3">
      <w:pPr>
        <w:pStyle w:val="af6"/>
        <w:numPr>
          <w:ilvl w:val="0"/>
          <w:numId w:val="53"/>
        </w:numPr>
        <w:tabs>
          <w:tab w:val="left" w:pos="851"/>
        </w:tabs>
        <w:snapToGrid w:val="0"/>
        <w:contextualSpacing/>
      </w:pPr>
      <w:r w:rsidRPr="00765F6E">
        <w:rPr>
          <w:rFonts w:hint="eastAsia"/>
        </w:rPr>
        <w:t>正线间无渡线时，线间距应与区间正线相同。当正线间设置反向出站信号机时，线间距应根据计算确定；</w:t>
      </w:r>
    </w:p>
    <w:p w14:paraId="109168DC" w14:textId="2A64122B" w:rsidR="00737EB2" w:rsidRPr="00765F6E" w:rsidRDefault="00737EB2" w:rsidP="003334F3">
      <w:pPr>
        <w:pStyle w:val="af6"/>
        <w:numPr>
          <w:ilvl w:val="0"/>
          <w:numId w:val="53"/>
        </w:numPr>
        <w:tabs>
          <w:tab w:val="left" w:pos="851"/>
        </w:tabs>
        <w:snapToGrid w:val="0"/>
        <w:contextualSpacing/>
      </w:pPr>
      <w:r w:rsidRPr="00765F6E">
        <w:rPr>
          <w:rFonts w:hint="eastAsia"/>
        </w:rPr>
        <w:t>正线间设置单渡线和交叉渡线时，线间距应符合表</w:t>
      </w:r>
      <w:r w:rsidR="00E512B4" w:rsidRPr="00765F6E">
        <w:rPr>
          <w:rFonts w:hint="eastAsia"/>
        </w:rPr>
        <w:t>1</w:t>
      </w:r>
      <w:r w:rsidR="00E512B4">
        <w:t>2</w:t>
      </w:r>
      <w:r w:rsidRPr="00765F6E">
        <w:rPr>
          <w:rFonts w:hint="eastAsia"/>
        </w:rPr>
        <w:t>的规定</w:t>
      </w:r>
      <w:r w:rsidR="009D1EA3">
        <w:rPr>
          <w:rFonts w:hint="eastAsia"/>
        </w:rPr>
        <w:t>；</w:t>
      </w:r>
    </w:p>
    <w:p w14:paraId="3570829C" w14:textId="77777777" w:rsidR="00737EB2" w:rsidRPr="00765F6E" w:rsidRDefault="00737EB2" w:rsidP="00737EB2">
      <w:pPr>
        <w:pStyle w:val="aff3"/>
        <w:spacing w:before="156" w:after="156"/>
      </w:pPr>
      <w:r w:rsidRPr="00765F6E">
        <w:rPr>
          <w:rFonts w:hint="eastAsia"/>
        </w:rPr>
        <w:t>正线间设置单渡线和交叉渡线地段线间距</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288"/>
        <w:gridCol w:w="1736"/>
        <w:gridCol w:w="1262"/>
        <w:gridCol w:w="1262"/>
        <w:gridCol w:w="1262"/>
        <w:gridCol w:w="1262"/>
        <w:gridCol w:w="1262"/>
      </w:tblGrid>
      <w:tr w:rsidR="008A64AE" w:rsidRPr="00765F6E" w14:paraId="23880A6D" w14:textId="77777777" w:rsidTr="006417E6">
        <w:trPr>
          <w:trHeight w:val="176"/>
          <w:jc w:val="center"/>
        </w:trPr>
        <w:tc>
          <w:tcPr>
            <w:tcW w:w="690" w:type="pct"/>
            <w:vMerge w:val="restart"/>
            <w:tcBorders>
              <w:top w:val="single" w:sz="8" w:space="0" w:color="auto"/>
              <w:bottom w:val="single" w:sz="8" w:space="0" w:color="auto"/>
            </w:tcBorders>
            <w:shd w:val="clear" w:color="auto" w:fill="auto"/>
            <w:vAlign w:val="center"/>
          </w:tcPr>
          <w:p w14:paraId="384F6779" w14:textId="77777777" w:rsidR="008A64AE" w:rsidRPr="00765F6E" w:rsidRDefault="008A64AE" w:rsidP="00871D47">
            <w:pPr>
              <w:adjustRightInd/>
              <w:spacing w:line="240" w:lineRule="exact"/>
              <w:jc w:val="center"/>
              <w:rPr>
                <w:rFonts w:ascii="宋体" w:hAnsi="宋体" w:cs="宋体"/>
                <w:kern w:val="0"/>
                <w:sz w:val="18"/>
                <w:szCs w:val="18"/>
              </w:rPr>
            </w:pPr>
            <w:r w:rsidRPr="00765F6E">
              <w:rPr>
                <w:rFonts w:ascii="宋体" w:hAnsi="宋体" w:cs="宋体" w:hint="eastAsia"/>
                <w:kern w:val="0"/>
                <w:sz w:val="18"/>
                <w:szCs w:val="18"/>
              </w:rPr>
              <w:t>线路类型</w:t>
            </w:r>
          </w:p>
        </w:tc>
        <w:tc>
          <w:tcPr>
            <w:tcW w:w="930" w:type="pct"/>
            <w:vMerge w:val="restart"/>
            <w:tcBorders>
              <w:top w:val="single" w:sz="8" w:space="0" w:color="auto"/>
              <w:bottom w:val="single" w:sz="8" w:space="0" w:color="auto"/>
            </w:tcBorders>
            <w:shd w:val="clear" w:color="auto" w:fill="auto"/>
            <w:vAlign w:val="center"/>
          </w:tcPr>
          <w:p w14:paraId="59416DC3" w14:textId="77777777" w:rsidR="008A64AE" w:rsidRPr="00765F6E" w:rsidRDefault="008A64AE" w:rsidP="00871D47">
            <w:pPr>
              <w:adjustRightInd/>
              <w:spacing w:line="240" w:lineRule="exact"/>
              <w:jc w:val="center"/>
              <w:rPr>
                <w:rFonts w:ascii="宋体" w:hAnsi="宋体" w:cs="宋体"/>
                <w:kern w:val="0"/>
                <w:sz w:val="18"/>
                <w:szCs w:val="18"/>
              </w:rPr>
            </w:pPr>
            <w:r w:rsidRPr="00765F6E">
              <w:rPr>
                <w:rFonts w:ascii="宋体" w:hAnsi="宋体" w:cs="宋体" w:hint="eastAsia"/>
                <w:kern w:val="0"/>
                <w:sz w:val="18"/>
                <w:szCs w:val="18"/>
              </w:rPr>
              <w:t>辙叉号数</w:t>
            </w:r>
          </w:p>
        </w:tc>
        <w:tc>
          <w:tcPr>
            <w:tcW w:w="676" w:type="pct"/>
            <w:vMerge w:val="restart"/>
            <w:tcBorders>
              <w:top w:val="single" w:sz="8" w:space="0" w:color="auto"/>
            </w:tcBorders>
            <w:shd w:val="clear" w:color="auto" w:fill="auto"/>
            <w:vAlign w:val="center"/>
          </w:tcPr>
          <w:p w14:paraId="4234BC6A" w14:textId="77777777" w:rsidR="008A64AE" w:rsidRPr="00765F6E" w:rsidRDefault="008A64AE" w:rsidP="00871D47">
            <w:pPr>
              <w:adjustRightInd/>
              <w:spacing w:line="240" w:lineRule="exact"/>
              <w:jc w:val="center"/>
              <w:rPr>
                <w:rFonts w:ascii="宋体" w:hAnsi="宋体" w:cs="宋体"/>
                <w:kern w:val="0"/>
                <w:sz w:val="18"/>
                <w:szCs w:val="18"/>
              </w:rPr>
            </w:pPr>
            <w:r w:rsidRPr="00765F6E">
              <w:rPr>
                <w:rFonts w:ascii="宋体" w:hAnsi="宋体" w:cs="宋体" w:hint="eastAsia"/>
                <w:kern w:val="0"/>
                <w:sz w:val="18"/>
                <w:szCs w:val="18"/>
              </w:rPr>
              <w:t>导曲线半径</w:t>
            </w:r>
          </w:p>
          <w:p w14:paraId="3E1CC5C1" w14:textId="2EBB65C4" w:rsidR="008A64AE" w:rsidRPr="00765F6E" w:rsidRDefault="008A64AE" w:rsidP="00871D47">
            <w:pPr>
              <w:spacing w:line="240" w:lineRule="exact"/>
              <w:jc w:val="center"/>
              <w:rPr>
                <w:rFonts w:ascii="宋体" w:hAnsi="宋体" w:cs="宋体"/>
                <w:kern w:val="0"/>
                <w:sz w:val="18"/>
                <w:szCs w:val="18"/>
              </w:rPr>
            </w:pPr>
            <w:r w:rsidRPr="00765F6E">
              <w:rPr>
                <w:rFonts w:ascii="宋体" w:hAnsi="宋体" w:cs="宋体"/>
                <w:kern w:val="0"/>
                <w:sz w:val="18"/>
                <w:szCs w:val="18"/>
              </w:rPr>
              <w:t>m</w:t>
            </w:r>
          </w:p>
        </w:tc>
        <w:tc>
          <w:tcPr>
            <w:tcW w:w="676" w:type="pct"/>
            <w:vMerge w:val="restart"/>
            <w:tcBorders>
              <w:top w:val="single" w:sz="8" w:space="0" w:color="auto"/>
            </w:tcBorders>
            <w:shd w:val="clear" w:color="auto" w:fill="auto"/>
            <w:vAlign w:val="center"/>
          </w:tcPr>
          <w:p w14:paraId="54A410E1" w14:textId="77777777" w:rsidR="008A64AE" w:rsidRPr="00765F6E" w:rsidRDefault="008A64AE" w:rsidP="00871D47">
            <w:pPr>
              <w:adjustRightInd/>
              <w:spacing w:line="240" w:lineRule="exact"/>
              <w:jc w:val="center"/>
              <w:rPr>
                <w:rFonts w:ascii="宋体" w:hAnsi="宋体" w:cs="宋体"/>
                <w:kern w:val="0"/>
                <w:sz w:val="18"/>
                <w:szCs w:val="18"/>
              </w:rPr>
            </w:pPr>
            <w:r w:rsidRPr="00765F6E">
              <w:rPr>
                <w:rFonts w:ascii="宋体" w:hAnsi="宋体" w:cs="宋体" w:hint="eastAsia"/>
                <w:kern w:val="0"/>
                <w:sz w:val="18"/>
                <w:szCs w:val="18"/>
              </w:rPr>
              <w:t>直向限速</w:t>
            </w:r>
          </w:p>
          <w:p w14:paraId="70DB56E0" w14:textId="22C82298" w:rsidR="008A64AE" w:rsidRPr="00765F6E" w:rsidRDefault="008A64AE" w:rsidP="00871D47">
            <w:pPr>
              <w:spacing w:line="240" w:lineRule="exact"/>
              <w:jc w:val="center"/>
              <w:rPr>
                <w:rFonts w:ascii="宋体" w:hAnsi="宋体" w:cs="宋体"/>
                <w:kern w:val="0"/>
                <w:sz w:val="18"/>
                <w:szCs w:val="18"/>
              </w:rPr>
            </w:pPr>
            <w:r w:rsidRPr="00765F6E">
              <w:rPr>
                <w:rFonts w:ascii="宋体" w:hAnsi="宋体" w:cs="宋体"/>
                <w:kern w:val="0"/>
                <w:sz w:val="18"/>
                <w:szCs w:val="18"/>
              </w:rPr>
              <w:t>km/h</w:t>
            </w:r>
          </w:p>
        </w:tc>
        <w:tc>
          <w:tcPr>
            <w:tcW w:w="676" w:type="pct"/>
            <w:vMerge w:val="restart"/>
            <w:tcBorders>
              <w:top w:val="single" w:sz="8" w:space="0" w:color="auto"/>
            </w:tcBorders>
            <w:shd w:val="clear" w:color="auto" w:fill="auto"/>
            <w:vAlign w:val="center"/>
          </w:tcPr>
          <w:p w14:paraId="4CF2CC78" w14:textId="77777777" w:rsidR="008A64AE" w:rsidRPr="00765F6E" w:rsidRDefault="008A64AE" w:rsidP="00871D47">
            <w:pPr>
              <w:adjustRightInd/>
              <w:spacing w:line="240" w:lineRule="exact"/>
              <w:jc w:val="center"/>
              <w:rPr>
                <w:rFonts w:ascii="宋体" w:hAnsi="宋体" w:cs="宋体"/>
                <w:kern w:val="0"/>
                <w:sz w:val="18"/>
                <w:szCs w:val="18"/>
              </w:rPr>
            </w:pPr>
            <w:r w:rsidRPr="00765F6E">
              <w:rPr>
                <w:rFonts w:ascii="宋体" w:hAnsi="宋体" w:cs="宋体" w:hint="eastAsia"/>
                <w:kern w:val="0"/>
                <w:sz w:val="18"/>
                <w:szCs w:val="18"/>
              </w:rPr>
              <w:t>侧向限速</w:t>
            </w:r>
          </w:p>
          <w:p w14:paraId="29A0C072" w14:textId="2BB0C7D3" w:rsidR="008A64AE" w:rsidRPr="00765F6E" w:rsidRDefault="008A64AE" w:rsidP="00871D47">
            <w:pPr>
              <w:spacing w:line="240" w:lineRule="exact"/>
              <w:jc w:val="center"/>
              <w:rPr>
                <w:rFonts w:ascii="宋体" w:hAnsi="宋体" w:cs="宋体"/>
                <w:kern w:val="0"/>
                <w:sz w:val="18"/>
                <w:szCs w:val="18"/>
              </w:rPr>
            </w:pPr>
            <w:r w:rsidRPr="00765F6E">
              <w:rPr>
                <w:rFonts w:ascii="宋体" w:hAnsi="宋体" w:cs="宋体"/>
                <w:kern w:val="0"/>
                <w:sz w:val="18"/>
                <w:szCs w:val="18"/>
              </w:rPr>
              <w:t>km/h</w:t>
            </w:r>
          </w:p>
        </w:tc>
        <w:tc>
          <w:tcPr>
            <w:tcW w:w="1352" w:type="pct"/>
            <w:gridSpan w:val="2"/>
            <w:tcBorders>
              <w:top w:val="single" w:sz="8" w:space="0" w:color="auto"/>
              <w:bottom w:val="single" w:sz="8" w:space="0" w:color="auto"/>
            </w:tcBorders>
            <w:shd w:val="clear" w:color="auto" w:fill="auto"/>
            <w:vAlign w:val="center"/>
          </w:tcPr>
          <w:p w14:paraId="17038CA4" w14:textId="77777777" w:rsidR="008A64AE" w:rsidRPr="00765F6E" w:rsidRDefault="008A64AE" w:rsidP="00871D47">
            <w:pPr>
              <w:adjustRightInd/>
              <w:spacing w:line="240" w:lineRule="exact"/>
              <w:jc w:val="center"/>
              <w:rPr>
                <w:rFonts w:ascii="宋体" w:hAnsi="宋体" w:cs="宋体"/>
                <w:kern w:val="0"/>
                <w:sz w:val="18"/>
                <w:szCs w:val="18"/>
              </w:rPr>
            </w:pPr>
            <w:r w:rsidRPr="00765F6E">
              <w:rPr>
                <w:rFonts w:ascii="宋体" w:hAnsi="宋体" w:cs="宋体" w:hint="eastAsia"/>
                <w:kern w:val="0"/>
                <w:sz w:val="18"/>
                <w:szCs w:val="18"/>
              </w:rPr>
              <w:t>线间距</w:t>
            </w:r>
          </w:p>
          <w:p w14:paraId="7E371E08" w14:textId="77777777" w:rsidR="008A64AE" w:rsidRPr="00765F6E" w:rsidRDefault="008A64AE" w:rsidP="00871D47">
            <w:pPr>
              <w:adjustRightInd/>
              <w:spacing w:line="240" w:lineRule="exact"/>
              <w:jc w:val="center"/>
              <w:rPr>
                <w:rFonts w:ascii="宋体" w:hAnsi="宋体" w:cs="宋体"/>
                <w:kern w:val="0"/>
                <w:sz w:val="18"/>
                <w:szCs w:val="18"/>
              </w:rPr>
            </w:pPr>
            <w:r w:rsidRPr="00765F6E">
              <w:rPr>
                <w:rFonts w:ascii="宋体" w:hAnsi="宋体" w:cs="宋体"/>
                <w:kern w:val="0"/>
                <w:sz w:val="18"/>
                <w:szCs w:val="18"/>
              </w:rPr>
              <w:t>m</w:t>
            </w:r>
          </w:p>
        </w:tc>
      </w:tr>
      <w:tr w:rsidR="008A64AE" w:rsidRPr="00765F6E" w14:paraId="5E83AB52" w14:textId="77777777" w:rsidTr="006417E6">
        <w:trPr>
          <w:trHeight w:val="176"/>
          <w:jc w:val="center"/>
        </w:trPr>
        <w:tc>
          <w:tcPr>
            <w:tcW w:w="690" w:type="pct"/>
            <w:vMerge/>
            <w:tcBorders>
              <w:top w:val="single" w:sz="4" w:space="0" w:color="auto"/>
              <w:bottom w:val="single" w:sz="8" w:space="0" w:color="auto"/>
            </w:tcBorders>
            <w:shd w:val="clear" w:color="auto" w:fill="auto"/>
            <w:vAlign w:val="center"/>
          </w:tcPr>
          <w:p w14:paraId="3504B244" w14:textId="77777777" w:rsidR="008A64AE" w:rsidRPr="00765F6E" w:rsidRDefault="008A64AE" w:rsidP="00871D47">
            <w:pPr>
              <w:adjustRightInd/>
              <w:spacing w:line="240" w:lineRule="exact"/>
              <w:jc w:val="center"/>
              <w:rPr>
                <w:rFonts w:ascii="宋体" w:hAnsi="宋体" w:cs="宋体"/>
                <w:kern w:val="0"/>
                <w:sz w:val="18"/>
                <w:szCs w:val="18"/>
              </w:rPr>
            </w:pPr>
          </w:p>
        </w:tc>
        <w:tc>
          <w:tcPr>
            <w:tcW w:w="930" w:type="pct"/>
            <w:vMerge/>
            <w:tcBorders>
              <w:top w:val="single" w:sz="4" w:space="0" w:color="auto"/>
              <w:bottom w:val="single" w:sz="8" w:space="0" w:color="auto"/>
            </w:tcBorders>
            <w:shd w:val="clear" w:color="auto" w:fill="auto"/>
            <w:vAlign w:val="center"/>
          </w:tcPr>
          <w:p w14:paraId="1037BD2A" w14:textId="77777777" w:rsidR="008A64AE" w:rsidRPr="00765F6E" w:rsidRDefault="008A64AE" w:rsidP="00871D47">
            <w:pPr>
              <w:adjustRightInd/>
              <w:spacing w:line="240" w:lineRule="exact"/>
              <w:jc w:val="center"/>
              <w:rPr>
                <w:rFonts w:ascii="宋体" w:hAnsi="宋体" w:cs="宋体"/>
                <w:kern w:val="0"/>
                <w:sz w:val="18"/>
                <w:szCs w:val="18"/>
              </w:rPr>
            </w:pPr>
          </w:p>
        </w:tc>
        <w:tc>
          <w:tcPr>
            <w:tcW w:w="676" w:type="pct"/>
            <w:vMerge/>
            <w:tcBorders>
              <w:bottom w:val="single" w:sz="8" w:space="0" w:color="auto"/>
            </w:tcBorders>
            <w:shd w:val="clear" w:color="auto" w:fill="auto"/>
            <w:vAlign w:val="center"/>
          </w:tcPr>
          <w:p w14:paraId="45609B4C" w14:textId="52CA9EA3" w:rsidR="008A64AE" w:rsidRPr="00765F6E" w:rsidRDefault="008A64AE" w:rsidP="00871D47">
            <w:pPr>
              <w:adjustRightInd/>
              <w:spacing w:line="240" w:lineRule="exact"/>
              <w:jc w:val="center"/>
              <w:rPr>
                <w:rFonts w:ascii="宋体" w:hAnsi="宋体" w:cs="宋体"/>
                <w:kern w:val="0"/>
                <w:sz w:val="18"/>
                <w:szCs w:val="18"/>
              </w:rPr>
            </w:pPr>
          </w:p>
        </w:tc>
        <w:tc>
          <w:tcPr>
            <w:tcW w:w="676" w:type="pct"/>
            <w:vMerge/>
            <w:tcBorders>
              <w:bottom w:val="single" w:sz="8" w:space="0" w:color="auto"/>
            </w:tcBorders>
            <w:shd w:val="clear" w:color="auto" w:fill="auto"/>
            <w:vAlign w:val="center"/>
          </w:tcPr>
          <w:p w14:paraId="26327E70" w14:textId="72C397D1" w:rsidR="008A64AE" w:rsidRPr="00765F6E" w:rsidRDefault="008A64AE" w:rsidP="00871D47">
            <w:pPr>
              <w:adjustRightInd/>
              <w:spacing w:line="240" w:lineRule="exact"/>
              <w:jc w:val="center"/>
              <w:rPr>
                <w:rFonts w:ascii="宋体" w:hAnsi="宋体" w:cs="宋体"/>
                <w:kern w:val="0"/>
                <w:sz w:val="18"/>
                <w:szCs w:val="18"/>
              </w:rPr>
            </w:pPr>
          </w:p>
        </w:tc>
        <w:tc>
          <w:tcPr>
            <w:tcW w:w="676" w:type="pct"/>
            <w:vMerge/>
            <w:tcBorders>
              <w:bottom w:val="single" w:sz="8" w:space="0" w:color="auto"/>
            </w:tcBorders>
            <w:shd w:val="clear" w:color="auto" w:fill="auto"/>
            <w:vAlign w:val="center"/>
          </w:tcPr>
          <w:p w14:paraId="7A2961A1" w14:textId="6026D629" w:rsidR="008A64AE" w:rsidRPr="00765F6E" w:rsidRDefault="008A64AE" w:rsidP="00871D47">
            <w:pPr>
              <w:adjustRightInd/>
              <w:spacing w:line="240" w:lineRule="exact"/>
              <w:jc w:val="center"/>
              <w:rPr>
                <w:rFonts w:ascii="宋体" w:hAnsi="宋体" w:cs="宋体"/>
                <w:kern w:val="0"/>
                <w:sz w:val="18"/>
                <w:szCs w:val="18"/>
              </w:rPr>
            </w:pPr>
          </w:p>
        </w:tc>
        <w:tc>
          <w:tcPr>
            <w:tcW w:w="676" w:type="pct"/>
            <w:tcBorders>
              <w:top w:val="single" w:sz="8" w:space="0" w:color="auto"/>
              <w:bottom w:val="single" w:sz="8" w:space="0" w:color="auto"/>
            </w:tcBorders>
            <w:shd w:val="clear" w:color="auto" w:fill="auto"/>
            <w:vAlign w:val="center"/>
          </w:tcPr>
          <w:p w14:paraId="2093609D" w14:textId="77777777" w:rsidR="008A64AE" w:rsidRPr="00765F6E" w:rsidRDefault="008A64AE" w:rsidP="00871D47">
            <w:pPr>
              <w:adjustRightInd/>
              <w:spacing w:line="240" w:lineRule="exact"/>
              <w:jc w:val="center"/>
              <w:rPr>
                <w:rFonts w:ascii="宋体" w:hAnsi="宋体" w:cs="宋体"/>
                <w:kern w:val="0"/>
                <w:sz w:val="18"/>
                <w:szCs w:val="18"/>
              </w:rPr>
            </w:pPr>
            <w:r w:rsidRPr="00765F6E">
              <w:rPr>
                <w:rFonts w:ascii="宋体" w:hAnsi="宋体" w:cs="宋体" w:hint="eastAsia"/>
                <w:kern w:val="0"/>
                <w:sz w:val="18"/>
                <w:szCs w:val="18"/>
              </w:rPr>
              <w:t>单渡线</w:t>
            </w:r>
          </w:p>
        </w:tc>
        <w:tc>
          <w:tcPr>
            <w:tcW w:w="676" w:type="pct"/>
            <w:tcBorders>
              <w:top w:val="single" w:sz="8" w:space="0" w:color="auto"/>
              <w:bottom w:val="single" w:sz="8" w:space="0" w:color="auto"/>
            </w:tcBorders>
            <w:shd w:val="clear" w:color="auto" w:fill="auto"/>
            <w:vAlign w:val="center"/>
          </w:tcPr>
          <w:p w14:paraId="50EE3C14" w14:textId="77777777" w:rsidR="008A64AE" w:rsidRPr="00765F6E" w:rsidRDefault="008A64AE" w:rsidP="00871D47">
            <w:pPr>
              <w:adjustRightInd/>
              <w:spacing w:line="240" w:lineRule="exact"/>
              <w:jc w:val="center"/>
              <w:rPr>
                <w:rFonts w:ascii="宋体" w:hAnsi="宋体" w:cs="宋体"/>
                <w:kern w:val="0"/>
                <w:sz w:val="18"/>
                <w:szCs w:val="18"/>
              </w:rPr>
            </w:pPr>
            <w:r w:rsidRPr="00765F6E">
              <w:rPr>
                <w:rFonts w:ascii="宋体" w:hAnsi="宋体" w:cs="宋体" w:hint="eastAsia"/>
                <w:kern w:val="0"/>
                <w:sz w:val="18"/>
                <w:szCs w:val="18"/>
              </w:rPr>
              <w:t>交叉渡线</w:t>
            </w:r>
          </w:p>
        </w:tc>
      </w:tr>
      <w:tr w:rsidR="00737EB2" w:rsidRPr="00765F6E" w14:paraId="0A3E8409" w14:textId="77777777" w:rsidTr="00871D47">
        <w:trPr>
          <w:trHeight w:val="176"/>
          <w:jc w:val="center"/>
        </w:trPr>
        <w:tc>
          <w:tcPr>
            <w:tcW w:w="690" w:type="pct"/>
            <w:vMerge w:val="restart"/>
            <w:tcBorders>
              <w:top w:val="single" w:sz="8" w:space="0" w:color="auto"/>
            </w:tcBorders>
            <w:shd w:val="clear" w:color="auto" w:fill="auto"/>
            <w:vAlign w:val="center"/>
          </w:tcPr>
          <w:p w14:paraId="7C5063BE"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hint="eastAsia"/>
                <w:kern w:val="0"/>
                <w:sz w:val="18"/>
                <w:szCs w:val="18"/>
              </w:rPr>
              <w:t>正线道岔</w:t>
            </w:r>
          </w:p>
        </w:tc>
        <w:tc>
          <w:tcPr>
            <w:tcW w:w="930" w:type="pct"/>
            <w:tcBorders>
              <w:top w:val="single" w:sz="8" w:space="0" w:color="auto"/>
            </w:tcBorders>
            <w:shd w:val="clear" w:color="auto" w:fill="auto"/>
            <w:vAlign w:val="center"/>
          </w:tcPr>
          <w:p w14:paraId="330F7300"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kern w:val="0"/>
                <w:sz w:val="18"/>
                <w:szCs w:val="18"/>
              </w:rPr>
              <w:t>60kg/m-1/9</w:t>
            </w:r>
          </w:p>
        </w:tc>
        <w:tc>
          <w:tcPr>
            <w:tcW w:w="676" w:type="pct"/>
            <w:tcBorders>
              <w:top w:val="single" w:sz="8" w:space="0" w:color="auto"/>
            </w:tcBorders>
            <w:shd w:val="clear" w:color="auto" w:fill="auto"/>
            <w:vAlign w:val="center"/>
          </w:tcPr>
          <w:p w14:paraId="72BB8DF4"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kern w:val="0"/>
                <w:sz w:val="18"/>
                <w:szCs w:val="18"/>
              </w:rPr>
              <w:t>200</w:t>
            </w:r>
          </w:p>
        </w:tc>
        <w:tc>
          <w:tcPr>
            <w:tcW w:w="676" w:type="pct"/>
            <w:tcBorders>
              <w:top w:val="single" w:sz="8" w:space="0" w:color="auto"/>
            </w:tcBorders>
            <w:shd w:val="clear" w:color="auto" w:fill="auto"/>
            <w:vAlign w:val="center"/>
          </w:tcPr>
          <w:p w14:paraId="2041CA5F"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kern w:val="0"/>
                <w:sz w:val="18"/>
                <w:szCs w:val="18"/>
              </w:rPr>
              <w:t>120</w:t>
            </w:r>
          </w:p>
        </w:tc>
        <w:tc>
          <w:tcPr>
            <w:tcW w:w="676" w:type="pct"/>
            <w:tcBorders>
              <w:top w:val="single" w:sz="8" w:space="0" w:color="auto"/>
            </w:tcBorders>
            <w:shd w:val="clear" w:color="auto" w:fill="auto"/>
            <w:vAlign w:val="center"/>
          </w:tcPr>
          <w:p w14:paraId="16FD5463"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kern w:val="0"/>
                <w:sz w:val="18"/>
                <w:szCs w:val="18"/>
              </w:rPr>
              <w:t>35</w:t>
            </w:r>
          </w:p>
        </w:tc>
        <w:tc>
          <w:tcPr>
            <w:tcW w:w="676" w:type="pct"/>
            <w:tcBorders>
              <w:top w:val="single" w:sz="8" w:space="0" w:color="auto"/>
            </w:tcBorders>
            <w:shd w:val="clear" w:color="auto" w:fill="auto"/>
            <w:vAlign w:val="center"/>
          </w:tcPr>
          <w:p w14:paraId="0F9B2472"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4.2</w:t>
            </w:r>
          </w:p>
        </w:tc>
        <w:tc>
          <w:tcPr>
            <w:tcW w:w="676" w:type="pct"/>
            <w:tcBorders>
              <w:top w:val="single" w:sz="8" w:space="0" w:color="auto"/>
            </w:tcBorders>
            <w:shd w:val="clear" w:color="auto" w:fill="auto"/>
            <w:vAlign w:val="center"/>
          </w:tcPr>
          <w:p w14:paraId="4DD1F205"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kern w:val="0"/>
                <w:sz w:val="18"/>
                <w:szCs w:val="18"/>
              </w:rPr>
              <w:t>4.6</w:t>
            </w:r>
            <w:r w:rsidRPr="00765F6E">
              <w:rPr>
                <w:rFonts w:ascii="宋体" w:hAnsi="宋体" w:cs="宋体" w:hint="eastAsia"/>
                <w:kern w:val="0"/>
                <w:sz w:val="18"/>
                <w:szCs w:val="18"/>
              </w:rPr>
              <w:t>或</w:t>
            </w:r>
            <w:r w:rsidRPr="00765F6E">
              <w:rPr>
                <w:rFonts w:ascii="宋体" w:hAnsi="宋体" w:cs="宋体"/>
                <w:kern w:val="0"/>
                <w:sz w:val="18"/>
                <w:szCs w:val="18"/>
              </w:rPr>
              <w:t>5.0</w:t>
            </w:r>
          </w:p>
        </w:tc>
      </w:tr>
      <w:tr w:rsidR="00737EB2" w:rsidRPr="00765F6E" w14:paraId="35A9CE12" w14:textId="77777777" w:rsidTr="00871D47">
        <w:trPr>
          <w:trHeight w:val="176"/>
          <w:jc w:val="center"/>
        </w:trPr>
        <w:tc>
          <w:tcPr>
            <w:tcW w:w="690" w:type="pct"/>
            <w:vMerge/>
            <w:tcBorders>
              <w:bottom w:val="single" w:sz="8" w:space="0" w:color="auto"/>
            </w:tcBorders>
            <w:shd w:val="clear" w:color="auto" w:fill="auto"/>
            <w:vAlign w:val="center"/>
          </w:tcPr>
          <w:p w14:paraId="1B5BF50F" w14:textId="77777777" w:rsidR="00737EB2" w:rsidRPr="00765F6E" w:rsidRDefault="00737EB2" w:rsidP="00871D47">
            <w:pPr>
              <w:adjustRightInd/>
              <w:spacing w:line="240" w:lineRule="exact"/>
              <w:jc w:val="center"/>
              <w:rPr>
                <w:rFonts w:ascii="宋体" w:hAnsi="宋体" w:cs="宋体"/>
                <w:kern w:val="0"/>
                <w:sz w:val="18"/>
                <w:szCs w:val="18"/>
              </w:rPr>
            </w:pPr>
          </w:p>
        </w:tc>
        <w:tc>
          <w:tcPr>
            <w:tcW w:w="930" w:type="pct"/>
            <w:tcBorders>
              <w:bottom w:val="single" w:sz="8" w:space="0" w:color="auto"/>
            </w:tcBorders>
            <w:shd w:val="clear" w:color="auto" w:fill="auto"/>
            <w:vAlign w:val="center"/>
          </w:tcPr>
          <w:p w14:paraId="31D5053C"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kern w:val="0"/>
                <w:sz w:val="18"/>
                <w:szCs w:val="18"/>
              </w:rPr>
              <w:t>60kg/m-1/12</w:t>
            </w:r>
          </w:p>
        </w:tc>
        <w:tc>
          <w:tcPr>
            <w:tcW w:w="676" w:type="pct"/>
            <w:tcBorders>
              <w:bottom w:val="single" w:sz="8" w:space="0" w:color="auto"/>
            </w:tcBorders>
            <w:shd w:val="clear" w:color="auto" w:fill="auto"/>
            <w:vAlign w:val="center"/>
          </w:tcPr>
          <w:p w14:paraId="54369EE5"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kern w:val="0"/>
                <w:sz w:val="18"/>
                <w:szCs w:val="18"/>
              </w:rPr>
              <w:t>350</w:t>
            </w:r>
          </w:p>
        </w:tc>
        <w:tc>
          <w:tcPr>
            <w:tcW w:w="676" w:type="pct"/>
            <w:tcBorders>
              <w:bottom w:val="single" w:sz="8" w:space="0" w:color="auto"/>
            </w:tcBorders>
            <w:shd w:val="clear" w:color="auto" w:fill="auto"/>
            <w:vAlign w:val="center"/>
          </w:tcPr>
          <w:p w14:paraId="4E7A97B3"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kern w:val="0"/>
                <w:sz w:val="18"/>
                <w:szCs w:val="18"/>
              </w:rPr>
              <w:t>160</w:t>
            </w:r>
          </w:p>
        </w:tc>
        <w:tc>
          <w:tcPr>
            <w:tcW w:w="676" w:type="pct"/>
            <w:tcBorders>
              <w:bottom w:val="single" w:sz="8" w:space="0" w:color="auto"/>
            </w:tcBorders>
            <w:shd w:val="clear" w:color="auto" w:fill="auto"/>
            <w:vAlign w:val="center"/>
          </w:tcPr>
          <w:p w14:paraId="501A8611"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kern w:val="0"/>
                <w:sz w:val="18"/>
                <w:szCs w:val="18"/>
              </w:rPr>
              <w:t>50</w:t>
            </w:r>
          </w:p>
        </w:tc>
        <w:tc>
          <w:tcPr>
            <w:tcW w:w="676" w:type="pct"/>
            <w:tcBorders>
              <w:bottom w:val="single" w:sz="8" w:space="0" w:color="auto"/>
            </w:tcBorders>
            <w:shd w:val="clear" w:color="auto" w:fill="auto"/>
            <w:vAlign w:val="center"/>
          </w:tcPr>
          <w:p w14:paraId="2496246D"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4.5</w:t>
            </w:r>
          </w:p>
        </w:tc>
        <w:tc>
          <w:tcPr>
            <w:tcW w:w="676" w:type="pct"/>
            <w:tcBorders>
              <w:bottom w:val="single" w:sz="8" w:space="0" w:color="auto"/>
            </w:tcBorders>
            <w:shd w:val="clear" w:color="auto" w:fill="auto"/>
            <w:vAlign w:val="center"/>
          </w:tcPr>
          <w:p w14:paraId="2F0032CE"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kern w:val="0"/>
                <w:sz w:val="18"/>
                <w:szCs w:val="18"/>
              </w:rPr>
              <w:t>5.0</w:t>
            </w:r>
          </w:p>
        </w:tc>
      </w:tr>
    </w:tbl>
    <w:p w14:paraId="4E535C15" w14:textId="77777777" w:rsidR="00737EB2" w:rsidRPr="00765F6E" w:rsidRDefault="00737EB2" w:rsidP="00737EB2">
      <w:pPr>
        <w:spacing w:line="240" w:lineRule="auto"/>
      </w:pPr>
    </w:p>
    <w:p w14:paraId="6F007FC5" w14:textId="2289EA42" w:rsidR="00737EB2" w:rsidRPr="00765F6E" w:rsidRDefault="00737EB2" w:rsidP="003334F3">
      <w:pPr>
        <w:pStyle w:val="af6"/>
        <w:numPr>
          <w:ilvl w:val="0"/>
          <w:numId w:val="53"/>
        </w:numPr>
        <w:tabs>
          <w:tab w:val="left" w:pos="851"/>
        </w:tabs>
        <w:snapToGrid w:val="0"/>
        <w:contextualSpacing/>
      </w:pPr>
      <w:r w:rsidRPr="00765F6E">
        <w:rPr>
          <w:rFonts w:hint="eastAsia"/>
        </w:rPr>
        <w:t>正线与到发线间、到发线间、到发线与其他线间无建（构）筑物或设备时，线间距结合敷设方式确定，曲线地段可不加宽。工程困难条件或采用地下线时可根据限界要求计算确定</w:t>
      </w:r>
      <w:r w:rsidR="009D1EA3">
        <w:rPr>
          <w:rFonts w:hint="eastAsia"/>
        </w:rPr>
        <w:t>；</w:t>
      </w:r>
    </w:p>
    <w:p w14:paraId="0132A939" w14:textId="77777777" w:rsidR="00737EB2" w:rsidRPr="00765F6E" w:rsidRDefault="00737EB2" w:rsidP="003334F3">
      <w:pPr>
        <w:pStyle w:val="af6"/>
        <w:numPr>
          <w:ilvl w:val="0"/>
          <w:numId w:val="53"/>
        </w:numPr>
        <w:tabs>
          <w:tab w:val="left" w:pos="851"/>
        </w:tabs>
        <w:snapToGrid w:val="0"/>
        <w:contextualSpacing/>
      </w:pPr>
      <w:r w:rsidRPr="00765F6E">
        <w:rPr>
          <w:rFonts w:hint="eastAsia"/>
        </w:rPr>
        <w:t>相邻两线路间设有建（构）筑物或设备时，线间距应根据限界、建（构）筑物或设备宽度计算确定，曲线地段应根据有关规定加宽。</w:t>
      </w:r>
    </w:p>
    <w:p w14:paraId="0F929E8A" w14:textId="786B3A26" w:rsidR="00737EB2" w:rsidRPr="00765F6E" w:rsidRDefault="00737EB2" w:rsidP="009D0776">
      <w:pPr>
        <w:pStyle w:val="22"/>
      </w:pPr>
      <w:bookmarkStart w:id="680" w:name="_Toc99791653"/>
      <w:bookmarkStart w:id="681" w:name="_Toc153291085"/>
      <w:r w:rsidRPr="00765F6E">
        <w:rPr>
          <w:rFonts w:hint="eastAsia"/>
        </w:rPr>
        <w:t>区间正线圆曲线和夹直线最小长度应根据公式（19）、公式（20）计算确定，并符合表</w:t>
      </w:r>
      <w:r w:rsidR="00E512B4" w:rsidRPr="00765F6E">
        <w:rPr>
          <w:rFonts w:hint="eastAsia"/>
        </w:rPr>
        <w:t>1</w:t>
      </w:r>
      <w:r w:rsidR="00E512B4">
        <w:t>3</w:t>
      </w:r>
      <w:r w:rsidRPr="00765F6E">
        <w:rPr>
          <w:rFonts w:hint="eastAsia"/>
        </w:rPr>
        <w:t>的规定</w:t>
      </w:r>
      <w:bookmarkEnd w:id="680"/>
      <w:bookmarkEnd w:id="681"/>
      <w:r w:rsidR="005F7661">
        <w:rPr>
          <w:rFonts w:hint="eastAsia"/>
        </w:rPr>
        <w:t>。</w:t>
      </w:r>
    </w:p>
    <w:p w14:paraId="06D8DBC5" w14:textId="77777777" w:rsidR="00737EB2" w:rsidRPr="00765F6E" w:rsidRDefault="00737EB2" w:rsidP="00737EB2">
      <w:pPr>
        <w:pStyle w:val="affffffd"/>
        <w:spacing w:before="156" w:after="156"/>
      </w:pPr>
      <w:r w:rsidRPr="00765F6E">
        <w:tab/>
      </w:r>
      <m:oMath>
        <m:r>
          <m:rPr>
            <m:sty m:val="p"/>
          </m:rPr>
          <w:rPr>
            <w:rFonts w:ascii="Cambria Math" w:hAnsi="Cambria Math" w:hint="eastAsia"/>
          </w:rPr>
          <m:t>一般条件下：</m:t>
        </m:r>
        <m:r>
          <m:rPr>
            <m:sty m:val="p"/>
          </m:rPr>
          <w:rPr>
            <w:rFonts w:ascii="Cambria Math" w:hAnsi="Cambria Math"/>
          </w:rPr>
          <m:t xml:space="preserve"> </m:t>
        </m:r>
        <m:r>
          <w:rPr>
            <w:rFonts w:ascii="Cambria Math" w:hAnsi="Cambria Math"/>
          </w:rPr>
          <m:t>L</m:t>
        </m:r>
        <m:r>
          <m:rPr>
            <m:sty m:val="p"/>
          </m:rPr>
          <w:rPr>
            <w:rFonts w:ascii="Cambria Math" w:hAnsi="Cambria Math" w:hint="eastAsia"/>
          </w:rPr>
          <m:t>≥</m:t>
        </m:r>
        <m:r>
          <m:rPr>
            <m:sty m:val="p"/>
          </m:rPr>
          <w:rPr>
            <w:rFonts w:ascii="Cambria Math" w:hAnsi="Cambria Math"/>
          </w:rPr>
          <m:t>0.6</m:t>
        </m:r>
        <m:r>
          <w:rPr>
            <w:rFonts w:ascii="Cambria Math" w:hAnsi="Cambria Math"/>
          </w:rPr>
          <m:t>v</m:t>
        </m:r>
      </m:oMath>
      <w:r w:rsidRPr="00765F6E">
        <w:rPr>
          <w:rFonts w:ascii="微软雅黑" w:eastAsia="微软雅黑" w:hAnsi="微软雅黑"/>
        </w:rPr>
        <w:tab/>
      </w:r>
      <w:r w:rsidRPr="00765F6E">
        <w:t>(1</w:t>
      </w:r>
      <w:r w:rsidRPr="00765F6E">
        <w:rPr>
          <w:rFonts w:hint="eastAsia"/>
        </w:rPr>
        <w:t>9</w:t>
      </w:r>
      <w:r w:rsidRPr="00765F6E">
        <w:t>)</w:t>
      </w:r>
    </w:p>
    <w:p w14:paraId="4873C60E" w14:textId="77777777" w:rsidR="00737EB2" w:rsidRPr="00765F6E" w:rsidRDefault="00737EB2" w:rsidP="00737EB2">
      <w:pPr>
        <w:pStyle w:val="affffffd"/>
        <w:spacing w:before="156" w:after="156"/>
      </w:pPr>
      <w:r w:rsidRPr="00765F6E">
        <w:tab/>
      </w:r>
      <m:oMath>
        <m:r>
          <m:rPr>
            <m:sty m:val="p"/>
          </m:rPr>
          <w:rPr>
            <w:rFonts w:ascii="Cambria Math" w:hAnsi="Cambria Math" w:hint="eastAsia"/>
          </w:rPr>
          <m:t>困难条件下：</m:t>
        </m:r>
        <m:r>
          <m:rPr>
            <m:sty m:val="p"/>
          </m:rPr>
          <w:rPr>
            <w:rFonts w:ascii="Cambria Math" w:hAnsi="Cambria Math"/>
          </w:rPr>
          <m:t xml:space="preserve"> </m:t>
        </m:r>
        <m:r>
          <w:rPr>
            <w:rFonts w:ascii="Cambria Math" w:hAnsi="Cambria Math"/>
          </w:rPr>
          <m:t>L</m:t>
        </m:r>
        <m:r>
          <m:rPr>
            <m:sty m:val="p"/>
          </m:rPr>
          <w:rPr>
            <w:rFonts w:ascii="Cambria Math" w:hAnsi="Cambria Math" w:hint="eastAsia"/>
          </w:rPr>
          <m:t>≥</m:t>
        </m:r>
        <m:r>
          <m:rPr>
            <m:sty m:val="p"/>
          </m:rPr>
          <w:rPr>
            <w:rFonts w:ascii="Cambria Math" w:hAnsi="Cambria Math"/>
          </w:rPr>
          <m:t>0.4</m:t>
        </m:r>
        <m:r>
          <w:rPr>
            <w:rFonts w:ascii="Cambria Math" w:hAnsi="Cambria Math"/>
          </w:rPr>
          <m:t>v</m:t>
        </m:r>
      </m:oMath>
      <w:r w:rsidRPr="00765F6E">
        <w:rPr>
          <w:rFonts w:ascii="微软雅黑" w:eastAsia="微软雅黑" w:hAnsi="微软雅黑"/>
        </w:rPr>
        <w:tab/>
      </w:r>
      <w:r w:rsidRPr="00765F6E">
        <w:t>(2</w:t>
      </w:r>
      <w:r w:rsidRPr="00765F6E">
        <w:rPr>
          <w:rFonts w:hint="eastAsia"/>
        </w:rPr>
        <w:t>0</w:t>
      </w:r>
      <w:r w:rsidRPr="00765F6E">
        <w:t>)</w:t>
      </w:r>
    </w:p>
    <w:p w14:paraId="1C81F319" w14:textId="77777777" w:rsidR="00737EB2" w:rsidRPr="00765F6E" w:rsidRDefault="00737EB2" w:rsidP="0062778D">
      <w:pPr>
        <w:pStyle w:val="affffa"/>
        <w:ind w:firstLine="420"/>
        <w:rPr>
          <w:rFonts w:ascii="宋体" w:hAnsi="宋体"/>
        </w:rPr>
      </w:pPr>
      <w:r w:rsidRPr="00765F6E">
        <w:rPr>
          <w:rFonts w:hint="eastAsia"/>
        </w:rPr>
        <w:t>式中：</w:t>
      </w:r>
      <w:r w:rsidRPr="00765F6E">
        <w:rPr>
          <w:rFonts w:ascii="宋体" w:hAnsi="宋体"/>
        </w:rPr>
        <w:t xml:space="preserve"> </w:t>
      </w:r>
    </w:p>
    <w:p w14:paraId="4057C65F" w14:textId="77777777" w:rsidR="00737EB2" w:rsidRPr="00765F6E" w:rsidRDefault="00737EB2" w:rsidP="0062778D">
      <w:pPr>
        <w:adjustRightInd/>
        <w:spacing w:line="240" w:lineRule="auto"/>
        <w:ind w:leftChars="200" w:left="420" w:firstLineChars="100" w:firstLine="210"/>
        <w:jc w:val="left"/>
        <w:rPr>
          <w:rFonts w:ascii="Cambria Math" w:hAnsi="Cambria Math"/>
        </w:rPr>
      </w:pPr>
      <w:r w:rsidRPr="006B5151">
        <w:rPr>
          <w:rFonts w:ascii="Cambria Math" w:hAnsi="Cambria Math"/>
          <w:i/>
        </w:rPr>
        <w:t>L</w:t>
      </w:r>
      <w:r w:rsidRPr="00765F6E">
        <w:rPr>
          <w:rFonts w:ascii="Cambria Math" w:hAnsi="Cambria Math"/>
        </w:rPr>
        <w:t xml:space="preserve"> </w:t>
      </w:r>
      <w:r w:rsidRPr="00765F6E">
        <w:rPr>
          <w:rFonts w:ascii="Cambria Math" w:hAnsi="Cambria Math" w:hint="eastAsia"/>
        </w:rPr>
        <w:t>——圆曲线或夹直线长度，单位为米（</w:t>
      </w:r>
      <w:r w:rsidRPr="00765F6E">
        <w:rPr>
          <w:rFonts w:ascii="Cambria Math" w:hAnsi="Cambria Math"/>
        </w:rPr>
        <w:t>m</w:t>
      </w:r>
      <w:r w:rsidRPr="00765F6E">
        <w:rPr>
          <w:rFonts w:ascii="Cambria Math" w:hAnsi="Cambria Math" w:hint="eastAsia"/>
        </w:rPr>
        <w:t>）；</w:t>
      </w:r>
    </w:p>
    <w:p w14:paraId="0261FE83" w14:textId="77777777" w:rsidR="00737EB2" w:rsidRPr="00765F6E" w:rsidRDefault="00737EB2" w:rsidP="0062778D">
      <w:pPr>
        <w:adjustRightInd/>
        <w:spacing w:line="240" w:lineRule="auto"/>
        <w:ind w:leftChars="200" w:left="420" w:firstLineChars="100" w:firstLine="210"/>
        <w:jc w:val="left"/>
        <w:rPr>
          <w:rFonts w:ascii="Cambria Math" w:hAnsi="Cambria Math"/>
        </w:rPr>
      </w:pPr>
      <w:r w:rsidRPr="006B5151">
        <w:rPr>
          <w:rFonts w:ascii="Cambria Math" w:hAnsi="Cambria Math"/>
          <w:i/>
        </w:rPr>
        <w:t>v</w:t>
      </w:r>
      <w:r w:rsidRPr="00765F6E">
        <w:rPr>
          <w:rFonts w:ascii="Cambria Math" w:hAnsi="Cambria Math"/>
        </w:rPr>
        <w:t xml:space="preserve"> </w:t>
      </w:r>
      <w:r w:rsidRPr="00765F6E">
        <w:rPr>
          <w:rFonts w:ascii="Cambria Math" w:hAnsi="Cambria Math" w:hint="eastAsia"/>
        </w:rPr>
        <w:t>——路段设计速度，单位为千米每小时（</w:t>
      </w:r>
      <w:r w:rsidRPr="00765F6E">
        <w:rPr>
          <w:rFonts w:ascii="Cambria Math" w:hAnsi="Cambria Math"/>
        </w:rPr>
        <w:t>km/h</w:t>
      </w:r>
      <w:r w:rsidRPr="00765F6E">
        <w:rPr>
          <w:rFonts w:ascii="Cambria Math" w:hAnsi="Cambria Math" w:hint="eastAsia"/>
        </w:rPr>
        <w:t>）。</w:t>
      </w:r>
    </w:p>
    <w:p w14:paraId="046D8C75" w14:textId="77777777" w:rsidR="00737EB2" w:rsidRPr="00765F6E" w:rsidRDefault="00737EB2" w:rsidP="00737EB2">
      <w:pPr>
        <w:pStyle w:val="aff3"/>
        <w:spacing w:before="156" w:after="156"/>
      </w:pPr>
      <w:r w:rsidRPr="00765F6E">
        <w:rPr>
          <w:rFonts w:hint="eastAsia"/>
        </w:rPr>
        <w:t>圆曲线或夹直线最小长度</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887"/>
        <w:gridCol w:w="958"/>
        <w:gridCol w:w="1092"/>
        <w:gridCol w:w="1091"/>
        <w:gridCol w:w="1091"/>
        <w:gridCol w:w="1091"/>
        <w:gridCol w:w="1062"/>
        <w:gridCol w:w="1062"/>
      </w:tblGrid>
      <w:tr w:rsidR="00737EB2" w:rsidRPr="00765F6E" w14:paraId="20FEA285" w14:textId="77777777" w:rsidTr="00871D47">
        <w:trPr>
          <w:trHeight w:val="176"/>
          <w:jc w:val="center"/>
        </w:trPr>
        <w:tc>
          <w:tcPr>
            <w:tcW w:w="2845" w:type="dxa"/>
            <w:gridSpan w:val="2"/>
            <w:tcBorders>
              <w:top w:val="single" w:sz="8" w:space="0" w:color="auto"/>
              <w:bottom w:val="single" w:sz="8" w:space="0" w:color="auto"/>
            </w:tcBorders>
            <w:shd w:val="clear" w:color="auto" w:fill="auto"/>
            <w:vAlign w:val="center"/>
          </w:tcPr>
          <w:p w14:paraId="79B2261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路段设计速度/（</w:t>
            </w:r>
            <w:r w:rsidRPr="00765F6E">
              <w:rPr>
                <w:rFonts w:ascii="宋体" w:hAnsi="宋体" w:cs="宋体"/>
                <w:kern w:val="0"/>
                <w:sz w:val="18"/>
                <w:szCs w:val="18"/>
              </w:rPr>
              <w:t>km/h</w:t>
            </w:r>
            <w:r w:rsidRPr="00765F6E">
              <w:rPr>
                <w:rFonts w:ascii="宋体" w:hAnsi="宋体" w:cs="宋体" w:hint="eastAsia"/>
                <w:kern w:val="0"/>
                <w:sz w:val="18"/>
                <w:szCs w:val="18"/>
              </w:rPr>
              <w:t>）</w:t>
            </w:r>
          </w:p>
        </w:tc>
        <w:tc>
          <w:tcPr>
            <w:tcW w:w="1092" w:type="dxa"/>
            <w:tcBorders>
              <w:top w:val="single" w:sz="8" w:space="0" w:color="auto"/>
              <w:bottom w:val="single" w:sz="8" w:space="0" w:color="auto"/>
            </w:tcBorders>
            <w:shd w:val="clear" w:color="auto" w:fill="auto"/>
            <w:vAlign w:val="center"/>
          </w:tcPr>
          <w:p w14:paraId="426B488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160</w:t>
            </w:r>
          </w:p>
        </w:tc>
        <w:tc>
          <w:tcPr>
            <w:tcW w:w="1091" w:type="dxa"/>
            <w:tcBorders>
              <w:top w:val="single" w:sz="8" w:space="0" w:color="auto"/>
              <w:bottom w:val="single" w:sz="8" w:space="0" w:color="auto"/>
            </w:tcBorders>
            <w:shd w:val="clear" w:color="auto" w:fill="auto"/>
            <w:vAlign w:val="center"/>
          </w:tcPr>
          <w:p w14:paraId="28CA8FC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140</w:t>
            </w:r>
          </w:p>
        </w:tc>
        <w:tc>
          <w:tcPr>
            <w:tcW w:w="1091" w:type="dxa"/>
            <w:tcBorders>
              <w:top w:val="single" w:sz="8" w:space="0" w:color="auto"/>
              <w:bottom w:val="single" w:sz="8" w:space="0" w:color="auto"/>
            </w:tcBorders>
            <w:shd w:val="clear" w:color="auto" w:fill="auto"/>
            <w:vAlign w:val="center"/>
          </w:tcPr>
          <w:p w14:paraId="7DF9ACB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120</w:t>
            </w:r>
          </w:p>
        </w:tc>
        <w:tc>
          <w:tcPr>
            <w:tcW w:w="1091" w:type="dxa"/>
            <w:tcBorders>
              <w:top w:val="single" w:sz="8" w:space="0" w:color="auto"/>
              <w:bottom w:val="single" w:sz="8" w:space="0" w:color="auto"/>
            </w:tcBorders>
            <w:shd w:val="clear" w:color="auto" w:fill="auto"/>
            <w:vAlign w:val="center"/>
          </w:tcPr>
          <w:p w14:paraId="6E64AF6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w:t>
            </w:r>
          </w:p>
        </w:tc>
        <w:tc>
          <w:tcPr>
            <w:tcW w:w="1062" w:type="dxa"/>
            <w:tcBorders>
              <w:top w:val="single" w:sz="8" w:space="0" w:color="auto"/>
              <w:bottom w:val="single" w:sz="8" w:space="0" w:color="auto"/>
            </w:tcBorders>
            <w:shd w:val="clear" w:color="auto" w:fill="auto"/>
            <w:vAlign w:val="center"/>
          </w:tcPr>
          <w:p w14:paraId="27A97C5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8</w:t>
            </w:r>
            <w:r w:rsidRPr="00765F6E">
              <w:rPr>
                <w:rFonts w:ascii="宋体" w:hAnsi="宋体" w:cs="宋体"/>
                <w:kern w:val="0"/>
                <w:sz w:val="18"/>
                <w:szCs w:val="18"/>
              </w:rPr>
              <w:t>0</w:t>
            </w:r>
          </w:p>
        </w:tc>
        <w:tc>
          <w:tcPr>
            <w:tcW w:w="1062" w:type="dxa"/>
            <w:tcBorders>
              <w:top w:val="single" w:sz="8" w:space="0" w:color="auto"/>
              <w:bottom w:val="single" w:sz="8" w:space="0" w:color="auto"/>
            </w:tcBorders>
            <w:shd w:val="clear" w:color="auto" w:fill="auto"/>
            <w:vAlign w:val="center"/>
          </w:tcPr>
          <w:p w14:paraId="2C14474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6</w:t>
            </w:r>
            <w:r w:rsidRPr="00765F6E">
              <w:rPr>
                <w:rFonts w:ascii="宋体" w:hAnsi="宋体" w:cs="宋体"/>
                <w:kern w:val="0"/>
                <w:sz w:val="18"/>
                <w:szCs w:val="18"/>
              </w:rPr>
              <w:t>0</w:t>
            </w:r>
          </w:p>
        </w:tc>
      </w:tr>
      <w:tr w:rsidR="00737EB2" w:rsidRPr="00765F6E" w14:paraId="01298200" w14:textId="77777777" w:rsidTr="00871D47">
        <w:trPr>
          <w:trHeight w:val="176"/>
          <w:jc w:val="center"/>
        </w:trPr>
        <w:tc>
          <w:tcPr>
            <w:tcW w:w="1887" w:type="dxa"/>
            <w:vMerge w:val="restart"/>
            <w:tcBorders>
              <w:top w:val="single" w:sz="8" w:space="0" w:color="auto"/>
            </w:tcBorders>
            <w:shd w:val="clear" w:color="auto" w:fill="auto"/>
            <w:vAlign w:val="center"/>
          </w:tcPr>
          <w:p w14:paraId="63AD7F3D" w14:textId="77777777" w:rsidR="00737EB2" w:rsidRPr="00765F6E" w:rsidRDefault="00737EB2" w:rsidP="00871D47">
            <w:pPr>
              <w:adjustRightInd/>
              <w:spacing w:line="240" w:lineRule="exact"/>
              <w:jc w:val="center"/>
              <w:rPr>
                <w:rFonts w:ascii="宋体" w:hAnsi="宋体" w:cs="宋体"/>
                <w:kern w:val="0"/>
                <w:sz w:val="18"/>
                <w:szCs w:val="18"/>
              </w:rPr>
            </w:pPr>
            <w:r w:rsidRPr="00765F6E">
              <w:rPr>
                <w:rFonts w:ascii="宋体" w:hAnsi="宋体" w:cs="宋体" w:hint="eastAsia"/>
                <w:kern w:val="0"/>
                <w:sz w:val="18"/>
                <w:szCs w:val="18"/>
              </w:rPr>
              <w:t>圆曲线或夹直线最小长度/</w:t>
            </w:r>
            <w:r w:rsidRPr="00765F6E">
              <w:rPr>
                <w:rFonts w:ascii="宋体" w:hAnsi="宋体" w:cs="宋体"/>
                <w:kern w:val="0"/>
                <w:sz w:val="18"/>
                <w:szCs w:val="18"/>
              </w:rPr>
              <w:t>m</w:t>
            </w:r>
          </w:p>
        </w:tc>
        <w:tc>
          <w:tcPr>
            <w:tcW w:w="958" w:type="dxa"/>
            <w:tcBorders>
              <w:top w:val="single" w:sz="8" w:space="0" w:color="auto"/>
            </w:tcBorders>
            <w:shd w:val="clear" w:color="auto" w:fill="auto"/>
            <w:vAlign w:val="center"/>
          </w:tcPr>
          <w:p w14:paraId="11F7267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一般</w:t>
            </w:r>
          </w:p>
        </w:tc>
        <w:tc>
          <w:tcPr>
            <w:tcW w:w="1092" w:type="dxa"/>
            <w:tcBorders>
              <w:top w:val="single" w:sz="8" w:space="0" w:color="auto"/>
            </w:tcBorders>
            <w:shd w:val="clear" w:color="auto" w:fill="auto"/>
            <w:vAlign w:val="center"/>
          </w:tcPr>
          <w:p w14:paraId="518BA53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w:t>
            </w:r>
          </w:p>
        </w:tc>
        <w:tc>
          <w:tcPr>
            <w:tcW w:w="1091" w:type="dxa"/>
            <w:tcBorders>
              <w:top w:val="single" w:sz="8" w:space="0" w:color="auto"/>
            </w:tcBorders>
            <w:shd w:val="clear" w:color="auto" w:fill="auto"/>
            <w:vAlign w:val="center"/>
          </w:tcPr>
          <w:p w14:paraId="754EA7E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w:t>
            </w:r>
          </w:p>
        </w:tc>
        <w:tc>
          <w:tcPr>
            <w:tcW w:w="1091" w:type="dxa"/>
            <w:tcBorders>
              <w:top w:val="single" w:sz="8" w:space="0" w:color="auto"/>
            </w:tcBorders>
            <w:shd w:val="clear" w:color="auto" w:fill="auto"/>
            <w:vAlign w:val="center"/>
          </w:tcPr>
          <w:p w14:paraId="658BBF6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w:t>
            </w:r>
          </w:p>
        </w:tc>
        <w:tc>
          <w:tcPr>
            <w:tcW w:w="1091" w:type="dxa"/>
            <w:tcBorders>
              <w:top w:val="single" w:sz="8" w:space="0" w:color="auto"/>
            </w:tcBorders>
            <w:shd w:val="clear" w:color="auto" w:fill="auto"/>
            <w:vAlign w:val="center"/>
          </w:tcPr>
          <w:p w14:paraId="3D3AA9B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1062" w:type="dxa"/>
            <w:tcBorders>
              <w:top w:val="single" w:sz="8" w:space="0" w:color="auto"/>
            </w:tcBorders>
            <w:shd w:val="clear" w:color="auto" w:fill="auto"/>
            <w:vAlign w:val="center"/>
          </w:tcPr>
          <w:p w14:paraId="0E8D760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4</w:t>
            </w:r>
            <w:r w:rsidRPr="00765F6E">
              <w:rPr>
                <w:rFonts w:ascii="宋体" w:hAnsi="宋体" w:cs="宋体"/>
                <w:kern w:val="0"/>
                <w:sz w:val="18"/>
                <w:szCs w:val="18"/>
              </w:rPr>
              <w:t>8</w:t>
            </w:r>
          </w:p>
        </w:tc>
        <w:tc>
          <w:tcPr>
            <w:tcW w:w="1062" w:type="dxa"/>
            <w:tcBorders>
              <w:top w:val="single" w:sz="8" w:space="0" w:color="auto"/>
            </w:tcBorders>
            <w:shd w:val="clear" w:color="auto" w:fill="auto"/>
            <w:vAlign w:val="center"/>
          </w:tcPr>
          <w:p w14:paraId="63F6766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3</w:t>
            </w:r>
            <w:r w:rsidRPr="00765F6E">
              <w:rPr>
                <w:rFonts w:ascii="宋体" w:hAnsi="宋体" w:cs="宋体"/>
                <w:kern w:val="0"/>
                <w:sz w:val="18"/>
                <w:szCs w:val="18"/>
              </w:rPr>
              <w:t>6</w:t>
            </w:r>
          </w:p>
        </w:tc>
      </w:tr>
      <w:tr w:rsidR="00737EB2" w:rsidRPr="00765F6E" w14:paraId="13C04CCA" w14:textId="77777777" w:rsidTr="00871D47">
        <w:trPr>
          <w:trHeight w:val="176"/>
          <w:jc w:val="center"/>
        </w:trPr>
        <w:tc>
          <w:tcPr>
            <w:tcW w:w="1887" w:type="dxa"/>
            <w:vMerge/>
            <w:tcBorders>
              <w:bottom w:val="single" w:sz="8" w:space="0" w:color="auto"/>
            </w:tcBorders>
            <w:shd w:val="clear" w:color="auto" w:fill="auto"/>
            <w:vAlign w:val="center"/>
          </w:tcPr>
          <w:p w14:paraId="306CE409" w14:textId="77777777" w:rsidR="00737EB2" w:rsidRPr="00765F6E" w:rsidRDefault="00737EB2" w:rsidP="00871D47">
            <w:pPr>
              <w:adjustRightInd/>
              <w:spacing w:line="240" w:lineRule="auto"/>
              <w:jc w:val="center"/>
              <w:rPr>
                <w:rFonts w:ascii="宋体" w:hAnsi="宋体" w:cs="宋体"/>
                <w:kern w:val="0"/>
                <w:sz w:val="18"/>
                <w:szCs w:val="18"/>
              </w:rPr>
            </w:pPr>
          </w:p>
        </w:tc>
        <w:tc>
          <w:tcPr>
            <w:tcW w:w="958" w:type="dxa"/>
            <w:tcBorders>
              <w:bottom w:val="single" w:sz="8" w:space="0" w:color="auto"/>
            </w:tcBorders>
            <w:shd w:val="clear" w:color="auto" w:fill="auto"/>
            <w:vAlign w:val="center"/>
          </w:tcPr>
          <w:p w14:paraId="5C75034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困难</w:t>
            </w:r>
          </w:p>
        </w:tc>
        <w:tc>
          <w:tcPr>
            <w:tcW w:w="1092" w:type="dxa"/>
            <w:tcBorders>
              <w:bottom w:val="single" w:sz="8" w:space="0" w:color="auto"/>
            </w:tcBorders>
            <w:shd w:val="clear" w:color="auto" w:fill="auto"/>
            <w:vAlign w:val="center"/>
          </w:tcPr>
          <w:p w14:paraId="100C00F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w:t>
            </w:r>
          </w:p>
        </w:tc>
        <w:tc>
          <w:tcPr>
            <w:tcW w:w="1091" w:type="dxa"/>
            <w:tcBorders>
              <w:bottom w:val="single" w:sz="8" w:space="0" w:color="auto"/>
            </w:tcBorders>
            <w:shd w:val="clear" w:color="auto" w:fill="auto"/>
            <w:vAlign w:val="center"/>
          </w:tcPr>
          <w:p w14:paraId="378CF19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1091" w:type="dxa"/>
            <w:tcBorders>
              <w:bottom w:val="single" w:sz="8" w:space="0" w:color="auto"/>
            </w:tcBorders>
            <w:shd w:val="clear" w:color="auto" w:fill="auto"/>
            <w:vAlign w:val="center"/>
          </w:tcPr>
          <w:p w14:paraId="351E32F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1091" w:type="dxa"/>
            <w:tcBorders>
              <w:bottom w:val="single" w:sz="8" w:space="0" w:color="auto"/>
            </w:tcBorders>
            <w:shd w:val="clear" w:color="auto" w:fill="auto"/>
            <w:vAlign w:val="center"/>
          </w:tcPr>
          <w:p w14:paraId="6295C4C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1062" w:type="dxa"/>
            <w:tcBorders>
              <w:bottom w:val="single" w:sz="8" w:space="0" w:color="auto"/>
            </w:tcBorders>
            <w:shd w:val="clear" w:color="auto" w:fill="auto"/>
            <w:vAlign w:val="center"/>
          </w:tcPr>
          <w:p w14:paraId="26AC10F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3</w:t>
            </w:r>
            <w:r w:rsidRPr="00765F6E">
              <w:rPr>
                <w:rFonts w:ascii="宋体" w:hAnsi="宋体" w:cs="宋体"/>
                <w:kern w:val="0"/>
                <w:sz w:val="18"/>
                <w:szCs w:val="18"/>
              </w:rPr>
              <w:t>2</w:t>
            </w:r>
          </w:p>
        </w:tc>
        <w:tc>
          <w:tcPr>
            <w:tcW w:w="1062" w:type="dxa"/>
            <w:tcBorders>
              <w:bottom w:val="single" w:sz="8" w:space="0" w:color="auto"/>
            </w:tcBorders>
            <w:shd w:val="clear" w:color="auto" w:fill="auto"/>
            <w:vAlign w:val="center"/>
          </w:tcPr>
          <w:p w14:paraId="3212BBE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2</w:t>
            </w:r>
            <w:r w:rsidRPr="00765F6E">
              <w:rPr>
                <w:rFonts w:ascii="宋体" w:hAnsi="宋体" w:cs="宋体"/>
                <w:kern w:val="0"/>
                <w:sz w:val="18"/>
                <w:szCs w:val="18"/>
              </w:rPr>
              <w:t>5</w:t>
            </w:r>
          </w:p>
        </w:tc>
      </w:tr>
    </w:tbl>
    <w:p w14:paraId="534EA51E" w14:textId="77777777" w:rsidR="00737EB2" w:rsidRPr="00765F6E" w:rsidRDefault="00737EB2" w:rsidP="00737EB2">
      <w:pPr>
        <w:spacing w:line="240" w:lineRule="auto"/>
      </w:pPr>
    </w:p>
    <w:p w14:paraId="0B215189" w14:textId="5DA08C83" w:rsidR="00737EB2" w:rsidRPr="00765F6E" w:rsidRDefault="00737EB2" w:rsidP="009D0776">
      <w:pPr>
        <w:pStyle w:val="22"/>
      </w:pPr>
      <w:bookmarkStart w:id="682" w:name="_Toc99791654"/>
      <w:bookmarkStart w:id="683" w:name="_Toc153291086"/>
      <w:r w:rsidRPr="00765F6E">
        <w:rPr>
          <w:rFonts w:hint="eastAsia"/>
        </w:rPr>
        <w:t>区间正线直线与圆曲线间应采用三次抛物线型缓和曲线连接。缓和曲线长度可按表</w:t>
      </w:r>
      <w:r w:rsidR="00E512B4" w:rsidRPr="00765F6E">
        <w:rPr>
          <w:rFonts w:hint="eastAsia"/>
        </w:rPr>
        <w:t>1</w:t>
      </w:r>
      <w:r w:rsidR="00E512B4">
        <w:t>4</w:t>
      </w:r>
      <w:r w:rsidRPr="00765F6E">
        <w:rPr>
          <w:rFonts w:hint="eastAsia"/>
        </w:rPr>
        <w:t>选用。</w:t>
      </w:r>
      <w:bookmarkEnd w:id="682"/>
      <w:bookmarkEnd w:id="683"/>
    </w:p>
    <w:p w14:paraId="18419BE3" w14:textId="77777777" w:rsidR="00737EB2" w:rsidRPr="00765F6E" w:rsidRDefault="00737EB2" w:rsidP="00737EB2">
      <w:pPr>
        <w:pStyle w:val="aff3"/>
        <w:spacing w:before="156" w:after="156"/>
      </w:pPr>
      <w:r w:rsidRPr="00765F6E">
        <w:rPr>
          <w:rFonts w:hint="eastAsia"/>
        </w:rPr>
        <w:lastRenderedPageBreak/>
        <w:t>缓和曲线长度</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56"/>
        <w:gridCol w:w="688"/>
        <w:gridCol w:w="689"/>
        <w:gridCol w:w="689"/>
        <w:gridCol w:w="689"/>
        <w:gridCol w:w="689"/>
        <w:gridCol w:w="691"/>
        <w:gridCol w:w="689"/>
        <w:gridCol w:w="691"/>
        <w:gridCol w:w="689"/>
        <w:gridCol w:w="691"/>
        <w:gridCol w:w="689"/>
        <w:gridCol w:w="694"/>
      </w:tblGrid>
      <w:tr w:rsidR="00737EB2" w:rsidRPr="00765F6E" w14:paraId="565D1925" w14:textId="77777777" w:rsidTr="00871D47">
        <w:trPr>
          <w:trHeight w:val="176"/>
          <w:tblHeader/>
          <w:jc w:val="center"/>
        </w:trPr>
        <w:tc>
          <w:tcPr>
            <w:tcW w:w="566" w:type="pct"/>
            <w:tcBorders>
              <w:top w:val="single" w:sz="8" w:space="0" w:color="auto"/>
              <w:bottom w:val="single" w:sz="8" w:space="0" w:color="auto"/>
            </w:tcBorders>
            <w:shd w:val="clear" w:color="auto" w:fill="auto"/>
            <w:vAlign w:val="center"/>
          </w:tcPr>
          <w:p w14:paraId="0936E96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设计速度</w:t>
            </w:r>
            <w:r w:rsidRPr="00765F6E">
              <w:rPr>
                <w:rFonts w:ascii="宋体" w:hAnsi="宋体" w:cs="宋体"/>
                <w:kern w:val="0"/>
                <w:sz w:val="18"/>
                <w:szCs w:val="18"/>
              </w:rPr>
              <w:t>km/h</w:t>
            </w:r>
          </w:p>
        </w:tc>
        <w:tc>
          <w:tcPr>
            <w:tcW w:w="738" w:type="pct"/>
            <w:gridSpan w:val="2"/>
            <w:tcBorders>
              <w:top w:val="single" w:sz="8" w:space="0" w:color="auto"/>
              <w:bottom w:val="single" w:sz="8" w:space="0" w:color="auto"/>
            </w:tcBorders>
            <w:shd w:val="clear" w:color="auto" w:fill="auto"/>
            <w:vAlign w:val="center"/>
          </w:tcPr>
          <w:p w14:paraId="1AA40B6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60</w:t>
            </w:r>
          </w:p>
        </w:tc>
        <w:tc>
          <w:tcPr>
            <w:tcW w:w="738" w:type="pct"/>
            <w:gridSpan w:val="2"/>
            <w:tcBorders>
              <w:top w:val="single" w:sz="8" w:space="0" w:color="auto"/>
              <w:bottom w:val="single" w:sz="8" w:space="0" w:color="auto"/>
            </w:tcBorders>
            <w:shd w:val="clear" w:color="auto" w:fill="auto"/>
            <w:vAlign w:val="center"/>
          </w:tcPr>
          <w:p w14:paraId="2255334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40</w:t>
            </w:r>
          </w:p>
        </w:tc>
        <w:tc>
          <w:tcPr>
            <w:tcW w:w="739" w:type="pct"/>
            <w:gridSpan w:val="2"/>
            <w:tcBorders>
              <w:top w:val="single" w:sz="8" w:space="0" w:color="auto"/>
              <w:bottom w:val="single" w:sz="8" w:space="0" w:color="auto"/>
            </w:tcBorders>
            <w:shd w:val="clear" w:color="auto" w:fill="auto"/>
            <w:vAlign w:val="center"/>
          </w:tcPr>
          <w:p w14:paraId="399BDBC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20</w:t>
            </w:r>
          </w:p>
        </w:tc>
        <w:tc>
          <w:tcPr>
            <w:tcW w:w="739" w:type="pct"/>
            <w:gridSpan w:val="2"/>
            <w:tcBorders>
              <w:top w:val="single" w:sz="8" w:space="0" w:color="auto"/>
              <w:bottom w:val="single" w:sz="8" w:space="0" w:color="auto"/>
            </w:tcBorders>
            <w:shd w:val="clear" w:color="auto" w:fill="auto"/>
            <w:vAlign w:val="center"/>
          </w:tcPr>
          <w:p w14:paraId="2B4ACCE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00</w:t>
            </w:r>
          </w:p>
        </w:tc>
        <w:tc>
          <w:tcPr>
            <w:tcW w:w="739" w:type="pct"/>
            <w:gridSpan w:val="2"/>
            <w:tcBorders>
              <w:top w:val="single" w:sz="8" w:space="0" w:color="auto"/>
              <w:bottom w:val="single" w:sz="8" w:space="0" w:color="auto"/>
            </w:tcBorders>
            <w:shd w:val="clear" w:color="auto" w:fill="auto"/>
            <w:vAlign w:val="center"/>
          </w:tcPr>
          <w:p w14:paraId="6FA3F74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8</w:t>
            </w:r>
            <w:r w:rsidRPr="00765F6E">
              <w:rPr>
                <w:rFonts w:ascii="宋体" w:hAnsi="宋体" w:cs="宋体"/>
                <w:kern w:val="0"/>
                <w:sz w:val="18"/>
                <w:szCs w:val="18"/>
              </w:rPr>
              <w:t>0</w:t>
            </w:r>
          </w:p>
        </w:tc>
        <w:tc>
          <w:tcPr>
            <w:tcW w:w="741" w:type="pct"/>
            <w:gridSpan w:val="2"/>
            <w:tcBorders>
              <w:top w:val="single" w:sz="8" w:space="0" w:color="auto"/>
              <w:bottom w:val="single" w:sz="8" w:space="0" w:color="auto"/>
            </w:tcBorders>
            <w:shd w:val="clear" w:color="auto" w:fill="auto"/>
            <w:vAlign w:val="center"/>
          </w:tcPr>
          <w:p w14:paraId="00519F6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6</w:t>
            </w:r>
            <w:r w:rsidRPr="00765F6E">
              <w:rPr>
                <w:rFonts w:ascii="宋体" w:hAnsi="宋体" w:cs="宋体"/>
                <w:kern w:val="0"/>
                <w:sz w:val="18"/>
                <w:szCs w:val="18"/>
              </w:rPr>
              <w:t>0</w:t>
            </w:r>
          </w:p>
        </w:tc>
      </w:tr>
      <w:tr w:rsidR="00737EB2" w:rsidRPr="00765F6E" w14:paraId="79828131" w14:textId="77777777" w:rsidTr="00871D47">
        <w:trPr>
          <w:trHeight w:val="176"/>
          <w:tblHeader/>
          <w:jc w:val="center"/>
        </w:trPr>
        <w:tc>
          <w:tcPr>
            <w:tcW w:w="566" w:type="pct"/>
            <w:tcBorders>
              <w:top w:val="single" w:sz="8" w:space="0" w:color="auto"/>
              <w:bottom w:val="single" w:sz="8" w:space="0" w:color="auto"/>
            </w:tcBorders>
            <w:shd w:val="clear" w:color="auto" w:fill="auto"/>
            <w:vAlign w:val="center"/>
          </w:tcPr>
          <w:p w14:paraId="4C9A7B6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曲线半径</w:t>
            </w:r>
          </w:p>
          <w:p w14:paraId="5D7D1A46" w14:textId="77777777" w:rsidR="00737EB2" w:rsidRPr="00765F6E" w:rsidRDefault="00737EB2" w:rsidP="00871D47">
            <w:pPr>
              <w:adjustRightInd/>
              <w:spacing w:line="240" w:lineRule="auto"/>
              <w:jc w:val="center"/>
              <w:rPr>
                <w:rFonts w:ascii="宋体" w:hAnsi="宋体" w:cs="宋体"/>
                <w:kern w:val="0"/>
                <w:sz w:val="18"/>
                <w:szCs w:val="18"/>
              </w:rPr>
            </w:pPr>
            <w:bookmarkStart w:id="684" w:name="OLE_LINK7"/>
            <w:r w:rsidRPr="00765F6E">
              <w:rPr>
                <w:rFonts w:ascii="宋体" w:hAnsi="宋体" w:cs="宋体"/>
                <w:kern w:val="0"/>
                <w:sz w:val="18"/>
                <w:szCs w:val="18"/>
              </w:rPr>
              <w:t>m</w:t>
            </w:r>
            <w:bookmarkEnd w:id="684"/>
          </w:p>
        </w:tc>
        <w:tc>
          <w:tcPr>
            <w:tcW w:w="369" w:type="pct"/>
            <w:tcBorders>
              <w:top w:val="single" w:sz="8" w:space="0" w:color="auto"/>
              <w:bottom w:val="single" w:sz="8" w:space="0" w:color="auto"/>
            </w:tcBorders>
            <w:shd w:val="clear" w:color="auto" w:fill="auto"/>
            <w:vAlign w:val="center"/>
          </w:tcPr>
          <w:p w14:paraId="3D21DAC3" w14:textId="77777777" w:rsidR="00737EB2"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1</w:t>
            </w:r>
            <w:r w:rsidRPr="00765F6E">
              <w:rPr>
                <w:rFonts w:ascii="宋体" w:hAnsi="宋体" w:cs="宋体" w:hint="eastAsia"/>
                <w:kern w:val="0"/>
                <w:sz w:val="18"/>
                <w:szCs w:val="18"/>
              </w:rPr>
              <w:t>）</w:t>
            </w:r>
          </w:p>
          <w:p w14:paraId="2365D2F0" w14:textId="6458C90F" w:rsidR="001D75D5" w:rsidRPr="00765F6E" w:rsidRDefault="001D75D5"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m</w:t>
            </w:r>
          </w:p>
        </w:tc>
        <w:tc>
          <w:tcPr>
            <w:tcW w:w="369" w:type="pct"/>
            <w:tcBorders>
              <w:top w:val="single" w:sz="8" w:space="0" w:color="auto"/>
              <w:bottom w:val="single" w:sz="8" w:space="0" w:color="auto"/>
            </w:tcBorders>
            <w:shd w:val="clear" w:color="auto" w:fill="auto"/>
            <w:vAlign w:val="center"/>
          </w:tcPr>
          <w:p w14:paraId="75D8E022" w14:textId="77777777" w:rsidR="00737EB2"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2</w:t>
            </w:r>
            <w:r w:rsidRPr="00765F6E">
              <w:rPr>
                <w:rFonts w:ascii="宋体" w:hAnsi="宋体" w:cs="宋体" w:hint="eastAsia"/>
                <w:kern w:val="0"/>
                <w:sz w:val="18"/>
                <w:szCs w:val="18"/>
              </w:rPr>
              <w:t>）</w:t>
            </w:r>
          </w:p>
          <w:p w14:paraId="1459FD0F" w14:textId="468113C0" w:rsidR="001D75D5" w:rsidRPr="00765F6E" w:rsidRDefault="001D75D5"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m</w:t>
            </w:r>
          </w:p>
        </w:tc>
        <w:tc>
          <w:tcPr>
            <w:tcW w:w="369" w:type="pct"/>
            <w:tcBorders>
              <w:top w:val="single" w:sz="8" w:space="0" w:color="auto"/>
              <w:bottom w:val="single" w:sz="8" w:space="0" w:color="auto"/>
            </w:tcBorders>
            <w:shd w:val="clear" w:color="auto" w:fill="auto"/>
            <w:vAlign w:val="center"/>
          </w:tcPr>
          <w:p w14:paraId="14B67F4A" w14:textId="77777777" w:rsidR="00737EB2"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1</w:t>
            </w:r>
            <w:r w:rsidRPr="00765F6E">
              <w:rPr>
                <w:rFonts w:ascii="宋体" w:hAnsi="宋体" w:cs="宋体" w:hint="eastAsia"/>
                <w:kern w:val="0"/>
                <w:sz w:val="18"/>
                <w:szCs w:val="18"/>
              </w:rPr>
              <w:t>）</w:t>
            </w:r>
          </w:p>
          <w:p w14:paraId="5B4DE0F2" w14:textId="03BD61A2" w:rsidR="001D75D5" w:rsidRPr="00765F6E" w:rsidRDefault="001D75D5"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m</w:t>
            </w:r>
          </w:p>
        </w:tc>
        <w:tc>
          <w:tcPr>
            <w:tcW w:w="369" w:type="pct"/>
            <w:tcBorders>
              <w:top w:val="single" w:sz="8" w:space="0" w:color="auto"/>
              <w:bottom w:val="single" w:sz="8" w:space="0" w:color="auto"/>
            </w:tcBorders>
            <w:shd w:val="clear" w:color="auto" w:fill="auto"/>
            <w:vAlign w:val="center"/>
          </w:tcPr>
          <w:p w14:paraId="5EF3F421" w14:textId="77777777" w:rsidR="00737EB2"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2</w:t>
            </w:r>
            <w:r w:rsidRPr="00765F6E">
              <w:rPr>
                <w:rFonts w:ascii="宋体" w:hAnsi="宋体" w:cs="宋体" w:hint="eastAsia"/>
                <w:kern w:val="0"/>
                <w:sz w:val="18"/>
                <w:szCs w:val="18"/>
              </w:rPr>
              <w:t>）</w:t>
            </w:r>
          </w:p>
          <w:p w14:paraId="55BB7C1B" w14:textId="6DC173F9" w:rsidR="001D75D5" w:rsidRPr="00765F6E" w:rsidRDefault="001D75D5"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m</w:t>
            </w:r>
          </w:p>
        </w:tc>
        <w:tc>
          <w:tcPr>
            <w:tcW w:w="369" w:type="pct"/>
            <w:tcBorders>
              <w:top w:val="single" w:sz="8" w:space="0" w:color="auto"/>
              <w:bottom w:val="single" w:sz="8" w:space="0" w:color="auto"/>
            </w:tcBorders>
            <w:shd w:val="clear" w:color="auto" w:fill="auto"/>
            <w:vAlign w:val="center"/>
          </w:tcPr>
          <w:p w14:paraId="5DE5B553" w14:textId="77777777" w:rsidR="00737EB2"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1</w:t>
            </w:r>
            <w:r w:rsidRPr="00765F6E">
              <w:rPr>
                <w:rFonts w:ascii="宋体" w:hAnsi="宋体" w:cs="宋体" w:hint="eastAsia"/>
                <w:kern w:val="0"/>
                <w:sz w:val="18"/>
                <w:szCs w:val="18"/>
              </w:rPr>
              <w:t>）</w:t>
            </w:r>
          </w:p>
          <w:p w14:paraId="1494E9A2" w14:textId="2092BC94" w:rsidR="001D75D5" w:rsidRPr="00765F6E" w:rsidRDefault="001D75D5"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m</w:t>
            </w:r>
          </w:p>
        </w:tc>
        <w:tc>
          <w:tcPr>
            <w:tcW w:w="370" w:type="pct"/>
            <w:tcBorders>
              <w:top w:val="single" w:sz="8" w:space="0" w:color="auto"/>
              <w:bottom w:val="single" w:sz="8" w:space="0" w:color="auto"/>
            </w:tcBorders>
            <w:shd w:val="clear" w:color="auto" w:fill="auto"/>
            <w:vAlign w:val="center"/>
          </w:tcPr>
          <w:p w14:paraId="74E26928" w14:textId="77777777" w:rsidR="00737EB2"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2</w:t>
            </w:r>
            <w:r w:rsidRPr="00765F6E">
              <w:rPr>
                <w:rFonts w:ascii="宋体" w:hAnsi="宋体" w:cs="宋体" w:hint="eastAsia"/>
                <w:kern w:val="0"/>
                <w:sz w:val="18"/>
                <w:szCs w:val="18"/>
              </w:rPr>
              <w:t>）</w:t>
            </w:r>
          </w:p>
          <w:p w14:paraId="2FD3ACD1" w14:textId="4930077E" w:rsidR="001D75D5" w:rsidRPr="00765F6E" w:rsidRDefault="001D75D5"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m</w:t>
            </w:r>
          </w:p>
        </w:tc>
        <w:tc>
          <w:tcPr>
            <w:tcW w:w="369" w:type="pct"/>
            <w:tcBorders>
              <w:top w:val="single" w:sz="8" w:space="0" w:color="auto"/>
              <w:bottom w:val="single" w:sz="8" w:space="0" w:color="auto"/>
            </w:tcBorders>
            <w:shd w:val="clear" w:color="auto" w:fill="auto"/>
            <w:vAlign w:val="center"/>
          </w:tcPr>
          <w:p w14:paraId="21E130C8" w14:textId="77777777" w:rsidR="00737EB2"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1</w:t>
            </w:r>
            <w:r w:rsidRPr="00765F6E">
              <w:rPr>
                <w:rFonts w:ascii="宋体" w:hAnsi="宋体" w:cs="宋体" w:hint="eastAsia"/>
                <w:kern w:val="0"/>
                <w:sz w:val="18"/>
                <w:szCs w:val="18"/>
              </w:rPr>
              <w:t>）</w:t>
            </w:r>
          </w:p>
          <w:p w14:paraId="669993E8" w14:textId="7208055F" w:rsidR="001D75D5" w:rsidRPr="00765F6E" w:rsidRDefault="001D75D5"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m</w:t>
            </w:r>
          </w:p>
        </w:tc>
        <w:tc>
          <w:tcPr>
            <w:tcW w:w="370" w:type="pct"/>
            <w:tcBorders>
              <w:top w:val="single" w:sz="8" w:space="0" w:color="auto"/>
              <w:bottom w:val="single" w:sz="8" w:space="0" w:color="auto"/>
            </w:tcBorders>
            <w:shd w:val="clear" w:color="auto" w:fill="auto"/>
            <w:vAlign w:val="center"/>
          </w:tcPr>
          <w:p w14:paraId="2CFBD700" w14:textId="77777777" w:rsidR="00737EB2"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2</w:t>
            </w:r>
            <w:r w:rsidRPr="00765F6E">
              <w:rPr>
                <w:rFonts w:ascii="宋体" w:hAnsi="宋体" w:cs="宋体" w:hint="eastAsia"/>
                <w:kern w:val="0"/>
                <w:sz w:val="18"/>
                <w:szCs w:val="18"/>
              </w:rPr>
              <w:t>）</w:t>
            </w:r>
          </w:p>
          <w:p w14:paraId="2CCC1E26" w14:textId="6DFFE3D6" w:rsidR="001D75D5" w:rsidRPr="00765F6E" w:rsidRDefault="001D75D5"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m</w:t>
            </w:r>
          </w:p>
        </w:tc>
        <w:tc>
          <w:tcPr>
            <w:tcW w:w="369" w:type="pct"/>
            <w:tcBorders>
              <w:top w:val="single" w:sz="8" w:space="0" w:color="auto"/>
              <w:bottom w:val="single" w:sz="8" w:space="0" w:color="auto"/>
            </w:tcBorders>
            <w:shd w:val="clear" w:color="auto" w:fill="auto"/>
            <w:vAlign w:val="center"/>
          </w:tcPr>
          <w:p w14:paraId="1E48BE52" w14:textId="77777777" w:rsidR="00737EB2"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1</w:t>
            </w:r>
            <w:r w:rsidRPr="00765F6E">
              <w:rPr>
                <w:rFonts w:ascii="宋体" w:hAnsi="宋体" w:cs="宋体" w:hint="eastAsia"/>
                <w:kern w:val="0"/>
                <w:sz w:val="18"/>
                <w:szCs w:val="18"/>
              </w:rPr>
              <w:t>）</w:t>
            </w:r>
          </w:p>
          <w:p w14:paraId="2DAD5CBD" w14:textId="26EE12B8" w:rsidR="001D75D5" w:rsidRPr="00765F6E" w:rsidRDefault="001D75D5"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m</w:t>
            </w:r>
          </w:p>
        </w:tc>
        <w:tc>
          <w:tcPr>
            <w:tcW w:w="370" w:type="pct"/>
            <w:tcBorders>
              <w:top w:val="single" w:sz="8" w:space="0" w:color="auto"/>
              <w:bottom w:val="single" w:sz="8" w:space="0" w:color="auto"/>
            </w:tcBorders>
            <w:shd w:val="clear" w:color="auto" w:fill="auto"/>
            <w:vAlign w:val="center"/>
          </w:tcPr>
          <w:p w14:paraId="672C06B9" w14:textId="77777777" w:rsidR="00737EB2"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2</w:t>
            </w:r>
            <w:r w:rsidRPr="00765F6E">
              <w:rPr>
                <w:rFonts w:ascii="宋体" w:hAnsi="宋体" w:cs="宋体" w:hint="eastAsia"/>
                <w:kern w:val="0"/>
                <w:sz w:val="18"/>
                <w:szCs w:val="18"/>
              </w:rPr>
              <w:t>）</w:t>
            </w:r>
          </w:p>
          <w:p w14:paraId="6ECB9CB1" w14:textId="0EAA6EA0" w:rsidR="001D75D5" w:rsidRPr="00765F6E" w:rsidRDefault="001D75D5"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m</w:t>
            </w:r>
          </w:p>
        </w:tc>
        <w:tc>
          <w:tcPr>
            <w:tcW w:w="369" w:type="pct"/>
            <w:tcBorders>
              <w:top w:val="single" w:sz="8" w:space="0" w:color="auto"/>
              <w:bottom w:val="single" w:sz="8" w:space="0" w:color="auto"/>
            </w:tcBorders>
            <w:shd w:val="clear" w:color="auto" w:fill="auto"/>
            <w:vAlign w:val="center"/>
          </w:tcPr>
          <w:p w14:paraId="7D9EF91A" w14:textId="77777777" w:rsidR="00737EB2"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1</w:t>
            </w:r>
            <w:r w:rsidRPr="00765F6E">
              <w:rPr>
                <w:rFonts w:ascii="宋体" w:hAnsi="宋体" w:cs="宋体" w:hint="eastAsia"/>
                <w:kern w:val="0"/>
                <w:sz w:val="18"/>
                <w:szCs w:val="18"/>
              </w:rPr>
              <w:t>）</w:t>
            </w:r>
          </w:p>
          <w:p w14:paraId="144730EF" w14:textId="4060A8F0" w:rsidR="001D75D5" w:rsidRPr="00765F6E" w:rsidRDefault="001D75D5"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m</w:t>
            </w:r>
          </w:p>
        </w:tc>
        <w:tc>
          <w:tcPr>
            <w:tcW w:w="372" w:type="pct"/>
            <w:tcBorders>
              <w:top w:val="single" w:sz="8" w:space="0" w:color="auto"/>
              <w:bottom w:val="single" w:sz="8" w:space="0" w:color="auto"/>
            </w:tcBorders>
            <w:shd w:val="clear" w:color="auto" w:fill="auto"/>
            <w:vAlign w:val="center"/>
          </w:tcPr>
          <w:p w14:paraId="32CF72A0" w14:textId="77777777" w:rsidR="00737EB2"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2</w:t>
            </w:r>
            <w:r w:rsidRPr="00765F6E">
              <w:rPr>
                <w:rFonts w:ascii="宋体" w:hAnsi="宋体" w:cs="宋体" w:hint="eastAsia"/>
                <w:kern w:val="0"/>
                <w:sz w:val="18"/>
                <w:szCs w:val="18"/>
              </w:rPr>
              <w:t>）</w:t>
            </w:r>
          </w:p>
          <w:p w14:paraId="0A2CF368" w14:textId="2D222928" w:rsidR="001D75D5" w:rsidRPr="00765F6E" w:rsidRDefault="001D75D5"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m</w:t>
            </w:r>
          </w:p>
        </w:tc>
      </w:tr>
      <w:tr w:rsidR="00737EB2" w:rsidRPr="00765F6E" w14:paraId="4EF44F8F" w14:textId="77777777" w:rsidTr="00871D47">
        <w:trPr>
          <w:trHeight w:val="176"/>
          <w:jc w:val="center"/>
        </w:trPr>
        <w:tc>
          <w:tcPr>
            <w:tcW w:w="566" w:type="pct"/>
            <w:tcBorders>
              <w:top w:val="single" w:sz="8" w:space="0" w:color="auto"/>
            </w:tcBorders>
            <w:shd w:val="clear" w:color="auto" w:fill="auto"/>
            <w:vAlign w:val="center"/>
          </w:tcPr>
          <w:p w14:paraId="1EA33FA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12000</w:t>
            </w:r>
          </w:p>
        </w:tc>
        <w:tc>
          <w:tcPr>
            <w:tcW w:w="369" w:type="pct"/>
            <w:tcBorders>
              <w:top w:val="single" w:sz="8" w:space="0" w:color="auto"/>
            </w:tcBorders>
            <w:shd w:val="clear" w:color="auto" w:fill="auto"/>
            <w:vAlign w:val="center"/>
          </w:tcPr>
          <w:p w14:paraId="77CD66B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tcBorders>
              <w:top w:val="single" w:sz="8" w:space="0" w:color="auto"/>
            </w:tcBorders>
            <w:shd w:val="clear" w:color="auto" w:fill="auto"/>
            <w:vAlign w:val="center"/>
          </w:tcPr>
          <w:p w14:paraId="1DEB840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tcBorders>
              <w:top w:val="single" w:sz="8" w:space="0" w:color="auto"/>
            </w:tcBorders>
            <w:shd w:val="clear" w:color="auto" w:fill="auto"/>
            <w:vAlign w:val="center"/>
          </w:tcPr>
          <w:p w14:paraId="6F33F34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tcBorders>
              <w:top w:val="single" w:sz="8" w:space="0" w:color="auto"/>
            </w:tcBorders>
            <w:shd w:val="clear" w:color="auto" w:fill="auto"/>
            <w:vAlign w:val="center"/>
          </w:tcPr>
          <w:p w14:paraId="3709C21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tcBorders>
              <w:top w:val="single" w:sz="8" w:space="0" w:color="auto"/>
            </w:tcBorders>
            <w:shd w:val="clear" w:color="auto" w:fill="auto"/>
            <w:vAlign w:val="center"/>
          </w:tcPr>
          <w:p w14:paraId="0C68B72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tcBorders>
              <w:top w:val="single" w:sz="8" w:space="0" w:color="auto"/>
            </w:tcBorders>
            <w:shd w:val="clear" w:color="auto" w:fill="auto"/>
            <w:vAlign w:val="center"/>
          </w:tcPr>
          <w:p w14:paraId="28479DE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tcBorders>
              <w:top w:val="single" w:sz="8" w:space="0" w:color="auto"/>
            </w:tcBorders>
            <w:shd w:val="clear" w:color="auto" w:fill="auto"/>
            <w:vAlign w:val="center"/>
          </w:tcPr>
          <w:p w14:paraId="5E825481" w14:textId="03085C05"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70" w:type="pct"/>
            <w:tcBorders>
              <w:top w:val="single" w:sz="8" w:space="0" w:color="auto"/>
            </w:tcBorders>
            <w:shd w:val="clear" w:color="auto" w:fill="auto"/>
          </w:tcPr>
          <w:p w14:paraId="48F0B6AC" w14:textId="72BECF54"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69" w:type="pct"/>
            <w:tcBorders>
              <w:top w:val="single" w:sz="8" w:space="0" w:color="auto"/>
            </w:tcBorders>
            <w:shd w:val="clear" w:color="auto" w:fill="auto"/>
          </w:tcPr>
          <w:p w14:paraId="559CCE35" w14:textId="1D24CD78"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70" w:type="pct"/>
            <w:tcBorders>
              <w:top w:val="single" w:sz="8" w:space="0" w:color="auto"/>
            </w:tcBorders>
            <w:shd w:val="clear" w:color="auto" w:fill="auto"/>
          </w:tcPr>
          <w:p w14:paraId="7B9FAC67" w14:textId="27EB3A0E"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69" w:type="pct"/>
            <w:tcBorders>
              <w:top w:val="single" w:sz="8" w:space="0" w:color="auto"/>
            </w:tcBorders>
            <w:shd w:val="clear" w:color="auto" w:fill="auto"/>
          </w:tcPr>
          <w:p w14:paraId="37A5F3DD" w14:textId="061EED2D"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72" w:type="pct"/>
            <w:tcBorders>
              <w:top w:val="single" w:sz="8" w:space="0" w:color="auto"/>
            </w:tcBorders>
            <w:shd w:val="clear" w:color="auto" w:fill="auto"/>
          </w:tcPr>
          <w:p w14:paraId="74893648" w14:textId="6B7D92C3"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r>
      <w:tr w:rsidR="00737EB2" w:rsidRPr="00765F6E" w14:paraId="632C367B" w14:textId="77777777" w:rsidTr="00871D47">
        <w:trPr>
          <w:trHeight w:val="176"/>
          <w:jc w:val="center"/>
        </w:trPr>
        <w:tc>
          <w:tcPr>
            <w:tcW w:w="566" w:type="pct"/>
            <w:shd w:val="clear" w:color="auto" w:fill="auto"/>
            <w:vAlign w:val="center"/>
          </w:tcPr>
          <w:p w14:paraId="0D9CEDE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11000</w:t>
            </w:r>
          </w:p>
        </w:tc>
        <w:tc>
          <w:tcPr>
            <w:tcW w:w="369" w:type="pct"/>
            <w:shd w:val="clear" w:color="auto" w:fill="auto"/>
            <w:vAlign w:val="center"/>
          </w:tcPr>
          <w:p w14:paraId="585F7F4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62A3724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33640EA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2093A02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5A73861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1CEC8B6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tcPr>
          <w:p w14:paraId="39ACE734" w14:textId="4B74449E"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70" w:type="pct"/>
            <w:shd w:val="clear" w:color="auto" w:fill="auto"/>
          </w:tcPr>
          <w:p w14:paraId="392E883D" w14:textId="46792BF4"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69" w:type="pct"/>
            <w:shd w:val="clear" w:color="auto" w:fill="auto"/>
          </w:tcPr>
          <w:p w14:paraId="492D578A" w14:textId="3197FF37"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kern w:val="0"/>
                <w:sz w:val="18"/>
                <w:szCs w:val="18"/>
              </w:rPr>
              <w:t>-</w:t>
            </w:r>
          </w:p>
        </w:tc>
        <w:tc>
          <w:tcPr>
            <w:tcW w:w="370" w:type="pct"/>
            <w:shd w:val="clear" w:color="auto" w:fill="auto"/>
          </w:tcPr>
          <w:p w14:paraId="6B8418A1" w14:textId="2F26B713"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69" w:type="pct"/>
            <w:shd w:val="clear" w:color="auto" w:fill="auto"/>
          </w:tcPr>
          <w:p w14:paraId="45B1CDFA" w14:textId="7B4A226D"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72" w:type="pct"/>
            <w:shd w:val="clear" w:color="auto" w:fill="auto"/>
          </w:tcPr>
          <w:p w14:paraId="5137C277" w14:textId="66179739"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r>
      <w:tr w:rsidR="00737EB2" w:rsidRPr="00765F6E" w14:paraId="2497E01E" w14:textId="77777777" w:rsidTr="00871D47">
        <w:trPr>
          <w:trHeight w:val="176"/>
          <w:jc w:val="center"/>
        </w:trPr>
        <w:tc>
          <w:tcPr>
            <w:tcW w:w="566" w:type="pct"/>
            <w:shd w:val="clear" w:color="auto" w:fill="auto"/>
            <w:vAlign w:val="center"/>
          </w:tcPr>
          <w:p w14:paraId="3232F21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10000</w:t>
            </w:r>
          </w:p>
        </w:tc>
        <w:tc>
          <w:tcPr>
            <w:tcW w:w="369" w:type="pct"/>
            <w:shd w:val="clear" w:color="auto" w:fill="auto"/>
            <w:vAlign w:val="center"/>
          </w:tcPr>
          <w:p w14:paraId="677D206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46522D3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599EAB7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3723FAE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7A5E06A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0432031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tcPr>
          <w:p w14:paraId="0DAE76A2" w14:textId="321147A4"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70" w:type="pct"/>
            <w:shd w:val="clear" w:color="auto" w:fill="auto"/>
          </w:tcPr>
          <w:p w14:paraId="7909EB6E" w14:textId="5BF62190"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69" w:type="pct"/>
            <w:shd w:val="clear" w:color="auto" w:fill="auto"/>
          </w:tcPr>
          <w:p w14:paraId="0C99DF36" w14:textId="0C7279FE"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70" w:type="pct"/>
            <w:shd w:val="clear" w:color="auto" w:fill="auto"/>
          </w:tcPr>
          <w:p w14:paraId="0614E506" w14:textId="1EBEAF3C"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69" w:type="pct"/>
            <w:shd w:val="clear" w:color="auto" w:fill="auto"/>
          </w:tcPr>
          <w:p w14:paraId="6AA2D8D1" w14:textId="14555FD9"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72" w:type="pct"/>
            <w:shd w:val="clear" w:color="auto" w:fill="auto"/>
          </w:tcPr>
          <w:p w14:paraId="0464A844" w14:textId="2A4AD383" w:rsidR="00737EB2" w:rsidRPr="00765F6E" w:rsidRDefault="002D134C"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r>
      <w:tr w:rsidR="00737EB2" w:rsidRPr="00765F6E" w14:paraId="21B15AF7" w14:textId="77777777" w:rsidTr="00871D47">
        <w:trPr>
          <w:trHeight w:val="176"/>
          <w:jc w:val="center"/>
        </w:trPr>
        <w:tc>
          <w:tcPr>
            <w:tcW w:w="566" w:type="pct"/>
            <w:shd w:val="clear" w:color="auto" w:fill="auto"/>
            <w:vAlign w:val="center"/>
          </w:tcPr>
          <w:p w14:paraId="717DA73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9500</w:t>
            </w:r>
          </w:p>
        </w:tc>
        <w:tc>
          <w:tcPr>
            <w:tcW w:w="369" w:type="pct"/>
            <w:shd w:val="clear" w:color="auto" w:fill="auto"/>
            <w:vAlign w:val="center"/>
          </w:tcPr>
          <w:p w14:paraId="7C845A9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7C9457D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61FB2FE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7C6A2F9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10B0E9A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6DFFB8C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6617F3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370" w:type="pct"/>
            <w:shd w:val="clear" w:color="auto" w:fill="auto"/>
            <w:vAlign w:val="center"/>
          </w:tcPr>
          <w:p w14:paraId="655A4CC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369" w:type="pct"/>
            <w:shd w:val="clear" w:color="auto" w:fill="auto"/>
            <w:vAlign w:val="center"/>
          </w:tcPr>
          <w:p w14:paraId="54413CE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370" w:type="pct"/>
            <w:shd w:val="clear" w:color="auto" w:fill="auto"/>
            <w:vAlign w:val="center"/>
          </w:tcPr>
          <w:p w14:paraId="65CB0B8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369" w:type="pct"/>
            <w:shd w:val="clear" w:color="auto" w:fill="auto"/>
            <w:vAlign w:val="center"/>
          </w:tcPr>
          <w:p w14:paraId="3985A25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372" w:type="pct"/>
            <w:shd w:val="clear" w:color="auto" w:fill="auto"/>
            <w:vAlign w:val="center"/>
          </w:tcPr>
          <w:p w14:paraId="56B2BAB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737EB2" w:rsidRPr="00765F6E" w14:paraId="6BB7A9DF" w14:textId="77777777" w:rsidTr="00871D47">
        <w:trPr>
          <w:trHeight w:val="176"/>
          <w:jc w:val="center"/>
        </w:trPr>
        <w:tc>
          <w:tcPr>
            <w:tcW w:w="566" w:type="pct"/>
            <w:shd w:val="clear" w:color="auto" w:fill="auto"/>
            <w:vAlign w:val="center"/>
          </w:tcPr>
          <w:p w14:paraId="2BFB8BD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9000</w:t>
            </w:r>
          </w:p>
        </w:tc>
        <w:tc>
          <w:tcPr>
            <w:tcW w:w="369" w:type="pct"/>
            <w:shd w:val="clear" w:color="auto" w:fill="auto"/>
            <w:vAlign w:val="center"/>
          </w:tcPr>
          <w:p w14:paraId="6C2FEC2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058461F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42AF6F6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5F51125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44386FB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442375F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1F72139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7666A04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5A1EEF5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6FD10E6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4222AD4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372" w:type="pct"/>
            <w:shd w:val="clear" w:color="auto" w:fill="auto"/>
            <w:vAlign w:val="center"/>
          </w:tcPr>
          <w:p w14:paraId="475D920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737EB2" w:rsidRPr="00765F6E" w14:paraId="2C01F494" w14:textId="77777777" w:rsidTr="00871D47">
        <w:trPr>
          <w:trHeight w:val="176"/>
          <w:jc w:val="center"/>
        </w:trPr>
        <w:tc>
          <w:tcPr>
            <w:tcW w:w="566" w:type="pct"/>
            <w:shd w:val="clear" w:color="auto" w:fill="auto"/>
            <w:vAlign w:val="center"/>
          </w:tcPr>
          <w:p w14:paraId="7FFCCAF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8500</w:t>
            </w:r>
          </w:p>
        </w:tc>
        <w:tc>
          <w:tcPr>
            <w:tcW w:w="369" w:type="pct"/>
            <w:shd w:val="clear" w:color="auto" w:fill="auto"/>
            <w:vAlign w:val="center"/>
          </w:tcPr>
          <w:p w14:paraId="200368C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3DD78EA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1188A03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417842D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3DA9F80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3C9D9D1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59FF55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6494B63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382050F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4ACF423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0C2CF99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372" w:type="pct"/>
            <w:shd w:val="clear" w:color="auto" w:fill="auto"/>
            <w:vAlign w:val="center"/>
          </w:tcPr>
          <w:p w14:paraId="346F46F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737EB2" w:rsidRPr="00765F6E" w14:paraId="11D73230" w14:textId="77777777" w:rsidTr="00871D47">
        <w:trPr>
          <w:trHeight w:val="176"/>
          <w:jc w:val="center"/>
        </w:trPr>
        <w:tc>
          <w:tcPr>
            <w:tcW w:w="566" w:type="pct"/>
            <w:shd w:val="clear" w:color="auto" w:fill="auto"/>
            <w:vAlign w:val="center"/>
          </w:tcPr>
          <w:p w14:paraId="6210A7D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8000</w:t>
            </w:r>
          </w:p>
        </w:tc>
        <w:tc>
          <w:tcPr>
            <w:tcW w:w="369" w:type="pct"/>
            <w:shd w:val="clear" w:color="auto" w:fill="auto"/>
            <w:vAlign w:val="center"/>
          </w:tcPr>
          <w:p w14:paraId="3404717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29810A0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566B037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6271B4C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3F31962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6C5B32A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1B34FF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570F972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C26F75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4DEB56E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871289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372" w:type="pct"/>
            <w:shd w:val="clear" w:color="auto" w:fill="auto"/>
            <w:vAlign w:val="center"/>
          </w:tcPr>
          <w:p w14:paraId="082F18C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737EB2" w:rsidRPr="00765F6E" w14:paraId="7051A9DA" w14:textId="77777777" w:rsidTr="00871D47">
        <w:trPr>
          <w:trHeight w:val="176"/>
          <w:jc w:val="center"/>
        </w:trPr>
        <w:tc>
          <w:tcPr>
            <w:tcW w:w="566" w:type="pct"/>
            <w:shd w:val="clear" w:color="auto" w:fill="auto"/>
            <w:vAlign w:val="center"/>
          </w:tcPr>
          <w:p w14:paraId="07AD1A6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7500</w:t>
            </w:r>
          </w:p>
        </w:tc>
        <w:tc>
          <w:tcPr>
            <w:tcW w:w="369" w:type="pct"/>
            <w:shd w:val="clear" w:color="auto" w:fill="auto"/>
            <w:vAlign w:val="center"/>
          </w:tcPr>
          <w:p w14:paraId="16D9C4E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69" w:type="pct"/>
            <w:shd w:val="clear" w:color="auto" w:fill="auto"/>
            <w:vAlign w:val="center"/>
          </w:tcPr>
          <w:p w14:paraId="3B634DD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6BAF453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3DFE593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61B0985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4ED074B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2E1AF5D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5B55ECA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A64C1A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5666B8C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3DCA92B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372" w:type="pct"/>
            <w:shd w:val="clear" w:color="auto" w:fill="auto"/>
            <w:vAlign w:val="center"/>
          </w:tcPr>
          <w:p w14:paraId="1F6B3EB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737EB2" w:rsidRPr="00765F6E" w14:paraId="59020612" w14:textId="77777777" w:rsidTr="00871D47">
        <w:trPr>
          <w:trHeight w:val="176"/>
          <w:jc w:val="center"/>
        </w:trPr>
        <w:tc>
          <w:tcPr>
            <w:tcW w:w="566" w:type="pct"/>
            <w:shd w:val="clear" w:color="auto" w:fill="auto"/>
            <w:vAlign w:val="center"/>
          </w:tcPr>
          <w:p w14:paraId="07EDF2F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7000</w:t>
            </w:r>
          </w:p>
        </w:tc>
        <w:tc>
          <w:tcPr>
            <w:tcW w:w="369" w:type="pct"/>
            <w:shd w:val="clear" w:color="auto" w:fill="auto"/>
            <w:vAlign w:val="center"/>
          </w:tcPr>
          <w:p w14:paraId="4E8E3DB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69" w:type="pct"/>
            <w:shd w:val="clear" w:color="auto" w:fill="auto"/>
            <w:vAlign w:val="center"/>
          </w:tcPr>
          <w:p w14:paraId="41E1EBA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131AF1B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0BB6BC5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7C6503F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4A550B5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3BA0097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0597779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1ED49F0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5DE56C9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4584AF2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372" w:type="pct"/>
            <w:shd w:val="clear" w:color="auto" w:fill="auto"/>
            <w:vAlign w:val="center"/>
          </w:tcPr>
          <w:p w14:paraId="0E406F7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737EB2" w:rsidRPr="00765F6E" w14:paraId="3C319038" w14:textId="77777777" w:rsidTr="00871D47">
        <w:trPr>
          <w:trHeight w:val="176"/>
          <w:jc w:val="center"/>
        </w:trPr>
        <w:tc>
          <w:tcPr>
            <w:tcW w:w="566" w:type="pct"/>
            <w:shd w:val="clear" w:color="auto" w:fill="auto"/>
            <w:vAlign w:val="center"/>
          </w:tcPr>
          <w:p w14:paraId="3DAFBD7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6500</w:t>
            </w:r>
          </w:p>
        </w:tc>
        <w:tc>
          <w:tcPr>
            <w:tcW w:w="369" w:type="pct"/>
            <w:shd w:val="clear" w:color="auto" w:fill="auto"/>
            <w:vAlign w:val="center"/>
          </w:tcPr>
          <w:p w14:paraId="1A03C79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55</w:t>
            </w:r>
          </w:p>
        </w:tc>
        <w:tc>
          <w:tcPr>
            <w:tcW w:w="369" w:type="pct"/>
            <w:shd w:val="clear" w:color="auto" w:fill="auto"/>
            <w:vAlign w:val="center"/>
          </w:tcPr>
          <w:p w14:paraId="1E0D758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05637FD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552AFD0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6D3973F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5022D20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62E1185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707060E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2241815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460AB15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2342BAF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372" w:type="pct"/>
            <w:shd w:val="clear" w:color="auto" w:fill="auto"/>
            <w:vAlign w:val="center"/>
          </w:tcPr>
          <w:p w14:paraId="520C47F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737EB2" w:rsidRPr="00765F6E" w14:paraId="035F66AF" w14:textId="77777777" w:rsidTr="00871D47">
        <w:trPr>
          <w:trHeight w:val="176"/>
          <w:jc w:val="center"/>
        </w:trPr>
        <w:tc>
          <w:tcPr>
            <w:tcW w:w="566" w:type="pct"/>
            <w:shd w:val="clear" w:color="auto" w:fill="auto"/>
            <w:vAlign w:val="center"/>
          </w:tcPr>
          <w:p w14:paraId="547684B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6000</w:t>
            </w:r>
          </w:p>
        </w:tc>
        <w:tc>
          <w:tcPr>
            <w:tcW w:w="369" w:type="pct"/>
            <w:shd w:val="clear" w:color="auto" w:fill="auto"/>
            <w:vAlign w:val="center"/>
          </w:tcPr>
          <w:p w14:paraId="61CF430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55</w:t>
            </w:r>
          </w:p>
        </w:tc>
        <w:tc>
          <w:tcPr>
            <w:tcW w:w="369" w:type="pct"/>
            <w:shd w:val="clear" w:color="auto" w:fill="auto"/>
            <w:vAlign w:val="center"/>
          </w:tcPr>
          <w:p w14:paraId="674BC48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60C040F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4A894B9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10252C4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7D21875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A533BF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362FBD9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6089C57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20693E2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0810794" w14:textId="6B49FB94" w:rsidR="00737EB2" w:rsidRPr="00765F6E" w:rsidRDefault="00B06C23"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372" w:type="pct"/>
            <w:shd w:val="clear" w:color="auto" w:fill="auto"/>
            <w:vAlign w:val="center"/>
          </w:tcPr>
          <w:p w14:paraId="710C63D9" w14:textId="2BFADF03" w:rsidR="00737EB2" w:rsidRPr="00765F6E" w:rsidRDefault="00B06C23" w:rsidP="00871D47">
            <w:pPr>
              <w:adjustRightInd/>
              <w:spacing w:line="240" w:lineRule="auto"/>
              <w:jc w:val="center"/>
              <w:rPr>
                <w:rFonts w:ascii="宋体" w:hAnsi="宋体" w:cs="宋体"/>
                <w:kern w:val="0"/>
                <w:sz w:val="18"/>
                <w:szCs w:val="18"/>
              </w:rPr>
            </w:pPr>
            <w:r>
              <w:rPr>
                <w:rFonts w:ascii="宋体" w:hAnsi="宋体" w:cs="宋体" w:hint="eastAsia"/>
                <w:kern w:val="0"/>
                <w:sz w:val="18"/>
                <w:szCs w:val="18"/>
              </w:rPr>
              <w:t>-</w:t>
            </w:r>
          </w:p>
        </w:tc>
      </w:tr>
      <w:tr w:rsidR="00737EB2" w:rsidRPr="00765F6E" w14:paraId="681DD32A" w14:textId="77777777" w:rsidTr="00871D47">
        <w:trPr>
          <w:trHeight w:val="176"/>
          <w:jc w:val="center"/>
        </w:trPr>
        <w:tc>
          <w:tcPr>
            <w:tcW w:w="566" w:type="pct"/>
            <w:shd w:val="clear" w:color="auto" w:fill="auto"/>
            <w:vAlign w:val="center"/>
          </w:tcPr>
          <w:p w14:paraId="7DF3075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5500</w:t>
            </w:r>
          </w:p>
        </w:tc>
        <w:tc>
          <w:tcPr>
            <w:tcW w:w="369" w:type="pct"/>
            <w:shd w:val="clear" w:color="auto" w:fill="auto"/>
            <w:vAlign w:val="center"/>
          </w:tcPr>
          <w:p w14:paraId="6F6D5E2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369" w:type="pct"/>
            <w:shd w:val="clear" w:color="auto" w:fill="auto"/>
            <w:vAlign w:val="center"/>
          </w:tcPr>
          <w:p w14:paraId="51C3194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69" w:type="pct"/>
            <w:shd w:val="clear" w:color="auto" w:fill="auto"/>
            <w:vAlign w:val="center"/>
          </w:tcPr>
          <w:p w14:paraId="44AE6BE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726F2B7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2DE3D2F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70" w:type="pct"/>
            <w:shd w:val="clear" w:color="auto" w:fill="auto"/>
            <w:vAlign w:val="center"/>
          </w:tcPr>
          <w:p w14:paraId="182234D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7352CCE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4A8C038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78710A4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23A3CEF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5E4686F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2" w:type="pct"/>
            <w:shd w:val="clear" w:color="auto" w:fill="auto"/>
            <w:vAlign w:val="center"/>
          </w:tcPr>
          <w:p w14:paraId="52B4409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r>
      <w:tr w:rsidR="00737EB2" w:rsidRPr="00765F6E" w14:paraId="3F93EC71" w14:textId="77777777" w:rsidTr="00871D47">
        <w:trPr>
          <w:trHeight w:val="176"/>
          <w:jc w:val="center"/>
        </w:trPr>
        <w:tc>
          <w:tcPr>
            <w:tcW w:w="566" w:type="pct"/>
            <w:shd w:val="clear" w:color="auto" w:fill="auto"/>
            <w:vAlign w:val="center"/>
          </w:tcPr>
          <w:p w14:paraId="5B3ADFF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5000</w:t>
            </w:r>
          </w:p>
        </w:tc>
        <w:tc>
          <w:tcPr>
            <w:tcW w:w="369" w:type="pct"/>
            <w:shd w:val="clear" w:color="auto" w:fill="auto"/>
            <w:vAlign w:val="center"/>
          </w:tcPr>
          <w:p w14:paraId="7CAE6A7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w:t>
            </w:r>
          </w:p>
        </w:tc>
        <w:tc>
          <w:tcPr>
            <w:tcW w:w="369" w:type="pct"/>
            <w:shd w:val="clear" w:color="auto" w:fill="auto"/>
            <w:vAlign w:val="center"/>
          </w:tcPr>
          <w:p w14:paraId="4A37DE8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69" w:type="pct"/>
            <w:shd w:val="clear" w:color="auto" w:fill="auto"/>
            <w:vAlign w:val="center"/>
          </w:tcPr>
          <w:p w14:paraId="5C60C5F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69" w:type="pct"/>
            <w:shd w:val="clear" w:color="auto" w:fill="auto"/>
            <w:vAlign w:val="center"/>
          </w:tcPr>
          <w:p w14:paraId="0797AEA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61135A2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70" w:type="pct"/>
            <w:shd w:val="clear" w:color="auto" w:fill="auto"/>
            <w:vAlign w:val="center"/>
          </w:tcPr>
          <w:p w14:paraId="3E75D00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48BA51D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2EE19E6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2085FF2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4F9B389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10D5D6A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2" w:type="pct"/>
            <w:shd w:val="clear" w:color="auto" w:fill="auto"/>
            <w:vAlign w:val="center"/>
          </w:tcPr>
          <w:p w14:paraId="7697FB6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r>
      <w:tr w:rsidR="00737EB2" w:rsidRPr="00765F6E" w14:paraId="0D665A19" w14:textId="77777777" w:rsidTr="00871D47">
        <w:trPr>
          <w:trHeight w:val="176"/>
          <w:jc w:val="center"/>
        </w:trPr>
        <w:tc>
          <w:tcPr>
            <w:tcW w:w="566" w:type="pct"/>
            <w:shd w:val="clear" w:color="auto" w:fill="auto"/>
            <w:vAlign w:val="center"/>
          </w:tcPr>
          <w:p w14:paraId="28E27F0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4500</w:t>
            </w:r>
          </w:p>
        </w:tc>
        <w:tc>
          <w:tcPr>
            <w:tcW w:w="369" w:type="pct"/>
            <w:shd w:val="clear" w:color="auto" w:fill="auto"/>
            <w:vAlign w:val="center"/>
          </w:tcPr>
          <w:p w14:paraId="1430BA9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w:t>
            </w:r>
          </w:p>
        </w:tc>
        <w:tc>
          <w:tcPr>
            <w:tcW w:w="369" w:type="pct"/>
            <w:shd w:val="clear" w:color="auto" w:fill="auto"/>
            <w:vAlign w:val="center"/>
          </w:tcPr>
          <w:p w14:paraId="2C72F46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369" w:type="pct"/>
            <w:shd w:val="clear" w:color="auto" w:fill="auto"/>
            <w:vAlign w:val="center"/>
          </w:tcPr>
          <w:p w14:paraId="5117843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55</w:t>
            </w:r>
          </w:p>
        </w:tc>
        <w:tc>
          <w:tcPr>
            <w:tcW w:w="369" w:type="pct"/>
            <w:shd w:val="clear" w:color="auto" w:fill="auto"/>
            <w:vAlign w:val="center"/>
          </w:tcPr>
          <w:p w14:paraId="0E38EA0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3878096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70" w:type="pct"/>
            <w:shd w:val="clear" w:color="auto" w:fill="auto"/>
            <w:vAlign w:val="center"/>
          </w:tcPr>
          <w:p w14:paraId="700CB67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32C0C01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2796B3B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5B7A0AA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73F7EDA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9650DF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2" w:type="pct"/>
            <w:shd w:val="clear" w:color="auto" w:fill="auto"/>
            <w:vAlign w:val="center"/>
          </w:tcPr>
          <w:p w14:paraId="04D57E9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r>
      <w:tr w:rsidR="00737EB2" w:rsidRPr="00765F6E" w14:paraId="6939EC1A" w14:textId="77777777" w:rsidTr="00871D47">
        <w:trPr>
          <w:trHeight w:val="176"/>
          <w:jc w:val="center"/>
        </w:trPr>
        <w:tc>
          <w:tcPr>
            <w:tcW w:w="566" w:type="pct"/>
            <w:shd w:val="clear" w:color="auto" w:fill="auto"/>
            <w:vAlign w:val="center"/>
          </w:tcPr>
          <w:p w14:paraId="2A9B327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4000</w:t>
            </w:r>
          </w:p>
        </w:tc>
        <w:tc>
          <w:tcPr>
            <w:tcW w:w="369" w:type="pct"/>
            <w:shd w:val="clear" w:color="auto" w:fill="auto"/>
            <w:vAlign w:val="center"/>
          </w:tcPr>
          <w:p w14:paraId="1EECFB9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90</w:t>
            </w:r>
          </w:p>
        </w:tc>
        <w:tc>
          <w:tcPr>
            <w:tcW w:w="369" w:type="pct"/>
            <w:shd w:val="clear" w:color="auto" w:fill="auto"/>
            <w:vAlign w:val="center"/>
          </w:tcPr>
          <w:p w14:paraId="047BC3D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w:t>
            </w:r>
          </w:p>
        </w:tc>
        <w:tc>
          <w:tcPr>
            <w:tcW w:w="369" w:type="pct"/>
            <w:shd w:val="clear" w:color="auto" w:fill="auto"/>
            <w:vAlign w:val="center"/>
          </w:tcPr>
          <w:p w14:paraId="1B13F01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369" w:type="pct"/>
            <w:shd w:val="clear" w:color="auto" w:fill="auto"/>
            <w:vAlign w:val="center"/>
          </w:tcPr>
          <w:p w14:paraId="66EF2B1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69" w:type="pct"/>
            <w:shd w:val="clear" w:color="auto" w:fill="auto"/>
            <w:vAlign w:val="center"/>
          </w:tcPr>
          <w:p w14:paraId="00546DF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70" w:type="pct"/>
            <w:shd w:val="clear" w:color="auto" w:fill="auto"/>
            <w:vAlign w:val="center"/>
          </w:tcPr>
          <w:p w14:paraId="420C66F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70D5F1D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5AAB6F2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7DD38E2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3801FC8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3F40EED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2" w:type="pct"/>
            <w:shd w:val="clear" w:color="auto" w:fill="auto"/>
            <w:vAlign w:val="center"/>
          </w:tcPr>
          <w:p w14:paraId="3918030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r>
      <w:tr w:rsidR="00737EB2" w:rsidRPr="00765F6E" w14:paraId="659C5D39" w14:textId="77777777" w:rsidTr="00871D47">
        <w:trPr>
          <w:trHeight w:val="176"/>
          <w:jc w:val="center"/>
        </w:trPr>
        <w:tc>
          <w:tcPr>
            <w:tcW w:w="566" w:type="pct"/>
            <w:shd w:val="clear" w:color="auto" w:fill="auto"/>
            <w:vAlign w:val="center"/>
          </w:tcPr>
          <w:p w14:paraId="6E238E3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3800</w:t>
            </w:r>
          </w:p>
        </w:tc>
        <w:tc>
          <w:tcPr>
            <w:tcW w:w="369" w:type="pct"/>
            <w:shd w:val="clear" w:color="auto" w:fill="auto"/>
            <w:vAlign w:val="center"/>
          </w:tcPr>
          <w:p w14:paraId="6514B07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90</w:t>
            </w:r>
          </w:p>
        </w:tc>
        <w:tc>
          <w:tcPr>
            <w:tcW w:w="369" w:type="pct"/>
            <w:shd w:val="clear" w:color="auto" w:fill="auto"/>
            <w:vAlign w:val="center"/>
          </w:tcPr>
          <w:p w14:paraId="65C2E49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w:t>
            </w:r>
          </w:p>
        </w:tc>
        <w:tc>
          <w:tcPr>
            <w:tcW w:w="369" w:type="pct"/>
            <w:shd w:val="clear" w:color="auto" w:fill="auto"/>
            <w:vAlign w:val="center"/>
          </w:tcPr>
          <w:p w14:paraId="00C8CF3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369" w:type="pct"/>
            <w:shd w:val="clear" w:color="auto" w:fill="auto"/>
            <w:vAlign w:val="center"/>
          </w:tcPr>
          <w:p w14:paraId="32C1968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69" w:type="pct"/>
            <w:shd w:val="clear" w:color="auto" w:fill="auto"/>
            <w:vAlign w:val="center"/>
          </w:tcPr>
          <w:p w14:paraId="47B9231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70" w:type="pct"/>
            <w:shd w:val="clear" w:color="auto" w:fill="auto"/>
            <w:vAlign w:val="center"/>
          </w:tcPr>
          <w:p w14:paraId="24852C5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2402360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03DFAE7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3735EC9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2AC24E6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7B45737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2" w:type="pct"/>
            <w:shd w:val="clear" w:color="auto" w:fill="auto"/>
            <w:vAlign w:val="center"/>
          </w:tcPr>
          <w:p w14:paraId="326B9E1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r>
      <w:tr w:rsidR="00737EB2" w:rsidRPr="00765F6E" w14:paraId="066E51D3" w14:textId="77777777" w:rsidTr="00871D47">
        <w:trPr>
          <w:trHeight w:val="176"/>
          <w:jc w:val="center"/>
        </w:trPr>
        <w:tc>
          <w:tcPr>
            <w:tcW w:w="566" w:type="pct"/>
            <w:shd w:val="clear" w:color="auto" w:fill="auto"/>
            <w:vAlign w:val="center"/>
          </w:tcPr>
          <w:p w14:paraId="3AB14C7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3600</w:t>
            </w:r>
          </w:p>
        </w:tc>
        <w:tc>
          <w:tcPr>
            <w:tcW w:w="369" w:type="pct"/>
            <w:shd w:val="clear" w:color="auto" w:fill="auto"/>
            <w:vAlign w:val="center"/>
          </w:tcPr>
          <w:p w14:paraId="3ED0501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w:t>
            </w:r>
          </w:p>
        </w:tc>
        <w:tc>
          <w:tcPr>
            <w:tcW w:w="369" w:type="pct"/>
            <w:shd w:val="clear" w:color="auto" w:fill="auto"/>
            <w:vAlign w:val="center"/>
          </w:tcPr>
          <w:p w14:paraId="589E80A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w:t>
            </w:r>
          </w:p>
        </w:tc>
        <w:tc>
          <w:tcPr>
            <w:tcW w:w="369" w:type="pct"/>
            <w:shd w:val="clear" w:color="auto" w:fill="auto"/>
            <w:vAlign w:val="center"/>
          </w:tcPr>
          <w:p w14:paraId="53B9E31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w:t>
            </w:r>
          </w:p>
        </w:tc>
        <w:tc>
          <w:tcPr>
            <w:tcW w:w="369" w:type="pct"/>
            <w:shd w:val="clear" w:color="auto" w:fill="auto"/>
            <w:vAlign w:val="center"/>
          </w:tcPr>
          <w:p w14:paraId="1D49456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69" w:type="pct"/>
            <w:shd w:val="clear" w:color="auto" w:fill="auto"/>
            <w:vAlign w:val="center"/>
          </w:tcPr>
          <w:p w14:paraId="1EF7DFF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70" w:type="pct"/>
            <w:shd w:val="clear" w:color="auto" w:fill="auto"/>
            <w:vAlign w:val="center"/>
          </w:tcPr>
          <w:p w14:paraId="26583AB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21D1172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6D7143F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2D49926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7A8174D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536D5C7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2" w:type="pct"/>
            <w:shd w:val="clear" w:color="auto" w:fill="auto"/>
            <w:vAlign w:val="center"/>
          </w:tcPr>
          <w:p w14:paraId="2581FA5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r>
      <w:tr w:rsidR="00737EB2" w:rsidRPr="00765F6E" w14:paraId="640667AA" w14:textId="77777777" w:rsidTr="00871D47">
        <w:trPr>
          <w:trHeight w:val="176"/>
          <w:jc w:val="center"/>
        </w:trPr>
        <w:tc>
          <w:tcPr>
            <w:tcW w:w="566" w:type="pct"/>
            <w:shd w:val="clear" w:color="auto" w:fill="auto"/>
            <w:vAlign w:val="center"/>
          </w:tcPr>
          <w:p w14:paraId="5145BA2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3500</w:t>
            </w:r>
          </w:p>
        </w:tc>
        <w:tc>
          <w:tcPr>
            <w:tcW w:w="369" w:type="pct"/>
            <w:shd w:val="clear" w:color="auto" w:fill="auto"/>
            <w:vAlign w:val="center"/>
          </w:tcPr>
          <w:p w14:paraId="7B046F3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w:t>
            </w:r>
          </w:p>
        </w:tc>
        <w:tc>
          <w:tcPr>
            <w:tcW w:w="369" w:type="pct"/>
            <w:shd w:val="clear" w:color="auto" w:fill="auto"/>
            <w:vAlign w:val="center"/>
          </w:tcPr>
          <w:p w14:paraId="742AADF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w:t>
            </w:r>
          </w:p>
        </w:tc>
        <w:tc>
          <w:tcPr>
            <w:tcW w:w="369" w:type="pct"/>
            <w:shd w:val="clear" w:color="auto" w:fill="auto"/>
            <w:vAlign w:val="center"/>
          </w:tcPr>
          <w:p w14:paraId="246211F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w:t>
            </w:r>
          </w:p>
        </w:tc>
        <w:tc>
          <w:tcPr>
            <w:tcW w:w="369" w:type="pct"/>
            <w:shd w:val="clear" w:color="auto" w:fill="auto"/>
            <w:vAlign w:val="center"/>
          </w:tcPr>
          <w:p w14:paraId="6156F93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69" w:type="pct"/>
            <w:shd w:val="clear" w:color="auto" w:fill="auto"/>
            <w:vAlign w:val="center"/>
          </w:tcPr>
          <w:p w14:paraId="60A42C7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70" w:type="pct"/>
            <w:shd w:val="clear" w:color="auto" w:fill="auto"/>
            <w:vAlign w:val="center"/>
          </w:tcPr>
          <w:p w14:paraId="154BB25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14069CC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5CB8ABC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33A38B7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242A7D0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D0BF1E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2" w:type="pct"/>
            <w:shd w:val="clear" w:color="auto" w:fill="auto"/>
            <w:vAlign w:val="center"/>
          </w:tcPr>
          <w:p w14:paraId="1E4BFBC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r>
      <w:tr w:rsidR="00737EB2" w:rsidRPr="00765F6E" w14:paraId="6174777D" w14:textId="77777777" w:rsidTr="00871D47">
        <w:trPr>
          <w:trHeight w:val="176"/>
          <w:jc w:val="center"/>
        </w:trPr>
        <w:tc>
          <w:tcPr>
            <w:tcW w:w="566" w:type="pct"/>
            <w:shd w:val="clear" w:color="auto" w:fill="auto"/>
            <w:vAlign w:val="center"/>
          </w:tcPr>
          <w:p w14:paraId="64C3E05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3400</w:t>
            </w:r>
          </w:p>
        </w:tc>
        <w:tc>
          <w:tcPr>
            <w:tcW w:w="369" w:type="pct"/>
            <w:shd w:val="clear" w:color="auto" w:fill="auto"/>
            <w:vAlign w:val="center"/>
          </w:tcPr>
          <w:p w14:paraId="49814B0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105</w:t>
            </w:r>
          </w:p>
        </w:tc>
        <w:tc>
          <w:tcPr>
            <w:tcW w:w="369" w:type="pct"/>
            <w:shd w:val="clear" w:color="auto" w:fill="auto"/>
            <w:vAlign w:val="center"/>
          </w:tcPr>
          <w:p w14:paraId="00294AC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80</w:t>
            </w:r>
          </w:p>
        </w:tc>
        <w:tc>
          <w:tcPr>
            <w:tcW w:w="369" w:type="pct"/>
            <w:shd w:val="clear" w:color="auto" w:fill="auto"/>
            <w:vAlign w:val="center"/>
          </w:tcPr>
          <w:p w14:paraId="4B2777D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w:t>
            </w:r>
          </w:p>
        </w:tc>
        <w:tc>
          <w:tcPr>
            <w:tcW w:w="369" w:type="pct"/>
            <w:shd w:val="clear" w:color="auto" w:fill="auto"/>
            <w:vAlign w:val="center"/>
          </w:tcPr>
          <w:p w14:paraId="442D0CA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55</w:t>
            </w:r>
          </w:p>
        </w:tc>
        <w:tc>
          <w:tcPr>
            <w:tcW w:w="369" w:type="pct"/>
            <w:shd w:val="clear" w:color="auto" w:fill="auto"/>
            <w:vAlign w:val="center"/>
          </w:tcPr>
          <w:p w14:paraId="0F4B6EF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70" w:type="pct"/>
            <w:shd w:val="clear" w:color="auto" w:fill="auto"/>
            <w:vAlign w:val="center"/>
          </w:tcPr>
          <w:p w14:paraId="5BEBA1D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79AD695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0CAFD29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502F323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3DA7354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52B322C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3D4A2B8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3907AAD0" w14:textId="77777777" w:rsidTr="00871D47">
        <w:trPr>
          <w:trHeight w:val="176"/>
          <w:jc w:val="center"/>
        </w:trPr>
        <w:tc>
          <w:tcPr>
            <w:tcW w:w="566" w:type="pct"/>
            <w:shd w:val="clear" w:color="auto" w:fill="auto"/>
            <w:vAlign w:val="center"/>
          </w:tcPr>
          <w:p w14:paraId="4C18DF0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3300</w:t>
            </w:r>
          </w:p>
        </w:tc>
        <w:tc>
          <w:tcPr>
            <w:tcW w:w="369" w:type="pct"/>
            <w:shd w:val="clear" w:color="auto" w:fill="auto"/>
            <w:vAlign w:val="center"/>
          </w:tcPr>
          <w:p w14:paraId="71303F7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105</w:t>
            </w:r>
          </w:p>
        </w:tc>
        <w:tc>
          <w:tcPr>
            <w:tcW w:w="369" w:type="pct"/>
            <w:shd w:val="clear" w:color="auto" w:fill="auto"/>
            <w:vAlign w:val="center"/>
          </w:tcPr>
          <w:p w14:paraId="62FECB9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80</w:t>
            </w:r>
          </w:p>
        </w:tc>
        <w:tc>
          <w:tcPr>
            <w:tcW w:w="369" w:type="pct"/>
            <w:shd w:val="clear" w:color="auto" w:fill="auto"/>
            <w:vAlign w:val="center"/>
          </w:tcPr>
          <w:p w14:paraId="63D504F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w:t>
            </w:r>
          </w:p>
        </w:tc>
        <w:tc>
          <w:tcPr>
            <w:tcW w:w="369" w:type="pct"/>
            <w:shd w:val="clear" w:color="auto" w:fill="auto"/>
            <w:vAlign w:val="center"/>
          </w:tcPr>
          <w:p w14:paraId="7E2B8E6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55</w:t>
            </w:r>
          </w:p>
        </w:tc>
        <w:tc>
          <w:tcPr>
            <w:tcW w:w="369" w:type="pct"/>
            <w:shd w:val="clear" w:color="auto" w:fill="auto"/>
            <w:vAlign w:val="center"/>
          </w:tcPr>
          <w:p w14:paraId="6802109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70" w:type="pct"/>
            <w:shd w:val="clear" w:color="auto" w:fill="auto"/>
            <w:vAlign w:val="center"/>
          </w:tcPr>
          <w:p w14:paraId="3243DD6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7091A31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70" w:type="pct"/>
            <w:shd w:val="clear" w:color="auto" w:fill="auto"/>
            <w:vAlign w:val="center"/>
          </w:tcPr>
          <w:p w14:paraId="1E2B828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63C2E2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4DC4046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73E8F87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4B91F24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08476EB6" w14:textId="77777777" w:rsidTr="00871D47">
        <w:trPr>
          <w:trHeight w:val="176"/>
          <w:jc w:val="center"/>
        </w:trPr>
        <w:tc>
          <w:tcPr>
            <w:tcW w:w="566" w:type="pct"/>
            <w:shd w:val="clear" w:color="auto" w:fill="auto"/>
            <w:vAlign w:val="center"/>
          </w:tcPr>
          <w:p w14:paraId="7630C96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3200</w:t>
            </w:r>
          </w:p>
        </w:tc>
        <w:tc>
          <w:tcPr>
            <w:tcW w:w="369" w:type="pct"/>
            <w:shd w:val="clear" w:color="auto" w:fill="auto"/>
            <w:vAlign w:val="center"/>
          </w:tcPr>
          <w:p w14:paraId="48AC289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115</w:t>
            </w:r>
          </w:p>
        </w:tc>
        <w:tc>
          <w:tcPr>
            <w:tcW w:w="369" w:type="pct"/>
            <w:shd w:val="clear" w:color="auto" w:fill="auto"/>
            <w:vAlign w:val="center"/>
          </w:tcPr>
          <w:p w14:paraId="0F9E52D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w:t>
            </w:r>
          </w:p>
        </w:tc>
        <w:tc>
          <w:tcPr>
            <w:tcW w:w="369" w:type="pct"/>
            <w:shd w:val="clear" w:color="auto" w:fill="auto"/>
            <w:vAlign w:val="center"/>
          </w:tcPr>
          <w:p w14:paraId="47DDEDF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w:t>
            </w:r>
          </w:p>
        </w:tc>
        <w:tc>
          <w:tcPr>
            <w:tcW w:w="369" w:type="pct"/>
            <w:shd w:val="clear" w:color="auto" w:fill="auto"/>
            <w:vAlign w:val="center"/>
          </w:tcPr>
          <w:p w14:paraId="27FEABA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55</w:t>
            </w:r>
          </w:p>
        </w:tc>
        <w:tc>
          <w:tcPr>
            <w:tcW w:w="369" w:type="pct"/>
            <w:shd w:val="clear" w:color="auto" w:fill="auto"/>
            <w:vAlign w:val="center"/>
          </w:tcPr>
          <w:p w14:paraId="700B920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70" w:type="pct"/>
            <w:shd w:val="clear" w:color="auto" w:fill="auto"/>
            <w:vAlign w:val="center"/>
          </w:tcPr>
          <w:p w14:paraId="06EE4CD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7F06D1C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70" w:type="pct"/>
            <w:shd w:val="clear" w:color="auto" w:fill="auto"/>
            <w:vAlign w:val="center"/>
          </w:tcPr>
          <w:p w14:paraId="43A9F0C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6986819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6827723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4C56D1A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39B5A35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209BF5DA" w14:textId="77777777" w:rsidTr="00871D47">
        <w:trPr>
          <w:trHeight w:val="176"/>
          <w:jc w:val="center"/>
        </w:trPr>
        <w:tc>
          <w:tcPr>
            <w:tcW w:w="566" w:type="pct"/>
            <w:shd w:val="clear" w:color="auto" w:fill="auto"/>
            <w:vAlign w:val="center"/>
          </w:tcPr>
          <w:p w14:paraId="376F018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3100</w:t>
            </w:r>
          </w:p>
        </w:tc>
        <w:tc>
          <w:tcPr>
            <w:tcW w:w="369" w:type="pct"/>
            <w:shd w:val="clear" w:color="auto" w:fill="auto"/>
            <w:vAlign w:val="center"/>
          </w:tcPr>
          <w:p w14:paraId="38996CF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115</w:t>
            </w:r>
          </w:p>
        </w:tc>
        <w:tc>
          <w:tcPr>
            <w:tcW w:w="369" w:type="pct"/>
            <w:shd w:val="clear" w:color="auto" w:fill="auto"/>
            <w:vAlign w:val="center"/>
          </w:tcPr>
          <w:p w14:paraId="70F6BF1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w:t>
            </w:r>
          </w:p>
        </w:tc>
        <w:tc>
          <w:tcPr>
            <w:tcW w:w="369" w:type="pct"/>
            <w:shd w:val="clear" w:color="auto" w:fill="auto"/>
            <w:vAlign w:val="center"/>
          </w:tcPr>
          <w:p w14:paraId="450D8A0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80</w:t>
            </w:r>
          </w:p>
        </w:tc>
        <w:tc>
          <w:tcPr>
            <w:tcW w:w="369" w:type="pct"/>
            <w:shd w:val="clear" w:color="auto" w:fill="auto"/>
            <w:vAlign w:val="center"/>
          </w:tcPr>
          <w:p w14:paraId="3375230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369" w:type="pct"/>
            <w:shd w:val="clear" w:color="auto" w:fill="auto"/>
            <w:vAlign w:val="center"/>
          </w:tcPr>
          <w:p w14:paraId="2FCEBB3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70" w:type="pct"/>
            <w:shd w:val="clear" w:color="auto" w:fill="auto"/>
            <w:vAlign w:val="center"/>
          </w:tcPr>
          <w:p w14:paraId="28F1BCE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5CE87DB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70" w:type="pct"/>
            <w:shd w:val="clear" w:color="auto" w:fill="auto"/>
            <w:vAlign w:val="center"/>
          </w:tcPr>
          <w:p w14:paraId="5E2B141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35ADBA6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64D5B0C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74EC941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32F94A1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2EFD48CB" w14:textId="77777777" w:rsidTr="00871D47">
        <w:trPr>
          <w:trHeight w:val="176"/>
          <w:jc w:val="center"/>
        </w:trPr>
        <w:tc>
          <w:tcPr>
            <w:tcW w:w="566" w:type="pct"/>
            <w:shd w:val="clear" w:color="auto" w:fill="auto"/>
            <w:vAlign w:val="center"/>
          </w:tcPr>
          <w:p w14:paraId="1A33671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3000</w:t>
            </w:r>
          </w:p>
        </w:tc>
        <w:tc>
          <w:tcPr>
            <w:tcW w:w="369" w:type="pct"/>
            <w:shd w:val="clear" w:color="auto" w:fill="auto"/>
            <w:vAlign w:val="center"/>
          </w:tcPr>
          <w:p w14:paraId="4106AE5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120</w:t>
            </w:r>
          </w:p>
        </w:tc>
        <w:tc>
          <w:tcPr>
            <w:tcW w:w="369" w:type="pct"/>
            <w:shd w:val="clear" w:color="auto" w:fill="auto"/>
            <w:vAlign w:val="center"/>
          </w:tcPr>
          <w:p w14:paraId="385B9A1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90</w:t>
            </w:r>
          </w:p>
        </w:tc>
        <w:tc>
          <w:tcPr>
            <w:tcW w:w="369" w:type="pct"/>
            <w:shd w:val="clear" w:color="auto" w:fill="auto"/>
            <w:vAlign w:val="center"/>
          </w:tcPr>
          <w:p w14:paraId="2D337E0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80</w:t>
            </w:r>
          </w:p>
        </w:tc>
        <w:tc>
          <w:tcPr>
            <w:tcW w:w="369" w:type="pct"/>
            <w:shd w:val="clear" w:color="auto" w:fill="auto"/>
            <w:vAlign w:val="center"/>
          </w:tcPr>
          <w:p w14:paraId="2B76E7A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369" w:type="pct"/>
            <w:shd w:val="clear" w:color="auto" w:fill="auto"/>
            <w:vAlign w:val="center"/>
          </w:tcPr>
          <w:p w14:paraId="0BA1B6F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70" w:type="pct"/>
            <w:shd w:val="clear" w:color="auto" w:fill="auto"/>
            <w:vAlign w:val="center"/>
          </w:tcPr>
          <w:p w14:paraId="55F56F5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43BCF9E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70" w:type="pct"/>
            <w:shd w:val="clear" w:color="auto" w:fill="auto"/>
            <w:vAlign w:val="center"/>
          </w:tcPr>
          <w:p w14:paraId="43CBED9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1663EB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4A8137F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5A4DDD9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783BF39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5E8D2376" w14:textId="77777777" w:rsidTr="00871D47">
        <w:trPr>
          <w:trHeight w:val="176"/>
          <w:jc w:val="center"/>
        </w:trPr>
        <w:tc>
          <w:tcPr>
            <w:tcW w:w="566" w:type="pct"/>
            <w:shd w:val="clear" w:color="auto" w:fill="auto"/>
            <w:vAlign w:val="center"/>
          </w:tcPr>
          <w:p w14:paraId="45DE525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2900</w:t>
            </w:r>
          </w:p>
        </w:tc>
        <w:tc>
          <w:tcPr>
            <w:tcW w:w="369" w:type="pct"/>
            <w:shd w:val="clear" w:color="auto" w:fill="auto"/>
            <w:vAlign w:val="center"/>
          </w:tcPr>
          <w:p w14:paraId="7D08943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130</w:t>
            </w:r>
          </w:p>
        </w:tc>
        <w:tc>
          <w:tcPr>
            <w:tcW w:w="369" w:type="pct"/>
            <w:shd w:val="clear" w:color="auto" w:fill="auto"/>
            <w:vAlign w:val="center"/>
          </w:tcPr>
          <w:p w14:paraId="4D2BC57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95</w:t>
            </w:r>
          </w:p>
        </w:tc>
        <w:tc>
          <w:tcPr>
            <w:tcW w:w="369" w:type="pct"/>
            <w:shd w:val="clear" w:color="auto" w:fill="auto"/>
            <w:vAlign w:val="center"/>
          </w:tcPr>
          <w:p w14:paraId="234285C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w:t>
            </w:r>
          </w:p>
        </w:tc>
        <w:tc>
          <w:tcPr>
            <w:tcW w:w="369" w:type="pct"/>
            <w:shd w:val="clear" w:color="auto" w:fill="auto"/>
            <w:vAlign w:val="center"/>
          </w:tcPr>
          <w:p w14:paraId="4A13C5B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w:t>
            </w:r>
          </w:p>
        </w:tc>
        <w:tc>
          <w:tcPr>
            <w:tcW w:w="369" w:type="pct"/>
            <w:shd w:val="clear" w:color="auto" w:fill="auto"/>
            <w:vAlign w:val="center"/>
          </w:tcPr>
          <w:p w14:paraId="7394D8D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70" w:type="pct"/>
            <w:shd w:val="clear" w:color="auto" w:fill="auto"/>
            <w:vAlign w:val="center"/>
          </w:tcPr>
          <w:p w14:paraId="304EB3E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56576C3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70" w:type="pct"/>
            <w:shd w:val="clear" w:color="auto" w:fill="auto"/>
            <w:vAlign w:val="center"/>
          </w:tcPr>
          <w:p w14:paraId="72DF83F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03D7BDC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06995E8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44CC40F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6AE4974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167FDD49" w14:textId="77777777" w:rsidTr="00871D47">
        <w:trPr>
          <w:trHeight w:val="176"/>
          <w:jc w:val="center"/>
        </w:trPr>
        <w:tc>
          <w:tcPr>
            <w:tcW w:w="566" w:type="pct"/>
            <w:shd w:val="clear" w:color="auto" w:fill="auto"/>
            <w:vAlign w:val="center"/>
          </w:tcPr>
          <w:p w14:paraId="6796529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2800</w:t>
            </w:r>
          </w:p>
        </w:tc>
        <w:tc>
          <w:tcPr>
            <w:tcW w:w="369" w:type="pct"/>
            <w:shd w:val="clear" w:color="auto" w:fill="auto"/>
            <w:vAlign w:val="center"/>
          </w:tcPr>
          <w:p w14:paraId="0CEB33D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130</w:t>
            </w:r>
          </w:p>
        </w:tc>
        <w:tc>
          <w:tcPr>
            <w:tcW w:w="369" w:type="pct"/>
            <w:shd w:val="clear" w:color="auto" w:fill="auto"/>
            <w:vAlign w:val="center"/>
          </w:tcPr>
          <w:p w14:paraId="36306F6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95</w:t>
            </w:r>
          </w:p>
        </w:tc>
        <w:tc>
          <w:tcPr>
            <w:tcW w:w="369" w:type="pct"/>
            <w:shd w:val="clear" w:color="auto" w:fill="auto"/>
            <w:vAlign w:val="center"/>
          </w:tcPr>
          <w:p w14:paraId="7B2FD53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w:t>
            </w:r>
          </w:p>
        </w:tc>
        <w:tc>
          <w:tcPr>
            <w:tcW w:w="369" w:type="pct"/>
            <w:shd w:val="clear" w:color="auto" w:fill="auto"/>
            <w:vAlign w:val="center"/>
          </w:tcPr>
          <w:p w14:paraId="7514257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w:t>
            </w:r>
          </w:p>
        </w:tc>
        <w:tc>
          <w:tcPr>
            <w:tcW w:w="369" w:type="pct"/>
            <w:shd w:val="clear" w:color="auto" w:fill="auto"/>
            <w:vAlign w:val="center"/>
          </w:tcPr>
          <w:p w14:paraId="20EDB81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70" w:type="pct"/>
            <w:shd w:val="clear" w:color="auto" w:fill="auto"/>
            <w:vAlign w:val="center"/>
          </w:tcPr>
          <w:p w14:paraId="5ABB57C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6023C4A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70" w:type="pct"/>
            <w:shd w:val="clear" w:color="auto" w:fill="auto"/>
            <w:vAlign w:val="center"/>
          </w:tcPr>
          <w:p w14:paraId="573B7C6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2020576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13C6F2E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5261368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76758BC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1836997D" w14:textId="77777777" w:rsidTr="00871D47">
        <w:trPr>
          <w:trHeight w:val="176"/>
          <w:jc w:val="center"/>
        </w:trPr>
        <w:tc>
          <w:tcPr>
            <w:tcW w:w="566" w:type="pct"/>
            <w:shd w:val="clear" w:color="auto" w:fill="auto"/>
            <w:vAlign w:val="center"/>
          </w:tcPr>
          <w:p w14:paraId="4258EF6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2700</w:t>
            </w:r>
          </w:p>
        </w:tc>
        <w:tc>
          <w:tcPr>
            <w:tcW w:w="369" w:type="pct"/>
            <w:shd w:val="clear" w:color="auto" w:fill="auto"/>
            <w:vAlign w:val="center"/>
          </w:tcPr>
          <w:p w14:paraId="68E4C02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135</w:t>
            </w:r>
          </w:p>
        </w:tc>
        <w:tc>
          <w:tcPr>
            <w:tcW w:w="369" w:type="pct"/>
            <w:shd w:val="clear" w:color="auto" w:fill="auto"/>
            <w:vAlign w:val="center"/>
          </w:tcPr>
          <w:p w14:paraId="2AAD209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w:t>
            </w:r>
          </w:p>
        </w:tc>
        <w:tc>
          <w:tcPr>
            <w:tcW w:w="369" w:type="pct"/>
            <w:shd w:val="clear" w:color="auto" w:fill="auto"/>
            <w:vAlign w:val="center"/>
          </w:tcPr>
          <w:p w14:paraId="4EC81B1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w:t>
            </w:r>
          </w:p>
        </w:tc>
        <w:tc>
          <w:tcPr>
            <w:tcW w:w="369" w:type="pct"/>
            <w:shd w:val="clear" w:color="auto" w:fill="auto"/>
            <w:vAlign w:val="center"/>
          </w:tcPr>
          <w:p w14:paraId="6DC34FB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w:t>
            </w:r>
          </w:p>
        </w:tc>
        <w:tc>
          <w:tcPr>
            <w:tcW w:w="369" w:type="pct"/>
            <w:shd w:val="clear" w:color="auto" w:fill="auto"/>
            <w:vAlign w:val="center"/>
          </w:tcPr>
          <w:p w14:paraId="78D4FE1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70" w:type="pct"/>
            <w:shd w:val="clear" w:color="auto" w:fill="auto"/>
            <w:vAlign w:val="center"/>
          </w:tcPr>
          <w:p w14:paraId="1E24623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74D9ACA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70" w:type="pct"/>
            <w:shd w:val="clear" w:color="auto" w:fill="auto"/>
            <w:vAlign w:val="center"/>
          </w:tcPr>
          <w:p w14:paraId="5DC265F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05CF0ED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73796B4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14166C5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3B466FA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0D2CE9DA" w14:textId="77777777" w:rsidTr="00871D47">
        <w:trPr>
          <w:trHeight w:val="176"/>
          <w:jc w:val="center"/>
        </w:trPr>
        <w:tc>
          <w:tcPr>
            <w:tcW w:w="566" w:type="pct"/>
            <w:shd w:val="clear" w:color="auto" w:fill="auto"/>
            <w:vAlign w:val="center"/>
          </w:tcPr>
          <w:p w14:paraId="01AB03E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2600</w:t>
            </w:r>
          </w:p>
        </w:tc>
        <w:tc>
          <w:tcPr>
            <w:tcW w:w="369" w:type="pct"/>
            <w:shd w:val="clear" w:color="auto" w:fill="auto"/>
            <w:vAlign w:val="center"/>
          </w:tcPr>
          <w:p w14:paraId="18C0ED2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145</w:t>
            </w:r>
          </w:p>
        </w:tc>
        <w:tc>
          <w:tcPr>
            <w:tcW w:w="369" w:type="pct"/>
            <w:shd w:val="clear" w:color="auto" w:fill="auto"/>
            <w:vAlign w:val="center"/>
          </w:tcPr>
          <w:p w14:paraId="3C56311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110</w:t>
            </w:r>
          </w:p>
        </w:tc>
        <w:tc>
          <w:tcPr>
            <w:tcW w:w="369" w:type="pct"/>
            <w:shd w:val="clear" w:color="auto" w:fill="auto"/>
            <w:vAlign w:val="center"/>
          </w:tcPr>
          <w:p w14:paraId="51A6BE0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95</w:t>
            </w:r>
          </w:p>
        </w:tc>
        <w:tc>
          <w:tcPr>
            <w:tcW w:w="369" w:type="pct"/>
            <w:shd w:val="clear" w:color="auto" w:fill="auto"/>
            <w:vAlign w:val="center"/>
          </w:tcPr>
          <w:p w14:paraId="04D5485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w:t>
            </w:r>
          </w:p>
        </w:tc>
        <w:tc>
          <w:tcPr>
            <w:tcW w:w="369" w:type="pct"/>
            <w:shd w:val="clear" w:color="auto" w:fill="auto"/>
            <w:vAlign w:val="center"/>
          </w:tcPr>
          <w:p w14:paraId="05443E9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370" w:type="pct"/>
            <w:shd w:val="clear" w:color="auto" w:fill="auto"/>
            <w:vAlign w:val="center"/>
          </w:tcPr>
          <w:p w14:paraId="262207A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69" w:type="pct"/>
            <w:shd w:val="clear" w:color="auto" w:fill="auto"/>
            <w:vAlign w:val="center"/>
          </w:tcPr>
          <w:p w14:paraId="028CD25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70" w:type="pct"/>
            <w:shd w:val="clear" w:color="auto" w:fill="auto"/>
            <w:vAlign w:val="center"/>
          </w:tcPr>
          <w:p w14:paraId="6F6CFA7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42D171F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780CD25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1EEE186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2F2A849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7D6CCB27" w14:textId="77777777" w:rsidTr="00871D47">
        <w:trPr>
          <w:trHeight w:val="176"/>
          <w:jc w:val="center"/>
        </w:trPr>
        <w:tc>
          <w:tcPr>
            <w:tcW w:w="566" w:type="pct"/>
            <w:shd w:val="clear" w:color="auto" w:fill="auto"/>
            <w:vAlign w:val="center"/>
          </w:tcPr>
          <w:p w14:paraId="0F13F9A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2500</w:t>
            </w:r>
          </w:p>
        </w:tc>
        <w:tc>
          <w:tcPr>
            <w:tcW w:w="369" w:type="pct"/>
            <w:shd w:val="clear" w:color="auto" w:fill="auto"/>
            <w:vAlign w:val="center"/>
          </w:tcPr>
          <w:p w14:paraId="0C5C807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145</w:t>
            </w:r>
          </w:p>
        </w:tc>
        <w:tc>
          <w:tcPr>
            <w:tcW w:w="369" w:type="pct"/>
            <w:shd w:val="clear" w:color="auto" w:fill="auto"/>
            <w:vAlign w:val="center"/>
          </w:tcPr>
          <w:p w14:paraId="53B9FD9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110</w:t>
            </w:r>
          </w:p>
        </w:tc>
        <w:tc>
          <w:tcPr>
            <w:tcW w:w="369" w:type="pct"/>
            <w:shd w:val="clear" w:color="auto" w:fill="auto"/>
            <w:vAlign w:val="center"/>
          </w:tcPr>
          <w:p w14:paraId="2141B2C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95</w:t>
            </w:r>
          </w:p>
        </w:tc>
        <w:tc>
          <w:tcPr>
            <w:tcW w:w="369" w:type="pct"/>
            <w:shd w:val="clear" w:color="auto" w:fill="auto"/>
            <w:vAlign w:val="center"/>
          </w:tcPr>
          <w:p w14:paraId="7074C6A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w:t>
            </w:r>
          </w:p>
        </w:tc>
        <w:tc>
          <w:tcPr>
            <w:tcW w:w="369" w:type="pct"/>
            <w:shd w:val="clear" w:color="auto" w:fill="auto"/>
            <w:vAlign w:val="center"/>
          </w:tcPr>
          <w:p w14:paraId="4AF6A5C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370" w:type="pct"/>
            <w:shd w:val="clear" w:color="auto" w:fill="auto"/>
            <w:vAlign w:val="center"/>
          </w:tcPr>
          <w:p w14:paraId="73428F5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69" w:type="pct"/>
            <w:shd w:val="clear" w:color="auto" w:fill="auto"/>
            <w:vAlign w:val="center"/>
          </w:tcPr>
          <w:p w14:paraId="5B820AD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70" w:type="pct"/>
            <w:shd w:val="clear" w:color="auto" w:fill="auto"/>
            <w:vAlign w:val="center"/>
          </w:tcPr>
          <w:p w14:paraId="26E5EAD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5D6EF7B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05214D5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69A0EF1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5E0192E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25BB8B0D" w14:textId="77777777" w:rsidTr="00871D47">
        <w:trPr>
          <w:trHeight w:val="176"/>
          <w:jc w:val="center"/>
        </w:trPr>
        <w:tc>
          <w:tcPr>
            <w:tcW w:w="566" w:type="pct"/>
            <w:shd w:val="clear" w:color="auto" w:fill="auto"/>
            <w:vAlign w:val="center"/>
          </w:tcPr>
          <w:p w14:paraId="51BA9C5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2400</w:t>
            </w:r>
          </w:p>
        </w:tc>
        <w:tc>
          <w:tcPr>
            <w:tcW w:w="369" w:type="pct"/>
            <w:shd w:val="clear" w:color="auto" w:fill="auto"/>
            <w:vAlign w:val="center"/>
          </w:tcPr>
          <w:p w14:paraId="7F0BA0B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150</w:t>
            </w:r>
          </w:p>
        </w:tc>
        <w:tc>
          <w:tcPr>
            <w:tcW w:w="369" w:type="pct"/>
            <w:shd w:val="clear" w:color="auto" w:fill="auto"/>
            <w:vAlign w:val="center"/>
          </w:tcPr>
          <w:p w14:paraId="7C21B61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115</w:t>
            </w:r>
          </w:p>
        </w:tc>
        <w:tc>
          <w:tcPr>
            <w:tcW w:w="369" w:type="pct"/>
            <w:shd w:val="clear" w:color="auto" w:fill="auto"/>
            <w:vAlign w:val="center"/>
          </w:tcPr>
          <w:p w14:paraId="34547FB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w:t>
            </w:r>
          </w:p>
        </w:tc>
        <w:tc>
          <w:tcPr>
            <w:tcW w:w="369" w:type="pct"/>
            <w:shd w:val="clear" w:color="auto" w:fill="auto"/>
            <w:vAlign w:val="center"/>
          </w:tcPr>
          <w:p w14:paraId="28B4F2E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w:t>
            </w:r>
          </w:p>
        </w:tc>
        <w:tc>
          <w:tcPr>
            <w:tcW w:w="369" w:type="pct"/>
            <w:shd w:val="clear" w:color="auto" w:fill="auto"/>
            <w:vAlign w:val="center"/>
          </w:tcPr>
          <w:p w14:paraId="40D6D30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w:t>
            </w:r>
          </w:p>
        </w:tc>
        <w:tc>
          <w:tcPr>
            <w:tcW w:w="370" w:type="pct"/>
            <w:shd w:val="clear" w:color="auto" w:fill="auto"/>
            <w:vAlign w:val="center"/>
          </w:tcPr>
          <w:p w14:paraId="0C6A378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69" w:type="pct"/>
            <w:shd w:val="clear" w:color="auto" w:fill="auto"/>
            <w:vAlign w:val="center"/>
          </w:tcPr>
          <w:p w14:paraId="61E08E7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70" w:type="pct"/>
            <w:shd w:val="clear" w:color="auto" w:fill="auto"/>
            <w:vAlign w:val="center"/>
          </w:tcPr>
          <w:p w14:paraId="7EC6E21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2EDD862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03700CF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7CAF0DB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62AD199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25D375BD" w14:textId="77777777" w:rsidTr="00871D47">
        <w:trPr>
          <w:trHeight w:val="176"/>
          <w:jc w:val="center"/>
        </w:trPr>
        <w:tc>
          <w:tcPr>
            <w:tcW w:w="566" w:type="pct"/>
            <w:shd w:val="clear" w:color="auto" w:fill="auto"/>
            <w:vAlign w:val="center"/>
          </w:tcPr>
          <w:p w14:paraId="26D2395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2300</w:t>
            </w:r>
          </w:p>
        </w:tc>
        <w:tc>
          <w:tcPr>
            <w:tcW w:w="369" w:type="pct"/>
            <w:shd w:val="clear" w:color="auto" w:fill="auto"/>
            <w:vAlign w:val="center"/>
          </w:tcPr>
          <w:p w14:paraId="69EF246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160</w:t>
            </w:r>
          </w:p>
        </w:tc>
        <w:tc>
          <w:tcPr>
            <w:tcW w:w="369" w:type="pct"/>
            <w:shd w:val="clear" w:color="auto" w:fill="auto"/>
            <w:vAlign w:val="center"/>
          </w:tcPr>
          <w:p w14:paraId="1654AD8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120</w:t>
            </w:r>
          </w:p>
        </w:tc>
        <w:tc>
          <w:tcPr>
            <w:tcW w:w="369" w:type="pct"/>
            <w:shd w:val="clear" w:color="auto" w:fill="auto"/>
            <w:vAlign w:val="center"/>
          </w:tcPr>
          <w:p w14:paraId="4991142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105</w:t>
            </w:r>
          </w:p>
        </w:tc>
        <w:tc>
          <w:tcPr>
            <w:tcW w:w="369" w:type="pct"/>
            <w:shd w:val="clear" w:color="auto" w:fill="auto"/>
            <w:vAlign w:val="center"/>
          </w:tcPr>
          <w:p w14:paraId="5DBE809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80</w:t>
            </w:r>
          </w:p>
        </w:tc>
        <w:tc>
          <w:tcPr>
            <w:tcW w:w="369" w:type="pct"/>
            <w:shd w:val="clear" w:color="auto" w:fill="auto"/>
            <w:vAlign w:val="center"/>
          </w:tcPr>
          <w:p w14:paraId="7058270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w:t>
            </w:r>
          </w:p>
        </w:tc>
        <w:tc>
          <w:tcPr>
            <w:tcW w:w="370" w:type="pct"/>
            <w:shd w:val="clear" w:color="auto" w:fill="auto"/>
            <w:vAlign w:val="center"/>
          </w:tcPr>
          <w:p w14:paraId="00DF03C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69" w:type="pct"/>
            <w:shd w:val="clear" w:color="auto" w:fill="auto"/>
            <w:vAlign w:val="center"/>
          </w:tcPr>
          <w:p w14:paraId="06A0AC0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70" w:type="pct"/>
            <w:shd w:val="clear" w:color="auto" w:fill="auto"/>
            <w:vAlign w:val="center"/>
          </w:tcPr>
          <w:p w14:paraId="5CF568D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4DC481B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06B22AF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7C282B5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2C14678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7BE195B0" w14:textId="77777777" w:rsidTr="00871D47">
        <w:trPr>
          <w:trHeight w:val="176"/>
          <w:jc w:val="center"/>
        </w:trPr>
        <w:tc>
          <w:tcPr>
            <w:tcW w:w="566" w:type="pct"/>
            <w:shd w:val="clear" w:color="auto" w:fill="auto"/>
            <w:vAlign w:val="center"/>
          </w:tcPr>
          <w:p w14:paraId="3C589E2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2300</w:t>
            </w:r>
          </w:p>
        </w:tc>
        <w:tc>
          <w:tcPr>
            <w:tcW w:w="369" w:type="pct"/>
            <w:shd w:val="clear" w:color="auto" w:fill="auto"/>
            <w:vAlign w:val="center"/>
          </w:tcPr>
          <w:p w14:paraId="2EB793A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165</w:t>
            </w:r>
          </w:p>
        </w:tc>
        <w:tc>
          <w:tcPr>
            <w:tcW w:w="369" w:type="pct"/>
            <w:shd w:val="clear" w:color="auto" w:fill="auto"/>
            <w:vAlign w:val="center"/>
          </w:tcPr>
          <w:p w14:paraId="53A97AC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125</w:t>
            </w:r>
          </w:p>
        </w:tc>
        <w:tc>
          <w:tcPr>
            <w:tcW w:w="369" w:type="pct"/>
            <w:shd w:val="clear" w:color="auto" w:fill="auto"/>
            <w:vAlign w:val="center"/>
          </w:tcPr>
          <w:p w14:paraId="27D8658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110</w:t>
            </w:r>
          </w:p>
        </w:tc>
        <w:tc>
          <w:tcPr>
            <w:tcW w:w="369" w:type="pct"/>
            <w:shd w:val="clear" w:color="auto" w:fill="auto"/>
            <w:vAlign w:val="center"/>
          </w:tcPr>
          <w:p w14:paraId="33BBFD8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w:t>
            </w:r>
          </w:p>
        </w:tc>
        <w:tc>
          <w:tcPr>
            <w:tcW w:w="369" w:type="pct"/>
            <w:shd w:val="clear" w:color="auto" w:fill="auto"/>
            <w:vAlign w:val="center"/>
          </w:tcPr>
          <w:p w14:paraId="4DFB00A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w:t>
            </w:r>
          </w:p>
        </w:tc>
        <w:tc>
          <w:tcPr>
            <w:tcW w:w="370" w:type="pct"/>
            <w:shd w:val="clear" w:color="auto" w:fill="auto"/>
            <w:vAlign w:val="center"/>
          </w:tcPr>
          <w:p w14:paraId="31561A1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69" w:type="pct"/>
            <w:shd w:val="clear" w:color="auto" w:fill="auto"/>
            <w:vAlign w:val="center"/>
          </w:tcPr>
          <w:p w14:paraId="4F336FA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70" w:type="pct"/>
            <w:shd w:val="clear" w:color="auto" w:fill="auto"/>
            <w:vAlign w:val="center"/>
          </w:tcPr>
          <w:p w14:paraId="034FDD6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29EC4EB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6994AE1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7E71FD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48BC53A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6EA9BE32" w14:textId="77777777" w:rsidTr="00871D47">
        <w:trPr>
          <w:trHeight w:val="176"/>
          <w:jc w:val="center"/>
        </w:trPr>
        <w:tc>
          <w:tcPr>
            <w:tcW w:w="566" w:type="pct"/>
            <w:shd w:val="clear" w:color="auto" w:fill="auto"/>
            <w:vAlign w:val="center"/>
          </w:tcPr>
          <w:p w14:paraId="18387C5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2100</w:t>
            </w:r>
          </w:p>
        </w:tc>
        <w:tc>
          <w:tcPr>
            <w:tcW w:w="369" w:type="pct"/>
            <w:shd w:val="clear" w:color="auto" w:fill="auto"/>
            <w:vAlign w:val="center"/>
          </w:tcPr>
          <w:p w14:paraId="4A071C1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165</w:t>
            </w:r>
          </w:p>
        </w:tc>
        <w:tc>
          <w:tcPr>
            <w:tcW w:w="369" w:type="pct"/>
            <w:shd w:val="clear" w:color="auto" w:fill="auto"/>
            <w:vAlign w:val="center"/>
          </w:tcPr>
          <w:p w14:paraId="0DCDED0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125</w:t>
            </w:r>
          </w:p>
        </w:tc>
        <w:tc>
          <w:tcPr>
            <w:tcW w:w="369" w:type="pct"/>
            <w:shd w:val="clear" w:color="auto" w:fill="auto"/>
            <w:vAlign w:val="center"/>
          </w:tcPr>
          <w:p w14:paraId="300A3E3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120</w:t>
            </w:r>
          </w:p>
        </w:tc>
        <w:tc>
          <w:tcPr>
            <w:tcW w:w="369" w:type="pct"/>
            <w:shd w:val="clear" w:color="auto" w:fill="auto"/>
            <w:vAlign w:val="center"/>
          </w:tcPr>
          <w:p w14:paraId="1401B1A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90</w:t>
            </w:r>
          </w:p>
        </w:tc>
        <w:tc>
          <w:tcPr>
            <w:tcW w:w="369" w:type="pct"/>
            <w:shd w:val="clear" w:color="auto" w:fill="auto"/>
            <w:vAlign w:val="center"/>
          </w:tcPr>
          <w:p w14:paraId="200A10B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w:t>
            </w:r>
          </w:p>
        </w:tc>
        <w:tc>
          <w:tcPr>
            <w:tcW w:w="370" w:type="pct"/>
            <w:shd w:val="clear" w:color="auto" w:fill="auto"/>
            <w:vAlign w:val="center"/>
          </w:tcPr>
          <w:p w14:paraId="3D2F1DC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69" w:type="pct"/>
            <w:shd w:val="clear" w:color="auto" w:fill="auto"/>
            <w:vAlign w:val="center"/>
          </w:tcPr>
          <w:p w14:paraId="5396666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70" w:type="pct"/>
            <w:shd w:val="clear" w:color="auto" w:fill="auto"/>
            <w:vAlign w:val="center"/>
          </w:tcPr>
          <w:p w14:paraId="4BE495E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1B588AA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2ECAFAB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3BFFEE4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646415E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43518B58" w14:textId="77777777" w:rsidTr="00871D47">
        <w:trPr>
          <w:trHeight w:val="176"/>
          <w:jc w:val="center"/>
        </w:trPr>
        <w:tc>
          <w:tcPr>
            <w:tcW w:w="566" w:type="pct"/>
            <w:shd w:val="clear" w:color="auto" w:fill="auto"/>
            <w:vAlign w:val="center"/>
          </w:tcPr>
          <w:p w14:paraId="00F27E9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2000</w:t>
            </w:r>
          </w:p>
        </w:tc>
        <w:tc>
          <w:tcPr>
            <w:tcW w:w="369" w:type="pct"/>
            <w:shd w:val="clear" w:color="auto" w:fill="auto"/>
            <w:vAlign w:val="center"/>
          </w:tcPr>
          <w:p w14:paraId="71EF85E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170</w:t>
            </w:r>
          </w:p>
        </w:tc>
        <w:tc>
          <w:tcPr>
            <w:tcW w:w="369" w:type="pct"/>
            <w:shd w:val="clear" w:color="auto" w:fill="auto"/>
            <w:vAlign w:val="center"/>
          </w:tcPr>
          <w:p w14:paraId="0CF1C6D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130</w:t>
            </w:r>
          </w:p>
        </w:tc>
        <w:tc>
          <w:tcPr>
            <w:tcW w:w="369" w:type="pct"/>
            <w:shd w:val="clear" w:color="auto" w:fill="auto"/>
            <w:vAlign w:val="center"/>
          </w:tcPr>
          <w:p w14:paraId="3266012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120</w:t>
            </w:r>
          </w:p>
        </w:tc>
        <w:tc>
          <w:tcPr>
            <w:tcW w:w="369" w:type="pct"/>
            <w:shd w:val="clear" w:color="auto" w:fill="auto"/>
            <w:vAlign w:val="center"/>
          </w:tcPr>
          <w:p w14:paraId="0E46B68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90</w:t>
            </w:r>
          </w:p>
        </w:tc>
        <w:tc>
          <w:tcPr>
            <w:tcW w:w="369" w:type="pct"/>
            <w:shd w:val="clear" w:color="auto" w:fill="auto"/>
            <w:vAlign w:val="center"/>
          </w:tcPr>
          <w:p w14:paraId="49D4CA2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w:t>
            </w:r>
          </w:p>
        </w:tc>
        <w:tc>
          <w:tcPr>
            <w:tcW w:w="370" w:type="pct"/>
            <w:shd w:val="clear" w:color="auto" w:fill="auto"/>
            <w:vAlign w:val="center"/>
          </w:tcPr>
          <w:p w14:paraId="035B4E9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55</w:t>
            </w:r>
          </w:p>
        </w:tc>
        <w:tc>
          <w:tcPr>
            <w:tcW w:w="369" w:type="pct"/>
            <w:shd w:val="clear" w:color="auto" w:fill="auto"/>
            <w:vAlign w:val="center"/>
          </w:tcPr>
          <w:p w14:paraId="60E2172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70" w:type="pct"/>
            <w:shd w:val="clear" w:color="auto" w:fill="auto"/>
            <w:vAlign w:val="center"/>
          </w:tcPr>
          <w:p w14:paraId="5C9FCE8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79C3A95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6244A90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7F15486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6E86C57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23625E61" w14:textId="77777777" w:rsidTr="00871D47">
        <w:trPr>
          <w:trHeight w:val="176"/>
          <w:jc w:val="center"/>
        </w:trPr>
        <w:tc>
          <w:tcPr>
            <w:tcW w:w="566" w:type="pct"/>
            <w:shd w:val="clear" w:color="auto" w:fill="auto"/>
            <w:vAlign w:val="center"/>
          </w:tcPr>
          <w:p w14:paraId="2A5B7C3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1900</w:t>
            </w:r>
          </w:p>
        </w:tc>
        <w:tc>
          <w:tcPr>
            <w:tcW w:w="369" w:type="pct"/>
            <w:shd w:val="clear" w:color="auto" w:fill="auto"/>
            <w:vAlign w:val="center"/>
          </w:tcPr>
          <w:p w14:paraId="12B9549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180</w:t>
            </w:r>
          </w:p>
        </w:tc>
        <w:tc>
          <w:tcPr>
            <w:tcW w:w="369" w:type="pct"/>
            <w:shd w:val="clear" w:color="auto" w:fill="auto"/>
            <w:vAlign w:val="center"/>
          </w:tcPr>
          <w:p w14:paraId="6AEF4CC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135</w:t>
            </w:r>
          </w:p>
        </w:tc>
        <w:tc>
          <w:tcPr>
            <w:tcW w:w="369" w:type="pct"/>
            <w:shd w:val="clear" w:color="auto" w:fill="auto"/>
            <w:vAlign w:val="center"/>
          </w:tcPr>
          <w:p w14:paraId="7960FD9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125</w:t>
            </w:r>
          </w:p>
        </w:tc>
        <w:tc>
          <w:tcPr>
            <w:tcW w:w="369" w:type="pct"/>
            <w:shd w:val="clear" w:color="auto" w:fill="auto"/>
            <w:vAlign w:val="center"/>
          </w:tcPr>
          <w:p w14:paraId="18ECF2B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95</w:t>
            </w:r>
          </w:p>
        </w:tc>
        <w:tc>
          <w:tcPr>
            <w:tcW w:w="369" w:type="pct"/>
            <w:shd w:val="clear" w:color="auto" w:fill="auto"/>
            <w:vAlign w:val="center"/>
          </w:tcPr>
          <w:p w14:paraId="5527B86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w:t>
            </w:r>
          </w:p>
        </w:tc>
        <w:tc>
          <w:tcPr>
            <w:tcW w:w="370" w:type="pct"/>
            <w:shd w:val="clear" w:color="auto" w:fill="auto"/>
            <w:vAlign w:val="center"/>
          </w:tcPr>
          <w:p w14:paraId="6FDB5A6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55</w:t>
            </w:r>
          </w:p>
        </w:tc>
        <w:tc>
          <w:tcPr>
            <w:tcW w:w="369" w:type="pct"/>
            <w:shd w:val="clear" w:color="auto" w:fill="auto"/>
            <w:vAlign w:val="center"/>
          </w:tcPr>
          <w:p w14:paraId="4D27363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70" w:type="pct"/>
            <w:shd w:val="clear" w:color="auto" w:fill="auto"/>
            <w:vAlign w:val="center"/>
          </w:tcPr>
          <w:p w14:paraId="7456F8D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4795911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4FED288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5837B95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6CCD848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56F47A90" w14:textId="77777777" w:rsidTr="00871D47">
        <w:trPr>
          <w:trHeight w:val="176"/>
          <w:jc w:val="center"/>
        </w:trPr>
        <w:tc>
          <w:tcPr>
            <w:tcW w:w="566" w:type="pct"/>
            <w:shd w:val="clear" w:color="auto" w:fill="auto"/>
            <w:vAlign w:val="center"/>
          </w:tcPr>
          <w:p w14:paraId="0FCB643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1800</w:t>
            </w:r>
          </w:p>
        </w:tc>
        <w:tc>
          <w:tcPr>
            <w:tcW w:w="369" w:type="pct"/>
            <w:shd w:val="clear" w:color="auto" w:fill="auto"/>
            <w:vAlign w:val="center"/>
          </w:tcPr>
          <w:p w14:paraId="08D0559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185</w:t>
            </w:r>
          </w:p>
        </w:tc>
        <w:tc>
          <w:tcPr>
            <w:tcW w:w="369" w:type="pct"/>
            <w:shd w:val="clear" w:color="auto" w:fill="auto"/>
            <w:vAlign w:val="center"/>
          </w:tcPr>
          <w:p w14:paraId="3B6F6F5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140</w:t>
            </w:r>
          </w:p>
        </w:tc>
        <w:tc>
          <w:tcPr>
            <w:tcW w:w="369" w:type="pct"/>
            <w:shd w:val="clear" w:color="auto" w:fill="auto"/>
            <w:vAlign w:val="center"/>
          </w:tcPr>
          <w:p w14:paraId="3D10653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130</w:t>
            </w:r>
          </w:p>
        </w:tc>
        <w:tc>
          <w:tcPr>
            <w:tcW w:w="369" w:type="pct"/>
            <w:shd w:val="clear" w:color="auto" w:fill="auto"/>
            <w:vAlign w:val="center"/>
          </w:tcPr>
          <w:p w14:paraId="39085A7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w:t>
            </w:r>
          </w:p>
        </w:tc>
        <w:tc>
          <w:tcPr>
            <w:tcW w:w="369" w:type="pct"/>
            <w:shd w:val="clear" w:color="auto" w:fill="auto"/>
            <w:vAlign w:val="center"/>
          </w:tcPr>
          <w:p w14:paraId="1083F68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80</w:t>
            </w:r>
          </w:p>
        </w:tc>
        <w:tc>
          <w:tcPr>
            <w:tcW w:w="370" w:type="pct"/>
            <w:shd w:val="clear" w:color="auto" w:fill="auto"/>
            <w:vAlign w:val="center"/>
          </w:tcPr>
          <w:p w14:paraId="31965F3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369" w:type="pct"/>
            <w:shd w:val="clear" w:color="auto" w:fill="auto"/>
            <w:vAlign w:val="center"/>
          </w:tcPr>
          <w:p w14:paraId="70CF41E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70" w:type="pct"/>
            <w:shd w:val="clear" w:color="auto" w:fill="auto"/>
            <w:vAlign w:val="center"/>
          </w:tcPr>
          <w:p w14:paraId="5A1F357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7A53299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0" w:type="pct"/>
            <w:shd w:val="clear" w:color="auto" w:fill="auto"/>
            <w:vAlign w:val="center"/>
          </w:tcPr>
          <w:p w14:paraId="637050E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66DC012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2126576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64461852" w14:textId="77777777" w:rsidTr="00871D47">
        <w:trPr>
          <w:trHeight w:val="176"/>
          <w:jc w:val="center"/>
        </w:trPr>
        <w:tc>
          <w:tcPr>
            <w:tcW w:w="566" w:type="pct"/>
            <w:shd w:val="clear" w:color="auto" w:fill="auto"/>
            <w:vAlign w:val="center"/>
          </w:tcPr>
          <w:p w14:paraId="7C0EC63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1700</w:t>
            </w:r>
          </w:p>
        </w:tc>
        <w:tc>
          <w:tcPr>
            <w:tcW w:w="369" w:type="pct"/>
            <w:shd w:val="clear" w:color="auto" w:fill="auto"/>
            <w:vAlign w:val="center"/>
          </w:tcPr>
          <w:p w14:paraId="5DD73F5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200</w:t>
            </w:r>
          </w:p>
        </w:tc>
        <w:tc>
          <w:tcPr>
            <w:tcW w:w="369" w:type="pct"/>
            <w:shd w:val="clear" w:color="auto" w:fill="auto"/>
            <w:vAlign w:val="center"/>
          </w:tcPr>
          <w:p w14:paraId="25A6B7B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150</w:t>
            </w:r>
          </w:p>
        </w:tc>
        <w:tc>
          <w:tcPr>
            <w:tcW w:w="369" w:type="pct"/>
            <w:shd w:val="clear" w:color="auto" w:fill="auto"/>
            <w:vAlign w:val="center"/>
          </w:tcPr>
          <w:p w14:paraId="07E2B4A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145</w:t>
            </w:r>
          </w:p>
        </w:tc>
        <w:tc>
          <w:tcPr>
            <w:tcW w:w="369" w:type="pct"/>
            <w:shd w:val="clear" w:color="auto" w:fill="auto"/>
            <w:vAlign w:val="center"/>
          </w:tcPr>
          <w:p w14:paraId="1F396E5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110</w:t>
            </w:r>
          </w:p>
        </w:tc>
        <w:tc>
          <w:tcPr>
            <w:tcW w:w="369" w:type="pct"/>
            <w:shd w:val="clear" w:color="auto" w:fill="auto"/>
            <w:vAlign w:val="center"/>
          </w:tcPr>
          <w:p w14:paraId="7949F8B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w:t>
            </w:r>
          </w:p>
        </w:tc>
        <w:tc>
          <w:tcPr>
            <w:tcW w:w="370" w:type="pct"/>
            <w:shd w:val="clear" w:color="auto" w:fill="auto"/>
            <w:vAlign w:val="center"/>
          </w:tcPr>
          <w:p w14:paraId="25D81FF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w:t>
            </w:r>
          </w:p>
        </w:tc>
        <w:tc>
          <w:tcPr>
            <w:tcW w:w="369" w:type="pct"/>
            <w:shd w:val="clear" w:color="auto" w:fill="auto"/>
            <w:vAlign w:val="center"/>
          </w:tcPr>
          <w:p w14:paraId="6F4DF35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55</w:t>
            </w:r>
          </w:p>
        </w:tc>
        <w:tc>
          <w:tcPr>
            <w:tcW w:w="370" w:type="pct"/>
            <w:shd w:val="clear" w:color="auto" w:fill="auto"/>
            <w:vAlign w:val="center"/>
          </w:tcPr>
          <w:p w14:paraId="1C7DDA9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2338193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70" w:type="pct"/>
            <w:shd w:val="clear" w:color="auto" w:fill="auto"/>
            <w:vAlign w:val="center"/>
          </w:tcPr>
          <w:p w14:paraId="3A2B3F1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281F805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5B8A50A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7AC2CA3F" w14:textId="77777777" w:rsidTr="00871D47">
        <w:trPr>
          <w:trHeight w:val="176"/>
          <w:jc w:val="center"/>
        </w:trPr>
        <w:tc>
          <w:tcPr>
            <w:tcW w:w="566" w:type="pct"/>
            <w:shd w:val="clear" w:color="auto" w:fill="auto"/>
            <w:vAlign w:val="center"/>
          </w:tcPr>
          <w:p w14:paraId="701FFE5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lastRenderedPageBreak/>
              <w:t>1600</w:t>
            </w:r>
          </w:p>
        </w:tc>
        <w:tc>
          <w:tcPr>
            <w:tcW w:w="369" w:type="pct"/>
            <w:shd w:val="clear" w:color="auto" w:fill="auto"/>
            <w:vAlign w:val="center"/>
          </w:tcPr>
          <w:p w14:paraId="166C654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210</w:t>
            </w:r>
          </w:p>
        </w:tc>
        <w:tc>
          <w:tcPr>
            <w:tcW w:w="369" w:type="pct"/>
            <w:shd w:val="clear" w:color="auto" w:fill="auto"/>
            <w:vAlign w:val="center"/>
          </w:tcPr>
          <w:p w14:paraId="57765EB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160</w:t>
            </w:r>
          </w:p>
        </w:tc>
        <w:tc>
          <w:tcPr>
            <w:tcW w:w="369" w:type="pct"/>
            <w:shd w:val="clear" w:color="auto" w:fill="auto"/>
            <w:vAlign w:val="center"/>
          </w:tcPr>
          <w:p w14:paraId="731D3B7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150</w:t>
            </w:r>
          </w:p>
        </w:tc>
        <w:tc>
          <w:tcPr>
            <w:tcW w:w="369" w:type="pct"/>
            <w:shd w:val="clear" w:color="auto" w:fill="auto"/>
            <w:vAlign w:val="center"/>
          </w:tcPr>
          <w:p w14:paraId="438051E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115</w:t>
            </w:r>
          </w:p>
        </w:tc>
        <w:tc>
          <w:tcPr>
            <w:tcW w:w="369" w:type="pct"/>
            <w:shd w:val="clear" w:color="auto" w:fill="auto"/>
            <w:vAlign w:val="center"/>
          </w:tcPr>
          <w:p w14:paraId="2CD1D70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90</w:t>
            </w:r>
          </w:p>
        </w:tc>
        <w:tc>
          <w:tcPr>
            <w:tcW w:w="370" w:type="pct"/>
            <w:shd w:val="clear" w:color="auto" w:fill="auto"/>
            <w:vAlign w:val="center"/>
          </w:tcPr>
          <w:p w14:paraId="093289B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w:t>
            </w:r>
          </w:p>
        </w:tc>
        <w:tc>
          <w:tcPr>
            <w:tcW w:w="369" w:type="pct"/>
            <w:shd w:val="clear" w:color="auto" w:fill="auto"/>
            <w:vAlign w:val="center"/>
          </w:tcPr>
          <w:p w14:paraId="72DA4CC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55</w:t>
            </w:r>
          </w:p>
        </w:tc>
        <w:tc>
          <w:tcPr>
            <w:tcW w:w="370" w:type="pct"/>
            <w:shd w:val="clear" w:color="auto" w:fill="auto"/>
            <w:vAlign w:val="center"/>
          </w:tcPr>
          <w:p w14:paraId="3BC1696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05F67EB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70" w:type="pct"/>
            <w:shd w:val="clear" w:color="auto" w:fill="auto"/>
            <w:vAlign w:val="center"/>
          </w:tcPr>
          <w:p w14:paraId="5C67556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344D32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0265142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546AF621" w14:textId="77777777" w:rsidTr="00871D47">
        <w:trPr>
          <w:trHeight w:val="176"/>
          <w:jc w:val="center"/>
        </w:trPr>
        <w:tc>
          <w:tcPr>
            <w:tcW w:w="566" w:type="pct"/>
            <w:shd w:val="clear" w:color="auto" w:fill="auto"/>
            <w:vAlign w:val="center"/>
          </w:tcPr>
          <w:p w14:paraId="1DD5DEE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1500</w:t>
            </w:r>
          </w:p>
        </w:tc>
        <w:tc>
          <w:tcPr>
            <w:tcW w:w="369" w:type="pct"/>
            <w:shd w:val="clear" w:color="auto" w:fill="auto"/>
            <w:vAlign w:val="center"/>
          </w:tcPr>
          <w:p w14:paraId="30D5E8A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235</w:t>
            </w:r>
          </w:p>
        </w:tc>
        <w:tc>
          <w:tcPr>
            <w:tcW w:w="369" w:type="pct"/>
            <w:shd w:val="clear" w:color="auto" w:fill="auto"/>
            <w:vAlign w:val="center"/>
          </w:tcPr>
          <w:p w14:paraId="194B8EF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170</w:t>
            </w:r>
          </w:p>
        </w:tc>
        <w:tc>
          <w:tcPr>
            <w:tcW w:w="369" w:type="pct"/>
            <w:shd w:val="clear" w:color="auto" w:fill="auto"/>
            <w:vAlign w:val="center"/>
          </w:tcPr>
          <w:p w14:paraId="02B7441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160</w:t>
            </w:r>
          </w:p>
        </w:tc>
        <w:tc>
          <w:tcPr>
            <w:tcW w:w="369" w:type="pct"/>
            <w:shd w:val="clear" w:color="auto" w:fill="auto"/>
            <w:vAlign w:val="center"/>
          </w:tcPr>
          <w:p w14:paraId="4BBCC57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120</w:t>
            </w:r>
          </w:p>
        </w:tc>
        <w:tc>
          <w:tcPr>
            <w:tcW w:w="369" w:type="pct"/>
            <w:shd w:val="clear" w:color="auto" w:fill="auto"/>
            <w:vAlign w:val="center"/>
          </w:tcPr>
          <w:p w14:paraId="23F0DB5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95</w:t>
            </w:r>
          </w:p>
        </w:tc>
        <w:tc>
          <w:tcPr>
            <w:tcW w:w="370" w:type="pct"/>
            <w:shd w:val="clear" w:color="auto" w:fill="auto"/>
            <w:vAlign w:val="center"/>
          </w:tcPr>
          <w:p w14:paraId="6A1ACF4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w:t>
            </w:r>
          </w:p>
        </w:tc>
        <w:tc>
          <w:tcPr>
            <w:tcW w:w="369" w:type="pct"/>
            <w:shd w:val="clear" w:color="auto" w:fill="auto"/>
            <w:vAlign w:val="center"/>
          </w:tcPr>
          <w:p w14:paraId="218DAAC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370" w:type="pct"/>
            <w:shd w:val="clear" w:color="auto" w:fill="auto"/>
            <w:vAlign w:val="center"/>
          </w:tcPr>
          <w:p w14:paraId="52DCAC8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69" w:type="pct"/>
            <w:shd w:val="clear" w:color="auto" w:fill="auto"/>
            <w:vAlign w:val="center"/>
          </w:tcPr>
          <w:p w14:paraId="76D32E3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70" w:type="pct"/>
            <w:shd w:val="clear" w:color="auto" w:fill="auto"/>
            <w:vAlign w:val="center"/>
          </w:tcPr>
          <w:p w14:paraId="1EA04A1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0647666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7C2FE4D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788F996B" w14:textId="77777777" w:rsidTr="00871D47">
        <w:trPr>
          <w:trHeight w:val="176"/>
          <w:jc w:val="center"/>
        </w:trPr>
        <w:tc>
          <w:tcPr>
            <w:tcW w:w="566" w:type="pct"/>
            <w:shd w:val="clear" w:color="auto" w:fill="auto"/>
            <w:vAlign w:val="center"/>
          </w:tcPr>
          <w:p w14:paraId="26712AB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1400</w:t>
            </w:r>
          </w:p>
        </w:tc>
        <w:tc>
          <w:tcPr>
            <w:tcW w:w="369" w:type="pct"/>
            <w:shd w:val="clear" w:color="auto" w:fill="auto"/>
            <w:vAlign w:val="center"/>
          </w:tcPr>
          <w:p w14:paraId="5E80FA2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235</w:t>
            </w:r>
          </w:p>
        </w:tc>
        <w:tc>
          <w:tcPr>
            <w:tcW w:w="369" w:type="pct"/>
            <w:shd w:val="clear" w:color="auto" w:fill="auto"/>
            <w:vAlign w:val="center"/>
          </w:tcPr>
          <w:p w14:paraId="1508DF0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170</w:t>
            </w:r>
          </w:p>
        </w:tc>
        <w:tc>
          <w:tcPr>
            <w:tcW w:w="369" w:type="pct"/>
            <w:shd w:val="clear" w:color="auto" w:fill="auto"/>
            <w:vAlign w:val="center"/>
          </w:tcPr>
          <w:p w14:paraId="10606F2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170</w:t>
            </w:r>
          </w:p>
        </w:tc>
        <w:tc>
          <w:tcPr>
            <w:tcW w:w="369" w:type="pct"/>
            <w:shd w:val="clear" w:color="auto" w:fill="auto"/>
            <w:vAlign w:val="center"/>
          </w:tcPr>
          <w:p w14:paraId="5E95D93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130</w:t>
            </w:r>
          </w:p>
        </w:tc>
        <w:tc>
          <w:tcPr>
            <w:tcW w:w="369" w:type="pct"/>
            <w:shd w:val="clear" w:color="auto" w:fill="auto"/>
            <w:vAlign w:val="center"/>
          </w:tcPr>
          <w:p w14:paraId="35BA812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110</w:t>
            </w:r>
          </w:p>
        </w:tc>
        <w:tc>
          <w:tcPr>
            <w:tcW w:w="370" w:type="pct"/>
            <w:shd w:val="clear" w:color="auto" w:fill="auto"/>
            <w:vAlign w:val="center"/>
          </w:tcPr>
          <w:p w14:paraId="4EF95FC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80</w:t>
            </w:r>
          </w:p>
        </w:tc>
        <w:tc>
          <w:tcPr>
            <w:tcW w:w="369" w:type="pct"/>
            <w:shd w:val="clear" w:color="auto" w:fill="auto"/>
            <w:vAlign w:val="center"/>
          </w:tcPr>
          <w:p w14:paraId="4FDD22E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370" w:type="pct"/>
            <w:shd w:val="clear" w:color="auto" w:fill="auto"/>
            <w:vAlign w:val="center"/>
          </w:tcPr>
          <w:p w14:paraId="718FB85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69" w:type="pct"/>
            <w:shd w:val="clear" w:color="auto" w:fill="auto"/>
            <w:vAlign w:val="center"/>
          </w:tcPr>
          <w:p w14:paraId="319F36E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70" w:type="pct"/>
            <w:shd w:val="clear" w:color="auto" w:fill="auto"/>
            <w:vAlign w:val="center"/>
          </w:tcPr>
          <w:p w14:paraId="4409DB0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69" w:type="pct"/>
            <w:shd w:val="clear" w:color="auto" w:fill="auto"/>
            <w:vAlign w:val="center"/>
          </w:tcPr>
          <w:p w14:paraId="4923EA8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01E991E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3A3C9963" w14:textId="77777777" w:rsidTr="00871D47">
        <w:trPr>
          <w:trHeight w:val="176"/>
          <w:jc w:val="center"/>
        </w:trPr>
        <w:tc>
          <w:tcPr>
            <w:tcW w:w="566" w:type="pct"/>
            <w:shd w:val="clear" w:color="auto" w:fill="auto"/>
            <w:vAlign w:val="center"/>
          </w:tcPr>
          <w:p w14:paraId="37FD8EC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1300</w:t>
            </w:r>
          </w:p>
        </w:tc>
        <w:tc>
          <w:tcPr>
            <w:tcW w:w="369" w:type="pct"/>
            <w:shd w:val="clear" w:color="auto" w:fill="auto"/>
            <w:vAlign w:val="center"/>
          </w:tcPr>
          <w:p w14:paraId="155BC1F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235</w:t>
            </w:r>
          </w:p>
        </w:tc>
        <w:tc>
          <w:tcPr>
            <w:tcW w:w="369" w:type="pct"/>
            <w:shd w:val="clear" w:color="auto" w:fill="auto"/>
            <w:vAlign w:val="center"/>
          </w:tcPr>
          <w:p w14:paraId="7C2CC76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170</w:t>
            </w:r>
          </w:p>
        </w:tc>
        <w:tc>
          <w:tcPr>
            <w:tcW w:w="369" w:type="pct"/>
            <w:shd w:val="clear" w:color="auto" w:fill="auto"/>
            <w:vAlign w:val="center"/>
          </w:tcPr>
          <w:p w14:paraId="5CEA3D0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185</w:t>
            </w:r>
          </w:p>
        </w:tc>
        <w:tc>
          <w:tcPr>
            <w:tcW w:w="369" w:type="pct"/>
            <w:shd w:val="clear" w:color="auto" w:fill="auto"/>
            <w:vAlign w:val="center"/>
          </w:tcPr>
          <w:p w14:paraId="2134904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140</w:t>
            </w:r>
          </w:p>
        </w:tc>
        <w:tc>
          <w:tcPr>
            <w:tcW w:w="369" w:type="pct"/>
            <w:shd w:val="clear" w:color="auto" w:fill="auto"/>
            <w:vAlign w:val="center"/>
          </w:tcPr>
          <w:p w14:paraId="788F15D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120</w:t>
            </w:r>
          </w:p>
        </w:tc>
        <w:tc>
          <w:tcPr>
            <w:tcW w:w="370" w:type="pct"/>
            <w:shd w:val="clear" w:color="auto" w:fill="auto"/>
            <w:vAlign w:val="center"/>
          </w:tcPr>
          <w:p w14:paraId="24456EC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90</w:t>
            </w:r>
          </w:p>
        </w:tc>
        <w:tc>
          <w:tcPr>
            <w:tcW w:w="369" w:type="pct"/>
            <w:shd w:val="clear" w:color="auto" w:fill="auto"/>
            <w:vAlign w:val="center"/>
          </w:tcPr>
          <w:p w14:paraId="16B6F55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w:t>
            </w:r>
          </w:p>
        </w:tc>
        <w:tc>
          <w:tcPr>
            <w:tcW w:w="370" w:type="pct"/>
            <w:shd w:val="clear" w:color="auto" w:fill="auto"/>
            <w:vAlign w:val="center"/>
          </w:tcPr>
          <w:p w14:paraId="03EF2E4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69" w:type="pct"/>
            <w:shd w:val="clear" w:color="auto" w:fill="auto"/>
            <w:vAlign w:val="center"/>
          </w:tcPr>
          <w:p w14:paraId="09CE1BB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70" w:type="pct"/>
            <w:shd w:val="clear" w:color="auto" w:fill="auto"/>
            <w:vAlign w:val="center"/>
          </w:tcPr>
          <w:p w14:paraId="430982A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5EE7598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6C63583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6E1BE15F" w14:textId="77777777" w:rsidTr="00871D47">
        <w:trPr>
          <w:trHeight w:val="176"/>
          <w:jc w:val="center"/>
        </w:trPr>
        <w:tc>
          <w:tcPr>
            <w:tcW w:w="566" w:type="pct"/>
            <w:shd w:val="clear" w:color="auto" w:fill="auto"/>
            <w:vAlign w:val="center"/>
          </w:tcPr>
          <w:p w14:paraId="41D54F9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1200</w:t>
            </w:r>
          </w:p>
        </w:tc>
        <w:tc>
          <w:tcPr>
            <w:tcW w:w="369" w:type="pct"/>
            <w:shd w:val="clear" w:color="auto" w:fill="auto"/>
            <w:vAlign w:val="center"/>
          </w:tcPr>
          <w:p w14:paraId="2F5B51E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D6138D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75CFA0D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200</w:t>
            </w:r>
          </w:p>
        </w:tc>
        <w:tc>
          <w:tcPr>
            <w:tcW w:w="369" w:type="pct"/>
            <w:shd w:val="clear" w:color="auto" w:fill="auto"/>
            <w:vAlign w:val="center"/>
          </w:tcPr>
          <w:p w14:paraId="3959820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150</w:t>
            </w:r>
          </w:p>
        </w:tc>
        <w:tc>
          <w:tcPr>
            <w:tcW w:w="369" w:type="pct"/>
            <w:shd w:val="clear" w:color="auto" w:fill="auto"/>
            <w:vAlign w:val="center"/>
          </w:tcPr>
          <w:p w14:paraId="39DD925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130</w:t>
            </w:r>
          </w:p>
        </w:tc>
        <w:tc>
          <w:tcPr>
            <w:tcW w:w="370" w:type="pct"/>
            <w:shd w:val="clear" w:color="auto" w:fill="auto"/>
            <w:vAlign w:val="center"/>
          </w:tcPr>
          <w:p w14:paraId="0443167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w:t>
            </w:r>
          </w:p>
        </w:tc>
        <w:tc>
          <w:tcPr>
            <w:tcW w:w="369" w:type="pct"/>
            <w:shd w:val="clear" w:color="auto" w:fill="auto"/>
            <w:vAlign w:val="center"/>
          </w:tcPr>
          <w:p w14:paraId="1CC2132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w:t>
            </w:r>
          </w:p>
        </w:tc>
        <w:tc>
          <w:tcPr>
            <w:tcW w:w="370" w:type="pct"/>
            <w:shd w:val="clear" w:color="auto" w:fill="auto"/>
            <w:vAlign w:val="center"/>
          </w:tcPr>
          <w:p w14:paraId="5C646D1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55</w:t>
            </w:r>
          </w:p>
        </w:tc>
        <w:tc>
          <w:tcPr>
            <w:tcW w:w="369" w:type="pct"/>
            <w:shd w:val="clear" w:color="auto" w:fill="auto"/>
            <w:vAlign w:val="center"/>
          </w:tcPr>
          <w:p w14:paraId="13B9191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70" w:type="pct"/>
            <w:shd w:val="clear" w:color="auto" w:fill="auto"/>
            <w:vAlign w:val="center"/>
          </w:tcPr>
          <w:p w14:paraId="3F04611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69" w:type="pct"/>
            <w:shd w:val="clear" w:color="auto" w:fill="auto"/>
            <w:vAlign w:val="center"/>
          </w:tcPr>
          <w:p w14:paraId="260EACF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1C0E5D3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001517CE" w14:textId="77777777" w:rsidTr="00871D47">
        <w:trPr>
          <w:trHeight w:val="176"/>
          <w:jc w:val="center"/>
        </w:trPr>
        <w:tc>
          <w:tcPr>
            <w:tcW w:w="566" w:type="pct"/>
            <w:shd w:val="clear" w:color="auto" w:fill="auto"/>
            <w:vAlign w:val="center"/>
          </w:tcPr>
          <w:p w14:paraId="3EA1EF2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1100</w:t>
            </w:r>
          </w:p>
        </w:tc>
        <w:tc>
          <w:tcPr>
            <w:tcW w:w="369" w:type="pct"/>
            <w:shd w:val="clear" w:color="auto" w:fill="auto"/>
            <w:vAlign w:val="center"/>
          </w:tcPr>
          <w:p w14:paraId="6560658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3E2425B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0BC7BB5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200</w:t>
            </w:r>
          </w:p>
        </w:tc>
        <w:tc>
          <w:tcPr>
            <w:tcW w:w="369" w:type="pct"/>
            <w:shd w:val="clear" w:color="auto" w:fill="auto"/>
            <w:vAlign w:val="center"/>
          </w:tcPr>
          <w:p w14:paraId="086BCF7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150</w:t>
            </w:r>
          </w:p>
        </w:tc>
        <w:tc>
          <w:tcPr>
            <w:tcW w:w="369" w:type="pct"/>
            <w:shd w:val="clear" w:color="auto" w:fill="auto"/>
            <w:vAlign w:val="center"/>
          </w:tcPr>
          <w:p w14:paraId="2B035C5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140</w:t>
            </w:r>
          </w:p>
        </w:tc>
        <w:tc>
          <w:tcPr>
            <w:tcW w:w="370" w:type="pct"/>
            <w:shd w:val="clear" w:color="auto" w:fill="auto"/>
            <w:vAlign w:val="center"/>
          </w:tcPr>
          <w:p w14:paraId="3AFACB2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105</w:t>
            </w:r>
          </w:p>
        </w:tc>
        <w:tc>
          <w:tcPr>
            <w:tcW w:w="369" w:type="pct"/>
            <w:shd w:val="clear" w:color="auto" w:fill="auto"/>
            <w:vAlign w:val="center"/>
          </w:tcPr>
          <w:p w14:paraId="4250649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80</w:t>
            </w:r>
          </w:p>
        </w:tc>
        <w:tc>
          <w:tcPr>
            <w:tcW w:w="370" w:type="pct"/>
            <w:shd w:val="clear" w:color="auto" w:fill="auto"/>
            <w:vAlign w:val="center"/>
          </w:tcPr>
          <w:p w14:paraId="212F00D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369" w:type="pct"/>
            <w:shd w:val="clear" w:color="auto" w:fill="auto"/>
            <w:vAlign w:val="center"/>
          </w:tcPr>
          <w:p w14:paraId="2341179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70" w:type="pct"/>
            <w:shd w:val="clear" w:color="auto" w:fill="auto"/>
            <w:vAlign w:val="center"/>
          </w:tcPr>
          <w:p w14:paraId="1332FEF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369" w:type="pct"/>
            <w:shd w:val="clear" w:color="auto" w:fill="auto"/>
            <w:vAlign w:val="center"/>
          </w:tcPr>
          <w:p w14:paraId="266CB81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33DEA96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372886ED" w14:textId="77777777" w:rsidTr="00871D47">
        <w:trPr>
          <w:trHeight w:val="176"/>
          <w:jc w:val="center"/>
        </w:trPr>
        <w:tc>
          <w:tcPr>
            <w:tcW w:w="566" w:type="pct"/>
            <w:shd w:val="clear" w:color="auto" w:fill="auto"/>
            <w:vAlign w:val="center"/>
          </w:tcPr>
          <w:p w14:paraId="443EEF5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1000</w:t>
            </w:r>
          </w:p>
        </w:tc>
        <w:tc>
          <w:tcPr>
            <w:tcW w:w="369" w:type="pct"/>
            <w:shd w:val="clear" w:color="auto" w:fill="auto"/>
            <w:vAlign w:val="center"/>
          </w:tcPr>
          <w:p w14:paraId="3D70843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208E296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08D5FC1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200</w:t>
            </w:r>
          </w:p>
        </w:tc>
        <w:tc>
          <w:tcPr>
            <w:tcW w:w="369" w:type="pct"/>
            <w:shd w:val="clear" w:color="auto" w:fill="auto"/>
            <w:vAlign w:val="center"/>
          </w:tcPr>
          <w:p w14:paraId="14353C1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150</w:t>
            </w:r>
          </w:p>
        </w:tc>
        <w:tc>
          <w:tcPr>
            <w:tcW w:w="369" w:type="pct"/>
            <w:shd w:val="clear" w:color="auto" w:fill="auto"/>
            <w:vAlign w:val="center"/>
          </w:tcPr>
          <w:p w14:paraId="594E7B7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160</w:t>
            </w:r>
          </w:p>
        </w:tc>
        <w:tc>
          <w:tcPr>
            <w:tcW w:w="370" w:type="pct"/>
            <w:shd w:val="clear" w:color="auto" w:fill="auto"/>
            <w:vAlign w:val="center"/>
          </w:tcPr>
          <w:p w14:paraId="32E2966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120</w:t>
            </w:r>
          </w:p>
        </w:tc>
        <w:tc>
          <w:tcPr>
            <w:tcW w:w="369" w:type="pct"/>
            <w:shd w:val="clear" w:color="auto" w:fill="auto"/>
            <w:vAlign w:val="center"/>
          </w:tcPr>
          <w:p w14:paraId="39B022D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w:t>
            </w:r>
          </w:p>
        </w:tc>
        <w:tc>
          <w:tcPr>
            <w:tcW w:w="370" w:type="pct"/>
            <w:shd w:val="clear" w:color="auto" w:fill="auto"/>
            <w:vAlign w:val="center"/>
          </w:tcPr>
          <w:p w14:paraId="35365C6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w:t>
            </w:r>
          </w:p>
        </w:tc>
        <w:tc>
          <w:tcPr>
            <w:tcW w:w="369" w:type="pct"/>
            <w:shd w:val="clear" w:color="auto" w:fill="auto"/>
            <w:vAlign w:val="center"/>
          </w:tcPr>
          <w:p w14:paraId="0183359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70" w:type="pct"/>
            <w:shd w:val="clear" w:color="auto" w:fill="auto"/>
            <w:vAlign w:val="center"/>
          </w:tcPr>
          <w:p w14:paraId="21AB530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69" w:type="pct"/>
            <w:shd w:val="clear" w:color="auto" w:fill="auto"/>
            <w:vAlign w:val="center"/>
          </w:tcPr>
          <w:p w14:paraId="449CC20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4CCB87E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007DDC3B" w14:textId="77777777" w:rsidTr="00871D47">
        <w:trPr>
          <w:trHeight w:val="176"/>
          <w:jc w:val="center"/>
        </w:trPr>
        <w:tc>
          <w:tcPr>
            <w:tcW w:w="566" w:type="pct"/>
            <w:shd w:val="clear" w:color="auto" w:fill="auto"/>
            <w:vAlign w:val="center"/>
          </w:tcPr>
          <w:p w14:paraId="28CCF0D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900</w:t>
            </w:r>
          </w:p>
        </w:tc>
        <w:tc>
          <w:tcPr>
            <w:tcW w:w="369" w:type="pct"/>
            <w:shd w:val="clear" w:color="auto" w:fill="auto"/>
            <w:vAlign w:val="center"/>
          </w:tcPr>
          <w:p w14:paraId="593F36A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69215FE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40688DE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0618121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6479A60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170</w:t>
            </w:r>
          </w:p>
        </w:tc>
        <w:tc>
          <w:tcPr>
            <w:tcW w:w="370" w:type="pct"/>
            <w:shd w:val="clear" w:color="auto" w:fill="auto"/>
            <w:vAlign w:val="center"/>
          </w:tcPr>
          <w:p w14:paraId="29E47AC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125</w:t>
            </w:r>
          </w:p>
        </w:tc>
        <w:tc>
          <w:tcPr>
            <w:tcW w:w="369" w:type="pct"/>
            <w:shd w:val="clear" w:color="auto" w:fill="auto"/>
            <w:vAlign w:val="center"/>
          </w:tcPr>
          <w:p w14:paraId="3D46B1E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w:t>
            </w:r>
          </w:p>
        </w:tc>
        <w:tc>
          <w:tcPr>
            <w:tcW w:w="370" w:type="pct"/>
            <w:shd w:val="clear" w:color="auto" w:fill="auto"/>
            <w:vAlign w:val="center"/>
          </w:tcPr>
          <w:p w14:paraId="5C24D38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w:t>
            </w:r>
          </w:p>
        </w:tc>
        <w:tc>
          <w:tcPr>
            <w:tcW w:w="369" w:type="pct"/>
            <w:shd w:val="clear" w:color="auto" w:fill="auto"/>
            <w:vAlign w:val="center"/>
          </w:tcPr>
          <w:p w14:paraId="0BD484C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70" w:type="pct"/>
            <w:shd w:val="clear" w:color="auto" w:fill="auto"/>
            <w:vAlign w:val="center"/>
          </w:tcPr>
          <w:p w14:paraId="72F6240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69" w:type="pct"/>
            <w:shd w:val="clear" w:color="auto" w:fill="auto"/>
            <w:vAlign w:val="center"/>
          </w:tcPr>
          <w:p w14:paraId="67D1E02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372" w:type="pct"/>
            <w:shd w:val="clear" w:color="auto" w:fill="auto"/>
            <w:vAlign w:val="center"/>
          </w:tcPr>
          <w:p w14:paraId="799266C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13524197" w14:textId="77777777" w:rsidTr="00871D47">
        <w:trPr>
          <w:trHeight w:val="176"/>
          <w:jc w:val="center"/>
        </w:trPr>
        <w:tc>
          <w:tcPr>
            <w:tcW w:w="566" w:type="pct"/>
            <w:shd w:val="clear" w:color="auto" w:fill="auto"/>
            <w:vAlign w:val="center"/>
          </w:tcPr>
          <w:p w14:paraId="7776615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850</w:t>
            </w:r>
          </w:p>
        </w:tc>
        <w:tc>
          <w:tcPr>
            <w:tcW w:w="369" w:type="pct"/>
            <w:shd w:val="clear" w:color="auto" w:fill="auto"/>
            <w:vAlign w:val="center"/>
          </w:tcPr>
          <w:p w14:paraId="1380BF9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4D41D9D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724F07D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CEC8AC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799620F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170</w:t>
            </w:r>
          </w:p>
        </w:tc>
        <w:tc>
          <w:tcPr>
            <w:tcW w:w="370" w:type="pct"/>
            <w:shd w:val="clear" w:color="auto" w:fill="auto"/>
            <w:vAlign w:val="center"/>
          </w:tcPr>
          <w:p w14:paraId="0F7B373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125</w:t>
            </w:r>
          </w:p>
        </w:tc>
        <w:tc>
          <w:tcPr>
            <w:tcW w:w="369" w:type="pct"/>
            <w:shd w:val="clear" w:color="auto" w:fill="auto"/>
            <w:vAlign w:val="center"/>
          </w:tcPr>
          <w:p w14:paraId="0501F52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115</w:t>
            </w:r>
          </w:p>
        </w:tc>
        <w:tc>
          <w:tcPr>
            <w:tcW w:w="370" w:type="pct"/>
            <w:shd w:val="clear" w:color="auto" w:fill="auto"/>
            <w:vAlign w:val="center"/>
          </w:tcPr>
          <w:p w14:paraId="3726872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w:t>
            </w:r>
          </w:p>
        </w:tc>
        <w:tc>
          <w:tcPr>
            <w:tcW w:w="369" w:type="pct"/>
            <w:shd w:val="clear" w:color="auto" w:fill="auto"/>
            <w:vAlign w:val="center"/>
          </w:tcPr>
          <w:p w14:paraId="5C1C910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w:t>
            </w:r>
          </w:p>
        </w:tc>
        <w:tc>
          <w:tcPr>
            <w:tcW w:w="370" w:type="pct"/>
            <w:shd w:val="clear" w:color="auto" w:fill="auto"/>
            <w:vAlign w:val="center"/>
          </w:tcPr>
          <w:p w14:paraId="4EF5996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45</w:t>
            </w:r>
          </w:p>
        </w:tc>
        <w:tc>
          <w:tcPr>
            <w:tcW w:w="369" w:type="pct"/>
            <w:shd w:val="clear" w:color="auto" w:fill="auto"/>
            <w:vAlign w:val="center"/>
          </w:tcPr>
          <w:p w14:paraId="3F0B040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72" w:type="pct"/>
            <w:shd w:val="clear" w:color="auto" w:fill="auto"/>
            <w:vAlign w:val="center"/>
          </w:tcPr>
          <w:p w14:paraId="24A61A7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74A828D9" w14:textId="77777777" w:rsidTr="00871D47">
        <w:trPr>
          <w:trHeight w:val="176"/>
          <w:jc w:val="center"/>
        </w:trPr>
        <w:tc>
          <w:tcPr>
            <w:tcW w:w="566" w:type="pct"/>
            <w:shd w:val="clear" w:color="auto" w:fill="auto"/>
            <w:vAlign w:val="center"/>
          </w:tcPr>
          <w:p w14:paraId="55AB091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750</w:t>
            </w:r>
          </w:p>
        </w:tc>
        <w:tc>
          <w:tcPr>
            <w:tcW w:w="369" w:type="pct"/>
            <w:shd w:val="clear" w:color="auto" w:fill="auto"/>
            <w:vAlign w:val="center"/>
          </w:tcPr>
          <w:p w14:paraId="1D88528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11D3E8F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099CAA8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A47381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793EA60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170</w:t>
            </w:r>
          </w:p>
        </w:tc>
        <w:tc>
          <w:tcPr>
            <w:tcW w:w="370" w:type="pct"/>
            <w:shd w:val="clear" w:color="auto" w:fill="auto"/>
            <w:vAlign w:val="center"/>
          </w:tcPr>
          <w:p w14:paraId="73749A8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125</w:t>
            </w:r>
          </w:p>
        </w:tc>
        <w:tc>
          <w:tcPr>
            <w:tcW w:w="369" w:type="pct"/>
            <w:shd w:val="clear" w:color="auto" w:fill="auto"/>
            <w:vAlign w:val="center"/>
          </w:tcPr>
          <w:p w14:paraId="5B58552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120</w:t>
            </w:r>
          </w:p>
        </w:tc>
        <w:tc>
          <w:tcPr>
            <w:tcW w:w="370" w:type="pct"/>
            <w:shd w:val="clear" w:color="auto" w:fill="auto"/>
            <w:vAlign w:val="center"/>
          </w:tcPr>
          <w:p w14:paraId="66C7909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9</w:t>
            </w:r>
            <w:r w:rsidRPr="00765F6E">
              <w:rPr>
                <w:rFonts w:ascii="宋体" w:hAnsi="宋体" w:cs="宋体"/>
                <w:kern w:val="0"/>
                <w:sz w:val="18"/>
                <w:szCs w:val="18"/>
              </w:rPr>
              <w:t>0</w:t>
            </w:r>
          </w:p>
        </w:tc>
        <w:tc>
          <w:tcPr>
            <w:tcW w:w="369" w:type="pct"/>
            <w:shd w:val="clear" w:color="auto" w:fill="auto"/>
            <w:vAlign w:val="center"/>
          </w:tcPr>
          <w:p w14:paraId="1103898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6</w:t>
            </w:r>
            <w:r w:rsidRPr="00765F6E">
              <w:rPr>
                <w:rFonts w:ascii="宋体" w:hAnsi="宋体" w:cs="宋体"/>
                <w:kern w:val="0"/>
                <w:sz w:val="18"/>
                <w:szCs w:val="18"/>
              </w:rPr>
              <w:t>0</w:t>
            </w:r>
          </w:p>
        </w:tc>
        <w:tc>
          <w:tcPr>
            <w:tcW w:w="370" w:type="pct"/>
            <w:shd w:val="clear" w:color="auto" w:fill="auto"/>
            <w:vAlign w:val="center"/>
          </w:tcPr>
          <w:p w14:paraId="4FC036F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4</w:t>
            </w:r>
            <w:r w:rsidRPr="00765F6E">
              <w:rPr>
                <w:rFonts w:ascii="宋体" w:hAnsi="宋体" w:cs="宋体"/>
                <w:kern w:val="0"/>
                <w:sz w:val="18"/>
                <w:szCs w:val="18"/>
              </w:rPr>
              <w:t>5</w:t>
            </w:r>
          </w:p>
        </w:tc>
        <w:tc>
          <w:tcPr>
            <w:tcW w:w="369" w:type="pct"/>
            <w:shd w:val="clear" w:color="auto" w:fill="auto"/>
            <w:vAlign w:val="center"/>
          </w:tcPr>
          <w:p w14:paraId="1C08A42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2</w:t>
            </w:r>
            <w:r w:rsidRPr="00765F6E">
              <w:rPr>
                <w:rFonts w:ascii="宋体" w:hAnsi="宋体" w:cs="宋体"/>
                <w:kern w:val="0"/>
                <w:sz w:val="18"/>
                <w:szCs w:val="18"/>
              </w:rPr>
              <w:t>5</w:t>
            </w:r>
          </w:p>
        </w:tc>
        <w:tc>
          <w:tcPr>
            <w:tcW w:w="372" w:type="pct"/>
            <w:shd w:val="clear" w:color="auto" w:fill="auto"/>
            <w:vAlign w:val="center"/>
          </w:tcPr>
          <w:p w14:paraId="128E358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58B64B3F" w14:textId="77777777" w:rsidTr="00871D47">
        <w:trPr>
          <w:trHeight w:val="176"/>
          <w:jc w:val="center"/>
        </w:trPr>
        <w:tc>
          <w:tcPr>
            <w:tcW w:w="566" w:type="pct"/>
            <w:shd w:val="clear" w:color="auto" w:fill="auto"/>
            <w:vAlign w:val="center"/>
          </w:tcPr>
          <w:p w14:paraId="7233FE7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700</w:t>
            </w:r>
          </w:p>
        </w:tc>
        <w:tc>
          <w:tcPr>
            <w:tcW w:w="369" w:type="pct"/>
            <w:shd w:val="clear" w:color="auto" w:fill="auto"/>
            <w:vAlign w:val="center"/>
          </w:tcPr>
          <w:p w14:paraId="4FB73D1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43B00F1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440073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3761168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22AB161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187A1A7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1F54FE2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130</w:t>
            </w:r>
          </w:p>
        </w:tc>
        <w:tc>
          <w:tcPr>
            <w:tcW w:w="370" w:type="pct"/>
            <w:shd w:val="clear" w:color="auto" w:fill="auto"/>
            <w:vAlign w:val="center"/>
          </w:tcPr>
          <w:p w14:paraId="1AA5D76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w:t>
            </w:r>
          </w:p>
        </w:tc>
        <w:tc>
          <w:tcPr>
            <w:tcW w:w="369" w:type="pct"/>
            <w:shd w:val="clear" w:color="auto" w:fill="auto"/>
            <w:vAlign w:val="center"/>
          </w:tcPr>
          <w:p w14:paraId="6744A88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w:t>
            </w:r>
          </w:p>
        </w:tc>
        <w:tc>
          <w:tcPr>
            <w:tcW w:w="370" w:type="pct"/>
            <w:shd w:val="clear" w:color="auto" w:fill="auto"/>
            <w:vAlign w:val="center"/>
          </w:tcPr>
          <w:p w14:paraId="50036D9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c>
          <w:tcPr>
            <w:tcW w:w="369" w:type="pct"/>
            <w:shd w:val="clear" w:color="auto" w:fill="auto"/>
            <w:vAlign w:val="center"/>
          </w:tcPr>
          <w:p w14:paraId="2E90D69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372" w:type="pct"/>
            <w:shd w:val="clear" w:color="auto" w:fill="auto"/>
            <w:vAlign w:val="center"/>
          </w:tcPr>
          <w:p w14:paraId="0584F4F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w:t>
            </w:r>
          </w:p>
        </w:tc>
      </w:tr>
      <w:tr w:rsidR="00737EB2" w:rsidRPr="00765F6E" w14:paraId="5B2D73CD" w14:textId="77777777" w:rsidTr="00871D47">
        <w:trPr>
          <w:trHeight w:val="176"/>
          <w:jc w:val="center"/>
        </w:trPr>
        <w:tc>
          <w:tcPr>
            <w:tcW w:w="566" w:type="pct"/>
            <w:shd w:val="clear" w:color="auto" w:fill="auto"/>
            <w:vAlign w:val="center"/>
          </w:tcPr>
          <w:p w14:paraId="64718D7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600</w:t>
            </w:r>
          </w:p>
        </w:tc>
        <w:tc>
          <w:tcPr>
            <w:tcW w:w="369" w:type="pct"/>
            <w:shd w:val="clear" w:color="auto" w:fill="auto"/>
            <w:vAlign w:val="center"/>
          </w:tcPr>
          <w:p w14:paraId="734D2FC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732EB07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6133E67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1F1C85F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244B694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7C12DD3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7ABDCD6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140</w:t>
            </w:r>
          </w:p>
        </w:tc>
        <w:tc>
          <w:tcPr>
            <w:tcW w:w="370" w:type="pct"/>
            <w:shd w:val="clear" w:color="auto" w:fill="auto"/>
            <w:vAlign w:val="center"/>
          </w:tcPr>
          <w:p w14:paraId="5E7D4E9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105</w:t>
            </w:r>
          </w:p>
        </w:tc>
        <w:tc>
          <w:tcPr>
            <w:tcW w:w="369" w:type="pct"/>
            <w:shd w:val="clear" w:color="auto" w:fill="auto"/>
            <w:vAlign w:val="center"/>
          </w:tcPr>
          <w:p w14:paraId="083BF76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w:t>
            </w:r>
          </w:p>
        </w:tc>
        <w:tc>
          <w:tcPr>
            <w:tcW w:w="370" w:type="pct"/>
            <w:shd w:val="clear" w:color="auto" w:fill="auto"/>
            <w:vAlign w:val="center"/>
          </w:tcPr>
          <w:p w14:paraId="7F8F056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w:t>
            </w:r>
          </w:p>
        </w:tc>
        <w:tc>
          <w:tcPr>
            <w:tcW w:w="369" w:type="pct"/>
            <w:shd w:val="clear" w:color="auto" w:fill="auto"/>
            <w:vAlign w:val="center"/>
          </w:tcPr>
          <w:p w14:paraId="2CCE47B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372" w:type="pct"/>
            <w:shd w:val="clear" w:color="auto" w:fill="auto"/>
            <w:vAlign w:val="center"/>
          </w:tcPr>
          <w:p w14:paraId="00A1D32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w:t>
            </w:r>
          </w:p>
        </w:tc>
      </w:tr>
      <w:tr w:rsidR="00737EB2" w:rsidRPr="00765F6E" w14:paraId="238B1937" w14:textId="77777777" w:rsidTr="00871D47">
        <w:trPr>
          <w:trHeight w:val="176"/>
          <w:jc w:val="center"/>
        </w:trPr>
        <w:tc>
          <w:tcPr>
            <w:tcW w:w="566" w:type="pct"/>
            <w:shd w:val="clear" w:color="auto" w:fill="auto"/>
            <w:vAlign w:val="center"/>
          </w:tcPr>
          <w:p w14:paraId="79C05F0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500</w:t>
            </w:r>
          </w:p>
        </w:tc>
        <w:tc>
          <w:tcPr>
            <w:tcW w:w="369" w:type="pct"/>
            <w:shd w:val="clear" w:color="auto" w:fill="auto"/>
            <w:vAlign w:val="center"/>
          </w:tcPr>
          <w:p w14:paraId="6409A55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6119F8A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3C6572B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1AEEB1F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22E489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54A4A0D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4ABBA1A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140</w:t>
            </w:r>
          </w:p>
        </w:tc>
        <w:tc>
          <w:tcPr>
            <w:tcW w:w="370" w:type="pct"/>
            <w:shd w:val="clear" w:color="auto" w:fill="auto"/>
            <w:vAlign w:val="center"/>
          </w:tcPr>
          <w:p w14:paraId="1B35C1C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105</w:t>
            </w:r>
          </w:p>
        </w:tc>
        <w:tc>
          <w:tcPr>
            <w:tcW w:w="369" w:type="pct"/>
            <w:shd w:val="clear" w:color="auto" w:fill="auto"/>
            <w:vAlign w:val="center"/>
          </w:tcPr>
          <w:p w14:paraId="785728D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90</w:t>
            </w:r>
          </w:p>
        </w:tc>
        <w:tc>
          <w:tcPr>
            <w:tcW w:w="370" w:type="pct"/>
            <w:shd w:val="clear" w:color="auto" w:fill="auto"/>
            <w:vAlign w:val="center"/>
          </w:tcPr>
          <w:p w14:paraId="42C763A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w:t>
            </w:r>
          </w:p>
        </w:tc>
        <w:tc>
          <w:tcPr>
            <w:tcW w:w="369" w:type="pct"/>
            <w:shd w:val="clear" w:color="auto" w:fill="auto"/>
            <w:vAlign w:val="center"/>
          </w:tcPr>
          <w:p w14:paraId="7646CE8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c>
          <w:tcPr>
            <w:tcW w:w="372" w:type="pct"/>
            <w:shd w:val="clear" w:color="auto" w:fill="auto"/>
            <w:vAlign w:val="center"/>
          </w:tcPr>
          <w:p w14:paraId="156D776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w:t>
            </w:r>
          </w:p>
        </w:tc>
      </w:tr>
      <w:tr w:rsidR="00737EB2" w:rsidRPr="00765F6E" w14:paraId="13940882" w14:textId="77777777" w:rsidTr="00871D47">
        <w:trPr>
          <w:trHeight w:val="176"/>
          <w:jc w:val="center"/>
        </w:trPr>
        <w:tc>
          <w:tcPr>
            <w:tcW w:w="566" w:type="pct"/>
            <w:shd w:val="clear" w:color="auto" w:fill="auto"/>
            <w:vAlign w:val="center"/>
          </w:tcPr>
          <w:p w14:paraId="2A53288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400</w:t>
            </w:r>
          </w:p>
        </w:tc>
        <w:tc>
          <w:tcPr>
            <w:tcW w:w="369" w:type="pct"/>
            <w:shd w:val="clear" w:color="auto" w:fill="auto"/>
            <w:vAlign w:val="center"/>
          </w:tcPr>
          <w:p w14:paraId="53476D5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763A33F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31E9502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EB4702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4B40A59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0A1EA9D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566783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571ED16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453A30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115</w:t>
            </w:r>
          </w:p>
        </w:tc>
        <w:tc>
          <w:tcPr>
            <w:tcW w:w="370" w:type="pct"/>
            <w:shd w:val="clear" w:color="auto" w:fill="auto"/>
            <w:vAlign w:val="center"/>
          </w:tcPr>
          <w:p w14:paraId="27A1F1C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w:t>
            </w:r>
          </w:p>
        </w:tc>
        <w:tc>
          <w:tcPr>
            <w:tcW w:w="369" w:type="pct"/>
            <w:shd w:val="clear" w:color="auto" w:fill="auto"/>
            <w:vAlign w:val="center"/>
          </w:tcPr>
          <w:p w14:paraId="0AC5158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55</w:t>
            </w:r>
          </w:p>
        </w:tc>
        <w:tc>
          <w:tcPr>
            <w:tcW w:w="372" w:type="pct"/>
            <w:shd w:val="clear" w:color="auto" w:fill="auto"/>
            <w:vAlign w:val="center"/>
          </w:tcPr>
          <w:p w14:paraId="45D83C7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w:t>
            </w:r>
          </w:p>
        </w:tc>
      </w:tr>
      <w:tr w:rsidR="00737EB2" w:rsidRPr="00765F6E" w14:paraId="30039578" w14:textId="77777777" w:rsidTr="00871D47">
        <w:trPr>
          <w:trHeight w:val="176"/>
          <w:jc w:val="center"/>
        </w:trPr>
        <w:tc>
          <w:tcPr>
            <w:tcW w:w="566" w:type="pct"/>
            <w:shd w:val="clear" w:color="auto" w:fill="auto"/>
            <w:vAlign w:val="center"/>
          </w:tcPr>
          <w:p w14:paraId="311718F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350</w:t>
            </w:r>
          </w:p>
        </w:tc>
        <w:tc>
          <w:tcPr>
            <w:tcW w:w="369" w:type="pct"/>
            <w:shd w:val="clear" w:color="auto" w:fill="auto"/>
            <w:vAlign w:val="center"/>
          </w:tcPr>
          <w:p w14:paraId="5E25052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4D44ACE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EAAB33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5A980B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62BC00D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6179047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7AACD9D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542ED99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245D40E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115</w:t>
            </w:r>
          </w:p>
        </w:tc>
        <w:tc>
          <w:tcPr>
            <w:tcW w:w="370" w:type="pct"/>
            <w:shd w:val="clear" w:color="auto" w:fill="auto"/>
            <w:vAlign w:val="center"/>
          </w:tcPr>
          <w:p w14:paraId="288FC4B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85</w:t>
            </w:r>
          </w:p>
        </w:tc>
        <w:tc>
          <w:tcPr>
            <w:tcW w:w="369" w:type="pct"/>
            <w:shd w:val="clear" w:color="auto" w:fill="auto"/>
            <w:vAlign w:val="center"/>
          </w:tcPr>
          <w:p w14:paraId="2E7AA8C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65</w:t>
            </w:r>
          </w:p>
        </w:tc>
        <w:tc>
          <w:tcPr>
            <w:tcW w:w="372" w:type="pct"/>
            <w:shd w:val="clear" w:color="auto" w:fill="auto"/>
            <w:vAlign w:val="center"/>
          </w:tcPr>
          <w:p w14:paraId="32A99D4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r>
      <w:tr w:rsidR="00737EB2" w:rsidRPr="00765F6E" w14:paraId="3AE21550" w14:textId="77777777" w:rsidTr="00871D47">
        <w:trPr>
          <w:trHeight w:val="176"/>
          <w:jc w:val="center"/>
        </w:trPr>
        <w:tc>
          <w:tcPr>
            <w:tcW w:w="566" w:type="pct"/>
            <w:shd w:val="clear" w:color="auto" w:fill="auto"/>
            <w:vAlign w:val="center"/>
          </w:tcPr>
          <w:p w14:paraId="1489ECE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300</w:t>
            </w:r>
          </w:p>
        </w:tc>
        <w:tc>
          <w:tcPr>
            <w:tcW w:w="369" w:type="pct"/>
            <w:shd w:val="clear" w:color="auto" w:fill="auto"/>
            <w:vAlign w:val="center"/>
          </w:tcPr>
          <w:p w14:paraId="0A52C26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23F974E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3406FA0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0AB2507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75C56CA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31E5F57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E06DC6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484327A6"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354F44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7D2C33F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23D355D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w:t>
            </w:r>
          </w:p>
        </w:tc>
        <w:tc>
          <w:tcPr>
            <w:tcW w:w="372" w:type="pct"/>
            <w:shd w:val="clear" w:color="auto" w:fill="auto"/>
            <w:vAlign w:val="center"/>
          </w:tcPr>
          <w:p w14:paraId="7D90E65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r>
      <w:tr w:rsidR="00737EB2" w:rsidRPr="00765F6E" w14:paraId="67D2B854" w14:textId="77777777" w:rsidTr="00871D47">
        <w:trPr>
          <w:trHeight w:val="176"/>
          <w:jc w:val="center"/>
        </w:trPr>
        <w:tc>
          <w:tcPr>
            <w:tcW w:w="566" w:type="pct"/>
            <w:shd w:val="clear" w:color="auto" w:fill="auto"/>
            <w:vAlign w:val="center"/>
          </w:tcPr>
          <w:p w14:paraId="0E58796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250</w:t>
            </w:r>
          </w:p>
        </w:tc>
        <w:tc>
          <w:tcPr>
            <w:tcW w:w="369" w:type="pct"/>
            <w:shd w:val="clear" w:color="auto" w:fill="auto"/>
            <w:vAlign w:val="center"/>
          </w:tcPr>
          <w:p w14:paraId="7336280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7FA9820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24EF4F3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0BBFD69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59991DC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62172AF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2DD8F66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777122E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4A56050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70" w:type="pct"/>
            <w:shd w:val="clear" w:color="auto" w:fill="auto"/>
            <w:vAlign w:val="center"/>
          </w:tcPr>
          <w:p w14:paraId="610C1EC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w:t>
            </w:r>
          </w:p>
        </w:tc>
        <w:tc>
          <w:tcPr>
            <w:tcW w:w="369" w:type="pct"/>
            <w:shd w:val="clear" w:color="auto" w:fill="auto"/>
            <w:vAlign w:val="center"/>
          </w:tcPr>
          <w:p w14:paraId="2905C9C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70</w:t>
            </w:r>
          </w:p>
        </w:tc>
        <w:tc>
          <w:tcPr>
            <w:tcW w:w="372" w:type="pct"/>
            <w:shd w:val="clear" w:color="auto" w:fill="auto"/>
            <w:vAlign w:val="center"/>
          </w:tcPr>
          <w:p w14:paraId="5E1BB3E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w:t>
            </w:r>
          </w:p>
        </w:tc>
      </w:tr>
      <w:tr w:rsidR="00737EB2" w:rsidRPr="00765F6E" w14:paraId="1DBD5D9F" w14:textId="77777777" w:rsidTr="00871D47">
        <w:trPr>
          <w:trHeight w:val="176"/>
          <w:jc w:val="center"/>
        </w:trPr>
        <w:tc>
          <w:tcPr>
            <w:tcW w:w="5000" w:type="pct"/>
            <w:gridSpan w:val="13"/>
            <w:tcBorders>
              <w:top w:val="single" w:sz="8" w:space="0" w:color="auto"/>
              <w:bottom w:val="single" w:sz="8" w:space="0" w:color="auto"/>
            </w:tcBorders>
            <w:shd w:val="clear" w:color="auto" w:fill="auto"/>
            <w:vAlign w:val="center"/>
          </w:tcPr>
          <w:p w14:paraId="19F66CEC" w14:textId="77777777" w:rsidR="00737EB2" w:rsidRPr="00765F6E" w:rsidRDefault="00737EB2" w:rsidP="00737EB2">
            <w:pPr>
              <w:pStyle w:val="afff2"/>
              <w:ind w:left="584"/>
            </w:pPr>
            <w:r w:rsidRPr="00765F6E">
              <w:t>（1）、（2）分别对应超高时变率f =30mm/s、f =40mm/s。</w:t>
            </w:r>
          </w:p>
        </w:tc>
      </w:tr>
    </w:tbl>
    <w:p w14:paraId="04BD65F8" w14:textId="77777777" w:rsidR="00737EB2" w:rsidRPr="00765F6E" w:rsidRDefault="00737EB2" w:rsidP="00737EB2">
      <w:pPr>
        <w:spacing w:line="240" w:lineRule="auto"/>
      </w:pPr>
    </w:p>
    <w:p w14:paraId="70FDA053" w14:textId="4AA679D1" w:rsidR="00737EB2" w:rsidRPr="00765F6E" w:rsidRDefault="00737EB2" w:rsidP="009D0776">
      <w:pPr>
        <w:pStyle w:val="22"/>
      </w:pPr>
      <w:bookmarkStart w:id="685" w:name="_Toc99791655"/>
      <w:bookmarkStart w:id="686" w:name="_Toc153291087"/>
      <w:r w:rsidRPr="00765F6E">
        <w:rPr>
          <w:rFonts w:hint="eastAsia"/>
        </w:rPr>
        <w:t>车站有效站台范围内的正线宜设计为直线。困难条件下设计为曲线时，曲线宜采用较小的偏角，平面最小曲线半径应符合表</w:t>
      </w:r>
      <w:r w:rsidR="00E512B4" w:rsidRPr="00765F6E">
        <w:rPr>
          <w:rFonts w:hint="eastAsia"/>
        </w:rPr>
        <w:t>1</w:t>
      </w:r>
      <w:r w:rsidR="00E512B4">
        <w:t>5</w:t>
      </w:r>
      <w:r w:rsidRPr="00765F6E">
        <w:rPr>
          <w:rFonts w:hint="eastAsia"/>
        </w:rPr>
        <w:t>的规定</w:t>
      </w:r>
      <w:bookmarkEnd w:id="685"/>
      <w:bookmarkEnd w:id="686"/>
      <w:r w:rsidRPr="00765F6E">
        <w:rPr>
          <w:rFonts w:hint="eastAsia"/>
        </w:rPr>
        <w:t>。</w:t>
      </w:r>
    </w:p>
    <w:p w14:paraId="4CFC8A0F" w14:textId="77777777" w:rsidR="00737EB2" w:rsidRPr="00765F6E" w:rsidRDefault="00737EB2" w:rsidP="00737EB2">
      <w:pPr>
        <w:pStyle w:val="aff3"/>
        <w:spacing w:before="156" w:after="156"/>
      </w:pPr>
      <w:r w:rsidRPr="00765F6E">
        <w:rPr>
          <w:rFonts w:hint="eastAsia"/>
        </w:rPr>
        <w:t>站台有效长度范围内的线路平面最小曲线半径</w:t>
      </w:r>
    </w:p>
    <w:p w14:paraId="0F494FAC" w14:textId="77777777" w:rsidR="00737EB2" w:rsidRPr="00765F6E" w:rsidRDefault="00737EB2" w:rsidP="00CA33AB">
      <w:pPr>
        <w:pStyle w:val="affffb"/>
        <w:ind w:firstLine="360"/>
        <w:jc w:val="right"/>
        <w:rPr>
          <w:sz w:val="18"/>
          <w:szCs w:val="18"/>
        </w:rPr>
      </w:pPr>
      <w:r w:rsidRPr="00765F6E">
        <w:rPr>
          <w:rFonts w:hint="eastAsia"/>
          <w:sz w:val="18"/>
          <w:szCs w:val="18"/>
        </w:rPr>
        <w:t>单位为米</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4" w:space="0" w:color="auto"/>
        </w:tblBorders>
        <w:tblCellMar>
          <w:left w:w="0" w:type="dxa"/>
          <w:right w:w="0" w:type="dxa"/>
        </w:tblCellMar>
        <w:tblLook w:val="04A0" w:firstRow="1" w:lastRow="0" w:firstColumn="1" w:lastColumn="0" w:noHBand="0" w:noVBand="1"/>
      </w:tblPr>
      <w:tblGrid>
        <w:gridCol w:w="2706"/>
        <w:gridCol w:w="1851"/>
        <w:gridCol w:w="1592"/>
        <w:gridCol w:w="1592"/>
        <w:gridCol w:w="1593"/>
      </w:tblGrid>
      <w:tr w:rsidR="00737EB2" w:rsidRPr="00765F6E" w14:paraId="35A41C7C" w14:textId="77777777" w:rsidTr="00871D47">
        <w:trPr>
          <w:trHeight w:val="176"/>
          <w:jc w:val="center"/>
        </w:trPr>
        <w:tc>
          <w:tcPr>
            <w:tcW w:w="2706" w:type="dxa"/>
            <w:shd w:val="clear" w:color="auto" w:fill="auto"/>
            <w:vAlign w:val="center"/>
          </w:tcPr>
          <w:p w14:paraId="0A82346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车 </w:t>
            </w:r>
            <w:r w:rsidRPr="00765F6E">
              <w:rPr>
                <w:rFonts w:ascii="宋体" w:hAnsi="宋体" w:cs="宋体"/>
                <w:kern w:val="0"/>
                <w:sz w:val="18"/>
                <w:szCs w:val="18"/>
              </w:rPr>
              <w:t xml:space="preserve">  </w:t>
            </w:r>
            <w:r w:rsidRPr="00765F6E">
              <w:rPr>
                <w:rFonts w:ascii="宋体" w:hAnsi="宋体" w:cs="宋体" w:hint="eastAsia"/>
                <w:kern w:val="0"/>
                <w:sz w:val="18"/>
                <w:szCs w:val="18"/>
              </w:rPr>
              <w:t>型</w:t>
            </w:r>
          </w:p>
        </w:tc>
        <w:tc>
          <w:tcPr>
            <w:tcW w:w="1851" w:type="dxa"/>
            <w:shd w:val="clear" w:color="auto" w:fill="auto"/>
            <w:vAlign w:val="center"/>
          </w:tcPr>
          <w:p w14:paraId="40203E3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市域</w:t>
            </w:r>
            <w:r w:rsidRPr="00765F6E">
              <w:rPr>
                <w:rFonts w:ascii="宋体" w:hAnsi="宋体" w:cs="宋体"/>
                <w:kern w:val="0"/>
                <w:sz w:val="18"/>
                <w:szCs w:val="18"/>
              </w:rPr>
              <w:t>A</w:t>
            </w:r>
            <w:r w:rsidRPr="00765F6E">
              <w:rPr>
                <w:rFonts w:ascii="宋体" w:hAnsi="宋体" w:cs="宋体" w:hint="eastAsia"/>
                <w:kern w:val="0"/>
                <w:sz w:val="18"/>
                <w:szCs w:val="18"/>
              </w:rPr>
              <w:t>型车</w:t>
            </w:r>
          </w:p>
        </w:tc>
        <w:tc>
          <w:tcPr>
            <w:tcW w:w="1592" w:type="dxa"/>
            <w:shd w:val="clear" w:color="auto" w:fill="auto"/>
            <w:vAlign w:val="center"/>
          </w:tcPr>
          <w:p w14:paraId="30006B3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市域</w:t>
            </w:r>
            <w:r w:rsidRPr="00765F6E">
              <w:rPr>
                <w:rFonts w:ascii="宋体" w:hAnsi="宋体" w:cs="宋体"/>
                <w:kern w:val="0"/>
                <w:sz w:val="18"/>
                <w:szCs w:val="18"/>
              </w:rPr>
              <w:t>B</w:t>
            </w:r>
            <w:r w:rsidRPr="00765F6E">
              <w:rPr>
                <w:rFonts w:ascii="宋体" w:hAnsi="宋体" w:cs="宋体" w:hint="eastAsia"/>
                <w:kern w:val="0"/>
                <w:sz w:val="18"/>
                <w:szCs w:val="18"/>
              </w:rPr>
              <w:t>型车</w:t>
            </w:r>
          </w:p>
        </w:tc>
        <w:tc>
          <w:tcPr>
            <w:tcW w:w="1592" w:type="dxa"/>
            <w:shd w:val="clear" w:color="auto" w:fill="auto"/>
            <w:vAlign w:val="center"/>
          </w:tcPr>
          <w:p w14:paraId="1B1D507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市域</w:t>
            </w:r>
            <w:r w:rsidRPr="00765F6E">
              <w:rPr>
                <w:rFonts w:ascii="宋体" w:hAnsi="宋体" w:cs="宋体"/>
                <w:kern w:val="0"/>
                <w:sz w:val="18"/>
                <w:szCs w:val="18"/>
              </w:rPr>
              <w:t>C</w:t>
            </w:r>
            <w:r w:rsidRPr="00765F6E">
              <w:rPr>
                <w:rFonts w:ascii="宋体" w:hAnsi="宋体" w:cs="宋体" w:hint="eastAsia"/>
                <w:kern w:val="0"/>
                <w:sz w:val="18"/>
                <w:szCs w:val="18"/>
              </w:rPr>
              <w:t>型车</w:t>
            </w:r>
          </w:p>
        </w:tc>
        <w:tc>
          <w:tcPr>
            <w:tcW w:w="1593" w:type="dxa"/>
            <w:shd w:val="clear" w:color="auto" w:fill="auto"/>
            <w:vAlign w:val="center"/>
          </w:tcPr>
          <w:p w14:paraId="4EA5471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市域</w:t>
            </w:r>
            <w:r w:rsidRPr="00765F6E">
              <w:rPr>
                <w:rFonts w:ascii="宋体" w:hAnsi="宋体" w:cs="宋体"/>
                <w:kern w:val="0"/>
                <w:sz w:val="18"/>
                <w:szCs w:val="18"/>
              </w:rPr>
              <w:t>D</w:t>
            </w:r>
            <w:r w:rsidRPr="00765F6E">
              <w:rPr>
                <w:rFonts w:ascii="宋体" w:hAnsi="宋体" w:cs="宋体" w:hint="eastAsia"/>
                <w:kern w:val="0"/>
                <w:sz w:val="18"/>
                <w:szCs w:val="18"/>
              </w:rPr>
              <w:t>型车</w:t>
            </w:r>
          </w:p>
        </w:tc>
      </w:tr>
      <w:tr w:rsidR="00737EB2" w:rsidRPr="00765F6E" w14:paraId="3ED9B785" w14:textId="77777777" w:rsidTr="00871D47">
        <w:trPr>
          <w:trHeight w:val="176"/>
          <w:jc w:val="center"/>
        </w:trPr>
        <w:tc>
          <w:tcPr>
            <w:tcW w:w="2706" w:type="dxa"/>
            <w:shd w:val="clear" w:color="auto" w:fill="auto"/>
            <w:vAlign w:val="center"/>
          </w:tcPr>
          <w:p w14:paraId="73E59B8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曲线半径</w:t>
            </w:r>
          </w:p>
        </w:tc>
        <w:tc>
          <w:tcPr>
            <w:tcW w:w="1851" w:type="dxa"/>
            <w:shd w:val="clear" w:color="auto" w:fill="auto"/>
            <w:vAlign w:val="center"/>
          </w:tcPr>
          <w:p w14:paraId="4A8DA6F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1500</w:t>
            </w:r>
          </w:p>
        </w:tc>
        <w:tc>
          <w:tcPr>
            <w:tcW w:w="1592" w:type="dxa"/>
            <w:shd w:val="clear" w:color="auto" w:fill="auto"/>
            <w:vAlign w:val="center"/>
          </w:tcPr>
          <w:p w14:paraId="374B793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1000</w:t>
            </w:r>
          </w:p>
        </w:tc>
        <w:tc>
          <w:tcPr>
            <w:tcW w:w="1592" w:type="dxa"/>
            <w:shd w:val="clear" w:color="auto" w:fill="auto"/>
            <w:vAlign w:val="center"/>
          </w:tcPr>
          <w:p w14:paraId="65754BBA"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2000</w:t>
            </w:r>
          </w:p>
        </w:tc>
        <w:tc>
          <w:tcPr>
            <w:tcW w:w="1593" w:type="dxa"/>
            <w:shd w:val="clear" w:color="auto" w:fill="auto"/>
            <w:vAlign w:val="center"/>
          </w:tcPr>
          <w:p w14:paraId="5FE7133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1800</w:t>
            </w:r>
          </w:p>
        </w:tc>
      </w:tr>
    </w:tbl>
    <w:p w14:paraId="4162312C" w14:textId="77777777" w:rsidR="00737EB2" w:rsidRPr="00765F6E" w:rsidRDefault="00737EB2" w:rsidP="00737EB2">
      <w:pPr>
        <w:spacing w:line="240" w:lineRule="auto"/>
      </w:pPr>
    </w:p>
    <w:p w14:paraId="6F05463D" w14:textId="77777777" w:rsidR="00737EB2" w:rsidRPr="00765F6E" w:rsidRDefault="00737EB2" w:rsidP="00737EB2">
      <w:pPr>
        <w:pStyle w:val="affe"/>
        <w:spacing w:before="156" w:after="156"/>
      </w:pPr>
      <w:bookmarkStart w:id="687" w:name="_Toc153291088"/>
      <w:bookmarkStart w:id="688" w:name="_Toc99791656"/>
      <w:bookmarkStart w:id="689" w:name="_Toc153210837"/>
      <w:bookmarkStart w:id="690" w:name="_Toc167895735"/>
      <w:bookmarkStart w:id="691" w:name="_Toc174538649"/>
      <w:bookmarkStart w:id="692" w:name="_Toc182476402"/>
      <w:r w:rsidRPr="00765F6E">
        <w:rPr>
          <w:rFonts w:hint="eastAsia"/>
        </w:rPr>
        <w:t>线路纵断面</w:t>
      </w:r>
      <w:bookmarkEnd w:id="687"/>
      <w:bookmarkEnd w:id="688"/>
      <w:bookmarkEnd w:id="689"/>
      <w:bookmarkEnd w:id="690"/>
      <w:bookmarkEnd w:id="691"/>
      <w:bookmarkEnd w:id="692"/>
    </w:p>
    <w:p w14:paraId="38648986" w14:textId="77777777" w:rsidR="00737EB2" w:rsidRPr="00765F6E" w:rsidRDefault="00737EB2" w:rsidP="009D0776">
      <w:pPr>
        <w:pStyle w:val="22"/>
      </w:pPr>
      <w:bookmarkStart w:id="693" w:name="_Toc153291089"/>
      <w:bookmarkStart w:id="694" w:name="_Toc99791657"/>
      <w:r w:rsidRPr="00765F6E">
        <w:rPr>
          <w:rFonts w:hint="eastAsia"/>
        </w:rPr>
        <w:t>区间正线最大坡度不宜大于25‰，困难条件下不应大于30‰。</w:t>
      </w:r>
      <w:bookmarkEnd w:id="693"/>
      <w:bookmarkEnd w:id="694"/>
    </w:p>
    <w:p w14:paraId="03FC9ACC" w14:textId="77777777" w:rsidR="00737EB2" w:rsidRPr="00765F6E" w:rsidRDefault="00737EB2" w:rsidP="009D0776">
      <w:pPr>
        <w:pStyle w:val="22"/>
      </w:pPr>
      <w:bookmarkStart w:id="695" w:name="_Toc99791658"/>
      <w:bookmarkStart w:id="696" w:name="_Toc153291090"/>
      <w:r w:rsidRPr="00765F6E">
        <w:rPr>
          <w:rFonts w:hint="eastAsia"/>
        </w:rPr>
        <w:t>区间正线宜设计为较长坡段，坡段长度宜取为50m的整数倍。最小坡段长度不应小于250m，且不宜连续使用；困难条件下不应小于远期列车长度，并不应连续采用。</w:t>
      </w:r>
      <w:bookmarkEnd w:id="695"/>
      <w:bookmarkEnd w:id="696"/>
    </w:p>
    <w:p w14:paraId="0CCB31AB" w14:textId="77777777" w:rsidR="00737EB2" w:rsidRPr="00765F6E" w:rsidRDefault="00737EB2" w:rsidP="009D0776">
      <w:pPr>
        <w:pStyle w:val="22"/>
      </w:pPr>
      <w:bookmarkStart w:id="697" w:name="_Toc99791659"/>
      <w:bookmarkStart w:id="698" w:name="_Toc153291091"/>
      <w:r w:rsidRPr="00765F6E">
        <w:rPr>
          <w:rFonts w:hint="eastAsia"/>
        </w:rPr>
        <w:t>区间正线长大坡道设置应进行行车检算，满足线路能力、行车间隔、行车速度、牵引能力、制动能力及运营救援等要求。</w:t>
      </w:r>
      <w:bookmarkEnd w:id="697"/>
      <w:bookmarkEnd w:id="698"/>
    </w:p>
    <w:p w14:paraId="6A3D3161" w14:textId="49368DC4" w:rsidR="00737EB2" w:rsidRDefault="00737EB2" w:rsidP="009D0776">
      <w:pPr>
        <w:pStyle w:val="22"/>
      </w:pPr>
      <w:bookmarkStart w:id="699" w:name="_Toc153291092"/>
      <w:bookmarkStart w:id="700" w:name="_Toc99791660"/>
      <w:r w:rsidRPr="00765F6E">
        <w:rPr>
          <w:rFonts w:hint="eastAsia"/>
        </w:rPr>
        <w:t>路段设计速度为</w:t>
      </w:r>
      <w:r w:rsidRPr="00765F6E">
        <w:t>160km/h的区间正线，</w:t>
      </w:r>
      <w:r w:rsidRPr="00765F6E">
        <w:rPr>
          <w:rFonts w:hint="eastAsia"/>
        </w:rPr>
        <w:t>当相邻坡段的坡度差大于</w:t>
      </w:r>
      <w:r w:rsidRPr="00765F6E">
        <w:t>1</w:t>
      </w:r>
      <w:r w:rsidRPr="00765F6E">
        <w:rPr>
          <w:rFonts w:hint="eastAsia"/>
        </w:rPr>
        <w:t>‰时，应采用圆曲线型竖曲线连接；路段设计速度为</w:t>
      </w:r>
      <w:r w:rsidRPr="00765F6E">
        <w:t>160km/h</w:t>
      </w:r>
      <w:r w:rsidRPr="00765F6E">
        <w:rPr>
          <w:rFonts w:hint="eastAsia"/>
        </w:rPr>
        <w:t>以下的区间正线，当相邻坡段的坡度差大于</w:t>
      </w:r>
      <w:r w:rsidRPr="00765F6E">
        <w:t>3‰时，应采用圆曲线型竖曲线连接；最小竖曲线半径应按表</w:t>
      </w:r>
      <w:r w:rsidR="00E512B4" w:rsidRPr="00765F6E">
        <w:t>1</w:t>
      </w:r>
      <w:r w:rsidR="00E512B4">
        <w:t>6</w:t>
      </w:r>
      <w:r w:rsidRPr="00765F6E">
        <w:t>选用。运行市域A型车、市域C型车和市域D型车时，最小竖曲线长度不应小于25m；运行市域B型车时，最小竖曲线长度不应小于20m</w:t>
      </w:r>
      <w:r w:rsidRPr="00765F6E">
        <w:rPr>
          <w:rFonts w:hint="eastAsia"/>
        </w:rPr>
        <w:t>。</w:t>
      </w:r>
      <w:bookmarkEnd w:id="699"/>
      <w:bookmarkEnd w:id="700"/>
    </w:p>
    <w:p w14:paraId="4CE985BF" w14:textId="77777777" w:rsidR="00FB55CA" w:rsidRPr="00FB55CA" w:rsidRDefault="00FB55CA" w:rsidP="00FB55CA">
      <w:pPr>
        <w:pStyle w:val="affffb"/>
        <w:ind w:firstLine="420"/>
      </w:pPr>
    </w:p>
    <w:p w14:paraId="489C4249" w14:textId="77777777" w:rsidR="00737EB2" w:rsidRPr="00765F6E" w:rsidRDefault="00737EB2" w:rsidP="00737EB2">
      <w:pPr>
        <w:pStyle w:val="aff3"/>
        <w:spacing w:before="156" w:after="156"/>
      </w:pPr>
      <w:r w:rsidRPr="00765F6E">
        <w:rPr>
          <w:rFonts w:hint="eastAsia"/>
        </w:rPr>
        <w:lastRenderedPageBreak/>
        <w:t>最小竖曲线半径</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01"/>
        <w:gridCol w:w="1686"/>
        <w:gridCol w:w="1682"/>
        <w:gridCol w:w="1682"/>
        <w:gridCol w:w="1683"/>
      </w:tblGrid>
      <w:tr w:rsidR="00737EB2" w:rsidRPr="00765F6E" w14:paraId="5C072303" w14:textId="77777777" w:rsidTr="00871D47">
        <w:trPr>
          <w:trHeight w:val="176"/>
          <w:jc w:val="center"/>
        </w:trPr>
        <w:tc>
          <w:tcPr>
            <w:tcW w:w="2601" w:type="dxa"/>
            <w:tcBorders>
              <w:top w:val="single" w:sz="8" w:space="0" w:color="auto"/>
              <w:bottom w:val="single" w:sz="8" w:space="0" w:color="auto"/>
            </w:tcBorders>
            <w:shd w:val="clear" w:color="auto" w:fill="auto"/>
            <w:vAlign w:val="center"/>
          </w:tcPr>
          <w:p w14:paraId="17B7940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设计速度/（</w:t>
            </w:r>
            <w:r w:rsidRPr="00765F6E">
              <w:rPr>
                <w:rFonts w:ascii="宋体" w:hAnsi="宋体" w:cs="宋体"/>
                <w:kern w:val="0"/>
                <w:sz w:val="18"/>
                <w:szCs w:val="18"/>
              </w:rPr>
              <w:t>km/h</w:t>
            </w:r>
            <w:r w:rsidRPr="00765F6E">
              <w:rPr>
                <w:rFonts w:ascii="宋体" w:hAnsi="宋体" w:cs="宋体" w:hint="eastAsia"/>
                <w:kern w:val="0"/>
                <w:sz w:val="18"/>
                <w:szCs w:val="18"/>
              </w:rPr>
              <w:t>）</w:t>
            </w:r>
          </w:p>
        </w:tc>
        <w:tc>
          <w:tcPr>
            <w:tcW w:w="1686" w:type="dxa"/>
            <w:tcBorders>
              <w:top w:val="single" w:sz="8" w:space="0" w:color="auto"/>
              <w:bottom w:val="single" w:sz="8" w:space="0" w:color="auto"/>
            </w:tcBorders>
            <w:shd w:val="clear" w:color="auto" w:fill="auto"/>
            <w:vAlign w:val="center"/>
          </w:tcPr>
          <w:p w14:paraId="78B5ED43"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160</w:t>
            </w:r>
          </w:p>
        </w:tc>
        <w:tc>
          <w:tcPr>
            <w:tcW w:w="1682" w:type="dxa"/>
            <w:tcBorders>
              <w:top w:val="single" w:sz="8" w:space="0" w:color="auto"/>
              <w:bottom w:val="single" w:sz="8" w:space="0" w:color="auto"/>
            </w:tcBorders>
            <w:shd w:val="clear" w:color="auto" w:fill="auto"/>
            <w:vAlign w:val="center"/>
          </w:tcPr>
          <w:p w14:paraId="765C09B0"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140</w:t>
            </w:r>
          </w:p>
        </w:tc>
        <w:tc>
          <w:tcPr>
            <w:tcW w:w="1682" w:type="dxa"/>
            <w:tcBorders>
              <w:top w:val="single" w:sz="8" w:space="0" w:color="auto"/>
              <w:bottom w:val="single" w:sz="8" w:space="0" w:color="auto"/>
            </w:tcBorders>
            <w:shd w:val="clear" w:color="auto" w:fill="auto"/>
            <w:vAlign w:val="center"/>
          </w:tcPr>
          <w:p w14:paraId="43ECA9E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120</w:t>
            </w:r>
          </w:p>
        </w:tc>
        <w:tc>
          <w:tcPr>
            <w:tcW w:w="1683" w:type="dxa"/>
            <w:tcBorders>
              <w:top w:val="single" w:sz="8" w:space="0" w:color="auto"/>
              <w:bottom w:val="single" w:sz="8" w:space="0" w:color="auto"/>
            </w:tcBorders>
            <w:shd w:val="clear" w:color="auto" w:fill="auto"/>
            <w:vAlign w:val="center"/>
          </w:tcPr>
          <w:p w14:paraId="69401F8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w:t>
            </w:r>
            <w:r w:rsidRPr="00765F6E">
              <w:rPr>
                <w:rFonts w:ascii="宋体" w:hAnsi="宋体" w:cs="宋体" w:hint="eastAsia"/>
                <w:kern w:val="0"/>
                <w:sz w:val="18"/>
                <w:szCs w:val="18"/>
              </w:rPr>
              <w:t>及以下</w:t>
            </w:r>
          </w:p>
        </w:tc>
      </w:tr>
      <w:tr w:rsidR="00737EB2" w:rsidRPr="00765F6E" w14:paraId="7902200C" w14:textId="77777777" w:rsidTr="00871D47">
        <w:trPr>
          <w:trHeight w:val="176"/>
          <w:jc w:val="center"/>
        </w:trPr>
        <w:tc>
          <w:tcPr>
            <w:tcW w:w="2601" w:type="dxa"/>
            <w:tcBorders>
              <w:top w:val="single" w:sz="8" w:space="0" w:color="auto"/>
            </w:tcBorders>
            <w:shd w:val="clear" w:color="auto" w:fill="auto"/>
            <w:vAlign w:val="center"/>
          </w:tcPr>
          <w:p w14:paraId="18D70C2C" w14:textId="5C361B35"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一般</w:t>
            </w:r>
            <w:r w:rsidR="00176B44">
              <w:rPr>
                <w:rFonts w:ascii="宋体" w:hAnsi="宋体" w:cs="宋体" w:hint="eastAsia"/>
                <w:kern w:val="0"/>
                <w:sz w:val="18"/>
                <w:szCs w:val="18"/>
              </w:rPr>
              <w:t>/</w:t>
            </w:r>
            <w:r w:rsidR="00176B44">
              <w:rPr>
                <w:rFonts w:ascii="宋体" w:hAnsi="宋体" w:cs="宋体"/>
                <w:kern w:val="0"/>
                <w:sz w:val="18"/>
                <w:szCs w:val="18"/>
              </w:rPr>
              <w:t>m</w:t>
            </w:r>
          </w:p>
        </w:tc>
        <w:tc>
          <w:tcPr>
            <w:tcW w:w="1686" w:type="dxa"/>
            <w:tcBorders>
              <w:top w:val="single" w:sz="8" w:space="0" w:color="auto"/>
            </w:tcBorders>
            <w:shd w:val="clear" w:color="auto" w:fill="auto"/>
            <w:vAlign w:val="center"/>
          </w:tcPr>
          <w:p w14:paraId="0CFAC4E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10000</w:t>
            </w:r>
          </w:p>
        </w:tc>
        <w:tc>
          <w:tcPr>
            <w:tcW w:w="1682" w:type="dxa"/>
            <w:tcBorders>
              <w:top w:val="single" w:sz="8" w:space="0" w:color="auto"/>
            </w:tcBorders>
            <w:shd w:val="clear" w:color="auto" w:fill="auto"/>
            <w:vAlign w:val="center"/>
          </w:tcPr>
          <w:p w14:paraId="0B60D8B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8000</w:t>
            </w:r>
          </w:p>
        </w:tc>
        <w:tc>
          <w:tcPr>
            <w:tcW w:w="1682" w:type="dxa"/>
            <w:tcBorders>
              <w:top w:val="single" w:sz="8" w:space="0" w:color="auto"/>
            </w:tcBorders>
            <w:shd w:val="clear" w:color="auto" w:fill="auto"/>
            <w:vAlign w:val="center"/>
          </w:tcPr>
          <w:p w14:paraId="1D66B58E"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6000</w:t>
            </w:r>
          </w:p>
        </w:tc>
        <w:tc>
          <w:tcPr>
            <w:tcW w:w="1683" w:type="dxa"/>
            <w:tcBorders>
              <w:top w:val="single" w:sz="8" w:space="0" w:color="auto"/>
            </w:tcBorders>
            <w:shd w:val="clear" w:color="auto" w:fill="auto"/>
            <w:vAlign w:val="center"/>
          </w:tcPr>
          <w:p w14:paraId="084FD09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5000</w:t>
            </w:r>
          </w:p>
        </w:tc>
      </w:tr>
      <w:tr w:rsidR="00737EB2" w:rsidRPr="00765F6E" w14:paraId="18EB7705" w14:textId="77777777" w:rsidTr="00871D47">
        <w:trPr>
          <w:trHeight w:val="176"/>
          <w:jc w:val="center"/>
        </w:trPr>
        <w:tc>
          <w:tcPr>
            <w:tcW w:w="2601" w:type="dxa"/>
            <w:tcBorders>
              <w:bottom w:val="single" w:sz="8" w:space="0" w:color="auto"/>
            </w:tcBorders>
            <w:shd w:val="clear" w:color="auto" w:fill="auto"/>
            <w:vAlign w:val="center"/>
          </w:tcPr>
          <w:p w14:paraId="61945B7A" w14:textId="63E80521"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困难</w:t>
            </w:r>
            <w:r w:rsidR="00176B44">
              <w:rPr>
                <w:rFonts w:ascii="宋体" w:hAnsi="宋体" w:cs="宋体" w:hint="eastAsia"/>
                <w:kern w:val="0"/>
                <w:sz w:val="18"/>
                <w:szCs w:val="18"/>
              </w:rPr>
              <w:t>/</w:t>
            </w:r>
            <w:r w:rsidR="00176B44">
              <w:rPr>
                <w:rFonts w:ascii="宋体" w:hAnsi="宋体" w:cs="宋体"/>
                <w:kern w:val="0"/>
                <w:sz w:val="18"/>
                <w:szCs w:val="18"/>
              </w:rPr>
              <w:t>m</w:t>
            </w:r>
          </w:p>
        </w:tc>
        <w:tc>
          <w:tcPr>
            <w:tcW w:w="1686" w:type="dxa"/>
            <w:tcBorders>
              <w:bottom w:val="single" w:sz="8" w:space="0" w:color="auto"/>
            </w:tcBorders>
            <w:shd w:val="clear" w:color="auto" w:fill="auto"/>
            <w:vAlign w:val="center"/>
          </w:tcPr>
          <w:p w14:paraId="13863F8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6000</w:t>
            </w:r>
          </w:p>
        </w:tc>
        <w:tc>
          <w:tcPr>
            <w:tcW w:w="1682" w:type="dxa"/>
            <w:tcBorders>
              <w:bottom w:val="single" w:sz="8" w:space="0" w:color="auto"/>
            </w:tcBorders>
            <w:shd w:val="clear" w:color="auto" w:fill="auto"/>
            <w:vAlign w:val="center"/>
          </w:tcPr>
          <w:p w14:paraId="2040AAB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5000</w:t>
            </w:r>
          </w:p>
        </w:tc>
        <w:tc>
          <w:tcPr>
            <w:tcW w:w="1682" w:type="dxa"/>
            <w:tcBorders>
              <w:bottom w:val="single" w:sz="8" w:space="0" w:color="auto"/>
            </w:tcBorders>
            <w:shd w:val="clear" w:color="auto" w:fill="auto"/>
            <w:vAlign w:val="center"/>
          </w:tcPr>
          <w:p w14:paraId="6BE2D612"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4000</w:t>
            </w:r>
          </w:p>
        </w:tc>
        <w:tc>
          <w:tcPr>
            <w:tcW w:w="1683" w:type="dxa"/>
            <w:tcBorders>
              <w:bottom w:val="single" w:sz="8" w:space="0" w:color="auto"/>
            </w:tcBorders>
            <w:shd w:val="clear" w:color="auto" w:fill="auto"/>
            <w:vAlign w:val="center"/>
          </w:tcPr>
          <w:p w14:paraId="783B6054"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kern w:val="0"/>
                <w:sz w:val="18"/>
                <w:szCs w:val="18"/>
              </w:rPr>
              <w:t>3000</w:t>
            </w:r>
          </w:p>
        </w:tc>
      </w:tr>
    </w:tbl>
    <w:p w14:paraId="1C41C213" w14:textId="77777777" w:rsidR="00737EB2" w:rsidRPr="00765F6E" w:rsidRDefault="00737EB2" w:rsidP="00737EB2">
      <w:pPr>
        <w:spacing w:line="240" w:lineRule="auto"/>
      </w:pPr>
    </w:p>
    <w:p w14:paraId="21BF22C7" w14:textId="77777777" w:rsidR="00737EB2" w:rsidRPr="00765F6E" w:rsidRDefault="00737EB2" w:rsidP="009D0776">
      <w:pPr>
        <w:pStyle w:val="22"/>
      </w:pPr>
      <w:bookmarkStart w:id="701" w:name="_Toc99791661"/>
      <w:bookmarkStart w:id="702" w:name="_Toc153291093"/>
      <w:r w:rsidRPr="00765F6E">
        <w:rPr>
          <w:rFonts w:hint="eastAsia"/>
        </w:rPr>
        <w:t>正线竖曲线设置符合下列规定：</w:t>
      </w:r>
      <w:bookmarkEnd w:id="701"/>
      <w:bookmarkEnd w:id="702"/>
    </w:p>
    <w:p w14:paraId="3CA5F7E5" w14:textId="77777777" w:rsidR="00737EB2" w:rsidRPr="00765F6E" w:rsidRDefault="00737EB2" w:rsidP="003334F3">
      <w:pPr>
        <w:pStyle w:val="af6"/>
        <w:numPr>
          <w:ilvl w:val="0"/>
          <w:numId w:val="54"/>
        </w:numPr>
        <w:tabs>
          <w:tab w:val="left" w:pos="851"/>
        </w:tabs>
        <w:snapToGrid w:val="0"/>
        <w:contextualSpacing/>
      </w:pPr>
      <w:r w:rsidRPr="00765F6E">
        <w:rPr>
          <w:rFonts w:hint="eastAsia"/>
        </w:rPr>
        <w:t>竖曲线起、终点（或变坡点）与平面曲线起、终点间的最小距离不宜小于20m。无砟轨道地段困难条件下与缓和曲线重叠设置时，竖曲线半径不应采用困难值；</w:t>
      </w:r>
    </w:p>
    <w:p w14:paraId="4623F098" w14:textId="77777777" w:rsidR="00737EB2" w:rsidRPr="00765F6E" w:rsidRDefault="00737EB2" w:rsidP="003334F3">
      <w:pPr>
        <w:pStyle w:val="af6"/>
        <w:numPr>
          <w:ilvl w:val="0"/>
          <w:numId w:val="54"/>
        </w:numPr>
        <w:tabs>
          <w:tab w:val="left" w:pos="851"/>
        </w:tabs>
        <w:snapToGrid w:val="0"/>
        <w:contextualSpacing/>
      </w:pPr>
      <w:r w:rsidRPr="00765F6E">
        <w:rPr>
          <w:rFonts w:hint="eastAsia"/>
        </w:rPr>
        <w:t>道岔两端与竖曲线起点、终点或变坡点距离不宜小于20m；</w:t>
      </w:r>
    </w:p>
    <w:p w14:paraId="6BD1E057" w14:textId="77777777" w:rsidR="00737EB2" w:rsidRPr="00765F6E" w:rsidRDefault="00737EB2" w:rsidP="003334F3">
      <w:pPr>
        <w:pStyle w:val="af6"/>
        <w:numPr>
          <w:ilvl w:val="0"/>
          <w:numId w:val="54"/>
        </w:numPr>
        <w:tabs>
          <w:tab w:val="left" w:pos="851"/>
        </w:tabs>
        <w:snapToGrid w:val="0"/>
        <w:contextualSpacing/>
      </w:pPr>
      <w:r w:rsidRPr="00765F6E">
        <w:rPr>
          <w:rFonts w:hint="eastAsia"/>
        </w:rPr>
        <w:t>竖曲线不应重叠设置，相邻竖曲线起点、终点间距离宜大于50m；</w:t>
      </w:r>
    </w:p>
    <w:p w14:paraId="6D9863BC" w14:textId="77777777" w:rsidR="00737EB2" w:rsidRPr="00765F6E" w:rsidRDefault="00737EB2" w:rsidP="003334F3">
      <w:pPr>
        <w:pStyle w:val="af6"/>
        <w:numPr>
          <w:ilvl w:val="0"/>
          <w:numId w:val="54"/>
        </w:numPr>
        <w:tabs>
          <w:tab w:val="left" w:pos="851"/>
        </w:tabs>
        <w:snapToGrid w:val="0"/>
        <w:contextualSpacing/>
      </w:pPr>
      <w:r w:rsidRPr="00765F6E">
        <w:rPr>
          <w:rFonts w:hint="eastAsia"/>
        </w:rPr>
        <w:t>竖曲线不应进入有效站台范围；</w:t>
      </w:r>
    </w:p>
    <w:p w14:paraId="0A372680" w14:textId="77777777" w:rsidR="00737EB2" w:rsidRPr="00765F6E" w:rsidRDefault="00737EB2" w:rsidP="003334F3">
      <w:pPr>
        <w:pStyle w:val="af6"/>
        <w:numPr>
          <w:ilvl w:val="0"/>
          <w:numId w:val="54"/>
        </w:numPr>
        <w:tabs>
          <w:tab w:val="left" w:pos="851"/>
        </w:tabs>
        <w:snapToGrid w:val="0"/>
        <w:contextualSpacing/>
      </w:pPr>
      <w:r w:rsidRPr="00765F6E">
        <w:rPr>
          <w:rFonts w:hint="eastAsia"/>
        </w:rPr>
        <w:t>最大竖曲线半径不应大于30000m。</w:t>
      </w:r>
    </w:p>
    <w:p w14:paraId="00CCB214" w14:textId="77777777" w:rsidR="00737EB2" w:rsidRPr="00765F6E" w:rsidRDefault="00737EB2" w:rsidP="009D0776">
      <w:pPr>
        <w:pStyle w:val="22"/>
      </w:pPr>
      <w:bookmarkStart w:id="703" w:name="_Toc99791662"/>
      <w:bookmarkStart w:id="704" w:name="_Toc153291094"/>
      <w:r w:rsidRPr="00765F6E">
        <w:rPr>
          <w:rFonts w:hint="eastAsia"/>
        </w:rPr>
        <w:t>区间隧道内坡度不宜小于5‰，困难条件下不应小于3‰。路堑地段线路坡度不宜小于2‰。冰冻地区应适当加大。</w:t>
      </w:r>
      <w:bookmarkEnd w:id="703"/>
      <w:bookmarkEnd w:id="704"/>
    </w:p>
    <w:p w14:paraId="47D857DF" w14:textId="77777777" w:rsidR="00737EB2" w:rsidRPr="00765F6E" w:rsidRDefault="00737EB2" w:rsidP="009D0776">
      <w:pPr>
        <w:pStyle w:val="22"/>
      </w:pPr>
      <w:bookmarkStart w:id="705" w:name="_Toc99791663"/>
      <w:bookmarkStart w:id="706" w:name="_Toc153291095"/>
      <w:r w:rsidRPr="00765F6E">
        <w:rPr>
          <w:rFonts w:hint="eastAsia"/>
        </w:rPr>
        <w:t>区间正线道岔不宜设在大于15‰的坡道上，困难条件下不应设在大于20‰的坡道上。</w:t>
      </w:r>
      <w:bookmarkEnd w:id="705"/>
      <w:bookmarkEnd w:id="706"/>
    </w:p>
    <w:p w14:paraId="51AFDF1A" w14:textId="77777777" w:rsidR="00737EB2" w:rsidRPr="00765F6E" w:rsidRDefault="00737EB2" w:rsidP="009D0776">
      <w:pPr>
        <w:pStyle w:val="22"/>
      </w:pPr>
      <w:bookmarkStart w:id="707" w:name="_Toc99791664"/>
      <w:bookmarkStart w:id="708" w:name="_Toc153291096"/>
      <w:r w:rsidRPr="00765F6E">
        <w:rPr>
          <w:rFonts w:hint="eastAsia"/>
        </w:rPr>
        <w:t>区间正线两线并行时轨面高程宜按等高设计。</w:t>
      </w:r>
      <w:bookmarkEnd w:id="707"/>
      <w:bookmarkEnd w:id="708"/>
    </w:p>
    <w:p w14:paraId="630ECC9F" w14:textId="77777777" w:rsidR="00737EB2" w:rsidRPr="00765F6E" w:rsidRDefault="00737EB2" w:rsidP="009D0776">
      <w:pPr>
        <w:pStyle w:val="22"/>
      </w:pPr>
      <w:bookmarkStart w:id="709" w:name="_Toc153291097"/>
      <w:bookmarkStart w:id="710" w:name="_Toc99791665"/>
      <w:r w:rsidRPr="00765F6E">
        <w:rPr>
          <w:rFonts w:hint="eastAsia"/>
        </w:rPr>
        <w:t>车站站坪范围内正线坡度符合下列规定：</w:t>
      </w:r>
      <w:bookmarkEnd w:id="709"/>
      <w:bookmarkEnd w:id="710"/>
    </w:p>
    <w:p w14:paraId="49CCEA58" w14:textId="77777777" w:rsidR="00737EB2" w:rsidRPr="00765F6E" w:rsidRDefault="00737EB2" w:rsidP="003334F3">
      <w:pPr>
        <w:pStyle w:val="af6"/>
        <w:numPr>
          <w:ilvl w:val="0"/>
          <w:numId w:val="55"/>
        </w:numPr>
        <w:tabs>
          <w:tab w:val="left" w:pos="851"/>
        </w:tabs>
        <w:snapToGrid w:val="0"/>
        <w:contextualSpacing/>
      </w:pPr>
      <w:r w:rsidRPr="00765F6E">
        <w:rPr>
          <w:rFonts w:hint="eastAsia"/>
        </w:rPr>
        <w:t>到发线有效长度范围内应采用一个坡段；</w:t>
      </w:r>
    </w:p>
    <w:p w14:paraId="5547121A" w14:textId="2A233E92" w:rsidR="00737EB2" w:rsidRPr="00765F6E" w:rsidRDefault="00737EB2" w:rsidP="003334F3">
      <w:pPr>
        <w:pStyle w:val="af6"/>
        <w:numPr>
          <w:ilvl w:val="0"/>
          <w:numId w:val="55"/>
        </w:numPr>
        <w:tabs>
          <w:tab w:val="left" w:pos="851"/>
        </w:tabs>
        <w:snapToGrid w:val="0"/>
        <w:contextualSpacing/>
      </w:pPr>
      <w:r w:rsidRPr="00765F6E">
        <w:rPr>
          <w:rFonts w:hint="eastAsia"/>
        </w:rPr>
        <w:t>高架及地面车站范围内正线应设在平道上，当设在坡道上时坡度不宜大于1‰，困难条件下不应大于6‰；地下车站坡度宜采用2‰，当具有有效排水措施或与相邻建筑物合建时，可采用平坡</w:t>
      </w:r>
      <w:r w:rsidR="0057104A">
        <w:rPr>
          <w:rFonts w:hint="eastAsia"/>
        </w:rPr>
        <w:t>；</w:t>
      </w:r>
    </w:p>
    <w:p w14:paraId="228E4B03" w14:textId="77777777" w:rsidR="00737EB2" w:rsidRPr="00765F6E" w:rsidRDefault="00737EB2" w:rsidP="003334F3">
      <w:pPr>
        <w:pStyle w:val="af6"/>
        <w:numPr>
          <w:ilvl w:val="0"/>
          <w:numId w:val="55"/>
        </w:numPr>
        <w:tabs>
          <w:tab w:val="left" w:pos="851"/>
        </w:tabs>
        <w:snapToGrid w:val="0"/>
        <w:contextualSpacing/>
      </w:pPr>
      <w:r w:rsidRPr="00765F6E">
        <w:rPr>
          <w:rFonts w:hint="eastAsia"/>
        </w:rPr>
        <w:t>车站咽喉区正线坡度宜与到发线有效长度范围内坡度一致。</w:t>
      </w:r>
    </w:p>
    <w:p w14:paraId="47E06437" w14:textId="77777777" w:rsidR="00737EB2" w:rsidRPr="00765F6E" w:rsidRDefault="00737EB2" w:rsidP="009D0776">
      <w:pPr>
        <w:pStyle w:val="22"/>
      </w:pPr>
      <w:bookmarkStart w:id="711" w:name="_Toc99791666"/>
      <w:bookmarkStart w:id="712" w:name="_Toc153291098"/>
      <w:r w:rsidRPr="00765F6E">
        <w:rPr>
          <w:rFonts w:hint="eastAsia"/>
        </w:rPr>
        <w:t>跨越排洪河道的特大桥和大中桥的桥头路基、水库和滨河地段路基、行洪及滞洪区的浸水路堤，其路肩高程应符合国家现行防洪相关标准及通航要求。</w:t>
      </w:r>
      <w:bookmarkEnd w:id="711"/>
      <w:bookmarkEnd w:id="712"/>
    </w:p>
    <w:p w14:paraId="06717FAE" w14:textId="77777777" w:rsidR="00737EB2" w:rsidRPr="00765F6E" w:rsidRDefault="00737EB2" w:rsidP="00737EB2">
      <w:pPr>
        <w:pStyle w:val="affe"/>
        <w:spacing w:before="156" w:after="156"/>
      </w:pPr>
      <w:bookmarkStart w:id="713" w:name="_Toc153210838"/>
      <w:bookmarkStart w:id="714" w:name="_Toc153291099"/>
      <w:bookmarkStart w:id="715" w:name="_Toc99791667"/>
      <w:bookmarkStart w:id="716" w:name="_Toc167895736"/>
      <w:bookmarkStart w:id="717" w:name="_Toc174538650"/>
      <w:bookmarkStart w:id="718" w:name="_Toc182476403"/>
      <w:r w:rsidRPr="00765F6E">
        <w:rPr>
          <w:rFonts w:hint="eastAsia"/>
        </w:rPr>
        <w:t>交叉与安全设施</w:t>
      </w:r>
      <w:bookmarkEnd w:id="713"/>
      <w:bookmarkEnd w:id="714"/>
      <w:bookmarkEnd w:id="715"/>
      <w:bookmarkEnd w:id="716"/>
      <w:bookmarkEnd w:id="717"/>
      <w:bookmarkEnd w:id="718"/>
    </w:p>
    <w:p w14:paraId="4B3BE6B0" w14:textId="48A46520" w:rsidR="00737EB2" w:rsidRPr="00765F6E" w:rsidRDefault="00737EB2" w:rsidP="009D0776">
      <w:pPr>
        <w:pStyle w:val="22"/>
      </w:pPr>
      <w:bookmarkStart w:id="719" w:name="_Toc99791668"/>
      <w:bookmarkStart w:id="720" w:name="_Toc153291100"/>
      <w:r w:rsidRPr="00765F6E">
        <w:rPr>
          <w:rFonts w:hint="eastAsia"/>
        </w:rPr>
        <w:t>市域铁路与</w:t>
      </w:r>
      <w:r w:rsidR="00B06C23">
        <w:rPr>
          <w:rFonts w:hint="eastAsia"/>
        </w:rPr>
        <w:t>其他</w:t>
      </w:r>
      <w:r w:rsidRPr="00765F6E">
        <w:rPr>
          <w:rFonts w:hint="eastAsia"/>
        </w:rPr>
        <w:t>铁路、城市轨道交通、公（道）路交叉时，应按全立交设计，立交处的净空应符合设施安全防护相关技术规定。</w:t>
      </w:r>
      <w:bookmarkEnd w:id="719"/>
      <w:bookmarkEnd w:id="720"/>
    </w:p>
    <w:p w14:paraId="540DDBC8" w14:textId="77777777" w:rsidR="00737EB2" w:rsidRPr="00765F6E" w:rsidRDefault="00737EB2" w:rsidP="009D0776">
      <w:pPr>
        <w:pStyle w:val="22"/>
      </w:pPr>
      <w:bookmarkStart w:id="721" w:name="_Toc153291101"/>
      <w:bookmarkStart w:id="722" w:name="_Toc99791669"/>
      <w:r w:rsidRPr="00765F6E">
        <w:rPr>
          <w:rFonts w:hint="eastAsia"/>
        </w:rPr>
        <w:t>市域铁路区间路基及地面车站两侧应设置防护栅栏等隔离设施。</w:t>
      </w:r>
      <w:bookmarkEnd w:id="721"/>
      <w:bookmarkEnd w:id="722"/>
    </w:p>
    <w:p w14:paraId="32B56C70" w14:textId="77777777" w:rsidR="00737EB2" w:rsidRPr="00765F6E" w:rsidRDefault="00737EB2" w:rsidP="009D0776">
      <w:pPr>
        <w:pStyle w:val="22"/>
      </w:pPr>
      <w:bookmarkStart w:id="723" w:name="_Toc153291102"/>
      <w:bookmarkStart w:id="724" w:name="_Toc99791670"/>
      <w:r w:rsidRPr="00765F6E">
        <w:rPr>
          <w:rFonts w:hint="eastAsia"/>
        </w:rPr>
        <w:t>市域铁路区间线路并行其他铁路、城市轨道交通线路时，在符合建筑限界及运行安全要求的前提下，应合理设置隔离栅栏。</w:t>
      </w:r>
      <w:bookmarkEnd w:id="723"/>
      <w:bookmarkEnd w:id="724"/>
    </w:p>
    <w:p w14:paraId="750DC3ED" w14:textId="77777777" w:rsidR="00737EB2" w:rsidRPr="00765F6E" w:rsidRDefault="00737EB2" w:rsidP="009D0776">
      <w:pPr>
        <w:pStyle w:val="22"/>
      </w:pPr>
      <w:bookmarkStart w:id="725" w:name="_Toc153291103"/>
      <w:bookmarkStart w:id="726" w:name="_Toc99791671"/>
      <w:r w:rsidRPr="00765F6E">
        <w:rPr>
          <w:rFonts w:hint="eastAsia"/>
        </w:rPr>
        <w:t>市域铁路与公路、城市道路并行间距较小且公路、城市道路路面高程高于市域铁路路肩高程、或低于市域铁路路肩高程1.0m 以内时，应在靠近市域铁路的公路、城市道路侧设置护栏，其防撞等级应根据公路、城市道路等级、设计行车速度确定。</w:t>
      </w:r>
      <w:bookmarkEnd w:id="725"/>
      <w:bookmarkEnd w:id="726"/>
    </w:p>
    <w:p w14:paraId="2C2240A1" w14:textId="77777777" w:rsidR="00737EB2" w:rsidRPr="00765F6E" w:rsidRDefault="00737EB2" w:rsidP="009D0776">
      <w:pPr>
        <w:pStyle w:val="22"/>
      </w:pPr>
      <w:bookmarkStart w:id="727" w:name="_Toc99791672"/>
      <w:bookmarkStart w:id="728" w:name="_Toc153291104"/>
      <w:r w:rsidRPr="00765F6E">
        <w:rPr>
          <w:rFonts w:hint="eastAsia"/>
        </w:rPr>
        <w:t>市域铁路线路两侧应设立安全保护区，边界应设置安全保护区标桩。</w:t>
      </w:r>
      <w:bookmarkEnd w:id="727"/>
      <w:bookmarkEnd w:id="728"/>
    </w:p>
    <w:p w14:paraId="391618C3" w14:textId="77777777" w:rsidR="00737EB2" w:rsidRPr="00765F6E" w:rsidRDefault="00737EB2" w:rsidP="00737EB2">
      <w:pPr>
        <w:pStyle w:val="affe"/>
        <w:spacing w:before="156" w:after="156"/>
      </w:pPr>
      <w:bookmarkStart w:id="729" w:name="_Toc153291105"/>
      <w:bookmarkStart w:id="730" w:name="_Toc99791673"/>
      <w:bookmarkStart w:id="731" w:name="_Toc153210839"/>
      <w:bookmarkStart w:id="732" w:name="_Toc167895737"/>
      <w:bookmarkStart w:id="733" w:name="_Toc174538651"/>
      <w:bookmarkStart w:id="734" w:name="_Toc182476404"/>
      <w:r w:rsidRPr="00765F6E">
        <w:rPr>
          <w:rFonts w:hint="eastAsia"/>
        </w:rPr>
        <w:t>接口设计</w:t>
      </w:r>
      <w:bookmarkEnd w:id="729"/>
      <w:bookmarkEnd w:id="730"/>
      <w:bookmarkEnd w:id="731"/>
      <w:bookmarkEnd w:id="732"/>
      <w:bookmarkEnd w:id="733"/>
      <w:bookmarkEnd w:id="734"/>
    </w:p>
    <w:p w14:paraId="1FC0B421" w14:textId="77777777" w:rsidR="00737EB2" w:rsidRPr="00765F6E" w:rsidRDefault="00737EB2" w:rsidP="009D0776">
      <w:pPr>
        <w:pStyle w:val="22"/>
      </w:pPr>
      <w:bookmarkStart w:id="735" w:name="_Toc99791674"/>
      <w:bookmarkStart w:id="736" w:name="_Toc153291106"/>
      <w:r w:rsidRPr="00765F6E">
        <w:rPr>
          <w:rFonts w:hint="eastAsia"/>
        </w:rPr>
        <w:t>正线道岔不应设置在路堤与桥台连接处，也不应跨越梁缝，不宜设在路桥（涵）、路隧、桥隧等过渡段上。</w:t>
      </w:r>
      <w:bookmarkEnd w:id="735"/>
      <w:bookmarkEnd w:id="736"/>
    </w:p>
    <w:p w14:paraId="3ECB0DCF" w14:textId="79D5E168" w:rsidR="00737EB2" w:rsidRPr="00765F6E" w:rsidRDefault="00737EB2" w:rsidP="009D0776">
      <w:pPr>
        <w:pStyle w:val="22"/>
      </w:pPr>
      <w:bookmarkStart w:id="737" w:name="_Toc99791675"/>
      <w:bookmarkStart w:id="738" w:name="_Toc153291107"/>
      <w:r w:rsidRPr="00765F6E">
        <w:rPr>
          <w:rFonts w:hint="eastAsia"/>
        </w:rPr>
        <w:t>长大地下盾构区间纵断面设计应符合区间排水要求，V型坡底部应设置排水设施。</w:t>
      </w:r>
      <w:bookmarkEnd w:id="737"/>
      <w:bookmarkEnd w:id="738"/>
    </w:p>
    <w:p w14:paraId="5C1432BF" w14:textId="674F4A56" w:rsidR="00BE7A8C" w:rsidRDefault="00737EB2">
      <w:pPr>
        <w:pStyle w:val="affd"/>
        <w:spacing w:before="312" w:after="312"/>
      </w:pPr>
      <w:bookmarkStart w:id="739" w:name="_Toc153291108"/>
      <w:bookmarkStart w:id="740" w:name="_Toc153210840"/>
      <w:bookmarkStart w:id="741" w:name="_Toc99791676"/>
      <w:bookmarkStart w:id="742" w:name="_Toc167895738"/>
      <w:bookmarkStart w:id="743" w:name="_Toc174538652"/>
      <w:bookmarkStart w:id="744" w:name="_Toc182476405"/>
      <w:r w:rsidRPr="00765F6E">
        <w:rPr>
          <w:rFonts w:hint="eastAsia"/>
        </w:rPr>
        <w:t>站场</w:t>
      </w:r>
      <w:bookmarkEnd w:id="739"/>
      <w:bookmarkEnd w:id="740"/>
      <w:bookmarkEnd w:id="741"/>
      <w:bookmarkEnd w:id="742"/>
      <w:bookmarkEnd w:id="743"/>
      <w:bookmarkEnd w:id="744"/>
    </w:p>
    <w:p w14:paraId="7A5D6B5F" w14:textId="5F6BEEAF" w:rsidR="00176B44" w:rsidRPr="00765F6E" w:rsidRDefault="00176B44" w:rsidP="00176B44">
      <w:pPr>
        <w:pStyle w:val="affe"/>
        <w:spacing w:before="156" w:after="156"/>
      </w:pPr>
      <w:bookmarkStart w:id="745" w:name="_Toc182476406"/>
      <w:r>
        <w:rPr>
          <w:rFonts w:hint="eastAsia"/>
        </w:rPr>
        <w:t>一般规定</w:t>
      </w:r>
      <w:bookmarkEnd w:id="745"/>
    </w:p>
    <w:p w14:paraId="67F8D3F7" w14:textId="68247D3A" w:rsidR="00737EB2" w:rsidRPr="00765F6E" w:rsidRDefault="00737EB2" w:rsidP="009D0776">
      <w:pPr>
        <w:pStyle w:val="22"/>
      </w:pPr>
      <w:bookmarkStart w:id="746" w:name="_Toc153291109"/>
      <w:bookmarkStart w:id="747" w:name="_Toc99791677"/>
      <w:r w:rsidRPr="00765F6E">
        <w:rPr>
          <w:rFonts w:hint="eastAsia"/>
        </w:rPr>
        <w:t>站场设计应满足运输需要，便于运营管理，方便旅客乘降，并应根据需要预留发展条件。</w:t>
      </w:r>
      <w:bookmarkEnd w:id="746"/>
      <w:bookmarkEnd w:id="747"/>
    </w:p>
    <w:p w14:paraId="4FE88EAF" w14:textId="77777777" w:rsidR="00737EB2" w:rsidRPr="00765F6E" w:rsidRDefault="00737EB2" w:rsidP="009D0776">
      <w:pPr>
        <w:pStyle w:val="22"/>
      </w:pPr>
      <w:bookmarkStart w:id="748" w:name="_Toc99791678"/>
      <w:bookmarkStart w:id="749" w:name="_Toc153291110"/>
      <w:r w:rsidRPr="00765F6E">
        <w:rPr>
          <w:rFonts w:hint="eastAsia"/>
        </w:rPr>
        <w:t>车站到发线数量符合下列规定：</w:t>
      </w:r>
      <w:bookmarkEnd w:id="748"/>
      <w:bookmarkEnd w:id="749"/>
    </w:p>
    <w:p w14:paraId="27B6B541" w14:textId="77777777" w:rsidR="00737EB2" w:rsidRPr="00765F6E" w:rsidRDefault="00737EB2" w:rsidP="003334F3">
      <w:pPr>
        <w:pStyle w:val="af6"/>
        <w:numPr>
          <w:ilvl w:val="0"/>
          <w:numId w:val="56"/>
        </w:numPr>
        <w:tabs>
          <w:tab w:val="left" w:pos="851"/>
        </w:tabs>
        <w:snapToGrid w:val="0"/>
        <w:contextualSpacing/>
        <w:rPr>
          <w:rFonts w:hAnsi="宋体"/>
        </w:rPr>
      </w:pPr>
      <w:r w:rsidRPr="00765F6E">
        <w:rPr>
          <w:rFonts w:hAnsi="宋体" w:hint="eastAsia"/>
        </w:rPr>
        <w:lastRenderedPageBreak/>
        <w:t>始发站到发线数量应根据列车对数、列车开行方案、运输组织模式、引入线路数量等因素确定，并应符合高峰时段列车密集到发要求；</w:t>
      </w:r>
    </w:p>
    <w:p w14:paraId="275444BF" w14:textId="13A10D9A" w:rsidR="00737EB2" w:rsidRPr="00765F6E" w:rsidRDefault="00737EB2" w:rsidP="003334F3">
      <w:pPr>
        <w:pStyle w:val="af6"/>
        <w:numPr>
          <w:ilvl w:val="0"/>
          <w:numId w:val="56"/>
        </w:numPr>
        <w:tabs>
          <w:tab w:val="left" w:pos="851"/>
        </w:tabs>
        <w:snapToGrid w:val="0"/>
        <w:contextualSpacing/>
        <w:rPr>
          <w:rFonts w:hAnsi="宋体"/>
        </w:rPr>
      </w:pPr>
      <w:r w:rsidRPr="00765F6E">
        <w:rPr>
          <w:rFonts w:hAnsi="宋体" w:hint="eastAsia"/>
        </w:rPr>
        <w:t>中间站</w:t>
      </w:r>
      <w:r w:rsidR="00C01800">
        <w:rPr>
          <w:rFonts w:hAnsi="宋体" w:hint="eastAsia"/>
        </w:rPr>
        <w:t>根据行车需求设置到发线</w:t>
      </w:r>
      <w:r w:rsidRPr="00765F6E">
        <w:rPr>
          <w:rFonts w:hAnsi="宋体" w:hint="eastAsia"/>
        </w:rPr>
        <w:t>，到发线数量应根据客运量、列车开行方案和运输组织模式等因素确定。有立即折返列车作业的中间站应符合办理立即折返列车作业要求。</w:t>
      </w:r>
    </w:p>
    <w:p w14:paraId="66DE2DD3" w14:textId="77777777" w:rsidR="00737EB2" w:rsidRPr="00765F6E" w:rsidRDefault="00737EB2" w:rsidP="009D0776">
      <w:pPr>
        <w:pStyle w:val="22"/>
      </w:pPr>
      <w:bookmarkStart w:id="750" w:name="_Toc153291111"/>
      <w:bookmarkStart w:id="751" w:name="_Toc99791679"/>
      <w:r w:rsidRPr="00765F6E">
        <w:rPr>
          <w:rFonts w:hint="eastAsia"/>
        </w:rPr>
        <w:t>车站到发线、出入线宜按双方向进路设计。到发线有效长度范围内不应设置道岔。</w:t>
      </w:r>
      <w:bookmarkEnd w:id="750"/>
      <w:bookmarkEnd w:id="751"/>
    </w:p>
    <w:p w14:paraId="7490DAB4" w14:textId="77777777" w:rsidR="00737EB2" w:rsidRPr="00765F6E" w:rsidRDefault="00737EB2" w:rsidP="009D0776">
      <w:pPr>
        <w:pStyle w:val="22"/>
      </w:pPr>
      <w:bookmarkStart w:id="752" w:name="_Toc99791680"/>
      <w:bookmarkStart w:id="753" w:name="_Toc153291112"/>
      <w:r w:rsidRPr="00765F6E">
        <w:rPr>
          <w:rFonts w:hint="eastAsia"/>
        </w:rPr>
        <w:t>线路接轨及安全线设置符合下列规定：</w:t>
      </w:r>
      <w:bookmarkEnd w:id="752"/>
      <w:bookmarkEnd w:id="753"/>
    </w:p>
    <w:p w14:paraId="74233089" w14:textId="77777777" w:rsidR="00737EB2" w:rsidRPr="00765F6E" w:rsidRDefault="00737EB2" w:rsidP="003334F3">
      <w:pPr>
        <w:pStyle w:val="af6"/>
        <w:numPr>
          <w:ilvl w:val="0"/>
          <w:numId w:val="57"/>
        </w:numPr>
        <w:tabs>
          <w:tab w:val="left" w:pos="851"/>
        </w:tabs>
        <w:snapToGrid w:val="0"/>
        <w:contextualSpacing/>
        <w:rPr>
          <w:rFonts w:hAnsi="宋体"/>
        </w:rPr>
      </w:pPr>
      <w:r w:rsidRPr="00765F6E">
        <w:rPr>
          <w:rFonts w:hAnsi="宋体" w:hint="eastAsia"/>
        </w:rPr>
        <w:t>联络线、出入线应在站内接轨。与站内正线接轨时应根据列车运行方向设置安全线，与站内到发线接轨时可不设安全线。困难条件下在区间内与正线接轨时，应在接轨处设置线路所，并根据列车运行方向设置安全线；</w:t>
      </w:r>
    </w:p>
    <w:p w14:paraId="0509EF6F" w14:textId="77777777" w:rsidR="00737EB2" w:rsidRPr="00765F6E" w:rsidRDefault="00737EB2" w:rsidP="003334F3">
      <w:pPr>
        <w:pStyle w:val="af6"/>
        <w:numPr>
          <w:ilvl w:val="0"/>
          <w:numId w:val="57"/>
        </w:numPr>
        <w:tabs>
          <w:tab w:val="left" w:pos="851"/>
        </w:tabs>
        <w:snapToGrid w:val="0"/>
        <w:contextualSpacing/>
        <w:rPr>
          <w:rFonts w:hAnsi="宋体"/>
        </w:rPr>
      </w:pPr>
      <w:r w:rsidRPr="00765F6E">
        <w:rPr>
          <w:rFonts w:hAnsi="宋体" w:hint="eastAsia"/>
        </w:rPr>
        <w:t>维修工区应在站内与到发线或其他站线接轨，并在接轨处设置安全线。当接车线末端、接轨处能利用其他站线及道岔作为隔开设备并有联锁装置时，可不设安全线。</w:t>
      </w:r>
    </w:p>
    <w:p w14:paraId="69332BF2" w14:textId="77777777" w:rsidR="00737EB2" w:rsidRPr="00765F6E" w:rsidRDefault="00737EB2" w:rsidP="009D0776">
      <w:pPr>
        <w:pStyle w:val="22"/>
      </w:pPr>
      <w:bookmarkStart w:id="754" w:name="_Toc153291113"/>
      <w:bookmarkStart w:id="755" w:name="_Toc99791681"/>
      <w:r w:rsidRPr="00765F6E">
        <w:rPr>
          <w:rFonts w:hint="eastAsia"/>
        </w:rPr>
        <w:t>车站内线路曲线地段各类建筑物和设备（包括站台）至线路中心线的距离应按有关规定加宽。位于线路曲线内侧并有外轨超高的站台应降低站台高度，降低值为0.6倍外轨超高度。</w:t>
      </w:r>
      <w:bookmarkEnd w:id="754"/>
      <w:bookmarkEnd w:id="755"/>
    </w:p>
    <w:p w14:paraId="462D6AF4" w14:textId="77777777" w:rsidR="00737EB2" w:rsidRPr="00765F6E" w:rsidRDefault="00737EB2" w:rsidP="00737EB2">
      <w:pPr>
        <w:pStyle w:val="affe"/>
        <w:spacing w:before="156" w:after="156"/>
      </w:pPr>
      <w:bookmarkStart w:id="756" w:name="_Toc153291115"/>
      <w:bookmarkStart w:id="757" w:name="_Toc99791683"/>
      <w:bookmarkStart w:id="758" w:name="_Toc153210841"/>
      <w:bookmarkStart w:id="759" w:name="_Toc167895739"/>
      <w:bookmarkStart w:id="760" w:name="_Toc174538653"/>
      <w:bookmarkStart w:id="761" w:name="_Toc182476407"/>
      <w:r w:rsidRPr="00765F6E">
        <w:rPr>
          <w:rFonts w:hint="eastAsia"/>
        </w:rPr>
        <w:t>站线布置</w:t>
      </w:r>
      <w:bookmarkEnd w:id="756"/>
      <w:bookmarkEnd w:id="757"/>
      <w:bookmarkEnd w:id="758"/>
      <w:bookmarkEnd w:id="759"/>
      <w:bookmarkEnd w:id="760"/>
      <w:bookmarkEnd w:id="761"/>
    </w:p>
    <w:p w14:paraId="576CFF5C" w14:textId="328067C6" w:rsidR="00737EB2" w:rsidRPr="00765F6E" w:rsidRDefault="00737EB2" w:rsidP="009D0776">
      <w:pPr>
        <w:pStyle w:val="22"/>
      </w:pPr>
      <w:bookmarkStart w:id="762" w:name="_Toc153291116"/>
      <w:bookmarkStart w:id="763" w:name="_Toc99791684"/>
      <w:r w:rsidRPr="00765F6E">
        <w:rPr>
          <w:rFonts w:hint="eastAsia"/>
        </w:rPr>
        <w:t>站线平面布置应根据引入线路数量、线路输送能力、车站作业量及列车开行方案等因素确定。</w:t>
      </w:r>
      <w:bookmarkEnd w:id="762"/>
      <w:bookmarkEnd w:id="763"/>
    </w:p>
    <w:p w14:paraId="0B8D5BC5" w14:textId="77777777" w:rsidR="00737EB2" w:rsidRPr="00765F6E" w:rsidRDefault="00737EB2" w:rsidP="009D0776">
      <w:pPr>
        <w:pStyle w:val="22"/>
      </w:pPr>
      <w:bookmarkStart w:id="764" w:name="_Toc153291117"/>
      <w:bookmarkStart w:id="765" w:name="_Toc99791685"/>
      <w:r w:rsidRPr="00765F6E">
        <w:rPr>
          <w:rFonts w:hint="eastAsia"/>
        </w:rPr>
        <w:t>站线咽喉区布置应符合车站接发车能力要求，并应减少正线上道岔数量。有多条线路引入时，引入端咽喉区布置应符合列车到（发）、出（入）平行作业要求。</w:t>
      </w:r>
      <w:bookmarkEnd w:id="764"/>
      <w:bookmarkEnd w:id="765"/>
    </w:p>
    <w:p w14:paraId="490644E5" w14:textId="77777777" w:rsidR="00737EB2" w:rsidRPr="00765F6E" w:rsidRDefault="00737EB2" w:rsidP="009D0776">
      <w:pPr>
        <w:pStyle w:val="22"/>
      </w:pPr>
      <w:bookmarkStart w:id="766" w:name="_Toc99791686"/>
      <w:bookmarkStart w:id="767" w:name="_Toc153291118"/>
      <w:r w:rsidRPr="00765F6E">
        <w:rPr>
          <w:rFonts w:hint="eastAsia"/>
        </w:rPr>
        <w:t>渡线应根据行车组织、场段布置、运营灵活性、养护维修以及防灾安全等因素确定，并符合下列规定：</w:t>
      </w:r>
      <w:bookmarkEnd w:id="766"/>
      <w:bookmarkEnd w:id="767"/>
    </w:p>
    <w:p w14:paraId="108DE51A" w14:textId="1FB27DAF" w:rsidR="00737EB2" w:rsidRPr="00765F6E" w:rsidRDefault="00737EB2" w:rsidP="003334F3">
      <w:pPr>
        <w:pStyle w:val="af6"/>
        <w:numPr>
          <w:ilvl w:val="0"/>
          <w:numId w:val="59"/>
        </w:numPr>
        <w:tabs>
          <w:tab w:val="left" w:pos="851"/>
        </w:tabs>
        <w:snapToGrid w:val="0"/>
        <w:contextualSpacing/>
        <w:rPr>
          <w:rFonts w:hAnsi="宋体"/>
        </w:rPr>
      </w:pPr>
      <w:r w:rsidRPr="00765F6E">
        <w:rPr>
          <w:rFonts w:hAnsi="宋体" w:hint="eastAsia"/>
        </w:rPr>
        <w:t>正线间单渡线</w:t>
      </w:r>
      <w:r w:rsidR="009D19C0">
        <w:rPr>
          <w:rFonts w:hAnsi="宋体" w:hint="eastAsia"/>
        </w:rPr>
        <w:t>按列车径路</w:t>
      </w:r>
      <w:r w:rsidRPr="00765F6E">
        <w:rPr>
          <w:rFonts w:hAnsi="宋体" w:hint="eastAsia"/>
        </w:rPr>
        <w:t>布置；</w:t>
      </w:r>
    </w:p>
    <w:p w14:paraId="2E9ADD1B" w14:textId="77777777" w:rsidR="00737EB2" w:rsidRPr="00765F6E" w:rsidRDefault="00737EB2" w:rsidP="003334F3">
      <w:pPr>
        <w:pStyle w:val="af6"/>
        <w:numPr>
          <w:ilvl w:val="0"/>
          <w:numId w:val="59"/>
        </w:numPr>
        <w:tabs>
          <w:tab w:val="left" w:pos="851"/>
        </w:tabs>
        <w:snapToGrid w:val="0"/>
        <w:contextualSpacing/>
        <w:rPr>
          <w:rFonts w:hAnsi="宋体"/>
        </w:rPr>
      </w:pPr>
      <w:r w:rsidRPr="00765F6E">
        <w:rPr>
          <w:rFonts w:hAnsi="宋体" w:hint="eastAsia"/>
        </w:rPr>
        <w:t>停车线端部应设置单渡线，并与正线贯通。</w:t>
      </w:r>
    </w:p>
    <w:p w14:paraId="0621134D" w14:textId="77777777" w:rsidR="00737EB2" w:rsidRPr="00765F6E" w:rsidRDefault="00737EB2" w:rsidP="009D0776">
      <w:pPr>
        <w:pStyle w:val="22"/>
      </w:pPr>
      <w:bookmarkStart w:id="768" w:name="_Toc99791687"/>
      <w:bookmarkStart w:id="769" w:name="_Toc153291119"/>
      <w:r w:rsidRPr="00765F6E">
        <w:rPr>
          <w:rFonts w:hint="eastAsia"/>
        </w:rPr>
        <w:t>折返线与停车线设置符合下列规定：</w:t>
      </w:r>
      <w:bookmarkEnd w:id="768"/>
      <w:bookmarkEnd w:id="769"/>
    </w:p>
    <w:p w14:paraId="3DEE372E" w14:textId="640CED7C" w:rsidR="00737EB2" w:rsidRPr="001D453C" w:rsidRDefault="009232CC" w:rsidP="003334F3">
      <w:pPr>
        <w:pStyle w:val="af6"/>
        <w:numPr>
          <w:ilvl w:val="0"/>
          <w:numId w:val="60"/>
        </w:numPr>
        <w:tabs>
          <w:tab w:val="left" w:pos="851"/>
        </w:tabs>
        <w:snapToGrid w:val="0"/>
        <w:contextualSpacing/>
        <w:rPr>
          <w:rFonts w:hAnsi="宋体"/>
        </w:rPr>
      </w:pPr>
      <w:r w:rsidRPr="00453DBE">
        <w:rPr>
          <w:rFonts w:hAnsi="宋体" w:hint="eastAsia"/>
        </w:rPr>
        <w:t>采用站后折返的车站应设置站后折返线，列车在车站进行立折作业的，在站前设置单渡线</w:t>
      </w:r>
      <w:r w:rsidR="00737EB2" w:rsidRPr="001D453C">
        <w:rPr>
          <w:rFonts w:hAnsi="宋体" w:hint="eastAsia"/>
        </w:rPr>
        <w:t>；</w:t>
      </w:r>
    </w:p>
    <w:p w14:paraId="76C7C11D" w14:textId="5EFF96F2" w:rsidR="00737EB2" w:rsidRPr="00765F6E" w:rsidRDefault="009232CC" w:rsidP="003334F3">
      <w:pPr>
        <w:pStyle w:val="af6"/>
        <w:numPr>
          <w:ilvl w:val="0"/>
          <w:numId w:val="60"/>
        </w:numPr>
        <w:tabs>
          <w:tab w:val="left" w:pos="851"/>
        </w:tabs>
        <w:snapToGrid w:val="0"/>
        <w:contextualSpacing/>
        <w:rPr>
          <w:rFonts w:hAnsi="宋体"/>
        </w:rPr>
      </w:pPr>
      <w:r w:rsidRPr="00453DBE">
        <w:rPr>
          <w:rFonts w:hAnsi="宋体" w:hint="eastAsia"/>
        </w:rPr>
        <w:t>采用站前折返的车站发车端咽喉应各设两条单渡线组成八字渡线，无发车作业端咽喉宜设一条单渡线。困难条件下八字渡线可采用交叉渡线</w:t>
      </w:r>
      <w:r w:rsidR="00737EB2" w:rsidRPr="00765F6E">
        <w:rPr>
          <w:rFonts w:hAnsi="宋体" w:hint="eastAsia"/>
        </w:rPr>
        <w:t>；</w:t>
      </w:r>
    </w:p>
    <w:p w14:paraId="68487AD5" w14:textId="77777777" w:rsidR="00737EB2" w:rsidRPr="00765F6E" w:rsidRDefault="00737EB2" w:rsidP="003334F3">
      <w:pPr>
        <w:pStyle w:val="af6"/>
        <w:numPr>
          <w:ilvl w:val="0"/>
          <w:numId w:val="60"/>
        </w:numPr>
        <w:tabs>
          <w:tab w:val="left" w:pos="851"/>
        </w:tabs>
        <w:snapToGrid w:val="0"/>
        <w:contextualSpacing/>
        <w:rPr>
          <w:rFonts w:hAnsi="宋体"/>
        </w:rPr>
      </w:pPr>
      <w:r w:rsidRPr="00765F6E">
        <w:rPr>
          <w:rFonts w:hAnsi="宋体" w:hint="eastAsia"/>
        </w:rPr>
        <w:t>远离车辆段或停车场的起点、终点车站折返线与停车线应符合列车和工程维修车辆折返、故障车停车、夜间存车等要求；</w:t>
      </w:r>
    </w:p>
    <w:p w14:paraId="3F9D1C9D" w14:textId="77777777" w:rsidR="00737EB2" w:rsidRPr="00765F6E" w:rsidRDefault="00737EB2" w:rsidP="003334F3">
      <w:pPr>
        <w:pStyle w:val="af6"/>
        <w:numPr>
          <w:ilvl w:val="0"/>
          <w:numId w:val="60"/>
        </w:numPr>
        <w:tabs>
          <w:tab w:val="left" w:pos="851"/>
        </w:tabs>
        <w:snapToGrid w:val="0"/>
        <w:contextualSpacing/>
        <w:rPr>
          <w:rFonts w:hAnsi="宋体"/>
        </w:rPr>
      </w:pPr>
      <w:r w:rsidRPr="00765F6E">
        <w:rPr>
          <w:rFonts w:hAnsi="宋体" w:hint="eastAsia"/>
        </w:rPr>
        <w:t>停车线应具备故障列车临时待避停放和组织临时交路折返的功能，可结合开行方案与工程条件与到发线合设。</w:t>
      </w:r>
    </w:p>
    <w:p w14:paraId="095F87B5" w14:textId="77777777" w:rsidR="00737EB2" w:rsidRPr="00765F6E" w:rsidRDefault="00737EB2" w:rsidP="009D0776">
      <w:pPr>
        <w:pStyle w:val="22"/>
      </w:pPr>
      <w:bookmarkStart w:id="770" w:name="_Toc153291120"/>
      <w:bookmarkStart w:id="771" w:name="_Toc99791688"/>
      <w:r w:rsidRPr="00765F6E">
        <w:rPr>
          <w:rFonts w:hint="eastAsia"/>
        </w:rPr>
        <w:t>出入线与正线宜采用立体交叉。</w:t>
      </w:r>
      <w:bookmarkEnd w:id="770"/>
      <w:bookmarkEnd w:id="771"/>
    </w:p>
    <w:p w14:paraId="30E5E7F9" w14:textId="77777777" w:rsidR="00737EB2" w:rsidRPr="00765F6E" w:rsidRDefault="00737EB2" w:rsidP="009D0776">
      <w:pPr>
        <w:pStyle w:val="22"/>
      </w:pPr>
      <w:bookmarkStart w:id="772" w:name="_Toc99791689"/>
      <w:bookmarkStart w:id="773" w:name="_Toc153291121"/>
      <w:r w:rsidRPr="00765F6E">
        <w:rPr>
          <w:rFonts w:hint="eastAsia"/>
        </w:rPr>
        <w:t>道岔号数的选择符合下列规定：</w:t>
      </w:r>
      <w:bookmarkEnd w:id="772"/>
      <w:bookmarkEnd w:id="773"/>
    </w:p>
    <w:p w14:paraId="7F00FE4A" w14:textId="77777777" w:rsidR="00737EB2" w:rsidRPr="00765F6E" w:rsidRDefault="00737EB2" w:rsidP="003334F3">
      <w:pPr>
        <w:pStyle w:val="af6"/>
        <w:numPr>
          <w:ilvl w:val="0"/>
          <w:numId w:val="61"/>
        </w:numPr>
        <w:tabs>
          <w:tab w:val="left" w:pos="851"/>
        </w:tabs>
        <w:snapToGrid w:val="0"/>
        <w:contextualSpacing/>
        <w:rPr>
          <w:rFonts w:hAnsi="宋体"/>
        </w:rPr>
      </w:pPr>
      <w:r w:rsidRPr="00765F6E">
        <w:rPr>
          <w:rFonts w:hAnsi="宋体" w:hint="eastAsia"/>
        </w:rPr>
        <w:t>正线道岔直向通过速度不应小于路段设计速度；</w:t>
      </w:r>
    </w:p>
    <w:p w14:paraId="64285DFB" w14:textId="77777777" w:rsidR="00737EB2" w:rsidRPr="00765F6E" w:rsidRDefault="00737EB2" w:rsidP="003334F3">
      <w:pPr>
        <w:pStyle w:val="af6"/>
        <w:numPr>
          <w:ilvl w:val="0"/>
          <w:numId w:val="61"/>
        </w:numPr>
        <w:tabs>
          <w:tab w:val="left" w:pos="851"/>
        </w:tabs>
        <w:snapToGrid w:val="0"/>
        <w:contextualSpacing/>
        <w:rPr>
          <w:rFonts w:hAnsi="宋体"/>
        </w:rPr>
      </w:pPr>
      <w:r w:rsidRPr="00765F6E">
        <w:rPr>
          <w:rFonts w:hAnsi="宋体" w:hint="eastAsia"/>
        </w:rPr>
        <w:t>正线与联络线连接道岔应根据联络线的设计速度确定；</w:t>
      </w:r>
    </w:p>
    <w:p w14:paraId="7BAA652F" w14:textId="77777777" w:rsidR="00737EB2" w:rsidRPr="00765F6E" w:rsidRDefault="00737EB2" w:rsidP="003334F3">
      <w:pPr>
        <w:pStyle w:val="af6"/>
        <w:numPr>
          <w:ilvl w:val="0"/>
          <w:numId w:val="61"/>
        </w:numPr>
        <w:tabs>
          <w:tab w:val="left" w:pos="851"/>
        </w:tabs>
        <w:snapToGrid w:val="0"/>
        <w:contextualSpacing/>
        <w:rPr>
          <w:rFonts w:hAnsi="宋体"/>
        </w:rPr>
      </w:pPr>
      <w:r w:rsidRPr="00765F6E">
        <w:rPr>
          <w:rFonts w:hAnsi="宋体" w:hint="eastAsia"/>
        </w:rPr>
        <w:t>正线上及侧向接发列车的到发线上的道岔不应小于9号；</w:t>
      </w:r>
    </w:p>
    <w:p w14:paraId="52F8B7B5" w14:textId="142B3345" w:rsidR="00737EB2" w:rsidRPr="00765F6E" w:rsidRDefault="00737EB2" w:rsidP="003334F3">
      <w:pPr>
        <w:pStyle w:val="af6"/>
        <w:numPr>
          <w:ilvl w:val="0"/>
          <w:numId w:val="61"/>
        </w:numPr>
        <w:tabs>
          <w:tab w:val="left" w:pos="851"/>
        </w:tabs>
        <w:snapToGrid w:val="0"/>
        <w:contextualSpacing/>
        <w:rPr>
          <w:rFonts w:hAnsi="宋体"/>
        </w:rPr>
      </w:pPr>
      <w:r w:rsidRPr="00765F6E">
        <w:rPr>
          <w:rFonts w:hAnsi="宋体" w:hint="eastAsia"/>
        </w:rPr>
        <w:t>车辆基地内试车线上的道岔不</w:t>
      </w:r>
      <w:r w:rsidR="00961456">
        <w:rPr>
          <w:rFonts w:hAnsi="宋体" w:hint="eastAsia"/>
        </w:rPr>
        <w:t>宜</w:t>
      </w:r>
      <w:r w:rsidRPr="00765F6E">
        <w:rPr>
          <w:rFonts w:hAnsi="宋体" w:hint="eastAsia"/>
        </w:rPr>
        <w:t>小于9号。运行市域A型车、市域B型车的车辆基地内除试车线外其他线路上道岔不</w:t>
      </w:r>
      <w:r w:rsidR="00961456">
        <w:rPr>
          <w:rFonts w:hAnsi="宋体" w:hint="eastAsia"/>
        </w:rPr>
        <w:t>宜</w:t>
      </w:r>
      <w:r w:rsidRPr="00765F6E">
        <w:rPr>
          <w:rFonts w:hAnsi="宋体" w:hint="eastAsia"/>
        </w:rPr>
        <w:t>小于7号；运行市域C型车、市域D型车的车辆基地内除试车线外，其他线路上道岔宜采用9号。</w:t>
      </w:r>
    </w:p>
    <w:p w14:paraId="2AAC6981" w14:textId="3EF075C6" w:rsidR="00737EB2" w:rsidRPr="00765F6E" w:rsidRDefault="00737EB2" w:rsidP="009D0776">
      <w:pPr>
        <w:pStyle w:val="22"/>
      </w:pPr>
      <w:bookmarkStart w:id="774" w:name="_Toc153291122"/>
      <w:bookmarkStart w:id="775" w:name="_Toc99791690"/>
      <w:r w:rsidRPr="00765F6E">
        <w:rPr>
          <w:rFonts w:hint="eastAsia"/>
        </w:rPr>
        <w:t>相邻道岔间插入短轨最小长度应符合表</w:t>
      </w:r>
      <w:r w:rsidR="00E512B4" w:rsidRPr="00765F6E">
        <w:rPr>
          <w:rFonts w:hint="eastAsia"/>
        </w:rPr>
        <w:t>1</w:t>
      </w:r>
      <w:r w:rsidR="00E512B4">
        <w:t>7</w:t>
      </w:r>
      <w:r w:rsidRPr="00765F6E">
        <w:rPr>
          <w:rFonts w:hint="eastAsia"/>
        </w:rPr>
        <w:t>和表</w:t>
      </w:r>
      <w:r w:rsidR="00E512B4" w:rsidRPr="00765F6E">
        <w:rPr>
          <w:rFonts w:hint="eastAsia"/>
        </w:rPr>
        <w:t>1</w:t>
      </w:r>
      <w:r w:rsidR="00E512B4">
        <w:t>8</w:t>
      </w:r>
      <w:r w:rsidRPr="00765F6E">
        <w:rPr>
          <w:rFonts w:hint="eastAsia"/>
        </w:rPr>
        <w:t>的规定，同时应符合道岔结构要求。</w:t>
      </w:r>
      <w:bookmarkEnd w:id="774"/>
      <w:bookmarkEnd w:id="775"/>
    </w:p>
    <w:p w14:paraId="33585008" w14:textId="77777777" w:rsidR="00737EB2" w:rsidRPr="00765F6E" w:rsidRDefault="00737EB2" w:rsidP="00737EB2">
      <w:pPr>
        <w:pStyle w:val="aff3"/>
        <w:spacing w:before="156" w:after="156"/>
      </w:pPr>
      <w:r w:rsidRPr="00765F6E">
        <w:rPr>
          <w:rFonts w:hint="eastAsia"/>
        </w:rPr>
        <w:t>两对向单开道岔间插入钢轨的最小长度</w:t>
      </w:r>
    </w:p>
    <w:p w14:paraId="5E031866" w14:textId="77777777" w:rsidR="00737EB2" w:rsidRPr="00765F6E" w:rsidRDefault="00737EB2" w:rsidP="00ED2D3D">
      <w:pPr>
        <w:pStyle w:val="affffb"/>
        <w:ind w:firstLine="360"/>
        <w:jc w:val="right"/>
        <w:rPr>
          <w:sz w:val="18"/>
          <w:szCs w:val="18"/>
        </w:rPr>
      </w:pPr>
      <w:r w:rsidRPr="00765F6E">
        <w:rPr>
          <w:rFonts w:hint="eastAsia"/>
          <w:sz w:val="18"/>
          <w:szCs w:val="18"/>
        </w:rPr>
        <w:t>单位为米</w:t>
      </w:r>
    </w:p>
    <w:tbl>
      <w:tblPr>
        <w:tblStyle w:val="25"/>
        <w:tblW w:w="0" w:type="auto"/>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4523"/>
        <w:gridCol w:w="426"/>
        <w:gridCol w:w="2250"/>
        <w:gridCol w:w="576"/>
        <w:gridCol w:w="576"/>
        <w:gridCol w:w="983"/>
      </w:tblGrid>
      <w:tr w:rsidR="00737EB2" w:rsidRPr="00765F6E" w14:paraId="5100AD41" w14:textId="77777777" w:rsidTr="00871D47">
        <w:trPr>
          <w:trHeight w:val="176"/>
        </w:trPr>
        <w:tc>
          <w:tcPr>
            <w:tcW w:w="4523" w:type="dxa"/>
            <w:vMerge w:val="restart"/>
            <w:tcBorders>
              <w:top w:val="single" w:sz="8" w:space="0" w:color="auto"/>
              <w:bottom w:val="single" w:sz="8" w:space="0" w:color="auto"/>
            </w:tcBorders>
            <w:shd w:val="clear" w:color="auto" w:fill="auto"/>
            <w:vAlign w:val="center"/>
          </w:tcPr>
          <w:p w14:paraId="37CBE48F"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道岔布置</w:t>
            </w:r>
          </w:p>
        </w:tc>
        <w:tc>
          <w:tcPr>
            <w:tcW w:w="2676" w:type="dxa"/>
            <w:gridSpan w:val="2"/>
            <w:vMerge w:val="restart"/>
            <w:tcBorders>
              <w:top w:val="single" w:sz="8" w:space="0" w:color="auto"/>
              <w:bottom w:val="single" w:sz="8" w:space="0" w:color="auto"/>
            </w:tcBorders>
            <w:shd w:val="clear" w:color="auto" w:fill="auto"/>
            <w:vAlign w:val="center"/>
          </w:tcPr>
          <w:p w14:paraId="240C242F"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线别</w:t>
            </w:r>
          </w:p>
        </w:tc>
        <w:tc>
          <w:tcPr>
            <w:tcW w:w="1152" w:type="dxa"/>
            <w:gridSpan w:val="2"/>
            <w:tcBorders>
              <w:top w:val="single" w:sz="8" w:space="0" w:color="auto"/>
              <w:bottom w:val="single" w:sz="4" w:space="0" w:color="auto"/>
            </w:tcBorders>
            <w:shd w:val="clear" w:color="auto" w:fill="auto"/>
            <w:vAlign w:val="center"/>
          </w:tcPr>
          <w:p w14:paraId="00D4D793" w14:textId="77777777" w:rsidR="00737EB2" w:rsidRPr="00BF0BA3" w:rsidRDefault="00737EB2" w:rsidP="00871D47">
            <w:pPr>
              <w:adjustRightInd/>
              <w:spacing w:line="200" w:lineRule="exact"/>
              <w:jc w:val="center"/>
              <w:rPr>
                <w:rFonts w:ascii="宋体" w:eastAsia="宋体" w:hAnsi="宋体" w:cs="宋体"/>
                <w:kern w:val="0"/>
                <w:sz w:val="18"/>
                <w:szCs w:val="18"/>
              </w:rPr>
            </w:pPr>
            <w:r w:rsidRPr="00BF0BA3">
              <w:rPr>
                <w:rFonts w:ascii="宋体" w:eastAsia="宋体" w:hAnsi="宋体" w:cs="宋体" w:hint="eastAsia"/>
                <w:kern w:val="0"/>
                <w:sz w:val="18"/>
                <w:szCs w:val="18"/>
              </w:rPr>
              <w:t>有列车同时通过两侧线</w:t>
            </w:r>
          </w:p>
        </w:tc>
        <w:tc>
          <w:tcPr>
            <w:tcW w:w="983" w:type="dxa"/>
            <w:vMerge w:val="restart"/>
            <w:tcBorders>
              <w:top w:val="single" w:sz="8" w:space="0" w:color="auto"/>
              <w:bottom w:val="single" w:sz="8" w:space="0" w:color="auto"/>
            </w:tcBorders>
            <w:shd w:val="clear" w:color="auto" w:fill="auto"/>
            <w:vAlign w:val="center"/>
          </w:tcPr>
          <w:p w14:paraId="005ED43C" w14:textId="77777777" w:rsidR="00737EB2" w:rsidRPr="00BF0BA3" w:rsidRDefault="00737EB2" w:rsidP="00871D47">
            <w:pPr>
              <w:adjustRightInd/>
              <w:spacing w:line="200" w:lineRule="exact"/>
              <w:jc w:val="center"/>
              <w:rPr>
                <w:rFonts w:ascii="宋体" w:eastAsia="宋体" w:hAnsi="宋体" w:cs="宋体"/>
                <w:kern w:val="0"/>
                <w:sz w:val="18"/>
                <w:szCs w:val="18"/>
              </w:rPr>
            </w:pPr>
            <w:r w:rsidRPr="00BF0BA3">
              <w:rPr>
                <w:rFonts w:ascii="宋体" w:eastAsia="宋体" w:hAnsi="宋体" w:cs="宋体" w:hint="eastAsia"/>
                <w:kern w:val="0"/>
                <w:sz w:val="18"/>
                <w:szCs w:val="18"/>
              </w:rPr>
              <w:t>无列车同时通过两侧线</w:t>
            </w:r>
          </w:p>
        </w:tc>
      </w:tr>
      <w:tr w:rsidR="00737EB2" w:rsidRPr="00765F6E" w14:paraId="217E871F" w14:textId="77777777" w:rsidTr="00871D47">
        <w:trPr>
          <w:trHeight w:val="176"/>
        </w:trPr>
        <w:tc>
          <w:tcPr>
            <w:tcW w:w="4523" w:type="dxa"/>
            <w:vMerge/>
            <w:tcBorders>
              <w:top w:val="single" w:sz="8" w:space="0" w:color="auto"/>
              <w:bottom w:val="single" w:sz="8" w:space="0" w:color="auto"/>
            </w:tcBorders>
            <w:shd w:val="clear" w:color="auto" w:fill="auto"/>
            <w:vAlign w:val="center"/>
          </w:tcPr>
          <w:p w14:paraId="22038971" w14:textId="77777777" w:rsidR="00737EB2" w:rsidRPr="00765F6E" w:rsidRDefault="00737EB2" w:rsidP="00871D47">
            <w:pPr>
              <w:adjustRightInd/>
              <w:spacing w:line="240" w:lineRule="auto"/>
              <w:jc w:val="center"/>
              <w:rPr>
                <w:rFonts w:ascii="黑体" w:eastAsia="黑体" w:hAnsi="黑体" w:cs="宋体"/>
                <w:sz w:val="18"/>
                <w:szCs w:val="18"/>
              </w:rPr>
            </w:pPr>
          </w:p>
        </w:tc>
        <w:tc>
          <w:tcPr>
            <w:tcW w:w="2676" w:type="dxa"/>
            <w:gridSpan w:val="2"/>
            <w:vMerge/>
            <w:tcBorders>
              <w:top w:val="single" w:sz="8" w:space="0" w:color="auto"/>
              <w:bottom w:val="single" w:sz="8" w:space="0" w:color="auto"/>
            </w:tcBorders>
            <w:shd w:val="clear" w:color="auto" w:fill="auto"/>
            <w:vAlign w:val="center"/>
          </w:tcPr>
          <w:p w14:paraId="7CBC7490" w14:textId="77777777" w:rsidR="00737EB2" w:rsidRPr="00765F6E" w:rsidRDefault="00737EB2" w:rsidP="00871D47">
            <w:pPr>
              <w:adjustRightInd/>
              <w:spacing w:line="240" w:lineRule="auto"/>
              <w:jc w:val="center"/>
              <w:rPr>
                <w:rFonts w:ascii="黑体" w:eastAsia="黑体" w:hAnsi="黑体" w:cs="宋体"/>
                <w:sz w:val="18"/>
                <w:szCs w:val="18"/>
              </w:rPr>
            </w:pPr>
          </w:p>
        </w:tc>
        <w:tc>
          <w:tcPr>
            <w:tcW w:w="576" w:type="dxa"/>
            <w:tcBorders>
              <w:top w:val="single" w:sz="4" w:space="0" w:color="auto"/>
              <w:bottom w:val="single" w:sz="8" w:space="0" w:color="auto"/>
            </w:tcBorders>
            <w:shd w:val="clear" w:color="auto" w:fill="auto"/>
            <w:vAlign w:val="center"/>
          </w:tcPr>
          <w:p w14:paraId="64D0A136"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一般</w:t>
            </w:r>
          </w:p>
        </w:tc>
        <w:tc>
          <w:tcPr>
            <w:tcW w:w="576" w:type="dxa"/>
            <w:tcBorders>
              <w:top w:val="single" w:sz="4" w:space="0" w:color="auto"/>
              <w:bottom w:val="single" w:sz="8" w:space="0" w:color="auto"/>
            </w:tcBorders>
            <w:shd w:val="clear" w:color="auto" w:fill="auto"/>
            <w:vAlign w:val="center"/>
          </w:tcPr>
          <w:p w14:paraId="32C579D9"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困难</w:t>
            </w:r>
          </w:p>
        </w:tc>
        <w:tc>
          <w:tcPr>
            <w:tcW w:w="983" w:type="dxa"/>
            <w:vMerge/>
            <w:tcBorders>
              <w:top w:val="single" w:sz="8" w:space="0" w:color="auto"/>
              <w:bottom w:val="single" w:sz="8" w:space="0" w:color="auto"/>
            </w:tcBorders>
            <w:shd w:val="clear" w:color="auto" w:fill="auto"/>
            <w:vAlign w:val="center"/>
          </w:tcPr>
          <w:p w14:paraId="5CE03C84" w14:textId="77777777" w:rsidR="00737EB2" w:rsidRPr="00765F6E" w:rsidRDefault="00737EB2" w:rsidP="00871D47">
            <w:pPr>
              <w:adjustRightInd/>
              <w:spacing w:line="240" w:lineRule="auto"/>
              <w:jc w:val="center"/>
              <w:rPr>
                <w:rFonts w:ascii="宋体" w:hAnsi="Courier New" w:cs="Courier New"/>
              </w:rPr>
            </w:pPr>
          </w:p>
        </w:tc>
      </w:tr>
      <w:tr w:rsidR="00737EB2" w:rsidRPr="00765F6E" w14:paraId="26FBC48D" w14:textId="77777777" w:rsidTr="00871D47">
        <w:trPr>
          <w:trHeight w:val="176"/>
        </w:trPr>
        <w:tc>
          <w:tcPr>
            <w:tcW w:w="4523" w:type="dxa"/>
            <w:vMerge w:val="restart"/>
            <w:tcBorders>
              <w:top w:val="single" w:sz="8" w:space="0" w:color="auto"/>
            </w:tcBorders>
            <w:shd w:val="clear" w:color="auto" w:fill="auto"/>
            <w:vAlign w:val="center"/>
          </w:tcPr>
          <w:p w14:paraId="0E126AB6" w14:textId="77777777" w:rsidR="00737EB2" w:rsidRPr="00765F6E" w:rsidRDefault="00737EB2" w:rsidP="00871D47">
            <w:pPr>
              <w:adjustRightInd/>
              <w:spacing w:line="240" w:lineRule="auto"/>
              <w:jc w:val="center"/>
              <w:rPr>
                <w:rFonts w:ascii="宋体" w:hAnsi="Courier New" w:cs="Courier New"/>
              </w:rPr>
            </w:pPr>
            <w:r w:rsidRPr="00765F6E">
              <w:rPr>
                <w:rFonts w:ascii="宋体" w:eastAsia="宋体" w:hAnsi="Courier New" w:cs="Courier New"/>
              </w:rPr>
              <w:object w:dxaOrig="3023" w:dyaOrig="1362" w14:anchorId="56CE19ED">
                <v:shape id="_x0000_i1031" type="#_x0000_t75" style="width:150.7pt;height:62.8pt" o:ole="">
                  <v:imagedata r:id="rId33" o:title=""/>
                </v:shape>
                <o:OLEObject Type="Embed" ProgID="Visio.Drawing.15" ShapeID="_x0000_i1031" DrawAspect="Content" ObjectID="_1793792796" r:id="rId34"/>
              </w:object>
            </w:r>
          </w:p>
        </w:tc>
        <w:tc>
          <w:tcPr>
            <w:tcW w:w="426" w:type="dxa"/>
            <w:vMerge w:val="restart"/>
            <w:tcBorders>
              <w:top w:val="single" w:sz="8" w:space="0" w:color="auto"/>
            </w:tcBorders>
            <w:shd w:val="clear" w:color="auto" w:fill="auto"/>
            <w:vAlign w:val="center"/>
          </w:tcPr>
          <w:p w14:paraId="73946F4D" w14:textId="77777777" w:rsidR="00737EB2" w:rsidRPr="00BF0BA3" w:rsidRDefault="00737EB2" w:rsidP="00871D47">
            <w:pPr>
              <w:adjustRightInd/>
              <w:spacing w:line="240" w:lineRule="exact"/>
              <w:jc w:val="center"/>
              <w:rPr>
                <w:rFonts w:ascii="宋体" w:eastAsia="宋体" w:hAnsi="宋体" w:cs="宋体"/>
                <w:kern w:val="0"/>
                <w:sz w:val="18"/>
                <w:szCs w:val="18"/>
              </w:rPr>
            </w:pPr>
            <w:r w:rsidRPr="00BF0BA3">
              <w:rPr>
                <w:rFonts w:ascii="宋体" w:eastAsia="宋体" w:hAnsi="宋体" w:cs="宋体" w:hint="eastAsia"/>
                <w:kern w:val="0"/>
                <w:sz w:val="18"/>
                <w:szCs w:val="18"/>
              </w:rPr>
              <w:t>正线</w:t>
            </w:r>
          </w:p>
        </w:tc>
        <w:tc>
          <w:tcPr>
            <w:tcW w:w="2250" w:type="dxa"/>
            <w:tcBorders>
              <w:top w:val="single" w:sz="8" w:space="0" w:color="auto"/>
            </w:tcBorders>
            <w:shd w:val="clear" w:color="auto" w:fill="auto"/>
            <w:vAlign w:val="center"/>
          </w:tcPr>
          <w:p w14:paraId="207EDD1A" w14:textId="77777777" w:rsidR="00737EB2" w:rsidRPr="00BF0BA3" w:rsidRDefault="00737EB2" w:rsidP="00871D47">
            <w:pPr>
              <w:adjustRightInd/>
              <w:spacing w:line="200" w:lineRule="exact"/>
              <w:jc w:val="center"/>
              <w:rPr>
                <w:rFonts w:ascii="宋体" w:eastAsia="宋体" w:hAnsi="宋体" w:cs="宋体"/>
                <w:kern w:val="0"/>
                <w:sz w:val="18"/>
                <w:szCs w:val="18"/>
              </w:rPr>
            </w:pPr>
            <w:r w:rsidRPr="00BF0BA3">
              <w:rPr>
                <w:rFonts w:ascii="宋体" w:eastAsia="宋体" w:hAnsi="宋体" w:cs="宋体" w:hint="eastAsia"/>
                <w:kern w:val="0"/>
                <w:sz w:val="18"/>
                <w:szCs w:val="18"/>
              </w:rPr>
              <w:t>直向通过速度v：1</w:t>
            </w:r>
            <w:r w:rsidRPr="00BF0BA3">
              <w:rPr>
                <w:rFonts w:ascii="宋体" w:eastAsia="宋体" w:hAnsi="宋体" w:cs="宋体"/>
                <w:kern w:val="0"/>
                <w:sz w:val="18"/>
                <w:szCs w:val="18"/>
              </w:rPr>
              <w:t>40km/h</w:t>
            </w:r>
            <w:r w:rsidRPr="00BF0BA3">
              <w:rPr>
                <w:rFonts w:ascii="宋体" w:eastAsia="宋体" w:hAnsi="宋体" w:cs="宋体" w:hint="eastAsia"/>
                <w:kern w:val="0"/>
                <w:sz w:val="18"/>
                <w:szCs w:val="18"/>
              </w:rPr>
              <w:t>＜v≤</w:t>
            </w:r>
            <w:r w:rsidRPr="00BF0BA3">
              <w:rPr>
                <w:rFonts w:ascii="宋体" w:eastAsia="宋体" w:hAnsi="宋体" w:cs="宋体"/>
                <w:kern w:val="0"/>
                <w:sz w:val="18"/>
                <w:szCs w:val="18"/>
              </w:rPr>
              <w:t>160km/h</w:t>
            </w:r>
          </w:p>
        </w:tc>
        <w:tc>
          <w:tcPr>
            <w:tcW w:w="576" w:type="dxa"/>
            <w:tcBorders>
              <w:top w:val="single" w:sz="8" w:space="0" w:color="auto"/>
            </w:tcBorders>
            <w:shd w:val="clear" w:color="auto" w:fill="auto"/>
            <w:vAlign w:val="center"/>
          </w:tcPr>
          <w:p w14:paraId="3DF4F94D"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2</w:t>
            </w:r>
            <w:r w:rsidRPr="00BF0BA3">
              <w:rPr>
                <w:rFonts w:ascii="宋体" w:eastAsia="宋体" w:hAnsi="宋体" w:cs="宋体"/>
                <w:kern w:val="0"/>
                <w:sz w:val="18"/>
                <w:szCs w:val="18"/>
              </w:rPr>
              <w:t>5.0</w:t>
            </w:r>
          </w:p>
        </w:tc>
        <w:tc>
          <w:tcPr>
            <w:tcW w:w="576" w:type="dxa"/>
            <w:tcBorders>
              <w:top w:val="single" w:sz="8" w:space="0" w:color="auto"/>
            </w:tcBorders>
            <w:shd w:val="clear" w:color="auto" w:fill="auto"/>
            <w:vAlign w:val="center"/>
          </w:tcPr>
          <w:p w14:paraId="7A0CC40E"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1</w:t>
            </w:r>
            <w:r w:rsidRPr="00BF0BA3">
              <w:rPr>
                <w:rFonts w:ascii="宋体" w:eastAsia="宋体" w:hAnsi="宋体" w:cs="宋体"/>
                <w:kern w:val="0"/>
                <w:sz w:val="18"/>
                <w:szCs w:val="18"/>
              </w:rPr>
              <w:t>2.5</w:t>
            </w:r>
          </w:p>
        </w:tc>
        <w:tc>
          <w:tcPr>
            <w:tcW w:w="983" w:type="dxa"/>
            <w:tcBorders>
              <w:top w:val="single" w:sz="8" w:space="0" w:color="auto"/>
            </w:tcBorders>
            <w:shd w:val="clear" w:color="auto" w:fill="auto"/>
            <w:vAlign w:val="center"/>
          </w:tcPr>
          <w:p w14:paraId="56CA390E"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1</w:t>
            </w:r>
            <w:r w:rsidRPr="00BF0BA3">
              <w:rPr>
                <w:rFonts w:ascii="宋体" w:eastAsia="宋体" w:hAnsi="宋体" w:cs="宋体"/>
                <w:kern w:val="0"/>
                <w:sz w:val="18"/>
                <w:szCs w:val="18"/>
              </w:rPr>
              <w:t>2.5</w:t>
            </w:r>
          </w:p>
        </w:tc>
      </w:tr>
      <w:tr w:rsidR="00737EB2" w:rsidRPr="00765F6E" w14:paraId="224B1F7A" w14:textId="77777777" w:rsidTr="00871D47">
        <w:trPr>
          <w:trHeight w:val="176"/>
        </w:trPr>
        <w:tc>
          <w:tcPr>
            <w:tcW w:w="4523" w:type="dxa"/>
            <w:vMerge/>
            <w:shd w:val="clear" w:color="auto" w:fill="auto"/>
            <w:vAlign w:val="center"/>
          </w:tcPr>
          <w:p w14:paraId="23B00F5E" w14:textId="77777777" w:rsidR="00737EB2" w:rsidRPr="00765F6E" w:rsidRDefault="00737EB2" w:rsidP="00871D47">
            <w:pPr>
              <w:adjustRightInd/>
              <w:spacing w:line="240" w:lineRule="auto"/>
              <w:jc w:val="center"/>
              <w:rPr>
                <w:rFonts w:ascii="宋体" w:hAnsi="Courier New" w:cs="Courier New"/>
              </w:rPr>
            </w:pPr>
          </w:p>
        </w:tc>
        <w:tc>
          <w:tcPr>
            <w:tcW w:w="426" w:type="dxa"/>
            <w:vMerge/>
            <w:shd w:val="clear" w:color="auto" w:fill="auto"/>
            <w:vAlign w:val="center"/>
          </w:tcPr>
          <w:p w14:paraId="344A6131" w14:textId="77777777" w:rsidR="00737EB2" w:rsidRPr="00BF0BA3" w:rsidRDefault="00737EB2" w:rsidP="00871D47">
            <w:pPr>
              <w:adjustRightInd/>
              <w:spacing w:line="240" w:lineRule="auto"/>
              <w:jc w:val="center"/>
              <w:rPr>
                <w:rFonts w:ascii="宋体" w:eastAsia="宋体" w:hAnsi="宋体" w:cs="宋体"/>
                <w:kern w:val="0"/>
                <w:sz w:val="18"/>
                <w:szCs w:val="18"/>
              </w:rPr>
            </w:pPr>
          </w:p>
        </w:tc>
        <w:tc>
          <w:tcPr>
            <w:tcW w:w="2250" w:type="dxa"/>
            <w:shd w:val="clear" w:color="auto" w:fill="auto"/>
            <w:vAlign w:val="center"/>
          </w:tcPr>
          <w:p w14:paraId="247F58B0" w14:textId="77777777" w:rsidR="00737EB2" w:rsidRPr="00BF0BA3" w:rsidRDefault="00737EB2" w:rsidP="00871D47">
            <w:pPr>
              <w:adjustRightInd/>
              <w:spacing w:line="200" w:lineRule="exact"/>
              <w:jc w:val="center"/>
              <w:rPr>
                <w:rFonts w:ascii="宋体" w:eastAsia="宋体" w:hAnsi="宋体" w:cs="宋体"/>
                <w:kern w:val="0"/>
                <w:sz w:val="18"/>
                <w:szCs w:val="18"/>
              </w:rPr>
            </w:pPr>
            <w:r w:rsidRPr="00BF0BA3">
              <w:rPr>
                <w:rFonts w:ascii="宋体" w:eastAsia="宋体" w:hAnsi="宋体" w:cs="宋体" w:hint="eastAsia"/>
                <w:kern w:val="0"/>
                <w:sz w:val="18"/>
                <w:szCs w:val="18"/>
              </w:rPr>
              <w:t>直向通过速度v：1</w:t>
            </w:r>
            <w:r w:rsidRPr="00BF0BA3">
              <w:rPr>
                <w:rFonts w:ascii="宋体" w:eastAsia="宋体" w:hAnsi="宋体" w:cs="宋体"/>
                <w:kern w:val="0"/>
                <w:sz w:val="18"/>
                <w:szCs w:val="18"/>
              </w:rPr>
              <w:t>20km/h</w:t>
            </w:r>
            <w:r w:rsidRPr="00BF0BA3">
              <w:rPr>
                <w:rFonts w:ascii="宋体" w:eastAsia="宋体" w:hAnsi="宋体" w:cs="宋体" w:hint="eastAsia"/>
                <w:kern w:val="0"/>
                <w:sz w:val="18"/>
                <w:szCs w:val="18"/>
              </w:rPr>
              <w:t>＜v≤</w:t>
            </w:r>
            <w:r w:rsidRPr="00BF0BA3">
              <w:rPr>
                <w:rFonts w:ascii="宋体" w:eastAsia="宋体" w:hAnsi="宋体" w:cs="宋体"/>
                <w:kern w:val="0"/>
                <w:sz w:val="18"/>
                <w:szCs w:val="18"/>
              </w:rPr>
              <w:t>140km/h</w:t>
            </w:r>
          </w:p>
        </w:tc>
        <w:tc>
          <w:tcPr>
            <w:tcW w:w="576" w:type="dxa"/>
            <w:shd w:val="clear" w:color="auto" w:fill="auto"/>
            <w:vAlign w:val="center"/>
          </w:tcPr>
          <w:p w14:paraId="447A2124"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1</w:t>
            </w:r>
            <w:r w:rsidRPr="00BF0BA3">
              <w:rPr>
                <w:rFonts w:ascii="宋体" w:eastAsia="宋体" w:hAnsi="宋体" w:cs="宋体"/>
                <w:kern w:val="0"/>
                <w:sz w:val="18"/>
                <w:szCs w:val="18"/>
              </w:rPr>
              <w:t>2.5</w:t>
            </w:r>
          </w:p>
        </w:tc>
        <w:tc>
          <w:tcPr>
            <w:tcW w:w="576" w:type="dxa"/>
            <w:shd w:val="clear" w:color="auto" w:fill="auto"/>
            <w:vAlign w:val="center"/>
          </w:tcPr>
          <w:p w14:paraId="1C564DAD"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1</w:t>
            </w:r>
            <w:r w:rsidRPr="00BF0BA3">
              <w:rPr>
                <w:rFonts w:ascii="宋体" w:eastAsia="宋体" w:hAnsi="宋体" w:cs="宋体"/>
                <w:kern w:val="0"/>
                <w:sz w:val="18"/>
                <w:szCs w:val="18"/>
              </w:rPr>
              <w:t>2.5</w:t>
            </w:r>
          </w:p>
        </w:tc>
        <w:tc>
          <w:tcPr>
            <w:tcW w:w="983" w:type="dxa"/>
            <w:shd w:val="clear" w:color="auto" w:fill="auto"/>
            <w:vAlign w:val="center"/>
          </w:tcPr>
          <w:p w14:paraId="35EEB965"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1</w:t>
            </w:r>
            <w:r w:rsidRPr="00BF0BA3">
              <w:rPr>
                <w:rFonts w:ascii="宋体" w:eastAsia="宋体" w:hAnsi="宋体" w:cs="宋体"/>
                <w:kern w:val="0"/>
                <w:sz w:val="18"/>
                <w:szCs w:val="18"/>
              </w:rPr>
              <w:t>2.5</w:t>
            </w:r>
          </w:p>
        </w:tc>
      </w:tr>
      <w:tr w:rsidR="00737EB2" w:rsidRPr="00765F6E" w14:paraId="40A26B18" w14:textId="77777777" w:rsidTr="00871D47">
        <w:trPr>
          <w:trHeight w:val="176"/>
        </w:trPr>
        <w:tc>
          <w:tcPr>
            <w:tcW w:w="4523" w:type="dxa"/>
            <w:vMerge/>
            <w:shd w:val="clear" w:color="auto" w:fill="auto"/>
            <w:vAlign w:val="center"/>
          </w:tcPr>
          <w:p w14:paraId="37033F3F" w14:textId="77777777" w:rsidR="00737EB2" w:rsidRPr="00765F6E" w:rsidRDefault="00737EB2" w:rsidP="00871D47">
            <w:pPr>
              <w:adjustRightInd/>
              <w:spacing w:line="240" w:lineRule="auto"/>
              <w:jc w:val="center"/>
              <w:rPr>
                <w:rFonts w:ascii="宋体" w:hAnsi="Courier New" w:cs="Courier New"/>
              </w:rPr>
            </w:pPr>
          </w:p>
        </w:tc>
        <w:tc>
          <w:tcPr>
            <w:tcW w:w="426" w:type="dxa"/>
            <w:vMerge/>
            <w:shd w:val="clear" w:color="auto" w:fill="auto"/>
            <w:vAlign w:val="center"/>
          </w:tcPr>
          <w:p w14:paraId="129E2902" w14:textId="77777777" w:rsidR="00737EB2" w:rsidRPr="00BF0BA3" w:rsidRDefault="00737EB2" w:rsidP="00871D47">
            <w:pPr>
              <w:adjustRightInd/>
              <w:spacing w:line="240" w:lineRule="auto"/>
              <w:jc w:val="center"/>
              <w:rPr>
                <w:rFonts w:ascii="宋体" w:eastAsia="宋体" w:hAnsi="宋体" w:cs="宋体"/>
                <w:kern w:val="0"/>
                <w:sz w:val="18"/>
                <w:szCs w:val="18"/>
              </w:rPr>
            </w:pPr>
          </w:p>
        </w:tc>
        <w:tc>
          <w:tcPr>
            <w:tcW w:w="2250" w:type="dxa"/>
            <w:shd w:val="clear" w:color="auto" w:fill="auto"/>
            <w:vAlign w:val="center"/>
          </w:tcPr>
          <w:p w14:paraId="5897F263"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直向通过速度v：≤</w:t>
            </w:r>
            <w:r w:rsidRPr="00BF0BA3">
              <w:rPr>
                <w:rFonts w:ascii="宋体" w:eastAsia="宋体" w:hAnsi="宋体" w:cs="宋体"/>
                <w:kern w:val="0"/>
                <w:sz w:val="18"/>
                <w:szCs w:val="18"/>
              </w:rPr>
              <w:t>120km/h</w:t>
            </w:r>
          </w:p>
        </w:tc>
        <w:tc>
          <w:tcPr>
            <w:tcW w:w="576" w:type="dxa"/>
            <w:shd w:val="clear" w:color="auto" w:fill="auto"/>
            <w:vAlign w:val="center"/>
          </w:tcPr>
          <w:p w14:paraId="583AB6CD"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1</w:t>
            </w:r>
            <w:r w:rsidRPr="00BF0BA3">
              <w:rPr>
                <w:rFonts w:ascii="宋体" w:eastAsia="宋体" w:hAnsi="宋体" w:cs="宋体"/>
                <w:kern w:val="0"/>
                <w:sz w:val="18"/>
                <w:szCs w:val="18"/>
              </w:rPr>
              <w:t>2.5</w:t>
            </w:r>
          </w:p>
        </w:tc>
        <w:tc>
          <w:tcPr>
            <w:tcW w:w="576" w:type="dxa"/>
            <w:shd w:val="clear" w:color="auto" w:fill="auto"/>
            <w:vAlign w:val="center"/>
          </w:tcPr>
          <w:p w14:paraId="5F83B375"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6</w:t>
            </w:r>
            <w:r w:rsidRPr="00BF0BA3">
              <w:rPr>
                <w:rFonts w:ascii="宋体" w:eastAsia="宋体" w:hAnsi="宋体" w:cs="宋体"/>
                <w:kern w:val="0"/>
                <w:sz w:val="18"/>
                <w:szCs w:val="18"/>
              </w:rPr>
              <w:t>.25</w:t>
            </w:r>
          </w:p>
        </w:tc>
        <w:tc>
          <w:tcPr>
            <w:tcW w:w="983" w:type="dxa"/>
            <w:shd w:val="clear" w:color="auto" w:fill="auto"/>
            <w:vAlign w:val="center"/>
          </w:tcPr>
          <w:p w14:paraId="5A88794D"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6</w:t>
            </w:r>
            <w:r w:rsidRPr="00BF0BA3">
              <w:rPr>
                <w:rFonts w:ascii="宋体" w:eastAsia="宋体" w:hAnsi="宋体" w:cs="宋体"/>
                <w:kern w:val="0"/>
                <w:sz w:val="18"/>
                <w:szCs w:val="18"/>
              </w:rPr>
              <w:t>.25</w:t>
            </w:r>
          </w:p>
        </w:tc>
      </w:tr>
      <w:tr w:rsidR="00737EB2" w:rsidRPr="00765F6E" w14:paraId="17ADDA40" w14:textId="77777777" w:rsidTr="00871D47">
        <w:trPr>
          <w:trHeight w:val="176"/>
        </w:trPr>
        <w:tc>
          <w:tcPr>
            <w:tcW w:w="4523" w:type="dxa"/>
            <w:vMerge/>
            <w:shd w:val="clear" w:color="auto" w:fill="auto"/>
            <w:vAlign w:val="center"/>
          </w:tcPr>
          <w:p w14:paraId="31F355AE" w14:textId="77777777" w:rsidR="00737EB2" w:rsidRPr="00765F6E" w:rsidRDefault="00737EB2" w:rsidP="00871D47">
            <w:pPr>
              <w:adjustRightInd/>
              <w:spacing w:line="240" w:lineRule="auto"/>
              <w:jc w:val="center"/>
              <w:rPr>
                <w:rFonts w:ascii="宋体" w:hAnsi="Courier New" w:cs="Courier New"/>
              </w:rPr>
            </w:pPr>
          </w:p>
        </w:tc>
        <w:tc>
          <w:tcPr>
            <w:tcW w:w="2676" w:type="dxa"/>
            <w:gridSpan w:val="2"/>
            <w:shd w:val="clear" w:color="auto" w:fill="auto"/>
            <w:vAlign w:val="center"/>
          </w:tcPr>
          <w:p w14:paraId="5F2AC582"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到发线、试车线</w:t>
            </w:r>
          </w:p>
        </w:tc>
        <w:tc>
          <w:tcPr>
            <w:tcW w:w="576" w:type="dxa"/>
            <w:shd w:val="clear" w:color="auto" w:fill="auto"/>
            <w:vAlign w:val="center"/>
          </w:tcPr>
          <w:p w14:paraId="06E7E924"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1</w:t>
            </w:r>
            <w:r w:rsidRPr="00BF0BA3">
              <w:rPr>
                <w:rFonts w:ascii="宋体" w:eastAsia="宋体" w:hAnsi="宋体" w:cs="宋体"/>
                <w:kern w:val="0"/>
                <w:sz w:val="18"/>
                <w:szCs w:val="18"/>
              </w:rPr>
              <w:t>2.5</w:t>
            </w:r>
          </w:p>
        </w:tc>
        <w:tc>
          <w:tcPr>
            <w:tcW w:w="576" w:type="dxa"/>
            <w:shd w:val="clear" w:color="auto" w:fill="auto"/>
            <w:vAlign w:val="center"/>
          </w:tcPr>
          <w:p w14:paraId="09E7C68D"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6</w:t>
            </w:r>
            <w:r w:rsidRPr="00BF0BA3">
              <w:rPr>
                <w:rFonts w:ascii="宋体" w:eastAsia="宋体" w:hAnsi="宋体" w:cs="宋体"/>
                <w:kern w:val="0"/>
                <w:sz w:val="18"/>
                <w:szCs w:val="18"/>
              </w:rPr>
              <w:t>.25</w:t>
            </w:r>
          </w:p>
        </w:tc>
        <w:tc>
          <w:tcPr>
            <w:tcW w:w="983" w:type="dxa"/>
            <w:shd w:val="clear" w:color="auto" w:fill="auto"/>
            <w:vAlign w:val="center"/>
          </w:tcPr>
          <w:p w14:paraId="1BB8B2BE"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0</w:t>
            </w:r>
          </w:p>
        </w:tc>
      </w:tr>
      <w:tr w:rsidR="00737EB2" w:rsidRPr="00765F6E" w14:paraId="34A28278" w14:textId="77777777" w:rsidTr="00871D47">
        <w:trPr>
          <w:trHeight w:val="176"/>
        </w:trPr>
        <w:tc>
          <w:tcPr>
            <w:tcW w:w="4523" w:type="dxa"/>
            <w:vMerge/>
            <w:shd w:val="clear" w:color="auto" w:fill="auto"/>
            <w:vAlign w:val="center"/>
          </w:tcPr>
          <w:p w14:paraId="039A77B6" w14:textId="77777777" w:rsidR="00737EB2" w:rsidRPr="00765F6E" w:rsidRDefault="00737EB2" w:rsidP="00871D47">
            <w:pPr>
              <w:adjustRightInd/>
              <w:spacing w:line="240" w:lineRule="auto"/>
              <w:jc w:val="center"/>
              <w:rPr>
                <w:rFonts w:ascii="宋体" w:hAnsi="Courier New" w:cs="Courier New"/>
              </w:rPr>
            </w:pPr>
          </w:p>
        </w:tc>
        <w:tc>
          <w:tcPr>
            <w:tcW w:w="2676" w:type="dxa"/>
            <w:gridSpan w:val="2"/>
            <w:shd w:val="clear" w:color="auto" w:fill="auto"/>
            <w:vAlign w:val="center"/>
          </w:tcPr>
          <w:p w14:paraId="57EF25E8"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配线和其余车场线</w:t>
            </w:r>
          </w:p>
        </w:tc>
        <w:tc>
          <w:tcPr>
            <w:tcW w:w="576" w:type="dxa"/>
            <w:shd w:val="clear" w:color="auto" w:fill="auto"/>
            <w:vAlign w:val="center"/>
          </w:tcPr>
          <w:p w14:paraId="0C8E163E"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6</w:t>
            </w:r>
            <w:r w:rsidRPr="00BF0BA3">
              <w:rPr>
                <w:rFonts w:ascii="宋体" w:eastAsia="宋体" w:hAnsi="宋体" w:cs="宋体"/>
                <w:kern w:val="0"/>
                <w:sz w:val="18"/>
                <w:szCs w:val="18"/>
              </w:rPr>
              <w:t>.25</w:t>
            </w:r>
          </w:p>
        </w:tc>
        <w:tc>
          <w:tcPr>
            <w:tcW w:w="576" w:type="dxa"/>
            <w:shd w:val="clear" w:color="auto" w:fill="auto"/>
            <w:vAlign w:val="center"/>
          </w:tcPr>
          <w:p w14:paraId="41F7FDA6"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6</w:t>
            </w:r>
            <w:r w:rsidRPr="00BF0BA3">
              <w:rPr>
                <w:rFonts w:ascii="宋体" w:eastAsia="宋体" w:hAnsi="宋体" w:cs="宋体"/>
                <w:kern w:val="0"/>
                <w:sz w:val="18"/>
                <w:szCs w:val="18"/>
              </w:rPr>
              <w:t>.25</w:t>
            </w:r>
          </w:p>
        </w:tc>
        <w:tc>
          <w:tcPr>
            <w:tcW w:w="983" w:type="dxa"/>
            <w:shd w:val="clear" w:color="auto" w:fill="auto"/>
            <w:vAlign w:val="center"/>
          </w:tcPr>
          <w:p w14:paraId="61CA9AD3"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0</w:t>
            </w:r>
          </w:p>
        </w:tc>
      </w:tr>
      <w:tr w:rsidR="00737EB2" w:rsidRPr="00765F6E" w14:paraId="0DCA00F3" w14:textId="77777777" w:rsidTr="00871D47">
        <w:trPr>
          <w:trHeight w:val="176"/>
        </w:trPr>
        <w:tc>
          <w:tcPr>
            <w:tcW w:w="9334" w:type="dxa"/>
            <w:gridSpan w:val="6"/>
            <w:tcBorders>
              <w:top w:val="single" w:sz="8" w:space="0" w:color="auto"/>
              <w:bottom w:val="single" w:sz="8" w:space="0" w:color="auto"/>
            </w:tcBorders>
            <w:shd w:val="clear" w:color="auto" w:fill="auto"/>
            <w:vAlign w:val="center"/>
          </w:tcPr>
          <w:p w14:paraId="59740C0F" w14:textId="77777777" w:rsidR="00737EB2" w:rsidRPr="00BF0BA3" w:rsidRDefault="00737EB2" w:rsidP="00871D47">
            <w:pPr>
              <w:pStyle w:val="afff2"/>
              <w:numPr>
                <w:ilvl w:val="0"/>
                <w:numId w:val="0"/>
              </w:numPr>
              <w:ind w:leftChars="37" w:left="451" w:hangingChars="207" w:hanging="373"/>
              <w:rPr>
                <w:rFonts w:eastAsia="宋体" w:hAnsi="宋体"/>
              </w:rPr>
            </w:pPr>
            <w:r w:rsidRPr="00BF0BA3">
              <w:rPr>
                <w:rFonts w:eastAsia="宋体" w:hAnsi="宋体" w:hint="eastAsia"/>
              </w:rPr>
              <w:t>正线、到发线及试车线采用无缝线路时，道岔间插入钢轨的最小长度不应小于</w:t>
            </w:r>
            <w:r w:rsidRPr="00BF0BA3">
              <w:rPr>
                <w:rFonts w:eastAsia="宋体" w:hAnsi="宋体"/>
              </w:rPr>
              <w:t>12.5m</w:t>
            </w:r>
            <w:r w:rsidRPr="00BF0BA3">
              <w:rPr>
                <w:rFonts w:eastAsia="宋体" w:hAnsi="宋体" w:hint="eastAsia"/>
              </w:rPr>
              <w:t>。</w:t>
            </w:r>
          </w:p>
          <w:p w14:paraId="53FF8CD1" w14:textId="77777777" w:rsidR="00737EB2" w:rsidRPr="00BF0BA3" w:rsidRDefault="00737EB2" w:rsidP="00737EB2">
            <w:pPr>
              <w:pStyle w:val="afff2"/>
              <w:ind w:left="811" w:hanging="448"/>
              <w:rPr>
                <w:rFonts w:eastAsia="宋体" w:hAnsi="宋体"/>
              </w:rPr>
            </w:pPr>
            <w:r w:rsidRPr="00BF0BA3">
              <w:rPr>
                <w:rFonts w:eastAsia="宋体" w:hAnsi="宋体"/>
              </w:rPr>
              <w:t>f</w:t>
            </w:r>
            <w:r w:rsidRPr="00BF0BA3">
              <w:rPr>
                <w:rFonts w:eastAsia="宋体" w:hAnsi="宋体" w:hint="eastAsia"/>
              </w:rPr>
              <w:t>为道岔间插入钢轨的长度。</w:t>
            </w:r>
          </w:p>
        </w:tc>
      </w:tr>
    </w:tbl>
    <w:p w14:paraId="3D64B5B7" w14:textId="77777777" w:rsidR="00737EB2" w:rsidRPr="00765F6E" w:rsidRDefault="00737EB2" w:rsidP="00737EB2">
      <w:pPr>
        <w:pStyle w:val="aff3"/>
        <w:spacing w:before="156" w:after="156"/>
      </w:pPr>
      <w:r w:rsidRPr="00765F6E">
        <w:rPr>
          <w:rFonts w:hint="eastAsia"/>
        </w:rPr>
        <w:t>两顺向单开道岔间插入钢轨的最小长度</w:t>
      </w:r>
    </w:p>
    <w:p w14:paraId="5B9BFFFA" w14:textId="77777777" w:rsidR="00737EB2" w:rsidRPr="00765F6E" w:rsidRDefault="00737EB2" w:rsidP="00ED2D3D">
      <w:pPr>
        <w:pStyle w:val="affffb"/>
        <w:ind w:firstLine="360"/>
        <w:jc w:val="right"/>
        <w:rPr>
          <w:sz w:val="18"/>
          <w:szCs w:val="18"/>
        </w:rPr>
      </w:pPr>
      <w:r w:rsidRPr="00765F6E">
        <w:rPr>
          <w:rFonts w:hint="eastAsia"/>
          <w:sz w:val="18"/>
          <w:szCs w:val="18"/>
        </w:rPr>
        <w:t>单位为米</w:t>
      </w:r>
    </w:p>
    <w:tbl>
      <w:tblPr>
        <w:tblStyle w:val="32"/>
        <w:tblW w:w="0" w:type="auto"/>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4239"/>
        <w:gridCol w:w="573"/>
        <w:gridCol w:w="2272"/>
        <w:gridCol w:w="1017"/>
        <w:gridCol w:w="1233"/>
      </w:tblGrid>
      <w:tr w:rsidR="00737EB2" w:rsidRPr="00765F6E" w14:paraId="6B55D47B" w14:textId="77777777" w:rsidTr="00871D47">
        <w:trPr>
          <w:trHeight w:val="176"/>
        </w:trPr>
        <w:tc>
          <w:tcPr>
            <w:tcW w:w="4239" w:type="dxa"/>
            <w:vMerge w:val="restart"/>
            <w:tcBorders>
              <w:top w:val="single" w:sz="8" w:space="0" w:color="auto"/>
              <w:bottom w:val="single" w:sz="4" w:space="0" w:color="auto"/>
            </w:tcBorders>
            <w:shd w:val="clear" w:color="auto" w:fill="auto"/>
            <w:vAlign w:val="center"/>
          </w:tcPr>
          <w:p w14:paraId="0AB7F323"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道岔布置</w:t>
            </w:r>
          </w:p>
        </w:tc>
        <w:tc>
          <w:tcPr>
            <w:tcW w:w="2845" w:type="dxa"/>
            <w:gridSpan w:val="2"/>
            <w:vMerge w:val="restart"/>
            <w:tcBorders>
              <w:top w:val="single" w:sz="8" w:space="0" w:color="auto"/>
              <w:bottom w:val="single" w:sz="4" w:space="0" w:color="auto"/>
            </w:tcBorders>
            <w:shd w:val="clear" w:color="auto" w:fill="auto"/>
            <w:vAlign w:val="center"/>
          </w:tcPr>
          <w:p w14:paraId="4DF74CF9"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线别</w:t>
            </w:r>
          </w:p>
        </w:tc>
        <w:tc>
          <w:tcPr>
            <w:tcW w:w="2250" w:type="dxa"/>
            <w:gridSpan w:val="2"/>
            <w:tcBorders>
              <w:top w:val="single" w:sz="8" w:space="0" w:color="auto"/>
              <w:bottom w:val="single" w:sz="4" w:space="0" w:color="auto"/>
            </w:tcBorders>
            <w:shd w:val="clear" w:color="auto" w:fill="auto"/>
            <w:vAlign w:val="center"/>
          </w:tcPr>
          <w:p w14:paraId="2350BC55"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混凝土岔枕道岔</w:t>
            </w:r>
          </w:p>
        </w:tc>
      </w:tr>
      <w:tr w:rsidR="00737EB2" w:rsidRPr="00765F6E" w14:paraId="638E10DD" w14:textId="77777777" w:rsidTr="00871D47">
        <w:trPr>
          <w:trHeight w:val="176"/>
        </w:trPr>
        <w:tc>
          <w:tcPr>
            <w:tcW w:w="4239" w:type="dxa"/>
            <w:vMerge/>
            <w:tcBorders>
              <w:top w:val="single" w:sz="4" w:space="0" w:color="auto"/>
              <w:bottom w:val="single" w:sz="8" w:space="0" w:color="auto"/>
            </w:tcBorders>
            <w:shd w:val="clear" w:color="auto" w:fill="auto"/>
            <w:vAlign w:val="center"/>
          </w:tcPr>
          <w:p w14:paraId="56C55716" w14:textId="77777777" w:rsidR="00737EB2" w:rsidRPr="00BF0BA3" w:rsidRDefault="00737EB2" w:rsidP="00871D47">
            <w:pPr>
              <w:adjustRightInd/>
              <w:spacing w:line="240" w:lineRule="auto"/>
              <w:jc w:val="center"/>
              <w:rPr>
                <w:rFonts w:ascii="宋体" w:eastAsia="宋体" w:hAnsi="宋体" w:cs="宋体"/>
                <w:kern w:val="0"/>
                <w:sz w:val="18"/>
                <w:szCs w:val="18"/>
              </w:rPr>
            </w:pPr>
          </w:p>
        </w:tc>
        <w:tc>
          <w:tcPr>
            <w:tcW w:w="2845" w:type="dxa"/>
            <w:gridSpan w:val="2"/>
            <w:vMerge/>
            <w:tcBorders>
              <w:top w:val="single" w:sz="4" w:space="0" w:color="auto"/>
              <w:bottom w:val="single" w:sz="8" w:space="0" w:color="auto"/>
            </w:tcBorders>
            <w:shd w:val="clear" w:color="auto" w:fill="auto"/>
            <w:vAlign w:val="center"/>
          </w:tcPr>
          <w:p w14:paraId="6BAAD01D" w14:textId="77777777" w:rsidR="00737EB2" w:rsidRPr="00BF0BA3" w:rsidRDefault="00737EB2" w:rsidP="00871D47">
            <w:pPr>
              <w:adjustRightInd/>
              <w:spacing w:line="240" w:lineRule="auto"/>
              <w:jc w:val="center"/>
              <w:rPr>
                <w:rFonts w:ascii="宋体" w:eastAsia="宋体" w:hAnsi="宋体" w:cs="宋体"/>
                <w:kern w:val="0"/>
                <w:sz w:val="18"/>
                <w:szCs w:val="18"/>
              </w:rPr>
            </w:pPr>
          </w:p>
        </w:tc>
        <w:tc>
          <w:tcPr>
            <w:tcW w:w="1017" w:type="dxa"/>
            <w:tcBorders>
              <w:top w:val="single" w:sz="4" w:space="0" w:color="auto"/>
              <w:bottom w:val="single" w:sz="8" w:space="0" w:color="auto"/>
            </w:tcBorders>
            <w:shd w:val="clear" w:color="auto" w:fill="auto"/>
            <w:vAlign w:val="center"/>
          </w:tcPr>
          <w:p w14:paraId="12FEE2AC"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一般</w:t>
            </w:r>
          </w:p>
        </w:tc>
        <w:tc>
          <w:tcPr>
            <w:tcW w:w="1233" w:type="dxa"/>
            <w:tcBorders>
              <w:top w:val="single" w:sz="4" w:space="0" w:color="auto"/>
              <w:bottom w:val="single" w:sz="8" w:space="0" w:color="auto"/>
            </w:tcBorders>
            <w:shd w:val="clear" w:color="auto" w:fill="auto"/>
            <w:vAlign w:val="center"/>
          </w:tcPr>
          <w:p w14:paraId="574A96F5"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困难</w:t>
            </w:r>
          </w:p>
        </w:tc>
      </w:tr>
      <w:tr w:rsidR="00737EB2" w:rsidRPr="00765F6E" w14:paraId="222FFF41" w14:textId="77777777" w:rsidTr="00871D47">
        <w:trPr>
          <w:trHeight w:val="176"/>
        </w:trPr>
        <w:tc>
          <w:tcPr>
            <w:tcW w:w="4239" w:type="dxa"/>
            <w:vMerge w:val="restart"/>
            <w:tcBorders>
              <w:top w:val="single" w:sz="8" w:space="0" w:color="auto"/>
            </w:tcBorders>
            <w:shd w:val="clear" w:color="auto" w:fill="auto"/>
            <w:vAlign w:val="center"/>
          </w:tcPr>
          <w:p w14:paraId="5C29E2A6" w14:textId="77777777" w:rsidR="00737EB2" w:rsidRPr="00765F6E" w:rsidRDefault="00737EB2" w:rsidP="00871D47">
            <w:pPr>
              <w:adjustRightInd/>
              <w:spacing w:line="240" w:lineRule="auto"/>
              <w:jc w:val="center"/>
              <w:rPr>
                <w:rFonts w:ascii="宋体" w:hAnsi="Courier New" w:cs="Courier New"/>
              </w:rPr>
            </w:pPr>
            <w:r w:rsidRPr="00765F6E">
              <w:rPr>
                <w:rFonts w:ascii="宋体" w:eastAsia="宋体" w:hAnsi="Courier New" w:cs="Courier New"/>
              </w:rPr>
              <w:object w:dxaOrig="2815" w:dyaOrig="454" w14:anchorId="3BC59016">
                <v:shape id="_x0000_i1032" type="#_x0000_t75" style="width:2in;height:20.1pt" o:ole="">
                  <v:imagedata r:id="rId35" o:title=""/>
                </v:shape>
                <o:OLEObject Type="Embed" ProgID="Visio.Drawing.15" ShapeID="_x0000_i1032" DrawAspect="Content" ObjectID="_1793792797" r:id="rId36"/>
              </w:object>
            </w:r>
          </w:p>
        </w:tc>
        <w:tc>
          <w:tcPr>
            <w:tcW w:w="573" w:type="dxa"/>
            <w:vMerge w:val="restart"/>
            <w:tcBorders>
              <w:top w:val="single" w:sz="8" w:space="0" w:color="auto"/>
            </w:tcBorders>
            <w:shd w:val="clear" w:color="auto" w:fill="auto"/>
            <w:vAlign w:val="center"/>
          </w:tcPr>
          <w:p w14:paraId="4DE8D784"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正线</w:t>
            </w:r>
          </w:p>
        </w:tc>
        <w:tc>
          <w:tcPr>
            <w:tcW w:w="2272" w:type="dxa"/>
            <w:tcBorders>
              <w:top w:val="single" w:sz="8" w:space="0" w:color="auto"/>
            </w:tcBorders>
            <w:shd w:val="clear" w:color="auto" w:fill="auto"/>
            <w:vAlign w:val="center"/>
          </w:tcPr>
          <w:p w14:paraId="78A0BB4A" w14:textId="77777777" w:rsidR="00737EB2" w:rsidRPr="00BF0BA3" w:rsidRDefault="00737EB2" w:rsidP="00871D47">
            <w:pPr>
              <w:adjustRightInd/>
              <w:spacing w:line="200" w:lineRule="exact"/>
              <w:jc w:val="center"/>
              <w:rPr>
                <w:rFonts w:ascii="宋体" w:eastAsia="宋体" w:hAnsi="宋体" w:cs="宋体"/>
                <w:kern w:val="0"/>
                <w:sz w:val="18"/>
                <w:szCs w:val="18"/>
              </w:rPr>
            </w:pPr>
            <w:r w:rsidRPr="00BF0BA3">
              <w:rPr>
                <w:rFonts w:ascii="宋体" w:eastAsia="宋体" w:hAnsi="宋体" w:cs="宋体" w:hint="eastAsia"/>
                <w:kern w:val="0"/>
                <w:sz w:val="18"/>
                <w:szCs w:val="18"/>
              </w:rPr>
              <w:t>直向通过速度v：1</w:t>
            </w:r>
            <w:r w:rsidRPr="00BF0BA3">
              <w:rPr>
                <w:rFonts w:ascii="宋体" w:eastAsia="宋体" w:hAnsi="宋体" w:cs="宋体"/>
                <w:kern w:val="0"/>
                <w:sz w:val="18"/>
                <w:szCs w:val="18"/>
              </w:rPr>
              <w:t>20km/h</w:t>
            </w:r>
            <w:r w:rsidRPr="00BF0BA3">
              <w:rPr>
                <w:rFonts w:ascii="宋体" w:eastAsia="宋体" w:hAnsi="宋体" w:cs="宋体" w:hint="eastAsia"/>
                <w:kern w:val="0"/>
                <w:sz w:val="18"/>
                <w:szCs w:val="18"/>
              </w:rPr>
              <w:t>＜v≤</w:t>
            </w:r>
            <w:r w:rsidRPr="00BF0BA3">
              <w:rPr>
                <w:rFonts w:ascii="宋体" w:eastAsia="宋体" w:hAnsi="宋体" w:cs="宋体"/>
                <w:kern w:val="0"/>
                <w:sz w:val="18"/>
                <w:szCs w:val="18"/>
              </w:rPr>
              <w:t>160km/h</w:t>
            </w:r>
          </w:p>
        </w:tc>
        <w:tc>
          <w:tcPr>
            <w:tcW w:w="1017" w:type="dxa"/>
            <w:tcBorders>
              <w:top w:val="single" w:sz="8" w:space="0" w:color="auto"/>
            </w:tcBorders>
            <w:shd w:val="clear" w:color="auto" w:fill="auto"/>
            <w:vAlign w:val="center"/>
          </w:tcPr>
          <w:p w14:paraId="493E0C01"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1</w:t>
            </w:r>
            <w:r w:rsidRPr="00BF0BA3">
              <w:rPr>
                <w:rFonts w:ascii="宋体" w:eastAsia="宋体" w:hAnsi="宋体" w:cs="宋体"/>
                <w:kern w:val="0"/>
                <w:sz w:val="18"/>
                <w:szCs w:val="18"/>
              </w:rPr>
              <w:t>2.5</w:t>
            </w:r>
          </w:p>
        </w:tc>
        <w:tc>
          <w:tcPr>
            <w:tcW w:w="1233" w:type="dxa"/>
            <w:tcBorders>
              <w:top w:val="single" w:sz="8" w:space="0" w:color="auto"/>
            </w:tcBorders>
            <w:shd w:val="clear" w:color="auto" w:fill="auto"/>
            <w:vAlign w:val="center"/>
          </w:tcPr>
          <w:p w14:paraId="6C5F6198"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1</w:t>
            </w:r>
            <w:r w:rsidRPr="00BF0BA3">
              <w:rPr>
                <w:rFonts w:ascii="宋体" w:eastAsia="宋体" w:hAnsi="宋体" w:cs="宋体"/>
                <w:kern w:val="0"/>
                <w:sz w:val="18"/>
                <w:szCs w:val="18"/>
              </w:rPr>
              <w:t>2.5</w:t>
            </w:r>
          </w:p>
        </w:tc>
      </w:tr>
      <w:tr w:rsidR="00737EB2" w:rsidRPr="00765F6E" w14:paraId="466BF206" w14:textId="77777777" w:rsidTr="00871D47">
        <w:trPr>
          <w:trHeight w:val="176"/>
        </w:trPr>
        <w:tc>
          <w:tcPr>
            <w:tcW w:w="4239" w:type="dxa"/>
            <w:vMerge/>
            <w:shd w:val="clear" w:color="auto" w:fill="auto"/>
            <w:vAlign w:val="center"/>
          </w:tcPr>
          <w:p w14:paraId="26601DFB" w14:textId="77777777" w:rsidR="00737EB2" w:rsidRPr="00765F6E" w:rsidRDefault="00737EB2" w:rsidP="00871D47">
            <w:pPr>
              <w:adjustRightInd/>
              <w:spacing w:line="240" w:lineRule="auto"/>
              <w:jc w:val="center"/>
              <w:rPr>
                <w:rFonts w:ascii="宋体" w:hAnsi="Courier New" w:cs="Courier New"/>
              </w:rPr>
            </w:pPr>
          </w:p>
        </w:tc>
        <w:tc>
          <w:tcPr>
            <w:tcW w:w="573" w:type="dxa"/>
            <w:vMerge/>
            <w:shd w:val="clear" w:color="auto" w:fill="auto"/>
            <w:vAlign w:val="center"/>
          </w:tcPr>
          <w:p w14:paraId="506AF6F5" w14:textId="77777777" w:rsidR="00737EB2" w:rsidRPr="00BF0BA3" w:rsidRDefault="00737EB2" w:rsidP="00871D47">
            <w:pPr>
              <w:adjustRightInd/>
              <w:spacing w:line="240" w:lineRule="auto"/>
              <w:jc w:val="center"/>
              <w:rPr>
                <w:rFonts w:ascii="宋体" w:eastAsia="宋体" w:hAnsi="宋体" w:cs="宋体"/>
                <w:kern w:val="0"/>
                <w:sz w:val="18"/>
                <w:szCs w:val="18"/>
              </w:rPr>
            </w:pPr>
          </w:p>
        </w:tc>
        <w:tc>
          <w:tcPr>
            <w:tcW w:w="2272" w:type="dxa"/>
            <w:shd w:val="clear" w:color="auto" w:fill="auto"/>
            <w:vAlign w:val="center"/>
          </w:tcPr>
          <w:p w14:paraId="3290E780" w14:textId="77777777" w:rsidR="00737EB2" w:rsidRPr="00BF0BA3" w:rsidRDefault="00737EB2" w:rsidP="00871D47">
            <w:pPr>
              <w:adjustRightInd/>
              <w:spacing w:line="200" w:lineRule="exact"/>
              <w:jc w:val="center"/>
              <w:rPr>
                <w:rFonts w:ascii="宋体" w:eastAsia="宋体" w:hAnsi="宋体" w:cs="宋体"/>
                <w:kern w:val="0"/>
                <w:sz w:val="18"/>
                <w:szCs w:val="18"/>
              </w:rPr>
            </w:pPr>
            <w:r w:rsidRPr="00BF0BA3">
              <w:rPr>
                <w:rFonts w:ascii="宋体" w:eastAsia="宋体" w:hAnsi="宋体" w:cs="宋体" w:hint="eastAsia"/>
                <w:kern w:val="0"/>
                <w:sz w:val="18"/>
                <w:szCs w:val="18"/>
              </w:rPr>
              <w:t>直向通过速度v：≤</w:t>
            </w:r>
            <w:r w:rsidRPr="00BF0BA3">
              <w:rPr>
                <w:rFonts w:ascii="宋体" w:eastAsia="宋体" w:hAnsi="宋体" w:cs="宋体"/>
                <w:kern w:val="0"/>
                <w:sz w:val="18"/>
                <w:szCs w:val="18"/>
              </w:rPr>
              <w:t>120m/h</w:t>
            </w:r>
          </w:p>
        </w:tc>
        <w:tc>
          <w:tcPr>
            <w:tcW w:w="1017" w:type="dxa"/>
            <w:shd w:val="clear" w:color="auto" w:fill="auto"/>
            <w:vAlign w:val="center"/>
          </w:tcPr>
          <w:p w14:paraId="7C0DF2D0"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1</w:t>
            </w:r>
            <w:r w:rsidRPr="00BF0BA3">
              <w:rPr>
                <w:rFonts w:ascii="宋体" w:eastAsia="宋体" w:hAnsi="宋体" w:cs="宋体"/>
                <w:kern w:val="0"/>
                <w:sz w:val="18"/>
                <w:szCs w:val="18"/>
              </w:rPr>
              <w:t>2.5</w:t>
            </w:r>
          </w:p>
        </w:tc>
        <w:tc>
          <w:tcPr>
            <w:tcW w:w="1233" w:type="dxa"/>
            <w:shd w:val="clear" w:color="auto" w:fill="auto"/>
            <w:vAlign w:val="center"/>
          </w:tcPr>
          <w:p w14:paraId="3E29032F"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8</w:t>
            </w:r>
            <w:r w:rsidRPr="00BF0BA3">
              <w:rPr>
                <w:rFonts w:ascii="宋体" w:eastAsia="宋体" w:hAnsi="宋体" w:cs="宋体"/>
                <w:kern w:val="0"/>
                <w:sz w:val="18"/>
                <w:szCs w:val="18"/>
              </w:rPr>
              <w:t>.0</w:t>
            </w:r>
          </w:p>
        </w:tc>
      </w:tr>
      <w:tr w:rsidR="00737EB2" w:rsidRPr="00765F6E" w14:paraId="2AA59BFE" w14:textId="77777777" w:rsidTr="00871D47">
        <w:trPr>
          <w:trHeight w:val="176"/>
        </w:trPr>
        <w:tc>
          <w:tcPr>
            <w:tcW w:w="4239" w:type="dxa"/>
            <w:vMerge/>
            <w:shd w:val="clear" w:color="auto" w:fill="auto"/>
            <w:vAlign w:val="center"/>
          </w:tcPr>
          <w:p w14:paraId="3630A2C0" w14:textId="77777777" w:rsidR="00737EB2" w:rsidRPr="00765F6E" w:rsidRDefault="00737EB2" w:rsidP="00871D47">
            <w:pPr>
              <w:adjustRightInd/>
              <w:spacing w:line="240" w:lineRule="auto"/>
              <w:jc w:val="center"/>
              <w:rPr>
                <w:rFonts w:ascii="宋体" w:hAnsi="Courier New" w:cs="Courier New"/>
              </w:rPr>
            </w:pPr>
          </w:p>
        </w:tc>
        <w:tc>
          <w:tcPr>
            <w:tcW w:w="2845" w:type="dxa"/>
            <w:gridSpan w:val="2"/>
            <w:shd w:val="clear" w:color="auto" w:fill="auto"/>
            <w:vAlign w:val="center"/>
          </w:tcPr>
          <w:p w14:paraId="02E08009"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到发线</w:t>
            </w:r>
          </w:p>
        </w:tc>
        <w:tc>
          <w:tcPr>
            <w:tcW w:w="1017" w:type="dxa"/>
            <w:vMerge w:val="restart"/>
            <w:shd w:val="clear" w:color="auto" w:fill="auto"/>
            <w:vAlign w:val="center"/>
          </w:tcPr>
          <w:p w14:paraId="799C9C67"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1</w:t>
            </w:r>
            <w:r w:rsidRPr="00BF0BA3">
              <w:rPr>
                <w:rFonts w:ascii="宋体" w:eastAsia="宋体" w:hAnsi="宋体" w:cs="宋体"/>
                <w:kern w:val="0"/>
                <w:sz w:val="18"/>
                <w:szCs w:val="18"/>
              </w:rPr>
              <w:t>2.5</w:t>
            </w:r>
          </w:p>
        </w:tc>
        <w:tc>
          <w:tcPr>
            <w:tcW w:w="1233" w:type="dxa"/>
            <w:vMerge w:val="restart"/>
            <w:shd w:val="clear" w:color="auto" w:fill="auto"/>
            <w:vAlign w:val="center"/>
          </w:tcPr>
          <w:p w14:paraId="08291209"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8</w:t>
            </w:r>
            <w:r w:rsidRPr="00BF0BA3">
              <w:rPr>
                <w:rFonts w:ascii="宋体" w:eastAsia="宋体" w:hAnsi="宋体" w:cs="宋体"/>
                <w:kern w:val="0"/>
                <w:sz w:val="18"/>
                <w:szCs w:val="18"/>
              </w:rPr>
              <w:t>.0</w:t>
            </w:r>
          </w:p>
        </w:tc>
      </w:tr>
      <w:tr w:rsidR="00737EB2" w:rsidRPr="00765F6E" w14:paraId="342AD306" w14:textId="77777777" w:rsidTr="00871D47">
        <w:trPr>
          <w:trHeight w:val="176"/>
        </w:trPr>
        <w:tc>
          <w:tcPr>
            <w:tcW w:w="4239" w:type="dxa"/>
            <w:vMerge/>
            <w:shd w:val="clear" w:color="auto" w:fill="auto"/>
            <w:vAlign w:val="center"/>
          </w:tcPr>
          <w:p w14:paraId="2E5E2602" w14:textId="77777777" w:rsidR="00737EB2" w:rsidRPr="00765F6E" w:rsidRDefault="00737EB2" w:rsidP="00871D47">
            <w:pPr>
              <w:adjustRightInd/>
              <w:spacing w:line="240" w:lineRule="auto"/>
              <w:jc w:val="center"/>
              <w:rPr>
                <w:rFonts w:ascii="宋体" w:hAnsi="Courier New" w:cs="Courier New"/>
              </w:rPr>
            </w:pPr>
          </w:p>
        </w:tc>
        <w:tc>
          <w:tcPr>
            <w:tcW w:w="2845" w:type="dxa"/>
            <w:gridSpan w:val="2"/>
            <w:shd w:val="clear" w:color="auto" w:fill="auto"/>
            <w:vAlign w:val="center"/>
          </w:tcPr>
          <w:p w14:paraId="6CE4E02F"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其余配线和车场线</w:t>
            </w:r>
          </w:p>
        </w:tc>
        <w:tc>
          <w:tcPr>
            <w:tcW w:w="1017" w:type="dxa"/>
            <w:vMerge/>
            <w:shd w:val="clear" w:color="auto" w:fill="auto"/>
            <w:vAlign w:val="center"/>
          </w:tcPr>
          <w:p w14:paraId="23795387" w14:textId="77777777" w:rsidR="00737EB2" w:rsidRPr="00765F6E" w:rsidRDefault="00737EB2" w:rsidP="00871D47">
            <w:pPr>
              <w:adjustRightInd/>
              <w:spacing w:line="240" w:lineRule="auto"/>
              <w:jc w:val="center"/>
              <w:rPr>
                <w:rFonts w:ascii="宋体" w:hAnsi="宋体" w:cs="宋体"/>
                <w:kern w:val="0"/>
                <w:sz w:val="18"/>
                <w:szCs w:val="18"/>
              </w:rPr>
            </w:pPr>
          </w:p>
        </w:tc>
        <w:tc>
          <w:tcPr>
            <w:tcW w:w="1233" w:type="dxa"/>
            <w:vMerge/>
            <w:shd w:val="clear" w:color="auto" w:fill="auto"/>
            <w:vAlign w:val="center"/>
          </w:tcPr>
          <w:p w14:paraId="00861D9D" w14:textId="77777777" w:rsidR="00737EB2" w:rsidRPr="00765F6E" w:rsidRDefault="00737EB2" w:rsidP="00871D47">
            <w:pPr>
              <w:adjustRightInd/>
              <w:spacing w:line="240" w:lineRule="auto"/>
              <w:jc w:val="center"/>
              <w:rPr>
                <w:rFonts w:ascii="宋体" w:hAnsi="宋体" w:cs="宋体"/>
                <w:kern w:val="0"/>
                <w:sz w:val="18"/>
                <w:szCs w:val="18"/>
              </w:rPr>
            </w:pPr>
          </w:p>
        </w:tc>
      </w:tr>
      <w:tr w:rsidR="00737EB2" w:rsidRPr="00765F6E" w14:paraId="4465E4D6" w14:textId="77777777" w:rsidTr="00871D47">
        <w:trPr>
          <w:trHeight w:val="176"/>
        </w:trPr>
        <w:tc>
          <w:tcPr>
            <w:tcW w:w="4239" w:type="dxa"/>
            <w:vMerge w:val="restart"/>
            <w:shd w:val="clear" w:color="auto" w:fill="auto"/>
            <w:vAlign w:val="center"/>
          </w:tcPr>
          <w:p w14:paraId="69EE4F7D" w14:textId="77777777" w:rsidR="00737EB2" w:rsidRPr="00765F6E" w:rsidRDefault="00737EB2" w:rsidP="00871D47">
            <w:pPr>
              <w:adjustRightInd/>
              <w:spacing w:line="240" w:lineRule="auto"/>
              <w:jc w:val="center"/>
              <w:rPr>
                <w:rFonts w:ascii="宋体" w:hAnsi="Courier New" w:cs="Courier New"/>
              </w:rPr>
            </w:pPr>
            <w:r w:rsidRPr="00765F6E">
              <w:rPr>
                <w:rFonts w:ascii="宋体" w:eastAsia="宋体" w:hAnsi="Courier New" w:cs="Courier New"/>
              </w:rPr>
              <w:object w:dxaOrig="2491" w:dyaOrig="519" w14:anchorId="2535608E">
                <v:shape id="_x0000_i1033" type="#_x0000_t75" style="width:123.9pt;height:27.65pt" o:ole="">
                  <v:imagedata r:id="rId37" o:title=""/>
                </v:shape>
                <o:OLEObject Type="Embed" ProgID="Visio.Drawing.15" ShapeID="_x0000_i1033" DrawAspect="Content" ObjectID="_1793792798" r:id="rId38"/>
              </w:object>
            </w:r>
          </w:p>
        </w:tc>
        <w:tc>
          <w:tcPr>
            <w:tcW w:w="2845" w:type="dxa"/>
            <w:gridSpan w:val="2"/>
            <w:shd w:val="clear" w:color="auto" w:fill="auto"/>
            <w:vAlign w:val="center"/>
          </w:tcPr>
          <w:p w14:paraId="766C7098"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到发线、试车线</w:t>
            </w:r>
          </w:p>
        </w:tc>
        <w:tc>
          <w:tcPr>
            <w:tcW w:w="1017" w:type="dxa"/>
            <w:vMerge/>
            <w:shd w:val="clear" w:color="auto" w:fill="auto"/>
            <w:vAlign w:val="center"/>
          </w:tcPr>
          <w:p w14:paraId="39287B3E" w14:textId="77777777" w:rsidR="00737EB2" w:rsidRPr="00765F6E" w:rsidRDefault="00737EB2" w:rsidP="00871D47">
            <w:pPr>
              <w:adjustRightInd/>
              <w:spacing w:line="240" w:lineRule="auto"/>
              <w:jc w:val="center"/>
              <w:rPr>
                <w:rFonts w:ascii="宋体" w:hAnsi="宋体" w:cs="宋体"/>
                <w:kern w:val="0"/>
                <w:sz w:val="18"/>
                <w:szCs w:val="18"/>
              </w:rPr>
            </w:pPr>
          </w:p>
        </w:tc>
        <w:tc>
          <w:tcPr>
            <w:tcW w:w="1233" w:type="dxa"/>
            <w:vMerge/>
            <w:shd w:val="clear" w:color="auto" w:fill="auto"/>
            <w:vAlign w:val="center"/>
          </w:tcPr>
          <w:p w14:paraId="610CD575" w14:textId="77777777" w:rsidR="00737EB2" w:rsidRPr="00765F6E" w:rsidRDefault="00737EB2" w:rsidP="00871D47">
            <w:pPr>
              <w:adjustRightInd/>
              <w:spacing w:line="240" w:lineRule="auto"/>
              <w:jc w:val="center"/>
              <w:rPr>
                <w:rFonts w:ascii="宋体" w:hAnsi="宋体" w:cs="宋体"/>
                <w:kern w:val="0"/>
                <w:sz w:val="18"/>
                <w:szCs w:val="18"/>
              </w:rPr>
            </w:pPr>
          </w:p>
        </w:tc>
      </w:tr>
      <w:tr w:rsidR="00737EB2" w:rsidRPr="00765F6E" w14:paraId="736540A6" w14:textId="77777777" w:rsidTr="00871D47">
        <w:trPr>
          <w:trHeight w:val="176"/>
        </w:trPr>
        <w:tc>
          <w:tcPr>
            <w:tcW w:w="4239" w:type="dxa"/>
            <w:vMerge/>
            <w:shd w:val="clear" w:color="auto" w:fill="auto"/>
            <w:vAlign w:val="center"/>
          </w:tcPr>
          <w:p w14:paraId="1408BED6" w14:textId="77777777" w:rsidR="00737EB2" w:rsidRPr="00765F6E" w:rsidRDefault="00737EB2" w:rsidP="00871D47">
            <w:pPr>
              <w:adjustRightInd/>
              <w:spacing w:line="240" w:lineRule="auto"/>
              <w:jc w:val="center"/>
              <w:rPr>
                <w:rFonts w:ascii="宋体" w:hAnsi="Courier New" w:cs="Courier New"/>
              </w:rPr>
            </w:pPr>
          </w:p>
        </w:tc>
        <w:tc>
          <w:tcPr>
            <w:tcW w:w="2845" w:type="dxa"/>
            <w:gridSpan w:val="2"/>
            <w:shd w:val="clear" w:color="auto" w:fill="auto"/>
            <w:vAlign w:val="center"/>
          </w:tcPr>
          <w:p w14:paraId="2E8DCA18" w14:textId="77777777" w:rsidR="00737EB2" w:rsidRPr="00BF0BA3" w:rsidRDefault="00737EB2" w:rsidP="00871D47">
            <w:pPr>
              <w:adjustRightInd/>
              <w:spacing w:line="240" w:lineRule="auto"/>
              <w:jc w:val="center"/>
              <w:rPr>
                <w:rFonts w:ascii="宋体" w:eastAsia="宋体" w:hAnsi="宋体" w:cs="宋体"/>
                <w:kern w:val="0"/>
                <w:sz w:val="18"/>
                <w:szCs w:val="18"/>
              </w:rPr>
            </w:pPr>
            <w:r w:rsidRPr="00BF0BA3">
              <w:rPr>
                <w:rFonts w:ascii="宋体" w:eastAsia="宋体" w:hAnsi="宋体" w:cs="宋体" w:hint="eastAsia"/>
                <w:kern w:val="0"/>
                <w:sz w:val="18"/>
                <w:szCs w:val="18"/>
              </w:rPr>
              <w:t>配线和其余车场线</w:t>
            </w:r>
          </w:p>
        </w:tc>
        <w:tc>
          <w:tcPr>
            <w:tcW w:w="1017" w:type="dxa"/>
            <w:vMerge/>
            <w:shd w:val="clear" w:color="auto" w:fill="auto"/>
            <w:vAlign w:val="center"/>
          </w:tcPr>
          <w:p w14:paraId="108ED6F5" w14:textId="77777777" w:rsidR="00737EB2" w:rsidRPr="00765F6E" w:rsidRDefault="00737EB2" w:rsidP="00871D47">
            <w:pPr>
              <w:adjustRightInd/>
              <w:spacing w:line="240" w:lineRule="auto"/>
              <w:jc w:val="center"/>
              <w:rPr>
                <w:rFonts w:ascii="宋体" w:hAnsi="宋体" w:cs="宋体"/>
                <w:kern w:val="0"/>
                <w:sz w:val="18"/>
                <w:szCs w:val="18"/>
              </w:rPr>
            </w:pPr>
          </w:p>
        </w:tc>
        <w:tc>
          <w:tcPr>
            <w:tcW w:w="1233" w:type="dxa"/>
            <w:vMerge/>
            <w:shd w:val="clear" w:color="auto" w:fill="auto"/>
            <w:vAlign w:val="center"/>
          </w:tcPr>
          <w:p w14:paraId="52D93F7B" w14:textId="77777777" w:rsidR="00737EB2" w:rsidRPr="00765F6E" w:rsidRDefault="00737EB2" w:rsidP="00871D47">
            <w:pPr>
              <w:adjustRightInd/>
              <w:spacing w:line="240" w:lineRule="auto"/>
              <w:jc w:val="center"/>
              <w:rPr>
                <w:rFonts w:ascii="宋体" w:hAnsi="宋体" w:cs="宋体"/>
                <w:kern w:val="0"/>
                <w:sz w:val="18"/>
                <w:szCs w:val="18"/>
              </w:rPr>
            </w:pPr>
          </w:p>
        </w:tc>
      </w:tr>
      <w:tr w:rsidR="00737EB2" w:rsidRPr="00765F6E" w14:paraId="1B5CFF28" w14:textId="77777777" w:rsidTr="00871D47">
        <w:trPr>
          <w:trHeight w:val="176"/>
        </w:trPr>
        <w:tc>
          <w:tcPr>
            <w:tcW w:w="9334" w:type="dxa"/>
            <w:gridSpan w:val="5"/>
            <w:tcBorders>
              <w:top w:val="single" w:sz="8" w:space="0" w:color="auto"/>
              <w:bottom w:val="single" w:sz="8" w:space="0" w:color="auto"/>
            </w:tcBorders>
            <w:shd w:val="clear" w:color="auto" w:fill="auto"/>
            <w:vAlign w:val="center"/>
          </w:tcPr>
          <w:p w14:paraId="0E6E20E3" w14:textId="77777777" w:rsidR="00737EB2" w:rsidRPr="00BF0BA3" w:rsidRDefault="00737EB2" w:rsidP="00871D47">
            <w:pPr>
              <w:pStyle w:val="a6"/>
              <w:numPr>
                <w:ilvl w:val="0"/>
                <w:numId w:val="0"/>
              </w:numPr>
              <w:rPr>
                <w:rFonts w:eastAsia="宋体" w:hAnsi="宋体"/>
              </w:rPr>
            </w:pPr>
            <w:r w:rsidRPr="00BF0BA3">
              <w:rPr>
                <w:rFonts w:eastAsia="宋体" w:hAnsi="宋体" w:hint="eastAsia"/>
              </w:rPr>
              <w:t>正线、站线采用无缝线路或通行列车时，道岔间插入钢轨的最小长度不应小于</w:t>
            </w:r>
            <w:r w:rsidRPr="00BF0BA3">
              <w:rPr>
                <w:rFonts w:eastAsia="宋体" w:hAnsi="宋体"/>
              </w:rPr>
              <w:t>12.5m</w:t>
            </w:r>
            <w:r w:rsidRPr="00BF0BA3">
              <w:rPr>
                <w:rFonts w:eastAsia="宋体" w:hAnsi="宋体" w:hint="eastAsia"/>
              </w:rPr>
              <w:t>。</w:t>
            </w:r>
          </w:p>
          <w:p w14:paraId="31F04C41" w14:textId="12FA8A84" w:rsidR="00737EB2" w:rsidRPr="00BF0BA3" w:rsidRDefault="00737EB2" w:rsidP="00871D47">
            <w:pPr>
              <w:pStyle w:val="a6"/>
              <w:numPr>
                <w:ilvl w:val="0"/>
                <w:numId w:val="0"/>
              </w:numPr>
              <w:rPr>
                <w:rFonts w:eastAsia="宋体" w:hAnsi="宋体"/>
              </w:rPr>
            </w:pPr>
            <w:r w:rsidRPr="00BF0BA3">
              <w:rPr>
                <w:rFonts w:eastAsia="宋体" w:hAnsi="宋体" w:hint="eastAsia"/>
              </w:rPr>
              <w:t>相邻两道岔轨型不同时，插入钢轨应采用异</w:t>
            </w:r>
            <w:r w:rsidR="00084098" w:rsidRPr="00BF0BA3">
              <w:rPr>
                <w:rFonts w:eastAsia="宋体" w:hAnsi="宋体" w:hint="eastAsia"/>
              </w:rPr>
              <w:t>型</w:t>
            </w:r>
            <w:r w:rsidRPr="00BF0BA3">
              <w:rPr>
                <w:rFonts w:eastAsia="宋体" w:hAnsi="宋体" w:hint="eastAsia"/>
              </w:rPr>
              <w:t>轨。</w:t>
            </w:r>
          </w:p>
          <w:p w14:paraId="6AAA1E65" w14:textId="77777777" w:rsidR="00737EB2" w:rsidRPr="00BF0BA3" w:rsidRDefault="00737EB2" w:rsidP="00737EB2">
            <w:pPr>
              <w:pStyle w:val="afff2"/>
              <w:ind w:left="584"/>
              <w:rPr>
                <w:rFonts w:eastAsia="宋体" w:hAnsi="宋体"/>
              </w:rPr>
            </w:pPr>
            <w:r w:rsidRPr="00BF0BA3">
              <w:rPr>
                <w:rFonts w:eastAsia="宋体" w:hAnsi="宋体"/>
              </w:rPr>
              <w:t>f</w:t>
            </w:r>
            <w:r w:rsidRPr="00BF0BA3">
              <w:rPr>
                <w:rFonts w:eastAsia="宋体" w:hAnsi="宋体" w:hint="eastAsia"/>
              </w:rPr>
              <w:t>为道岔间插入钢轨的长度。</w:t>
            </w:r>
          </w:p>
        </w:tc>
      </w:tr>
    </w:tbl>
    <w:p w14:paraId="59B55BAD" w14:textId="77777777" w:rsidR="00737EB2" w:rsidRPr="00765F6E" w:rsidRDefault="00737EB2" w:rsidP="00737EB2">
      <w:pPr>
        <w:spacing w:line="240" w:lineRule="auto"/>
      </w:pPr>
    </w:p>
    <w:p w14:paraId="1D8AD3E4" w14:textId="77777777" w:rsidR="00737EB2" w:rsidRPr="00765F6E" w:rsidRDefault="00737EB2" w:rsidP="009D0776">
      <w:pPr>
        <w:pStyle w:val="22"/>
      </w:pPr>
      <w:bookmarkStart w:id="776" w:name="_Toc99791691"/>
      <w:bookmarkStart w:id="777" w:name="_Toc153291123"/>
      <w:r w:rsidRPr="00765F6E">
        <w:rPr>
          <w:rFonts w:hint="eastAsia"/>
        </w:rPr>
        <w:t>道岔至有效站台端部距离符合下列规定：</w:t>
      </w:r>
      <w:bookmarkEnd w:id="776"/>
      <w:bookmarkEnd w:id="777"/>
    </w:p>
    <w:p w14:paraId="71EF95B6" w14:textId="77777777" w:rsidR="00737EB2" w:rsidRPr="00765F6E" w:rsidRDefault="00737EB2" w:rsidP="003334F3">
      <w:pPr>
        <w:pStyle w:val="af6"/>
        <w:numPr>
          <w:ilvl w:val="0"/>
          <w:numId w:val="62"/>
        </w:numPr>
        <w:tabs>
          <w:tab w:val="left" w:pos="851"/>
        </w:tabs>
        <w:snapToGrid w:val="0"/>
        <w:contextualSpacing/>
      </w:pPr>
      <w:r w:rsidRPr="00765F6E">
        <w:rPr>
          <w:rFonts w:hint="eastAsia"/>
        </w:rPr>
        <w:t>采用CBTC制式</w:t>
      </w:r>
      <w:r w:rsidRPr="00765F6E">
        <w:rPr>
          <w:rFonts w:hAnsi="宋体" w:hint="eastAsia"/>
        </w:rPr>
        <w:t>的列车运行控制系统</w:t>
      </w:r>
      <w:r w:rsidRPr="00765F6E">
        <w:rPr>
          <w:rFonts w:hint="eastAsia"/>
        </w:rPr>
        <w:t>时，道岔始端至有效站台端部的距离不宜小于8m；道岔后警冲标至有效站台端部的距离不宜小于12m；</w:t>
      </w:r>
    </w:p>
    <w:p w14:paraId="0F4F56B0" w14:textId="27DEAA31" w:rsidR="00737EB2" w:rsidRPr="00765F6E" w:rsidRDefault="00737EB2" w:rsidP="003334F3">
      <w:pPr>
        <w:pStyle w:val="af6"/>
        <w:numPr>
          <w:ilvl w:val="0"/>
          <w:numId w:val="62"/>
        </w:numPr>
        <w:tabs>
          <w:tab w:val="left" w:pos="851"/>
        </w:tabs>
        <w:snapToGrid w:val="0"/>
        <w:contextualSpacing/>
      </w:pPr>
      <w:r w:rsidRPr="00765F6E">
        <w:rPr>
          <w:rFonts w:hint="eastAsia"/>
        </w:rPr>
        <w:t>采用CTCS制式或</w:t>
      </w:r>
      <w:r w:rsidRPr="00765F6E">
        <w:rPr>
          <w:rFonts w:hAnsi="宋体" w:hint="eastAsia"/>
        </w:rPr>
        <w:t>兼容CTCS制式和CBTC制式的列车运行控制系统</w:t>
      </w:r>
      <w:r w:rsidRPr="00765F6E">
        <w:rPr>
          <w:rFonts w:hint="eastAsia"/>
        </w:rPr>
        <w:t>时，道岔始端（或道岔后警冲标）至有效站台端部的距离</w:t>
      </w:r>
      <w:r w:rsidR="00A90541">
        <w:rPr>
          <w:rFonts w:hint="eastAsia"/>
        </w:rPr>
        <w:t>应</w:t>
      </w:r>
      <w:r w:rsidRPr="00765F6E">
        <w:rPr>
          <w:rFonts w:hint="eastAsia"/>
        </w:rPr>
        <w:t>考虑安全防护距离的要求。</w:t>
      </w:r>
    </w:p>
    <w:p w14:paraId="71BD633E" w14:textId="77777777" w:rsidR="00737EB2" w:rsidRPr="00765F6E" w:rsidRDefault="00737EB2" w:rsidP="00737EB2">
      <w:pPr>
        <w:pStyle w:val="affe"/>
        <w:spacing w:before="156" w:after="156"/>
      </w:pPr>
      <w:bookmarkStart w:id="778" w:name="_Toc99791692"/>
      <w:bookmarkStart w:id="779" w:name="_Toc153210842"/>
      <w:bookmarkStart w:id="780" w:name="_Toc153291124"/>
      <w:bookmarkStart w:id="781" w:name="_Toc167895740"/>
      <w:bookmarkStart w:id="782" w:name="_Toc174538654"/>
      <w:bookmarkStart w:id="783" w:name="_Toc182476408"/>
      <w:r w:rsidRPr="00765F6E">
        <w:rPr>
          <w:rFonts w:hint="eastAsia"/>
        </w:rPr>
        <w:t>站线平、纵断面</w:t>
      </w:r>
      <w:bookmarkEnd w:id="778"/>
      <w:bookmarkEnd w:id="779"/>
      <w:bookmarkEnd w:id="780"/>
      <w:bookmarkEnd w:id="781"/>
      <w:bookmarkEnd w:id="782"/>
      <w:bookmarkEnd w:id="783"/>
    </w:p>
    <w:p w14:paraId="09954267" w14:textId="77777777" w:rsidR="00737EB2" w:rsidRPr="00765F6E" w:rsidRDefault="00737EB2" w:rsidP="009D0776">
      <w:pPr>
        <w:pStyle w:val="22"/>
      </w:pPr>
      <w:bookmarkStart w:id="784" w:name="_Toc99791693"/>
      <w:bookmarkStart w:id="785" w:name="_Toc153291125"/>
      <w:r w:rsidRPr="00765F6E">
        <w:rPr>
          <w:rFonts w:hint="eastAsia"/>
        </w:rPr>
        <w:t>到发线平面设计符合下列规定：</w:t>
      </w:r>
      <w:bookmarkEnd w:id="784"/>
      <w:bookmarkEnd w:id="785"/>
    </w:p>
    <w:p w14:paraId="3E212D14" w14:textId="77777777" w:rsidR="00737EB2" w:rsidRPr="00765F6E" w:rsidRDefault="00737EB2" w:rsidP="003334F3">
      <w:pPr>
        <w:pStyle w:val="af6"/>
        <w:numPr>
          <w:ilvl w:val="0"/>
          <w:numId w:val="63"/>
        </w:numPr>
        <w:tabs>
          <w:tab w:val="left" w:pos="851"/>
        </w:tabs>
        <w:snapToGrid w:val="0"/>
        <w:contextualSpacing/>
      </w:pPr>
      <w:r w:rsidRPr="00765F6E">
        <w:rPr>
          <w:rFonts w:hint="eastAsia"/>
        </w:rPr>
        <w:t>到发线有效长度应根据远期列车编组长度和列控系统要求计算确定；</w:t>
      </w:r>
    </w:p>
    <w:p w14:paraId="19CB32EE" w14:textId="77777777" w:rsidR="00737EB2" w:rsidRPr="00765F6E" w:rsidRDefault="00737EB2" w:rsidP="003334F3">
      <w:pPr>
        <w:pStyle w:val="af6"/>
        <w:numPr>
          <w:ilvl w:val="0"/>
          <w:numId w:val="63"/>
        </w:numPr>
        <w:tabs>
          <w:tab w:val="left" w:pos="851"/>
        </w:tabs>
        <w:snapToGrid w:val="0"/>
        <w:contextualSpacing/>
      </w:pPr>
      <w:r w:rsidRPr="00765F6E">
        <w:rPr>
          <w:rFonts w:hint="eastAsia"/>
        </w:rPr>
        <w:t>到发线宜设在直线上，困难条件下设在曲线上时，宜与正线按同心圆设计；</w:t>
      </w:r>
    </w:p>
    <w:p w14:paraId="236DA60F" w14:textId="77777777" w:rsidR="00737EB2" w:rsidRPr="00765F6E" w:rsidRDefault="00737EB2" w:rsidP="003334F3">
      <w:pPr>
        <w:pStyle w:val="af6"/>
        <w:numPr>
          <w:ilvl w:val="0"/>
          <w:numId w:val="63"/>
        </w:numPr>
        <w:tabs>
          <w:tab w:val="left" w:pos="851"/>
        </w:tabs>
        <w:snapToGrid w:val="0"/>
        <w:contextualSpacing/>
      </w:pPr>
      <w:r w:rsidRPr="00765F6E">
        <w:rPr>
          <w:rFonts w:hint="eastAsia"/>
        </w:rPr>
        <w:t>列车到发进路上曲线半径应与相邻道岔规定侧向通过速度相匹配；</w:t>
      </w:r>
    </w:p>
    <w:p w14:paraId="40885FDF" w14:textId="29E306EC" w:rsidR="00737EB2" w:rsidRPr="00765F6E" w:rsidRDefault="00737EB2" w:rsidP="003334F3">
      <w:pPr>
        <w:pStyle w:val="af6"/>
        <w:numPr>
          <w:ilvl w:val="0"/>
          <w:numId w:val="63"/>
        </w:numPr>
        <w:tabs>
          <w:tab w:val="left" w:pos="851"/>
        </w:tabs>
        <w:snapToGrid w:val="0"/>
        <w:contextualSpacing/>
      </w:pPr>
      <w:r w:rsidRPr="00765F6E">
        <w:rPr>
          <w:rFonts w:hint="eastAsia"/>
        </w:rPr>
        <w:t>有效站台范围内的到发线平面最小曲线半径应符合表</w:t>
      </w:r>
      <w:r w:rsidR="00E512B4" w:rsidRPr="00765F6E">
        <w:rPr>
          <w:rFonts w:hint="eastAsia"/>
        </w:rPr>
        <w:t>1</w:t>
      </w:r>
      <w:r w:rsidR="00E512B4">
        <w:t>9</w:t>
      </w:r>
      <w:r w:rsidRPr="00765F6E">
        <w:rPr>
          <w:rFonts w:hint="eastAsia"/>
        </w:rPr>
        <w:t>的规定。</w:t>
      </w:r>
    </w:p>
    <w:p w14:paraId="4AD2C05C" w14:textId="77777777" w:rsidR="00737EB2" w:rsidRPr="00765F6E" w:rsidRDefault="00737EB2" w:rsidP="00737EB2">
      <w:pPr>
        <w:pStyle w:val="aff3"/>
        <w:spacing w:before="156" w:after="156"/>
      </w:pPr>
      <w:r w:rsidRPr="00765F6E">
        <w:rPr>
          <w:rFonts w:hint="eastAsia"/>
        </w:rPr>
        <w:t>有效站台范围内的到发线平面最小曲线半径</w:t>
      </w:r>
    </w:p>
    <w:p w14:paraId="122A54CE" w14:textId="77777777" w:rsidR="00737EB2" w:rsidRPr="00765F6E" w:rsidRDefault="00737EB2" w:rsidP="00ED2D3D">
      <w:pPr>
        <w:pStyle w:val="affffb"/>
        <w:ind w:firstLine="360"/>
        <w:jc w:val="right"/>
        <w:rPr>
          <w:sz w:val="18"/>
          <w:szCs w:val="18"/>
        </w:rPr>
      </w:pPr>
      <w:r w:rsidRPr="00765F6E">
        <w:rPr>
          <w:rFonts w:hint="eastAsia"/>
          <w:sz w:val="18"/>
          <w:szCs w:val="18"/>
        </w:rPr>
        <w:t>单位为米</w:t>
      </w:r>
    </w:p>
    <w:tbl>
      <w:tblPr>
        <w:tblStyle w:val="42"/>
        <w:tblW w:w="0" w:type="auto"/>
        <w:jc w:val="center"/>
        <w:tblBorders>
          <w:top w:val="single" w:sz="8" w:space="0" w:color="auto"/>
          <w:left w:val="single" w:sz="8" w:space="0" w:color="auto"/>
          <w:right w:val="single" w:sz="8" w:space="0" w:color="auto"/>
        </w:tblBorders>
        <w:tblLook w:val="04A0" w:firstRow="1" w:lastRow="0" w:firstColumn="1" w:lastColumn="0" w:noHBand="0" w:noVBand="1"/>
      </w:tblPr>
      <w:tblGrid>
        <w:gridCol w:w="1556"/>
        <w:gridCol w:w="1556"/>
        <w:gridCol w:w="1555"/>
        <w:gridCol w:w="1555"/>
        <w:gridCol w:w="1556"/>
        <w:gridCol w:w="1556"/>
      </w:tblGrid>
      <w:tr w:rsidR="00737EB2" w:rsidRPr="00765F6E" w14:paraId="0DC74BFB" w14:textId="77777777" w:rsidTr="00871D47">
        <w:trPr>
          <w:trHeight w:val="176"/>
          <w:jc w:val="center"/>
        </w:trPr>
        <w:tc>
          <w:tcPr>
            <w:tcW w:w="3112" w:type="dxa"/>
            <w:gridSpan w:val="2"/>
            <w:tcBorders>
              <w:top w:val="single" w:sz="8" w:space="0" w:color="auto"/>
              <w:bottom w:val="single" w:sz="8" w:space="0" w:color="auto"/>
            </w:tcBorders>
            <w:shd w:val="clear" w:color="auto" w:fill="auto"/>
            <w:vAlign w:val="center"/>
          </w:tcPr>
          <w:p w14:paraId="7D040BF8"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车型</w:t>
            </w:r>
          </w:p>
        </w:tc>
        <w:tc>
          <w:tcPr>
            <w:tcW w:w="1555" w:type="dxa"/>
            <w:tcBorders>
              <w:top w:val="single" w:sz="8" w:space="0" w:color="auto"/>
              <w:bottom w:val="single" w:sz="8" w:space="0" w:color="auto"/>
            </w:tcBorders>
            <w:shd w:val="clear" w:color="auto" w:fill="auto"/>
            <w:vAlign w:val="center"/>
          </w:tcPr>
          <w:p w14:paraId="1F4C1E95"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市域A型车</w:t>
            </w:r>
          </w:p>
        </w:tc>
        <w:tc>
          <w:tcPr>
            <w:tcW w:w="1555" w:type="dxa"/>
            <w:tcBorders>
              <w:top w:val="single" w:sz="8" w:space="0" w:color="auto"/>
              <w:bottom w:val="single" w:sz="8" w:space="0" w:color="auto"/>
            </w:tcBorders>
            <w:shd w:val="clear" w:color="auto" w:fill="auto"/>
            <w:vAlign w:val="center"/>
          </w:tcPr>
          <w:p w14:paraId="463E0CC6"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市域B型车</w:t>
            </w:r>
          </w:p>
        </w:tc>
        <w:tc>
          <w:tcPr>
            <w:tcW w:w="1556" w:type="dxa"/>
            <w:tcBorders>
              <w:top w:val="single" w:sz="8" w:space="0" w:color="auto"/>
              <w:bottom w:val="single" w:sz="8" w:space="0" w:color="auto"/>
            </w:tcBorders>
            <w:shd w:val="clear" w:color="auto" w:fill="auto"/>
            <w:vAlign w:val="center"/>
          </w:tcPr>
          <w:p w14:paraId="557CEF2E"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市域C型车</w:t>
            </w:r>
          </w:p>
        </w:tc>
        <w:tc>
          <w:tcPr>
            <w:tcW w:w="1556" w:type="dxa"/>
            <w:tcBorders>
              <w:top w:val="single" w:sz="8" w:space="0" w:color="auto"/>
              <w:bottom w:val="single" w:sz="8" w:space="0" w:color="auto"/>
            </w:tcBorders>
            <w:shd w:val="clear" w:color="auto" w:fill="auto"/>
            <w:vAlign w:val="center"/>
          </w:tcPr>
          <w:p w14:paraId="34F09D17"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市域</w:t>
            </w:r>
            <w:r w:rsidRPr="00BF0BA3">
              <w:rPr>
                <w:rFonts w:ascii="宋体" w:eastAsia="宋体" w:hAnsi="宋体" w:cs="宋体"/>
                <w:kern w:val="0"/>
                <w:sz w:val="18"/>
                <w:szCs w:val="18"/>
              </w:rPr>
              <w:t>D</w:t>
            </w:r>
            <w:r w:rsidRPr="00BF0BA3">
              <w:rPr>
                <w:rFonts w:ascii="宋体" w:eastAsia="宋体" w:hAnsi="宋体" w:cs="宋体" w:hint="eastAsia"/>
                <w:kern w:val="0"/>
                <w:sz w:val="18"/>
                <w:szCs w:val="18"/>
              </w:rPr>
              <w:t>型车</w:t>
            </w:r>
          </w:p>
        </w:tc>
      </w:tr>
      <w:tr w:rsidR="00737EB2" w:rsidRPr="00765F6E" w14:paraId="090C82F8" w14:textId="77777777" w:rsidTr="00871D47">
        <w:trPr>
          <w:trHeight w:val="176"/>
          <w:jc w:val="center"/>
        </w:trPr>
        <w:tc>
          <w:tcPr>
            <w:tcW w:w="1556" w:type="dxa"/>
            <w:vMerge w:val="restart"/>
            <w:tcBorders>
              <w:top w:val="single" w:sz="8" w:space="0" w:color="auto"/>
            </w:tcBorders>
            <w:shd w:val="clear" w:color="auto" w:fill="auto"/>
            <w:vAlign w:val="center"/>
          </w:tcPr>
          <w:p w14:paraId="31BAA0BF"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曲线半径</w:t>
            </w:r>
          </w:p>
        </w:tc>
        <w:tc>
          <w:tcPr>
            <w:tcW w:w="1556" w:type="dxa"/>
            <w:tcBorders>
              <w:top w:val="single" w:sz="8" w:space="0" w:color="auto"/>
            </w:tcBorders>
            <w:shd w:val="clear" w:color="auto" w:fill="auto"/>
            <w:vAlign w:val="center"/>
          </w:tcPr>
          <w:p w14:paraId="5FB57A94"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有站台门</w:t>
            </w:r>
          </w:p>
        </w:tc>
        <w:tc>
          <w:tcPr>
            <w:tcW w:w="1555" w:type="dxa"/>
            <w:tcBorders>
              <w:top w:val="single" w:sz="8" w:space="0" w:color="auto"/>
            </w:tcBorders>
            <w:shd w:val="clear" w:color="auto" w:fill="auto"/>
            <w:vAlign w:val="center"/>
          </w:tcPr>
          <w:p w14:paraId="502C6CA3"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8</w:t>
            </w:r>
            <w:r w:rsidRPr="00BF0BA3">
              <w:rPr>
                <w:rFonts w:ascii="宋体" w:eastAsia="宋体" w:hAnsi="宋体" w:cs="宋体"/>
                <w:kern w:val="0"/>
                <w:sz w:val="18"/>
                <w:szCs w:val="18"/>
              </w:rPr>
              <w:t>00</w:t>
            </w:r>
          </w:p>
        </w:tc>
        <w:tc>
          <w:tcPr>
            <w:tcW w:w="1555" w:type="dxa"/>
            <w:tcBorders>
              <w:top w:val="single" w:sz="8" w:space="0" w:color="auto"/>
            </w:tcBorders>
            <w:shd w:val="clear" w:color="auto" w:fill="auto"/>
            <w:vAlign w:val="center"/>
          </w:tcPr>
          <w:p w14:paraId="53508021"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6</w:t>
            </w:r>
            <w:r w:rsidRPr="00BF0BA3">
              <w:rPr>
                <w:rFonts w:ascii="宋体" w:eastAsia="宋体" w:hAnsi="宋体" w:cs="宋体"/>
                <w:kern w:val="0"/>
                <w:sz w:val="18"/>
                <w:szCs w:val="18"/>
              </w:rPr>
              <w:t>00</w:t>
            </w:r>
          </w:p>
        </w:tc>
        <w:tc>
          <w:tcPr>
            <w:tcW w:w="1556" w:type="dxa"/>
            <w:tcBorders>
              <w:top w:val="single" w:sz="8" w:space="0" w:color="auto"/>
            </w:tcBorders>
            <w:shd w:val="clear" w:color="auto" w:fill="auto"/>
            <w:vAlign w:val="center"/>
          </w:tcPr>
          <w:p w14:paraId="525066CD"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1</w:t>
            </w:r>
            <w:r w:rsidRPr="00BF0BA3">
              <w:rPr>
                <w:rFonts w:ascii="宋体" w:eastAsia="宋体" w:hAnsi="宋体" w:cs="宋体"/>
                <w:kern w:val="0"/>
                <w:sz w:val="18"/>
                <w:szCs w:val="18"/>
              </w:rPr>
              <w:t>000</w:t>
            </w:r>
          </w:p>
        </w:tc>
        <w:tc>
          <w:tcPr>
            <w:tcW w:w="1556" w:type="dxa"/>
            <w:tcBorders>
              <w:top w:val="single" w:sz="8" w:space="0" w:color="auto"/>
            </w:tcBorders>
            <w:shd w:val="clear" w:color="auto" w:fill="auto"/>
            <w:vAlign w:val="center"/>
          </w:tcPr>
          <w:p w14:paraId="7184A721"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8</w:t>
            </w:r>
            <w:r w:rsidRPr="00BF0BA3">
              <w:rPr>
                <w:rFonts w:ascii="宋体" w:eastAsia="宋体" w:hAnsi="宋体" w:cs="宋体"/>
                <w:kern w:val="0"/>
                <w:sz w:val="18"/>
                <w:szCs w:val="18"/>
              </w:rPr>
              <w:t>00</w:t>
            </w:r>
          </w:p>
        </w:tc>
      </w:tr>
      <w:tr w:rsidR="00737EB2" w:rsidRPr="00765F6E" w14:paraId="49A1867E" w14:textId="77777777" w:rsidTr="00871D47">
        <w:trPr>
          <w:trHeight w:val="176"/>
          <w:jc w:val="center"/>
        </w:trPr>
        <w:tc>
          <w:tcPr>
            <w:tcW w:w="1556" w:type="dxa"/>
            <w:vMerge/>
            <w:tcBorders>
              <w:bottom w:val="single" w:sz="8" w:space="0" w:color="auto"/>
            </w:tcBorders>
            <w:shd w:val="clear" w:color="auto" w:fill="auto"/>
          </w:tcPr>
          <w:p w14:paraId="40091FD0"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p>
        </w:tc>
        <w:tc>
          <w:tcPr>
            <w:tcW w:w="1556" w:type="dxa"/>
            <w:tcBorders>
              <w:bottom w:val="single" w:sz="8" w:space="0" w:color="auto"/>
            </w:tcBorders>
            <w:shd w:val="clear" w:color="auto" w:fill="auto"/>
            <w:vAlign w:val="center"/>
          </w:tcPr>
          <w:p w14:paraId="39163F7C"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无站台门</w:t>
            </w:r>
          </w:p>
        </w:tc>
        <w:tc>
          <w:tcPr>
            <w:tcW w:w="1555" w:type="dxa"/>
            <w:tcBorders>
              <w:bottom w:val="single" w:sz="8" w:space="0" w:color="auto"/>
            </w:tcBorders>
            <w:shd w:val="clear" w:color="auto" w:fill="auto"/>
            <w:vAlign w:val="center"/>
          </w:tcPr>
          <w:p w14:paraId="258E587B"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5</w:t>
            </w:r>
            <w:r w:rsidRPr="00BF0BA3">
              <w:rPr>
                <w:rFonts w:ascii="宋体" w:eastAsia="宋体" w:hAnsi="宋体" w:cs="宋体"/>
                <w:kern w:val="0"/>
                <w:sz w:val="18"/>
                <w:szCs w:val="18"/>
              </w:rPr>
              <w:t>00</w:t>
            </w:r>
          </w:p>
        </w:tc>
        <w:tc>
          <w:tcPr>
            <w:tcW w:w="1555" w:type="dxa"/>
            <w:tcBorders>
              <w:bottom w:val="single" w:sz="8" w:space="0" w:color="auto"/>
            </w:tcBorders>
            <w:shd w:val="clear" w:color="auto" w:fill="auto"/>
            <w:vAlign w:val="center"/>
          </w:tcPr>
          <w:p w14:paraId="60E537C1"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4</w:t>
            </w:r>
            <w:r w:rsidRPr="00BF0BA3">
              <w:rPr>
                <w:rFonts w:ascii="宋体" w:eastAsia="宋体" w:hAnsi="宋体" w:cs="宋体"/>
                <w:kern w:val="0"/>
                <w:sz w:val="18"/>
                <w:szCs w:val="18"/>
              </w:rPr>
              <w:t>00</w:t>
            </w:r>
          </w:p>
        </w:tc>
        <w:tc>
          <w:tcPr>
            <w:tcW w:w="1556" w:type="dxa"/>
            <w:tcBorders>
              <w:bottom w:val="single" w:sz="8" w:space="0" w:color="auto"/>
            </w:tcBorders>
            <w:shd w:val="clear" w:color="auto" w:fill="auto"/>
            <w:vAlign w:val="center"/>
          </w:tcPr>
          <w:p w14:paraId="5498D57B"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7</w:t>
            </w:r>
            <w:r w:rsidRPr="00BF0BA3">
              <w:rPr>
                <w:rFonts w:ascii="宋体" w:eastAsia="宋体" w:hAnsi="宋体" w:cs="宋体"/>
                <w:kern w:val="0"/>
                <w:sz w:val="18"/>
                <w:szCs w:val="18"/>
              </w:rPr>
              <w:t>00</w:t>
            </w:r>
          </w:p>
        </w:tc>
        <w:tc>
          <w:tcPr>
            <w:tcW w:w="1556" w:type="dxa"/>
            <w:tcBorders>
              <w:bottom w:val="single" w:sz="8" w:space="0" w:color="auto"/>
            </w:tcBorders>
            <w:shd w:val="clear" w:color="auto" w:fill="auto"/>
            <w:vAlign w:val="center"/>
          </w:tcPr>
          <w:p w14:paraId="0642BEE2" w14:textId="77777777" w:rsidR="00737EB2" w:rsidRPr="00BF0BA3" w:rsidRDefault="00737EB2" w:rsidP="00871D47">
            <w:pPr>
              <w:adjustRightInd/>
              <w:spacing w:line="240" w:lineRule="auto"/>
              <w:jc w:val="center"/>
              <w:textAlignment w:val="center"/>
              <w:rPr>
                <w:rFonts w:ascii="宋体" w:eastAsia="宋体" w:hAnsi="宋体" w:cs="宋体"/>
                <w:kern w:val="0"/>
                <w:sz w:val="18"/>
                <w:szCs w:val="18"/>
              </w:rPr>
            </w:pPr>
            <w:r w:rsidRPr="00BF0BA3">
              <w:rPr>
                <w:rFonts w:ascii="宋体" w:eastAsia="宋体" w:hAnsi="宋体" w:cs="宋体" w:hint="eastAsia"/>
                <w:kern w:val="0"/>
                <w:sz w:val="18"/>
                <w:szCs w:val="18"/>
              </w:rPr>
              <w:t>5</w:t>
            </w:r>
            <w:r w:rsidRPr="00BF0BA3">
              <w:rPr>
                <w:rFonts w:ascii="宋体" w:eastAsia="宋体" w:hAnsi="宋体" w:cs="宋体"/>
                <w:kern w:val="0"/>
                <w:sz w:val="18"/>
                <w:szCs w:val="18"/>
              </w:rPr>
              <w:t>00</w:t>
            </w:r>
          </w:p>
        </w:tc>
      </w:tr>
    </w:tbl>
    <w:p w14:paraId="54B177EC" w14:textId="77777777" w:rsidR="00737EB2" w:rsidRPr="00765F6E" w:rsidRDefault="00737EB2" w:rsidP="00737EB2">
      <w:pPr>
        <w:spacing w:line="240" w:lineRule="auto"/>
      </w:pPr>
    </w:p>
    <w:p w14:paraId="37528502" w14:textId="585A90B8" w:rsidR="00737EB2" w:rsidRPr="00765F6E" w:rsidRDefault="00737EB2" w:rsidP="009D0776">
      <w:pPr>
        <w:pStyle w:val="22"/>
      </w:pPr>
      <w:bookmarkStart w:id="786" w:name="_Toc99791694"/>
      <w:bookmarkStart w:id="787" w:name="_Toc153291126"/>
      <w:r w:rsidRPr="00765F6E">
        <w:rPr>
          <w:rFonts w:hint="eastAsia"/>
        </w:rPr>
        <w:t>列车到发进路曲线</w:t>
      </w:r>
      <w:r w:rsidR="00C002D0">
        <w:rPr>
          <w:rFonts w:hint="eastAsia"/>
        </w:rPr>
        <w:t>宜</w:t>
      </w:r>
      <w:r w:rsidRPr="00765F6E">
        <w:rPr>
          <w:rFonts w:hint="eastAsia"/>
        </w:rPr>
        <w:t>设外轨超高。曲线超高值应根据平面曲线半径以及列车通过速度计算确定，并符合允许欠超高、允许过超高以及欠过超高之和允许值的规定，且不应小于20mm。超高顺坡率</w:t>
      </w:r>
      <w:r w:rsidRPr="00765F6E">
        <w:rPr>
          <w:rFonts w:hint="eastAsia"/>
        </w:rPr>
        <w:lastRenderedPageBreak/>
        <w:t>不应大于2‰。</w:t>
      </w:r>
      <w:bookmarkEnd w:id="786"/>
      <w:bookmarkEnd w:id="787"/>
    </w:p>
    <w:p w14:paraId="73C56342" w14:textId="77777777" w:rsidR="00737EB2" w:rsidRPr="00765F6E" w:rsidRDefault="00737EB2" w:rsidP="009D0776">
      <w:pPr>
        <w:pStyle w:val="22"/>
      </w:pPr>
      <w:bookmarkStart w:id="788" w:name="_Toc153291127"/>
      <w:bookmarkStart w:id="789" w:name="_Toc99791695"/>
      <w:r w:rsidRPr="00765F6E">
        <w:rPr>
          <w:rFonts w:hint="eastAsia"/>
        </w:rPr>
        <w:t>列车到发线上的曲线设缓和曲线时，圆曲线和两曲线间夹直线长度不应小于25m；不设缓和曲线时，两曲线间无超高直线段长度不应小于20m，困难条件下不小于10m。</w:t>
      </w:r>
      <w:bookmarkEnd w:id="788"/>
      <w:bookmarkEnd w:id="789"/>
    </w:p>
    <w:p w14:paraId="767DCA64" w14:textId="77777777" w:rsidR="00737EB2" w:rsidRPr="00765F6E" w:rsidRDefault="00737EB2" w:rsidP="009D0776">
      <w:pPr>
        <w:pStyle w:val="22"/>
      </w:pPr>
      <w:bookmarkStart w:id="790" w:name="_Toc99791696"/>
      <w:bookmarkStart w:id="791" w:name="_Toc153291128"/>
      <w:r w:rsidRPr="00765F6E">
        <w:rPr>
          <w:rFonts w:hint="eastAsia"/>
        </w:rPr>
        <w:t>列车到发进路上的道岔前后至曲线超高顺坡终点之间的直线段长度应根据曲线半径、道岔结构、曲线轨距加宽和曲线超高等因素确定。困难条件下,岔后直线段长度不应小于道岔跟端至末根岔枕的距离（特别困难时为至末根长岔枕的距离）与超高顺坡所需长度之和。</w:t>
      </w:r>
      <w:bookmarkEnd w:id="790"/>
      <w:bookmarkEnd w:id="791"/>
    </w:p>
    <w:p w14:paraId="52CA626D" w14:textId="77777777" w:rsidR="00737EB2" w:rsidRPr="00765F6E" w:rsidRDefault="00737EB2" w:rsidP="009D0776">
      <w:pPr>
        <w:pStyle w:val="22"/>
      </w:pPr>
      <w:bookmarkStart w:id="792" w:name="_Toc153291129"/>
      <w:bookmarkStart w:id="793" w:name="_Toc99791697"/>
      <w:r w:rsidRPr="00765F6E">
        <w:rPr>
          <w:rFonts w:hint="eastAsia"/>
        </w:rPr>
        <w:t>到发线有效长度范围内宜设计为一个坡段，困难条件下坡段长度不宜小于250m。</w:t>
      </w:r>
      <w:bookmarkEnd w:id="792"/>
      <w:bookmarkEnd w:id="793"/>
    </w:p>
    <w:p w14:paraId="392ED26E" w14:textId="65613584" w:rsidR="00737EB2" w:rsidRPr="00765F6E" w:rsidRDefault="00737EB2" w:rsidP="009D0776">
      <w:pPr>
        <w:pStyle w:val="22"/>
      </w:pPr>
      <w:bookmarkStart w:id="794" w:name="_Toc153291130"/>
      <w:bookmarkStart w:id="795" w:name="_Toc99791698"/>
      <w:r w:rsidRPr="00765F6E">
        <w:rPr>
          <w:rFonts w:hint="eastAsia"/>
        </w:rPr>
        <w:t>到发线上相邻坡段的坡度差大于</w:t>
      </w:r>
      <w:r w:rsidR="00C002D0">
        <w:t>3</w:t>
      </w:r>
      <w:r w:rsidRPr="00765F6E">
        <w:rPr>
          <w:rFonts w:hint="eastAsia"/>
        </w:rPr>
        <w:t>‰时，应以竖曲线连接。竖曲线半径</w:t>
      </w:r>
      <w:r w:rsidR="00961456">
        <w:rPr>
          <w:rFonts w:hint="eastAsia"/>
        </w:rPr>
        <w:t>不宜小于</w:t>
      </w:r>
      <w:r w:rsidRPr="00765F6E">
        <w:rPr>
          <w:rFonts w:hint="eastAsia"/>
        </w:rPr>
        <w:t>5000m，困难条件下</w:t>
      </w:r>
      <w:r w:rsidR="00961456">
        <w:rPr>
          <w:rFonts w:hint="eastAsia"/>
        </w:rPr>
        <w:t>不小于</w:t>
      </w:r>
      <w:r w:rsidRPr="00765F6E">
        <w:rPr>
          <w:rFonts w:hint="eastAsia"/>
        </w:rPr>
        <w:t>3000m。</w:t>
      </w:r>
      <w:bookmarkEnd w:id="794"/>
      <w:bookmarkEnd w:id="795"/>
    </w:p>
    <w:p w14:paraId="544B8FD7" w14:textId="77777777" w:rsidR="00737EB2" w:rsidRPr="00765F6E" w:rsidRDefault="00737EB2" w:rsidP="009D0776">
      <w:pPr>
        <w:pStyle w:val="22"/>
      </w:pPr>
      <w:bookmarkStart w:id="796" w:name="_Toc153291131"/>
      <w:bookmarkStart w:id="797" w:name="_Toc99791699"/>
      <w:r w:rsidRPr="00765F6E">
        <w:rPr>
          <w:rFonts w:hint="eastAsia"/>
        </w:rPr>
        <w:t>到发线道岔不应与竖曲线或变坡点重叠。</w:t>
      </w:r>
      <w:bookmarkEnd w:id="796"/>
      <w:bookmarkEnd w:id="797"/>
    </w:p>
    <w:p w14:paraId="71DA08B0" w14:textId="77777777" w:rsidR="00737EB2" w:rsidRPr="00765F6E" w:rsidRDefault="00737EB2" w:rsidP="009D0776">
      <w:pPr>
        <w:pStyle w:val="22"/>
      </w:pPr>
      <w:bookmarkStart w:id="798" w:name="_Toc99791700"/>
      <w:bookmarkStart w:id="799" w:name="_Toc153291132"/>
      <w:r w:rsidRPr="00765F6E">
        <w:rPr>
          <w:rFonts w:hint="eastAsia"/>
        </w:rPr>
        <w:t>相邻线路轨面高程宜按等高设计。但当有高差时，其轨面高差的顺接应根据路基面横向坡度和道床厚度等因素设计。</w:t>
      </w:r>
      <w:bookmarkEnd w:id="798"/>
      <w:bookmarkEnd w:id="799"/>
    </w:p>
    <w:p w14:paraId="548C431E" w14:textId="77777777" w:rsidR="00737EB2" w:rsidRPr="00765F6E" w:rsidRDefault="00737EB2" w:rsidP="009D0776">
      <w:pPr>
        <w:pStyle w:val="22"/>
      </w:pPr>
      <w:bookmarkStart w:id="800" w:name="_Toc99791702"/>
      <w:bookmarkStart w:id="801" w:name="_Toc153291133"/>
      <w:r w:rsidRPr="00765F6E">
        <w:rPr>
          <w:rFonts w:hint="eastAsia"/>
        </w:rPr>
        <w:t>安全线设计符合下列规定：</w:t>
      </w:r>
      <w:bookmarkEnd w:id="800"/>
      <w:bookmarkEnd w:id="801"/>
    </w:p>
    <w:p w14:paraId="23F7C76B" w14:textId="77777777" w:rsidR="00737EB2" w:rsidRPr="00765F6E" w:rsidRDefault="00737EB2" w:rsidP="003334F3">
      <w:pPr>
        <w:pStyle w:val="af6"/>
        <w:numPr>
          <w:ilvl w:val="0"/>
          <w:numId w:val="64"/>
        </w:numPr>
        <w:tabs>
          <w:tab w:val="left" w:pos="851"/>
        </w:tabs>
        <w:snapToGrid w:val="0"/>
        <w:contextualSpacing/>
        <w:rPr>
          <w:rFonts w:hAnsi="宋体"/>
        </w:rPr>
      </w:pPr>
      <w:r w:rsidRPr="00765F6E">
        <w:rPr>
          <w:rFonts w:hAnsi="宋体" w:hint="eastAsia"/>
        </w:rPr>
        <w:t>安全线有效长度应根据作业需求和信号制式确定；</w:t>
      </w:r>
    </w:p>
    <w:p w14:paraId="73AA0E76" w14:textId="77777777" w:rsidR="00737EB2" w:rsidRPr="00765F6E" w:rsidRDefault="00737EB2" w:rsidP="003334F3">
      <w:pPr>
        <w:pStyle w:val="af6"/>
        <w:numPr>
          <w:ilvl w:val="0"/>
          <w:numId w:val="64"/>
        </w:numPr>
        <w:tabs>
          <w:tab w:val="left" w:pos="851"/>
        </w:tabs>
        <w:snapToGrid w:val="0"/>
        <w:contextualSpacing/>
        <w:rPr>
          <w:rFonts w:hAnsi="宋体"/>
        </w:rPr>
      </w:pPr>
      <w:r w:rsidRPr="00765F6E">
        <w:rPr>
          <w:rFonts w:hAnsi="宋体" w:hint="eastAsia"/>
        </w:rPr>
        <w:t>安全线的纵坡应根据其应用场景确定；</w:t>
      </w:r>
    </w:p>
    <w:p w14:paraId="5DF9C6B7" w14:textId="77777777" w:rsidR="00737EB2" w:rsidRPr="00765F6E" w:rsidRDefault="00737EB2" w:rsidP="003334F3">
      <w:pPr>
        <w:pStyle w:val="af6"/>
        <w:numPr>
          <w:ilvl w:val="0"/>
          <w:numId w:val="64"/>
        </w:numPr>
        <w:tabs>
          <w:tab w:val="left" w:pos="851"/>
        </w:tabs>
        <w:snapToGrid w:val="0"/>
        <w:contextualSpacing/>
        <w:rPr>
          <w:rFonts w:hAnsi="宋体"/>
        </w:rPr>
      </w:pPr>
      <w:r w:rsidRPr="00765F6E">
        <w:rPr>
          <w:rFonts w:hAnsi="宋体" w:hint="eastAsia"/>
        </w:rPr>
        <w:t>安全线未端应设置车挡和缓冲装置。</w:t>
      </w:r>
    </w:p>
    <w:p w14:paraId="52495271" w14:textId="77777777" w:rsidR="00737EB2" w:rsidRPr="00765F6E" w:rsidRDefault="00737EB2" w:rsidP="009D0776">
      <w:pPr>
        <w:pStyle w:val="22"/>
      </w:pPr>
      <w:bookmarkStart w:id="802" w:name="_Toc153291134"/>
      <w:bookmarkStart w:id="803" w:name="_Toc99791703"/>
      <w:r w:rsidRPr="00765F6E">
        <w:rPr>
          <w:rFonts w:hint="eastAsia"/>
        </w:rPr>
        <w:t>车辆基地内线路平面布置符合下列规定：</w:t>
      </w:r>
      <w:bookmarkEnd w:id="802"/>
      <w:bookmarkEnd w:id="803"/>
    </w:p>
    <w:p w14:paraId="61EC8B78" w14:textId="77777777" w:rsidR="00737EB2" w:rsidRPr="00765F6E" w:rsidRDefault="00737EB2" w:rsidP="003334F3">
      <w:pPr>
        <w:pStyle w:val="af6"/>
        <w:numPr>
          <w:ilvl w:val="0"/>
          <w:numId w:val="65"/>
        </w:numPr>
        <w:tabs>
          <w:tab w:val="left" w:pos="851"/>
        </w:tabs>
        <w:snapToGrid w:val="0"/>
        <w:contextualSpacing/>
        <w:rPr>
          <w:rFonts w:hAnsi="宋体"/>
        </w:rPr>
      </w:pPr>
      <w:r w:rsidRPr="00765F6E">
        <w:rPr>
          <w:rFonts w:hAnsi="宋体" w:hint="eastAsia"/>
        </w:rPr>
        <w:t>线路宜设在直线上；库内线路应设在直线上；</w:t>
      </w:r>
    </w:p>
    <w:p w14:paraId="4AAF734E" w14:textId="77777777" w:rsidR="00737EB2" w:rsidRPr="00765F6E" w:rsidRDefault="00737EB2" w:rsidP="003334F3">
      <w:pPr>
        <w:pStyle w:val="af6"/>
        <w:numPr>
          <w:ilvl w:val="0"/>
          <w:numId w:val="65"/>
        </w:numPr>
        <w:tabs>
          <w:tab w:val="left" w:pos="851"/>
        </w:tabs>
        <w:snapToGrid w:val="0"/>
        <w:contextualSpacing/>
        <w:rPr>
          <w:rFonts w:hAnsi="宋体"/>
        </w:rPr>
      </w:pPr>
      <w:r w:rsidRPr="00765F6E">
        <w:rPr>
          <w:rFonts w:hAnsi="宋体" w:hint="eastAsia"/>
        </w:rPr>
        <w:t>道岔后连接曲线半径不应小于相邻道岔导曲线半径。运行市域A型车、B型车及D型车时最小曲线半径不应小于150m；运行市域C型车时最小曲线半径不应小于200m；</w:t>
      </w:r>
    </w:p>
    <w:p w14:paraId="47E742B7" w14:textId="77777777" w:rsidR="00737EB2" w:rsidRPr="00765F6E" w:rsidRDefault="00737EB2" w:rsidP="003334F3">
      <w:pPr>
        <w:pStyle w:val="af6"/>
        <w:numPr>
          <w:ilvl w:val="0"/>
          <w:numId w:val="65"/>
        </w:numPr>
        <w:tabs>
          <w:tab w:val="left" w:pos="851"/>
        </w:tabs>
        <w:snapToGrid w:val="0"/>
        <w:contextualSpacing/>
        <w:rPr>
          <w:rFonts w:hAnsi="宋体"/>
        </w:rPr>
      </w:pPr>
      <w:r w:rsidRPr="00765F6E">
        <w:rPr>
          <w:rFonts w:hAnsi="宋体" w:hint="eastAsia"/>
        </w:rPr>
        <w:t>试车线上的曲线应设缓和曲线。缓和曲线长度应根据列车最高试验速度、曲线设计超高、超高或欠超高时变率、超高顺坡率计算确定，且不应小于20m；其他线路可不设缓和曲线；</w:t>
      </w:r>
    </w:p>
    <w:p w14:paraId="0DF735FC" w14:textId="77777777" w:rsidR="00737EB2" w:rsidRPr="00765F6E" w:rsidRDefault="00737EB2" w:rsidP="003334F3">
      <w:pPr>
        <w:pStyle w:val="af6"/>
        <w:numPr>
          <w:ilvl w:val="0"/>
          <w:numId w:val="65"/>
        </w:numPr>
        <w:tabs>
          <w:tab w:val="left" w:pos="851"/>
        </w:tabs>
        <w:snapToGrid w:val="0"/>
        <w:contextualSpacing/>
        <w:rPr>
          <w:rFonts w:hAnsi="宋体"/>
        </w:rPr>
      </w:pPr>
      <w:r w:rsidRPr="00765F6E">
        <w:rPr>
          <w:rFonts w:hAnsi="宋体" w:hint="eastAsia"/>
        </w:rPr>
        <w:t>试车线上的圆曲线和两曲线间夹直线长度不宜小于0.4v（夹直线长度以m计；v为试车速度，以km/h计），困难条件下不应小于20m；其余线路圆曲线及两曲线间夹直线长度不应小于20m，困难条件下不应小于10m；</w:t>
      </w:r>
    </w:p>
    <w:p w14:paraId="5FDEAD4E" w14:textId="77777777" w:rsidR="00737EB2" w:rsidRPr="00765F6E" w:rsidRDefault="00737EB2" w:rsidP="003334F3">
      <w:pPr>
        <w:pStyle w:val="af6"/>
        <w:numPr>
          <w:ilvl w:val="0"/>
          <w:numId w:val="65"/>
        </w:numPr>
        <w:tabs>
          <w:tab w:val="left" w:pos="851"/>
        </w:tabs>
        <w:snapToGrid w:val="0"/>
        <w:contextualSpacing/>
        <w:rPr>
          <w:rFonts w:hAnsi="宋体"/>
        </w:rPr>
      </w:pPr>
      <w:r w:rsidRPr="00765F6E">
        <w:rPr>
          <w:rFonts w:hAnsi="宋体" w:hint="eastAsia"/>
        </w:rPr>
        <w:t>试车线曲线地段宜设曲线超高，曲线地段超高值应根据平面曲线半径以及列车最高试验速度计算确定；其余线路可不设曲线超高；</w:t>
      </w:r>
    </w:p>
    <w:p w14:paraId="7CAB8257" w14:textId="77777777" w:rsidR="00737EB2" w:rsidRPr="00765F6E" w:rsidRDefault="00737EB2" w:rsidP="003334F3">
      <w:pPr>
        <w:pStyle w:val="af6"/>
        <w:numPr>
          <w:ilvl w:val="0"/>
          <w:numId w:val="65"/>
        </w:numPr>
        <w:tabs>
          <w:tab w:val="left" w:pos="851"/>
        </w:tabs>
        <w:snapToGrid w:val="0"/>
        <w:contextualSpacing/>
        <w:rPr>
          <w:rFonts w:hAnsi="宋体"/>
        </w:rPr>
      </w:pPr>
      <w:r w:rsidRPr="00765F6E">
        <w:rPr>
          <w:rFonts w:hAnsi="宋体" w:hint="eastAsia"/>
        </w:rPr>
        <w:t>咽喉区线路轨面有高差时，轨面高差顺接应根据路基面横向坡度和道床厚度等因素确定。</w:t>
      </w:r>
    </w:p>
    <w:p w14:paraId="5AB45138" w14:textId="77777777" w:rsidR="00737EB2" w:rsidRPr="00765F6E" w:rsidRDefault="00737EB2" w:rsidP="009D0776">
      <w:pPr>
        <w:pStyle w:val="22"/>
      </w:pPr>
      <w:bookmarkStart w:id="804" w:name="_Toc153291135"/>
      <w:bookmarkStart w:id="805" w:name="_Toc99791704"/>
      <w:r w:rsidRPr="00765F6E">
        <w:rPr>
          <w:rFonts w:hint="eastAsia"/>
        </w:rPr>
        <w:t>道岔至曲线间直线段长度符合下列规定：</w:t>
      </w:r>
      <w:bookmarkEnd w:id="804"/>
      <w:bookmarkEnd w:id="805"/>
    </w:p>
    <w:p w14:paraId="529CB6DF" w14:textId="77777777" w:rsidR="00737EB2" w:rsidRPr="00765F6E" w:rsidRDefault="00737EB2" w:rsidP="003334F3">
      <w:pPr>
        <w:pStyle w:val="af6"/>
        <w:numPr>
          <w:ilvl w:val="0"/>
          <w:numId w:val="66"/>
        </w:numPr>
        <w:tabs>
          <w:tab w:val="left" w:pos="851"/>
        </w:tabs>
        <w:snapToGrid w:val="0"/>
        <w:contextualSpacing/>
      </w:pPr>
      <w:r w:rsidRPr="00765F6E">
        <w:rPr>
          <w:rFonts w:hint="eastAsia"/>
        </w:rPr>
        <w:t>正线及联络线上道岔与缓和曲线间直线段长度不宜小于0.4v（直线段长度以m计；v为路段设计速度，以km/h计），困难条件下不应小于25m；</w:t>
      </w:r>
    </w:p>
    <w:p w14:paraId="61206792" w14:textId="058D44FC" w:rsidR="00737EB2" w:rsidRPr="00765F6E" w:rsidRDefault="00737EB2" w:rsidP="003334F3">
      <w:pPr>
        <w:pStyle w:val="af6"/>
        <w:numPr>
          <w:ilvl w:val="0"/>
          <w:numId w:val="66"/>
        </w:numPr>
        <w:tabs>
          <w:tab w:val="left" w:pos="851"/>
        </w:tabs>
        <w:snapToGrid w:val="0"/>
        <w:contextualSpacing/>
      </w:pPr>
      <w:r w:rsidRPr="00765F6E">
        <w:rPr>
          <w:rFonts w:hint="eastAsia"/>
        </w:rPr>
        <w:t>到发线、配线及车场线上道岔至圆曲线最小直线段长度应符合表</w:t>
      </w:r>
      <w:r w:rsidR="00E512B4">
        <w:rPr>
          <w:bCs/>
        </w:rPr>
        <w:t>20</w:t>
      </w:r>
      <w:r w:rsidRPr="00765F6E">
        <w:rPr>
          <w:rFonts w:hint="eastAsia"/>
        </w:rPr>
        <w:t>的规定。</w:t>
      </w:r>
    </w:p>
    <w:p w14:paraId="33322EB9" w14:textId="179C2255" w:rsidR="00737EB2" w:rsidRPr="00765F6E" w:rsidRDefault="00737EB2" w:rsidP="00737EB2">
      <w:pPr>
        <w:pStyle w:val="aff3"/>
        <w:spacing w:before="156" w:after="156"/>
      </w:pPr>
      <w:r w:rsidRPr="00765F6E">
        <w:rPr>
          <w:rFonts w:hint="eastAsia"/>
        </w:rPr>
        <w:t>配线及车场线上道岔至圆曲线最小直线段长度</w:t>
      </w: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987"/>
        <w:gridCol w:w="2123"/>
        <w:gridCol w:w="1555"/>
        <w:gridCol w:w="1556"/>
        <w:gridCol w:w="1556"/>
        <w:gridCol w:w="1557"/>
      </w:tblGrid>
      <w:tr w:rsidR="00737EB2" w:rsidRPr="00765F6E" w14:paraId="6C4607EE" w14:textId="77777777" w:rsidTr="00871D47">
        <w:trPr>
          <w:trHeight w:val="176"/>
        </w:trPr>
        <w:tc>
          <w:tcPr>
            <w:tcW w:w="987" w:type="dxa"/>
            <w:vMerge w:val="restart"/>
            <w:tcBorders>
              <w:top w:val="single" w:sz="8" w:space="0" w:color="auto"/>
              <w:bottom w:val="single" w:sz="4" w:space="0" w:color="auto"/>
            </w:tcBorders>
            <w:shd w:val="clear" w:color="auto" w:fill="auto"/>
            <w:vAlign w:val="center"/>
          </w:tcPr>
          <w:p w14:paraId="27372B2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序号</w:t>
            </w:r>
          </w:p>
        </w:tc>
        <w:tc>
          <w:tcPr>
            <w:tcW w:w="2123" w:type="dxa"/>
            <w:vMerge w:val="restart"/>
            <w:tcBorders>
              <w:top w:val="single" w:sz="8" w:space="0" w:color="auto"/>
              <w:bottom w:val="single" w:sz="4" w:space="0" w:color="auto"/>
            </w:tcBorders>
            <w:shd w:val="clear" w:color="auto" w:fill="auto"/>
            <w:vAlign w:val="center"/>
          </w:tcPr>
          <w:p w14:paraId="0A7F36A3"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道岔前后圆曲线半径</w:t>
            </w:r>
            <w:r w:rsidRPr="00765F6E">
              <w:rPr>
                <w:rFonts w:hAnsi="宋体" w:cs="宋体"/>
                <w:sz w:val="18"/>
                <w:szCs w:val="18"/>
              </w:rPr>
              <w:t>R</w:t>
            </w:r>
            <w:r w:rsidRPr="00765F6E">
              <w:rPr>
                <w:rFonts w:hAnsi="宋体" w:cs="宋体" w:hint="eastAsia"/>
                <w:sz w:val="18"/>
                <w:szCs w:val="18"/>
              </w:rPr>
              <w:t>/</w:t>
            </w:r>
            <w:r w:rsidRPr="00765F6E">
              <w:rPr>
                <w:rFonts w:hAnsi="宋体" w:cs="宋体"/>
                <w:sz w:val="18"/>
                <w:szCs w:val="18"/>
              </w:rPr>
              <w:t>m</w:t>
            </w:r>
          </w:p>
        </w:tc>
        <w:tc>
          <w:tcPr>
            <w:tcW w:w="6224" w:type="dxa"/>
            <w:gridSpan w:val="4"/>
            <w:tcBorders>
              <w:top w:val="single" w:sz="8" w:space="0" w:color="auto"/>
              <w:bottom w:val="single" w:sz="4" w:space="0" w:color="auto"/>
            </w:tcBorders>
            <w:shd w:val="clear" w:color="auto" w:fill="auto"/>
            <w:vAlign w:val="center"/>
          </w:tcPr>
          <w:p w14:paraId="4D5FB8E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最小直线段长度/</w:t>
            </w:r>
            <w:r w:rsidRPr="00765F6E">
              <w:rPr>
                <w:rFonts w:hAnsi="宋体" w:cs="宋体"/>
                <w:sz w:val="18"/>
                <w:szCs w:val="18"/>
              </w:rPr>
              <w:t>m</w:t>
            </w:r>
          </w:p>
        </w:tc>
      </w:tr>
      <w:tr w:rsidR="00737EB2" w:rsidRPr="00765F6E" w14:paraId="1DD3ABA4" w14:textId="77777777" w:rsidTr="00871D47">
        <w:trPr>
          <w:trHeight w:val="176"/>
        </w:trPr>
        <w:tc>
          <w:tcPr>
            <w:tcW w:w="987" w:type="dxa"/>
            <w:vMerge/>
            <w:tcBorders>
              <w:top w:val="single" w:sz="4" w:space="0" w:color="auto"/>
              <w:bottom w:val="single" w:sz="4" w:space="0" w:color="auto"/>
            </w:tcBorders>
            <w:shd w:val="clear" w:color="auto" w:fill="auto"/>
            <w:vAlign w:val="center"/>
          </w:tcPr>
          <w:p w14:paraId="55AB1944" w14:textId="77777777" w:rsidR="00737EB2" w:rsidRPr="00765F6E" w:rsidRDefault="00737EB2" w:rsidP="00871D47">
            <w:pPr>
              <w:pStyle w:val="affffffffffff2"/>
              <w:jc w:val="center"/>
              <w:rPr>
                <w:rFonts w:hAnsi="宋体" w:cs="宋体"/>
                <w:sz w:val="18"/>
                <w:szCs w:val="18"/>
              </w:rPr>
            </w:pPr>
          </w:p>
        </w:tc>
        <w:tc>
          <w:tcPr>
            <w:tcW w:w="2123" w:type="dxa"/>
            <w:vMerge/>
            <w:tcBorders>
              <w:top w:val="single" w:sz="4" w:space="0" w:color="auto"/>
              <w:bottom w:val="single" w:sz="4" w:space="0" w:color="auto"/>
            </w:tcBorders>
            <w:shd w:val="clear" w:color="auto" w:fill="auto"/>
            <w:vAlign w:val="center"/>
          </w:tcPr>
          <w:p w14:paraId="1FF51D72" w14:textId="77777777" w:rsidR="00737EB2" w:rsidRPr="00765F6E" w:rsidRDefault="00737EB2" w:rsidP="00871D47">
            <w:pPr>
              <w:pStyle w:val="affffffffffff2"/>
              <w:jc w:val="center"/>
              <w:rPr>
                <w:rFonts w:hAnsi="宋体" w:cs="宋体"/>
                <w:sz w:val="18"/>
                <w:szCs w:val="18"/>
              </w:rPr>
            </w:pPr>
          </w:p>
        </w:tc>
        <w:tc>
          <w:tcPr>
            <w:tcW w:w="3111" w:type="dxa"/>
            <w:gridSpan w:val="2"/>
            <w:tcBorders>
              <w:top w:val="single" w:sz="4" w:space="0" w:color="auto"/>
              <w:bottom w:val="single" w:sz="4" w:space="0" w:color="auto"/>
            </w:tcBorders>
            <w:shd w:val="clear" w:color="auto" w:fill="auto"/>
            <w:vAlign w:val="center"/>
          </w:tcPr>
          <w:p w14:paraId="19776CC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一般</w:t>
            </w:r>
          </w:p>
        </w:tc>
        <w:tc>
          <w:tcPr>
            <w:tcW w:w="3113" w:type="dxa"/>
            <w:gridSpan w:val="2"/>
            <w:tcBorders>
              <w:top w:val="single" w:sz="4" w:space="0" w:color="auto"/>
              <w:bottom w:val="single" w:sz="4" w:space="0" w:color="auto"/>
            </w:tcBorders>
            <w:shd w:val="clear" w:color="auto" w:fill="auto"/>
            <w:vAlign w:val="center"/>
          </w:tcPr>
          <w:p w14:paraId="15955B1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困难</w:t>
            </w:r>
          </w:p>
        </w:tc>
      </w:tr>
      <w:tr w:rsidR="00737EB2" w:rsidRPr="00765F6E" w14:paraId="7BFAC080" w14:textId="77777777" w:rsidTr="00871D47">
        <w:trPr>
          <w:trHeight w:val="176"/>
        </w:trPr>
        <w:tc>
          <w:tcPr>
            <w:tcW w:w="987" w:type="dxa"/>
            <w:vMerge/>
            <w:tcBorders>
              <w:top w:val="single" w:sz="4" w:space="0" w:color="auto"/>
              <w:bottom w:val="single" w:sz="4" w:space="0" w:color="auto"/>
            </w:tcBorders>
            <w:shd w:val="clear" w:color="auto" w:fill="auto"/>
            <w:vAlign w:val="center"/>
          </w:tcPr>
          <w:p w14:paraId="5C6C6DD8" w14:textId="77777777" w:rsidR="00737EB2" w:rsidRPr="00765F6E" w:rsidRDefault="00737EB2" w:rsidP="00871D47">
            <w:pPr>
              <w:pStyle w:val="affffffffffff2"/>
              <w:jc w:val="center"/>
              <w:rPr>
                <w:rFonts w:hAnsi="宋体" w:cs="宋体"/>
                <w:sz w:val="18"/>
                <w:szCs w:val="18"/>
              </w:rPr>
            </w:pPr>
          </w:p>
        </w:tc>
        <w:tc>
          <w:tcPr>
            <w:tcW w:w="2123" w:type="dxa"/>
            <w:vMerge/>
            <w:tcBorders>
              <w:top w:val="single" w:sz="4" w:space="0" w:color="auto"/>
              <w:bottom w:val="single" w:sz="4" w:space="0" w:color="auto"/>
            </w:tcBorders>
            <w:shd w:val="clear" w:color="auto" w:fill="auto"/>
            <w:vAlign w:val="center"/>
          </w:tcPr>
          <w:p w14:paraId="46BEEB4F" w14:textId="77777777" w:rsidR="00737EB2" w:rsidRPr="00765F6E" w:rsidRDefault="00737EB2" w:rsidP="00871D47">
            <w:pPr>
              <w:pStyle w:val="affffffffffff2"/>
              <w:jc w:val="center"/>
              <w:rPr>
                <w:rFonts w:hAnsi="宋体" w:cs="宋体"/>
                <w:sz w:val="18"/>
                <w:szCs w:val="18"/>
              </w:rPr>
            </w:pPr>
          </w:p>
        </w:tc>
        <w:tc>
          <w:tcPr>
            <w:tcW w:w="3111" w:type="dxa"/>
            <w:gridSpan w:val="2"/>
            <w:tcBorders>
              <w:top w:val="single" w:sz="4" w:space="0" w:color="auto"/>
              <w:bottom w:val="single" w:sz="4" w:space="0" w:color="auto"/>
            </w:tcBorders>
            <w:shd w:val="clear" w:color="auto" w:fill="auto"/>
            <w:vAlign w:val="center"/>
          </w:tcPr>
          <w:p w14:paraId="2556087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轨距加宽递减率</w:t>
            </w:r>
            <w:r w:rsidRPr="00765F6E">
              <w:rPr>
                <w:rFonts w:hAnsi="宋体" w:cs="宋体"/>
                <w:sz w:val="18"/>
                <w:szCs w:val="18"/>
              </w:rPr>
              <w:t>2‰</w:t>
            </w:r>
          </w:p>
        </w:tc>
        <w:tc>
          <w:tcPr>
            <w:tcW w:w="3113" w:type="dxa"/>
            <w:gridSpan w:val="2"/>
            <w:tcBorders>
              <w:top w:val="single" w:sz="4" w:space="0" w:color="auto"/>
              <w:bottom w:val="single" w:sz="4" w:space="0" w:color="auto"/>
            </w:tcBorders>
            <w:shd w:val="clear" w:color="auto" w:fill="auto"/>
            <w:vAlign w:val="center"/>
          </w:tcPr>
          <w:p w14:paraId="7090BEF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轨距加宽递减率</w:t>
            </w:r>
            <w:r w:rsidRPr="00765F6E">
              <w:rPr>
                <w:rFonts w:hAnsi="宋体" w:cs="宋体"/>
                <w:sz w:val="18"/>
                <w:szCs w:val="18"/>
              </w:rPr>
              <w:t>3‰</w:t>
            </w:r>
          </w:p>
        </w:tc>
      </w:tr>
      <w:tr w:rsidR="00737EB2" w:rsidRPr="00765F6E" w14:paraId="2E2A69D6" w14:textId="77777777" w:rsidTr="00871D47">
        <w:trPr>
          <w:trHeight w:val="176"/>
        </w:trPr>
        <w:tc>
          <w:tcPr>
            <w:tcW w:w="987" w:type="dxa"/>
            <w:vMerge/>
            <w:tcBorders>
              <w:top w:val="single" w:sz="4" w:space="0" w:color="auto"/>
              <w:bottom w:val="single" w:sz="8" w:space="0" w:color="auto"/>
            </w:tcBorders>
            <w:shd w:val="clear" w:color="auto" w:fill="auto"/>
            <w:vAlign w:val="center"/>
          </w:tcPr>
          <w:p w14:paraId="5DB7E64F" w14:textId="77777777" w:rsidR="00737EB2" w:rsidRPr="00765F6E" w:rsidRDefault="00737EB2" w:rsidP="00871D47">
            <w:pPr>
              <w:pStyle w:val="affffffffffff2"/>
              <w:jc w:val="center"/>
              <w:rPr>
                <w:rFonts w:hAnsi="宋体" w:cs="宋体"/>
                <w:sz w:val="18"/>
                <w:szCs w:val="18"/>
              </w:rPr>
            </w:pPr>
          </w:p>
        </w:tc>
        <w:tc>
          <w:tcPr>
            <w:tcW w:w="2123" w:type="dxa"/>
            <w:vMerge/>
            <w:tcBorders>
              <w:top w:val="single" w:sz="4" w:space="0" w:color="auto"/>
              <w:bottom w:val="single" w:sz="8" w:space="0" w:color="auto"/>
            </w:tcBorders>
            <w:shd w:val="clear" w:color="auto" w:fill="auto"/>
            <w:vAlign w:val="center"/>
          </w:tcPr>
          <w:p w14:paraId="730B4F9E" w14:textId="77777777" w:rsidR="00737EB2" w:rsidRPr="00765F6E" w:rsidRDefault="00737EB2" w:rsidP="00871D47">
            <w:pPr>
              <w:pStyle w:val="affffffffffff2"/>
              <w:jc w:val="center"/>
              <w:rPr>
                <w:rFonts w:hAnsi="宋体" w:cs="宋体"/>
                <w:sz w:val="18"/>
                <w:szCs w:val="18"/>
              </w:rPr>
            </w:pPr>
          </w:p>
        </w:tc>
        <w:tc>
          <w:tcPr>
            <w:tcW w:w="1555" w:type="dxa"/>
            <w:tcBorders>
              <w:top w:val="single" w:sz="4" w:space="0" w:color="auto"/>
              <w:bottom w:val="single" w:sz="8" w:space="0" w:color="auto"/>
            </w:tcBorders>
            <w:shd w:val="clear" w:color="auto" w:fill="auto"/>
            <w:vAlign w:val="center"/>
          </w:tcPr>
          <w:p w14:paraId="13FA685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岔前</w:t>
            </w:r>
          </w:p>
        </w:tc>
        <w:tc>
          <w:tcPr>
            <w:tcW w:w="1556" w:type="dxa"/>
            <w:tcBorders>
              <w:top w:val="single" w:sz="4" w:space="0" w:color="auto"/>
              <w:bottom w:val="single" w:sz="8" w:space="0" w:color="auto"/>
            </w:tcBorders>
            <w:shd w:val="clear" w:color="auto" w:fill="auto"/>
            <w:vAlign w:val="center"/>
          </w:tcPr>
          <w:p w14:paraId="0880D87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岔后</w:t>
            </w:r>
          </w:p>
        </w:tc>
        <w:tc>
          <w:tcPr>
            <w:tcW w:w="1556" w:type="dxa"/>
            <w:tcBorders>
              <w:top w:val="single" w:sz="4" w:space="0" w:color="auto"/>
              <w:bottom w:val="single" w:sz="8" w:space="0" w:color="auto"/>
            </w:tcBorders>
            <w:shd w:val="clear" w:color="auto" w:fill="auto"/>
            <w:vAlign w:val="center"/>
          </w:tcPr>
          <w:p w14:paraId="51FC724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岔前</w:t>
            </w:r>
          </w:p>
        </w:tc>
        <w:tc>
          <w:tcPr>
            <w:tcW w:w="1557" w:type="dxa"/>
            <w:tcBorders>
              <w:top w:val="single" w:sz="4" w:space="0" w:color="auto"/>
              <w:bottom w:val="single" w:sz="8" w:space="0" w:color="auto"/>
            </w:tcBorders>
            <w:shd w:val="clear" w:color="auto" w:fill="auto"/>
            <w:vAlign w:val="center"/>
          </w:tcPr>
          <w:p w14:paraId="5CB8874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岔后</w:t>
            </w:r>
          </w:p>
        </w:tc>
      </w:tr>
      <w:tr w:rsidR="00737EB2" w:rsidRPr="00765F6E" w14:paraId="046CC14E" w14:textId="77777777" w:rsidTr="00871D47">
        <w:trPr>
          <w:trHeight w:val="176"/>
        </w:trPr>
        <w:tc>
          <w:tcPr>
            <w:tcW w:w="987" w:type="dxa"/>
            <w:tcBorders>
              <w:top w:val="single" w:sz="8" w:space="0" w:color="auto"/>
            </w:tcBorders>
            <w:shd w:val="clear" w:color="auto" w:fill="auto"/>
            <w:vAlign w:val="center"/>
          </w:tcPr>
          <w:p w14:paraId="2C2B15AE"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w:t>
            </w:r>
          </w:p>
        </w:tc>
        <w:tc>
          <w:tcPr>
            <w:tcW w:w="2123" w:type="dxa"/>
            <w:tcBorders>
              <w:top w:val="single" w:sz="8" w:space="0" w:color="auto"/>
            </w:tcBorders>
            <w:shd w:val="clear" w:color="auto" w:fill="auto"/>
            <w:vAlign w:val="center"/>
          </w:tcPr>
          <w:p w14:paraId="0BEB6D03"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R</w:t>
            </w:r>
            <w:r w:rsidRPr="00765F6E">
              <w:rPr>
                <w:rFonts w:hAnsi="宋体" w:cs="宋体" w:hint="eastAsia"/>
                <w:sz w:val="18"/>
                <w:szCs w:val="18"/>
              </w:rPr>
              <w:t>≥3</w:t>
            </w:r>
            <w:r w:rsidRPr="00765F6E">
              <w:rPr>
                <w:rFonts w:hAnsi="宋体" w:cs="宋体"/>
                <w:sz w:val="18"/>
                <w:szCs w:val="18"/>
              </w:rPr>
              <w:t>00</w:t>
            </w:r>
          </w:p>
        </w:tc>
        <w:tc>
          <w:tcPr>
            <w:tcW w:w="1555" w:type="dxa"/>
            <w:tcBorders>
              <w:top w:val="single" w:sz="8" w:space="0" w:color="auto"/>
            </w:tcBorders>
            <w:shd w:val="clear" w:color="auto" w:fill="auto"/>
            <w:vAlign w:val="center"/>
          </w:tcPr>
          <w:p w14:paraId="61C1B36D"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w:t>
            </w:r>
          </w:p>
        </w:tc>
        <w:tc>
          <w:tcPr>
            <w:tcW w:w="1556" w:type="dxa"/>
            <w:tcBorders>
              <w:top w:val="single" w:sz="8" w:space="0" w:color="auto"/>
            </w:tcBorders>
            <w:shd w:val="clear" w:color="auto" w:fill="auto"/>
            <w:vAlign w:val="center"/>
          </w:tcPr>
          <w:p w14:paraId="5F0D444C"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0+L’</w:t>
            </w:r>
          </w:p>
        </w:tc>
        <w:tc>
          <w:tcPr>
            <w:tcW w:w="1556" w:type="dxa"/>
            <w:tcBorders>
              <w:top w:val="single" w:sz="8" w:space="0" w:color="auto"/>
            </w:tcBorders>
            <w:shd w:val="clear" w:color="auto" w:fill="auto"/>
            <w:vAlign w:val="center"/>
          </w:tcPr>
          <w:p w14:paraId="1B02007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0</w:t>
            </w:r>
          </w:p>
        </w:tc>
        <w:tc>
          <w:tcPr>
            <w:tcW w:w="1557" w:type="dxa"/>
            <w:tcBorders>
              <w:top w:val="single" w:sz="8" w:space="0" w:color="auto"/>
            </w:tcBorders>
            <w:shd w:val="clear" w:color="auto" w:fill="auto"/>
            <w:vAlign w:val="center"/>
          </w:tcPr>
          <w:p w14:paraId="36D78096"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0+L’</w:t>
            </w:r>
          </w:p>
        </w:tc>
      </w:tr>
      <w:tr w:rsidR="00737EB2" w:rsidRPr="00765F6E" w14:paraId="1A5640FD" w14:textId="77777777" w:rsidTr="00871D47">
        <w:trPr>
          <w:trHeight w:val="176"/>
        </w:trPr>
        <w:tc>
          <w:tcPr>
            <w:tcW w:w="987" w:type="dxa"/>
            <w:shd w:val="clear" w:color="auto" w:fill="auto"/>
            <w:vAlign w:val="center"/>
          </w:tcPr>
          <w:p w14:paraId="5B407366"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w:t>
            </w:r>
          </w:p>
        </w:tc>
        <w:tc>
          <w:tcPr>
            <w:tcW w:w="2123" w:type="dxa"/>
            <w:shd w:val="clear" w:color="auto" w:fill="auto"/>
            <w:vAlign w:val="center"/>
          </w:tcPr>
          <w:p w14:paraId="5297F46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300</w:t>
            </w:r>
            <w:r w:rsidRPr="00765F6E">
              <w:rPr>
                <w:rFonts w:hAnsi="宋体" w:cs="宋体" w:hint="eastAsia"/>
                <w:sz w:val="18"/>
                <w:szCs w:val="18"/>
              </w:rPr>
              <w:t>＞</w:t>
            </w:r>
            <w:r w:rsidRPr="00765F6E">
              <w:rPr>
                <w:rFonts w:hAnsi="宋体" w:cs="宋体"/>
                <w:sz w:val="18"/>
                <w:szCs w:val="18"/>
              </w:rPr>
              <w:t>R</w:t>
            </w:r>
            <w:r w:rsidRPr="00765F6E">
              <w:rPr>
                <w:rFonts w:hAnsi="宋体" w:cs="宋体" w:hint="eastAsia"/>
                <w:sz w:val="18"/>
                <w:szCs w:val="18"/>
              </w:rPr>
              <w:t>≥</w:t>
            </w:r>
            <w:r w:rsidRPr="00765F6E">
              <w:rPr>
                <w:rFonts w:hAnsi="宋体" w:cs="宋体"/>
                <w:sz w:val="18"/>
                <w:szCs w:val="18"/>
              </w:rPr>
              <w:t>250</w:t>
            </w:r>
          </w:p>
        </w:tc>
        <w:tc>
          <w:tcPr>
            <w:tcW w:w="1555" w:type="dxa"/>
            <w:shd w:val="clear" w:color="auto" w:fill="auto"/>
            <w:vAlign w:val="center"/>
          </w:tcPr>
          <w:p w14:paraId="2A8735C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2.5</w:t>
            </w:r>
          </w:p>
        </w:tc>
        <w:tc>
          <w:tcPr>
            <w:tcW w:w="1556" w:type="dxa"/>
            <w:shd w:val="clear" w:color="auto" w:fill="auto"/>
            <w:vAlign w:val="center"/>
          </w:tcPr>
          <w:p w14:paraId="20262B5F"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2.5+L’</w:t>
            </w:r>
          </w:p>
        </w:tc>
        <w:tc>
          <w:tcPr>
            <w:tcW w:w="1556" w:type="dxa"/>
            <w:shd w:val="clear" w:color="auto" w:fill="auto"/>
            <w:vAlign w:val="center"/>
          </w:tcPr>
          <w:p w14:paraId="735A9175"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w:t>
            </w:r>
          </w:p>
        </w:tc>
        <w:tc>
          <w:tcPr>
            <w:tcW w:w="1557" w:type="dxa"/>
            <w:shd w:val="clear" w:color="auto" w:fill="auto"/>
            <w:vAlign w:val="center"/>
          </w:tcPr>
          <w:p w14:paraId="748B2D5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2+L’</w:t>
            </w:r>
          </w:p>
        </w:tc>
      </w:tr>
      <w:tr w:rsidR="00737EB2" w:rsidRPr="00765F6E" w14:paraId="7096D5B6" w14:textId="77777777" w:rsidTr="00871D47">
        <w:trPr>
          <w:trHeight w:val="176"/>
        </w:trPr>
        <w:tc>
          <w:tcPr>
            <w:tcW w:w="987" w:type="dxa"/>
            <w:shd w:val="clear" w:color="auto" w:fill="auto"/>
            <w:vAlign w:val="center"/>
          </w:tcPr>
          <w:p w14:paraId="7A07E52D"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3</w:t>
            </w:r>
          </w:p>
        </w:tc>
        <w:tc>
          <w:tcPr>
            <w:tcW w:w="2123" w:type="dxa"/>
            <w:shd w:val="clear" w:color="auto" w:fill="auto"/>
            <w:vAlign w:val="center"/>
          </w:tcPr>
          <w:p w14:paraId="1BEFE33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250</w:t>
            </w:r>
            <w:r w:rsidRPr="00765F6E">
              <w:rPr>
                <w:rFonts w:hAnsi="宋体" w:cs="宋体" w:hint="eastAsia"/>
                <w:sz w:val="18"/>
                <w:szCs w:val="18"/>
              </w:rPr>
              <w:t>＞</w:t>
            </w:r>
            <w:r w:rsidRPr="00765F6E">
              <w:rPr>
                <w:rFonts w:hAnsi="宋体" w:cs="宋体"/>
                <w:sz w:val="18"/>
                <w:szCs w:val="18"/>
              </w:rPr>
              <w:t>R</w:t>
            </w:r>
            <w:r w:rsidRPr="00765F6E">
              <w:rPr>
                <w:rFonts w:hAnsi="宋体" w:cs="宋体" w:hint="eastAsia"/>
                <w:sz w:val="18"/>
                <w:szCs w:val="18"/>
              </w:rPr>
              <w:t>≥</w:t>
            </w:r>
            <w:r w:rsidRPr="00765F6E">
              <w:rPr>
                <w:rFonts w:hAnsi="宋体" w:cs="宋体"/>
                <w:sz w:val="18"/>
                <w:szCs w:val="18"/>
              </w:rPr>
              <w:t>200</w:t>
            </w:r>
          </w:p>
        </w:tc>
        <w:tc>
          <w:tcPr>
            <w:tcW w:w="1555" w:type="dxa"/>
            <w:shd w:val="clear" w:color="auto" w:fill="auto"/>
            <w:vAlign w:val="center"/>
          </w:tcPr>
          <w:p w14:paraId="5CEB7B6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5</w:t>
            </w:r>
          </w:p>
        </w:tc>
        <w:tc>
          <w:tcPr>
            <w:tcW w:w="1556" w:type="dxa"/>
            <w:shd w:val="clear" w:color="auto" w:fill="auto"/>
            <w:vAlign w:val="center"/>
          </w:tcPr>
          <w:p w14:paraId="50E93B5D"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5+L’</w:t>
            </w:r>
          </w:p>
        </w:tc>
        <w:tc>
          <w:tcPr>
            <w:tcW w:w="1556" w:type="dxa"/>
            <w:shd w:val="clear" w:color="auto" w:fill="auto"/>
            <w:vAlign w:val="center"/>
          </w:tcPr>
          <w:p w14:paraId="1E9733AE"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5</w:t>
            </w:r>
          </w:p>
        </w:tc>
        <w:tc>
          <w:tcPr>
            <w:tcW w:w="1557" w:type="dxa"/>
            <w:shd w:val="clear" w:color="auto" w:fill="auto"/>
            <w:vAlign w:val="center"/>
          </w:tcPr>
          <w:p w14:paraId="29A66C56"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5+L’</w:t>
            </w:r>
          </w:p>
        </w:tc>
      </w:tr>
      <w:tr w:rsidR="00737EB2" w:rsidRPr="00765F6E" w14:paraId="4095C93D" w14:textId="77777777" w:rsidTr="00871D47">
        <w:trPr>
          <w:trHeight w:val="176"/>
        </w:trPr>
        <w:tc>
          <w:tcPr>
            <w:tcW w:w="987" w:type="dxa"/>
            <w:tcBorders>
              <w:bottom w:val="single" w:sz="8" w:space="0" w:color="auto"/>
            </w:tcBorders>
            <w:shd w:val="clear" w:color="auto" w:fill="auto"/>
            <w:vAlign w:val="center"/>
          </w:tcPr>
          <w:p w14:paraId="6591A957"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4</w:t>
            </w:r>
          </w:p>
        </w:tc>
        <w:tc>
          <w:tcPr>
            <w:tcW w:w="2123" w:type="dxa"/>
            <w:tcBorders>
              <w:bottom w:val="single" w:sz="8" w:space="0" w:color="auto"/>
            </w:tcBorders>
            <w:shd w:val="clear" w:color="auto" w:fill="auto"/>
            <w:vAlign w:val="center"/>
          </w:tcPr>
          <w:p w14:paraId="201A631F"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R</w:t>
            </w:r>
            <w:r w:rsidRPr="00765F6E">
              <w:rPr>
                <w:rFonts w:hAnsi="宋体" w:cs="宋体" w:hint="eastAsia"/>
                <w:sz w:val="18"/>
                <w:szCs w:val="18"/>
              </w:rPr>
              <w:t>＜</w:t>
            </w:r>
            <w:r w:rsidRPr="00765F6E">
              <w:rPr>
                <w:rFonts w:hAnsi="宋体" w:cs="宋体"/>
                <w:sz w:val="18"/>
                <w:szCs w:val="18"/>
              </w:rPr>
              <w:t>200</w:t>
            </w:r>
          </w:p>
        </w:tc>
        <w:tc>
          <w:tcPr>
            <w:tcW w:w="1555" w:type="dxa"/>
            <w:tcBorders>
              <w:bottom w:val="single" w:sz="8" w:space="0" w:color="auto"/>
            </w:tcBorders>
            <w:shd w:val="clear" w:color="auto" w:fill="auto"/>
            <w:vAlign w:val="center"/>
          </w:tcPr>
          <w:p w14:paraId="2F59610C"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7.5</w:t>
            </w:r>
          </w:p>
        </w:tc>
        <w:tc>
          <w:tcPr>
            <w:tcW w:w="1556" w:type="dxa"/>
            <w:tcBorders>
              <w:bottom w:val="single" w:sz="8" w:space="0" w:color="auto"/>
            </w:tcBorders>
            <w:shd w:val="clear" w:color="auto" w:fill="auto"/>
            <w:vAlign w:val="center"/>
          </w:tcPr>
          <w:p w14:paraId="12ECD976"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7.5+L’</w:t>
            </w:r>
          </w:p>
        </w:tc>
        <w:tc>
          <w:tcPr>
            <w:tcW w:w="1556" w:type="dxa"/>
            <w:tcBorders>
              <w:bottom w:val="single" w:sz="8" w:space="0" w:color="auto"/>
            </w:tcBorders>
            <w:shd w:val="clear" w:color="auto" w:fill="auto"/>
            <w:vAlign w:val="center"/>
          </w:tcPr>
          <w:p w14:paraId="235F3E03"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7.5</w:t>
            </w:r>
          </w:p>
        </w:tc>
        <w:tc>
          <w:tcPr>
            <w:tcW w:w="1557" w:type="dxa"/>
            <w:tcBorders>
              <w:bottom w:val="single" w:sz="8" w:space="0" w:color="auto"/>
            </w:tcBorders>
            <w:shd w:val="clear" w:color="auto" w:fill="auto"/>
            <w:vAlign w:val="center"/>
          </w:tcPr>
          <w:p w14:paraId="17DAD12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7.5+L’</w:t>
            </w:r>
            <w:r w:rsidRPr="00765F6E">
              <w:rPr>
                <w:rFonts w:hAnsi="宋体" w:cs="宋体"/>
                <w:sz w:val="18"/>
                <w:szCs w:val="18"/>
                <w:vertAlign w:val="superscript"/>
              </w:rPr>
              <w:t>a</w:t>
            </w:r>
          </w:p>
        </w:tc>
      </w:tr>
      <w:tr w:rsidR="00737EB2" w:rsidRPr="00765F6E" w14:paraId="2A841426" w14:textId="77777777" w:rsidTr="00871D47">
        <w:trPr>
          <w:trHeight w:val="176"/>
        </w:trPr>
        <w:tc>
          <w:tcPr>
            <w:tcW w:w="9334" w:type="dxa"/>
            <w:gridSpan w:val="6"/>
            <w:tcBorders>
              <w:top w:val="single" w:sz="8" w:space="0" w:color="auto"/>
              <w:bottom w:val="single" w:sz="8" w:space="0" w:color="auto"/>
            </w:tcBorders>
            <w:shd w:val="clear" w:color="auto" w:fill="auto"/>
            <w:vAlign w:val="center"/>
          </w:tcPr>
          <w:p w14:paraId="4D55F25D" w14:textId="77777777" w:rsidR="00737EB2" w:rsidRPr="00765F6E" w:rsidRDefault="00737EB2" w:rsidP="00871D47">
            <w:pPr>
              <w:pStyle w:val="a6"/>
              <w:numPr>
                <w:ilvl w:val="0"/>
                <w:numId w:val="0"/>
              </w:numPr>
              <w:ind w:left="448" w:hangingChars="249" w:hanging="448"/>
            </w:pPr>
            <w:r w:rsidRPr="00765F6E">
              <w:t>道岔岔后连接曲线的曲线半径应与相邻道岔规定的侧向通过速度相匹配，并不小于道岔导曲线半径。</w:t>
            </w:r>
          </w:p>
          <w:p w14:paraId="753FC561" w14:textId="77777777" w:rsidR="00737EB2" w:rsidRPr="00765F6E" w:rsidRDefault="00737EB2" w:rsidP="00737EB2">
            <w:pPr>
              <w:pStyle w:val="afff2"/>
              <w:ind w:left="584"/>
            </w:pPr>
            <w:r w:rsidRPr="00765F6E">
              <w:t>L</w:t>
            </w:r>
            <w:r w:rsidRPr="00765F6E">
              <w:t>’</w:t>
            </w:r>
            <w:r w:rsidRPr="00765F6E">
              <w:t>为道岔跟端至末根岔枕的距离。困难条件下，可采用道岔跟端至末根长岔枕的距离长替代L</w:t>
            </w:r>
            <w:r w:rsidRPr="00765F6E">
              <w:t>’</w:t>
            </w:r>
            <w:r w:rsidRPr="00765F6E">
              <w:t>计算。</w:t>
            </w:r>
          </w:p>
        </w:tc>
      </w:tr>
    </w:tbl>
    <w:p w14:paraId="2805BDAA" w14:textId="77777777" w:rsidR="00737EB2" w:rsidRPr="00765F6E" w:rsidRDefault="00737EB2" w:rsidP="00737EB2">
      <w:pPr>
        <w:spacing w:line="240" w:lineRule="auto"/>
      </w:pPr>
    </w:p>
    <w:p w14:paraId="7F49DDA6" w14:textId="77777777" w:rsidR="00737EB2" w:rsidRPr="00765F6E" w:rsidRDefault="00737EB2" w:rsidP="009D0776">
      <w:pPr>
        <w:pStyle w:val="22"/>
      </w:pPr>
      <w:bookmarkStart w:id="806" w:name="_Toc99791705"/>
      <w:bookmarkStart w:id="807" w:name="_Toc153291136"/>
      <w:r w:rsidRPr="00765F6E">
        <w:rPr>
          <w:rFonts w:hint="eastAsia"/>
        </w:rPr>
        <w:t>车辆基地和维修工区内的线路宜设在平道上。困难条件下，咽喉区可设在不大于6‰的坡道上。</w:t>
      </w:r>
      <w:bookmarkEnd w:id="806"/>
      <w:bookmarkEnd w:id="807"/>
    </w:p>
    <w:p w14:paraId="4FC920AA" w14:textId="5D4EFB5E" w:rsidR="00737EB2" w:rsidRDefault="00397A07" w:rsidP="009D0776">
      <w:pPr>
        <w:pStyle w:val="22"/>
      </w:pPr>
      <w:bookmarkStart w:id="808" w:name="_Toc99791706"/>
      <w:bookmarkStart w:id="809" w:name="_Toc153291137"/>
      <w:r w:rsidRPr="00765F6E">
        <w:rPr>
          <w:rFonts w:hint="eastAsia"/>
        </w:rPr>
        <w:lastRenderedPageBreak/>
        <w:t>养护维修列车走行线的坡度，一般条件下不大于30‰，困难条件下不应大于35‰；牵出线宜设在平道上，困难条件下坡度不应大于6‰</w:t>
      </w:r>
      <w:bookmarkEnd w:id="808"/>
      <w:bookmarkEnd w:id="809"/>
      <w:r>
        <w:rPr>
          <w:rFonts w:hint="eastAsia"/>
        </w:rPr>
        <w:t>；库内线宜设在平坡道上，库外停车线坡度不应大于1‰。</w:t>
      </w:r>
    </w:p>
    <w:p w14:paraId="71F7013B" w14:textId="77777777" w:rsidR="00737EB2" w:rsidRPr="00765F6E" w:rsidRDefault="00737EB2" w:rsidP="00737EB2">
      <w:pPr>
        <w:pStyle w:val="affe"/>
        <w:spacing w:before="156" w:after="156"/>
      </w:pPr>
      <w:bookmarkStart w:id="810" w:name="_Toc99791707"/>
      <w:bookmarkStart w:id="811" w:name="_Toc153291138"/>
      <w:bookmarkStart w:id="812" w:name="_Toc153210843"/>
      <w:bookmarkStart w:id="813" w:name="_Toc167895741"/>
      <w:bookmarkStart w:id="814" w:name="_Toc174538655"/>
      <w:bookmarkStart w:id="815" w:name="_Toc182476409"/>
      <w:r w:rsidRPr="00765F6E">
        <w:rPr>
          <w:rFonts w:hint="eastAsia"/>
        </w:rPr>
        <w:t>站场路基、排水及其他</w:t>
      </w:r>
      <w:bookmarkEnd w:id="810"/>
      <w:bookmarkEnd w:id="811"/>
      <w:bookmarkEnd w:id="812"/>
      <w:bookmarkEnd w:id="813"/>
      <w:bookmarkEnd w:id="814"/>
      <w:bookmarkEnd w:id="815"/>
    </w:p>
    <w:p w14:paraId="2BF72EB8" w14:textId="77777777" w:rsidR="00737EB2" w:rsidRPr="00765F6E" w:rsidRDefault="00737EB2" w:rsidP="009D0776">
      <w:pPr>
        <w:pStyle w:val="22"/>
      </w:pPr>
      <w:bookmarkStart w:id="816" w:name="_Toc99791708"/>
      <w:bookmarkStart w:id="817" w:name="_Toc153291139"/>
      <w:r w:rsidRPr="00765F6E">
        <w:rPr>
          <w:rFonts w:hint="eastAsia"/>
        </w:rPr>
        <w:t>进站信号机以内线路中心线至路基面边缘的距离，应根据接触网柱的位置及基础宽度、电缆槽位置及宽度等因素计算确定。其他线路不应小于3.0m。</w:t>
      </w:r>
      <w:bookmarkEnd w:id="816"/>
      <w:bookmarkEnd w:id="817"/>
    </w:p>
    <w:p w14:paraId="44C80D1A" w14:textId="77777777" w:rsidR="00737EB2" w:rsidRPr="00765F6E" w:rsidRDefault="00737EB2" w:rsidP="009D0776">
      <w:pPr>
        <w:pStyle w:val="22"/>
      </w:pPr>
      <w:bookmarkStart w:id="818" w:name="_Toc153291140"/>
      <w:bookmarkStart w:id="819" w:name="_Toc99791709"/>
      <w:r w:rsidRPr="00765F6E">
        <w:rPr>
          <w:rFonts w:hint="eastAsia"/>
        </w:rPr>
        <w:t>到发线路基基床表层顶面、基床底层顶面及底面的横向排水坡均应采用4％。其他站线路基面排水横坡应结合各地区年降雨量具体确定，且不宜小于2％。</w:t>
      </w:r>
      <w:bookmarkEnd w:id="818"/>
      <w:bookmarkEnd w:id="819"/>
    </w:p>
    <w:p w14:paraId="49AB8A7E" w14:textId="77777777" w:rsidR="00737EB2" w:rsidRPr="00765F6E" w:rsidRDefault="00737EB2" w:rsidP="009D0776">
      <w:pPr>
        <w:pStyle w:val="22"/>
      </w:pPr>
      <w:bookmarkStart w:id="820" w:name="_Toc153291141"/>
      <w:bookmarkStart w:id="821" w:name="_Toc99791710"/>
      <w:r w:rsidRPr="00765F6E">
        <w:rPr>
          <w:rFonts w:hint="eastAsia"/>
        </w:rPr>
        <w:t>站场路基基床设计符合下列规定：</w:t>
      </w:r>
      <w:bookmarkEnd w:id="820"/>
      <w:bookmarkEnd w:id="821"/>
    </w:p>
    <w:p w14:paraId="54ECDAC4" w14:textId="77777777" w:rsidR="00737EB2" w:rsidRPr="00765F6E" w:rsidRDefault="00737EB2" w:rsidP="003334F3">
      <w:pPr>
        <w:pStyle w:val="af6"/>
        <w:numPr>
          <w:ilvl w:val="0"/>
          <w:numId w:val="67"/>
        </w:numPr>
        <w:tabs>
          <w:tab w:val="left" w:pos="851"/>
        </w:tabs>
        <w:snapToGrid w:val="0"/>
        <w:contextualSpacing/>
        <w:rPr>
          <w:rFonts w:hAnsi="宋体"/>
        </w:rPr>
      </w:pPr>
      <w:r w:rsidRPr="00765F6E">
        <w:rPr>
          <w:rFonts w:hAnsi="宋体" w:hint="eastAsia"/>
        </w:rPr>
        <w:t>站内正线应与区间正线相同；</w:t>
      </w:r>
    </w:p>
    <w:p w14:paraId="1D9166A0" w14:textId="77777777" w:rsidR="00737EB2" w:rsidRPr="00765F6E" w:rsidRDefault="00737EB2" w:rsidP="003334F3">
      <w:pPr>
        <w:pStyle w:val="af6"/>
        <w:numPr>
          <w:ilvl w:val="0"/>
          <w:numId w:val="67"/>
        </w:numPr>
        <w:tabs>
          <w:tab w:val="left" w:pos="851"/>
        </w:tabs>
        <w:snapToGrid w:val="0"/>
        <w:contextualSpacing/>
        <w:rPr>
          <w:rFonts w:hAnsi="宋体"/>
        </w:rPr>
      </w:pPr>
      <w:r w:rsidRPr="00765F6E">
        <w:rPr>
          <w:rFonts w:hAnsi="宋体" w:hint="eastAsia"/>
        </w:rPr>
        <w:t>到发线与正线处于同一路基时应与站内正线相同；</w:t>
      </w:r>
    </w:p>
    <w:p w14:paraId="6E1ABE4C" w14:textId="77777777" w:rsidR="00737EB2" w:rsidRPr="00765F6E" w:rsidRDefault="00737EB2" w:rsidP="003334F3">
      <w:pPr>
        <w:pStyle w:val="af6"/>
        <w:numPr>
          <w:ilvl w:val="0"/>
          <w:numId w:val="67"/>
        </w:numPr>
        <w:tabs>
          <w:tab w:val="left" w:pos="851"/>
        </w:tabs>
        <w:snapToGrid w:val="0"/>
        <w:contextualSpacing/>
        <w:rPr>
          <w:rFonts w:hAnsi="宋体"/>
        </w:rPr>
      </w:pPr>
      <w:r w:rsidRPr="00765F6E">
        <w:rPr>
          <w:rFonts w:hAnsi="宋体" w:hint="eastAsia"/>
        </w:rPr>
        <w:t>到发线与正线间设有纵向排水槽、站台等设施时，到发线路基可与正线路基分开设置。分开设置时，到发线的路基基床表层厚度可采用0.5m，基床底层厚度可采用1.0m，基床总厚度可采用1.5m；</w:t>
      </w:r>
    </w:p>
    <w:p w14:paraId="13034FF7" w14:textId="77777777" w:rsidR="00737EB2" w:rsidRPr="00765F6E" w:rsidRDefault="00737EB2" w:rsidP="003334F3">
      <w:pPr>
        <w:pStyle w:val="af6"/>
        <w:numPr>
          <w:ilvl w:val="0"/>
          <w:numId w:val="67"/>
        </w:numPr>
        <w:tabs>
          <w:tab w:val="left" w:pos="851"/>
        </w:tabs>
        <w:snapToGrid w:val="0"/>
        <w:contextualSpacing/>
        <w:rPr>
          <w:rFonts w:hAnsi="宋体"/>
        </w:rPr>
      </w:pPr>
      <w:r w:rsidRPr="00765F6E">
        <w:rPr>
          <w:rFonts w:hAnsi="宋体" w:hint="eastAsia"/>
        </w:rPr>
        <w:t>到发线以外的站线、车辆基地（所、存车场）及维修工区内的线路路基，基床表层厚度可采用0.3m，基床底层厚度可采用0.9m，基床底厚度可采用1.2m。</w:t>
      </w:r>
    </w:p>
    <w:p w14:paraId="011F6F01" w14:textId="77777777" w:rsidR="00737EB2" w:rsidRPr="00765F6E" w:rsidRDefault="00737EB2" w:rsidP="009D0776">
      <w:pPr>
        <w:pStyle w:val="22"/>
      </w:pPr>
      <w:bookmarkStart w:id="822" w:name="_Toc99791711"/>
      <w:bookmarkStart w:id="823" w:name="_Toc153291142"/>
      <w:r w:rsidRPr="00765F6E">
        <w:rPr>
          <w:rFonts w:hint="eastAsia"/>
        </w:rPr>
        <w:t>站场路基填料及压实标准符合下列规定：</w:t>
      </w:r>
      <w:bookmarkEnd w:id="822"/>
      <w:bookmarkEnd w:id="823"/>
    </w:p>
    <w:p w14:paraId="2DF23CA6" w14:textId="77777777" w:rsidR="00737EB2" w:rsidRPr="00765F6E" w:rsidRDefault="00737EB2" w:rsidP="003334F3">
      <w:pPr>
        <w:pStyle w:val="af6"/>
        <w:numPr>
          <w:ilvl w:val="0"/>
          <w:numId w:val="68"/>
        </w:numPr>
        <w:tabs>
          <w:tab w:val="left" w:pos="851"/>
        </w:tabs>
        <w:snapToGrid w:val="0"/>
        <w:contextualSpacing/>
        <w:rPr>
          <w:rFonts w:hAnsi="宋体"/>
        </w:rPr>
      </w:pPr>
      <w:r w:rsidRPr="00765F6E">
        <w:rPr>
          <w:rFonts w:hAnsi="宋体" w:hint="eastAsia"/>
        </w:rPr>
        <w:t>站内正线、与正线处于同一路基的到发线应与区间正线相同；</w:t>
      </w:r>
    </w:p>
    <w:p w14:paraId="410D8A7E" w14:textId="77777777" w:rsidR="00737EB2" w:rsidRPr="00765F6E" w:rsidRDefault="00737EB2" w:rsidP="003334F3">
      <w:pPr>
        <w:pStyle w:val="af6"/>
        <w:numPr>
          <w:ilvl w:val="0"/>
          <w:numId w:val="68"/>
        </w:numPr>
        <w:tabs>
          <w:tab w:val="left" w:pos="851"/>
        </w:tabs>
        <w:snapToGrid w:val="0"/>
        <w:contextualSpacing/>
        <w:rPr>
          <w:rFonts w:hAnsi="宋体"/>
        </w:rPr>
      </w:pPr>
      <w:r w:rsidRPr="00765F6E">
        <w:rPr>
          <w:rFonts w:hAnsi="宋体" w:hint="eastAsia"/>
        </w:rPr>
        <w:t>与正线路基分开设置的到发线、车辆基地（所、存车场）、维修工区等站线应按Ⅱ级铁路标准设计；</w:t>
      </w:r>
    </w:p>
    <w:p w14:paraId="3F86CF1D" w14:textId="77777777" w:rsidR="00737EB2" w:rsidRPr="00765F6E" w:rsidRDefault="00737EB2" w:rsidP="003334F3">
      <w:pPr>
        <w:pStyle w:val="af6"/>
        <w:numPr>
          <w:ilvl w:val="0"/>
          <w:numId w:val="68"/>
        </w:numPr>
        <w:tabs>
          <w:tab w:val="left" w:pos="851"/>
        </w:tabs>
        <w:snapToGrid w:val="0"/>
        <w:contextualSpacing/>
        <w:rPr>
          <w:rFonts w:hAnsi="宋体"/>
        </w:rPr>
      </w:pPr>
      <w:r w:rsidRPr="00765F6E">
        <w:rPr>
          <w:rFonts w:hAnsi="宋体" w:hint="eastAsia"/>
        </w:rPr>
        <w:t>在路基上修建排水沟、站台墙等建筑物和设备时，路基的回填应符合其相应部位的填料和压实标准；</w:t>
      </w:r>
    </w:p>
    <w:p w14:paraId="31C46AB2" w14:textId="77777777" w:rsidR="00737EB2" w:rsidRPr="00765F6E" w:rsidRDefault="00737EB2" w:rsidP="003334F3">
      <w:pPr>
        <w:pStyle w:val="af6"/>
        <w:numPr>
          <w:ilvl w:val="0"/>
          <w:numId w:val="68"/>
        </w:numPr>
        <w:tabs>
          <w:tab w:val="left" w:pos="851"/>
        </w:tabs>
        <w:snapToGrid w:val="0"/>
        <w:contextualSpacing/>
        <w:rPr>
          <w:rFonts w:hAnsi="宋体"/>
        </w:rPr>
      </w:pPr>
      <w:r w:rsidRPr="00765F6E">
        <w:rPr>
          <w:rFonts w:hAnsi="宋体" w:hint="eastAsia"/>
        </w:rPr>
        <w:t>旅客站台填土应按Ⅱ级铁路基床底层标准确定。</w:t>
      </w:r>
    </w:p>
    <w:p w14:paraId="573DFC5D" w14:textId="77777777" w:rsidR="00737EB2" w:rsidRPr="00765F6E" w:rsidRDefault="00737EB2" w:rsidP="009D0776">
      <w:pPr>
        <w:pStyle w:val="22"/>
      </w:pPr>
      <w:bookmarkStart w:id="824" w:name="_Toc153291143"/>
      <w:bookmarkStart w:id="825" w:name="_Toc99791712"/>
      <w:r w:rsidRPr="00765F6E">
        <w:rPr>
          <w:rFonts w:hint="eastAsia"/>
        </w:rPr>
        <w:t>车站到发线在路桥（涵）、路隧、堤堑连接处应设置过渡段。</w:t>
      </w:r>
      <w:bookmarkEnd w:id="824"/>
      <w:bookmarkEnd w:id="825"/>
    </w:p>
    <w:p w14:paraId="0007637D" w14:textId="77777777" w:rsidR="00737EB2" w:rsidRPr="00765F6E" w:rsidRDefault="00737EB2" w:rsidP="009D0776">
      <w:pPr>
        <w:pStyle w:val="22"/>
      </w:pPr>
      <w:bookmarkStart w:id="826" w:name="_Toc99791713"/>
      <w:bookmarkStart w:id="827" w:name="_Toc153291144"/>
      <w:r w:rsidRPr="00765F6E">
        <w:rPr>
          <w:rFonts w:hint="eastAsia"/>
        </w:rPr>
        <w:t>站场排水槽设置符合下列规定：</w:t>
      </w:r>
      <w:bookmarkEnd w:id="826"/>
      <w:bookmarkEnd w:id="827"/>
    </w:p>
    <w:p w14:paraId="368074DF" w14:textId="77777777" w:rsidR="00737EB2" w:rsidRPr="00765F6E" w:rsidRDefault="00737EB2" w:rsidP="003334F3">
      <w:pPr>
        <w:pStyle w:val="af6"/>
        <w:numPr>
          <w:ilvl w:val="0"/>
          <w:numId w:val="69"/>
        </w:numPr>
        <w:tabs>
          <w:tab w:val="left" w:pos="851"/>
        </w:tabs>
        <w:snapToGrid w:val="0"/>
        <w:contextualSpacing/>
        <w:rPr>
          <w:rFonts w:hAnsi="宋体"/>
        </w:rPr>
      </w:pPr>
      <w:r w:rsidRPr="00765F6E">
        <w:rPr>
          <w:rFonts w:hAnsi="宋体" w:hint="eastAsia"/>
        </w:rPr>
        <w:t>站台范围内纵向排水槽宜设于到发线与到发线、到发线与站台之间。困难条件下，也可设于到发线与正线之间；</w:t>
      </w:r>
    </w:p>
    <w:p w14:paraId="79106D45" w14:textId="77777777" w:rsidR="00737EB2" w:rsidRPr="00765F6E" w:rsidRDefault="00737EB2" w:rsidP="003334F3">
      <w:pPr>
        <w:pStyle w:val="af6"/>
        <w:numPr>
          <w:ilvl w:val="0"/>
          <w:numId w:val="69"/>
        </w:numPr>
        <w:tabs>
          <w:tab w:val="left" w:pos="851"/>
        </w:tabs>
        <w:snapToGrid w:val="0"/>
        <w:contextualSpacing/>
        <w:rPr>
          <w:rFonts w:hAnsi="宋体"/>
        </w:rPr>
      </w:pPr>
      <w:r w:rsidRPr="00765F6E">
        <w:rPr>
          <w:rFonts w:hAnsi="宋体" w:hint="eastAsia"/>
        </w:rPr>
        <w:t>横向排水槽不宜穿越正线；</w:t>
      </w:r>
    </w:p>
    <w:p w14:paraId="063CEAE1" w14:textId="77777777" w:rsidR="00737EB2" w:rsidRPr="00765F6E" w:rsidRDefault="00737EB2" w:rsidP="003334F3">
      <w:pPr>
        <w:pStyle w:val="af6"/>
        <w:numPr>
          <w:ilvl w:val="0"/>
          <w:numId w:val="69"/>
        </w:numPr>
        <w:tabs>
          <w:tab w:val="left" w:pos="851"/>
        </w:tabs>
        <w:snapToGrid w:val="0"/>
        <w:contextualSpacing/>
        <w:rPr>
          <w:rFonts w:hAnsi="宋体"/>
        </w:rPr>
      </w:pPr>
      <w:r w:rsidRPr="00765F6E">
        <w:rPr>
          <w:rFonts w:hAnsi="宋体" w:hint="eastAsia"/>
        </w:rPr>
        <w:t>一个坡面上的线路数量不宜超过2条；咽喉区困难条件下不宜超过3条；</w:t>
      </w:r>
    </w:p>
    <w:p w14:paraId="6A0B621F" w14:textId="77777777" w:rsidR="00737EB2" w:rsidRPr="00765F6E" w:rsidRDefault="00737EB2" w:rsidP="003334F3">
      <w:pPr>
        <w:pStyle w:val="af6"/>
        <w:numPr>
          <w:ilvl w:val="0"/>
          <w:numId w:val="69"/>
        </w:numPr>
        <w:tabs>
          <w:tab w:val="left" w:pos="851"/>
        </w:tabs>
        <w:snapToGrid w:val="0"/>
        <w:contextualSpacing/>
        <w:rPr>
          <w:rFonts w:hAnsi="宋体"/>
        </w:rPr>
      </w:pPr>
      <w:r w:rsidRPr="00765F6E">
        <w:rPr>
          <w:rFonts w:hAnsi="宋体" w:hint="eastAsia"/>
        </w:rPr>
        <w:t>站场排水设施不应与接触网柱、雨棚柱基础等交叉。困难条件下可绕行，但不应降低排水能力；</w:t>
      </w:r>
    </w:p>
    <w:p w14:paraId="51C03BCB" w14:textId="77777777" w:rsidR="00737EB2" w:rsidRPr="00765F6E" w:rsidRDefault="00737EB2" w:rsidP="003334F3">
      <w:pPr>
        <w:pStyle w:val="af6"/>
        <w:numPr>
          <w:ilvl w:val="0"/>
          <w:numId w:val="69"/>
        </w:numPr>
        <w:tabs>
          <w:tab w:val="left" w:pos="851"/>
        </w:tabs>
        <w:snapToGrid w:val="0"/>
        <w:contextualSpacing/>
        <w:rPr>
          <w:rFonts w:hAnsi="宋体"/>
        </w:rPr>
      </w:pPr>
      <w:r w:rsidRPr="00765F6E">
        <w:rPr>
          <w:rFonts w:hAnsi="宋体" w:hint="eastAsia"/>
        </w:rPr>
        <w:t>各种管线应系统设计，避免与排水设施相互干扰；</w:t>
      </w:r>
    </w:p>
    <w:p w14:paraId="56C2B03D" w14:textId="77777777" w:rsidR="00737EB2" w:rsidRPr="00765F6E" w:rsidRDefault="00737EB2" w:rsidP="003334F3">
      <w:pPr>
        <w:pStyle w:val="af6"/>
        <w:numPr>
          <w:ilvl w:val="0"/>
          <w:numId w:val="69"/>
        </w:numPr>
        <w:tabs>
          <w:tab w:val="left" w:pos="851"/>
        </w:tabs>
        <w:snapToGrid w:val="0"/>
        <w:contextualSpacing/>
        <w:rPr>
          <w:rFonts w:hAnsi="宋体"/>
        </w:rPr>
      </w:pPr>
      <w:r w:rsidRPr="00765F6E">
        <w:rPr>
          <w:rFonts w:hAnsi="宋体" w:hint="eastAsia"/>
        </w:rPr>
        <w:t>无砟道岔岔区，应采取措施避免积水。</w:t>
      </w:r>
    </w:p>
    <w:p w14:paraId="05EFF7AB" w14:textId="77777777" w:rsidR="00737EB2" w:rsidRPr="00765F6E" w:rsidRDefault="00737EB2" w:rsidP="009D0776">
      <w:pPr>
        <w:pStyle w:val="22"/>
      </w:pPr>
      <w:bookmarkStart w:id="828" w:name="_Toc99791714"/>
      <w:bookmarkStart w:id="829" w:name="_Toc153291145"/>
      <w:r w:rsidRPr="00765F6E">
        <w:rPr>
          <w:rFonts w:hint="eastAsia"/>
        </w:rPr>
        <w:t>车站范围内天沟不应向路堑侧沟排水；受地形限制需要排入侧沟时，应设置急流槽，并根据天沟流量调整下游侧沟截面尺寸。</w:t>
      </w:r>
      <w:bookmarkEnd w:id="828"/>
      <w:bookmarkEnd w:id="829"/>
    </w:p>
    <w:p w14:paraId="61FD16FD" w14:textId="77777777" w:rsidR="00737EB2" w:rsidRPr="00765F6E" w:rsidRDefault="00737EB2" w:rsidP="009D0776">
      <w:pPr>
        <w:pStyle w:val="22"/>
      </w:pPr>
      <w:bookmarkStart w:id="830" w:name="_Toc99791715"/>
      <w:bookmarkStart w:id="831" w:name="_Toc153291146"/>
      <w:r w:rsidRPr="00765F6E">
        <w:rPr>
          <w:rFonts w:hint="eastAsia"/>
        </w:rPr>
        <w:t>车站两侧应设防护栅栏，并与区间防护栅栏相衔接。防护栅栏应设于用地界内0.5m处。</w:t>
      </w:r>
      <w:bookmarkEnd w:id="830"/>
      <w:bookmarkEnd w:id="831"/>
    </w:p>
    <w:p w14:paraId="4567C6C5" w14:textId="77777777" w:rsidR="00737EB2" w:rsidRPr="00765F6E" w:rsidRDefault="00737EB2" w:rsidP="00737EB2">
      <w:pPr>
        <w:pStyle w:val="affe"/>
        <w:spacing w:before="156" w:after="156"/>
      </w:pPr>
      <w:bookmarkStart w:id="832" w:name="_Toc99791716"/>
      <w:bookmarkStart w:id="833" w:name="_Toc153291147"/>
      <w:bookmarkStart w:id="834" w:name="_Toc153210844"/>
      <w:bookmarkStart w:id="835" w:name="_Toc167895742"/>
      <w:bookmarkStart w:id="836" w:name="_Toc174538656"/>
      <w:bookmarkStart w:id="837" w:name="_Toc182476410"/>
      <w:r w:rsidRPr="00765F6E">
        <w:rPr>
          <w:rFonts w:hint="eastAsia"/>
        </w:rPr>
        <w:t>接口设计</w:t>
      </w:r>
      <w:bookmarkEnd w:id="832"/>
      <w:bookmarkEnd w:id="833"/>
      <w:bookmarkEnd w:id="834"/>
      <w:bookmarkEnd w:id="835"/>
      <w:bookmarkEnd w:id="836"/>
      <w:bookmarkEnd w:id="837"/>
    </w:p>
    <w:p w14:paraId="39414BC2" w14:textId="77777777" w:rsidR="00737EB2" w:rsidRPr="00765F6E" w:rsidRDefault="00737EB2" w:rsidP="009D0776">
      <w:pPr>
        <w:pStyle w:val="22"/>
      </w:pPr>
      <w:bookmarkStart w:id="838" w:name="_Toc99791717"/>
      <w:bookmarkStart w:id="839" w:name="_Toc153291148"/>
      <w:r w:rsidRPr="00765F6E">
        <w:rPr>
          <w:rFonts w:hint="eastAsia"/>
        </w:rPr>
        <w:t>车站范围内柱、网络及管线布局应根据站场布置及建筑方案确定。</w:t>
      </w:r>
      <w:bookmarkEnd w:id="838"/>
      <w:bookmarkEnd w:id="839"/>
    </w:p>
    <w:p w14:paraId="1904234D" w14:textId="77777777" w:rsidR="00737EB2" w:rsidRPr="00765F6E" w:rsidRDefault="00737EB2" w:rsidP="009D0776">
      <w:pPr>
        <w:pStyle w:val="22"/>
      </w:pPr>
      <w:bookmarkStart w:id="840" w:name="_Toc153291149"/>
      <w:bookmarkStart w:id="841" w:name="_Toc99791718"/>
      <w:r w:rsidRPr="00765F6E">
        <w:rPr>
          <w:rFonts w:hint="eastAsia"/>
        </w:rPr>
        <w:t>站内与区间路基、桥梁、涵洞地段电缆槽，应根据电缆槽铺设要求衔接。</w:t>
      </w:r>
      <w:bookmarkEnd w:id="840"/>
      <w:bookmarkEnd w:id="841"/>
    </w:p>
    <w:p w14:paraId="4ECB01EF" w14:textId="77777777" w:rsidR="00737EB2" w:rsidRPr="00765F6E" w:rsidRDefault="00737EB2" w:rsidP="009D0776">
      <w:pPr>
        <w:pStyle w:val="22"/>
      </w:pPr>
      <w:bookmarkStart w:id="842" w:name="_Toc153291150"/>
      <w:bookmarkStart w:id="843" w:name="_Toc99791719"/>
      <w:r w:rsidRPr="00765F6E">
        <w:rPr>
          <w:rFonts w:hint="eastAsia"/>
        </w:rPr>
        <w:t>电缆沟槽、管线过轨、检查井等站后设施应与车站路基同步设计、同步施工。</w:t>
      </w:r>
      <w:bookmarkEnd w:id="842"/>
      <w:bookmarkEnd w:id="843"/>
    </w:p>
    <w:p w14:paraId="5D161A2B" w14:textId="77777777" w:rsidR="00737EB2" w:rsidRPr="00765F6E" w:rsidRDefault="00737EB2" w:rsidP="009D0776">
      <w:pPr>
        <w:pStyle w:val="22"/>
      </w:pPr>
      <w:bookmarkStart w:id="844" w:name="_Toc153291151"/>
      <w:bookmarkStart w:id="845" w:name="_Toc99791720"/>
      <w:r w:rsidRPr="00765F6E">
        <w:rPr>
          <w:rFonts w:hint="eastAsia"/>
        </w:rPr>
        <w:t>车站内基础为金属结构的站台面、雨棚、栅栏等应根据有关技术要求，接入综合贯通地线。</w:t>
      </w:r>
      <w:bookmarkEnd w:id="844"/>
      <w:bookmarkEnd w:id="845"/>
    </w:p>
    <w:p w14:paraId="33F6D67D" w14:textId="77777777" w:rsidR="00737EB2" w:rsidRPr="00765F6E" w:rsidRDefault="00737EB2" w:rsidP="009D0776">
      <w:pPr>
        <w:pStyle w:val="22"/>
      </w:pPr>
      <w:bookmarkStart w:id="846" w:name="_Toc153291152"/>
      <w:bookmarkStart w:id="847" w:name="_Toc99791721"/>
      <w:r w:rsidRPr="00765F6E">
        <w:rPr>
          <w:rFonts w:hint="eastAsia"/>
        </w:rPr>
        <w:t>车站排水应与区间排水设施衔接；排水系统应结合桥涵设置、铁路排水管网、城市排水系统综合设计。</w:t>
      </w:r>
      <w:bookmarkEnd w:id="846"/>
      <w:bookmarkEnd w:id="847"/>
    </w:p>
    <w:p w14:paraId="1F8F3E59" w14:textId="77777777" w:rsidR="00737EB2" w:rsidRPr="00765F6E" w:rsidRDefault="00737EB2" w:rsidP="009D0776">
      <w:pPr>
        <w:pStyle w:val="22"/>
      </w:pPr>
      <w:bookmarkStart w:id="848" w:name="_Toc99791722"/>
      <w:bookmarkStart w:id="849" w:name="_Toc153291153"/>
      <w:r w:rsidRPr="00765F6E">
        <w:rPr>
          <w:rFonts w:hint="eastAsia"/>
        </w:rPr>
        <w:t>道岔不应设置在路堤与桥台连接处，正线道岔不宜设在路桥（涵）、路隧、堤堑等过渡段。</w:t>
      </w:r>
      <w:bookmarkEnd w:id="848"/>
      <w:bookmarkEnd w:id="849"/>
    </w:p>
    <w:p w14:paraId="55579401" w14:textId="77777777" w:rsidR="00737EB2" w:rsidRPr="00765F6E" w:rsidRDefault="00737EB2" w:rsidP="009D0776">
      <w:pPr>
        <w:pStyle w:val="22"/>
      </w:pPr>
      <w:bookmarkStart w:id="850" w:name="_Toc153291154"/>
      <w:bookmarkStart w:id="851" w:name="_Toc99791723"/>
      <w:r w:rsidRPr="00765F6E">
        <w:rPr>
          <w:rFonts w:hint="eastAsia"/>
        </w:rPr>
        <w:t>旅客进出站通道应与站内路基同步设计、同步施工，通道的位置及高程应符合设置站内排水槽、电缆槽等管线铺设要求。</w:t>
      </w:r>
      <w:bookmarkEnd w:id="850"/>
      <w:bookmarkEnd w:id="851"/>
    </w:p>
    <w:p w14:paraId="1BD5C2A2" w14:textId="77777777" w:rsidR="00737EB2" w:rsidRPr="00765F6E" w:rsidRDefault="00737EB2" w:rsidP="00737EB2">
      <w:pPr>
        <w:pStyle w:val="affd"/>
        <w:spacing w:before="312" w:after="312"/>
      </w:pPr>
      <w:bookmarkStart w:id="852" w:name="_Toc153210845"/>
      <w:bookmarkStart w:id="853" w:name="_Toc99791724"/>
      <w:bookmarkStart w:id="854" w:name="_Toc153291155"/>
      <w:bookmarkStart w:id="855" w:name="_Toc167895743"/>
      <w:bookmarkStart w:id="856" w:name="_Toc174538657"/>
      <w:bookmarkStart w:id="857" w:name="_Toc182476411"/>
      <w:r w:rsidRPr="00765F6E">
        <w:rPr>
          <w:rFonts w:hint="eastAsia"/>
        </w:rPr>
        <w:t>轨道</w:t>
      </w:r>
      <w:bookmarkEnd w:id="852"/>
      <w:bookmarkEnd w:id="853"/>
      <w:bookmarkEnd w:id="854"/>
      <w:bookmarkEnd w:id="855"/>
      <w:bookmarkEnd w:id="856"/>
      <w:bookmarkEnd w:id="857"/>
    </w:p>
    <w:p w14:paraId="72987347" w14:textId="77777777" w:rsidR="00737EB2" w:rsidRPr="00765F6E" w:rsidRDefault="00737EB2" w:rsidP="00737EB2">
      <w:pPr>
        <w:pStyle w:val="affe"/>
        <w:spacing w:before="156" w:after="156"/>
      </w:pPr>
      <w:bookmarkStart w:id="858" w:name="_Toc99791725"/>
      <w:bookmarkStart w:id="859" w:name="_Toc153291156"/>
      <w:bookmarkStart w:id="860" w:name="_Toc153210846"/>
      <w:bookmarkStart w:id="861" w:name="_Toc167895744"/>
      <w:bookmarkStart w:id="862" w:name="_Toc174538658"/>
      <w:bookmarkStart w:id="863" w:name="_Toc182476412"/>
      <w:r w:rsidRPr="00765F6E">
        <w:rPr>
          <w:rFonts w:hint="eastAsia"/>
        </w:rPr>
        <w:lastRenderedPageBreak/>
        <w:t>一般规定</w:t>
      </w:r>
      <w:bookmarkEnd w:id="858"/>
      <w:bookmarkEnd w:id="859"/>
      <w:bookmarkEnd w:id="860"/>
      <w:bookmarkEnd w:id="861"/>
      <w:bookmarkEnd w:id="862"/>
      <w:bookmarkEnd w:id="863"/>
    </w:p>
    <w:p w14:paraId="5D8B4DFF" w14:textId="77777777" w:rsidR="00737EB2" w:rsidRPr="00765F6E" w:rsidRDefault="00737EB2" w:rsidP="009D0776">
      <w:pPr>
        <w:pStyle w:val="22"/>
      </w:pPr>
      <w:bookmarkStart w:id="864" w:name="_Toc153291157"/>
      <w:bookmarkStart w:id="865" w:name="_Toc99791726"/>
      <w:r w:rsidRPr="00765F6E">
        <w:rPr>
          <w:rFonts w:hint="eastAsia"/>
        </w:rPr>
        <w:t>轨道结构应具有足够的强度、稳定性、耐久性和适量弹性，确保列车安全、平稳运行和乘客舒适。</w:t>
      </w:r>
      <w:bookmarkEnd w:id="864"/>
      <w:bookmarkEnd w:id="865"/>
    </w:p>
    <w:p w14:paraId="443C1C5C" w14:textId="77777777" w:rsidR="00737EB2" w:rsidRPr="00765F6E" w:rsidRDefault="00737EB2" w:rsidP="009D0776">
      <w:pPr>
        <w:pStyle w:val="22"/>
      </w:pPr>
      <w:bookmarkStart w:id="866" w:name="_Toc99791727"/>
      <w:bookmarkStart w:id="867" w:name="_Toc153291158"/>
      <w:r w:rsidRPr="00765F6E">
        <w:rPr>
          <w:rFonts w:hint="eastAsia"/>
        </w:rPr>
        <w:t>正线应根据线下工程类型、环境条件、运输组织方式及养护维修条件等因素，经技术经济比选后选择轨道结构型式。</w:t>
      </w:r>
      <w:bookmarkEnd w:id="866"/>
      <w:bookmarkEnd w:id="867"/>
    </w:p>
    <w:p w14:paraId="5118BE67" w14:textId="77777777" w:rsidR="00737EB2" w:rsidRPr="00765F6E" w:rsidRDefault="00737EB2" w:rsidP="009D0776">
      <w:pPr>
        <w:pStyle w:val="22"/>
      </w:pPr>
      <w:bookmarkStart w:id="868" w:name="_Toc153291159"/>
      <w:bookmarkStart w:id="869" w:name="_Toc99791728"/>
      <w:r w:rsidRPr="00765F6E">
        <w:rPr>
          <w:rFonts w:hint="eastAsia"/>
        </w:rPr>
        <w:t>轨道部件选择应遵循匹配合理、标准化和通用化原则，满足施工和维修方便的要求。</w:t>
      </w:r>
      <w:bookmarkEnd w:id="868"/>
      <w:bookmarkEnd w:id="869"/>
    </w:p>
    <w:p w14:paraId="3D4D4C1C" w14:textId="5BDDE5DA" w:rsidR="00737EB2" w:rsidRPr="00765F6E" w:rsidRDefault="00737EB2" w:rsidP="009D0776">
      <w:pPr>
        <w:pStyle w:val="22"/>
      </w:pPr>
      <w:bookmarkStart w:id="870" w:name="_Toc153291160"/>
      <w:bookmarkStart w:id="871" w:name="_Toc99791729"/>
      <w:r w:rsidRPr="00765F6E">
        <w:rPr>
          <w:rFonts w:hint="eastAsia"/>
        </w:rPr>
        <w:t>新建正线</w:t>
      </w:r>
      <w:r w:rsidR="009232CC">
        <w:rPr>
          <w:rFonts w:hint="eastAsia"/>
        </w:rPr>
        <w:t>应</w:t>
      </w:r>
      <w:r w:rsidRPr="00765F6E">
        <w:rPr>
          <w:rFonts w:hint="eastAsia"/>
        </w:rPr>
        <w:t>按一次铺设跨区间无缝线路设计。</w:t>
      </w:r>
      <w:bookmarkEnd w:id="870"/>
      <w:bookmarkEnd w:id="871"/>
    </w:p>
    <w:p w14:paraId="596DAE14" w14:textId="77777777" w:rsidR="00737EB2" w:rsidRPr="00765F6E" w:rsidRDefault="00737EB2" w:rsidP="009D0776">
      <w:pPr>
        <w:pStyle w:val="22"/>
      </w:pPr>
      <w:bookmarkStart w:id="872" w:name="_Toc153291161"/>
      <w:bookmarkStart w:id="873" w:name="_Toc99791730"/>
      <w:r w:rsidRPr="00765F6E">
        <w:rPr>
          <w:rFonts w:hint="eastAsia"/>
        </w:rPr>
        <w:t>轨道结构应根据工程环境影响评价的要求，采取对应的分级减振措施。</w:t>
      </w:r>
      <w:bookmarkEnd w:id="872"/>
      <w:bookmarkEnd w:id="873"/>
    </w:p>
    <w:p w14:paraId="5FBC2249" w14:textId="31D64C40" w:rsidR="00737EB2" w:rsidRPr="00765F6E" w:rsidRDefault="0084480C" w:rsidP="009D0776">
      <w:pPr>
        <w:pStyle w:val="22"/>
      </w:pPr>
      <w:bookmarkStart w:id="874" w:name="_Toc153291162"/>
      <w:bookmarkStart w:id="875" w:name="_Toc99791731"/>
      <w:r w:rsidRPr="00BF0BA3">
        <w:rPr>
          <w:rFonts w:hint="eastAsia"/>
        </w:rPr>
        <w:t>运营养护维修设备和备品备件</w:t>
      </w:r>
      <w:r w:rsidR="008855DA" w:rsidRPr="00BF0BA3">
        <w:rPr>
          <w:rFonts w:hint="eastAsia"/>
        </w:rPr>
        <w:t>应根据轨道结构需要配备</w:t>
      </w:r>
      <w:r w:rsidR="00737EB2" w:rsidRPr="00765F6E">
        <w:rPr>
          <w:rFonts w:hint="eastAsia"/>
        </w:rPr>
        <w:t>。</w:t>
      </w:r>
      <w:bookmarkEnd w:id="874"/>
      <w:bookmarkEnd w:id="875"/>
    </w:p>
    <w:p w14:paraId="4F7C2F5F" w14:textId="77777777" w:rsidR="00737EB2" w:rsidRPr="00765F6E" w:rsidRDefault="00737EB2" w:rsidP="00737EB2">
      <w:pPr>
        <w:pStyle w:val="affe"/>
        <w:spacing w:before="156" w:after="156"/>
      </w:pPr>
      <w:bookmarkStart w:id="876" w:name="_Toc153210847"/>
      <w:bookmarkStart w:id="877" w:name="_Toc153291163"/>
      <w:bookmarkStart w:id="878" w:name="_Toc99791732"/>
      <w:bookmarkStart w:id="879" w:name="_Toc167895745"/>
      <w:bookmarkStart w:id="880" w:name="_Toc174538659"/>
      <w:bookmarkStart w:id="881" w:name="_Toc182476413"/>
      <w:r w:rsidRPr="00765F6E">
        <w:rPr>
          <w:rFonts w:hint="eastAsia"/>
        </w:rPr>
        <w:t>基本技术要求</w:t>
      </w:r>
      <w:bookmarkEnd w:id="876"/>
      <w:bookmarkEnd w:id="877"/>
      <w:bookmarkEnd w:id="878"/>
      <w:bookmarkEnd w:id="879"/>
      <w:bookmarkEnd w:id="880"/>
      <w:bookmarkEnd w:id="881"/>
    </w:p>
    <w:p w14:paraId="6A323C15" w14:textId="0B64046B" w:rsidR="00737EB2" w:rsidRPr="005D4937" w:rsidRDefault="00737EB2" w:rsidP="009D0776">
      <w:pPr>
        <w:pStyle w:val="22"/>
      </w:pPr>
      <w:bookmarkStart w:id="882" w:name="_Toc99791733"/>
      <w:bookmarkStart w:id="883" w:name="_Toc153291164"/>
      <w:r w:rsidRPr="00765F6E">
        <w:rPr>
          <w:rFonts w:hint="eastAsia"/>
        </w:rPr>
        <w:t>轨</w:t>
      </w:r>
      <w:r w:rsidRPr="005D4937">
        <w:rPr>
          <w:rFonts w:hint="eastAsia"/>
        </w:rPr>
        <w:t>底坡应为1</w:t>
      </w:r>
      <w:r w:rsidR="00CB1AA6">
        <w:rPr>
          <w:rFonts w:hint="eastAsia"/>
        </w:rPr>
        <w:t>∶</w:t>
      </w:r>
      <w:r w:rsidRPr="005D4937">
        <w:rPr>
          <w:rFonts w:hint="eastAsia"/>
        </w:rPr>
        <w:t>40。在无轨底坡的两道岔间不足50m地段，不宜设轨底坡。</w:t>
      </w:r>
      <w:bookmarkEnd w:id="882"/>
      <w:bookmarkEnd w:id="883"/>
    </w:p>
    <w:p w14:paraId="2437D30A" w14:textId="0D346B33" w:rsidR="00737EB2" w:rsidRPr="005D4937" w:rsidRDefault="00737EB2" w:rsidP="009D0776">
      <w:pPr>
        <w:pStyle w:val="22"/>
      </w:pPr>
      <w:bookmarkStart w:id="884" w:name="_Toc99791734"/>
      <w:bookmarkStart w:id="885" w:name="_Toc153291165"/>
      <w:r w:rsidRPr="005D4937">
        <w:rPr>
          <w:rFonts w:hint="eastAsia"/>
        </w:rPr>
        <w:t>轨道应采取标准轨距1435mm。市域（郊）铁路采用市域A型车、市域D型车及市域B型车、半径小于250m的曲线地段，轨距应加宽，加宽值应符合表</w:t>
      </w:r>
      <w:r w:rsidR="00E512B4" w:rsidRPr="005D4937">
        <w:rPr>
          <w:rFonts w:hint="eastAsia"/>
        </w:rPr>
        <w:t>2</w:t>
      </w:r>
      <w:r w:rsidR="00E512B4">
        <w:t>1</w:t>
      </w:r>
      <w:r w:rsidRPr="005D4937">
        <w:rPr>
          <w:rFonts w:hint="eastAsia"/>
        </w:rPr>
        <w:t>的规定；市域（郊）铁路采用市域C型车、半径小于300m的曲线地段，轨距应加宽，加宽值应符合表</w:t>
      </w:r>
      <w:r w:rsidR="00E512B4" w:rsidRPr="005D4937">
        <w:rPr>
          <w:rFonts w:hint="eastAsia"/>
        </w:rPr>
        <w:t>2</w:t>
      </w:r>
      <w:r w:rsidR="00E512B4">
        <w:t>2</w:t>
      </w:r>
      <w:r w:rsidRPr="005D4937">
        <w:rPr>
          <w:rFonts w:hint="eastAsia"/>
        </w:rPr>
        <w:t>的规定。</w:t>
      </w:r>
      <w:bookmarkEnd w:id="884"/>
      <w:bookmarkEnd w:id="885"/>
      <w:r w:rsidR="00C97DC1" w:rsidRPr="00765F6E">
        <w:rPr>
          <w:rFonts w:hint="eastAsia"/>
        </w:rPr>
        <w:t>轨距加宽值应在缓和曲线范围内递减，无缓和曲线时，应在直线地段递减</w:t>
      </w:r>
      <w:r w:rsidR="00C97DC1">
        <w:rPr>
          <w:rFonts w:hint="eastAsia"/>
        </w:rPr>
        <w:t>。</w:t>
      </w:r>
      <w:r w:rsidR="00C97DC1" w:rsidRPr="00765F6E">
        <w:rPr>
          <w:rFonts w:hint="eastAsia"/>
        </w:rPr>
        <w:t>递减率不宜大于2‰。</w:t>
      </w:r>
    </w:p>
    <w:p w14:paraId="0CA7DF35" w14:textId="77777777" w:rsidR="00737EB2" w:rsidRPr="00765F6E" w:rsidRDefault="00737EB2" w:rsidP="00737EB2">
      <w:pPr>
        <w:pStyle w:val="aff3"/>
        <w:spacing w:before="156" w:after="156"/>
      </w:pPr>
      <w:r w:rsidRPr="00765F6E">
        <w:rPr>
          <w:rFonts w:hint="eastAsia"/>
        </w:rPr>
        <w:t>市域A型车、市域D型车及市域B型车曲线地段轨距加宽值</w:t>
      </w:r>
    </w:p>
    <w:tbl>
      <w:tblPr>
        <w:tblW w:w="5000" w:type="pct"/>
        <w:tblInd w:w="-11"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05"/>
        <w:gridCol w:w="3371"/>
        <w:gridCol w:w="3358"/>
      </w:tblGrid>
      <w:tr w:rsidR="00737EB2" w:rsidRPr="00765F6E" w14:paraId="3257D8A6" w14:textId="77777777" w:rsidTr="00871D47">
        <w:trPr>
          <w:trHeight w:val="176"/>
        </w:trPr>
        <w:tc>
          <w:tcPr>
            <w:tcW w:w="1395" w:type="pct"/>
            <w:vMerge w:val="restart"/>
            <w:tcBorders>
              <w:top w:val="single" w:sz="8" w:space="0" w:color="auto"/>
              <w:bottom w:val="single" w:sz="4" w:space="0" w:color="auto"/>
            </w:tcBorders>
            <w:shd w:val="clear" w:color="auto" w:fill="auto"/>
            <w:vAlign w:val="center"/>
          </w:tcPr>
          <w:p w14:paraId="1F2AAD0D" w14:textId="77777777" w:rsidR="00737EB2" w:rsidRPr="00765F6E" w:rsidRDefault="00737EB2" w:rsidP="00BF0BA3">
            <w:pPr>
              <w:adjustRightInd/>
              <w:snapToGrid w:val="0"/>
              <w:spacing w:line="240" w:lineRule="auto"/>
              <w:jc w:val="center"/>
              <w:rPr>
                <w:rFonts w:ascii="宋体" w:hAnsi="宋体" w:cs="宋体"/>
                <w:kern w:val="0"/>
                <w:sz w:val="18"/>
                <w:szCs w:val="18"/>
              </w:rPr>
            </w:pPr>
            <w:r w:rsidRPr="00765F6E">
              <w:rPr>
                <w:rFonts w:ascii="宋体" w:hAnsi="宋体" w:cs="宋体" w:hint="eastAsia"/>
                <w:kern w:val="0"/>
                <w:sz w:val="18"/>
                <w:szCs w:val="18"/>
              </w:rPr>
              <w:t>曲线半径</w:t>
            </w:r>
          </w:p>
          <w:p w14:paraId="433D996C" w14:textId="77777777" w:rsidR="00737EB2" w:rsidRPr="00765F6E" w:rsidRDefault="00737EB2" w:rsidP="00BF0BA3">
            <w:pPr>
              <w:adjustRightInd/>
              <w:snapToGrid w:val="0"/>
              <w:spacing w:line="240" w:lineRule="auto"/>
              <w:jc w:val="center"/>
              <w:rPr>
                <w:rFonts w:ascii="宋体" w:hAnsi="宋体" w:cs="宋体"/>
                <w:kern w:val="0"/>
                <w:sz w:val="18"/>
                <w:szCs w:val="18"/>
              </w:rPr>
            </w:pPr>
            <w:r w:rsidRPr="00765F6E">
              <w:rPr>
                <w:rFonts w:ascii="宋体" w:hAnsi="宋体" w:cs="宋体" w:hint="eastAsia"/>
                <w:kern w:val="0"/>
                <w:sz w:val="18"/>
                <w:szCs w:val="18"/>
              </w:rPr>
              <w:t>R/m</w:t>
            </w:r>
          </w:p>
        </w:tc>
        <w:tc>
          <w:tcPr>
            <w:tcW w:w="3605" w:type="pct"/>
            <w:gridSpan w:val="2"/>
            <w:tcBorders>
              <w:top w:val="single" w:sz="8" w:space="0" w:color="auto"/>
              <w:bottom w:val="single" w:sz="4" w:space="0" w:color="auto"/>
            </w:tcBorders>
            <w:shd w:val="clear" w:color="auto" w:fill="auto"/>
            <w:vAlign w:val="center"/>
          </w:tcPr>
          <w:p w14:paraId="2852B3F7" w14:textId="77777777" w:rsidR="002E6631" w:rsidRDefault="00737EB2" w:rsidP="00BF0BA3">
            <w:pPr>
              <w:adjustRightInd/>
              <w:snapToGrid w:val="0"/>
              <w:spacing w:line="240" w:lineRule="auto"/>
              <w:jc w:val="center"/>
              <w:rPr>
                <w:rFonts w:ascii="宋体" w:hAnsi="宋体" w:cs="宋体"/>
                <w:kern w:val="0"/>
                <w:sz w:val="18"/>
                <w:szCs w:val="18"/>
              </w:rPr>
            </w:pPr>
            <w:r w:rsidRPr="00765F6E">
              <w:rPr>
                <w:rFonts w:ascii="宋体" w:hAnsi="宋体" w:cs="宋体" w:hint="eastAsia"/>
                <w:kern w:val="0"/>
                <w:sz w:val="18"/>
                <w:szCs w:val="18"/>
              </w:rPr>
              <w:t>加宽值</w:t>
            </w:r>
          </w:p>
          <w:p w14:paraId="2D33ABF0" w14:textId="2F0141CB" w:rsidR="00737EB2" w:rsidRPr="00765F6E" w:rsidRDefault="00737EB2" w:rsidP="00BF0BA3">
            <w:pPr>
              <w:adjustRightInd/>
              <w:snapToGrid w:val="0"/>
              <w:spacing w:line="240" w:lineRule="auto"/>
              <w:jc w:val="center"/>
              <w:rPr>
                <w:rFonts w:ascii="宋体" w:hAnsi="宋体" w:cs="宋体"/>
                <w:kern w:val="0"/>
                <w:sz w:val="18"/>
                <w:szCs w:val="18"/>
              </w:rPr>
            </w:pPr>
            <w:r w:rsidRPr="00765F6E">
              <w:rPr>
                <w:rFonts w:ascii="宋体" w:hAnsi="宋体" w:cs="宋体" w:hint="eastAsia"/>
                <w:kern w:val="0"/>
                <w:sz w:val="18"/>
                <w:szCs w:val="18"/>
              </w:rPr>
              <w:t>mm</w:t>
            </w:r>
          </w:p>
        </w:tc>
      </w:tr>
      <w:tr w:rsidR="00737EB2" w:rsidRPr="00765F6E" w14:paraId="340E7A28" w14:textId="77777777" w:rsidTr="00871D47">
        <w:trPr>
          <w:trHeight w:val="176"/>
        </w:trPr>
        <w:tc>
          <w:tcPr>
            <w:tcW w:w="1395" w:type="pct"/>
            <w:vMerge/>
            <w:tcBorders>
              <w:top w:val="single" w:sz="4" w:space="0" w:color="auto"/>
              <w:bottom w:val="single" w:sz="8" w:space="0" w:color="auto"/>
            </w:tcBorders>
            <w:shd w:val="clear" w:color="auto" w:fill="auto"/>
            <w:vAlign w:val="center"/>
          </w:tcPr>
          <w:p w14:paraId="6F1F3690" w14:textId="77777777" w:rsidR="00737EB2" w:rsidRPr="00765F6E" w:rsidRDefault="00737EB2" w:rsidP="00871D47">
            <w:pPr>
              <w:adjustRightInd/>
              <w:spacing w:line="240" w:lineRule="auto"/>
              <w:jc w:val="center"/>
              <w:rPr>
                <w:rFonts w:ascii="宋体" w:hAnsi="宋体" w:cs="宋体"/>
                <w:kern w:val="0"/>
                <w:sz w:val="18"/>
                <w:szCs w:val="18"/>
              </w:rPr>
            </w:pPr>
          </w:p>
        </w:tc>
        <w:tc>
          <w:tcPr>
            <w:tcW w:w="1806" w:type="pct"/>
            <w:tcBorders>
              <w:top w:val="single" w:sz="4" w:space="0" w:color="auto"/>
              <w:bottom w:val="single" w:sz="8" w:space="0" w:color="auto"/>
            </w:tcBorders>
            <w:shd w:val="clear" w:color="auto" w:fill="auto"/>
            <w:vAlign w:val="center"/>
          </w:tcPr>
          <w:p w14:paraId="1B7D1F7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市域（郊）铁路A型车、D型车</w:t>
            </w:r>
          </w:p>
        </w:tc>
        <w:tc>
          <w:tcPr>
            <w:tcW w:w="1799" w:type="pct"/>
            <w:tcBorders>
              <w:top w:val="single" w:sz="4" w:space="0" w:color="auto"/>
              <w:bottom w:val="single" w:sz="8" w:space="0" w:color="auto"/>
            </w:tcBorders>
            <w:shd w:val="clear" w:color="auto" w:fill="auto"/>
            <w:vAlign w:val="center"/>
          </w:tcPr>
          <w:p w14:paraId="2A2DA48D"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市域（郊）铁路B型车</w:t>
            </w:r>
          </w:p>
        </w:tc>
      </w:tr>
      <w:tr w:rsidR="00737EB2" w:rsidRPr="00765F6E" w14:paraId="2C7BD2D0" w14:textId="77777777" w:rsidTr="00871D47">
        <w:trPr>
          <w:trHeight w:val="176"/>
        </w:trPr>
        <w:tc>
          <w:tcPr>
            <w:tcW w:w="1395" w:type="pct"/>
            <w:tcBorders>
              <w:top w:val="single" w:sz="8" w:space="0" w:color="auto"/>
            </w:tcBorders>
            <w:shd w:val="clear" w:color="auto" w:fill="auto"/>
            <w:vAlign w:val="center"/>
          </w:tcPr>
          <w:p w14:paraId="2A712E9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200≤R＜250</w:t>
            </w:r>
          </w:p>
        </w:tc>
        <w:tc>
          <w:tcPr>
            <w:tcW w:w="1806" w:type="pct"/>
            <w:tcBorders>
              <w:top w:val="single" w:sz="8" w:space="0" w:color="auto"/>
            </w:tcBorders>
            <w:shd w:val="clear" w:color="auto" w:fill="auto"/>
            <w:vAlign w:val="center"/>
          </w:tcPr>
          <w:p w14:paraId="531448F1"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1799" w:type="pct"/>
            <w:tcBorders>
              <w:top w:val="single" w:sz="8" w:space="0" w:color="auto"/>
            </w:tcBorders>
            <w:shd w:val="clear" w:color="auto" w:fill="auto"/>
            <w:vAlign w:val="center"/>
          </w:tcPr>
          <w:p w14:paraId="4C3F1E5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737EB2" w:rsidRPr="00765F6E" w14:paraId="1339CBE5" w14:textId="77777777" w:rsidTr="00871D47">
        <w:trPr>
          <w:trHeight w:val="176"/>
        </w:trPr>
        <w:tc>
          <w:tcPr>
            <w:tcW w:w="1395" w:type="pct"/>
            <w:shd w:val="clear" w:color="auto" w:fill="auto"/>
            <w:vAlign w:val="center"/>
          </w:tcPr>
          <w:p w14:paraId="25533BE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150≤R＜200</w:t>
            </w:r>
          </w:p>
        </w:tc>
        <w:tc>
          <w:tcPr>
            <w:tcW w:w="1806" w:type="pct"/>
            <w:shd w:val="clear" w:color="auto" w:fill="auto"/>
            <w:vAlign w:val="center"/>
          </w:tcPr>
          <w:p w14:paraId="052E95B8"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c>
          <w:tcPr>
            <w:tcW w:w="1799" w:type="pct"/>
            <w:shd w:val="clear" w:color="auto" w:fill="auto"/>
            <w:vAlign w:val="center"/>
          </w:tcPr>
          <w:p w14:paraId="6732642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                                                                                                                                                         </w:t>
            </w:r>
          </w:p>
        </w:tc>
      </w:tr>
    </w:tbl>
    <w:p w14:paraId="2B4FD6DA" w14:textId="77777777" w:rsidR="00737EB2" w:rsidRPr="00765F6E" w:rsidRDefault="00737EB2" w:rsidP="00737EB2">
      <w:pPr>
        <w:pStyle w:val="aff3"/>
        <w:spacing w:before="156" w:after="156"/>
      </w:pPr>
      <w:r w:rsidRPr="00765F6E">
        <w:rPr>
          <w:rFonts w:hint="eastAsia"/>
        </w:rPr>
        <w:t>市域C型车曲线地段轨距加宽值</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009"/>
        <w:gridCol w:w="4325"/>
      </w:tblGrid>
      <w:tr w:rsidR="00737EB2" w:rsidRPr="00765F6E" w14:paraId="15DAD9DA" w14:textId="77777777" w:rsidTr="00871D47">
        <w:trPr>
          <w:trHeight w:val="176"/>
          <w:tblHeader/>
        </w:trPr>
        <w:tc>
          <w:tcPr>
            <w:tcW w:w="2683" w:type="pct"/>
            <w:tcBorders>
              <w:top w:val="single" w:sz="8" w:space="0" w:color="auto"/>
              <w:bottom w:val="single" w:sz="8" w:space="0" w:color="auto"/>
            </w:tcBorders>
            <w:shd w:val="clear" w:color="auto" w:fill="auto"/>
            <w:vAlign w:val="center"/>
          </w:tcPr>
          <w:p w14:paraId="17FCF3C6" w14:textId="77777777" w:rsidR="002E6631"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曲线半径</w:t>
            </w:r>
          </w:p>
          <w:p w14:paraId="30F227B0" w14:textId="70EC33D1"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R/m</w:t>
            </w:r>
          </w:p>
        </w:tc>
        <w:tc>
          <w:tcPr>
            <w:tcW w:w="2317" w:type="pct"/>
            <w:tcBorders>
              <w:top w:val="single" w:sz="8" w:space="0" w:color="auto"/>
              <w:bottom w:val="single" w:sz="8" w:space="0" w:color="auto"/>
            </w:tcBorders>
            <w:shd w:val="clear" w:color="auto" w:fill="auto"/>
            <w:vAlign w:val="center"/>
          </w:tcPr>
          <w:p w14:paraId="1A159BEB" w14:textId="77777777" w:rsidR="002E6631"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加宽值</w:t>
            </w:r>
          </w:p>
          <w:p w14:paraId="54E95125" w14:textId="308CC2A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mm</w:t>
            </w:r>
          </w:p>
        </w:tc>
      </w:tr>
      <w:tr w:rsidR="00737EB2" w:rsidRPr="00765F6E" w14:paraId="362F3B7D" w14:textId="77777777" w:rsidTr="00871D47">
        <w:trPr>
          <w:trHeight w:val="176"/>
          <w:tblHeader/>
        </w:trPr>
        <w:tc>
          <w:tcPr>
            <w:tcW w:w="2683" w:type="pct"/>
            <w:tcBorders>
              <w:top w:val="single" w:sz="8" w:space="0" w:color="auto"/>
            </w:tcBorders>
            <w:shd w:val="clear" w:color="auto" w:fill="auto"/>
            <w:vAlign w:val="center"/>
          </w:tcPr>
          <w:p w14:paraId="07E438C5"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250≤R＜300</w:t>
            </w:r>
          </w:p>
        </w:tc>
        <w:tc>
          <w:tcPr>
            <w:tcW w:w="2317" w:type="pct"/>
            <w:tcBorders>
              <w:top w:val="single" w:sz="8" w:space="0" w:color="auto"/>
            </w:tcBorders>
            <w:shd w:val="clear" w:color="auto" w:fill="auto"/>
            <w:vAlign w:val="center"/>
          </w:tcPr>
          <w:p w14:paraId="5962965C"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r>
      <w:tr w:rsidR="00737EB2" w:rsidRPr="00765F6E" w14:paraId="47A3E0E0" w14:textId="77777777" w:rsidTr="00871D47">
        <w:trPr>
          <w:trHeight w:val="176"/>
          <w:tblHeader/>
        </w:trPr>
        <w:tc>
          <w:tcPr>
            <w:tcW w:w="2683" w:type="pct"/>
            <w:shd w:val="clear" w:color="auto" w:fill="auto"/>
            <w:vAlign w:val="center"/>
          </w:tcPr>
          <w:p w14:paraId="4D09EBBF"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200≤R＜250</w:t>
            </w:r>
          </w:p>
        </w:tc>
        <w:tc>
          <w:tcPr>
            <w:tcW w:w="2317" w:type="pct"/>
            <w:shd w:val="clear" w:color="auto" w:fill="auto"/>
            <w:vAlign w:val="center"/>
          </w:tcPr>
          <w:p w14:paraId="10A5E737"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r>
      <w:tr w:rsidR="00737EB2" w:rsidRPr="00765F6E" w14:paraId="33A16DD9" w14:textId="77777777" w:rsidTr="00871D47">
        <w:trPr>
          <w:trHeight w:val="176"/>
          <w:tblHeader/>
        </w:trPr>
        <w:tc>
          <w:tcPr>
            <w:tcW w:w="2683" w:type="pct"/>
            <w:tcBorders>
              <w:bottom w:val="single" w:sz="8" w:space="0" w:color="auto"/>
            </w:tcBorders>
            <w:shd w:val="clear" w:color="auto" w:fill="auto"/>
            <w:vAlign w:val="center"/>
          </w:tcPr>
          <w:p w14:paraId="74F6DE8B"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150≤R＜200</w:t>
            </w:r>
          </w:p>
        </w:tc>
        <w:tc>
          <w:tcPr>
            <w:tcW w:w="2317" w:type="pct"/>
            <w:tcBorders>
              <w:bottom w:val="single" w:sz="8" w:space="0" w:color="auto"/>
            </w:tcBorders>
            <w:shd w:val="clear" w:color="auto" w:fill="auto"/>
            <w:vAlign w:val="center"/>
          </w:tcPr>
          <w:p w14:paraId="3DC46D49" w14:textId="77777777" w:rsidR="00737EB2" w:rsidRPr="00765F6E" w:rsidRDefault="00737EB2" w:rsidP="00871D47">
            <w:pPr>
              <w:adjustRightInd/>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r>
    </w:tbl>
    <w:p w14:paraId="52FFFFFD" w14:textId="77777777" w:rsidR="00737EB2" w:rsidRPr="00765F6E" w:rsidRDefault="00737EB2" w:rsidP="00737EB2">
      <w:pPr>
        <w:spacing w:line="240" w:lineRule="auto"/>
      </w:pPr>
    </w:p>
    <w:p w14:paraId="7083E8C8" w14:textId="77777777" w:rsidR="00737EB2" w:rsidRPr="00765F6E" w:rsidRDefault="00737EB2" w:rsidP="009D0776">
      <w:pPr>
        <w:pStyle w:val="22"/>
      </w:pPr>
      <w:bookmarkStart w:id="886" w:name="_Toc99791735"/>
      <w:bookmarkStart w:id="887" w:name="_Toc153291166"/>
      <w:r w:rsidRPr="00765F6E">
        <w:rPr>
          <w:rFonts w:hint="eastAsia"/>
        </w:rPr>
        <w:t>曲线超高符合下列规定：</w:t>
      </w:r>
      <w:bookmarkEnd w:id="886"/>
      <w:bookmarkEnd w:id="887"/>
    </w:p>
    <w:p w14:paraId="0F863878" w14:textId="77777777" w:rsidR="00737EB2" w:rsidRPr="00765F6E" w:rsidRDefault="00737EB2" w:rsidP="003334F3">
      <w:pPr>
        <w:pStyle w:val="af6"/>
        <w:numPr>
          <w:ilvl w:val="0"/>
          <w:numId w:val="70"/>
        </w:numPr>
        <w:tabs>
          <w:tab w:val="left" w:pos="851"/>
        </w:tabs>
        <w:snapToGrid w:val="0"/>
        <w:contextualSpacing/>
        <w:rPr>
          <w:rFonts w:hAnsi="宋体"/>
        </w:rPr>
      </w:pPr>
      <w:r w:rsidRPr="00765F6E">
        <w:rPr>
          <w:rFonts w:hAnsi="宋体" w:hint="eastAsia"/>
          <w:bCs/>
        </w:rPr>
        <w:t>曲线超高最大值应为</w:t>
      </w:r>
      <w:r w:rsidRPr="00765F6E">
        <w:rPr>
          <w:rFonts w:hAnsi="宋体"/>
          <w:bCs/>
        </w:rPr>
        <w:t>150mm，车站</w:t>
      </w:r>
      <w:r w:rsidRPr="00765F6E">
        <w:rPr>
          <w:rFonts w:hAnsi="宋体" w:hint="eastAsia"/>
          <w:bCs/>
        </w:rPr>
        <w:t>有效站台长度范围超高最大值应为</w:t>
      </w:r>
      <w:r w:rsidRPr="00765F6E">
        <w:rPr>
          <w:rFonts w:hAnsi="宋体"/>
          <w:bCs/>
        </w:rPr>
        <w:t>15mm。未被平衡欠、过超高允许值一般不大于60mm，困难条件下不大于90mm</w:t>
      </w:r>
      <w:r w:rsidRPr="00765F6E">
        <w:rPr>
          <w:rFonts w:hAnsi="宋体" w:hint="eastAsia"/>
          <w:bCs/>
        </w:rPr>
        <w:t>；</w:t>
      </w:r>
    </w:p>
    <w:p w14:paraId="2B311828" w14:textId="77777777" w:rsidR="00737EB2" w:rsidRPr="00765F6E" w:rsidRDefault="00737EB2" w:rsidP="00737EB2">
      <w:pPr>
        <w:pStyle w:val="af6"/>
        <w:tabs>
          <w:tab w:val="left" w:pos="851"/>
        </w:tabs>
        <w:snapToGrid w:val="0"/>
        <w:contextualSpacing/>
        <w:rPr>
          <w:rFonts w:hAnsi="宋体"/>
        </w:rPr>
      </w:pPr>
      <w:r w:rsidRPr="00765F6E">
        <w:rPr>
          <w:rFonts w:hAnsi="宋体" w:hint="eastAsia"/>
          <w:bCs/>
        </w:rPr>
        <w:t>曲线超高值应在缓和曲线内递减。</w:t>
      </w:r>
      <w:r w:rsidRPr="00765F6E">
        <w:rPr>
          <w:rFonts w:hAnsi="宋体"/>
          <w:bCs/>
        </w:rPr>
        <w:t>120km/h＜V≤160km/h时，超高顺坡率一般不大于 1/10V</w:t>
      </w:r>
      <w:r w:rsidRPr="00765F6E">
        <w:rPr>
          <w:rFonts w:hAnsi="宋体"/>
          <w:bCs/>
          <w:vertAlign w:val="subscript"/>
        </w:rPr>
        <w:t>max</w:t>
      </w:r>
      <w:r w:rsidRPr="00765F6E">
        <w:rPr>
          <w:rFonts w:hAnsi="宋体" w:hint="eastAsia"/>
          <w:bCs/>
        </w:rPr>
        <w:t>，困难条件下应不大于</w:t>
      </w:r>
      <w:r w:rsidRPr="00765F6E">
        <w:rPr>
          <w:rFonts w:hAnsi="宋体"/>
          <w:bCs/>
        </w:rPr>
        <w:t xml:space="preserve"> 1/8V</w:t>
      </w:r>
      <w:r w:rsidRPr="00765F6E">
        <w:rPr>
          <w:rFonts w:hAnsi="宋体"/>
          <w:bCs/>
          <w:vertAlign w:val="subscript"/>
        </w:rPr>
        <w:t>max</w:t>
      </w:r>
      <w:r w:rsidRPr="00765F6E">
        <w:rPr>
          <w:rFonts w:hAnsi="宋体" w:hint="eastAsia"/>
          <w:bCs/>
        </w:rPr>
        <w:t>。</w:t>
      </w:r>
      <w:r w:rsidRPr="00765F6E">
        <w:rPr>
          <w:rFonts w:hAnsi="宋体"/>
          <w:bCs/>
        </w:rPr>
        <w:t>100km/h≤V≤120km/h时，高顺坡率一般不大于 1/9V</w:t>
      </w:r>
      <w:r w:rsidRPr="00765F6E">
        <w:rPr>
          <w:rFonts w:hAnsi="宋体"/>
          <w:bCs/>
          <w:vertAlign w:val="subscript"/>
        </w:rPr>
        <w:t>max</w:t>
      </w:r>
      <w:r w:rsidRPr="00765F6E">
        <w:rPr>
          <w:rFonts w:hAnsi="宋体" w:hint="eastAsia"/>
          <w:bCs/>
        </w:rPr>
        <w:t>，困难条件下应不大于</w:t>
      </w:r>
      <w:r w:rsidRPr="00765F6E">
        <w:rPr>
          <w:rFonts w:hAnsi="宋体"/>
          <w:bCs/>
        </w:rPr>
        <w:t xml:space="preserve"> 1/7V</w:t>
      </w:r>
      <w:r w:rsidRPr="00765F6E">
        <w:rPr>
          <w:rFonts w:hAnsi="宋体"/>
          <w:bCs/>
          <w:vertAlign w:val="subscript"/>
        </w:rPr>
        <w:t>max</w:t>
      </w:r>
      <w:r w:rsidRPr="00765F6E">
        <w:rPr>
          <w:rFonts w:hAnsi="宋体" w:hint="eastAsia"/>
          <w:bCs/>
        </w:rPr>
        <w:t>；超高顺坡率不应大于</w:t>
      </w:r>
      <w:r w:rsidRPr="00765F6E">
        <w:rPr>
          <w:rFonts w:hAnsi="宋体"/>
          <w:bCs/>
        </w:rPr>
        <w:t xml:space="preserve"> 2‰</w:t>
      </w:r>
      <w:r w:rsidRPr="00765F6E">
        <w:rPr>
          <w:rFonts w:hAnsi="宋体" w:hint="eastAsia"/>
          <w:bCs/>
        </w:rPr>
        <w:t>；</w:t>
      </w:r>
    </w:p>
    <w:p w14:paraId="157871BA" w14:textId="77777777" w:rsidR="00737EB2" w:rsidRPr="00765F6E" w:rsidRDefault="00737EB2" w:rsidP="00737EB2">
      <w:pPr>
        <w:pStyle w:val="af6"/>
        <w:numPr>
          <w:ilvl w:val="0"/>
          <w:numId w:val="0"/>
        </w:numPr>
        <w:ind w:left="425"/>
        <w:rPr>
          <w:rFonts w:hAnsi="宋体"/>
          <w:sz w:val="18"/>
          <w:szCs w:val="18"/>
        </w:rPr>
      </w:pPr>
      <w:r w:rsidRPr="00765F6E">
        <w:rPr>
          <w:rFonts w:hAnsi="宋体" w:hint="eastAsia"/>
          <w:bCs/>
          <w:sz w:val="18"/>
          <w:szCs w:val="18"/>
        </w:rPr>
        <w:t>注：V</w:t>
      </w:r>
      <w:r>
        <w:rPr>
          <w:rFonts w:hAnsi="宋体" w:hint="eastAsia"/>
          <w:bCs/>
          <w:sz w:val="18"/>
          <w:szCs w:val="18"/>
        </w:rPr>
        <w:t>为列车设计速度，</w:t>
      </w:r>
      <w:r w:rsidRPr="00765F6E">
        <w:rPr>
          <w:rFonts w:hAnsi="宋体" w:hint="eastAsia"/>
          <w:bCs/>
          <w:sz w:val="18"/>
          <w:szCs w:val="18"/>
        </w:rPr>
        <w:t>V</w:t>
      </w:r>
      <w:r w:rsidRPr="00765F6E">
        <w:rPr>
          <w:rFonts w:hAnsi="宋体" w:hint="eastAsia"/>
          <w:bCs/>
          <w:sz w:val="18"/>
          <w:szCs w:val="18"/>
          <w:vertAlign w:val="subscript"/>
        </w:rPr>
        <w:t>max</w:t>
      </w:r>
      <w:r w:rsidRPr="00765F6E">
        <w:rPr>
          <w:rFonts w:hAnsi="宋体" w:hint="eastAsia"/>
          <w:bCs/>
          <w:sz w:val="18"/>
          <w:szCs w:val="18"/>
        </w:rPr>
        <w:t>为列车最高运行速度</w:t>
      </w:r>
      <w:r>
        <w:rPr>
          <w:rFonts w:hAnsi="宋体" w:hint="eastAsia"/>
          <w:bCs/>
          <w:sz w:val="18"/>
          <w:szCs w:val="18"/>
        </w:rPr>
        <w:t>。</w:t>
      </w:r>
    </w:p>
    <w:p w14:paraId="48AFB314" w14:textId="77777777" w:rsidR="00737EB2" w:rsidRPr="00765F6E" w:rsidRDefault="00737EB2" w:rsidP="003334F3">
      <w:pPr>
        <w:pStyle w:val="af6"/>
        <w:numPr>
          <w:ilvl w:val="0"/>
          <w:numId w:val="70"/>
        </w:numPr>
        <w:tabs>
          <w:tab w:val="left" w:pos="851"/>
        </w:tabs>
        <w:snapToGrid w:val="0"/>
        <w:contextualSpacing/>
        <w:rPr>
          <w:rFonts w:hAnsi="宋体"/>
        </w:rPr>
      </w:pPr>
      <w:r w:rsidRPr="00765F6E">
        <w:rPr>
          <w:rFonts w:hAnsi="宋体" w:hint="eastAsia"/>
          <w:bCs/>
        </w:rPr>
        <w:t>轨道曲线超高宜采取外轨抬高超高值的办法设置</w:t>
      </w:r>
      <w:r w:rsidRPr="00765F6E">
        <w:rPr>
          <w:rFonts w:hAnsi="宋体" w:hint="eastAsia"/>
        </w:rPr>
        <w:t>。</w:t>
      </w:r>
    </w:p>
    <w:p w14:paraId="1775DD2F" w14:textId="75C4F5A4" w:rsidR="00737EB2" w:rsidRPr="00765F6E" w:rsidRDefault="00737EB2" w:rsidP="009D0776">
      <w:pPr>
        <w:pStyle w:val="22"/>
      </w:pPr>
      <w:bookmarkStart w:id="888" w:name="_Toc153291167"/>
      <w:bookmarkStart w:id="889" w:name="_Toc99791736"/>
      <w:r w:rsidRPr="00765F6E">
        <w:rPr>
          <w:rFonts w:hint="eastAsia"/>
        </w:rPr>
        <w:t>轨道静态铺设精度应符合表</w:t>
      </w:r>
      <w:r w:rsidR="00E512B4" w:rsidRPr="00765F6E">
        <w:rPr>
          <w:rFonts w:hint="eastAsia"/>
        </w:rPr>
        <w:t>2</w:t>
      </w:r>
      <w:r w:rsidR="00E512B4">
        <w:t>3</w:t>
      </w:r>
      <w:r w:rsidRPr="00765F6E">
        <w:rPr>
          <w:rFonts w:hint="eastAsia"/>
        </w:rPr>
        <w:t>～表</w:t>
      </w:r>
      <w:r w:rsidR="00E512B4" w:rsidRPr="00765F6E">
        <w:rPr>
          <w:rFonts w:hint="eastAsia"/>
        </w:rPr>
        <w:t>2</w:t>
      </w:r>
      <w:r w:rsidR="00E512B4">
        <w:t>8</w:t>
      </w:r>
      <w:r w:rsidRPr="00765F6E">
        <w:rPr>
          <w:rFonts w:hint="eastAsia"/>
        </w:rPr>
        <w:t>的规定。</w:t>
      </w:r>
      <w:bookmarkEnd w:id="888"/>
      <w:bookmarkEnd w:id="889"/>
    </w:p>
    <w:p w14:paraId="1FB32287" w14:textId="77777777" w:rsidR="00737EB2" w:rsidRPr="00765F6E" w:rsidRDefault="00737EB2" w:rsidP="00737EB2">
      <w:pPr>
        <w:pStyle w:val="aff3"/>
        <w:spacing w:before="156" w:after="156"/>
      </w:pPr>
      <w:r w:rsidRPr="00765F6E">
        <w:rPr>
          <w:rFonts w:hint="eastAsia"/>
        </w:rPr>
        <w:t>正线有砟轨道静态平顺度</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524"/>
        <w:gridCol w:w="683"/>
        <w:gridCol w:w="2057"/>
        <w:gridCol w:w="2711"/>
        <w:gridCol w:w="2149"/>
        <w:gridCol w:w="1210"/>
      </w:tblGrid>
      <w:tr w:rsidR="00737EB2" w:rsidRPr="00765F6E" w14:paraId="6E4994DB" w14:textId="77777777" w:rsidTr="00871D47">
        <w:trPr>
          <w:trHeight w:val="176"/>
          <w:tblHeader/>
          <w:jc w:val="center"/>
        </w:trPr>
        <w:tc>
          <w:tcPr>
            <w:tcW w:w="281" w:type="pct"/>
            <w:vMerge w:val="restart"/>
            <w:tcBorders>
              <w:top w:val="single" w:sz="8" w:space="0" w:color="auto"/>
              <w:bottom w:val="single" w:sz="4" w:space="0" w:color="auto"/>
            </w:tcBorders>
            <w:shd w:val="clear" w:color="auto" w:fill="FFFFFF"/>
            <w:vAlign w:val="center"/>
          </w:tcPr>
          <w:p w14:paraId="36404F57"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序号</w:t>
            </w:r>
          </w:p>
        </w:tc>
        <w:tc>
          <w:tcPr>
            <w:tcW w:w="1468" w:type="pct"/>
            <w:gridSpan w:val="2"/>
            <w:vMerge w:val="restart"/>
            <w:tcBorders>
              <w:top w:val="single" w:sz="8" w:space="0" w:color="auto"/>
              <w:bottom w:val="single" w:sz="4" w:space="0" w:color="auto"/>
            </w:tcBorders>
            <w:shd w:val="clear" w:color="auto" w:fill="FFFFFF"/>
            <w:vAlign w:val="center"/>
          </w:tcPr>
          <w:p w14:paraId="5C307C38"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项目</w:t>
            </w:r>
          </w:p>
        </w:tc>
        <w:tc>
          <w:tcPr>
            <w:tcW w:w="2603" w:type="pct"/>
            <w:gridSpan w:val="2"/>
            <w:tcBorders>
              <w:top w:val="single" w:sz="8" w:space="0" w:color="auto"/>
              <w:bottom w:val="single" w:sz="4" w:space="0" w:color="auto"/>
            </w:tcBorders>
            <w:shd w:val="clear" w:color="auto" w:fill="FFFFFF"/>
            <w:vAlign w:val="center"/>
          </w:tcPr>
          <w:p w14:paraId="4B1A5259"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容许偏差</w:t>
            </w:r>
          </w:p>
        </w:tc>
        <w:tc>
          <w:tcPr>
            <w:tcW w:w="648" w:type="pct"/>
            <w:vMerge w:val="restart"/>
            <w:tcBorders>
              <w:top w:val="single" w:sz="8" w:space="0" w:color="auto"/>
            </w:tcBorders>
            <w:shd w:val="clear" w:color="auto" w:fill="FFFFFF"/>
            <w:vAlign w:val="center"/>
          </w:tcPr>
          <w:p w14:paraId="4BD610A6"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备注</w:t>
            </w:r>
          </w:p>
        </w:tc>
      </w:tr>
      <w:tr w:rsidR="00737EB2" w:rsidRPr="00765F6E" w14:paraId="39B0C351" w14:textId="77777777" w:rsidTr="00871D47">
        <w:trPr>
          <w:trHeight w:val="176"/>
          <w:tblHeader/>
          <w:jc w:val="center"/>
        </w:trPr>
        <w:tc>
          <w:tcPr>
            <w:tcW w:w="281" w:type="pct"/>
            <w:vMerge/>
            <w:tcBorders>
              <w:top w:val="single" w:sz="4" w:space="0" w:color="auto"/>
              <w:bottom w:val="single" w:sz="8" w:space="0" w:color="auto"/>
            </w:tcBorders>
            <w:shd w:val="clear" w:color="auto" w:fill="FFFFFF"/>
            <w:vAlign w:val="center"/>
          </w:tcPr>
          <w:p w14:paraId="17E08C9F" w14:textId="77777777" w:rsidR="00737EB2" w:rsidRPr="00765F6E" w:rsidRDefault="00737EB2" w:rsidP="00871D47">
            <w:pPr>
              <w:pStyle w:val="affffffffffff2"/>
              <w:spacing w:line="240" w:lineRule="exact"/>
              <w:jc w:val="center"/>
              <w:rPr>
                <w:rFonts w:hAnsi="宋体" w:cs="宋体"/>
                <w:sz w:val="18"/>
                <w:szCs w:val="18"/>
              </w:rPr>
            </w:pPr>
          </w:p>
        </w:tc>
        <w:tc>
          <w:tcPr>
            <w:tcW w:w="1468" w:type="pct"/>
            <w:gridSpan w:val="2"/>
            <w:vMerge/>
            <w:tcBorders>
              <w:top w:val="single" w:sz="4" w:space="0" w:color="auto"/>
              <w:bottom w:val="single" w:sz="8" w:space="0" w:color="auto"/>
            </w:tcBorders>
            <w:shd w:val="clear" w:color="auto" w:fill="FFFFFF"/>
            <w:vAlign w:val="center"/>
          </w:tcPr>
          <w:p w14:paraId="1C7F7B5E" w14:textId="77777777" w:rsidR="00737EB2" w:rsidRPr="00765F6E" w:rsidRDefault="00737EB2" w:rsidP="00871D47">
            <w:pPr>
              <w:pStyle w:val="affffffffffff2"/>
              <w:spacing w:line="240" w:lineRule="exact"/>
              <w:jc w:val="center"/>
              <w:rPr>
                <w:rFonts w:hAnsi="宋体" w:cs="宋体"/>
                <w:sz w:val="18"/>
                <w:szCs w:val="18"/>
              </w:rPr>
            </w:pPr>
          </w:p>
        </w:tc>
        <w:tc>
          <w:tcPr>
            <w:tcW w:w="1452" w:type="pct"/>
            <w:tcBorders>
              <w:top w:val="single" w:sz="4" w:space="0" w:color="auto"/>
              <w:bottom w:val="single" w:sz="8" w:space="0" w:color="auto"/>
            </w:tcBorders>
            <w:shd w:val="clear" w:color="auto" w:fill="FFFFFF"/>
            <w:vAlign w:val="center"/>
          </w:tcPr>
          <w:p w14:paraId="61AC8330" w14:textId="77777777" w:rsidR="00737EB2" w:rsidRPr="00765F6E" w:rsidRDefault="00737EB2" w:rsidP="00871D47">
            <w:pPr>
              <w:pStyle w:val="affffffffffff2"/>
              <w:spacing w:line="240" w:lineRule="exact"/>
              <w:jc w:val="center"/>
              <w:rPr>
                <w:rFonts w:hAnsi="宋体" w:cs="宋体"/>
                <w:sz w:val="18"/>
                <w:szCs w:val="18"/>
              </w:rPr>
            </w:pPr>
            <w:r>
              <w:rPr>
                <w:rFonts w:hAnsi="宋体" w:cs="宋体" w:hint="eastAsia"/>
                <w:sz w:val="18"/>
                <w:szCs w:val="18"/>
              </w:rPr>
              <w:t>设计速度：</w:t>
            </w:r>
            <w:r w:rsidRPr="00765F6E">
              <w:rPr>
                <w:rFonts w:hAnsi="宋体" w:cs="宋体" w:hint="eastAsia"/>
                <w:sz w:val="18"/>
                <w:szCs w:val="18"/>
              </w:rPr>
              <w:t>160</w:t>
            </w:r>
            <w:r w:rsidRPr="00765F6E">
              <w:rPr>
                <w:rFonts w:hAnsi="宋体" w:cs="宋体"/>
                <w:sz w:val="18"/>
                <w:szCs w:val="18"/>
              </w:rPr>
              <w:t>km/h</w:t>
            </w:r>
            <w:r w:rsidRPr="00765F6E">
              <w:rPr>
                <w:rFonts w:hAnsi="宋体" w:cs="宋体" w:hint="eastAsia"/>
                <w:sz w:val="18"/>
                <w:szCs w:val="18"/>
              </w:rPr>
              <w:t>、</w:t>
            </w:r>
            <w:r w:rsidRPr="00765F6E">
              <w:rPr>
                <w:rFonts w:hAnsi="宋体" w:cs="宋体"/>
                <w:sz w:val="18"/>
                <w:szCs w:val="18"/>
              </w:rPr>
              <w:t>1</w:t>
            </w:r>
            <w:r w:rsidRPr="00765F6E">
              <w:rPr>
                <w:rFonts w:hAnsi="宋体" w:cs="宋体" w:hint="eastAsia"/>
                <w:sz w:val="18"/>
                <w:szCs w:val="18"/>
              </w:rPr>
              <w:t>4</w:t>
            </w:r>
            <w:r w:rsidRPr="00765F6E">
              <w:rPr>
                <w:rFonts w:hAnsi="宋体" w:cs="宋体"/>
                <w:sz w:val="18"/>
                <w:szCs w:val="18"/>
              </w:rPr>
              <w:t>0km/h</w:t>
            </w:r>
          </w:p>
        </w:tc>
        <w:tc>
          <w:tcPr>
            <w:tcW w:w="1151" w:type="pct"/>
            <w:tcBorders>
              <w:top w:val="single" w:sz="4" w:space="0" w:color="auto"/>
              <w:bottom w:val="single" w:sz="8" w:space="0" w:color="auto"/>
            </w:tcBorders>
            <w:shd w:val="clear" w:color="auto" w:fill="FFFFFF"/>
            <w:vAlign w:val="center"/>
          </w:tcPr>
          <w:p w14:paraId="3231B190" w14:textId="77777777" w:rsidR="00737EB2" w:rsidRPr="00765F6E" w:rsidRDefault="00737EB2" w:rsidP="00871D47">
            <w:pPr>
              <w:pStyle w:val="affffffffffff2"/>
              <w:spacing w:line="240" w:lineRule="exact"/>
              <w:jc w:val="center"/>
              <w:rPr>
                <w:rFonts w:hAnsi="宋体" w:cs="宋体"/>
                <w:sz w:val="18"/>
                <w:szCs w:val="18"/>
              </w:rPr>
            </w:pPr>
            <w:r>
              <w:rPr>
                <w:rFonts w:hAnsi="宋体" w:cs="宋体" w:hint="eastAsia"/>
                <w:sz w:val="18"/>
                <w:szCs w:val="18"/>
              </w:rPr>
              <w:t>设计速度：</w:t>
            </w:r>
            <w:r w:rsidRPr="00765F6E">
              <w:rPr>
                <w:rFonts w:hAnsi="宋体" w:cs="宋体" w:hint="eastAsia"/>
                <w:sz w:val="18"/>
                <w:szCs w:val="18"/>
              </w:rPr>
              <w:t>120</w:t>
            </w:r>
            <w:r w:rsidRPr="00765F6E">
              <w:rPr>
                <w:rFonts w:hAnsi="宋体" w:cs="宋体"/>
                <w:sz w:val="18"/>
                <w:szCs w:val="18"/>
              </w:rPr>
              <w:t>km/h</w:t>
            </w:r>
          </w:p>
        </w:tc>
        <w:tc>
          <w:tcPr>
            <w:tcW w:w="648" w:type="pct"/>
            <w:vMerge/>
            <w:tcBorders>
              <w:bottom w:val="single" w:sz="8" w:space="0" w:color="auto"/>
            </w:tcBorders>
            <w:shd w:val="clear" w:color="auto" w:fill="FFFFFF"/>
            <w:vAlign w:val="center"/>
          </w:tcPr>
          <w:p w14:paraId="3775B515" w14:textId="77777777" w:rsidR="00737EB2" w:rsidRPr="00765F6E" w:rsidRDefault="00737EB2" w:rsidP="00871D47">
            <w:pPr>
              <w:pStyle w:val="affffffffffff2"/>
              <w:spacing w:line="240" w:lineRule="exact"/>
              <w:jc w:val="center"/>
              <w:rPr>
                <w:rFonts w:hAnsi="宋体" w:cs="宋体"/>
                <w:sz w:val="18"/>
                <w:szCs w:val="18"/>
              </w:rPr>
            </w:pPr>
          </w:p>
        </w:tc>
      </w:tr>
      <w:tr w:rsidR="00737EB2" w:rsidRPr="00765F6E" w14:paraId="06486F27" w14:textId="77777777" w:rsidTr="00871D47">
        <w:trPr>
          <w:trHeight w:val="176"/>
          <w:jc w:val="center"/>
        </w:trPr>
        <w:tc>
          <w:tcPr>
            <w:tcW w:w="281" w:type="pct"/>
            <w:tcBorders>
              <w:top w:val="single" w:sz="8" w:space="0" w:color="auto"/>
            </w:tcBorders>
            <w:shd w:val="clear" w:color="auto" w:fill="FFFFFF"/>
            <w:vAlign w:val="center"/>
          </w:tcPr>
          <w:p w14:paraId="4D41C85A"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1</w:t>
            </w:r>
          </w:p>
        </w:tc>
        <w:tc>
          <w:tcPr>
            <w:tcW w:w="366" w:type="pct"/>
            <w:tcBorders>
              <w:top w:val="single" w:sz="8" w:space="0" w:color="auto"/>
            </w:tcBorders>
            <w:shd w:val="clear" w:color="auto" w:fill="FFFFFF"/>
            <w:vAlign w:val="center"/>
          </w:tcPr>
          <w:p w14:paraId="6FAFFAEF"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轨距</w:t>
            </w:r>
          </w:p>
        </w:tc>
        <w:tc>
          <w:tcPr>
            <w:tcW w:w="1102" w:type="pct"/>
            <w:tcBorders>
              <w:top w:val="single" w:sz="8" w:space="0" w:color="auto"/>
            </w:tcBorders>
            <w:shd w:val="clear" w:color="auto" w:fill="FFFFFF"/>
            <w:vAlign w:val="center"/>
          </w:tcPr>
          <w:p w14:paraId="4D3AA5A6"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相对于标准轨距</w:t>
            </w:r>
          </w:p>
        </w:tc>
        <w:tc>
          <w:tcPr>
            <w:tcW w:w="1452" w:type="pct"/>
            <w:tcBorders>
              <w:top w:val="single" w:sz="8" w:space="0" w:color="auto"/>
            </w:tcBorders>
            <w:shd w:val="clear" w:color="auto" w:fill="FFFFFF"/>
            <w:vAlign w:val="center"/>
          </w:tcPr>
          <w:p w14:paraId="5DF1B0D6"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+4mm</w:t>
            </w:r>
          </w:p>
          <w:p w14:paraId="1C19F249"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-2mm</w:t>
            </w:r>
          </w:p>
        </w:tc>
        <w:tc>
          <w:tcPr>
            <w:tcW w:w="1151" w:type="pct"/>
            <w:tcBorders>
              <w:top w:val="single" w:sz="8" w:space="0" w:color="auto"/>
            </w:tcBorders>
            <w:shd w:val="clear" w:color="auto" w:fill="FFFFFF"/>
            <w:vAlign w:val="center"/>
          </w:tcPr>
          <w:p w14:paraId="2A70AD9E"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w:t>
            </w:r>
            <w:r w:rsidRPr="00765F6E">
              <w:rPr>
                <w:rFonts w:hAnsi="宋体" w:cs="宋体" w:hint="eastAsia"/>
                <w:sz w:val="18"/>
                <w:szCs w:val="18"/>
              </w:rPr>
              <w:t>6</w:t>
            </w:r>
            <w:r w:rsidRPr="00765F6E">
              <w:rPr>
                <w:rFonts w:hAnsi="宋体" w:cs="宋体"/>
                <w:sz w:val="18"/>
                <w:szCs w:val="18"/>
              </w:rPr>
              <w:t>mm</w:t>
            </w:r>
          </w:p>
          <w:p w14:paraId="3FC14ABC"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-2mm</w:t>
            </w:r>
          </w:p>
        </w:tc>
        <w:tc>
          <w:tcPr>
            <w:tcW w:w="648" w:type="pct"/>
            <w:tcBorders>
              <w:top w:val="single" w:sz="8" w:space="0" w:color="auto"/>
            </w:tcBorders>
            <w:shd w:val="clear" w:color="auto" w:fill="FFFFFF"/>
            <w:vAlign w:val="center"/>
          </w:tcPr>
          <w:p w14:paraId="755CDAF2" w14:textId="4FEF1475" w:rsidR="00737EB2" w:rsidRPr="00765F6E" w:rsidRDefault="008855DA" w:rsidP="00871D47">
            <w:pPr>
              <w:pStyle w:val="affffffffffff2"/>
              <w:spacing w:line="240" w:lineRule="exact"/>
              <w:jc w:val="center"/>
              <w:rPr>
                <w:rFonts w:hAnsi="宋体" w:cs="宋体"/>
                <w:sz w:val="18"/>
                <w:szCs w:val="18"/>
              </w:rPr>
            </w:pPr>
            <w:r>
              <w:rPr>
                <w:rFonts w:hAnsi="宋体" w:cs="宋体" w:hint="eastAsia"/>
                <w:sz w:val="18"/>
                <w:szCs w:val="18"/>
              </w:rPr>
              <w:t>-</w:t>
            </w:r>
          </w:p>
        </w:tc>
      </w:tr>
      <w:tr w:rsidR="00737EB2" w:rsidRPr="00765F6E" w14:paraId="48CCCE54" w14:textId="77777777" w:rsidTr="00871D47">
        <w:trPr>
          <w:trHeight w:val="176"/>
          <w:jc w:val="center"/>
        </w:trPr>
        <w:tc>
          <w:tcPr>
            <w:tcW w:w="281" w:type="pct"/>
            <w:shd w:val="clear" w:color="auto" w:fill="FFFFFF"/>
            <w:vAlign w:val="center"/>
          </w:tcPr>
          <w:p w14:paraId="23DCDAC0"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lastRenderedPageBreak/>
              <w:t>2</w:t>
            </w:r>
          </w:p>
        </w:tc>
        <w:tc>
          <w:tcPr>
            <w:tcW w:w="366" w:type="pct"/>
            <w:shd w:val="clear" w:color="auto" w:fill="FFFFFF"/>
            <w:vAlign w:val="center"/>
          </w:tcPr>
          <w:p w14:paraId="6AC0B856"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轨向</w:t>
            </w:r>
          </w:p>
        </w:tc>
        <w:tc>
          <w:tcPr>
            <w:tcW w:w="1102" w:type="pct"/>
            <w:shd w:val="clear" w:color="auto" w:fill="FFFFFF"/>
            <w:vAlign w:val="center"/>
          </w:tcPr>
          <w:p w14:paraId="7E6CAB1B"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弦长10m</w:t>
            </w:r>
          </w:p>
        </w:tc>
        <w:tc>
          <w:tcPr>
            <w:tcW w:w="1452" w:type="pct"/>
            <w:shd w:val="clear" w:color="auto" w:fill="FFFFFF"/>
            <w:vAlign w:val="center"/>
          </w:tcPr>
          <w:p w14:paraId="29ED3248"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4mm</w:t>
            </w:r>
          </w:p>
        </w:tc>
        <w:tc>
          <w:tcPr>
            <w:tcW w:w="1151" w:type="pct"/>
            <w:shd w:val="clear" w:color="auto" w:fill="FFFFFF"/>
            <w:vAlign w:val="center"/>
          </w:tcPr>
          <w:p w14:paraId="0BAEB738"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4mm</w:t>
            </w:r>
          </w:p>
        </w:tc>
        <w:tc>
          <w:tcPr>
            <w:tcW w:w="648" w:type="pct"/>
            <w:shd w:val="clear" w:color="auto" w:fill="FFFFFF"/>
            <w:vAlign w:val="center"/>
          </w:tcPr>
          <w:p w14:paraId="48B7A8A0"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不含曲线</w:t>
            </w:r>
          </w:p>
        </w:tc>
      </w:tr>
      <w:tr w:rsidR="00737EB2" w:rsidRPr="00765F6E" w14:paraId="3E9B5908" w14:textId="77777777" w:rsidTr="00871D47">
        <w:trPr>
          <w:trHeight w:val="176"/>
          <w:jc w:val="center"/>
        </w:trPr>
        <w:tc>
          <w:tcPr>
            <w:tcW w:w="281" w:type="pct"/>
            <w:shd w:val="clear" w:color="auto" w:fill="FFFFFF"/>
            <w:vAlign w:val="center"/>
          </w:tcPr>
          <w:p w14:paraId="74143BF0"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3</w:t>
            </w:r>
          </w:p>
        </w:tc>
        <w:tc>
          <w:tcPr>
            <w:tcW w:w="366" w:type="pct"/>
            <w:shd w:val="clear" w:color="auto" w:fill="FFFFFF"/>
            <w:vAlign w:val="center"/>
          </w:tcPr>
          <w:p w14:paraId="474C54B5"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高低</w:t>
            </w:r>
          </w:p>
        </w:tc>
        <w:tc>
          <w:tcPr>
            <w:tcW w:w="1102" w:type="pct"/>
            <w:shd w:val="clear" w:color="auto" w:fill="FFFFFF"/>
            <w:vAlign w:val="center"/>
          </w:tcPr>
          <w:p w14:paraId="565A7A98"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弦长10m</w:t>
            </w:r>
          </w:p>
        </w:tc>
        <w:tc>
          <w:tcPr>
            <w:tcW w:w="1452" w:type="pct"/>
            <w:shd w:val="clear" w:color="auto" w:fill="FFFFFF"/>
            <w:vAlign w:val="center"/>
          </w:tcPr>
          <w:p w14:paraId="681E0710"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4mm</w:t>
            </w:r>
          </w:p>
        </w:tc>
        <w:tc>
          <w:tcPr>
            <w:tcW w:w="1151" w:type="pct"/>
            <w:shd w:val="clear" w:color="auto" w:fill="FFFFFF"/>
            <w:vAlign w:val="center"/>
          </w:tcPr>
          <w:p w14:paraId="6301D597"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4mm</w:t>
            </w:r>
          </w:p>
        </w:tc>
        <w:tc>
          <w:tcPr>
            <w:tcW w:w="648" w:type="pct"/>
            <w:shd w:val="clear" w:color="auto" w:fill="FFFFFF"/>
            <w:vAlign w:val="center"/>
          </w:tcPr>
          <w:p w14:paraId="586BE775" w14:textId="21F0B854" w:rsidR="00737EB2" w:rsidRPr="00765F6E" w:rsidRDefault="008855DA" w:rsidP="00871D47">
            <w:pPr>
              <w:pStyle w:val="affffffffffff2"/>
              <w:spacing w:line="240" w:lineRule="exact"/>
              <w:jc w:val="center"/>
              <w:rPr>
                <w:rFonts w:hAnsi="宋体" w:cs="宋体"/>
                <w:sz w:val="18"/>
                <w:szCs w:val="18"/>
              </w:rPr>
            </w:pPr>
            <w:r>
              <w:rPr>
                <w:rFonts w:hAnsi="宋体" w:cs="宋体" w:hint="eastAsia"/>
                <w:sz w:val="18"/>
                <w:szCs w:val="18"/>
              </w:rPr>
              <w:t>-</w:t>
            </w:r>
          </w:p>
        </w:tc>
      </w:tr>
      <w:tr w:rsidR="00737EB2" w:rsidRPr="00765F6E" w14:paraId="47322DEF" w14:textId="77777777" w:rsidTr="00871D47">
        <w:trPr>
          <w:trHeight w:val="176"/>
          <w:jc w:val="center"/>
        </w:trPr>
        <w:tc>
          <w:tcPr>
            <w:tcW w:w="281" w:type="pct"/>
            <w:shd w:val="clear" w:color="auto" w:fill="FFFFFF"/>
            <w:vAlign w:val="center"/>
          </w:tcPr>
          <w:p w14:paraId="68B36677"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4</w:t>
            </w:r>
          </w:p>
        </w:tc>
        <w:tc>
          <w:tcPr>
            <w:tcW w:w="1468" w:type="pct"/>
            <w:gridSpan w:val="2"/>
            <w:shd w:val="clear" w:color="auto" w:fill="FFFFFF"/>
            <w:vAlign w:val="center"/>
          </w:tcPr>
          <w:p w14:paraId="456EC5E9"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水平</w:t>
            </w:r>
          </w:p>
        </w:tc>
        <w:tc>
          <w:tcPr>
            <w:tcW w:w="1452" w:type="pct"/>
            <w:shd w:val="clear" w:color="auto" w:fill="FFFFFF"/>
            <w:vAlign w:val="center"/>
          </w:tcPr>
          <w:p w14:paraId="45AB5DF3"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4mm</w:t>
            </w:r>
          </w:p>
        </w:tc>
        <w:tc>
          <w:tcPr>
            <w:tcW w:w="1151" w:type="pct"/>
            <w:shd w:val="clear" w:color="auto" w:fill="FFFFFF"/>
            <w:vAlign w:val="center"/>
          </w:tcPr>
          <w:p w14:paraId="5A40191B"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4mm</w:t>
            </w:r>
          </w:p>
        </w:tc>
        <w:tc>
          <w:tcPr>
            <w:tcW w:w="648" w:type="pct"/>
            <w:shd w:val="clear" w:color="auto" w:fill="FFFFFF"/>
            <w:vAlign w:val="center"/>
          </w:tcPr>
          <w:p w14:paraId="680FF4E0"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不含超高值</w:t>
            </w:r>
          </w:p>
        </w:tc>
      </w:tr>
      <w:tr w:rsidR="00737EB2" w:rsidRPr="00765F6E" w14:paraId="2A2E4426" w14:textId="77777777" w:rsidTr="00871D47">
        <w:trPr>
          <w:trHeight w:val="176"/>
          <w:jc w:val="center"/>
        </w:trPr>
        <w:tc>
          <w:tcPr>
            <w:tcW w:w="281" w:type="pct"/>
            <w:tcBorders>
              <w:bottom w:val="single" w:sz="8" w:space="0" w:color="auto"/>
            </w:tcBorders>
            <w:shd w:val="clear" w:color="auto" w:fill="FFFFFF"/>
            <w:vAlign w:val="center"/>
          </w:tcPr>
          <w:p w14:paraId="6B190DA0"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5</w:t>
            </w:r>
          </w:p>
        </w:tc>
        <w:tc>
          <w:tcPr>
            <w:tcW w:w="1468" w:type="pct"/>
            <w:gridSpan w:val="2"/>
            <w:tcBorders>
              <w:bottom w:val="single" w:sz="8" w:space="0" w:color="auto"/>
            </w:tcBorders>
            <w:shd w:val="clear" w:color="auto" w:fill="FFFFFF"/>
            <w:vAlign w:val="center"/>
          </w:tcPr>
          <w:p w14:paraId="3B2CB13B"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扭曲（基长3m）</w:t>
            </w:r>
          </w:p>
        </w:tc>
        <w:tc>
          <w:tcPr>
            <w:tcW w:w="1452" w:type="pct"/>
            <w:tcBorders>
              <w:bottom w:val="single" w:sz="8" w:space="0" w:color="auto"/>
            </w:tcBorders>
            <w:shd w:val="clear" w:color="auto" w:fill="FFFFFF"/>
            <w:vAlign w:val="center"/>
          </w:tcPr>
          <w:p w14:paraId="3C97F2E2"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3mm</w:t>
            </w:r>
          </w:p>
        </w:tc>
        <w:tc>
          <w:tcPr>
            <w:tcW w:w="1151" w:type="pct"/>
            <w:tcBorders>
              <w:bottom w:val="single" w:sz="8" w:space="0" w:color="auto"/>
            </w:tcBorders>
            <w:shd w:val="clear" w:color="auto" w:fill="FFFFFF"/>
            <w:vAlign w:val="center"/>
          </w:tcPr>
          <w:p w14:paraId="2C4DA8C3"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3mm</w:t>
            </w:r>
          </w:p>
        </w:tc>
        <w:tc>
          <w:tcPr>
            <w:tcW w:w="648" w:type="pct"/>
            <w:tcBorders>
              <w:bottom w:val="single" w:sz="8" w:space="0" w:color="auto"/>
            </w:tcBorders>
            <w:shd w:val="clear" w:color="auto" w:fill="FFFFFF"/>
            <w:vAlign w:val="center"/>
          </w:tcPr>
          <w:p w14:paraId="3A500074"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不含超高顺坡</w:t>
            </w:r>
          </w:p>
        </w:tc>
      </w:tr>
    </w:tbl>
    <w:p w14:paraId="31AA0A08" w14:textId="77777777" w:rsidR="00737EB2" w:rsidRPr="00765F6E" w:rsidRDefault="00737EB2" w:rsidP="00737EB2">
      <w:pPr>
        <w:pStyle w:val="aff3"/>
        <w:spacing w:before="156" w:after="156"/>
      </w:pPr>
      <w:r w:rsidRPr="00765F6E">
        <w:rPr>
          <w:rFonts w:hint="eastAsia"/>
        </w:rPr>
        <w:t>正线无砟轨道静态铺设平顺度</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07"/>
        <w:gridCol w:w="627"/>
        <w:gridCol w:w="2124"/>
        <w:gridCol w:w="2793"/>
        <w:gridCol w:w="2162"/>
        <w:gridCol w:w="1221"/>
      </w:tblGrid>
      <w:tr w:rsidR="00737EB2" w:rsidRPr="00765F6E" w14:paraId="3A6A3A1E" w14:textId="77777777" w:rsidTr="00871D47">
        <w:trPr>
          <w:trHeight w:val="176"/>
          <w:jc w:val="center"/>
        </w:trPr>
        <w:tc>
          <w:tcPr>
            <w:tcW w:w="218" w:type="pct"/>
            <w:vMerge w:val="restart"/>
            <w:tcBorders>
              <w:top w:val="single" w:sz="8" w:space="0" w:color="auto"/>
              <w:bottom w:val="single" w:sz="4" w:space="0" w:color="auto"/>
            </w:tcBorders>
            <w:shd w:val="clear" w:color="auto" w:fill="FFFFFF"/>
            <w:vAlign w:val="center"/>
          </w:tcPr>
          <w:p w14:paraId="634FA59A"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序号</w:t>
            </w:r>
          </w:p>
        </w:tc>
        <w:tc>
          <w:tcPr>
            <w:tcW w:w="1474" w:type="pct"/>
            <w:gridSpan w:val="2"/>
            <w:vMerge w:val="restart"/>
            <w:tcBorders>
              <w:top w:val="single" w:sz="8" w:space="0" w:color="auto"/>
              <w:bottom w:val="single" w:sz="4" w:space="0" w:color="auto"/>
            </w:tcBorders>
            <w:shd w:val="clear" w:color="auto" w:fill="FFFFFF"/>
            <w:vAlign w:val="center"/>
          </w:tcPr>
          <w:p w14:paraId="0190F6D7"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项目</w:t>
            </w:r>
          </w:p>
        </w:tc>
        <w:tc>
          <w:tcPr>
            <w:tcW w:w="2654" w:type="pct"/>
            <w:gridSpan w:val="2"/>
            <w:tcBorders>
              <w:top w:val="single" w:sz="8" w:space="0" w:color="auto"/>
              <w:bottom w:val="single" w:sz="4" w:space="0" w:color="auto"/>
            </w:tcBorders>
            <w:shd w:val="clear" w:color="auto" w:fill="FFFFFF"/>
            <w:vAlign w:val="center"/>
          </w:tcPr>
          <w:p w14:paraId="315A4D2E"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容许偏差</w:t>
            </w:r>
          </w:p>
        </w:tc>
        <w:tc>
          <w:tcPr>
            <w:tcW w:w="654" w:type="pct"/>
            <w:vMerge w:val="restart"/>
            <w:tcBorders>
              <w:top w:val="single" w:sz="8" w:space="0" w:color="auto"/>
            </w:tcBorders>
            <w:shd w:val="clear" w:color="auto" w:fill="FFFFFF"/>
            <w:vAlign w:val="center"/>
          </w:tcPr>
          <w:p w14:paraId="704FA497"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备注</w:t>
            </w:r>
          </w:p>
        </w:tc>
      </w:tr>
      <w:tr w:rsidR="00737EB2" w:rsidRPr="00765F6E" w14:paraId="10AB7580" w14:textId="77777777" w:rsidTr="00871D47">
        <w:trPr>
          <w:trHeight w:val="176"/>
          <w:jc w:val="center"/>
        </w:trPr>
        <w:tc>
          <w:tcPr>
            <w:tcW w:w="218" w:type="pct"/>
            <w:vMerge/>
            <w:tcBorders>
              <w:top w:val="single" w:sz="4" w:space="0" w:color="auto"/>
              <w:bottom w:val="single" w:sz="8" w:space="0" w:color="auto"/>
            </w:tcBorders>
            <w:shd w:val="clear" w:color="auto" w:fill="FFFFFF"/>
            <w:vAlign w:val="center"/>
          </w:tcPr>
          <w:p w14:paraId="18445982" w14:textId="77777777" w:rsidR="00737EB2" w:rsidRPr="00765F6E" w:rsidRDefault="00737EB2" w:rsidP="00871D47">
            <w:pPr>
              <w:pStyle w:val="affffffffffff2"/>
              <w:spacing w:line="240" w:lineRule="exact"/>
              <w:jc w:val="center"/>
              <w:rPr>
                <w:rFonts w:hAnsi="宋体" w:cs="宋体"/>
                <w:sz w:val="18"/>
                <w:szCs w:val="18"/>
              </w:rPr>
            </w:pPr>
          </w:p>
        </w:tc>
        <w:tc>
          <w:tcPr>
            <w:tcW w:w="1474" w:type="pct"/>
            <w:gridSpan w:val="2"/>
            <w:vMerge/>
            <w:tcBorders>
              <w:top w:val="single" w:sz="4" w:space="0" w:color="auto"/>
              <w:bottom w:val="single" w:sz="8" w:space="0" w:color="auto"/>
            </w:tcBorders>
            <w:shd w:val="clear" w:color="auto" w:fill="FFFFFF"/>
            <w:vAlign w:val="center"/>
          </w:tcPr>
          <w:p w14:paraId="112A8415" w14:textId="77777777" w:rsidR="00737EB2" w:rsidRPr="00765F6E" w:rsidRDefault="00737EB2" w:rsidP="00871D47">
            <w:pPr>
              <w:pStyle w:val="affffffffffff2"/>
              <w:spacing w:line="240" w:lineRule="exact"/>
              <w:jc w:val="center"/>
              <w:rPr>
                <w:rFonts w:hAnsi="宋体" w:cs="宋体"/>
                <w:sz w:val="18"/>
                <w:szCs w:val="18"/>
              </w:rPr>
            </w:pPr>
          </w:p>
        </w:tc>
        <w:tc>
          <w:tcPr>
            <w:tcW w:w="1496" w:type="pct"/>
            <w:tcBorders>
              <w:top w:val="single" w:sz="4" w:space="0" w:color="auto"/>
              <w:bottom w:val="single" w:sz="8" w:space="0" w:color="auto"/>
            </w:tcBorders>
            <w:shd w:val="clear" w:color="auto" w:fill="FFFFFF"/>
            <w:vAlign w:val="center"/>
          </w:tcPr>
          <w:p w14:paraId="2719C16B" w14:textId="77777777" w:rsidR="00737EB2" w:rsidRPr="00765F6E" w:rsidRDefault="00737EB2" w:rsidP="00871D47">
            <w:pPr>
              <w:pStyle w:val="affffffffffff2"/>
              <w:spacing w:line="240" w:lineRule="exact"/>
              <w:jc w:val="center"/>
              <w:rPr>
                <w:rFonts w:hAnsi="宋体" w:cs="宋体"/>
                <w:sz w:val="18"/>
                <w:szCs w:val="18"/>
              </w:rPr>
            </w:pPr>
            <w:r>
              <w:rPr>
                <w:rFonts w:hAnsi="宋体" w:cs="宋体" w:hint="eastAsia"/>
                <w:sz w:val="18"/>
                <w:szCs w:val="18"/>
              </w:rPr>
              <w:t>设计速度：</w:t>
            </w:r>
            <w:r w:rsidRPr="00765F6E">
              <w:rPr>
                <w:rFonts w:hAnsi="宋体" w:cs="宋体" w:hint="eastAsia"/>
                <w:sz w:val="18"/>
                <w:szCs w:val="18"/>
              </w:rPr>
              <w:t>160</w:t>
            </w:r>
            <w:r w:rsidRPr="00765F6E">
              <w:rPr>
                <w:rFonts w:hAnsi="宋体" w:cs="宋体"/>
                <w:sz w:val="18"/>
                <w:szCs w:val="18"/>
              </w:rPr>
              <w:t>km/h</w:t>
            </w:r>
            <w:r w:rsidRPr="00765F6E">
              <w:rPr>
                <w:rFonts w:hAnsi="宋体" w:cs="宋体" w:hint="eastAsia"/>
                <w:sz w:val="18"/>
                <w:szCs w:val="18"/>
              </w:rPr>
              <w:t>、</w:t>
            </w:r>
            <w:r w:rsidRPr="00765F6E">
              <w:rPr>
                <w:rFonts w:hAnsi="宋体" w:cs="宋体"/>
                <w:sz w:val="18"/>
                <w:szCs w:val="18"/>
              </w:rPr>
              <w:t>1</w:t>
            </w:r>
            <w:r w:rsidRPr="00765F6E">
              <w:rPr>
                <w:rFonts w:hAnsi="宋体" w:cs="宋体" w:hint="eastAsia"/>
                <w:sz w:val="18"/>
                <w:szCs w:val="18"/>
              </w:rPr>
              <w:t>4</w:t>
            </w:r>
            <w:r w:rsidRPr="00765F6E">
              <w:rPr>
                <w:rFonts w:hAnsi="宋体" w:cs="宋体"/>
                <w:sz w:val="18"/>
                <w:szCs w:val="18"/>
              </w:rPr>
              <w:t>0km/h</w:t>
            </w:r>
          </w:p>
        </w:tc>
        <w:tc>
          <w:tcPr>
            <w:tcW w:w="1158" w:type="pct"/>
            <w:tcBorders>
              <w:top w:val="single" w:sz="4" w:space="0" w:color="auto"/>
              <w:bottom w:val="single" w:sz="8" w:space="0" w:color="auto"/>
            </w:tcBorders>
            <w:shd w:val="clear" w:color="auto" w:fill="FFFFFF"/>
            <w:vAlign w:val="center"/>
          </w:tcPr>
          <w:p w14:paraId="221DEAA8" w14:textId="77777777" w:rsidR="00737EB2" w:rsidRPr="00765F6E" w:rsidRDefault="00737EB2" w:rsidP="00871D47">
            <w:pPr>
              <w:pStyle w:val="affffffffffff2"/>
              <w:spacing w:line="240" w:lineRule="exact"/>
              <w:jc w:val="center"/>
              <w:rPr>
                <w:rFonts w:hAnsi="宋体" w:cs="宋体"/>
                <w:sz w:val="18"/>
                <w:szCs w:val="18"/>
              </w:rPr>
            </w:pPr>
            <w:r>
              <w:rPr>
                <w:rFonts w:hAnsi="宋体" w:cs="宋体" w:hint="eastAsia"/>
                <w:sz w:val="18"/>
                <w:szCs w:val="18"/>
              </w:rPr>
              <w:t>设计速度：</w:t>
            </w:r>
            <w:r w:rsidRPr="00765F6E">
              <w:rPr>
                <w:rFonts w:hAnsi="宋体" w:cs="宋体" w:hint="eastAsia"/>
                <w:sz w:val="18"/>
                <w:szCs w:val="18"/>
              </w:rPr>
              <w:t>120</w:t>
            </w:r>
            <w:r w:rsidRPr="00765F6E">
              <w:rPr>
                <w:rFonts w:hAnsi="宋体" w:cs="宋体"/>
                <w:sz w:val="18"/>
                <w:szCs w:val="18"/>
              </w:rPr>
              <w:t>km/h</w:t>
            </w:r>
          </w:p>
        </w:tc>
        <w:tc>
          <w:tcPr>
            <w:tcW w:w="654" w:type="pct"/>
            <w:vMerge/>
            <w:tcBorders>
              <w:bottom w:val="single" w:sz="8" w:space="0" w:color="auto"/>
            </w:tcBorders>
            <w:shd w:val="clear" w:color="auto" w:fill="FFFFFF"/>
            <w:vAlign w:val="center"/>
          </w:tcPr>
          <w:p w14:paraId="70BFFF20" w14:textId="77777777" w:rsidR="00737EB2" w:rsidRPr="00765F6E" w:rsidRDefault="00737EB2" w:rsidP="00871D47">
            <w:pPr>
              <w:pStyle w:val="affffffffffff2"/>
              <w:spacing w:line="240" w:lineRule="exact"/>
              <w:jc w:val="center"/>
              <w:rPr>
                <w:rFonts w:hAnsi="宋体" w:cs="宋体"/>
                <w:sz w:val="18"/>
                <w:szCs w:val="18"/>
              </w:rPr>
            </w:pPr>
          </w:p>
        </w:tc>
      </w:tr>
      <w:tr w:rsidR="00737EB2" w:rsidRPr="00765F6E" w14:paraId="3B5E3BC3" w14:textId="77777777" w:rsidTr="00871D47">
        <w:trPr>
          <w:trHeight w:val="176"/>
          <w:jc w:val="center"/>
        </w:trPr>
        <w:tc>
          <w:tcPr>
            <w:tcW w:w="218" w:type="pct"/>
            <w:tcBorders>
              <w:top w:val="single" w:sz="8" w:space="0" w:color="auto"/>
            </w:tcBorders>
            <w:shd w:val="clear" w:color="auto" w:fill="FFFFFF"/>
            <w:vAlign w:val="center"/>
          </w:tcPr>
          <w:p w14:paraId="1CC7612E"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1</w:t>
            </w:r>
          </w:p>
        </w:tc>
        <w:tc>
          <w:tcPr>
            <w:tcW w:w="336" w:type="pct"/>
            <w:tcBorders>
              <w:top w:val="single" w:sz="8" w:space="0" w:color="auto"/>
            </w:tcBorders>
            <w:shd w:val="clear" w:color="auto" w:fill="FFFFFF"/>
            <w:vAlign w:val="center"/>
          </w:tcPr>
          <w:p w14:paraId="27E7E599"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轨距</w:t>
            </w:r>
          </w:p>
        </w:tc>
        <w:tc>
          <w:tcPr>
            <w:tcW w:w="1138" w:type="pct"/>
            <w:tcBorders>
              <w:top w:val="single" w:sz="8" w:space="0" w:color="auto"/>
            </w:tcBorders>
            <w:shd w:val="clear" w:color="auto" w:fill="FFFFFF"/>
            <w:vAlign w:val="center"/>
          </w:tcPr>
          <w:p w14:paraId="065FE7CA"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相对于标准轨距</w:t>
            </w:r>
          </w:p>
        </w:tc>
        <w:tc>
          <w:tcPr>
            <w:tcW w:w="1496" w:type="pct"/>
            <w:tcBorders>
              <w:top w:val="single" w:sz="8" w:space="0" w:color="auto"/>
            </w:tcBorders>
            <w:shd w:val="clear" w:color="auto" w:fill="FFFFFF"/>
            <w:vAlign w:val="center"/>
          </w:tcPr>
          <w:p w14:paraId="284BF59E" w14:textId="77777777" w:rsidR="00737EB2" w:rsidRPr="00765F6E" w:rsidRDefault="00737EB2" w:rsidP="00453DBE">
            <w:pPr>
              <w:pStyle w:val="afffffffff1"/>
              <w:numPr>
                <w:ilvl w:val="0"/>
                <w:numId w:val="0"/>
              </w:numPr>
              <w:jc w:val="center"/>
            </w:pPr>
            <w:r w:rsidRPr="00765F6E">
              <w:rPr>
                <w:rFonts w:hint="eastAsia"/>
              </w:rPr>
              <w:t>±2mm</w:t>
            </w:r>
          </w:p>
        </w:tc>
        <w:tc>
          <w:tcPr>
            <w:tcW w:w="1158" w:type="pct"/>
            <w:tcBorders>
              <w:top w:val="single" w:sz="8" w:space="0" w:color="auto"/>
            </w:tcBorders>
            <w:shd w:val="clear" w:color="auto" w:fill="FFFFFF"/>
            <w:vAlign w:val="center"/>
          </w:tcPr>
          <w:p w14:paraId="051A81F3"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w:t>
            </w:r>
            <w:r w:rsidRPr="00765F6E">
              <w:rPr>
                <w:rFonts w:hAnsi="宋体" w:cs="宋体" w:hint="eastAsia"/>
                <w:sz w:val="18"/>
                <w:szCs w:val="18"/>
              </w:rPr>
              <w:t>3</w:t>
            </w:r>
            <w:r w:rsidRPr="00765F6E">
              <w:rPr>
                <w:rFonts w:hAnsi="宋体" w:cs="宋体"/>
                <w:sz w:val="18"/>
                <w:szCs w:val="18"/>
              </w:rPr>
              <w:t>mm</w:t>
            </w:r>
          </w:p>
          <w:p w14:paraId="64F7E8B2"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-2mm</w:t>
            </w:r>
          </w:p>
        </w:tc>
        <w:tc>
          <w:tcPr>
            <w:tcW w:w="654" w:type="pct"/>
            <w:tcBorders>
              <w:top w:val="single" w:sz="8" w:space="0" w:color="auto"/>
            </w:tcBorders>
            <w:shd w:val="clear" w:color="auto" w:fill="FFFFFF"/>
            <w:vAlign w:val="center"/>
          </w:tcPr>
          <w:p w14:paraId="15A6CEF5" w14:textId="2ADC309B" w:rsidR="00737EB2" w:rsidRPr="00765F6E" w:rsidRDefault="008855DA" w:rsidP="00871D47">
            <w:pPr>
              <w:pStyle w:val="affffffffffff2"/>
              <w:spacing w:line="200" w:lineRule="exact"/>
              <w:jc w:val="center"/>
              <w:rPr>
                <w:rFonts w:hAnsi="宋体" w:cs="宋体"/>
                <w:sz w:val="18"/>
                <w:szCs w:val="18"/>
              </w:rPr>
            </w:pPr>
            <w:r>
              <w:rPr>
                <w:rFonts w:hAnsi="宋体" w:cs="宋体" w:hint="eastAsia"/>
                <w:sz w:val="18"/>
                <w:szCs w:val="18"/>
              </w:rPr>
              <w:t>-</w:t>
            </w:r>
          </w:p>
        </w:tc>
      </w:tr>
      <w:tr w:rsidR="00737EB2" w:rsidRPr="00765F6E" w14:paraId="4635DE57" w14:textId="77777777" w:rsidTr="00871D47">
        <w:trPr>
          <w:trHeight w:val="176"/>
          <w:jc w:val="center"/>
        </w:trPr>
        <w:tc>
          <w:tcPr>
            <w:tcW w:w="218" w:type="pct"/>
            <w:shd w:val="clear" w:color="auto" w:fill="FFFFFF"/>
            <w:vAlign w:val="center"/>
          </w:tcPr>
          <w:p w14:paraId="29276881"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2</w:t>
            </w:r>
          </w:p>
        </w:tc>
        <w:tc>
          <w:tcPr>
            <w:tcW w:w="336" w:type="pct"/>
            <w:shd w:val="clear" w:color="auto" w:fill="FFFFFF"/>
            <w:vAlign w:val="center"/>
          </w:tcPr>
          <w:p w14:paraId="67E0ED56"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轨向</w:t>
            </w:r>
          </w:p>
        </w:tc>
        <w:tc>
          <w:tcPr>
            <w:tcW w:w="1138" w:type="pct"/>
            <w:shd w:val="clear" w:color="auto" w:fill="FFFFFF"/>
            <w:vAlign w:val="center"/>
          </w:tcPr>
          <w:p w14:paraId="3AFDD93B"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弦长10m</w:t>
            </w:r>
          </w:p>
        </w:tc>
        <w:tc>
          <w:tcPr>
            <w:tcW w:w="1496" w:type="pct"/>
            <w:shd w:val="clear" w:color="auto" w:fill="FFFFFF"/>
            <w:vAlign w:val="center"/>
          </w:tcPr>
          <w:p w14:paraId="37836FDF" w14:textId="77777777" w:rsidR="00737EB2" w:rsidRPr="00765F6E" w:rsidRDefault="00737EB2" w:rsidP="00453DBE">
            <w:pPr>
              <w:pStyle w:val="afffffffff1"/>
              <w:numPr>
                <w:ilvl w:val="0"/>
                <w:numId w:val="0"/>
              </w:numPr>
              <w:jc w:val="center"/>
            </w:pPr>
            <w:r w:rsidRPr="00765F6E">
              <w:rPr>
                <w:rFonts w:hint="eastAsia"/>
              </w:rPr>
              <w:t>2mm</w:t>
            </w:r>
          </w:p>
        </w:tc>
        <w:tc>
          <w:tcPr>
            <w:tcW w:w="1158" w:type="pct"/>
            <w:shd w:val="clear" w:color="auto" w:fill="FFFFFF"/>
            <w:vAlign w:val="center"/>
          </w:tcPr>
          <w:p w14:paraId="486783C5"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4</w:t>
            </w:r>
          </w:p>
        </w:tc>
        <w:tc>
          <w:tcPr>
            <w:tcW w:w="654" w:type="pct"/>
            <w:shd w:val="clear" w:color="auto" w:fill="FFFFFF"/>
            <w:vAlign w:val="center"/>
          </w:tcPr>
          <w:p w14:paraId="4636FA87"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不含曲线</w:t>
            </w:r>
          </w:p>
        </w:tc>
      </w:tr>
      <w:tr w:rsidR="00737EB2" w:rsidRPr="00765F6E" w14:paraId="74A0DAB5" w14:textId="77777777" w:rsidTr="00871D47">
        <w:trPr>
          <w:trHeight w:val="176"/>
          <w:jc w:val="center"/>
        </w:trPr>
        <w:tc>
          <w:tcPr>
            <w:tcW w:w="218" w:type="pct"/>
            <w:shd w:val="clear" w:color="auto" w:fill="FFFFFF"/>
            <w:vAlign w:val="center"/>
          </w:tcPr>
          <w:p w14:paraId="1B9F8C85"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3</w:t>
            </w:r>
          </w:p>
        </w:tc>
        <w:tc>
          <w:tcPr>
            <w:tcW w:w="336" w:type="pct"/>
            <w:shd w:val="clear" w:color="auto" w:fill="FFFFFF"/>
            <w:vAlign w:val="center"/>
          </w:tcPr>
          <w:p w14:paraId="52DE86C8"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高低</w:t>
            </w:r>
          </w:p>
        </w:tc>
        <w:tc>
          <w:tcPr>
            <w:tcW w:w="1138" w:type="pct"/>
            <w:shd w:val="clear" w:color="auto" w:fill="FFFFFF"/>
            <w:vAlign w:val="center"/>
          </w:tcPr>
          <w:p w14:paraId="3DE596E6"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弦长10m</w:t>
            </w:r>
          </w:p>
        </w:tc>
        <w:tc>
          <w:tcPr>
            <w:tcW w:w="1496" w:type="pct"/>
            <w:shd w:val="clear" w:color="auto" w:fill="FFFFFF"/>
            <w:vAlign w:val="center"/>
          </w:tcPr>
          <w:p w14:paraId="2BDAD324" w14:textId="77777777" w:rsidR="00737EB2" w:rsidRPr="00765F6E" w:rsidRDefault="00737EB2" w:rsidP="00453DBE">
            <w:pPr>
              <w:pStyle w:val="afffffffff1"/>
              <w:numPr>
                <w:ilvl w:val="0"/>
                <w:numId w:val="0"/>
              </w:numPr>
              <w:jc w:val="center"/>
            </w:pPr>
            <w:r w:rsidRPr="00765F6E">
              <w:rPr>
                <w:rFonts w:hint="eastAsia"/>
              </w:rPr>
              <w:t>2mm</w:t>
            </w:r>
          </w:p>
        </w:tc>
        <w:tc>
          <w:tcPr>
            <w:tcW w:w="1158" w:type="pct"/>
            <w:shd w:val="clear" w:color="auto" w:fill="FFFFFF"/>
            <w:vAlign w:val="center"/>
          </w:tcPr>
          <w:p w14:paraId="04E2E0E7"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4</w:t>
            </w:r>
          </w:p>
        </w:tc>
        <w:tc>
          <w:tcPr>
            <w:tcW w:w="654" w:type="pct"/>
            <w:shd w:val="clear" w:color="auto" w:fill="FFFFFF"/>
            <w:vAlign w:val="center"/>
          </w:tcPr>
          <w:p w14:paraId="0EDAA2B6" w14:textId="5C4165BA" w:rsidR="00737EB2" w:rsidRPr="00765F6E" w:rsidRDefault="008855DA" w:rsidP="00871D47">
            <w:pPr>
              <w:pStyle w:val="affffffffffff2"/>
              <w:spacing w:line="240" w:lineRule="exact"/>
              <w:jc w:val="center"/>
              <w:rPr>
                <w:rFonts w:hAnsi="宋体" w:cs="宋体"/>
                <w:sz w:val="18"/>
                <w:szCs w:val="18"/>
              </w:rPr>
            </w:pPr>
            <w:r>
              <w:rPr>
                <w:rFonts w:hAnsi="宋体" w:cs="宋体" w:hint="eastAsia"/>
                <w:sz w:val="18"/>
                <w:szCs w:val="18"/>
              </w:rPr>
              <w:t>-</w:t>
            </w:r>
          </w:p>
        </w:tc>
      </w:tr>
      <w:tr w:rsidR="00737EB2" w:rsidRPr="00765F6E" w14:paraId="7CBF6F35" w14:textId="77777777" w:rsidTr="00871D47">
        <w:trPr>
          <w:trHeight w:val="176"/>
          <w:jc w:val="center"/>
        </w:trPr>
        <w:tc>
          <w:tcPr>
            <w:tcW w:w="218" w:type="pct"/>
            <w:shd w:val="clear" w:color="auto" w:fill="FFFFFF"/>
            <w:vAlign w:val="center"/>
          </w:tcPr>
          <w:p w14:paraId="59F3539A"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4</w:t>
            </w:r>
          </w:p>
        </w:tc>
        <w:tc>
          <w:tcPr>
            <w:tcW w:w="1474" w:type="pct"/>
            <w:gridSpan w:val="2"/>
            <w:shd w:val="clear" w:color="auto" w:fill="FFFFFF"/>
            <w:vAlign w:val="center"/>
          </w:tcPr>
          <w:p w14:paraId="66DB32E7"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水平</w:t>
            </w:r>
          </w:p>
        </w:tc>
        <w:tc>
          <w:tcPr>
            <w:tcW w:w="1496" w:type="pct"/>
            <w:shd w:val="clear" w:color="auto" w:fill="FFFFFF"/>
            <w:vAlign w:val="center"/>
          </w:tcPr>
          <w:p w14:paraId="023CC0B5" w14:textId="77777777" w:rsidR="00737EB2" w:rsidRPr="00765F6E" w:rsidRDefault="00737EB2" w:rsidP="00453DBE">
            <w:pPr>
              <w:pStyle w:val="afffffffff1"/>
              <w:numPr>
                <w:ilvl w:val="0"/>
                <w:numId w:val="0"/>
              </w:numPr>
              <w:jc w:val="center"/>
            </w:pPr>
            <w:r w:rsidRPr="00765F6E">
              <w:rPr>
                <w:rFonts w:hint="eastAsia"/>
              </w:rPr>
              <w:t>2mm</w:t>
            </w:r>
          </w:p>
        </w:tc>
        <w:tc>
          <w:tcPr>
            <w:tcW w:w="1158" w:type="pct"/>
            <w:shd w:val="clear" w:color="auto" w:fill="FFFFFF"/>
            <w:vAlign w:val="center"/>
          </w:tcPr>
          <w:p w14:paraId="6FB98BBC"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4</w:t>
            </w:r>
          </w:p>
        </w:tc>
        <w:tc>
          <w:tcPr>
            <w:tcW w:w="654" w:type="pct"/>
            <w:shd w:val="clear" w:color="auto" w:fill="FFFFFF"/>
            <w:vAlign w:val="center"/>
          </w:tcPr>
          <w:p w14:paraId="3C329D0A"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不含超高值</w:t>
            </w:r>
          </w:p>
        </w:tc>
      </w:tr>
      <w:tr w:rsidR="00737EB2" w:rsidRPr="00765F6E" w14:paraId="2B2A9052" w14:textId="77777777" w:rsidTr="00871D47">
        <w:trPr>
          <w:trHeight w:val="176"/>
          <w:jc w:val="center"/>
        </w:trPr>
        <w:tc>
          <w:tcPr>
            <w:tcW w:w="218" w:type="pct"/>
            <w:tcBorders>
              <w:bottom w:val="single" w:sz="8" w:space="0" w:color="auto"/>
            </w:tcBorders>
            <w:shd w:val="clear" w:color="auto" w:fill="FFFFFF"/>
            <w:vAlign w:val="center"/>
          </w:tcPr>
          <w:p w14:paraId="571A37A4"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5</w:t>
            </w:r>
          </w:p>
        </w:tc>
        <w:tc>
          <w:tcPr>
            <w:tcW w:w="1474" w:type="pct"/>
            <w:gridSpan w:val="2"/>
            <w:tcBorders>
              <w:bottom w:val="single" w:sz="8" w:space="0" w:color="auto"/>
            </w:tcBorders>
            <w:shd w:val="clear" w:color="auto" w:fill="FFFFFF"/>
            <w:vAlign w:val="center"/>
          </w:tcPr>
          <w:p w14:paraId="23D5844B"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扭曲（基长3m）</w:t>
            </w:r>
          </w:p>
        </w:tc>
        <w:tc>
          <w:tcPr>
            <w:tcW w:w="1496" w:type="pct"/>
            <w:tcBorders>
              <w:bottom w:val="single" w:sz="8" w:space="0" w:color="auto"/>
            </w:tcBorders>
            <w:shd w:val="clear" w:color="auto" w:fill="FFFFFF"/>
            <w:vAlign w:val="center"/>
          </w:tcPr>
          <w:p w14:paraId="5140F26F" w14:textId="77777777" w:rsidR="00737EB2" w:rsidRPr="00765F6E" w:rsidRDefault="00737EB2" w:rsidP="00453DBE">
            <w:pPr>
              <w:pStyle w:val="afffffffff1"/>
              <w:numPr>
                <w:ilvl w:val="0"/>
                <w:numId w:val="0"/>
              </w:numPr>
              <w:jc w:val="center"/>
            </w:pPr>
            <w:r w:rsidRPr="00765F6E">
              <w:rPr>
                <w:rFonts w:hint="eastAsia"/>
              </w:rPr>
              <w:t>2mm</w:t>
            </w:r>
          </w:p>
        </w:tc>
        <w:tc>
          <w:tcPr>
            <w:tcW w:w="1158" w:type="pct"/>
            <w:tcBorders>
              <w:bottom w:val="single" w:sz="8" w:space="0" w:color="auto"/>
            </w:tcBorders>
            <w:shd w:val="clear" w:color="auto" w:fill="FFFFFF"/>
            <w:vAlign w:val="center"/>
          </w:tcPr>
          <w:p w14:paraId="43A16736"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3</w:t>
            </w:r>
          </w:p>
        </w:tc>
        <w:tc>
          <w:tcPr>
            <w:tcW w:w="654" w:type="pct"/>
            <w:tcBorders>
              <w:bottom w:val="single" w:sz="8" w:space="0" w:color="auto"/>
            </w:tcBorders>
            <w:shd w:val="clear" w:color="auto" w:fill="FFFFFF"/>
            <w:vAlign w:val="center"/>
          </w:tcPr>
          <w:p w14:paraId="2201691F"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不含超高顺坡</w:t>
            </w:r>
          </w:p>
        </w:tc>
      </w:tr>
    </w:tbl>
    <w:p w14:paraId="6E3F6426" w14:textId="77777777" w:rsidR="00737EB2" w:rsidRPr="00765F6E" w:rsidRDefault="00737EB2" w:rsidP="00737EB2">
      <w:pPr>
        <w:pStyle w:val="aff3"/>
        <w:spacing w:before="156" w:after="156"/>
      </w:pPr>
      <w:r w:rsidRPr="00765F6E">
        <w:rPr>
          <w:rFonts w:hint="eastAsia"/>
        </w:rPr>
        <w:t>正线有砟道岔静态平顺度</w:t>
      </w:r>
    </w:p>
    <w:tbl>
      <w:tblPr>
        <w:tblW w:w="501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60"/>
        <w:gridCol w:w="788"/>
        <w:gridCol w:w="2074"/>
        <w:gridCol w:w="2830"/>
        <w:gridCol w:w="3201"/>
      </w:tblGrid>
      <w:tr w:rsidR="00737EB2" w:rsidRPr="00765F6E" w14:paraId="146E0603" w14:textId="77777777" w:rsidTr="00F04C71">
        <w:trPr>
          <w:trHeight w:val="176"/>
          <w:tblHeader/>
          <w:jc w:val="center"/>
        </w:trPr>
        <w:tc>
          <w:tcPr>
            <w:tcW w:w="246" w:type="pct"/>
            <w:vMerge w:val="restart"/>
            <w:tcBorders>
              <w:top w:val="single" w:sz="8" w:space="0" w:color="auto"/>
              <w:bottom w:val="single" w:sz="4" w:space="0" w:color="auto"/>
            </w:tcBorders>
            <w:shd w:val="clear" w:color="auto" w:fill="FFFFFF"/>
            <w:vAlign w:val="center"/>
          </w:tcPr>
          <w:p w14:paraId="10F20A95"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序号</w:t>
            </w:r>
          </w:p>
        </w:tc>
        <w:tc>
          <w:tcPr>
            <w:tcW w:w="1530" w:type="pct"/>
            <w:gridSpan w:val="2"/>
            <w:vMerge w:val="restart"/>
            <w:tcBorders>
              <w:top w:val="single" w:sz="8" w:space="0" w:color="auto"/>
              <w:bottom w:val="single" w:sz="4" w:space="0" w:color="auto"/>
            </w:tcBorders>
            <w:shd w:val="clear" w:color="auto" w:fill="FFFFFF"/>
            <w:vAlign w:val="center"/>
          </w:tcPr>
          <w:p w14:paraId="308CA483"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项目</w:t>
            </w:r>
          </w:p>
        </w:tc>
        <w:tc>
          <w:tcPr>
            <w:tcW w:w="3222" w:type="pct"/>
            <w:gridSpan w:val="2"/>
            <w:tcBorders>
              <w:top w:val="single" w:sz="8" w:space="0" w:color="auto"/>
              <w:bottom w:val="single" w:sz="4" w:space="0" w:color="auto"/>
            </w:tcBorders>
            <w:shd w:val="clear" w:color="auto" w:fill="FFFFFF"/>
            <w:vAlign w:val="center"/>
          </w:tcPr>
          <w:p w14:paraId="1E8FF9C7"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容许偏差</w:t>
            </w:r>
          </w:p>
        </w:tc>
      </w:tr>
      <w:tr w:rsidR="00737EB2" w:rsidRPr="00765F6E" w14:paraId="6E26FD59" w14:textId="77777777" w:rsidTr="00F04C71">
        <w:trPr>
          <w:trHeight w:val="176"/>
          <w:tblHeader/>
          <w:jc w:val="center"/>
        </w:trPr>
        <w:tc>
          <w:tcPr>
            <w:tcW w:w="246" w:type="pct"/>
            <w:vMerge/>
            <w:tcBorders>
              <w:top w:val="single" w:sz="4" w:space="0" w:color="auto"/>
              <w:bottom w:val="single" w:sz="8" w:space="0" w:color="auto"/>
            </w:tcBorders>
            <w:shd w:val="clear" w:color="auto" w:fill="FFFFFF"/>
            <w:vAlign w:val="center"/>
          </w:tcPr>
          <w:p w14:paraId="5BE955D7" w14:textId="77777777" w:rsidR="00737EB2" w:rsidRPr="00765F6E" w:rsidRDefault="00737EB2" w:rsidP="00871D47">
            <w:pPr>
              <w:pStyle w:val="affffffffffff2"/>
              <w:spacing w:line="200" w:lineRule="exact"/>
              <w:jc w:val="center"/>
              <w:rPr>
                <w:rFonts w:hAnsi="宋体" w:cs="宋体"/>
                <w:sz w:val="18"/>
                <w:szCs w:val="18"/>
              </w:rPr>
            </w:pPr>
          </w:p>
        </w:tc>
        <w:tc>
          <w:tcPr>
            <w:tcW w:w="1530" w:type="pct"/>
            <w:gridSpan w:val="2"/>
            <w:vMerge/>
            <w:tcBorders>
              <w:top w:val="single" w:sz="4" w:space="0" w:color="auto"/>
              <w:bottom w:val="single" w:sz="8" w:space="0" w:color="auto"/>
            </w:tcBorders>
            <w:shd w:val="clear" w:color="auto" w:fill="FFFFFF"/>
            <w:vAlign w:val="center"/>
          </w:tcPr>
          <w:p w14:paraId="218EEE27" w14:textId="77777777" w:rsidR="00737EB2" w:rsidRPr="00765F6E" w:rsidRDefault="00737EB2" w:rsidP="00871D47">
            <w:pPr>
              <w:pStyle w:val="affffffffffff2"/>
              <w:spacing w:line="200" w:lineRule="exact"/>
              <w:jc w:val="center"/>
              <w:rPr>
                <w:rFonts w:hAnsi="宋体" w:cs="宋体"/>
                <w:sz w:val="18"/>
                <w:szCs w:val="18"/>
              </w:rPr>
            </w:pPr>
          </w:p>
        </w:tc>
        <w:tc>
          <w:tcPr>
            <w:tcW w:w="1512" w:type="pct"/>
            <w:tcBorders>
              <w:top w:val="single" w:sz="4" w:space="0" w:color="auto"/>
              <w:bottom w:val="single" w:sz="8" w:space="0" w:color="auto"/>
            </w:tcBorders>
            <w:shd w:val="clear" w:color="auto" w:fill="FFFFFF"/>
            <w:vAlign w:val="center"/>
          </w:tcPr>
          <w:p w14:paraId="035307DE" w14:textId="77777777" w:rsidR="00737EB2" w:rsidRPr="00765F6E" w:rsidRDefault="00737EB2" w:rsidP="00871D47">
            <w:pPr>
              <w:pStyle w:val="affffffffffff2"/>
              <w:spacing w:line="200" w:lineRule="exact"/>
              <w:jc w:val="center"/>
              <w:rPr>
                <w:rFonts w:hAnsi="宋体" w:cs="宋体"/>
                <w:sz w:val="18"/>
                <w:szCs w:val="18"/>
              </w:rPr>
            </w:pPr>
            <w:r>
              <w:rPr>
                <w:rFonts w:hAnsi="宋体" w:cs="宋体" w:hint="eastAsia"/>
                <w:sz w:val="18"/>
                <w:szCs w:val="18"/>
              </w:rPr>
              <w:t>设计速度：</w:t>
            </w:r>
            <w:r w:rsidRPr="00765F6E">
              <w:rPr>
                <w:rFonts w:hAnsi="宋体" w:cs="宋体" w:hint="eastAsia"/>
                <w:sz w:val="18"/>
                <w:szCs w:val="18"/>
              </w:rPr>
              <w:t>160</w:t>
            </w:r>
            <w:r w:rsidRPr="00765F6E">
              <w:rPr>
                <w:rFonts w:hAnsi="宋体" w:cs="宋体"/>
                <w:sz w:val="18"/>
                <w:szCs w:val="18"/>
              </w:rPr>
              <w:t xml:space="preserve"> km/h</w:t>
            </w:r>
            <w:r w:rsidRPr="00765F6E">
              <w:rPr>
                <w:rFonts w:hAnsi="宋体" w:cs="宋体" w:hint="eastAsia"/>
                <w:sz w:val="18"/>
                <w:szCs w:val="18"/>
              </w:rPr>
              <w:t>、</w:t>
            </w:r>
            <w:r w:rsidRPr="00765F6E">
              <w:rPr>
                <w:rFonts w:hAnsi="宋体" w:cs="宋体"/>
                <w:sz w:val="18"/>
                <w:szCs w:val="18"/>
              </w:rPr>
              <w:t>1</w:t>
            </w:r>
            <w:r w:rsidRPr="00765F6E">
              <w:rPr>
                <w:rFonts w:hAnsi="宋体" w:cs="宋体" w:hint="eastAsia"/>
                <w:sz w:val="18"/>
                <w:szCs w:val="18"/>
              </w:rPr>
              <w:t>4</w:t>
            </w:r>
            <w:r w:rsidRPr="00765F6E">
              <w:rPr>
                <w:rFonts w:hAnsi="宋体" w:cs="宋体"/>
                <w:sz w:val="18"/>
                <w:szCs w:val="18"/>
              </w:rPr>
              <w:t>0km/h</w:t>
            </w:r>
          </w:p>
        </w:tc>
        <w:tc>
          <w:tcPr>
            <w:tcW w:w="1710" w:type="pct"/>
            <w:tcBorders>
              <w:top w:val="single" w:sz="4" w:space="0" w:color="auto"/>
              <w:bottom w:val="single" w:sz="8" w:space="0" w:color="auto"/>
            </w:tcBorders>
            <w:shd w:val="clear" w:color="auto" w:fill="FFFFFF"/>
            <w:vAlign w:val="center"/>
          </w:tcPr>
          <w:p w14:paraId="23617DE2" w14:textId="77777777" w:rsidR="00737EB2" w:rsidRPr="00765F6E" w:rsidRDefault="00737EB2" w:rsidP="00871D47">
            <w:pPr>
              <w:pStyle w:val="affffffffffff2"/>
              <w:spacing w:line="200" w:lineRule="exact"/>
              <w:jc w:val="center"/>
              <w:rPr>
                <w:rFonts w:hAnsi="宋体" w:cs="宋体"/>
                <w:sz w:val="18"/>
                <w:szCs w:val="18"/>
              </w:rPr>
            </w:pPr>
            <w:r>
              <w:rPr>
                <w:rFonts w:hAnsi="宋体" w:cs="宋体" w:hint="eastAsia"/>
                <w:sz w:val="18"/>
                <w:szCs w:val="18"/>
              </w:rPr>
              <w:t>设计速度：</w:t>
            </w:r>
            <w:r w:rsidRPr="00765F6E">
              <w:rPr>
                <w:rFonts w:hAnsi="宋体" w:cs="宋体" w:hint="eastAsia"/>
                <w:sz w:val="18"/>
                <w:szCs w:val="18"/>
              </w:rPr>
              <w:t>120</w:t>
            </w:r>
            <w:r w:rsidRPr="00765F6E">
              <w:rPr>
                <w:rFonts w:hAnsi="宋体" w:cs="宋体"/>
                <w:sz w:val="18"/>
                <w:szCs w:val="18"/>
              </w:rPr>
              <w:t>km/h</w:t>
            </w:r>
          </w:p>
        </w:tc>
      </w:tr>
      <w:tr w:rsidR="00737EB2" w:rsidRPr="00765F6E" w14:paraId="6201716D" w14:textId="77777777" w:rsidTr="00871D47">
        <w:trPr>
          <w:trHeight w:val="176"/>
          <w:jc w:val="center"/>
        </w:trPr>
        <w:tc>
          <w:tcPr>
            <w:tcW w:w="246" w:type="pct"/>
            <w:vMerge w:val="restart"/>
            <w:tcBorders>
              <w:top w:val="single" w:sz="8" w:space="0" w:color="auto"/>
            </w:tcBorders>
            <w:shd w:val="clear" w:color="auto" w:fill="FFFFFF"/>
            <w:vAlign w:val="center"/>
          </w:tcPr>
          <w:p w14:paraId="68D243A7"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1</w:t>
            </w:r>
          </w:p>
        </w:tc>
        <w:tc>
          <w:tcPr>
            <w:tcW w:w="421" w:type="pct"/>
            <w:vMerge w:val="restart"/>
            <w:tcBorders>
              <w:top w:val="single" w:sz="8" w:space="0" w:color="auto"/>
            </w:tcBorders>
            <w:shd w:val="clear" w:color="auto" w:fill="FFFFFF"/>
            <w:vAlign w:val="center"/>
          </w:tcPr>
          <w:p w14:paraId="657A557A"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轨距</w:t>
            </w:r>
          </w:p>
        </w:tc>
        <w:tc>
          <w:tcPr>
            <w:tcW w:w="1108" w:type="pct"/>
            <w:tcBorders>
              <w:top w:val="single" w:sz="8" w:space="0" w:color="auto"/>
            </w:tcBorders>
            <w:shd w:val="clear" w:color="auto" w:fill="FFFFFF"/>
            <w:vAlign w:val="center"/>
          </w:tcPr>
          <w:p w14:paraId="212E142C"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尖轨尖端</w:t>
            </w:r>
          </w:p>
        </w:tc>
        <w:tc>
          <w:tcPr>
            <w:tcW w:w="1512" w:type="pct"/>
            <w:tcBorders>
              <w:top w:val="single" w:sz="8" w:space="0" w:color="auto"/>
            </w:tcBorders>
            <w:shd w:val="clear" w:color="auto" w:fill="FFFFFF"/>
            <w:vAlign w:val="center"/>
          </w:tcPr>
          <w:p w14:paraId="7FC89035"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±1mm</w:t>
            </w:r>
          </w:p>
        </w:tc>
        <w:tc>
          <w:tcPr>
            <w:tcW w:w="1710" w:type="pct"/>
            <w:tcBorders>
              <w:top w:val="single" w:sz="8" w:space="0" w:color="auto"/>
            </w:tcBorders>
            <w:shd w:val="clear" w:color="auto" w:fill="FFFFFF"/>
            <w:vAlign w:val="center"/>
          </w:tcPr>
          <w:p w14:paraId="4C51323F"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±1mm</w:t>
            </w:r>
          </w:p>
        </w:tc>
      </w:tr>
      <w:tr w:rsidR="00737EB2" w:rsidRPr="00765F6E" w14:paraId="6CD14B17" w14:textId="77777777" w:rsidTr="00871D47">
        <w:trPr>
          <w:trHeight w:val="176"/>
          <w:jc w:val="center"/>
        </w:trPr>
        <w:tc>
          <w:tcPr>
            <w:tcW w:w="246" w:type="pct"/>
            <w:vMerge/>
            <w:shd w:val="clear" w:color="auto" w:fill="FFFFFF"/>
            <w:vAlign w:val="center"/>
          </w:tcPr>
          <w:p w14:paraId="6C695AEE" w14:textId="77777777" w:rsidR="00737EB2" w:rsidRPr="00765F6E" w:rsidRDefault="00737EB2" w:rsidP="00871D47">
            <w:pPr>
              <w:pStyle w:val="affffffffffff2"/>
              <w:spacing w:line="200" w:lineRule="exact"/>
              <w:jc w:val="center"/>
              <w:rPr>
                <w:rFonts w:hAnsi="宋体" w:cs="宋体"/>
                <w:sz w:val="18"/>
                <w:szCs w:val="18"/>
              </w:rPr>
            </w:pPr>
          </w:p>
        </w:tc>
        <w:tc>
          <w:tcPr>
            <w:tcW w:w="421" w:type="pct"/>
            <w:vMerge/>
            <w:shd w:val="clear" w:color="auto" w:fill="FFFFFF"/>
            <w:vAlign w:val="center"/>
          </w:tcPr>
          <w:p w14:paraId="20D251BA" w14:textId="77777777" w:rsidR="00737EB2" w:rsidRPr="00765F6E" w:rsidRDefault="00737EB2" w:rsidP="00871D47">
            <w:pPr>
              <w:pStyle w:val="affffffffffff2"/>
              <w:spacing w:line="200" w:lineRule="exact"/>
              <w:jc w:val="center"/>
              <w:rPr>
                <w:rFonts w:hAnsi="宋体" w:cs="宋体"/>
                <w:sz w:val="18"/>
                <w:szCs w:val="18"/>
              </w:rPr>
            </w:pPr>
          </w:p>
        </w:tc>
        <w:tc>
          <w:tcPr>
            <w:tcW w:w="1108" w:type="pct"/>
            <w:shd w:val="clear" w:color="auto" w:fill="FFFFFF"/>
            <w:vAlign w:val="center"/>
          </w:tcPr>
          <w:p w14:paraId="3F960A63"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其他</w:t>
            </w:r>
          </w:p>
        </w:tc>
        <w:tc>
          <w:tcPr>
            <w:tcW w:w="1512" w:type="pct"/>
            <w:shd w:val="clear" w:color="auto" w:fill="FFFFFF"/>
            <w:vAlign w:val="center"/>
          </w:tcPr>
          <w:p w14:paraId="7A194C2E"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+3mm</w:t>
            </w:r>
          </w:p>
          <w:p w14:paraId="378C8735"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-2mm</w:t>
            </w:r>
          </w:p>
        </w:tc>
        <w:tc>
          <w:tcPr>
            <w:tcW w:w="1710" w:type="pct"/>
            <w:shd w:val="clear" w:color="auto" w:fill="FFFFFF"/>
            <w:vAlign w:val="center"/>
          </w:tcPr>
          <w:p w14:paraId="252BD7E5"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+3mm</w:t>
            </w:r>
          </w:p>
          <w:p w14:paraId="1E06254A"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-2mm</w:t>
            </w:r>
          </w:p>
        </w:tc>
      </w:tr>
      <w:tr w:rsidR="00737EB2" w:rsidRPr="00765F6E" w14:paraId="6A4E34AA" w14:textId="77777777" w:rsidTr="00871D47">
        <w:trPr>
          <w:trHeight w:val="176"/>
          <w:jc w:val="center"/>
        </w:trPr>
        <w:tc>
          <w:tcPr>
            <w:tcW w:w="246" w:type="pct"/>
            <w:vMerge w:val="restart"/>
            <w:shd w:val="clear" w:color="auto" w:fill="FFFFFF"/>
            <w:vAlign w:val="center"/>
          </w:tcPr>
          <w:p w14:paraId="343AAEF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w:t>
            </w:r>
          </w:p>
        </w:tc>
        <w:tc>
          <w:tcPr>
            <w:tcW w:w="421" w:type="pct"/>
            <w:vMerge w:val="restart"/>
            <w:shd w:val="clear" w:color="auto" w:fill="FFFFFF"/>
            <w:vAlign w:val="center"/>
          </w:tcPr>
          <w:p w14:paraId="4A55F126"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轨向</w:t>
            </w:r>
          </w:p>
        </w:tc>
        <w:tc>
          <w:tcPr>
            <w:tcW w:w="1108" w:type="pct"/>
            <w:shd w:val="clear" w:color="auto" w:fill="FFFFFF"/>
            <w:vAlign w:val="center"/>
          </w:tcPr>
          <w:p w14:paraId="5E110EF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直线（</w:t>
            </w:r>
            <w:r w:rsidRPr="00765F6E">
              <w:rPr>
                <w:rFonts w:hAnsi="宋体" w:cs="宋体"/>
                <w:sz w:val="18"/>
                <w:szCs w:val="18"/>
              </w:rPr>
              <w:t>弦长10m</w:t>
            </w:r>
            <w:r w:rsidRPr="00765F6E">
              <w:rPr>
                <w:rFonts w:hAnsi="宋体" w:cs="宋体" w:hint="eastAsia"/>
                <w:sz w:val="18"/>
                <w:szCs w:val="18"/>
              </w:rPr>
              <w:t>）</w:t>
            </w:r>
          </w:p>
        </w:tc>
        <w:tc>
          <w:tcPr>
            <w:tcW w:w="1512" w:type="pct"/>
            <w:shd w:val="clear" w:color="auto" w:fill="FFFFFF"/>
            <w:vAlign w:val="center"/>
          </w:tcPr>
          <w:p w14:paraId="4F78744C"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4mm</w:t>
            </w:r>
          </w:p>
        </w:tc>
        <w:tc>
          <w:tcPr>
            <w:tcW w:w="1710" w:type="pct"/>
            <w:shd w:val="clear" w:color="auto" w:fill="FFFFFF"/>
            <w:vAlign w:val="center"/>
          </w:tcPr>
          <w:p w14:paraId="5B125B8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4mm</w:t>
            </w:r>
          </w:p>
        </w:tc>
      </w:tr>
      <w:tr w:rsidR="00737EB2" w:rsidRPr="00765F6E" w14:paraId="792E4BE9" w14:textId="77777777" w:rsidTr="00871D47">
        <w:trPr>
          <w:trHeight w:val="176"/>
          <w:jc w:val="center"/>
        </w:trPr>
        <w:tc>
          <w:tcPr>
            <w:tcW w:w="246" w:type="pct"/>
            <w:vMerge/>
            <w:shd w:val="clear" w:color="auto" w:fill="FFFFFF"/>
            <w:vAlign w:val="center"/>
          </w:tcPr>
          <w:p w14:paraId="554749CE" w14:textId="77777777" w:rsidR="00737EB2" w:rsidRPr="00765F6E" w:rsidRDefault="00737EB2" w:rsidP="00871D47">
            <w:pPr>
              <w:pStyle w:val="affffffffffff2"/>
              <w:jc w:val="center"/>
              <w:rPr>
                <w:rFonts w:hAnsi="宋体" w:cs="宋体"/>
                <w:sz w:val="18"/>
                <w:szCs w:val="18"/>
              </w:rPr>
            </w:pPr>
          </w:p>
        </w:tc>
        <w:tc>
          <w:tcPr>
            <w:tcW w:w="421" w:type="pct"/>
            <w:vMerge/>
            <w:shd w:val="clear" w:color="auto" w:fill="FFFFFF"/>
            <w:vAlign w:val="center"/>
          </w:tcPr>
          <w:p w14:paraId="2AE73AD4" w14:textId="77777777" w:rsidR="00737EB2" w:rsidRPr="00765F6E" w:rsidRDefault="00737EB2" w:rsidP="00871D47">
            <w:pPr>
              <w:pStyle w:val="affffffffffff2"/>
              <w:jc w:val="center"/>
              <w:rPr>
                <w:rFonts w:hAnsi="宋体" w:cs="宋体"/>
                <w:sz w:val="18"/>
                <w:szCs w:val="18"/>
              </w:rPr>
            </w:pPr>
          </w:p>
        </w:tc>
        <w:tc>
          <w:tcPr>
            <w:tcW w:w="1108" w:type="pct"/>
            <w:shd w:val="clear" w:color="auto" w:fill="FFFFFF"/>
            <w:vAlign w:val="center"/>
          </w:tcPr>
          <w:p w14:paraId="03C8AC7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支距</w:t>
            </w:r>
          </w:p>
        </w:tc>
        <w:tc>
          <w:tcPr>
            <w:tcW w:w="1512" w:type="pct"/>
            <w:shd w:val="clear" w:color="auto" w:fill="FFFFFF"/>
            <w:vAlign w:val="center"/>
          </w:tcPr>
          <w:p w14:paraId="448BFAD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w:t>
            </w:r>
            <w:r w:rsidRPr="00765F6E">
              <w:rPr>
                <w:rFonts w:hAnsi="宋体" w:cs="宋体"/>
                <w:sz w:val="18"/>
                <w:szCs w:val="18"/>
              </w:rPr>
              <w:t>mm</w:t>
            </w:r>
          </w:p>
        </w:tc>
        <w:tc>
          <w:tcPr>
            <w:tcW w:w="1710" w:type="pct"/>
            <w:shd w:val="clear" w:color="auto" w:fill="FFFFFF"/>
            <w:vAlign w:val="center"/>
          </w:tcPr>
          <w:p w14:paraId="4923B04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2mm</w:t>
            </w:r>
          </w:p>
        </w:tc>
      </w:tr>
      <w:tr w:rsidR="00737EB2" w:rsidRPr="00765F6E" w14:paraId="21EF0292" w14:textId="77777777" w:rsidTr="00871D47">
        <w:trPr>
          <w:trHeight w:val="176"/>
          <w:jc w:val="center"/>
        </w:trPr>
        <w:tc>
          <w:tcPr>
            <w:tcW w:w="246" w:type="pct"/>
            <w:shd w:val="clear" w:color="auto" w:fill="FFFFFF"/>
            <w:vAlign w:val="center"/>
          </w:tcPr>
          <w:p w14:paraId="00232BB9"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3</w:t>
            </w:r>
          </w:p>
        </w:tc>
        <w:tc>
          <w:tcPr>
            <w:tcW w:w="421" w:type="pct"/>
            <w:shd w:val="clear" w:color="auto" w:fill="FFFFFF"/>
            <w:vAlign w:val="center"/>
          </w:tcPr>
          <w:p w14:paraId="60511845"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高低</w:t>
            </w:r>
          </w:p>
        </w:tc>
        <w:tc>
          <w:tcPr>
            <w:tcW w:w="1108" w:type="pct"/>
            <w:shd w:val="clear" w:color="auto" w:fill="FFFFFF"/>
            <w:vAlign w:val="center"/>
          </w:tcPr>
          <w:p w14:paraId="221CF486"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弦长10m</w:t>
            </w:r>
          </w:p>
        </w:tc>
        <w:tc>
          <w:tcPr>
            <w:tcW w:w="1512" w:type="pct"/>
            <w:shd w:val="clear" w:color="auto" w:fill="FFFFFF"/>
            <w:vAlign w:val="center"/>
          </w:tcPr>
          <w:p w14:paraId="4BDD784B"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4mm</w:t>
            </w:r>
          </w:p>
        </w:tc>
        <w:tc>
          <w:tcPr>
            <w:tcW w:w="1710" w:type="pct"/>
            <w:shd w:val="clear" w:color="auto" w:fill="FFFFFF"/>
            <w:vAlign w:val="center"/>
          </w:tcPr>
          <w:p w14:paraId="0A5CB74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4mm</w:t>
            </w:r>
          </w:p>
        </w:tc>
      </w:tr>
      <w:tr w:rsidR="00737EB2" w:rsidRPr="00765F6E" w14:paraId="6365D23A" w14:textId="77777777" w:rsidTr="00871D47">
        <w:trPr>
          <w:trHeight w:val="176"/>
          <w:jc w:val="center"/>
        </w:trPr>
        <w:tc>
          <w:tcPr>
            <w:tcW w:w="246" w:type="pct"/>
            <w:shd w:val="clear" w:color="auto" w:fill="FFFFFF"/>
            <w:vAlign w:val="center"/>
          </w:tcPr>
          <w:p w14:paraId="6942593A"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4</w:t>
            </w:r>
          </w:p>
        </w:tc>
        <w:tc>
          <w:tcPr>
            <w:tcW w:w="1530" w:type="pct"/>
            <w:gridSpan w:val="2"/>
            <w:shd w:val="clear" w:color="auto" w:fill="FFFFFF"/>
            <w:vAlign w:val="center"/>
          </w:tcPr>
          <w:p w14:paraId="3165FD2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水平</w:t>
            </w:r>
          </w:p>
        </w:tc>
        <w:tc>
          <w:tcPr>
            <w:tcW w:w="1512" w:type="pct"/>
            <w:shd w:val="clear" w:color="auto" w:fill="FFFFFF"/>
            <w:vAlign w:val="center"/>
          </w:tcPr>
          <w:p w14:paraId="30ACCCE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4</w:t>
            </w:r>
            <w:r w:rsidRPr="00765F6E">
              <w:rPr>
                <w:rFonts w:hAnsi="宋体" w:cs="宋体"/>
                <w:sz w:val="18"/>
                <w:szCs w:val="18"/>
              </w:rPr>
              <w:t>mm</w:t>
            </w:r>
          </w:p>
        </w:tc>
        <w:tc>
          <w:tcPr>
            <w:tcW w:w="1710" w:type="pct"/>
            <w:shd w:val="clear" w:color="auto" w:fill="FFFFFF"/>
            <w:vAlign w:val="center"/>
          </w:tcPr>
          <w:p w14:paraId="703CB12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4mm</w:t>
            </w:r>
          </w:p>
        </w:tc>
      </w:tr>
      <w:tr w:rsidR="00737EB2" w:rsidRPr="00765F6E" w14:paraId="2DD1F1DA" w14:textId="77777777" w:rsidTr="00871D47">
        <w:trPr>
          <w:trHeight w:val="176"/>
          <w:jc w:val="center"/>
        </w:trPr>
        <w:tc>
          <w:tcPr>
            <w:tcW w:w="246" w:type="pct"/>
            <w:tcBorders>
              <w:bottom w:val="single" w:sz="8" w:space="0" w:color="auto"/>
            </w:tcBorders>
            <w:shd w:val="clear" w:color="auto" w:fill="FFFFFF"/>
            <w:vAlign w:val="center"/>
          </w:tcPr>
          <w:p w14:paraId="543EF4FA"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5</w:t>
            </w:r>
          </w:p>
        </w:tc>
        <w:tc>
          <w:tcPr>
            <w:tcW w:w="1530" w:type="pct"/>
            <w:gridSpan w:val="2"/>
            <w:tcBorders>
              <w:bottom w:val="single" w:sz="8" w:space="0" w:color="auto"/>
            </w:tcBorders>
            <w:shd w:val="clear" w:color="auto" w:fill="FFFFFF"/>
            <w:vAlign w:val="center"/>
          </w:tcPr>
          <w:p w14:paraId="0E4908F8"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扭曲（基长3m）</w:t>
            </w:r>
          </w:p>
        </w:tc>
        <w:tc>
          <w:tcPr>
            <w:tcW w:w="1512" w:type="pct"/>
            <w:tcBorders>
              <w:bottom w:val="single" w:sz="8" w:space="0" w:color="auto"/>
            </w:tcBorders>
            <w:shd w:val="clear" w:color="auto" w:fill="FFFFFF"/>
            <w:vAlign w:val="center"/>
          </w:tcPr>
          <w:p w14:paraId="22E9C605"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3mm</w:t>
            </w:r>
          </w:p>
        </w:tc>
        <w:tc>
          <w:tcPr>
            <w:tcW w:w="1710" w:type="pct"/>
            <w:tcBorders>
              <w:bottom w:val="single" w:sz="8" w:space="0" w:color="auto"/>
            </w:tcBorders>
            <w:shd w:val="clear" w:color="auto" w:fill="FFFFFF"/>
            <w:vAlign w:val="center"/>
          </w:tcPr>
          <w:p w14:paraId="7D5E82E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3mm</w:t>
            </w:r>
          </w:p>
        </w:tc>
      </w:tr>
    </w:tbl>
    <w:p w14:paraId="02B444FB" w14:textId="77777777" w:rsidR="00737EB2" w:rsidRPr="00765F6E" w:rsidRDefault="00737EB2" w:rsidP="00737EB2">
      <w:pPr>
        <w:pStyle w:val="aff3"/>
        <w:spacing w:before="156" w:after="156"/>
      </w:pPr>
      <w:r w:rsidRPr="00765F6E">
        <w:rPr>
          <w:rFonts w:hint="eastAsia"/>
        </w:rPr>
        <w:t>正线无砟轨道道岔静态平顺度</w:t>
      </w:r>
    </w:p>
    <w:tbl>
      <w:tblPr>
        <w:tblW w:w="501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41"/>
        <w:gridCol w:w="847"/>
        <w:gridCol w:w="1700"/>
        <w:gridCol w:w="3481"/>
        <w:gridCol w:w="2884"/>
      </w:tblGrid>
      <w:tr w:rsidR="00737EB2" w:rsidRPr="00765F6E" w14:paraId="5D8B533C" w14:textId="77777777" w:rsidTr="00871D47">
        <w:trPr>
          <w:trHeight w:val="176"/>
          <w:jc w:val="center"/>
        </w:trPr>
        <w:tc>
          <w:tcPr>
            <w:tcW w:w="235" w:type="pct"/>
            <w:vMerge w:val="restart"/>
            <w:tcBorders>
              <w:top w:val="single" w:sz="8" w:space="0" w:color="auto"/>
              <w:bottom w:val="single" w:sz="4" w:space="0" w:color="auto"/>
            </w:tcBorders>
            <w:shd w:val="clear" w:color="auto" w:fill="FFFFFF"/>
            <w:vAlign w:val="center"/>
          </w:tcPr>
          <w:p w14:paraId="58C7107F"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序号</w:t>
            </w:r>
          </w:p>
        </w:tc>
        <w:tc>
          <w:tcPr>
            <w:tcW w:w="1362" w:type="pct"/>
            <w:gridSpan w:val="2"/>
            <w:vMerge w:val="restart"/>
            <w:tcBorders>
              <w:top w:val="single" w:sz="8" w:space="0" w:color="auto"/>
              <w:bottom w:val="single" w:sz="4" w:space="0" w:color="auto"/>
            </w:tcBorders>
            <w:shd w:val="clear" w:color="auto" w:fill="FFFFFF"/>
            <w:vAlign w:val="center"/>
          </w:tcPr>
          <w:p w14:paraId="67D0C4A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项目</w:t>
            </w:r>
          </w:p>
        </w:tc>
        <w:tc>
          <w:tcPr>
            <w:tcW w:w="3401" w:type="pct"/>
            <w:gridSpan w:val="2"/>
            <w:tcBorders>
              <w:top w:val="single" w:sz="8" w:space="0" w:color="auto"/>
              <w:bottom w:val="single" w:sz="4" w:space="0" w:color="auto"/>
            </w:tcBorders>
            <w:shd w:val="clear" w:color="auto" w:fill="FFFFFF"/>
            <w:vAlign w:val="center"/>
          </w:tcPr>
          <w:p w14:paraId="4F146C4B"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容许偏差</w:t>
            </w:r>
          </w:p>
        </w:tc>
      </w:tr>
      <w:tr w:rsidR="00737EB2" w:rsidRPr="00765F6E" w14:paraId="68224DED" w14:textId="77777777" w:rsidTr="00871D47">
        <w:trPr>
          <w:trHeight w:val="176"/>
          <w:jc w:val="center"/>
        </w:trPr>
        <w:tc>
          <w:tcPr>
            <w:tcW w:w="235" w:type="pct"/>
            <w:vMerge/>
            <w:tcBorders>
              <w:top w:val="single" w:sz="4" w:space="0" w:color="auto"/>
              <w:bottom w:val="single" w:sz="8" w:space="0" w:color="auto"/>
            </w:tcBorders>
            <w:shd w:val="clear" w:color="auto" w:fill="FFFFFF"/>
            <w:vAlign w:val="center"/>
          </w:tcPr>
          <w:p w14:paraId="45050468" w14:textId="77777777" w:rsidR="00737EB2" w:rsidRPr="00765F6E" w:rsidRDefault="00737EB2" w:rsidP="00871D47">
            <w:pPr>
              <w:pStyle w:val="affffffffffff2"/>
              <w:jc w:val="center"/>
              <w:rPr>
                <w:rFonts w:hAnsi="宋体" w:cs="宋体"/>
                <w:sz w:val="18"/>
                <w:szCs w:val="18"/>
              </w:rPr>
            </w:pPr>
          </w:p>
        </w:tc>
        <w:tc>
          <w:tcPr>
            <w:tcW w:w="1362" w:type="pct"/>
            <w:gridSpan w:val="2"/>
            <w:vMerge/>
            <w:tcBorders>
              <w:top w:val="single" w:sz="4" w:space="0" w:color="auto"/>
              <w:bottom w:val="single" w:sz="8" w:space="0" w:color="auto"/>
            </w:tcBorders>
            <w:shd w:val="clear" w:color="auto" w:fill="FFFFFF"/>
            <w:vAlign w:val="center"/>
          </w:tcPr>
          <w:p w14:paraId="6C86DAED" w14:textId="77777777" w:rsidR="00737EB2" w:rsidRPr="00765F6E" w:rsidRDefault="00737EB2" w:rsidP="00871D47">
            <w:pPr>
              <w:pStyle w:val="affffffffffff2"/>
              <w:jc w:val="center"/>
              <w:rPr>
                <w:rFonts w:hAnsi="宋体" w:cs="宋体"/>
                <w:sz w:val="18"/>
                <w:szCs w:val="18"/>
              </w:rPr>
            </w:pPr>
          </w:p>
        </w:tc>
        <w:tc>
          <w:tcPr>
            <w:tcW w:w="1860" w:type="pct"/>
            <w:tcBorders>
              <w:top w:val="single" w:sz="4" w:space="0" w:color="auto"/>
              <w:bottom w:val="single" w:sz="8" w:space="0" w:color="auto"/>
            </w:tcBorders>
            <w:shd w:val="clear" w:color="auto" w:fill="FFFFFF"/>
            <w:vAlign w:val="center"/>
          </w:tcPr>
          <w:p w14:paraId="0C89AB70" w14:textId="77777777" w:rsidR="00737EB2" w:rsidRPr="00765F6E" w:rsidRDefault="00737EB2" w:rsidP="00871D47">
            <w:pPr>
              <w:pStyle w:val="affffffffffff2"/>
              <w:jc w:val="center"/>
              <w:rPr>
                <w:rFonts w:hAnsi="宋体" w:cs="宋体"/>
                <w:sz w:val="18"/>
                <w:szCs w:val="18"/>
              </w:rPr>
            </w:pPr>
            <w:r>
              <w:rPr>
                <w:rFonts w:hAnsi="宋体" w:cs="宋体" w:hint="eastAsia"/>
                <w:sz w:val="18"/>
                <w:szCs w:val="18"/>
              </w:rPr>
              <w:t>设计速度：</w:t>
            </w:r>
            <w:r w:rsidRPr="00765F6E">
              <w:rPr>
                <w:rFonts w:hAnsi="宋体" w:cs="宋体" w:hint="eastAsia"/>
                <w:sz w:val="18"/>
                <w:szCs w:val="18"/>
              </w:rPr>
              <w:t>160</w:t>
            </w:r>
            <w:r w:rsidRPr="00765F6E">
              <w:rPr>
                <w:rFonts w:hAnsi="宋体" w:cs="宋体"/>
                <w:sz w:val="18"/>
                <w:szCs w:val="18"/>
              </w:rPr>
              <w:t xml:space="preserve"> km/h</w:t>
            </w:r>
            <w:r w:rsidRPr="00765F6E">
              <w:rPr>
                <w:rFonts w:hAnsi="宋体" w:cs="宋体" w:hint="eastAsia"/>
                <w:sz w:val="18"/>
                <w:szCs w:val="18"/>
              </w:rPr>
              <w:t>、</w:t>
            </w:r>
            <w:r w:rsidRPr="00765F6E">
              <w:rPr>
                <w:rFonts w:hAnsi="宋体" w:cs="宋体"/>
                <w:sz w:val="18"/>
                <w:szCs w:val="18"/>
              </w:rPr>
              <w:t>1</w:t>
            </w:r>
            <w:r w:rsidRPr="00765F6E">
              <w:rPr>
                <w:rFonts w:hAnsi="宋体" w:cs="宋体" w:hint="eastAsia"/>
                <w:sz w:val="18"/>
                <w:szCs w:val="18"/>
              </w:rPr>
              <w:t>4</w:t>
            </w:r>
            <w:r w:rsidRPr="00765F6E">
              <w:rPr>
                <w:rFonts w:hAnsi="宋体" w:cs="宋体"/>
                <w:sz w:val="18"/>
                <w:szCs w:val="18"/>
              </w:rPr>
              <w:t>0km/h</w:t>
            </w:r>
          </w:p>
        </w:tc>
        <w:tc>
          <w:tcPr>
            <w:tcW w:w="1540" w:type="pct"/>
            <w:tcBorders>
              <w:top w:val="single" w:sz="4" w:space="0" w:color="auto"/>
              <w:bottom w:val="single" w:sz="8" w:space="0" w:color="auto"/>
            </w:tcBorders>
            <w:shd w:val="clear" w:color="auto" w:fill="FFFFFF"/>
            <w:vAlign w:val="center"/>
          </w:tcPr>
          <w:p w14:paraId="1882AC8D" w14:textId="77777777" w:rsidR="00737EB2" w:rsidRPr="00765F6E" w:rsidRDefault="00737EB2" w:rsidP="00871D47">
            <w:pPr>
              <w:pStyle w:val="affffffffffff2"/>
              <w:jc w:val="center"/>
              <w:rPr>
                <w:rFonts w:hAnsi="宋体" w:cs="宋体"/>
                <w:sz w:val="18"/>
                <w:szCs w:val="18"/>
              </w:rPr>
            </w:pPr>
            <w:r>
              <w:rPr>
                <w:rFonts w:hAnsi="宋体" w:cs="宋体" w:hint="eastAsia"/>
                <w:sz w:val="18"/>
                <w:szCs w:val="18"/>
              </w:rPr>
              <w:t>设计速度：</w:t>
            </w:r>
            <w:r w:rsidRPr="00765F6E">
              <w:rPr>
                <w:rFonts w:hAnsi="宋体" w:cs="宋体" w:hint="eastAsia"/>
                <w:sz w:val="18"/>
                <w:szCs w:val="18"/>
              </w:rPr>
              <w:t>120</w:t>
            </w:r>
            <w:r w:rsidRPr="00765F6E">
              <w:rPr>
                <w:rFonts w:hAnsi="宋体" w:cs="宋体"/>
                <w:sz w:val="18"/>
                <w:szCs w:val="18"/>
              </w:rPr>
              <w:t>km/h</w:t>
            </w:r>
          </w:p>
        </w:tc>
      </w:tr>
      <w:tr w:rsidR="00737EB2" w:rsidRPr="00765F6E" w14:paraId="7FBD9402" w14:textId="77777777" w:rsidTr="00871D47">
        <w:trPr>
          <w:trHeight w:val="176"/>
          <w:jc w:val="center"/>
        </w:trPr>
        <w:tc>
          <w:tcPr>
            <w:tcW w:w="235" w:type="pct"/>
            <w:vMerge w:val="restart"/>
            <w:tcBorders>
              <w:top w:val="single" w:sz="8" w:space="0" w:color="auto"/>
            </w:tcBorders>
            <w:shd w:val="clear" w:color="auto" w:fill="FFFFFF"/>
            <w:vAlign w:val="center"/>
          </w:tcPr>
          <w:p w14:paraId="0714597D"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w:t>
            </w:r>
          </w:p>
        </w:tc>
        <w:tc>
          <w:tcPr>
            <w:tcW w:w="453" w:type="pct"/>
            <w:vMerge w:val="restart"/>
            <w:tcBorders>
              <w:top w:val="single" w:sz="8" w:space="0" w:color="auto"/>
            </w:tcBorders>
            <w:shd w:val="clear" w:color="auto" w:fill="FFFFFF"/>
            <w:vAlign w:val="center"/>
          </w:tcPr>
          <w:p w14:paraId="32B9C277"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轨距</w:t>
            </w:r>
          </w:p>
        </w:tc>
        <w:tc>
          <w:tcPr>
            <w:tcW w:w="908" w:type="pct"/>
            <w:tcBorders>
              <w:top w:val="single" w:sz="8" w:space="0" w:color="auto"/>
            </w:tcBorders>
            <w:shd w:val="clear" w:color="auto" w:fill="FFFFFF"/>
            <w:vAlign w:val="center"/>
          </w:tcPr>
          <w:p w14:paraId="1B660F9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尖轨尖端</w:t>
            </w:r>
          </w:p>
        </w:tc>
        <w:tc>
          <w:tcPr>
            <w:tcW w:w="1860" w:type="pct"/>
            <w:tcBorders>
              <w:top w:val="single" w:sz="8" w:space="0" w:color="auto"/>
            </w:tcBorders>
            <w:shd w:val="clear" w:color="auto" w:fill="FFFFFF"/>
            <w:vAlign w:val="center"/>
          </w:tcPr>
          <w:p w14:paraId="3571152F"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±1mm</w:t>
            </w:r>
          </w:p>
        </w:tc>
        <w:tc>
          <w:tcPr>
            <w:tcW w:w="1540" w:type="pct"/>
            <w:tcBorders>
              <w:top w:val="single" w:sz="8" w:space="0" w:color="auto"/>
            </w:tcBorders>
            <w:shd w:val="clear" w:color="auto" w:fill="FFFFFF"/>
            <w:vAlign w:val="center"/>
          </w:tcPr>
          <w:p w14:paraId="4E46732E"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±1mm</w:t>
            </w:r>
          </w:p>
        </w:tc>
      </w:tr>
      <w:tr w:rsidR="00737EB2" w:rsidRPr="00765F6E" w14:paraId="0B6A461E" w14:textId="77777777" w:rsidTr="00871D47">
        <w:trPr>
          <w:trHeight w:val="176"/>
          <w:jc w:val="center"/>
        </w:trPr>
        <w:tc>
          <w:tcPr>
            <w:tcW w:w="235" w:type="pct"/>
            <w:vMerge/>
            <w:shd w:val="clear" w:color="auto" w:fill="FFFFFF"/>
            <w:vAlign w:val="center"/>
          </w:tcPr>
          <w:p w14:paraId="26E40AF0" w14:textId="77777777" w:rsidR="00737EB2" w:rsidRPr="00765F6E" w:rsidRDefault="00737EB2" w:rsidP="00871D47">
            <w:pPr>
              <w:pStyle w:val="affffffffffff2"/>
              <w:jc w:val="center"/>
              <w:rPr>
                <w:rFonts w:hAnsi="宋体" w:cs="宋体"/>
                <w:sz w:val="18"/>
                <w:szCs w:val="18"/>
              </w:rPr>
            </w:pPr>
          </w:p>
        </w:tc>
        <w:tc>
          <w:tcPr>
            <w:tcW w:w="453" w:type="pct"/>
            <w:vMerge/>
            <w:shd w:val="clear" w:color="auto" w:fill="FFFFFF"/>
            <w:vAlign w:val="center"/>
          </w:tcPr>
          <w:p w14:paraId="1584568F" w14:textId="77777777" w:rsidR="00737EB2" w:rsidRPr="00765F6E" w:rsidRDefault="00737EB2" w:rsidP="00871D47">
            <w:pPr>
              <w:pStyle w:val="affffffffffff2"/>
              <w:jc w:val="center"/>
              <w:rPr>
                <w:rFonts w:hAnsi="宋体" w:cs="宋体"/>
                <w:sz w:val="18"/>
                <w:szCs w:val="18"/>
              </w:rPr>
            </w:pPr>
          </w:p>
        </w:tc>
        <w:tc>
          <w:tcPr>
            <w:tcW w:w="908" w:type="pct"/>
            <w:shd w:val="clear" w:color="auto" w:fill="FFFFFF"/>
            <w:vAlign w:val="center"/>
          </w:tcPr>
          <w:p w14:paraId="10F9565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其他</w:t>
            </w:r>
          </w:p>
        </w:tc>
        <w:tc>
          <w:tcPr>
            <w:tcW w:w="1860" w:type="pct"/>
            <w:shd w:val="clear" w:color="auto" w:fill="FFFFFF"/>
            <w:vAlign w:val="center"/>
          </w:tcPr>
          <w:p w14:paraId="4872D9EB"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±2mm</w:t>
            </w:r>
          </w:p>
        </w:tc>
        <w:tc>
          <w:tcPr>
            <w:tcW w:w="1540" w:type="pct"/>
            <w:shd w:val="clear" w:color="auto" w:fill="FFFFFF"/>
            <w:vAlign w:val="center"/>
          </w:tcPr>
          <w:p w14:paraId="791EE5AF"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+3mm</w:t>
            </w:r>
          </w:p>
          <w:p w14:paraId="315E5832"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-2mm</w:t>
            </w:r>
          </w:p>
        </w:tc>
      </w:tr>
      <w:tr w:rsidR="00737EB2" w:rsidRPr="00765F6E" w14:paraId="100793F5" w14:textId="77777777" w:rsidTr="00871D47">
        <w:trPr>
          <w:trHeight w:val="176"/>
          <w:jc w:val="center"/>
        </w:trPr>
        <w:tc>
          <w:tcPr>
            <w:tcW w:w="235" w:type="pct"/>
            <w:vMerge w:val="restart"/>
            <w:shd w:val="clear" w:color="auto" w:fill="FFFFFF"/>
            <w:vAlign w:val="center"/>
          </w:tcPr>
          <w:p w14:paraId="0710991C"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w:t>
            </w:r>
          </w:p>
        </w:tc>
        <w:tc>
          <w:tcPr>
            <w:tcW w:w="453" w:type="pct"/>
            <w:vMerge w:val="restart"/>
            <w:shd w:val="clear" w:color="auto" w:fill="FFFFFF"/>
            <w:vAlign w:val="center"/>
          </w:tcPr>
          <w:p w14:paraId="22CE8118"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轨向</w:t>
            </w:r>
          </w:p>
        </w:tc>
        <w:tc>
          <w:tcPr>
            <w:tcW w:w="908" w:type="pct"/>
            <w:shd w:val="clear" w:color="auto" w:fill="FFFFFF"/>
            <w:vAlign w:val="center"/>
          </w:tcPr>
          <w:p w14:paraId="673B38D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直线（</w:t>
            </w:r>
            <w:r w:rsidRPr="00765F6E">
              <w:rPr>
                <w:rFonts w:hAnsi="宋体" w:cs="宋体"/>
                <w:sz w:val="18"/>
                <w:szCs w:val="18"/>
              </w:rPr>
              <w:t>弦长10m</w:t>
            </w:r>
            <w:r w:rsidRPr="00765F6E">
              <w:rPr>
                <w:rFonts w:hAnsi="宋体" w:cs="宋体" w:hint="eastAsia"/>
                <w:sz w:val="18"/>
                <w:szCs w:val="18"/>
              </w:rPr>
              <w:t>）</w:t>
            </w:r>
          </w:p>
        </w:tc>
        <w:tc>
          <w:tcPr>
            <w:tcW w:w="1860" w:type="pct"/>
            <w:shd w:val="clear" w:color="auto" w:fill="FFFFFF"/>
            <w:vAlign w:val="center"/>
          </w:tcPr>
          <w:p w14:paraId="6600F9CE"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2mm</w:t>
            </w:r>
          </w:p>
        </w:tc>
        <w:tc>
          <w:tcPr>
            <w:tcW w:w="1540" w:type="pct"/>
            <w:shd w:val="clear" w:color="auto" w:fill="FFFFFF"/>
            <w:vAlign w:val="center"/>
          </w:tcPr>
          <w:p w14:paraId="4E7C424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4</w:t>
            </w:r>
            <w:r w:rsidRPr="00765F6E">
              <w:rPr>
                <w:rFonts w:hAnsi="宋体" w:cs="宋体"/>
                <w:sz w:val="18"/>
                <w:szCs w:val="18"/>
              </w:rPr>
              <w:t>mm</w:t>
            </w:r>
          </w:p>
        </w:tc>
      </w:tr>
      <w:tr w:rsidR="00737EB2" w:rsidRPr="00765F6E" w14:paraId="498F1173" w14:textId="77777777" w:rsidTr="00871D47">
        <w:trPr>
          <w:trHeight w:val="176"/>
          <w:jc w:val="center"/>
        </w:trPr>
        <w:tc>
          <w:tcPr>
            <w:tcW w:w="235" w:type="pct"/>
            <w:vMerge/>
            <w:shd w:val="clear" w:color="auto" w:fill="FFFFFF"/>
            <w:vAlign w:val="center"/>
          </w:tcPr>
          <w:p w14:paraId="0DC3E2A4" w14:textId="77777777" w:rsidR="00737EB2" w:rsidRPr="00765F6E" w:rsidRDefault="00737EB2" w:rsidP="00871D47">
            <w:pPr>
              <w:pStyle w:val="affffffffffff2"/>
              <w:jc w:val="center"/>
              <w:rPr>
                <w:rFonts w:hAnsi="宋体" w:cs="宋体"/>
                <w:sz w:val="18"/>
                <w:szCs w:val="18"/>
              </w:rPr>
            </w:pPr>
          </w:p>
        </w:tc>
        <w:tc>
          <w:tcPr>
            <w:tcW w:w="453" w:type="pct"/>
            <w:vMerge/>
            <w:shd w:val="clear" w:color="auto" w:fill="FFFFFF"/>
            <w:vAlign w:val="center"/>
          </w:tcPr>
          <w:p w14:paraId="2EDA6FBE" w14:textId="77777777" w:rsidR="00737EB2" w:rsidRPr="00765F6E" w:rsidRDefault="00737EB2" w:rsidP="00871D47">
            <w:pPr>
              <w:pStyle w:val="affffffffffff2"/>
              <w:jc w:val="center"/>
              <w:rPr>
                <w:rFonts w:hAnsi="宋体" w:cs="宋体"/>
                <w:sz w:val="18"/>
                <w:szCs w:val="18"/>
              </w:rPr>
            </w:pPr>
          </w:p>
        </w:tc>
        <w:tc>
          <w:tcPr>
            <w:tcW w:w="908" w:type="pct"/>
            <w:shd w:val="clear" w:color="auto" w:fill="FFFFFF"/>
            <w:vAlign w:val="center"/>
          </w:tcPr>
          <w:p w14:paraId="0CFD8E6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支距</w:t>
            </w:r>
          </w:p>
        </w:tc>
        <w:tc>
          <w:tcPr>
            <w:tcW w:w="1860" w:type="pct"/>
            <w:shd w:val="clear" w:color="auto" w:fill="FFFFFF"/>
            <w:vAlign w:val="center"/>
          </w:tcPr>
          <w:p w14:paraId="764D296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w:t>
            </w:r>
            <w:r w:rsidRPr="00765F6E">
              <w:rPr>
                <w:rFonts w:hAnsi="宋体" w:cs="宋体"/>
                <w:sz w:val="18"/>
                <w:szCs w:val="18"/>
              </w:rPr>
              <w:t>mm</w:t>
            </w:r>
          </w:p>
        </w:tc>
        <w:tc>
          <w:tcPr>
            <w:tcW w:w="1540" w:type="pct"/>
            <w:shd w:val="clear" w:color="auto" w:fill="FFFFFF"/>
            <w:vAlign w:val="center"/>
          </w:tcPr>
          <w:p w14:paraId="093B789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w:t>
            </w:r>
            <w:r w:rsidRPr="00765F6E">
              <w:rPr>
                <w:rFonts w:hAnsi="宋体" w:cs="宋体"/>
                <w:sz w:val="18"/>
                <w:szCs w:val="18"/>
              </w:rPr>
              <w:t>mm</w:t>
            </w:r>
          </w:p>
        </w:tc>
      </w:tr>
      <w:tr w:rsidR="00737EB2" w:rsidRPr="00765F6E" w14:paraId="03F588C9" w14:textId="77777777" w:rsidTr="00871D47">
        <w:trPr>
          <w:trHeight w:val="176"/>
          <w:jc w:val="center"/>
        </w:trPr>
        <w:tc>
          <w:tcPr>
            <w:tcW w:w="235" w:type="pct"/>
            <w:shd w:val="clear" w:color="auto" w:fill="FFFFFF"/>
            <w:vAlign w:val="center"/>
          </w:tcPr>
          <w:p w14:paraId="109D50A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3</w:t>
            </w:r>
          </w:p>
        </w:tc>
        <w:tc>
          <w:tcPr>
            <w:tcW w:w="453" w:type="pct"/>
            <w:shd w:val="clear" w:color="auto" w:fill="FFFFFF"/>
            <w:vAlign w:val="center"/>
          </w:tcPr>
          <w:p w14:paraId="7E2B00E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高低</w:t>
            </w:r>
          </w:p>
        </w:tc>
        <w:tc>
          <w:tcPr>
            <w:tcW w:w="908" w:type="pct"/>
            <w:shd w:val="clear" w:color="auto" w:fill="FFFFFF"/>
            <w:vAlign w:val="center"/>
          </w:tcPr>
          <w:p w14:paraId="52CDDA7B"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弦长10m</w:t>
            </w:r>
          </w:p>
        </w:tc>
        <w:tc>
          <w:tcPr>
            <w:tcW w:w="1860" w:type="pct"/>
            <w:shd w:val="clear" w:color="auto" w:fill="FFFFFF"/>
            <w:vAlign w:val="center"/>
          </w:tcPr>
          <w:p w14:paraId="3E438E9B"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2mm</w:t>
            </w:r>
          </w:p>
        </w:tc>
        <w:tc>
          <w:tcPr>
            <w:tcW w:w="1540" w:type="pct"/>
            <w:shd w:val="clear" w:color="auto" w:fill="FFFFFF"/>
            <w:vAlign w:val="center"/>
          </w:tcPr>
          <w:p w14:paraId="40C295B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4</w:t>
            </w:r>
            <w:r w:rsidRPr="00765F6E">
              <w:rPr>
                <w:rFonts w:hAnsi="宋体" w:cs="宋体"/>
                <w:sz w:val="18"/>
                <w:szCs w:val="18"/>
              </w:rPr>
              <w:t>mm</w:t>
            </w:r>
          </w:p>
        </w:tc>
      </w:tr>
      <w:tr w:rsidR="00737EB2" w:rsidRPr="00765F6E" w14:paraId="03F805AF" w14:textId="77777777" w:rsidTr="00871D47">
        <w:trPr>
          <w:trHeight w:val="176"/>
          <w:jc w:val="center"/>
        </w:trPr>
        <w:tc>
          <w:tcPr>
            <w:tcW w:w="235" w:type="pct"/>
            <w:shd w:val="clear" w:color="auto" w:fill="FFFFFF"/>
            <w:vAlign w:val="center"/>
          </w:tcPr>
          <w:p w14:paraId="7D8D468E"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4</w:t>
            </w:r>
          </w:p>
        </w:tc>
        <w:tc>
          <w:tcPr>
            <w:tcW w:w="1362" w:type="pct"/>
            <w:gridSpan w:val="2"/>
            <w:shd w:val="clear" w:color="auto" w:fill="FFFFFF"/>
            <w:vAlign w:val="center"/>
          </w:tcPr>
          <w:p w14:paraId="2FD8B6FD"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水平</w:t>
            </w:r>
          </w:p>
        </w:tc>
        <w:tc>
          <w:tcPr>
            <w:tcW w:w="1860" w:type="pct"/>
            <w:shd w:val="clear" w:color="auto" w:fill="FFFFFF"/>
            <w:vAlign w:val="center"/>
          </w:tcPr>
          <w:p w14:paraId="27F0D61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2mm</w:t>
            </w:r>
          </w:p>
        </w:tc>
        <w:tc>
          <w:tcPr>
            <w:tcW w:w="1540" w:type="pct"/>
            <w:shd w:val="clear" w:color="auto" w:fill="FFFFFF"/>
            <w:vAlign w:val="center"/>
          </w:tcPr>
          <w:p w14:paraId="5D50E89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4mm</w:t>
            </w:r>
          </w:p>
        </w:tc>
      </w:tr>
      <w:tr w:rsidR="00737EB2" w:rsidRPr="00765F6E" w14:paraId="58CF9227" w14:textId="77777777" w:rsidTr="00871D47">
        <w:trPr>
          <w:trHeight w:val="176"/>
          <w:jc w:val="center"/>
        </w:trPr>
        <w:tc>
          <w:tcPr>
            <w:tcW w:w="235" w:type="pct"/>
            <w:tcBorders>
              <w:bottom w:val="single" w:sz="8" w:space="0" w:color="auto"/>
            </w:tcBorders>
            <w:shd w:val="clear" w:color="auto" w:fill="FFFFFF"/>
            <w:vAlign w:val="center"/>
          </w:tcPr>
          <w:p w14:paraId="5CFEC4B8"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5</w:t>
            </w:r>
          </w:p>
        </w:tc>
        <w:tc>
          <w:tcPr>
            <w:tcW w:w="1362" w:type="pct"/>
            <w:gridSpan w:val="2"/>
            <w:tcBorders>
              <w:bottom w:val="single" w:sz="8" w:space="0" w:color="auto"/>
            </w:tcBorders>
            <w:shd w:val="clear" w:color="auto" w:fill="FFFFFF"/>
            <w:vAlign w:val="center"/>
          </w:tcPr>
          <w:p w14:paraId="34CD9EE3"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扭曲（基长3m）</w:t>
            </w:r>
          </w:p>
        </w:tc>
        <w:tc>
          <w:tcPr>
            <w:tcW w:w="1860" w:type="pct"/>
            <w:tcBorders>
              <w:bottom w:val="single" w:sz="8" w:space="0" w:color="auto"/>
            </w:tcBorders>
            <w:shd w:val="clear" w:color="auto" w:fill="FFFFFF"/>
            <w:vAlign w:val="center"/>
          </w:tcPr>
          <w:p w14:paraId="4F552E59"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2mm</w:t>
            </w:r>
          </w:p>
        </w:tc>
        <w:tc>
          <w:tcPr>
            <w:tcW w:w="1540" w:type="pct"/>
            <w:tcBorders>
              <w:bottom w:val="single" w:sz="8" w:space="0" w:color="auto"/>
            </w:tcBorders>
            <w:shd w:val="clear" w:color="auto" w:fill="FFFFFF"/>
            <w:vAlign w:val="center"/>
          </w:tcPr>
          <w:p w14:paraId="11DFFBE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3mm</w:t>
            </w:r>
          </w:p>
        </w:tc>
      </w:tr>
    </w:tbl>
    <w:p w14:paraId="1E15F544" w14:textId="77777777" w:rsidR="00737EB2" w:rsidRPr="00765F6E" w:rsidRDefault="00737EB2" w:rsidP="00737EB2">
      <w:pPr>
        <w:pStyle w:val="aff3"/>
        <w:spacing w:before="156" w:after="156"/>
      </w:pPr>
      <w:r w:rsidRPr="00765F6E">
        <w:rPr>
          <w:rFonts w:hint="eastAsia"/>
        </w:rPr>
        <w:t>配线及车场线轨道静态铺设精度</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62"/>
        <w:gridCol w:w="1755"/>
        <w:gridCol w:w="3513"/>
        <w:gridCol w:w="1555"/>
        <w:gridCol w:w="1549"/>
      </w:tblGrid>
      <w:tr w:rsidR="00737EB2" w:rsidRPr="00765F6E" w14:paraId="3743E3EC" w14:textId="77777777" w:rsidTr="00871D47">
        <w:trPr>
          <w:trHeight w:val="176"/>
        </w:trPr>
        <w:tc>
          <w:tcPr>
            <w:tcW w:w="515" w:type="pct"/>
            <w:tcBorders>
              <w:top w:val="single" w:sz="8" w:space="0" w:color="auto"/>
              <w:bottom w:val="single" w:sz="8" w:space="0" w:color="auto"/>
            </w:tcBorders>
            <w:shd w:val="clear" w:color="auto" w:fill="auto"/>
            <w:vAlign w:val="center"/>
          </w:tcPr>
          <w:p w14:paraId="786C269B"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序号</w:t>
            </w:r>
          </w:p>
        </w:tc>
        <w:tc>
          <w:tcPr>
            <w:tcW w:w="2822" w:type="pct"/>
            <w:gridSpan w:val="2"/>
            <w:tcBorders>
              <w:top w:val="single" w:sz="8" w:space="0" w:color="auto"/>
              <w:bottom w:val="single" w:sz="8" w:space="0" w:color="auto"/>
            </w:tcBorders>
            <w:shd w:val="clear" w:color="auto" w:fill="auto"/>
            <w:vAlign w:val="center"/>
          </w:tcPr>
          <w:p w14:paraId="6811EF55"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项目</w:t>
            </w:r>
          </w:p>
        </w:tc>
        <w:tc>
          <w:tcPr>
            <w:tcW w:w="833" w:type="pct"/>
            <w:tcBorders>
              <w:top w:val="single" w:sz="8" w:space="0" w:color="auto"/>
              <w:bottom w:val="single" w:sz="8" w:space="0" w:color="auto"/>
            </w:tcBorders>
            <w:shd w:val="clear" w:color="auto" w:fill="auto"/>
            <w:vAlign w:val="center"/>
          </w:tcPr>
          <w:p w14:paraId="131786CB" w14:textId="31489EFE" w:rsidR="00737EB2" w:rsidRPr="00765F6E" w:rsidRDefault="00737EB2" w:rsidP="00871D47">
            <w:pPr>
              <w:pStyle w:val="affffffffffff2"/>
              <w:jc w:val="center"/>
              <w:rPr>
                <w:rFonts w:hAnsi="宋体" w:cs="宋体"/>
                <w:sz w:val="18"/>
                <w:szCs w:val="18"/>
              </w:rPr>
            </w:pPr>
            <w:r w:rsidRPr="00765F6E">
              <w:rPr>
                <w:rFonts w:hAnsi="宋体" w:cs="宋体"/>
                <w:sz w:val="18"/>
                <w:szCs w:val="18"/>
              </w:rPr>
              <w:t>配线</w:t>
            </w:r>
          </w:p>
        </w:tc>
        <w:tc>
          <w:tcPr>
            <w:tcW w:w="830" w:type="pct"/>
            <w:tcBorders>
              <w:top w:val="single" w:sz="8" w:space="0" w:color="auto"/>
              <w:bottom w:val="single" w:sz="8" w:space="0" w:color="auto"/>
            </w:tcBorders>
            <w:shd w:val="clear" w:color="auto" w:fill="auto"/>
            <w:vAlign w:val="center"/>
          </w:tcPr>
          <w:p w14:paraId="089AD757" w14:textId="7D0A1D0E" w:rsidR="00737EB2" w:rsidRPr="00765F6E" w:rsidRDefault="00737EB2" w:rsidP="00871D47">
            <w:pPr>
              <w:pStyle w:val="affffffffffff2"/>
              <w:jc w:val="center"/>
              <w:rPr>
                <w:rFonts w:hAnsi="宋体" w:cs="宋体"/>
                <w:sz w:val="18"/>
                <w:szCs w:val="18"/>
              </w:rPr>
            </w:pPr>
            <w:r w:rsidRPr="00765F6E">
              <w:rPr>
                <w:rFonts w:hAnsi="宋体" w:cs="宋体"/>
                <w:sz w:val="18"/>
                <w:szCs w:val="18"/>
              </w:rPr>
              <w:t>车场线</w:t>
            </w:r>
          </w:p>
        </w:tc>
      </w:tr>
      <w:tr w:rsidR="00737EB2" w:rsidRPr="00765F6E" w14:paraId="5BEDBCBF" w14:textId="77777777" w:rsidTr="00871D47">
        <w:trPr>
          <w:trHeight w:val="176"/>
        </w:trPr>
        <w:tc>
          <w:tcPr>
            <w:tcW w:w="515" w:type="pct"/>
            <w:vMerge w:val="restart"/>
            <w:tcBorders>
              <w:top w:val="single" w:sz="8" w:space="0" w:color="auto"/>
            </w:tcBorders>
            <w:shd w:val="clear" w:color="auto" w:fill="auto"/>
            <w:vAlign w:val="center"/>
          </w:tcPr>
          <w:p w14:paraId="428B9ADE"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w:t>
            </w:r>
          </w:p>
        </w:tc>
        <w:tc>
          <w:tcPr>
            <w:tcW w:w="940" w:type="pct"/>
            <w:vMerge w:val="restart"/>
            <w:tcBorders>
              <w:top w:val="single" w:sz="8" w:space="0" w:color="auto"/>
            </w:tcBorders>
            <w:shd w:val="clear" w:color="auto" w:fill="auto"/>
            <w:vAlign w:val="center"/>
          </w:tcPr>
          <w:p w14:paraId="00C11117"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轨距</w:t>
            </w:r>
          </w:p>
        </w:tc>
        <w:tc>
          <w:tcPr>
            <w:tcW w:w="1882" w:type="pct"/>
            <w:tcBorders>
              <w:top w:val="single" w:sz="8" w:space="0" w:color="auto"/>
            </w:tcBorders>
            <w:shd w:val="clear" w:color="auto" w:fill="auto"/>
            <w:vAlign w:val="center"/>
          </w:tcPr>
          <w:p w14:paraId="09B95C0D"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有砟轨道</w:t>
            </w:r>
          </w:p>
        </w:tc>
        <w:tc>
          <w:tcPr>
            <w:tcW w:w="833" w:type="pct"/>
            <w:tcBorders>
              <w:top w:val="single" w:sz="8" w:space="0" w:color="auto"/>
            </w:tcBorders>
            <w:shd w:val="clear" w:color="auto" w:fill="auto"/>
            <w:vAlign w:val="center"/>
          </w:tcPr>
          <w:p w14:paraId="270D1726" w14:textId="430FC55B" w:rsidR="00737EB2" w:rsidRPr="00765F6E" w:rsidRDefault="00502B19" w:rsidP="00871D47">
            <w:pPr>
              <w:pStyle w:val="affffffffffff2"/>
              <w:spacing w:line="200" w:lineRule="exact"/>
              <w:jc w:val="center"/>
              <w:rPr>
                <w:rFonts w:hAnsi="宋体" w:cs="宋体"/>
                <w:sz w:val="18"/>
                <w:szCs w:val="18"/>
              </w:rPr>
            </w:pPr>
            <w:r>
              <w:rPr>
                <w:rFonts w:hAnsi="宋体" w:cs="宋体"/>
                <w:sz w:val="18"/>
                <w:szCs w:val="18"/>
              </w:rPr>
              <w:t>+</w:t>
            </w:r>
            <w:r w:rsidR="00737EB2" w:rsidRPr="00765F6E">
              <w:rPr>
                <w:rFonts w:hAnsi="宋体" w:cs="宋体"/>
                <w:sz w:val="18"/>
                <w:szCs w:val="18"/>
              </w:rPr>
              <w:t>6</w:t>
            </w:r>
            <w:r>
              <w:rPr>
                <w:rFonts w:hAnsi="宋体" w:cs="宋体"/>
                <w:sz w:val="18"/>
                <w:szCs w:val="18"/>
              </w:rPr>
              <w:t>mmm</w:t>
            </w:r>
          </w:p>
          <w:p w14:paraId="3C3DC32A" w14:textId="7934A9C0"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-2</w:t>
            </w:r>
            <w:r w:rsidR="00502B19">
              <w:rPr>
                <w:rFonts w:hAnsi="宋体" w:cs="宋体"/>
                <w:sz w:val="18"/>
                <w:szCs w:val="18"/>
              </w:rPr>
              <w:t>mm</w:t>
            </w:r>
          </w:p>
        </w:tc>
        <w:tc>
          <w:tcPr>
            <w:tcW w:w="830" w:type="pct"/>
            <w:tcBorders>
              <w:top w:val="single" w:sz="8" w:space="0" w:color="auto"/>
            </w:tcBorders>
            <w:shd w:val="clear" w:color="auto" w:fill="auto"/>
            <w:vAlign w:val="center"/>
          </w:tcPr>
          <w:p w14:paraId="287506DA" w14:textId="6424F45B" w:rsidR="00737EB2" w:rsidRPr="00765F6E" w:rsidRDefault="00502B19" w:rsidP="00871D47">
            <w:pPr>
              <w:pStyle w:val="affffffffffff2"/>
              <w:spacing w:line="200" w:lineRule="exact"/>
              <w:jc w:val="center"/>
              <w:rPr>
                <w:rFonts w:hAnsi="宋体" w:cs="宋体"/>
                <w:sz w:val="18"/>
                <w:szCs w:val="18"/>
              </w:rPr>
            </w:pPr>
            <w:r>
              <w:rPr>
                <w:rFonts w:hAnsi="宋体" w:cs="宋体"/>
                <w:sz w:val="18"/>
                <w:szCs w:val="18"/>
              </w:rPr>
              <w:t>+</w:t>
            </w:r>
            <w:r w:rsidR="00737EB2" w:rsidRPr="00765F6E">
              <w:rPr>
                <w:rFonts w:hAnsi="宋体" w:cs="宋体"/>
                <w:sz w:val="18"/>
                <w:szCs w:val="18"/>
              </w:rPr>
              <w:t>6</w:t>
            </w:r>
            <w:r>
              <w:rPr>
                <w:rFonts w:hAnsi="宋体" w:cs="宋体"/>
                <w:sz w:val="18"/>
                <w:szCs w:val="18"/>
              </w:rPr>
              <w:t>mm</w:t>
            </w:r>
          </w:p>
          <w:p w14:paraId="2C949A3C" w14:textId="07292009"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-2</w:t>
            </w:r>
            <w:r w:rsidR="00502B19">
              <w:rPr>
                <w:rFonts w:hAnsi="宋体" w:cs="宋体"/>
                <w:sz w:val="18"/>
                <w:szCs w:val="18"/>
              </w:rPr>
              <w:t>mm</w:t>
            </w:r>
          </w:p>
        </w:tc>
      </w:tr>
      <w:tr w:rsidR="00737EB2" w:rsidRPr="00765F6E" w14:paraId="43A2D601" w14:textId="77777777" w:rsidTr="00871D47">
        <w:trPr>
          <w:trHeight w:val="176"/>
        </w:trPr>
        <w:tc>
          <w:tcPr>
            <w:tcW w:w="515" w:type="pct"/>
            <w:vMerge/>
            <w:shd w:val="clear" w:color="auto" w:fill="auto"/>
            <w:vAlign w:val="center"/>
          </w:tcPr>
          <w:p w14:paraId="4A6EDA21" w14:textId="77777777" w:rsidR="00737EB2" w:rsidRPr="00765F6E" w:rsidRDefault="00737EB2" w:rsidP="00871D47">
            <w:pPr>
              <w:pStyle w:val="affffffffffff2"/>
              <w:jc w:val="center"/>
              <w:rPr>
                <w:rFonts w:hAnsi="宋体" w:cs="宋体"/>
                <w:sz w:val="18"/>
                <w:szCs w:val="18"/>
              </w:rPr>
            </w:pPr>
          </w:p>
        </w:tc>
        <w:tc>
          <w:tcPr>
            <w:tcW w:w="940" w:type="pct"/>
            <w:vMerge/>
            <w:shd w:val="clear" w:color="auto" w:fill="auto"/>
            <w:vAlign w:val="center"/>
          </w:tcPr>
          <w:p w14:paraId="19B30FAA" w14:textId="77777777" w:rsidR="00737EB2" w:rsidRPr="00765F6E" w:rsidRDefault="00737EB2" w:rsidP="00871D47">
            <w:pPr>
              <w:pStyle w:val="affffffffffff2"/>
              <w:jc w:val="center"/>
              <w:rPr>
                <w:rFonts w:hAnsi="宋体" w:cs="宋体"/>
                <w:sz w:val="18"/>
                <w:szCs w:val="18"/>
              </w:rPr>
            </w:pPr>
          </w:p>
        </w:tc>
        <w:tc>
          <w:tcPr>
            <w:tcW w:w="1882" w:type="pct"/>
            <w:shd w:val="clear" w:color="auto" w:fill="auto"/>
            <w:vAlign w:val="center"/>
          </w:tcPr>
          <w:p w14:paraId="056CA0E9"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无砟轨道</w:t>
            </w:r>
          </w:p>
        </w:tc>
        <w:tc>
          <w:tcPr>
            <w:tcW w:w="833" w:type="pct"/>
            <w:shd w:val="clear" w:color="auto" w:fill="auto"/>
            <w:vAlign w:val="center"/>
          </w:tcPr>
          <w:p w14:paraId="3365CE4E" w14:textId="25188141"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3</w:t>
            </w:r>
            <w:r w:rsidR="00502B19">
              <w:rPr>
                <w:rFonts w:hAnsi="宋体" w:cs="宋体"/>
                <w:sz w:val="18"/>
                <w:szCs w:val="18"/>
              </w:rPr>
              <w:t>mm</w:t>
            </w:r>
          </w:p>
          <w:p w14:paraId="63A860FF" w14:textId="2B504055"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-2</w:t>
            </w:r>
            <w:r w:rsidR="00502B19">
              <w:rPr>
                <w:rFonts w:hAnsi="宋体" w:cs="宋体"/>
                <w:sz w:val="18"/>
                <w:szCs w:val="18"/>
              </w:rPr>
              <w:t>mm</w:t>
            </w:r>
          </w:p>
        </w:tc>
        <w:tc>
          <w:tcPr>
            <w:tcW w:w="830" w:type="pct"/>
            <w:shd w:val="clear" w:color="auto" w:fill="auto"/>
            <w:vAlign w:val="center"/>
          </w:tcPr>
          <w:p w14:paraId="4D9E0E99"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w:t>
            </w:r>
          </w:p>
        </w:tc>
      </w:tr>
      <w:tr w:rsidR="00737EB2" w:rsidRPr="00765F6E" w14:paraId="1AB81881" w14:textId="77777777" w:rsidTr="00871D47">
        <w:trPr>
          <w:trHeight w:val="176"/>
        </w:trPr>
        <w:tc>
          <w:tcPr>
            <w:tcW w:w="515" w:type="pct"/>
            <w:shd w:val="clear" w:color="auto" w:fill="auto"/>
            <w:vAlign w:val="center"/>
          </w:tcPr>
          <w:p w14:paraId="58F8B6B5"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w:t>
            </w:r>
          </w:p>
        </w:tc>
        <w:tc>
          <w:tcPr>
            <w:tcW w:w="940" w:type="pct"/>
            <w:shd w:val="clear" w:color="auto" w:fill="auto"/>
            <w:vAlign w:val="center"/>
          </w:tcPr>
          <w:p w14:paraId="58862F7E"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轨向</w:t>
            </w:r>
          </w:p>
        </w:tc>
        <w:tc>
          <w:tcPr>
            <w:tcW w:w="1882" w:type="pct"/>
            <w:shd w:val="clear" w:color="auto" w:fill="auto"/>
            <w:vAlign w:val="center"/>
          </w:tcPr>
          <w:p w14:paraId="2ED8EAA3"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弦长10 m</w:t>
            </w:r>
          </w:p>
        </w:tc>
        <w:tc>
          <w:tcPr>
            <w:tcW w:w="833" w:type="pct"/>
            <w:shd w:val="clear" w:color="auto" w:fill="auto"/>
            <w:vAlign w:val="center"/>
          </w:tcPr>
          <w:p w14:paraId="52AE3E57" w14:textId="37621289" w:rsidR="00737EB2" w:rsidRPr="00765F6E" w:rsidRDefault="00737EB2" w:rsidP="00871D47">
            <w:pPr>
              <w:pStyle w:val="affffffffffff2"/>
              <w:jc w:val="center"/>
              <w:rPr>
                <w:rFonts w:hAnsi="宋体" w:cs="宋体"/>
                <w:sz w:val="18"/>
                <w:szCs w:val="18"/>
              </w:rPr>
            </w:pPr>
            <w:r w:rsidRPr="00765F6E">
              <w:rPr>
                <w:rFonts w:hAnsi="宋体" w:cs="宋体"/>
                <w:sz w:val="18"/>
                <w:szCs w:val="18"/>
              </w:rPr>
              <w:t>4</w:t>
            </w:r>
            <w:r w:rsidR="00502B19">
              <w:rPr>
                <w:rFonts w:hAnsi="宋体" w:cs="宋体"/>
                <w:sz w:val="18"/>
                <w:szCs w:val="18"/>
              </w:rPr>
              <w:t>mm</w:t>
            </w:r>
          </w:p>
        </w:tc>
        <w:tc>
          <w:tcPr>
            <w:tcW w:w="830" w:type="pct"/>
            <w:shd w:val="clear" w:color="auto" w:fill="auto"/>
            <w:vAlign w:val="center"/>
          </w:tcPr>
          <w:p w14:paraId="019A6241" w14:textId="072D372C" w:rsidR="00737EB2" w:rsidRPr="00765F6E" w:rsidRDefault="00737EB2" w:rsidP="00871D47">
            <w:pPr>
              <w:pStyle w:val="affffffffffff2"/>
              <w:jc w:val="center"/>
              <w:rPr>
                <w:rFonts w:hAnsi="宋体" w:cs="宋体"/>
                <w:sz w:val="18"/>
                <w:szCs w:val="18"/>
              </w:rPr>
            </w:pPr>
            <w:r w:rsidRPr="00765F6E">
              <w:rPr>
                <w:rFonts w:hAnsi="宋体" w:cs="宋体"/>
                <w:sz w:val="18"/>
                <w:szCs w:val="18"/>
              </w:rPr>
              <w:t>5</w:t>
            </w:r>
            <w:r w:rsidR="00502B19">
              <w:rPr>
                <w:rFonts w:hAnsi="宋体" w:cs="宋体"/>
                <w:sz w:val="18"/>
                <w:szCs w:val="18"/>
              </w:rPr>
              <w:t>mm</w:t>
            </w:r>
          </w:p>
        </w:tc>
      </w:tr>
      <w:tr w:rsidR="00737EB2" w:rsidRPr="00765F6E" w14:paraId="70B54C51" w14:textId="77777777" w:rsidTr="00871D47">
        <w:trPr>
          <w:trHeight w:val="176"/>
        </w:trPr>
        <w:tc>
          <w:tcPr>
            <w:tcW w:w="515" w:type="pct"/>
            <w:shd w:val="clear" w:color="auto" w:fill="auto"/>
            <w:vAlign w:val="center"/>
          </w:tcPr>
          <w:p w14:paraId="2390CBE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lastRenderedPageBreak/>
              <w:t>3</w:t>
            </w:r>
          </w:p>
        </w:tc>
        <w:tc>
          <w:tcPr>
            <w:tcW w:w="940" w:type="pct"/>
            <w:shd w:val="clear" w:color="auto" w:fill="auto"/>
            <w:vAlign w:val="center"/>
          </w:tcPr>
          <w:p w14:paraId="04EA52DE"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高低</w:t>
            </w:r>
          </w:p>
        </w:tc>
        <w:tc>
          <w:tcPr>
            <w:tcW w:w="1882" w:type="pct"/>
            <w:shd w:val="clear" w:color="auto" w:fill="auto"/>
            <w:vAlign w:val="center"/>
          </w:tcPr>
          <w:p w14:paraId="2C79BB7F"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弦长10 m</w:t>
            </w:r>
          </w:p>
        </w:tc>
        <w:tc>
          <w:tcPr>
            <w:tcW w:w="833" w:type="pct"/>
            <w:shd w:val="clear" w:color="auto" w:fill="auto"/>
            <w:vAlign w:val="center"/>
          </w:tcPr>
          <w:p w14:paraId="551AB2BE" w14:textId="4E26A92F" w:rsidR="00737EB2" w:rsidRPr="00765F6E" w:rsidRDefault="00737EB2" w:rsidP="00871D47">
            <w:pPr>
              <w:pStyle w:val="affffffffffff2"/>
              <w:jc w:val="center"/>
              <w:rPr>
                <w:rFonts w:hAnsi="宋体" w:cs="宋体"/>
                <w:sz w:val="18"/>
                <w:szCs w:val="18"/>
              </w:rPr>
            </w:pPr>
            <w:r w:rsidRPr="00765F6E">
              <w:rPr>
                <w:rFonts w:hAnsi="宋体" w:cs="宋体"/>
                <w:sz w:val="18"/>
                <w:szCs w:val="18"/>
              </w:rPr>
              <w:t>4</w:t>
            </w:r>
            <w:r w:rsidR="00502B19">
              <w:rPr>
                <w:rFonts w:hAnsi="宋体" w:cs="宋体"/>
                <w:sz w:val="18"/>
                <w:szCs w:val="18"/>
              </w:rPr>
              <w:t>mm</w:t>
            </w:r>
          </w:p>
        </w:tc>
        <w:tc>
          <w:tcPr>
            <w:tcW w:w="830" w:type="pct"/>
            <w:shd w:val="clear" w:color="auto" w:fill="auto"/>
            <w:vAlign w:val="center"/>
          </w:tcPr>
          <w:p w14:paraId="7C47FCAC" w14:textId="1CD2A0B3" w:rsidR="00737EB2" w:rsidRPr="00765F6E" w:rsidRDefault="00737EB2" w:rsidP="00871D47">
            <w:pPr>
              <w:pStyle w:val="affffffffffff2"/>
              <w:jc w:val="center"/>
              <w:rPr>
                <w:rFonts w:hAnsi="宋体" w:cs="宋体"/>
                <w:sz w:val="18"/>
                <w:szCs w:val="18"/>
              </w:rPr>
            </w:pPr>
            <w:r w:rsidRPr="00765F6E">
              <w:rPr>
                <w:rFonts w:hAnsi="宋体" w:cs="宋体"/>
                <w:sz w:val="18"/>
                <w:szCs w:val="18"/>
              </w:rPr>
              <w:t>5</w:t>
            </w:r>
            <w:r w:rsidR="00502B19">
              <w:rPr>
                <w:rFonts w:hAnsi="宋体" w:cs="宋体"/>
                <w:sz w:val="18"/>
                <w:szCs w:val="18"/>
              </w:rPr>
              <w:t>mm</w:t>
            </w:r>
          </w:p>
        </w:tc>
      </w:tr>
      <w:tr w:rsidR="00737EB2" w:rsidRPr="00765F6E" w14:paraId="3672F3BA" w14:textId="77777777" w:rsidTr="00871D47">
        <w:trPr>
          <w:trHeight w:val="176"/>
        </w:trPr>
        <w:tc>
          <w:tcPr>
            <w:tcW w:w="515" w:type="pct"/>
            <w:shd w:val="clear" w:color="auto" w:fill="auto"/>
            <w:vAlign w:val="center"/>
          </w:tcPr>
          <w:p w14:paraId="763DA6C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4</w:t>
            </w:r>
          </w:p>
        </w:tc>
        <w:tc>
          <w:tcPr>
            <w:tcW w:w="2822" w:type="pct"/>
            <w:gridSpan w:val="2"/>
            <w:shd w:val="clear" w:color="auto" w:fill="auto"/>
            <w:vAlign w:val="center"/>
          </w:tcPr>
          <w:p w14:paraId="3633002C"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水平</w:t>
            </w:r>
          </w:p>
        </w:tc>
        <w:tc>
          <w:tcPr>
            <w:tcW w:w="833" w:type="pct"/>
            <w:shd w:val="clear" w:color="auto" w:fill="auto"/>
            <w:vAlign w:val="center"/>
          </w:tcPr>
          <w:p w14:paraId="5D9A6B87" w14:textId="5C9C666E" w:rsidR="00737EB2" w:rsidRPr="00765F6E" w:rsidRDefault="00737EB2" w:rsidP="00871D47">
            <w:pPr>
              <w:pStyle w:val="affffffffffff2"/>
              <w:jc w:val="center"/>
              <w:rPr>
                <w:rFonts w:hAnsi="宋体" w:cs="宋体"/>
                <w:sz w:val="18"/>
                <w:szCs w:val="18"/>
              </w:rPr>
            </w:pPr>
            <w:r w:rsidRPr="00765F6E">
              <w:rPr>
                <w:rFonts w:hAnsi="宋体" w:cs="宋体"/>
                <w:sz w:val="18"/>
                <w:szCs w:val="18"/>
              </w:rPr>
              <w:t>4</w:t>
            </w:r>
            <w:r w:rsidR="00502B19">
              <w:rPr>
                <w:rFonts w:hAnsi="宋体" w:cs="宋体"/>
                <w:sz w:val="18"/>
                <w:szCs w:val="18"/>
              </w:rPr>
              <w:t>mm</w:t>
            </w:r>
          </w:p>
        </w:tc>
        <w:tc>
          <w:tcPr>
            <w:tcW w:w="830" w:type="pct"/>
            <w:shd w:val="clear" w:color="auto" w:fill="auto"/>
            <w:vAlign w:val="center"/>
          </w:tcPr>
          <w:p w14:paraId="081C0831" w14:textId="7EBAD51A" w:rsidR="00737EB2" w:rsidRPr="00765F6E" w:rsidRDefault="00737EB2" w:rsidP="00871D47">
            <w:pPr>
              <w:pStyle w:val="affffffffffff2"/>
              <w:jc w:val="center"/>
              <w:rPr>
                <w:rFonts w:hAnsi="宋体" w:cs="宋体"/>
                <w:sz w:val="18"/>
                <w:szCs w:val="18"/>
              </w:rPr>
            </w:pPr>
            <w:r w:rsidRPr="00765F6E">
              <w:rPr>
                <w:rFonts w:hAnsi="宋体" w:cs="宋体"/>
                <w:sz w:val="18"/>
                <w:szCs w:val="18"/>
              </w:rPr>
              <w:t>5</w:t>
            </w:r>
            <w:r w:rsidR="00502B19">
              <w:rPr>
                <w:rFonts w:hAnsi="宋体" w:cs="宋体"/>
                <w:sz w:val="18"/>
                <w:szCs w:val="18"/>
              </w:rPr>
              <w:t>mm</w:t>
            </w:r>
          </w:p>
        </w:tc>
      </w:tr>
      <w:tr w:rsidR="00737EB2" w:rsidRPr="00765F6E" w14:paraId="2EA8B533" w14:textId="77777777" w:rsidTr="00871D47">
        <w:trPr>
          <w:trHeight w:val="176"/>
        </w:trPr>
        <w:tc>
          <w:tcPr>
            <w:tcW w:w="515" w:type="pct"/>
            <w:vMerge w:val="restart"/>
            <w:shd w:val="clear" w:color="auto" w:fill="auto"/>
            <w:vAlign w:val="center"/>
          </w:tcPr>
          <w:p w14:paraId="72FCFBB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5</w:t>
            </w:r>
          </w:p>
        </w:tc>
        <w:tc>
          <w:tcPr>
            <w:tcW w:w="940" w:type="pct"/>
            <w:vMerge w:val="restart"/>
            <w:shd w:val="clear" w:color="auto" w:fill="auto"/>
            <w:vAlign w:val="center"/>
          </w:tcPr>
          <w:p w14:paraId="6E5075F6"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扭曲</w:t>
            </w:r>
          </w:p>
        </w:tc>
        <w:tc>
          <w:tcPr>
            <w:tcW w:w="1882" w:type="pct"/>
            <w:shd w:val="clear" w:color="auto" w:fill="auto"/>
            <w:vAlign w:val="center"/>
          </w:tcPr>
          <w:p w14:paraId="1FCA5548"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基线长6.25 m</w:t>
            </w:r>
          </w:p>
        </w:tc>
        <w:tc>
          <w:tcPr>
            <w:tcW w:w="833" w:type="pct"/>
            <w:shd w:val="clear" w:color="auto" w:fill="auto"/>
            <w:vAlign w:val="center"/>
          </w:tcPr>
          <w:p w14:paraId="303668D3" w14:textId="40D22224" w:rsidR="00737EB2" w:rsidRPr="00765F6E" w:rsidRDefault="00737EB2" w:rsidP="00871D47">
            <w:pPr>
              <w:pStyle w:val="affffffffffff2"/>
              <w:jc w:val="center"/>
              <w:rPr>
                <w:rFonts w:hAnsi="宋体" w:cs="宋体"/>
                <w:sz w:val="18"/>
                <w:szCs w:val="18"/>
              </w:rPr>
            </w:pPr>
            <w:r w:rsidRPr="00765F6E">
              <w:rPr>
                <w:rFonts w:hAnsi="宋体" w:cs="宋体"/>
                <w:sz w:val="18"/>
                <w:szCs w:val="18"/>
              </w:rPr>
              <w:t>4</w:t>
            </w:r>
            <w:r w:rsidR="00502B19">
              <w:rPr>
                <w:rFonts w:hAnsi="宋体" w:cs="宋体"/>
                <w:sz w:val="18"/>
                <w:szCs w:val="18"/>
              </w:rPr>
              <w:t>mm</w:t>
            </w:r>
          </w:p>
        </w:tc>
        <w:tc>
          <w:tcPr>
            <w:tcW w:w="830" w:type="pct"/>
            <w:shd w:val="clear" w:color="auto" w:fill="auto"/>
            <w:vAlign w:val="center"/>
          </w:tcPr>
          <w:p w14:paraId="32602CF0" w14:textId="0CC7F70C" w:rsidR="00737EB2" w:rsidRPr="00765F6E" w:rsidRDefault="00737EB2" w:rsidP="00871D47">
            <w:pPr>
              <w:pStyle w:val="affffffffffff2"/>
              <w:jc w:val="center"/>
              <w:rPr>
                <w:rFonts w:hAnsi="宋体" w:cs="宋体"/>
                <w:sz w:val="18"/>
                <w:szCs w:val="18"/>
              </w:rPr>
            </w:pPr>
            <w:r w:rsidRPr="00765F6E">
              <w:rPr>
                <w:rFonts w:hAnsi="宋体" w:cs="宋体"/>
                <w:sz w:val="18"/>
                <w:szCs w:val="18"/>
              </w:rPr>
              <w:t>5</w:t>
            </w:r>
            <w:r w:rsidR="00502B19">
              <w:rPr>
                <w:rFonts w:hAnsi="宋体" w:cs="宋体"/>
                <w:sz w:val="18"/>
                <w:szCs w:val="18"/>
              </w:rPr>
              <w:t>mm</w:t>
            </w:r>
          </w:p>
        </w:tc>
      </w:tr>
      <w:tr w:rsidR="00737EB2" w:rsidRPr="00765F6E" w14:paraId="15C10CD1" w14:textId="77777777" w:rsidTr="00871D47">
        <w:trPr>
          <w:trHeight w:val="176"/>
        </w:trPr>
        <w:tc>
          <w:tcPr>
            <w:tcW w:w="515" w:type="pct"/>
            <w:vMerge/>
            <w:tcBorders>
              <w:bottom w:val="single" w:sz="8" w:space="0" w:color="auto"/>
            </w:tcBorders>
            <w:shd w:val="clear" w:color="auto" w:fill="auto"/>
            <w:vAlign w:val="center"/>
          </w:tcPr>
          <w:p w14:paraId="193C4058" w14:textId="77777777" w:rsidR="00737EB2" w:rsidRPr="00765F6E" w:rsidRDefault="00737EB2" w:rsidP="00871D47">
            <w:pPr>
              <w:pStyle w:val="affffffffffff2"/>
              <w:jc w:val="center"/>
              <w:rPr>
                <w:rFonts w:hAnsi="宋体" w:cs="宋体"/>
                <w:sz w:val="18"/>
                <w:szCs w:val="18"/>
              </w:rPr>
            </w:pPr>
          </w:p>
        </w:tc>
        <w:tc>
          <w:tcPr>
            <w:tcW w:w="940" w:type="pct"/>
            <w:vMerge/>
            <w:tcBorders>
              <w:bottom w:val="single" w:sz="8" w:space="0" w:color="auto"/>
            </w:tcBorders>
            <w:shd w:val="clear" w:color="auto" w:fill="auto"/>
            <w:vAlign w:val="center"/>
          </w:tcPr>
          <w:p w14:paraId="377D2924" w14:textId="77777777" w:rsidR="00737EB2" w:rsidRPr="00765F6E" w:rsidRDefault="00737EB2" w:rsidP="00871D47">
            <w:pPr>
              <w:pStyle w:val="affffffffffff2"/>
              <w:jc w:val="center"/>
              <w:rPr>
                <w:rFonts w:hAnsi="宋体" w:cs="宋体"/>
                <w:sz w:val="18"/>
                <w:szCs w:val="18"/>
              </w:rPr>
            </w:pPr>
          </w:p>
        </w:tc>
        <w:tc>
          <w:tcPr>
            <w:tcW w:w="1882" w:type="pct"/>
            <w:tcBorders>
              <w:bottom w:val="single" w:sz="8" w:space="0" w:color="auto"/>
            </w:tcBorders>
            <w:shd w:val="clear" w:color="auto" w:fill="auto"/>
            <w:vAlign w:val="center"/>
          </w:tcPr>
          <w:p w14:paraId="57A0144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基线长3 m</w:t>
            </w:r>
          </w:p>
        </w:tc>
        <w:tc>
          <w:tcPr>
            <w:tcW w:w="833" w:type="pct"/>
            <w:tcBorders>
              <w:bottom w:val="single" w:sz="8" w:space="0" w:color="auto"/>
            </w:tcBorders>
            <w:shd w:val="clear" w:color="auto" w:fill="auto"/>
            <w:vAlign w:val="center"/>
          </w:tcPr>
          <w:p w14:paraId="3335FB13" w14:textId="2BF4751D" w:rsidR="00737EB2" w:rsidRPr="00765F6E" w:rsidRDefault="00737EB2" w:rsidP="00871D47">
            <w:pPr>
              <w:pStyle w:val="affffffffffff2"/>
              <w:jc w:val="center"/>
              <w:rPr>
                <w:rFonts w:hAnsi="宋体" w:cs="宋体"/>
                <w:sz w:val="18"/>
                <w:szCs w:val="18"/>
              </w:rPr>
            </w:pPr>
            <w:r w:rsidRPr="00765F6E">
              <w:rPr>
                <w:rFonts w:hAnsi="宋体" w:cs="宋体"/>
                <w:sz w:val="18"/>
                <w:szCs w:val="18"/>
              </w:rPr>
              <w:t>3</w:t>
            </w:r>
            <w:r w:rsidR="00502B19">
              <w:rPr>
                <w:rFonts w:hAnsi="宋体" w:cs="宋体"/>
                <w:sz w:val="18"/>
                <w:szCs w:val="18"/>
              </w:rPr>
              <w:t>mm</w:t>
            </w:r>
          </w:p>
        </w:tc>
        <w:tc>
          <w:tcPr>
            <w:tcW w:w="830" w:type="pct"/>
            <w:tcBorders>
              <w:bottom w:val="single" w:sz="8" w:space="0" w:color="auto"/>
            </w:tcBorders>
            <w:shd w:val="clear" w:color="auto" w:fill="auto"/>
            <w:vAlign w:val="center"/>
          </w:tcPr>
          <w:p w14:paraId="38EDCC3D" w14:textId="373F04B3" w:rsidR="00737EB2" w:rsidRPr="00765F6E" w:rsidRDefault="00737EB2" w:rsidP="00871D47">
            <w:pPr>
              <w:pStyle w:val="affffffffffff2"/>
              <w:jc w:val="center"/>
              <w:rPr>
                <w:rFonts w:hAnsi="宋体" w:cs="宋体"/>
                <w:sz w:val="18"/>
                <w:szCs w:val="18"/>
              </w:rPr>
            </w:pPr>
            <w:r w:rsidRPr="00765F6E">
              <w:rPr>
                <w:rFonts w:hAnsi="宋体" w:cs="宋体"/>
                <w:sz w:val="18"/>
                <w:szCs w:val="18"/>
              </w:rPr>
              <w:t>4</w:t>
            </w:r>
            <w:r w:rsidR="00502B19">
              <w:rPr>
                <w:rFonts w:hAnsi="宋体" w:cs="宋体"/>
                <w:sz w:val="18"/>
                <w:szCs w:val="18"/>
              </w:rPr>
              <w:t>mm</w:t>
            </w:r>
          </w:p>
        </w:tc>
      </w:tr>
    </w:tbl>
    <w:p w14:paraId="103B2A1F" w14:textId="77777777" w:rsidR="00737EB2" w:rsidRPr="00765F6E" w:rsidRDefault="00737EB2" w:rsidP="00737EB2">
      <w:pPr>
        <w:pStyle w:val="aff3"/>
        <w:spacing w:before="156" w:after="156"/>
      </w:pPr>
      <w:r w:rsidRPr="00765F6E">
        <w:rPr>
          <w:rFonts w:hint="eastAsia"/>
        </w:rPr>
        <w:t>配线及车场线道岔静态铺设精度</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59"/>
        <w:gridCol w:w="1376"/>
        <w:gridCol w:w="3534"/>
        <w:gridCol w:w="1546"/>
        <w:gridCol w:w="1919"/>
      </w:tblGrid>
      <w:tr w:rsidR="00737EB2" w:rsidRPr="00765F6E" w14:paraId="548E2201" w14:textId="77777777" w:rsidTr="00871D47">
        <w:trPr>
          <w:trHeight w:val="176"/>
        </w:trPr>
        <w:tc>
          <w:tcPr>
            <w:tcW w:w="514" w:type="pct"/>
            <w:tcBorders>
              <w:top w:val="single" w:sz="8" w:space="0" w:color="auto"/>
              <w:bottom w:val="single" w:sz="8" w:space="0" w:color="auto"/>
            </w:tcBorders>
            <w:shd w:val="clear" w:color="auto" w:fill="auto"/>
            <w:vAlign w:val="center"/>
          </w:tcPr>
          <w:p w14:paraId="45DC77C1"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序号</w:t>
            </w:r>
          </w:p>
        </w:tc>
        <w:tc>
          <w:tcPr>
            <w:tcW w:w="2630" w:type="pct"/>
            <w:gridSpan w:val="2"/>
            <w:tcBorders>
              <w:top w:val="single" w:sz="8" w:space="0" w:color="auto"/>
              <w:bottom w:val="single" w:sz="8" w:space="0" w:color="auto"/>
            </w:tcBorders>
            <w:shd w:val="clear" w:color="auto" w:fill="auto"/>
            <w:vAlign w:val="center"/>
          </w:tcPr>
          <w:p w14:paraId="35EB0779"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项目</w:t>
            </w:r>
          </w:p>
        </w:tc>
        <w:tc>
          <w:tcPr>
            <w:tcW w:w="828" w:type="pct"/>
            <w:tcBorders>
              <w:top w:val="single" w:sz="8" w:space="0" w:color="auto"/>
              <w:bottom w:val="single" w:sz="8" w:space="0" w:color="auto"/>
            </w:tcBorders>
            <w:shd w:val="clear" w:color="auto" w:fill="auto"/>
            <w:vAlign w:val="center"/>
          </w:tcPr>
          <w:p w14:paraId="148A771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配线</w:t>
            </w:r>
          </w:p>
        </w:tc>
        <w:tc>
          <w:tcPr>
            <w:tcW w:w="1028" w:type="pct"/>
            <w:tcBorders>
              <w:top w:val="single" w:sz="8" w:space="0" w:color="auto"/>
              <w:bottom w:val="single" w:sz="8" w:space="0" w:color="auto"/>
            </w:tcBorders>
            <w:shd w:val="clear" w:color="auto" w:fill="auto"/>
            <w:vAlign w:val="center"/>
          </w:tcPr>
          <w:p w14:paraId="1F066CF1"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车场线</w:t>
            </w:r>
          </w:p>
        </w:tc>
      </w:tr>
      <w:tr w:rsidR="00737EB2" w:rsidRPr="00765F6E" w14:paraId="52E97961" w14:textId="77777777" w:rsidTr="00871D47">
        <w:trPr>
          <w:trHeight w:val="176"/>
        </w:trPr>
        <w:tc>
          <w:tcPr>
            <w:tcW w:w="514" w:type="pct"/>
            <w:vMerge w:val="restart"/>
            <w:tcBorders>
              <w:top w:val="single" w:sz="8" w:space="0" w:color="auto"/>
            </w:tcBorders>
            <w:shd w:val="clear" w:color="auto" w:fill="auto"/>
            <w:vAlign w:val="center"/>
          </w:tcPr>
          <w:p w14:paraId="6BBB730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w:t>
            </w:r>
          </w:p>
        </w:tc>
        <w:tc>
          <w:tcPr>
            <w:tcW w:w="737" w:type="pct"/>
            <w:vMerge w:val="restart"/>
            <w:tcBorders>
              <w:top w:val="single" w:sz="8" w:space="0" w:color="auto"/>
            </w:tcBorders>
            <w:shd w:val="clear" w:color="auto" w:fill="auto"/>
            <w:vAlign w:val="center"/>
          </w:tcPr>
          <w:p w14:paraId="1137C3C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轨距</w:t>
            </w:r>
          </w:p>
        </w:tc>
        <w:tc>
          <w:tcPr>
            <w:tcW w:w="1893" w:type="pct"/>
            <w:tcBorders>
              <w:top w:val="single" w:sz="8" w:space="0" w:color="auto"/>
            </w:tcBorders>
            <w:shd w:val="clear" w:color="auto" w:fill="auto"/>
            <w:vAlign w:val="center"/>
          </w:tcPr>
          <w:p w14:paraId="235DAD97"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尖轨尖端</w:t>
            </w:r>
          </w:p>
        </w:tc>
        <w:tc>
          <w:tcPr>
            <w:tcW w:w="828" w:type="pct"/>
            <w:tcBorders>
              <w:top w:val="single" w:sz="8" w:space="0" w:color="auto"/>
            </w:tcBorders>
            <w:shd w:val="clear" w:color="auto" w:fill="auto"/>
            <w:vAlign w:val="center"/>
          </w:tcPr>
          <w:p w14:paraId="5BD9319A" w14:textId="5B2828EE" w:rsidR="00737EB2" w:rsidRPr="00765F6E" w:rsidRDefault="00737EB2" w:rsidP="00871D47">
            <w:pPr>
              <w:pStyle w:val="affffffffffff2"/>
              <w:jc w:val="center"/>
              <w:rPr>
                <w:rFonts w:hAnsi="宋体" w:cs="宋体"/>
                <w:sz w:val="18"/>
                <w:szCs w:val="18"/>
              </w:rPr>
            </w:pPr>
            <w:r w:rsidRPr="00765F6E">
              <w:rPr>
                <w:rFonts w:hAnsi="宋体" w:cs="宋体"/>
                <w:sz w:val="18"/>
                <w:szCs w:val="18"/>
              </w:rPr>
              <w:t>±1</w:t>
            </w:r>
            <w:r w:rsidR="00502B19">
              <w:rPr>
                <w:rFonts w:hAnsi="宋体" w:cs="宋体"/>
                <w:sz w:val="18"/>
                <w:szCs w:val="18"/>
              </w:rPr>
              <w:t>mm</w:t>
            </w:r>
          </w:p>
        </w:tc>
        <w:tc>
          <w:tcPr>
            <w:tcW w:w="1028" w:type="pct"/>
            <w:tcBorders>
              <w:top w:val="single" w:sz="8" w:space="0" w:color="auto"/>
            </w:tcBorders>
            <w:shd w:val="clear" w:color="auto" w:fill="auto"/>
            <w:vAlign w:val="center"/>
          </w:tcPr>
          <w:p w14:paraId="3650C02E" w14:textId="4AD92E14" w:rsidR="00737EB2" w:rsidRPr="00765F6E" w:rsidRDefault="00737EB2" w:rsidP="00871D47">
            <w:pPr>
              <w:pStyle w:val="affffffffffff2"/>
              <w:jc w:val="center"/>
              <w:rPr>
                <w:rFonts w:hAnsi="宋体" w:cs="宋体"/>
                <w:sz w:val="18"/>
                <w:szCs w:val="18"/>
              </w:rPr>
            </w:pPr>
            <w:r w:rsidRPr="00765F6E">
              <w:rPr>
                <w:rFonts w:hAnsi="宋体" w:cs="宋体"/>
                <w:sz w:val="18"/>
                <w:szCs w:val="18"/>
              </w:rPr>
              <w:t>±1</w:t>
            </w:r>
            <w:r w:rsidR="00502B19">
              <w:rPr>
                <w:rFonts w:hAnsi="宋体" w:cs="宋体"/>
                <w:sz w:val="18"/>
                <w:szCs w:val="18"/>
              </w:rPr>
              <w:t>mm</w:t>
            </w:r>
          </w:p>
        </w:tc>
      </w:tr>
      <w:tr w:rsidR="00737EB2" w:rsidRPr="00765F6E" w14:paraId="16A5630E" w14:textId="77777777" w:rsidTr="00871D47">
        <w:trPr>
          <w:trHeight w:val="176"/>
        </w:trPr>
        <w:tc>
          <w:tcPr>
            <w:tcW w:w="514" w:type="pct"/>
            <w:vMerge/>
            <w:shd w:val="clear" w:color="auto" w:fill="auto"/>
            <w:vAlign w:val="center"/>
          </w:tcPr>
          <w:p w14:paraId="61E261D1" w14:textId="77777777" w:rsidR="00737EB2" w:rsidRPr="00765F6E" w:rsidRDefault="00737EB2" w:rsidP="00871D47">
            <w:pPr>
              <w:pStyle w:val="affffffffffff2"/>
              <w:jc w:val="center"/>
              <w:rPr>
                <w:rFonts w:hAnsi="宋体" w:cs="宋体"/>
                <w:sz w:val="18"/>
                <w:szCs w:val="18"/>
              </w:rPr>
            </w:pPr>
          </w:p>
        </w:tc>
        <w:tc>
          <w:tcPr>
            <w:tcW w:w="737" w:type="pct"/>
            <w:vMerge/>
            <w:shd w:val="clear" w:color="auto" w:fill="auto"/>
            <w:vAlign w:val="center"/>
          </w:tcPr>
          <w:p w14:paraId="44CF7820" w14:textId="77777777" w:rsidR="00737EB2" w:rsidRPr="00765F6E" w:rsidRDefault="00737EB2" w:rsidP="00871D47">
            <w:pPr>
              <w:pStyle w:val="affffffffffff2"/>
              <w:jc w:val="center"/>
              <w:rPr>
                <w:rFonts w:hAnsi="宋体" w:cs="宋体"/>
                <w:sz w:val="18"/>
                <w:szCs w:val="18"/>
              </w:rPr>
            </w:pPr>
          </w:p>
        </w:tc>
        <w:tc>
          <w:tcPr>
            <w:tcW w:w="1893" w:type="pct"/>
            <w:shd w:val="clear" w:color="auto" w:fill="auto"/>
            <w:vAlign w:val="center"/>
          </w:tcPr>
          <w:p w14:paraId="66403E5C"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其它</w:t>
            </w:r>
          </w:p>
        </w:tc>
        <w:tc>
          <w:tcPr>
            <w:tcW w:w="828" w:type="pct"/>
            <w:shd w:val="clear" w:color="auto" w:fill="auto"/>
            <w:vAlign w:val="center"/>
          </w:tcPr>
          <w:p w14:paraId="49A54E5A" w14:textId="2BDF0E70" w:rsidR="00737EB2" w:rsidRPr="00765F6E" w:rsidRDefault="00502B19" w:rsidP="00871D47">
            <w:pPr>
              <w:pStyle w:val="affffffffffff2"/>
              <w:spacing w:line="200" w:lineRule="exact"/>
              <w:jc w:val="center"/>
              <w:rPr>
                <w:rFonts w:hAnsi="宋体" w:cs="宋体"/>
                <w:sz w:val="18"/>
                <w:szCs w:val="18"/>
              </w:rPr>
            </w:pPr>
            <w:r>
              <w:rPr>
                <w:rFonts w:hAnsi="宋体" w:cs="宋体"/>
                <w:sz w:val="18"/>
                <w:szCs w:val="18"/>
              </w:rPr>
              <w:t>+</w:t>
            </w:r>
            <w:r w:rsidR="00737EB2" w:rsidRPr="00765F6E">
              <w:rPr>
                <w:rFonts w:hAnsi="宋体" w:cs="宋体"/>
                <w:sz w:val="18"/>
                <w:szCs w:val="18"/>
              </w:rPr>
              <w:t>3</w:t>
            </w:r>
            <w:r>
              <w:rPr>
                <w:rFonts w:hAnsi="宋体" w:cs="宋体"/>
                <w:sz w:val="18"/>
                <w:szCs w:val="18"/>
              </w:rPr>
              <w:t>mm</w:t>
            </w:r>
          </w:p>
          <w:p w14:paraId="65BBA0FE" w14:textId="05CE7219"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-2</w:t>
            </w:r>
            <w:r w:rsidR="00502B19">
              <w:rPr>
                <w:rFonts w:hAnsi="宋体" w:cs="宋体"/>
                <w:sz w:val="18"/>
                <w:szCs w:val="18"/>
              </w:rPr>
              <w:t>mm</w:t>
            </w:r>
          </w:p>
        </w:tc>
        <w:tc>
          <w:tcPr>
            <w:tcW w:w="1028" w:type="pct"/>
            <w:shd w:val="clear" w:color="auto" w:fill="auto"/>
            <w:vAlign w:val="center"/>
          </w:tcPr>
          <w:p w14:paraId="6A1C295B" w14:textId="3CD0ADCC" w:rsidR="00737EB2" w:rsidRPr="00765F6E" w:rsidRDefault="00502B19" w:rsidP="00871D47">
            <w:pPr>
              <w:pStyle w:val="affffffffffff2"/>
              <w:spacing w:line="200" w:lineRule="exact"/>
              <w:jc w:val="center"/>
              <w:rPr>
                <w:rFonts w:hAnsi="宋体" w:cs="宋体"/>
                <w:sz w:val="18"/>
                <w:szCs w:val="18"/>
              </w:rPr>
            </w:pPr>
            <w:r>
              <w:rPr>
                <w:rFonts w:hAnsi="宋体" w:cs="宋体"/>
                <w:sz w:val="18"/>
                <w:szCs w:val="18"/>
              </w:rPr>
              <w:t>+</w:t>
            </w:r>
            <w:r w:rsidR="00737EB2" w:rsidRPr="00765F6E">
              <w:rPr>
                <w:rFonts w:hAnsi="宋体" w:cs="宋体"/>
                <w:sz w:val="18"/>
                <w:szCs w:val="18"/>
              </w:rPr>
              <w:t>3</w:t>
            </w:r>
            <w:r>
              <w:rPr>
                <w:rFonts w:hAnsi="宋体" w:cs="宋体"/>
                <w:sz w:val="18"/>
                <w:szCs w:val="18"/>
              </w:rPr>
              <w:t>mm</w:t>
            </w:r>
          </w:p>
          <w:p w14:paraId="556B7647" w14:textId="39282712"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-2</w:t>
            </w:r>
            <w:r w:rsidR="00502B19">
              <w:rPr>
                <w:rFonts w:hAnsi="宋体" w:cs="宋体"/>
                <w:sz w:val="18"/>
                <w:szCs w:val="18"/>
              </w:rPr>
              <w:t>mm</w:t>
            </w:r>
          </w:p>
        </w:tc>
      </w:tr>
      <w:tr w:rsidR="00737EB2" w:rsidRPr="00765F6E" w14:paraId="089CEA5C" w14:textId="77777777" w:rsidTr="00871D47">
        <w:trPr>
          <w:trHeight w:val="176"/>
        </w:trPr>
        <w:tc>
          <w:tcPr>
            <w:tcW w:w="514" w:type="pct"/>
            <w:vMerge w:val="restart"/>
            <w:shd w:val="clear" w:color="auto" w:fill="auto"/>
            <w:vAlign w:val="center"/>
          </w:tcPr>
          <w:p w14:paraId="61D5BAB8"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w:t>
            </w:r>
          </w:p>
        </w:tc>
        <w:tc>
          <w:tcPr>
            <w:tcW w:w="737" w:type="pct"/>
            <w:vMerge w:val="restart"/>
            <w:shd w:val="clear" w:color="auto" w:fill="auto"/>
            <w:vAlign w:val="center"/>
          </w:tcPr>
          <w:p w14:paraId="5F690C3E"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轨向</w:t>
            </w:r>
          </w:p>
        </w:tc>
        <w:tc>
          <w:tcPr>
            <w:tcW w:w="1893" w:type="pct"/>
            <w:shd w:val="clear" w:color="auto" w:fill="auto"/>
            <w:vAlign w:val="center"/>
          </w:tcPr>
          <w:p w14:paraId="5C0799D6"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直线（弦长10 m）</w:t>
            </w:r>
          </w:p>
        </w:tc>
        <w:tc>
          <w:tcPr>
            <w:tcW w:w="828" w:type="pct"/>
            <w:shd w:val="clear" w:color="auto" w:fill="auto"/>
            <w:vAlign w:val="center"/>
          </w:tcPr>
          <w:p w14:paraId="2AA5957D" w14:textId="1F96C2DB" w:rsidR="00737EB2" w:rsidRPr="00765F6E" w:rsidRDefault="00737EB2" w:rsidP="00871D47">
            <w:pPr>
              <w:pStyle w:val="affffffffffff2"/>
              <w:jc w:val="center"/>
              <w:rPr>
                <w:rFonts w:hAnsi="宋体" w:cs="宋体"/>
                <w:sz w:val="18"/>
                <w:szCs w:val="18"/>
              </w:rPr>
            </w:pPr>
            <w:r w:rsidRPr="00765F6E">
              <w:rPr>
                <w:rFonts w:hAnsi="宋体" w:cs="宋体"/>
                <w:sz w:val="18"/>
                <w:szCs w:val="18"/>
              </w:rPr>
              <w:t>4</w:t>
            </w:r>
            <w:r w:rsidR="00502B19">
              <w:rPr>
                <w:rFonts w:hAnsi="宋体" w:cs="宋体"/>
                <w:sz w:val="18"/>
                <w:szCs w:val="18"/>
              </w:rPr>
              <w:t>mm</w:t>
            </w:r>
          </w:p>
        </w:tc>
        <w:tc>
          <w:tcPr>
            <w:tcW w:w="1028" w:type="pct"/>
            <w:shd w:val="clear" w:color="auto" w:fill="auto"/>
            <w:vAlign w:val="center"/>
          </w:tcPr>
          <w:p w14:paraId="2D64A1B8" w14:textId="5127979B" w:rsidR="00737EB2" w:rsidRPr="00765F6E" w:rsidRDefault="00737EB2" w:rsidP="00871D47">
            <w:pPr>
              <w:pStyle w:val="affffffffffff2"/>
              <w:jc w:val="center"/>
              <w:rPr>
                <w:rFonts w:hAnsi="宋体" w:cs="宋体"/>
                <w:sz w:val="18"/>
                <w:szCs w:val="18"/>
              </w:rPr>
            </w:pPr>
            <w:r w:rsidRPr="00765F6E">
              <w:rPr>
                <w:rFonts w:hAnsi="宋体" w:cs="宋体"/>
                <w:sz w:val="18"/>
                <w:szCs w:val="18"/>
              </w:rPr>
              <w:t>6</w:t>
            </w:r>
            <w:r w:rsidR="00502B19">
              <w:rPr>
                <w:rFonts w:hAnsi="宋体" w:cs="宋体"/>
                <w:sz w:val="18"/>
                <w:szCs w:val="18"/>
              </w:rPr>
              <w:t>mm</w:t>
            </w:r>
          </w:p>
        </w:tc>
      </w:tr>
      <w:tr w:rsidR="00737EB2" w:rsidRPr="00765F6E" w14:paraId="30A9CBCD" w14:textId="77777777" w:rsidTr="00871D47">
        <w:trPr>
          <w:trHeight w:val="176"/>
        </w:trPr>
        <w:tc>
          <w:tcPr>
            <w:tcW w:w="514" w:type="pct"/>
            <w:vMerge/>
            <w:shd w:val="clear" w:color="auto" w:fill="auto"/>
            <w:vAlign w:val="center"/>
          </w:tcPr>
          <w:p w14:paraId="06D78F16" w14:textId="77777777" w:rsidR="00737EB2" w:rsidRPr="00765F6E" w:rsidRDefault="00737EB2" w:rsidP="00871D47">
            <w:pPr>
              <w:pStyle w:val="affffffffffff2"/>
              <w:jc w:val="center"/>
              <w:rPr>
                <w:rFonts w:hAnsi="宋体" w:cs="宋体"/>
                <w:sz w:val="18"/>
                <w:szCs w:val="18"/>
              </w:rPr>
            </w:pPr>
          </w:p>
        </w:tc>
        <w:tc>
          <w:tcPr>
            <w:tcW w:w="737" w:type="pct"/>
            <w:vMerge/>
            <w:shd w:val="clear" w:color="auto" w:fill="auto"/>
            <w:vAlign w:val="center"/>
          </w:tcPr>
          <w:p w14:paraId="1698F34C" w14:textId="77777777" w:rsidR="00737EB2" w:rsidRPr="00765F6E" w:rsidRDefault="00737EB2" w:rsidP="00871D47">
            <w:pPr>
              <w:pStyle w:val="affffffffffff2"/>
              <w:jc w:val="center"/>
              <w:rPr>
                <w:rFonts w:hAnsi="宋体" w:cs="宋体"/>
                <w:sz w:val="18"/>
                <w:szCs w:val="18"/>
              </w:rPr>
            </w:pPr>
          </w:p>
        </w:tc>
        <w:tc>
          <w:tcPr>
            <w:tcW w:w="1893" w:type="pct"/>
            <w:shd w:val="clear" w:color="auto" w:fill="auto"/>
            <w:vAlign w:val="center"/>
          </w:tcPr>
          <w:p w14:paraId="04BA55D9"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支距</w:t>
            </w:r>
          </w:p>
        </w:tc>
        <w:tc>
          <w:tcPr>
            <w:tcW w:w="828" w:type="pct"/>
            <w:shd w:val="clear" w:color="auto" w:fill="auto"/>
            <w:vAlign w:val="center"/>
          </w:tcPr>
          <w:p w14:paraId="7B7C11E3" w14:textId="6551FF77" w:rsidR="00737EB2" w:rsidRPr="00765F6E" w:rsidRDefault="00737EB2" w:rsidP="00871D47">
            <w:pPr>
              <w:pStyle w:val="affffffffffff2"/>
              <w:jc w:val="center"/>
              <w:rPr>
                <w:rFonts w:hAnsi="宋体" w:cs="宋体"/>
                <w:sz w:val="18"/>
                <w:szCs w:val="18"/>
              </w:rPr>
            </w:pPr>
            <w:r w:rsidRPr="00765F6E">
              <w:rPr>
                <w:rFonts w:hAnsi="宋体" w:cs="宋体"/>
                <w:sz w:val="18"/>
                <w:szCs w:val="18"/>
              </w:rPr>
              <w:t>2</w:t>
            </w:r>
            <w:r w:rsidR="00502B19">
              <w:rPr>
                <w:rFonts w:hAnsi="宋体" w:cs="宋体"/>
                <w:sz w:val="18"/>
                <w:szCs w:val="18"/>
              </w:rPr>
              <w:t>mm</w:t>
            </w:r>
          </w:p>
        </w:tc>
        <w:tc>
          <w:tcPr>
            <w:tcW w:w="1028" w:type="pct"/>
            <w:shd w:val="clear" w:color="auto" w:fill="auto"/>
            <w:vAlign w:val="center"/>
          </w:tcPr>
          <w:p w14:paraId="61C72A2C" w14:textId="09FA84A9" w:rsidR="00737EB2" w:rsidRPr="00765F6E" w:rsidRDefault="00737EB2" w:rsidP="00871D47">
            <w:pPr>
              <w:pStyle w:val="affffffffffff2"/>
              <w:jc w:val="center"/>
              <w:rPr>
                <w:rFonts w:hAnsi="宋体" w:cs="宋体"/>
                <w:sz w:val="18"/>
                <w:szCs w:val="18"/>
              </w:rPr>
            </w:pPr>
            <w:r w:rsidRPr="00765F6E">
              <w:rPr>
                <w:rFonts w:hAnsi="宋体" w:cs="宋体"/>
                <w:sz w:val="18"/>
                <w:szCs w:val="18"/>
              </w:rPr>
              <w:t>2</w:t>
            </w:r>
            <w:r w:rsidR="00502B19">
              <w:rPr>
                <w:rFonts w:hAnsi="宋体" w:cs="宋体"/>
                <w:sz w:val="18"/>
                <w:szCs w:val="18"/>
              </w:rPr>
              <w:t>mm</w:t>
            </w:r>
          </w:p>
        </w:tc>
      </w:tr>
      <w:tr w:rsidR="00737EB2" w:rsidRPr="00765F6E" w14:paraId="2AA2F35F" w14:textId="77777777" w:rsidTr="00871D47">
        <w:trPr>
          <w:trHeight w:val="176"/>
        </w:trPr>
        <w:tc>
          <w:tcPr>
            <w:tcW w:w="514" w:type="pct"/>
            <w:shd w:val="clear" w:color="auto" w:fill="auto"/>
            <w:vAlign w:val="center"/>
          </w:tcPr>
          <w:p w14:paraId="7CFC4DF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3</w:t>
            </w:r>
          </w:p>
        </w:tc>
        <w:tc>
          <w:tcPr>
            <w:tcW w:w="737" w:type="pct"/>
            <w:shd w:val="clear" w:color="auto" w:fill="auto"/>
            <w:vAlign w:val="center"/>
          </w:tcPr>
          <w:p w14:paraId="7646E18D"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高低</w:t>
            </w:r>
          </w:p>
        </w:tc>
        <w:tc>
          <w:tcPr>
            <w:tcW w:w="1893" w:type="pct"/>
            <w:shd w:val="clear" w:color="auto" w:fill="auto"/>
            <w:vAlign w:val="center"/>
          </w:tcPr>
          <w:p w14:paraId="1847D7AF"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弦长10 m</w:t>
            </w:r>
          </w:p>
        </w:tc>
        <w:tc>
          <w:tcPr>
            <w:tcW w:w="828" w:type="pct"/>
            <w:shd w:val="clear" w:color="auto" w:fill="auto"/>
            <w:vAlign w:val="center"/>
          </w:tcPr>
          <w:p w14:paraId="172A18FD" w14:textId="52FCAF85" w:rsidR="00737EB2" w:rsidRPr="00765F6E" w:rsidRDefault="00737EB2" w:rsidP="00871D47">
            <w:pPr>
              <w:pStyle w:val="affffffffffff2"/>
              <w:jc w:val="center"/>
              <w:rPr>
                <w:rFonts w:hAnsi="宋体" w:cs="宋体"/>
                <w:sz w:val="18"/>
                <w:szCs w:val="18"/>
              </w:rPr>
            </w:pPr>
            <w:r w:rsidRPr="00765F6E">
              <w:rPr>
                <w:rFonts w:hAnsi="宋体" w:cs="宋体"/>
                <w:sz w:val="18"/>
                <w:szCs w:val="18"/>
              </w:rPr>
              <w:t>4</w:t>
            </w:r>
            <w:r w:rsidR="00502B19">
              <w:rPr>
                <w:rFonts w:hAnsi="宋体" w:cs="宋体"/>
                <w:sz w:val="18"/>
                <w:szCs w:val="18"/>
              </w:rPr>
              <w:t>mm</w:t>
            </w:r>
          </w:p>
        </w:tc>
        <w:tc>
          <w:tcPr>
            <w:tcW w:w="1028" w:type="pct"/>
            <w:shd w:val="clear" w:color="auto" w:fill="auto"/>
            <w:vAlign w:val="center"/>
          </w:tcPr>
          <w:p w14:paraId="450D4F2B" w14:textId="6644EE55" w:rsidR="00737EB2" w:rsidRPr="00765F6E" w:rsidRDefault="00737EB2" w:rsidP="00871D47">
            <w:pPr>
              <w:pStyle w:val="affffffffffff2"/>
              <w:jc w:val="center"/>
              <w:rPr>
                <w:rFonts w:hAnsi="宋体" w:cs="宋体"/>
                <w:sz w:val="18"/>
                <w:szCs w:val="18"/>
              </w:rPr>
            </w:pPr>
            <w:r w:rsidRPr="00765F6E">
              <w:rPr>
                <w:rFonts w:hAnsi="宋体" w:cs="宋体"/>
                <w:sz w:val="18"/>
                <w:szCs w:val="18"/>
              </w:rPr>
              <w:t>6</w:t>
            </w:r>
            <w:r w:rsidR="00502B19">
              <w:rPr>
                <w:rFonts w:hAnsi="宋体" w:cs="宋体"/>
                <w:sz w:val="18"/>
                <w:szCs w:val="18"/>
              </w:rPr>
              <w:t>mm</w:t>
            </w:r>
          </w:p>
        </w:tc>
      </w:tr>
      <w:tr w:rsidR="00737EB2" w:rsidRPr="00765F6E" w14:paraId="18358219" w14:textId="77777777" w:rsidTr="00871D47">
        <w:trPr>
          <w:trHeight w:val="176"/>
        </w:trPr>
        <w:tc>
          <w:tcPr>
            <w:tcW w:w="514" w:type="pct"/>
            <w:tcBorders>
              <w:bottom w:val="single" w:sz="8" w:space="0" w:color="auto"/>
            </w:tcBorders>
            <w:shd w:val="clear" w:color="auto" w:fill="auto"/>
            <w:vAlign w:val="center"/>
          </w:tcPr>
          <w:p w14:paraId="485F59AE"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4</w:t>
            </w:r>
          </w:p>
        </w:tc>
        <w:tc>
          <w:tcPr>
            <w:tcW w:w="2630" w:type="pct"/>
            <w:gridSpan w:val="2"/>
            <w:tcBorders>
              <w:bottom w:val="single" w:sz="8" w:space="0" w:color="auto"/>
            </w:tcBorders>
            <w:shd w:val="clear" w:color="auto" w:fill="auto"/>
            <w:vAlign w:val="center"/>
          </w:tcPr>
          <w:p w14:paraId="0D003DB5"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水平</w:t>
            </w:r>
          </w:p>
        </w:tc>
        <w:tc>
          <w:tcPr>
            <w:tcW w:w="828" w:type="pct"/>
            <w:tcBorders>
              <w:bottom w:val="single" w:sz="8" w:space="0" w:color="auto"/>
            </w:tcBorders>
            <w:shd w:val="clear" w:color="auto" w:fill="auto"/>
            <w:vAlign w:val="center"/>
          </w:tcPr>
          <w:p w14:paraId="5D4C05E5" w14:textId="5A4B1DE7" w:rsidR="00737EB2" w:rsidRPr="00765F6E" w:rsidRDefault="00737EB2" w:rsidP="00871D47">
            <w:pPr>
              <w:pStyle w:val="affffffffffff2"/>
              <w:jc w:val="center"/>
              <w:rPr>
                <w:rFonts w:hAnsi="宋体" w:cs="宋体"/>
                <w:sz w:val="18"/>
                <w:szCs w:val="18"/>
              </w:rPr>
            </w:pPr>
            <w:r w:rsidRPr="00765F6E">
              <w:rPr>
                <w:rFonts w:hAnsi="宋体" w:cs="宋体"/>
                <w:sz w:val="18"/>
                <w:szCs w:val="18"/>
              </w:rPr>
              <w:t>4</w:t>
            </w:r>
            <w:r w:rsidR="00502B19">
              <w:rPr>
                <w:rFonts w:hAnsi="宋体" w:cs="宋体"/>
                <w:sz w:val="18"/>
                <w:szCs w:val="18"/>
              </w:rPr>
              <w:t>mm</w:t>
            </w:r>
          </w:p>
        </w:tc>
        <w:tc>
          <w:tcPr>
            <w:tcW w:w="1028" w:type="pct"/>
            <w:tcBorders>
              <w:bottom w:val="single" w:sz="8" w:space="0" w:color="auto"/>
            </w:tcBorders>
            <w:shd w:val="clear" w:color="auto" w:fill="auto"/>
            <w:vAlign w:val="center"/>
          </w:tcPr>
          <w:p w14:paraId="488B046C" w14:textId="2B081E3A" w:rsidR="00737EB2" w:rsidRPr="00765F6E" w:rsidRDefault="00737EB2" w:rsidP="00871D47">
            <w:pPr>
              <w:pStyle w:val="affffffffffff2"/>
              <w:jc w:val="center"/>
              <w:rPr>
                <w:rFonts w:hAnsi="宋体" w:cs="宋体"/>
                <w:sz w:val="18"/>
                <w:szCs w:val="18"/>
              </w:rPr>
            </w:pPr>
            <w:r w:rsidRPr="00765F6E">
              <w:rPr>
                <w:rFonts w:hAnsi="宋体" w:cs="宋体"/>
                <w:sz w:val="18"/>
                <w:szCs w:val="18"/>
              </w:rPr>
              <w:t>6</w:t>
            </w:r>
            <w:r w:rsidR="00502B19">
              <w:rPr>
                <w:rFonts w:hAnsi="宋体" w:cs="宋体"/>
                <w:sz w:val="18"/>
                <w:szCs w:val="18"/>
              </w:rPr>
              <w:t>mm</w:t>
            </w:r>
          </w:p>
        </w:tc>
      </w:tr>
    </w:tbl>
    <w:p w14:paraId="57CCAAE9" w14:textId="77777777" w:rsidR="00737EB2" w:rsidRPr="00765F6E" w:rsidRDefault="00737EB2" w:rsidP="00737EB2">
      <w:pPr>
        <w:spacing w:line="240" w:lineRule="auto"/>
      </w:pPr>
    </w:p>
    <w:p w14:paraId="61C57E77" w14:textId="77777777" w:rsidR="00737EB2" w:rsidRPr="00765F6E" w:rsidRDefault="00737EB2" w:rsidP="00737EB2">
      <w:pPr>
        <w:pStyle w:val="affe"/>
        <w:spacing w:before="156" w:after="156"/>
      </w:pPr>
      <w:bookmarkStart w:id="890" w:name="_Toc153291168"/>
      <w:bookmarkStart w:id="891" w:name="_Toc153210848"/>
      <w:bookmarkStart w:id="892" w:name="_Toc99791737"/>
      <w:bookmarkStart w:id="893" w:name="_Toc167895746"/>
      <w:bookmarkStart w:id="894" w:name="_Toc174538660"/>
      <w:bookmarkStart w:id="895" w:name="_Toc182476414"/>
      <w:r w:rsidRPr="00765F6E">
        <w:rPr>
          <w:rFonts w:hint="eastAsia"/>
        </w:rPr>
        <w:t>轨道部件</w:t>
      </w:r>
      <w:bookmarkEnd w:id="890"/>
      <w:bookmarkEnd w:id="891"/>
      <w:bookmarkEnd w:id="892"/>
      <w:bookmarkEnd w:id="893"/>
      <w:bookmarkEnd w:id="894"/>
      <w:bookmarkEnd w:id="895"/>
    </w:p>
    <w:p w14:paraId="7091828E" w14:textId="77777777" w:rsidR="00737EB2" w:rsidRPr="00765F6E" w:rsidRDefault="00737EB2" w:rsidP="009D0776">
      <w:pPr>
        <w:pStyle w:val="22"/>
      </w:pPr>
      <w:bookmarkStart w:id="896" w:name="_Toc99791738"/>
      <w:bookmarkStart w:id="897" w:name="_Toc153291169"/>
      <w:r w:rsidRPr="00765F6E">
        <w:rPr>
          <w:rFonts w:hint="eastAsia"/>
        </w:rPr>
        <w:t>钢轨及配件符合下列规定：</w:t>
      </w:r>
      <w:bookmarkEnd w:id="896"/>
      <w:bookmarkEnd w:id="897"/>
    </w:p>
    <w:p w14:paraId="194A6DEF" w14:textId="5FEA47EC" w:rsidR="00737EB2" w:rsidRPr="00765F6E" w:rsidRDefault="002E6631" w:rsidP="003334F3">
      <w:pPr>
        <w:pStyle w:val="af6"/>
        <w:numPr>
          <w:ilvl w:val="0"/>
          <w:numId w:val="71"/>
        </w:numPr>
        <w:tabs>
          <w:tab w:val="left" w:pos="851"/>
        </w:tabs>
        <w:snapToGrid w:val="0"/>
        <w:contextualSpacing/>
      </w:pPr>
      <w:r w:rsidRPr="00453DBE">
        <w:rPr>
          <w:rFonts w:hint="eastAsia"/>
        </w:rPr>
        <w:t>正线、出入线、联络线、动态试验线及到发线宜采用60kg/m、强度等级不小于880MPa的</w:t>
      </w:r>
      <w:r w:rsidRPr="001D453C">
        <w:rPr>
          <w:rFonts w:hint="eastAsia"/>
        </w:rPr>
        <w:t>的钢轨</w:t>
      </w:r>
      <w:r w:rsidR="00737EB2" w:rsidRPr="00765F6E">
        <w:rPr>
          <w:rFonts w:hint="eastAsia"/>
        </w:rPr>
        <w:t>；</w:t>
      </w:r>
    </w:p>
    <w:p w14:paraId="5768367A" w14:textId="4B1B679D" w:rsidR="00737EB2" w:rsidRPr="00765F6E" w:rsidRDefault="00737EB2" w:rsidP="003334F3">
      <w:pPr>
        <w:pStyle w:val="af6"/>
        <w:numPr>
          <w:ilvl w:val="0"/>
          <w:numId w:val="71"/>
        </w:numPr>
        <w:tabs>
          <w:tab w:val="left" w:pos="851"/>
        </w:tabs>
        <w:snapToGrid w:val="0"/>
        <w:contextualSpacing/>
      </w:pPr>
      <w:r w:rsidRPr="00765F6E">
        <w:rPr>
          <w:rFonts w:hint="eastAsia"/>
        </w:rPr>
        <w:t>车场线宜采用50kg/m钢轨，强度等级不小于880MPa</w:t>
      </w:r>
      <w:r w:rsidR="0057104A">
        <w:rPr>
          <w:rFonts w:hint="eastAsia"/>
        </w:rPr>
        <w:t>；</w:t>
      </w:r>
    </w:p>
    <w:p w14:paraId="53FEB931" w14:textId="77777777" w:rsidR="00737EB2" w:rsidRPr="00765F6E" w:rsidRDefault="00737EB2" w:rsidP="003334F3">
      <w:pPr>
        <w:pStyle w:val="af6"/>
        <w:numPr>
          <w:ilvl w:val="0"/>
          <w:numId w:val="71"/>
        </w:numPr>
        <w:tabs>
          <w:tab w:val="left" w:pos="851"/>
        </w:tabs>
        <w:snapToGrid w:val="0"/>
        <w:contextualSpacing/>
      </w:pPr>
      <w:r w:rsidRPr="00765F6E">
        <w:rPr>
          <w:rFonts w:hint="eastAsia"/>
        </w:rPr>
        <w:t>无缝线路宜选用100m、25m定尺长钢轨，有缝线路宜选用25m定尺长钢轨。</w:t>
      </w:r>
    </w:p>
    <w:p w14:paraId="6E136297" w14:textId="77777777" w:rsidR="00737EB2" w:rsidRPr="00765F6E" w:rsidRDefault="00737EB2" w:rsidP="009D0776">
      <w:pPr>
        <w:pStyle w:val="22"/>
      </w:pPr>
      <w:bookmarkStart w:id="898" w:name="_Toc153291170"/>
      <w:bookmarkStart w:id="899" w:name="_Toc99791739"/>
      <w:r w:rsidRPr="00765F6E">
        <w:rPr>
          <w:rFonts w:hint="eastAsia"/>
        </w:rPr>
        <w:t>扣件系统符合下列规定：</w:t>
      </w:r>
      <w:bookmarkEnd w:id="898"/>
      <w:bookmarkEnd w:id="899"/>
    </w:p>
    <w:p w14:paraId="78BA3A3B" w14:textId="77777777" w:rsidR="00737EB2" w:rsidRPr="00765F6E" w:rsidRDefault="00737EB2" w:rsidP="003334F3">
      <w:pPr>
        <w:pStyle w:val="af6"/>
        <w:numPr>
          <w:ilvl w:val="0"/>
          <w:numId w:val="72"/>
        </w:numPr>
        <w:tabs>
          <w:tab w:val="left" w:pos="851"/>
        </w:tabs>
        <w:snapToGrid w:val="0"/>
        <w:contextualSpacing/>
      </w:pPr>
      <w:r w:rsidRPr="00765F6E">
        <w:rPr>
          <w:rFonts w:hint="eastAsia"/>
        </w:rPr>
        <w:t>扣件结构应力求简单，并应具有足够的强度和扣压力、适量的弹性和调整量，并应满足绝缘和防锈防腐要求；</w:t>
      </w:r>
    </w:p>
    <w:p w14:paraId="1B58E18C" w14:textId="77777777" w:rsidR="00737EB2" w:rsidRPr="00765F6E" w:rsidRDefault="00737EB2" w:rsidP="003334F3">
      <w:pPr>
        <w:pStyle w:val="af6"/>
        <w:numPr>
          <w:ilvl w:val="0"/>
          <w:numId w:val="72"/>
        </w:numPr>
        <w:tabs>
          <w:tab w:val="left" w:pos="851"/>
        </w:tabs>
        <w:snapToGrid w:val="0"/>
        <w:contextualSpacing/>
      </w:pPr>
      <w:r w:rsidRPr="00765F6E">
        <w:rPr>
          <w:rFonts w:hint="eastAsia"/>
        </w:rPr>
        <w:t>无砟轨道应采用调整量较大的弹性扣件；</w:t>
      </w:r>
    </w:p>
    <w:p w14:paraId="3BD171EE" w14:textId="77777777" w:rsidR="00737EB2" w:rsidRPr="00765F6E" w:rsidRDefault="00737EB2" w:rsidP="003334F3">
      <w:pPr>
        <w:pStyle w:val="af6"/>
        <w:numPr>
          <w:ilvl w:val="0"/>
          <w:numId w:val="72"/>
        </w:numPr>
        <w:tabs>
          <w:tab w:val="left" w:pos="851"/>
        </w:tabs>
        <w:snapToGrid w:val="0"/>
        <w:contextualSpacing/>
      </w:pPr>
      <w:r w:rsidRPr="00765F6E">
        <w:rPr>
          <w:rFonts w:hint="eastAsia"/>
        </w:rPr>
        <w:t>有砟轨道铺设60kg/m或60N钢轨时，宜采用弹条Ⅱ型扣件(配Ⅲa型轨枕)，直线、R≥600m地段弹性垫层静刚度宜为55kN/mm～80kN/mm，295m≤R＜600m地段弹性垫层静刚度应为 90kN/mm～120kN/mm，接头处弹性垫层静刚度应为40kN/mm～60kN/mm；</w:t>
      </w:r>
    </w:p>
    <w:p w14:paraId="6D0C8888" w14:textId="77777777" w:rsidR="00737EB2" w:rsidRPr="00765F6E" w:rsidRDefault="00737EB2" w:rsidP="003334F3">
      <w:pPr>
        <w:pStyle w:val="af6"/>
        <w:numPr>
          <w:ilvl w:val="0"/>
          <w:numId w:val="72"/>
        </w:numPr>
        <w:tabs>
          <w:tab w:val="left" w:pos="851"/>
        </w:tabs>
        <w:snapToGrid w:val="0"/>
        <w:contextualSpacing/>
      </w:pPr>
      <w:r w:rsidRPr="00765F6E">
        <w:rPr>
          <w:rFonts w:hint="eastAsia"/>
        </w:rPr>
        <w:t>有砟轨道铺设50kg/m钢轨时，宜采用弹条I型扣件，弹性垫层静刚度应为 90kN/mm～120kN/mm；</w:t>
      </w:r>
    </w:p>
    <w:p w14:paraId="14DEB7C7" w14:textId="0B237A6F" w:rsidR="00737EB2" w:rsidRPr="00765F6E" w:rsidRDefault="00737EB2" w:rsidP="003334F3">
      <w:pPr>
        <w:pStyle w:val="af6"/>
        <w:numPr>
          <w:ilvl w:val="0"/>
          <w:numId w:val="72"/>
        </w:numPr>
        <w:tabs>
          <w:tab w:val="left" w:pos="851"/>
        </w:tabs>
        <w:snapToGrid w:val="0"/>
        <w:contextualSpacing/>
      </w:pPr>
      <w:r w:rsidRPr="00765F6E">
        <w:rPr>
          <w:rFonts w:hint="eastAsia"/>
        </w:rPr>
        <w:t>无砟轨道地段扣件弹性垫层静刚度宜采用</w:t>
      </w:r>
      <w:r w:rsidRPr="001D453C">
        <w:t>20</w:t>
      </w:r>
      <w:r w:rsidR="002E6631" w:rsidRPr="00453DBE">
        <w:t>kN/mm</w:t>
      </w:r>
      <w:r w:rsidRPr="001D453C">
        <w:rPr>
          <w:rFonts w:hint="eastAsia"/>
        </w:rPr>
        <w:t>～</w:t>
      </w:r>
      <w:r w:rsidRPr="009B2CC3">
        <w:rPr>
          <w:rFonts w:hint="eastAsia"/>
        </w:rPr>
        <w:t>30kN/mm；</w:t>
      </w:r>
    </w:p>
    <w:p w14:paraId="3F3D1633" w14:textId="77777777" w:rsidR="00737EB2" w:rsidRPr="00765F6E" w:rsidRDefault="00737EB2" w:rsidP="003334F3">
      <w:pPr>
        <w:pStyle w:val="af6"/>
        <w:numPr>
          <w:ilvl w:val="0"/>
          <w:numId w:val="72"/>
        </w:numPr>
        <w:tabs>
          <w:tab w:val="left" w:pos="851"/>
        </w:tabs>
        <w:snapToGrid w:val="0"/>
        <w:contextualSpacing/>
      </w:pPr>
      <w:r w:rsidRPr="00765F6E">
        <w:rPr>
          <w:rFonts w:hint="eastAsia"/>
        </w:rPr>
        <w:t>大跨度桥梁或特殊桥梁地段根据无缝线路设计要求采用小阻力扣件；</w:t>
      </w:r>
    </w:p>
    <w:p w14:paraId="25897241" w14:textId="77777777" w:rsidR="00737EB2" w:rsidRPr="00765F6E" w:rsidRDefault="00737EB2" w:rsidP="003334F3">
      <w:pPr>
        <w:pStyle w:val="af6"/>
        <w:numPr>
          <w:ilvl w:val="0"/>
          <w:numId w:val="72"/>
        </w:numPr>
        <w:tabs>
          <w:tab w:val="left" w:pos="851"/>
        </w:tabs>
        <w:snapToGrid w:val="0"/>
        <w:contextualSpacing/>
      </w:pPr>
      <w:r w:rsidRPr="00765F6E">
        <w:rPr>
          <w:rFonts w:hint="eastAsia"/>
        </w:rPr>
        <w:t>隧道内扣件应加强防腐措施。</w:t>
      </w:r>
    </w:p>
    <w:p w14:paraId="24F0E548" w14:textId="77777777" w:rsidR="00737EB2" w:rsidRPr="00765F6E" w:rsidRDefault="00737EB2" w:rsidP="009D0776">
      <w:pPr>
        <w:pStyle w:val="22"/>
      </w:pPr>
      <w:bookmarkStart w:id="900" w:name="_Toc153291171"/>
      <w:bookmarkStart w:id="901" w:name="_Toc99791740"/>
      <w:r w:rsidRPr="00765F6E">
        <w:rPr>
          <w:rFonts w:hint="eastAsia"/>
        </w:rPr>
        <w:t>轨枕型式符合下列规定：</w:t>
      </w:r>
      <w:bookmarkEnd w:id="900"/>
      <w:bookmarkEnd w:id="901"/>
    </w:p>
    <w:p w14:paraId="42E4B537" w14:textId="15429525" w:rsidR="00204DCC" w:rsidRPr="00765F6E" w:rsidRDefault="00204DCC" w:rsidP="003334F3">
      <w:pPr>
        <w:pStyle w:val="af6"/>
        <w:numPr>
          <w:ilvl w:val="0"/>
          <w:numId w:val="73"/>
        </w:numPr>
        <w:tabs>
          <w:tab w:val="left" w:pos="851"/>
        </w:tabs>
        <w:snapToGrid w:val="0"/>
        <w:contextualSpacing/>
      </w:pPr>
      <w:r w:rsidRPr="00453DBE">
        <w:rPr>
          <w:rFonts w:hint="eastAsia"/>
        </w:rPr>
        <w:t>有砟轨道设计速度120km/h＜V≤160km/h地段宜采用Ⅲa型轨枕、设计速度100km/h＜V</w:t>
      </w:r>
      <w:r w:rsidR="00737EB2" w:rsidRPr="00A7607F">
        <w:rPr>
          <w:rFonts w:hint="eastAsia"/>
        </w:rPr>
        <w:t>≤</w:t>
      </w:r>
      <w:r w:rsidR="00737EB2" w:rsidRPr="00765F6E">
        <w:rPr>
          <w:rFonts w:hint="eastAsia"/>
        </w:rPr>
        <w:t>120km/h速度地段可采用Ⅲ型或新Ⅱ型预应力混凝土轨枕；</w:t>
      </w:r>
    </w:p>
    <w:p w14:paraId="2741CE10" w14:textId="77777777" w:rsidR="00737EB2" w:rsidRPr="00765F6E" w:rsidRDefault="00737EB2" w:rsidP="003334F3">
      <w:pPr>
        <w:pStyle w:val="af6"/>
        <w:numPr>
          <w:ilvl w:val="0"/>
          <w:numId w:val="73"/>
        </w:numPr>
        <w:tabs>
          <w:tab w:val="left" w:pos="851"/>
        </w:tabs>
        <w:snapToGrid w:val="0"/>
        <w:contextualSpacing/>
      </w:pPr>
      <w:r w:rsidRPr="00765F6E">
        <w:rPr>
          <w:rFonts w:hint="eastAsia"/>
        </w:rPr>
        <w:t>正线无砟道床地段宜采用双块式轨枕或预应力钢筋混凝土长轨枕，混凝土强度等级不应低于C60。车场线无砟道床地段宜采用钢筋混凝土短轨枕，混凝土强度等级不应低于C50；</w:t>
      </w:r>
    </w:p>
    <w:p w14:paraId="228B16A1" w14:textId="36605641" w:rsidR="00737EB2" w:rsidRPr="00765F6E" w:rsidRDefault="00737EB2" w:rsidP="003334F3">
      <w:pPr>
        <w:pStyle w:val="af6"/>
        <w:numPr>
          <w:ilvl w:val="0"/>
          <w:numId w:val="73"/>
        </w:numPr>
        <w:tabs>
          <w:tab w:val="left" w:pos="851"/>
        </w:tabs>
        <w:snapToGrid w:val="0"/>
        <w:contextualSpacing/>
      </w:pPr>
      <w:r w:rsidRPr="00765F6E">
        <w:rPr>
          <w:rFonts w:hint="eastAsia"/>
        </w:rPr>
        <w:t>每公里轨枕铺设数量应符合表</w:t>
      </w:r>
      <w:r w:rsidR="00E512B4" w:rsidRPr="00765F6E">
        <w:rPr>
          <w:rFonts w:hint="eastAsia"/>
        </w:rPr>
        <w:t>2</w:t>
      </w:r>
      <w:r w:rsidR="00E512B4">
        <w:t>9</w:t>
      </w:r>
      <w:r w:rsidRPr="00765F6E">
        <w:rPr>
          <w:rFonts w:hint="eastAsia"/>
        </w:rPr>
        <w:t>的规定。</w:t>
      </w:r>
    </w:p>
    <w:p w14:paraId="4CEFD7A8" w14:textId="77777777" w:rsidR="00737EB2" w:rsidRPr="00765F6E" w:rsidRDefault="00737EB2" w:rsidP="00737EB2">
      <w:pPr>
        <w:pStyle w:val="aff3"/>
        <w:spacing w:before="156" w:after="156"/>
      </w:pPr>
      <w:r w:rsidRPr="00765F6E">
        <w:rPr>
          <w:rFonts w:hint="eastAsia"/>
        </w:rPr>
        <w:t>每公里轨枕铺设数量</w:t>
      </w:r>
    </w:p>
    <w:p w14:paraId="28313893" w14:textId="623A8A03" w:rsidR="00737EB2" w:rsidRPr="00765F6E" w:rsidRDefault="00737EB2" w:rsidP="00ED2D3D">
      <w:pPr>
        <w:pStyle w:val="aff3"/>
        <w:numPr>
          <w:ilvl w:val="0"/>
          <w:numId w:val="0"/>
        </w:numPr>
        <w:spacing w:beforeLines="0" w:before="0" w:afterLines="0" w:after="0"/>
        <w:ind w:left="5528"/>
        <w:jc w:val="right"/>
        <w:rPr>
          <w:rFonts w:ascii="宋体" w:eastAsia="宋体" w:hAnsi="宋体" w:cs="宋体"/>
          <w:sz w:val="18"/>
          <w:szCs w:val="18"/>
        </w:rPr>
      </w:pPr>
      <w:r w:rsidRPr="00765F6E">
        <w:rPr>
          <w:rFonts w:ascii="宋体" w:eastAsia="宋体" w:hAnsi="宋体" w:cs="宋体" w:hint="eastAsia"/>
          <w:sz w:val="18"/>
          <w:szCs w:val="18"/>
        </w:rPr>
        <w:t>单位为根</w:t>
      </w:r>
      <w:r w:rsidR="00204DCC">
        <w:rPr>
          <w:rFonts w:ascii="宋体" w:eastAsia="宋体" w:hAnsi="宋体" w:cs="宋体" w:hint="eastAsia"/>
          <w:sz w:val="18"/>
          <w:szCs w:val="18"/>
        </w:rPr>
        <w:t>（对）</w:t>
      </w:r>
      <w:r w:rsidRPr="00765F6E">
        <w:rPr>
          <w:rFonts w:ascii="宋体" w:eastAsia="宋体" w:hAnsi="宋体" w:cs="宋体" w:hint="eastAsia"/>
          <w:sz w:val="18"/>
          <w:szCs w:val="18"/>
        </w:rPr>
        <w:t>每千米</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630"/>
        <w:gridCol w:w="954"/>
        <w:gridCol w:w="1282"/>
        <w:gridCol w:w="1943"/>
        <w:gridCol w:w="2126"/>
        <w:gridCol w:w="1277"/>
        <w:gridCol w:w="1122"/>
      </w:tblGrid>
      <w:tr w:rsidR="00737EB2" w:rsidRPr="00765F6E" w14:paraId="00C5BD68" w14:textId="77777777" w:rsidTr="00BF0BA3">
        <w:trPr>
          <w:trHeight w:val="176"/>
        </w:trPr>
        <w:tc>
          <w:tcPr>
            <w:tcW w:w="1535" w:type="pct"/>
            <w:gridSpan w:val="3"/>
            <w:vMerge w:val="restart"/>
            <w:tcBorders>
              <w:top w:val="single" w:sz="8" w:space="0" w:color="auto"/>
              <w:bottom w:val="single" w:sz="4" w:space="0" w:color="auto"/>
            </w:tcBorders>
            <w:shd w:val="clear" w:color="auto" w:fill="auto"/>
            <w:vAlign w:val="center"/>
          </w:tcPr>
          <w:p w14:paraId="0354328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道床型式</w:t>
            </w:r>
          </w:p>
        </w:tc>
        <w:tc>
          <w:tcPr>
            <w:tcW w:w="2180" w:type="pct"/>
            <w:gridSpan w:val="2"/>
            <w:tcBorders>
              <w:top w:val="single" w:sz="8" w:space="0" w:color="auto"/>
              <w:bottom w:val="single" w:sz="4" w:space="0" w:color="auto"/>
            </w:tcBorders>
            <w:shd w:val="clear" w:color="auto" w:fill="auto"/>
            <w:vAlign w:val="center"/>
          </w:tcPr>
          <w:p w14:paraId="50221CD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正线、出入线、联络线、动态试验线</w:t>
            </w:r>
          </w:p>
        </w:tc>
        <w:tc>
          <w:tcPr>
            <w:tcW w:w="684" w:type="pct"/>
            <w:vMerge w:val="restart"/>
            <w:tcBorders>
              <w:top w:val="single" w:sz="8" w:space="0" w:color="auto"/>
              <w:bottom w:val="single" w:sz="8" w:space="0" w:color="auto"/>
            </w:tcBorders>
            <w:shd w:val="clear" w:color="auto" w:fill="auto"/>
            <w:vAlign w:val="center"/>
          </w:tcPr>
          <w:p w14:paraId="47B90A65"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到发线、其他配线</w:t>
            </w:r>
          </w:p>
        </w:tc>
        <w:tc>
          <w:tcPr>
            <w:tcW w:w="601" w:type="pct"/>
            <w:vMerge w:val="restart"/>
            <w:tcBorders>
              <w:top w:val="single" w:sz="8" w:space="0" w:color="auto"/>
              <w:bottom w:val="single" w:sz="8" w:space="0" w:color="auto"/>
            </w:tcBorders>
            <w:shd w:val="clear" w:color="auto" w:fill="auto"/>
            <w:vAlign w:val="center"/>
          </w:tcPr>
          <w:p w14:paraId="20D0AE91"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车场线</w:t>
            </w:r>
          </w:p>
        </w:tc>
      </w:tr>
      <w:tr w:rsidR="00737EB2" w:rsidRPr="00765F6E" w14:paraId="2FAFA321" w14:textId="77777777" w:rsidTr="00BF0BA3">
        <w:trPr>
          <w:trHeight w:val="176"/>
        </w:trPr>
        <w:tc>
          <w:tcPr>
            <w:tcW w:w="1535" w:type="pct"/>
            <w:gridSpan w:val="3"/>
            <w:vMerge/>
            <w:tcBorders>
              <w:top w:val="single" w:sz="4" w:space="0" w:color="auto"/>
              <w:bottom w:val="single" w:sz="8" w:space="0" w:color="auto"/>
            </w:tcBorders>
            <w:shd w:val="clear" w:color="auto" w:fill="auto"/>
            <w:vAlign w:val="center"/>
          </w:tcPr>
          <w:p w14:paraId="3CFFF242" w14:textId="77777777" w:rsidR="00737EB2" w:rsidRPr="00765F6E" w:rsidRDefault="00737EB2" w:rsidP="00871D47">
            <w:pPr>
              <w:jc w:val="center"/>
              <w:rPr>
                <w:rFonts w:ascii="宋体" w:hAnsi="宋体"/>
                <w:sz w:val="18"/>
                <w:szCs w:val="18"/>
              </w:rPr>
            </w:pPr>
          </w:p>
        </w:tc>
        <w:tc>
          <w:tcPr>
            <w:tcW w:w="1041" w:type="pct"/>
            <w:tcBorders>
              <w:top w:val="single" w:sz="4" w:space="0" w:color="auto"/>
              <w:bottom w:val="single" w:sz="8" w:space="0" w:color="auto"/>
            </w:tcBorders>
            <w:shd w:val="clear" w:color="auto" w:fill="auto"/>
            <w:vAlign w:val="center"/>
          </w:tcPr>
          <w:p w14:paraId="41FD9FA6"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直线、</w:t>
            </w:r>
            <w:r w:rsidRPr="00765F6E">
              <w:rPr>
                <w:rFonts w:hAnsi="宋体" w:cs="宋体"/>
                <w:sz w:val="18"/>
                <w:szCs w:val="18"/>
              </w:rPr>
              <w:t>R&gt;400m</w:t>
            </w:r>
            <w:r w:rsidRPr="00765F6E">
              <w:rPr>
                <w:rFonts w:hAnsi="宋体" w:cs="宋体" w:hint="eastAsia"/>
                <w:sz w:val="18"/>
                <w:szCs w:val="18"/>
              </w:rPr>
              <w:t>且坡度</w:t>
            </w:r>
            <w:proofErr w:type="spellStart"/>
            <w:r w:rsidRPr="00765F6E">
              <w:rPr>
                <w:rFonts w:hAnsi="宋体" w:cs="宋体"/>
                <w:sz w:val="18"/>
                <w:szCs w:val="18"/>
              </w:rPr>
              <w:t>i</w:t>
            </w:r>
            <w:proofErr w:type="spellEnd"/>
            <w:r w:rsidRPr="00765F6E">
              <w:rPr>
                <w:rFonts w:hAnsi="宋体" w:cs="宋体"/>
                <w:sz w:val="18"/>
                <w:szCs w:val="18"/>
              </w:rPr>
              <w:t>&lt;20‰</w:t>
            </w:r>
          </w:p>
        </w:tc>
        <w:tc>
          <w:tcPr>
            <w:tcW w:w="1138" w:type="pct"/>
            <w:tcBorders>
              <w:top w:val="single" w:sz="4" w:space="0" w:color="auto"/>
              <w:bottom w:val="single" w:sz="8" w:space="0" w:color="auto"/>
            </w:tcBorders>
            <w:shd w:val="clear" w:color="auto" w:fill="auto"/>
            <w:vAlign w:val="center"/>
          </w:tcPr>
          <w:p w14:paraId="39E2882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R≤</w:t>
            </w:r>
            <w:r w:rsidRPr="00765F6E">
              <w:rPr>
                <w:rFonts w:hAnsi="宋体" w:cs="宋体"/>
                <w:sz w:val="18"/>
                <w:szCs w:val="18"/>
              </w:rPr>
              <w:t>400m</w:t>
            </w:r>
            <w:r w:rsidRPr="00765F6E">
              <w:rPr>
                <w:rFonts w:hAnsi="宋体" w:cs="宋体" w:hint="eastAsia"/>
                <w:sz w:val="18"/>
                <w:szCs w:val="18"/>
              </w:rPr>
              <w:t>或坡度</w:t>
            </w:r>
            <w:r w:rsidRPr="00765F6E">
              <w:rPr>
                <w:rFonts w:hAnsi="宋体" w:cs="宋体"/>
                <w:sz w:val="18"/>
                <w:szCs w:val="18"/>
              </w:rPr>
              <w:t>i≥20‰</w:t>
            </w:r>
          </w:p>
        </w:tc>
        <w:tc>
          <w:tcPr>
            <w:tcW w:w="684" w:type="pct"/>
            <w:vMerge/>
            <w:tcBorders>
              <w:top w:val="single" w:sz="4" w:space="0" w:color="auto"/>
              <w:bottom w:val="single" w:sz="8" w:space="0" w:color="auto"/>
            </w:tcBorders>
            <w:shd w:val="clear" w:color="auto" w:fill="auto"/>
            <w:vAlign w:val="center"/>
          </w:tcPr>
          <w:p w14:paraId="428E531A" w14:textId="77777777" w:rsidR="00737EB2" w:rsidRPr="00765F6E" w:rsidRDefault="00737EB2" w:rsidP="00871D47">
            <w:pPr>
              <w:jc w:val="center"/>
              <w:rPr>
                <w:rFonts w:ascii="宋体" w:hAnsi="宋体"/>
                <w:sz w:val="18"/>
                <w:szCs w:val="18"/>
              </w:rPr>
            </w:pPr>
          </w:p>
        </w:tc>
        <w:tc>
          <w:tcPr>
            <w:tcW w:w="601" w:type="pct"/>
            <w:vMerge/>
            <w:tcBorders>
              <w:top w:val="single" w:sz="4" w:space="0" w:color="auto"/>
              <w:bottom w:val="single" w:sz="8" w:space="0" w:color="auto"/>
            </w:tcBorders>
            <w:shd w:val="clear" w:color="auto" w:fill="auto"/>
            <w:vAlign w:val="center"/>
          </w:tcPr>
          <w:p w14:paraId="6916EDDA" w14:textId="77777777" w:rsidR="00737EB2" w:rsidRPr="00765F6E" w:rsidRDefault="00737EB2" w:rsidP="00871D47">
            <w:pPr>
              <w:jc w:val="center"/>
              <w:rPr>
                <w:rFonts w:ascii="宋体" w:hAnsi="宋体"/>
                <w:sz w:val="18"/>
                <w:szCs w:val="18"/>
              </w:rPr>
            </w:pPr>
          </w:p>
        </w:tc>
      </w:tr>
      <w:tr w:rsidR="00737EB2" w:rsidRPr="00765F6E" w14:paraId="62A019BA" w14:textId="77777777" w:rsidTr="00BF0BA3">
        <w:trPr>
          <w:trHeight w:val="176"/>
        </w:trPr>
        <w:tc>
          <w:tcPr>
            <w:tcW w:w="1535" w:type="pct"/>
            <w:gridSpan w:val="3"/>
            <w:tcBorders>
              <w:top w:val="single" w:sz="8" w:space="0" w:color="auto"/>
            </w:tcBorders>
            <w:shd w:val="clear" w:color="auto" w:fill="auto"/>
            <w:vAlign w:val="center"/>
          </w:tcPr>
          <w:p w14:paraId="0012082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无砟道床</w:t>
            </w:r>
          </w:p>
        </w:tc>
        <w:tc>
          <w:tcPr>
            <w:tcW w:w="1041" w:type="pct"/>
            <w:tcBorders>
              <w:top w:val="single" w:sz="8" w:space="0" w:color="auto"/>
            </w:tcBorders>
            <w:shd w:val="clear" w:color="auto" w:fill="auto"/>
            <w:noWrap/>
            <w:vAlign w:val="center"/>
          </w:tcPr>
          <w:p w14:paraId="4ECF678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1520～</w:t>
            </w:r>
            <w:r w:rsidRPr="00765F6E">
              <w:rPr>
                <w:rFonts w:hAnsi="宋体" w:cs="宋体"/>
                <w:sz w:val="18"/>
                <w:szCs w:val="18"/>
              </w:rPr>
              <w:t>1600</w:t>
            </w:r>
          </w:p>
        </w:tc>
        <w:tc>
          <w:tcPr>
            <w:tcW w:w="1138" w:type="pct"/>
            <w:tcBorders>
              <w:top w:val="single" w:sz="8" w:space="0" w:color="auto"/>
            </w:tcBorders>
            <w:shd w:val="clear" w:color="auto" w:fill="auto"/>
            <w:noWrap/>
            <w:vAlign w:val="center"/>
          </w:tcPr>
          <w:p w14:paraId="05C2A79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1600～1680</w:t>
            </w:r>
          </w:p>
        </w:tc>
        <w:tc>
          <w:tcPr>
            <w:tcW w:w="684" w:type="pct"/>
            <w:tcBorders>
              <w:top w:val="single" w:sz="8" w:space="0" w:color="auto"/>
            </w:tcBorders>
            <w:shd w:val="clear" w:color="auto" w:fill="auto"/>
            <w:noWrap/>
            <w:vAlign w:val="center"/>
          </w:tcPr>
          <w:p w14:paraId="17A335C7"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1520</w:t>
            </w:r>
            <w:r w:rsidRPr="00765F6E">
              <w:rPr>
                <w:rFonts w:hAnsi="宋体" w:cs="宋体"/>
                <w:sz w:val="18"/>
                <w:szCs w:val="18"/>
              </w:rPr>
              <w:t>～1600</w:t>
            </w:r>
          </w:p>
        </w:tc>
        <w:tc>
          <w:tcPr>
            <w:tcW w:w="601" w:type="pct"/>
            <w:tcBorders>
              <w:top w:val="single" w:sz="8" w:space="0" w:color="auto"/>
            </w:tcBorders>
            <w:shd w:val="clear" w:color="auto" w:fill="auto"/>
            <w:noWrap/>
            <w:vAlign w:val="center"/>
          </w:tcPr>
          <w:p w14:paraId="6B52CD6F" w14:textId="53E86BFB"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800</w:t>
            </w:r>
            <w:r w:rsidR="00396F4E" w:rsidRPr="00765F6E">
              <w:rPr>
                <w:rFonts w:hAnsi="宋体" w:cs="宋体"/>
                <w:sz w:val="18"/>
                <w:szCs w:val="18"/>
              </w:rPr>
              <w:t>～</w:t>
            </w:r>
            <w:r w:rsidRPr="00765F6E">
              <w:rPr>
                <w:rFonts w:hAnsi="宋体" w:cs="宋体" w:hint="eastAsia"/>
                <w:sz w:val="18"/>
                <w:szCs w:val="18"/>
              </w:rPr>
              <w:t>1440</w:t>
            </w:r>
          </w:p>
        </w:tc>
      </w:tr>
      <w:tr w:rsidR="00737EB2" w:rsidRPr="00765F6E" w14:paraId="7944DDD7" w14:textId="77777777" w:rsidTr="00BF0BA3">
        <w:trPr>
          <w:trHeight w:val="176"/>
        </w:trPr>
        <w:tc>
          <w:tcPr>
            <w:tcW w:w="337" w:type="pct"/>
            <w:vMerge w:val="restart"/>
            <w:shd w:val="clear" w:color="auto" w:fill="auto"/>
            <w:vAlign w:val="center"/>
          </w:tcPr>
          <w:p w14:paraId="3307DEE5"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lastRenderedPageBreak/>
              <w:t>有砟道床</w:t>
            </w:r>
          </w:p>
        </w:tc>
        <w:tc>
          <w:tcPr>
            <w:tcW w:w="511" w:type="pct"/>
            <w:vMerge w:val="restart"/>
            <w:shd w:val="clear" w:color="auto" w:fill="auto"/>
            <w:vAlign w:val="center"/>
          </w:tcPr>
          <w:p w14:paraId="4FFEC75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无缝线路</w:t>
            </w:r>
          </w:p>
        </w:tc>
        <w:tc>
          <w:tcPr>
            <w:tcW w:w="687" w:type="pct"/>
            <w:shd w:val="clear" w:color="auto" w:fill="auto"/>
            <w:noWrap/>
            <w:vAlign w:val="center"/>
          </w:tcPr>
          <w:p w14:paraId="7C33224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新Ⅱ型枕</w:t>
            </w:r>
          </w:p>
        </w:tc>
        <w:tc>
          <w:tcPr>
            <w:tcW w:w="1041" w:type="pct"/>
            <w:shd w:val="clear" w:color="auto" w:fill="auto"/>
            <w:noWrap/>
            <w:vAlign w:val="center"/>
          </w:tcPr>
          <w:p w14:paraId="50B6384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1760</w:t>
            </w:r>
          </w:p>
        </w:tc>
        <w:tc>
          <w:tcPr>
            <w:tcW w:w="1138" w:type="pct"/>
            <w:shd w:val="clear" w:color="auto" w:fill="auto"/>
            <w:noWrap/>
            <w:vAlign w:val="center"/>
          </w:tcPr>
          <w:p w14:paraId="7999269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1840</w:t>
            </w:r>
          </w:p>
        </w:tc>
        <w:tc>
          <w:tcPr>
            <w:tcW w:w="684" w:type="pct"/>
            <w:shd w:val="clear" w:color="auto" w:fill="auto"/>
            <w:vAlign w:val="center"/>
          </w:tcPr>
          <w:p w14:paraId="036AA7A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 xml:space="preserve">1760 </w:t>
            </w:r>
          </w:p>
        </w:tc>
        <w:tc>
          <w:tcPr>
            <w:tcW w:w="601" w:type="pct"/>
            <w:shd w:val="clear" w:color="auto" w:fill="auto"/>
            <w:noWrap/>
            <w:vAlign w:val="center"/>
          </w:tcPr>
          <w:p w14:paraId="2DADA2A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p>
        </w:tc>
      </w:tr>
      <w:tr w:rsidR="00737EB2" w:rsidRPr="00765F6E" w14:paraId="53D9EDBB" w14:textId="77777777" w:rsidTr="00BF0BA3">
        <w:trPr>
          <w:trHeight w:val="176"/>
        </w:trPr>
        <w:tc>
          <w:tcPr>
            <w:tcW w:w="337" w:type="pct"/>
            <w:vMerge/>
            <w:shd w:val="clear" w:color="auto" w:fill="auto"/>
            <w:vAlign w:val="center"/>
          </w:tcPr>
          <w:p w14:paraId="61FF7BC3" w14:textId="77777777" w:rsidR="00737EB2" w:rsidRPr="00765F6E" w:rsidRDefault="00737EB2" w:rsidP="00871D47">
            <w:pPr>
              <w:pStyle w:val="affffffffffff2"/>
              <w:jc w:val="center"/>
              <w:rPr>
                <w:rFonts w:hAnsi="宋体" w:cs="宋体"/>
                <w:sz w:val="18"/>
                <w:szCs w:val="18"/>
              </w:rPr>
            </w:pPr>
          </w:p>
        </w:tc>
        <w:tc>
          <w:tcPr>
            <w:tcW w:w="511" w:type="pct"/>
            <w:vMerge/>
            <w:shd w:val="clear" w:color="auto" w:fill="auto"/>
            <w:vAlign w:val="center"/>
          </w:tcPr>
          <w:p w14:paraId="213BCF05" w14:textId="77777777" w:rsidR="00737EB2" w:rsidRPr="00765F6E" w:rsidRDefault="00737EB2" w:rsidP="00871D47">
            <w:pPr>
              <w:pStyle w:val="affffffffffff2"/>
              <w:jc w:val="center"/>
              <w:rPr>
                <w:rFonts w:hAnsi="宋体" w:cs="宋体"/>
                <w:sz w:val="18"/>
                <w:szCs w:val="18"/>
              </w:rPr>
            </w:pPr>
          </w:p>
        </w:tc>
        <w:tc>
          <w:tcPr>
            <w:tcW w:w="687" w:type="pct"/>
            <w:shd w:val="clear" w:color="auto" w:fill="auto"/>
            <w:noWrap/>
            <w:vAlign w:val="center"/>
          </w:tcPr>
          <w:p w14:paraId="0E81AAD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Ⅲ型枕</w:t>
            </w:r>
          </w:p>
        </w:tc>
        <w:tc>
          <w:tcPr>
            <w:tcW w:w="1041" w:type="pct"/>
            <w:shd w:val="clear" w:color="auto" w:fill="auto"/>
            <w:noWrap/>
            <w:vAlign w:val="center"/>
          </w:tcPr>
          <w:p w14:paraId="1F84B50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1667</w:t>
            </w:r>
          </w:p>
        </w:tc>
        <w:tc>
          <w:tcPr>
            <w:tcW w:w="1138" w:type="pct"/>
            <w:shd w:val="clear" w:color="auto" w:fill="auto"/>
            <w:noWrap/>
            <w:vAlign w:val="center"/>
          </w:tcPr>
          <w:p w14:paraId="4121B81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1667</w:t>
            </w:r>
          </w:p>
        </w:tc>
        <w:tc>
          <w:tcPr>
            <w:tcW w:w="684" w:type="pct"/>
            <w:shd w:val="clear" w:color="auto" w:fill="auto"/>
            <w:noWrap/>
            <w:vAlign w:val="center"/>
          </w:tcPr>
          <w:p w14:paraId="45A02F6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p>
        </w:tc>
        <w:tc>
          <w:tcPr>
            <w:tcW w:w="601" w:type="pct"/>
            <w:shd w:val="clear" w:color="auto" w:fill="auto"/>
            <w:noWrap/>
            <w:vAlign w:val="center"/>
          </w:tcPr>
          <w:p w14:paraId="2D48907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p>
        </w:tc>
      </w:tr>
      <w:tr w:rsidR="00737EB2" w:rsidRPr="00765F6E" w14:paraId="2173C045" w14:textId="77777777" w:rsidTr="00BF0BA3">
        <w:trPr>
          <w:trHeight w:val="176"/>
        </w:trPr>
        <w:tc>
          <w:tcPr>
            <w:tcW w:w="337" w:type="pct"/>
            <w:vMerge/>
            <w:shd w:val="clear" w:color="auto" w:fill="auto"/>
            <w:vAlign w:val="center"/>
          </w:tcPr>
          <w:p w14:paraId="6A81FEFD" w14:textId="77777777" w:rsidR="00737EB2" w:rsidRPr="00765F6E" w:rsidRDefault="00737EB2" w:rsidP="00871D47">
            <w:pPr>
              <w:pStyle w:val="affffffffffff2"/>
              <w:jc w:val="center"/>
              <w:rPr>
                <w:rFonts w:hAnsi="宋体" w:cs="宋体"/>
                <w:sz w:val="18"/>
                <w:szCs w:val="18"/>
              </w:rPr>
            </w:pPr>
          </w:p>
        </w:tc>
        <w:tc>
          <w:tcPr>
            <w:tcW w:w="511" w:type="pct"/>
            <w:shd w:val="clear" w:color="auto" w:fill="auto"/>
            <w:vAlign w:val="center"/>
          </w:tcPr>
          <w:p w14:paraId="18202AD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有缝线路</w:t>
            </w:r>
          </w:p>
        </w:tc>
        <w:tc>
          <w:tcPr>
            <w:tcW w:w="687" w:type="pct"/>
            <w:shd w:val="clear" w:color="auto" w:fill="auto"/>
            <w:noWrap/>
            <w:vAlign w:val="center"/>
          </w:tcPr>
          <w:p w14:paraId="2519634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新Ⅱ型枕</w:t>
            </w:r>
          </w:p>
        </w:tc>
        <w:tc>
          <w:tcPr>
            <w:tcW w:w="1041" w:type="pct"/>
            <w:shd w:val="clear" w:color="auto" w:fill="auto"/>
            <w:noWrap/>
            <w:vAlign w:val="center"/>
          </w:tcPr>
          <w:p w14:paraId="5A01C84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1600～1680</w:t>
            </w:r>
          </w:p>
        </w:tc>
        <w:tc>
          <w:tcPr>
            <w:tcW w:w="1138" w:type="pct"/>
            <w:shd w:val="clear" w:color="auto" w:fill="auto"/>
            <w:noWrap/>
            <w:vAlign w:val="center"/>
          </w:tcPr>
          <w:p w14:paraId="116DE5F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1680～1760</w:t>
            </w:r>
          </w:p>
        </w:tc>
        <w:tc>
          <w:tcPr>
            <w:tcW w:w="684" w:type="pct"/>
            <w:shd w:val="clear" w:color="auto" w:fill="auto"/>
            <w:vAlign w:val="center"/>
          </w:tcPr>
          <w:p w14:paraId="401C5D8B"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1520</w:t>
            </w:r>
          </w:p>
        </w:tc>
        <w:tc>
          <w:tcPr>
            <w:tcW w:w="601" w:type="pct"/>
            <w:shd w:val="clear" w:color="auto" w:fill="auto"/>
            <w:noWrap/>
            <w:vAlign w:val="center"/>
          </w:tcPr>
          <w:p w14:paraId="1B3D806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1440</w:t>
            </w:r>
          </w:p>
        </w:tc>
      </w:tr>
      <w:tr w:rsidR="00737EB2" w:rsidRPr="00765F6E" w14:paraId="7C838D5B" w14:textId="77777777" w:rsidTr="00BF0BA3">
        <w:trPr>
          <w:trHeight w:val="176"/>
        </w:trPr>
        <w:tc>
          <w:tcPr>
            <w:tcW w:w="1535" w:type="pct"/>
            <w:gridSpan w:val="3"/>
            <w:shd w:val="clear" w:color="auto" w:fill="auto"/>
            <w:vAlign w:val="center"/>
          </w:tcPr>
          <w:p w14:paraId="70A3CA2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柱式检查坑</w:t>
            </w:r>
          </w:p>
        </w:tc>
        <w:tc>
          <w:tcPr>
            <w:tcW w:w="1041" w:type="pct"/>
            <w:shd w:val="clear" w:color="auto" w:fill="auto"/>
            <w:noWrap/>
            <w:vAlign w:val="center"/>
          </w:tcPr>
          <w:p w14:paraId="568FA8D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p>
        </w:tc>
        <w:tc>
          <w:tcPr>
            <w:tcW w:w="1138" w:type="pct"/>
            <w:shd w:val="clear" w:color="auto" w:fill="auto"/>
            <w:noWrap/>
            <w:vAlign w:val="center"/>
          </w:tcPr>
          <w:p w14:paraId="604C21A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p>
        </w:tc>
        <w:tc>
          <w:tcPr>
            <w:tcW w:w="684" w:type="pct"/>
            <w:shd w:val="clear" w:color="auto" w:fill="auto"/>
            <w:noWrap/>
            <w:vAlign w:val="center"/>
          </w:tcPr>
          <w:p w14:paraId="63B3172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p>
        </w:tc>
        <w:tc>
          <w:tcPr>
            <w:tcW w:w="601" w:type="pct"/>
            <w:shd w:val="clear" w:color="auto" w:fill="auto"/>
            <w:noWrap/>
            <w:vAlign w:val="center"/>
          </w:tcPr>
          <w:p w14:paraId="688CCC39" w14:textId="701A8BFA" w:rsidR="00737EB2" w:rsidRPr="00765F6E" w:rsidRDefault="008B0A35" w:rsidP="00871D47">
            <w:pPr>
              <w:pStyle w:val="affffffffffff2"/>
              <w:jc w:val="center"/>
              <w:rPr>
                <w:rFonts w:hAnsi="宋体" w:cs="宋体"/>
                <w:sz w:val="18"/>
                <w:szCs w:val="18"/>
              </w:rPr>
            </w:pPr>
            <w:r>
              <w:rPr>
                <w:rFonts w:hAnsi="宋体" w:cs="宋体" w:hint="eastAsia"/>
                <w:sz w:val="18"/>
                <w:szCs w:val="18"/>
              </w:rPr>
              <w:t>-</w:t>
            </w:r>
          </w:p>
        </w:tc>
      </w:tr>
      <w:tr w:rsidR="00737EB2" w:rsidRPr="00765F6E" w14:paraId="388C90E1" w14:textId="77777777" w:rsidTr="00871D47">
        <w:trPr>
          <w:trHeight w:val="176"/>
        </w:trPr>
        <w:tc>
          <w:tcPr>
            <w:tcW w:w="5000" w:type="pct"/>
            <w:gridSpan w:val="7"/>
            <w:tcBorders>
              <w:top w:val="single" w:sz="8" w:space="0" w:color="auto"/>
              <w:bottom w:val="single" w:sz="8" w:space="0" w:color="auto"/>
            </w:tcBorders>
            <w:shd w:val="clear" w:color="auto" w:fill="auto"/>
            <w:vAlign w:val="center"/>
          </w:tcPr>
          <w:p w14:paraId="5DD2D66A" w14:textId="77777777" w:rsidR="00737EB2" w:rsidRPr="00765F6E" w:rsidRDefault="00737EB2" w:rsidP="00871D47">
            <w:pPr>
              <w:pStyle w:val="a6"/>
              <w:numPr>
                <w:ilvl w:val="0"/>
                <w:numId w:val="0"/>
              </w:numPr>
              <w:ind w:firstLineChars="90" w:firstLine="162"/>
            </w:pPr>
            <w:r w:rsidRPr="00765F6E">
              <w:t>减振地段轨枕铺设密度可适当加大。</w:t>
            </w:r>
          </w:p>
          <w:p w14:paraId="7C78922C" w14:textId="77777777" w:rsidR="00737EB2" w:rsidRPr="00765F6E" w:rsidRDefault="00737EB2" w:rsidP="00871D47">
            <w:pPr>
              <w:pStyle w:val="a6"/>
              <w:numPr>
                <w:ilvl w:val="0"/>
                <w:numId w:val="0"/>
              </w:numPr>
              <w:ind w:firstLineChars="90" w:firstLine="162"/>
            </w:pPr>
            <w:r w:rsidRPr="00765F6E">
              <w:t>柱式检查坑地段轨枕配置根据工艺要求另行设计（柱式检查坑可选用720根（对）/km）、800根（对）/km）。</w:t>
            </w:r>
          </w:p>
        </w:tc>
      </w:tr>
    </w:tbl>
    <w:p w14:paraId="039EDAFD" w14:textId="77777777" w:rsidR="00737EB2" w:rsidRPr="00765F6E" w:rsidRDefault="00737EB2" w:rsidP="00737EB2">
      <w:pPr>
        <w:spacing w:line="240" w:lineRule="auto"/>
      </w:pPr>
    </w:p>
    <w:p w14:paraId="0043C7D3" w14:textId="77777777" w:rsidR="00737EB2" w:rsidRPr="00765F6E" w:rsidRDefault="00737EB2" w:rsidP="009D0776">
      <w:pPr>
        <w:pStyle w:val="22"/>
      </w:pPr>
      <w:bookmarkStart w:id="902" w:name="_Toc99791741"/>
      <w:bookmarkStart w:id="903" w:name="_Toc153291172"/>
      <w:r w:rsidRPr="00765F6E">
        <w:rPr>
          <w:rFonts w:hint="eastAsia"/>
        </w:rPr>
        <w:t>道岔符合下列规定：</w:t>
      </w:r>
      <w:bookmarkEnd w:id="902"/>
      <w:bookmarkEnd w:id="903"/>
    </w:p>
    <w:p w14:paraId="435587B3" w14:textId="77777777" w:rsidR="00737EB2" w:rsidRPr="00765F6E" w:rsidRDefault="00737EB2" w:rsidP="003334F3">
      <w:pPr>
        <w:pStyle w:val="af6"/>
        <w:numPr>
          <w:ilvl w:val="0"/>
          <w:numId w:val="74"/>
        </w:numPr>
        <w:tabs>
          <w:tab w:val="left" w:pos="851"/>
        </w:tabs>
        <w:snapToGrid w:val="0"/>
        <w:contextualSpacing/>
      </w:pPr>
      <w:r w:rsidRPr="00765F6E">
        <w:rPr>
          <w:rFonts w:hint="eastAsia"/>
        </w:rPr>
        <w:t>正线道岔钢轨类型应与相邻区间钢轨类型一致，并不应低于相邻区间钢轨强度等级及材质要求；</w:t>
      </w:r>
    </w:p>
    <w:p w14:paraId="4343B1A6" w14:textId="77777777" w:rsidR="00737EB2" w:rsidRPr="00765F6E" w:rsidRDefault="00737EB2" w:rsidP="003334F3">
      <w:pPr>
        <w:pStyle w:val="af6"/>
        <w:numPr>
          <w:ilvl w:val="0"/>
          <w:numId w:val="74"/>
        </w:numPr>
        <w:tabs>
          <w:tab w:val="left" w:pos="851"/>
        </w:tabs>
        <w:snapToGrid w:val="0"/>
        <w:contextualSpacing/>
      </w:pPr>
      <w:r w:rsidRPr="00765F6E">
        <w:rPr>
          <w:rFonts w:hint="eastAsia"/>
        </w:rPr>
        <w:t>道岔区应采用弹性分开式扣件及混凝土岔枕；</w:t>
      </w:r>
    </w:p>
    <w:p w14:paraId="17030A72" w14:textId="77777777" w:rsidR="00737EB2" w:rsidRPr="00765F6E" w:rsidRDefault="00737EB2" w:rsidP="003334F3">
      <w:pPr>
        <w:pStyle w:val="af6"/>
        <w:numPr>
          <w:ilvl w:val="0"/>
          <w:numId w:val="74"/>
        </w:numPr>
        <w:tabs>
          <w:tab w:val="left" w:pos="851"/>
        </w:tabs>
        <w:snapToGrid w:val="0"/>
        <w:contextualSpacing/>
      </w:pPr>
      <w:r w:rsidRPr="00765F6E">
        <w:rPr>
          <w:rFonts w:hint="eastAsia"/>
        </w:rPr>
        <w:t>道岔的道床型式宜与两端相邻线路一致；</w:t>
      </w:r>
    </w:p>
    <w:p w14:paraId="6AB4626C" w14:textId="77777777" w:rsidR="00737EB2" w:rsidRPr="00765F6E" w:rsidRDefault="00737EB2" w:rsidP="003334F3">
      <w:pPr>
        <w:pStyle w:val="af6"/>
        <w:numPr>
          <w:ilvl w:val="0"/>
          <w:numId w:val="74"/>
        </w:numPr>
        <w:tabs>
          <w:tab w:val="left" w:pos="851"/>
        </w:tabs>
        <w:snapToGrid w:val="0"/>
        <w:contextualSpacing/>
      </w:pPr>
      <w:r w:rsidRPr="00765F6E">
        <w:rPr>
          <w:rFonts w:hint="eastAsia"/>
        </w:rPr>
        <w:t>道岔区轨下刚度应均匀化设置。</w:t>
      </w:r>
    </w:p>
    <w:p w14:paraId="2530AD1E" w14:textId="77777777" w:rsidR="00737EB2" w:rsidRPr="00765F6E" w:rsidRDefault="00737EB2" w:rsidP="00737EB2">
      <w:pPr>
        <w:pStyle w:val="affe"/>
        <w:spacing w:before="156" w:after="156"/>
      </w:pPr>
      <w:bookmarkStart w:id="904" w:name="_Toc99791742"/>
      <w:bookmarkStart w:id="905" w:name="_Toc153210849"/>
      <w:bookmarkStart w:id="906" w:name="_Toc153291173"/>
      <w:bookmarkStart w:id="907" w:name="_Toc167895747"/>
      <w:bookmarkStart w:id="908" w:name="_Toc174538661"/>
      <w:bookmarkStart w:id="909" w:name="_Toc182476415"/>
      <w:r w:rsidRPr="00765F6E">
        <w:rPr>
          <w:rFonts w:hint="eastAsia"/>
        </w:rPr>
        <w:t>无砟轨道</w:t>
      </w:r>
      <w:bookmarkEnd w:id="904"/>
      <w:bookmarkEnd w:id="905"/>
      <w:bookmarkEnd w:id="906"/>
      <w:bookmarkEnd w:id="907"/>
      <w:bookmarkEnd w:id="908"/>
      <w:bookmarkEnd w:id="909"/>
    </w:p>
    <w:p w14:paraId="576E103E" w14:textId="77777777" w:rsidR="00737EB2" w:rsidRPr="00765F6E" w:rsidRDefault="00737EB2" w:rsidP="009D0776">
      <w:pPr>
        <w:pStyle w:val="22"/>
      </w:pPr>
      <w:bookmarkStart w:id="910" w:name="_Toc153291174"/>
      <w:bookmarkStart w:id="911" w:name="_Toc99791743"/>
      <w:r w:rsidRPr="00765F6E">
        <w:rPr>
          <w:rFonts w:hint="eastAsia"/>
        </w:rPr>
        <w:t>无砟轨道结构型式应根据设计速度、线下基础、环境条件等具体情况，经技术经济比较后合理选择。正线无砟道床宜采用双块式、板式、长枕埋入式及承轨台式等结构型式；道岔区无砟轨道宜采用轨枕埋入式结构型式。</w:t>
      </w:r>
      <w:bookmarkEnd w:id="910"/>
      <w:bookmarkEnd w:id="911"/>
    </w:p>
    <w:p w14:paraId="34720B24" w14:textId="77777777" w:rsidR="00737EB2" w:rsidRPr="00765F6E" w:rsidRDefault="00737EB2" w:rsidP="009D0776">
      <w:pPr>
        <w:pStyle w:val="22"/>
      </w:pPr>
      <w:bookmarkStart w:id="912" w:name="_Toc153291175"/>
      <w:bookmarkStart w:id="913" w:name="_Toc99791744"/>
      <w:r w:rsidRPr="00765F6E">
        <w:rPr>
          <w:rFonts w:hint="eastAsia"/>
        </w:rPr>
        <w:t>无砟轨道铺设宜设置平面和高程精密测量控制网。</w:t>
      </w:r>
      <w:bookmarkEnd w:id="912"/>
      <w:bookmarkEnd w:id="913"/>
    </w:p>
    <w:p w14:paraId="16223E25" w14:textId="77777777" w:rsidR="00737EB2" w:rsidRPr="00765F6E" w:rsidRDefault="00737EB2" w:rsidP="009D0776">
      <w:pPr>
        <w:pStyle w:val="22"/>
      </w:pPr>
      <w:bookmarkStart w:id="914" w:name="_Toc99791745"/>
      <w:bookmarkStart w:id="915" w:name="_Toc153291176"/>
      <w:r w:rsidRPr="00765F6E">
        <w:rPr>
          <w:rFonts w:hint="eastAsia"/>
        </w:rPr>
        <w:t>无砟轨道结构设计荷载应包括列车荷载、疲劳检算荷载、温度荷载等，同时宜考虑下部基础变形对轨道结构的影响，并符合下列规定：</w:t>
      </w:r>
      <w:bookmarkEnd w:id="914"/>
      <w:bookmarkEnd w:id="915"/>
    </w:p>
    <w:p w14:paraId="3AB6D1A8" w14:textId="59BFAA7C" w:rsidR="00737EB2" w:rsidRPr="00765F6E" w:rsidRDefault="00737EB2" w:rsidP="003334F3">
      <w:pPr>
        <w:pStyle w:val="af6"/>
        <w:numPr>
          <w:ilvl w:val="0"/>
          <w:numId w:val="75"/>
        </w:numPr>
        <w:tabs>
          <w:tab w:val="left" w:pos="851"/>
        </w:tabs>
        <w:snapToGrid w:val="0"/>
        <w:contextualSpacing/>
      </w:pPr>
      <w:r w:rsidRPr="00765F6E">
        <w:rPr>
          <w:rFonts w:hint="eastAsia"/>
        </w:rPr>
        <w:t>竖向设计荷载应按公式（21）计算</w:t>
      </w:r>
      <w:r w:rsidR="005F7661">
        <w:rPr>
          <w:rFonts w:hint="eastAsia"/>
        </w:rPr>
        <w:t>；</w:t>
      </w:r>
    </w:p>
    <w:p w14:paraId="1295E710" w14:textId="673F73EF" w:rsidR="00737EB2" w:rsidRPr="00765F6E" w:rsidRDefault="00737EB2" w:rsidP="00737EB2">
      <w:pPr>
        <w:pStyle w:val="af6"/>
        <w:tabs>
          <w:tab w:val="left" w:pos="851"/>
        </w:tabs>
        <w:snapToGrid w:val="0"/>
        <w:contextualSpacing/>
      </w:pPr>
      <w:r w:rsidRPr="00765F6E">
        <w:rPr>
          <w:rFonts w:hint="eastAsia"/>
        </w:rPr>
        <w:t>横向设计荷载应按公式（22）计算</w:t>
      </w:r>
      <w:r w:rsidR="005F7661">
        <w:rPr>
          <w:rFonts w:hint="eastAsia"/>
        </w:rPr>
        <w:t>；</w:t>
      </w:r>
    </w:p>
    <w:p w14:paraId="1BCDF9CD" w14:textId="0CB19A6D" w:rsidR="00737EB2" w:rsidRPr="00765F6E" w:rsidRDefault="00737EB2" w:rsidP="00737EB2">
      <w:pPr>
        <w:pStyle w:val="af6"/>
        <w:tabs>
          <w:tab w:val="left" w:pos="851"/>
        </w:tabs>
        <w:snapToGrid w:val="0"/>
        <w:contextualSpacing/>
      </w:pPr>
      <w:r w:rsidRPr="00765F6E">
        <w:rPr>
          <w:rFonts w:hint="eastAsia"/>
        </w:rPr>
        <w:t>结构竖向疲劳检算荷载应按公式（23）计算</w:t>
      </w:r>
      <w:r w:rsidR="005F7661">
        <w:rPr>
          <w:rFonts w:hint="eastAsia"/>
        </w:rPr>
        <w:t>；</w:t>
      </w:r>
    </w:p>
    <w:p w14:paraId="47F4EEA9" w14:textId="6AE84870" w:rsidR="00737EB2" w:rsidRPr="00765F6E" w:rsidRDefault="00737EB2" w:rsidP="00737EB2">
      <w:pPr>
        <w:pStyle w:val="af6"/>
        <w:tabs>
          <w:tab w:val="left" w:pos="851"/>
        </w:tabs>
        <w:snapToGrid w:val="0"/>
        <w:contextualSpacing/>
      </w:pPr>
      <w:r w:rsidRPr="00765F6E">
        <w:rPr>
          <w:rFonts w:hint="eastAsia"/>
        </w:rPr>
        <w:t>结构横向疲劳检算荷载应按公式（24）计算</w:t>
      </w:r>
      <w:r w:rsidR="005F7661">
        <w:rPr>
          <w:rFonts w:hint="eastAsia"/>
        </w:rPr>
        <w:t>；</w:t>
      </w:r>
    </w:p>
    <w:p w14:paraId="1A74A449" w14:textId="77777777" w:rsidR="00737EB2" w:rsidRPr="00765F6E" w:rsidRDefault="00737EB2" w:rsidP="00737EB2">
      <w:pPr>
        <w:pStyle w:val="af6"/>
        <w:tabs>
          <w:tab w:val="left" w:pos="851"/>
        </w:tabs>
        <w:snapToGrid w:val="0"/>
        <w:contextualSpacing/>
      </w:pPr>
      <w:r w:rsidRPr="00765F6E">
        <w:rPr>
          <w:rFonts w:ascii="Calibri" w:hAnsi="宋体" w:cs="宋体" w:hint="eastAsia"/>
          <w:kern w:val="2"/>
          <w:szCs w:val="21"/>
          <w:lang w:bidi="ar"/>
        </w:rPr>
        <w:t>温度荷载及混凝土</w:t>
      </w:r>
      <w:r w:rsidRPr="00765F6E">
        <w:rPr>
          <w:rFonts w:hint="eastAsia"/>
        </w:rPr>
        <w:t>收缩影响，露天区间（包括隧道洞口200m范围）年温差根据江苏地区气象条件取值；正温度梯度（上热下冷）宜取90℃/m、负温度梯度（上冷下热）宜取45℃/ m；混凝土收缩以等效降温10℃取值。</w:t>
      </w:r>
    </w:p>
    <w:p w14:paraId="07CF44A9" w14:textId="16836D1A" w:rsidR="00737EB2" w:rsidRPr="00765F6E" w:rsidRDefault="00737EB2" w:rsidP="00737EB2">
      <w:pPr>
        <w:pStyle w:val="affffffd"/>
        <w:spacing w:before="156" w:after="156"/>
      </w:pPr>
      <w:r w:rsidRPr="00765F6E">
        <w:tab/>
      </w:r>
      <m:oMath>
        <m:sSub>
          <m:sSubPr>
            <m:ctrlPr>
              <w:rPr>
                <w:rFonts w:ascii="Cambria Math" w:hAnsi="Cambria Math" w:hint="eastAsia"/>
              </w:rPr>
            </m:ctrlPr>
          </m:sSubPr>
          <m:e>
            <m:r>
              <m:rPr>
                <m:sty m:val="p"/>
              </m:rPr>
              <w:rPr>
                <w:rFonts w:ascii="Cambria Math" w:hAnsi="Cambria Math" w:hint="eastAsia"/>
              </w:rPr>
              <m:t>P</m:t>
            </m:r>
            <m:ctrlPr>
              <w:rPr>
                <w:rFonts w:ascii="Cambria Math" w:hAnsi="Cambria Math"/>
              </w:rPr>
            </m:ctrlPr>
          </m:e>
          <m:sub>
            <m:r>
              <m:rPr>
                <m:sty m:val="p"/>
              </m:rPr>
              <w:rPr>
                <w:rFonts w:ascii="Cambria Math" w:hAnsi="Cambria Math" w:hint="eastAsia"/>
              </w:rPr>
              <m:t>d</m:t>
            </m:r>
            <m:ctrlPr>
              <w:rPr>
                <w:rFonts w:ascii="Cambria Math" w:hAnsi="Cambria Math"/>
              </w:rPr>
            </m:ctrlPr>
          </m:sub>
        </m:sSub>
        <m:r>
          <m:rPr>
            <m:sty m:val="p"/>
          </m:rPr>
          <w:rPr>
            <w:rFonts w:ascii="Cambria Math" w:hAnsi="Cambria Math" w:hint="eastAsia"/>
          </w:rPr>
          <m:t>=</m:t>
        </m:r>
        <m:r>
          <m:rPr>
            <m:sty m:val="p"/>
          </m:rPr>
          <w:rPr>
            <w:rFonts w:ascii="Cambria Math" w:hAnsi="Cambria Math"/>
          </w:rPr>
          <m:t>α</m:t>
        </m:r>
        <m:r>
          <m:rPr>
            <m:sty m:val="p"/>
          </m:rPr>
          <w:rPr>
            <w:rFonts w:ascii="微软雅黑" w:eastAsia="微软雅黑" w:hAnsi="微软雅黑" w:cs="微软雅黑" w:hint="eastAsia"/>
          </w:rPr>
          <m:t>∙</m:t>
        </m:r>
        <m:sSub>
          <m:sSubPr>
            <m:ctrlPr>
              <w:rPr>
                <w:rFonts w:ascii="Cambria Math" w:hAnsi="Cambria Math" w:hint="eastAsia"/>
              </w:rPr>
            </m:ctrlPr>
          </m:sSubPr>
          <m:e>
            <m:r>
              <m:rPr>
                <m:sty m:val="p"/>
              </m:rPr>
              <w:rPr>
                <w:rFonts w:ascii="Cambria Math" w:hAnsi="Cambria Math" w:hint="eastAsia"/>
              </w:rPr>
              <m:t>P</m:t>
            </m:r>
            <m:ctrlPr>
              <w:rPr>
                <w:rFonts w:ascii="Cambria Math" w:hAnsi="Cambria Math"/>
              </w:rPr>
            </m:ctrlPr>
          </m:e>
          <m:sub>
            <m:r>
              <m:rPr>
                <m:sty m:val="p"/>
              </m:rPr>
              <w:rPr>
                <w:rFonts w:ascii="Cambria Math" w:hAnsi="Cambria Math" w:hint="eastAsia"/>
              </w:rPr>
              <m:t>j</m:t>
            </m:r>
            <m:ctrlPr>
              <w:rPr>
                <w:rFonts w:ascii="Cambria Math" w:hAnsi="Cambria Math"/>
              </w:rPr>
            </m:ctrlPr>
          </m:sub>
        </m:sSub>
      </m:oMath>
      <w:r w:rsidRPr="00765F6E">
        <w:rPr>
          <w:rFonts w:ascii="微软雅黑" w:eastAsia="微软雅黑" w:hAnsi="微软雅黑"/>
        </w:rPr>
        <w:tab/>
      </w:r>
      <w:r w:rsidRPr="00765F6E">
        <w:t>(</w:t>
      </w:r>
      <w:r w:rsidRPr="00765F6E">
        <w:rPr>
          <w:rFonts w:hint="eastAsia"/>
        </w:rPr>
        <w:t>2</w:t>
      </w:r>
      <w:r w:rsidRPr="00765F6E">
        <w:t>1)</w:t>
      </w:r>
    </w:p>
    <w:p w14:paraId="3589CD74" w14:textId="77777777" w:rsidR="00737EB2" w:rsidRPr="00765F6E" w:rsidRDefault="00737EB2" w:rsidP="00737EB2">
      <w:pPr>
        <w:pStyle w:val="affffffd"/>
        <w:spacing w:before="156" w:after="156"/>
      </w:pPr>
      <w:r w:rsidRPr="00765F6E">
        <w:tab/>
      </w:r>
      <m:oMath>
        <m:r>
          <m:rPr>
            <m:sty m:val="p"/>
          </m:rPr>
          <w:rPr>
            <w:rFonts w:ascii="Cambria Math" w:hAnsi="Cambria Math" w:hint="eastAsia"/>
          </w:rPr>
          <m:t>Q=0.8 Pj</m:t>
        </m:r>
      </m:oMath>
      <w:r w:rsidRPr="00765F6E">
        <w:rPr>
          <w:rFonts w:ascii="微软雅黑" w:eastAsia="微软雅黑" w:hAnsi="微软雅黑"/>
        </w:rPr>
        <w:tab/>
      </w:r>
      <w:r w:rsidRPr="00765F6E">
        <w:t>(22)</w:t>
      </w:r>
    </w:p>
    <w:p w14:paraId="029BAE9D" w14:textId="77777777" w:rsidR="00737EB2" w:rsidRPr="00765F6E" w:rsidRDefault="00737EB2" w:rsidP="00737EB2">
      <w:pPr>
        <w:pStyle w:val="affffffd"/>
        <w:spacing w:before="156" w:after="156"/>
      </w:pPr>
      <w:r w:rsidRPr="00765F6E">
        <w:tab/>
      </w:r>
      <m:oMath>
        <m:sSub>
          <m:sSubPr>
            <m:ctrlPr>
              <w:rPr>
                <w:rFonts w:ascii="Cambria Math" w:hAnsi="Cambria Math" w:hint="eastAsia"/>
              </w:rPr>
            </m:ctrlPr>
          </m:sSubPr>
          <m:e>
            <m:r>
              <m:rPr>
                <m:sty m:val="p"/>
              </m:rPr>
              <w:rPr>
                <w:rFonts w:ascii="Cambria Math" w:hAnsi="Cambria Math" w:hint="eastAsia"/>
              </w:rPr>
              <m:t>P</m:t>
            </m:r>
            <m:ctrlPr>
              <w:rPr>
                <w:rFonts w:ascii="Cambria Math" w:hAnsi="Cambria Math"/>
              </w:rPr>
            </m:ctrlPr>
          </m:e>
          <m:sub>
            <m:r>
              <m:rPr>
                <m:sty m:val="p"/>
              </m:rPr>
              <w:rPr>
                <w:rFonts w:ascii="Cambria Math" w:hAnsi="Cambria Math" w:hint="eastAsia"/>
              </w:rPr>
              <m:t>f</m:t>
            </m:r>
            <m:ctrlPr>
              <w:rPr>
                <w:rFonts w:ascii="Cambria Math" w:hAnsi="Cambria Math"/>
              </w:rPr>
            </m:ctrlPr>
          </m:sub>
        </m:sSub>
        <m:r>
          <m:rPr>
            <m:sty m:val="p"/>
          </m:rPr>
          <w:rPr>
            <w:rFonts w:ascii="Cambria Math" w:hAnsi="Cambria Math" w:hint="eastAsia"/>
          </w:rPr>
          <m:t>=1.5</m:t>
        </m:r>
        <m:r>
          <m:rPr>
            <m:sty m:val="p"/>
          </m:rPr>
          <w:rPr>
            <w:rFonts w:ascii="微软雅黑" w:eastAsia="微软雅黑" w:hAnsi="微软雅黑" w:cs="微软雅黑" w:hint="eastAsia"/>
          </w:rPr>
          <m:t>∙</m:t>
        </m:r>
        <m:sSub>
          <m:sSubPr>
            <m:ctrlPr>
              <w:rPr>
                <w:rFonts w:ascii="Cambria Math" w:hAnsi="Cambria Math" w:hint="eastAsia"/>
              </w:rPr>
            </m:ctrlPr>
          </m:sSubPr>
          <m:e>
            <m:r>
              <m:rPr>
                <m:sty m:val="p"/>
              </m:rPr>
              <w:rPr>
                <w:rFonts w:ascii="Cambria Math" w:hAnsi="Cambria Math" w:hint="eastAsia"/>
              </w:rPr>
              <m:t>P</m:t>
            </m:r>
            <m:ctrlPr>
              <w:rPr>
                <w:rFonts w:ascii="Cambria Math" w:hAnsi="Cambria Math"/>
              </w:rPr>
            </m:ctrlPr>
          </m:e>
          <m:sub>
            <m:r>
              <m:rPr>
                <m:sty m:val="p"/>
              </m:rPr>
              <w:rPr>
                <w:rFonts w:ascii="Cambria Math" w:hAnsi="Cambria Math" w:hint="eastAsia"/>
              </w:rPr>
              <m:t>j</m:t>
            </m:r>
            <m:ctrlPr>
              <w:rPr>
                <w:rFonts w:ascii="Cambria Math" w:hAnsi="Cambria Math"/>
              </w:rPr>
            </m:ctrlPr>
          </m:sub>
        </m:sSub>
      </m:oMath>
      <w:r w:rsidRPr="00765F6E">
        <w:rPr>
          <w:rFonts w:ascii="微软雅黑" w:eastAsia="微软雅黑" w:hAnsi="微软雅黑"/>
        </w:rPr>
        <w:tab/>
      </w:r>
      <w:r w:rsidRPr="00765F6E">
        <w:t>(</w:t>
      </w:r>
      <w:r w:rsidRPr="00765F6E">
        <w:rPr>
          <w:rFonts w:hint="eastAsia"/>
        </w:rPr>
        <w:t>2</w:t>
      </w:r>
      <w:r w:rsidRPr="00765F6E">
        <w:t>3)</w:t>
      </w:r>
    </w:p>
    <w:p w14:paraId="29867DDA" w14:textId="77777777" w:rsidR="00737EB2" w:rsidRPr="00765F6E" w:rsidRDefault="00737EB2" w:rsidP="00737EB2">
      <w:pPr>
        <w:pStyle w:val="affffffd"/>
        <w:spacing w:before="156" w:after="156"/>
        <w:rPr>
          <w:rFonts w:cs="宋体"/>
          <w:lang w:bidi="ar"/>
        </w:rPr>
      </w:pPr>
      <w:r w:rsidRPr="00765F6E">
        <w:tab/>
      </w:r>
      <m:oMath>
        <m:sSub>
          <m:sSubPr>
            <m:ctrlPr>
              <w:rPr>
                <w:rFonts w:ascii="Cambria Math" w:hAnsi="Cambria Math" w:hint="eastAsia"/>
              </w:rPr>
            </m:ctrlPr>
          </m:sSubPr>
          <m:e>
            <m:r>
              <m:rPr>
                <m:sty m:val="p"/>
              </m:rPr>
              <w:rPr>
                <w:rFonts w:ascii="Cambria Math" w:hAnsi="Cambria Math" w:hint="eastAsia"/>
              </w:rPr>
              <m:t>Q</m:t>
            </m:r>
            <m:ctrlPr>
              <w:rPr>
                <w:rFonts w:ascii="Cambria Math" w:hAnsi="Cambria Math"/>
              </w:rPr>
            </m:ctrlPr>
          </m:e>
          <m:sub>
            <m:r>
              <m:rPr>
                <m:sty m:val="p"/>
              </m:rPr>
              <w:rPr>
                <w:rFonts w:ascii="Cambria Math" w:hAnsi="Cambria Math" w:hint="eastAsia"/>
              </w:rPr>
              <m:t>f</m:t>
            </m:r>
            <m:ctrlPr>
              <w:rPr>
                <w:rFonts w:ascii="Cambria Math" w:hAnsi="Cambria Math"/>
              </w:rPr>
            </m:ctrlPr>
          </m:sub>
        </m:sSub>
        <m:r>
          <m:rPr>
            <m:sty m:val="p"/>
          </m:rPr>
          <w:rPr>
            <w:rFonts w:ascii="Cambria Math" w:hAnsi="Cambria Math" w:hint="eastAsia"/>
          </w:rPr>
          <m:t>=0.4</m:t>
        </m:r>
        <m:r>
          <m:rPr>
            <m:sty m:val="p"/>
          </m:rPr>
          <w:rPr>
            <w:rFonts w:ascii="微软雅黑" w:eastAsia="微软雅黑" w:hAnsi="微软雅黑" w:cs="微软雅黑" w:hint="eastAsia"/>
          </w:rPr>
          <m:t>∙</m:t>
        </m:r>
        <m:sSub>
          <m:sSubPr>
            <m:ctrlPr>
              <w:rPr>
                <w:rFonts w:ascii="Cambria Math" w:hAnsi="Cambria Math" w:hint="eastAsia"/>
              </w:rPr>
            </m:ctrlPr>
          </m:sSubPr>
          <m:e>
            <m:r>
              <m:rPr>
                <m:sty m:val="p"/>
              </m:rPr>
              <w:rPr>
                <w:rFonts w:ascii="Cambria Math" w:hAnsi="Cambria Math" w:hint="eastAsia"/>
              </w:rPr>
              <m:t>P</m:t>
            </m:r>
            <m:ctrlPr>
              <w:rPr>
                <w:rFonts w:ascii="Cambria Math" w:hAnsi="Cambria Math"/>
              </w:rPr>
            </m:ctrlPr>
          </m:e>
          <m:sub>
            <m:r>
              <m:rPr>
                <m:sty m:val="p"/>
              </m:rPr>
              <w:rPr>
                <w:rFonts w:ascii="Cambria Math" w:hAnsi="Cambria Math" w:hint="eastAsia"/>
              </w:rPr>
              <m:t>j</m:t>
            </m:r>
            <m:ctrlPr>
              <w:rPr>
                <w:rFonts w:ascii="Cambria Math" w:hAnsi="Cambria Math"/>
              </w:rPr>
            </m:ctrlPr>
          </m:sub>
        </m:sSub>
      </m:oMath>
      <w:r w:rsidRPr="00765F6E">
        <w:rPr>
          <w:rFonts w:ascii="微软雅黑" w:eastAsia="微软雅黑" w:hAnsi="微软雅黑"/>
        </w:rPr>
        <w:tab/>
      </w:r>
      <w:r w:rsidRPr="00765F6E">
        <w:t>(</w:t>
      </w:r>
      <w:r w:rsidRPr="00765F6E">
        <w:rPr>
          <w:rFonts w:hint="eastAsia"/>
        </w:rPr>
        <w:t>2</w:t>
      </w:r>
      <w:r w:rsidRPr="00765F6E">
        <w:t xml:space="preserve">4)                   </w:t>
      </w:r>
    </w:p>
    <w:p w14:paraId="2796CC3F" w14:textId="28D9BCBA" w:rsidR="00737EB2" w:rsidRPr="00765F6E" w:rsidRDefault="00737EB2" w:rsidP="00737EB2">
      <w:pPr>
        <w:adjustRightInd/>
        <w:spacing w:line="240" w:lineRule="auto"/>
        <w:ind w:leftChars="350" w:left="735"/>
        <w:jc w:val="left"/>
        <w:rPr>
          <w:rFonts w:ascii="宋体" w:hAnsi="宋体" w:cs="宋体"/>
        </w:rPr>
      </w:pPr>
      <w:r w:rsidRPr="00765F6E">
        <w:rPr>
          <w:rFonts w:ascii="宋体" w:hAnsi="宋体" w:cs="宋体" w:hint="eastAsia"/>
        </w:rPr>
        <w:t>式中：</w:t>
      </w:r>
    </w:p>
    <w:p w14:paraId="5F265245" w14:textId="4A79A459" w:rsidR="00737EB2" w:rsidRDefault="00CA2808" w:rsidP="00737EB2">
      <w:pPr>
        <w:adjustRightInd/>
        <w:spacing w:line="240" w:lineRule="auto"/>
        <w:ind w:leftChars="350" w:left="735"/>
        <w:jc w:val="left"/>
        <w:rPr>
          <w:rFonts w:ascii="Cambria Math" w:hAnsi="Cambria Math"/>
        </w:rPr>
      </w:pPr>
      <m:oMath>
        <m:sSub>
          <m:sSubPr>
            <m:ctrlPr>
              <w:rPr>
                <w:rFonts w:ascii="Cambria Math" w:hAnsi="Cambria Math" w:hint="eastAsia"/>
              </w:rPr>
            </m:ctrlPr>
          </m:sSubPr>
          <m:e>
            <m:r>
              <m:rPr>
                <m:sty m:val="p"/>
              </m:rPr>
              <w:rPr>
                <w:rFonts w:ascii="Cambria Math" w:hAnsi="Cambria Math" w:hint="eastAsia"/>
              </w:rPr>
              <m:t>P</m:t>
            </m:r>
            <m:ctrlPr>
              <w:rPr>
                <w:rFonts w:ascii="Cambria Math" w:hAnsi="Cambria Math"/>
              </w:rPr>
            </m:ctrlPr>
          </m:e>
          <m:sub>
            <m:r>
              <m:rPr>
                <m:sty m:val="p"/>
              </m:rPr>
              <w:rPr>
                <w:rFonts w:ascii="Cambria Math" w:hAnsi="Cambria Math" w:hint="eastAsia"/>
              </w:rPr>
              <m:t>d</m:t>
            </m:r>
            <m:ctrlPr>
              <w:rPr>
                <w:rFonts w:ascii="Cambria Math" w:hAnsi="Cambria Math"/>
              </w:rPr>
            </m:ctrlPr>
          </m:sub>
        </m:sSub>
      </m:oMath>
      <w:r w:rsidR="00737EB2" w:rsidRPr="00765F6E">
        <w:rPr>
          <w:rFonts w:ascii="Cambria Math" w:hAnsi="Cambria Math" w:hint="eastAsia"/>
        </w:rPr>
        <w:t>——竖向设计荷载；</w:t>
      </w:r>
    </w:p>
    <w:p w14:paraId="35EEDCB3" w14:textId="0F0BF1ED" w:rsidR="002B048D" w:rsidRDefault="002B048D" w:rsidP="002B048D">
      <w:pPr>
        <w:adjustRightInd/>
        <w:spacing w:line="240" w:lineRule="auto"/>
        <w:ind w:leftChars="350" w:left="735"/>
        <w:jc w:val="left"/>
        <w:rPr>
          <w:rFonts w:ascii="Cambria Math" w:hAnsi="Cambria Math"/>
        </w:rPr>
      </w:pPr>
      <w:r w:rsidRPr="00765F6E">
        <w:rPr>
          <w:rFonts w:ascii="Cambria Math" w:hAnsi="Cambria Math" w:cs="Calibri Light"/>
          <w:lang w:bidi="ar"/>
        </w:rPr>
        <w:t>α</w:t>
      </w:r>
      <w:r w:rsidRPr="00765F6E">
        <w:rPr>
          <w:rFonts w:ascii="Cambria Math" w:hAnsi="Cambria Math" w:hint="eastAsia"/>
        </w:rPr>
        <w:t>——动载系数，取</w:t>
      </w:r>
      <w:r w:rsidRPr="00765F6E">
        <w:rPr>
          <w:rFonts w:ascii="Cambria Math" w:hAnsi="Cambria Math" w:hint="eastAsia"/>
        </w:rPr>
        <w:t>2.0</w:t>
      </w:r>
      <w:r w:rsidRPr="00765F6E">
        <w:rPr>
          <w:rFonts w:ascii="Cambria Math" w:hAnsi="Cambria Math" w:hint="eastAsia"/>
        </w:rPr>
        <w:t>；</w:t>
      </w:r>
    </w:p>
    <w:p w14:paraId="6D38C443" w14:textId="77777777" w:rsidR="002B048D" w:rsidRPr="00765F6E" w:rsidRDefault="002B048D" w:rsidP="002B048D">
      <w:pPr>
        <w:adjustRightInd/>
        <w:spacing w:line="240" w:lineRule="auto"/>
        <w:ind w:leftChars="350" w:left="735"/>
        <w:jc w:val="left"/>
        <w:rPr>
          <w:rFonts w:ascii="Cambria Math" w:hAnsi="Cambria Math"/>
        </w:rPr>
      </w:pPr>
      <w:r w:rsidRPr="00765F6E">
        <w:rPr>
          <w:rFonts w:ascii="Cambria Math" w:hAnsi="Cambria Math" w:hint="eastAsia"/>
        </w:rPr>
        <w:t>Q</w:t>
      </w:r>
      <w:r w:rsidRPr="00765F6E">
        <w:rPr>
          <w:rFonts w:ascii="Cambria Math" w:hAnsi="Cambria Math" w:hint="eastAsia"/>
        </w:rPr>
        <w:t>——横向设计荷载；</w:t>
      </w:r>
    </w:p>
    <w:p w14:paraId="5C2F028C" w14:textId="77777777" w:rsidR="00737EB2" w:rsidRPr="00765F6E" w:rsidRDefault="00CA2808" w:rsidP="00737EB2">
      <w:pPr>
        <w:adjustRightInd/>
        <w:spacing w:line="240" w:lineRule="auto"/>
        <w:ind w:leftChars="350" w:left="735"/>
        <w:jc w:val="left"/>
        <w:rPr>
          <w:rFonts w:ascii="Cambria Math" w:hAnsi="Cambria Math"/>
        </w:rPr>
      </w:pPr>
      <m:oMath>
        <m:sSub>
          <m:sSubPr>
            <m:ctrlPr>
              <w:rPr>
                <w:rFonts w:ascii="Cambria Math" w:hAnsi="Cambria Math" w:hint="eastAsia"/>
              </w:rPr>
            </m:ctrlPr>
          </m:sSubPr>
          <m:e>
            <m:r>
              <m:rPr>
                <m:sty m:val="p"/>
              </m:rPr>
              <w:rPr>
                <w:rFonts w:ascii="Cambria Math" w:hAnsi="Cambria Math" w:hint="eastAsia"/>
              </w:rPr>
              <m:t>P</m:t>
            </m:r>
            <m:ctrlPr>
              <w:rPr>
                <w:rFonts w:ascii="Cambria Math" w:hAnsi="Cambria Math"/>
              </w:rPr>
            </m:ctrlPr>
          </m:e>
          <m:sub>
            <m:r>
              <m:rPr>
                <m:sty m:val="p"/>
              </m:rPr>
              <w:rPr>
                <w:rFonts w:ascii="Cambria Math" w:hAnsi="Cambria Math" w:hint="eastAsia"/>
              </w:rPr>
              <m:t>j</m:t>
            </m:r>
            <m:ctrlPr>
              <w:rPr>
                <w:rFonts w:ascii="Cambria Math" w:hAnsi="Cambria Math"/>
              </w:rPr>
            </m:ctrlPr>
          </m:sub>
        </m:sSub>
      </m:oMath>
      <w:r w:rsidR="00737EB2" w:rsidRPr="00765F6E">
        <w:rPr>
          <w:rFonts w:ascii="Cambria Math" w:hAnsi="Cambria Math" w:hint="eastAsia"/>
        </w:rPr>
        <w:t>——静轮载；</w:t>
      </w:r>
    </w:p>
    <w:p w14:paraId="54BD56D0" w14:textId="77777777" w:rsidR="00737EB2" w:rsidRPr="00765F6E" w:rsidRDefault="00737EB2" w:rsidP="00737EB2">
      <w:pPr>
        <w:adjustRightInd/>
        <w:spacing w:line="240" w:lineRule="auto"/>
        <w:ind w:leftChars="350" w:left="735"/>
        <w:jc w:val="left"/>
        <w:rPr>
          <w:rFonts w:hAnsi="宋体" w:cs="宋体"/>
          <w:lang w:bidi="ar"/>
        </w:rPr>
      </w:pPr>
      <w:proofErr w:type="spellStart"/>
      <w:r w:rsidRPr="00765F6E">
        <w:rPr>
          <w:rFonts w:hAnsi="宋体" w:cs="宋体" w:hint="eastAsia"/>
          <w:lang w:bidi="ar"/>
        </w:rPr>
        <w:t>P</w:t>
      </w:r>
      <w:r w:rsidRPr="00765F6E">
        <w:rPr>
          <w:rFonts w:hAnsi="宋体" w:cs="宋体" w:hint="eastAsia"/>
          <w:vertAlign w:val="subscript"/>
          <w:lang w:bidi="ar"/>
        </w:rPr>
        <w:t>f</w:t>
      </w:r>
      <w:proofErr w:type="spellEnd"/>
      <w:r w:rsidRPr="00765F6E">
        <w:rPr>
          <w:rFonts w:hAnsi="宋体" w:cs="宋体" w:hint="eastAsia"/>
          <w:lang w:bidi="ar"/>
        </w:rPr>
        <w:t>——竖向疲劳检算荷载；</w:t>
      </w:r>
    </w:p>
    <w:p w14:paraId="7EB84DBD" w14:textId="77777777" w:rsidR="00737EB2" w:rsidRPr="00765F6E" w:rsidRDefault="00737EB2" w:rsidP="00737EB2">
      <w:pPr>
        <w:adjustRightInd/>
        <w:spacing w:line="240" w:lineRule="auto"/>
        <w:ind w:leftChars="350" w:left="735"/>
        <w:jc w:val="left"/>
        <w:rPr>
          <w:rFonts w:hAnsi="宋体" w:cs="宋体"/>
          <w:lang w:bidi="ar"/>
        </w:rPr>
      </w:pPr>
      <w:proofErr w:type="spellStart"/>
      <w:r w:rsidRPr="00765F6E">
        <w:rPr>
          <w:rFonts w:hAnsi="宋体" w:cs="宋体" w:hint="eastAsia"/>
          <w:lang w:bidi="ar"/>
        </w:rPr>
        <w:t>Q</w:t>
      </w:r>
      <w:r w:rsidRPr="00765F6E">
        <w:rPr>
          <w:rFonts w:hAnsi="宋体" w:cs="宋体" w:hint="eastAsia"/>
          <w:vertAlign w:val="subscript"/>
          <w:lang w:bidi="ar"/>
        </w:rPr>
        <w:t>f</w:t>
      </w:r>
      <w:proofErr w:type="spellEnd"/>
      <w:r w:rsidRPr="00765F6E">
        <w:rPr>
          <w:rFonts w:hAnsi="宋体" w:cs="宋体" w:hint="eastAsia"/>
          <w:lang w:bidi="ar"/>
        </w:rPr>
        <w:t>——横向疲劳检算荷载；</w:t>
      </w:r>
    </w:p>
    <w:p w14:paraId="7F8B463D" w14:textId="77777777" w:rsidR="00737EB2" w:rsidRPr="00765F6E" w:rsidRDefault="00737EB2" w:rsidP="009D0776">
      <w:pPr>
        <w:pStyle w:val="22"/>
      </w:pPr>
      <w:bookmarkStart w:id="916" w:name="_Toc153291177"/>
      <w:bookmarkStart w:id="917" w:name="_Toc99791746"/>
      <w:r w:rsidRPr="00765F6E">
        <w:rPr>
          <w:rFonts w:hint="eastAsia"/>
        </w:rPr>
        <w:t>无砟道床结构符合下列规定：</w:t>
      </w:r>
      <w:bookmarkEnd w:id="916"/>
      <w:bookmarkEnd w:id="917"/>
    </w:p>
    <w:p w14:paraId="1D1298A9" w14:textId="77777777" w:rsidR="00737EB2" w:rsidRPr="00765F6E" w:rsidRDefault="00737EB2" w:rsidP="003334F3">
      <w:pPr>
        <w:pStyle w:val="af6"/>
        <w:numPr>
          <w:ilvl w:val="0"/>
          <w:numId w:val="76"/>
        </w:numPr>
        <w:tabs>
          <w:tab w:val="left" w:pos="851"/>
        </w:tabs>
        <w:snapToGrid w:val="0"/>
        <w:contextualSpacing/>
      </w:pPr>
      <w:r w:rsidRPr="00765F6E">
        <w:rPr>
          <w:rFonts w:hint="eastAsia"/>
        </w:rPr>
        <w:t>无砟道床主体结构的设计使用年限应为60年；</w:t>
      </w:r>
    </w:p>
    <w:p w14:paraId="6D7740AB" w14:textId="77777777" w:rsidR="00737EB2" w:rsidRPr="00765F6E" w:rsidRDefault="00737EB2" w:rsidP="003334F3">
      <w:pPr>
        <w:pStyle w:val="af6"/>
        <w:numPr>
          <w:ilvl w:val="0"/>
          <w:numId w:val="76"/>
        </w:numPr>
        <w:tabs>
          <w:tab w:val="left" w:pos="851"/>
        </w:tabs>
        <w:snapToGrid w:val="0"/>
        <w:contextualSpacing/>
      </w:pPr>
      <w:r w:rsidRPr="00765F6E">
        <w:rPr>
          <w:rFonts w:hint="eastAsia"/>
        </w:rPr>
        <w:t>无砟道床混凝土强度等级：隧道内及库内不应低于C35，高架线、隧道U形结构和路基地段不应低于C40；</w:t>
      </w:r>
    </w:p>
    <w:p w14:paraId="12F8BF95" w14:textId="77777777" w:rsidR="00737EB2" w:rsidRPr="00765F6E" w:rsidRDefault="00737EB2" w:rsidP="003334F3">
      <w:pPr>
        <w:pStyle w:val="af6"/>
        <w:numPr>
          <w:ilvl w:val="0"/>
          <w:numId w:val="76"/>
        </w:numPr>
        <w:tabs>
          <w:tab w:val="left" w:pos="851"/>
        </w:tabs>
        <w:snapToGrid w:val="0"/>
        <w:contextualSpacing/>
      </w:pPr>
      <w:r w:rsidRPr="00765F6E">
        <w:rPr>
          <w:rFonts w:hint="eastAsia"/>
        </w:rPr>
        <w:lastRenderedPageBreak/>
        <w:t>无砟道床采用钢筋混凝土结构，并应满足承载力能力、耐久性要求，配筋应满足综合接地或杂散电流防护的技术要求；</w:t>
      </w:r>
    </w:p>
    <w:p w14:paraId="6BDA7A7D" w14:textId="77777777" w:rsidR="00737EB2" w:rsidRPr="00765F6E" w:rsidRDefault="00737EB2" w:rsidP="003334F3">
      <w:pPr>
        <w:pStyle w:val="af6"/>
        <w:numPr>
          <w:ilvl w:val="0"/>
          <w:numId w:val="76"/>
        </w:numPr>
        <w:tabs>
          <w:tab w:val="left" w:pos="851"/>
        </w:tabs>
        <w:snapToGrid w:val="0"/>
        <w:contextualSpacing/>
      </w:pPr>
      <w:r w:rsidRPr="00765F6E">
        <w:rPr>
          <w:rFonts w:hint="eastAsia"/>
        </w:rPr>
        <w:t>无砟道床纵向宜设置伸缩缝，伸缩缝间距隧道内不宜大于12.5m，U形结构地段、隧道洞口内200m范围、高架桥及路基地段不宜大于6.5m；在结构变形缝和高架桥梁缝处，应设置伸缩缝；特殊地段应结合工程特殊设计；</w:t>
      </w:r>
    </w:p>
    <w:p w14:paraId="3799F290" w14:textId="77777777" w:rsidR="00737EB2" w:rsidRPr="00765F6E" w:rsidRDefault="00737EB2" w:rsidP="003334F3">
      <w:pPr>
        <w:pStyle w:val="af6"/>
        <w:numPr>
          <w:ilvl w:val="0"/>
          <w:numId w:val="76"/>
        </w:numPr>
        <w:tabs>
          <w:tab w:val="left" w:pos="851"/>
        </w:tabs>
        <w:snapToGrid w:val="0"/>
        <w:contextualSpacing/>
      </w:pPr>
      <w:r w:rsidRPr="00765F6E">
        <w:rPr>
          <w:rFonts w:hint="eastAsia"/>
        </w:rPr>
        <w:t>道床顶面与钢轨底面距离不宜小于70mm，道床横向排水坡宜为1%～2%。</w:t>
      </w:r>
    </w:p>
    <w:p w14:paraId="27FB608C" w14:textId="77777777" w:rsidR="00737EB2" w:rsidRPr="00765F6E" w:rsidRDefault="00737EB2" w:rsidP="00737EB2">
      <w:pPr>
        <w:pStyle w:val="affe"/>
        <w:spacing w:before="156" w:after="156"/>
      </w:pPr>
      <w:bookmarkStart w:id="918" w:name="_Toc153291178"/>
      <w:bookmarkStart w:id="919" w:name="_Toc153210850"/>
      <w:bookmarkStart w:id="920" w:name="_Toc99791747"/>
      <w:bookmarkStart w:id="921" w:name="_Toc167895748"/>
      <w:bookmarkStart w:id="922" w:name="_Toc174538662"/>
      <w:bookmarkStart w:id="923" w:name="_Toc182476416"/>
      <w:r w:rsidRPr="00765F6E">
        <w:rPr>
          <w:rFonts w:hint="eastAsia"/>
        </w:rPr>
        <w:t>正线有砟道床</w:t>
      </w:r>
      <w:bookmarkEnd w:id="918"/>
      <w:bookmarkEnd w:id="919"/>
      <w:bookmarkEnd w:id="920"/>
      <w:bookmarkEnd w:id="921"/>
      <w:bookmarkEnd w:id="922"/>
      <w:bookmarkEnd w:id="923"/>
    </w:p>
    <w:p w14:paraId="71B3935A" w14:textId="77777777" w:rsidR="00737EB2" w:rsidRPr="00765F6E" w:rsidRDefault="00737EB2" w:rsidP="009D0776">
      <w:pPr>
        <w:pStyle w:val="22"/>
      </w:pPr>
      <w:bookmarkStart w:id="924" w:name="_Toc153291179"/>
      <w:bookmarkStart w:id="925" w:name="_Toc99791748"/>
      <w:r w:rsidRPr="00765F6E">
        <w:rPr>
          <w:rFonts w:hint="eastAsia"/>
        </w:rPr>
        <w:t>正线有砟轨道道床结构设计应符合下列规定：</w:t>
      </w:r>
      <w:bookmarkEnd w:id="924"/>
      <w:bookmarkEnd w:id="925"/>
    </w:p>
    <w:p w14:paraId="1128E241" w14:textId="77777777" w:rsidR="00737EB2" w:rsidRPr="00765F6E" w:rsidRDefault="00737EB2" w:rsidP="003334F3">
      <w:pPr>
        <w:pStyle w:val="af6"/>
        <w:numPr>
          <w:ilvl w:val="0"/>
          <w:numId w:val="77"/>
        </w:numPr>
        <w:tabs>
          <w:tab w:val="left" w:pos="851"/>
        </w:tabs>
        <w:snapToGrid w:val="0"/>
        <w:contextualSpacing/>
      </w:pPr>
      <w:r w:rsidRPr="00765F6E">
        <w:rPr>
          <w:rFonts w:hint="eastAsia"/>
        </w:rPr>
        <w:t>道床应采用一级道砟；</w:t>
      </w:r>
    </w:p>
    <w:p w14:paraId="687C8325" w14:textId="4AFD4E05" w:rsidR="00737EB2" w:rsidRPr="00765F6E" w:rsidRDefault="00737EB2" w:rsidP="003334F3">
      <w:pPr>
        <w:pStyle w:val="af6"/>
        <w:numPr>
          <w:ilvl w:val="0"/>
          <w:numId w:val="77"/>
        </w:numPr>
        <w:tabs>
          <w:tab w:val="left" w:pos="851"/>
        </w:tabs>
        <w:snapToGrid w:val="0"/>
        <w:contextualSpacing/>
      </w:pPr>
      <w:r w:rsidRPr="00765F6E">
        <w:rPr>
          <w:rFonts w:hint="eastAsia"/>
        </w:rPr>
        <w:t>正线单线道床顶面宽度及道床厚度应符合表</w:t>
      </w:r>
      <w:r w:rsidR="00E512B4">
        <w:t>30</w:t>
      </w:r>
      <w:r w:rsidRPr="00765F6E">
        <w:rPr>
          <w:rFonts w:hint="eastAsia"/>
        </w:rPr>
        <w:t>的规定，道床边坡1</w:t>
      </w:r>
      <w:r w:rsidR="008B0A35">
        <w:rPr>
          <w:rFonts w:hint="eastAsia"/>
        </w:rPr>
        <w:t>∶</w:t>
      </w:r>
      <w:r w:rsidRPr="00765F6E">
        <w:rPr>
          <w:rFonts w:hint="eastAsia"/>
        </w:rPr>
        <w:t>1.75，砟肩堆高0.15m。无缝线路曲线半径小于800m、有缝线路曲线半径小于600m的地段，曲线外侧道道床顶面应加宽0.1m。双线道床顶面宽度应分别按单线设计。</w:t>
      </w:r>
    </w:p>
    <w:p w14:paraId="0BC010BD" w14:textId="77777777" w:rsidR="00737EB2" w:rsidRPr="00765F6E" w:rsidRDefault="00737EB2" w:rsidP="00737EB2">
      <w:pPr>
        <w:pStyle w:val="aff3"/>
        <w:spacing w:before="156" w:after="156"/>
      </w:pPr>
      <w:r w:rsidRPr="00765F6E">
        <w:rPr>
          <w:rFonts w:hint="eastAsia"/>
        </w:rPr>
        <w:t>道床顶面宽度和道床厚度</w:t>
      </w: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556"/>
        <w:gridCol w:w="1555"/>
        <w:gridCol w:w="1555"/>
        <w:gridCol w:w="3111"/>
        <w:gridCol w:w="1557"/>
      </w:tblGrid>
      <w:tr w:rsidR="00737EB2" w:rsidRPr="00765F6E" w14:paraId="7517E936" w14:textId="77777777" w:rsidTr="00871D47">
        <w:trPr>
          <w:trHeight w:val="176"/>
        </w:trPr>
        <w:tc>
          <w:tcPr>
            <w:tcW w:w="4666" w:type="dxa"/>
            <w:gridSpan w:val="3"/>
            <w:vMerge w:val="restart"/>
            <w:tcBorders>
              <w:top w:val="single" w:sz="8" w:space="0" w:color="auto"/>
              <w:bottom w:val="single" w:sz="4" w:space="0" w:color="auto"/>
            </w:tcBorders>
            <w:shd w:val="clear" w:color="auto" w:fill="auto"/>
            <w:vAlign w:val="center"/>
          </w:tcPr>
          <w:p w14:paraId="07A1B58F"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项   目</w:t>
            </w:r>
          </w:p>
        </w:tc>
        <w:tc>
          <w:tcPr>
            <w:tcW w:w="4668" w:type="dxa"/>
            <w:gridSpan w:val="2"/>
            <w:tcBorders>
              <w:top w:val="single" w:sz="8" w:space="0" w:color="auto"/>
              <w:bottom w:val="single" w:sz="4" w:space="0" w:color="auto"/>
            </w:tcBorders>
            <w:shd w:val="clear" w:color="auto" w:fill="auto"/>
            <w:vAlign w:val="center"/>
          </w:tcPr>
          <w:p w14:paraId="61BEF05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设计速度</w:t>
            </w:r>
          </w:p>
        </w:tc>
      </w:tr>
      <w:tr w:rsidR="00737EB2" w:rsidRPr="00765F6E" w14:paraId="2504A668" w14:textId="77777777" w:rsidTr="00871D47">
        <w:trPr>
          <w:trHeight w:val="176"/>
        </w:trPr>
        <w:tc>
          <w:tcPr>
            <w:tcW w:w="4666" w:type="dxa"/>
            <w:gridSpan w:val="3"/>
            <w:vMerge/>
            <w:tcBorders>
              <w:top w:val="single" w:sz="4" w:space="0" w:color="auto"/>
              <w:bottom w:val="single" w:sz="8" w:space="0" w:color="auto"/>
            </w:tcBorders>
            <w:shd w:val="clear" w:color="auto" w:fill="auto"/>
            <w:vAlign w:val="center"/>
          </w:tcPr>
          <w:p w14:paraId="315ABD1F" w14:textId="77777777" w:rsidR="00737EB2" w:rsidRPr="00765F6E" w:rsidRDefault="00737EB2" w:rsidP="00871D47">
            <w:pPr>
              <w:pStyle w:val="affffffffffff2"/>
              <w:jc w:val="center"/>
              <w:rPr>
                <w:rFonts w:hAnsi="宋体" w:cs="宋体"/>
                <w:sz w:val="18"/>
                <w:szCs w:val="18"/>
              </w:rPr>
            </w:pPr>
          </w:p>
        </w:tc>
        <w:tc>
          <w:tcPr>
            <w:tcW w:w="3111" w:type="dxa"/>
            <w:tcBorders>
              <w:top w:val="single" w:sz="4" w:space="0" w:color="auto"/>
              <w:bottom w:val="single" w:sz="8" w:space="0" w:color="auto"/>
            </w:tcBorders>
            <w:shd w:val="clear" w:color="auto" w:fill="auto"/>
            <w:vAlign w:val="center"/>
          </w:tcPr>
          <w:p w14:paraId="01161586"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160km/h、140km/h</w:t>
            </w:r>
          </w:p>
        </w:tc>
        <w:tc>
          <w:tcPr>
            <w:tcW w:w="1557" w:type="dxa"/>
            <w:tcBorders>
              <w:top w:val="single" w:sz="4" w:space="0" w:color="auto"/>
              <w:bottom w:val="single" w:sz="8" w:space="0" w:color="auto"/>
            </w:tcBorders>
            <w:shd w:val="clear" w:color="auto" w:fill="auto"/>
            <w:vAlign w:val="center"/>
          </w:tcPr>
          <w:p w14:paraId="47445F31"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120km/h</w:t>
            </w:r>
          </w:p>
        </w:tc>
      </w:tr>
      <w:tr w:rsidR="00737EB2" w:rsidRPr="00765F6E" w14:paraId="4502A58D" w14:textId="77777777" w:rsidTr="00453DBE">
        <w:trPr>
          <w:trHeight w:val="176"/>
        </w:trPr>
        <w:tc>
          <w:tcPr>
            <w:tcW w:w="4666" w:type="dxa"/>
            <w:gridSpan w:val="3"/>
            <w:tcBorders>
              <w:top w:val="single" w:sz="8" w:space="0" w:color="auto"/>
            </w:tcBorders>
            <w:shd w:val="clear" w:color="auto" w:fill="auto"/>
            <w:vAlign w:val="center"/>
          </w:tcPr>
          <w:p w14:paraId="73E4CE2B" w14:textId="77777777" w:rsidR="00204DCC" w:rsidRDefault="00737EB2" w:rsidP="00BF0BA3">
            <w:pPr>
              <w:pStyle w:val="affffffffffff2"/>
              <w:snapToGrid w:val="0"/>
              <w:jc w:val="center"/>
              <w:rPr>
                <w:rFonts w:hAnsi="宋体" w:cs="宋体"/>
                <w:sz w:val="18"/>
                <w:szCs w:val="18"/>
              </w:rPr>
            </w:pPr>
            <w:r w:rsidRPr="00765F6E">
              <w:rPr>
                <w:rFonts w:hAnsi="宋体" w:cs="宋体"/>
                <w:sz w:val="18"/>
                <w:szCs w:val="18"/>
              </w:rPr>
              <w:t>单线道床顶面宽度</w:t>
            </w:r>
          </w:p>
          <w:p w14:paraId="3E70AD49" w14:textId="468EEB47" w:rsidR="00737EB2" w:rsidRPr="00765F6E" w:rsidRDefault="00B51E84" w:rsidP="00BF0BA3">
            <w:pPr>
              <w:pStyle w:val="affffffffffff2"/>
              <w:snapToGrid w:val="0"/>
              <w:jc w:val="center"/>
              <w:rPr>
                <w:rFonts w:hAnsi="宋体" w:cs="宋体"/>
                <w:sz w:val="18"/>
                <w:szCs w:val="18"/>
              </w:rPr>
            </w:pPr>
            <w:r>
              <w:rPr>
                <w:rFonts w:hAnsi="宋体" w:cs="宋体"/>
                <w:sz w:val="18"/>
                <w:szCs w:val="18"/>
              </w:rPr>
              <w:t>m</w:t>
            </w:r>
          </w:p>
        </w:tc>
        <w:tc>
          <w:tcPr>
            <w:tcW w:w="4668" w:type="dxa"/>
            <w:gridSpan w:val="2"/>
            <w:tcBorders>
              <w:top w:val="single" w:sz="8" w:space="0" w:color="auto"/>
            </w:tcBorders>
            <w:shd w:val="clear" w:color="auto" w:fill="auto"/>
            <w:vAlign w:val="center"/>
          </w:tcPr>
          <w:p w14:paraId="03B4AAA1"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3.40</w:t>
            </w:r>
          </w:p>
        </w:tc>
      </w:tr>
      <w:tr w:rsidR="00737EB2" w:rsidRPr="00765F6E" w14:paraId="411B7D7E" w14:textId="77777777" w:rsidTr="00871D47">
        <w:trPr>
          <w:trHeight w:val="176"/>
        </w:trPr>
        <w:tc>
          <w:tcPr>
            <w:tcW w:w="1556" w:type="dxa"/>
            <w:vMerge w:val="restart"/>
            <w:shd w:val="clear" w:color="auto" w:fill="auto"/>
            <w:vAlign w:val="center"/>
          </w:tcPr>
          <w:p w14:paraId="56CB45BB" w14:textId="77777777" w:rsidR="00204DCC" w:rsidRDefault="00737EB2" w:rsidP="00871D47">
            <w:pPr>
              <w:pStyle w:val="affffffffffff2"/>
              <w:jc w:val="center"/>
              <w:rPr>
                <w:rFonts w:hAnsi="宋体" w:cs="宋体"/>
                <w:sz w:val="18"/>
                <w:szCs w:val="18"/>
              </w:rPr>
            </w:pPr>
            <w:r w:rsidRPr="00765F6E">
              <w:rPr>
                <w:rFonts w:hAnsi="宋体" w:cs="宋体"/>
                <w:sz w:val="18"/>
                <w:szCs w:val="18"/>
              </w:rPr>
              <w:t>道床厚度</w:t>
            </w:r>
          </w:p>
          <w:p w14:paraId="1195DB81" w14:textId="7F6813C4" w:rsidR="00737EB2" w:rsidRPr="00765F6E" w:rsidRDefault="00B51E84" w:rsidP="00871D47">
            <w:pPr>
              <w:pStyle w:val="affffffffffff2"/>
              <w:jc w:val="center"/>
              <w:rPr>
                <w:rFonts w:ascii="黑体" w:eastAsia="黑体" w:hAnsi="黑体" w:cs="宋体"/>
              </w:rPr>
            </w:pPr>
            <w:r>
              <w:rPr>
                <w:rFonts w:hAnsi="宋体" w:cs="宋体"/>
                <w:sz w:val="18"/>
                <w:szCs w:val="18"/>
              </w:rPr>
              <w:t>m</w:t>
            </w:r>
          </w:p>
        </w:tc>
        <w:tc>
          <w:tcPr>
            <w:tcW w:w="1555" w:type="dxa"/>
            <w:vMerge w:val="restart"/>
            <w:shd w:val="clear" w:color="auto" w:fill="auto"/>
            <w:vAlign w:val="center"/>
          </w:tcPr>
          <w:p w14:paraId="3D12B011"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土质路基双层</w:t>
            </w:r>
          </w:p>
        </w:tc>
        <w:tc>
          <w:tcPr>
            <w:tcW w:w="1555" w:type="dxa"/>
            <w:shd w:val="clear" w:color="auto" w:fill="auto"/>
            <w:vAlign w:val="center"/>
          </w:tcPr>
          <w:p w14:paraId="10F94B9A"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表层道砟</w:t>
            </w:r>
          </w:p>
        </w:tc>
        <w:tc>
          <w:tcPr>
            <w:tcW w:w="3111" w:type="dxa"/>
            <w:shd w:val="clear" w:color="auto" w:fill="auto"/>
            <w:vAlign w:val="center"/>
          </w:tcPr>
          <w:p w14:paraId="46D61B1A"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0.3</w:t>
            </w:r>
          </w:p>
        </w:tc>
        <w:tc>
          <w:tcPr>
            <w:tcW w:w="1557" w:type="dxa"/>
            <w:shd w:val="clear" w:color="auto" w:fill="auto"/>
            <w:vAlign w:val="center"/>
          </w:tcPr>
          <w:p w14:paraId="1EDA8B37"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0.25</w:t>
            </w:r>
          </w:p>
        </w:tc>
      </w:tr>
      <w:tr w:rsidR="00737EB2" w:rsidRPr="00765F6E" w14:paraId="23C68E6B" w14:textId="77777777" w:rsidTr="00871D47">
        <w:trPr>
          <w:trHeight w:val="176"/>
        </w:trPr>
        <w:tc>
          <w:tcPr>
            <w:tcW w:w="1556" w:type="dxa"/>
            <w:vMerge/>
            <w:shd w:val="clear" w:color="auto" w:fill="auto"/>
            <w:vAlign w:val="center"/>
          </w:tcPr>
          <w:p w14:paraId="56AA33AC" w14:textId="77777777" w:rsidR="00737EB2" w:rsidRPr="00765F6E" w:rsidRDefault="00737EB2" w:rsidP="00871D47">
            <w:pPr>
              <w:pStyle w:val="afffffffffffd"/>
              <w:widowControl/>
              <w:spacing w:before="0" w:beforeAutospacing="0" w:after="0" w:afterAutospacing="0"/>
              <w:jc w:val="center"/>
              <w:rPr>
                <w:rFonts w:ascii="黑体" w:eastAsia="黑体" w:hAnsi="黑体" w:cs="宋体"/>
                <w:sz w:val="21"/>
                <w:szCs w:val="21"/>
              </w:rPr>
            </w:pPr>
          </w:p>
        </w:tc>
        <w:tc>
          <w:tcPr>
            <w:tcW w:w="1555" w:type="dxa"/>
            <w:vMerge/>
            <w:shd w:val="clear" w:color="auto" w:fill="auto"/>
            <w:vAlign w:val="center"/>
          </w:tcPr>
          <w:p w14:paraId="5A8D32B6" w14:textId="77777777" w:rsidR="00737EB2" w:rsidRPr="00765F6E" w:rsidRDefault="00737EB2" w:rsidP="00871D47">
            <w:pPr>
              <w:pStyle w:val="affffffffffff2"/>
              <w:jc w:val="center"/>
              <w:rPr>
                <w:rFonts w:hAnsi="宋体" w:cs="宋体"/>
                <w:sz w:val="18"/>
                <w:szCs w:val="18"/>
              </w:rPr>
            </w:pPr>
          </w:p>
        </w:tc>
        <w:tc>
          <w:tcPr>
            <w:tcW w:w="1555" w:type="dxa"/>
            <w:shd w:val="clear" w:color="auto" w:fill="auto"/>
            <w:vAlign w:val="center"/>
          </w:tcPr>
          <w:p w14:paraId="75DF592A"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底层道砟</w:t>
            </w:r>
          </w:p>
        </w:tc>
        <w:tc>
          <w:tcPr>
            <w:tcW w:w="3111" w:type="dxa"/>
            <w:shd w:val="clear" w:color="auto" w:fill="auto"/>
            <w:vAlign w:val="center"/>
          </w:tcPr>
          <w:p w14:paraId="146C936D"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0.2</w:t>
            </w:r>
          </w:p>
        </w:tc>
        <w:tc>
          <w:tcPr>
            <w:tcW w:w="1557" w:type="dxa"/>
            <w:shd w:val="clear" w:color="auto" w:fill="auto"/>
            <w:vAlign w:val="center"/>
          </w:tcPr>
          <w:p w14:paraId="2460771E"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0.2</w:t>
            </w:r>
          </w:p>
        </w:tc>
      </w:tr>
      <w:tr w:rsidR="00737EB2" w:rsidRPr="00765F6E" w14:paraId="72683BCC" w14:textId="77777777" w:rsidTr="00871D47">
        <w:trPr>
          <w:trHeight w:val="176"/>
        </w:trPr>
        <w:tc>
          <w:tcPr>
            <w:tcW w:w="1556" w:type="dxa"/>
            <w:vMerge/>
            <w:shd w:val="clear" w:color="auto" w:fill="auto"/>
            <w:vAlign w:val="center"/>
          </w:tcPr>
          <w:p w14:paraId="13527484" w14:textId="77777777" w:rsidR="00737EB2" w:rsidRPr="00765F6E" w:rsidRDefault="00737EB2" w:rsidP="00871D47">
            <w:pPr>
              <w:pStyle w:val="afffffffffffd"/>
              <w:widowControl/>
              <w:spacing w:before="0" w:beforeAutospacing="0" w:after="0" w:afterAutospacing="0"/>
              <w:jc w:val="center"/>
              <w:rPr>
                <w:rFonts w:ascii="黑体" w:eastAsia="黑体" w:hAnsi="黑体" w:cs="宋体"/>
                <w:sz w:val="21"/>
                <w:szCs w:val="21"/>
              </w:rPr>
            </w:pPr>
          </w:p>
        </w:tc>
        <w:tc>
          <w:tcPr>
            <w:tcW w:w="3110" w:type="dxa"/>
            <w:gridSpan w:val="2"/>
            <w:shd w:val="clear" w:color="auto" w:fill="auto"/>
            <w:vAlign w:val="center"/>
          </w:tcPr>
          <w:p w14:paraId="5D4CB708"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土质路基单层道砟</w:t>
            </w:r>
          </w:p>
        </w:tc>
        <w:tc>
          <w:tcPr>
            <w:tcW w:w="4668" w:type="dxa"/>
            <w:gridSpan w:val="2"/>
            <w:vMerge w:val="restart"/>
            <w:shd w:val="clear" w:color="auto" w:fill="auto"/>
            <w:vAlign w:val="center"/>
          </w:tcPr>
          <w:p w14:paraId="631687E5"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0.3</w:t>
            </w:r>
          </w:p>
        </w:tc>
      </w:tr>
      <w:tr w:rsidR="00737EB2" w:rsidRPr="00765F6E" w14:paraId="66CCD488" w14:textId="77777777" w:rsidTr="00871D47">
        <w:trPr>
          <w:trHeight w:val="176"/>
        </w:trPr>
        <w:tc>
          <w:tcPr>
            <w:tcW w:w="1556" w:type="dxa"/>
            <w:vMerge/>
            <w:shd w:val="clear" w:color="auto" w:fill="auto"/>
            <w:vAlign w:val="center"/>
          </w:tcPr>
          <w:p w14:paraId="23CAF89F" w14:textId="77777777" w:rsidR="00737EB2" w:rsidRPr="00765F6E" w:rsidRDefault="00737EB2" w:rsidP="00871D47">
            <w:pPr>
              <w:pStyle w:val="afffffffffffd"/>
              <w:widowControl/>
              <w:spacing w:before="0" w:beforeAutospacing="0" w:after="0" w:afterAutospacing="0"/>
              <w:jc w:val="center"/>
              <w:rPr>
                <w:rFonts w:ascii="黑体" w:eastAsia="黑体" w:hAnsi="黑体" w:cs="宋体"/>
                <w:sz w:val="21"/>
                <w:szCs w:val="21"/>
              </w:rPr>
            </w:pPr>
          </w:p>
        </w:tc>
        <w:tc>
          <w:tcPr>
            <w:tcW w:w="3110" w:type="dxa"/>
            <w:gridSpan w:val="2"/>
            <w:shd w:val="clear" w:color="auto" w:fill="auto"/>
            <w:vAlign w:val="center"/>
          </w:tcPr>
          <w:p w14:paraId="3CB0BAD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硬质岩石路基</w:t>
            </w:r>
          </w:p>
        </w:tc>
        <w:tc>
          <w:tcPr>
            <w:tcW w:w="4668" w:type="dxa"/>
            <w:gridSpan w:val="2"/>
            <w:vMerge/>
            <w:shd w:val="clear" w:color="auto" w:fill="auto"/>
            <w:vAlign w:val="center"/>
          </w:tcPr>
          <w:p w14:paraId="62FB893D" w14:textId="77777777" w:rsidR="00737EB2" w:rsidRPr="00765F6E" w:rsidRDefault="00737EB2" w:rsidP="00871D47">
            <w:pPr>
              <w:pStyle w:val="afffffffffffd"/>
              <w:widowControl/>
              <w:spacing w:before="0" w:beforeAutospacing="0" w:after="0" w:afterAutospacing="0"/>
              <w:jc w:val="center"/>
              <w:rPr>
                <w:rFonts w:ascii="黑体" w:eastAsia="黑体" w:hAnsi="黑体" w:cs="宋体"/>
                <w:sz w:val="21"/>
                <w:szCs w:val="21"/>
              </w:rPr>
            </w:pPr>
          </w:p>
        </w:tc>
      </w:tr>
      <w:tr w:rsidR="00737EB2" w:rsidRPr="00765F6E" w14:paraId="5EF95E0B" w14:textId="77777777" w:rsidTr="00871D47">
        <w:trPr>
          <w:trHeight w:val="176"/>
        </w:trPr>
        <w:tc>
          <w:tcPr>
            <w:tcW w:w="1556" w:type="dxa"/>
            <w:vMerge/>
            <w:shd w:val="clear" w:color="auto" w:fill="auto"/>
            <w:vAlign w:val="center"/>
          </w:tcPr>
          <w:p w14:paraId="5B024A69" w14:textId="77777777" w:rsidR="00737EB2" w:rsidRPr="00765F6E" w:rsidRDefault="00737EB2" w:rsidP="00871D47">
            <w:pPr>
              <w:pStyle w:val="afffffffffffd"/>
              <w:widowControl/>
              <w:spacing w:before="0" w:beforeAutospacing="0" w:after="0" w:afterAutospacing="0"/>
              <w:jc w:val="center"/>
              <w:rPr>
                <w:rFonts w:ascii="黑体" w:eastAsia="黑体" w:hAnsi="黑体" w:cs="宋体"/>
                <w:sz w:val="21"/>
                <w:szCs w:val="21"/>
              </w:rPr>
            </w:pPr>
          </w:p>
        </w:tc>
        <w:tc>
          <w:tcPr>
            <w:tcW w:w="3110" w:type="dxa"/>
            <w:gridSpan w:val="2"/>
            <w:shd w:val="clear" w:color="auto" w:fill="auto"/>
            <w:vAlign w:val="center"/>
          </w:tcPr>
          <w:p w14:paraId="01ED724B"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桥梁地段</w:t>
            </w:r>
          </w:p>
        </w:tc>
        <w:tc>
          <w:tcPr>
            <w:tcW w:w="4668" w:type="dxa"/>
            <w:gridSpan w:val="2"/>
            <w:vMerge/>
            <w:shd w:val="clear" w:color="auto" w:fill="auto"/>
            <w:vAlign w:val="center"/>
          </w:tcPr>
          <w:p w14:paraId="0D465A0D" w14:textId="77777777" w:rsidR="00737EB2" w:rsidRPr="00765F6E" w:rsidRDefault="00737EB2" w:rsidP="00871D47">
            <w:pPr>
              <w:pStyle w:val="afffffffffffd"/>
              <w:widowControl/>
              <w:spacing w:before="0" w:beforeAutospacing="0" w:after="0" w:afterAutospacing="0"/>
              <w:jc w:val="center"/>
              <w:rPr>
                <w:rFonts w:ascii="黑体" w:eastAsia="黑体" w:hAnsi="黑体" w:cs="宋体"/>
                <w:sz w:val="21"/>
                <w:szCs w:val="21"/>
              </w:rPr>
            </w:pPr>
          </w:p>
        </w:tc>
      </w:tr>
      <w:tr w:rsidR="00737EB2" w:rsidRPr="00765F6E" w14:paraId="6403B0A1" w14:textId="77777777" w:rsidTr="00871D47">
        <w:trPr>
          <w:trHeight w:val="176"/>
        </w:trPr>
        <w:tc>
          <w:tcPr>
            <w:tcW w:w="1556" w:type="dxa"/>
            <w:vMerge/>
            <w:tcBorders>
              <w:bottom w:val="single" w:sz="8" w:space="0" w:color="auto"/>
            </w:tcBorders>
            <w:shd w:val="clear" w:color="auto" w:fill="auto"/>
            <w:vAlign w:val="center"/>
          </w:tcPr>
          <w:p w14:paraId="1F99BB1C" w14:textId="77777777" w:rsidR="00737EB2" w:rsidRPr="00765F6E" w:rsidRDefault="00737EB2" w:rsidP="00871D47">
            <w:pPr>
              <w:pStyle w:val="afffffffffffd"/>
              <w:widowControl/>
              <w:spacing w:before="0" w:beforeAutospacing="0" w:after="0" w:afterAutospacing="0"/>
              <w:jc w:val="center"/>
              <w:rPr>
                <w:rFonts w:ascii="黑体" w:eastAsia="黑体" w:hAnsi="黑体" w:cs="宋体"/>
                <w:sz w:val="21"/>
                <w:szCs w:val="21"/>
              </w:rPr>
            </w:pPr>
          </w:p>
        </w:tc>
        <w:tc>
          <w:tcPr>
            <w:tcW w:w="3110" w:type="dxa"/>
            <w:gridSpan w:val="2"/>
            <w:tcBorders>
              <w:bottom w:val="single" w:sz="8" w:space="0" w:color="auto"/>
            </w:tcBorders>
            <w:shd w:val="clear" w:color="auto" w:fill="auto"/>
            <w:vAlign w:val="center"/>
          </w:tcPr>
          <w:p w14:paraId="67ABD3AC"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隧道地段</w:t>
            </w:r>
          </w:p>
        </w:tc>
        <w:tc>
          <w:tcPr>
            <w:tcW w:w="4668" w:type="dxa"/>
            <w:gridSpan w:val="2"/>
            <w:vMerge/>
            <w:tcBorders>
              <w:bottom w:val="single" w:sz="8" w:space="0" w:color="auto"/>
            </w:tcBorders>
            <w:shd w:val="clear" w:color="auto" w:fill="auto"/>
            <w:vAlign w:val="center"/>
          </w:tcPr>
          <w:p w14:paraId="45E457A8" w14:textId="77777777" w:rsidR="00737EB2" w:rsidRPr="00765F6E" w:rsidRDefault="00737EB2" w:rsidP="00871D47">
            <w:pPr>
              <w:pStyle w:val="afffffffffffd"/>
              <w:widowControl/>
              <w:spacing w:before="0" w:beforeAutospacing="0" w:after="0" w:afterAutospacing="0"/>
              <w:jc w:val="center"/>
              <w:rPr>
                <w:rFonts w:ascii="黑体" w:eastAsia="黑体" w:hAnsi="黑体" w:cs="宋体"/>
                <w:sz w:val="21"/>
                <w:szCs w:val="21"/>
              </w:rPr>
            </w:pPr>
          </w:p>
        </w:tc>
      </w:tr>
    </w:tbl>
    <w:p w14:paraId="7C9C0034" w14:textId="77777777" w:rsidR="00737EB2" w:rsidRPr="00765F6E" w:rsidRDefault="00737EB2" w:rsidP="00737EB2">
      <w:pPr>
        <w:spacing w:line="240" w:lineRule="auto"/>
      </w:pPr>
    </w:p>
    <w:p w14:paraId="07C0C46E" w14:textId="5CCD8258" w:rsidR="00737EB2" w:rsidRPr="00765F6E" w:rsidRDefault="00737EB2" w:rsidP="009D0776">
      <w:pPr>
        <w:pStyle w:val="22"/>
      </w:pPr>
      <w:bookmarkStart w:id="926" w:name="_Toc99791749"/>
      <w:bookmarkStart w:id="927" w:name="_Toc153291180"/>
      <w:r w:rsidRPr="00765F6E">
        <w:rPr>
          <w:rFonts w:hint="eastAsia"/>
        </w:rPr>
        <w:t>有砟道床状态参数指标（平均值）应符合表</w:t>
      </w:r>
      <w:r w:rsidR="00E512B4" w:rsidRPr="00765F6E">
        <w:rPr>
          <w:rFonts w:hint="eastAsia"/>
        </w:rPr>
        <w:t>3</w:t>
      </w:r>
      <w:r w:rsidR="00E512B4">
        <w:t>1</w:t>
      </w:r>
      <w:r w:rsidRPr="00765F6E">
        <w:rPr>
          <w:rFonts w:hint="eastAsia"/>
        </w:rPr>
        <w:t>的规定。</w:t>
      </w:r>
      <w:bookmarkEnd w:id="926"/>
      <w:bookmarkEnd w:id="927"/>
    </w:p>
    <w:p w14:paraId="093C550E" w14:textId="77777777" w:rsidR="00737EB2" w:rsidRPr="00765F6E" w:rsidRDefault="00737EB2" w:rsidP="00737EB2">
      <w:pPr>
        <w:pStyle w:val="aff3"/>
        <w:spacing w:before="156" w:after="156"/>
      </w:pPr>
      <w:r w:rsidRPr="00765F6E">
        <w:rPr>
          <w:rFonts w:hint="eastAsia"/>
        </w:rPr>
        <w:t>道床主要参数指标（平均值）</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411"/>
        <w:gridCol w:w="1983"/>
        <w:gridCol w:w="2124"/>
        <w:gridCol w:w="2100"/>
        <w:gridCol w:w="1716"/>
      </w:tblGrid>
      <w:tr w:rsidR="00737EB2" w:rsidRPr="00765F6E" w14:paraId="7BC785E7" w14:textId="77777777" w:rsidTr="00871D47">
        <w:trPr>
          <w:trHeight w:val="176"/>
        </w:trPr>
        <w:tc>
          <w:tcPr>
            <w:tcW w:w="756" w:type="pct"/>
            <w:tcBorders>
              <w:top w:val="single" w:sz="8" w:space="0" w:color="auto"/>
              <w:bottom w:val="single" w:sz="8" w:space="0" w:color="auto"/>
            </w:tcBorders>
            <w:shd w:val="clear" w:color="auto" w:fill="FFFFFF"/>
            <w:vAlign w:val="center"/>
          </w:tcPr>
          <w:p w14:paraId="6A97AA3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轨枕类型</w:t>
            </w:r>
          </w:p>
        </w:tc>
        <w:tc>
          <w:tcPr>
            <w:tcW w:w="1062" w:type="pct"/>
            <w:tcBorders>
              <w:top w:val="single" w:sz="8" w:space="0" w:color="auto"/>
              <w:bottom w:val="single" w:sz="8" w:space="0" w:color="auto"/>
            </w:tcBorders>
            <w:shd w:val="clear" w:color="auto" w:fill="FFFFFF"/>
            <w:vAlign w:val="center"/>
          </w:tcPr>
          <w:p w14:paraId="5768E4C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道床横向阻力</w:t>
            </w:r>
          </w:p>
          <w:p w14:paraId="6E1E85D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K</w:t>
            </w:r>
            <w:r w:rsidRPr="00765F6E">
              <w:rPr>
                <w:rFonts w:hAnsi="宋体" w:cs="宋体"/>
                <w:sz w:val="18"/>
                <w:szCs w:val="18"/>
              </w:rPr>
              <w:t>N/</w:t>
            </w:r>
            <w:r w:rsidRPr="00765F6E">
              <w:rPr>
                <w:rFonts w:hAnsi="宋体" w:cs="宋体" w:hint="eastAsia"/>
                <w:sz w:val="18"/>
                <w:szCs w:val="18"/>
              </w:rPr>
              <w:t>枕</w:t>
            </w:r>
          </w:p>
        </w:tc>
        <w:tc>
          <w:tcPr>
            <w:tcW w:w="1138" w:type="pct"/>
            <w:tcBorders>
              <w:top w:val="single" w:sz="8" w:space="0" w:color="auto"/>
              <w:bottom w:val="single" w:sz="8" w:space="0" w:color="auto"/>
            </w:tcBorders>
            <w:shd w:val="clear" w:color="auto" w:fill="FFFFFF"/>
            <w:vAlign w:val="center"/>
          </w:tcPr>
          <w:p w14:paraId="2402064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道床纵向阻力</w:t>
            </w:r>
          </w:p>
          <w:p w14:paraId="7CB815B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K</w:t>
            </w:r>
            <w:r w:rsidRPr="00765F6E">
              <w:rPr>
                <w:rFonts w:hAnsi="宋体" w:cs="宋体"/>
                <w:sz w:val="18"/>
                <w:szCs w:val="18"/>
              </w:rPr>
              <w:t>N/</w:t>
            </w:r>
            <w:r w:rsidRPr="00765F6E">
              <w:rPr>
                <w:rFonts w:hAnsi="宋体" w:cs="宋体" w:hint="eastAsia"/>
                <w:sz w:val="18"/>
                <w:szCs w:val="18"/>
              </w:rPr>
              <w:t>枕</w:t>
            </w:r>
          </w:p>
        </w:tc>
        <w:tc>
          <w:tcPr>
            <w:tcW w:w="1125" w:type="pct"/>
            <w:tcBorders>
              <w:top w:val="single" w:sz="8" w:space="0" w:color="auto"/>
              <w:bottom w:val="single" w:sz="8" w:space="0" w:color="auto"/>
            </w:tcBorders>
            <w:shd w:val="clear" w:color="auto" w:fill="FFFFFF"/>
            <w:vAlign w:val="center"/>
          </w:tcPr>
          <w:p w14:paraId="3D268066"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道床支承刚度</w:t>
            </w:r>
          </w:p>
          <w:p w14:paraId="09189E67" w14:textId="77777777" w:rsidR="00737EB2" w:rsidRPr="00765F6E" w:rsidRDefault="00737EB2" w:rsidP="00871D47">
            <w:pPr>
              <w:pStyle w:val="affffffffffff2"/>
              <w:jc w:val="center"/>
              <w:rPr>
                <w:rFonts w:hAnsi="宋体" w:cs="宋体"/>
                <w:sz w:val="18"/>
                <w:szCs w:val="18"/>
              </w:rPr>
            </w:pPr>
            <w:proofErr w:type="spellStart"/>
            <w:r w:rsidRPr="00765F6E">
              <w:rPr>
                <w:rFonts w:hAnsi="宋体" w:cs="宋体"/>
                <w:sz w:val="18"/>
                <w:szCs w:val="18"/>
              </w:rPr>
              <w:t>kN</w:t>
            </w:r>
            <w:proofErr w:type="spellEnd"/>
            <w:r w:rsidRPr="00765F6E">
              <w:rPr>
                <w:rFonts w:hAnsi="宋体" w:cs="宋体"/>
                <w:sz w:val="18"/>
                <w:szCs w:val="18"/>
              </w:rPr>
              <w:t>/mm</w:t>
            </w:r>
          </w:p>
        </w:tc>
        <w:tc>
          <w:tcPr>
            <w:tcW w:w="919" w:type="pct"/>
            <w:tcBorders>
              <w:top w:val="single" w:sz="8" w:space="0" w:color="auto"/>
              <w:bottom w:val="single" w:sz="8" w:space="0" w:color="auto"/>
            </w:tcBorders>
            <w:shd w:val="clear" w:color="auto" w:fill="FFFFFF"/>
            <w:vAlign w:val="center"/>
          </w:tcPr>
          <w:p w14:paraId="108184A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道床密度</w:t>
            </w:r>
          </w:p>
          <w:p w14:paraId="53C9B23C"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g/cm</w:t>
            </w:r>
            <w:r w:rsidRPr="00765F6E">
              <w:rPr>
                <w:rFonts w:hAnsi="宋体" w:cs="宋体"/>
                <w:sz w:val="18"/>
                <w:szCs w:val="18"/>
                <w:vertAlign w:val="superscript"/>
              </w:rPr>
              <w:t>3</w:t>
            </w:r>
          </w:p>
        </w:tc>
      </w:tr>
      <w:tr w:rsidR="00737EB2" w:rsidRPr="00765F6E" w14:paraId="0791C157" w14:textId="77777777" w:rsidTr="00871D47">
        <w:trPr>
          <w:trHeight w:val="176"/>
        </w:trPr>
        <w:tc>
          <w:tcPr>
            <w:tcW w:w="756" w:type="pct"/>
            <w:tcBorders>
              <w:top w:val="single" w:sz="8" w:space="0" w:color="auto"/>
            </w:tcBorders>
            <w:shd w:val="clear" w:color="auto" w:fill="FFFFFF"/>
            <w:vAlign w:val="center"/>
          </w:tcPr>
          <w:p w14:paraId="3068F48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Ⅲ型混凝土枕</w:t>
            </w:r>
          </w:p>
        </w:tc>
        <w:tc>
          <w:tcPr>
            <w:tcW w:w="1062" w:type="pct"/>
            <w:tcBorders>
              <w:top w:val="single" w:sz="8" w:space="0" w:color="auto"/>
            </w:tcBorders>
            <w:shd w:val="clear" w:color="auto" w:fill="FFFFFF"/>
            <w:vAlign w:val="center"/>
          </w:tcPr>
          <w:p w14:paraId="457940B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≥10</w:t>
            </w:r>
          </w:p>
        </w:tc>
        <w:tc>
          <w:tcPr>
            <w:tcW w:w="1138" w:type="pct"/>
            <w:tcBorders>
              <w:top w:val="single" w:sz="8" w:space="0" w:color="auto"/>
            </w:tcBorders>
            <w:shd w:val="clear" w:color="auto" w:fill="FFFFFF"/>
            <w:vAlign w:val="center"/>
          </w:tcPr>
          <w:p w14:paraId="57B3D736"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≥12</w:t>
            </w:r>
          </w:p>
        </w:tc>
        <w:tc>
          <w:tcPr>
            <w:tcW w:w="1125" w:type="pct"/>
            <w:tcBorders>
              <w:top w:val="single" w:sz="8" w:space="0" w:color="auto"/>
            </w:tcBorders>
            <w:shd w:val="clear" w:color="auto" w:fill="FFFFFF"/>
            <w:vAlign w:val="center"/>
          </w:tcPr>
          <w:p w14:paraId="295417B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≥100</w:t>
            </w:r>
          </w:p>
        </w:tc>
        <w:tc>
          <w:tcPr>
            <w:tcW w:w="919" w:type="pct"/>
            <w:tcBorders>
              <w:top w:val="single" w:sz="8" w:space="0" w:color="auto"/>
            </w:tcBorders>
            <w:shd w:val="clear" w:color="auto" w:fill="FFFFFF"/>
            <w:vAlign w:val="center"/>
          </w:tcPr>
          <w:p w14:paraId="1A1DE2C8"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≥1.70</w:t>
            </w:r>
          </w:p>
        </w:tc>
      </w:tr>
      <w:tr w:rsidR="00737EB2" w:rsidRPr="00765F6E" w14:paraId="1FD147E3" w14:textId="77777777" w:rsidTr="00871D47">
        <w:trPr>
          <w:trHeight w:val="176"/>
        </w:trPr>
        <w:tc>
          <w:tcPr>
            <w:tcW w:w="756" w:type="pct"/>
            <w:tcBorders>
              <w:bottom w:val="single" w:sz="8" w:space="0" w:color="auto"/>
            </w:tcBorders>
            <w:shd w:val="clear" w:color="auto" w:fill="FFFFFF"/>
            <w:vAlign w:val="center"/>
          </w:tcPr>
          <w:p w14:paraId="7DB2E04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新Ⅱ型混凝土枕</w:t>
            </w:r>
          </w:p>
        </w:tc>
        <w:tc>
          <w:tcPr>
            <w:tcW w:w="1062" w:type="pct"/>
            <w:tcBorders>
              <w:bottom w:val="single" w:sz="8" w:space="0" w:color="auto"/>
            </w:tcBorders>
            <w:shd w:val="clear" w:color="auto" w:fill="FFFFFF"/>
            <w:vAlign w:val="center"/>
          </w:tcPr>
          <w:p w14:paraId="5253BE91"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≥9</w:t>
            </w:r>
          </w:p>
        </w:tc>
        <w:tc>
          <w:tcPr>
            <w:tcW w:w="1138" w:type="pct"/>
            <w:tcBorders>
              <w:bottom w:val="single" w:sz="8" w:space="0" w:color="auto"/>
            </w:tcBorders>
            <w:shd w:val="clear" w:color="auto" w:fill="FFFFFF"/>
            <w:vAlign w:val="center"/>
          </w:tcPr>
          <w:p w14:paraId="71C29D5C"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≥10</w:t>
            </w:r>
          </w:p>
        </w:tc>
        <w:tc>
          <w:tcPr>
            <w:tcW w:w="1125" w:type="pct"/>
            <w:tcBorders>
              <w:bottom w:val="single" w:sz="8" w:space="0" w:color="auto"/>
            </w:tcBorders>
            <w:shd w:val="clear" w:color="auto" w:fill="FFFFFF"/>
            <w:vAlign w:val="center"/>
          </w:tcPr>
          <w:p w14:paraId="521BC6B6"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≥70</w:t>
            </w:r>
          </w:p>
        </w:tc>
        <w:tc>
          <w:tcPr>
            <w:tcW w:w="919" w:type="pct"/>
            <w:tcBorders>
              <w:bottom w:val="single" w:sz="8" w:space="0" w:color="auto"/>
            </w:tcBorders>
            <w:shd w:val="clear" w:color="auto" w:fill="FFFFFF"/>
            <w:vAlign w:val="center"/>
          </w:tcPr>
          <w:p w14:paraId="0EA30A5D"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≥1.70</w:t>
            </w:r>
          </w:p>
        </w:tc>
      </w:tr>
    </w:tbl>
    <w:p w14:paraId="3ABF887C" w14:textId="77777777" w:rsidR="00737EB2" w:rsidRPr="00765F6E" w:rsidRDefault="00737EB2" w:rsidP="00737EB2">
      <w:pPr>
        <w:spacing w:line="240" w:lineRule="auto"/>
      </w:pPr>
    </w:p>
    <w:p w14:paraId="60E3DFA7" w14:textId="77777777" w:rsidR="00737EB2" w:rsidRPr="00765F6E" w:rsidRDefault="00737EB2" w:rsidP="009D0776">
      <w:pPr>
        <w:pStyle w:val="22"/>
      </w:pPr>
      <w:bookmarkStart w:id="928" w:name="_Toc153291181"/>
      <w:bookmarkStart w:id="929" w:name="_Toc99791750"/>
      <w:r w:rsidRPr="00765F6E">
        <w:rPr>
          <w:rFonts w:hint="eastAsia"/>
        </w:rPr>
        <w:t>铺设新Ⅱ型混凝土轨枕、Ⅲ型混凝土轨枕的道床顶面应与轨枕中部顶面平齐。</w:t>
      </w:r>
      <w:bookmarkEnd w:id="928"/>
      <w:bookmarkEnd w:id="929"/>
    </w:p>
    <w:p w14:paraId="2107E502" w14:textId="77777777" w:rsidR="00737EB2" w:rsidRPr="00765F6E" w:rsidRDefault="00737EB2" w:rsidP="009D0776">
      <w:pPr>
        <w:pStyle w:val="22"/>
      </w:pPr>
      <w:bookmarkStart w:id="930" w:name="_Toc153291182"/>
      <w:bookmarkStart w:id="931" w:name="_Toc99791751"/>
      <w:r w:rsidRPr="00765F6E">
        <w:rPr>
          <w:rFonts w:hint="eastAsia"/>
        </w:rPr>
        <w:t>铺设岔枕、桥枕等地段的道床顶面应低于轨枕承轨面3cm。</w:t>
      </w:r>
      <w:bookmarkEnd w:id="930"/>
      <w:bookmarkEnd w:id="931"/>
    </w:p>
    <w:p w14:paraId="46E94150" w14:textId="77777777" w:rsidR="00737EB2" w:rsidRPr="00765F6E" w:rsidRDefault="00737EB2" w:rsidP="009D0776">
      <w:pPr>
        <w:pStyle w:val="22"/>
      </w:pPr>
      <w:bookmarkStart w:id="932" w:name="_Toc153291183"/>
      <w:bookmarkStart w:id="933" w:name="_Toc99791752"/>
      <w:r w:rsidRPr="00765F6E">
        <w:rPr>
          <w:rFonts w:hint="eastAsia"/>
        </w:rPr>
        <w:t>桥梁地段砟肩至挡砟墙间应以道砟填平，隧道地段道床砟肩至边墙（或高侧水沟、电缆槽壁）间应以道砟填平。</w:t>
      </w:r>
      <w:bookmarkEnd w:id="932"/>
      <w:bookmarkEnd w:id="933"/>
    </w:p>
    <w:p w14:paraId="7D7B6DC1" w14:textId="77777777" w:rsidR="00737EB2" w:rsidRPr="00765F6E" w:rsidRDefault="00737EB2" w:rsidP="00737EB2">
      <w:pPr>
        <w:pStyle w:val="affe"/>
        <w:spacing w:before="156" w:after="156"/>
      </w:pPr>
      <w:bookmarkStart w:id="934" w:name="_Toc153291184"/>
      <w:bookmarkStart w:id="935" w:name="_Toc153210851"/>
      <w:bookmarkStart w:id="936" w:name="_Toc99791753"/>
      <w:bookmarkStart w:id="937" w:name="_Toc167895749"/>
      <w:bookmarkStart w:id="938" w:name="_Toc174538663"/>
      <w:bookmarkStart w:id="939" w:name="_Toc182476417"/>
      <w:r w:rsidRPr="00765F6E">
        <w:rPr>
          <w:rFonts w:hint="eastAsia"/>
        </w:rPr>
        <w:t>轨道结构过渡段</w:t>
      </w:r>
      <w:bookmarkEnd w:id="934"/>
      <w:bookmarkEnd w:id="935"/>
      <w:bookmarkEnd w:id="936"/>
      <w:bookmarkEnd w:id="937"/>
      <w:bookmarkEnd w:id="938"/>
      <w:bookmarkEnd w:id="939"/>
    </w:p>
    <w:p w14:paraId="032E8133" w14:textId="77777777" w:rsidR="00737EB2" w:rsidRPr="00765F6E" w:rsidRDefault="00737EB2" w:rsidP="009D0776">
      <w:pPr>
        <w:pStyle w:val="22"/>
      </w:pPr>
      <w:bookmarkStart w:id="940" w:name="_Toc99791754"/>
      <w:bookmarkStart w:id="941" w:name="_Toc153291185"/>
      <w:r w:rsidRPr="00765F6E">
        <w:rPr>
          <w:rFonts w:hint="eastAsia"/>
        </w:rPr>
        <w:t>不同轨道结构宜在相同下部基础上进行过渡。</w:t>
      </w:r>
      <w:bookmarkEnd w:id="940"/>
      <w:bookmarkEnd w:id="941"/>
    </w:p>
    <w:p w14:paraId="2A1F2D36" w14:textId="77777777" w:rsidR="00737EB2" w:rsidRPr="00765F6E" w:rsidRDefault="00737EB2" w:rsidP="009D0776">
      <w:pPr>
        <w:pStyle w:val="22"/>
      </w:pPr>
      <w:bookmarkStart w:id="942" w:name="_Toc153291186"/>
      <w:bookmarkStart w:id="943" w:name="_Toc99791755"/>
      <w:r w:rsidRPr="00765F6E">
        <w:rPr>
          <w:rFonts w:hint="eastAsia"/>
        </w:rPr>
        <w:t>过渡段区域不应设置钢轨焊接接头及绝缘接头。</w:t>
      </w:r>
      <w:bookmarkEnd w:id="942"/>
      <w:bookmarkEnd w:id="943"/>
    </w:p>
    <w:p w14:paraId="0916467E" w14:textId="77777777" w:rsidR="00737EB2" w:rsidRPr="00765F6E" w:rsidRDefault="00737EB2" w:rsidP="009D0776">
      <w:pPr>
        <w:pStyle w:val="22"/>
      </w:pPr>
      <w:bookmarkStart w:id="944" w:name="_Toc153291187"/>
      <w:bookmarkStart w:id="945" w:name="_Toc99791756"/>
      <w:r w:rsidRPr="00765F6E">
        <w:rPr>
          <w:rFonts w:hint="eastAsia"/>
        </w:rPr>
        <w:t>过渡段长度不宜小于一节车辆长度。</w:t>
      </w:r>
      <w:bookmarkEnd w:id="944"/>
      <w:bookmarkEnd w:id="945"/>
    </w:p>
    <w:p w14:paraId="369AFA09" w14:textId="77777777" w:rsidR="00737EB2" w:rsidRPr="00765F6E" w:rsidRDefault="00737EB2" w:rsidP="00737EB2">
      <w:pPr>
        <w:pStyle w:val="affe"/>
        <w:spacing w:before="156" w:after="156"/>
      </w:pPr>
      <w:bookmarkStart w:id="946" w:name="_Toc153291188"/>
      <w:bookmarkStart w:id="947" w:name="_Toc99791757"/>
      <w:bookmarkStart w:id="948" w:name="_Toc153210852"/>
      <w:bookmarkStart w:id="949" w:name="_Toc167895750"/>
      <w:bookmarkStart w:id="950" w:name="_Toc174538664"/>
      <w:bookmarkStart w:id="951" w:name="_Toc182476418"/>
      <w:r w:rsidRPr="00765F6E">
        <w:rPr>
          <w:rFonts w:hint="eastAsia"/>
        </w:rPr>
        <w:t>配线、车场线轨道</w:t>
      </w:r>
      <w:bookmarkEnd w:id="946"/>
      <w:bookmarkEnd w:id="947"/>
      <w:bookmarkEnd w:id="948"/>
      <w:bookmarkEnd w:id="949"/>
      <w:bookmarkEnd w:id="950"/>
      <w:bookmarkEnd w:id="951"/>
    </w:p>
    <w:p w14:paraId="7276EFD3" w14:textId="77777777" w:rsidR="00737EB2" w:rsidRPr="00765F6E" w:rsidRDefault="00737EB2" w:rsidP="009D0776">
      <w:pPr>
        <w:pStyle w:val="22"/>
      </w:pPr>
      <w:bookmarkStart w:id="952" w:name="_Toc153291189"/>
      <w:bookmarkStart w:id="953" w:name="_Toc99791758"/>
      <w:r w:rsidRPr="00765F6E">
        <w:rPr>
          <w:rFonts w:hint="eastAsia"/>
        </w:rPr>
        <w:lastRenderedPageBreak/>
        <w:t>正线采用无砟轨道时，配线可采用无砟轨道；车场线库外线一般采用有砟轨道，车场线库内线、库外装卸线宜采用无砟轨道。</w:t>
      </w:r>
      <w:bookmarkEnd w:id="952"/>
      <w:bookmarkEnd w:id="953"/>
    </w:p>
    <w:p w14:paraId="57DB7992" w14:textId="77777777" w:rsidR="00737EB2" w:rsidRPr="00765F6E" w:rsidRDefault="00737EB2" w:rsidP="009D0776">
      <w:pPr>
        <w:pStyle w:val="22"/>
      </w:pPr>
      <w:bookmarkStart w:id="954" w:name="_Toc153291190"/>
      <w:bookmarkStart w:id="955" w:name="_Toc99791759"/>
      <w:r w:rsidRPr="00765F6E">
        <w:rPr>
          <w:rFonts w:hint="eastAsia"/>
        </w:rPr>
        <w:t>到发线、出入线、动态试验线宜按一次铺设无缝线路设计。车场线一般采用有缝线路。</w:t>
      </w:r>
      <w:bookmarkEnd w:id="954"/>
      <w:bookmarkEnd w:id="955"/>
    </w:p>
    <w:p w14:paraId="19D3C310" w14:textId="77777777" w:rsidR="00737EB2" w:rsidRPr="00765F6E" w:rsidRDefault="00737EB2" w:rsidP="009D0776">
      <w:pPr>
        <w:pStyle w:val="22"/>
      </w:pPr>
      <w:bookmarkStart w:id="956" w:name="_Toc99791760"/>
      <w:bookmarkStart w:id="957" w:name="_Toc153291191"/>
      <w:r w:rsidRPr="00765F6E">
        <w:rPr>
          <w:rFonts w:hint="eastAsia"/>
        </w:rPr>
        <w:t>到发线、出入线、动态试验线宜采用60kg/m钢轨，车场线宜采用50kg/m钢轨。</w:t>
      </w:r>
      <w:bookmarkEnd w:id="956"/>
      <w:bookmarkEnd w:id="957"/>
    </w:p>
    <w:p w14:paraId="6BEEFB4D" w14:textId="77777777" w:rsidR="00737EB2" w:rsidRPr="00765F6E" w:rsidRDefault="00737EB2" w:rsidP="009D0776">
      <w:pPr>
        <w:pStyle w:val="22"/>
      </w:pPr>
      <w:bookmarkStart w:id="958" w:name="_Toc153291192"/>
      <w:bookmarkStart w:id="959" w:name="_Toc99791761"/>
      <w:r w:rsidRPr="00765F6E">
        <w:rPr>
          <w:rFonts w:hint="eastAsia"/>
        </w:rPr>
        <w:t>联络线、出入线、动态试验线有砟道床地段宜采用Ⅲ型或新Ⅱ型预应力混凝土轨枕，到发线、车场线有砟道床地段宜采用新Ⅱ型混凝土轨枕。</w:t>
      </w:r>
      <w:bookmarkEnd w:id="958"/>
      <w:bookmarkEnd w:id="959"/>
    </w:p>
    <w:p w14:paraId="4A2BA58B" w14:textId="77777777" w:rsidR="00737EB2" w:rsidRPr="00765F6E" w:rsidRDefault="00737EB2" w:rsidP="009D0776">
      <w:pPr>
        <w:pStyle w:val="22"/>
      </w:pPr>
      <w:bookmarkStart w:id="960" w:name="_Toc99791762"/>
      <w:bookmarkStart w:id="961" w:name="_Toc153291193"/>
      <w:r w:rsidRPr="00765F6E">
        <w:rPr>
          <w:rFonts w:hint="eastAsia"/>
        </w:rPr>
        <w:t>无砟轨道应采用较大调高量的弹性扣件。有砟道床铺设60kg/m钢轨时，宜采用弹条Ⅱ型扣件；铺设50kg/m钢轨时，宜采用弹条I型扣件。</w:t>
      </w:r>
      <w:bookmarkEnd w:id="960"/>
      <w:bookmarkEnd w:id="961"/>
    </w:p>
    <w:p w14:paraId="077AA6FB" w14:textId="77777777" w:rsidR="00737EB2" w:rsidRPr="00765F6E" w:rsidRDefault="00737EB2" w:rsidP="009D0776">
      <w:pPr>
        <w:pStyle w:val="22"/>
      </w:pPr>
      <w:bookmarkStart w:id="962" w:name="_Toc99791763"/>
      <w:bookmarkStart w:id="963" w:name="_Toc153291194"/>
      <w:r w:rsidRPr="00765F6E">
        <w:rPr>
          <w:rFonts w:hint="eastAsia"/>
        </w:rPr>
        <w:t>配线及车场线有砟道床应符合以下规定：</w:t>
      </w:r>
      <w:bookmarkEnd w:id="962"/>
      <w:bookmarkEnd w:id="963"/>
    </w:p>
    <w:p w14:paraId="0764AABA" w14:textId="77777777" w:rsidR="00737EB2" w:rsidRPr="00765F6E" w:rsidRDefault="00737EB2" w:rsidP="003334F3">
      <w:pPr>
        <w:pStyle w:val="af6"/>
        <w:numPr>
          <w:ilvl w:val="0"/>
          <w:numId w:val="78"/>
        </w:numPr>
        <w:tabs>
          <w:tab w:val="left" w:pos="851"/>
        </w:tabs>
        <w:snapToGrid w:val="0"/>
        <w:contextualSpacing/>
      </w:pPr>
      <w:r w:rsidRPr="00765F6E">
        <w:rPr>
          <w:rFonts w:hint="eastAsia"/>
        </w:rPr>
        <w:t>有砟道床应采用一级碎石道砟，道砟应符合</w:t>
      </w:r>
      <w:r w:rsidRPr="00765F6E">
        <w:t>TB/T 2140</w:t>
      </w:r>
      <w:r w:rsidRPr="00765F6E">
        <w:rPr>
          <w:rFonts w:hint="eastAsia"/>
        </w:rPr>
        <w:t>的规定；</w:t>
      </w:r>
    </w:p>
    <w:p w14:paraId="3BF6563F" w14:textId="77777777" w:rsidR="00737EB2" w:rsidRPr="00765F6E" w:rsidRDefault="00737EB2" w:rsidP="003334F3">
      <w:pPr>
        <w:pStyle w:val="af6"/>
        <w:numPr>
          <w:ilvl w:val="0"/>
          <w:numId w:val="78"/>
        </w:numPr>
        <w:tabs>
          <w:tab w:val="left" w:pos="851"/>
        </w:tabs>
        <w:snapToGrid w:val="0"/>
        <w:contextualSpacing/>
      </w:pPr>
      <w:r w:rsidRPr="00765F6E">
        <w:rPr>
          <w:rFonts w:hint="eastAsia"/>
        </w:rPr>
        <w:t>无缝线路地段道砟肩宽应为0.4m，曲线半径小于800m的地段，曲线外侧道床顶面宽度应增加0.1m；有缝线路地段道砟肩宽应为0.2m，曲线半径小于600m的地段，曲线外侧道床顶面宽度应增加0.1m；</w:t>
      </w:r>
    </w:p>
    <w:p w14:paraId="74577CF6" w14:textId="530E4D79" w:rsidR="00737EB2" w:rsidRPr="00765F6E" w:rsidRDefault="00737EB2" w:rsidP="003334F3">
      <w:pPr>
        <w:pStyle w:val="af6"/>
        <w:numPr>
          <w:ilvl w:val="0"/>
          <w:numId w:val="78"/>
        </w:numPr>
        <w:tabs>
          <w:tab w:val="left" w:pos="851"/>
        </w:tabs>
        <w:snapToGrid w:val="0"/>
        <w:contextualSpacing/>
      </w:pPr>
      <w:r w:rsidRPr="00765F6E">
        <w:rPr>
          <w:rFonts w:hint="eastAsia"/>
        </w:rPr>
        <w:t>有砟道床断面参数，应符合表</w:t>
      </w:r>
      <w:r w:rsidR="00E512B4" w:rsidRPr="00765F6E">
        <w:rPr>
          <w:rFonts w:hint="eastAsia"/>
        </w:rPr>
        <w:t>3</w:t>
      </w:r>
      <w:r w:rsidR="00E512B4">
        <w:t>2</w:t>
      </w:r>
      <w:r w:rsidRPr="00765F6E">
        <w:rPr>
          <w:rFonts w:hint="eastAsia"/>
        </w:rPr>
        <w:t>的规定。</w:t>
      </w:r>
    </w:p>
    <w:p w14:paraId="5B61CD8C" w14:textId="77777777" w:rsidR="00737EB2" w:rsidRPr="00765F6E" w:rsidRDefault="00737EB2" w:rsidP="00737EB2">
      <w:pPr>
        <w:pStyle w:val="aff3"/>
        <w:spacing w:before="156" w:after="156"/>
      </w:pPr>
      <w:r w:rsidRPr="00765F6E">
        <w:rPr>
          <w:rFonts w:hint="eastAsia"/>
        </w:rPr>
        <w:t>有砟道床断面参数</w:t>
      </w:r>
    </w:p>
    <w:tbl>
      <w:tblPr>
        <w:tblW w:w="4899" w:type="pct"/>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Layout w:type="fixed"/>
        <w:tblLook w:val="04A0" w:firstRow="1" w:lastRow="0" w:firstColumn="1" w:lastColumn="0" w:noHBand="0" w:noVBand="1"/>
      </w:tblPr>
      <w:tblGrid>
        <w:gridCol w:w="1837"/>
        <w:gridCol w:w="2637"/>
        <w:gridCol w:w="1739"/>
        <w:gridCol w:w="1716"/>
        <w:gridCol w:w="1216"/>
      </w:tblGrid>
      <w:tr w:rsidR="00737EB2" w:rsidRPr="00765F6E" w14:paraId="1FCF6918" w14:textId="77777777" w:rsidTr="00871D47">
        <w:trPr>
          <w:trHeight w:val="176"/>
        </w:trPr>
        <w:tc>
          <w:tcPr>
            <w:tcW w:w="1004" w:type="pct"/>
            <w:vMerge w:val="restart"/>
            <w:tcBorders>
              <w:top w:val="single" w:sz="8" w:space="0" w:color="000000"/>
              <w:bottom w:val="single" w:sz="4" w:space="0" w:color="000000"/>
            </w:tcBorders>
            <w:shd w:val="clear" w:color="auto" w:fill="auto"/>
            <w:vAlign w:val="center"/>
          </w:tcPr>
          <w:p w14:paraId="5217482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项目</w:t>
            </w:r>
          </w:p>
        </w:tc>
        <w:tc>
          <w:tcPr>
            <w:tcW w:w="2393" w:type="pct"/>
            <w:gridSpan w:val="2"/>
            <w:vMerge w:val="restart"/>
            <w:tcBorders>
              <w:top w:val="single" w:sz="8" w:space="0" w:color="000000"/>
              <w:bottom w:val="single" w:sz="4" w:space="0" w:color="000000"/>
            </w:tcBorders>
            <w:shd w:val="clear" w:color="auto" w:fill="auto"/>
            <w:vAlign w:val="center"/>
          </w:tcPr>
          <w:p w14:paraId="6237E74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无缝线路</w:t>
            </w:r>
          </w:p>
        </w:tc>
        <w:tc>
          <w:tcPr>
            <w:tcW w:w="1603" w:type="pct"/>
            <w:gridSpan w:val="2"/>
            <w:tcBorders>
              <w:top w:val="single" w:sz="8" w:space="0" w:color="000000"/>
              <w:bottom w:val="single" w:sz="4" w:space="0" w:color="000000"/>
            </w:tcBorders>
            <w:shd w:val="clear" w:color="auto" w:fill="auto"/>
            <w:vAlign w:val="center"/>
          </w:tcPr>
          <w:p w14:paraId="15B0198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有缝线路</w:t>
            </w:r>
          </w:p>
        </w:tc>
      </w:tr>
      <w:tr w:rsidR="00737EB2" w:rsidRPr="00765F6E" w14:paraId="5DA23CF5" w14:textId="77777777" w:rsidTr="00871D47">
        <w:trPr>
          <w:trHeight w:val="176"/>
        </w:trPr>
        <w:tc>
          <w:tcPr>
            <w:tcW w:w="1004" w:type="pct"/>
            <w:vMerge/>
            <w:tcBorders>
              <w:top w:val="single" w:sz="4" w:space="0" w:color="000000"/>
              <w:bottom w:val="single" w:sz="8" w:space="0" w:color="000000"/>
            </w:tcBorders>
            <w:shd w:val="clear" w:color="auto" w:fill="auto"/>
            <w:vAlign w:val="center"/>
          </w:tcPr>
          <w:p w14:paraId="72FF8187" w14:textId="77777777" w:rsidR="00737EB2" w:rsidRPr="00765F6E" w:rsidRDefault="00737EB2" w:rsidP="00871D47">
            <w:pPr>
              <w:pStyle w:val="affffffffffff2"/>
              <w:jc w:val="center"/>
              <w:rPr>
                <w:rFonts w:hAnsi="宋体" w:cs="宋体"/>
                <w:sz w:val="18"/>
                <w:szCs w:val="18"/>
              </w:rPr>
            </w:pPr>
          </w:p>
        </w:tc>
        <w:tc>
          <w:tcPr>
            <w:tcW w:w="2393" w:type="pct"/>
            <w:gridSpan w:val="2"/>
            <w:vMerge/>
            <w:tcBorders>
              <w:top w:val="single" w:sz="4" w:space="0" w:color="000000"/>
              <w:bottom w:val="single" w:sz="8" w:space="0" w:color="000000"/>
            </w:tcBorders>
            <w:shd w:val="clear" w:color="auto" w:fill="auto"/>
            <w:vAlign w:val="center"/>
          </w:tcPr>
          <w:p w14:paraId="4F1900A4" w14:textId="77777777" w:rsidR="00737EB2" w:rsidRPr="00765F6E" w:rsidRDefault="00737EB2" w:rsidP="00871D47">
            <w:pPr>
              <w:pStyle w:val="affffffffffff2"/>
              <w:jc w:val="center"/>
              <w:rPr>
                <w:rFonts w:hAnsi="宋体" w:cs="宋体"/>
                <w:sz w:val="18"/>
                <w:szCs w:val="18"/>
              </w:rPr>
            </w:pPr>
          </w:p>
        </w:tc>
        <w:tc>
          <w:tcPr>
            <w:tcW w:w="938" w:type="pct"/>
            <w:tcBorders>
              <w:top w:val="single" w:sz="4" w:space="0" w:color="000000"/>
              <w:bottom w:val="single" w:sz="8" w:space="0" w:color="000000"/>
            </w:tcBorders>
            <w:shd w:val="clear" w:color="auto" w:fill="auto"/>
            <w:noWrap/>
            <w:vAlign w:val="center"/>
          </w:tcPr>
          <w:p w14:paraId="0D3A834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配线</w:t>
            </w:r>
          </w:p>
        </w:tc>
        <w:tc>
          <w:tcPr>
            <w:tcW w:w="665" w:type="pct"/>
            <w:tcBorders>
              <w:top w:val="single" w:sz="4" w:space="0" w:color="000000"/>
              <w:bottom w:val="single" w:sz="8" w:space="0" w:color="000000"/>
            </w:tcBorders>
            <w:shd w:val="clear" w:color="auto" w:fill="auto"/>
            <w:noWrap/>
            <w:vAlign w:val="center"/>
          </w:tcPr>
          <w:p w14:paraId="18CBCDC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车场线</w:t>
            </w:r>
          </w:p>
        </w:tc>
      </w:tr>
      <w:tr w:rsidR="00737EB2" w:rsidRPr="00765F6E" w14:paraId="6FB0D4CB" w14:textId="77777777" w:rsidTr="00871D47">
        <w:trPr>
          <w:trHeight w:val="176"/>
        </w:trPr>
        <w:tc>
          <w:tcPr>
            <w:tcW w:w="1004" w:type="pct"/>
            <w:tcBorders>
              <w:top w:val="single" w:sz="8" w:space="0" w:color="000000"/>
            </w:tcBorders>
            <w:shd w:val="clear" w:color="auto" w:fill="auto"/>
            <w:noWrap/>
            <w:vAlign w:val="center"/>
          </w:tcPr>
          <w:p w14:paraId="340971E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道床顶面宽度/</w:t>
            </w:r>
            <w:r w:rsidRPr="00765F6E">
              <w:rPr>
                <w:rFonts w:hAnsi="宋体" w:cs="宋体"/>
                <w:sz w:val="18"/>
                <w:szCs w:val="18"/>
              </w:rPr>
              <w:t>m</w:t>
            </w:r>
          </w:p>
        </w:tc>
        <w:tc>
          <w:tcPr>
            <w:tcW w:w="2393" w:type="pct"/>
            <w:gridSpan w:val="2"/>
            <w:tcBorders>
              <w:top w:val="single" w:sz="8" w:space="0" w:color="000000"/>
            </w:tcBorders>
            <w:shd w:val="clear" w:color="auto" w:fill="auto"/>
            <w:noWrap/>
            <w:vAlign w:val="center"/>
          </w:tcPr>
          <w:p w14:paraId="696357C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 xml:space="preserve">3.3 </w:t>
            </w:r>
          </w:p>
        </w:tc>
        <w:tc>
          <w:tcPr>
            <w:tcW w:w="1603" w:type="pct"/>
            <w:gridSpan w:val="2"/>
            <w:tcBorders>
              <w:top w:val="single" w:sz="8" w:space="0" w:color="000000"/>
            </w:tcBorders>
            <w:shd w:val="clear" w:color="auto" w:fill="auto"/>
            <w:noWrap/>
            <w:vAlign w:val="center"/>
          </w:tcPr>
          <w:p w14:paraId="232C25B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2.9</w:t>
            </w:r>
          </w:p>
        </w:tc>
      </w:tr>
      <w:tr w:rsidR="00737EB2" w:rsidRPr="00765F6E" w14:paraId="3CA8ABF0" w14:textId="77777777" w:rsidTr="00871D47">
        <w:trPr>
          <w:trHeight w:val="176"/>
        </w:trPr>
        <w:tc>
          <w:tcPr>
            <w:tcW w:w="1004" w:type="pct"/>
            <w:vMerge w:val="restart"/>
            <w:shd w:val="clear" w:color="auto" w:fill="auto"/>
            <w:vAlign w:val="center"/>
          </w:tcPr>
          <w:p w14:paraId="6DE069B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道床厚度/</w:t>
            </w:r>
            <w:r w:rsidRPr="00765F6E">
              <w:rPr>
                <w:rFonts w:hAnsi="宋体" w:cs="宋体"/>
                <w:sz w:val="18"/>
                <w:szCs w:val="18"/>
              </w:rPr>
              <w:t>m</w:t>
            </w:r>
          </w:p>
        </w:tc>
        <w:tc>
          <w:tcPr>
            <w:tcW w:w="1442" w:type="pct"/>
            <w:vMerge w:val="restart"/>
            <w:shd w:val="clear" w:color="auto" w:fill="auto"/>
            <w:noWrap/>
            <w:vAlign w:val="center"/>
          </w:tcPr>
          <w:p w14:paraId="5544F9A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非渗水土路基</w:t>
            </w:r>
          </w:p>
        </w:tc>
        <w:tc>
          <w:tcPr>
            <w:tcW w:w="951" w:type="pct"/>
            <w:shd w:val="clear" w:color="auto" w:fill="auto"/>
            <w:noWrap/>
            <w:vAlign w:val="center"/>
          </w:tcPr>
          <w:p w14:paraId="522B84D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面砟0.3</w:t>
            </w:r>
          </w:p>
        </w:tc>
        <w:tc>
          <w:tcPr>
            <w:tcW w:w="938" w:type="pct"/>
            <w:shd w:val="clear" w:color="auto" w:fill="auto"/>
            <w:noWrap/>
            <w:vAlign w:val="center"/>
          </w:tcPr>
          <w:p w14:paraId="6A93226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面砟0.3</w:t>
            </w:r>
          </w:p>
        </w:tc>
        <w:tc>
          <w:tcPr>
            <w:tcW w:w="665" w:type="pct"/>
            <w:vMerge w:val="restart"/>
            <w:shd w:val="clear" w:color="auto" w:fill="auto"/>
            <w:noWrap/>
            <w:vAlign w:val="center"/>
          </w:tcPr>
          <w:p w14:paraId="299B0F5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单层0.25</w:t>
            </w:r>
          </w:p>
        </w:tc>
      </w:tr>
      <w:tr w:rsidR="00737EB2" w:rsidRPr="00765F6E" w14:paraId="217CF382" w14:textId="77777777" w:rsidTr="00871D47">
        <w:trPr>
          <w:trHeight w:val="176"/>
        </w:trPr>
        <w:tc>
          <w:tcPr>
            <w:tcW w:w="1004" w:type="pct"/>
            <w:vMerge/>
            <w:shd w:val="clear" w:color="auto" w:fill="auto"/>
            <w:vAlign w:val="center"/>
          </w:tcPr>
          <w:p w14:paraId="2DD8F187" w14:textId="77777777" w:rsidR="00737EB2" w:rsidRPr="00765F6E" w:rsidRDefault="00737EB2" w:rsidP="00871D47">
            <w:pPr>
              <w:pStyle w:val="affffffffffff2"/>
              <w:jc w:val="center"/>
              <w:rPr>
                <w:rFonts w:hAnsi="宋体" w:cs="宋体"/>
                <w:sz w:val="18"/>
                <w:szCs w:val="18"/>
              </w:rPr>
            </w:pPr>
          </w:p>
        </w:tc>
        <w:tc>
          <w:tcPr>
            <w:tcW w:w="1442" w:type="pct"/>
            <w:vMerge/>
            <w:shd w:val="clear" w:color="auto" w:fill="auto"/>
            <w:noWrap/>
            <w:vAlign w:val="center"/>
          </w:tcPr>
          <w:p w14:paraId="76B68BA0" w14:textId="77777777" w:rsidR="00737EB2" w:rsidRPr="00765F6E" w:rsidRDefault="00737EB2" w:rsidP="00871D47">
            <w:pPr>
              <w:pStyle w:val="affffffffffff2"/>
              <w:jc w:val="center"/>
              <w:rPr>
                <w:rFonts w:hAnsi="宋体" w:cs="宋体"/>
                <w:sz w:val="18"/>
                <w:szCs w:val="18"/>
              </w:rPr>
            </w:pPr>
          </w:p>
        </w:tc>
        <w:tc>
          <w:tcPr>
            <w:tcW w:w="951" w:type="pct"/>
            <w:shd w:val="clear" w:color="auto" w:fill="auto"/>
            <w:noWrap/>
            <w:vAlign w:val="center"/>
          </w:tcPr>
          <w:p w14:paraId="5417732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底砟0.2</w:t>
            </w:r>
          </w:p>
        </w:tc>
        <w:tc>
          <w:tcPr>
            <w:tcW w:w="938" w:type="pct"/>
            <w:shd w:val="clear" w:color="auto" w:fill="auto"/>
            <w:noWrap/>
            <w:vAlign w:val="center"/>
          </w:tcPr>
          <w:p w14:paraId="22AAA7D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底砟0.2</w:t>
            </w:r>
          </w:p>
        </w:tc>
        <w:tc>
          <w:tcPr>
            <w:tcW w:w="665" w:type="pct"/>
            <w:vMerge/>
            <w:shd w:val="clear" w:color="auto" w:fill="auto"/>
            <w:noWrap/>
            <w:vAlign w:val="center"/>
          </w:tcPr>
          <w:p w14:paraId="07F6C8AB" w14:textId="77777777" w:rsidR="00737EB2" w:rsidRPr="00765F6E" w:rsidRDefault="00737EB2" w:rsidP="00871D47">
            <w:pPr>
              <w:pStyle w:val="affffffffffff2"/>
              <w:jc w:val="center"/>
              <w:rPr>
                <w:rFonts w:hAnsi="宋体" w:cs="宋体"/>
                <w:sz w:val="18"/>
                <w:szCs w:val="18"/>
              </w:rPr>
            </w:pPr>
          </w:p>
        </w:tc>
      </w:tr>
      <w:tr w:rsidR="00737EB2" w:rsidRPr="00765F6E" w14:paraId="332FD982" w14:textId="77777777" w:rsidTr="00871D47">
        <w:trPr>
          <w:trHeight w:val="176"/>
        </w:trPr>
        <w:tc>
          <w:tcPr>
            <w:tcW w:w="1004" w:type="pct"/>
            <w:vMerge/>
            <w:shd w:val="clear" w:color="auto" w:fill="auto"/>
            <w:vAlign w:val="center"/>
          </w:tcPr>
          <w:p w14:paraId="51967C38" w14:textId="77777777" w:rsidR="00737EB2" w:rsidRPr="00765F6E" w:rsidRDefault="00737EB2" w:rsidP="00871D47">
            <w:pPr>
              <w:pStyle w:val="affffffffffff2"/>
              <w:jc w:val="center"/>
              <w:rPr>
                <w:rFonts w:hAnsi="宋体" w:cs="宋体"/>
                <w:sz w:val="18"/>
                <w:szCs w:val="18"/>
              </w:rPr>
            </w:pPr>
          </w:p>
        </w:tc>
        <w:tc>
          <w:tcPr>
            <w:tcW w:w="1442" w:type="pct"/>
            <w:shd w:val="clear" w:color="auto" w:fill="auto"/>
            <w:noWrap/>
            <w:vAlign w:val="center"/>
          </w:tcPr>
          <w:p w14:paraId="152860D0" w14:textId="77777777" w:rsidR="00737EB2" w:rsidRPr="00765F6E" w:rsidRDefault="00737EB2" w:rsidP="00871D47">
            <w:pPr>
              <w:pStyle w:val="affffffffffff2"/>
              <w:jc w:val="center"/>
              <w:rPr>
                <w:rFonts w:hAnsi="宋体" w:cs="宋体"/>
                <w:sz w:val="18"/>
                <w:szCs w:val="18"/>
                <w:u w:val="single"/>
              </w:rPr>
            </w:pPr>
            <w:r w:rsidRPr="00765F6E">
              <w:rPr>
                <w:rFonts w:hAnsi="宋体" w:cs="宋体" w:hint="eastAsia"/>
                <w:sz w:val="18"/>
                <w:szCs w:val="18"/>
              </w:rPr>
              <w:t>岩石、混凝土结构、渗水土路基</w:t>
            </w:r>
          </w:p>
        </w:tc>
        <w:tc>
          <w:tcPr>
            <w:tcW w:w="951" w:type="pct"/>
            <w:shd w:val="clear" w:color="auto" w:fill="auto"/>
            <w:noWrap/>
            <w:vAlign w:val="center"/>
          </w:tcPr>
          <w:p w14:paraId="4916D7B0" w14:textId="77777777" w:rsidR="00737EB2" w:rsidRPr="00765F6E" w:rsidRDefault="00737EB2" w:rsidP="00871D47">
            <w:pPr>
              <w:pStyle w:val="affffffffffff2"/>
              <w:jc w:val="center"/>
              <w:rPr>
                <w:rFonts w:hAnsi="宋体" w:cs="宋体"/>
                <w:sz w:val="18"/>
                <w:szCs w:val="18"/>
                <w:u w:val="single"/>
              </w:rPr>
            </w:pPr>
            <w:r w:rsidRPr="00765F6E">
              <w:rPr>
                <w:rFonts w:hAnsi="宋体" w:cs="宋体" w:hint="eastAsia"/>
                <w:sz w:val="18"/>
                <w:szCs w:val="18"/>
              </w:rPr>
              <w:t xml:space="preserve">单层0.3 </w:t>
            </w:r>
          </w:p>
        </w:tc>
        <w:tc>
          <w:tcPr>
            <w:tcW w:w="938" w:type="pct"/>
            <w:shd w:val="clear" w:color="auto" w:fill="auto"/>
            <w:noWrap/>
            <w:vAlign w:val="center"/>
          </w:tcPr>
          <w:p w14:paraId="0C5D69C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0.3</w:t>
            </w:r>
          </w:p>
        </w:tc>
        <w:tc>
          <w:tcPr>
            <w:tcW w:w="665" w:type="pct"/>
            <w:vMerge/>
            <w:shd w:val="clear" w:color="auto" w:fill="auto"/>
            <w:noWrap/>
            <w:vAlign w:val="center"/>
          </w:tcPr>
          <w:p w14:paraId="76AF03C0" w14:textId="77777777" w:rsidR="00737EB2" w:rsidRPr="00765F6E" w:rsidRDefault="00737EB2" w:rsidP="00871D47">
            <w:pPr>
              <w:pStyle w:val="affffffffffff2"/>
              <w:jc w:val="center"/>
              <w:rPr>
                <w:rFonts w:hAnsi="宋体" w:cs="宋体"/>
                <w:sz w:val="18"/>
                <w:szCs w:val="18"/>
              </w:rPr>
            </w:pPr>
          </w:p>
        </w:tc>
      </w:tr>
      <w:tr w:rsidR="00737EB2" w:rsidRPr="00765F6E" w14:paraId="77337B20" w14:textId="77777777" w:rsidTr="00871D47">
        <w:trPr>
          <w:trHeight w:val="176"/>
        </w:trPr>
        <w:tc>
          <w:tcPr>
            <w:tcW w:w="1004" w:type="pct"/>
            <w:shd w:val="clear" w:color="auto" w:fill="auto"/>
            <w:vAlign w:val="center"/>
          </w:tcPr>
          <w:p w14:paraId="4DB8145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砟肩堆高/</w:t>
            </w:r>
            <w:r w:rsidRPr="00765F6E">
              <w:rPr>
                <w:rFonts w:hAnsi="宋体" w:cs="宋体"/>
                <w:sz w:val="18"/>
                <w:szCs w:val="18"/>
              </w:rPr>
              <w:t>m</w:t>
            </w:r>
          </w:p>
        </w:tc>
        <w:tc>
          <w:tcPr>
            <w:tcW w:w="2393" w:type="pct"/>
            <w:gridSpan w:val="2"/>
            <w:shd w:val="clear" w:color="auto" w:fill="auto"/>
            <w:noWrap/>
            <w:vAlign w:val="center"/>
          </w:tcPr>
          <w:p w14:paraId="29F1055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 xml:space="preserve">0.15 </w:t>
            </w:r>
          </w:p>
        </w:tc>
        <w:tc>
          <w:tcPr>
            <w:tcW w:w="1603" w:type="pct"/>
            <w:gridSpan w:val="2"/>
            <w:shd w:val="clear" w:color="auto" w:fill="auto"/>
            <w:vAlign w:val="center"/>
          </w:tcPr>
          <w:p w14:paraId="1E672CE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p>
        </w:tc>
      </w:tr>
      <w:tr w:rsidR="00737EB2" w:rsidRPr="00765F6E" w14:paraId="370B65FE" w14:textId="77777777" w:rsidTr="00871D47">
        <w:trPr>
          <w:trHeight w:val="176"/>
        </w:trPr>
        <w:tc>
          <w:tcPr>
            <w:tcW w:w="1004" w:type="pct"/>
            <w:shd w:val="clear" w:color="auto" w:fill="auto"/>
            <w:vAlign w:val="center"/>
          </w:tcPr>
          <w:p w14:paraId="0D07849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道床边坡</w:t>
            </w:r>
          </w:p>
        </w:tc>
        <w:tc>
          <w:tcPr>
            <w:tcW w:w="2393" w:type="pct"/>
            <w:gridSpan w:val="2"/>
            <w:shd w:val="clear" w:color="auto" w:fill="auto"/>
            <w:noWrap/>
            <w:vAlign w:val="center"/>
          </w:tcPr>
          <w:p w14:paraId="747597F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1:1.75</w:t>
            </w:r>
          </w:p>
        </w:tc>
        <w:tc>
          <w:tcPr>
            <w:tcW w:w="1603" w:type="pct"/>
            <w:gridSpan w:val="2"/>
            <w:shd w:val="clear" w:color="auto" w:fill="auto"/>
            <w:vAlign w:val="center"/>
          </w:tcPr>
          <w:p w14:paraId="5E5326F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1:1.5</w:t>
            </w:r>
          </w:p>
        </w:tc>
      </w:tr>
      <w:tr w:rsidR="00737EB2" w:rsidRPr="00765F6E" w14:paraId="06232C7B" w14:textId="77777777" w:rsidTr="00871D47">
        <w:trPr>
          <w:trHeight w:val="176"/>
        </w:trPr>
        <w:tc>
          <w:tcPr>
            <w:tcW w:w="5000" w:type="pct"/>
            <w:gridSpan w:val="5"/>
            <w:tcBorders>
              <w:top w:val="single" w:sz="8" w:space="0" w:color="000000"/>
              <w:bottom w:val="single" w:sz="8" w:space="0" w:color="000000"/>
            </w:tcBorders>
            <w:shd w:val="clear" w:color="auto" w:fill="auto"/>
            <w:vAlign w:val="center"/>
          </w:tcPr>
          <w:p w14:paraId="4B548FF3" w14:textId="77777777" w:rsidR="00737EB2" w:rsidRPr="00765F6E" w:rsidRDefault="00737EB2" w:rsidP="00871D47">
            <w:pPr>
              <w:pStyle w:val="afff2"/>
              <w:numPr>
                <w:ilvl w:val="0"/>
                <w:numId w:val="0"/>
              </w:numPr>
              <w:ind w:firstLineChars="100" w:firstLine="181"/>
            </w:pPr>
            <w:r w:rsidRPr="00780E3D">
              <w:rPr>
                <w:rFonts w:hint="eastAsia"/>
                <w:b/>
              </w:rPr>
              <w:t>注</w:t>
            </w:r>
            <w:r w:rsidRPr="00765F6E">
              <w:rPr>
                <w:rFonts w:hint="eastAsia"/>
              </w:rPr>
              <w:t>：</w:t>
            </w:r>
            <w:r w:rsidRPr="00765F6E">
              <w:t>轨枕采用新</w:t>
            </w:r>
            <w:r w:rsidRPr="00765F6E">
              <w:t>Ⅱ</w:t>
            </w:r>
            <w:r w:rsidRPr="00765F6E">
              <w:t>型混凝土枕。</w:t>
            </w:r>
          </w:p>
        </w:tc>
      </w:tr>
    </w:tbl>
    <w:p w14:paraId="0E6E1DF0" w14:textId="77777777" w:rsidR="00737EB2" w:rsidRPr="00765F6E" w:rsidRDefault="00737EB2" w:rsidP="00737EB2">
      <w:pPr>
        <w:spacing w:line="240" w:lineRule="auto"/>
      </w:pPr>
    </w:p>
    <w:p w14:paraId="317F3CF5" w14:textId="77777777" w:rsidR="00737EB2" w:rsidRPr="00765F6E" w:rsidRDefault="00737EB2" w:rsidP="00737EB2">
      <w:pPr>
        <w:pStyle w:val="affe"/>
        <w:spacing w:before="156" w:after="156"/>
      </w:pPr>
      <w:bookmarkStart w:id="964" w:name="_Toc153291195"/>
      <w:bookmarkStart w:id="965" w:name="_Toc153210853"/>
      <w:bookmarkStart w:id="966" w:name="_Toc99791764"/>
      <w:bookmarkStart w:id="967" w:name="_Toc167895751"/>
      <w:bookmarkStart w:id="968" w:name="_Toc174538665"/>
      <w:bookmarkStart w:id="969" w:name="_Toc182476419"/>
      <w:r w:rsidRPr="00765F6E">
        <w:rPr>
          <w:rFonts w:hint="eastAsia"/>
        </w:rPr>
        <w:t>无缝线路</w:t>
      </w:r>
      <w:bookmarkEnd w:id="964"/>
      <w:bookmarkEnd w:id="965"/>
      <w:bookmarkEnd w:id="966"/>
      <w:bookmarkEnd w:id="967"/>
      <w:bookmarkEnd w:id="968"/>
      <w:bookmarkEnd w:id="969"/>
    </w:p>
    <w:p w14:paraId="79524264" w14:textId="77777777" w:rsidR="00737EB2" w:rsidRPr="00765F6E" w:rsidRDefault="00737EB2" w:rsidP="009D0776">
      <w:pPr>
        <w:pStyle w:val="22"/>
      </w:pPr>
      <w:bookmarkStart w:id="970" w:name="_Toc99791765"/>
      <w:bookmarkStart w:id="971" w:name="_Toc153291196"/>
      <w:r w:rsidRPr="00765F6E">
        <w:rPr>
          <w:rFonts w:hint="eastAsia"/>
        </w:rPr>
        <w:t>无缝线路设计锁定轨温符合下列规定：</w:t>
      </w:r>
      <w:bookmarkEnd w:id="970"/>
      <w:bookmarkEnd w:id="971"/>
    </w:p>
    <w:p w14:paraId="63C9E9CA" w14:textId="77777777" w:rsidR="00737EB2" w:rsidRPr="00765F6E" w:rsidRDefault="00737EB2" w:rsidP="003334F3">
      <w:pPr>
        <w:pStyle w:val="af6"/>
        <w:numPr>
          <w:ilvl w:val="0"/>
          <w:numId w:val="79"/>
        </w:numPr>
        <w:tabs>
          <w:tab w:val="left" w:pos="851"/>
        </w:tabs>
        <w:snapToGrid w:val="0"/>
        <w:contextualSpacing/>
      </w:pPr>
      <w:r w:rsidRPr="00765F6E">
        <w:rPr>
          <w:rFonts w:hint="eastAsia"/>
        </w:rPr>
        <w:t>无缝线路设计应根据线路条件、运营条件、气候条件及轨道类型等因素进行轨道强度、稳定性、断缝安全性等检算，并确定设计锁定轨温；</w:t>
      </w:r>
    </w:p>
    <w:p w14:paraId="541AE723" w14:textId="77777777" w:rsidR="00737EB2" w:rsidRPr="00765F6E" w:rsidRDefault="00737EB2" w:rsidP="003334F3">
      <w:pPr>
        <w:pStyle w:val="af6"/>
        <w:numPr>
          <w:ilvl w:val="0"/>
          <w:numId w:val="79"/>
        </w:numPr>
        <w:tabs>
          <w:tab w:val="left" w:pos="851"/>
        </w:tabs>
        <w:snapToGrid w:val="0"/>
        <w:contextualSpacing/>
      </w:pPr>
      <w:r w:rsidRPr="00765F6E">
        <w:rPr>
          <w:rFonts w:hint="eastAsia"/>
        </w:rPr>
        <w:t>无缝线路应在设计锁定轨温内锁定；相邻单元轨节间的锁定轨温差不应大于5℃，同一区间内单元轨节的最高与最低锁定轨温差不应大于10℃；左右股钢轨锁定轨温之差，不应大于5℃；</w:t>
      </w:r>
    </w:p>
    <w:p w14:paraId="2722141D" w14:textId="77777777" w:rsidR="00737EB2" w:rsidRPr="00765F6E" w:rsidRDefault="00737EB2" w:rsidP="003334F3">
      <w:pPr>
        <w:pStyle w:val="af6"/>
        <w:numPr>
          <w:ilvl w:val="0"/>
          <w:numId w:val="79"/>
        </w:numPr>
        <w:tabs>
          <w:tab w:val="left" w:pos="851"/>
        </w:tabs>
        <w:snapToGrid w:val="0"/>
        <w:contextualSpacing/>
      </w:pPr>
      <w:r w:rsidRPr="00765F6E">
        <w:rPr>
          <w:rFonts w:hint="eastAsia"/>
        </w:rPr>
        <w:t>隧道内距离隧道洞口200m范围内无缝线路的设计锁定轨温宜与洞外区间无缝线路设计锁定轨温一致，隧道内相邻单元轨节的设计锁定轨温应逐渐过渡到洞内实际锁定轨温。</w:t>
      </w:r>
    </w:p>
    <w:p w14:paraId="616A73AD" w14:textId="72A6EBE8" w:rsidR="00737EB2" w:rsidRPr="00765F6E" w:rsidRDefault="00737EB2" w:rsidP="009D0776">
      <w:pPr>
        <w:pStyle w:val="22"/>
      </w:pPr>
      <w:bookmarkStart w:id="972" w:name="_Toc99791766"/>
      <w:bookmarkStart w:id="973" w:name="_Toc153291197"/>
      <w:r w:rsidRPr="00765F6E">
        <w:rPr>
          <w:rFonts w:hint="eastAsia"/>
        </w:rPr>
        <w:t>单元轨节布置应根据线路条件、工点情况、施工工艺及养护维修等因素综合确定。单元轨节长度宜为1000m</w:t>
      </w:r>
      <w:r w:rsidR="00396F4E">
        <w:rPr>
          <w:rFonts w:hint="eastAsia"/>
        </w:rPr>
        <w:t>～</w:t>
      </w:r>
      <w:r w:rsidRPr="00765F6E">
        <w:rPr>
          <w:rFonts w:hint="eastAsia"/>
        </w:rPr>
        <w:t>2000m，最短不应小于200m。</w:t>
      </w:r>
      <w:bookmarkEnd w:id="972"/>
      <w:bookmarkEnd w:id="973"/>
    </w:p>
    <w:p w14:paraId="4BE49734" w14:textId="77777777" w:rsidR="00737EB2" w:rsidRPr="00765F6E" w:rsidRDefault="00737EB2" w:rsidP="009D0776">
      <w:pPr>
        <w:pStyle w:val="22"/>
      </w:pPr>
      <w:bookmarkStart w:id="974" w:name="_Toc153291198"/>
      <w:bookmarkStart w:id="975" w:name="_Toc99791767"/>
      <w:r w:rsidRPr="00765F6E">
        <w:rPr>
          <w:rFonts w:hint="eastAsia"/>
        </w:rPr>
        <w:t>桥上无缝线路符合下列规定</w:t>
      </w:r>
      <w:bookmarkEnd w:id="974"/>
      <w:bookmarkEnd w:id="975"/>
      <w:r w:rsidRPr="00765F6E">
        <w:rPr>
          <w:rFonts w:hint="eastAsia"/>
        </w:rPr>
        <w:t>：</w:t>
      </w:r>
    </w:p>
    <w:p w14:paraId="1B897A30" w14:textId="77777777" w:rsidR="00737EB2" w:rsidRPr="00765F6E" w:rsidRDefault="00737EB2" w:rsidP="003334F3">
      <w:pPr>
        <w:pStyle w:val="af6"/>
        <w:numPr>
          <w:ilvl w:val="0"/>
          <w:numId w:val="80"/>
        </w:numPr>
        <w:tabs>
          <w:tab w:val="left" w:pos="851"/>
        </w:tabs>
        <w:snapToGrid w:val="0"/>
        <w:contextualSpacing/>
        <w:rPr>
          <w:rFonts w:hAnsi="宋体"/>
        </w:rPr>
      </w:pPr>
      <w:r w:rsidRPr="00765F6E">
        <w:rPr>
          <w:rFonts w:hAnsi="宋体" w:hint="eastAsia"/>
        </w:rPr>
        <w:t>桥上铺设无缝线路时，轨道和桥梁设计宜考虑无缝线路纵向力；</w:t>
      </w:r>
    </w:p>
    <w:p w14:paraId="0421442E" w14:textId="77777777" w:rsidR="00737EB2" w:rsidRPr="00765F6E" w:rsidRDefault="00737EB2" w:rsidP="003334F3">
      <w:pPr>
        <w:pStyle w:val="af6"/>
        <w:numPr>
          <w:ilvl w:val="0"/>
          <w:numId w:val="80"/>
        </w:numPr>
        <w:tabs>
          <w:tab w:val="left" w:pos="851"/>
        </w:tabs>
        <w:snapToGrid w:val="0"/>
        <w:contextualSpacing/>
        <w:rPr>
          <w:rFonts w:hAnsi="宋体"/>
        </w:rPr>
      </w:pPr>
      <w:r w:rsidRPr="00765F6E">
        <w:rPr>
          <w:rFonts w:hAnsi="宋体" w:hint="eastAsia"/>
        </w:rPr>
        <w:t>桥上无缝线路的设计锁定轨温宜与桥梁两端的无缝线路设计锁定轨温一致。</w:t>
      </w:r>
    </w:p>
    <w:p w14:paraId="0B4149CB" w14:textId="08B5182C" w:rsidR="00737EB2" w:rsidRPr="00765F6E" w:rsidRDefault="00737EB2" w:rsidP="009D0776">
      <w:pPr>
        <w:pStyle w:val="22"/>
      </w:pPr>
      <w:bookmarkStart w:id="976" w:name="_Toc99791768"/>
      <w:bookmarkStart w:id="977" w:name="_Toc153291199"/>
      <w:r w:rsidRPr="00765F6E">
        <w:rPr>
          <w:rFonts w:hint="eastAsia"/>
        </w:rPr>
        <w:t>无缝道岔符合下列规定</w:t>
      </w:r>
      <w:bookmarkEnd w:id="976"/>
      <w:bookmarkEnd w:id="977"/>
      <w:r w:rsidR="002915F8">
        <w:rPr>
          <w:rFonts w:hint="eastAsia"/>
        </w:rPr>
        <w:t>：</w:t>
      </w:r>
    </w:p>
    <w:p w14:paraId="62B8A33F" w14:textId="77777777" w:rsidR="00737EB2" w:rsidRPr="00765F6E" w:rsidRDefault="00737EB2" w:rsidP="003334F3">
      <w:pPr>
        <w:pStyle w:val="af6"/>
        <w:numPr>
          <w:ilvl w:val="0"/>
          <w:numId w:val="81"/>
        </w:numPr>
        <w:tabs>
          <w:tab w:val="left" w:pos="851"/>
        </w:tabs>
        <w:snapToGrid w:val="0"/>
        <w:contextualSpacing/>
        <w:rPr>
          <w:rFonts w:hAnsi="宋体"/>
        </w:rPr>
      </w:pPr>
      <w:r w:rsidRPr="00765F6E">
        <w:rPr>
          <w:rFonts w:hAnsi="宋体" w:hint="eastAsia"/>
        </w:rPr>
        <w:t>无缝道岔设计应满足跨区间无缝线路的允许温升和允许温降要求，各联结件应牢固、耐久、可靠；</w:t>
      </w:r>
    </w:p>
    <w:p w14:paraId="605B920F" w14:textId="77777777" w:rsidR="00737EB2" w:rsidRPr="00765F6E" w:rsidRDefault="00737EB2" w:rsidP="003334F3">
      <w:pPr>
        <w:pStyle w:val="af6"/>
        <w:numPr>
          <w:ilvl w:val="0"/>
          <w:numId w:val="81"/>
        </w:numPr>
        <w:tabs>
          <w:tab w:val="left" w:pos="851"/>
        </w:tabs>
        <w:snapToGrid w:val="0"/>
        <w:contextualSpacing/>
        <w:rPr>
          <w:rFonts w:hAnsi="宋体"/>
        </w:rPr>
      </w:pPr>
      <w:r w:rsidRPr="00765F6E">
        <w:rPr>
          <w:rFonts w:hAnsi="宋体" w:hint="eastAsia"/>
        </w:rPr>
        <w:t>无缝道岔的设计锁定轨温与区间无缝线路的设计锁定轨温一致；</w:t>
      </w:r>
    </w:p>
    <w:p w14:paraId="33FF320D" w14:textId="77777777" w:rsidR="00737EB2" w:rsidRPr="00765F6E" w:rsidRDefault="00737EB2" w:rsidP="003334F3">
      <w:pPr>
        <w:pStyle w:val="af6"/>
        <w:numPr>
          <w:ilvl w:val="0"/>
          <w:numId w:val="81"/>
        </w:numPr>
        <w:tabs>
          <w:tab w:val="left" w:pos="851"/>
        </w:tabs>
        <w:snapToGrid w:val="0"/>
        <w:contextualSpacing/>
        <w:rPr>
          <w:rFonts w:hAnsi="宋体"/>
        </w:rPr>
      </w:pPr>
      <w:r w:rsidRPr="00765F6E">
        <w:rPr>
          <w:rFonts w:hAnsi="宋体" w:hint="eastAsia"/>
        </w:rPr>
        <w:t>无缝道岔尖轨尖端与基本轨、可动心轨尖端与翼轨的相对位移等应满足道岔结构及转辙机械性能的要求。</w:t>
      </w:r>
    </w:p>
    <w:p w14:paraId="602FE613" w14:textId="266D1140" w:rsidR="00737EB2" w:rsidRPr="00765F6E" w:rsidRDefault="00737EB2" w:rsidP="009D0776">
      <w:pPr>
        <w:pStyle w:val="22"/>
      </w:pPr>
      <w:bookmarkStart w:id="978" w:name="_Toc99791769"/>
      <w:bookmarkStart w:id="979" w:name="_Toc153291200"/>
      <w:r w:rsidRPr="00765F6E">
        <w:rPr>
          <w:rFonts w:hint="eastAsia"/>
        </w:rPr>
        <w:lastRenderedPageBreak/>
        <w:t>道岔布置符合下列规定</w:t>
      </w:r>
      <w:bookmarkEnd w:id="978"/>
      <w:bookmarkEnd w:id="979"/>
      <w:r w:rsidR="008C40E6">
        <w:rPr>
          <w:rFonts w:hint="eastAsia"/>
        </w:rPr>
        <w:t>。</w:t>
      </w:r>
    </w:p>
    <w:p w14:paraId="289A6070" w14:textId="413B7FBE" w:rsidR="00737EB2" w:rsidRPr="00765F6E" w:rsidRDefault="00737EB2" w:rsidP="003334F3">
      <w:pPr>
        <w:pStyle w:val="af6"/>
        <w:numPr>
          <w:ilvl w:val="0"/>
          <w:numId w:val="82"/>
        </w:numPr>
        <w:tabs>
          <w:tab w:val="left" w:pos="851"/>
        </w:tabs>
        <w:snapToGrid w:val="0"/>
        <w:contextualSpacing/>
        <w:rPr>
          <w:rFonts w:hAnsi="宋体"/>
        </w:rPr>
      </w:pPr>
      <w:r w:rsidRPr="00765F6E">
        <w:rPr>
          <w:rFonts w:hAnsi="宋体" w:hint="eastAsia"/>
        </w:rPr>
        <w:t>单组无缝道岔、渡线无缝道岔不应设在隧道变形缝或过渡段上</w:t>
      </w:r>
      <w:r w:rsidR="008C40E6">
        <w:rPr>
          <w:rFonts w:hAnsi="宋体" w:hint="eastAsia"/>
        </w:rPr>
        <w:t>。</w:t>
      </w:r>
    </w:p>
    <w:p w14:paraId="457273FE" w14:textId="77777777" w:rsidR="00737EB2" w:rsidRDefault="00737EB2" w:rsidP="003334F3">
      <w:pPr>
        <w:pStyle w:val="af6"/>
        <w:numPr>
          <w:ilvl w:val="0"/>
          <w:numId w:val="82"/>
        </w:numPr>
        <w:tabs>
          <w:tab w:val="left" w:pos="851"/>
        </w:tabs>
        <w:snapToGrid w:val="0"/>
        <w:contextualSpacing/>
        <w:rPr>
          <w:rFonts w:hAnsi="宋体"/>
        </w:rPr>
      </w:pPr>
      <w:r w:rsidRPr="00765F6E">
        <w:rPr>
          <w:rFonts w:hAnsi="宋体" w:hint="eastAsia"/>
        </w:rPr>
        <w:t>桥上道岔布置符合下列规定：</w:t>
      </w:r>
    </w:p>
    <w:p w14:paraId="52D89FCE" w14:textId="77777777" w:rsidR="00737EB2" w:rsidRDefault="00737EB2" w:rsidP="003334F3">
      <w:pPr>
        <w:pStyle w:val="af7"/>
        <w:numPr>
          <w:ilvl w:val="1"/>
          <w:numId w:val="82"/>
        </w:numPr>
        <w:tabs>
          <w:tab w:val="left" w:pos="851"/>
          <w:tab w:val="left" w:pos="1276"/>
        </w:tabs>
        <w:rPr>
          <w:rFonts w:hAnsi="宋体"/>
        </w:rPr>
      </w:pPr>
      <w:r w:rsidRPr="0095309F">
        <w:rPr>
          <w:rFonts w:hAnsi="宋体" w:hint="eastAsia"/>
        </w:rPr>
        <w:t>道岔梁宜采用连续梁结构，孔跨宜采用等跨布置，最大跨度不宜大于48m，困难条件下跨度大于48m时应进行车岔桥动力仿真分析；</w:t>
      </w:r>
    </w:p>
    <w:p w14:paraId="5B777514" w14:textId="77777777" w:rsidR="00737EB2" w:rsidRDefault="00737EB2" w:rsidP="003334F3">
      <w:pPr>
        <w:pStyle w:val="af7"/>
        <w:numPr>
          <w:ilvl w:val="1"/>
          <w:numId w:val="82"/>
        </w:numPr>
        <w:tabs>
          <w:tab w:val="left" w:pos="851"/>
          <w:tab w:val="left" w:pos="1276"/>
        </w:tabs>
        <w:rPr>
          <w:rFonts w:hAnsi="宋体"/>
        </w:rPr>
      </w:pPr>
      <w:r w:rsidRPr="0095309F">
        <w:rPr>
          <w:rFonts w:hAnsi="宋体" w:hint="eastAsia"/>
        </w:rPr>
        <w:t>正线道岔不应跨越梁缝，道岔始端、终端至梁缝距离不应小于10m；</w:t>
      </w:r>
    </w:p>
    <w:p w14:paraId="10D378E7" w14:textId="77777777" w:rsidR="00737EB2" w:rsidRPr="0095309F" w:rsidRDefault="00737EB2" w:rsidP="003334F3">
      <w:pPr>
        <w:pStyle w:val="af7"/>
        <w:numPr>
          <w:ilvl w:val="1"/>
          <w:numId w:val="82"/>
        </w:numPr>
        <w:tabs>
          <w:tab w:val="left" w:pos="851"/>
          <w:tab w:val="left" w:pos="1276"/>
        </w:tabs>
        <w:rPr>
          <w:rFonts w:hAnsi="宋体"/>
        </w:rPr>
      </w:pPr>
      <w:r w:rsidRPr="0095309F">
        <w:rPr>
          <w:rFonts w:hAnsi="宋体" w:hint="eastAsia"/>
        </w:rPr>
        <w:t>铺设无缝道岔的相邻两联连续梁之间应设置一孔及以上简支梁。</w:t>
      </w:r>
    </w:p>
    <w:p w14:paraId="1BD1FA54" w14:textId="2B05EA01" w:rsidR="00737EB2" w:rsidRPr="00765F6E" w:rsidRDefault="00737EB2" w:rsidP="009D0776">
      <w:pPr>
        <w:pStyle w:val="22"/>
      </w:pPr>
      <w:bookmarkStart w:id="980" w:name="_Toc153291201"/>
      <w:bookmarkStart w:id="981" w:name="_Toc99791770"/>
      <w:r w:rsidRPr="00765F6E">
        <w:rPr>
          <w:rFonts w:hint="eastAsia"/>
        </w:rPr>
        <w:t>钢轨伸缩调节器设置应符合下列规定</w:t>
      </w:r>
      <w:bookmarkEnd w:id="980"/>
      <w:bookmarkEnd w:id="981"/>
      <w:r w:rsidR="002C7503">
        <w:rPr>
          <w:rFonts w:hint="eastAsia"/>
        </w:rPr>
        <w:t>：</w:t>
      </w:r>
    </w:p>
    <w:p w14:paraId="617D3C22" w14:textId="77777777" w:rsidR="00737EB2" w:rsidRPr="00765F6E" w:rsidRDefault="00737EB2" w:rsidP="003334F3">
      <w:pPr>
        <w:pStyle w:val="af6"/>
        <w:numPr>
          <w:ilvl w:val="0"/>
          <w:numId w:val="83"/>
        </w:numPr>
        <w:tabs>
          <w:tab w:val="left" w:pos="851"/>
        </w:tabs>
        <w:snapToGrid w:val="0"/>
        <w:contextualSpacing/>
        <w:rPr>
          <w:rFonts w:hAnsi="宋体"/>
        </w:rPr>
      </w:pPr>
      <w:r w:rsidRPr="00765F6E">
        <w:rPr>
          <w:rFonts w:hAnsi="宋体" w:hint="eastAsia"/>
        </w:rPr>
        <w:t>钢轨伸缩调节器不应设置在平面曲线及竖曲线地段；</w:t>
      </w:r>
    </w:p>
    <w:p w14:paraId="1C78D978" w14:textId="77777777" w:rsidR="00737EB2" w:rsidRPr="00765F6E" w:rsidRDefault="00737EB2" w:rsidP="003334F3">
      <w:pPr>
        <w:pStyle w:val="af6"/>
        <w:numPr>
          <w:ilvl w:val="0"/>
          <w:numId w:val="83"/>
        </w:numPr>
        <w:tabs>
          <w:tab w:val="left" w:pos="851"/>
        </w:tabs>
        <w:snapToGrid w:val="0"/>
        <w:contextualSpacing/>
        <w:rPr>
          <w:rFonts w:hAnsi="宋体"/>
        </w:rPr>
      </w:pPr>
      <w:r w:rsidRPr="00765F6E">
        <w:rPr>
          <w:rFonts w:hAnsi="宋体" w:hint="eastAsia"/>
        </w:rPr>
        <w:t>钢轨伸缩调节器不应设置在不同线下基础过渡段和轨道结构过渡段范围内；</w:t>
      </w:r>
    </w:p>
    <w:p w14:paraId="633B8065" w14:textId="77777777" w:rsidR="00737EB2" w:rsidRPr="00765F6E" w:rsidRDefault="00737EB2" w:rsidP="003334F3">
      <w:pPr>
        <w:pStyle w:val="af6"/>
        <w:numPr>
          <w:ilvl w:val="0"/>
          <w:numId w:val="83"/>
        </w:numPr>
        <w:tabs>
          <w:tab w:val="left" w:pos="851"/>
        </w:tabs>
        <w:snapToGrid w:val="0"/>
        <w:contextualSpacing/>
        <w:rPr>
          <w:rFonts w:hAnsi="宋体"/>
        </w:rPr>
      </w:pPr>
      <w:r w:rsidRPr="00765F6E">
        <w:rPr>
          <w:rFonts w:hAnsi="宋体" w:hint="eastAsia"/>
        </w:rPr>
        <w:t>钢轨伸缩调节器基本轨始端和尖轨跟端焊接接头距离梁缝、钢梁横梁、支座中心不应小于2m。</w:t>
      </w:r>
    </w:p>
    <w:p w14:paraId="7CB99E8B" w14:textId="77777777" w:rsidR="00737EB2" w:rsidRPr="00765F6E" w:rsidRDefault="00737EB2" w:rsidP="009D0776">
      <w:pPr>
        <w:pStyle w:val="22"/>
      </w:pPr>
      <w:bookmarkStart w:id="982" w:name="_Toc99791771"/>
      <w:bookmarkStart w:id="983" w:name="_Toc153291202"/>
      <w:r w:rsidRPr="00765F6E">
        <w:rPr>
          <w:rFonts w:hint="eastAsia"/>
        </w:rPr>
        <w:t>线路区间、道岔和钢轨伸缩调节器均应按单元轨节设置位移观测桩。位移观测桩应预先埋设牢固，在单元轨节两端锁定后立即进行标记，标记应明显、耐久、可靠。</w:t>
      </w:r>
      <w:bookmarkEnd w:id="982"/>
      <w:bookmarkEnd w:id="983"/>
    </w:p>
    <w:p w14:paraId="7804445C" w14:textId="77777777" w:rsidR="00737EB2" w:rsidRPr="00765F6E" w:rsidRDefault="00737EB2" w:rsidP="00737EB2">
      <w:pPr>
        <w:pStyle w:val="affe"/>
        <w:spacing w:before="156" w:after="156"/>
      </w:pPr>
      <w:bookmarkStart w:id="984" w:name="_Toc99791772"/>
      <w:bookmarkStart w:id="985" w:name="_Toc153291203"/>
      <w:bookmarkStart w:id="986" w:name="_Toc153210854"/>
      <w:bookmarkStart w:id="987" w:name="_Toc167895752"/>
      <w:bookmarkStart w:id="988" w:name="_Toc174538666"/>
      <w:bookmarkStart w:id="989" w:name="_Toc182476420"/>
      <w:r w:rsidRPr="00765F6E">
        <w:rPr>
          <w:rFonts w:hint="eastAsia"/>
        </w:rPr>
        <w:t>减振轨道</w:t>
      </w:r>
      <w:bookmarkEnd w:id="984"/>
      <w:bookmarkEnd w:id="985"/>
      <w:bookmarkEnd w:id="986"/>
      <w:bookmarkEnd w:id="987"/>
      <w:bookmarkEnd w:id="988"/>
      <w:bookmarkEnd w:id="989"/>
    </w:p>
    <w:p w14:paraId="56BF8604" w14:textId="77777777" w:rsidR="00737EB2" w:rsidRPr="00765F6E" w:rsidRDefault="00737EB2" w:rsidP="009D0776">
      <w:pPr>
        <w:pStyle w:val="22"/>
      </w:pPr>
      <w:bookmarkStart w:id="990" w:name="_Toc99791773"/>
      <w:bookmarkStart w:id="991" w:name="_Toc153291204"/>
      <w:r w:rsidRPr="00765F6E">
        <w:rPr>
          <w:rFonts w:hint="eastAsia"/>
        </w:rPr>
        <w:t>轨道结构应根据工程环境影响报告书和环境影响分析报告的要求、国家以及江苏省对环境保护的要求，结合规划实施、沿线开发、管线保护等因素进行减振设计；轨道应与车辆、桥梁等系统综合协调后，采用对应的分级减振措施；轨道采取减振措施时，应满足轨道平顺性和行车安全性、舒适性要求，应避免引起钢轨异常磨耗等轨道病害现象，确保运营安全。</w:t>
      </w:r>
      <w:bookmarkEnd w:id="990"/>
      <w:bookmarkEnd w:id="991"/>
      <w:r w:rsidRPr="00765F6E">
        <w:rPr>
          <w:rFonts w:hint="eastAsia"/>
        </w:rPr>
        <w:t xml:space="preserve"> </w:t>
      </w:r>
    </w:p>
    <w:p w14:paraId="0C852664" w14:textId="77777777" w:rsidR="00737EB2" w:rsidRPr="00765F6E" w:rsidRDefault="00737EB2" w:rsidP="009D0776">
      <w:pPr>
        <w:pStyle w:val="22"/>
      </w:pPr>
      <w:bookmarkStart w:id="992" w:name="_Toc99791774"/>
      <w:bookmarkStart w:id="993" w:name="_Toc153291205"/>
      <w:r w:rsidRPr="00765F6E">
        <w:rPr>
          <w:rFonts w:hint="eastAsia"/>
        </w:rPr>
        <w:t>有综合开发的车场线应采用专项预测，并采取综合减振降噪措施。</w:t>
      </w:r>
      <w:bookmarkEnd w:id="992"/>
      <w:bookmarkEnd w:id="993"/>
    </w:p>
    <w:p w14:paraId="6B1E831F" w14:textId="77777777" w:rsidR="00737EB2" w:rsidRPr="00765F6E" w:rsidRDefault="00737EB2" w:rsidP="009D0776">
      <w:pPr>
        <w:pStyle w:val="22"/>
      </w:pPr>
      <w:bookmarkStart w:id="994" w:name="_Toc99791776"/>
      <w:bookmarkStart w:id="995" w:name="_Toc153291206"/>
      <w:r w:rsidRPr="00765F6E">
        <w:rPr>
          <w:rFonts w:hint="eastAsia"/>
        </w:rPr>
        <w:t>轨道减振措施应充分适应工程条件，应确保运营期间的状态稳定及性能可靠。</w:t>
      </w:r>
      <w:bookmarkEnd w:id="994"/>
      <w:bookmarkEnd w:id="995"/>
    </w:p>
    <w:p w14:paraId="0C993054" w14:textId="77777777" w:rsidR="00737EB2" w:rsidRPr="00765F6E" w:rsidRDefault="00737EB2" w:rsidP="009D0776">
      <w:pPr>
        <w:pStyle w:val="22"/>
      </w:pPr>
      <w:bookmarkStart w:id="996" w:name="_Toc99791777"/>
      <w:bookmarkStart w:id="997" w:name="_Toc153291207"/>
      <w:r w:rsidRPr="00765F6E">
        <w:rPr>
          <w:rFonts w:hint="eastAsia"/>
        </w:rPr>
        <w:t>轨道减振可采用扣件减振、轨枕减振和道床减振。</w:t>
      </w:r>
      <w:bookmarkEnd w:id="996"/>
      <w:bookmarkEnd w:id="997"/>
      <w:r w:rsidRPr="00765F6E">
        <w:rPr>
          <w:rFonts w:hint="eastAsia"/>
        </w:rPr>
        <w:t xml:space="preserve"> </w:t>
      </w:r>
    </w:p>
    <w:p w14:paraId="6BDFC7ED" w14:textId="77777777" w:rsidR="00737EB2" w:rsidRPr="00765F6E" w:rsidRDefault="00737EB2" w:rsidP="009D0776">
      <w:pPr>
        <w:pStyle w:val="22"/>
      </w:pPr>
      <w:bookmarkStart w:id="998" w:name="_Toc153291208"/>
      <w:bookmarkStart w:id="999" w:name="_Toc99791778"/>
      <w:r w:rsidRPr="00765F6E">
        <w:rPr>
          <w:rFonts w:hint="eastAsia"/>
        </w:rPr>
        <w:t>轨道减振方案宜考虑适当的裕量。</w:t>
      </w:r>
      <w:bookmarkEnd w:id="998"/>
      <w:bookmarkEnd w:id="999"/>
    </w:p>
    <w:p w14:paraId="0305BEE5" w14:textId="77777777" w:rsidR="00737EB2" w:rsidRPr="00765F6E" w:rsidRDefault="00737EB2" w:rsidP="009D0776">
      <w:pPr>
        <w:pStyle w:val="22"/>
      </w:pPr>
      <w:bookmarkStart w:id="1000" w:name="_Toc153291209"/>
      <w:bookmarkStart w:id="1001" w:name="_Toc99791779"/>
      <w:r w:rsidRPr="00765F6E">
        <w:rPr>
          <w:rFonts w:hint="eastAsia"/>
        </w:rPr>
        <w:t>轨道减振地段长度应在环境保护目标长度的基础上适当延长。轨道减振地段长度应不低于列车长度。</w:t>
      </w:r>
      <w:bookmarkEnd w:id="1000"/>
      <w:bookmarkEnd w:id="1001"/>
    </w:p>
    <w:p w14:paraId="0E790AF8" w14:textId="77777777" w:rsidR="00737EB2" w:rsidRPr="00765F6E" w:rsidRDefault="00737EB2" w:rsidP="009D0776">
      <w:pPr>
        <w:pStyle w:val="22"/>
      </w:pPr>
      <w:bookmarkStart w:id="1002" w:name="_Toc99791780"/>
      <w:bookmarkStart w:id="1003" w:name="_Toc153291210"/>
      <w:r w:rsidRPr="00765F6E">
        <w:rPr>
          <w:rFonts w:hint="eastAsia"/>
        </w:rPr>
        <w:t>减振轨道与普通轨道之间及不同类型减振轨道之间均应设置过渡段。</w:t>
      </w:r>
      <w:bookmarkEnd w:id="1002"/>
      <w:bookmarkEnd w:id="1003"/>
    </w:p>
    <w:p w14:paraId="54A69347" w14:textId="77777777" w:rsidR="00737EB2" w:rsidRPr="00765F6E" w:rsidRDefault="00737EB2" w:rsidP="009D0776">
      <w:pPr>
        <w:pStyle w:val="22"/>
      </w:pPr>
      <w:bookmarkStart w:id="1004" w:name="_Toc99791781"/>
      <w:bookmarkStart w:id="1005" w:name="_Toc153291211"/>
      <w:r w:rsidRPr="00765F6E">
        <w:rPr>
          <w:rFonts w:hint="eastAsia"/>
        </w:rPr>
        <w:t>涉及精密仪器微振动敏感点，应开展专项预测。</w:t>
      </w:r>
      <w:bookmarkEnd w:id="1004"/>
      <w:bookmarkEnd w:id="1005"/>
    </w:p>
    <w:p w14:paraId="156CEAB4" w14:textId="77777777" w:rsidR="00737EB2" w:rsidRPr="00765F6E" w:rsidRDefault="00737EB2" w:rsidP="00737EB2">
      <w:pPr>
        <w:pStyle w:val="affe"/>
        <w:spacing w:before="156" w:after="156"/>
      </w:pPr>
      <w:bookmarkStart w:id="1006" w:name="_Toc153210855"/>
      <w:bookmarkStart w:id="1007" w:name="_Toc99791782"/>
      <w:bookmarkStart w:id="1008" w:name="_Toc153291212"/>
      <w:bookmarkStart w:id="1009" w:name="_Toc167895753"/>
      <w:bookmarkStart w:id="1010" w:name="_Toc174538667"/>
      <w:bookmarkStart w:id="1011" w:name="_Toc182476421"/>
      <w:r w:rsidRPr="00765F6E">
        <w:rPr>
          <w:rFonts w:hint="eastAsia"/>
        </w:rPr>
        <w:t>轨道附属设备及常备材料</w:t>
      </w:r>
      <w:bookmarkEnd w:id="1006"/>
      <w:bookmarkEnd w:id="1007"/>
      <w:bookmarkEnd w:id="1008"/>
      <w:bookmarkEnd w:id="1009"/>
      <w:bookmarkEnd w:id="1010"/>
      <w:bookmarkEnd w:id="1011"/>
    </w:p>
    <w:p w14:paraId="0E74C20D" w14:textId="77777777" w:rsidR="00737EB2" w:rsidRPr="00765F6E" w:rsidRDefault="00737EB2" w:rsidP="009D0776">
      <w:pPr>
        <w:pStyle w:val="22"/>
      </w:pPr>
      <w:bookmarkStart w:id="1012" w:name="_Toc99791783"/>
      <w:bookmarkStart w:id="1013" w:name="_Toc153291213"/>
      <w:r w:rsidRPr="00765F6E">
        <w:rPr>
          <w:rFonts w:hint="eastAsia"/>
        </w:rPr>
        <w:t>护轨设置符合下列规定：</w:t>
      </w:r>
      <w:bookmarkEnd w:id="1012"/>
      <w:bookmarkEnd w:id="1013"/>
    </w:p>
    <w:p w14:paraId="30452B37" w14:textId="77777777" w:rsidR="00737EB2" w:rsidRPr="00765F6E" w:rsidRDefault="00737EB2" w:rsidP="003334F3">
      <w:pPr>
        <w:pStyle w:val="af6"/>
        <w:numPr>
          <w:ilvl w:val="0"/>
          <w:numId w:val="84"/>
        </w:numPr>
        <w:tabs>
          <w:tab w:val="left" w:pos="851"/>
        </w:tabs>
        <w:snapToGrid w:val="0"/>
        <w:contextualSpacing/>
      </w:pPr>
      <w:r w:rsidRPr="00765F6E">
        <w:rPr>
          <w:rFonts w:hint="eastAsia"/>
        </w:rPr>
        <w:t>护轨设置应符合TB 10002和TB 10001的规定；</w:t>
      </w:r>
    </w:p>
    <w:p w14:paraId="6897A330" w14:textId="77777777" w:rsidR="00737EB2" w:rsidRPr="00765F6E" w:rsidRDefault="00737EB2" w:rsidP="003334F3">
      <w:pPr>
        <w:pStyle w:val="af6"/>
        <w:numPr>
          <w:ilvl w:val="0"/>
          <w:numId w:val="84"/>
        </w:numPr>
        <w:tabs>
          <w:tab w:val="left" w:pos="851"/>
        </w:tabs>
        <w:snapToGrid w:val="0"/>
        <w:contextualSpacing/>
      </w:pPr>
      <w:r w:rsidRPr="00765F6E">
        <w:rPr>
          <w:rFonts w:hint="eastAsia"/>
        </w:rPr>
        <w:t>护轨应采用与基本轨同类型或低一级的钢轨；</w:t>
      </w:r>
    </w:p>
    <w:p w14:paraId="1C5C49D9" w14:textId="77777777" w:rsidR="00737EB2" w:rsidRPr="00765F6E" w:rsidRDefault="00737EB2" w:rsidP="003334F3">
      <w:pPr>
        <w:pStyle w:val="af6"/>
        <w:numPr>
          <w:ilvl w:val="0"/>
          <w:numId w:val="84"/>
        </w:numPr>
        <w:tabs>
          <w:tab w:val="left" w:pos="851"/>
        </w:tabs>
        <w:snapToGrid w:val="0"/>
        <w:contextualSpacing/>
      </w:pPr>
      <w:r w:rsidRPr="00765F6E">
        <w:rPr>
          <w:rFonts w:hint="eastAsia"/>
        </w:rPr>
        <w:t>护轨的扣件应与桥枕配套使用；</w:t>
      </w:r>
    </w:p>
    <w:p w14:paraId="1B89C268" w14:textId="77777777" w:rsidR="00737EB2" w:rsidRPr="00765F6E" w:rsidRDefault="00737EB2" w:rsidP="003334F3">
      <w:pPr>
        <w:pStyle w:val="af6"/>
        <w:numPr>
          <w:ilvl w:val="0"/>
          <w:numId w:val="84"/>
        </w:numPr>
        <w:tabs>
          <w:tab w:val="left" w:pos="851"/>
        </w:tabs>
        <w:snapToGrid w:val="0"/>
        <w:contextualSpacing/>
      </w:pPr>
      <w:r w:rsidRPr="00765F6E">
        <w:rPr>
          <w:rFonts w:hint="eastAsia"/>
        </w:rPr>
        <w:t>护轨顶面不应高于基本轨顶面5mm，也不应低于基本轨顶面25mm；</w:t>
      </w:r>
    </w:p>
    <w:p w14:paraId="0EF3C895" w14:textId="77777777" w:rsidR="00737EB2" w:rsidRPr="00765F6E" w:rsidRDefault="00737EB2" w:rsidP="003334F3">
      <w:pPr>
        <w:pStyle w:val="af6"/>
        <w:numPr>
          <w:ilvl w:val="0"/>
          <w:numId w:val="84"/>
        </w:numPr>
        <w:tabs>
          <w:tab w:val="left" w:pos="851"/>
        </w:tabs>
        <w:snapToGrid w:val="0"/>
        <w:contextualSpacing/>
      </w:pPr>
      <w:r w:rsidRPr="00765F6E">
        <w:rPr>
          <w:rFonts w:hint="eastAsia"/>
        </w:rPr>
        <w:t>护轨应延伸至桥台挡砟墙以外，直轨部分长度不宜小于6m。</w:t>
      </w:r>
    </w:p>
    <w:p w14:paraId="3962A378" w14:textId="77777777" w:rsidR="00737EB2" w:rsidRPr="00765F6E" w:rsidRDefault="00737EB2" w:rsidP="009D0776">
      <w:pPr>
        <w:pStyle w:val="22"/>
      </w:pPr>
      <w:bookmarkStart w:id="1014" w:name="_Toc99791784"/>
      <w:bookmarkStart w:id="1015" w:name="_Toc153291214"/>
      <w:r w:rsidRPr="00765F6E">
        <w:rPr>
          <w:rFonts w:hint="eastAsia"/>
        </w:rPr>
        <w:t>正线、到发线及动态试验线的末端宜采用缓冲滑动式车挡，车场线末端宜采用固定式车挡。</w:t>
      </w:r>
      <w:bookmarkEnd w:id="1014"/>
      <w:bookmarkEnd w:id="1015"/>
    </w:p>
    <w:p w14:paraId="1825F3EF" w14:textId="77777777" w:rsidR="00737EB2" w:rsidRPr="00765F6E" w:rsidRDefault="00737EB2" w:rsidP="009D0776">
      <w:pPr>
        <w:pStyle w:val="22"/>
      </w:pPr>
      <w:bookmarkStart w:id="1016" w:name="_Toc153291215"/>
      <w:bookmarkStart w:id="1017" w:name="_Toc99791785"/>
      <w:r w:rsidRPr="00765F6E">
        <w:rPr>
          <w:rFonts w:hint="eastAsia"/>
        </w:rPr>
        <w:t>有砟轨道曲线地段轨距杆或轨撑设置符合下列规定：</w:t>
      </w:r>
      <w:bookmarkEnd w:id="1016"/>
      <w:bookmarkEnd w:id="1017"/>
    </w:p>
    <w:p w14:paraId="030BDA4A" w14:textId="66BEFD30" w:rsidR="00737EB2" w:rsidRPr="00765F6E" w:rsidRDefault="00737EB2" w:rsidP="003334F3">
      <w:pPr>
        <w:pStyle w:val="af6"/>
        <w:numPr>
          <w:ilvl w:val="0"/>
          <w:numId w:val="85"/>
        </w:numPr>
        <w:tabs>
          <w:tab w:val="left" w:pos="851"/>
        </w:tabs>
        <w:snapToGrid w:val="0"/>
        <w:contextualSpacing/>
      </w:pPr>
      <w:r w:rsidRPr="00765F6E">
        <w:rPr>
          <w:rFonts w:hint="eastAsia"/>
        </w:rPr>
        <w:t>正线曲线半径小于或等于600m地段，应按表</w:t>
      </w:r>
      <w:r w:rsidR="00E512B4" w:rsidRPr="00765F6E">
        <w:rPr>
          <w:rFonts w:hint="eastAsia"/>
        </w:rPr>
        <w:t>3</w:t>
      </w:r>
      <w:r w:rsidR="00E512B4">
        <w:t>3</w:t>
      </w:r>
      <w:r w:rsidRPr="00765F6E">
        <w:rPr>
          <w:rFonts w:hint="eastAsia"/>
        </w:rPr>
        <w:t>的规定设置轨距杆或轨撑。配线及车场线可不设轨距杆或轨撑；</w:t>
      </w:r>
    </w:p>
    <w:p w14:paraId="78C200C7" w14:textId="77777777" w:rsidR="00737EB2" w:rsidRPr="00765F6E" w:rsidRDefault="00737EB2" w:rsidP="003334F3">
      <w:pPr>
        <w:pStyle w:val="af6"/>
        <w:numPr>
          <w:ilvl w:val="0"/>
          <w:numId w:val="85"/>
        </w:numPr>
        <w:tabs>
          <w:tab w:val="left" w:pos="851"/>
        </w:tabs>
        <w:snapToGrid w:val="0"/>
        <w:contextualSpacing/>
      </w:pPr>
      <w:r w:rsidRPr="00765F6E">
        <w:rPr>
          <w:rFonts w:hint="eastAsia"/>
        </w:rPr>
        <w:t>轨道电路区段轨距杆应采用绝缘轨距杆。</w:t>
      </w:r>
    </w:p>
    <w:p w14:paraId="45A4BF77" w14:textId="77777777" w:rsidR="00737EB2" w:rsidRPr="00765F6E" w:rsidRDefault="00737EB2" w:rsidP="00737EB2">
      <w:pPr>
        <w:pStyle w:val="aff3"/>
        <w:spacing w:before="156" w:after="156"/>
      </w:pPr>
      <w:r w:rsidRPr="00765F6E">
        <w:rPr>
          <w:rFonts w:hint="eastAsia"/>
        </w:rPr>
        <w:t>轨距杆或轨撑设置数量</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66"/>
        <w:gridCol w:w="1867"/>
        <w:gridCol w:w="1869"/>
        <w:gridCol w:w="1867"/>
        <w:gridCol w:w="1865"/>
      </w:tblGrid>
      <w:tr w:rsidR="00737EB2" w:rsidRPr="00765F6E" w14:paraId="5045FCA0" w14:textId="77777777" w:rsidTr="00871D47">
        <w:trPr>
          <w:trHeight w:val="176"/>
          <w:jc w:val="center"/>
        </w:trPr>
        <w:tc>
          <w:tcPr>
            <w:tcW w:w="1000" w:type="pct"/>
            <w:vMerge w:val="restart"/>
            <w:tcBorders>
              <w:top w:val="single" w:sz="8" w:space="0" w:color="auto"/>
              <w:bottom w:val="single" w:sz="4" w:space="0" w:color="auto"/>
            </w:tcBorders>
            <w:shd w:val="clear" w:color="auto" w:fill="auto"/>
            <w:vAlign w:val="center"/>
          </w:tcPr>
          <w:p w14:paraId="5C521BA9"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曲线半径</w:t>
            </w:r>
            <w:r>
              <w:rPr>
                <w:rFonts w:hAnsi="宋体" w:cs="宋体" w:hint="eastAsia"/>
                <w:sz w:val="18"/>
                <w:szCs w:val="18"/>
              </w:rPr>
              <w:t>R</w:t>
            </w:r>
          </w:p>
          <w:p w14:paraId="54FBFDA8"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m</w:t>
            </w:r>
          </w:p>
        </w:tc>
        <w:tc>
          <w:tcPr>
            <w:tcW w:w="2001" w:type="pct"/>
            <w:gridSpan w:val="2"/>
            <w:tcBorders>
              <w:top w:val="single" w:sz="8" w:space="0" w:color="auto"/>
              <w:bottom w:val="single" w:sz="4" w:space="0" w:color="auto"/>
            </w:tcBorders>
            <w:shd w:val="clear" w:color="auto" w:fill="auto"/>
            <w:vAlign w:val="center"/>
          </w:tcPr>
          <w:p w14:paraId="623EF90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轨距杆</w:t>
            </w:r>
            <w:r w:rsidRPr="00765F6E">
              <w:rPr>
                <w:rFonts w:hAnsi="宋体" w:cs="宋体" w:hint="eastAsia"/>
                <w:sz w:val="18"/>
                <w:szCs w:val="18"/>
              </w:rPr>
              <w:t>/</w:t>
            </w:r>
            <w:r w:rsidRPr="00765F6E">
              <w:rPr>
                <w:rFonts w:hAnsi="宋体" w:cs="宋体"/>
                <w:sz w:val="18"/>
                <w:szCs w:val="18"/>
              </w:rPr>
              <w:t>根</w:t>
            </w:r>
          </w:p>
        </w:tc>
        <w:tc>
          <w:tcPr>
            <w:tcW w:w="1999" w:type="pct"/>
            <w:gridSpan w:val="2"/>
            <w:tcBorders>
              <w:top w:val="single" w:sz="8" w:space="0" w:color="auto"/>
              <w:bottom w:val="single" w:sz="4" w:space="0" w:color="auto"/>
            </w:tcBorders>
            <w:shd w:val="clear" w:color="auto" w:fill="auto"/>
            <w:vAlign w:val="center"/>
          </w:tcPr>
          <w:p w14:paraId="24E3BFE8"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轨撑</w:t>
            </w:r>
            <w:r w:rsidRPr="00765F6E">
              <w:rPr>
                <w:rFonts w:hAnsi="宋体" w:cs="宋体" w:hint="eastAsia"/>
                <w:sz w:val="18"/>
                <w:szCs w:val="18"/>
              </w:rPr>
              <w:t>/</w:t>
            </w:r>
            <w:r w:rsidRPr="00765F6E">
              <w:rPr>
                <w:rFonts w:hAnsi="宋体" w:cs="宋体"/>
                <w:sz w:val="18"/>
                <w:szCs w:val="18"/>
              </w:rPr>
              <w:t>对</w:t>
            </w:r>
          </w:p>
        </w:tc>
      </w:tr>
      <w:tr w:rsidR="00737EB2" w:rsidRPr="00765F6E" w14:paraId="53D04B01" w14:textId="77777777" w:rsidTr="00871D47">
        <w:trPr>
          <w:trHeight w:val="176"/>
          <w:jc w:val="center"/>
        </w:trPr>
        <w:tc>
          <w:tcPr>
            <w:tcW w:w="1000" w:type="pct"/>
            <w:vMerge/>
            <w:tcBorders>
              <w:top w:val="single" w:sz="4" w:space="0" w:color="auto"/>
              <w:bottom w:val="single" w:sz="8" w:space="0" w:color="auto"/>
            </w:tcBorders>
            <w:shd w:val="clear" w:color="auto" w:fill="auto"/>
            <w:vAlign w:val="center"/>
          </w:tcPr>
          <w:p w14:paraId="27F95BB2" w14:textId="77777777" w:rsidR="00737EB2" w:rsidRPr="00765F6E" w:rsidRDefault="00737EB2" w:rsidP="00871D47">
            <w:pPr>
              <w:pStyle w:val="affffffffffff2"/>
              <w:jc w:val="center"/>
              <w:rPr>
                <w:rFonts w:hAnsi="宋体" w:cs="宋体"/>
                <w:sz w:val="18"/>
                <w:szCs w:val="18"/>
              </w:rPr>
            </w:pPr>
          </w:p>
        </w:tc>
        <w:tc>
          <w:tcPr>
            <w:tcW w:w="1000" w:type="pct"/>
            <w:tcBorders>
              <w:top w:val="single" w:sz="4" w:space="0" w:color="auto"/>
              <w:bottom w:val="single" w:sz="8" w:space="0" w:color="auto"/>
            </w:tcBorders>
            <w:shd w:val="clear" w:color="auto" w:fill="auto"/>
            <w:vAlign w:val="center"/>
          </w:tcPr>
          <w:p w14:paraId="243F7FC7"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25m轨</w:t>
            </w:r>
          </w:p>
        </w:tc>
        <w:tc>
          <w:tcPr>
            <w:tcW w:w="1001" w:type="pct"/>
            <w:tcBorders>
              <w:top w:val="single" w:sz="4" w:space="0" w:color="auto"/>
              <w:bottom w:val="single" w:sz="8" w:space="0" w:color="auto"/>
            </w:tcBorders>
            <w:shd w:val="clear" w:color="auto" w:fill="auto"/>
            <w:vAlign w:val="center"/>
          </w:tcPr>
          <w:p w14:paraId="3315AD0A"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12.5轨</w:t>
            </w:r>
          </w:p>
        </w:tc>
        <w:tc>
          <w:tcPr>
            <w:tcW w:w="1000" w:type="pct"/>
            <w:tcBorders>
              <w:top w:val="single" w:sz="4" w:space="0" w:color="auto"/>
              <w:bottom w:val="single" w:sz="8" w:space="0" w:color="auto"/>
            </w:tcBorders>
            <w:shd w:val="clear" w:color="auto" w:fill="auto"/>
            <w:vAlign w:val="center"/>
          </w:tcPr>
          <w:p w14:paraId="619C37DD"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25m轨</w:t>
            </w:r>
          </w:p>
        </w:tc>
        <w:tc>
          <w:tcPr>
            <w:tcW w:w="999" w:type="pct"/>
            <w:tcBorders>
              <w:top w:val="single" w:sz="4" w:space="0" w:color="auto"/>
              <w:bottom w:val="single" w:sz="8" w:space="0" w:color="auto"/>
            </w:tcBorders>
            <w:shd w:val="clear" w:color="auto" w:fill="auto"/>
            <w:vAlign w:val="center"/>
          </w:tcPr>
          <w:p w14:paraId="41181451"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12.5轨</w:t>
            </w:r>
          </w:p>
        </w:tc>
      </w:tr>
      <w:tr w:rsidR="00737EB2" w:rsidRPr="00765F6E" w14:paraId="2C5A8C2B" w14:textId="77777777" w:rsidTr="00871D47">
        <w:trPr>
          <w:trHeight w:val="176"/>
          <w:jc w:val="center"/>
        </w:trPr>
        <w:tc>
          <w:tcPr>
            <w:tcW w:w="1000" w:type="pct"/>
            <w:tcBorders>
              <w:top w:val="single" w:sz="8" w:space="0" w:color="auto"/>
            </w:tcBorders>
            <w:shd w:val="clear" w:color="auto" w:fill="auto"/>
            <w:vAlign w:val="center"/>
          </w:tcPr>
          <w:p w14:paraId="78DA4E8F"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R≤350</w:t>
            </w:r>
          </w:p>
        </w:tc>
        <w:tc>
          <w:tcPr>
            <w:tcW w:w="1000" w:type="pct"/>
            <w:tcBorders>
              <w:top w:val="single" w:sz="8" w:space="0" w:color="auto"/>
            </w:tcBorders>
            <w:shd w:val="clear" w:color="auto" w:fill="auto"/>
            <w:vAlign w:val="center"/>
          </w:tcPr>
          <w:p w14:paraId="6A04C50C"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10</w:t>
            </w:r>
          </w:p>
        </w:tc>
        <w:tc>
          <w:tcPr>
            <w:tcW w:w="1001" w:type="pct"/>
            <w:tcBorders>
              <w:top w:val="single" w:sz="8" w:space="0" w:color="auto"/>
            </w:tcBorders>
            <w:shd w:val="clear" w:color="auto" w:fill="auto"/>
            <w:vAlign w:val="center"/>
          </w:tcPr>
          <w:p w14:paraId="54085C5D"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5</w:t>
            </w:r>
          </w:p>
        </w:tc>
        <w:tc>
          <w:tcPr>
            <w:tcW w:w="1000" w:type="pct"/>
            <w:tcBorders>
              <w:top w:val="single" w:sz="8" w:space="0" w:color="auto"/>
            </w:tcBorders>
            <w:shd w:val="clear" w:color="auto" w:fill="auto"/>
            <w:vAlign w:val="center"/>
          </w:tcPr>
          <w:p w14:paraId="5FCC310D"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14</w:t>
            </w:r>
          </w:p>
        </w:tc>
        <w:tc>
          <w:tcPr>
            <w:tcW w:w="999" w:type="pct"/>
            <w:tcBorders>
              <w:top w:val="single" w:sz="8" w:space="0" w:color="auto"/>
            </w:tcBorders>
            <w:shd w:val="clear" w:color="auto" w:fill="auto"/>
            <w:vAlign w:val="center"/>
          </w:tcPr>
          <w:p w14:paraId="3782B4B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7</w:t>
            </w:r>
          </w:p>
        </w:tc>
      </w:tr>
      <w:tr w:rsidR="00737EB2" w:rsidRPr="00765F6E" w14:paraId="1F7B2646" w14:textId="77777777" w:rsidTr="00871D47">
        <w:trPr>
          <w:trHeight w:val="176"/>
          <w:jc w:val="center"/>
        </w:trPr>
        <w:tc>
          <w:tcPr>
            <w:tcW w:w="1000" w:type="pct"/>
            <w:shd w:val="clear" w:color="auto" w:fill="auto"/>
            <w:vAlign w:val="center"/>
          </w:tcPr>
          <w:p w14:paraId="28C02B5C"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350＜R≤450</w:t>
            </w:r>
          </w:p>
        </w:tc>
        <w:tc>
          <w:tcPr>
            <w:tcW w:w="1000" w:type="pct"/>
            <w:shd w:val="clear" w:color="auto" w:fill="auto"/>
            <w:vAlign w:val="center"/>
          </w:tcPr>
          <w:p w14:paraId="6F4C24D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10</w:t>
            </w:r>
          </w:p>
        </w:tc>
        <w:tc>
          <w:tcPr>
            <w:tcW w:w="1001" w:type="pct"/>
            <w:shd w:val="clear" w:color="auto" w:fill="auto"/>
            <w:vAlign w:val="center"/>
          </w:tcPr>
          <w:p w14:paraId="572D28D6"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5</w:t>
            </w:r>
          </w:p>
        </w:tc>
        <w:tc>
          <w:tcPr>
            <w:tcW w:w="1000" w:type="pct"/>
            <w:shd w:val="clear" w:color="auto" w:fill="auto"/>
            <w:vAlign w:val="center"/>
          </w:tcPr>
          <w:p w14:paraId="7A847B85"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10</w:t>
            </w:r>
          </w:p>
        </w:tc>
        <w:tc>
          <w:tcPr>
            <w:tcW w:w="999" w:type="pct"/>
            <w:shd w:val="clear" w:color="auto" w:fill="auto"/>
            <w:vAlign w:val="center"/>
          </w:tcPr>
          <w:p w14:paraId="47839F18"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5</w:t>
            </w:r>
          </w:p>
        </w:tc>
      </w:tr>
      <w:tr w:rsidR="00737EB2" w:rsidRPr="00765F6E" w14:paraId="0D2433A6" w14:textId="77777777" w:rsidTr="00871D47">
        <w:trPr>
          <w:trHeight w:val="176"/>
          <w:jc w:val="center"/>
        </w:trPr>
        <w:tc>
          <w:tcPr>
            <w:tcW w:w="1000" w:type="pct"/>
            <w:tcBorders>
              <w:bottom w:val="single" w:sz="8" w:space="0" w:color="auto"/>
            </w:tcBorders>
            <w:shd w:val="clear" w:color="auto" w:fill="auto"/>
            <w:vAlign w:val="center"/>
          </w:tcPr>
          <w:p w14:paraId="52781B01"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450＜R≤600</w:t>
            </w:r>
          </w:p>
        </w:tc>
        <w:tc>
          <w:tcPr>
            <w:tcW w:w="1000" w:type="pct"/>
            <w:tcBorders>
              <w:bottom w:val="single" w:sz="8" w:space="0" w:color="auto"/>
            </w:tcBorders>
            <w:shd w:val="clear" w:color="auto" w:fill="auto"/>
            <w:vAlign w:val="center"/>
          </w:tcPr>
          <w:p w14:paraId="64B0CB74"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6～10</w:t>
            </w:r>
          </w:p>
        </w:tc>
        <w:tc>
          <w:tcPr>
            <w:tcW w:w="1001" w:type="pct"/>
            <w:tcBorders>
              <w:bottom w:val="single" w:sz="8" w:space="0" w:color="auto"/>
            </w:tcBorders>
            <w:shd w:val="clear" w:color="auto" w:fill="auto"/>
            <w:vAlign w:val="center"/>
          </w:tcPr>
          <w:p w14:paraId="6D7A1607"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3～5</w:t>
            </w:r>
          </w:p>
        </w:tc>
        <w:tc>
          <w:tcPr>
            <w:tcW w:w="1000" w:type="pct"/>
            <w:tcBorders>
              <w:bottom w:val="single" w:sz="8" w:space="0" w:color="auto"/>
            </w:tcBorders>
            <w:shd w:val="clear" w:color="auto" w:fill="auto"/>
            <w:vAlign w:val="center"/>
          </w:tcPr>
          <w:p w14:paraId="7FABF22A"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6～10</w:t>
            </w:r>
          </w:p>
        </w:tc>
        <w:tc>
          <w:tcPr>
            <w:tcW w:w="999" w:type="pct"/>
            <w:tcBorders>
              <w:bottom w:val="single" w:sz="8" w:space="0" w:color="auto"/>
            </w:tcBorders>
            <w:shd w:val="clear" w:color="auto" w:fill="auto"/>
            <w:vAlign w:val="center"/>
          </w:tcPr>
          <w:p w14:paraId="02763D8E"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3～5</w:t>
            </w:r>
          </w:p>
        </w:tc>
      </w:tr>
    </w:tbl>
    <w:p w14:paraId="40DE3096" w14:textId="77777777" w:rsidR="00737EB2" w:rsidRPr="00765F6E" w:rsidRDefault="00737EB2" w:rsidP="00737EB2">
      <w:pPr>
        <w:spacing w:line="240" w:lineRule="auto"/>
      </w:pPr>
    </w:p>
    <w:p w14:paraId="26FACDB1" w14:textId="77777777" w:rsidR="00737EB2" w:rsidRPr="00765F6E" w:rsidRDefault="00737EB2" w:rsidP="009D0776">
      <w:pPr>
        <w:pStyle w:val="22"/>
      </w:pPr>
      <w:bookmarkStart w:id="1018" w:name="_Toc99791786"/>
      <w:bookmarkStart w:id="1019" w:name="_Toc153291216"/>
      <w:r w:rsidRPr="00765F6E">
        <w:rPr>
          <w:rFonts w:hint="eastAsia"/>
        </w:rPr>
        <w:t>线路信号标志的设置应符合相关状态、位置和制作材料标准的规定。</w:t>
      </w:r>
      <w:bookmarkEnd w:id="1018"/>
      <w:bookmarkEnd w:id="1019"/>
    </w:p>
    <w:p w14:paraId="7EB1B65F" w14:textId="77777777" w:rsidR="00737EB2" w:rsidRPr="00765F6E" w:rsidRDefault="00737EB2" w:rsidP="009D0776">
      <w:pPr>
        <w:pStyle w:val="22"/>
      </w:pPr>
      <w:bookmarkStart w:id="1020" w:name="_Toc153291217"/>
      <w:bookmarkStart w:id="1021" w:name="_Toc99791787"/>
      <w:r w:rsidRPr="00765F6E">
        <w:rPr>
          <w:rFonts w:hint="eastAsia"/>
        </w:rPr>
        <w:t>轨道常备材料种类及数量应满足日常维修、故障抢修需要，并应根据资源共享的原则配置。</w:t>
      </w:r>
      <w:bookmarkEnd w:id="1020"/>
      <w:bookmarkEnd w:id="1021"/>
    </w:p>
    <w:p w14:paraId="02AE47C3" w14:textId="77777777" w:rsidR="00737EB2" w:rsidRPr="00765F6E" w:rsidRDefault="00737EB2" w:rsidP="00737EB2">
      <w:pPr>
        <w:pStyle w:val="affe"/>
        <w:spacing w:before="156" w:after="156"/>
      </w:pPr>
      <w:bookmarkStart w:id="1022" w:name="_Toc99791788"/>
      <w:bookmarkStart w:id="1023" w:name="_Toc153210856"/>
      <w:bookmarkStart w:id="1024" w:name="_Toc153291218"/>
      <w:bookmarkStart w:id="1025" w:name="_Toc167895754"/>
      <w:bookmarkStart w:id="1026" w:name="_Toc174538668"/>
      <w:bookmarkStart w:id="1027" w:name="_Toc182476422"/>
      <w:r w:rsidRPr="00765F6E">
        <w:rPr>
          <w:rFonts w:hint="eastAsia"/>
        </w:rPr>
        <w:t>接口设计</w:t>
      </w:r>
      <w:bookmarkEnd w:id="1022"/>
      <w:bookmarkEnd w:id="1023"/>
      <w:bookmarkEnd w:id="1024"/>
      <w:bookmarkEnd w:id="1025"/>
      <w:bookmarkEnd w:id="1026"/>
      <w:bookmarkEnd w:id="1027"/>
    </w:p>
    <w:p w14:paraId="7303B105" w14:textId="4C549608" w:rsidR="00737EB2" w:rsidRPr="00765F6E" w:rsidRDefault="00737EB2" w:rsidP="009D0776">
      <w:pPr>
        <w:pStyle w:val="22"/>
      </w:pPr>
      <w:bookmarkStart w:id="1028" w:name="_Toc153291219"/>
      <w:bookmarkStart w:id="1029" w:name="_Toc99791789"/>
      <w:r w:rsidRPr="00765F6E">
        <w:rPr>
          <w:rFonts w:hint="eastAsia"/>
        </w:rPr>
        <w:t>轨道设计</w:t>
      </w:r>
      <w:r w:rsidR="00CB1AA6">
        <w:rPr>
          <w:rFonts w:hint="eastAsia"/>
        </w:rPr>
        <w:t>应按照</w:t>
      </w:r>
      <w:r w:rsidRPr="00765F6E">
        <w:rPr>
          <w:rFonts w:hint="eastAsia"/>
        </w:rPr>
        <w:t>线路、线下基础、设备系统等相关工程的接口技术要求，统筹规划，系统设计。</w:t>
      </w:r>
      <w:bookmarkEnd w:id="1028"/>
      <w:bookmarkEnd w:id="1029"/>
    </w:p>
    <w:p w14:paraId="6FAAFAF6" w14:textId="77777777" w:rsidR="00737EB2" w:rsidRPr="00765F6E" w:rsidRDefault="00737EB2" w:rsidP="009D0776">
      <w:pPr>
        <w:pStyle w:val="22"/>
      </w:pPr>
      <w:bookmarkStart w:id="1030" w:name="_Toc153291220"/>
      <w:bookmarkStart w:id="1031" w:name="_Toc99791790"/>
      <w:r w:rsidRPr="00765F6E">
        <w:rPr>
          <w:rFonts w:hint="eastAsia"/>
        </w:rPr>
        <w:t>路基、桥梁、隧道、结构等设计应满足轨道设计要求，并符合下列规定：</w:t>
      </w:r>
      <w:bookmarkEnd w:id="1030"/>
      <w:bookmarkEnd w:id="1031"/>
    </w:p>
    <w:p w14:paraId="0D6AA0BD" w14:textId="77777777" w:rsidR="00737EB2" w:rsidRPr="00765F6E" w:rsidRDefault="00737EB2" w:rsidP="003334F3">
      <w:pPr>
        <w:pStyle w:val="af6"/>
        <w:numPr>
          <w:ilvl w:val="0"/>
          <w:numId w:val="86"/>
        </w:numPr>
        <w:tabs>
          <w:tab w:val="left" w:pos="851"/>
        </w:tabs>
        <w:snapToGrid w:val="0"/>
        <w:contextualSpacing/>
      </w:pPr>
      <w:r w:rsidRPr="00765F6E">
        <w:rPr>
          <w:rFonts w:hint="eastAsia"/>
        </w:rPr>
        <w:t xml:space="preserve">线下基础工后沉降和变形应满足无砟轨道铺设条件。无砟轨道工程施工前，应对线下基础的工程沉降和变形进行系统评估，确认工后沉降和变形满足无砟轨道铺设条件； </w:t>
      </w:r>
    </w:p>
    <w:p w14:paraId="4EA51F64" w14:textId="77777777" w:rsidR="00737EB2" w:rsidRPr="00765F6E" w:rsidRDefault="00737EB2" w:rsidP="003334F3">
      <w:pPr>
        <w:pStyle w:val="af6"/>
        <w:numPr>
          <w:ilvl w:val="0"/>
          <w:numId w:val="86"/>
        </w:numPr>
        <w:tabs>
          <w:tab w:val="left" w:pos="851"/>
        </w:tabs>
        <w:snapToGrid w:val="0"/>
        <w:contextualSpacing/>
      </w:pPr>
      <w:r w:rsidRPr="00765F6E">
        <w:rPr>
          <w:rFonts w:hint="eastAsia"/>
        </w:rPr>
        <w:t xml:space="preserve">道口及两侧线路路基、库内检查坑或车库门等土工构筑物基础的基底应统筹处理，减少不均匀沉降； </w:t>
      </w:r>
    </w:p>
    <w:p w14:paraId="2FB22A07" w14:textId="77777777" w:rsidR="00737EB2" w:rsidRPr="00765F6E" w:rsidRDefault="00737EB2" w:rsidP="003334F3">
      <w:pPr>
        <w:pStyle w:val="af6"/>
        <w:numPr>
          <w:ilvl w:val="0"/>
          <w:numId w:val="86"/>
        </w:numPr>
        <w:tabs>
          <w:tab w:val="left" w:pos="851"/>
        </w:tabs>
        <w:snapToGrid w:val="0"/>
        <w:contextualSpacing/>
      </w:pPr>
      <w:r w:rsidRPr="00765F6E">
        <w:rPr>
          <w:rFonts w:hint="eastAsia"/>
        </w:rPr>
        <w:t xml:space="preserve">路基、桥梁和隧道等土建工程在设计中应满足轨道结构预埋件、平整度及高程等相关要求； </w:t>
      </w:r>
    </w:p>
    <w:p w14:paraId="61031B31" w14:textId="77777777" w:rsidR="00737EB2" w:rsidRPr="00765F6E" w:rsidRDefault="00737EB2" w:rsidP="003334F3">
      <w:pPr>
        <w:pStyle w:val="af6"/>
        <w:numPr>
          <w:ilvl w:val="0"/>
          <w:numId w:val="86"/>
        </w:numPr>
        <w:tabs>
          <w:tab w:val="left" w:pos="851"/>
        </w:tabs>
        <w:snapToGrid w:val="0"/>
        <w:contextualSpacing/>
      </w:pPr>
      <w:r w:rsidRPr="00765F6E">
        <w:rPr>
          <w:rFonts w:hint="eastAsia"/>
        </w:rPr>
        <w:t>桥梁、隧道、结构等土建工程在设计中应满足道岔、钢轨伸缩调节器等轨道部件设置和无缝线路设计要求；</w:t>
      </w:r>
    </w:p>
    <w:p w14:paraId="4F372009" w14:textId="77777777" w:rsidR="00737EB2" w:rsidRPr="00765F6E" w:rsidRDefault="00737EB2" w:rsidP="003334F3">
      <w:pPr>
        <w:pStyle w:val="af6"/>
        <w:numPr>
          <w:ilvl w:val="0"/>
          <w:numId w:val="86"/>
        </w:numPr>
        <w:tabs>
          <w:tab w:val="left" w:pos="851"/>
        </w:tabs>
        <w:snapToGrid w:val="0"/>
        <w:contextualSpacing/>
      </w:pPr>
      <w:r w:rsidRPr="00765F6E">
        <w:rPr>
          <w:rFonts w:hint="eastAsia"/>
        </w:rPr>
        <w:t xml:space="preserve">大跨桥梁铺设无砟轨道时，桥梁变形限值应满足轨道平顺性和舒适性要求； </w:t>
      </w:r>
    </w:p>
    <w:p w14:paraId="10D4CF11" w14:textId="77777777" w:rsidR="00737EB2" w:rsidRPr="00765F6E" w:rsidRDefault="00737EB2" w:rsidP="003334F3">
      <w:pPr>
        <w:pStyle w:val="af6"/>
        <w:numPr>
          <w:ilvl w:val="0"/>
          <w:numId w:val="86"/>
        </w:numPr>
        <w:tabs>
          <w:tab w:val="left" w:pos="851"/>
        </w:tabs>
        <w:snapToGrid w:val="0"/>
        <w:contextualSpacing/>
      </w:pPr>
      <w:r w:rsidRPr="00765F6E">
        <w:rPr>
          <w:rFonts w:hint="eastAsia"/>
        </w:rPr>
        <w:t>无砟轨道地段，无覆土的框架桥及涵洞宜与线路保持垂直正交。</w:t>
      </w:r>
    </w:p>
    <w:p w14:paraId="4F1871D4" w14:textId="77777777" w:rsidR="00737EB2" w:rsidRPr="00765F6E" w:rsidRDefault="00737EB2" w:rsidP="009D0776">
      <w:pPr>
        <w:pStyle w:val="22"/>
      </w:pPr>
      <w:bookmarkStart w:id="1032" w:name="_Toc99791791"/>
      <w:bookmarkStart w:id="1033" w:name="_Toc153291221"/>
      <w:r w:rsidRPr="00765F6E">
        <w:rPr>
          <w:rFonts w:hint="eastAsia"/>
        </w:rPr>
        <w:t>轨道结构与信号、供电系统的接口设计符合下列规定：</w:t>
      </w:r>
      <w:bookmarkEnd w:id="1032"/>
      <w:bookmarkEnd w:id="1033"/>
    </w:p>
    <w:p w14:paraId="77D3A3C2" w14:textId="77777777" w:rsidR="00737EB2" w:rsidRPr="00765F6E" w:rsidRDefault="00737EB2" w:rsidP="003334F3">
      <w:pPr>
        <w:pStyle w:val="af6"/>
        <w:numPr>
          <w:ilvl w:val="0"/>
          <w:numId w:val="87"/>
        </w:numPr>
        <w:tabs>
          <w:tab w:val="left" w:pos="851"/>
        </w:tabs>
        <w:snapToGrid w:val="0"/>
        <w:contextualSpacing/>
      </w:pPr>
      <w:r w:rsidRPr="00765F6E">
        <w:rPr>
          <w:rFonts w:hint="eastAsia"/>
        </w:rPr>
        <w:t xml:space="preserve">轨道结构设计宜考虑信号设备及综合接地系统的安装要求； </w:t>
      </w:r>
    </w:p>
    <w:p w14:paraId="0D3E5033" w14:textId="77777777" w:rsidR="00737EB2" w:rsidRPr="00765F6E" w:rsidRDefault="00737EB2" w:rsidP="003334F3">
      <w:pPr>
        <w:pStyle w:val="af6"/>
        <w:numPr>
          <w:ilvl w:val="0"/>
          <w:numId w:val="87"/>
        </w:numPr>
        <w:tabs>
          <w:tab w:val="left" w:pos="851"/>
        </w:tabs>
        <w:snapToGrid w:val="0"/>
        <w:contextualSpacing/>
      </w:pPr>
      <w:r w:rsidRPr="00765F6E">
        <w:rPr>
          <w:rFonts w:hint="eastAsia"/>
        </w:rPr>
        <w:t>直流牵引供电系统以走行轨作回流轨时，轨道结构应采取防杂散电流措施；</w:t>
      </w:r>
    </w:p>
    <w:p w14:paraId="2A977EC8" w14:textId="77777777" w:rsidR="00737EB2" w:rsidRPr="00765F6E" w:rsidRDefault="00737EB2" w:rsidP="003334F3">
      <w:pPr>
        <w:pStyle w:val="af6"/>
        <w:numPr>
          <w:ilvl w:val="0"/>
          <w:numId w:val="87"/>
        </w:numPr>
        <w:tabs>
          <w:tab w:val="left" w:pos="851"/>
        </w:tabs>
        <w:snapToGrid w:val="0"/>
        <w:contextualSpacing/>
      </w:pPr>
      <w:r w:rsidRPr="00765F6E">
        <w:rPr>
          <w:rFonts w:hint="eastAsia"/>
        </w:rPr>
        <w:t xml:space="preserve">信号设备的安装应满足轨道结构承载力、耐久性和正常使用的要求； </w:t>
      </w:r>
    </w:p>
    <w:p w14:paraId="10E798B9" w14:textId="77777777" w:rsidR="00737EB2" w:rsidRPr="00765F6E" w:rsidRDefault="00737EB2" w:rsidP="003334F3">
      <w:pPr>
        <w:pStyle w:val="af6"/>
        <w:numPr>
          <w:ilvl w:val="0"/>
          <w:numId w:val="87"/>
        </w:numPr>
        <w:tabs>
          <w:tab w:val="left" w:pos="851"/>
        </w:tabs>
        <w:snapToGrid w:val="0"/>
        <w:contextualSpacing/>
      </w:pPr>
      <w:r w:rsidRPr="00765F6E">
        <w:rPr>
          <w:rFonts w:hint="eastAsia"/>
        </w:rPr>
        <w:t>信号、供电等相关专业应明确上钢轨钻孔位置及数量，钻孔的直径、间距等应满足轨道要求，钻孔应按规定进行倒棱处理。</w:t>
      </w:r>
    </w:p>
    <w:p w14:paraId="1FDAB16C" w14:textId="77777777" w:rsidR="00737EB2" w:rsidRPr="00765F6E" w:rsidRDefault="00737EB2" w:rsidP="00737EB2">
      <w:pPr>
        <w:pStyle w:val="affd"/>
        <w:spacing w:before="312" w:after="312"/>
      </w:pPr>
      <w:bookmarkStart w:id="1034" w:name="_Toc153291222"/>
      <w:bookmarkStart w:id="1035" w:name="_Toc153210857"/>
      <w:bookmarkStart w:id="1036" w:name="_Toc99791792"/>
      <w:bookmarkStart w:id="1037" w:name="_Toc167895755"/>
      <w:bookmarkStart w:id="1038" w:name="_Toc174538669"/>
      <w:bookmarkStart w:id="1039" w:name="_Toc182476423"/>
      <w:r w:rsidRPr="00765F6E">
        <w:rPr>
          <w:rFonts w:hint="eastAsia"/>
        </w:rPr>
        <w:t>路基</w:t>
      </w:r>
      <w:bookmarkEnd w:id="1034"/>
      <w:bookmarkEnd w:id="1035"/>
      <w:bookmarkEnd w:id="1036"/>
      <w:bookmarkEnd w:id="1037"/>
      <w:bookmarkEnd w:id="1038"/>
      <w:bookmarkEnd w:id="1039"/>
    </w:p>
    <w:p w14:paraId="23D54943" w14:textId="77777777" w:rsidR="00737EB2" w:rsidRPr="00765F6E" w:rsidRDefault="00737EB2" w:rsidP="0075265B">
      <w:pPr>
        <w:pStyle w:val="affe"/>
        <w:spacing w:before="156" w:after="156"/>
      </w:pPr>
      <w:bookmarkStart w:id="1040" w:name="_Toc99791793"/>
      <w:bookmarkStart w:id="1041" w:name="_Toc153210858"/>
      <w:bookmarkStart w:id="1042" w:name="_Toc182476424"/>
      <w:r w:rsidRPr="00765F6E">
        <w:rPr>
          <w:rFonts w:hint="eastAsia"/>
        </w:rPr>
        <w:t>一般规定</w:t>
      </w:r>
      <w:bookmarkEnd w:id="1040"/>
      <w:bookmarkEnd w:id="1041"/>
      <w:bookmarkEnd w:id="1042"/>
    </w:p>
    <w:p w14:paraId="48685EB0" w14:textId="22A07E68" w:rsidR="00737EB2" w:rsidRPr="00765F6E" w:rsidRDefault="00737EB2" w:rsidP="009D0776">
      <w:pPr>
        <w:pStyle w:val="22"/>
      </w:pPr>
      <w:bookmarkStart w:id="1043" w:name="_Toc153291223"/>
      <w:bookmarkStart w:id="1044" w:name="_Toc99791794"/>
      <w:r w:rsidRPr="00765F6E">
        <w:rPr>
          <w:rFonts w:hint="eastAsia"/>
        </w:rPr>
        <w:t>路基支挡、承载结构的设计使用年限应为100年。</w:t>
      </w:r>
      <w:bookmarkEnd w:id="1043"/>
      <w:bookmarkEnd w:id="1044"/>
      <w:r w:rsidRPr="00765F6E">
        <w:rPr>
          <w:rFonts w:hint="eastAsia"/>
        </w:rPr>
        <w:t xml:space="preserve"> </w:t>
      </w:r>
    </w:p>
    <w:p w14:paraId="67056D7D" w14:textId="021E2238" w:rsidR="00737EB2" w:rsidRPr="00765F6E" w:rsidRDefault="00737EB2" w:rsidP="009D0776">
      <w:pPr>
        <w:pStyle w:val="22"/>
      </w:pPr>
      <w:bookmarkStart w:id="1045" w:name="_Toc99791795"/>
      <w:bookmarkStart w:id="1046" w:name="_Toc153291224"/>
      <w:r w:rsidRPr="00765F6E">
        <w:rPr>
          <w:rFonts w:hint="eastAsia"/>
        </w:rPr>
        <w:t>路基的稳定安全系数运营期不应小于1.25，施工期不应小于1.10；抗震工况下不应小于1</w:t>
      </w:r>
      <w:r w:rsidRPr="00765F6E">
        <w:t>.15</w:t>
      </w:r>
      <w:r w:rsidRPr="00765F6E">
        <w:rPr>
          <w:rFonts w:hint="eastAsia"/>
        </w:rPr>
        <w:t>；路基支挡结构的稳定安全系数应符合TB 10025的规定。</w:t>
      </w:r>
      <w:bookmarkEnd w:id="1045"/>
      <w:bookmarkEnd w:id="1046"/>
      <w:r w:rsidRPr="00765F6E">
        <w:rPr>
          <w:rFonts w:hint="eastAsia"/>
        </w:rPr>
        <w:t xml:space="preserve"> </w:t>
      </w:r>
    </w:p>
    <w:p w14:paraId="56462F4C" w14:textId="5886E808" w:rsidR="00737EB2" w:rsidRPr="00765F6E" w:rsidRDefault="00737EB2" w:rsidP="009D0776">
      <w:pPr>
        <w:pStyle w:val="22"/>
      </w:pPr>
      <w:bookmarkStart w:id="1047" w:name="_Toc153291225"/>
      <w:bookmarkStart w:id="1048" w:name="_Toc99791796"/>
      <w:r w:rsidRPr="00765F6E">
        <w:rPr>
          <w:rFonts w:hint="eastAsia"/>
        </w:rPr>
        <w:t>有砟轨道路基工后沉降应符合表</w:t>
      </w:r>
      <w:r w:rsidR="00E512B4" w:rsidRPr="00765F6E">
        <w:rPr>
          <w:rFonts w:hint="eastAsia"/>
        </w:rPr>
        <w:t>3</w:t>
      </w:r>
      <w:r w:rsidR="00E512B4">
        <w:t>4</w:t>
      </w:r>
      <w:r w:rsidRPr="00765F6E">
        <w:rPr>
          <w:rFonts w:hint="eastAsia"/>
        </w:rPr>
        <w:t>的规定。无砟轨道路基工后沉降应符合扣件调整能力和线路竖曲线圆顺的要求，工后沉降不宜超过15mm。沉降比较均匀并且调整轨面高程后的竖曲线半径符合公式（</w:t>
      </w:r>
      <w:r w:rsidRPr="00765F6E">
        <w:t>25</w:t>
      </w:r>
      <w:r w:rsidRPr="00765F6E">
        <w:rPr>
          <w:rFonts w:hint="eastAsia"/>
        </w:rPr>
        <w:t>）的要求时，允许工后沉降为30mm。路基与桥梁、隧道或横向结构物交界处的工后沉降差不应大于5mm，不均匀沉降形成的折角不应大于1/1000。</w:t>
      </w:r>
      <w:bookmarkEnd w:id="1047"/>
      <w:bookmarkEnd w:id="1048"/>
    </w:p>
    <w:p w14:paraId="5D915D1C" w14:textId="70E8502D" w:rsidR="00737EB2" w:rsidRPr="00765F6E" w:rsidRDefault="00737EB2" w:rsidP="00737EB2">
      <w:pPr>
        <w:pStyle w:val="affffffd"/>
        <w:spacing w:before="156" w:after="156"/>
      </w:pPr>
      <w:r w:rsidRPr="00765F6E">
        <w:tab/>
      </w:r>
      <m:oMath>
        <m:sSub>
          <m:sSubPr>
            <m:ctrlPr>
              <w:rPr>
                <w:rFonts w:ascii="Cambria Math" w:hAnsi="Cambria Math"/>
              </w:rPr>
            </m:ctrlPr>
          </m:sSubPr>
          <m:e>
            <m:r>
              <m:rPr>
                <m:sty m:val="p"/>
              </m:rPr>
              <w:rPr>
                <w:rFonts w:ascii="Cambria Math" w:hAnsi="Cambria Math"/>
              </w:rPr>
              <m:t>R</m:t>
            </m:r>
          </m:e>
          <m:sub>
            <m:r>
              <m:rPr>
                <m:sty m:val="p"/>
              </m:rPr>
              <w:rPr>
                <w:rFonts w:ascii="Cambria Math" w:hAnsi="Cambria Math"/>
                <w:vertAlign w:val="subscript"/>
              </w:rPr>
              <m:t>sh</m:t>
            </m:r>
          </m:sub>
        </m:sSub>
        <m:r>
          <m:rPr>
            <m:sty m:val="p"/>
          </m:rPr>
          <w:rPr>
            <w:rFonts w:ascii="Cambria Math" w:hAnsi="Cambria Math"/>
          </w:rPr>
          <m:t>≥0.4</m:t>
        </m:r>
        <m:r>
          <w:rPr>
            <w:rFonts w:ascii="Cambria Math" w:hAnsi="Cambria Math"/>
          </w:rPr>
          <m:t>V</m:t>
        </m:r>
      </m:oMath>
      <w:r w:rsidRPr="00765F6E">
        <w:rPr>
          <w:rFonts w:ascii="微软雅黑" w:eastAsia="微软雅黑" w:hAnsi="微软雅黑"/>
        </w:rPr>
        <w:tab/>
      </w:r>
      <w:r w:rsidRPr="00765F6E">
        <w:t>(</w:t>
      </w:r>
      <w:r w:rsidRPr="00765F6E">
        <w:rPr>
          <w:rFonts w:hint="eastAsia"/>
        </w:rPr>
        <w:t>25</w:t>
      </w:r>
      <w:r w:rsidRPr="00765F6E">
        <w:t>)</w:t>
      </w:r>
    </w:p>
    <w:p w14:paraId="2CADE798" w14:textId="77777777" w:rsidR="00737EB2" w:rsidRPr="00765F6E" w:rsidRDefault="00737EB2" w:rsidP="00737EB2">
      <w:pPr>
        <w:pStyle w:val="a6"/>
        <w:numPr>
          <w:ilvl w:val="0"/>
          <w:numId w:val="0"/>
        </w:numPr>
        <w:ind w:firstLineChars="200" w:firstLine="420"/>
        <w:jc w:val="left"/>
        <w:rPr>
          <w:rFonts w:hAnsi="宋体" w:cstheme="minorBidi"/>
          <w:kern w:val="2"/>
          <w:sz w:val="21"/>
          <w:szCs w:val="21"/>
        </w:rPr>
      </w:pPr>
      <w:r w:rsidRPr="00765F6E">
        <w:rPr>
          <w:rFonts w:hAnsi="宋体" w:cstheme="minorBidi" w:hint="eastAsia"/>
          <w:kern w:val="2"/>
          <w:sz w:val="21"/>
          <w:szCs w:val="21"/>
        </w:rPr>
        <w:t>式中：</w:t>
      </w:r>
    </w:p>
    <w:p w14:paraId="269A85B1" w14:textId="77777777" w:rsidR="00737EB2" w:rsidRPr="00765F6E" w:rsidRDefault="00737EB2" w:rsidP="00737EB2">
      <w:pPr>
        <w:adjustRightInd/>
        <w:spacing w:line="240" w:lineRule="auto"/>
        <w:ind w:leftChars="200" w:left="420" w:firstLineChars="100" w:firstLine="210"/>
        <w:jc w:val="left"/>
        <w:rPr>
          <w:rFonts w:hAnsi="宋体" w:cs="宋体"/>
          <w:lang w:bidi="ar"/>
        </w:rPr>
      </w:pPr>
      <w:proofErr w:type="spellStart"/>
      <w:r w:rsidRPr="00765F6E">
        <w:rPr>
          <w:rFonts w:hAnsi="宋体" w:cs="宋体" w:hint="eastAsia"/>
          <w:lang w:bidi="ar"/>
        </w:rPr>
        <w:t>R</w:t>
      </w:r>
      <w:r w:rsidRPr="00765F6E">
        <w:rPr>
          <w:rFonts w:hAnsi="宋体" w:cs="宋体"/>
          <w:sz w:val="15"/>
          <w:szCs w:val="15"/>
          <w:lang w:bidi="ar"/>
        </w:rPr>
        <w:t>sh</w:t>
      </w:r>
      <w:proofErr w:type="spellEnd"/>
      <w:r w:rsidRPr="00765F6E">
        <w:rPr>
          <w:rFonts w:hAnsi="宋体" w:cs="宋体"/>
          <w:lang w:bidi="ar"/>
        </w:rPr>
        <w:t>——</w:t>
      </w:r>
      <w:r w:rsidRPr="00765F6E">
        <w:rPr>
          <w:rFonts w:hAnsi="宋体" w:cs="宋体" w:hint="eastAsia"/>
          <w:lang w:bidi="ar"/>
        </w:rPr>
        <w:t>竖曲线</w:t>
      </w:r>
      <w:r w:rsidRPr="00765F6E">
        <w:rPr>
          <w:rFonts w:hAnsi="宋体" w:cs="宋体"/>
          <w:lang w:bidi="ar"/>
        </w:rPr>
        <w:t>半径</w:t>
      </w:r>
      <w:r w:rsidRPr="00765F6E">
        <w:rPr>
          <w:rFonts w:hAnsi="宋体" w:cs="宋体" w:hint="eastAsia"/>
          <w:lang w:bidi="ar"/>
        </w:rPr>
        <w:t>，单位为米</w:t>
      </w:r>
      <w:r w:rsidRPr="00765F6E">
        <w:rPr>
          <w:rFonts w:hAnsi="宋体" w:cs="宋体"/>
          <w:lang w:bidi="ar"/>
        </w:rPr>
        <w:t>（</w:t>
      </w:r>
      <w:r w:rsidRPr="00765F6E">
        <w:rPr>
          <w:rFonts w:hAnsi="宋体" w:cs="宋体" w:hint="eastAsia"/>
          <w:lang w:bidi="ar"/>
        </w:rPr>
        <w:t>m</w:t>
      </w:r>
      <w:r w:rsidRPr="00765F6E">
        <w:rPr>
          <w:rFonts w:hAnsi="宋体" w:cs="宋体"/>
          <w:lang w:bidi="ar"/>
        </w:rPr>
        <w:t>）</w:t>
      </w:r>
      <w:r w:rsidRPr="00765F6E">
        <w:rPr>
          <w:rFonts w:hAnsi="宋体" w:cs="宋体" w:hint="eastAsia"/>
          <w:lang w:bidi="ar"/>
        </w:rPr>
        <w:t>；</w:t>
      </w:r>
    </w:p>
    <w:p w14:paraId="1107981E" w14:textId="77777777" w:rsidR="00737EB2" w:rsidRPr="00765F6E" w:rsidRDefault="00737EB2" w:rsidP="00737EB2">
      <w:pPr>
        <w:adjustRightInd/>
        <w:spacing w:line="240" w:lineRule="auto"/>
        <w:ind w:leftChars="200" w:left="420" w:firstLineChars="100" w:firstLine="210"/>
        <w:jc w:val="left"/>
        <w:rPr>
          <w:rFonts w:hAnsi="宋体" w:cstheme="minorBidi"/>
        </w:rPr>
      </w:pPr>
      <w:r w:rsidRPr="00765F6E">
        <w:rPr>
          <w:rFonts w:hAnsi="宋体" w:cs="宋体"/>
          <w:lang w:bidi="ar"/>
        </w:rPr>
        <w:t>V</w:t>
      </w:r>
      <w:r w:rsidRPr="00765F6E">
        <w:rPr>
          <w:rFonts w:hAnsi="宋体" w:cs="宋体"/>
          <w:lang w:bidi="ar"/>
        </w:rPr>
        <w:t>——</w:t>
      </w:r>
      <w:r w:rsidRPr="00765F6E">
        <w:rPr>
          <w:rFonts w:hAnsi="宋体" w:cs="宋体" w:hint="eastAsia"/>
          <w:lang w:bidi="ar"/>
        </w:rPr>
        <w:t>设计</w:t>
      </w:r>
      <w:r w:rsidRPr="00765F6E">
        <w:rPr>
          <w:rFonts w:hAnsi="宋体" w:cs="宋体"/>
          <w:lang w:bidi="ar"/>
        </w:rPr>
        <w:t>速度</w:t>
      </w:r>
      <w:r w:rsidRPr="00765F6E">
        <w:rPr>
          <w:rFonts w:hAnsi="宋体" w:cs="宋体" w:hint="eastAsia"/>
          <w:lang w:bidi="ar"/>
        </w:rPr>
        <w:t>，单位为千米每小时</w:t>
      </w:r>
      <w:r w:rsidRPr="00765F6E">
        <w:rPr>
          <w:rFonts w:hAnsi="宋体" w:cs="宋体"/>
          <w:lang w:bidi="ar"/>
        </w:rPr>
        <w:t>（</w:t>
      </w:r>
      <w:r w:rsidRPr="00765F6E">
        <w:rPr>
          <w:rFonts w:hAnsi="宋体" w:cs="宋体" w:hint="eastAsia"/>
          <w:lang w:bidi="ar"/>
        </w:rPr>
        <w:t>km/h</w:t>
      </w:r>
      <w:r w:rsidRPr="00765F6E">
        <w:rPr>
          <w:rFonts w:hAnsi="宋体" w:cs="宋体"/>
          <w:lang w:bidi="ar"/>
        </w:rPr>
        <w:t>）</w:t>
      </w:r>
      <w:r w:rsidRPr="00765F6E">
        <w:rPr>
          <w:rFonts w:hAnsi="宋体" w:cs="宋体" w:hint="eastAsia"/>
          <w:lang w:bidi="ar"/>
        </w:rPr>
        <w:t>。</w:t>
      </w:r>
    </w:p>
    <w:p w14:paraId="6B636EF1" w14:textId="77777777" w:rsidR="00737EB2" w:rsidRPr="00765F6E" w:rsidRDefault="00737EB2" w:rsidP="00737EB2">
      <w:pPr>
        <w:pStyle w:val="aff3"/>
        <w:spacing w:before="156" w:after="156"/>
      </w:pPr>
      <w:r w:rsidRPr="00765F6E">
        <w:rPr>
          <w:rFonts w:hint="eastAsia"/>
        </w:rPr>
        <w:t>有砟轨道路基工后沉降控制标准</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68"/>
        <w:gridCol w:w="2233"/>
        <w:gridCol w:w="3030"/>
        <w:gridCol w:w="2003"/>
      </w:tblGrid>
      <w:tr w:rsidR="00737EB2" w:rsidRPr="00765F6E" w14:paraId="3561AB7A" w14:textId="77777777" w:rsidTr="00871D47">
        <w:trPr>
          <w:trHeight w:val="176"/>
        </w:trPr>
        <w:tc>
          <w:tcPr>
            <w:tcW w:w="1108" w:type="pct"/>
            <w:tcBorders>
              <w:top w:val="single" w:sz="8" w:space="0" w:color="auto"/>
              <w:bottom w:val="single" w:sz="8" w:space="0" w:color="auto"/>
            </w:tcBorders>
            <w:shd w:val="clear" w:color="auto" w:fill="auto"/>
            <w:vAlign w:val="center"/>
          </w:tcPr>
          <w:p w14:paraId="60A40EA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设计</w:t>
            </w:r>
            <w:r w:rsidRPr="00765F6E">
              <w:rPr>
                <w:rFonts w:hAnsi="宋体" w:cs="宋体"/>
                <w:sz w:val="18"/>
                <w:szCs w:val="18"/>
              </w:rPr>
              <w:t>速度</w:t>
            </w:r>
          </w:p>
          <w:p w14:paraId="10D32DA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km/h</w:t>
            </w:r>
          </w:p>
        </w:tc>
        <w:tc>
          <w:tcPr>
            <w:tcW w:w="1196" w:type="pct"/>
            <w:tcBorders>
              <w:top w:val="single" w:sz="8" w:space="0" w:color="auto"/>
              <w:bottom w:val="single" w:sz="8" w:space="0" w:color="auto"/>
            </w:tcBorders>
            <w:shd w:val="clear" w:color="auto" w:fill="auto"/>
            <w:vAlign w:val="center"/>
          </w:tcPr>
          <w:p w14:paraId="108B4BB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一般</w:t>
            </w:r>
            <w:r w:rsidRPr="00765F6E">
              <w:rPr>
                <w:rFonts w:hAnsi="宋体" w:cs="宋体"/>
                <w:sz w:val="18"/>
                <w:szCs w:val="18"/>
              </w:rPr>
              <w:t>地段工后沉降</w:t>
            </w:r>
          </w:p>
          <w:p w14:paraId="4AE4827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m</w:t>
            </w:r>
            <w:r w:rsidRPr="00765F6E">
              <w:rPr>
                <w:rFonts w:hAnsi="宋体" w:cs="宋体"/>
                <w:sz w:val="18"/>
                <w:szCs w:val="18"/>
              </w:rPr>
              <w:t>m</w:t>
            </w:r>
          </w:p>
        </w:tc>
        <w:tc>
          <w:tcPr>
            <w:tcW w:w="1623" w:type="pct"/>
            <w:tcBorders>
              <w:top w:val="single" w:sz="8" w:space="0" w:color="auto"/>
              <w:bottom w:val="single" w:sz="8" w:space="0" w:color="auto"/>
            </w:tcBorders>
            <w:shd w:val="clear" w:color="auto" w:fill="auto"/>
            <w:vAlign w:val="center"/>
          </w:tcPr>
          <w:p w14:paraId="3B6E316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桥台台</w:t>
            </w:r>
            <w:r w:rsidRPr="00765F6E">
              <w:rPr>
                <w:rFonts w:hAnsi="宋体" w:cs="宋体"/>
                <w:sz w:val="18"/>
                <w:szCs w:val="18"/>
              </w:rPr>
              <w:t>尾</w:t>
            </w:r>
            <w:r w:rsidRPr="00765F6E">
              <w:rPr>
                <w:rFonts w:hAnsi="宋体" w:cs="宋体" w:hint="eastAsia"/>
                <w:sz w:val="18"/>
                <w:szCs w:val="18"/>
              </w:rPr>
              <w:t>过渡</w:t>
            </w:r>
            <w:r w:rsidRPr="00765F6E">
              <w:rPr>
                <w:rFonts w:hAnsi="宋体" w:cs="宋体"/>
                <w:sz w:val="18"/>
                <w:szCs w:val="18"/>
              </w:rPr>
              <w:t>段工后沉降</w:t>
            </w:r>
          </w:p>
          <w:p w14:paraId="0D690C6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m</w:t>
            </w:r>
            <w:r w:rsidRPr="00765F6E">
              <w:rPr>
                <w:rFonts w:hAnsi="宋体" w:cs="宋体"/>
                <w:sz w:val="18"/>
                <w:szCs w:val="18"/>
              </w:rPr>
              <w:t>m</w:t>
            </w:r>
          </w:p>
        </w:tc>
        <w:tc>
          <w:tcPr>
            <w:tcW w:w="1073" w:type="pct"/>
            <w:tcBorders>
              <w:top w:val="single" w:sz="8" w:space="0" w:color="auto"/>
              <w:bottom w:val="single" w:sz="8" w:space="0" w:color="auto"/>
            </w:tcBorders>
            <w:shd w:val="clear" w:color="auto" w:fill="auto"/>
            <w:vAlign w:val="center"/>
          </w:tcPr>
          <w:p w14:paraId="120DFE80"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沉降</w:t>
            </w:r>
            <w:r w:rsidRPr="00765F6E">
              <w:rPr>
                <w:rFonts w:hAnsi="宋体" w:cs="宋体" w:hint="eastAsia"/>
                <w:sz w:val="18"/>
                <w:szCs w:val="18"/>
              </w:rPr>
              <w:t>速率</w:t>
            </w:r>
          </w:p>
          <w:p w14:paraId="3DE92C9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m</w:t>
            </w:r>
            <w:r w:rsidRPr="00765F6E">
              <w:rPr>
                <w:rFonts w:hAnsi="宋体" w:cs="宋体"/>
                <w:sz w:val="18"/>
                <w:szCs w:val="18"/>
              </w:rPr>
              <w:t>m/</w:t>
            </w:r>
            <w:r w:rsidRPr="00765F6E">
              <w:rPr>
                <w:rFonts w:hAnsi="宋体" w:cs="宋体" w:hint="eastAsia"/>
                <w:sz w:val="18"/>
                <w:szCs w:val="18"/>
              </w:rPr>
              <w:t>年</w:t>
            </w:r>
          </w:p>
        </w:tc>
      </w:tr>
      <w:tr w:rsidR="00737EB2" w:rsidRPr="00765F6E" w14:paraId="50886D05" w14:textId="77777777" w:rsidTr="00871D47">
        <w:trPr>
          <w:trHeight w:val="176"/>
        </w:trPr>
        <w:tc>
          <w:tcPr>
            <w:tcW w:w="1108" w:type="pct"/>
            <w:tcBorders>
              <w:top w:val="single" w:sz="8" w:space="0" w:color="auto"/>
            </w:tcBorders>
            <w:shd w:val="clear" w:color="auto" w:fill="auto"/>
            <w:vAlign w:val="center"/>
          </w:tcPr>
          <w:p w14:paraId="7EFC276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120</w:t>
            </w:r>
          </w:p>
        </w:tc>
        <w:tc>
          <w:tcPr>
            <w:tcW w:w="1196" w:type="pct"/>
            <w:tcBorders>
              <w:top w:val="single" w:sz="8" w:space="0" w:color="auto"/>
            </w:tcBorders>
            <w:shd w:val="clear" w:color="auto" w:fill="auto"/>
            <w:vAlign w:val="center"/>
          </w:tcPr>
          <w:p w14:paraId="2A7FC00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3</w:t>
            </w:r>
            <w:r w:rsidRPr="00765F6E">
              <w:rPr>
                <w:rFonts w:hAnsi="宋体" w:cs="宋体"/>
                <w:sz w:val="18"/>
                <w:szCs w:val="18"/>
              </w:rPr>
              <w:t>00</w:t>
            </w:r>
          </w:p>
        </w:tc>
        <w:tc>
          <w:tcPr>
            <w:tcW w:w="1623" w:type="pct"/>
            <w:tcBorders>
              <w:top w:val="single" w:sz="8" w:space="0" w:color="auto"/>
            </w:tcBorders>
            <w:shd w:val="clear" w:color="auto" w:fill="auto"/>
            <w:vAlign w:val="center"/>
          </w:tcPr>
          <w:p w14:paraId="01F7B0D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50</w:t>
            </w:r>
          </w:p>
        </w:tc>
        <w:tc>
          <w:tcPr>
            <w:tcW w:w="1073" w:type="pct"/>
            <w:tcBorders>
              <w:top w:val="single" w:sz="8" w:space="0" w:color="auto"/>
            </w:tcBorders>
            <w:shd w:val="clear" w:color="auto" w:fill="auto"/>
            <w:vAlign w:val="center"/>
          </w:tcPr>
          <w:p w14:paraId="1647836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6</w:t>
            </w:r>
            <w:r w:rsidRPr="00765F6E">
              <w:rPr>
                <w:rFonts w:hAnsi="宋体" w:cs="宋体"/>
                <w:sz w:val="18"/>
                <w:szCs w:val="18"/>
              </w:rPr>
              <w:t>0</w:t>
            </w:r>
          </w:p>
        </w:tc>
      </w:tr>
      <w:tr w:rsidR="00737EB2" w:rsidRPr="00765F6E" w14:paraId="1C245A49" w14:textId="77777777" w:rsidTr="00871D47">
        <w:trPr>
          <w:trHeight w:val="176"/>
        </w:trPr>
        <w:tc>
          <w:tcPr>
            <w:tcW w:w="1108" w:type="pct"/>
            <w:tcBorders>
              <w:bottom w:val="single" w:sz="8" w:space="0" w:color="auto"/>
            </w:tcBorders>
            <w:shd w:val="clear" w:color="auto" w:fill="auto"/>
            <w:vAlign w:val="center"/>
          </w:tcPr>
          <w:p w14:paraId="1CCB338F"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140</w:t>
            </w:r>
            <w:r w:rsidRPr="00765F6E">
              <w:rPr>
                <w:rFonts w:hAnsi="宋体" w:cs="宋体" w:hint="eastAsia"/>
                <w:sz w:val="18"/>
                <w:szCs w:val="18"/>
              </w:rPr>
              <w:t>、160</w:t>
            </w:r>
          </w:p>
        </w:tc>
        <w:tc>
          <w:tcPr>
            <w:tcW w:w="1196" w:type="pct"/>
            <w:tcBorders>
              <w:bottom w:val="single" w:sz="8" w:space="0" w:color="auto"/>
            </w:tcBorders>
            <w:shd w:val="clear" w:color="auto" w:fill="auto"/>
            <w:vAlign w:val="center"/>
          </w:tcPr>
          <w:p w14:paraId="3A85A72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200</w:t>
            </w:r>
          </w:p>
        </w:tc>
        <w:tc>
          <w:tcPr>
            <w:tcW w:w="1623" w:type="pct"/>
            <w:tcBorders>
              <w:bottom w:val="single" w:sz="8" w:space="0" w:color="auto"/>
            </w:tcBorders>
            <w:shd w:val="clear" w:color="auto" w:fill="auto"/>
            <w:vAlign w:val="center"/>
          </w:tcPr>
          <w:p w14:paraId="346A517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0</w:t>
            </w:r>
            <w:r w:rsidRPr="00765F6E">
              <w:rPr>
                <w:rFonts w:hAnsi="宋体" w:cs="宋体" w:hint="eastAsia"/>
                <w:sz w:val="18"/>
                <w:szCs w:val="18"/>
              </w:rPr>
              <w:t>0</w:t>
            </w:r>
          </w:p>
        </w:tc>
        <w:tc>
          <w:tcPr>
            <w:tcW w:w="1073" w:type="pct"/>
            <w:tcBorders>
              <w:bottom w:val="single" w:sz="8" w:space="0" w:color="auto"/>
            </w:tcBorders>
            <w:shd w:val="clear" w:color="auto" w:fill="auto"/>
            <w:vAlign w:val="center"/>
          </w:tcPr>
          <w:p w14:paraId="6DC43B5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50</w:t>
            </w:r>
          </w:p>
        </w:tc>
      </w:tr>
    </w:tbl>
    <w:p w14:paraId="39A85D7D" w14:textId="77777777" w:rsidR="00737EB2" w:rsidRPr="00765F6E" w:rsidRDefault="00737EB2" w:rsidP="00737EB2">
      <w:pPr>
        <w:spacing w:line="240" w:lineRule="auto"/>
      </w:pPr>
    </w:p>
    <w:p w14:paraId="0B175C61" w14:textId="4CAE7A4B" w:rsidR="00737EB2" w:rsidRPr="00765F6E" w:rsidRDefault="00737EB2" w:rsidP="009D0776">
      <w:pPr>
        <w:pStyle w:val="22"/>
      </w:pPr>
      <w:bookmarkStart w:id="1049" w:name="_Toc153291226"/>
      <w:bookmarkStart w:id="1050" w:name="_Toc99791797"/>
      <w:r w:rsidRPr="00765F6E">
        <w:rPr>
          <w:rFonts w:hint="eastAsia"/>
        </w:rPr>
        <w:lastRenderedPageBreak/>
        <w:t>路基面上的轨道及列车荷载分布如图1所示，取值可按表</w:t>
      </w:r>
      <w:r w:rsidR="00E512B4" w:rsidRPr="00765F6E">
        <w:rPr>
          <w:rFonts w:hint="eastAsia"/>
        </w:rPr>
        <w:t>3</w:t>
      </w:r>
      <w:r w:rsidR="00E512B4">
        <w:t>5</w:t>
      </w:r>
      <w:r w:rsidRPr="00765F6E">
        <w:rPr>
          <w:rFonts w:hint="eastAsia"/>
        </w:rPr>
        <w:t>选用。</w:t>
      </w:r>
      <w:bookmarkEnd w:id="1049"/>
      <w:bookmarkEnd w:id="1050"/>
    </w:p>
    <w:p w14:paraId="1A3FB228" w14:textId="77777777" w:rsidR="00737EB2" w:rsidRPr="00765F6E" w:rsidRDefault="00737EB2" w:rsidP="00737EB2">
      <w:pPr>
        <w:pStyle w:val="affffb"/>
        <w:spacing w:before="156" w:after="156"/>
        <w:ind w:firstLine="420"/>
      </w:pPr>
    </w:p>
    <w:p w14:paraId="18A275DC" w14:textId="77777777" w:rsidR="00737EB2" w:rsidRPr="00765F6E" w:rsidRDefault="00737EB2" w:rsidP="00737EB2">
      <w:pPr>
        <w:pStyle w:val="affffb"/>
        <w:spacing w:before="156" w:after="156"/>
        <w:ind w:firstLine="420"/>
        <w:jc w:val="center"/>
      </w:pPr>
      <w:r w:rsidRPr="00765F6E">
        <w:drawing>
          <wp:inline distT="0" distB="0" distL="0" distR="0" wp14:anchorId="3719CF4B" wp14:editId="7432339B">
            <wp:extent cx="4860925" cy="122364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4899502" cy="1233807"/>
                    </a:xfrm>
                    <a:prstGeom prst="rect">
                      <a:avLst/>
                    </a:prstGeom>
                    <a:noFill/>
                    <a:ln>
                      <a:noFill/>
                    </a:ln>
                  </pic:spPr>
                </pic:pic>
              </a:graphicData>
            </a:graphic>
          </wp:inline>
        </w:drawing>
      </w:r>
    </w:p>
    <w:p w14:paraId="2B903DC8" w14:textId="77777777" w:rsidR="00737EB2" w:rsidRPr="00765F6E" w:rsidRDefault="00737EB2" w:rsidP="00737EB2">
      <w:pPr>
        <w:pStyle w:val="afe"/>
        <w:spacing w:before="156" w:after="156"/>
      </w:pPr>
      <w:r w:rsidRPr="00765F6E">
        <w:rPr>
          <w:rFonts w:hint="eastAsia"/>
        </w:rPr>
        <w:t>路基面上的轨道及列车荷载分布示意图</w:t>
      </w:r>
    </w:p>
    <w:p w14:paraId="579EF8B9" w14:textId="77777777" w:rsidR="00737EB2" w:rsidRPr="000131E3" w:rsidRDefault="00737EB2" w:rsidP="00737EB2">
      <w:pPr>
        <w:pStyle w:val="a6"/>
        <w:numPr>
          <w:ilvl w:val="0"/>
          <w:numId w:val="0"/>
        </w:numPr>
        <w:ind w:firstLineChars="200" w:firstLine="420"/>
        <w:jc w:val="left"/>
        <w:rPr>
          <w:rFonts w:hAnsi="宋体" w:cstheme="minorBidi"/>
          <w:kern w:val="2"/>
          <w:sz w:val="21"/>
          <w:szCs w:val="21"/>
        </w:rPr>
      </w:pPr>
      <w:bookmarkStart w:id="1051" w:name="_Hlk170897787"/>
      <w:r w:rsidRPr="000131E3">
        <w:rPr>
          <w:rFonts w:hAnsi="宋体" w:cstheme="minorBidi" w:hint="eastAsia"/>
          <w:kern w:val="2"/>
          <w:sz w:val="21"/>
          <w:szCs w:val="21"/>
        </w:rPr>
        <w:t>标引序号说明</w:t>
      </w:r>
      <w:r w:rsidRPr="000131E3">
        <w:rPr>
          <w:rFonts w:hAnsi="宋体" w:cstheme="minorBidi"/>
          <w:kern w:val="2"/>
          <w:sz w:val="21"/>
          <w:szCs w:val="21"/>
        </w:rPr>
        <w:t>：</w:t>
      </w:r>
    </w:p>
    <w:bookmarkEnd w:id="1051"/>
    <w:p w14:paraId="08B8AD99" w14:textId="77777777" w:rsidR="00737EB2" w:rsidRPr="000131E3" w:rsidRDefault="00737EB2" w:rsidP="00737EB2">
      <w:pPr>
        <w:pStyle w:val="a6"/>
        <w:numPr>
          <w:ilvl w:val="0"/>
          <w:numId w:val="0"/>
        </w:numPr>
        <w:ind w:firstLineChars="300" w:firstLine="630"/>
        <w:jc w:val="left"/>
        <w:rPr>
          <w:rFonts w:hAnsi="宋体" w:cstheme="minorBidi"/>
          <w:kern w:val="2"/>
          <w:sz w:val="21"/>
          <w:szCs w:val="21"/>
        </w:rPr>
      </w:pPr>
      <w:r w:rsidRPr="000131E3">
        <w:rPr>
          <w:rFonts w:hAnsi="宋体" w:cstheme="minorBidi"/>
          <w:kern w:val="2"/>
          <w:sz w:val="21"/>
          <w:szCs w:val="21"/>
        </w:rPr>
        <w:t>q</w:t>
      </w:r>
      <w:r w:rsidRPr="000131E3">
        <w:rPr>
          <w:rFonts w:hAnsi="宋体" w:cstheme="minorBidi"/>
          <w:kern w:val="2"/>
          <w:sz w:val="21"/>
          <w:szCs w:val="21"/>
          <w:vertAlign w:val="subscript"/>
        </w:rPr>
        <w:t>1</w:t>
      </w:r>
      <w:r w:rsidRPr="000131E3">
        <w:rPr>
          <w:rFonts w:hAnsi="宋体" w:cstheme="minorBidi"/>
          <w:kern w:val="2"/>
          <w:sz w:val="21"/>
          <w:szCs w:val="21"/>
        </w:rPr>
        <w:t>——</w:t>
      </w:r>
      <w:r w:rsidRPr="000131E3">
        <w:rPr>
          <w:rFonts w:hAnsi="宋体" w:cstheme="minorBidi" w:hint="eastAsia"/>
          <w:kern w:val="2"/>
          <w:sz w:val="21"/>
          <w:szCs w:val="21"/>
        </w:rPr>
        <w:t>轨道结构荷载强度，单位为千牛顿每平方米（</w:t>
      </w:r>
      <w:proofErr w:type="spellStart"/>
      <w:r w:rsidRPr="000131E3">
        <w:rPr>
          <w:rFonts w:hAnsi="宋体" w:cstheme="minorBidi"/>
          <w:kern w:val="2"/>
          <w:sz w:val="21"/>
          <w:szCs w:val="21"/>
        </w:rPr>
        <w:t>kN</w:t>
      </w:r>
      <w:proofErr w:type="spellEnd"/>
      <w:r w:rsidRPr="000131E3">
        <w:rPr>
          <w:rFonts w:hAnsi="宋体" w:cstheme="minorBidi"/>
          <w:kern w:val="2"/>
          <w:sz w:val="21"/>
          <w:szCs w:val="21"/>
        </w:rPr>
        <w:t>/m</w:t>
      </w:r>
      <w:r w:rsidRPr="000131E3">
        <w:rPr>
          <w:rFonts w:hAnsi="宋体" w:cstheme="minorBidi"/>
          <w:kern w:val="2"/>
          <w:sz w:val="21"/>
          <w:szCs w:val="21"/>
          <w:vertAlign w:val="superscript"/>
        </w:rPr>
        <w:t>2</w:t>
      </w:r>
      <w:r w:rsidRPr="000131E3">
        <w:rPr>
          <w:rFonts w:hAnsi="宋体" w:cstheme="minorBidi" w:hint="eastAsia"/>
          <w:kern w:val="2"/>
          <w:sz w:val="21"/>
          <w:szCs w:val="21"/>
        </w:rPr>
        <w:t>）；</w:t>
      </w:r>
    </w:p>
    <w:p w14:paraId="2FE878A3" w14:textId="77777777" w:rsidR="00737EB2" w:rsidRPr="000131E3" w:rsidRDefault="00737EB2" w:rsidP="00737EB2">
      <w:pPr>
        <w:pStyle w:val="a6"/>
        <w:numPr>
          <w:ilvl w:val="0"/>
          <w:numId w:val="0"/>
        </w:numPr>
        <w:ind w:firstLineChars="300" w:firstLine="630"/>
        <w:jc w:val="left"/>
        <w:rPr>
          <w:rFonts w:hAnsi="宋体" w:cstheme="minorBidi"/>
          <w:kern w:val="2"/>
          <w:sz w:val="21"/>
          <w:szCs w:val="21"/>
        </w:rPr>
      </w:pPr>
      <w:r w:rsidRPr="000131E3">
        <w:rPr>
          <w:rFonts w:hAnsi="宋体" w:cstheme="minorBidi"/>
          <w:kern w:val="2"/>
          <w:sz w:val="21"/>
          <w:szCs w:val="21"/>
        </w:rPr>
        <w:t>q</w:t>
      </w:r>
      <w:r w:rsidRPr="000131E3">
        <w:rPr>
          <w:rFonts w:hAnsi="宋体" w:cstheme="minorBidi"/>
          <w:kern w:val="2"/>
          <w:sz w:val="21"/>
          <w:szCs w:val="21"/>
          <w:vertAlign w:val="subscript"/>
        </w:rPr>
        <w:t>2</w:t>
      </w:r>
      <w:r w:rsidRPr="000131E3">
        <w:rPr>
          <w:rFonts w:hAnsi="宋体" w:cstheme="minorBidi"/>
          <w:kern w:val="2"/>
          <w:sz w:val="21"/>
          <w:szCs w:val="21"/>
        </w:rPr>
        <w:t>——</w:t>
      </w:r>
      <w:r w:rsidRPr="000131E3">
        <w:rPr>
          <w:rFonts w:hAnsi="宋体" w:cstheme="minorBidi" w:hint="eastAsia"/>
          <w:kern w:val="2"/>
          <w:sz w:val="21"/>
          <w:szCs w:val="21"/>
        </w:rPr>
        <w:t>列车荷载强度，单位为千牛顿每平方米（</w:t>
      </w:r>
      <w:proofErr w:type="spellStart"/>
      <w:r w:rsidRPr="000131E3">
        <w:rPr>
          <w:rFonts w:hAnsi="宋体" w:cstheme="minorBidi"/>
          <w:kern w:val="2"/>
          <w:sz w:val="21"/>
          <w:szCs w:val="21"/>
        </w:rPr>
        <w:t>kN</w:t>
      </w:r>
      <w:proofErr w:type="spellEnd"/>
      <w:r w:rsidRPr="000131E3">
        <w:rPr>
          <w:rFonts w:hAnsi="宋体" w:cstheme="minorBidi"/>
          <w:kern w:val="2"/>
          <w:sz w:val="21"/>
          <w:szCs w:val="21"/>
        </w:rPr>
        <w:t>/m</w:t>
      </w:r>
      <w:r w:rsidRPr="000131E3">
        <w:rPr>
          <w:rFonts w:hAnsi="宋体" w:cstheme="minorBidi"/>
          <w:kern w:val="2"/>
          <w:sz w:val="21"/>
          <w:szCs w:val="21"/>
          <w:vertAlign w:val="superscript"/>
        </w:rPr>
        <w:t>2</w:t>
      </w:r>
      <w:r w:rsidRPr="000131E3">
        <w:rPr>
          <w:rFonts w:hAnsi="宋体" w:cstheme="minorBidi" w:hint="eastAsia"/>
          <w:kern w:val="2"/>
          <w:sz w:val="21"/>
          <w:szCs w:val="21"/>
        </w:rPr>
        <w:t>）；</w:t>
      </w:r>
    </w:p>
    <w:p w14:paraId="0468C595" w14:textId="77777777" w:rsidR="00737EB2" w:rsidRPr="000131E3" w:rsidRDefault="00737EB2" w:rsidP="00737EB2">
      <w:pPr>
        <w:pStyle w:val="a6"/>
        <w:numPr>
          <w:ilvl w:val="0"/>
          <w:numId w:val="0"/>
        </w:numPr>
        <w:ind w:firstLineChars="300" w:firstLine="630"/>
        <w:jc w:val="left"/>
        <w:rPr>
          <w:rFonts w:hAnsi="宋体" w:cstheme="minorBidi"/>
          <w:kern w:val="2"/>
          <w:sz w:val="21"/>
          <w:szCs w:val="21"/>
        </w:rPr>
      </w:pPr>
      <w:r w:rsidRPr="000131E3">
        <w:rPr>
          <w:rFonts w:hAnsi="宋体" w:cstheme="minorBidi"/>
          <w:kern w:val="2"/>
          <w:sz w:val="21"/>
          <w:szCs w:val="21"/>
        </w:rPr>
        <w:t>q——</w:t>
      </w:r>
      <w:r w:rsidRPr="000131E3">
        <w:rPr>
          <w:rFonts w:hAnsi="宋体" w:cstheme="minorBidi" w:hint="eastAsia"/>
          <w:kern w:val="2"/>
          <w:sz w:val="21"/>
          <w:szCs w:val="21"/>
        </w:rPr>
        <w:t>轨道结构与列车荷载强度之和，单位为千牛顿每平方米（</w:t>
      </w:r>
      <w:proofErr w:type="spellStart"/>
      <w:r w:rsidRPr="000131E3">
        <w:rPr>
          <w:rFonts w:hAnsi="宋体" w:cstheme="minorBidi"/>
          <w:kern w:val="2"/>
          <w:sz w:val="21"/>
          <w:szCs w:val="21"/>
        </w:rPr>
        <w:t>kN</w:t>
      </w:r>
      <w:proofErr w:type="spellEnd"/>
      <w:r w:rsidRPr="000131E3">
        <w:rPr>
          <w:rFonts w:hAnsi="宋体" w:cstheme="minorBidi"/>
          <w:kern w:val="2"/>
          <w:sz w:val="21"/>
          <w:szCs w:val="21"/>
        </w:rPr>
        <w:t>/m</w:t>
      </w:r>
      <w:r w:rsidRPr="000131E3">
        <w:rPr>
          <w:rFonts w:hAnsi="宋体" w:cstheme="minorBidi"/>
          <w:kern w:val="2"/>
          <w:sz w:val="21"/>
          <w:szCs w:val="21"/>
          <w:vertAlign w:val="superscript"/>
        </w:rPr>
        <w:t>2</w:t>
      </w:r>
      <w:r w:rsidRPr="000131E3">
        <w:rPr>
          <w:rFonts w:hAnsi="宋体" w:cstheme="minorBidi" w:hint="eastAsia"/>
          <w:kern w:val="2"/>
          <w:sz w:val="21"/>
          <w:szCs w:val="21"/>
        </w:rPr>
        <w:t>）；</w:t>
      </w:r>
    </w:p>
    <w:p w14:paraId="427099BB" w14:textId="77777777" w:rsidR="00737EB2" w:rsidRPr="000131E3" w:rsidRDefault="00737EB2" w:rsidP="00737EB2">
      <w:pPr>
        <w:pStyle w:val="a6"/>
        <w:numPr>
          <w:ilvl w:val="0"/>
          <w:numId w:val="0"/>
        </w:numPr>
        <w:ind w:firstLineChars="300" w:firstLine="630"/>
        <w:jc w:val="left"/>
        <w:rPr>
          <w:rFonts w:hAnsi="宋体" w:cstheme="minorBidi"/>
          <w:kern w:val="2"/>
          <w:sz w:val="21"/>
          <w:szCs w:val="21"/>
        </w:rPr>
      </w:pPr>
      <w:r w:rsidRPr="000131E3">
        <w:rPr>
          <w:rFonts w:hAnsi="宋体" w:cstheme="minorBidi"/>
          <w:kern w:val="2"/>
          <w:sz w:val="21"/>
          <w:szCs w:val="21"/>
        </w:rPr>
        <w:t>b——</w:t>
      </w:r>
      <w:r w:rsidRPr="000131E3">
        <w:rPr>
          <w:rFonts w:hAnsi="宋体" w:cstheme="minorBidi" w:hint="eastAsia"/>
          <w:kern w:val="2"/>
          <w:sz w:val="21"/>
          <w:szCs w:val="21"/>
        </w:rPr>
        <w:t>每股道均布荷载分布宽度，单位为米（</w:t>
      </w:r>
      <w:r w:rsidRPr="000131E3">
        <w:rPr>
          <w:rFonts w:hAnsi="宋体" w:cstheme="minorBidi"/>
          <w:kern w:val="2"/>
          <w:sz w:val="21"/>
          <w:szCs w:val="21"/>
        </w:rPr>
        <w:t>m</w:t>
      </w:r>
      <w:r w:rsidRPr="000131E3">
        <w:rPr>
          <w:rFonts w:hAnsi="宋体" w:cstheme="minorBidi" w:hint="eastAsia"/>
          <w:kern w:val="2"/>
          <w:sz w:val="21"/>
          <w:szCs w:val="21"/>
        </w:rPr>
        <w:t>）；</w:t>
      </w:r>
    </w:p>
    <w:p w14:paraId="74C6620A" w14:textId="77777777" w:rsidR="00737EB2" w:rsidRPr="000131E3" w:rsidRDefault="00737EB2" w:rsidP="00737EB2">
      <w:pPr>
        <w:pStyle w:val="a6"/>
        <w:numPr>
          <w:ilvl w:val="0"/>
          <w:numId w:val="0"/>
        </w:numPr>
        <w:ind w:firstLineChars="300" w:firstLine="630"/>
        <w:jc w:val="left"/>
        <w:rPr>
          <w:rFonts w:hAnsi="宋体" w:cstheme="minorBidi"/>
          <w:kern w:val="2"/>
          <w:sz w:val="21"/>
          <w:szCs w:val="21"/>
        </w:rPr>
      </w:pPr>
      <w:r w:rsidRPr="000131E3">
        <w:rPr>
          <w:rFonts w:hAnsi="宋体" w:cstheme="minorBidi"/>
          <w:kern w:val="2"/>
          <w:sz w:val="21"/>
          <w:szCs w:val="21"/>
        </w:rPr>
        <w:t>q</w:t>
      </w:r>
      <w:r w:rsidRPr="000131E3">
        <w:rPr>
          <w:rFonts w:hAnsi="宋体" w:cstheme="minorBidi"/>
          <w:kern w:val="2"/>
          <w:sz w:val="21"/>
          <w:szCs w:val="21"/>
          <w:vertAlign w:val="subscript"/>
        </w:rPr>
        <w:t>0</w:t>
      </w:r>
      <w:r w:rsidRPr="000131E3">
        <w:rPr>
          <w:rFonts w:hAnsi="宋体" w:cstheme="minorBidi"/>
          <w:kern w:val="2"/>
          <w:sz w:val="21"/>
          <w:szCs w:val="21"/>
        </w:rPr>
        <w:t>——</w:t>
      </w:r>
      <w:r w:rsidRPr="000131E3">
        <w:rPr>
          <w:rFonts w:hAnsi="宋体" w:cstheme="minorBidi" w:hint="eastAsia"/>
          <w:kern w:val="2"/>
          <w:sz w:val="21"/>
          <w:szCs w:val="21"/>
        </w:rPr>
        <w:t>线间均布荷载强度，单位为千牛顿每平方米（</w:t>
      </w:r>
      <w:proofErr w:type="spellStart"/>
      <w:r w:rsidRPr="000131E3">
        <w:rPr>
          <w:rFonts w:hAnsi="宋体" w:cstheme="minorBidi"/>
          <w:kern w:val="2"/>
          <w:sz w:val="21"/>
          <w:szCs w:val="21"/>
        </w:rPr>
        <w:t>kN</w:t>
      </w:r>
      <w:proofErr w:type="spellEnd"/>
      <w:r w:rsidRPr="000131E3">
        <w:rPr>
          <w:rFonts w:hAnsi="宋体" w:cstheme="minorBidi"/>
          <w:kern w:val="2"/>
          <w:sz w:val="21"/>
          <w:szCs w:val="21"/>
        </w:rPr>
        <w:t>/m</w:t>
      </w:r>
      <w:r w:rsidRPr="000131E3">
        <w:rPr>
          <w:rFonts w:hAnsi="宋体" w:cstheme="minorBidi"/>
          <w:kern w:val="2"/>
          <w:sz w:val="21"/>
          <w:szCs w:val="21"/>
          <w:vertAlign w:val="superscript"/>
        </w:rPr>
        <w:t>2</w:t>
      </w:r>
      <w:r w:rsidRPr="000131E3">
        <w:rPr>
          <w:rFonts w:hAnsi="宋体" w:cstheme="minorBidi" w:hint="eastAsia"/>
          <w:kern w:val="2"/>
          <w:sz w:val="21"/>
          <w:szCs w:val="21"/>
        </w:rPr>
        <w:t>）；</w:t>
      </w:r>
    </w:p>
    <w:p w14:paraId="79AC01EE" w14:textId="77777777" w:rsidR="00737EB2" w:rsidRPr="000131E3" w:rsidRDefault="00737EB2" w:rsidP="00737EB2">
      <w:pPr>
        <w:pStyle w:val="a6"/>
        <w:numPr>
          <w:ilvl w:val="0"/>
          <w:numId w:val="0"/>
        </w:numPr>
        <w:ind w:firstLineChars="300" w:firstLine="630"/>
        <w:jc w:val="left"/>
        <w:rPr>
          <w:rFonts w:hAnsi="宋体" w:cstheme="minorBidi"/>
          <w:kern w:val="2"/>
          <w:sz w:val="21"/>
          <w:szCs w:val="21"/>
        </w:rPr>
      </w:pPr>
      <w:r w:rsidRPr="000131E3">
        <w:rPr>
          <w:rFonts w:hAnsi="宋体" w:cstheme="minorBidi"/>
          <w:kern w:val="2"/>
          <w:sz w:val="21"/>
          <w:szCs w:val="21"/>
        </w:rPr>
        <w:t>b</w:t>
      </w:r>
      <w:r w:rsidRPr="000131E3">
        <w:rPr>
          <w:rFonts w:hAnsi="宋体" w:cstheme="minorBidi"/>
          <w:kern w:val="2"/>
          <w:sz w:val="21"/>
          <w:szCs w:val="21"/>
          <w:vertAlign w:val="subscript"/>
        </w:rPr>
        <w:t>0</w:t>
      </w:r>
      <w:r w:rsidRPr="000131E3">
        <w:rPr>
          <w:rFonts w:hAnsi="宋体" w:cstheme="minorBidi"/>
          <w:kern w:val="2"/>
          <w:sz w:val="21"/>
          <w:szCs w:val="21"/>
        </w:rPr>
        <w:t>——</w:t>
      </w:r>
      <w:r w:rsidRPr="000131E3">
        <w:rPr>
          <w:rFonts w:hAnsi="宋体" w:cstheme="minorBidi" w:hint="eastAsia"/>
          <w:kern w:val="2"/>
          <w:sz w:val="21"/>
          <w:szCs w:val="21"/>
        </w:rPr>
        <w:t>线间均布荷载分布宽度，单位为米（</w:t>
      </w:r>
      <w:r w:rsidRPr="000131E3">
        <w:rPr>
          <w:rFonts w:hAnsi="宋体" w:cstheme="minorBidi"/>
          <w:kern w:val="2"/>
          <w:sz w:val="21"/>
          <w:szCs w:val="21"/>
        </w:rPr>
        <w:t>m</w:t>
      </w:r>
      <w:r w:rsidRPr="000131E3">
        <w:rPr>
          <w:rFonts w:hAnsi="宋体" w:cstheme="minorBidi" w:hint="eastAsia"/>
          <w:kern w:val="2"/>
          <w:sz w:val="21"/>
          <w:szCs w:val="21"/>
        </w:rPr>
        <w:t>）。</w:t>
      </w:r>
    </w:p>
    <w:p w14:paraId="56D301AB" w14:textId="77777777" w:rsidR="00737EB2" w:rsidRPr="00765F6E" w:rsidRDefault="00737EB2" w:rsidP="00737EB2">
      <w:pPr>
        <w:pStyle w:val="aff3"/>
        <w:spacing w:before="156" w:after="156"/>
      </w:pPr>
      <w:r w:rsidRPr="00765F6E">
        <w:rPr>
          <w:rFonts w:hint="eastAsia"/>
        </w:rPr>
        <w:t>路基面上的轨道及列车荷载</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990"/>
        <w:gridCol w:w="1682"/>
        <w:gridCol w:w="1008"/>
        <w:gridCol w:w="1273"/>
        <w:gridCol w:w="1717"/>
        <w:gridCol w:w="1333"/>
        <w:gridCol w:w="1331"/>
      </w:tblGrid>
      <w:tr w:rsidR="00B50649" w:rsidRPr="00765F6E" w14:paraId="56572364" w14:textId="77777777" w:rsidTr="00453DBE">
        <w:trPr>
          <w:trHeight w:val="646"/>
        </w:trPr>
        <w:tc>
          <w:tcPr>
            <w:tcW w:w="530" w:type="pct"/>
            <w:tcBorders>
              <w:top w:val="single" w:sz="8" w:space="0" w:color="auto"/>
              <w:bottom w:val="single" w:sz="4" w:space="0" w:color="auto"/>
            </w:tcBorders>
            <w:shd w:val="clear" w:color="auto" w:fill="auto"/>
            <w:vAlign w:val="center"/>
          </w:tcPr>
          <w:p w14:paraId="77F3E0D9" w14:textId="77777777" w:rsidR="00B50649" w:rsidRPr="00765F6E" w:rsidRDefault="00B50649" w:rsidP="00871D47">
            <w:pPr>
              <w:pStyle w:val="affffffffffff2"/>
              <w:jc w:val="center"/>
              <w:rPr>
                <w:rFonts w:hAnsi="宋体" w:cs="宋体"/>
                <w:sz w:val="18"/>
                <w:szCs w:val="18"/>
              </w:rPr>
            </w:pPr>
            <w:r w:rsidRPr="00765F6E">
              <w:rPr>
                <w:rFonts w:hAnsi="宋体" w:cs="宋体" w:hint="eastAsia"/>
                <w:sz w:val="18"/>
                <w:szCs w:val="18"/>
              </w:rPr>
              <w:t>轨道</w:t>
            </w:r>
            <w:r w:rsidRPr="00765F6E">
              <w:rPr>
                <w:rFonts w:hAnsi="宋体" w:cs="宋体"/>
                <w:sz w:val="18"/>
                <w:szCs w:val="18"/>
              </w:rPr>
              <w:t>类型</w:t>
            </w:r>
          </w:p>
        </w:tc>
        <w:tc>
          <w:tcPr>
            <w:tcW w:w="901" w:type="pct"/>
            <w:tcBorders>
              <w:top w:val="single" w:sz="8" w:space="0" w:color="auto"/>
              <w:bottom w:val="single" w:sz="4" w:space="0" w:color="auto"/>
            </w:tcBorders>
            <w:shd w:val="clear" w:color="auto" w:fill="auto"/>
            <w:vAlign w:val="center"/>
          </w:tcPr>
          <w:p w14:paraId="6205DBF7" w14:textId="77777777" w:rsidR="00B50649" w:rsidRPr="00765F6E" w:rsidRDefault="00B50649" w:rsidP="00871D47">
            <w:pPr>
              <w:pStyle w:val="affffffffffff2"/>
              <w:jc w:val="center"/>
              <w:rPr>
                <w:rFonts w:hAnsi="宋体" w:cs="宋体"/>
                <w:sz w:val="18"/>
                <w:szCs w:val="18"/>
              </w:rPr>
            </w:pPr>
            <w:r w:rsidRPr="00765F6E">
              <w:rPr>
                <w:rFonts w:hAnsi="宋体" w:cs="宋体" w:hint="eastAsia"/>
                <w:sz w:val="18"/>
                <w:szCs w:val="18"/>
              </w:rPr>
              <w:t>设计</w:t>
            </w:r>
            <w:r w:rsidRPr="00765F6E">
              <w:rPr>
                <w:rFonts w:hAnsi="宋体" w:cs="宋体"/>
                <w:sz w:val="18"/>
                <w:szCs w:val="18"/>
              </w:rPr>
              <w:t>速度</w:t>
            </w:r>
          </w:p>
          <w:p w14:paraId="15D48BBE" w14:textId="77777777" w:rsidR="00B50649" w:rsidRPr="00765F6E" w:rsidRDefault="00B50649" w:rsidP="00871D47">
            <w:pPr>
              <w:pStyle w:val="affffffffffff2"/>
              <w:jc w:val="center"/>
              <w:rPr>
                <w:rFonts w:hAnsi="宋体" w:cs="宋体"/>
                <w:sz w:val="18"/>
                <w:szCs w:val="18"/>
              </w:rPr>
            </w:pPr>
            <w:r w:rsidRPr="00765F6E">
              <w:rPr>
                <w:rFonts w:hAnsi="宋体" w:cs="宋体" w:hint="eastAsia"/>
                <w:sz w:val="18"/>
                <w:szCs w:val="18"/>
              </w:rPr>
              <w:t>km/h</w:t>
            </w:r>
          </w:p>
        </w:tc>
        <w:tc>
          <w:tcPr>
            <w:tcW w:w="540" w:type="pct"/>
            <w:tcBorders>
              <w:top w:val="single" w:sz="8" w:space="0" w:color="auto"/>
              <w:bottom w:val="single" w:sz="4" w:space="0" w:color="auto"/>
            </w:tcBorders>
            <w:shd w:val="clear" w:color="auto" w:fill="auto"/>
            <w:vAlign w:val="center"/>
          </w:tcPr>
          <w:p w14:paraId="1601B8EA" w14:textId="77777777" w:rsidR="00B50649" w:rsidRPr="00765F6E" w:rsidRDefault="00B50649" w:rsidP="00871D47">
            <w:pPr>
              <w:pStyle w:val="affffffffffff2"/>
              <w:spacing w:line="200" w:lineRule="exact"/>
              <w:jc w:val="center"/>
              <w:rPr>
                <w:rFonts w:hAnsi="宋体" w:cs="宋体"/>
                <w:sz w:val="18"/>
                <w:szCs w:val="18"/>
              </w:rPr>
            </w:pPr>
            <w:r w:rsidRPr="00765F6E">
              <w:rPr>
                <w:rFonts w:hAnsi="宋体" w:cs="宋体" w:hint="eastAsia"/>
                <w:sz w:val="18"/>
                <w:szCs w:val="18"/>
              </w:rPr>
              <w:t>道砟</w:t>
            </w:r>
            <w:r w:rsidRPr="00765F6E">
              <w:rPr>
                <w:rFonts w:hAnsi="宋体" w:cs="宋体"/>
                <w:sz w:val="18"/>
                <w:szCs w:val="18"/>
              </w:rPr>
              <w:t>厚度</w:t>
            </w:r>
            <w:r w:rsidRPr="00765F6E">
              <w:rPr>
                <w:rFonts w:hAnsi="宋体" w:cs="宋体" w:hint="eastAsia"/>
                <w:sz w:val="18"/>
                <w:szCs w:val="18"/>
              </w:rPr>
              <w:t>m</w:t>
            </w:r>
          </w:p>
        </w:tc>
        <w:tc>
          <w:tcPr>
            <w:tcW w:w="682" w:type="pct"/>
            <w:tcBorders>
              <w:top w:val="single" w:sz="8" w:space="0" w:color="auto"/>
              <w:bottom w:val="single" w:sz="4" w:space="0" w:color="auto"/>
            </w:tcBorders>
            <w:shd w:val="clear" w:color="auto" w:fill="auto"/>
            <w:vAlign w:val="center"/>
          </w:tcPr>
          <w:p w14:paraId="5B1FA805" w14:textId="77777777" w:rsidR="00B50649" w:rsidRPr="00765F6E" w:rsidRDefault="00B50649" w:rsidP="00871D47">
            <w:pPr>
              <w:pStyle w:val="affffffffffff2"/>
              <w:spacing w:line="200" w:lineRule="exact"/>
              <w:jc w:val="center"/>
              <w:rPr>
                <w:rFonts w:hAnsi="宋体" w:cs="宋体"/>
                <w:sz w:val="18"/>
                <w:szCs w:val="18"/>
              </w:rPr>
            </w:pPr>
            <w:r w:rsidRPr="00765F6E">
              <w:rPr>
                <w:rFonts w:hAnsi="宋体" w:cs="宋体" w:hint="eastAsia"/>
                <w:sz w:val="18"/>
                <w:szCs w:val="18"/>
              </w:rPr>
              <w:t>分布宽度</w:t>
            </w:r>
          </w:p>
          <w:p w14:paraId="687DBECD" w14:textId="77777777" w:rsidR="00B50649" w:rsidRPr="00765F6E" w:rsidRDefault="00B50649" w:rsidP="00871D47">
            <w:pPr>
              <w:pStyle w:val="affffffffffff2"/>
              <w:spacing w:line="200" w:lineRule="exact"/>
              <w:jc w:val="center"/>
              <w:rPr>
                <w:rFonts w:hAnsi="宋体" w:cs="宋体"/>
                <w:sz w:val="18"/>
                <w:szCs w:val="18"/>
              </w:rPr>
            </w:pPr>
            <w:r w:rsidRPr="00765F6E">
              <w:rPr>
                <w:rFonts w:hAnsi="宋体" w:cs="宋体"/>
                <w:sz w:val="18"/>
                <w:szCs w:val="18"/>
              </w:rPr>
              <w:t>b</w:t>
            </w:r>
            <w:r w:rsidRPr="00765F6E">
              <w:rPr>
                <w:rFonts w:hAnsi="宋体" w:cs="宋体" w:hint="eastAsia"/>
                <w:sz w:val="18"/>
                <w:szCs w:val="18"/>
              </w:rPr>
              <w:t>/m</w:t>
            </w:r>
          </w:p>
        </w:tc>
        <w:tc>
          <w:tcPr>
            <w:tcW w:w="920" w:type="pct"/>
            <w:tcBorders>
              <w:top w:val="single" w:sz="8" w:space="0" w:color="auto"/>
              <w:bottom w:val="single" w:sz="4" w:space="0" w:color="auto"/>
            </w:tcBorders>
            <w:shd w:val="clear" w:color="auto" w:fill="auto"/>
            <w:vAlign w:val="center"/>
          </w:tcPr>
          <w:p w14:paraId="3B0DA965" w14:textId="77777777" w:rsidR="00B50649" w:rsidRPr="00765F6E" w:rsidRDefault="00B50649" w:rsidP="00871D47">
            <w:pPr>
              <w:pStyle w:val="affffffffffff2"/>
              <w:spacing w:line="200" w:lineRule="exact"/>
              <w:jc w:val="center"/>
              <w:rPr>
                <w:rFonts w:hAnsi="宋体" w:cs="宋体"/>
                <w:sz w:val="18"/>
                <w:szCs w:val="18"/>
              </w:rPr>
            </w:pPr>
            <w:r w:rsidRPr="00765F6E">
              <w:rPr>
                <w:rFonts w:hAnsi="宋体" w:cs="宋体" w:hint="eastAsia"/>
                <w:sz w:val="18"/>
                <w:szCs w:val="18"/>
              </w:rPr>
              <w:t>轨道</w:t>
            </w:r>
            <w:r w:rsidRPr="00765F6E">
              <w:rPr>
                <w:rFonts w:hAnsi="宋体" w:cs="宋体"/>
                <w:sz w:val="18"/>
                <w:szCs w:val="18"/>
              </w:rPr>
              <w:t>结构荷载强度q1</w:t>
            </w:r>
            <w:r w:rsidRPr="00765F6E">
              <w:rPr>
                <w:rFonts w:hAnsi="宋体" w:cs="宋体" w:hint="eastAsia"/>
                <w:sz w:val="18"/>
                <w:szCs w:val="18"/>
              </w:rPr>
              <w:t>（</w:t>
            </w:r>
            <w:proofErr w:type="spellStart"/>
            <w:r w:rsidRPr="00765F6E">
              <w:rPr>
                <w:rFonts w:hAnsi="宋体" w:cs="宋体"/>
                <w:sz w:val="18"/>
                <w:szCs w:val="18"/>
              </w:rPr>
              <w:t>kN</w:t>
            </w:r>
            <w:proofErr w:type="spellEnd"/>
            <w:r w:rsidRPr="00765F6E">
              <w:rPr>
                <w:rFonts w:hAnsi="宋体" w:cs="宋体"/>
                <w:sz w:val="18"/>
                <w:szCs w:val="18"/>
              </w:rPr>
              <w:t>/m</w:t>
            </w:r>
            <w:r w:rsidRPr="00765F6E">
              <w:rPr>
                <w:rFonts w:hAnsi="宋体" w:cs="宋体"/>
                <w:sz w:val="18"/>
                <w:szCs w:val="18"/>
                <w:vertAlign w:val="superscript"/>
              </w:rPr>
              <w:t>2</w:t>
            </w:r>
            <w:r w:rsidRPr="00765F6E">
              <w:rPr>
                <w:rFonts w:hAnsi="宋体" w:cs="宋体" w:hint="eastAsia"/>
                <w:sz w:val="18"/>
                <w:szCs w:val="18"/>
              </w:rPr>
              <w:t>）</w:t>
            </w:r>
          </w:p>
        </w:tc>
        <w:tc>
          <w:tcPr>
            <w:tcW w:w="714" w:type="pct"/>
            <w:tcBorders>
              <w:top w:val="single" w:sz="8" w:space="0" w:color="auto"/>
            </w:tcBorders>
            <w:shd w:val="clear" w:color="auto" w:fill="auto"/>
            <w:vAlign w:val="center"/>
          </w:tcPr>
          <w:p w14:paraId="215C3B75" w14:textId="6547DEBD" w:rsidR="00B50649" w:rsidRPr="00765F6E" w:rsidDel="00B50649" w:rsidRDefault="00B50649" w:rsidP="00453DBE">
            <w:pPr>
              <w:pStyle w:val="affffffffffff2"/>
              <w:rPr>
                <w:rFonts w:hAnsi="宋体" w:cs="宋体"/>
                <w:sz w:val="18"/>
                <w:szCs w:val="18"/>
              </w:rPr>
            </w:pPr>
            <w:r w:rsidRPr="00B50649">
              <w:rPr>
                <w:rFonts w:hAnsi="宋体" w:cs="宋体" w:hint="eastAsia"/>
                <w:sz w:val="18"/>
                <w:szCs w:val="18"/>
              </w:rPr>
              <w:t>列车荷载强度q2（</w:t>
            </w:r>
            <w:proofErr w:type="spellStart"/>
            <w:r w:rsidRPr="00B50649">
              <w:rPr>
                <w:rFonts w:hAnsi="宋体" w:cs="宋体" w:hint="eastAsia"/>
                <w:sz w:val="18"/>
                <w:szCs w:val="18"/>
              </w:rPr>
              <w:t>kN</w:t>
            </w:r>
            <w:proofErr w:type="spellEnd"/>
            <w:r w:rsidRPr="00B50649">
              <w:rPr>
                <w:rFonts w:hAnsi="宋体" w:cs="宋体" w:hint="eastAsia"/>
                <w:sz w:val="18"/>
                <w:szCs w:val="18"/>
              </w:rPr>
              <w:t>/m</w:t>
            </w:r>
            <w:r w:rsidRPr="00453DBE">
              <w:rPr>
                <w:rFonts w:hAnsi="宋体" w:cs="宋体"/>
                <w:sz w:val="18"/>
                <w:szCs w:val="18"/>
                <w:vertAlign w:val="superscript"/>
              </w:rPr>
              <w:t>2</w:t>
            </w:r>
            <w:r w:rsidRPr="00B50649">
              <w:rPr>
                <w:rFonts w:hAnsi="宋体" w:cs="宋体" w:hint="eastAsia"/>
                <w:sz w:val="18"/>
                <w:szCs w:val="18"/>
              </w:rPr>
              <w:t>）</w:t>
            </w:r>
          </w:p>
        </w:tc>
        <w:tc>
          <w:tcPr>
            <w:tcW w:w="714" w:type="pct"/>
            <w:tcBorders>
              <w:top w:val="single" w:sz="8" w:space="0" w:color="auto"/>
            </w:tcBorders>
            <w:shd w:val="clear" w:color="auto" w:fill="auto"/>
            <w:vAlign w:val="center"/>
          </w:tcPr>
          <w:p w14:paraId="275A82C2" w14:textId="5F49CAE9" w:rsidR="00B50649" w:rsidRPr="00765F6E" w:rsidRDefault="00B50649" w:rsidP="00453DBE">
            <w:pPr>
              <w:pStyle w:val="affffffffffff2"/>
              <w:rPr>
                <w:rFonts w:hAnsi="宋体" w:cs="宋体"/>
                <w:sz w:val="18"/>
                <w:szCs w:val="18"/>
              </w:rPr>
            </w:pPr>
            <w:r w:rsidRPr="00B50649">
              <w:rPr>
                <w:rFonts w:hAnsi="宋体" w:cs="宋体" w:hint="eastAsia"/>
                <w:sz w:val="18"/>
                <w:szCs w:val="18"/>
              </w:rPr>
              <w:t>荷载强度合计q（</w:t>
            </w:r>
            <w:proofErr w:type="spellStart"/>
            <w:r w:rsidRPr="00B50649">
              <w:rPr>
                <w:rFonts w:hAnsi="宋体" w:cs="宋体" w:hint="eastAsia"/>
                <w:sz w:val="18"/>
                <w:szCs w:val="18"/>
              </w:rPr>
              <w:t>kN</w:t>
            </w:r>
            <w:proofErr w:type="spellEnd"/>
            <w:r w:rsidRPr="00B50649">
              <w:rPr>
                <w:rFonts w:hAnsi="宋体" w:cs="宋体" w:hint="eastAsia"/>
                <w:sz w:val="18"/>
                <w:szCs w:val="18"/>
              </w:rPr>
              <w:t>/m</w:t>
            </w:r>
            <w:r w:rsidRPr="00453DBE">
              <w:rPr>
                <w:rFonts w:hAnsi="宋体" w:cs="宋体"/>
                <w:sz w:val="18"/>
                <w:szCs w:val="18"/>
                <w:vertAlign w:val="superscript"/>
              </w:rPr>
              <w:t>2</w:t>
            </w:r>
            <w:r w:rsidRPr="00B50649">
              <w:rPr>
                <w:rFonts w:hAnsi="宋体" w:cs="宋体" w:hint="eastAsia"/>
                <w:sz w:val="18"/>
                <w:szCs w:val="18"/>
              </w:rPr>
              <w:t>）</w:t>
            </w:r>
          </w:p>
        </w:tc>
      </w:tr>
      <w:tr w:rsidR="00737EB2" w:rsidRPr="00765F6E" w14:paraId="3F760C9A" w14:textId="77777777" w:rsidTr="00871D47">
        <w:trPr>
          <w:trHeight w:val="176"/>
        </w:trPr>
        <w:tc>
          <w:tcPr>
            <w:tcW w:w="530" w:type="pct"/>
            <w:vMerge w:val="restart"/>
            <w:tcBorders>
              <w:top w:val="single" w:sz="8" w:space="0" w:color="auto"/>
            </w:tcBorders>
            <w:shd w:val="clear" w:color="auto" w:fill="auto"/>
            <w:vAlign w:val="center"/>
          </w:tcPr>
          <w:p w14:paraId="0A2AFBB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有</w:t>
            </w:r>
            <w:r w:rsidRPr="00765F6E">
              <w:rPr>
                <w:rFonts w:hAnsi="宋体" w:cs="宋体"/>
                <w:sz w:val="18"/>
                <w:szCs w:val="18"/>
              </w:rPr>
              <w:t>砟轨道</w:t>
            </w:r>
          </w:p>
        </w:tc>
        <w:tc>
          <w:tcPr>
            <w:tcW w:w="901" w:type="pct"/>
            <w:vMerge w:val="restart"/>
            <w:tcBorders>
              <w:top w:val="single" w:sz="8" w:space="0" w:color="auto"/>
            </w:tcBorders>
            <w:shd w:val="clear" w:color="auto" w:fill="auto"/>
            <w:vAlign w:val="center"/>
          </w:tcPr>
          <w:p w14:paraId="2E0655D2"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120</w:t>
            </w:r>
          </w:p>
        </w:tc>
        <w:tc>
          <w:tcPr>
            <w:tcW w:w="540" w:type="pct"/>
            <w:tcBorders>
              <w:top w:val="single" w:sz="8" w:space="0" w:color="auto"/>
            </w:tcBorders>
            <w:shd w:val="clear" w:color="auto" w:fill="auto"/>
            <w:vAlign w:val="center"/>
          </w:tcPr>
          <w:p w14:paraId="44172CA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0.30</w:t>
            </w:r>
          </w:p>
        </w:tc>
        <w:tc>
          <w:tcPr>
            <w:tcW w:w="682" w:type="pct"/>
            <w:tcBorders>
              <w:top w:val="single" w:sz="8" w:space="0" w:color="auto"/>
            </w:tcBorders>
            <w:shd w:val="clear" w:color="auto" w:fill="auto"/>
            <w:vAlign w:val="center"/>
          </w:tcPr>
          <w:p w14:paraId="481A15C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3.3</w:t>
            </w:r>
          </w:p>
        </w:tc>
        <w:tc>
          <w:tcPr>
            <w:tcW w:w="920" w:type="pct"/>
            <w:tcBorders>
              <w:top w:val="single" w:sz="8" w:space="0" w:color="auto"/>
            </w:tcBorders>
            <w:shd w:val="clear" w:color="auto" w:fill="auto"/>
            <w:vAlign w:val="center"/>
          </w:tcPr>
          <w:p w14:paraId="2BC27C3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19.3</w:t>
            </w:r>
          </w:p>
        </w:tc>
        <w:tc>
          <w:tcPr>
            <w:tcW w:w="714" w:type="pct"/>
            <w:tcBorders>
              <w:top w:val="single" w:sz="8" w:space="0" w:color="auto"/>
            </w:tcBorders>
            <w:shd w:val="clear" w:color="auto" w:fill="auto"/>
            <w:vAlign w:val="center"/>
          </w:tcPr>
          <w:p w14:paraId="5F2311C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23.0</w:t>
            </w:r>
          </w:p>
        </w:tc>
        <w:tc>
          <w:tcPr>
            <w:tcW w:w="713" w:type="pct"/>
            <w:tcBorders>
              <w:top w:val="single" w:sz="8" w:space="0" w:color="auto"/>
            </w:tcBorders>
            <w:shd w:val="clear" w:color="auto" w:fill="auto"/>
            <w:vAlign w:val="center"/>
          </w:tcPr>
          <w:p w14:paraId="5F6EF9E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42.3</w:t>
            </w:r>
          </w:p>
        </w:tc>
      </w:tr>
      <w:tr w:rsidR="00737EB2" w:rsidRPr="00765F6E" w14:paraId="16A3DA83" w14:textId="77777777" w:rsidTr="00871D47">
        <w:trPr>
          <w:trHeight w:val="176"/>
        </w:trPr>
        <w:tc>
          <w:tcPr>
            <w:tcW w:w="530" w:type="pct"/>
            <w:vMerge/>
            <w:shd w:val="clear" w:color="auto" w:fill="auto"/>
            <w:vAlign w:val="center"/>
          </w:tcPr>
          <w:p w14:paraId="2ECE4930" w14:textId="77777777" w:rsidR="00737EB2" w:rsidRPr="00765F6E" w:rsidRDefault="00737EB2" w:rsidP="00871D47">
            <w:pPr>
              <w:pStyle w:val="affffffffffff2"/>
              <w:jc w:val="center"/>
              <w:rPr>
                <w:rFonts w:hAnsi="宋体" w:cs="宋体"/>
                <w:sz w:val="18"/>
                <w:szCs w:val="18"/>
              </w:rPr>
            </w:pPr>
          </w:p>
        </w:tc>
        <w:tc>
          <w:tcPr>
            <w:tcW w:w="901" w:type="pct"/>
            <w:vMerge/>
            <w:shd w:val="clear" w:color="auto" w:fill="auto"/>
            <w:vAlign w:val="center"/>
          </w:tcPr>
          <w:p w14:paraId="3ADA76BA" w14:textId="77777777" w:rsidR="00737EB2" w:rsidRPr="00765F6E" w:rsidRDefault="00737EB2" w:rsidP="00871D47">
            <w:pPr>
              <w:pStyle w:val="affffffffffff2"/>
              <w:jc w:val="center"/>
              <w:rPr>
                <w:rFonts w:hAnsi="宋体" w:cs="宋体"/>
                <w:sz w:val="18"/>
                <w:szCs w:val="18"/>
              </w:rPr>
            </w:pPr>
          </w:p>
        </w:tc>
        <w:tc>
          <w:tcPr>
            <w:tcW w:w="540" w:type="pct"/>
            <w:shd w:val="clear" w:color="auto" w:fill="auto"/>
            <w:vAlign w:val="center"/>
          </w:tcPr>
          <w:p w14:paraId="6A09919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0.45</w:t>
            </w:r>
          </w:p>
        </w:tc>
        <w:tc>
          <w:tcPr>
            <w:tcW w:w="682" w:type="pct"/>
            <w:shd w:val="clear" w:color="auto" w:fill="auto"/>
            <w:vAlign w:val="center"/>
          </w:tcPr>
          <w:p w14:paraId="0C2232E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3.6</w:t>
            </w:r>
          </w:p>
        </w:tc>
        <w:tc>
          <w:tcPr>
            <w:tcW w:w="920" w:type="pct"/>
            <w:shd w:val="clear" w:color="auto" w:fill="auto"/>
            <w:vAlign w:val="center"/>
          </w:tcPr>
          <w:p w14:paraId="1707AFD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22.4</w:t>
            </w:r>
          </w:p>
        </w:tc>
        <w:tc>
          <w:tcPr>
            <w:tcW w:w="714" w:type="pct"/>
            <w:shd w:val="clear" w:color="auto" w:fill="auto"/>
            <w:vAlign w:val="center"/>
          </w:tcPr>
          <w:p w14:paraId="1CF1C8D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21.1</w:t>
            </w:r>
          </w:p>
        </w:tc>
        <w:tc>
          <w:tcPr>
            <w:tcW w:w="713" w:type="pct"/>
            <w:shd w:val="clear" w:color="auto" w:fill="auto"/>
            <w:vAlign w:val="center"/>
          </w:tcPr>
          <w:p w14:paraId="02B28BA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43.5</w:t>
            </w:r>
          </w:p>
        </w:tc>
      </w:tr>
      <w:tr w:rsidR="00737EB2" w:rsidRPr="00765F6E" w14:paraId="7BFA8152" w14:textId="77777777" w:rsidTr="00871D47">
        <w:trPr>
          <w:trHeight w:val="176"/>
        </w:trPr>
        <w:tc>
          <w:tcPr>
            <w:tcW w:w="530" w:type="pct"/>
            <w:vMerge/>
            <w:shd w:val="clear" w:color="auto" w:fill="auto"/>
            <w:vAlign w:val="center"/>
          </w:tcPr>
          <w:p w14:paraId="27029575" w14:textId="77777777" w:rsidR="00737EB2" w:rsidRPr="00765F6E" w:rsidRDefault="00737EB2" w:rsidP="00871D47">
            <w:pPr>
              <w:pStyle w:val="affffffffffff2"/>
              <w:jc w:val="center"/>
              <w:rPr>
                <w:rFonts w:hAnsi="宋体" w:cs="宋体"/>
                <w:sz w:val="18"/>
                <w:szCs w:val="18"/>
              </w:rPr>
            </w:pPr>
          </w:p>
        </w:tc>
        <w:tc>
          <w:tcPr>
            <w:tcW w:w="901" w:type="pct"/>
            <w:vMerge w:val="restart"/>
            <w:shd w:val="clear" w:color="auto" w:fill="auto"/>
            <w:vAlign w:val="center"/>
          </w:tcPr>
          <w:p w14:paraId="292C670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140、160</w:t>
            </w:r>
          </w:p>
        </w:tc>
        <w:tc>
          <w:tcPr>
            <w:tcW w:w="540" w:type="pct"/>
            <w:shd w:val="clear" w:color="auto" w:fill="auto"/>
            <w:vAlign w:val="center"/>
          </w:tcPr>
          <w:p w14:paraId="2779098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0.30</w:t>
            </w:r>
          </w:p>
        </w:tc>
        <w:tc>
          <w:tcPr>
            <w:tcW w:w="682" w:type="pct"/>
            <w:shd w:val="clear" w:color="auto" w:fill="auto"/>
            <w:vAlign w:val="center"/>
          </w:tcPr>
          <w:p w14:paraId="696F4A4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3.3</w:t>
            </w:r>
          </w:p>
        </w:tc>
        <w:tc>
          <w:tcPr>
            <w:tcW w:w="920" w:type="pct"/>
            <w:shd w:val="clear" w:color="auto" w:fill="auto"/>
            <w:vAlign w:val="center"/>
          </w:tcPr>
          <w:p w14:paraId="6D821FA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19.3</w:t>
            </w:r>
          </w:p>
        </w:tc>
        <w:tc>
          <w:tcPr>
            <w:tcW w:w="714" w:type="pct"/>
            <w:shd w:val="clear" w:color="auto" w:fill="auto"/>
            <w:vAlign w:val="center"/>
          </w:tcPr>
          <w:p w14:paraId="3405F01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23.0</w:t>
            </w:r>
          </w:p>
        </w:tc>
        <w:tc>
          <w:tcPr>
            <w:tcW w:w="713" w:type="pct"/>
            <w:shd w:val="clear" w:color="auto" w:fill="auto"/>
            <w:vAlign w:val="center"/>
          </w:tcPr>
          <w:p w14:paraId="62D762E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42.3</w:t>
            </w:r>
          </w:p>
        </w:tc>
      </w:tr>
      <w:tr w:rsidR="00737EB2" w:rsidRPr="00765F6E" w14:paraId="3F26F88E" w14:textId="77777777" w:rsidTr="00871D47">
        <w:trPr>
          <w:trHeight w:val="176"/>
        </w:trPr>
        <w:tc>
          <w:tcPr>
            <w:tcW w:w="530" w:type="pct"/>
            <w:vMerge/>
            <w:shd w:val="clear" w:color="auto" w:fill="auto"/>
            <w:vAlign w:val="center"/>
          </w:tcPr>
          <w:p w14:paraId="54403095" w14:textId="77777777" w:rsidR="00737EB2" w:rsidRPr="00765F6E" w:rsidRDefault="00737EB2" w:rsidP="00871D47">
            <w:pPr>
              <w:pStyle w:val="affffffffffff2"/>
              <w:jc w:val="center"/>
              <w:rPr>
                <w:rFonts w:hAnsi="宋体" w:cs="宋体"/>
                <w:sz w:val="18"/>
                <w:szCs w:val="18"/>
              </w:rPr>
            </w:pPr>
          </w:p>
        </w:tc>
        <w:tc>
          <w:tcPr>
            <w:tcW w:w="901" w:type="pct"/>
            <w:vMerge/>
            <w:shd w:val="clear" w:color="auto" w:fill="auto"/>
            <w:vAlign w:val="center"/>
          </w:tcPr>
          <w:p w14:paraId="3D949F78" w14:textId="77777777" w:rsidR="00737EB2" w:rsidRPr="00765F6E" w:rsidRDefault="00737EB2" w:rsidP="00871D47">
            <w:pPr>
              <w:pStyle w:val="affffffffffff2"/>
              <w:jc w:val="center"/>
              <w:rPr>
                <w:rFonts w:hAnsi="宋体" w:cs="宋体"/>
                <w:sz w:val="18"/>
                <w:szCs w:val="18"/>
              </w:rPr>
            </w:pPr>
          </w:p>
        </w:tc>
        <w:tc>
          <w:tcPr>
            <w:tcW w:w="540" w:type="pct"/>
            <w:shd w:val="clear" w:color="auto" w:fill="auto"/>
            <w:vAlign w:val="center"/>
          </w:tcPr>
          <w:p w14:paraId="09B6822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0.50</w:t>
            </w:r>
          </w:p>
        </w:tc>
        <w:tc>
          <w:tcPr>
            <w:tcW w:w="682" w:type="pct"/>
            <w:shd w:val="clear" w:color="auto" w:fill="auto"/>
            <w:vAlign w:val="center"/>
          </w:tcPr>
          <w:p w14:paraId="39ACF26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3.7</w:t>
            </w:r>
          </w:p>
        </w:tc>
        <w:tc>
          <w:tcPr>
            <w:tcW w:w="920" w:type="pct"/>
            <w:shd w:val="clear" w:color="auto" w:fill="auto"/>
            <w:vAlign w:val="center"/>
          </w:tcPr>
          <w:p w14:paraId="3ADC558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23.4</w:t>
            </w:r>
          </w:p>
        </w:tc>
        <w:tc>
          <w:tcPr>
            <w:tcW w:w="714" w:type="pct"/>
            <w:shd w:val="clear" w:color="auto" w:fill="auto"/>
            <w:vAlign w:val="center"/>
          </w:tcPr>
          <w:p w14:paraId="31C8E18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20.5</w:t>
            </w:r>
          </w:p>
        </w:tc>
        <w:tc>
          <w:tcPr>
            <w:tcW w:w="713" w:type="pct"/>
            <w:shd w:val="clear" w:color="auto" w:fill="auto"/>
            <w:vAlign w:val="center"/>
          </w:tcPr>
          <w:p w14:paraId="02818DB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43.9</w:t>
            </w:r>
          </w:p>
        </w:tc>
      </w:tr>
      <w:tr w:rsidR="00737EB2" w:rsidRPr="00765F6E" w14:paraId="6736E902" w14:textId="77777777" w:rsidTr="00871D47">
        <w:trPr>
          <w:trHeight w:val="176"/>
        </w:trPr>
        <w:tc>
          <w:tcPr>
            <w:tcW w:w="530" w:type="pct"/>
            <w:shd w:val="clear" w:color="auto" w:fill="auto"/>
            <w:vAlign w:val="center"/>
          </w:tcPr>
          <w:p w14:paraId="551A2D3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无</w:t>
            </w:r>
            <w:r w:rsidRPr="00765F6E">
              <w:rPr>
                <w:rFonts w:hAnsi="宋体" w:cs="宋体"/>
                <w:sz w:val="18"/>
                <w:szCs w:val="18"/>
              </w:rPr>
              <w:t>砟轨道</w:t>
            </w:r>
          </w:p>
        </w:tc>
        <w:tc>
          <w:tcPr>
            <w:tcW w:w="901" w:type="pct"/>
            <w:shd w:val="clear" w:color="auto" w:fill="auto"/>
            <w:vAlign w:val="center"/>
          </w:tcPr>
          <w:p w14:paraId="6845685A" w14:textId="77777777" w:rsidR="00737EB2" w:rsidRPr="00765F6E" w:rsidRDefault="00737EB2" w:rsidP="00871D47">
            <w:pPr>
              <w:pStyle w:val="affffffffffff2"/>
              <w:jc w:val="center"/>
              <w:rPr>
                <w:rFonts w:hAnsi="宋体" w:cs="宋体"/>
                <w:sz w:val="18"/>
                <w:szCs w:val="18"/>
              </w:rPr>
            </w:pPr>
            <w:r>
              <w:rPr>
                <w:rFonts w:hAnsi="宋体" w:cs="宋体" w:hint="eastAsia"/>
                <w:sz w:val="18"/>
                <w:szCs w:val="18"/>
              </w:rPr>
              <w:t>—</w:t>
            </w:r>
          </w:p>
        </w:tc>
        <w:tc>
          <w:tcPr>
            <w:tcW w:w="540" w:type="pct"/>
            <w:shd w:val="clear" w:color="auto" w:fill="auto"/>
            <w:vAlign w:val="center"/>
          </w:tcPr>
          <w:p w14:paraId="49C12893" w14:textId="77777777" w:rsidR="00737EB2" w:rsidRPr="00765F6E" w:rsidRDefault="00737EB2" w:rsidP="00871D47">
            <w:pPr>
              <w:pStyle w:val="affffffffffff2"/>
              <w:jc w:val="center"/>
              <w:rPr>
                <w:rFonts w:hAnsi="宋体" w:cs="宋体"/>
                <w:sz w:val="18"/>
                <w:szCs w:val="18"/>
              </w:rPr>
            </w:pPr>
            <w:r>
              <w:rPr>
                <w:rFonts w:hAnsi="宋体" w:cs="宋体" w:hint="eastAsia"/>
                <w:sz w:val="18"/>
                <w:szCs w:val="18"/>
              </w:rPr>
              <w:t>—</w:t>
            </w:r>
          </w:p>
        </w:tc>
        <w:tc>
          <w:tcPr>
            <w:tcW w:w="682" w:type="pct"/>
            <w:shd w:val="clear" w:color="auto" w:fill="auto"/>
            <w:vAlign w:val="center"/>
          </w:tcPr>
          <w:p w14:paraId="123E6E1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3.4</w:t>
            </w:r>
          </w:p>
        </w:tc>
        <w:tc>
          <w:tcPr>
            <w:tcW w:w="920" w:type="pct"/>
            <w:shd w:val="clear" w:color="auto" w:fill="auto"/>
            <w:vAlign w:val="center"/>
          </w:tcPr>
          <w:p w14:paraId="001318C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15.5</w:t>
            </w:r>
          </w:p>
        </w:tc>
        <w:tc>
          <w:tcPr>
            <w:tcW w:w="714" w:type="pct"/>
            <w:shd w:val="clear" w:color="auto" w:fill="auto"/>
            <w:vAlign w:val="center"/>
          </w:tcPr>
          <w:p w14:paraId="77AAD77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22.4</w:t>
            </w:r>
          </w:p>
        </w:tc>
        <w:tc>
          <w:tcPr>
            <w:tcW w:w="713" w:type="pct"/>
            <w:shd w:val="clear" w:color="auto" w:fill="auto"/>
            <w:vAlign w:val="center"/>
          </w:tcPr>
          <w:p w14:paraId="701816F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37.9</w:t>
            </w:r>
          </w:p>
        </w:tc>
      </w:tr>
      <w:tr w:rsidR="00737EB2" w:rsidRPr="00765F6E" w14:paraId="53410B33" w14:textId="77777777" w:rsidTr="00871D47">
        <w:trPr>
          <w:trHeight w:val="176"/>
        </w:trPr>
        <w:tc>
          <w:tcPr>
            <w:tcW w:w="5000" w:type="pct"/>
            <w:gridSpan w:val="7"/>
            <w:tcBorders>
              <w:top w:val="single" w:sz="8" w:space="0" w:color="auto"/>
              <w:bottom w:val="single" w:sz="8" w:space="0" w:color="auto"/>
            </w:tcBorders>
            <w:shd w:val="clear" w:color="auto" w:fill="auto"/>
            <w:vAlign w:val="center"/>
          </w:tcPr>
          <w:p w14:paraId="4095F0BB" w14:textId="77777777" w:rsidR="00737EB2" w:rsidRPr="00765F6E" w:rsidRDefault="00737EB2" w:rsidP="00871D47">
            <w:pPr>
              <w:pStyle w:val="afff2"/>
              <w:numPr>
                <w:ilvl w:val="0"/>
                <w:numId w:val="0"/>
              </w:numPr>
              <w:ind w:leftChars="50" w:left="778" w:hangingChars="374" w:hanging="673"/>
              <w:jc w:val="left"/>
            </w:pPr>
            <w:r w:rsidRPr="00765F6E">
              <w:t>表中轨道荷载按</w:t>
            </w:r>
            <w:r w:rsidRPr="00765F6E">
              <w:t>Ⅲ</w:t>
            </w:r>
            <w:r w:rsidRPr="00765F6E">
              <w:t xml:space="preserve">型混凝土枕轨枕重量0.6 </w:t>
            </w:r>
            <w:proofErr w:type="spellStart"/>
            <w:r w:rsidRPr="00765F6E">
              <w:t>kN</w:t>
            </w:r>
            <w:proofErr w:type="spellEnd"/>
            <w:r w:rsidRPr="00765F6E">
              <w:t>/m计算，其他轨道型式应另行计算确定。</w:t>
            </w:r>
          </w:p>
        </w:tc>
      </w:tr>
    </w:tbl>
    <w:p w14:paraId="0157987F" w14:textId="77777777" w:rsidR="00737EB2" w:rsidRPr="00765F6E" w:rsidRDefault="00737EB2" w:rsidP="00737EB2">
      <w:pPr>
        <w:spacing w:line="240" w:lineRule="auto"/>
      </w:pPr>
    </w:p>
    <w:p w14:paraId="1881E202" w14:textId="4A807231" w:rsidR="00737EB2" w:rsidRPr="00765F6E" w:rsidRDefault="00737EB2" w:rsidP="009D0776">
      <w:pPr>
        <w:pStyle w:val="22"/>
      </w:pPr>
      <w:bookmarkStart w:id="1052" w:name="_Toc99791798"/>
      <w:bookmarkStart w:id="1053" w:name="_Toc153291227"/>
      <w:r w:rsidRPr="00765F6E">
        <w:rPr>
          <w:rFonts w:hint="eastAsia"/>
        </w:rPr>
        <w:t>基床表层填料与道床碎石、路基各层填料的颗粒粒径应满足</w:t>
      </w:r>
      <w:r w:rsidRPr="0095309F">
        <w:t>D</w:t>
      </w:r>
      <w:r w:rsidRPr="0095309F">
        <w:rPr>
          <w:vertAlign w:val="subscript"/>
        </w:rPr>
        <w:t>15</w:t>
      </w:r>
      <w:r w:rsidR="00327039">
        <w:rPr>
          <w:rFonts w:hint="eastAsia"/>
        </w:rPr>
        <w:t>＜</w:t>
      </w:r>
      <w:r w:rsidRPr="0095309F">
        <w:t>4d</w:t>
      </w:r>
      <w:r w:rsidRPr="0095309F">
        <w:rPr>
          <w:vertAlign w:val="subscript"/>
        </w:rPr>
        <w:t>85</w:t>
      </w:r>
      <w:r w:rsidRPr="00765F6E">
        <w:rPr>
          <w:rFonts w:hint="eastAsia"/>
        </w:rPr>
        <w:t>的要求，不能满足时应设置反滤层。化学改良土填料可不受此项规定限制。</w:t>
      </w:r>
      <w:bookmarkEnd w:id="1052"/>
      <w:bookmarkEnd w:id="1053"/>
      <w:r w:rsidRPr="00765F6E">
        <w:rPr>
          <w:rFonts w:hint="eastAsia"/>
        </w:rPr>
        <w:t xml:space="preserve"> </w:t>
      </w:r>
    </w:p>
    <w:p w14:paraId="49C81E19" w14:textId="77777777" w:rsidR="00737EB2" w:rsidRPr="005D4937" w:rsidRDefault="00737EB2" w:rsidP="009D0776">
      <w:pPr>
        <w:pStyle w:val="22"/>
      </w:pPr>
      <w:bookmarkStart w:id="1054" w:name="_Toc153291228"/>
      <w:bookmarkStart w:id="1055" w:name="_Toc99791799"/>
      <w:r w:rsidRPr="00765F6E">
        <w:rPr>
          <w:rFonts w:hint="eastAsia"/>
        </w:rPr>
        <w:t>混凝土结构耐久</w:t>
      </w:r>
      <w:r w:rsidRPr="005D4937">
        <w:rPr>
          <w:rFonts w:hint="eastAsia"/>
        </w:rPr>
        <w:t>性设计应符合TB 10005的规定。</w:t>
      </w:r>
      <w:bookmarkEnd w:id="1054"/>
      <w:bookmarkEnd w:id="1055"/>
    </w:p>
    <w:p w14:paraId="1D379357" w14:textId="77777777" w:rsidR="00737EB2" w:rsidRPr="005D4937" w:rsidRDefault="00737EB2" w:rsidP="009D0776">
      <w:pPr>
        <w:pStyle w:val="22"/>
      </w:pPr>
      <w:bookmarkStart w:id="1056" w:name="_Toc99791800"/>
      <w:bookmarkStart w:id="1057" w:name="_Toc153291229"/>
      <w:r w:rsidRPr="005D4937">
        <w:rPr>
          <w:rFonts w:hint="eastAsia"/>
        </w:rPr>
        <w:t>抗震设计应符合GB</w:t>
      </w:r>
      <w:r w:rsidRPr="005D4937">
        <w:t xml:space="preserve"> </w:t>
      </w:r>
      <w:r w:rsidRPr="005D4937">
        <w:rPr>
          <w:rFonts w:hint="eastAsia"/>
        </w:rPr>
        <w:t>50111的规定。</w:t>
      </w:r>
      <w:bookmarkEnd w:id="1056"/>
      <w:bookmarkEnd w:id="1057"/>
      <w:r w:rsidRPr="005D4937">
        <w:rPr>
          <w:rFonts w:hint="eastAsia"/>
        </w:rPr>
        <w:t xml:space="preserve"> </w:t>
      </w:r>
    </w:p>
    <w:p w14:paraId="781C4220" w14:textId="77777777" w:rsidR="00737EB2" w:rsidRPr="005D4937" w:rsidRDefault="00737EB2" w:rsidP="009D0776">
      <w:pPr>
        <w:pStyle w:val="22"/>
      </w:pPr>
      <w:bookmarkStart w:id="1058" w:name="_Toc153291230"/>
      <w:bookmarkStart w:id="1059" w:name="_Toc99791801"/>
      <w:r w:rsidRPr="005D4937">
        <w:rPr>
          <w:rFonts w:hint="eastAsia"/>
        </w:rPr>
        <w:t>特殊路基设计应符合TB 10035的规定。</w:t>
      </w:r>
      <w:bookmarkEnd w:id="1058"/>
      <w:bookmarkEnd w:id="1059"/>
      <w:r w:rsidRPr="005D4937">
        <w:rPr>
          <w:rFonts w:hint="eastAsia"/>
        </w:rPr>
        <w:t xml:space="preserve"> </w:t>
      </w:r>
    </w:p>
    <w:p w14:paraId="6F21B770" w14:textId="77777777" w:rsidR="00737EB2" w:rsidRPr="005D4937" w:rsidRDefault="00737EB2" w:rsidP="009D0776">
      <w:pPr>
        <w:pStyle w:val="22"/>
      </w:pPr>
      <w:bookmarkStart w:id="1060" w:name="_Toc153291231"/>
      <w:bookmarkStart w:id="1061" w:name="_Toc99791802"/>
      <w:r w:rsidRPr="00765F6E">
        <w:rPr>
          <w:rFonts w:hint="eastAsia"/>
        </w:rPr>
        <w:t>有砟轨道软弱土路基和无砟轨道路基应进</w:t>
      </w:r>
      <w:r w:rsidRPr="005D4937">
        <w:rPr>
          <w:rFonts w:hint="eastAsia"/>
        </w:rPr>
        <w:t>行沉降变形观测，并根据观测资料进行分析评估，工后沉降满足要求后方可进行轨道铺设；变形观测与评估应符合TB 10001的规定。</w:t>
      </w:r>
      <w:bookmarkEnd w:id="1060"/>
      <w:bookmarkEnd w:id="1061"/>
    </w:p>
    <w:p w14:paraId="7B874097" w14:textId="6A783B04" w:rsidR="00737EB2" w:rsidRPr="005D4937" w:rsidRDefault="00737EB2" w:rsidP="009D0776">
      <w:pPr>
        <w:pStyle w:val="22"/>
      </w:pPr>
      <w:bookmarkStart w:id="1062" w:name="_Toc153291232"/>
      <w:bookmarkStart w:id="1063" w:name="_Toc99791803"/>
      <w:r w:rsidRPr="005D4937">
        <w:rPr>
          <w:rFonts w:hint="eastAsia"/>
        </w:rPr>
        <w:t>软弱土地基上的路基需进行稳定、沉降检算；当稳定安全系数、工后沉降不符合1</w:t>
      </w:r>
      <w:r w:rsidRPr="005D4937">
        <w:t>3</w:t>
      </w:r>
      <w:r w:rsidRPr="005D4937">
        <w:rPr>
          <w:rFonts w:hint="eastAsia"/>
        </w:rPr>
        <w:t>.1.2、1</w:t>
      </w:r>
      <w:r w:rsidRPr="005D4937">
        <w:t>3</w:t>
      </w:r>
      <w:r w:rsidRPr="005D4937">
        <w:rPr>
          <w:rFonts w:hint="eastAsia"/>
        </w:rPr>
        <w:t>.1.3的规定时，应进行地基处理。软弱土地基上的路基稳定性、沉降检算及地基处理按照</w:t>
      </w:r>
      <w:r w:rsidRPr="005D4937">
        <w:t>TB 10035、TB 10106的有关规定执行。</w:t>
      </w:r>
      <w:bookmarkEnd w:id="1062"/>
    </w:p>
    <w:p w14:paraId="0EC5D945" w14:textId="107F769A" w:rsidR="00737EB2" w:rsidRPr="005D4937" w:rsidRDefault="00737EB2" w:rsidP="009D0776">
      <w:pPr>
        <w:pStyle w:val="22"/>
      </w:pPr>
      <w:bookmarkStart w:id="1064" w:name="_Toc153291233"/>
      <w:r w:rsidRPr="005D4937">
        <w:rPr>
          <w:rFonts w:hint="eastAsia"/>
        </w:rPr>
        <w:t>取弃土场</w:t>
      </w:r>
      <w:r w:rsidR="00097C78">
        <w:rPr>
          <w:rFonts w:hint="eastAsia"/>
        </w:rPr>
        <w:t>应优先使用社会弃土场，</w:t>
      </w:r>
      <w:r w:rsidRPr="005D4937">
        <w:rPr>
          <w:rFonts w:hint="eastAsia"/>
        </w:rPr>
        <w:t>设计按照TB 10035的有关规定执行。</w:t>
      </w:r>
      <w:bookmarkEnd w:id="1064"/>
    </w:p>
    <w:p w14:paraId="572CDBA5" w14:textId="77777777" w:rsidR="00737EB2" w:rsidRPr="005D4937" w:rsidRDefault="00737EB2" w:rsidP="009D0776">
      <w:pPr>
        <w:pStyle w:val="22"/>
      </w:pPr>
      <w:bookmarkStart w:id="1065" w:name="_Toc153291234"/>
      <w:r w:rsidRPr="005D4937">
        <w:rPr>
          <w:rFonts w:hint="eastAsia"/>
        </w:rPr>
        <w:t>铁路用地按照建标[</w:t>
      </w:r>
      <w:r w:rsidRPr="005D4937">
        <w:t>2008]</w:t>
      </w:r>
      <w:r w:rsidRPr="005D4937">
        <w:rPr>
          <w:rFonts w:hint="eastAsia"/>
        </w:rPr>
        <w:t>2</w:t>
      </w:r>
      <w:r w:rsidRPr="005D4937">
        <w:t>32</w:t>
      </w:r>
      <w:r w:rsidRPr="005D4937">
        <w:rPr>
          <w:rFonts w:hint="eastAsia"/>
        </w:rPr>
        <w:t>号的有关规定执行。</w:t>
      </w:r>
      <w:bookmarkEnd w:id="1063"/>
      <w:bookmarkEnd w:id="1065"/>
    </w:p>
    <w:p w14:paraId="6EF32FE4" w14:textId="6595D4BF" w:rsidR="00737EB2" w:rsidRPr="00765F6E" w:rsidRDefault="002C7503" w:rsidP="00737EB2">
      <w:pPr>
        <w:pStyle w:val="affe"/>
        <w:spacing w:before="156" w:after="156"/>
      </w:pPr>
      <w:bookmarkStart w:id="1066" w:name="_Toc182476425"/>
      <w:r>
        <w:rPr>
          <w:rFonts w:hint="eastAsia"/>
        </w:rPr>
        <w:t>路基横断面形式</w:t>
      </w:r>
      <w:bookmarkEnd w:id="1066"/>
    </w:p>
    <w:p w14:paraId="02812DB3" w14:textId="217CF7A6" w:rsidR="00737EB2" w:rsidRPr="005D4937" w:rsidRDefault="00737EB2" w:rsidP="009D0776">
      <w:pPr>
        <w:pStyle w:val="22"/>
      </w:pPr>
      <w:bookmarkStart w:id="1067" w:name="_Toc99791805"/>
      <w:bookmarkStart w:id="1068" w:name="_Toc153291236"/>
      <w:r w:rsidRPr="00765F6E">
        <w:rPr>
          <w:rFonts w:hint="eastAsia"/>
        </w:rPr>
        <w:lastRenderedPageBreak/>
        <w:t>正线及到发线有</w:t>
      </w:r>
      <w:r w:rsidRPr="005D4937">
        <w:rPr>
          <w:rFonts w:hint="eastAsia"/>
        </w:rPr>
        <w:t>砟轨道地段路基面应为三角形路拱，自线路中心向两侧设4%的横向排水坡，曲线地段的路基加宽时，路基面仍应保持三角形；其余站线和段管线路基面排水横坡应结合各地区年平均降雨量具体确定，且不宜小于2％。</w:t>
      </w:r>
      <w:bookmarkEnd w:id="1067"/>
      <w:bookmarkEnd w:id="1068"/>
    </w:p>
    <w:p w14:paraId="30C2E6D9" w14:textId="77777777" w:rsidR="00737EB2" w:rsidRPr="005D4937" w:rsidRDefault="00737EB2" w:rsidP="009D0776">
      <w:pPr>
        <w:pStyle w:val="22"/>
      </w:pPr>
      <w:bookmarkStart w:id="1069" w:name="_Toc153291237"/>
      <w:bookmarkStart w:id="1070" w:name="_Toc99791806"/>
      <w:r w:rsidRPr="005D4937">
        <w:rPr>
          <w:rFonts w:hint="eastAsia"/>
        </w:rPr>
        <w:t>无砟轨道支承层（或底座）底部范围内路基面可水平设置，支承层（或底座）以外两侧路基面设置不小于4%的向外横向排水坡。</w:t>
      </w:r>
      <w:bookmarkEnd w:id="1069"/>
      <w:bookmarkEnd w:id="1070"/>
    </w:p>
    <w:p w14:paraId="401EDCDD" w14:textId="5235640F" w:rsidR="00737EB2" w:rsidRPr="005D4937" w:rsidRDefault="00737EB2" w:rsidP="009D0776">
      <w:pPr>
        <w:pStyle w:val="22"/>
      </w:pPr>
      <w:bookmarkStart w:id="1071" w:name="_Toc153291238"/>
      <w:bookmarkStart w:id="1072" w:name="_Toc99791807"/>
      <w:r w:rsidRPr="005D4937">
        <w:rPr>
          <w:rFonts w:hint="eastAsia"/>
        </w:rPr>
        <w:t>区间路基路肩宽度不应小于0.8m，站场路基路肩宽度不应小于0.6m。</w:t>
      </w:r>
      <w:bookmarkEnd w:id="1071"/>
      <w:bookmarkEnd w:id="1072"/>
    </w:p>
    <w:p w14:paraId="7B0BE672" w14:textId="5337F735" w:rsidR="00737EB2" w:rsidRPr="005D4937" w:rsidRDefault="00737EB2" w:rsidP="009D0776">
      <w:pPr>
        <w:pStyle w:val="22"/>
      </w:pPr>
      <w:bookmarkStart w:id="1073" w:name="_Toc153291239"/>
      <w:bookmarkStart w:id="1074" w:name="_Toc99791808"/>
      <w:r w:rsidRPr="005D4937">
        <w:rPr>
          <w:rFonts w:hint="eastAsia"/>
        </w:rPr>
        <w:t>区间直线地段的路基面最小宽度可按表</w:t>
      </w:r>
      <w:r w:rsidR="00E512B4" w:rsidRPr="005D4937">
        <w:rPr>
          <w:rFonts w:hint="eastAsia"/>
        </w:rPr>
        <w:t>3</w:t>
      </w:r>
      <w:r w:rsidR="00E512B4">
        <w:t>6</w:t>
      </w:r>
      <w:r w:rsidRPr="005D4937">
        <w:rPr>
          <w:rFonts w:hint="eastAsia"/>
        </w:rPr>
        <w:t>和表</w:t>
      </w:r>
      <w:r w:rsidR="00E512B4" w:rsidRPr="005D4937">
        <w:rPr>
          <w:rFonts w:hint="eastAsia"/>
        </w:rPr>
        <w:t>3</w:t>
      </w:r>
      <w:r w:rsidR="00E512B4">
        <w:t>7</w:t>
      </w:r>
      <w:r w:rsidRPr="005D4937">
        <w:rPr>
          <w:rFonts w:hint="eastAsia"/>
        </w:rPr>
        <w:t>选用。</w:t>
      </w:r>
      <w:bookmarkEnd w:id="1073"/>
      <w:bookmarkEnd w:id="1074"/>
    </w:p>
    <w:p w14:paraId="12948D4A" w14:textId="77777777" w:rsidR="00737EB2" w:rsidRPr="00765F6E" w:rsidRDefault="00737EB2" w:rsidP="00737EB2">
      <w:pPr>
        <w:pStyle w:val="aff3"/>
        <w:spacing w:before="156" w:after="156"/>
      </w:pPr>
      <w:r w:rsidRPr="00765F6E">
        <w:rPr>
          <w:rFonts w:hint="eastAsia"/>
        </w:rPr>
        <w:t>区间直线段有砟轨道路基面宽度</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934"/>
        <w:gridCol w:w="777"/>
        <w:gridCol w:w="618"/>
        <w:gridCol w:w="777"/>
        <w:gridCol w:w="792"/>
        <w:gridCol w:w="724"/>
        <w:gridCol w:w="601"/>
        <w:gridCol w:w="605"/>
        <w:gridCol w:w="724"/>
        <w:gridCol w:w="728"/>
        <w:gridCol w:w="846"/>
        <w:gridCol w:w="605"/>
        <w:gridCol w:w="603"/>
      </w:tblGrid>
      <w:tr w:rsidR="00737EB2" w:rsidRPr="00765F6E" w14:paraId="17A1CC57" w14:textId="77777777" w:rsidTr="00871D47">
        <w:trPr>
          <w:trHeight w:val="176"/>
        </w:trPr>
        <w:tc>
          <w:tcPr>
            <w:tcW w:w="501" w:type="pct"/>
            <w:vMerge w:val="restart"/>
            <w:tcBorders>
              <w:top w:val="single" w:sz="8" w:space="0" w:color="auto"/>
              <w:bottom w:val="single" w:sz="4" w:space="0" w:color="auto"/>
            </w:tcBorders>
            <w:shd w:val="clear" w:color="auto" w:fill="auto"/>
            <w:vAlign w:val="center"/>
          </w:tcPr>
          <w:p w14:paraId="67FD1CAF" w14:textId="77777777" w:rsidR="00737EB2" w:rsidRDefault="00737EB2" w:rsidP="00871D47">
            <w:pPr>
              <w:pStyle w:val="affffffffffff2"/>
              <w:spacing w:line="240" w:lineRule="exact"/>
              <w:jc w:val="center"/>
              <w:rPr>
                <w:rFonts w:hAnsi="宋体" w:cs="宋体"/>
                <w:sz w:val="18"/>
                <w:szCs w:val="18"/>
              </w:rPr>
            </w:pPr>
            <w:r>
              <w:rPr>
                <w:rFonts w:hAnsi="宋体" w:cs="宋体" w:hint="eastAsia"/>
                <w:sz w:val="18"/>
                <w:szCs w:val="18"/>
              </w:rPr>
              <w:t>设计速度</w:t>
            </w:r>
          </w:p>
          <w:p w14:paraId="74424661" w14:textId="77777777" w:rsidR="00737EB2" w:rsidRPr="00765F6E" w:rsidRDefault="00737EB2" w:rsidP="00871D47">
            <w:pPr>
              <w:pStyle w:val="affffffffffff2"/>
              <w:spacing w:line="240" w:lineRule="exact"/>
              <w:jc w:val="center"/>
              <w:rPr>
                <w:rFonts w:hAnsi="宋体" w:cs="宋体"/>
                <w:sz w:val="18"/>
                <w:szCs w:val="18"/>
              </w:rPr>
            </w:pPr>
            <w:r>
              <w:rPr>
                <w:rFonts w:hAnsi="宋体" w:cs="宋体"/>
                <w:sz w:val="18"/>
                <w:szCs w:val="18"/>
              </w:rPr>
              <w:t>Km/h</w:t>
            </w:r>
          </w:p>
          <w:p w14:paraId="2D92EB27" w14:textId="77777777" w:rsidR="00737EB2" w:rsidRPr="00765F6E" w:rsidRDefault="00737EB2" w:rsidP="00871D47">
            <w:pPr>
              <w:pStyle w:val="affffffffffff2"/>
              <w:spacing w:line="240" w:lineRule="exact"/>
              <w:jc w:val="center"/>
              <w:rPr>
                <w:rFonts w:hAnsi="宋体" w:cs="宋体"/>
                <w:sz w:val="18"/>
                <w:szCs w:val="18"/>
              </w:rPr>
            </w:pPr>
          </w:p>
        </w:tc>
        <w:tc>
          <w:tcPr>
            <w:tcW w:w="416" w:type="pct"/>
            <w:vMerge w:val="restart"/>
            <w:tcBorders>
              <w:top w:val="single" w:sz="8" w:space="0" w:color="auto"/>
              <w:bottom w:val="single" w:sz="4" w:space="0" w:color="auto"/>
            </w:tcBorders>
            <w:shd w:val="clear" w:color="auto" w:fill="auto"/>
            <w:vAlign w:val="center"/>
          </w:tcPr>
          <w:p w14:paraId="78541101"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轨枕</w:t>
            </w:r>
            <w:r w:rsidRPr="00765F6E">
              <w:rPr>
                <w:rFonts w:hAnsi="宋体" w:cs="宋体"/>
                <w:sz w:val="18"/>
                <w:szCs w:val="18"/>
              </w:rPr>
              <w:t>类型</w:t>
            </w:r>
          </w:p>
        </w:tc>
        <w:tc>
          <w:tcPr>
            <w:tcW w:w="331" w:type="pct"/>
            <w:vMerge w:val="restart"/>
            <w:tcBorders>
              <w:top w:val="single" w:sz="8" w:space="0" w:color="auto"/>
              <w:bottom w:val="single" w:sz="4" w:space="0" w:color="auto"/>
            </w:tcBorders>
            <w:shd w:val="clear" w:color="auto" w:fill="auto"/>
            <w:vAlign w:val="center"/>
          </w:tcPr>
          <w:p w14:paraId="4C1D4B66" w14:textId="77777777" w:rsidR="00737EB2" w:rsidRDefault="00737EB2" w:rsidP="00871D47">
            <w:pPr>
              <w:pStyle w:val="affffffffffff2"/>
              <w:jc w:val="center"/>
              <w:rPr>
                <w:rFonts w:hAnsi="宋体" w:cs="宋体"/>
                <w:sz w:val="18"/>
                <w:szCs w:val="18"/>
              </w:rPr>
            </w:pPr>
            <w:r w:rsidRPr="00765F6E">
              <w:rPr>
                <w:rFonts w:hAnsi="宋体" w:cs="宋体" w:hint="eastAsia"/>
                <w:sz w:val="18"/>
                <w:szCs w:val="18"/>
              </w:rPr>
              <w:t>道床</w:t>
            </w:r>
            <w:r w:rsidRPr="00765F6E">
              <w:rPr>
                <w:rFonts w:hAnsi="宋体" w:cs="宋体"/>
                <w:sz w:val="18"/>
                <w:szCs w:val="18"/>
              </w:rPr>
              <w:t>厚度</w:t>
            </w:r>
          </w:p>
          <w:p w14:paraId="1AE26199" w14:textId="77777777" w:rsidR="00737EB2" w:rsidRPr="00765F6E" w:rsidRDefault="00737EB2" w:rsidP="00871D47">
            <w:pPr>
              <w:pStyle w:val="affffffffffff2"/>
              <w:jc w:val="center"/>
              <w:rPr>
                <w:rFonts w:hAnsi="宋体" w:cs="宋体"/>
                <w:sz w:val="18"/>
                <w:szCs w:val="18"/>
              </w:rPr>
            </w:pPr>
            <w:r>
              <w:rPr>
                <w:rFonts w:hAnsi="宋体" w:cs="宋体" w:hint="eastAsia"/>
                <w:sz w:val="18"/>
                <w:szCs w:val="18"/>
              </w:rPr>
              <w:t>m</w:t>
            </w:r>
          </w:p>
        </w:tc>
        <w:tc>
          <w:tcPr>
            <w:tcW w:w="1874" w:type="pct"/>
            <w:gridSpan w:val="5"/>
            <w:tcBorders>
              <w:top w:val="single" w:sz="8" w:space="0" w:color="auto"/>
              <w:bottom w:val="single" w:sz="4" w:space="0" w:color="auto"/>
            </w:tcBorders>
            <w:shd w:val="clear" w:color="auto" w:fill="auto"/>
            <w:vAlign w:val="center"/>
          </w:tcPr>
          <w:p w14:paraId="79C6E06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单线</w:t>
            </w:r>
          </w:p>
        </w:tc>
        <w:tc>
          <w:tcPr>
            <w:tcW w:w="1878" w:type="pct"/>
            <w:gridSpan w:val="5"/>
            <w:tcBorders>
              <w:top w:val="single" w:sz="8" w:space="0" w:color="auto"/>
              <w:bottom w:val="single" w:sz="4" w:space="0" w:color="auto"/>
            </w:tcBorders>
            <w:shd w:val="clear" w:color="auto" w:fill="auto"/>
            <w:vAlign w:val="center"/>
          </w:tcPr>
          <w:p w14:paraId="5D9AD31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双</w:t>
            </w:r>
            <w:r w:rsidRPr="00765F6E">
              <w:rPr>
                <w:rFonts w:hAnsi="宋体" w:cs="宋体"/>
                <w:sz w:val="18"/>
                <w:szCs w:val="18"/>
              </w:rPr>
              <w:t>线</w:t>
            </w:r>
          </w:p>
        </w:tc>
      </w:tr>
      <w:tr w:rsidR="00737EB2" w:rsidRPr="00765F6E" w14:paraId="3F598005" w14:textId="77777777" w:rsidTr="00871D47">
        <w:trPr>
          <w:trHeight w:val="176"/>
        </w:trPr>
        <w:tc>
          <w:tcPr>
            <w:tcW w:w="501" w:type="pct"/>
            <w:vMerge/>
            <w:tcBorders>
              <w:top w:val="single" w:sz="4" w:space="0" w:color="auto"/>
              <w:bottom w:val="single" w:sz="4" w:space="0" w:color="auto"/>
            </w:tcBorders>
            <w:shd w:val="clear" w:color="auto" w:fill="auto"/>
            <w:vAlign w:val="center"/>
          </w:tcPr>
          <w:p w14:paraId="3528E00D" w14:textId="77777777" w:rsidR="00737EB2" w:rsidRPr="00765F6E" w:rsidRDefault="00737EB2" w:rsidP="00871D47">
            <w:pPr>
              <w:pStyle w:val="affffffffffff2"/>
              <w:jc w:val="center"/>
              <w:rPr>
                <w:rFonts w:hAnsi="宋体" w:cs="宋体"/>
                <w:sz w:val="18"/>
                <w:szCs w:val="18"/>
              </w:rPr>
            </w:pPr>
          </w:p>
        </w:tc>
        <w:tc>
          <w:tcPr>
            <w:tcW w:w="416" w:type="pct"/>
            <w:vMerge/>
            <w:tcBorders>
              <w:top w:val="single" w:sz="4" w:space="0" w:color="auto"/>
              <w:bottom w:val="single" w:sz="4" w:space="0" w:color="auto"/>
            </w:tcBorders>
            <w:shd w:val="clear" w:color="auto" w:fill="auto"/>
            <w:vAlign w:val="center"/>
          </w:tcPr>
          <w:p w14:paraId="7C282045" w14:textId="77777777" w:rsidR="00737EB2" w:rsidRPr="00765F6E" w:rsidRDefault="00737EB2" w:rsidP="00871D47">
            <w:pPr>
              <w:pStyle w:val="affffffffffff2"/>
              <w:jc w:val="center"/>
              <w:rPr>
                <w:rFonts w:hAnsi="宋体" w:cs="宋体"/>
                <w:sz w:val="18"/>
                <w:szCs w:val="18"/>
              </w:rPr>
            </w:pPr>
          </w:p>
        </w:tc>
        <w:tc>
          <w:tcPr>
            <w:tcW w:w="331" w:type="pct"/>
            <w:vMerge/>
            <w:tcBorders>
              <w:top w:val="single" w:sz="4" w:space="0" w:color="auto"/>
              <w:bottom w:val="single" w:sz="4" w:space="0" w:color="auto"/>
            </w:tcBorders>
            <w:shd w:val="clear" w:color="auto" w:fill="auto"/>
            <w:vAlign w:val="center"/>
          </w:tcPr>
          <w:p w14:paraId="2A6AF732" w14:textId="77777777" w:rsidR="00737EB2" w:rsidRPr="00765F6E" w:rsidRDefault="00737EB2" w:rsidP="00871D47">
            <w:pPr>
              <w:pStyle w:val="affffffffffff2"/>
              <w:jc w:val="center"/>
              <w:rPr>
                <w:rFonts w:hAnsi="宋体" w:cs="宋体"/>
                <w:sz w:val="18"/>
                <w:szCs w:val="18"/>
              </w:rPr>
            </w:pPr>
          </w:p>
        </w:tc>
        <w:tc>
          <w:tcPr>
            <w:tcW w:w="416" w:type="pct"/>
            <w:vMerge w:val="restart"/>
            <w:tcBorders>
              <w:top w:val="single" w:sz="4" w:space="0" w:color="auto"/>
              <w:bottom w:val="single" w:sz="4" w:space="0" w:color="auto"/>
            </w:tcBorders>
            <w:shd w:val="clear" w:color="auto" w:fill="auto"/>
            <w:vAlign w:val="center"/>
          </w:tcPr>
          <w:p w14:paraId="649A040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a/m</w:t>
            </w:r>
          </w:p>
        </w:tc>
        <w:tc>
          <w:tcPr>
            <w:tcW w:w="424" w:type="pct"/>
            <w:vMerge w:val="restart"/>
            <w:tcBorders>
              <w:top w:val="single" w:sz="4" w:space="0" w:color="auto"/>
              <w:bottom w:val="single" w:sz="4" w:space="0" w:color="auto"/>
            </w:tcBorders>
            <w:shd w:val="clear" w:color="auto" w:fill="auto"/>
            <w:vAlign w:val="center"/>
          </w:tcPr>
          <w:p w14:paraId="0398F8E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b</w:t>
            </w:r>
            <w:r w:rsidRPr="00765F6E">
              <w:rPr>
                <w:rFonts w:hAnsi="宋体" w:cs="宋体"/>
                <w:sz w:val="18"/>
                <w:szCs w:val="18"/>
              </w:rPr>
              <w:t>/</w:t>
            </w:r>
            <w:r w:rsidRPr="00765F6E">
              <w:rPr>
                <w:rFonts w:hAnsi="宋体" w:cs="宋体" w:hint="eastAsia"/>
                <w:sz w:val="18"/>
                <w:szCs w:val="18"/>
              </w:rPr>
              <w:t>m</w:t>
            </w:r>
          </w:p>
        </w:tc>
        <w:tc>
          <w:tcPr>
            <w:tcW w:w="388" w:type="pct"/>
            <w:vMerge w:val="restart"/>
            <w:tcBorders>
              <w:top w:val="single" w:sz="4" w:space="0" w:color="auto"/>
              <w:bottom w:val="single" w:sz="4" w:space="0" w:color="auto"/>
            </w:tcBorders>
            <w:shd w:val="clear" w:color="auto" w:fill="auto"/>
            <w:vAlign w:val="center"/>
          </w:tcPr>
          <w:p w14:paraId="1E917B8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c</w:t>
            </w:r>
            <w:r w:rsidRPr="00765F6E">
              <w:rPr>
                <w:rFonts w:hAnsi="宋体" w:cs="宋体"/>
                <w:sz w:val="18"/>
                <w:szCs w:val="18"/>
              </w:rPr>
              <w:t>/</w:t>
            </w:r>
            <w:r w:rsidRPr="00765F6E">
              <w:rPr>
                <w:rFonts w:hAnsi="宋体" w:cs="宋体" w:hint="eastAsia"/>
                <w:sz w:val="18"/>
                <w:szCs w:val="18"/>
              </w:rPr>
              <w:t>m</w:t>
            </w:r>
          </w:p>
        </w:tc>
        <w:tc>
          <w:tcPr>
            <w:tcW w:w="646" w:type="pct"/>
            <w:gridSpan w:val="2"/>
            <w:tcBorders>
              <w:top w:val="single" w:sz="4" w:space="0" w:color="auto"/>
              <w:bottom w:val="single" w:sz="4" w:space="0" w:color="auto"/>
            </w:tcBorders>
            <w:shd w:val="clear" w:color="auto" w:fill="auto"/>
            <w:vAlign w:val="center"/>
          </w:tcPr>
          <w:p w14:paraId="4E3CBA1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路基面宽度</w:t>
            </w:r>
          </w:p>
          <w:p w14:paraId="0ABAF7B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m</w:t>
            </w:r>
          </w:p>
        </w:tc>
        <w:tc>
          <w:tcPr>
            <w:tcW w:w="388" w:type="pct"/>
            <w:vMerge w:val="restart"/>
            <w:tcBorders>
              <w:top w:val="single" w:sz="4" w:space="0" w:color="auto"/>
              <w:bottom w:val="single" w:sz="4" w:space="0" w:color="auto"/>
            </w:tcBorders>
            <w:shd w:val="clear" w:color="auto" w:fill="auto"/>
            <w:vAlign w:val="center"/>
          </w:tcPr>
          <w:p w14:paraId="41BE03A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a</w:t>
            </w:r>
            <w:r w:rsidRPr="00765F6E">
              <w:rPr>
                <w:rFonts w:hAnsi="宋体" w:cs="宋体"/>
                <w:sz w:val="18"/>
                <w:szCs w:val="18"/>
              </w:rPr>
              <w:t>/</w:t>
            </w:r>
            <w:r w:rsidRPr="00765F6E">
              <w:rPr>
                <w:rFonts w:hAnsi="宋体" w:cs="宋体" w:hint="eastAsia"/>
                <w:sz w:val="18"/>
                <w:szCs w:val="18"/>
              </w:rPr>
              <w:t>m</w:t>
            </w:r>
          </w:p>
        </w:tc>
        <w:tc>
          <w:tcPr>
            <w:tcW w:w="390" w:type="pct"/>
            <w:vMerge w:val="restart"/>
            <w:tcBorders>
              <w:top w:val="single" w:sz="4" w:space="0" w:color="auto"/>
              <w:bottom w:val="single" w:sz="4" w:space="0" w:color="auto"/>
            </w:tcBorders>
            <w:shd w:val="clear" w:color="auto" w:fill="auto"/>
            <w:vAlign w:val="center"/>
          </w:tcPr>
          <w:p w14:paraId="319E947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b</w:t>
            </w:r>
            <w:r w:rsidRPr="00765F6E">
              <w:rPr>
                <w:rFonts w:hAnsi="宋体" w:cs="宋体"/>
                <w:sz w:val="18"/>
                <w:szCs w:val="18"/>
              </w:rPr>
              <w:t>/</w:t>
            </w:r>
            <w:r w:rsidRPr="00765F6E">
              <w:rPr>
                <w:rFonts w:hAnsi="宋体" w:cs="宋体" w:hint="eastAsia"/>
                <w:sz w:val="18"/>
                <w:szCs w:val="18"/>
              </w:rPr>
              <w:t>m</w:t>
            </w:r>
          </w:p>
        </w:tc>
        <w:tc>
          <w:tcPr>
            <w:tcW w:w="453" w:type="pct"/>
            <w:vMerge w:val="restart"/>
            <w:tcBorders>
              <w:top w:val="single" w:sz="4" w:space="0" w:color="auto"/>
              <w:bottom w:val="single" w:sz="4" w:space="0" w:color="auto"/>
            </w:tcBorders>
            <w:shd w:val="clear" w:color="auto" w:fill="auto"/>
            <w:vAlign w:val="center"/>
          </w:tcPr>
          <w:p w14:paraId="2BB1F2D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c</w:t>
            </w:r>
            <w:r w:rsidRPr="00765F6E">
              <w:rPr>
                <w:rFonts w:hAnsi="宋体" w:cs="宋体"/>
                <w:sz w:val="18"/>
                <w:szCs w:val="18"/>
              </w:rPr>
              <w:t>/</w:t>
            </w:r>
            <w:r w:rsidRPr="00765F6E">
              <w:rPr>
                <w:rFonts w:hAnsi="宋体" w:cs="宋体" w:hint="eastAsia"/>
                <w:sz w:val="18"/>
                <w:szCs w:val="18"/>
              </w:rPr>
              <w:t>m</w:t>
            </w:r>
          </w:p>
        </w:tc>
        <w:tc>
          <w:tcPr>
            <w:tcW w:w="647" w:type="pct"/>
            <w:gridSpan w:val="2"/>
            <w:tcBorders>
              <w:top w:val="single" w:sz="4" w:space="0" w:color="auto"/>
              <w:bottom w:val="single" w:sz="4" w:space="0" w:color="auto"/>
            </w:tcBorders>
            <w:shd w:val="clear" w:color="auto" w:fill="auto"/>
            <w:vAlign w:val="center"/>
          </w:tcPr>
          <w:p w14:paraId="64BF087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路基面宽度</w:t>
            </w:r>
          </w:p>
          <w:p w14:paraId="0FB5751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m</w:t>
            </w:r>
          </w:p>
        </w:tc>
      </w:tr>
      <w:tr w:rsidR="00737EB2" w:rsidRPr="00765F6E" w14:paraId="03F7E07A" w14:textId="77777777" w:rsidTr="00871D47">
        <w:trPr>
          <w:trHeight w:val="176"/>
        </w:trPr>
        <w:tc>
          <w:tcPr>
            <w:tcW w:w="501" w:type="pct"/>
            <w:vMerge/>
            <w:tcBorders>
              <w:top w:val="single" w:sz="4" w:space="0" w:color="auto"/>
              <w:bottom w:val="single" w:sz="8" w:space="0" w:color="auto"/>
            </w:tcBorders>
            <w:shd w:val="clear" w:color="auto" w:fill="auto"/>
            <w:vAlign w:val="center"/>
          </w:tcPr>
          <w:p w14:paraId="67910E0A" w14:textId="77777777" w:rsidR="00737EB2" w:rsidRPr="00765F6E" w:rsidRDefault="00737EB2" w:rsidP="00871D47">
            <w:pPr>
              <w:pStyle w:val="affffffffffff2"/>
              <w:jc w:val="center"/>
              <w:rPr>
                <w:rFonts w:hAnsi="宋体" w:cs="宋体"/>
                <w:sz w:val="18"/>
                <w:szCs w:val="18"/>
              </w:rPr>
            </w:pPr>
          </w:p>
        </w:tc>
        <w:tc>
          <w:tcPr>
            <w:tcW w:w="416" w:type="pct"/>
            <w:vMerge/>
            <w:tcBorders>
              <w:top w:val="single" w:sz="4" w:space="0" w:color="auto"/>
              <w:bottom w:val="single" w:sz="8" w:space="0" w:color="auto"/>
            </w:tcBorders>
            <w:shd w:val="clear" w:color="auto" w:fill="auto"/>
            <w:vAlign w:val="center"/>
          </w:tcPr>
          <w:p w14:paraId="42D487C0" w14:textId="77777777" w:rsidR="00737EB2" w:rsidRPr="00765F6E" w:rsidRDefault="00737EB2" w:rsidP="00871D47">
            <w:pPr>
              <w:pStyle w:val="affffffffffff2"/>
              <w:jc w:val="center"/>
              <w:rPr>
                <w:rFonts w:hAnsi="宋体" w:cs="宋体"/>
                <w:sz w:val="18"/>
                <w:szCs w:val="18"/>
              </w:rPr>
            </w:pPr>
          </w:p>
        </w:tc>
        <w:tc>
          <w:tcPr>
            <w:tcW w:w="331" w:type="pct"/>
            <w:vMerge/>
            <w:tcBorders>
              <w:top w:val="single" w:sz="4" w:space="0" w:color="auto"/>
              <w:bottom w:val="single" w:sz="8" w:space="0" w:color="auto"/>
            </w:tcBorders>
            <w:shd w:val="clear" w:color="auto" w:fill="auto"/>
            <w:vAlign w:val="center"/>
          </w:tcPr>
          <w:p w14:paraId="6E689CBA" w14:textId="77777777" w:rsidR="00737EB2" w:rsidRPr="00765F6E" w:rsidRDefault="00737EB2" w:rsidP="00871D47">
            <w:pPr>
              <w:pStyle w:val="affffffffffff2"/>
              <w:jc w:val="center"/>
              <w:rPr>
                <w:rFonts w:hAnsi="宋体" w:cs="宋体"/>
                <w:sz w:val="18"/>
                <w:szCs w:val="18"/>
              </w:rPr>
            </w:pPr>
          </w:p>
        </w:tc>
        <w:tc>
          <w:tcPr>
            <w:tcW w:w="416" w:type="pct"/>
            <w:vMerge/>
            <w:tcBorders>
              <w:top w:val="single" w:sz="4" w:space="0" w:color="auto"/>
              <w:bottom w:val="single" w:sz="8" w:space="0" w:color="auto"/>
            </w:tcBorders>
            <w:shd w:val="clear" w:color="auto" w:fill="auto"/>
            <w:vAlign w:val="center"/>
          </w:tcPr>
          <w:p w14:paraId="3E516C74" w14:textId="77777777" w:rsidR="00737EB2" w:rsidRPr="00765F6E" w:rsidRDefault="00737EB2" w:rsidP="00871D47">
            <w:pPr>
              <w:pStyle w:val="affffffffffff2"/>
              <w:jc w:val="center"/>
              <w:rPr>
                <w:rFonts w:hAnsi="宋体" w:cs="宋体"/>
                <w:sz w:val="18"/>
                <w:szCs w:val="18"/>
              </w:rPr>
            </w:pPr>
          </w:p>
        </w:tc>
        <w:tc>
          <w:tcPr>
            <w:tcW w:w="424" w:type="pct"/>
            <w:vMerge/>
            <w:tcBorders>
              <w:top w:val="single" w:sz="4" w:space="0" w:color="auto"/>
              <w:bottom w:val="single" w:sz="8" w:space="0" w:color="auto"/>
            </w:tcBorders>
            <w:shd w:val="clear" w:color="auto" w:fill="auto"/>
            <w:vAlign w:val="center"/>
          </w:tcPr>
          <w:p w14:paraId="54BA72BC" w14:textId="77777777" w:rsidR="00737EB2" w:rsidRPr="00765F6E" w:rsidRDefault="00737EB2" w:rsidP="00871D47">
            <w:pPr>
              <w:pStyle w:val="affffffffffff2"/>
              <w:jc w:val="center"/>
              <w:rPr>
                <w:rFonts w:hAnsi="宋体" w:cs="宋体"/>
                <w:sz w:val="18"/>
                <w:szCs w:val="18"/>
              </w:rPr>
            </w:pPr>
          </w:p>
        </w:tc>
        <w:tc>
          <w:tcPr>
            <w:tcW w:w="388" w:type="pct"/>
            <w:vMerge/>
            <w:tcBorders>
              <w:top w:val="single" w:sz="4" w:space="0" w:color="auto"/>
              <w:bottom w:val="single" w:sz="8" w:space="0" w:color="auto"/>
            </w:tcBorders>
            <w:shd w:val="clear" w:color="auto" w:fill="auto"/>
            <w:vAlign w:val="center"/>
          </w:tcPr>
          <w:p w14:paraId="0FD072E9" w14:textId="77777777" w:rsidR="00737EB2" w:rsidRPr="00765F6E" w:rsidRDefault="00737EB2" w:rsidP="00871D47">
            <w:pPr>
              <w:pStyle w:val="affffffffffff2"/>
              <w:jc w:val="center"/>
              <w:rPr>
                <w:rFonts w:hAnsi="宋体" w:cs="宋体"/>
                <w:sz w:val="18"/>
                <w:szCs w:val="18"/>
              </w:rPr>
            </w:pPr>
          </w:p>
        </w:tc>
        <w:tc>
          <w:tcPr>
            <w:tcW w:w="322" w:type="pct"/>
            <w:tcBorders>
              <w:top w:val="single" w:sz="4" w:space="0" w:color="auto"/>
              <w:bottom w:val="single" w:sz="8" w:space="0" w:color="auto"/>
            </w:tcBorders>
            <w:shd w:val="clear" w:color="auto" w:fill="auto"/>
            <w:vAlign w:val="center"/>
          </w:tcPr>
          <w:p w14:paraId="4AD51B9A"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路肩</w:t>
            </w:r>
            <w:r w:rsidRPr="00765F6E">
              <w:rPr>
                <w:rFonts w:hAnsi="宋体" w:cs="宋体"/>
                <w:sz w:val="18"/>
                <w:szCs w:val="18"/>
              </w:rPr>
              <w:t>上不设电缆槽</w:t>
            </w:r>
          </w:p>
        </w:tc>
        <w:tc>
          <w:tcPr>
            <w:tcW w:w="324" w:type="pct"/>
            <w:tcBorders>
              <w:top w:val="single" w:sz="4" w:space="0" w:color="auto"/>
              <w:bottom w:val="single" w:sz="8" w:space="0" w:color="auto"/>
            </w:tcBorders>
            <w:shd w:val="clear" w:color="auto" w:fill="auto"/>
            <w:vAlign w:val="center"/>
          </w:tcPr>
          <w:p w14:paraId="6C90BD4E"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路肩</w:t>
            </w:r>
            <w:r w:rsidRPr="00765F6E">
              <w:rPr>
                <w:rFonts w:hAnsi="宋体" w:cs="宋体"/>
                <w:sz w:val="18"/>
                <w:szCs w:val="18"/>
              </w:rPr>
              <w:t>上设电缆槽</w:t>
            </w:r>
          </w:p>
        </w:tc>
        <w:tc>
          <w:tcPr>
            <w:tcW w:w="388" w:type="pct"/>
            <w:vMerge/>
            <w:tcBorders>
              <w:top w:val="single" w:sz="4" w:space="0" w:color="auto"/>
              <w:bottom w:val="single" w:sz="8" w:space="0" w:color="auto"/>
            </w:tcBorders>
            <w:shd w:val="clear" w:color="auto" w:fill="auto"/>
            <w:vAlign w:val="center"/>
          </w:tcPr>
          <w:p w14:paraId="07BB5BCA" w14:textId="77777777" w:rsidR="00737EB2" w:rsidRPr="00765F6E" w:rsidRDefault="00737EB2" w:rsidP="00871D47">
            <w:pPr>
              <w:pStyle w:val="affffffffffff2"/>
              <w:jc w:val="center"/>
              <w:rPr>
                <w:rFonts w:hAnsi="宋体" w:cs="宋体"/>
                <w:sz w:val="18"/>
                <w:szCs w:val="18"/>
              </w:rPr>
            </w:pPr>
          </w:p>
        </w:tc>
        <w:tc>
          <w:tcPr>
            <w:tcW w:w="390" w:type="pct"/>
            <w:vMerge/>
            <w:tcBorders>
              <w:top w:val="single" w:sz="4" w:space="0" w:color="auto"/>
              <w:bottom w:val="single" w:sz="8" w:space="0" w:color="auto"/>
            </w:tcBorders>
            <w:shd w:val="clear" w:color="auto" w:fill="auto"/>
            <w:vAlign w:val="center"/>
          </w:tcPr>
          <w:p w14:paraId="39BD1100" w14:textId="77777777" w:rsidR="00737EB2" w:rsidRPr="00765F6E" w:rsidRDefault="00737EB2" w:rsidP="00871D47">
            <w:pPr>
              <w:pStyle w:val="affffffffffff2"/>
              <w:jc w:val="center"/>
              <w:rPr>
                <w:rFonts w:hAnsi="宋体" w:cs="宋体"/>
                <w:sz w:val="18"/>
                <w:szCs w:val="18"/>
              </w:rPr>
            </w:pPr>
          </w:p>
        </w:tc>
        <w:tc>
          <w:tcPr>
            <w:tcW w:w="453" w:type="pct"/>
            <w:vMerge/>
            <w:tcBorders>
              <w:top w:val="single" w:sz="4" w:space="0" w:color="auto"/>
              <w:bottom w:val="single" w:sz="8" w:space="0" w:color="auto"/>
            </w:tcBorders>
            <w:shd w:val="clear" w:color="auto" w:fill="auto"/>
            <w:vAlign w:val="center"/>
          </w:tcPr>
          <w:p w14:paraId="254204D1" w14:textId="77777777" w:rsidR="00737EB2" w:rsidRPr="00765F6E" w:rsidRDefault="00737EB2" w:rsidP="00871D47">
            <w:pPr>
              <w:pStyle w:val="affffffffffff2"/>
              <w:jc w:val="center"/>
              <w:rPr>
                <w:rFonts w:hAnsi="宋体" w:cs="宋体"/>
                <w:sz w:val="18"/>
                <w:szCs w:val="18"/>
              </w:rPr>
            </w:pPr>
          </w:p>
        </w:tc>
        <w:tc>
          <w:tcPr>
            <w:tcW w:w="324" w:type="pct"/>
            <w:tcBorders>
              <w:top w:val="single" w:sz="4" w:space="0" w:color="auto"/>
              <w:bottom w:val="single" w:sz="8" w:space="0" w:color="auto"/>
            </w:tcBorders>
            <w:shd w:val="clear" w:color="auto" w:fill="auto"/>
            <w:vAlign w:val="center"/>
          </w:tcPr>
          <w:p w14:paraId="70BF9B44"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路肩</w:t>
            </w:r>
            <w:r w:rsidRPr="00765F6E">
              <w:rPr>
                <w:rFonts w:hAnsi="宋体" w:cs="宋体"/>
                <w:sz w:val="18"/>
                <w:szCs w:val="18"/>
              </w:rPr>
              <w:t>上不设电缆槽</w:t>
            </w:r>
          </w:p>
        </w:tc>
        <w:tc>
          <w:tcPr>
            <w:tcW w:w="323" w:type="pct"/>
            <w:tcBorders>
              <w:top w:val="single" w:sz="4" w:space="0" w:color="auto"/>
              <w:bottom w:val="single" w:sz="8" w:space="0" w:color="auto"/>
            </w:tcBorders>
            <w:shd w:val="clear" w:color="auto" w:fill="auto"/>
            <w:vAlign w:val="center"/>
          </w:tcPr>
          <w:p w14:paraId="01B47BA3"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路肩</w:t>
            </w:r>
            <w:r w:rsidRPr="00765F6E">
              <w:rPr>
                <w:rFonts w:hAnsi="宋体" w:cs="宋体"/>
                <w:sz w:val="18"/>
                <w:szCs w:val="18"/>
              </w:rPr>
              <w:t>上设电缆槽</w:t>
            </w:r>
          </w:p>
        </w:tc>
      </w:tr>
      <w:tr w:rsidR="00737EB2" w:rsidRPr="00765F6E" w14:paraId="48E1F30B" w14:textId="77777777" w:rsidTr="00871D47">
        <w:trPr>
          <w:trHeight w:val="176"/>
        </w:trPr>
        <w:tc>
          <w:tcPr>
            <w:tcW w:w="501" w:type="pct"/>
            <w:vMerge w:val="restart"/>
            <w:tcBorders>
              <w:top w:val="single" w:sz="8" w:space="0" w:color="auto"/>
            </w:tcBorders>
            <w:shd w:val="clear" w:color="auto" w:fill="auto"/>
            <w:vAlign w:val="center"/>
          </w:tcPr>
          <w:p w14:paraId="576B6E01"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120</w:t>
            </w:r>
          </w:p>
        </w:tc>
        <w:tc>
          <w:tcPr>
            <w:tcW w:w="416" w:type="pct"/>
            <w:tcBorders>
              <w:top w:val="single" w:sz="8" w:space="0" w:color="auto"/>
            </w:tcBorders>
            <w:shd w:val="clear" w:color="auto" w:fill="auto"/>
            <w:vAlign w:val="center"/>
          </w:tcPr>
          <w:p w14:paraId="4F680A59"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Ⅲ</w:t>
            </w:r>
          </w:p>
        </w:tc>
        <w:tc>
          <w:tcPr>
            <w:tcW w:w="331" w:type="pct"/>
            <w:tcBorders>
              <w:top w:val="single" w:sz="8" w:space="0" w:color="auto"/>
            </w:tcBorders>
            <w:shd w:val="clear" w:color="auto" w:fill="auto"/>
            <w:vAlign w:val="center"/>
          </w:tcPr>
          <w:p w14:paraId="6561DBC3"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0.30</w:t>
            </w:r>
          </w:p>
        </w:tc>
        <w:tc>
          <w:tcPr>
            <w:tcW w:w="416" w:type="pct"/>
            <w:tcBorders>
              <w:top w:val="single" w:sz="8" w:space="0" w:color="auto"/>
            </w:tcBorders>
            <w:shd w:val="clear" w:color="auto" w:fill="auto"/>
            <w:vAlign w:val="center"/>
          </w:tcPr>
          <w:p w14:paraId="7638A319"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0.4</w:t>
            </w:r>
          </w:p>
        </w:tc>
        <w:tc>
          <w:tcPr>
            <w:tcW w:w="424" w:type="pct"/>
            <w:tcBorders>
              <w:top w:val="single" w:sz="8" w:space="0" w:color="auto"/>
            </w:tcBorders>
            <w:shd w:val="clear" w:color="auto" w:fill="auto"/>
            <w:vAlign w:val="center"/>
          </w:tcPr>
          <w:p w14:paraId="75D5FF6C"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1.0</w:t>
            </w:r>
          </w:p>
        </w:tc>
        <w:tc>
          <w:tcPr>
            <w:tcW w:w="388" w:type="pct"/>
            <w:tcBorders>
              <w:top w:val="single" w:sz="8" w:space="0" w:color="auto"/>
            </w:tcBorders>
            <w:shd w:val="clear" w:color="auto" w:fill="auto"/>
            <w:vAlign w:val="center"/>
          </w:tcPr>
          <w:p w14:paraId="2DB4D07D"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0.95</w:t>
            </w:r>
          </w:p>
        </w:tc>
        <w:tc>
          <w:tcPr>
            <w:tcW w:w="322" w:type="pct"/>
            <w:tcBorders>
              <w:top w:val="single" w:sz="8" w:space="0" w:color="auto"/>
            </w:tcBorders>
            <w:shd w:val="clear" w:color="auto" w:fill="auto"/>
            <w:vAlign w:val="center"/>
          </w:tcPr>
          <w:p w14:paraId="0CAF27CD"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7.3</w:t>
            </w:r>
          </w:p>
        </w:tc>
        <w:tc>
          <w:tcPr>
            <w:tcW w:w="324" w:type="pct"/>
            <w:tcBorders>
              <w:top w:val="single" w:sz="8" w:space="0" w:color="auto"/>
            </w:tcBorders>
            <w:shd w:val="clear" w:color="auto" w:fill="auto"/>
            <w:vAlign w:val="center"/>
          </w:tcPr>
          <w:p w14:paraId="36969587"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7.3</w:t>
            </w:r>
          </w:p>
        </w:tc>
        <w:tc>
          <w:tcPr>
            <w:tcW w:w="388" w:type="pct"/>
            <w:tcBorders>
              <w:top w:val="single" w:sz="8" w:space="0" w:color="auto"/>
            </w:tcBorders>
            <w:shd w:val="clear" w:color="auto" w:fill="auto"/>
            <w:vAlign w:val="center"/>
          </w:tcPr>
          <w:p w14:paraId="49F31C68"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0.4</w:t>
            </w:r>
          </w:p>
        </w:tc>
        <w:tc>
          <w:tcPr>
            <w:tcW w:w="390" w:type="pct"/>
            <w:tcBorders>
              <w:top w:val="single" w:sz="8" w:space="0" w:color="auto"/>
            </w:tcBorders>
            <w:shd w:val="clear" w:color="auto" w:fill="auto"/>
            <w:vAlign w:val="center"/>
          </w:tcPr>
          <w:p w14:paraId="0E959CBF"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1.1</w:t>
            </w:r>
          </w:p>
        </w:tc>
        <w:tc>
          <w:tcPr>
            <w:tcW w:w="453" w:type="pct"/>
            <w:tcBorders>
              <w:top w:val="single" w:sz="8" w:space="0" w:color="auto"/>
            </w:tcBorders>
            <w:shd w:val="clear" w:color="auto" w:fill="auto"/>
            <w:vAlign w:val="center"/>
          </w:tcPr>
          <w:p w14:paraId="1CAB127F"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0.85（1.6）</w:t>
            </w:r>
          </w:p>
        </w:tc>
        <w:tc>
          <w:tcPr>
            <w:tcW w:w="324" w:type="pct"/>
            <w:tcBorders>
              <w:top w:val="single" w:sz="8" w:space="0" w:color="auto"/>
            </w:tcBorders>
            <w:shd w:val="clear" w:color="auto" w:fill="auto"/>
            <w:vAlign w:val="center"/>
          </w:tcPr>
          <w:p w14:paraId="69F15412"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11.3</w:t>
            </w:r>
          </w:p>
        </w:tc>
        <w:tc>
          <w:tcPr>
            <w:tcW w:w="323" w:type="pct"/>
            <w:tcBorders>
              <w:top w:val="single" w:sz="8" w:space="0" w:color="auto"/>
            </w:tcBorders>
            <w:shd w:val="clear" w:color="auto" w:fill="auto"/>
            <w:vAlign w:val="center"/>
          </w:tcPr>
          <w:p w14:paraId="6A3330BF"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12.8</w:t>
            </w:r>
          </w:p>
        </w:tc>
      </w:tr>
      <w:tr w:rsidR="00737EB2" w:rsidRPr="00765F6E" w14:paraId="5117B115" w14:textId="77777777" w:rsidTr="00871D47">
        <w:trPr>
          <w:trHeight w:val="176"/>
        </w:trPr>
        <w:tc>
          <w:tcPr>
            <w:tcW w:w="501" w:type="pct"/>
            <w:vMerge/>
            <w:shd w:val="clear" w:color="auto" w:fill="auto"/>
            <w:vAlign w:val="center"/>
          </w:tcPr>
          <w:p w14:paraId="1F35B6CE" w14:textId="77777777" w:rsidR="00737EB2" w:rsidRPr="00765F6E" w:rsidRDefault="00737EB2" w:rsidP="00871D47">
            <w:pPr>
              <w:jc w:val="center"/>
              <w:rPr>
                <w:rFonts w:ascii="宋体" w:hAnsi="宋体"/>
                <w:sz w:val="18"/>
                <w:szCs w:val="18"/>
              </w:rPr>
            </w:pPr>
          </w:p>
        </w:tc>
        <w:tc>
          <w:tcPr>
            <w:tcW w:w="416" w:type="pct"/>
            <w:shd w:val="clear" w:color="auto" w:fill="auto"/>
            <w:vAlign w:val="center"/>
          </w:tcPr>
          <w:p w14:paraId="6AB2AD16"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Ⅲ</w:t>
            </w:r>
          </w:p>
        </w:tc>
        <w:tc>
          <w:tcPr>
            <w:tcW w:w="331" w:type="pct"/>
            <w:shd w:val="clear" w:color="auto" w:fill="auto"/>
            <w:vAlign w:val="center"/>
          </w:tcPr>
          <w:p w14:paraId="63A7244B"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0.4</w:t>
            </w:r>
            <w:r w:rsidRPr="00765F6E">
              <w:rPr>
                <w:rFonts w:ascii="宋体" w:hAnsi="宋体"/>
                <w:sz w:val="18"/>
                <w:szCs w:val="18"/>
              </w:rPr>
              <w:t>5</w:t>
            </w:r>
          </w:p>
        </w:tc>
        <w:tc>
          <w:tcPr>
            <w:tcW w:w="416" w:type="pct"/>
            <w:shd w:val="clear" w:color="auto" w:fill="auto"/>
            <w:vAlign w:val="center"/>
          </w:tcPr>
          <w:p w14:paraId="1E284264"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0.4</w:t>
            </w:r>
          </w:p>
        </w:tc>
        <w:tc>
          <w:tcPr>
            <w:tcW w:w="424" w:type="pct"/>
            <w:shd w:val="clear" w:color="auto" w:fill="auto"/>
            <w:vAlign w:val="center"/>
          </w:tcPr>
          <w:p w14:paraId="0987B473"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1.3</w:t>
            </w:r>
          </w:p>
        </w:tc>
        <w:tc>
          <w:tcPr>
            <w:tcW w:w="388" w:type="pct"/>
            <w:shd w:val="clear" w:color="auto" w:fill="auto"/>
            <w:vAlign w:val="center"/>
          </w:tcPr>
          <w:p w14:paraId="36224325"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0.8</w:t>
            </w:r>
          </w:p>
        </w:tc>
        <w:tc>
          <w:tcPr>
            <w:tcW w:w="322" w:type="pct"/>
            <w:shd w:val="clear" w:color="auto" w:fill="auto"/>
            <w:vAlign w:val="center"/>
          </w:tcPr>
          <w:p w14:paraId="5B76B217"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7.6</w:t>
            </w:r>
          </w:p>
        </w:tc>
        <w:tc>
          <w:tcPr>
            <w:tcW w:w="324" w:type="pct"/>
            <w:shd w:val="clear" w:color="auto" w:fill="auto"/>
            <w:vAlign w:val="center"/>
          </w:tcPr>
          <w:p w14:paraId="739AF96A"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7.6</w:t>
            </w:r>
          </w:p>
        </w:tc>
        <w:tc>
          <w:tcPr>
            <w:tcW w:w="388" w:type="pct"/>
            <w:shd w:val="clear" w:color="auto" w:fill="auto"/>
            <w:vAlign w:val="center"/>
          </w:tcPr>
          <w:p w14:paraId="1B5F4847"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0.4</w:t>
            </w:r>
          </w:p>
        </w:tc>
        <w:tc>
          <w:tcPr>
            <w:tcW w:w="390" w:type="pct"/>
            <w:shd w:val="clear" w:color="auto" w:fill="auto"/>
            <w:vAlign w:val="center"/>
          </w:tcPr>
          <w:p w14:paraId="31648D82"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1.4</w:t>
            </w:r>
          </w:p>
        </w:tc>
        <w:tc>
          <w:tcPr>
            <w:tcW w:w="453" w:type="pct"/>
            <w:shd w:val="clear" w:color="auto" w:fill="auto"/>
            <w:vAlign w:val="center"/>
          </w:tcPr>
          <w:p w14:paraId="7995732A"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0.8（1.3）</w:t>
            </w:r>
          </w:p>
        </w:tc>
        <w:tc>
          <w:tcPr>
            <w:tcW w:w="324" w:type="pct"/>
            <w:shd w:val="clear" w:color="auto" w:fill="auto"/>
            <w:vAlign w:val="center"/>
          </w:tcPr>
          <w:p w14:paraId="75700246"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11.8</w:t>
            </w:r>
          </w:p>
        </w:tc>
        <w:tc>
          <w:tcPr>
            <w:tcW w:w="323" w:type="pct"/>
            <w:shd w:val="clear" w:color="auto" w:fill="auto"/>
            <w:vAlign w:val="center"/>
          </w:tcPr>
          <w:p w14:paraId="6514268C"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12.8</w:t>
            </w:r>
          </w:p>
        </w:tc>
      </w:tr>
      <w:tr w:rsidR="00737EB2" w:rsidRPr="00765F6E" w14:paraId="695E3B0E" w14:textId="77777777" w:rsidTr="00871D47">
        <w:trPr>
          <w:trHeight w:val="176"/>
        </w:trPr>
        <w:tc>
          <w:tcPr>
            <w:tcW w:w="501" w:type="pct"/>
            <w:vMerge w:val="restart"/>
            <w:shd w:val="clear" w:color="auto" w:fill="auto"/>
            <w:vAlign w:val="center"/>
          </w:tcPr>
          <w:p w14:paraId="14F165DF"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140、160</w:t>
            </w:r>
          </w:p>
        </w:tc>
        <w:tc>
          <w:tcPr>
            <w:tcW w:w="416" w:type="pct"/>
            <w:shd w:val="clear" w:color="auto" w:fill="auto"/>
            <w:vAlign w:val="center"/>
          </w:tcPr>
          <w:p w14:paraId="0BDDDD6D"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Ⅲ</w:t>
            </w:r>
          </w:p>
        </w:tc>
        <w:tc>
          <w:tcPr>
            <w:tcW w:w="331" w:type="pct"/>
            <w:shd w:val="clear" w:color="auto" w:fill="auto"/>
            <w:vAlign w:val="center"/>
          </w:tcPr>
          <w:p w14:paraId="59846807"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0.30</w:t>
            </w:r>
          </w:p>
        </w:tc>
        <w:tc>
          <w:tcPr>
            <w:tcW w:w="416" w:type="pct"/>
            <w:shd w:val="clear" w:color="auto" w:fill="auto"/>
            <w:vAlign w:val="center"/>
          </w:tcPr>
          <w:p w14:paraId="4797AEAE"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0.4</w:t>
            </w:r>
          </w:p>
        </w:tc>
        <w:tc>
          <w:tcPr>
            <w:tcW w:w="424" w:type="pct"/>
            <w:shd w:val="clear" w:color="auto" w:fill="auto"/>
            <w:vAlign w:val="center"/>
          </w:tcPr>
          <w:p w14:paraId="211536C2"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1.0</w:t>
            </w:r>
          </w:p>
        </w:tc>
        <w:tc>
          <w:tcPr>
            <w:tcW w:w="388" w:type="pct"/>
            <w:shd w:val="clear" w:color="auto" w:fill="auto"/>
            <w:vAlign w:val="center"/>
          </w:tcPr>
          <w:p w14:paraId="45E27962"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0.95</w:t>
            </w:r>
          </w:p>
        </w:tc>
        <w:tc>
          <w:tcPr>
            <w:tcW w:w="322" w:type="pct"/>
            <w:shd w:val="clear" w:color="auto" w:fill="auto"/>
            <w:vAlign w:val="center"/>
          </w:tcPr>
          <w:p w14:paraId="1C577454"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7.3</w:t>
            </w:r>
          </w:p>
        </w:tc>
        <w:tc>
          <w:tcPr>
            <w:tcW w:w="324" w:type="pct"/>
            <w:shd w:val="clear" w:color="auto" w:fill="auto"/>
            <w:vAlign w:val="center"/>
          </w:tcPr>
          <w:p w14:paraId="6216782E"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7.3</w:t>
            </w:r>
          </w:p>
        </w:tc>
        <w:tc>
          <w:tcPr>
            <w:tcW w:w="388" w:type="pct"/>
            <w:shd w:val="clear" w:color="auto" w:fill="auto"/>
            <w:vAlign w:val="center"/>
          </w:tcPr>
          <w:p w14:paraId="130D695C"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0.4</w:t>
            </w:r>
          </w:p>
        </w:tc>
        <w:tc>
          <w:tcPr>
            <w:tcW w:w="390" w:type="pct"/>
            <w:shd w:val="clear" w:color="auto" w:fill="auto"/>
            <w:vAlign w:val="center"/>
          </w:tcPr>
          <w:p w14:paraId="048FB070"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1.1</w:t>
            </w:r>
          </w:p>
        </w:tc>
        <w:tc>
          <w:tcPr>
            <w:tcW w:w="453" w:type="pct"/>
            <w:shd w:val="clear" w:color="auto" w:fill="auto"/>
            <w:vAlign w:val="center"/>
          </w:tcPr>
          <w:p w14:paraId="17706D24"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0.85（1.6）</w:t>
            </w:r>
          </w:p>
        </w:tc>
        <w:tc>
          <w:tcPr>
            <w:tcW w:w="324" w:type="pct"/>
            <w:shd w:val="clear" w:color="auto" w:fill="auto"/>
            <w:vAlign w:val="center"/>
          </w:tcPr>
          <w:p w14:paraId="4F17B73F"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11.3</w:t>
            </w:r>
          </w:p>
        </w:tc>
        <w:tc>
          <w:tcPr>
            <w:tcW w:w="323" w:type="pct"/>
            <w:shd w:val="clear" w:color="auto" w:fill="auto"/>
            <w:vAlign w:val="center"/>
          </w:tcPr>
          <w:p w14:paraId="5BDDDC6D"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12.8</w:t>
            </w:r>
          </w:p>
        </w:tc>
      </w:tr>
      <w:tr w:rsidR="00737EB2" w:rsidRPr="00765F6E" w14:paraId="106B11DB" w14:textId="77777777" w:rsidTr="00871D47">
        <w:trPr>
          <w:trHeight w:val="176"/>
        </w:trPr>
        <w:tc>
          <w:tcPr>
            <w:tcW w:w="501" w:type="pct"/>
            <w:vMerge/>
            <w:shd w:val="clear" w:color="auto" w:fill="auto"/>
            <w:vAlign w:val="center"/>
          </w:tcPr>
          <w:p w14:paraId="5F0C72C8" w14:textId="77777777" w:rsidR="00737EB2" w:rsidRPr="00765F6E" w:rsidRDefault="00737EB2" w:rsidP="00871D47">
            <w:pPr>
              <w:jc w:val="center"/>
              <w:rPr>
                <w:rFonts w:ascii="宋体" w:hAnsi="宋体"/>
                <w:sz w:val="18"/>
                <w:szCs w:val="18"/>
              </w:rPr>
            </w:pPr>
          </w:p>
        </w:tc>
        <w:tc>
          <w:tcPr>
            <w:tcW w:w="416" w:type="pct"/>
            <w:shd w:val="clear" w:color="auto" w:fill="auto"/>
            <w:vAlign w:val="center"/>
          </w:tcPr>
          <w:p w14:paraId="7B9C55AB"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Ⅲ</w:t>
            </w:r>
          </w:p>
        </w:tc>
        <w:tc>
          <w:tcPr>
            <w:tcW w:w="331" w:type="pct"/>
            <w:shd w:val="clear" w:color="auto" w:fill="auto"/>
            <w:vAlign w:val="center"/>
          </w:tcPr>
          <w:p w14:paraId="378F7A5B"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0.50</w:t>
            </w:r>
          </w:p>
        </w:tc>
        <w:tc>
          <w:tcPr>
            <w:tcW w:w="416" w:type="pct"/>
            <w:shd w:val="clear" w:color="auto" w:fill="auto"/>
            <w:vAlign w:val="center"/>
          </w:tcPr>
          <w:p w14:paraId="1655CB01"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0.4</w:t>
            </w:r>
          </w:p>
        </w:tc>
        <w:tc>
          <w:tcPr>
            <w:tcW w:w="424" w:type="pct"/>
            <w:shd w:val="clear" w:color="auto" w:fill="auto"/>
            <w:vAlign w:val="center"/>
          </w:tcPr>
          <w:p w14:paraId="7459A5F3"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1.4</w:t>
            </w:r>
          </w:p>
        </w:tc>
        <w:tc>
          <w:tcPr>
            <w:tcW w:w="388" w:type="pct"/>
            <w:shd w:val="clear" w:color="auto" w:fill="auto"/>
            <w:vAlign w:val="center"/>
          </w:tcPr>
          <w:p w14:paraId="2E404B26"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0.8</w:t>
            </w:r>
          </w:p>
        </w:tc>
        <w:tc>
          <w:tcPr>
            <w:tcW w:w="322" w:type="pct"/>
            <w:shd w:val="clear" w:color="auto" w:fill="auto"/>
            <w:vAlign w:val="center"/>
          </w:tcPr>
          <w:p w14:paraId="738FAB9F"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7.8</w:t>
            </w:r>
          </w:p>
        </w:tc>
        <w:tc>
          <w:tcPr>
            <w:tcW w:w="324" w:type="pct"/>
            <w:shd w:val="clear" w:color="auto" w:fill="auto"/>
            <w:vAlign w:val="center"/>
          </w:tcPr>
          <w:p w14:paraId="69B7E327"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7.8</w:t>
            </w:r>
          </w:p>
        </w:tc>
        <w:tc>
          <w:tcPr>
            <w:tcW w:w="388" w:type="pct"/>
            <w:shd w:val="clear" w:color="auto" w:fill="auto"/>
            <w:vAlign w:val="center"/>
          </w:tcPr>
          <w:p w14:paraId="4E923AB1"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0.4</w:t>
            </w:r>
          </w:p>
        </w:tc>
        <w:tc>
          <w:tcPr>
            <w:tcW w:w="390" w:type="pct"/>
            <w:shd w:val="clear" w:color="auto" w:fill="auto"/>
            <w:vAlign w:val="center"/>
          </w:tcPr>
          <w:p w14:paraId="5AE264E0"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1.5</w:t>
            </w:r>
          </w:p>
        </w:tc>
        <w:tc>
          <w:tcPr>
            <w:tcW w:w="453" w:type="pct"/>
            <w:shd w:val="clear" w:color="auto" w:fill="auto"/>
            <w:vAlign w:val="center"/>
          </w:tcPr>
          <w:p w14:paraId="3A44D7A4"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0.8（1.3）</w:t>
            </w:r>
          </w:p>
        </w:tc>
        <w:tc>
          <w:tcPr>
            <w:tcW w:w="324" w:type="pct"/>
            <w:shd w:val="clear" w:color="auto" w:fill="auto"/>
            <w:vAlign w:val="center"/>
          </w:tcPr>
          <w:p w14:paraId="7E11887D"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12.0</w:t>
            </w:r>
          </w:p>
        </w:tc>
        <w:tc>
          <w:tcPr>
            <w:tcW w:w="323" w:type="pct"/>
            <w:shd w:val="clear" w:color="auto" w:fill="auto"/>
            <w:vAlign w:val="center"/>
          </w:tcPr>
          <w:p w14:paraId="01AE226B"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12.8</w:t>
            </w:r>
          </w:p>
        </w:tc>
      </w:tr>
      <w:tr w:rsidR="00737EB2" w:rsidRPr="00765F6E" w14:paraId="7AF38142" w14:textId="77777777" w:rsidTr="00871D47">
        <w:trPr>
          <w:trHeight w:val="176"/>
        </w:trPr>
        <w:tc>
          <w:tcPr>
            <w:tcW w:w="5000" w:type="pct"/>
            <w:gridSpan w:val="13"/>
            <w:tcBorders>
              <w:top w:val="single" w:sz="8" w:space="0" w:color="auto"/>
              <w:bottom w:val="single" w:sz="8" w:space="0" w:color="auto"/>
            </w:tcBorders>
            <w:shd w:val="clear" w:color="auto" w:fill="auto"/>
            <w:vAlign w:val="center"/>
          </w:tcPr>
          <w:p w14:paraId="7698ADC3" w14:textId="77777777" w:rsidR="00737EB2" w:rsidRPr="00765F6E" w:rsidRDefault="00737EB2" w:rsidP="00871D47">
            <w:pPr>
              <w:pStyle w:val="a6"/>
              <w:numPr>
                <w:ilvl w:val="0"/>
                <w:numId w:val="0"/>
              </w:numPr>
              <w:ind w:firstLineChars="100" w:firstLine="180"/>
            </w:pPr>
            <w:r w:rsidRPr="00765F6E">
              <w:t>接触网支柱内侧至线路中心距按如下标准考虑：有砟轨道为3.1m。</w:t>
            </w:r>
          </w:p>
          <w:p w14:paraId="5A4F1351" w14:textId="77777777" w:rsidR="00737EB2" w:rsidRPr="00765F6E" w:rsidRDefault="00737EB2" w:rsidP="00871D47">
            <w:pPr>
              <w:pStyle w:val="a6"/>
              <w:numPr>
                <w:ilvl w:val="0"/>
                <w:numId w:val="0"/>
              </w:numPr>
              <w:ind w:firstLineChars="100" w:firstLine="180"/>
            </w:pPr>
            <w:r w:rsidRPr="00765F6E">
              <w:t>双线路基，线间距按4.0m 考虑，线间距变化时，路基面宽度应相应调整。</w:t>
            </w:r>
          </w:p>
          <w:p w14:paraId="26A4DF79" w14:textId="77777777" w:rsidR="00737EB2" w:rsidRPr="00765F6E" w:rsidRDefault="00737EB2" w:rsidP="00871D47">
            <w:pPr>
              <w:pStyle w:val="a6"/>
              <w:numPr>
                <w:ilvl w:val="0"/>
                <w:numId w:val="0"/>
              </w:numPr>
              <w:ind w:firstLineChars="100" w:firstLine="180"/>
            </w:pPr>
            <w:r w:rsidRPr="00765F6E">
              <w:t>单线路基按电缆槽与接触网支柱对侧布置考虑。括号内数据为路肩上设电缆槽时的取值。</w:t>
            </w:r>
          </w:p>
          <w:p w14:paraId="1E1DDEA7" w14:textId="25137F93" w:rsidR="00737EB2" w:rsidRPr="00765F6E" w:rsidRDefault="00737EB2" w:rsidP="00871D47">
            <w:pPr>
              <w:pStyle w:val="a6"/>
              <w:numPr>
                <w:ilvl w:val="0"/>
                <w:numId w:val="0"/>
              </w:numPr>
              <w:tabs>
                <w:tab w:val="left" w:pos="851"/>
              </w:tabs>
              <w:ind w:left="363"/>
            </w:pPr>
            <w:r w:rsidRPr="004E68CD">
              <w:rPr>
                <w:rFonts w:ascii="黑体" w:eastAsia="黑体" w:hint="eastAsia"/>
              </w:rPr>
              <w:t>注：</w:t>
            </w:r>
            <w:r w:rsidRPr="00765F6E">
              <w:t>a为砟肩宽度，b为砟肩至砟脚水平距离，c为路肩宽度。</w:t>
            </w:r>
          </w:p>
        </w:tc>
      </w:tr>
    </w:tbl>
    <w:p w14:paraId="67142E98" w14:textId="77777777" w:rsidR="00737EB2" w:rsidRPr="00765F6E" w:rsidRDefault="00737EB2" w:rsidP="00737EB2">
      <w:pPr>
        <w:pStyle w:val="aff3"/>
        <w:spacing w:before="156" w:after="156"/>
      </w:pPr>
      <w:r w:rsidRPr="00765F6E">
        <w:rPr>
          <w:rFonts w:hint="eastAsia"/>
        </w:rPr>
        <w:t>区间直线段无砟轨道路基面宽度</w:t>
      </w:r>
    </w:p>
    <w:tbl>
      <w:tblPr>
        <w:tblW w:w="5026"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45"/>
        <w:gridCol w:w="2346"/>
        <w:gridCol w:w="2346"/>
        <w:gridCol w:w="2346"/>
      </w:tblGrid>
      <w:tr w:rsidR="00737EB2" w:rsidRPr="00765F6E" w14:paraId="6D888900" w14:textId="77777777" w:rsidTr="00871D47">
        <w:trPr>
          <w:trHeight w:val="176"/>
        </w:trPr>
        <w:tc>
          <w:tcPr>
            <w:tcW w:w="5000" w:type="pct"/>
            <w:gridSpan w:val="4"/>
            <w:tcBorders>
              <w:top w:val="single" w:sz="8" w:space="0" w:color="auto"/>
              <w:bottom w:val="single" w:sz="8" w:space="0" w:color="auto"/>
            </w:tcBorders>
            <w:shd w:val="clear" w:color="auto" w:fill="auto"/>
            <w:vAlign w:val="center"/>
          </w:tcPr>
          <w:p w14:paraId="0C4C7DF3" w14:textId="77777777" w:rsidR="00737EB2" w:rsidRPr="00765F6E" w:rsidRDefault="00737EB2" w:rsidP="00871D47">
            <w:pPr>
              <w:pStyle w:val="affffffffffff2"/>
              <w:jc w:val="center"/>
              <w:rPr>
                <w:rFonts w:hAnsi="宋体" w:cs="宋体"/>
                <w:sz w:val="18"/>
                <w:szCs w:val="18"/>
                <w:highlight w:val="yellow"/>
              </w:rPr>
            </w:pPr>
            <w:r w:rsidRPr="00765F6E">
              <w:rPr>
                <w:rFonts w:hAnsi="宋体" w:cs="宋体" w:hint="eastAsia"/>
                <w:sz w:val="18"/>
                <w:szCs w:val="18"/>
              </w:rPr>
              <w:t>路基面宽度/m</w:t>
            </w:r>
          </w:p>
        </w:tc>
      </w:tr>
      <w:tr w:rsidR="00737EB2" w:rsidRPr="00765F6E" w14:paraId="23230B74" w14:textId="77777777" w:rsidTr="00871D47">
        <w:trPr>
          <w:trHeight w:val="176"/>
        </w:trPr>
        <w:tc>
          <w:tcPr>
            <w:tcW w:w="2500" w:type="pct"/>
            <w:gridSpan w:val="2"/>
            <w:tcBorders>
              <w:top w:val="single" w:sz="8" w:space="0" w:color="auto"/>
              <w:bottom w:val="single" w:sz="4" w:space="0" w:color="auto"/>
            </w:tcBorders>
            <w:shd w:val="clear" w:color="auto" w:fill="auto"/>
            <w:vAlign w:val="center"/>
          </w:tcPr>
          <w:p w14:paraId="29FCA7E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单线</w:t>
            </w:r>
          </w:p>
        </w:tc>
        <w:tc>
          <w:tcPr>
            <w:tcW w:w="2500" w:type="pct"/>
            <w:gridSpan w:val="2"/>
            <w:tcBorders>
              <w:top w:val="single" w:sz="8" w:space="0" w:color="auto"/>
              <w:bottom w:val="single" w:sz="4" w:space="0" w:color="auto"/>
            </w:tcBorders>
            <w:shd w:val="clear" w:color="auto" w:fill="auto"/>
            <w:vAlign w:val="center"/>
          </w:tcPr>
          <w:p w14:paraId="5CC2402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双线</w:t>
            </w:r>
          </w:p>
        </w:tc>
      </w:tr>
      <w:tr w:rsidR="00737EB2" w:rsidRPr="00765F6E" w14:paraId="159649BE" w14:textId="77777777" w:rsidTr="00871D47">
        <w:trPr>
          <w:trHeight w:val="176"/>
        </w:trPr>
        <w:tc>
          <w:tcPr>
            <w:tcW w:w="1250" w:type="pct"/>
            <w:tcBorders>
              <w:top w:val="single" w:sz="4" w:space="0" w:color="auto"/>
              <w:bottom w:val="single" w:sz="8" w:space="0" w:color="auto"/>
            </w:tcBorders>
            <w:shd w:val="clear" w:color="auto" w:fill="auto"/>
            <w:vAlign w:val="center"/>
          </w:tcPr>
          <w:p w14:paraId="127B365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路肩</w:t>
            </w:r>
            <w:r w:rsidRPr="00765F6E">
              <w:rPr>
                <w:rFonts w:hAnsi="宋体" w:cs="宋体"/>
                <w:sz w:val="18"/>
                <w:szCs w:val="18"/>
              </w:rPr>
              <w:t>上不设电缆槽</w:t>
            </w:r>
          </w:p>
        </w:tc>
        <w:tc>
          <w:tcPr>
            <w:tcW w:w="1250" w:type="pct"/>
            <w:tcBorders>
              <w:top w:val="single" w:sz="4" w:space="0" w:color="auto"/>
              <w:bottom w:val="single" w:sz="8" w:space="0" w:color="auto"/>
            </w:tcBorders>
            <w:shd w:val="clear" w:color="auto" w:fill="auto"/>
            <w:vAlign w:val="center"/>
          </w:tcPr>
          <w:p w14:paraId="1BE048E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路肩</w:t>
            </w:r>
            <w:r w:rsidRPr="00765F6E">
              <w:rPr>
                <w:rFonts w:hAnsi="宋体" w:cs="宋体"/>
                <w:sz w:val="18"/>
                <w:szCs w:val="18"/>
              </w:rPr>
              <w:t>上设电缆槽</w:t>
            </w:r>
          </w:p>
        </w:tc>
        <w:tc>
          <w:tcPr>
            <w:tcW w:w="1250" w:type="pct"/>
            <w:tcBorders>
              <w:top w:val="single" w:sz="4" w:space="0" w:color="auto"/>
              <w:bottom w:val="single" w:sz="8" w:space="0" w:color="auto"/>
            </w:tcBorders>
            <w:shd w:val="clear" w:color="auto" w:fill="auto"/>
            <w:vAlign w:val="center"/>
          </w:tcPr>
          <w:p w14:paraId="065885B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路肩</w:t>
            </w:r>
            <w:r w:rsidRPr="00765F6E">
              <w:rPr>
                <w:rFonts w:hAnsi="宋体" w:cs="宋体"/>
                <w:sz w:val="18"/>
                <w:szCs w:val="18"/>
              </w:rPr>
              <w:t>上不设电缆槽</w:t>
            </w:r>
          </w:p>
        </w:tc>
        <w:tc>
          <w:tcPr>
            <w:tcW w:w="1250" w:type="pct"/>
            <w:tcBorders>
              <w:top w:val="single" w:sz="4" w:space="0" w:color="auto"/>
              <w:bottom w:val="single" w:sz="8" w:space="0" w:color="auto"/>
            </w:tcBorders>
            <w:shd w:val="clear" w:color="auto" w:fill="auto"/>
            <w:vAlign w:val="center"/>
          </w:tcPr>
          <w:p w14:paraId="0D0F0DE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路肩</w:t>
            </w:r>
            <w:r w:rsidRPr="00765F6E">
              <w:rPr>
                <w:rFonts w:hAnsi="宋体" w:cs="宋体"/>
                <w:sz w:val="18"/>
                <w:szCs w:val="18"/>
              </w:rPr>
              <w:t>上设电缆槽</w:t>
            </w:r>
          </w:p>
        </w:tc>
      </w:tr>
      <w:tr w:rsidR="00737EB2" w:rsidRPr="00765F6E" w14:paraId="58226380" w14:textId="77777777" w:rsidTr="00871D47">
        <w:trPr>
          <w:trHeight w:val="176"/>
        </w:trPr>
        <w:tc>
          <w:tcPr>
            <w:tcW w:w="1250" w:type="pct"/>
            <w:tcBorders>
              <w:top w:val="single" w:sz="8" w:space="0" w:color="auto"/>
            </w:tcBorders>
            <w:shd w:val="clear" w:color="auto" w:fill="auto"/>
            <w:vAlign w:val="center"/>
          </w:tcPr>
          <w:p w14:paraId="4197AF2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6.1</w:t>
            </w:r>
          </w:p>
        </w:tc>
        <w:tc>
          <w:tcPr>
            <w:tcW w:w="1250" w:type="pct"/>
            <w:tcBorders>
              <w:top w:val="single" w:sz="8" w:space="0" w:color="auto"/>
            </w:tcBorders>
            <w:shd w:val="clear" w:color="auto" w:fill="auto"/>
            <w:vAlign w:val="center"/>
          </w:tcPr>
          <w:p w14:paraId="7328312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6.1</w:t>
            </w:r>
          </w:p>
        </w:tc>
        <w:tc>
          <w:tcPr>
            <w:tcW w:w="1250" w:type="pct"/>
            <w:tcBorders>
              <w:top w:val="single" w:sz="8" w:space="0" w:color="auto"/>
            </w:tcBorders>
            <w:shd w:val="clear" w:color="auto" w:fill="auto"/>
            <w:vAlign w:val="center"/>
          </w:tcPr>
          <w:p w14:paraId="67F397C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0</w:t>
            </w:r>
            <w:r w:rsidRPr="00765F6E">
              <w:rPr>
                <w:rFonts w:hAnsi="宋体" w:cs="宋体" w:hint="eastAsia"/>
                <w:sz w:val="18"/>
                <w:szCs w:val="18"/>
              </w:rPr>
              <w:t>.1</w:t>
            </w:r>
          </w:p>
        </w:tc>
        <w:tc>
          <w:tcPr>
            <w:tcW w:w="1250" w:type="pct"/>
            <w:tcBorders>
              <w:top w:val="single" w:sz="8" w:space="0" w:color="auto"/>
            </w:tcBorders>
            <w:shd w:val="clear" w:color="auto" w:fill="auto"/>
            <w:vAlign w:val="center"/>
          </w:tcPr>
          <w:p w14:paraId="0711FCF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11.6</w:t>
            </w:r>
          </w:p>
        </w:tc>
      </w:tr>
      <w:tr w:rsidR="00737EB2" w:rsidRPr="00765F6E" w14:paraId="259FBDC0" w14:textId="77777777" w:rsidTr="00871D47">
        <w:trPr>
          <w:trHeight w:val="176"/>
        </w:trPr>
        <w:tc>
          <w:tcPr>
            <w:tcW w:w="5000" w:type="pct"/>
            <w:gridSpan w:val="4"/>
            <w:tcBorders>
              <w:top w:val="single" w:sz="8" w:space="0" w:color="auto"/>
              <w:bottom w:val="single" w:sz="8" w:space="0" w:color="auto"/>
            </w:tcBorders>
            <w:shd w:val="clear" w:color="auto" w:fill="auto"/>
            <w:vAlign w:val="center"/>
          </w:tcPr>
          <w:p w14:paraId="3A500230" w14:textId="77777777" w:rsidR="00737EB2" w:rsidRPr="00765F6E" w:rsidRDefault="00737EB2" w:rsidP="00871D47">
            <w:pPr>
              <w:pStyle w:val="a6"/>
              <w:numPr>
                <w:ilvl w:val="0"/>
                <w:numId w:val="0"/>
              </w:numPr>
              <w:ind w:leftChars="63" w:left="938" w:hangingChars="448" w:hanging="806"/>
              <w:rPr>
                <w:lang w:bidi="ar"/>
              </w:rPr>
            </w:pPr>
            <w:r w:rsidRPr="00765F6E">
              <w:rPr>
                <w:lang w:bidi="ar"/>
              </w:rPr>
              <w:t>接触网支柱内侧至线路中心距按如下标准考虑：无砟轨道为2.5 m。</w:t>
            </w:r>
          </w:p>
          <w:p w14:paraId="2A70B95D" w14:textId="77777777" w:rsidR="00737EB2" w:rsidRPr="00765F6E" w:rsidRDefault="00737EB2" w:rsidP="00871D47">
            <w:pPr>
              <w:pStyle w:val="a6"/>
              <w:numPr>
                <w:ilvl w:val="0"/>
                <w:numId w:val="0"/>
              </w:numPr>
              <w:ind w:leftChars="63" w:left="938" w:hangingChars="448" w:hanging="806"/>
              <w:rPr>
                <w:lang w:bidi="ar"/>
              </w:rPr>
            </w:pPr>
            <w:r w:rsidRPr="00765F6E">
              <w:rPr>
                <w:lang w:bidi="ar"/>
              </w:rPr>
              <w:t>双线路基，线间距按4.0m 考虑，线间距变化时，路基面宽度应相应调整。</w:t>
            </w:r>
          </w:p>
          <w:p w14:paraId="4183FB07" w14:textId="77777777" w:rsidR="00737EB2" w:rsidRPr="004E68CD" w:rsidRDefault="00737EB2" w:rsidP="00871D47">
            <w:pPr>
              <w:pStyle w:val="a6"/>
              <w:numPr>
                <w:ilvl w:val="0"/>
                <w:numId w:val="0"/>
              </w:numPr>
              <w:ind w:leftChars="63" w:left="938" w:hangingChars="448" w:hanging="806"/>
              <w:rPr>
                <w:lang w:bidi="ar"/>
              </w:rPr>
            </w:pPr>
            <w:r w:rsidRPr="004E68CD">
              <w:rPr>
                <w:lang w:bidi="ar"/>
              </w:rPr>
              <w:t>单线路基按电缆槽与接触网支柱对侧布置考虑。</w:t>
            </w:r>
          </w:p>
          <w:p w14:paraId="7F421800" w14:textId="77777777" w:rsidR="00737EB2" w:rsidRPr="00765F6E" w:rsidRDefault="00737EB2" w:rsidP="00871D47">
            <w:pPr>
              <w:pStyle w:val="a6"/>
              <w:numPr>
                <w:ilvl w:val="0"/>
                <w:numId w:val="0"/>
              </w:numPr>
              <w:tabs>
                <w:tab w:val="left" w:pos="851"/>
              </w:tabs>
              <w:ind w:left="363"/>
              <w:rPr>
                <w:lang w:bidi="ar"/>
              </w:rPr>
            </w:pPr>
            <w:r w:rsidRPr="004E68CD">
              <w:rPr>
                <w:rFonts w:ascii="黑体" w:eastAsia="黑体" w:hint="eastAsia"/>
                <w:lang w:bidi="ar"/>
              </w:rPr>
              <w:t>注：</w:t>
            </w:r>
            <w:r w:rsidRPr="00765F6E">
              <w:rPr>
                <w:lang w:bidi="ar"/>
              </w:rPr>
              <w:t>双线无砟轨道电缆槽设置于触网支柱内侧时，路基面宽度可按表中路肩上不设电缆槽取值。</w:t>
            </w:r>
          </w:p>
        </w:tc>
      </w:tr>
    </w:tbl>
    <w:p w14:paraId="7C3F2B10" w14:textId="77777777" w:rsidR="00737EB2" w:rsidRPr="00765F6E" w:rsidRDefault="00737EB2" w:rsidP="00737EB2">
      <w:pPr>
        <w:spacing w:line="240" w:lineRule="auto"/>
      </w:pPr>
    </w:p>
    <w:p w14:paraId="1E640D7C" w14:textId="781203A4" w:rsidR="00737EB2" w:rsidRPr="00765F6E" w:rsidRDefault="00737EB2" w:rsidP="009D0776">
      <w:pPr>
        <w:pStyle w:val="22"/>
      </w:pPr>
      <w:bookmarkStart w:id="1075" w:name="_Toc153291240"/>
      <w:bookmarkStart w:id="1076" w:name="_Toc99791809"/>
      <w:r w:rsidRPr="00765F6E">
        <w:rPr>
          <w:rFonts w:hint="eastAsia"/>
        </w:rPr>
        <w:t>有砟轨道路基曲线地段的路基面应在曲线外侧按表</w:t>
      </w:r>
      <w:r w:rsidR="00E512B4" w:rsidRPr="00765F6E">
        <w:rPr>
          <w:rFonts w:hint="eastAsia"/>
        </w:rPr>
        <w:t>3</w:t>
      </w:r>
      <w:r w:rsidR="00E512B4">
        <w:t>8</w:t>
      </w:r>
      <w:r w:rsidRPr="00765F6E">
        <w:rPr>
          <w:rFonts w:hint="eastAsia"/>
        </w:rPr>
        <w:t>的规定加宽，加宽值应在缓和曲线内渐变。无砟轨道铁路曲线地段路基面加宽值应根据附录 F计算确定。</w:t>
      </w:r>
      <w:bookmarkEnd w:id="1075"/>
      <w:bookmarkEnd w:id="1076"/>
    </w:p>
    <w:p w14:paraId="7F660D82" w14:textId="77777777" w:rsidR="00737EB2" w:rsidRPr="00765F6E" w:rsidRDefault="00737EB2" w:rsidP="00737EB2">
      <w:pPr>
        <w:pStyle w:val="aff3"/>
        <w:spacing w:before="156" w:after="156"/>
      </w:pPr>
      <w:r w:rsidRPr="00765F6E">
        <w:rPr>
          <w:rFonts w:hint="eastAsia"/>
        </w:rPr>
        <w:t>有砟轨道曲线地段路基面加宽值</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2546"/>
        <w:gridCol w:w="3676"/>
        <w:gridCol w:w="3112"/>
      </w:tblGrid>
      <w:tr w:rsidR="00737EB2" w:rsidRPr="00765F6E" w14:paraId="7B5F40E7" w14:textId="77777777" w:rsidTr="00871D47">
        <w:trPr>
          <w:trHeight w:val="176"/>
        </w:trPr>
        <w:tc>
          <w:tcPr>
            <w:tcW w:w="1364" w:type="pct"/>
            <w:tcBorders>
              <w:top w:val="single" w:sz="8" w:space="0" w:color="auto"/>
              <w:bottom w:val="single" w:sz="8" w:space="0" w:color="auto"/>
            </w:tcBorders>
            <w:shd w:val="clear" w:color="auto" w:fill="auto"/>
            <w:vAlign w:val="center"/>
          </w:tcPr>
          <w:p w14:paraId="09212EA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设计</w:t>
            </w:r>
            <w:r w:rsidRPr="00765F6E">
              <w:rPr>
                <w:rFonts w:hAnsi="宋体" w:cs="宋体"/>
                <w:sz w:val="18"/>
                <w:szCs w:val="18"/>
              </w:rPr>
              <w:t>速度</w:t>
            </w:r>
          </w:p>
          <w:p w14:paraId="5907DBB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km/h</w:t>
            </w:r>
          </w:p>
        </w:tc>
        <w:tc>
          <w:tcPr>
            <w:tcW w:w="1969" w:type="pct"/>
            <w:tcBorders>
              <w:top w:val="single" w:sz="8" w:space="0" w:color="auto"/>
              <w:bottom w:val="single" w:sz="8" w:space="0" w:color="auto"/>
            </w:tcBorders>
            <w:shd w:val="clear" w:color="auto" w:fill="auto"/>
            <w:vAlign w:val="center"/>
          </w:tcPr>
          <w:p w14:paraId="1D85D36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曲线</w:t>
            </w:r>
            <w:r w:rsidRPr="00765F6E">
              <w:rPr>
                <w:rFonts w:hAnsi="宋体" w:cs="宋体"/>
                <w:sz w:val="18"/>
                <w:szCs w:val="18"/>
              </w:rPr>
              <w:t>半径</w:t>
            </w:r>
            <w:r>
              <w:rPr>
                <w:rFonts w:hAnsi="宋体" w:cs="宋体" w:hint="eastAsia"/>
                <w:sz w:val="18"/>
                <w:szCs w:val="18"/>
              </w:rPr>
              <w:t>R</w:t>
            </w:r>
          </w:p>
          <w:p w14:paraId="320BE5E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m</w:t>
            </w:r>
          </w:p>
        </w:tc>
        <w:tc>
          <w:tcPr>
            <w:tcW w:w="1667" w:type="pct"/>
            <w:tcBorders>
              <w:top w:val="single" w:sz="8" w:space="0" w:color="auto"/>
              <w:bottom w:val="single" w:sz="8" w:space="0" w:color="auto"/>
            </w:tcBorders>
            <w:shd w:val="clear" w:color="auto" w:fill="auto"/>
            <w:vAlign w:val="center"/>
          </w:tcPr>
          <w:p w14:paraId="0D80378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路基外侧</w:t>
            </w:r>
            <w:r w:rsidRPr="00765F6E">
              <w:rPr>
                <w:rFonts w:hAnsi="宋体" w:cs="宋体"/>
                <w:sz w:val="18"/>
                <w:szCs w:val="18"/>
              </w:rPr>
              <w:t>加宽值</w:t>
            </w:r>
          </w:p>
          <w:p w14:paraId="0ADDD5C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m</w:t>
            </w:r>
          </w:p>
        </w:tc>
      </w:tr>
      <w:tr w:rsidR="00737EB2" w:rsidRPr="00765F6E" w14:paraId="4EE27352" w14:textId="77777777" w:rsidTr="00871D47">
        <w:trPr>
          <w:trHeight w:val="176"/>
        </w:trPr>
        <w:tc>
          <w:tcPr>
            <w:tcW w:w="1364" w:type="pct"/>
            <w:vMerge w:val="restart"/>
            <w:tcBorders>
              <w:top w:val="single" w:sz="8" w:space="0" w:color="auto"/>
            </w:tcBorders>
            <w:shd w:val="clear" w:color="auto" w:fill="auto"/>
            <w:vAlign w:val="center"/>
          </w:tcPr>
          <w:p w14:paraId="1049E9A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120</w:t>
            </w:r>
          </w:p>
        </w:tc>
        <w:tc>
          <w:tcPr>
            <w:tcW w:w="1969" w:type="pct"/>
            <w:tcBorders>
              <w:top w:val="single" w:sz="8" w:space="0" w:color="auto"/>
            </w:tcBorders>
            <w:shd w:val="clear" w:color="auto" w:fill="auto"/>
            <w:vAlign w:val="center"/>
          </w:tcPr>
          <w:p w14:paraId="7E95C91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R≥</w:t>
            </w:r>
            <w:r w:rsidRPr="00765F6E">
              <w:rPr>
                <w:rFonts w:hAnsi="宋体" w:cs="宋体"/>
                <w:sz w:val="18"/>
                <w:szCs w:val="18"/>
              </w:rPr>
              <w:t>5000</w:t>
            </w:r>
          </w:p>
        </w:tc>
        <w:tc>
          <w:tcPr>
            <w:tcW w:w="1667" w:type="pct"/>
            <w:tcBorders>
              <w:top w:val="single" w:sz="8" w:space="0" w:color="auto"/>
            </w:tcBorders>
            <w:shd w:val="clear" w:color="auto" w:fill="auto"/>
            <w:vAlign w:val="center"/>
          </w:tcPr>
          <w:p w14:paraId="5350693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0.1</w:t>
            </w:r>
          </w:p>
        </w:tc>
      </w:tr>
      <w:tr w:rsidR="00737EB2" w:rsidRPr="00765F6E" w14:paraId="248DBD43" w14:textId="77777777" w:rsidTr="00871D47">
        <w:trPr>
          <w:trHeight w:val="176"/>
        </w:trPr>
        <w:tc>
          <w:tcPr>
            <w:tcW w:w="1364" w:type="pct"/>
            <w:vMerge/>
            <w:shd w:val="clear" w:color="auto" w:fill="auto"/>
            <w:vAlign w:val="center"/>
          </w:tcPr>
          <w:p w14:paraId="606EFE08" w14:textId="77777777" w:rsidR="00737EB2" w:rsidRPr="00765F6E" w:rsidRDefault="00737EB2" w:rsidP="00871D47">
            <w:pPr>
              <w:pStyle w:val="affffffffffff2"/>
              <w:jc w:val="center"/>
              <w:rPr>
                <w:rFonts w:hAnsi="宋体" w:cs="宋体"/>
                <w:sz w:val="18"/>
                <w:szCs w:val="18"/>
              </w:rPr>
            </w:pPr>
          </w:p>
        </w:tc>
        <w:tc>
          <w:tcPr>
            <w:tcW w:w="1969" w:type="pct"/>
            <w:shd w:val="clear" w:color="auto" w:fill="auto"/>
            <w:vAlign w:val="center"/>
          </w:tcPr>
          <w:p w14:paraId="1D1472AB"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2300</w:t>
            </w:r>
            <w:r w:rsidRPr="00765F6E">
              <w:rPr>
                <w:rFonts w:hAnsi="宋体" w:cs="宋体" w:hint="eastAsia"/>
                <w:sz w:val="18"/>
                <w:szCs w:val="18"/>
              </w:rPr>
              <w:t>≤R＜</w:t>
            </w:r>
            <w:r w:rsidRPr="00765F6E">
              <w:rPr>
                <w:rFonts w:hAnsi="宋体" w:cs="宋体"/>
                <w:sz w:val="18"/>
                <w:szCs w:val="18"/>
              </w:rPr>
              <w:t>5000</w:t>
            </w:r>
          </w:p>
        </w:tc>
        <w:tc>
          <w:tcPr>
            <w:tcW w:w="1667" w:type="pct"/>
            <w:shd w:val="clear" w:color="auto" w:fill="auto"/>
            <w:vAlign w:val="center"/>
          </w:tcPr>
          <w:p w14:paraId="347FC3F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0.2</w:t>
            </w:r>
          </w:p>
        </w:tc>
      </w:tr>
      <w:tr w:rsidR="00737EB2" w:rsidRPr="00765F6E" w14:paraId="07CFEE92" w14:textId="77777777" w:rsidTr="00871D47">
        <w:trPr>
          <w:trHeight w:val="176"/>
        </w:trPr>
        <w:tc>
          <w:tcPr>
            <w:tcW w:w="1364" w:type="pct"/>
            <w:vMerge/>
            <w:shd w:val="clear" w:color="auto" w:fill="auto"/>
            <w:vAlign w:val="center"/>
          </w:tcPr>
          <w:p w14:paraId="6CA287B5" w14:textId="77777777" w:rsidR="00737EB2" w:rsidRPr="00765F6E" w:rsidRDefault="00737EB2" w:rsidP="00871D47">
            <w:pPr>
              <w:pStyle w:val="affffffffffff2"/>
              <w:jc w:val="center"/>
              <w:rPr>
                <w:rFonts w:hAnsi="宋体" w:cs="宋体"/>
                <w:sz w:val="18"/>
                <w:szCs w:val="18"/>
              </w:rPr>
            </w:pPr>
          </w:p>
        </w:tc>
        <w:tc>
          <w:tcPr>
            <w:tcW w:w="1969" w:type="pct"/>
            <w:shd w:val="clear" w:color="auto" w:fill="auto"/>
            <w:vAlign w:val="center"/>
          </w:tcPr>
          <w:p w14:paraId="323D18D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1500≤R＜2300</w:t>
            </w:r>
          </w:p>
        </w:tc>
        <w:tc>
          <w:tcPr>
            <w:tcW w:w="1667" w:type="pct"/>
            <w:shd w:val="clear" w:color="auto" w:fill="auto"/>
            <w:vAlign w:val="center"/>
          </w:tcPr>
          <w:p w14:paraId="6CEE2A0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0.3</w:t>
            </w:r>
          </w:p>
        </w:tc>
      </w:tr>
      <w:tr w:rsidR="00737EB2" w:rsidRPr="00765F6E" w14:paraId="42C4E7B3" w14:textId="77777777" w:rsidTr="00871D47">
        <w:trPr>
          <w:trHeight w:val="176"/>
        </w:trPr>
        <w:tc>
          <w:tcPr>
            <w:tcW w:w="1364" w:type="pct"/>
            <w:vMerge/>
            <w:shd w:val="clear" w:color="auto" w:fill="auto"/>
            <w:vAlign w:val="center"/>
          </w:tcPr>
          <w:p w14:paraId="4F001335" w14:textId="77777777" w:rsidR="00737EB2" w:rsidRPr="00765F6E" w:rsidRDefault="00737EB2" w:rsidP="00871D47">
            <w:pPr>
              <w:pStyle w:val="affffffffffff2"/>
              <w:jc w:val="center"/>
              <w:rPr>
                <w:rFonts w:hAnsi="宋体" w:cs="宋体"/>
                <w:sz w:val="18"/>
                <w:szCs w:val="18"/>
              </w:rPr>
            </w:pPr>
          </w:p>
        </w:tc>
        <w:tc>
          <w:tcPr>
            <w:tcW w:w="1969" w:type="pct"/>
            <w:shd w:val="clear" w:color="auto" w:fill="auto"/>
            <w:vAlign w:val="center"/>
          </w:tcPr>
          <w:p w14:paraId="50EDAC9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1200≤R＜1500</w:t>
            </w:r>
          </w:p>
        </w:tc>
        <w:tc>
          <w:tcPr>
            <w:tcW w:w="1667" w:type="pct"/>
            <w:shd w:val="clear" w:color="auto" w:fill="auto"/>
            <w:vAlign w:val="center"/>
          </w:tcPr>
          <w:p w14:paraId="49043DD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0.4</w:t>
            </w:r>
          </w:p>
        </w:tc>
      </w:tr>
      <w:tr w:rsidR="00737EB2" w:rsidRPr="00765F6E" w14:paraId="414A2151" w14:textId="77777777" w:rsidTr="00871D47">
        <w:trPr>
          <w:trHeight w:val="176"/>
        </w:trPr>
        <w:tc>
          <w:tcPr>
            <w:tcW w:w="1364" w:type="pct"/>
            <w:vMerge/>
            <w:shd w:val="clear" w:color="auto" w:fill="auto"/>
            <w:vAlign w:val="center"/>
          </w:tcPr>
          <w:p w14:paraId="16F99745" w14:textId="77777777" w:rsidR="00737EB2" w:rsidRPr="00765F6E" w:rsidRDefault="00737EB2" w:rsidP="00871D47">
            <w:pPr>
              <w:pStyle w:val="affffffffffff2"/>
              <w:jc w:val="center"/>
              <w:rPr>
                <w:rFonts w:hAnsi="宋体" w:cs="宋体"/>
                <w:sz w:val="18"/>
                <w:szCs w:val="18"/>
              </w:rPr>
            </w:pPr>
          </w:p>
        </w:tc>
        <w:tc>
          <w:tcPr>
            <w:tcW w:w="1969" w:type="pct"/>
            <w:shd w:val="clear" w:color="auto" w:fill="auto"/>
            <w:vAlign w:val="center"/>
          </w:tcPr>
          <w:p w14:paraId="002CF25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R＜1200</w:t>
            </w:r>
          </w:p>
        </w:tc>
        <w:tc>
          <w:tcPr>
            <w:tcW w:w="1667" w:type="pct"/>
            <w:shd w:val="clear" w:color="auto" w:fill="auto"/>
            <w:vAlign w:val="center"/>
          </w:tcPr>
          <w:p w14:paraId="575A610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0.5</w:t>
            </w:r>
          </w:p>
        </w:tc>
      </w:tr>
      <w:tr w:rsidR="00737EB2" w:rsidRPr="00765F6E" w14:paraId="6005E429" w14:textId="77777777" w:rsidTr="00871D47">
        <w:trPr>
          <w:trHeight w:val="176"/>
        </w:trPr>
        <w:tc>
          <w:tcPr>
            <w:tcW w:w="1364" w:type="pct"/>
            <w:vMerge w:val="restart"/>
            <w:shd w:val="clear" w:color="auto" w:fill="auto"/>
            <w:vAlign w:val="center"/>
          </w:tcPr>
          <w:p w14:paraId="53ECF06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140、1</w:t>
            </w:r>
            <w:r w:rsidRPr="00765F6E">
              <w:rPr>
                <w:rFonts w:hAnsi="宋体" w:cs="宋体"/>
                <w:sz w:val="18"/>
                <w:szCs w:val="18"/>
              </w:rPr>
              <w:t>60</w:t>
            </w:r>
          </w:p>
        </w:tc>
        <w:tc>
          <w:tcPr>
            <w:tcW w:w="1969" w:type="pct"/>
            <w:shd w:val="clear" w:color="auto" w:fill="auto"/>
            <w:vAlign w:val="center"/>
          </w:tcPr>
          <w:p w14:paraId="43CE657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R≥</w:t>
            </w:r>
            <w:r w:rsidRPr="00765F6E">
              <w:rPr>
                <w:rFonts w:hAnsi="宋体" w:cs="宋体"/>
                <w:sz w:val="18"/>
                <w:szCs w:val="18"/>
              </w:rPr>
              <w:t>7500</w:t>
            </w:r>
          </w:p>
        </w:tc>
        <w:tc>
          <w:tcPr>
            <w:tcW w:w="1667" w:type="pct"/>
            <w:shd w:val="clear" w:color="auto" w:fill="auto"/>
            <w:vAlign w:val="center"/>
          </w:tcPr>
          <w:p w14:paraId="6016A6B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0.1</w:t>
            </w:r>
          </w:p>
        </w:tc>
      </w:tr>
      <w:tr w:rsidR="00737EB2" w:rsidRPr="00765F6E" w14:paraId="2F868723" w14:textId="77777777" w:rsidTr="00871D47">
        <w:trPr>
          <w:trHeight w:val="176"/>
        </w:trPr>
        <w:tc>
          <w:tcPr>
            <w:tcW w:w="1364" w:type="pct"/>
            <w:vMerge/>
            <w:shd w:val="clear" w:color="auto" w:fill="auto"/>
            <w:vAlign w:val="center"/>
          </w:tcPr>
          <w:p w14:paraId="5D0EEF81" w14:textId="77777777" w:rsidR="00737EB2" w:rsidRPr="00765F6E" w:rsidRDefault="00737EB2" w:rsidP="00871D47">
            <w:pPr>
              <w:pStyle w:val="affffffffffff2"/>
              <w:jc w:val="center"/>
              <w:rPr>
                <w:rFonts w:hAnsi="宋体" w:cs="宋体"/>
                <w:sz w:val="18"/>
                <w:szCs w:val="18"/>
              </w:rPr>
            </w:pPr>
          </w:p>
        </w:tc>
        <w:tc>
          <w:tcPr>
            <w:tcW w:w="1969" w:type="pct"/>
            <w:shd w:val="clear" w:color="auto" w:fill="auto"/>
            <w:vAlign w:val="center"/>
          </w:tcPr>
          <w:p w14:paraId="2107164F"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3800</w:t>
            </w:r>
            <w:r w:rsidRPr="00765F6E">
              <w:rPr>
                <w:rFonts w:hAnsi="宋体" w:cs="宋体" w:hint="eastAsia"/>
                <w:sz w:val="18"/>
                <w:szCs w:val="18"/>
              </w:rPr>
              <w:t>≤R＜</w:t>
            </w:r>
            <w:r w:rsidRPr="00765F6E">
              <w:rPr>
                <w:rFonts w:hAnsi="宋体" w:cs="宋体"/>
                <w:sz w:val="18"/>
                <w:szCs w:val="18"/>
              </w:rPr>
              <w:t>7500</w:t>
            </w:r>
          </w:p>
        </w:tc>
        <w:tc>
          <w:tcPr>
            <w:tcW w:w="1667" w:type="pct"/>
            <w:shd w:val="clear" w:color="auto" w:fill="auto"/>
            <w:vAlign w:val="center"/>
          </w:tcPr>
          <w:p w14:paraId="27EFA48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0.2</w:t>
            </w:r>
          </w:p>
        </w:tc>
      </w:tr>
      <w:tr w:rsidR="00737EB2" w:rsidRPr="00765F6E" w14:paraId="20B2DD60" w14:textId="77777777" w:rsidTr="00871D47">
        <w:trPr>
          <w:trHeight w:val="176"/>
        </w:trPr>
        <w:tc>
          <w:tcPr>
            <w:tcW w:w="1364" w:type="pct"/>
            <w:vMerge/>
            <w:shd w:val="clear" w:color="auto" w:fill="auto"/>
            <w:vAlign w:val="center"/>
          </w:tcPr>
          <w:p w14:paraId="56FB0BE0" w14:textId="77777777" w:rsidR="00737EB2" w:rsidRPr="00765F6E" w:rsidRDefault="00737EB2" w:rsidP="00871D47">
            <w:pPr>
              <w:pStyle w:val="affffffffffff2"/>
              <w:jc w:val="center"/>
              <w:rPr>
                <w:rFonts w:hAnsi="宋体" w:cs="宋体"/>
                <w:sz w:val="18"/>
                <w:szCs w:val="18"/>
              </w:rPr>
            </w:pPr>
          </w:p>
        </w:tc>
        <w:tc>
          <w:tcPr>
            <w:tcW w:w="1969" w:type="pct"/>
            <w:shd w:val="clear" w:color="auto" w:fill="auto"/>
            <w:vAlign w:val="center"/>
          </w:tcPr>
          <w:p w14:paraId="7803791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2700≤R＜3800</w:t>
            </w:r>
          </w:p>
        </w:tc>
        <w:tc>
          <w:tcPr>
            <w:tcW w:w="1667" w:type="pct"/>
            <w:shd w:val="clear" w:color="auto" w:fill="auto"/>
            <w:vAlign w:val="center"/>
          </w:tcPr>
          <w:p w14:paraId="384A97E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0.3</w:t>
            </w:r>
          </w:p>
        </w:tc>
      </w:tr>
      <w:tr w:rsidR="00737EB2" w:rsidRPr="00765F6E" w14:paraId="60CA4DB9" w14:textId="77777777" w:rsidTr="00871D47">
        <w:trPr>
          <w:trHeight w:val="176"/>
        </w:trPr>
        <w:tc>
          <w:tcPr>
            <w:tcW w:w="1364" w:type="pct"/>
            <w:vMerge/>
            <w:shd w:val="clear" w:color="auto" w:fill="auto"/>
            <w:vAlign w:val="center"/>
          </w:tcPr>
          <w:p w14:paraId="08E37EE6" w14:textId="77777777" w:rsidR="00737EB2" w:rsidRPr="00765F6E" w:rsidRDefault="00737EB2" w:rsidP="00871D47">
            <w:pPr>
              <w:pStyle w:val="affffffffffff2"/>
              <w:jc w:val="center"/>
              <w:rPr>
                <w:rFonts w:hAnsi="宋体" w:cs="宋体"/>
                <w:sz w:val="18"/>
                <w:szCs w:val="18"/>
              </w:rPr>
            </w:pPr>
          </w:p>
        </w:tc>
        <w:tc>
          <w:tcPr>
            <w:tcW w:w="1969" w:type="pct"/>
            <w:shd w:val="clear" w:color="auto" w:fill="auto"/>
            <w:vAlign w:val="center"/>
          </w:tcPr>
          <w:p w14:paraId="1A87FAE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1900≤R＜2700</w:t>
            </w:r>
          </w:p>
        </w:tc>
        <w:tc>
          <w:tcPr>
            <w:tcW w:w="1667" w:type="pct"/>
            <w:shd w:val="clear" w:color="auto" w:fill="auto"/>
            <w:vAlign w:val="center"/>
          </w:tcPr>
          <w:p w14:paraId="6DB2008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0.4</w:t>
            </w:r>
          </w:p>
        </w:tc>
      </w:tr>
      <w:tr w:rsidR="00737EB2" w:rsidRPr="00765F6E" w14:paraId="4A17769E" w14:textId="77777777" w:rsidTr="00871D47">
        <w:trPr>
          <w:trHeight w:val="176"/>
        </w:trPr>
        <w:tc>
          <w:tcPr>
            <w:tcW w:w="1364" w:type="pct"/>
            <w:vMerge/>
            <w:tcBorders>
              <w:bottom w:val="single" w:sz="8" w:space="0" w:color="auto"/>
            </w:tcBorders>
            <w:shd w:val="clear" w:color="auto" w:fill="auto"/>
            <w:vAlign w:val="center"/>
          </w:tcPr>
          <w:p w14:paraId="4C148B99" w14:textId="77777777" w:rsidR="00737EB2" w:rsidRPr="00765F6E" w:rsidRDefault="00737EB2" w:rsidP="00871D47">
            <w:pPr>
              <w:pStyle w:val="affffffffffff2"/>
              <w:jc w:val="center"/>
              <w:rPr>
                <w:rFonts w:hAnsi="宋体" w:cs="宋体"/>
                <w:sz w:val="18"/>
                <w:szCs w:val="18"/>
              </w:rPr>
            </w:pPr>
          </w:p>
        </w:tc>
        <w:tc>
          <w:tcPr>
            <w:tcW w:w="1969" w:type="pct"/>
            <w:tcBorders>
              <w:bottom w:val="single" w:sz="8" w:space="0" w:color="auto"/>
            </w:tcBorders>
            <w:shd w:val="clear" w:color="auto" w:fill="auto"/>
            <w:vAlign w:val="center"/>
          </w:tcPr>
          <w:p w14:paraId="4B3C3AC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R＜1900</w:t>
            </w:r>
          </w:p>
        </w:tc>
        <w:tc>
          <w:tcPr>
            <w:tcW w:w="1667" w:type="pct"/>
            <w:tcBorders>
              <w:bottom w:val="single" w:sz="8" w:space="0" w:color="auto"/>
            </w:tcBorders>
            <w:shd w:val="clear" w:color="auto" w:fill="auto"/>
            <w:vAlign w:val="center"/>
          </w:tcPr>
          <w:p w14:paraId="60A8E2F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0.5</w:t>
            </w:r>
          </w:p>
        </w:tc>
      </w:tr>
    </w:tbl>
    <w:p w14:paraId="012E6C49" w14:textId="77777777" w:rsidR="00737EB2" w:rsidRPr="00765F6E" w:rsidRDefault="00737EB2" w:rsidP="00737EB2">
      <w:pPr>
        <w:spacing w:line="240" w:lineRule="auto"/>
      </w:pPr>
    </w:p>
    <w:p w14:paraId="6CFCDAAC" w14:textId="375E9446" w:rsidR="00737EB2" w:rsidRDefault="00737EB2" w:rsidP="009D0776">
      <w:pPr>
        <w:pStyle w:val="22"/>
      </w:pPr>
      <w:bookmarkStart w:id="1077" w:name="_Toc153291241"/>
      <w:bookmarkStart w:id="1078" w:name="_Toc99791810"/>
      <w:r w:rsidRPr="00765F6E">
        <w:rPr>
          <w:rFonts w:hint="eastAsia"/>
        </w:rPr>
        <w:t>路</w:t>
      </w:r>
      <w:r w:rsidRPr="005D4937">
        <w:rPr>
          <w:rFonts w:hint="eastAsia"/>
        </w:rPr>
        <w:t>基横断面可按图2～图</w:t>
      </w:r>
      <w:r w:rsidR="00180FDA">
        <w:t>5</w:t>
      </w:r>
      <w:r w:rsidRPr="005D4937">
        <w:rPr>
          <w:rFonts w:hint="eastAsia"/>
        </w:rPr>
        <w:t>所示的形式选用</w:t>
      </w:r>
      <w:r w:rsidRPr="00765F6E">
        <w:rPr>
          <w:rFonts w:hint="eastAsia"/>
        </w:rPr>
        <w:t>。</w:t>
      </w:r>
      <w:bookmarkEnd w:id="1077"/>
      <w:bookmarkEnd w:id="1078"/>
    </w:p>
    <w:p w14:paraId="073BF5B3" w14:textId="77777777" w:rsidR="00DB237D" w:rsidRPr="00DB237D" w:rsidRDefault="00DB237D" w:rsidP="00DB237D">
      <w:pPr>
        <w:pStyle w:val="affffb"/>
        <w:ind w:firstLine="420"/>
      </w:pPr>
    </w:p>
    <w:p w14:paraId="74CB31DF" w14:textId="77777777" w:rsidR="002A6FA2" w:rsidRPr="00765F6E" w:rsidRDefault="002A6FA2" w:rsidP="002A6FA2">
      <w:pPr>
        <w:pStyle w:val="affffb"/>
        <w:spacing w:before="156" w:after="156"/>
        <w:ind w:firstLine="360"/>
        <w:jc w:val="right"/>
        <w:rPr>
          <w:sz w:val="18"/>
          <w:szCs w:val="18"/>
        </w:rPr>
      </w:pPr>
      <w:r w:rsidRPr="00765F6E">
        <w:rPr>
          <w:rFonts w:hint="eastAsia"/>
          <w:sz w:val="18"/>
          <w:szCs w:val="18"/>
        </w:rPr>
        <w:t>单位为米</w:t>
      </w:r>
    </w:p>
    <w:p w14:paraId="32453704" w14:textId="654C7B99" w:rsidR="002A6FA2" w:rsidRPr="00765F6E" w:rsidRDefault="00395AD0" w:rsidP="002A6FA2">
      <w:pPr>
        <w:pStyle w:val="affffb"/>
        <w:spacing w:before="156" w:after="156"/>
        <w:ind w:firstLineChars="0" w:firstLine="0"/>
        <w:jc w:val="center"/>
      </w:pPr>
      <w:r>
        <w:drawing>
          <wp:inline distT="0" distB="0" distL="0" distR="0" wp14:anchorId="4745DACD" wp14:editId="1B7E61BF">
            <wp:extent cx="5939790" cy="1856740"/>
            <wp:effectExtent l="0" t="0" r="381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39790" cy="1856740"/>
                    </a:xfrm>
                    <a:prstGeom prst="rect">
                      <a:avLst/>
                    </a:prstGeom>
                  </pic:spPr>
                </pic:pic>
              </a:graphicData>
            </a:graphic>
          </wp:inline>
        </w:drawing>
      </w:r>
    </w:p>
    <w:p w14:paraId="245C69CC" w14:textId="77777777" w:rsidR="002A6FA2" w:rsidRPr="00765F6E" w:rsidRDefault="002A6FA2" w:rsidP="002A6FA2">
      <w:pPr>
        <w:pStyle w:val="afe"/>
        <w:spacing w:before="156" w:after="156"/>
      </w:pPr>
      <w:r w:rsidRPr="00765F6E">
        <w:rPr>
          <w:rFonts w:hint="eastAsia"/>
        </w:rPr>
        <w:t>有砟轨道双线</w:t>
      </w:r>
      <w:r>
        <w:rPr>
          <w:rFonts w:hint="eastAsia"/>
        </w:rPr>
        <w:t>路堤</w:t>
      </w:r>
      <w:r w:rsidRPr="00765F6E">
        <w:rPr>
          <w:rFonts w:hint="eastAsia"/>
        </w:rPr>
        <w:t>横断面图</w:t>
      </w:r>
    </w:p>
    <w:p w14:paraId="5A866817" w14:textId="77777777" w:rsidR="00737EB2" w:rsidRPr="00765F6E" w:rsidRDefault="00737EB2" w:rsidP="00737EB2">
      <w:pPr>
        <w:pStyle w:val="affffb"/>
        <w:spacing w:before="156" w:after="156"/>
        <w:ind w:firstLine="360"/>
        <w:jc w:val="right"/>
        <w:rPr>
          <w:sz w:val="18"/>
          <w:szCs w:val="18"/>
        </w:rPr>
      </w:pPr>
      <w:r w:rsidRPr="00765F6E">
        <w:rPr>
          <w:rFonts w:hint="eastAsia"/>
          <w:sz w:val="18"/>
          <w:szCs w:val="18"/>
        </w:rPr>
        <w:t>单位为米</w:t>
      </w:r>
    </w:p>
    <w:p w14:paraId="33EDA597" w14:textId="422E88DB" w:rsidR="004C6B1A" w:rsidRDefault="00523787" w:rsidP="00453DBE">
      <w:pPr>
        <w:pStyle w:val="affffb"/>
        <w:spacing w:before="156" w:after="156"/>
        <w:ind w:firstLineChars="0" w:firstLine="0"/>
        <w:jc w:val="center"/>
      </w:pPr>
      <w:r>
        <w:drawing>
          <wp:inline distT="0" distB="0" distL="0" distR="0" wp14:anchorId="729F0568" wp14:editId="04900CF8">
            <wp:extent cx="5939790" cy="1678305"/>
            <wp:effectExtent l="0" t="0" r="381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39790" cy="1678305"/>
                    </a:xfrm>
                    <a:prstGeom prst="rect">
                      <a:avLst/>
                    </a:prstGeom>
                  </pic:spPr>
                </pic:pic>
              </a:graphicData>
            </a:graphic>
          </wp:inline>
        </w:drawing>
      </w:r>
    </w:p>
    <w:p w14:paraId="4263AAA7" w14:textId="0E44FF18" w:rsidR="00737EB2" w:rsidRPr="000131E3" w:rsidRDefault="00737EB2" w:rsidP="004C6B1A">
      <w:pPr>
        <w:pStyle w:val="affffb"/>
        <w:ind w:firstLine="420"/>
        <w:jc w:val="left"/>
        <w:rPr>
          <w:szCs w:val="21"/>
        </w:rPr>
      </w:pPr>
      <w:r w:rsidRPr="000131E3">
        <w:rPr>
          <w:rFonts w:hint="eastAsia"/>
          <w:szCs w:val="21"/>
        </w:rPr>
        <w:t>标引序号说明</w:t>
      </w:r>
      <w:r w:rsidR="001417D5">
        <w:rPr>
          <w:rFonts w:hint="eastAsia"/>
          <w:szCs w:val="21"/>
        </w:rPr>
        <w:t>：</w:t>
      </w:r>
    </w:p>
    <w:p w14:paraId="0496B073" w14:textId="77777777" w:rsidR="00737EB2" w:rsidRPr="000131E3" w:rsidRDefault="00737EB2" w:rsidP="005D4937">
      <w:pPr>
        <w:pStyle w:val="affffb"/>
        <w:ind w:firstLine="420"/>
        <w:jc w:val="left"/>
        <w:rPr>
          <w:szCs w:val="21"/>
        </w:rPr>
      </w:pPr>
      <w:r w:rsidRPr="000131E3">
        <w:rPr>
          <w:rFonts w:hint="eastAsia"/>
          <w:szCs w:val="21"/>
        </w:rPr>
        <w:t>a——砟肩宽度；</w:t>
      </w:r>
    </w:p>
    <w:p w14:paraId="23FBCED9" w14:textId="77777777" w:rsidR="00737EB2" w:rsidRPr="000131E3" w:rsidRDefault="00737EB2" w:rsidP="005D4937">
      <w:pPr>
        <w:pStyle w:val="affffb"/>
        <w:ind w:firstLine="420"/>
        <w:jc w:val="left"/>
        <w:rPr>
          <w:szCs w:val="21"/>
        </w:rPr>
      </w:pPr>
      <w:r w:rsidRPr="000131E3">
        <w:rPr>
          <w:rFonts w:hint="eastAsia"/>
          <w:szCs w:val="21"/>
        </w:rPr>
        <w:t>b——砟肩至砟脚的水平距离；</w:t>
      </w:r>
    </w:p>
    <w:p w14:paraId="0E3B0E9C" w14:textId="77777777" w:rsidR="00737EB2" w:rsidRPr="000131E3" w:rsidRDefault="00737EB2" w:rsidP="005D4937">
      <w:pPr>
        <w:pStyle w:val="affffb"/>
        <w:ind w:firstLine="420"/>
        <w:jc w:val="left"/>
        <w:rPr>
          <w:szCs w:val="21"/>
        </w:rPr>
      </w:pPr>
      <w:r w:rsidRPr="000131E3">
        <w:rPr>
          <w:rFonts w:hint="eastAsia"/>
          <w:szCs w:val="21"/>
        </w:rPr>
        <w:t>c——路肩宽度。</w:t>
      </w:r>
    </w:p>
    <w:p w14:paraId="0AAC3DDB" w14:textId="57C3DB15" w:rsidR="00737EB2" w:rsidRDefault="00737EB2" w:rsidP="00737EB2">
      <w:pPr>
        <w:pStyle w:val="afe"/>
        <w:spacing w:before="156" w:afterLines="100" w:after="312"/>
      </w:pPr>
      <w:r w:rsidRPr="00765F6E">
        <w:rPr>
          <w:rFonts w:hint="eastAsia"/>
        </w:rPr>
        <w:t>有砟轨道双线路堑横断面图</w:t>
      </w:r>
    </w:p>
    <w:p w14:paraId="5D53A44D" w14:textId="13BE5344" w:rsidR="002A6FA2" w:rsidRPr="00765F6E" w:rsidRDefault="002A6FA2" w:rsidP="0051636C">
      <w:pPr>
        <w:widowControl/>
        <w:adjustRightInd/>
        <w:spacing w:line="240" w:lineRule="auto"/>
        <w:jc w:val="right"/>
        <w:rPr>
          <w:sz w:val="18"/>
          <w:szCs w:val="18"/>
        </w:rPr>
      </w:pPr>
      <w:r w:rsidRPr="00765F6E">
        <w:rPr>
          <w:rFonts w:hint="eastAsia"/>
          <w:sz w:val="18"/>
          <w:szCs w:val="18"/>
        </w:rPr>
        <w:lastRenderedPageBreak/>
        <w:t>单位为米</w:t>
      </w:r>
    </w:p>
    <w:p w14:paraId="6CD3158E" w14:textId="07FB04C7" w:rsidR="002A6FA2" w:rsidRPr="00765F6E" w:rsidRDefault="00395AD0" w:rsidP="00180FDA">
      <w:pPr>
        <w:pStyle w:val="affffb"/>
        <w:spacing w:before="156" w:after="156"/>
        <w:ind w:firstLineChars="0" w:firstLine="0"/>
        <w:jc w:val="center"/>
      </w:pPr>
      <w:r>
        <w:drawing>
          <wp:inline distT="0" distB="0" distL="0" distR="0" wp14:anchorId="52277F76" wp14:editId="5DD2BA28">
            <wp:extent cx="5939790" cy="1960245"/>
            <wp:effectExtent l="0" t="0" r="3810" b="190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39790" cy="1960245"/>
                    </a:xfrm>
                    <a:prstGeom prst="rect">
                      <a:avLst/>
                    </a:prstGeom>
                  </pic:spPr>
                </pic:pic>
              </a:graphicData>
            </a:graphic>
          </wp:inline>
        </w:drawing>
      </w:r>
    </w:p>
    <w:p w14:paraId="78EEE4E4" w14:textId="77777777" w:rsidR="002A6FA2" w:rsidRPr="00765F6E" w:rsidRDefault="002A6FA2" w:rsidP="002A6FA2">
      <w:pPr>
        <w:pStyle w:val="afe"/>
        <w:spacing w:before="156" w:after="156"/>
      </w:pPr>
      <w:r w:rsidRPr="00765F6E">
        <w:rPr>
          <w:rFonts w:hint="eastAsia"/>
        </w:rPr>
        <w:t>无砟轨道双线</w:t>
      </w:r>
      <w:r>
        <w:rPr>
          <w:rFonts w:hint="eastAsia"/>
        </w:rPr>
        <w:t>路堤</w:t>
      </w:r>
      <w:r w:rsidRPr="00765F6E">
        <w:rPr>
          <w:rFonts w:hint="eastAsia"/>
        </w:rPr>
        <w:t>横断面图</w:t>
      </w:r>
    </w:p>
    <w:p w14:paraId="0FB89092" w14:textId="77777777" w:rsidR="002A6FA2" w:rsidRPr="002A6FA2" w:rsidRDefault="002A6FA2" w:rsidP="00453DBE">
      <w:pPr>
        <w:pStyle w:val="affffb"/>
        <w:ind w:firstLine="420"/>
      </w:pPr>
    </w:p>
    <w:p w14:paraId="5EA4F881" w14:textId="28BCDE24" w:rsidR="00737EB2" w:rsidRPr="00765F6E" w:rsidRDefault="00737EB2" w:rsidP="00DF1ECE">
      <w:pPr>
        <w:widowControl/>
        <w:adjustRightInd/>
        <w:spacing w:line="240" w:lineRule="auto"/>
        <w:jc w:val="right"/>
        <w:rPr>
          <w:sz w:val="18"/>
          <w:szCs w:val="18"/>
        </w:rPr>
      </w:pPr>
      <w:r w:rsidRPr="00765F6E">
        <w:rPr>
          <w:rFonts w:hint="eastAsia"/>
          <w:sz w:val="18"/>
          <w:szCs w:val="18"/>
        </w:rPr>
        <w:t>单位为米</w:t>
      </w:r>
    </w:p>
    <w:p w14:paraId="79DE4400" w14:textId="43F2FD97" w:rsidR="00737EB2" w:rsidRPr="00765F6E" w:rsidRDefault="00523787" w:rsidP="00C31C0C">
      <w:pPr>
        <w:pStyle w:val="affffb"/>
        <w:spacing w:before="156" w:after="156"/>
        <w:ind w:firstLineChars="0" w:firstLine="0"/>
        <w:jc w:val="center"/>
      </w:pPr>
      <w:r>
        <w:drawing>
          <wp:inline distT="0" distB="0" distL="0" distR="0" wp14:anchorId="59D101AE" wp14:editId="28F60B43">
            <wp:extent cx="5939790" cy="2013585"/>
            <wp:effectExtent l="0" t="0" r="3810" b="571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39790" cy="2013585"/>
                    </a:xfrm>
                    <a:prstGeom prst="rect">
                      <a:avLst/>
                    </a:prstGeom>
                  </pic:spPr>
                </pic:pic>
              </a:graphicData>
            </a:graphic>
          </wp:inline>
        </w:drawing>
      </w:r>
    </w:p>
    <w:p w14:paraId="5EE3BDB7" w14:textId="0176C9F6" w:rsidR="00737EB2" w:rsidRPr="00765F6E" w:rsidRDefault="00737EB2" w:rsidP="00737EB2">
      <w:pPr>
        <w:pStyle w:val="afe"/>
        <w:spacing w:before="156" w:after="156"/>
      </w:pPr>
      <w:r w:rsidRPr="00765F6E">
        <w:rPr>
          <w:rFonts w:hint="eastAsia"/>
        </w:rPr>
        <w:t>无砟轨道双线路堑横断面图</w:t>
      </w:r>
    </w:p>
    <w:p w14:paraId="45FA442C" w14:textId="77777777" w:rsidR="00737EB2" w:rsidRPr="00765F6E" w:rsidRDefault="00737EB2" w:rsidP="00737EB2">
      <w:pPr>
        <w:pStyle w:val="affe"/>
        <w:spacing w:before="156" w:after="156"/>
      </w:pPr>
      <w:bookmarkStart w:id="1079" w:name="_Toc99791811"/>
      <w:bookmarkStart w:id="1080" w:name="_Toc153291242"/>
      <w:bookmarkStart w:id="1081" w:name="_Toc153210860"/>
      <w:bookmarkStart w:id="1082" w:name="_Toc167895757"/>
      <w:bookmarkStart w:id="1083" w:name="_Toc174538671"/>
      <w:bookmarkStart w:id="1084" w:name="_Toc182476426"/>
      <w:r w:rsidRPr="00765F6E">
        <w:rPr>
          <w:rFonts w:hint="eastAsia"/>
        </w:rPr>
        <w:t>基床</w:t>
      </w:r>
      <w:bookmarkEnd w:id="1079"/>
      <w:bookmarkEnd w:id="1080"/>
      <w:bookmarkEnd w:id="1081"/>
      <w:bookmarkEnd w:id="1082"/>
      <w:bookmarkEnd w:id="1083"/>
      <w:bookmarkEnd w:id="1084"/>
    </w:p>
    <w:p w14:paraId="2D1623CD" w14:textId="77777777" w:rsidR="00737EB2" w:rsidRPr="005D4937" w:rsidRDefault="00737EB2" w:rsidP="009D0776">
      <w:pPr>
        <w:pStyle w:val="22"/>
      </w:pPr>
      <w:bookmarkStart w:id="1085" w:name="_Toc153291243"/>
      <w:bookmarkStart w:id="1086" w:name="_Toc99791812"/>
      <w:r w:rsidRPr="00765F6E">
        <w:rPr>
          <w:rFonts w:hint="eastAsia"/>
        </w:rPr>
        <w:t>路基基床应由基床表层</w:t>
      </w:r>
      <w:r w:rsidRPr="005D4937">
        <w:rPr>
          <w:rFonts w:hint="eastAsia"/>
        </w:rPr>
        <w:t>和基床底层构成。有砟轨道路基基床表层厚度应为0.5m，基床底层厚度应为 1.5m；无砟轨道路基基床表层厚度应为0.3m，基床底层厚度应为 1.5m。</w:t>
      </w:r>
      <w:bookmarkEnd w:id="1085"/>
      <w:bookmarkEnd w:id="1086"/>
    </w:p>
    <w:p w14:paraId="456844D1" w14:textId="04970F0E" w:rsidR="00737EB2" w:rsidRPr="005D4937" w:rsidRDefault="00737EB2" w:rsidP="009D0776">
      <w:pPr>
        <w:pStyle w:val="22"/>
      </w:pPr>
      <w:bookmarkStart w:id="1087" w:name="_Toc99791813"/>
      <w:bookmarkStart w:id="1088" w:name="_Toc153291244"/>
      <w:r w:rsidRPr="005D4937">
        <w:rPr>
          <w:rFonts w:hint="eastAsia"/>
        </w:rPr>
        <w:t>基床表层的填料应满足表</w:t>
      </w:r>
      <w:r w:rsidR="00E512B4" w:rsidRPr="005D4937">
        <w:rPr>
          <w:rFonts w:hint="eastAsia"/>
        </w:rPr>
        <w:t>3</w:t>
      </w:r>
      <w:r w:rsidR="00E512B4">
        <w:t>9</w:t>
      </w:r>
      <w:r w:rsidRPr="005D4937">
        <w:rPr>
          <w:rFonts w:hint="eastAsia"/>
        </w:rPr>
        <w:t>的要求，压实标准应满足表</w:t>
      </w:r>
      <w:r w:rsidR="00E512B4">
        <w:t>40</w:t>
      </w:r>
      <w:r w:rsidRPr="005D4937">
        <w:rPr>
          <w:rFonts w:hint="eastAsia"/>
        </w:rPr>
        <w:t>的要求。</w:t>
      </w:r>
      <w:bookmarkEnd w:id="1087"/>
      <w:bookmarkEnd w:id="1088"/>
    </w:p>
    <w:p w14:paraId="4C24DB7E" w14:textId="77777777" w:rsidR="00737EB2" w:rsidRPr="00765F6E" w:rsidRDefault="00737EB2" w:rsidP="00737EB2">
      <w:pPr>
        <w:pStyle w:val="aff3"/>
        <w:spacing w:before="156" w:after="156"/>
      </w:pPr>
      <w:r w:rsidRPr="00765F6E">
        <w:rPr>
          <w:rFonts w:hint="eastAsia"/>
        </w:rPr>
        <w:t>基床表层的填料要求</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269"/>
        <w:gridCol w:w="1277"/>
        <w:gridCol w:w="1436"/>
        <w:gridCol w:w="5352"/>
      </w:tblGrid>
      <w:tr w:rsidR="00737EB2" w:rsidRPr="00765F6E" w14:paraId="6126E5AE" w14:textId="77777777" w:rsidTr="00871D47">
        <w:trPr>
          <w:trHeight w:val="176"/>
        </w:trPr>
        <w:tc>
          <w:tcPr>
            <w:tcW w:w="680" w:type="pct"/>
            <w:vMerge w:val="restart"/>
            <w:tcBorders>
              <w:top w:val="single" w:sz="8" w:space="0" w:color="auto"/>
              <w:bottom w:val="single" w:sz="4" w:space="0" w:color="auto"/>
            </w:tcBorders>
            <w:shd w:val="clear" w:color="auto" w:fill="auto"/>
            <w:vAlign w:val="center"/>
          </w:tcPr>
          <w:p w14:paraId="3D055B3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轨道</w:t>
            </w:r>
            <w:r w:rsidRPr="00765F6E">
              <w:rPr>
                <w:rFonts w:hAnsi="宋体" w:cs="宋体"/>
                <w:sz w:val="18"/>
                <w:szCs w:val="18"/>
              </w:rPr>
              <w:t>类型</w:t>
            </w:r>
          </w:p>
        </w:tc>
        <w:tc>
          <w:tcPr>
            <w:tcW w:w="684" w:type="pct"/>
            <w:vMerge w:val="restart"/>
            <w:tcBorders>
              <w:top w:val="single" w:sz="8" w:space="0" w:color="auto"/>
              <w:bottom w:val="single" w:sz="4" w:space="0" w:color="auto"/>
            </w:tcBorders>
            <w:shd w:val="clear" w:color="auto" w:fill="auto"/>
            <w:vAlign w:val="center"/>
          </w:tcPr>
          <w:p w14:paraId="118A5E00"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设计</w:t>
            </w:r>
            <w:r w:rsidRPr="00765F6E">
              <w:rPr>
                <w:rFonts w:hAnsi="宋体" w:cs="宋体"/>
                <w:sz w:val="18"/>
                <w:szCs w:val="18"/>
              </w:rPr>
              <w:t>速度</w:t>
            </w:r>
            <w:r w:rsidRPr="00765F6E">
              <w:rPr>
                <w:rFonts w:hAnsi="宋体" w:cs="宋体" w:hint="eastAsia"/>
                <w:sz w:val="18"/>
                <w:szCs w:val="18"/>
              </w:rPr>
              <w:t>km/h</w:t>
            </w:r>
          </w:p>
        </w:tc>
        <w:tc>
          <w:tcPr>
            <w:tcW w:w="3636" w:type="pct"/>
            <w:gridSpan w:val="2"/>
            <w:tcBorders>
              <w:top w:val="single" w:sz="8" w:space="0" w:color="auto"/>
              <w:bottom w:val="single" w:sz="4" w:space="0" w:color="auto"/>
            </w:tcBorders>
            <w:shd w:val="clear" w:color="auto" w:fill="auto"/>
            <w:vAlign w:val="center"/>
          </w:tcPr>
          <w:p w14:paraId="0444DEE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填料</w:t>
            </w:r>
            <w:r w:rsidRPr="00765F6E">
              <w:rPr>
                <w:rFonts w:hAnsi="宋体" w:cs="宋体"/>
                <w:sz w:val="18"/>
                <w:szCs w:val="18"/>
              </w:rPr>
              <w:t>要求</w:t>
            </w:r>
          </w:p>
        </w:tc>
      </w:tr>
      <w:tr w:rsidR="00737EB2" w:rsidRPr="00765F6E" w14:paraId="59777048" w14:textId="77777777" w:rsidTr="00871D47">
        <w:trPr>
          <w:trHeight w:val="176"/>
        </w:trPr>
        <w:tc>
          <w:tcPr>
            <w:tcW w:w="680" w:type="pct"/>
            <w:vMerge/>
            <w:tcBorders>
              <w:top w:val="single" w:sz="4" w:space="0" w:color="auto"/>
              <w:bottom w:val="single" w:sz="8" w:space="0" w:color="auto"/>
            </w:tcBorders>
            <w:shd w:val="clear" w:color="auto" w:fill="auto"/>
            <w:vAlign w:val="center"/>
          </w:tcPr>
          <w:p w14:paraId="2C4627CB" w14:textId="77777777" w:rsidR="00737EB2" w:rsidRPr="00765F6E" w:rsidRDefault="00737EB2" w:rsidP="00871D47">
            <w:pPr>
              <w:pStyle w:val="affffffffffff2"/>
              <w:jc w:val="center"/>
              <w:rPr>
                <w:rFonts w:hAnsi="宋体" w:cs="宋体"/>
                <w:sz w:val="18"/>
                <w:szCs w:val="18"/>
              </w:rPr>
            </w:pPr>
          </w:p>
        </w:tc>
        <w:tc>
          <w:tcPr>
            <w:tcW w:w="684" w:type="pct"/>
            <w:vMerge/>
            <w:tcBorders>
              <w:top w:val="single" w:sz="4" w:space="0" w:color="auto"/>
              <w:bottom w:val="single" w:sz="8" w:space="0" w:color="auto"/>
            </w:tcBorders>
            <w:shd w:val="clear" w:color="auto" w:fill="auto"/>
            <w:vAlign w:val="center"/>
          </w:tcPr>
          <w:p w14:paraId="1A715996" w14:textId="77777777" w:rsidR="00737EB2" w:rsidRPr="00765F6E" w:rsidRDefault="00737EB2" w:rsidP="00871D47">
            <w:pPr>
              <w:pStyle w:val="affffffffffff2"/>
              <w:jc w:val="center"/>
              <w:rPr>
                <w:rFonts w:hAnsi="宋体" w:cs="宋体"/>
                <w:sz w:val="18"/>
                <w:szCs w:val="18"/>
              </w:rPr>
            </w:pPr>
          </w:p>
        </w:tc>
        <w:tc>
          <w:tcPr>
            <w:tcW w:w="769" w:type="pct"/>
            <w:tcBorders>
              <w:top w:val="single" w:sz="4" w:space="0" w:color="auto"/>
              <w:bottom w:val="single" w:sz="8" w:space="0" w:color="auto"/>
            </w:tcBorders>
            <w:shd w:val="clear" w:color="auto" w:fill="auto"/>
            <w:vAlign w:val="center"/>
          </w:tcPr>
          <w:p w14:paraId="098683D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最大</w:t>
            </w:r>
            <w:r w:rsidRPr="00765F6E">
              <w:rPr>
                <w:rFonts w:hAnsi="宋体" w:cs="宋体"/>
                <w:sz w:val="18"/>
                <w:szCs w:val="18"/>
              </w:rPr>
              <w:t>颗粒</w:t>
            </w:r>
          </w:p>
        </w:tc>
        <w:tc>
          <w:tcPr>
            <w:tcW w:w="2867" w:type="pct"/>
            <w:tcBorders>
              <w:top w:val="single" w:sz="4" w:space="0" w:color="auto"/>
              <w:bottom w:val="single" w:sz="8" w:space="0" w:color="auto"/>
            </w:tcBorders>
            <w:shd w:val="clear" w:color="auto" w:fill="auto"/>
            <w:vAlign w:val="center"/>
          </w:tcPr>
          <w:p w14:paraId="087DB43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组别</w:t>
            </w:r>
            <w:r w:rsidRPr="00765F6E">
              <w:rPr>
                <w:rFonts w:hAnsi="宋体" w:cs="宋体"/>
                <w:sz w:val="18"/>
                <w:szCs w:val="18"/>
              </w:rPr>
              <w:t>要求</w:t>
            </w:r>
          </w:p>
        </w:tc>
      </w:tr>
      <w:tr w:rsidR="00737EB2" w:rsidRPr="00765F6E" w14:paraId="5D254E91" w14:textId="77777777" w:rsidTr="00871D47">
        <w:trPr>
          <w:trHeight w:val="176"/>
        </w:trPr>
        <w:tc>
          <w:tcPr>
            <w:tcW w:w="680" w:type="pct"/>
            <w:vMerge w:val="restart"/>
            <w:tcBorders>
              <w:top w:val="single" w:sz="8" w:space="0" w:color="auto"/>
            </w:tcBorders>
            <w:shd w:val="clear" w:color="auto" w:fill="auto"/>
            <w:vAlign w:val="center"/>
          </w:tcPr>
          <w:p w14:paraId="561B4CE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有</w:t>
            </w:r>
            <w:r w:rsidRPr="00765F6E">
              <w:rPr>
                <w:rFonts w:hAnsi="宋体" w:cs="宋体"/>
                <w:sz w:val="18"/>
                <w:szCs w:val="18"/>
              </w:rPr>
              <w:t>砟轨道</w:t>
            </w:r>
          </w:p>
        </w:tc>
        <w:tc>
          <w:tcPr>
            <w:tcW w:w="684" w:type="pct"/>
            <w:tcBorders>
              <w:top w:val="single" w:sz="8" w:space="0" w:color="auto"/>
            </w:tcBorders>
            <w:shd w:val="clear" w:color="auto" w:fill="auto"/>
            <w:vAlign w:val="center"/>
          </w:tcPr>
          <w:p w14:paraId="70611B9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120</w:t>
            </w:r>
          </w:p>
        </w:tc>
        <w:tc>
          <w:tcPr>
            <w:tcW w:w="769" w:type="pct"/>
            <w:tcBorders>
              <w:top w:val="single" w:sz="8" w:space="0" w:color="auto"/>
            </w:tcBorders>
            <w:shd w:val="clear" w:color="auto" w:fill="auto"/>
            <w:vAlign w:val="center"/>
          </w:tcPr>
          <w:p w14:paraId="586C777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10</w:t>
            </w:r>
            <w:r w:rsidRPr="00765F6E">
              <w:rPr>
                <w:rFonts w:hAnsi="宋体" w:cs="宋体" w:hint="eastAsia"/>
                <w:sz w:val="18"/>
                <w:szCs w:val="18"/>
              </w:rPr>
              <w:t>0</w:t>
            </w:r>
            <w:r w:rsidRPr="00765F6E">
              <w:rPr>
                <w:rFonts w:hAnsi="宋体" w:cs="宋体"/>
                <w:sz w:val="18"/>
                <w:szCs w:val="18"/>
              </w:rPr>
              <w:t>mm</w:t>
            </w:r>
          </w:p>
        </w:tc>
        <w:tc>
          <w:tcPr>
            <w:tcW w:w="2867" w:type="pct"/>
            <w:tcBorders>
              <w:top w:val="single" w:sz="8" w:space="0" w:color="auto"/>
            </w:tcBorders>
            <w:shd w:val="clear" w:color="auto" w:fill="auto"/>
            <w:vAlign w:val="center"/>
          </w:tcPr>
          <w:p w14:paraId="54305477" w14:textId="3D0331F9"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优先</w:t>
            </w:r>
            <w:r w:rsidRPr="00765F6E">
              <w:rPr>
                <w:rFonts w:hAnsi="宋体" w:cs="宋体"/>
                <w:sz w:val="18"/>
                <w:szCs w:val="18"/>
              </w:rPr>
              <w:t>选用</w:t>
            </w:r>
            <w:r w:rsidRPr="00765F6E">
              <w:rPr>
                <w:rFonts w:hAnsi="宋体" w:cs="宋体" w:hint="eastAsia"/>
                <w:sz w:val="18"/>
                <w:szCs w:val="18"/>
              </w:rPr>
              <w:t>表</w:t>
            </w:r>
            <w:r w:rsidR="00CF1E47">
              <w:rPr>
                <w:rFonts w:hAnsi="宋体" w:cs="宋体"/>
                <w:sz w:val="18"/>
                <w:szCs w:val="18"/>
              </w:rPr>
              <w:t>40</w:t>
            </w:r>
            <w:r w:rsidRPr="00765F6E">
              <w:rPr>
                <w:rFonts w:hAnsi="宋体" w:cs="宋体"/>
                <w:sz w:val="18"/>
                <w:szCs w:val="18"/>
              </w:rPr>
              <w:t>中的</w:t>
            </w:r>
            <w:r w:rsidRPr="00765F6E">
              <w:rPr>
                <w:rFonts w:hAnsi="宋体" w:cs="宋体" w:hint="eastAsia"/>
                <w:sz w:val="18"/>
                <w:szCs w:val="18"/>
              </w:rPr>
              <w:t>A1、A2组</w:t>
            </w:r>
            <w:r w:rsidRPr="00765F6E">
              <w:rPr>
                <w:rFonts w:hAnsi="宋体" w:cs="宋体"/>
                <w:sz w:val="18"/>
                <w:szCs w:val="18"/>
              </w:rPr>
              <w:t>填料；</w:t>
            </w:r>
            <w:r w:rsidRPr="00765F6E">
              <w:rPr>
                <w:rFonts w:hAnsi="宋体" w:cs="宋体" w:hint="eastAsia"/>
                <w:sz w:val="18"/>
                <w:szCs w:val="18"/>
              </w:rPr>
              <w:t>其次</w:t>
            </w:r>
            <w:r w:rsidRPr="00765F6E">
              <w:rPr>
                <w:rFonts w:hAnsi="宋体" w:cs="宋体"/>
                <w:sz w:val="18"/>
                <w:szCs w:val="18"/>
              </w:rPr>
              <w:t>为</w:t>
            </w:r>
            <w:r w:rsidRPr="00765F6E">
              <w:rPr>
                <w:rFonts w:hAnsi="宋体" w:cs="宋体" w:hint="eastAsia"/>
                <w:sz w:val="18"/>
                <w:szCs w:val="18"/>
              </w:rPr>
              <w:t>表</w:t>
            </w:r>
            <w:r w:rsidR="00CF1E47">
              <w:rPr>
                <w:rFonts w:hAnsi="宋体" w:cs="宋体"/>
                <w:sz w:val="18"/>
                <w:szCs w:val="18"/>
              </w:rPr>
              <w:t>40</w:t>
            </w:r>
            <w:r w:rsidRPr="00765F6E">
              <w:rPr>
                <w:rFonts w:hAnsi="宋体" w:cs="宋体"/>
                <w:sz w:val="18"/>
                <w:szCs w:val="18"/>
              </w:rPr>
              <w:t>中的B</w:t>
            </w:r>
            <w:r w:rsidRPr="00765F6E">
              <w:rPr>
                <w:rFonts w:hAnsi="宋体" w:cs="宋体" w:hint="eastAsia"/>
                <w:sz w:val="18"/>
                <w:szCs w:val="18"/>
              </w:rPr>
              <w:t>1、</w:t>
            </w:r>
            <w:r w:rsidRPr="00765F6E">
              <w:rPr>
                <w:rFonts w:hAnsi="宋体" w:cs="宋体"/>
                <w:sz w:val="18"/>
                <w:szCs w:val="18"/>
              </w:rPr>
              <w:t>B</w:t>
            </w:r>
            <w:r w:rsidRPr="00765F6E">
              <w:rPr>
                <w:rFonts w:hAnsi="宋体" w:cs="宋体" w:hint="eastAsia"/>
                <w:sz w:val="18"/>
                <w:szCs w:val="18"/>
              </w:rPr>
              <w:t>2组</w:t>
            </w:r>
            <w:r w:rsidRPr="00765F6E">
              <w:rPr>
                <w:rFonts w:hAnsi="宋体" w:cs="宋体"/>
                <w:sz w:val="18"/>
                <w:szCs w:val="18"/>
              </w:rPr>
              <w:t>填料，</w:t>
            </w:r>
            <w:r w:rsidRPr="00765F6E">
              <w:rPr>
                <w:rFonts w:hAnsi="宋体" w:cs="宋体" w:hint="eastAsia"/>
                <w:sz w:val="18"/>
                <w:szCs w:val="18"/>
              </w:rPr>
              <w:t>有经验</w:t>
            </w:r>
            <w:r w:rsidRPr="00765F6E">
              <w:rPr>
                <w:rFonts w:hAnsi="宋体" w:cs="宋体"/>
                <w:sz w:val="18"/>
                <w:szCs w:val="18"/>
              </w:rPr>
              <w:t>时可采用化学改良土。</w:t>
            </w:r>
          </w:p>
        </w:tc>
      </w:tr>
      <w:tr w:rsidR="00737EB2" w:rsidRPr="00765F6E" w14:paraId="7D263F33" w14:textId="77777777" w:rsidTr="00871D47">
        <w:trPr>
          <w:trHeight w:val="176"/>
        </w:trPr>
        <w:tc>
          <w:tcPr>
            <w:tcW w:w="680" w:type="pct"/>
            <w:vMerge/>
            <w:shd w:val="clear" w:color="auto" w:fill="auto"/>
            <w:vAlign w:val="center"/>
          </w:tcPr>
          <w:p w14:paraId="7B43FBBF" w14:textId="77777777" w:rsidR="00737EB2" w:rsidRPr="00765F6E" w:rsidRDefault="00737EB2" w:rsidP="00871D47">
            <w:pPr>
              <w:pStyle w:val="affffffffffff2"/>
              <w:jc w:val="center"/>
              <w:rPr>
                <w:rFonts w:hAnsi="宋体" w:cs="宋体"/>
                <w:sz w:val="18"/>
                <w:szCs w:val="18"/>
              </w:rPr>
            </w:pPr>
          </w:p>
        </w:tc>
        <w:tc>
          <w:tcPr>
            <w:tcW w:w="684" w:type="pct"/>
            <w:shd w:val="clear" w:color="auto" w:fill="auto"/>
            <w:vAlign w:val="center"/>
          </w:tcPr>
          <w:p w14:paraId="7A1DBDE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140、160</w:t>
            </w:r>
          </w:p>
        </w:tc>
        <w:tc>
          <w:tcPr>
            <w:tcW w:w="769" w:type="pct"/>
            <w:shd w:val="clear" w:color="auto" w:fill="auto"/>
            <w:vAlign w:val="center"/>
          </w:tcPr>
          <w:p w14:paraId="620A455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10</w:t>
            </w:r>
            <w:r w:rsidRPr="00765F6E">
              <w:rPr>
                <w:rFonts w:hAnsi="宋体" w:cs="宋体" w:hint="eastAsia"/>
                <w:sz w:val="18"/>
                <w:szCs w:val="18"/>
              </w:rPr>
              <w:t>0</w:t>
            </w:r>
            <w:r w:rsidRPr="00765F6E">
              <w:rPr>
                <w:rFonts w:hAnsi="宋体" w:cs="宋体"/>
                <w:sz w:val="18"/>
                <w:szCs w:val="18"/>
              </w:rPr>
              <w:t>mm</w:t>
            </w:r>
          </w:p>
        </w:tc>
        <w:tc>
          <w:tcPr>
            <w:tcW w:w="2867" w:type="pct"/>
            <w:shd w:val="clear" w:color="auto" w:fill="auto"/>
            <w:vAlign w:val="center"/>
          </w:tcPr>
          <w:p w14:paraId="3F13FEE4" w14:textId="3EA0FECA"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宜</w:t>
            </w:r>
            <w:r w:rsidRPr="00765F6E">
              <w:rPr>
                <w:rFonts w:hAnsi="宋体" w:cs="宋体"/>
                <w:sz w:val="18"/>
                <w:szCs w:val="18"/>
              </w:rPr>
              <w:t>选用</w:t>
            </w:r>
            <w:r w:rsidRPr="00765F6E">
              <w:rPr>
                <w:rFonts w:hAnsi="宋体" w:cs="宋体" w:hint="eastAsia"/>
                <w:sz w:val="18"/>
                <w:szCs w:val="18"/>
              </w:rPr>
              <w:t>表</w:t>
            </w:r>
            <w:r w:rsidR="00CF1E47">
              <w:rPr>
                <w:rFonts w:hAnsi="宋体" w:cs="宋体"/>
                <w:sz w:val="18"/>
                <w:szCs w:val="18"/>
              </w:rPr>
              <w:t>40</w:t>
            </w:r>
            <w:r w:rsidRPr="00765F6E">
              <w:rPr>
                <w:rFonts w:hAnsi="宋体" w:cs="宋体"/>
                <w:sz w:val="18"/>
                <w:szCs w:val="18"/>
              </w:rPr>
              <w:t>中的</w:t>
            </w:r>
            <w:r w:rsidRPr="00765F6E">
              <w:rPr>
                <w:rFonts w:hAnsi="宋体" w:cs="宋体" w:hint="eastAsia"/>
                <w:sz w:val="18"/>
                <w:szCs w:val="18"/>
              </w:rPr>
              <w:t>A1、A2组</w:t>
            </w:r>
            <w:r w:rsidRPr="00765F6E">
              <w:rPr>
                <w:rFonts w:hAnsi="宋体" w:cs="宋体"/>
                <w:sz w:val="18"/>
                <w:szCs w:val="18"/>
              </w:rPr>
              <w:t>填料；当缺乏</w:t>
            </w:r>
            <w:r w:rsidRPr="00765F6E">
              <w:rPr>
                <w:rFonts w:hAnsi="宋体" w:cs="宋体" w:hint="eastAsia"/>
                <w:sz w:val="18"/>
                <w:szCs w:val="18"/>
              </w:rPr>
              <w:t>A1、A2组</w:t>
            </w:r>
            <w:r w:rsidRPr="00765F6E">
              <w:rPr>
                <w:rFonts w:hAnsi="宋体" w:cs="宋体"/>
                <w:sz w:val="18"/>
                <w:szCs w:val="18"/>
              </w:rPr>
              <w:t>填料</w:t>
            </w:r>
            <w:r w:rsidRPr="00765F6E">
              <w:rPr>
                <w:rFonts w:hAnsi="宋体" w:cs="宋体" w:hint="eastAsia"/>
                <w:sz w:val="18"/>
                <w:szCs w:val="18"/>
              </w:rPr>
              <w:t>时</w:t>
            </w:r>
            <w:r w:rsidRPr="00765F6E">
              <w:rPr>
                <w:rFonts w:hAnsi="宋体" w:cs="宋体"/>
                <w:sz w:val="18"/>
                <w:szCs w:val="18"/>
              </w:rPr>
              <w:t>，</w:t>
            </w:r>
            <w:r w:rsidRPr="00765F6E">
              <w:rPr>
                <w:rFonts w:hAnsi="宋体" w:cs="宋体" w:hint="eastAsia"/>
                <w:sz w:val="18"/>
                <w:szCs w:val="18"/>
              </w:rPr>
              <w:t>经</w:t>
            </w:r>
            <w:r w:rsidRPr="00765F6E">
              <w:rPr>
                <w:rFonts w:hAnsi="宋体" w:cs="宋体"/>
                <w:sz w:val="18"/>
                <w:szCs w:val="18"/>
              </w:rPr>
              <w:t>经济</w:t>
            </w:r>
            <w:r w:rsidRPr="00765F6E">
              <w:rPr>
                <w:rFonts w:hAnsi="宋体" w:cs="宋体" w:hint="eastAsia"/>
                <w:sz w:val="18"/>
                <w:szCs w:val="18"/>
              </w:rPr>
              <w:t>比选</w:t>
            </w:r>
            <w:r w:rsidRPr="00765F6E">
              <w:rPr>
                <w:rFonts w:hAnsi="宋体" w:cs="宋体"/>
                <w:sz w:val="18"/>
                <w:szCs w:val="18"/>
              </w:rPr>
              <w:t>后可采用级配碎石。</w:t>
            </w:r>
          </w:p>
        </w:tc>
      </w:tr>
      <w:tr w:rsidR="00737EB2" w:rsidRPr="00765F6E" w14:paraId="420D13D5" w14:textId="77777777" w:rsidTr="00871D47">
        <w:trPr>
          <w:trHeight w:val="176"/>
        </w:trPr>
        <w:tc>
          <w:tcPr>
            <w:tcW w:w="680" w:type="pct"/>
            <w:tcBorders>
              <w:bottom w:val="single" w:sz="8" w:space="0" w:color="auto"/>
            </w:tcBorders>
            <w:shd w:val="clear" w:color="auto" w:fill="auto"/>
            <w:vAlign w:val="center"/>
          </w:tcPr>
          <w:p w14:paraId="3F53879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无</w:t>
            </w:r>
            <w:r w:rsidRPr="00765F6E">
              <w:rPr>
                <w:rFonts w:hAnsi="宋体" w:cs="宋体"/>
                <w:sz w:val="18"/>
                <w:szCs w:val="18"/>
              </w:rPr>
              <w:t>砟轨道</w:t>
            </w:r>
          </w:p>
        </w:tc>
        <w:tc>
          <w:tcPr>
            <w:tcW w:w="684" w:type="pct"/>
            <w:tcBorders>
              <w:bottom w:val="single" w:sz="8" w:space="0" w:color="auto"/>
            </w:tcBorders>
            <w:shd w:val="clear" w:color="auto" w:fill="auto"/>
            <w:vAlign w:val="center"/>
          </w:tcPr>
          <w:p w14:paraId="028522F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p>
        </w:tc>
        <w:tc>
          <w:tcPr>
            <w:tcW w:w="769" w:type="pct"/>
            <w:tcBorders>
              <w:bottom w:val="single" w:sz="8" w:space="0" w:color="auto"/>
            </w:tcBorders>
            <w:shd w:val="clear" w:color="auto" w:fill="auto"/>
            <w:vAlign w:val="center"/>
          </w:tcPr>
          <w:p w14:paraId="489A39C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≤60</w:t>
            </w:r>
            <w:r w:rsidRPr="00765F6E">
              <w:rPr>
                <w:rFonts w:hAnsi="宋体" w:cs="宋体"/>
                <w:sz w:val="18"/>
                <w:szCs w:val="18"/>
              </w:rPr>
              <w:t>mm</w:t>
            </w:r>
          </w:p>
        </w:tc>
        <w:tc>
          <w:tcPr>
            <w:tcW w:w="2867" w:type="pct"/>
            <w:tcBorders>
              <w:bottom w:val="single" w:sz="8" w:space="0" w:color="auto"/>
            </w:tcBorders>
            <w:shd w:val="clear" w:color="auto" w:fill="auto"/>
            <w:vAlign w:val="center"/>
          </w:tcPr>
          <w:p w14:paraId="5FA7C3B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级配</w:t>
            </w:r>
            <w:r w:rsidRPr="00765F6E">
              <w:rPr>
                <w:rFonts w:hAnsi="宋体" w:cs="宋体"/>
                <w:sz w:val="18"/>
                <w:szCs w:val="18"/>
              </w:rPr>
              <w:t>碎石</w:t>
            </w:r>
          </w:p>
        </w:tc>
      </w:tr>
    </w:tbl>
    <w:p w14:paraId="5217F88A" w14:textId="77777777" w:rsidR="00737EB2" w:rsidRPr="00765F6E" w:rsidRDefault="00737EB2" w:rsidP="00737EB2">
      <w:pPr>
        <w:pStyle w:val="aff3"/>
        <w:spacing w:before="156" w:after="156"/>
      </w:pPr>
      <w:r w:rsidRPr="00765F6E">
        <w:rPr>
          <w:rFonts w:hint="eastAsia"/>
        </w:rPr>
        <w:lastRenderedPageBreak/>
        <w:t>基床表层的压实标准</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774"/>
        <w:gridCol w:w="1054"/>
        <w:gridCol w:w="1025"/>
        <w:gridCol w:w="6"/>
        <w:gridCol w:w="1757"/>
        <w:gridCol w:w="1070"/>
        <w:gridCol w:w="1378"/>
        <w:gridCol w:w="1150"/>
        <w:gridCol w:w="1120"/>
      </w:tblGrid>
      <w:tr w:rsidR="00737EB2" w:rsidRPr="00765F6E" w14:paraId="62B5A208" w14:textId="77777777" w:rsidTr="00871D47">
        <w:trPr>
          <w:trHeight w:val="176"/>
          <w:jc w:val="center"/>
        </w:trPr>
        <w:tc>
          <w:tcPr>
            <w:tcW w:w="415" w:type="pct"/>
            <w:vMerge w:val="restart"/>
            <w:tcBorders>
              <w:top w:val="single" w:sz="8" w:space="0" w:color="auto"/>
              <w:bottom w:val="single" w:sz="4" w:space="0" w:color="auto"/>
            </w:tcBorders>
            <w:shd w:val="clear" w:color="auto" w:fill="auto"/>
            <w:vAlign w:val="center"/>
          </w:tcPr>
          <w:p w14:paraId="7CA6994D"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轨道</w:t>
            </w:r>
            <w:r w:rsidRPr="00765F6E">
              <w:rPr>
                <w:rFonts w:hAnsi="宋体" w:cs="宋体"/>
                <w:sz w:val="18"/>
                <w:szCs w:val="18"/>
              </w:rPr>
              <w:t>类型</w:t>
            </w:r>
          </w:p>
        </w:tc>
        <w:tc>
          <w:tcPr>
            <w:tcW w:w="565" w:type="pct"/>
            <w:vMerge w:val="restart"/>
            <w:tcBorders>
              <w:top w:val="single" w:sz="8" w:space="0" w:color="auto"/>
              <w:bottom w:val="single" w:sz="4" w:space="0" w:color="auto"/>
            </w:tcBorders>
            <w:shd w:val="clear" w:color="auto" w:fill="auto"/>
            <w:vAlign w:val="center"/>
          </w:tcPr>
          <w:p w14:paraId="1E5410A4"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设计</w:t>
            </w:r>
            <w:r w:rsidRPr="00765F6E">
              <w:rPr>
                <w:rFonts w:hAnsi="宋体" w:cs="宋体"/>
                <w:sz w:val="18"/>
                <w:szCs w:val="18"/>
              </w:rPr>
              <w:t>速度</w:t>
            </w:r>
            <w:r w:rsidRPr="00765F6E">
              <w:rPr>
                <w:rFonts w:hAnsi="宋体" w:cs="宋体" w:hint="eastAsia"/>
                <w:sz w:val="18"/>
                <w:szCs w:val="18"/>
              </w:rPr>
              <w:t>km/h</w:t>
            </w:r>
          </w:p>
        </w:tc>
        <w:tc>
          <w:tcPr>
            <w:tcW w:w="1493" w:type="pct"/>
            <w:gridSpan w:val="3"/>
            <w:vMerge w:val="restart"/>
            <w:tcBorders>
              <w:top w:val="single" w:sz="8" w:space="0" w:color="auto"/>
              <w:bottom w:val="single" w:sz="4" w:space="0" w:color="auto"/>
            </w:tcBorders>
            <w:shd w:val="clear" w:color="auto" w:fill="auto"/>
            <w:vAlign w:val="center"/>
          </w:tcPr>
          <w:p w14:paraId="1A0F2C30"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填料</w:t>
            </w:r>
          </w:p>
        </w:tc>
        <w:tc>
          <w:tcPr>
            <w:tcW w:w="2527" w:type="pct"/>
            <w:gridSpan w:val="4"/>
            <w:tcBorders>
              <w:top w:val="single" w:sz="8" w:space="0" w:color="auto"/>
              <w:bottom w:val="single" w:sz="4" w:space="0" w:color="auto"/>
            </w:tcBorders>
            <w:shd w:val="clear" w:color="auto" w:fill="auto"/>
            <w:vAlign w:val="center"/>
          </w:tcPr>
          <w:p w14:paraId="531EE149"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压实</w:t>
            </w:r>
            <w:r w:rsidRPr="00765F6E">
              <w:rPr>
                <w:rFonts w:hAnsi="宋体" w:cs="宋体"/>
                <w:sz w:val="18"/>
                <w:szCs w:val="18"/>
              </w:rPr>
              <w:t>标准</w:t>
            </w:r>
          </w:p>
        </w:tc>
      </w:tr>
      <w:tr w:rsidR="00737EB2" w:rsidRPr="00765F6E" w14:paraId="31D01F51" w14:textId="77777777" w:rsidTr="00871D47">
        <w:trPr>
          <w:trHeight w:val="176"/>
          <w:jc w:val="center"/>
        </w:trPr>
        <w:tc>
          <w:tcPr>
            <w:tcW w:w="415" w:type="pct"/>
            <w:vMerge/>
            <w:tcBorders>
              <w:top w:val="single" w:sz="4" w:space="0" w:color="auto"/>
              <w:bottom w:val="single" w:sz="8" w:space="0" w:color="auto"/>
            </w:tcBorders>
            <w:shd w:val="clear" w:color="auto" w:fill="auto"/>
            <w:vAlign w:val="center"/>
          </w:tcPr>
          <w:p w14:paraId="6D15F80D" w14:textId="77777777" w:rsidR="00737EB2" w:rsidRPr="00765F6E" w:rsidRDefault="00737EB2" w:rsidP="00871D47">
            <w:pPr>
              <w:pStyle w:val="affffffffffff2"/>
              <w:spacing w:line="200" w:lineRule="exact"/>
              <w:jc w:val="center"/>
              <w:rPr>
                <w:rFonts w:hAnsi="宋体" w:cs="宋体"/>
                <w:sz w:val="18"/>
                <w:szCs w:val="18"/>
              </w:rPr>
            </w:pPr>
          </w:p>
        </w:tc>
        <w:tc>
          <w:tcPr>
            <w:tcW w:w="565" w:type="pct"/>
            <w:vMerge/>
            <w:tcBorders>
              <w:top w:val="single" w:sz="4" w:space="0" w:color="auto"/>
              <w:bottom w:val="single" w:sz="8" w:space="0" w:color="auto"/>
            </w:tcBorders>
            <w:shd w:val="clear" w:color="auto" w:fill="auto"/>
            <w:vAlign w:val="center"/>
          </w:tcPr>
          <w:p w14:paraId="7EDA012E" w14:textId="77777777" w:rsidR="00737EB2" w:rsidRPr="00765F6E" w:rsidRDefault="00737EB2" w:rsidP="00871D47">
            <w:pPr>
              <w:pStyle w:val="affffffffffff2"/>
              <w:spacing w:line="200" w:lineRule="exact"/>
              <w:jc w:val="center"/>
              <w:rPr>
                <w:rFonts w:hAnsi="宋体" w:cs="宋体"/>
                <w:sz w:val="18"/>
                <w:szCs w:val="18"/>
              </w:rPr>
            </w:pPr>
          </w:p>
        </w:tc>
        <w:tc>
          <w:tcPr>
            <w:tcW w:w="1493" w:type="pct"/>
            <w:gridSpan w:val="3"/>
            <w:vMerge/>
            <w:tcBorders>
              <w:top w:val="single" w:sz="4" w:space="0" w:color="auto"/>
              <w:bottom w:val="single" w:sz="8" w:space="0" w:color="auto"/>
            </w:tcBorders>
            <w:shd w:val="clear" w:color="auto" w:fill="auto"/>
            <w:vAlign w:val="center"/>
          </w:tcPr>
          <w:p w14:paraId="0C6C48A9" w14:textId="77777777" w:rsidR="00737EB2" w:rsidRPr="00765F6E" w:rsidRDefault="00737EB2" w:rsidP="00871D47">
            <w:pPr>
              <w:pStyle w:val="affffffffffff2"/>
              <w:spacing w:line="200" w:lineRule="exact"/>
              <w:jc w:val="center"/>
              <w:rPr>
                <w:rFonts w:hAnsi="宋体" w:cs="宋体"/>
                <w:sz w:val="18"/>
                <w:szCs w:val="18"/>
              </w:rPr>
            </w:pPr>
          </w:p>
        </w:tc>
        <w:tc>
          <w:tcPr>
            <w:tcW w:w="573" w:type="pct"/>
            <w:tcBorders>
              <w:top w:val="single" w:sz="4" w:space="0" w:color="auto"/>
              <w:bottom w:val="single" w:sz="8" w:space="0" w:color="auto"/>
            </w:tcBorders>
            <w:shd w:val="clear" w:color="auto" w:fill="auto"/>
            <w:vAlign w:val="center"/>
          </w:tcPr>
          <w:p w14:paraId="312C341E"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压实</w:t>
            </w:r>
            <w:r w:rsidRPr="00765F6E">
              <w:rPr>
                <w:rFonts w:hAnsi="宋体" w:cs="宋体"/>
                <w:sz w:val="18"/>
                <w:szCs w:val="18"/>
              </w:rPr>
              <w:t>系</w:t>
            </w:r>
            <w:r w:rsidRPr="00765F6E">
              <w:rPr>
                <w:rFonts w:hAnsi="宋体" w:cs="宋体" w:hint="eastAsia"/>
                <w:sz w:val="18"/>
                <w:szCs w:val="18"/>
              </w:rPr>
              <w:t>数K</w:t>
            </w:r>
          </w:p>
        </w:tc>
        <w:tc>
          <w:tcPr>
            <w:tcW w:w="738" w:type="pct"/>
            <w:tcBorders>
              <w:top w:val="single" w:sz="4" w:space="0" w:color="auto"/>
              <w:bottom w:val="single" w:sz="8" w:space="0" w:color="auto"/>
            </w:tcBorders>
            <w:shd w:val="clear" w:color="auto" w:fill="auto"/>
            <w:vAlign w:val="center"/>
          </w:tcPr>
          <w:p w14:paraId="07D829A2"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地基</w:t>
            </w:r>
            <w:r w:rsidRPr="00765F6E">
              <w:rPr>
                <w:rFonts w:hAnsi="宋体" w:cs="宋体"/>
                <w:sz w:val="18"/>
                <w:szCs w:val="18"/>
              </w:rPr>
              <w:t>系</w:t>
            </w:r>
            <w:r w:rsidRPr="00765F6E">
              <w:rPr>
                <w:rFonts w:hAnsi="宋体" w:cs="宋体" w:hint="eastAsia"/>
                <w:sz w:val="18"/>
                <w:szCs w:val="18"/>
              </w:rPr>
              <w:t>数K30</w:t>
            </w:r>
          </w:p>
          <w:p w14:paraId="0AC1F150"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MP</w:t>
            </w:r>
            <w:r w:rsidRPr="00765F6E">
              <w:rPr>
                <w:rFonts w:hAnsi="宋体" w:cs="宋体"/>
                <w:sz w:val="18"/>
                <w:szCs w:val="18"/>
              </w:rPr>
              <w:t>a</w:t>
            </w:r>
            <w:r w:rsidRPr="00765F6E">
              <w:rPr>
                <w:rFonts w:hAnsi="宋体" w:cs="宋体" w:hint="eastAsia"/>
                <w:sz w:val="18"/>
                <w:szCs w:val="18"/>
              </w:rPr>
              <w:t>/m</w:t>
            </w:r>
          </w:p>
        </w:tc>
        <w:tc>
          <w:tcPr>
            <w:tcW w:w="616" w:type="pct"/>
            <w:tcBorders>
              <w:top w:val="single" w:sz="4" w:space="0" w:color="auto"/>
              <w:bottom w:val="single" w:sz="8" w:space="0" w:color="auto"/>
            </w:tcBorders>
            <w:shd w:val="clear" w:color="auto" w:fill="auto"/>
            <w:vAlign w:val="center"/>
          </w:tcPr>
          <w:p w14:paraId="4D534C26"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7</w:t>
            </w:r>
            <w:r w:rsidRPr="00765F6E">
              <w:rPr>
                <w:rFonts w:hAnsi="宋体" w:cs="宋体"/>
                <w:sz w:val="18"/>
                <w:szCs w:val="18"/>
              </w:rPr>
              <w:t>d</w:t>
            </w:r>
            <w:r w:rsidRPr="00765F6E">
              <w:rPr>
                <w:rFonts w:hAnsi="宋体" w:cs="宋体" w:hint="eastAsia"/>
                <w:sz w:val="18"/>
                <w:szCs w:val="18"/>
              </w:rPr>
              <w:t>饱和</w:t>
            </w:r>
            <w:r w:rsidRPr="00765F6E">
              <w:rPr>
                <w:rFonts w:hAnsi="宋体" w:cs="宋体"/>
                <w:sz w:val="18"/>
                <w:szCs w:val="18"/>
              </w:rPr>
              <w:t>无侧限抗压强度</w:t>
            </w:r>
          </w:p>
          <w:p w14:paraId="0F9D2F97"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kP</w:t>
            </w:r>
            <w:r w:rsidRPr="00765F6E">
              <w:rPr>
                <w:rFonts w:hAnsi="宋体" w:cs="宋体"/>
                <w:sz w:val="18"/>
                <w:szCs w:val="18"/>
              </w:rPr>
              <w:t>a</w:t>
            </w:r>
          </w:p>
        </w:tc>
        <w:tc>
          <w:tcPr>
            <w:tcW w:w="600" w:type="pct"/>
            <w:tcBorders>
              <w:top w:val="single" w:sz="4" w:space="0" w:color="auto"/>
              <w:bottom w:val="single" w:sz="8" w:space="0" w:color="auto"/>
            </w:tcBorders>
            <w:shd w:val="clear" w:color="auto" w:fill="auto"/>
            <w:vAlign w:val="center"/>
          </w:tcPr>
          <w:p w14:paraId="1C3768E8"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动态</w:t>
            </w:r>
            <w:r w:rsidRPr="00765F6E">
              <w:rPr>
                <w:rFonts w:hAnsi="宋体" w:cs="宋体"/>
                <w:sz w:val="18"/>
                <w:szCs w:val="18"/>
              </w:rPr>
              <w:t>变形模量</w:t>
            </w:r>
            <w:proofErr w:type="spellStart"/>
            <w:r w:rsidRPr="00765F6E">
              <w:rPr>
                <w:rFonts w:hAnsi="宋体" w:cs="宋体" w:hint="eastAsia"/>
                <w:sz w:val="18"/>
                <w:szCs w:val="18"/>
              </w:rPr>
              <w:t>E</w:t>
            </w:r>
            <w:r w:rsidRPr="00765F6E">
              <w:rPr>
                <w:rFonts w:hAnsi="宋体" w:cs="宋体"/>
                <w:sz w:val="18"/>
                <w:szCs w:val="18"/>
              </w:rPr>
              <w:t>vd</w:t>
            </w:r>
            <w:proofErr w:type="spellEnd"/>
          </w:p>
          <w:p w14:paraId="14C056D6"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M</w:t>
            </w:r>
            <w:r w:rsidRPr="00765F6E">
              <w:rPr>
                <w:rFonts w:hAnsi="宋体" w:cs="宋体" w:hint="eastAsia"/>
                <w:sz w:val="18"/>
                <w:szCs w:val="18"/>
              </w:rPr>
              <w:t>P</w:t>
            </w:r>
            <w:r w:rsidRPr="00765F6E">
              <w:rPr>
                <w:rFonts w:hAnsi="宋体" w:cs="宋体"/>
                <w:sz w:val="18"/>
                <w:szCs w:val="18"/>
              </w:rPr>
              <w:t>a</w:t>
            </w:r>
          </w:p>
        </w:tc>
      </w:tr>
      <w:tr w:rsidR="00737EB2" w:rsidRPr="00765F6E" w14:paraId="32E7834B" w14:textId="77777777" w:rsidTr="00871D47">
        <w:trPr>
          <w:trHeight w:val="176"/>
          <w:jc w:val="center"/>
        </w:trPr>
        <w:tc>
          <w:tcPr>
            <w:tcW w:w="415" w:type="pct"/>
            <w:vMerge w:val="restart"/>
            <w:tcBorders>
              <w:top w:val="single" w:sz="8" w:space="0" w:color="auto"/>
            </w:tcBorders>
            <w:shd w:val="clear" w:color="auto" w:fill="auto"/>
            <w:vAlign w:val="center"/>
          </w:tcPr>
          <w:p w14:paraId="184E3C8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有</w:t>
            </w:r>
            <w:r w:rsidRPr="00765F6E">
              <w:rPr>
                <w:rFonts w:hAnsi="宋体" w:cs="宋体"/>
                <w:sz w:val="18"/>
                <w:szCs w:val="18"/>
              </w:rPr>
              <w:t>砟</w:t>
            </w:r>
          </w:p>
          <w:p w14:paraId="0C7488D8"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轨道</w:t>
            </w:r>
          </w:p>
        </w:tc>
        <w:tc>
          <w:tcPr>
            <w:tcW w:w="565" w:type="pct"/>
            <w:vMerge w:val="restart"/>
            <w:tcBorders>
              <w:top w:val="single" w:sz="8" w:space="0" w:color="auto"/>
            </w:tcBorders>
            <w:shd w:val="clear" w:color="auto" w:fill="auto"/>
            <w:vAlign w:val="center"/>
          </w:tcPr>
          <w:p w14:paraId="6DB287B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20</w:t>
            </w:r>
          </w:p>
        </w:tc>
        <w:tc>
          <w:tcPr>
            <w:tcW w:w="552" w:type="pct"/>
            <w:gridSpan w:val="2"/>
            <w:tcBorders>
              <w:top w:val="single" w:sz="8" w:space="0" w:color="auto"/>
            </w:tcBorders>
            <w:shd w:val="clear" w:color="auto" w:fill="auto"/>
            <w:vAlign w:val="center"/>
          </w:tcPr>
          <w:p w14:paraId="750DF2C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A</w:t>
            </w:r>
            <w:r w:rsidRPr="00765F6E">
              <w:rPr>
                <w:rFonts w:hAnsi="宋体" w:cs="宋体"/>
                <w:sz w:val="18"/>
                <w:szCs w:val="18"/>
              </w:rPr>
              <w:t>1</w:t>
            </w:r>
            <w:r w:rsidRPr="00765F6E">
              <w:rPr>
                <w:rFonts w:hAnsi="宋体" w:cs="宋体" w:hint="eastAsia"/>
                <w:sz w:val="18"/>
                <w:szCs w:val="18"/>
              </w:rPr>
              <w:t>、A2组</w:t>
            </w:r>
          </w:p>
        </w:tc>
        <w:tc>
          <w:tcPr>
            <w:tcW w:w="941" w:type="pct"/>
            <w:tcBorders>
              <w:top w:val="single" w:sz="8" w:space="0" w:color="auto"/>
            </w:tcBorders>
            <w:shd w:val="clear" w:color="auto" w:fill="auto"/>
            <w:vAlign w:val="center"/>
          </w:tcPr>
          <w:p w14:paraId="332811E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砾石类</w:t>
            </w:r>
            <w:r w:rsidRPr="00765F6E">
              <w:rPr>
                <w:rFonts w:hAnsi="宋体" w:cs="宋体"/>
                <w:sz w:val="18"/>
                <w:szCs w:val="18"/>
              </w:rPr>
              <w:t>、碎石类</w:t>
            </w:r>
          </w:p>
        </w:tc>
        <w:tc>
          <w:tcPr>
            <w:tcW w:w="573" w:type="pct"/>
            <w:tcBorders>
              <w:top w:val="single" w:sz="8" w:space="0" w:color="auto"/>
            </w:tcBorders>
            <w:shd w:val="clear" w:color="auto" w:fill="auto"/>
            <w:vAlign w:val="center"/>
          </w:tcPr>
          <w:p w14:paraId="2344127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≥0.95</w:t>
            </w:r>
          </w:p>
        </w:tc>
        <w:tc>
          <w:tcPr>
            <w:tcW w:w="738" w:type="pct"/>
            <w:tcBorders>
              <w:top w:val="single" w:sz="8" w:space="0" w:color="auto"/>
            </w:tcBorders>
            <w:shd w:val="clear" w:color="auto" w:fill="auto"/>
            <w:vAlign w:val="center"/>
          </w:tcPr>
          <w:p w14:paraId="0584BAD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≥150</w:t>
            </w:r>
          </w:p>
        </w:tc>
        <w:tc>
          <w:tcPr>
            <w:tcW w:w="616" w:type="pct"/>
            <w:tcBorders>
              <w:top w:val="single" w:sz="8" w:space="0" w:color="auto"/>
            </w:tcBorders>
            <w:shd w:val="clear" w:color="auto" w:fill="auto"/>
            <w:vAlign w:val="center"/>
          </w:tcPr>
          <w:p w14:paraId="4FFFB320" w14:textId="0A823054"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600" w:type="pct"/>
            <w:tcBorders>
              <w:top w:val="single" w:sz="8" w:space="0" w:color="auto"/>
            </w:tcBorders>
            <w:shd w:val="clear" w:color="auto" w:fill="auto"/>
            <w:vAlign w:val="center"/>
          </w:tcPr>
          <w:p w14:paraId="1F87AC3E" w14:textId="61DEC67B"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1120B1C9" w14:textId="77777777" w:rsidTr="00871D47">
        <w:trPr>
          <w:trHeight w:val="176"/>
          <w:jc w:val="center"/>
        </w:trPr>
        <w:tc>
          <w:tcPr>
            <w:tcW w:w="415" w:type="pct"/>
            <w:vMerge/>
            <w:shd w:val="clear" w:color="auto" w:fill="auto"/>
            <w:vAlign w:val="center"/>
          </w:tcPr>
          <w:p w14:paraId="76A493A2" w14:textId="77777777" w:rsidR="00737EB2" w:rsidRPr="00765F6E" w:rsidRDefault="00737EB2" w:rsidP="00871D47">
            <w:pPr>
              <w:pStyle w:val="affffffffffff2"/>
              <w:jc w:val="center"/>
              <w:rPr>
                <w:rFonts w:hAnsi="宋体" w:cs="宋体"/>
                <w:sz w:val="18"/>
                <w:szCs w:val="18"/>
              </w:rPr>
            </w:pPr>
          </w:p>
        </w:tc>
        <w:tc>
          <w:tcPr>
            <w:tcW w:w="565" w:type="pct"/>
            <w:vMerge/>
            <w:shd w:val="clear" w:color="auto" w:fill="auto"/>
            <w:vAlign w:val="center"/>
          </w:tcPr>
          <w:p w14:paraId="22C0A151" w14:textId="77777777" w:rsidR="00737EB2" w:rsidRPr="00765F6E" w:rsidRDefault="00737EB2" w:rsidP="00871D47">
            <w:pPr>
              <w:pStyle w:val="affffffffffff2"/>
              <w:jc w:val="center"/>
              <w:rPr>
                <w:rFonts w:hAnsi="宋体" w:cs="宋体"/>
                <w:sz w:val="18"/>
                <w:szCs w:val="18"/>
              </w:rPr>
            </w:pPr>
          </w:p>
        </w:tc>
        <w:tc>
          <w:tcPr>
            <w:tcW w:w="552" w:type="pct"/>
            <w:gridSpan w:val="2"/>
            <w:vMerge w:val="restart"/>
            <w:shd w:val="clear" w:color="auto" w:fill="auto"/>
            <w:vAlign w:val="center"/>
          </w:tcPr>
          <w:p w14:paraId="52F976D1"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B1</w:t>
            </w:r>
            <w:r w:rsidRPr="00765F6E">
              <w:rPr>
                <w:rFonts w:hAnsi="宋体" w:cs="宋体" w:hint="eastAsia"/>
                <w:sz w:val="18"/>
                <w:szCs w:val="18"/>
              </w:rPr>
              <w:t>、</w:t>
            </w:r>
            <w:r w:rsidRPr="00765F6E">
              <w:rPr>
                <w:rFonts w:hAnsi="宋体" w:cs="宋体"/>
                <w:sz w:val="18"/>
                <w:szCs w:val="18"/>
              </w:rPr>
              <w:t>B</w:t>
            </w:r>
            <w:r w:rsidRPr="00765F6E">
              <w:rPr>
                <w:rFonts w:hAnsi="宋体" w:cs="宋体" w:hint="eastAsia"/>
                <w:sz w:val="18"/>
                <w:szCs w:val="18"/>
              </w:rPr>
              <w:t>2组</w:t>
            </w:r>
          </w:p>
        </w:tc>
        <w:tc>
          <w:tcPr>
            <w:tcW w:w="941" w:type="pct"/>
            <w:shd w:val="clear" w:color="auto" w:fill="auto"/>
            <w:vAlign w:val="center"/>
          </w:tcPr>
          <w:p w14:paraId="47501A5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砾石类</w:t>
            </w:r>
            <w:r w:rsidRPr="00765F6E">
              <w:rPr>
                <w:rFonts w:hAnsi="宋体" w:cs="宋体"/>
                <w:sz w:val="18"/>
                <w:szCs w:val="18"/>
              </w:rPr>
              <w:t>、碎石类</w:t>
            </w:r>
          </w:p>
        </w:tc>
        <w:tc>
          <w:tcPr>
            <w:tcW w:w="573" w:type="pct"/>
            <w:shd w:val="clear" w:color="auto" w:fill="auto"/>
            <w:vAlign w:val="center"/>
          </w:tcPr>
          <w:p w14:paraId="670EB94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w:t>
            </w:r>
            <w:r w:rsidRPr="00765F6E">
              <w:rPr>
                <w:rFonts w:hAnsi="宋体" w:cs="宋体"/>
                <w:sz w:val="18"/>
                <w:szCs w:val="18"/>
              </w:rPr>
              <w:t>.95</w:t>
            </w:r>
          </w:p>
        </w:tc>
        <w:tc>
          <w:tcPr>
            <w:tcW w:w="738" w:type="pct"/>
            <w:shd w:val="clear" w:color="auto" w:fill="auto"/>
            <w:vAlign w:val="center"/>
          </w:tcPr>
          <w:p w14:paraId="3AE7559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≥150</w:t>
            </w:r>
          </w:p>
        </w:tc>
        <w:tc>
          <w:tcPr>
            <w:tcW w:w="616" w:type="pct"/>
            <w:shd w:val="clear" w:color="auto" w:fill="auto"/>
            <w:vAlign w:val="center"/>
          </w:tcPr>
          <w:p w14:paraId="57CBC93D" w14:textId="1B4D6420"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600" w:type="pct"/>
            <w:shd w:val="clear" w:color="auto" w:fill="auto"/>
            <w:vAlign w:val="center"/>
          </w:tcPr>
          <w:p w14:paraId="3FF41043" w14:textId="6D8F0000"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1FB2E74B" w14:textId="77777777" w:rsidTr="00871D47">
        <w:trPr>
          <w:trHeight w:val="176"/>
          <w:jc w:val="center"/>
        </w:trPr>
        <w:tc>
          <w:tcPr>
            <w:tcW w:w="415" w:type="pct"/>
            <w:vMerge/>
            <w:shd w:val="clear" w:color="auto" w:fill="auto"/>
            <w:vAlign w:val="center"/>
          </w:tcPr>
          <w:p w14:paraId="2E511E86" w14:textId="77777777" w:rsidR="00737EB2" w:rsidRPr="00765F6E" w:rsidRDefault="00737EB2" w:rsidP="00871D47">
            <w:pPr>
              <w:pStyle w:val="affffffffffff2"/>
              <w:jc w:val="center"/>
              <w:rPr>
                <w:rFonts w:hAnsi="宋体" w:cs="宋体"/>
                <w:sz w:val="18"/>
                <w:szCs w:val="18"/>
              </w:rPr>
            </w:pPr>
          </w:p>
        </w:tc>
        <w:tc>
          <w:tcPr>
            <w:tcW w:w="565" w:type="pct"/>
            <w:vMerge/>
            <w:shd w:val="clear" w:color="auto" w:fill="auto"/>
            <w:vAlign w:val="center"/>
          </w:tcPr>
          <w:p w14:paraId="790CBE7D" w14:textId="77777777" w:rsidR="00737EB2" w:rsidRPr="00765F6E" w:rsidRDefault="00737EB2" w:rsidP="00871D47">
            <w:pPr>
              <w:pStyle w:val="affffffffffff2"/>
              <w:jc w:val="center"/>
              <w:rPr>
                <w:rFonts w:hAnsi="宋体" w:cs="宋体"/>
                <w:sz w:val="18"/>
                <w:szCs w:val="18"/>
              </w:rPr>
            </w:pPr>
          </w:p>
        </w:tc>
        <w:tc>
          <w:tcPr>
            <w:tcW w:w="552" w:type="pct"/>
            <w:gridSpan w:val="2"/>
            <w:vMerge/>
            <w:shd w:val="clear" w:color="auto" w:fill="auto"/>
            <w:vAlign w:val="center"/>
          </w:tcPr>
          <w:p w14:paraId="78F4AA02" w14:textId="77777777" w:rsidR="00737EB2" w:rsidRPr="00765F6E" w:rsidRDefault="00737EB2" w:rsidP="00871D47">
            <w:pPr>
              <w:pStyle w:val="affffffffffff2"/>
              <w:jc w:val="center"/>
              <w:rPr>
                <w:rFonts w:hAnsi="宋体" w:cs="宋体"/>
                <w:sz w:val="18"/>
                <w:szCs w:val="18"/>
              </w:rPr>
            </w:pPr>
          </w:p>
        </w:tc>
        <w:tc>
          <w:tcPr>
            <w:tcW w:w="941" w:type="pct"/>
            <w:shd w:val="clear" w:color="auto" w:fill="auto"/>
            <w:vAlign w:val="center"/>
          </w:tcPr>
          <w:p w14:paraId="5D2AFE7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砂</w:t>
            </w:r>
            <w:r w:rsidRPr="00765F6E">
              <w:rPr>
                <w:rFonts w:hAnsi="宋体" w:cs="宋体"/>
                <w:sz w:val="18"/>
                <w:szCs w:val="18"/>
              </w:rPr>
              <w:t>类土（</w:t>
            </w:r>
            <w:r w:rsidRPr="00765F6E">
              <w:rPr>
                <w:rFonts w:hAnsi="宋体" w:cs="宋体" w:hint="eastAsia"/>
                <w:sz w:val="18"/>
                <w:szCs w:val="18"/>
              </w:rPr>
              <w:t>粉</w:t>
            </w:r>
            <w:r w:rsidRPr="00765F6E">
              <w:rPr>
                <w:rFonts w:hAnsi="宋体" w:cs="宋体"/>
                <w:sz w:val="18"/>
                <w:szCs w:val="18"/>
              </w:rPr>
              <w:t>细砂除外）</w:t>
            </w:r>
          </w:p>
        </w:tc>
        <w:tc>
          <w:tcPr>
            <w:tcW w:w="573" w:type="pct"/>
            <w:shd w:val="clear" w:color="auto" w:fill="auto"/>
            <w:vAlign w:val="center"/>
          </w:tcPr>
          <w:p w14:paraId="55702EA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≥0.95</w:t>
            </w:r>
          </w:p>
        </w:tc>
        <w:tc>
          <w:tcPr>
            <w:tcW w:w="738" w:type="pct"/>
            <w:shd w:val="clear" w:color="auto" w:fill="auto"/>
            <w:vAlign w:val="center"/>
          </w:tcPr>
          <w:p w14:paraId="4BBADBA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≥11</w:t>
            </w:r>
            <w:r w:rsidRPr="00765F6E">
              <w:rPr>
                <w:rFonts w:hAnsi="宋体" w:cs="宋体"/>
                <w:sz w:val="18"/>
                <w:szCs w:val="18"/>
              </w:rPr>
              <w:t>0</w:t>
            </w:r>
          </w:p>
        </w:tc>
        <w:tc>
          <w:tcPr>
            <w:tcW w:w="616" w:type="pct"/>
            <w:shd w:val="clear" w:color="auto" w:fill="auto"/>
            <w:vAlign w:val="center"/>
          </w:tcPr>
          <w:p w14:paraId="5A89F388" w14:textId="07D42E54"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600" w:type="pct"/>
            <w:shd w:val="clear" w:color="auto" w:fill="auto"/>
            <w:vAlign w:val="center"/>
          </w:tcPr>
          <w:p w14:paraId="79507C06" w14:textId="67E7EFC8"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318A76A5" w14:textId="77777777" w:rsidTr="00871D47">
        <w:trPr>
          <w:trHeight w:val="176"/>
          <w:jc w:val="center"/>
        </w:trPr>
        <w:tc>
          <w:tcPr>
            <w:tcW w:w="415" w:type="pct"/>
            <w:vMerge/>
            <w:shd w:val="clear" w:color="auto" w:fill="auto"/>
            <w:vAlign w:val="center"/>
          </w:tcPr>
          <w:p w14:paraId="2D5FFE7D" w14:textId="77777777" w:rsidR="00737EB2" w:rsidRPr="00765F6E" w:rsidRDefault="00737EB2" w:rsidP="00871D47">
            <w:pPr>
              <w:jc w:val="center"/>
              <w:rPr>
                <w:rFonts w:ascii="宋体" w:hAnsi="宋体"/>
                <w:sz w:val="18"/>
                <w:szCs w:val="18"/>
              </w:rPr>
            </w:pPr>
          </w:p>
        </w:tc>
        <w:tc>
          <w:tcPr>
            <w:tcW w:w="565" w:type="pct"/>
            <w:vMerge/>
            <w:shd w:val="clear" w:color="auto" w:fill="auto"/>
            <w:vAlign w:val="center"/>
          </w:tcPr>
          <w:p w14:paraId="56B2DDDF" w14:textId="77777777" w:rsidR="00737EB2" w:rsidRPr="00765F6E" w:rsidRDefault="00737EB2" w:rsidP="00871D47">
            <w:pPr>
              <w:jc w:val="center"/>
              <w:rPr>
                <w:rFonts w:ascii="宋体" w:hAnsi="宋体"/>
                <w:sz w:val="18"/>
                <w:szCs w:val="18"/>
              </w:rPr>
            </w:pPr>
          </w:p>
        </w:tc>
        <w:tc>
          <w:tcPr>
            <w:tcW w:w="1493" w:type="pct"/>
            <w:gridSpan w:val="3"/>
            <w:shd w:val="clear" w:color="auto" w:fill="auto"/>
            <w:vAlign w:val="center"/>
          </w:tcPr>
          <w:p w14:paraId="26F69366" w14:textId="77777777" w:rsidR="00737EB2" w:rsidRPr="00765F6E" w:rsidRDefault="00737EB2" w:rsidP="00871D47">
            <w:pPr>
              <w:pStyle w:val="affffffffffff2"/>
              <w:jc w:val="center"/>
            </w:pPr>
            <w:r w:rsidRPr="00765F6E">
              <w:rPr>
                <w:rFonts w:hAnsi="宋体" w:cs="宋体" w:hint="eastAsia"/>
                <w:sz w:val="18"/>
                <w:szCs w:val="18"/>
              </w:rPr>
              <w:t>化学</w:t>
            </w:r>
            <w:r w:rsidRPr="00765F6E">
              <w:rPr>
                <w:rFonts w:hAnsi="宋体" w:cs="宋体"/>
                <w:sz w:val="18"/>
                <w:szCs w:val="18"/>
              </w:rPr>
              <w:t>改良土</w:t>
            </w:r>
          </w:p>
        </w:tc>
        <w:tc>
          <w:tcPr>
            <w:tcW w:w="573" w:type="pct"/>
            <w:shd w:val="clear" w:color="auto" w:fill="auto"/>
            <w:vAlign w:val="center"/>
          </w:tcPr>
          <w:p w14:paraId="5C816C4C" w14:textId="77777777" w:rsidR="00737EB2" w:rsidRPr="00765F6E" w:rsidRDefault="00737EB2"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≥0.95</w:t>
            </w:r>
          </w:p>
        </w:tc>
        <w:tc>
          <w:tcPr>
            <w:tcW w:w="738" w:type="pct"/>
            <w:shd w:val="clear" w:color="auto" w:fill="auto"/>
            <w:vAlign w:val="center"/>
          </w:tcPr>
          <w:p w14:paraId="6C247AF2" w14:textId="3628E2B1" w:rsidR="00737EB2" w:rsidRPr="00765F6E" w:rsidRDefault="00904857" w:rsidP="00871D47">
            <w:pPr>
              <w:spacing w:line="240" w:lineRule="auto"/>
              <w:jc w:val="center"/>
              <w:rPr>
                <w:rFonts w:ascii="宋体" w:hAnsi="宋体" w:cs="宋体"/>
                <w:kern w:val="0"/>
                <w:sz w:val="18"/>
                <w:szCs w:val="18"/>
              </w:rPr>
            </w:pPr>
            <w:r>
              <w:rPr>
                <w:rFonts w:ascii="宋体" w:hAnsi="宋体" w:cs="宋体" w:hint="eastAsia"/>
                <w:kern w:val="0"/>
                <w:sz w:val="18"/>
                <w:szCs w:val="18"/>
              </w:rPr>
              <w:t>-</w:t>
            </w:r>
          </w:p>
        </w:tc>
        <w:tc>
          <w:tcPr>
            <w:tcW w:w="616" w:type="pct"/>
            <w:shd w:val="clear" w:color="auto" w:fill="auto"/>
            <w:vAlign w:val="center"/>
          </w:tcPr>
          <w:p w14:paraId="4E8D7FDD" w14:textId="77777777" w:rsidR="00737EB2" w:rsidRPr="00765F6E" w:rsidRDefault="00737EB2"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≥500</w:t>
            </w:r>
          </w:p>
        </w:tc>
        <w:tc>
          <w:tcPr>
            <w:tcW w:w="600" w:type="pct"/>
            <w:shd w:val="clear" w:color="auto" w:fill="auto"/>
            <w:vAlign w:val="center"/>
          </w:tcPr>
          <w:p w14:paraId="256F1522" w14:textId="77777777" w:rsidR="00737EB2" w:rsidRPr="00765F6E" w:rsidRDefault="00737EB2" w:rsidP="00871D47">
            <w:pPr>
              <w:spacing w:line="240" w:lineRule="auto"/>
              <w:jc w:val="center"/>
              <w:rPr>
                <w:rFonts w:ascii="宋体" w:hAnsi="宋体" w:cs="宋体"/>
                <w:kern w:val="0"/>
                <w:sz w:val="18"/>
                <w:szCs w:val="18"/>
              </w:rPr>
            </w:pPr>
          </w:p>
        </w:tc>
      </w:tr>
      <w:tr w:rsidR="00737EB2" w:rsidRPr="00765F6E" w14:paraId="5B29AD57" w14:textId="77777777" w:rsidTr="00871D47">
        <w:trPr>
          <w:trHeight w:val="176"/>
          <w:jc w:val="center"/>
        </w:trPr>
        <w:tc>
          <w:tcPr>
            <w:tcW w:w="415" w:type="pct"/>
            <w:vMerge/>
            <w:shd w:val="clear" w:color="auto" w:fill="auto"/>
            <w:vAlign w:val="center"/>
          </w:tcPr>
          <w:p w14:paraId="27F661BF" w14:textId="77777777" w:rsidR="00737EB2" w:rsidRPr="00765F6E" w:rsidRDefault="00737EB2" w:rsidP="00871D47">
            <w:pPr>
              <w:jc w:val="center"/>
              <w:rPr>
                <w:rFonts w:ascii="宋体" w:hAnsi="宋体"/>
                <w:sz w:val="18"/>
                <w:szCs w:val="18"/>
              </w:rPr>
            </w:pPr>
          </w:p>
        </w:tc>
        <w:tc>
          <w:tcPr>
            <w:tcW w:w="565" w:type="pct"/>
            <w:vMerge w:val="restart"/>
            <w:shd w:val="clear" w:color="auto" w:fill="auto"/>
            <w:vAlign w:val="center"/>
          </w:tcPr>
          <w:p w14:paraId="3210B30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140、160</w:t>
            </w:r>
          </w:p>
        </w:tc>
        <w:tc>
          <w:tcPr>
            <w:tcW w:w="1493" w:type="pct"/>
            <w:gridSpan w:val="3"/>
            <w:shd w:val="clear" w:color="auto" w:fill="auto"/>
            <w:vAlign w:val="center"/>
          </w:tcPr>
          <w:p w14:paraId="45B0064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级配</w:t>
            </w:r>
            <w:r w:rsidRPr="00765F6E">
              <w:rPr>
                <w:rFonts w:hAnsi="宋体" w:cs="宋体"/>
                <w:sz w:val="18"/>
                <w:szCs w:val="18"/>
              </w:rPr>
              <w:t>碎石</w:t>
            </w:r>
          </w:p>
        </w:tc>
        <w:tc>
          <w:tcPr>
            <w:tcW w:w="573" w:type="pct"/>
            <w:shd w:val="clear" w:color="auto" w:fill="auto"/>
            <w:vAlign w:val="center"/>
          </w:tcPr>
          <w:p w14:paraId="0CEEA91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≥0.95</w:t>
            </w:r>
          </w:p>
        </w:tc>
        <w:tc>
          <w:tcPr>
            <w:tcW w:w="738" w:type="pct"/>
            <w:shd w:val="clear" w:color="auto" w:fill="auto"/>
            <w:vAlign w:val="center"/>
          </w:tcPr>
          <w:p w14:paraId="3ADAA20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≥150</w:t>
            </w:r>
          </w:p>
        </w:tc>
        <w:tc>
          <w:tcPr>
            <w:tcW w:w="616" w:type="pct"/>
            <w:shd w:val="clear" w:color="auto" w:fill="auto"/>
          </w:tcPr>
          <w:p w14:paraId="70863D2E" w14:textId="3227142A"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600" w:type="pct"/>
            <w:shd w:val="clear" w:color="auto" w:fill="auto"/>
          </w:tcPr>
          <w:p w14:paraId="68E603B9" w14:textId="1D7F445B"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7EE92C8C" w14:textId="77777777" w:rsidTr="00871D47">
        <w:trPr>
          <w:trHeight w:val="176"/>
          <w:jc w:val="center"/>
        </w:trPr>
        <w:tc>
          <w:tcPr>
            <w:tcW w:w="415" w:type="pct"/>
            <w:vMerge/>
            <w:shd w:val="clear" w:color="auto" w:fill="auto"/>
            <w:vAlign w:val="center"/>
          </w:tcPr>
          <w:p w14:paraId="68EBDA57" w14:textId="77777777" w:rsidR="00737EB2" w:rsidRPr="00765F6E" w:rsidRDefault="00737EB2" w:rsidP="00871D47">
            <w:pPr>
              <w:jc w:val="center"/>
              <w:rPr>
                <w:rFonts w:ascii="宋体" w:hAnsi="宋体"/>
                <w:sz w:val="18"/>
                <w:szCs w:val="18"/>
              </w:rPr>
            </w:pPr>
          </w:p>
        </w:tc>
        <w:tc>
          <w:tcPr>
            <w:tcW w:w="565" w:type="pct"/>
            <w:vMerge/>
            <w:shd w:val="clear" w:color="auto" w:fill="auto"/>
            <w:vAlign w:val="center"/>
          </w:tcPr>
          <w:p w14:paraId="3B241F7C" w14:textId="77777777" w:rsidR="00737EB2" w:rsidRPr="00765F6E" w:rsidRDefault="00737EB2" w:rsidP="00871D47">
            <w:pPr>
              <w:jc w:val="center"/>
              <w:rPr>
                <w:rFonts w:ascii="宋体" w:hAnsi="宋体"/>
                <w:sz w:val="18"/>
                <w:szCs w:val="18"/>
              </w:rPr>
            </w:pPr>
          </w:p>
        </w:tc>
        <w:tc>
          <w:tcPr>
            <w:tcW w:w="549" w:type="pct"/>
            <w:shd w:val="clear" w:color="auto" w:fill="auto"/>
            <w:vAlign w:val="center"/>
          </w:tcPr>
          <w:p w14:paraId="73D8B6C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A</w:t>
            </w:r>
            <w:r w:rsidRPr="00765F6E">
              <w:rPr>
                <w:rFonts w:hAnsi="宋体" w:cs="宋体"/>
                <w:sz w:val="18"/>
                <w:szCs w:val="18"/>
              </w:rPr>
              <w:t>1</w:t>
            </w:r>
            <w:r w:rsidRPr="00765F6E">
              <w:rPr>
                <w:rFonts w:hAnsi="宋体" w:cs="宋体" w:hint="eastAsia"/>
                <w:sz w:val="18"/>
                <w:szCs w:val="18"/>
              </w:rPr>
              <w:t>、A2组</w:t>
            </w:r>
          </w:p>
        </w:tc>
        <w:tc>
          <w:tcPr>
            <w:tcW w:w="944" w:type="pct"/>
            <w:gridSpan w:val="2"/>
            <w:shd w:val="clear" w:color="auto" w:fill="auto"/>
            <w:vAlign w:val="center"/>
          </w:tcPr>
          <w:p w14:paraId="5BE7FAB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砾石类</w:t>
            </w:r>
            <w:r w:rsidRPr="00765F6E">
              <w:rPr>
                <w:rFonts w:hAnsi="宋体" w:cs="宋体"/>
                <w:sz w:val="18"/>
                <w:szCs w:val="18"/>
              </w:rPr>
              <w:t>、碎石类</w:t>
            </w:r>
          </w:p>
        </w:tc>
        <w:tc>
          <w:tcPr>
            <w:tcW w:w="573" w:type="pct"/>
            <w:shd w:val="clear" w:color="auto" w:fill="auto"/>
            <w:vAlign w:val="center"/>
          </w:tcPr>
          <w:p w14:paraId="6D8AB21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≥0.95</w:t>
            </w:r>
          </w:p>
        </w:tc>
        <w:tc>
          <w:tcPr>
            <w:tcW w:w="738" w:type="pct"/>
            <w:shd w:val="clear" w:color="auto" w:fill="auto"/>
          </w:tcPr>
          <w:p w14:paraId="7CDE4A1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≥150</w:t>
            </w:r>
          </w:p>
        </w:tc>
        <w:tc>
          <w:tcPr>
            <w:tcW w:w="616" w:type="pct"/>
            <w:shd w:val="clear" w:color="auto" w:fill="auto"/>
          </w:tcPr>
          <w:p w14:paraId="76CCF70B" w14:textId="4CE2A138"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600" w:type="pct"/>
            <w:shd w:val="clear" w:color="auto" w:fill="auto"/>
            <w:vAlign w:val="center"/>
          </w:tcPr>
          <w:p w14:paraId="302E6519" w14:textId="77777777" w:rsidR="00737EB2" w:rsidRPr="00765F6E" w:rsidRDefault="00737EB2" w:rsidP="00871D47">
            <w:pPr>
              <w:pStyle w:val="affffffffffff2"/>
              <w:jc w:val="center"/>
              <w:rPr>
                <w:rFonts w:hAnsi="宋体" w:cs="宋体"/>
                <w:sz w:val="18"/>
                <w:szCs w:val="18"/>
              </w:rPr>
            </w:pPr>
          </w:p>
        </w:tc>
      </w:tr>
      <w:tr w:rsidR="00737EB2" w:rsidRPr="00765F6E" w14:paraId="799472F0" w14:textId="77777777" w:rsidTr="00871D47">
        <w:trPr>
          <w:trHeight w:val="176"/>
          <w:jc w:val="center"/>
        </w:trPr>
        <w:tc>
          <w:tcPr>
            <w:tcW w:w="415" w:type="pct"/>
            <w:tcBorders>
              <w:bottom w:val="single" w:sz="8" w:space="0" w:color="auto"/>
            </w:tcBorders>
            <w:shd w:val="clear" w:color="auto" w:fill="auto"/>
            <w:vAlign w:val="center"/>
          </w:tcPr>
          <w:p w14:paraId="525EE71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无砟</w:t>
            </w:r>
          </w:p>
          <w:p w14:paraId="1DD4AE2F" w14:textId="77777777" w:rsidR="00737EB2" w:rsidRPr="00765F6E" w:rsidRDefault="00737EB2" w:rsidP="00871D47">
            <w:pPr>
              <w:pStyle w:val="affffffffffff2"/>
              <w:jc w:val="center"/>
              <w:rPr>
                <w:rFonts w:hAnsi="宋体"/>
                <w:sz w:val="18"/>
                <w:szCs w:val="18"/>
              </w:rPr>
            </w:pPr>
            <w:r w:rsidRPr="00765F6E">
              <w:rPr>
                <w:rFonts w:hAnsi="宋体" w:cs="宋体"/>
                <w:sz w:val="18"/>
                <w:szCs w:val="18"/>
              </w:rPr>
              <w:t>轨道</w:t>
            </w:r>
          </w:p>
        </w:tc>
        <w:tc>
          <w:tcPr>
            <w:tcW w:w="565" w:type="pct"/>
            <w:tcBorders>
              <w:bottom w:val="single" w:sz="8" w:space="0" w:color="auto"/>
            </w:tcBorders>
            <w:shd w:val="clear" w:color="auto" w:fill="auto"/>
            <w:vAlign w:val="center"/>
          </w:tcPr>
          <w:p w14:paraId="032AFD78"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w:t>
            </w:r>
          </w:p>
        </w:tc>
        <w:tc>
          <w:tcPr>
            <w:tcW w:w="1493" w:type="pct"/>
            <w:gridSpan w:val="3"/>
            <w:tcBorders>
              <w:bottom w:val="single" w:sz="8" w:space="0" w:color="auto"/>
            </w:tcBorders>
            <w:shd w:val="clear" w:color="auto" w:fill="auto"/>
            <w:vAlign w:val="center"/>
          </w:tcPr>
          <w:p w14:paraId="234AA78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级配</w:t>
            </w:r>
            <w:r w:rsidRPr="00765F6E">
              <w:rPr>
                <w:rFonts w:hAnsi="宋体" w:cs="宋体"/>
                <w:sz w:val="18"/>
                <w:szCs w:val="18"/>
              </w:rPr>
              <w:t>碎石</w:t>
            </w:r>
          </w:p>
        </w:tc>
        <w:tc>
          <w:tcPr>
            <w:tcW w:w="573" w:type="pct"/>
            <w:tcBorders>
              <w:bottom w:val="single" w:sz="8" w:space="0" w:color="auto"/>
            </w:tcBorders>
            <w:shd w:val="clear" w:color="auto" w:fill="auto"/>
            <w:vAlign w:val="center"/>
          </w:tcPr>
          <w:p w14:paraId="0208E19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≥0.97</w:t>
            </w:r>
          </w:p>
        </w:tc>
        <w:tc>
          <w:tcPr>
            <w:tcW w:w="738" w:type="pct"/>
            <w:tcBorders>
              <w:bottom w:val="single" w:sz="8" w:space="0" w:color="auto"/>
            </w:tcBorders>
            <w:shd w:val="clear" w:color="auto" w:fill="auto"/>
            <w:vAlign w:val="center"/>
          </w:tcPr>
          <w:p w14:paraId="29C2897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≥190</w:t>
            </w:r>
          </w:p>
        </w:tc>
        <w:tc>
          <w:tcPr>
            <w:tcW w:w="616" w:type="pct"/>
            <w:tcBorders>
              <w:bottom w:val="single" w:sz="8" w:space="0" w:color="auto"/>
            </w:tcBorders>
            <w:shd w:val="clear" w:color="auto" w:fill="auto"/>
            <w:vAlign w:val="center"/>
          </w:tcPr>
          <w:p w14:paraId="27214606" w14:textId="1623DAA1"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600" w:type="pct"/>
            <w:tcBorders>
              <w:bottom w:val="single" w:sz="8" w:space="0" w:color="auto"/>
            </w:tcBorders>
            <w:shd w:val="clear" w:color="auto" w:fill="auto"/>
            <w:vAlign w:val="center"/>
          </w:tcPr>
          <w:p w14:paraId="428814D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55</w:t>
            </w:r>
          </w:p>
        </w:tc>
      </w:tr>
    </w:tbl>
    <w:p w14:paraId="4F0A6489" w14:textId="77777777" w:rsidR="00737EB2" w:rsidRPr="00765F6E" w:rsidRDefault="00737EB2" w:rsidP="00737EB2">
      <w:pPr>
        <w:spacing w:line="240" w:lineRule="auto"/>
      </w:pPr>
    </w:p>
    <w:p w14:paraId="5CBFC5A4" w14:textId="75DB1D80" w:rsidR="00737EB2" w:rsidRPr="00765F6E" w:rsidRDefault="00737EB2" w:rsidP="009D0776">
      <w:pPr>
        <w:pStyle w:val="22"/>
      </w:pPr>
      <w:bookmarkStart w:id="1089" w:name="_Toc153291245"/>
      <w:bookmarkStart w:id="1090" w:name="_Toc99791814"/>
      <w:r w:rsidRPr="00765F6E">
        <w:rPr>
          <w:rFonts w:hint="eastAsia"/>
        </w:rPr>
        <w:t>基床底层的</w:t>
      </w:r>
      <w:r w:rsidRPr="005D4937">
        <w:rPr>
          <w:rFonts w:hint="eastAsia"/>
        </w:rPr>
        <w:t>填料应满足表</w:t>
      </w:r>
      <w:r w:rsidR="00E512B4" w:rsidRPr="005D4937">
        <w:rPr>
          <w:rFonts w:hint="eastAsia"/>
        </w:rPr>
        <w:t>4</w:t>
      </w:r>
      <w:r w:rsidR="00E512B4">
        <w:t>1</w:t>
      </w:r>
      <w:r w:rsidRPr="005D4937">
        <w:rPr>
          <w:rFonts w:hint="eastAsia"/>
        </w:rPr>
        <w:t>的要求，压实标准应满足表</w:t>
      </w:r>
      <w:r w:rsidR="00E512B4" w:rsidRPr="005D4937">
        <w:rPr>
          <w:rFonts w:hint="eastAsia"/>
        </w:rPr>
        <w:t>4</w:t>
      </w:r>
      <w:r w:rsidR="00E512B4">
        <w:t>2</w:t>
      </w:r>
      <w:r w:rsidRPr="005D4937">
        <w:rPr>
          <w:rFonts w:hint="eastAsia"/>
        </w:rPr>
        <w:t>的要求。</w:t>
      </w:r>
      <w:bookmarkEnd w:id="1089"/>
      <w:bookmarkEnd w:id="1090"/>
    </w:p>
    <w:p w14:paraId="440E17AB" w14:textId="77777777" w:rsidR="00737EB2" w:rsidRPr="00765F6E" w:rsidRDefault="00737EB2" w:rsidP="00737EB2">
      <w:pPr>
        <w:pStyle w:val="aff3"/>
        <w:spacing w:before="156" w:after="156"/>
      </w:pPr>
      <w:r w:rsidRPr="00765F6E">
        <w:rPr>
          <w:rFonts w:hint="eastAsia"/>
        </w:rPr>
        <w:t>基床底层的填料要求</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271"/>
        <w:gridCol w:w="1277"/>
        <w:gridCol w:w="1131"/>
        <w:gridCol w:w="5655"/>
      </w:tblGrid>
      <w:tr w:rsidR="00737EB2" w:rsidRPr="00765F6E" w14:paraId="15BF5426" w14:textId="77777777" w:rsidTr="00871D47">
        <w:trPr>
          <w:trHeight w:val="176"/>
        </w:trPr>
        <w:tc>
          <w:tcPr>
            <w:tcW w:w="681" w:type="pct"/>
            <w:vMerge w:val="restart"/>
            <w:tcBorders>
              <w:top w:val="single" w:sz="8" w:space="0" w:color="auto"/>
              <w:bottom w:val="single" w:sz="4" w:space="0" w:color="auto"/>
            </w:tcBorders>
            <w:shd w:val="clear" w:color="auto" w:fill="auto"/>
            <w:vAlign w:val="center"/>
          </w:tcPr>
          <w:p w14:paraId="6BAED4F5"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轨道</w:t>
            </w:r>
            <w:r w:rsidRPr="00765F6E">
              <w:rPr>
                <w:rFonts w:hAnsi="宋体" w:cs="宋体"/>
                <w:sz w:val="18"/>
                <w:szCs w:val="18"/>
              </w:rPr>
              <w:t>类型</w:t>
            </w:r>
          </w:p>
        </w:tc>
        <w:tc>
          <w:tcPr>
            <w:tcW w:w="684" w:type="pct"/>
            <w:vMerge w:val="restart"/>
            <w:tcBorders>
              <w:top w:val="single" w:sz="8" w:space="0" w:color="auto"/>
              <w:bottom w:val="single" w:sz="4" w:space="0" w:color="auto"/>
            </w:tcBorders>
            <w:shd w:val="clear" w:color="auto" w:fill="auto"/>
            <w:vAlign w:val="center"/>
          </w:tcPr>
          <w:p w14:paraId="2D2CB30A"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设计</w:t>
            </w:r>
            <w:r w:rsidRPr="00765F6E">
              <w:rPr>
                <w:rFonts w:hAnsi="宋体" w:cs="宋体"/>
                <w:sz w:val="18"/>
                <w:szCs w:val="18"/>
              </w:rPr>
              <w:t>速度</w:t>
            </w:r>
            <w:r w:rsidRPr="00765F6E">
              <w:rPr>
                <w:rFonts w:hAnsi="宋体" w:cs="宋体" w:hint="eastAsia"/>
                <w:sz w:val="18"/>
                <w:szCs w:val="18"/>
              </w:rPr>
              <w:t>km/h</w:t>
            </w:r>
          </w:p>
        </w:tc>
        <w:tc>
          <w:tcPr>
            <w:tcW w:w="3635" w:type="pct"/>
            <w:gridSpan w:val="2"/>
            <w:tcBorders>
              <w:top w:val="single" w:sz="8" w:space="0" w:color="auto"/>
              <w:bottom w:val="single" w:sz="4" w:space="0" w:color="auto"/>
            </w:tcBorders>
            <w:shd w:val="clear" w:color="auto" w:fill="auto"/>
            <w:vAlign w:val="center"/>
          </w:tcPr>
          <w:p w14:paraId="26DD602D"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填料</w:t>
            </w:r>
            <w:r w:rsidRPr="00765F6E">
              <w:rPr>
                <w:rFonts w:hAnsi="宋体" w:cs="宋体"/>
                <w:sz w:val="18"/>
                <w:szCs w:val="18"/>
              </w:rPr>
              <w:t>要求</w:t>
            </w:r>
          </w:p>
        </w:tc>
      </w:tr>
      <w:tr w:rsidR="00737EB2" w:rsidRPr="00765F6E" w14:paraId="745DC397" w14:textId="77777777" w:rsidTr="00871D47">
        <w:trPr>
          <w:trHeight w:val="176"/>
        </w:trPr>
        <w:tc>
          <w:tcPr>
            <w:tcW w:w="681" w:type="pct"/>
            <w:vMerge/>
            <w:tcBorders>
              <w:top w:val="single" w:sz="4" w:space="0" w:color="auto"/>
              <w:bottom w:val="single" w:sz="8" w:space="0" w:color="auto"/>
            </w:tcBorders>
            <w:shd w:val="clear" w:color="auto" w:fill="auto"/>
            <w:vAlign w:val="center"/>
          </w:tcPr>
          <w:p w14:paraId="680BF950" w14:textId="77777777" w:rsidR="00737EB2" w:rsidRPr="00765F6E" w:rsidRDefault="00737EB2" w:rsidP="00871D47">
            <w:pPr>
              <w:pStyle w:val="affffffffffff2"/>
              <w:spacing w:line="200" w:lineRule="exact"/>
              <w:jc w:val="center"/>
              <w:rPr>
                <w:rFonts w:hAnsi="宋体" w:cs="宋体"/>
                <w:sz w:val="18"/>
                <w:szCs w:val="18"/>
              </w:rPr>
            </w:pPr>
          </w:p>
        </w:tc>
        <w:tc>
          <w:tcPr>
            <w:tcW w:w="684" w:type="pct"/>
            <w:vMerge/>
            <w:tcBorders>
              <w:top w:val="single" w:sz="4" w:space="0" w:color="auto"/>
              <w:bottom w:val="single" w:sz="8" w:space="0" w:color="auto"/>
            </w:tcBorders>
            <w:shd w:val="clear" w:color="auto" w:fill="auto"/>
            <w:vAlign w:val="center"/>
          </w:tcPr>
          <w:p w14:paraId="2E686527" w14:textId="77777777" w:rsidR="00737EB2" w:rsidRPr="00765F6E" w:rsidRDefault="00737EB2" w:rsidP="00871D47">
            <w:pPr>
              <w:pStyle w:val="affffffffffff2"/>
              <w:spacing w:line="200" w:lineRule="exact"/>
              <w:jc w:val="center"/>
              <w:rPr>
                <w:rFonts w:hAnsi="宋体" w:cs="宋体"/>
                <w:sz w:val="18"/>
                <w:szCs w:val="18"/>
              </w:rPr>
            </w:pPr>
          </w:p>
        </w:tc>
        <w:tc>
          <w:tcPr>
            <w:tcW w:w="606" w:type="pct"/>
            <w:tcBorders>
              <w:top w:val="single" w:sz="4" w:space="0" w:color="auto"/>
              <w:bottom w:val="single" w:sz="8" w:space="0" w:color="auto"/>
            </w:tcBorders>
            <w:shd w:val="clear" w:color="auto" w:fill="auto"/>
            <w:vAlign w:val="center"/>
          </w:tcPr>
          <w:p w14:paraId="75FD6301"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最大</w:t>
            </w:r>
            <w:r w:rsidRPr="00765F6E">
              <w:rPr>
                <w:rFonts w:hAnsi="宋体" w:cs="宋体"/>
                <w:sz w:val="18"/>
                <w:szCs w:val="18"/>
              </w:rPr>
              <w:t>颗粒</w:t>
            </w:r>
          </w:p>
        </w:tc>
        <w:tc>
          <w:tcPr>
            <w:tcW w:w="3029" w:type="pct"/>
            <w:tcBorders>
              <w:top w:val="single" w:sz="4" w:space="0" w:color="auto"/>
              <w:bottom w:val="single" w:sz="8" w:space="0" w:color="auto"/>
            </w:tcBorders>
            <w:shd w:val="clear" w:color="auto" w:fill="auto"/>
            <w:vAlign w:val="center"/>
          </w:tcPr>
          <w:p w14:paraId="14CC1567"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组别</w:t>
            </w:r>
            <w:r w:rsidRPr="00765F6E">
              <w:rPr>
                <w:rFonts w:hAnsi="宋体" w:cs="宋体"/>
                <w:sz w:val="18"/>
                <w:szCs w:val="18"/>
              </w:rPr>
              <w:t>要求</w:t>
            </w:r>
          </w:p>
        </w:tc>
      </w:tr>
      <w:tr w:rsidR="00737EB2" w:rsidRPr="00765F6E" w14:paraId="23AC10CB" w14:textId="77777777" w:rsidTr="00871D47">
        <w:trPr>
          <w:trHeight w:val="176"/>
        </w:trPr>
        <w:tc>
          <w:tcPr>
            <w:tcW w:w="681" w:type="pct"/>
            <w:vMerge w:val="restart"/>
            <w:tcBorders>
              <w:top w:val="single" w:sz="8" w:space="0" w:color="auto"/>
            </w:tcBorders>
            <w:shd w:val="clear" w:color="auto" w:fill="auto"/>
            <w:vAlign w:val="center"/>
          </w:tcPr>
          <w:p w14:paraId="4C257A6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有</w:t>
            </w:r>
            <w:r w:rsidRPr="00765F6E">
              <w:rPr>
                <w:rFonts w:hAnsi="宋体" w:cs="宋体"/>
                <w:sz w:val="18"/>
                <w:szCs w:val="18"/>
              </w:rPr>
              <w:t>砟轨道</w:t>
            </w:r>
          </w:p>
        </w:tc>
        <w:tc>
          <w:tcPr>
            <w:tcW w:w="684" w:type="pct"/>
            <w:tcBorders>
              <w:top w:val="single" w:sz="8" w:space="0" w:color="auto"/>
            </w:tcBorders>
            <w:shd w:val="clear" w:color="auto" w:fill="auto"/>
            <w:vAlign w:val="center"/>
          </w:tcPr>
          <w:p w14:paraId="54D4C54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120</w:t>
            </w:r>
          </w:p>
        </w:tc>
        <w:tc>
          <w:tcPr>
            <w:tcW w:w="606" w:type="pct"/>
            <w:tcBorders>
              <w:top w:val="single" w:sz="8" w:space="0" w:color="auto"/>
            </w:tcBorders>
            <w:shd w:val="clear" w:color="auto" w:fill="auto"/>
            <w:vAlign w:val="center"/>
          </w:tcPr>
          <w:p w14:paraId="01A0760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20</w:t>
            </w:r>
            <w:r w:rsidRPr="00765F6E">
              <w:rPr>
                <w:rFonts w:hAnsi="宋体" w:cs="宋体" w:hint="eastAsia"/>
                <w:sz w:val="18"/>
                <w:szCs w:val="18"/>
              </w:rPr>
              <w:t>0</w:t>
            </w:r>
            <w:r w:rsidRPr="00765F6E">
              <w:rPr>
                <w:rFonts w:hAnsi="宋体" w:cs="宋体"/>
                <w:sz w:val="18"/>
                <w:szCs w:val="18"/>
              </w:rPr>
              <w:t>mm</w:t>
            </w:r>
          </w:p>
        </w:tc>
        <w:tc>
          <w:tcPr>
            <w:tcW w:w="3029" w:type="pct"/>
            <w:tcBorders>
              <w:top w:val="single" w:sz="8" w:space="0" w:color="auto"/>
            </w:tcBorders>
            <w:shd w:val="clear" w:color="auto" w:fill="auto"/>
            <w:vAlign w:val="center"/>
          </w:tcPr>
          <w:p w14:paraId="03DBD5F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表41</w:t>
            </w:r>
            <w:r w:rsidRPr="00765F6E">
              <w:rPr>
                <w:rFonts w:hAnsi="宋体" w:cs="宋体"/>
                <w:sz w:val="18"/>
                <w:szCs w:val="18"/>
              </w:rPr>
              <w:t>中的A</w:t>
            </w:r>
            <w:r w:rsidRPr="00765F6E">
              <w:rPr>
                <w:rFonts w:hAnsi="宋体" w:cs="宋体" w:hint="eastAsia"/>
                <w:sz w:val="18"/>
                <w:szCs w:val="18"/>
              </w:rPr>
              <w:t>、</w:t>
            </w:r>
            <w:r w:rsidRPr="00765F6E">
              <w:rPr>
                <w:rFonts w:hAnsi="宋体" w:cs="宋体"/>
                <w:sz w:val="18"/>
                <w:szCs w:val="18"/>
              </w:rPr>
              <w:t>B</w:t>
            </w:r>
            <w:r w:rsidRPr="00765F6E">
              <w:rPr>
                <w:rFonts w:hAnsi="宋体" w:cs="宋体" w:hint="eastAsia"/>
                <w:sz w:val="18"/>
                <w:szCs w:val="18"/>
              </w:rPr>
              <w:t>、C1、C2组</w:t>
            </w:r>
            <w:r w:rsidRPr="00765F6E">
              <w:rPr>
                <w:rFonts w:hAnsi="宋体" w:cs="宋体"/>
                <w:sz w:val="18"/>
                <w:szCs w:val="18"/>
              </w:rPr>
              <w:t>填料</w:t>
            </w:r>
            <w:r w:rsidRPr="00765F6E">
              <w:rPr>
                <w:rFonts w:hAnsi="宋体" w:cs="宋体" w:hint="eastAsia"/>
                <w:sz w:val="18"/>
                <w:szCs w:val="18"/>
              </w:rPr>
              <w:t>或</w:t>
            </w:r>
            <w:r w:rsidRPr="00765F6E">
              <w:rPr>
                <w:rFonts w:hAnsi="宋体" w:cs="宋体"/>
                <w:sz w:val="18"/>
                <w:szCs w:val="18"/>
              </w:rPr>
              <w:t>化学改良土。</w:t>
            </w:r>
          </w:p>
        </w:tc>
      </w:tr>
      <w:tr w:rsidR="00737EB2" w:rsidRPr="00765F6E" w14:paraId="3F59A0E9" w14:textId="77777777" w:rsidTr="00871D47">
        <w:trPr>
          <w:trHeight w:val="176"/>
        </w:trPr>
        <w:tc>
          <w:tcPr>
            <w:tcW w:w="681" w:type="pct"/>
            <w:vMerge/>
            <w:shd w:val="clear" w:color="auto" w:fill="auto"/>
            <w:vAlign w:val="center"/>
          </w:tcPr>
          <w:p w14:paraId="1B0CF33A" w14:textId="77777777" w:rsidR="00737EB2" w:rsidRPr="00765F6E" w:rsidRDefault="00737EB2" w:rsidP="00871D47">
            <w:pPr>
              <w:pStyle w:val="affffffffffff2"/>
              <w:jc w:val="center"/>
              <w:rPr>
                <w:rFonts w:hAnsi="宋体" w:cs="宋体"/>
                <w:sz w:val="18"/>
                <w:szCs w:val="18"/>
              </w:rPr>
            </w:pPr>
          </w:p>
        </w:tc>
        <w:tc>
          <w:tcPr>
            <w:tcW w:w="684" w:type="pct"/>
            <w:shd w:val="clear" w:color="auto" w:fill="auto"/>
            <w:vAlign w:val="center"/>
          </w:tcPr>
          <w:p w14:paraId="5ADBCA7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140、160</w:t>
            </w:r>
          </w:p>
        </w:tc>
        <w:tc>
          <w:tcPr>
            <w:tcW w:w="606" w:type="pct"/>
            <w:shd w:val="clear" w:color="auto" w:fill="auto"/>
            <w:vAlign w:val="center"/>
          </w:tcPr>
          <w:p w14:paraId="3CF2A62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20</w:t>
            </w:r>
            <w:r w:rsidRPr="00765F6E">
              <w:rPr>
                <w:rFonts w:hAnsi="宋体" w:cs="宋体" w:hint="eastAsia"/>
                <w:sz w:val="18"/>
                <w:szCs w:val="18"/>
              </w:rPr>
              <w:t>0</w:t>
            </w:r>
            <w:r w:rsidRPr="00765F6E">
              <w:rPr>
                <w:rFonts w:hAnsi="宋体" w:cs="宋体"/>
                <w:sz w:val="18"/>
                <w:szCs w:val="18"/>
              </w:rPr>
              <w:t>mm</w:t>
            </w:r>
          </w:p>
        </w:tc>
        <w:tc>
          <w:tcPr>
            <w:tcW w:w="3029" w:type="pct"/>
            <w:shd w:val="clear" w:color="auto" w:fill="auto"/>
            <w:vAlign w:val="center"/>
          </w:tcPr>
          <w:p w14:paraId="43DE39B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表41</w:t>
            </w:r>
            <w:r w:rsidRPr="00765F6E">
              <w:rPr>
                <w:rFonts w:hAnsi="宋体" w:cs="宋体"/>
                <w:sz w:val="18"/>
                <w:szCs w:val="18"/>
              </w:rPr>
              <w:t>中的</w:t>
            </w:r>
            <w:r w:rsidRPr="00765F6E">
              <w:rPr>
                <w:rFonts w:hAnsi="宋体" w:cs="宋体" w:hint="eastAsia"/>
                <w:sz w:val="18"/>
                <w:szCs w:val="18"/>
              </w:rPr>
              <w:t>有砟轨道</w:t>
            </w:r>
            <w:r w:rsidRPr="00765F6E">
              <w:rPr>
                <w:rFonts w:hAnsi="宋体" w:cs="宋体"/>
                <w:sz w:val="18"/>
                <w:szCs w:val="18"/>
              </w:rPr>
              <w:t>A</w:t>
            </w:r>
            <w:r w:rsidRPr="00765F6E">
              <w:rPr>
                <w:rFonts w:hAnsi="宋体" w:cs="宋体" w:hint="eastAsia"/>
                <w:sz w:val="18"/>
                <w:szCs w:val="18"/>
              </w:rPr>
              <w:t>、</w:t>
            </w:r>
            <w:r w:rsidRPr="00765F6E">
              <w:rPr>
                <w:rFonts w:hAnsi="宋体" w:cs="宋体"/>
                <w:sz w:val="18"/>
                <w:szCs w:val="18"/>
              </w:rPr>
              <w:t>B</w:t>
            </w:r>
            <w:r w:rsidRPr="00765F6E">
              <w:rPr>
                <w:rFonts w:hAnsi="宋体" w:cs="宋体" w:hint="eastAsia"/>
                <w:sz w:val="18"/>
                <w:szCs w:val="18"/>
              </w:rPr>
              <w:t>组</w:t>
            </w:r>
            <w:r w:rsidRPr="00765F6E">
              <w:rPr>
                <w:rFonts w:hAnsi="宋体" w:cs="宋体"/>
                <w:sz w:val="18"/>
                <w:szCs w:val="18"/>
              </w:rPr>
              <w:t>填料</w:t>
            </w:r>
            <w:r w:rsidRPr="00765F6E">
              <w:rPr>
                <w:rFonts w:hAnsi="宋体" w:cs="宋体" w:hint="eastAsia"/>
                <w:sz w:val="18"/>
                <w:szCs w:val="18"/>
              </w:rPr>
              <w:t>或</w:t>
            </w:r>
            <w:r w:rsidRPr="00765F6E">
              <w:rPr>
                <w:rFonts w:hAnsi="宋体" w:cs="宋体"/>
                <w:sz w:val="18"/>
                <w:szCs w:val="18"/>
              </w:rPr>
              <w:t>化学改良土。</w:t>
            </w:r>
          </w:p>
        </w:tc>
      </w:tr>
      <w:tr w:rsidR="00737EB2" w:rsidRPr="00765F6E" w14:paraId="701CD90A" w14:textId="77777777" w:rsidTr="00871D47">
        <w:trPr>
          <w:trHeight w:val="176"/>
        </w:trPr>
        <w:tc>
          <w:tcPr>
            <w:tcW w:w="681" w:type="pct"/>
            <w:tcBorders>
              <w:bottom w:val="single" w:sz="8" w:space="0" w:color="auto"/>
            </w:tcBorders>
            <w:shd w:val="clear" w:color="auto" w:fill="auto"/>
            <w:vAlign w:val="center"/>
          </w:tcPr>
          <w:p w14:paraId="6C7EECA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无</w:t>
            </w:r>
            <w:r w:rsidRPr="00765F6E">
              <w:rPr>
                <w:rFonts w:hAnsi="宋体" w:cs="宋体"/>
                <w:sz w:val="18"/>
                <w:szCs w:val="18"/>
              </w:rPr>
              <w:t>砟轨道</w:t>
            </w:r>
          </w:p>
        </w:tc>
        <w:tc>
          <w:tcPr>
            <w:tcW w:w="684" w:type="pct"/>
            <w:tcBorders>
              <w:bottom w:val="single" w:sz="8" w:space="0" w:color="auto"/>
            </w:tcBorders>
            <w:shd w:val="clear" w:color="auto" w:fill="auto"/>
            <w:vAlign w:val="center"/>
          </w:tcPr>
          <w:p w14:paraId="5C498C9F" w14:textId="676E01D1"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606" w:type="pct"/>
            <w:tcBorders>
              <w:bottom w:val="single" w:sz="8" w:space="0" w:color="auto"/>
            </w:tcBorders>
            <w:shd w:val="clear" w:color="auto" w:fill="auto"/>
            <w:vAlign w:val="center"/>
          </w:tcPr>
          <w:p w14:paraId="0CA4946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≤60</w:t>
            </w:r>
            <w:r w:rsidRPr="00765F6E">
              <w:rPr>
                <w:rFonts w:hAnsi="宋体" w:cs="宋体"/>
                <w:sz w:val="18"/>
                <w:szCs w:val="18"/>
              </w:rPr>
              <w:t>mm</w:t>
            </w:r>
          </w:p>
        </w:tc>
        <w:tc>
          <w:tcPr>
            <w:tcW w:w="3029" w:type="pct"/>
            <w:tcBorders>
              <w:bottom w:val="single" w:sz="8" w:space="0" w:color="auto"/>
            </w:tcBorders>
            <w:shd w:val="clear" w:color="auto" w:fill="auto"/>
            <w:vAlign w:val="center"/>
          </w:tcPr>
          <w:p w14:paraId="20DD97F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表41</w:t>
            </w:r>
            <w:r w:rsidRPr="00765F6E">
              <w:rPr>
                <w:rFonts w:hAnsi="宋体" w:cs="宋体"/>
                <w:sz w:val="18"/>
                <w:szCs w:val="18"/>
              </w:rPr>
              <w:t>中的</w:t>
            </w:r>
            <w:r w:rsidRPr="00765F6E">
              <w:rPr>
                <w:rFonts w:hAnsi="宋体" w:cs="宋体" w:hint="eastAsia"/>
                <w:sz w:val="18"/>
                <w:szCs w:val="18"/>
              </w:rPr>
              <w:t>无砟轨道</w:t>
            </w:r>
            <w:r w:rsidRPr="00765F6E">
              <w:rPr>
                <w:rFonts w:hAnsi="宋体" w:cs="宋体"/>
                <w:sz w:val="18"/>
                <w:szCs w:val="18"/>
              </w:rPr>
              <w:t>A</w:t>
            </w:r>
            <w:r w:rsidRPr="00765F6E">
              <w:rPr>
                <w:rFonts w:hAnsi="宋体" w:cs="宋体" w:hint="eastAsia"/>
                <w:sz w:val="18"/>
                <w:szCs w:val="18"/>
              </w:rPr>
              <w:t>、</w:t>
            </w:r>
            <w:r w:rsidRPr="00765F6E">
              <w:rPr>
                <w:rFonts w:hAnsi="宋体" w:cs="宋体"/>
                <w:sz w:val="18"/>
                <w:szCs w:val="18"/>
              </w:rPr>
              <w:t>B</w:t>
            </w:r>
            <w:r w:rsidRPr="00765F6E">
              <w:rPr>
                <w:rFonts w:hAnsi="宋体" w:cs="宋体" w:hint="eastAsia"/>
                <w:sz w:val="18"/>
                <w:szCs w:val="18"/>
              </w:rPr>
              <w:t>组</w:t>
            </w:r>
            <w:r w:rsidRPr="00765F6E">
              <w:rPr>
                <w:rFonts w:hAnsi="宋体" w:cs="宋体"/>
                <w:sz w:val="18"/>
                <w:szCs w:val="18"/>
              </w:rPr>
              <w:t>填料</w:t>
            </w:r>
            <w:r w:rsidRPr="00765F6E">
              <w:rPr>
                <w:rFonts w:hAnsi="宋体" w:cs="宋体" w:hint="eastAsia"/>
                <w:sz w:val="18"/>
                <w:szCs w:val="18"/>
              </w:rPr>
              <w:t>或</w:t>
            </w:r>
            <w:r w:rsidRPr="00765F6E">
              <w:rPr>
                <w:rFonts w:hAnsi="宋体" w:cs="宋体"/>
                <w:sz w:val="18"/>
                <w:szCs w:val="18"/>
              </w:rPr>
              <w:t>化学改良土。</w:t>
            </w:r>
          </w:p>
        </w:tc>
      </w:tr>
    </w:tbl>
    <w:p w14:paraId="50BEC08F" w14:textId="77777777" w:rsidR="00737EB2" w:rsidRPr="00765F6E" w:rsidRDefault="00737EB2" w:rsidP="00737EB2">
      <w:pPr>
        <w:pStyle w:val="aff3"/>
        <w:spacing w:before="156" w:after="156"/>
      </w:pPr>
      <w:r w:rsidRPr="00765F6E">
        <w:rPr>
          <w:rFonts w:hint="eastAsia"/>
        </w:rPr>
        <w:t>基床底层的压实标准</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782"/>
        <w:gridCol w:w="1053"/>
        <w:gridCol w:w="870"/>
        <w:gridCol w:w="1755"/>
        <w:gridCol w:w="1116"/>
        <w:gridCol w:w="1275"/>
        <w:gridCol w:w="1322"/>
        <w:gridCol w:w="1161"/>
      </w:tblGrid>
      <w:tr w:rsidR="00737EB2" w:rsidRPr="00765F6E" w14:paraId="1EE9F955" w14:textId="77777777" w:rsidTr="00871D47">
        <w:trPr>
          <w:trHeight w:val="176"/>
        </w:trPr>
        <w:tc>
          <w:tcPr>
            <w:tcW w:w="419" w:type="pct"/>
            <w:vMerge w:val="restart"/>
            <w:tcBorders>
              <w:top w:val="single" w:sz="8" w:space="0" w:color="auto"/>
              <w:bottom w:val="single" w:sz="4" w:space="0" w:color="auto"/>
            </w:tcBorders>
            <w:shd w:val="clear" w:color="auto" w:fill="auto"/>
            <w:vAlign w:val="center"/>
          </w:tcPr>
          <w:p w14:paraId="40EE131A"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轨道</w:t>
            </w:r>
            <w:r w:rsidRPr="00765F6E">
              <w:rPr>
                <w:rFonts w:hAnsi="宋体" w:cs="宋体"/>
                <w:sz w:val="18"/>
                <w:szCs w:val="18"/>
              </w:rPr>
              <w:t>类型</w:t>
            </w:r>
          </w:p>
        </w:tc>
        <w:tc>
          <w:tcPr>
            <w:tcW w:w="564" w:type="pct"/>
            <w:vMerge w:val="restart"/>
            <w:tcBorders>
              <w:top w:val="single" w:sz="8" w:space="0" w:color="auto"/>
              <w:bottom w:val="single" w:sz="4" w:space="0" w:color="auto"/>
            </w:tcBorders>
            <w:shd w:val="clear" w:color="auto" w:fill="auto"/>
            <w:vAlign w:val="center"/>
          </w:tcPr>
          <w:p w14:paraId="085FAE88"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设计</w:t>
            </w:r>
            <w:r w:rsidRPr="00765F6E">
              <w:rPr>
                <w:rFonts w:hAnsi="宋体" w:cs="宋体"/>
                <w:sz w:val="18"/>
                <w:szCs w:val="18"/>
              </w:rPr>
              <w:t>速度</w:t>
            </w:r>
            <w:r w:rsidRPr="00765F6E">
              <w:rPr>
                <w:rFonts w:hAnsi="宋体" w:cs="宋体" w:hint="eastAsia"/>
                <w:sz w:val="18"/>
                <w:szCs w:val="18"/>
              </w:rPr>
              <w:t>km/h</w:t>
            </w:r>
          </w:p>
        </w:tc>
        <w:tc>
          <w:tcPr>
            <w:tcW w:w="1406" w:type="pct"/>
            <w:gridSpan w:val="2"/>
            <w:vMerge w:val="restart"/>
            <w:tcBorders>
              <w:top w:val="single" w:sz="8" w:space="0" w:color="auto"/>
              <w:bottom w:val="single" w:sz="4" w:space="0" w:color="auto"/>
            </w:tcBorders>
            <w:shd w:val="clear" w:color="auto" w:fill="auto"/>
            <w:vAlign w:val="center"/>
          </w:tcPr>
          <w:p w14:paraId="59B741F7"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填料</w:t>
            </w:r>
          </w:p>
        </w:tc>
        <w:tc>
          <w:tcPr>
            <w:tcW w:w="2611" w:type="pct"/>
            <w:gridSpan w:val="4"/>
            <w:tcBorders>
              <w:top w:val="single" w:sz="8" w:space="0" w:color="auto"/>
              <w:bottom w:val="single" w:sz="4" w:space="0" w:color="auto"/>
            </w:tcBorders>
            <w:shd w:val="clear" w:color="auto" w:fill="auto"/>
            <w:vAlign w:val="center"/>
          </w:tcPr>
          <w:p w14:paraId="666A8129"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压实</w:t>
            </w:r>
            <w:r w:rsidRPr="00765F6E">
              <w:rPr>
                <w:rFonts w:hAnsi="宋体" w:cs="宋体"/>
                <w:sz w:val="18"/>
                <w:szCs w:val="18"/>
              </w:rPr>
              <w:t>标准</w:t>
            </w:r>
          </w:p>
        </w:tc>
      </w:tr>
      <w:tr w:rsidR="00737EB2" w:rsidRPr="00765F6E" w14:paraId="2F74E1B7" w14:textId="77777777" w:rsidTr="00871D47">
        <w:trPr>
          <w:trHeight w:val="176"/>
        </w:trPr>
        <w:tc>
          <w:tcPr>
            <w:tcW w:w="419" w:type="pct"/>
            <w:vMerge/>
            <w:tcBorders>
              <w:top w:val="single" w:sz="4" w:space="0" w:color="auto"/>
              <w:bottom w:val="single" w:sz="8" w:space="0" w:color="auto"/>
            </w:tcBorders>
            <w:shd w:val="clear" w:color="auto" w:fill="auto"/>
            <w:vAlign w:val="center"/>
          </w:tcPr>
          <w:p w14:paraId="110EF9E3" w14:textId="77777777" w:rsidR="00737EB2" w:rsidRPr="00765F6E" w:rsidRDefault="00737EB2" w:rsidP="00871D47">
            <w:pPr>
              <w:pStyle w:val="affffffffffff2"/>
              <w:spacing w:line="200" w:lineRule="exact"/>
              <w:jc w:val="center"/>
              <w:rPr>
                <w:rFonts w:hAnsi="宋体" w:cs="宋体"/>
                <w:sz w:val="18"/>
                <w:szCs w:val="18"/>
              </w:rPr>
            </w:pPr>
          </w:p>
        </w:tc>
        <w:tc>
          <w:tcPr>
            <w:tcW w:w="564" w:type="pct"/>
            <w:vMerge/>
            <w:tcBorders>
              <w:top w:val="single" w:sz="4" w:space="0" w:color="auto"/>
              <w:bottom w:val="single" w:sz="8" w:space="0" w:color="auto"/>
            </w:tcBorders>
            <w:shd w:val="clear" w:color="auto" w:fill="auto"/>
            <w:vAlign w:val="center"/>
          </w:tcPr>
          <w:p w14:paraId="0695424D" w14:textId="77777777" w:rsidR="00737EB2" w:rsidRPr="00765F6E" w:rsidRDefault="00737EB2" w:rsidP="00871D47">
            <w:pPr>
              <w:pStyle w:val="affffffffffff2"/>
              <w:spacing w:line="200" w:lineRule="exact"/>
              <w:jc w:val="center"/>
              <w:rPr>
                <w:rFonts w:hAnsi="宋体" w:cs="宋体"/>
                <w:sz w:val="18"/>
                <w:szCs w:val="18"/>
              </w:rPr>
            </w:pPr>
          </w:p>
        </w:tc>
        <w:tc>
          <w:tcPr>
            <w:tcW w:w="1406" w:type="pct"/>
            <w:gridSpan w:val="2"/>
            <w:vMerge/>
            <w:tcBorders>
              <w:top w:val="single" w:sz="4" w:space="0" w:color="auto"/>
              <w:bottom w:val="single" w:sz="8" w:space="0" w:color="auto"/>
            </w:tcBorders>
            <w:shd w:val="clear" w:color="auto" w:fill="auto"/>
            <w:vAlign w:val="center"/>
          </w:tcPr>
          <w:p w14:paraId="271D265E" w14:textId="77777777" w:rsidR="00737EB2" w:rsidRPr="00765F6E" w:rsidRDefault="00737EB2" w:rsidP="00871D47">
            <w:pPr>
              <w:pStyle w:val="affffffffffff2"/>
              <w:spacing w:line="200" w:lineRule="exact"/>
              <w:jc w:val="center"/>
              <w:rPr>
                <w:rFonts w:hAnsi="宋体" w:cs="宋体"/>
                <w:sz w:val="18"/>
                <w:szCs w:val="18"/>
              </w:rPr>
            </w:pPr>
          </w:p>
        </w:tc>
        <w:tc>
          <w:tcPr>
            <w:tcW w:w="598" w:type="pct"/>
            <w:tcBorders>
              <w:top w:val="single" w:sz="4" w:space="0" w:color="auto"/>
              <w:bottom w:val="single" w:sz="8" w:space="0" w:color="auto"/>
            </w:tcBorders>
            <w:shd w:val="clear" w:color="auto" w:fill="auto"/>
            <w:vAlign w:val="center"/>
          </w:tcPr>
          <w:p w14:paraId="2455A5F0"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压实</w:t>
            </w:r>
            <w:r w:rsidRPr="00765F6E">
              <w:rPr>
                <w:rFonts w:hAnsi="宋体" w:cs="宋体"/>
                <w:sz w:val="18"/>
                <w:szCs w:val="18"/>
              </w:rPr>
              <w:t>系数</w:t>
            </w:r>
            <w:r w:rsidRPr="00765F6E">
              <w:rPr>
                <w:rFonts w:hAnsi="宋体" w:cs="宋体" w:hint="eastAsia"/>
                <w:sz w:val="18"/>
                <w:szCs w:val="18"/>
              </w:rPr>
              <w:t>K</w:t>
            </w:r>
          </w:p>
        </w:tc>
        <w:tc>
          <w:tcPr>
            <w:tcW w:w="683" w:type="pct"/>
            <w:tcBorders>
              <w:top w:val="single" w:sz="4" w:space="0" w:color="auto"/>
              <w:bottom w:val="single" w:sz="8" w:space="0" w:color="auto"/>
            </w:tcBorders>
            <w:shd w:val="clear" w:color="auto" w:fill="auto"/>
            <w:vAlign w:val="center"/>
          </w:tcPr>
          <w:p w14:paraId="04CBAE19"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地基</w:t>
            </w:r>
            <w:r w:rsidRPr="00765F6E">
              <w:rPr>
                <w:rFonts w:hAnsi="宋体" w:cs="宋体"/>
                <w:sz w:val="18"/>
                <w:szCs w:val="18"/>
              </w:rPr>
              <w:t>系</w:t>
            </w:r>
            <w:r w:rsidRPr="00765F6E">
              <w:rPr>
                <w:rFonts w:hAnsi="宋体" w:cs="宋体" w:hint="eastAsia"/>
                <w:sz w:val="18"/>
                <w:szCs w:val="18"/>
              </w:rPr>
              <w:t>数K30</w:t>
            </w:r>
          </w:p>
          <w:p w14:paraId="14E2BA9E"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MP</w:t>
            </w:r>
            <w:r w:rsidRPr="00765F6E">
              <w:rPr>
                <w:rFonts w:hAnsi="宋体" w:cs="宋体"/>
                <w:sz w:val="18"/>
                <w:szCs w:val="18"/>
              </w:rPr>
              <w:t>a</w:t>
            </w:r>
            <w:r w:rsidRPr="00765F6E">
              <w:rPr>
                <w:rFonts w:hAnsi="宋体" w:cs="宋体" w:hint="eastAsia"/>
                <w:sz w:val="18"/>
                <w:szCs w:val="18"/>
              </w:rPr>
              <w:t>/m</w:t>
            </w:r>
          </w:p>
        </w:tc>
        <w:tc>
          <w:tcPr>
            <w:tcW w:w="708" w:type="pct"/>
            <w:tcBorders>
              <w:top w:val="single" w:sz="4" w:space="0" w:color="auto"/>
              <w:bottom w:val="single" w:sz="8" w:space="0" w:color="auto"/>
            </w:tcBorders>
            <w:shd w:val="clear" w:color="auto" w:fill="auto"/>
            <w:vAlign w:val="center"/>
          </w:tcPr>
          <w:p w14:paraId="591E0874"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7</w:t>
            </w:r>
            <w:r w:rsidRPr="00765F6E">
              <w:rPr>
                <w:rFonts w:hAnsi="宋体" w:cs="宋体"/>
                <w:sz w:val="18"/>
                <w:szCs w:val="18"/>
              </w:rPr>
              <w:t>d</w:t>
            </w:r>
            <w:r w:rsidRPr="00765F6E">
              <w:rPr>
                <w:rFonts w:hAnsi="宋体" w:cs="宋体" w:hint="eastAsia"/>
                <w:sz w:val="18"/>
                <w:szCs w:val="18"/>
              </w:rPr>
              <w:t>饱和</w:t>
            </w:r>
            <w:r w:rsidRPr="00765F6E">
              <w:rPr>
                <w:rFonts w:hAnsi="宋体" w:cs="宋体"/>
                <w:sz w:val="18"/>
                <w:szCs w:val="18"/>
              </w:rPr>
              <w:t>无侧限抗压强度</w:t>
            </w:r>
          </w:p>
          <w:p w14:paraId="703727CC"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kP</w:t>
            </w:r>
            <w:r w:rsidRPr="00765F6E">
              <w:rPr>
                <w:rFonts w:hAnsi="宋体" w:cs="宋体"/>
                <w:sz w:val="18"/>
                <w:szCs w:val="18"/>
              </w:rPr>
              <w:t>a</w:t>
            </w:r>
          </w:p>
        </w:tc>
        <w:tc>
          <w:tcPr>
            <w:tcW w:w="622" w:type="pct"/>
            <w:tcBorders>
              <w:top w:val="single" w:sz="4" w:space="0" w:color="auto"/>
              <w:bottom w:val="single" w:sz="8" w:space="0" w:color="auto"/>
            </w:tcBorders>
            <w:shd w:val="clear" w:color="auto" w:fill="auto"/>
            <w:vAlign w:val="center"/>
          </w:tcPr>
          <w:p w14:paraId="0EFEBF43"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动态</w:t>
            </w:r>
            <w:r w:rsidRPr="00765F6E">
              <w:rPr>
                <w:rFonts w:hAnsi="宋体" w:cs="宋体"/>
                <w:sz w:val="18"/>
                <w:szCs w:val="18"/>
              </w:rPr>
              <w:t>变形模量</w:t>
            </w:r>
            <w:proofErr w:type="spellStart"/>
            <w:r w:rsidRPr="00765F6E">
              <w:rPr>
                <w:rFonts w:hAnsi="宋体" w:cs="宋体" w:hint="eastAsia"/>
                <w:sz w:val="18"/>
                <w:szCs w:val="18"/>
              </w:rPr>
              <w:t>E</w:t>
            </w:r>
            <w:r w:rsidRPr="00765F6E">
              <w:rPr>
                <w:rFonts w:hAnsi="宋体" w:cs="宋体"/>
                <w:sz w:val="18"/>
                <w:szCs w:val="18"/>
              </w:rPr>
              <w:t>vd</w:t>
            </w:r>
            <w:proofErr w:type="spellEnd"/>
          </w:p>
          <w:p w14:paraId="5DFC3472"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sz w:val="18"/>
                <w:szCs w:val="18"/>
              </w:rPr>
              <w:t>M</w:t>
            </w:r>
            <w:r w:rsidRPr="00765F6E">
              <w:rPr>
                <w:rFonts w:hAnsi="宋体" w:cs="宋体" w:hint="eastAsia"/>
                <w:sz w:val="18"/>
                <w:szCs w:val="18"/>
              </w:rPr>
              <w:t>P</w:t>
            </w:r>
            <w:r w:rsidRPr="00765F6E">
              <w:rPr>
                <w:rFonts w:hAnsi="宋体" w:cs="宋体"/>
                <w:sz w:val="18"/>
                <w:szCs w:val="18"/>
              </w:rPr>
              <w:t>a</w:t>
            </w:r>
          </w:p>
        </w:tc>
      </w:tr>
      <w:tr w:rsidR="00737EB2" w:rsidRPr="00765F6E" w14:paraId="320674FF" w14:textId="77777777" w:rsidTr="00871D47">
        <w:trPr>
          <w:trHeight w:val="176"/>
        </w:trPr>
        <w:tc>
          <w:tcPr>
            <w:tcW w:w="419" w:type="pct"/>
            <w:vMerge w:val="restart"/>
            <w:tcBorders>
              <w:top w:val="single" w:sz="8" w:space="0" w:color="auto"/>
            </w:tcBorders>
            <w:shd w:val="clear" w:color="auto" w:fill="auto"/>
            <w:vAlign w:val="center"/>
          </w:tcPr>
          <w:p w14:paraId="3203FD5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有</w:t>
            </w:r>
            <w:r w:rsidRPr="00765F6E">
              <w:rPr>
                <w:rFonts w:hAnsi="宋体" w:cs="宋体"/>
                <w:sz w:val="18"/>
                <w:szCs w:val="18"/>
              </w:rPr>
              <w:t>砟</w:t>
            </w:r>
          </w:p>
          <w:p w14:paraId="5E1A3CCE"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轨道</w:t>
            </w:r>
          </w:p>
        </w:tc>
        <w:tc>
          <w:tcPr>
            <w:tcW w:w="564" w:type="pct"/>
            <w:vMerge w:val="restart"/>
            <w:tcBorders>
              <w:top w:val="single" w:sz="8" w:space="0" w:color="auto"/>
            </w:tcBorders>
            <w:shd w:val="clear" w:color="auto" w:fill="auto"/>
            <w:vAlign w:val="center"/>
          </w:tcPr>
          <w:p w14:paraId="2F9B9B0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20</w:t>
            </w:r>
          </w:p>
        </w:tc>
        <w:tc>
          <w:tcPr>
            <w:tcW w:w="466" w:type="pct"/>
            <w:vMerge w:val="restart"/>
            <w:tcBorders>
              <w:top w:val="single" w:sz="8" w:space="0" w:color="auto"/>
            </w:tcBorders>
            <w:shd w:val="clear" w:color="auto" w:fill="auto"/>
            <w:vAlign w:val="center"/>
          </w:tcPr>
          <w:p w14:paraId="7F964BFA"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A</w:t>
            </w:r>
            <w:r w:rsidRPr="00765F6E">
              <w:rPr>
                <w:rFonts w:hAnsi="宋体" w:cs="宋体" w:hint="eastAsia"/>
                <w:sz w:val="18"/>
                <w:szCs w:val="18"/>
              </w:rPr>
              <w:t>、</w:t>
            </w:r>
            <w:r w:rsidRPr="00765F6E">
              <w:rPr>
                <w:rFonts w:hAnsi="宋体" w:cs="宋体"/>
                <w:sz w:val="18"/>
                <w:szCs w:val="18"/>
              </w:rPr>
              <w:t>B</w:t>
            </w:r>
            <w:r w:rsidRPr="00765F6E">
              <w:rPr>
                <w:rFonts w:hAnsi="宋体" w:cs="宋体" w:hint="eastAsia"/>
                <w:sz w:val="18"/>
                <w:szCs w:val="18"/>
              </w:rPr>
              <w:t>、</w:t>
            </w:r>
            <w:r w:rsidRPr="00765F6E">
              <w:rPr>
                <w:rFonts w:hAnsi="宋体" w:cs="宋体"/>
                <w:sz w:val="18"/>
                <w:szCs w:val="18"/>
              </w:rPr>
              <w:t>C1</w:t>
            </w:r>
            <w:r w:rsidRPr="00765F6E">
              <w:rPr>
                <w:rFonts w:hAnsi="宋体" w:cs="宋体" w:hint="eastAsia"/>
                <w:sz w:val="18"/>
                <w:szCs w:val="18"/>
              </w:rPr>
              <w:t>、C2组</w:t>
            </w:r>
          </w:p>
        </w:tc>
        <w:tc>
          <w:tcPr>
            <w:tcW w:w="940" w:type="pct"/>
            <w:tcBorders>
              <w:top w:val="single" w:sz="8" w:space="0" w:color="auto"/>
            </w:tcBorders>
            <w:shd w:val="clear" w:color="auto" w:fill="auto"/>
            <w:vAlign w:val="center"/>
          </w:tcPr>
          <w:p w14:paraId="43EDB52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砾石类</w:t>
            </w:r>
            <w:r w:rsidRPr="00765F6E">
              <w:rPr>
                <w:rFonts w:hAnsi="宋体" w:cs="宋体"/>
                <w:sz w:val="18"/>
                <w:szCs w:val="18"/>
              </w:rPr>
              <w:t>、碎石类</w:t>
            </w:r>
          </w:p>
        </w:tc>
        <w:tc>
          <w:tcPr>
            <w:tcW w:w="598" w:type="pct"/>
            <w:tcBorders>
              <w:top w:val="single" w:sz="8" w:space="0" w:color="auto"/>
            </w:tcBorders>
            <w:shd w:val="clear" w:color="auto" w:fill="auto"/>
            <w:vAlign w:val="center"/>
          </w:tcPr>
          <w:p w14:paraId="114A577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3</w:t>
            </w:r>
          </w:p>
        </w:tc>
        <w:tc>
          <w:tcPr>
            <w:tcW w:w="683" w:type="pct"/>
            <w:tcBorders>
              <w:top w:val="single" w:sz="8" w:space="0" w:color="auto"/>
            </w:tcBorders>
            <w:shd w:val="clear" w:color="auto" w:fill="auto"/>
            <w:vAlign w:val="center"/>
          </w:tcPr>
          <w:p w14:paraId="6C0ACEC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3</w:t>
            </w:r>
            <w:r w:rsidRPr="00765F6E">
              <w:rPr>
                <w:rFonts w:hAnsi="宋体" w:cs="宋体" w:hint="eastAsia"/>
                <w:sz w:val="18"/>
                <w:szCs w:val="18"/>
              </w:rPr>
              <w:t>0</w:t>
            </w:r>
          </w:p>
        </w:tc>
        <w:tc>
          <w:tcPr>
            <w:tcW w:w="708" w:type="pct"/>
            <w:tcBorders>
              <w:top w:val="single" w:sz="8" w:space="0" w:color="auto"/>
            </w:tcBorders>
            <w:shd w:val="clear" w:color="auto" w:fill="auto"/>
            <w:vAlign w:val="center"/>
          </w:tcPr>
          <w:p w14:paraId="75AB212C" w14:textId="24DE1C5D"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622" w:type="pct"/>
            <w:tcBorders>
              <w:top w:val="single" w:sz="8" w:space="0" w:color="auto"/>
            </w:tcBorders>
            <w:shd w:val="clear" w:color="auto" w:fill="auto"/>
            <w:vAlign w:val="center"/>
          </w:tcPr>
          <w:p w14:paraId="41248B72" w14:textId="203F4591"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752A7C91" w14:textId="77777777" w:rsidTr="00871D47">
        <w:trPr>
          <w:trHeight w:val="176"/>
        </w:trPr>
        <w:tc>
          <w:tcPr>
            <w:tcW w:w="419" w:type="pct"/>
            <w:vMerge/>
            <w:shd w:val="clear" w:color="auto" w:fill="auto"/>
            <w:vAlign w:val="center"/>
          </w:tcPr>
          <w:p w14:paraId="3CC339A5" w14:textId="77777777" w:rsidR="00737EB2" w:rsidRPr="00765F6E" w:rsidRDefault="00737EB2" w:rsidP="00871D47">
            <w:pPr>
              <w:pStyle w:val="affffffffffff2"/>
              <w:jc w:val="center"/>
              <w:rPr>
                <w:rFonts w:hAnsi="宋体" w:cs="宋体"/>
                <w:sz w:val="18"/>
                <w:szCs w:val="18"/>
              </w:rPr>
            </w:pPr>
          </w:p>
        </w:tc>
        <w:tc>
          <w:tcPr>
            <w:tcW w:w="564" w:type="pct"/>
            <w:vMerge/>
            <w:shd w:val="clear" w:color="auto" w:fill="auto"/>
            <w:vAlign w:val="center"/>
          </w:tcPr>
          <w:p w14:paraId="28875512" w14:textId="77777777" w:rsidR="00737EB2" w:rsidRPr="00765F6E" w:rsidRDefault="00737EB2" w:rsidP="00871D47">
            <w:pPr>
              <w:pStyle w:val="affffffffffff2"/>
              <w:jc w:val="center"/>
              <w:rPr>
                <w:rFonts w:hAnsi="宋体" w:cs="宋体"/>
                <w:sz w:val="18"/>
                <w:szCs w:val="18"/>
              </w:rPr>
            </w:pPr>
          </w:p>
        </w:tc>
        <w:tc>
          <w:tcPr>
            <w:tcW w:w="466" w:type="pct"/>
            <w:vMerge/>
            <w:shd w:val="clear" w:color="auto" w:fill="auto"/>
            <w:vAlign w:val="center"/>
          </w:tcPr>
          <w:p w14:paraId="6AD75D1E" w14:textId="77777777" w:rsidR="00737EB2" w:rsidRPr="00765F6E" w:rsidRDefault="00737EB2" w:rsidP="00871D47">
            <w:pPr>
              <w:pStyle w:val="affffffffffff2"/>
              <w:jc w:val="center"/>
              <w:rPr>
                <w:rFonts w:hAnsi="宋体" w:cs="宋体"/>
                <w:sz w:val="18"/>
                <w:szCs w:val="18"/>
              </w:rPr>
            </w:pPr>
          </w:p>
        </w:tc>
        <w:tc>
          <w:tcPr>
            <w:tcW w:w="940" w:type="pct"/>
            <w:shd w:val="clear" w:color="auto" w:fill="auto"/>
            <w:vAlign w:val="center"/>
          </w:tcPr>
          <w:p w14:paraId="631C2FF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砂</w:t>
            </w:r>
            <w:r w:rsidRPr="00765F6E">
              <w:rPr>
                <w:rFonts w:hAnsi="宋体" w:cs="宋体"/>
                <w:sz w:val="18"/>
                <w:szCs w:val="18"/>
              </w:rPr>
              <w:t>类土</w:t>
            </w:r>
            <w:r w:rsidRPr="00765F6E">
              <w:rPr>
                <w:rFonts w:hAnsi="宋体" w:cs="宋体" w:hint="eastAsia"/>
                <w:sz w:val="18"/>
                <w:szCs w:val="18"/>
              </w:rPr>
              <w:t>、</w:t>
            </w:r>
            <w:r w:rsidRPr="00765F6E">
              <w:rPr>
                <w:rFonts w:hAnsi="宋体" w:cs="宋体"/>
                <w:sz w:val="18"/>
                <w:szCs w:val="18"/>
              </w:rPr>
              <w:t>细</w:t>
            </w:r>
            <w:r w:rsidRPr="00765F6E">
              <w:rPr>
                <w:rFonts w:hAnsi="宋体" w:cs="宋体" w:hint="eastAsia"/>
                <w:sz w:val="18"/>
                <w:szCs w:val="18"/>
              </w:rPr>
              <w:t>粒土</w:t>
            </w:r>
          </w:p>
        </w:tc>
        <w:tc>
          <w:tcPr>
            <w:tcW w:w="598" w:type="pct"/>
            <w:shd w:val="clear" w:color="auto" w:fill="auto"/>
            <w:vAlign w:val="center"/>
          </w:tcPr>
          <w:p w14:paraId="4B6948D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w:t>
            </w:r>
            <w:r w:rsidRPr="00765F6E">
              <w:rPr>
                <w:rFonts w:hAnsi="宋体" w:cs="宋体"/>
                <w:sz w:val="18"/>
                <w:szCs w:val="18"/>
              </w:rPr>
              <w:t>.93</w:t>
            </w:r>
          </w:p>
        </w:tc>
        <w:tc>
          <w:tcPr>
            <w:tcW w:w="683" w:type="pct"/>
            <w:shd w:val="clear" w:color="auto" w:fill="auto"/>
            <w:vAlign w:val="center"/>
          </w:tcPr>
          <w:p w14:paraId="211C0A5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0</w:t>
            </w:r>
            <w:r w:rsidRPr="00765F6E">
              <w:rPr>
                <w:rFonts w:hAnsi="宋体" w:cs="宋体" w:hint="eastAsia"/>
                <w:sz w:val="18"/>
                <w:szCs w:val="18"/>
              </w:rPr>
              <w:t>0</w:t>
            </w:r>
          </w:p>
        </w:tc>
        <w:tc>
          <w:tcPr>
            <w:tcW w:w="708" w:type="pct"/>
            <w:shd w:val="clear" w:color="auto" w:fill="auto"/>
            <w:vAlign w:val="center"/>
          </w:tcPr>
          <w:p w14:paraId="4BC67CB5" w14:textId="4C019C72"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622" w:type="pct"/>
            <w:shd w:val="clear" w:color="auto" w:fill="auto"/>
            <w:vAlign w:val="center"/>
          </w:tcPr>
          <w:p w14:paraId="18AB0D50" w14:textId="74E7E9E3"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4C3CFF6A" w14:textId="77777777" w:rsidTr="00871D47">
        <w:trPr>
          <w:trHeight w:val="176"/>
        </w:trPr>
        <w:tc>
          <w:tcPr>
            <w:tcW w:w="419" w:type="pct"/>
            <w:vMerge/>
            <w:shd w:val="clear" w:color="auto" w:fill="auto"/>
            <w:vAlign w:val="center"/>
          </w:tcPr>
          <w:p w14:paraId="79F9C3F4" w14:textId="77777777" w:rsidR="00737EB2" w:rsidRPr="00765F6E" w:rsidRDefault="00737EB2" w:rsidP="00871D47">
            <w:pPr>
              <w:pStyle w:val="affffffffffff2"/>
              <w:jc w:val="center"/>
              <w:rPr>
                <w:rFonts w:hAnsi="宋体" w:cs="宋体"/>
                <w:sz w:val="18"/>
                <w:szCs w:val="18"/>
              </w:rPr>
            </w:pPr>
          </w:p>
        </w:tc>
        <w:tc>
          <w:tcPr>
            <w:tcW w:w="564" w:type="pct"/>
            <w:vMerge/>
            <w:shd w:val="clear" w:color="auto" w:fill="auto"/>
            <w:vAlign w:val="center"/>
          </w:tcPr>
          <w:p w14:paraId="7DDF5C73" w14:textId="77777777" w:rsidR="00737EB2" w:rsidRPr="00765F6E" w:rsidRDefault="00737EB2" w:rsidP="00871D47">
            <w:pPr>
              <w:pStyle w:val="affffffffffff2"/>
              <w:jc w:val="center"/>
              <w:rPr>
                <w:rFonts w:hAnsi="宋体" w:cs="宋体"/>
                <w:sz w:val="18"/>
                <w:szCs w:val="18"/>
              </w:rPr>
            </w:pPr>
          </w:p>
        </w:tc>
        <w:tc>
          <w:tcPr>
            <w:tcW w:w="1406" w:type="pct"/>
            <w:gridSpan w:val="2"/>
            <w:shd w:val="clear" w:color="auto" w:fill="auto"/>
            <w:vAlign w:val="center"/>
          </w:tcPr>
          <w:p w14:paraId="7CEAAED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化学</w:t>
            </w:r>
            <w:r w:rsidRPr="00765F6E">
              <w:rPr>
                <w:rFonts w:hAnsi="宋体" w:cs="宋体"/>
                <w:sz w:val="18"/>
                <w:szCs w:val="18"/>
              </w:rPr>
              <w:t>改良土</w:t>
            </w:r>
          </w:p>
        </w:tc>
        <w:tc>
          <w:tcPr>
            <w:tcW w:w="598" w:type="pct"/>
            <w:shd w:val="clear" w:color="auto" w:fill="auto"/>
            <w:vAlign w:val="center"/>
          </w:tcPr>
          <w:p w14:paraId="52438E0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3</w:t>
            </w:r>
          </w:p>
        </w:tc>
        <w:tc>
          <w:tcPr>
            <w:tcW w:w="683" w:type="pct"/>
            <w:shd w:val="clear" w:color="auto" w:fill="auto"/>
            <w:vAlign w:val="center"/>
          </w:tcPr>
          <w:p w14:paraId="04ACADD7" w14:textId="0528586D"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708" w:type="pct"/>
            <w:shd w:val="clear" w:color="auto" w:fill="auto"/>
            <w:vAlign w:val="center"/>
          </w:tcPr>
          <w:p w14:paraId="6F95B7E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35</w:t>
            </w:r>
            <w:r w:rsidRPr="00765F6E">
              <w:rPr>
                <w:rFonts w:hAnsi="宋体" w:cs="宋体" w:hint="eastAsia"/>
                <w:sz w:val="18"/>
                <w:szCs w:val="18"/>
              </w:rPr>
              <w:t>0</w:t>
            </w:r>
          </w:p>
        </w:tc>
        <w:tc>
          <w:tcPr>
            <w:tcW w:w="622" w:type="pct"/>
            <w:shd w:val="clear" w:color="auto" w:fill="auto"/>
            <w:vAlign w:val="center"/>
          </w:tcPr>
          <w:p w14:paraId="5DBD8FA8" w14:textId="11EB0B62"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449ED9BE" w14:textId="77777777" w:rsidTr="00871D47">
        <w:trPr>
          <w:trHeight w:val="176"/>
        </w:trPr>
        <w:tc>
          <w:tcPr>
            <w:tcW w:w="419" w:type="pct"/>
            <w:vMerge/>
            <w:shd w:val="clear" w:color="auto" w:fill="auto"/>
            <w:vAlign w:val="center"/>
          </w:tcPr>
          <w:p w14:paraId="5B1F681D" w14:textId="77777777" w:rsidR="00737EB2" w:rsidRPr="00765F6E" w:rsidRDefault="00737EB2" w:rsidP="00871D47">
            <w:pPr>
              <w:pStyle w:val="affffffffffff2"/>
              <w:jc w:val="center"/>
              <w:rPr>
                <w:rFonts w:hAnsi="宋体" w:cs="宋体"/>
                <w:sz w:val="18"/>
                <w:szCs w:val="18"/>
              </w:rPr>
            </w:pPr>
          </w:p>
        </w:tc>
        <w:tc>
          <w:tcPr>
            <w:tcW w:w="564" w:type="pct"/>
            <w:vMerge w:val="restart"/>
            <w:shd w:val="clear" w:color="auto" w:fill="auto"/>
            <w:vAlign w:val="center"/>
          </w:tcPr>
          <w:p w14:paraId="5EE9FBD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140、160</w:t>
            </w:r>
          </w:p>
        </w:tc>
        <w:tc>
          <w:tcPr>
            <w:tcW w:w="466" w:type="pct"/>
            <w:vMerge w:val="restart"/>
            <w:shd w:val="clear" w:color="auto" w:fill="auto"/>
            <w:vAlign w:val="center"/>
          </w:tcPr>
          <w:p w14:paraId="517083F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A、</w:t>
            </w:r>
            <w:r w:rsidRPr="00765F6E">
              <w:rPr>
                <w:rFonts w:hAnsi="宋体" w:cs="宋体"/>
                <w:sz w:val="18"/>
                <w:szCs w:val="18"/>
              </w:rPr>
              <w:t>B</w:t>
            </w:r>
            <w:r w:rsidRPr="00765F6E">
              <w:rPr>
                <w:rFonts w:hAnsi="宋体" w:cs="宋体" w:hint="eastAsia"/>
                <w:sz w:val="18"/>
                <w:szCs w:val="18"/>
              </w:rPr>
              <w:t>组</w:t>
            </w:r>
          </w:p>
        </w:tc>
        <w:tc>
          <w:tcPr>
            <w:tcW w:w="940" w:type="pct"/>
            <w:shd w:val="clear" w:color="auto" w:fill="auto"/>
            <w:vAlign w:val="center"/>
          </w:tcPr>
          <w:p w14:paraId="6483480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粗砾土</w:t>
            </w:r>
            <w:r w:rsidRPr="00765F6E">
              <w:rPr>
                <w:rFonts w:hAnsi="宋体" w:cs="宋体"/>
                <w:sz w:val="18"/>
                <w:szCs w:val="18"/>
              </w:rPr>
              <w:t>、碎石类</w:t>
            </w:r>
          </w:p>
        </w:tc>
        <w:tc>
          <w:tcPr>
            <w:tcW w:w="598" w:type="pct"/>
            <w:shd w:val="clear" w:color="auto" w:fill="auto"/>
            <w:vAlign w:val="center"/>
          </w:tcPr>
          <w:p w14:paraId="1B70638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3</w:t>
            </w:r>
          </w:p>
        </w:tc>
        <w:tc>
          <w:tcPr>
            <w:tcW w:w="683" w:type="pct"/>
            <w:shd w:val="clear" w:color="auto" w:fill="auto"/>
            <w:vAlign w:val="center"/>
          </w:tcPr>
          <w:p w14:paraId="41A72A7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3</w:t>
            </w:r>
            <w:r w:rsidRPr="00765F6E">
              <w:rPr>
                <w:rFonts w:hAnsi="宋体" w:cs="宋体" w:hint="eastAsia"/>
                <w:sz w:val="18"/>
                <w:szCs w:val="18"/>
              </w:rPr>
              <w:t>0</w:t>
            </w:r>
          </w:p>
        </w:tc>
        <w:tc>
          <w:tcPr>
            <w:tcW w:w="708" w:type="pct"/>
            <w:shd w:val="clear" w:color="auto" w:fill="auto"/>
            <w:vAlign w:val="center"/>
          </w:tcPr>
          <w:p w14:paraId="45147A02" w14:textId="4FD2CF93"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622" w:type="pct"/>
            <w:shd w:val="clear" w:color="auto" w:fill="auto"/>
            <w:vAlign w:val="center"/>
          </w:tcPr>
          <w:p w14:paraId="3D997EB6" w14:textId="0B0D47E7"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761EB7BE" w14:textId="77777777" w:rsidTr="00871D47">
        <w:trPr>
          <w:trHeight w:val="176"/>
        </w:trPr>
        <w:tc>
          <w:tcPr>
            <w:tcW w:w="419" w:type="pct"/>
            <w:vMerge/>
            <w:shd w:val="clear" w:color="auto" w:fill="auto"/>
            <w:vAlign w:val="center"/>
          </w:tcPr>
          <w:p w14:paraId="1D142EC2" w14:textId="77777777" w:rsidR="00737EB2" w:rsidRPr="00765F6E" w:rsidRDefault="00737EB2" w:rsidP="00871D47">
            <w:pPr>
              <w:pStyle w:val="affffffffffff2"/>
              <w:jc w:val="center"/>
              <w:rPr>
                <w:rFonts w:hAnsi="宋体" w:cs="宋体"/>
                <w:sz w:val="18"/>
                <w:szCs w:val="18"/>
              </w:rPr>
            </w:pPr>
          </w:p>
        </w:tc>
        <w:tc>
          <w:tcPr>
            <w:tcW w:w="564" w:type="pct"/>
            <w:vMerge/>
            <w:shd w:val="clear" w:color="auto" w:fill="auto"/>
            <w:vAlign w:val="center"/>
          </w:tcPr>
          <w:p w14:paraId="2A528F10" w14:textId="77777777" w:rsidR="00737EB2" w:rsidRPr="00765F6E" w:rsidRDefault="00737EB2" w:rsidP="00871D47">
            <w:pPr>
              <w:pStyle w:val="affffffffffff2"/>
              <w:jc w:val="center"/>
              <w:rPr>
                <w:rFonts w:hAnsi="宋体" w:cs="宋体"/>
                <w:sz w:val="18"/>
                <w:szCs w:val="18"/>
              </w:rPr>
            </w:pPr>
          </w:p>
        </w:tc>
        <w:tc>
          <w:tcPr>
            <w:tcW w:w="466" w:type="pct"/>
            <w:vMerge/>
            <w:shd w:val="clear" w:color="auto" w:fill="auto"/>
            <w:vAlign w:val="center"/>
          </w:tcPr>
          <w:p w14:paraId="3C471056" w14:textId="77777777" w:rsidR="00737EB2" w:rsidRPr="00765F6E" w:rsidRDefault="00737EB2" w:rsidP="00871D47">
            <w:pPr>
              <w:pStyle w:val="affffffffffff2"/>
              <w:jc w:val="center"/>
              <w:rPr>
                <w:rFonts w:hAnsi="宋体" w:cs="宋体"/>
                <w:sz w:val="18"/>
                <w:szCs w:val="18"/>
              </w:rPr>
            </w:pPr>
          </w:p>
        </w:tc>
        <w:tc>
          <w:tcPr>
            <w:tcW w:w="940" w:type="pct"/>
            <w:shd w:val="clear" w:color="auto" w:fill="auto"/>
            <w:vAlign w:val="center"/>
          </w:tcPr>
          <w:p w14:paraId="0D4A7D9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砂</w:t>
            </w:r>
            <w:r w:rsidRPr="00765F6E">
              <w:rPr>
                <w:rFonts w:hAnsi="宋体" w:cs="宋体"/>
                <w:sz w:val="18"/>
                <w:szCs w:val="18"/>
              </w:rPr>
              <w:t>类土（</w:t>
            </w:r>
            <w:r w:rsidRPr="00765F6E">
              <w:rPr>
                <w:rFonts w:hAnsi="宋体" w:cs="宋体" w:hint="eastAsia"/>
                <w:sz w:val="18"/>
                <w:szCs w:val="18"/>
              </w:rPr>
              <w:t>粉</w:t>
            </w:r>
            <w:r w:rsidRPr="00765F6E">
              <w:rPr>
                <w:rFonts w:hAnsi="宋体" w:cs="宋体"/>
                <w:sz w:val="18"/>
                <w:szCs w:val="18"/>
              </w:rPr>
              <w:t>细砂除外）</w:t>
            </w:r>
          </w:p>
        </w:tc>
        <w:tc>
          <w:tcPr>
            <w:tcW w:w="598" w:type="pct"/>
            <w:shd w:val="clear" w:color="auto" w:fill="auto"/>
            <w:vAlign w:val="center"/>
          </w:tcPr>
          <w:p w14:paraId="7DC02B1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3</w:t>
            </w:r>
          </w:p>
        </w:tc>
        <w:tc>
          <w:tcPr>
            <w:tcW w:w="683" w:type="pct"/>
            <w:shd w:val="clear" w:color="auto" w:fill="auto"/>
            <w:vAlign w:val="center"/>
          </w:tcPr>
          <w:p w14:paraId="504133F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0</w:t>
            </w:r>
            <w:r w:rsidRPr="00765F6E">
              <w:rPr>
                <w:rFonts w:hAnsi="宋体" w:cs="宋体" w:hint="eastAsia"/>
                <w:sz w:val="18"/>
                <w:szCs w:val="18"/>
              </w:rPr>
              <w:t>0</w:t>
            </w:r>
          </w:p>
        </w:tc>
        <w:tc>
          <w:tcPr>
            <w:tcW w:w="708" w:type="pct"/>
            <w:shd w:val="clear" w:color="auto" w:fill="auto"/>
            <w:vAlign w:val="center"/>
          </w:tcPr>
          <w:p w14:paraId="70748B2F" w14:textId="1C89CFB5"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622" w:type="pct"/>
            <w:shd w:val="clear" w:color="auto" w:fill="auto"/>
            <w:vAlign w:val="center"/>
          </w:tcPr>
          <w:p w14:paraId="420C8A34" w14:textId="66D67328"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58AC80C6" w14:textId="77777777" w:rsidTr="00871D47">
        <w:trPr>
          <w:trHeight w:val="176"/>
        </w:trPr>
        <w:tc>
          <w:tcPr>
            <w:tcW w:w="419" w:type="pct"/>
            <w:vMerge/>
            <w:shd w:val="clear" w:color="auto" w:fill="auto"/>
            <w:vAlign w:val="center"/>
          </w:tcPr>
          <w:p w14:paraId="137BDF79" w14:textId="77777777" w:rsidR="00737EB2" w:rsidRPr="00765F6E" w:rsidRDefault="00737EB2" w:rsidP="00871D47">
            <w:pPr>
              <w:pStyle w:val="affffffffffff2"/>
              <w:jc w:val="center"/>
              <w:rPr>
                <w:rFonts w:hAnsi="宋体" w:cs="宋体"/>
                <w:sz w:val="18"/>
                <w:szCs w:val="18"/>
              </w:rPr>
            </w:pPr>
          </w:p>
        </w:tc>
        <w:tc>
          <w:tcPr>
            <w:tcW w:w="564" w:type="pct"/>
            <w:vMerge/>
            <w:shd w:val="clear" w:color="auto" w:fill="auto"/>
            <w:vAlign w:val="center"/>
          </w:tcPr>
          <w:p w14:paraId="1238EAB8" w14:textId="77777777" w:rsidR="00737EB2" w:rsidRPr="00765F6E" w:rsidRDefault="00737EB2" w:rsidP="00871D47">
            <w:pPr>
              <w:pStyle w:val="affffffffffff2"/>
              <w:jc w:val="center"/>
              <w:rPr>
                <w:rFonts w:hAnsi="宋体" w:cs="宋体"/>
                <w:sz w:val="18"/>
                <w:szCs w:val="18"/>
              </w:rPr>
            </w:pPr>
          </w:p>
        </w:tc>
        <w:tc>
          <w:tcPr>
            <w:tcW w:w="1406" w:type="pct"/>
            <w:gridSpan w:val="2"/>
            <w:shd w:val="clear" w:color="auto" w:fill="auto"/>
            <w:vAlign w:val="center"/>
          </w:tcPr>
          <w:p w14:paraId="2C914C7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化学</w:t>
            </w:r>
            <w:r w:rsidRPr="00765F6E">
              <w:rPr>
                <w:rFonts w:hAnsi="宋体" w:cs="宋体"/>
                <w:sz w:val="18"/>
                <w:szCs w:val="18"/>
              </w:rPr>
              <w:t>改良土</w:t>
            </w:r>
          </w:p>
        </w:tc>
        <w:tc>
          <w:tcPr>
            <w:tcW w:w="598" w:type="pct"/>
            <w:shd w:val="clear" w:color="auto" w:fill="auto"/>
            <w:vAlign w:val="center"/>
          </w:tcPr>
          <w:p w14:paraId="5D2E5C5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3</w:t>
            </w:r>
          </w:p>
        </w:tc>
        <w:tc>
          <w:tcPr>
            <w:tcW w:w="683" w:type="pct"/>
            <w:shd w:val="clear" w:color="auto" w:fill="auto"/>
            <w:vAlign w:val="center"/>
          </w:tcPr>
          <w:p w14:paraId="56999F3E" w14:textId="22A2E87F"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708" w:type="pct"/>
            <w:shd w:val="clear" w:color="auto" w:fill="auto"/>
            <w:vAlign w:val="center"/>
          </w:tcPr>
          <w:p w14:paraId="5E7EF05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35</w:t>
            </w:r>
            <w:r w:rsidRPr="00765F6E">
              <w:rPr>
                <w:rFonts w:hAnsi="宋体" w:cs="宋体" w:hint="eastAsia"/>
                <w:sz w:val="18"/>
                <w:szCs w:val="18"/>
              </w:rPr>
              <w:t>0</w:t>
            </w:r>
          </w:p>
        </w:tc>
        <w:tc>
          <w:tcPr>
            <w:tcW w:w="622" w:type="pct"/>
            <w:shd w:val="clear" w:color="auto" w:fill="auto"/>
            <w:vAlign w:val="center"/>
          </w:tcPr>
          <w:p w14:paraId="46D79CF0" w14:textId="37691851"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1E1FC564" w14:textId="77777777" w:rsidTr="00871D47">
        <w:trPr>
          <w:trHeight w:val="176"/>
        </w:trPr>
        <w:tc>
          <w:tcPr>
            <w:tcW w:w="419" w:type="pct"/>
            <w:vMerge w:val="restart"/>
            <w:shd w:val="clear" w:color="auto" w:fill="auto"/>
            <w:vAlign w:val="center"/>
          </w:tcPr>
          <w:p w14:paraId="6CD500B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无砟</w:t>
            </w:r>
          </w:p>
          <w:p w14:paraId="428A90E7"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轨道</w:t>
            </w:r>
          </w:p>
        </w:tc>
        <w:tc>
          <w:tcPr>
            <w:tcW w:w="564" w:type="pct"/>
            <w:vMerge w:val="restart"/>
            <w:shd w:val="clear" w:color="auto" w:fill="auto"/>
            <w:vAlign w:val="center"/>
          </w:tcPr>
          <w:p w14:paraId="58E5CEF3" w14:textId="3CD0EE7F"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466" w:type="pct"/>
            <w:vMerge w:val="restart"/>
            <w:shd w:val="clear" w:color="auto" w:fill="auto"/>
            <w:vAlign w:val="center"/>
          </w:tcPr>
          <w:p w14:paraId="034122B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A、</w:t>
            </w:r>
            <w:r w:rsidRPr="00765F6E">
              <w:rPr>
                <w:rFonts w:hAnsi="宋体" w:cs="宋体"/>
                <w:sz w:val="18"/>
                <w:szCs w:val="18"/>
              </w:rPr>
              <w:t>B</w:t>
            </w:r>
            <w:r w:rsidRPr="00765F6E">
              <w:rPr>
                <w:rFonts w:hAnsi="宋体" w:cs="宋体" w:hint="eastAsia"/>
                <w:sz w:val="18"/>
                <w:szCs w:val="18"/>
              </w:rPr>
              <w:t>组</w:t>
            </w:r>
          </w:p>
        </w:tc>
        <w:tc>
          <w:tcPr>
            <w:tcW w:w="940" w:type="pct"/>
            <w:shd w:val="clear" w:color="auto" w:fill="auto"/>
            <w:vAlign w:val="center"/>
          </w:tcPr>
          <w:p w14:paraId="74DE53B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粗砾土</w:t>
            </w:r>
            <w:r w:rsidRPr="00765F6E">
              <w:rPr>
                <w:rFonts w:hAnsi="宋体" w:cs="宋体"/>
                <w:sz w:val="18"/>
                <w:szCs w:val="18"/>
              </w:rPr>
              <w:t>、碎石类</w:t>
            </w:r>
          </w:p>
        </w:tc>
        <w:tc>
          <w:tcPr>
            <w:tcW w:w="598" w:type="pct"/>
            <w:shd w:val="clear" w:color="auto" w:fill="auto"/>
            <w:vAlign w:val="center"/>
          </w:tcPr>
          <w:p w14:paraId="103DC5D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5</w:t>
            </w:r>
          </w:p>
        </w:tc>
        <w:tc>
          <w:tcPr>
            <w:tcW w:w="683" w:type="pct"/>
            <w:shd w:val="clear" w:color="auto" w:fill="auto"/>
            <w:vAlign w:val="center"/>
          </w:tcPr>
          <w:p w14:paraId="2CDC4C9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5</w:t>
            </w:r>
            <w:r w:rsidRPr="00765F6E">
              <w:rPr>
                <w:rFonts w:hAnsi="宋体" w:cs="宋体" w:hint="eastAsia"/>
                <w:sz w:val="18"/>
                <w:szCs w:val="18"/>
              </w:rPr>
              <w:t>0</w:t>
            </w:r>
          </w:p>
        </w:tc>
        <w:tc>
          <w:tcPr>
            <w:tcW w:w="708" w:type="pct"/>
            <w:shd w:val="clear" w:color="auto" w:fill="auto"/>
            <w:vAlign w:val="center"/>
          </w:tcPr>
          <w:p w14:paraId="1A72CACB" w14:textId="4D658855"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622" w:type="pct"/>
            <w:shd w:val="clear" w:color="auto" w:fill="auto"/>
            <w:vAlign w:val="center"/>
          </w:tcPr>
          <w:p w14:paraId="40DA9F5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40</w:t>
            </w:r>
          </w:p>
        </w:tc>
      </w:tr>
      <w:tr w:rsidR="00737EB2" w:rsidRPr="00765F6E" w14:paraId="5F0119B5" w14:textId="77777777" w:rsidTr="00871D47">
        <w:trPr>
          <w:trHeight w:val="176"/>
        </w:trPr>
        <w:tc>
          <w:tcPr>
            <w:tcW w:w="419" w:type="pct"/>
            <w:vMerge/>
            <w:shd w:val="clear" w:color="auto" w:fill="auto"/>
            <w:vAlign w:val="center"/>
          </w:tcPr>
          <w:p w14:paraId="43E45FAD" w14:textId="77777777" w:rsidR="00737EB2" w:rsidRPr="00765F6E" w:rsidRDefault="00737EB2" w:rsidP="00871D47">
            <w:pPr>
              <w:pStyle w:val="affffffffffff2"/>
              <w:jc w:val="center"/>
              <w:rPr>
                <w:rFonts w:hAnsi="宋体" w:cs="宋体"/>
                <w:sz w:val="18"/>
                <w:szCs w:val="18"/>
              </w:rPr>
            </w:pPr>
          </w:p>
        </w:tc>
        <w:tc>
          <w:tcPr>
            <w:tcW w:w="564" w:type="pct"/>
            <w:vMerge/>
            <w:shd w:val="clear" w:color="auto" w:fill="auto"/>
            <w:vAlign w:val="center"/>
          </w:tcPr>
          <w:p w14:paraId="2B373B3A" w14:textId="77777777" w:rsidR="00737EB2" w:rsidRPr="00765F6E" w:rsidRDefault="00737EB2" w:rsidP="00871D47">
            <w:pPr>
              <w:pStyle w:val="affffffffffff2"/>
              <w:jc w:val="center"/>
              <w:rPr>
                <w:rFonts w:hAnsi="宋体" w:cs="宋体"/>
                <w:sz w:val="18"/>
                <w:szCs w:val="18"/>
              </w:rPr>
            </w:pPr>
          </w:p>
        </w:tc>
        <w:tc>
          <w:tcPr>
            <w:tcW w:w="466" w:type="pct"/>
            <w:vMerge/>
            <w:shd w:val="clear" w:color="auto" w:fill="auto"/>
            <w:vAlign w:val="center"/>
          </w:tcPr>
          <w:p w14:paraId="00E7EF93" w14:textId="77777777" w:rsidR="00737EB2" w:rsidRPr="00765F6E" w:rsidRDefault="00737EB2" w:rsidP="00871D47">
            <w:pPr>
              <w:pStyle w:val="affffffffffff2"/>
              <w:jc w:val="center"/>
              <w:rPr>
                <w:rFonts w:hAnsi="宋体" w:cs="宋体"/>
                <w:sz w:val="18"/>
                <w:szCs w:val="18"/>
              </w:rPr>
            </w:pPr>
          </w:p>
        </w:tc>
        <w:tc>
          <w:tcPr>
            <w:tcW w:w="940" w:type="pct"/>
            <w:shd w:val="clear" w:color="auto" w:fill="auto"/>
            <w:vAlign w:val="center"/>
          </w:tcPr>
          <w:p w14:paraId="5CDE832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砂</w:t>
            </w:r>
            <w:r w:rsidRPr="00765F6E">
              <w:rPr>
                <w:rFonts w:hAnsi="宋体" w:cs="宋体"/>
                <w:sz w:val="18"/>
                <w:szCs w:val="18"/>
              </w:rPr>
              <w:t>类土（</w:t>
            </w:r>
            <w:r w:rsidRPr="00765F6E">
              <w:rPr>
                <w:rFonts w:hAnsi="宋体" w:cs="宋体" w:hint="eastAsia"/>
                <w:sz w:val="18"/>
                <w:szCs w:val="18"/>
              </w:rPr>
              <w:t>粉</w:t>
            </w:r>
            <w:r w:rsidRPr="00765F6E">
              <w:rPr>
                <w:rFonts w:hAnsi="宋体" w:cs="宋体"/>
                <w:sz w:val="18"/>
                <w:szCs w:val="18"/>
              </w:rPr>
              <w:t>细砂除外）</w:t>
            </w:r>
            <w:r w:rsidRPr="00765F6E">
              <w:rPr>
                <w:rFonts w:hAnsi="宋体" w:cs="宋体" w:hint="eastAsia"/>
                <w:sz w:val="18"/>
                <w:szCs w:val="18"/>
              </w:rPr>
              <w:t>、</w:t>
            </w:r>
            <w:r w:rsidRPr="00765F6E">
              <w:rPr>
                <w:rFonts w:hAnsi="宋体" w:cs="宋体"/>
                <w:sz w:val="18"/>
                <w:szCs w:val="18"/>
              </w:rPr>
              <w:t>细</w:t>
            </w:r>
            <w:r w:rsidRPr="00765F6E">
              <w:rPr>
                <w:rFonts w:hAnsi="宋体" w:cs="宋体" w:hint="eastAsia"/>
                <w:sz w:val="18"/>
                <w:szCs w:val="18"/>
              </w:rPr>
              <w:t>砾土</w:t>
            </w:r>
          </w:p>
        </w:tc>
        <w:tc>
          <w:tcPr>
            <w:tcW w:w="598" w:type="pct"/>
            <w:shd w:val="clear" w:color="auto" w:fill="auto"/>
            <w:vAlign w:val="center"/>
          </w:tcPr>
          <w:p w14:paraId="5F5AB4E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5</w:t>
            </w:r>
          </w:p>
        </w:tc>
        <w:tc>
          <w:tcPr>
            <w:tcW w:w="683" w:type="pct"/>
            <w:shd w:val="clear" w:color="auto" w:fill="auto"/>
            <w:vAlign w:val="center"/>
          </w:tcPr>
          <w:p w14:paraId="35DAF4A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3</w:t>
            </w:r>
            <w:r w:rsidRPr="00765F6E">
              <w:rPr>
                <w:rFonts w:hAnsi="宋体" w:cs="宋体" w:hint="eastAsia"/>
                <w:sz w:val="18"/>
                <w:szCs w:val="18"/>
              </w:rPr>
              <w:t>0</w:t>
            </w:r>
          </w:p>
        </w:tc>
        <w:tc>
          <w:tcPr>
            <w:tcW w:w="708" w:type="pct"/>
            <w:shd w:val="clear" w:color="auto" w:fill="auto"/>
            <w:vAlign w:val="center"/>
          </w:tcPr>
          <w:p w14:paraId="2BE7C837" w14:textId="5633C861"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622" w:type="pct"/>
            <w:shd w:val="clear" w:color="auto" w:fill="auto"/>
            <w:vAlign w:val="center"/>
          </w:tcPr>
          <w:p w14:paraId="75F8A5E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40</w:t>
            </w:r>
          </w:p>
        </w:tc>
      </w:tr>
      <w:tr w:rsidR="00737EB2" w:rsidRPr="00765F6E" w14:paraId="679008F6" w14:textId="77777777" w:rsidTr="00871D47">
        <w:trPr>
          <w:trHeight w:val="176"/>
        </w:trPr>
        <w:tc>
          <w:tcPr>
            <w:tcW w:w="419" w:type="pct"/>
            <w:vMerge/>
            <w:tcBorders>
              <w:bottom w:val="single" w:sz="8" w:space="0" w:color="auto"/>
            </w:tcBorders>
            <w:shd w:val="clear" w:color="auto" w:fill="auto"/>
            <w:vAlign w:val="center"/>
          </w:tcPr>
          <w:p w14:paraId="48441496" w14:textId="77777777" w:rsidR="00737EB2" w:rsidRPr="00765F6E" w:rsidRDefault="00737EB2" w:rsidP="00871D47">
            <w:pPr>
              <w:pStyle w:val="affffffffffff2"/>
              <w:jc w:val="center"/>
              <w:rPr>
                <w:rFonts w:hAnsi="宋体" w:cs="宋体"/>
                <w:sz w:val="18"/>
                <w:szCs w:val="18"/>
              </w:rPr>
            </w:pPr>
          </w:p>
        </w:tc>
        <w:tc>
          <w:tcPr>
            <w:tcW w:w="564" w:type="pct"/>
            <w:vMerge/>
            <w:tcBorders>
              <w:bottom w:val="single" w:sz="8" w:space="0" w:color="auto"/>
            </w:tcBorders>
            <w:shd w:val="clear" w:color="auto" w:fill="auto"/>
            <w:vAlign w:val="center"/>
          </w:tcPr>
          <w:p w14:paraId="76D6A48B" w14:textId="77777777" w:rsidR="00737EB2" w:rsidRPr="00765F6E" w:rsidRDefault="00737EB2" w:rsidP="00871D47">
            <w:pPr>
              <w:pStyle w:val="affffffffffff2"/>
              <w:jc w:val="center"/>
              <w:rPr>
                <w:rFonts w:hAnsi="宋体" w:cs="宋体"/>
                <w:sz w:val="18"/>
                <w:szCs w:val="18"/>
              </w:rPr>
            </w:pPr>
          </w:p>
        </w:tc>
        <w:tc>
          <w:tcPr>
            <w:tcW w:w="1406" w:type="pct"/>
            <w:gridSpan w:val="2"/>
            <w:tcBorders>
              <w:bottom w:val="single" w:sz="8" w:space="0" w:color="auto"/>
            </w:tcBorders>
            <w:shd w:val="clear" w:color="auto" w:fill="auto"/>
            <w:vAlign w:val="center"/>
          </w:tcPr>
          <w:p w14:paraId="2373517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化学</w:t>
            </w:r>
            <w:r w:rsidRPr="00765F6E">
              <w:rPr>
                <w:rFonts w:hAnsi="宋体" w:cs="宋体"/>
                <w:sz w:val="18"/>
                <w:szCs w:val="18"/>
              </w:rPr>
              <w:t>改良土</w:t>
            </w:r>
          </w:p>
        </w:tc>
        <w:tc>
          <w:tcPr>
            <w:tcW w:w="598" w:type="pct"/>
            <w:tcBorders>
              <w:bottom w:val="single" w:sz="8" w:space="0" w:color="auto"/>
            </w:tcBorders>
            <w:shd w:val="clear" w:color="auto" w:fill="auto"/>
            <w:vAlign w:val="center"/>
          </w:tcPr>
          <w:p w14:paraId="1A0954D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5</w:t>
            </w:r>
          </w:p>
        </w:tc>
        <w:tc>
          <w:tcPr>
            <w:tcW w:w="683" w:type="pct"/>
            <w:tcBorders>
              <w:bottom w:val="single" w:sz="8" w:space="0" w:color="auto"/>
            </w:tcBorders>
            <w:shd w:val="clear" w:color="auto" w:fill="auto"/>
            <w:vAlign w:val="center"/>
          </w:tcPr>
          <w:p w14:paraId="73098E2E" w14:textId="7BD525E0"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708" w:type="pct"/>
            <w:tcBorders>
              <w:bottom w:val="single" w:sz="8" w:space="0" w:color="auto"/>
            </w:tcBorders>
            <w:shd w:val="clear" w:color="auto" w:fill="auto"/>
            <w:vAlign w:val="center"/>
          </w:tcPr>
          <w:p w14:paraId="50A06A2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35</w:t>
            </w:r>
            <w:r w:rsidRPr="00765F6E">
              <w:rPr>
                <w:rFonts w:hAnsi="宋体" w:cs="宋体" w:hint="eastAsia"/>
                <w:sz w:val="18"/>
                <w:szCs w:val="18"/>
              </w:rPr>
              <w:t>0</w:t>
            </w:r>
          </w:p>
        </w:tc>
        <w:tc>
          <w:tcPr>
            <w:tcW w:w="622" w:type="pct"/>
            <w:tcBorders>
              <w:bottom w:val="single" w:sz="8" w:space="0" w:color="auto"/>
            </w:tcBorders>
            <w:shd w:val="clear" w:color="auto" w:fill="auto"/>
            <w:vAlign w:val="center"/>
          </w:tcPr>
          <w:p w14:paraId="351451B9" w14:textId="1C7D80AB"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bl>
    <w:p w14:paraId="1BB4AEA5" w14:textId="77777777" w:rsidR="00737EB2" w:rsidRPr="00765F6E" w:rsidRDefault="00737EB2" w:rsidP="00737EB2">
      <w:pPr>
        <w:spacing w:line="240" w:lineRule="auto"/>
      </w:pPr>
    </w:p>
    <w:p w14:paraId="7D9CAB48" w14:textId="77777777" w:rsidR="00737EB2" w:rsidRPr="005D4937" w:rsidRDefault="00737EB2" w:rsidP="009D0776">
      <w:pPr>
        <w:pStyle w:val="22"/>
      </w:pPr>
      <w:bookmarkStart w:id="1091" w:name="_Toc99791815"/>
      <w:bookmarkStart w:id="1092" w:name="_Toc153291246"/>
      <w:r w:rsidRPr="00765F6E">
        <w:rPr>
          <w:rFonts w:hint="eastAsia"/>
        </w:rPr>
        <w:t>基床填料技术要求</w:t>
      </w:r>
      <w:r w:rsidRPr="005D4937">
        <w:rPr>
          <w:rFonts w:hint="eastAsia"/>
        </w:rPr>
        <w:t>应符合</w:t>
      </w:r>
      <w:r w:rsidRPr="005D4937">
        <w:t>TB 10001</w:t>
      </w:r>
      <w:r w:rsidRPr="005D4937">
        <w:rPr>
          <w:rFonts w:hint="eastAsia"/>
        </w:rPr>
        <w:t>的规定。</w:t>
      </w:r>
      <w:bookmarkEnd w:id="1091"/>
      <w:bookmarkEnd w:id="1092"/>
      <w:r w:rsidRPr="005D4937">
        <w:rPr>
          <w:rFonts w:hint="eastAsia"/>
        </w:rPr>
        <w:t xml:space="preserve"> </w:t>
      </w:r>
    </w:p>
    <w:p w14:paraId="7E63E3F6" w14:textId="7FE79822" w:rsidR="00737EB2" w:rsidRPr="005D4937" w:rsidRDefault="00737EB2" w:rsidP="009D0776">
      <w:pPr>
        <w:pStyle w:val="22"/>
      </w:pPr>
      <w:bookmarkStart w:id="1093" w:name="_Toc99791816"/>
      <w:bookmarkStart w:id="1094" w:name="_Toc153291247"/>
      <w:r w:rsidRPr="005D4937">
        <w:rPr>
          <w:rFonts w:hint="eastAsia"/>
        </w:rPr>
        <w:t>无砟轨道铁路路基基床范围内的地基土静力触探比贯入阻力Ps＜1.5MPa或基本承载力σ0＜0.18MPa，有砟轨道铁路路基基床范围内的地基土Ps＜1.2MPa或σ0＜0.15MPa，或基床范围内的地基为</w:t>
      </w:r>
      <w:r w:rsidRPr="005D4937">
        <w:rPr>
          <w:rFonts w:hint="eastAsia"/>
        </w:rPr>
        <w:lastRenderedPageBreak/>
        <w:t>特殊土时，基床设计符合下列规定：</w:t>
      </w:r>
      <w:bookmarkEnd w:id="1093"/>
      <w:bookmarkEnd w:id="1094"/>
    </w:p>
    <w:p w14:paraId="592D497B" w14:textId="77777777" w:rsidR="00737EB2" w:rsidRPr="005D4937" w:rsidRDefault="00737EB2" w:rsidP="003334F3">
      <w:pPr>
        <w:pStyle w:val="af6"/>
        <w:numPr>
          <w:ilvl w:val="0"/>
          <w:numId w:val="88"/>
        </w:numPr>
        <w:tabs>
          <w:tab w:val="left" w:pos="851"/>
        </w:tabs>
        <w:snapToGrid w:val="0"/>
        <w:contextualSpacing/>
        <w:rPr>
          <w:rFonts w:hAnsi="宋体"/>
        </w:rPr>
      </w:pPr>
      <w:r w:rsidRPr="005D4937">
        <w:rPr>
          <w:rFonts w:hAnsi="宋体" w:hint="eastAsia"/>
        </w:rPr>
        <w:t>基床表层应采取换填措施，并满足1</w:t>
      </w:r>
      <w:r w:rsidRPr="005D4937">
        <w:rPr>
          <w:rFonts w:hAnsi="宋体"/>
        </w:rPr>
        <w:t>3</w:t>
      </w:r>
      <w:r w:rsidRPr="005D4937">
        <w:rPr>
          <w:rFonts w:hAnsi="宋体" w:hint="eastAsia"/>
        </w:rPr>
        <w:t>.3.2的要求；</w:t>
      </w:r>
    </w:p>
    <w:p w14:paraId="3968C9ED" w14:textId="77777777" w:rsidR="00737EB2" w:rsidRPr="005D4937" w:rsidRDefault="00737EB2" w:rsidP="003334F3">
      <w:pPr>
        <w:pStyle w:val="af6"/>
        <w:numPr>
          <w:ilvl w:val="0"/>
          <w:numId w:val="88"/>
        </w:numPr>
        <w:tabs>
          <w:tab w:val="left" w:pos="851"/>
        </w:tabs>
        <w:snapToGrid w:val="0"/>
        <w:contextualSpacing/>
        <w:rPr>
          <w:rFonts w:hAnsi="宋体"/>
        </w:rPr>
      </w:pPr>
      <w:r w:rsidRPr="005D4937">
        <w:rPr>
          <w:rFonts w:hAnsi="宋体" w:hint="eastAsia"/>
        </w:rPr>
        <w:t>天然地基的土质符合基床底层的填料要求时，可采取翻挖回填或加强碾压夯实的措施；</w:t>
      </w:r>
    </w:p>
    <w:p w14:paraId="04176590" w14:textId="6219E6A1" w:rsidR="00737EB2" w:rsidRPr="005D4937" w:rsidRDefault="00737EB2" w:rsidP="003334F3">
      <w:pPr>
        <w:pStyle w:val="af6"/>
        <w:numPr>
          <w:ilvl w:val="0"/>
          <w:numId w:val="88"/>
        </w:numPr>
        <w:tabs>
          <w:tab w:val="left" w:pos="851"/>
        </w:tabs>
        <w:snapToGrid w:val="0"/>
        <w:contextualSpacing/>
        <w:rPr>
          <w:rFonts w:hAnsi="宋体"/>
        </w:rPr>
      </w:pPr>
      <w:r w:rsidRPr="005D4937">
        <w:rPr>
          <w:rFonts w:hAnsi="宋体" w:hint="eastAsia"/>
        </w:rPr>
        <w:t>天然地基的土质不符合基床底层的填料要求时，可采取换填、地基改良或加固措施，换填厚度应根据具体情况计算分析确定；</w:t>
      </w:r>
    </w:p>
    <w:p w14:paraId="109FFE56" w14:textId="77777777" w:rsidR="00737EB2" w:rsidRPr="005D4937" w:rsidRDefault="00737EB2" w:rsidP="003334F3">
      <w:pPr>
        <w:pStyle w:val="af6"/>
        <w:numPr>
          <w:ilvl w:val="0"/>
          <w:numId w:val="88"/>
        </w:numPr>
        <w:tabs>
          <w:tab w:val="left" w:pos="851"/>
        </w:tabs>
        <w:snapToGrid w:val="0"/>
        <w:contextualSpacing/>
        <w:rPr>
          <w:rFonts w:hAnsi="宋体"/>
        </w:rPr>
      </w:pPr>
      <w:r w:rsidRPr="005D4937">
        <w:rPr>
          <w:rFonts w:hAnsi="宋体" w:hint="eastAsia"/>
        </w:rPr>
        <w:t>特殊土换填厚度还应符合TB 10035的规定；</w:t>
      </w:r>
    </w:p>
    <w:p w14:paraId="64ECE57C" w14:textId="77777777" w:rsidR="00737EB2" w:rsidRPr="005D4937" w:rsidRDefault="00737EB2" w:rsidP="003334F3">
      <w:pPr>
        <w:pStyle w:val="af6"/>
        <w:numPr>
          <w:ilvl w:val="0"/>
          <w:numId w:val="88"/>
        </w:numPr>
        <w:tabs>
          <w:tab w:val="left" w:pos="851"/>
        </w:tabs>
        <w:snapToGrid w:val="0"/>
        <w:contextualSpacing/>
        <w:rPr>
          <w:rFonts w:hAnsi="宋体"/>
        </w:rPr>
      </w:pPr>
      <w:bookmarkStart w:id="1095" w:name="_Hlk153787159"/>
      <w:r w:rsidRPr="005D4937">
        <w:rPr>
          <w:rFonts w:hAnsi="宋体" w:hint="eastAsia"/>
        </w:rPr>
        <w:t>基床底层翻挖、夯实或换填应符合1</w:t>
      </w:r>
      <w:r w:rsidRPr="005D4937">
        <w:rPr>
          <w:rFonts w:hAnsi="宋体"/>
        </w:rPr>
        <w:t>3</w:t>
      </w:r>
      <w:r w:rsidRPr="005D4937">
        <w:rPr>
          <w:rFonts w:hAnsi="宋体" w:hint="eastAsia"/>
        </w:rPr>
        <w:t>.3.3的要求。</w:t>
      </w:r>
      <w:bookmarkEnd w:id="1095"/>
    </w:p>
    <w:p w14:paraId="6F2CA162" w14:textId="77777777" w:rsidR="00737EB2" w:rsidRPr="00765F6E" w:rsidRDefault="00737EB2" w:rsidP="00737EB2">
      <w:pPr>
        <w:pStyle w:val="affe"/>
        <w:spacing w:before="156" w:after="156"/>
      </w:pPr>
      <w:bookmarkStart w:id="1096" w:name="_Toc153291248"/>
      <w:bookmarkStart w:id="1097" w:name="_Toc99791817"/>
      <w:bookmarkStart w:id="1098" w:name="_Toc153210861"/>
      <w:bookmarkStart w:id="1099" w:name="_Toc167895758"/>
      <w:bookmarkStart w:id="1100" w:name="_Toc174538672"/>
      <w:bookmarkStart w:id="1101" w:name="_Toc182476427"/>
      <w:r w:rsidRPr="00765F6E">
        <w:rPr>
          <w:rFonts w:hint="eastAsia"/>
        </w:rPr>
        <w:t>路堤</w:t>
      </w:r>
      <w:bookmarkEnd w:id="1096"/>
      <w:bookmarkEnd w:id="1097"/>
      <w:bookmarkEnd w:id="1098"/>
      <w:bookmarkEnd w:id="1099"/>
      <w:bookmarkEnd w:id="1100"/>
      <w:bookmarkEnd w:id="1101"/>
    </w:p>
    <w:p w14:paraId="1E38168D" w14:textId="5F6009FF" w:rsidR="00737EB2" w:rsidRPr="00765F6E" w:rsidRDefault="00737EB2" w:rsidP="009D0776">
      <w:pPr>
        <w:pStyle w:val="22"/>
      </w:pPr>
      <w:bookmarkStart w:id="1102" w:name="_Toc153291249"/>
      <w:bookmarkStart w:id="1103" w:name="_Toc99791818"/>
      <w:r w:rsidRPr="00765F6E">
        <w:rPr>
          <w:rFonts w:hint="eastAsia"/>
        </w:rPr>
        <w:t>路</w:t>
      </w:r>
      <w:r w:rsidRPr="009B2E77">
        <w:rPr>
          <w:rFonts w:hint="eastAsia"/>
        </w:rPr>
        <w:t>堤</w:t>
      </w:r>
      <w:r w:rsidRPr="00765F6E">
        <w:rPr>
          <w:rFonts w:hint="eastAsia"/>
        </w:rPr>
        <w:t>基床以下部位填料符合下列规定</w:t>
      </w:r>
      <w:r w:rsidR="003C5FDC">
        <w:rPr>
          <w:rFonts w:hint="eastAsia"/>
        </w:rPr>
        <w:t>：</w:t>
      </w:r>
    </w:p>
    <w:p w14:paraId="68C5F311" w14:textId="77777777" w:rsidR="00737EB2" w:rsidRPr="00765F6E" w:rsidRDefault="00737EB2" w:rsidP="003334F3">
      <w:pPr>
        <w:pStyle w:val="af6"/>
        <w:numPr>
          <w:ilvl w:val="0"/>
          <w:numId w:val="89"/>
        </w:numPr>
        <w:tabs>
          <w:tab w:val="left" w:pos="851"/>
        </w:tabs>
        <w:snapToGrid w:val="0"/>
        <w:contextualSpacing/>
      </w:pPr>
      <w:bookmarkStart w:id="1104" w:name="_Hlk153787203"/>
      <w:r w:rsidRPr="00765F6E">
        <w:rPr>
          <w:rFonts w:hint="eastAsia"/>
        </w:rPr>
        <w:t>有砟轨道铁路宜选用</w:t>
      </w:r>
      <w:r w:rsidRPr="00CC17FB">
        <w:rPr>
          <w:rFonts w:hint="eastAsia"/>
        </w:rPr>
        <w:t>A、B、C填料或化学改良土</w:t>
      </w:r>
      <w:r w:rsidRPr="00765F6E">
        <w:rPr>
          <w:rFonts w:hint="eastAsia"/>
        </w:rPr>
        <w:t>；</w:t>
      </w:r>
    </w:p>
    <w:bookmarkEnd w:id="1104"/>
    <w:p w14:paraId="0D0AB6D5" w14:textId="77777777" w:rsidR="00737EB2" w:rsidRDefault="00737EB2" w:rsidP="003334F3">
      <w:pPr>
        <w:pStyle w:val="af6"/>
        <w:tabs>
          <w:tab w:val="left" w:pos="851"/>
        </w:tabs>
        <w:snapToGrid w:val="0"/>
        <w:contextualSpacing/>
      </w:pPr>
      <w:r w:rsidRPr="00765F6E">
        <w:rPr>
          <w:rFonts w:hint="eastAsia"/>
        </w:rPr>
        <w:t>无砟轨道铁路宜选用</w:t>
      </w:r>
      <w:r w:rsidRPr="007C2200">
        <w:rPr>
          <w:rFonts w:hint="eastAsia"/>
        </w:rPr>
        <w:t>A、B、C1、C2组填料或化学改良土，采用C2组中的砂类土及C3组填料</w:t>
      </w:r>
      <w:r w:rsidRPr="00765F6E">
        <w:rPr>
          <w:rFonts w:hint="eastAsia"/>
        </w:rPr>
        <w:t>时,应采取加强防护措施</w:t>
      </w:r>
      <w:r>
        <w:rPr>
          <w:rFonts w:hint="eastAsia"/>
        </w:rPr>
        <w:t>；</w:t>
      </w:r>
    </w:p>
    <w:p w14:paraId="6F14D32E" w14:textId="35F55020" w:rsidR="00737EB2" w:rsidRPr="00765F6E" w:rsidRDefault="00737EB2" w:rsidP="003334F3">
      <w:pPr>
        <w:pStyle w:val="af6"/>
        <w:tabs>
          <w:tab w:val="left" w:pos="851"/>
        </w:tabs>
        <w:snapToGrid w:val="0"/>
        <w:contextualSpacing/>
      </w:pPr>
      <w:r>
        <w:rPr>
          <w:rFonts w:hint="eastAsia"/>
        </w:rPr>
        <w:t>压实标准应符合表</w:t>
      </w:r>
      <w:r w:rsidR="00E512B4">
        <w:rPr>
          <w:rFonts w:hint="eastAsia"/>
        </w:rPr>
        <w:t>4</w:t>
      </w:r>
      <w:r w:rsidR="00E512B4">
        <w:t>3</w:t>
      </w:r>
      <w:r>
        <w:rPr>
          <w:rFonts w:hint="eastAsia"/>
        </w:rPr>
        <w:t>规定。</w:t>
      </w:r>
    </w:p>
    <w:bookmarkEnd w:id="1102"/>
    <w:bookmarkEnd w:id="1103"/>
    <w:p w14:paraId="0CF688B2" w14:textId="77777777" w:rsidR="00737EB2" w:rsidRPr="005D4FB9" w:rsidRDefault="00737EB2" w:rsidP="00737EB2">
      <w:pPr>
        <w:pStyle w:val="aff3"/>
        <w:spacing w:before="156" w:after="156"/>
      </w:pPr>
      <w:r w:rsidRPr="005D4FB9">
        <w:rPr>
          <w:rFonts w:hint="eastAsia"/>
        </w:rPr>
        <w:t>路堤基床以下部位填料的标准</w:t>
      </w:r>
    </w:p>
    <w:tbl>
      <w:tblPr>
        <w:tblW w:w="5048"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468"/>
        <w:gridCol w:w="2592"/>
        <w:gridCol w:w="1476"/>
        <w:gridCol w:w="1847"/>
        <w:gridCol w:w="2041"/>
      </w:tblGrid>
      <w:tr w:rsidR="00737EB2" w:rsidRPr="00765F6E" w14:paraId="2D2381F2" w14:textId="77777777" w:rsidTr="00871D47">
        <w:trPr>
          <w:trHeight w:val="176"/>
          <w:jc w:val="center"/>
        </w:trPr>
        <w:tc>
          <w:tcPr>
            <w:tcW w:w="779" w:type="pct"/>
            <w:vMerge w:val="restart"/>
            <w:tcBorders>
              <w:top w:val="single" w:sz="8" w:space="0" w:color="auto"/>
              <w:bottom w:val="single" w:sz="4" w:space="0" w:color="auto"/>
            </w:tcBorders>
            <w:shd w:val="clear" w:color="auto" w:fill="auto"/>
            <w:vAlign w:val="center"/>
          </w:tcPr>
          <w:p w14:paraId="68E6C73D"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轨道</w:t>
            </w:r>
            <w:r w:rsidRPr="00765F6E">
              <w:rPr>
                <w:rFonts w:hAnsi="宋体" w:cs="宋体"/>
                <w:sz w:val="18"/>
                <w:szCs w:val="18"/>
              </w:rPr>
              <w:t>类型</w:t>
            </w:r>
          </w:p>
        </w:tc>
        <w:tc>
          <w:tcPr>
            <w:tcW w:w="1375" w:type="pct"/>
            <w:vMerge w:val="restart"/>
            <w:tcBorders>
              <w:top w:val="single" w:sz="8" w:space="0" w:color="auto"/>
              <w:bottom w:val="single" w:sz="4" w:space="0" w:color="auto"/>
            </w:tcBorders>
            <w:shd w:val="clear" w:color="auto" w:fill="auto"/>
            <w:vAlign w:val="center"/>
          </w:tcPr>
          <w:p w14:paraId="7876604C"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填料</w:t>
            </w:r>
          </w:p>
        </w:tc>
        <w:tc>
          <w:tcPr>
            <w:tcW w:w="2846" w:type="pct"/>
            <w:gridSpan w:val="3"/>
            <w:tcBorders>
              <w:top w:val="single" w:sz="8" w:space="0" w:color="auto"/>
              <w:bottom w:val="single" w:sz="4" w:space="0" w:color="auto"/>
            </w:tcBorders>
            <w:shd w:val="clear" w:color="auto" w:fill="auto"/>
            <w:vAlign w:val="center"/>
          </w:tcPr>
          <w:p w14:paraId="70594E7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压实</w:t>
            </w:r>
            <w:r w:rsidRPr="00765F6E">
              <w:rPr>
                <w:rFonts w:hAnsi="宋体" w:cs="宋体"/>
                <w:sz w:val="18"/>
                <w:szCs w:val="18"/>
              </w:rPr>
              <w:t>标准</w:t>
            </w:r>
          </w:p>
        </w:tc>
      </w:tr>
      <w:tr w:rsidR="00737EB2" w:rsidRPr="00765F6E" w14:paraId="673FEF77" w14:textId="77777777" w:rsidTr="00871D47">
        <w:trPr>
          <w:trHeight w:val="176"/>
          <w:jc w:val="center"/>
        </w:trPr>
        <w:tc>
          <w:tcPr>
            <w:tcW w:w="779" w:type="pct"/>
            <w:vMerge/>
            <w:tcBorders>
              <w:top w:val="single" w:sz="4" w:space="0" w:color="auto"/>
              <w:bottom w:val="single" w:sz="8" w:space="0" w:color="auto"/>
            </w:tcBorders>
            <w:shd w:val="clear" w:color="auto" w:fill="auto"/>
            <w:vAlign w:val="center"/>
          </w:tcPr>
          <w:p w14:paraId="463CF79B" w14:textId="77777777" w:rsidR="00737EB2" w:rsidRPr="00765F6E" w:rsidRDefault="00737EB2" w:rsidP="00871D47">
            <w:pPr>
              <w:pStyle w:val="affffffffffff2"/>
              <w:spacing w:line="200" w:lineRule="exact"/>
              <w:jc w:val="center"/>
              <w:rPr>
                <w:rFonts w:hAnsi="宋体" w:cs="宋体"/>
                <w:sz w:val="18"/>
                <w:szCs w:val="18"/>
              </w:rPr>
            </w:pPr>
          </w:p>
        </w:tc>
        <w:tc>
          <w:tcPr>
            <w:tcW w:w="1375" w:type="pct"/>
            <w:vMerge/>
            <w:tcBorders>
              <w:top w:val="single" w:sz="4" w:space="0" w:color="auto"/>
              <w:bottom w:val="single" w:sz="8" w:space="0" w:color="auto"/>
            </w:tcBorders>
            <w:shd w:val="clear" w:color="auto" w:fill="auto"/>
            <w:vAlign w:val="center"/>
          </w:tcPr>
          <w:p w14:paraId="2BF3D538" w14:textId="77777777" w:rsidR="00737EB2" w:rsidRPr="00765F6E" w:rsidRDefault="00737EB2" w:rsidP="00871D47">
            <w:pPr>
              <w:pStyle w:val="affffffffffff2"/>
              <w:spacing w:line="200" w:lineRule="exact"/>
              <w:jc w:val="center"/>
              <w:rPr>
                <w:rFonts w:hAnsi="宋体" w:cs="宋体"/>
                <w:sz w:val="18"/>
                <w:szCs w:val="18"/>
              </w:rPr>
            </w:pPr>
          </w:p>
        </w:tc>
        <w:tc>
          <w:tcPr>
            <w:tcW w:w="783" w:type="pct"/>
            <w:tcBorders>
              <w:top w:val="single" w:sz="4" w:space="0" w:color="auto"/>
              <w:bottom w:val="single" w:sz="8" w:space="0" w:color="auto"/>
            </w:tcBorders>
            <w:shd w:val="clear" w:color="auto" w:fill="auto"/>
            <w:vAlign w:val="center"/>
          </w:tcPr>
          <w:p w14:paraId="44478C00"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压实</w:t>
            </w:r>
            <w:r w:rsidRPr="00765F6E">
              <w:rPr>
                <w:rFonts w:hAnsi="宋体" w:cs="宋体"/>
                <w:sz w:val="18"/>
                <w:szCs w:val="18"/>
              </w:rPr>
              <w:t>系数</w:t>
            </w:r>
            <w:r w:rsidRPr="00765F6E">
              <w:rPr>
                <w:rFonts w:hAnsi="宋体" w:cs="宋体" w:hint="eastAsia"/>
                <w:sz w:val="18"/>
                <w:szCs w:val="18"/>
              </w:rPr>
              <w:t>K</w:t>
            </w:r>
          </w:p>
        </w:tc>
        <w:tc>
          <w:tcPr>
            <w:tcW w:w="980" w:type="pct"/>
            <w:tcBorders>
              <w:top w:val="single" w:sz="4" w:space="0" w:color="auto"/>
              <w:bottom w:val="single" w:sz="8" w:space="0" w:color="auto"/>
            </w:tcBorders>
            <w:shd w:val="clear" w:color="auto" w:fill="auto"/>
            <w:vAlign w:val="center"/>
          </w:tcPr>
          <w:p w14:paraId="07D2C0DB"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地基</w:t>
            </w:r>
            <w:r w:rsidRPr="00765F6E">
              <w:rPr>
                <w:rFonts w:hAnsi="宋体" w:cs="宋体"/>
                <w:sz w:val="18"/>
                <w:szCs w:val="18"/>
              </w:rPr>
              <w:t>系数</w:t>
            </w:r>
          </w:p>
          <w:p w14:paraId="3B3D57C4"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K</w:t>
            </w:r>
            <w:r w:rsidRPr="00765F6E">
              <w:rPr>
                <w:rFonts w:hAnsi="宋体" w:cs="宋体" w:hint="eastAsia"/>
                <w:sz w:val="18"/>
                <w:szCs w:val="18"/>
                <w:vertAlign w:val="subscript"/>
              </w:rPr>
              <w:t>30</w:t>
            </w:r>
            <w:r w:rsidRPr="00765F6E">
              <w:rPr>
                <w:rFonts w:hAnsi="宋体" w:cs="宋体" w:hint="eastAsia"/>
                <w:sz w:val="18"/>
                <w:szCs w:val="18"/>
              </w:rPr>
              <w:t>/（MP</w:t>
            </w:r>
            <w:r w:rsidRPr="00765F6E">
              <w:rPr>
                <w:rFonts w:hAnsi="宋体" w:cs="宋体"/>
                <w:sz w:val="18"/>
                <w:szCs w:val="18"/>
              </w:rPr>
              <w:t>a</w:t>
            </w:r>
            <w:r w:rsidRPr="00765F6E">
              <w:rPr>
                <w:rFonts w:hAnsi="宋体" w:cs="宋体" w:hint="eastAsia"/>
                <w:sz w:val="18"/>
                <w:szCs w:val="18"/>
              </w:rPr>
              <w:t>/m）</w:t>
            </w:r>
          </w:p>
        </w:tc>
        <w:tc>
          <w:tcPr>
            <w:tcW w:w="1083" w:type="pct"/>
            <w:tcBorders>
              <w:top w:val="single" w:sz="4" w:space="0" w:color="auto"/>
              <w:bottom w:val="single" w:sz="8" w:space="0" w:color="auto"/>
            </w:tcBorders>
            <w:shd w:val="clear" w:color="auto" w:fill="auto"/>
            <w:vAlign w:val="center"/>
          </w:tcPr>
          <w:p w14:paraId="3B5CDB9C"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7</w:t>
            </w:r>
            <w:r w:rsidRPr="00765F6E">
              <w:rPr>
                <w:rFonts w:hAnsi="宋体" w:cs="宋体"/>
                <w:sz w:val="18"/>
                <w:szCs w:val="18"/>
              </w:rPr>
              <w:t>d</w:t>
            </w:r>
            <w:r w:rsidRPr="00765F6E">
              <w:rPr>
                <w:rFonts w:hAnsi="宋体" w:cs="宋体" w:hint="eastAsia"/>
                <w:sz w:val="18"/>
                <w:szCs w:val="18"/>
              </w:rPr>
              <w:t>饱和</w:t>
            </w:r>
            <w:r w:rsidRPr="00765F6E">
              <w:rPr>
                <w:rFonts w:hAnsi="宋体" w:cs="宋体"/>
                <w:sz w:val="18"/>
                <w:szCs w:val="18"/>
              </w:rPr>
              <w:t>无侧限抗压强度</w:t>
            </w:r>
          </w:p>
          <w:p w14:paraId="7461CE9A"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kP</w:t>
            </w:r>
            <w:r w:rsidRPr="00765F6E">
              <w:rPr>
                <w:rFonts w:hAnsi="宋体" w:cs="宋体"/>
                <w:sz w:val="18"/>
                <w:szCs w:val="18"/>
              </w:rPr>
              <w:t>a</w:t>
            </w:r>
          </w:p>
        </w:tc>
      </w:tr>
      <w:tr w:rsidR="00737EB2" w:rsidRPr="00765F6E" w14:paraId="509B96BC" w14:textId="77777777" w:rsidTr="00871D47">
        <w:trPr>
          <w:trHeight w:val="176"/>
          <w:jc w:val="center"/>
        </w:trPr>
        <w:tc>
          <w:tcPr>
            <w:tcW w:w="779" w:type="pct"/>
            <w:vMerge w:val="restart"/>
            <w:tcBorders>
              <w:top w:val="single" w:sz="8" w:space="0" w:color="auto"/>
            </w:tcBorders>
            <w:shd w:val="clear" w:color="auto" w:fill="auto"/>
            <w:vAlign w:val="center"/>
          </w:tcPr>
          <w:p w14:paraId="1AD29C7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有</w:t>
            </w:r>
            <w:r w:rsidRPr="00765F6E">
              <w:rPr>
                <w:rFonts w:hAnsi="宋体" w:cs="宋体"/>
                <w:sz w:val="18"/>
                <w:szCs w:val="18"/>
              </w:rPr>
              <w:t>砟轨道</w:t>
            </w:r>
          </w:p>
        </w:tc>
        <w:tc>
          <w:tcPr>
            <w:tcW w:w="1375" w:type="pct"/>
            <w:tcBorders>
              <w:top w:val="single" w:sz="8" w:space="0" w:color="auto"/>
            </w:tcBorders>
            <w:shd w:val="clear" w:color="auto" w:fill="auto"/>
            <w:vAlign w:val="center"/>
          </w:tcPr>
          <w:p w14:paraId="1CC890B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细粒土、</w:t>
            </w:r>
            <w:r w:rsidRPr="00765F6E">
              <w:rPr>
                <w:rFonts w:hAnsi="宋体" w:cs="宋体"/>
                <w:sz w:val="18"/>
                <w:szCs w:val="18"/>
              </w:rPr>
              <w:t>砂类土</w:t>
            </w:r>
          </w:p>
        </w:tc>
        <w:tc>
          <w:tcPr>
            <w:tcW w:w="783" w:type="pct"/>
            <w:tcBorders>
              <w:top w:val="single" w:sz="8" w:space="0" w:color="auto"/>
            </w:tcBorders>
            <w:shd w:val="clear" w:color="auto" w:fill="auto"/>
            <w:vAlign w:val="center"/>
          </w:tcPr>
          <w:p w14:paraId="5563908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0</w:t>
            </w:r>
          </w:p>
        </w:tc>
        <w:tc>
          <w:tcPr>
            <w:tcW w:w="980" w:type="pct"/>
            <w:tcBorders>
              <w:top w:val="single" w:sz="8" w:space="0" w:color="auto"/>
            </w:tcBorders>
            <w:shd w:val="clear" w:color="auto" w:fill="auto"/>
            <w:vAlign w:val="center"/>
          </w:tcPr>
          <w:p w14:paraId="67AC1D5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8</w:t>
            </w:r>
            <w:r w:rsidRPr="00765F6E">
              <w:rPr>
                <w:rFonts w:hAnsi="宋体" w:cs="宋体" w:hint="eastAsia"/>
                <w:sz w:val="18"/>
                <w:szCs w:val="18"/>
              </w:rPr>
              <w:t>0</w:t>
            </w:r>
          </w:p>
        </w:tc>
        <w:tc>
          <w:tcPr>
            <w:tcW w:w="1083" w:type="pct"/>
            <w:tcBorders>
              <w:top w:val="single" w:sz="8" w:space="0" w:color="auto"/>
            </w:tcBorders>
            <w:shd w:val="clear" w:color="auto" w:fill="auto"/>
            <w:vAlign w:val="center"/>
          </w:tcPr>
          <w:p w14:paraId="50EDDF47" w14:textId="43A8E6BD"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2499A5A2" w14:textId="77777777" w:rsidTr="00871D47">
        <w:trPr>
          <w:trHeight w:val="176"/>
          <w:jc w:val="center"/>
        </w:trPr>
        <w:tc>
          <w:tcPr>
            <w:tcW w:w="779" w:type="pct"/>
            <w:vMerge/>
            <w:shd w:val="clear" w:color="auto" w:fill="auto"/>
            <w:vAlign w:val="center"/>
          </w:tcPr>
          <w:p w14:paraId="7BF2925E" w14:textId="77777777" w:rsidR="00737EB2" w:rsidRPr="00765F6E" w:rsidRDefault="00737EB2" w:rsidP="00871D47">
            <w:pPr>
              <w:pStyle w:val="affffffffffff2"/>
              <w:jc w:val="center"/>
              <w:rPr>
                <w:rFonts w:hAnsi="宋体" w:cs="宋体"/>
                <w:sz w:val="18"/>
                <w:szCs w:val="18"/>
              </w:rPr>
            </w:pPr>
          </w:p>
        </w:tc>
        <w:tc>
          <w:tcPr>
            <w:tcW w:w="1375" w:type="pct"/>
            <w:shd w:val="clear" w:color="auto" w:fill="auto"/>
            <w:vAlign w:val="center"/>
          </w:tcPr>
          <w:p w14:paraId="23E62BD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砂</w:t>
            </w:r>
            <w:r w:rsidRPr="00765F6E">
              <w:rPr>
                <w:rFonts w:hAnsi="宋体" w:cs="宋体"/>
                <w:sz w:val="18"/>
                <w:szCs w:val="18"/>
              </w:rPr>
              <w:t>类土</w:t>
            </w:r>
            <w:r w:rsidRPr="00765F6E">
              <w:rPr>
                <w:rFonts w:hAnsi="宋体" w:cs="宋体" w:hint="eastAsia"/>
                <w:sz w:val="18"/>
                <w:szCs w:val="18"/>
              </w:rPr>
              <w:t>、碎石土</w:t>
            </w:r>
          </w:p>
        </w:tc>
        <w:tc>
          <w:tcPr>
            <w:tcW w:w="783" w:type="pct"/>
            <w:shd w:val="clear" w:color="auto" w:fill="auto"/>
            <w:vAlign w:val="center"/>
          </w:tcPr>
          <w:p w14:paraId="502BBA9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0</w:t>
            </w:r>
          </w:p>
        </w:tc>
        <w:tc>
          <w:tcPr>
            <w:tcW w:w="980" w:type="pct"/>
            <w:shd w:val="clear" w:color="auto" w:fill="auto"/>
            <w:vAlign w:val="center"/>
          </w:tcPr>
          <w:p w14:paraId="38A1AEC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1</w:t>
            </w:r>
            <w:r w:rsidRPr="00765F6E">
              <w:rPr>
                <w:rFonts w:hAnsi="宋体" w:cs="宋体" w:hint="eastAsia"/>
                <w:sz w:val="18"/>
                <w:szCs w:val="18"/>
              </w:rPr>
              <w:t>0</w:t>
            </w:r>
          </w:p>
        </w:tc>
        <w:tc>
          <w:tcPr>
            <w:tcW w:w="1083" w:type="pct"/>
            <w:shd w:val="clear" w:color="auto" w:fill="auto"/>
          </w:tcPr>
          <w:p w14:paraId="2DBC1C62" w14:textId="04260BAD"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7FDC2FB0" w14:textId="77777777" w:rsidTr="00871D47">
        <w:trPr>
          <w:trHeight w:val="176"/>
          <w:jc w:val="center"/>
        </w:trPr>
        <w:tc>
          <w:tcPr>
            <w:tcW w:w="779" w:type="pct"/>
            <w:vMerge/>
            <w:shd w:val="clear" w:color="auto" w:fill="auto"/>
            <w:vAlign w:val="center"/>
          </w:tcPr>
          <w:p w14:paraId="3573FD03" w14:textId="77777777" w:rsidR="00737EB2" w:rsidRPr="00765F6E" w:rsidRDefault="00737EB2" w:rsidP="00871D47">
            <w:pPr>
              <w:pStyle w:val="affffffffffff2"/>
              <w:jc w:val="center"/>
              <w:rPr>
                <w:rFonts w:hAnsi="宋体" w:cs="宋体"/>
                <w:sz w:val="18"/>
                <w:szCs w:val="18"/>
              </w:rPr>
            </w:pPr>
          </w:p>
        </w:tc>
        <w:tc>
          <w:tcPr>
            <w:tcW w:w="1375" w:type="pct"/>
            <w:shd w:val="clear" w:color="auto" w:fill="auto"/>
            <w:vAlign w:val="center"/>
          </w:tcPr>
          <w:p w14:paraId="3DBE28A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块石类</w:t>
            </w:r>
          </w:p>
        </w:tc>
        <w:tc>
          <w:tcPr>
            <w:tcW w:w="783" w:type="pct"/>
            <w:shd w:val="clear" w:color="auto" w:fill="auto"/>
            <w:vAlign w:val="center"/>
          </w:tcPr>
          <w:p w14:paraId="432AF40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0</w:t>
            </w:r>
          </w:p>
        </w:tc>
        <w:tc>
          <w:tcPr>
            <w:tcW w:w="980" w:type="pct"/>
            <w:shd w:val="clear" w:color="auto" w:fill="auto"/>
            <w:vAlign w:val="center"/>
          </w:tcPr>
          <w:p w14:paraId="61E0641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3</w:t>
            </w:r>
            <w:r w:rsidRPr="00765F6E">
              <w:rPr>
                <w:rFonts w:hAnsi="宋体" w:cs="宋体" w:hint="eastAsia"/>
                <w:sz w:val="18"/>
                <w:szCs w:val="18"/>
              </w:rPr>
              <w:t>0</w:t>
            </w:r>
          </w:p>
        </w:tc>
        <w:tc>
          <w:tcPr>
            <w:tcW w:w="1083" w:type="pct"/>
            <w:shd w:val="clear" w:color="auto" w:fill="auto"/>
          </w:tcPr>
          <w:p w14:paraId="786CC55B" w14:textId="5ABACAF1"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6115268C" w14:textId="77777777" w:rsidTr="00871D47">
        <w:trPr>
          <w:trHeight w:val="176"/>
          <w:jc w:val="center"/>
        </w:trPr>
        <w:tc>
          <w:tcPr>
            <w:tcW w:w="779" w:type="pct"/>
            <w:vMerge/>
            <w:shd w:val="clear" w:color="auto" w:fill="auto"/>
            <w:vAlign w:val="center"/>
          </w:tcPr>
          <w:p w14:paraId="3D1E680D" w14:textId="77777777" w:rsidR="00737EB2" w:rsidRPr="00765F6E" w:rsidRDefault="00737EB2" w:rsidP="00871D47">
            <w:pPr>
              <w:pStyle w:val="affffffffffff2"/>
              <w:jc w:val="center"/>
              <w:rPr>
                <w:rFonts w:hAnsi="宋体" w:cs="宋体"/>
                <w:sz w:val="18"/>
                <w:szCs w:val="18"/>
              </w:rPr>
            </w:pPr>
          </w:p>
        </w:tc>
        <w:tc>
          <w:tcPr>
            <w:tcW w:w="1375" w:type="pct"/>
            <w:shd w:val="clear" w:color="auto" w:fill="auto"/>
            <w:vAlign w:val="center"/>
          </w:tcPr>
          <w:p w14:paraId="528A90F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化学</w:t>
            </w:r>
            <w:r w:rsidRPr="00765F6E">
              <w:rPr>
                <w:rFonts w:hAnsi="宋体" w:cs="宋体"/>
                <w:sz w:val="18"/>
                <w:szCs w:val="18"/>
              </w:rPr>
              <w:t>改良土</w:t>
            </w:r>
          </w:p>
        </w:tc>
        <w:tc>
          <w:tcPr>
            <w:tcW w:w="783" w:type="pct"/>
            <w:shd w:val="clear" w:color="auto" w:fill="auto"/>
            <w:vAlign w:val="center"/>
          </w:tcPr>
          <w:p w14:paraId="28E8303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0</w:t>
            </w:r>
          </w:p>
        </w:tc>
        <w:tc>
          <w:tcPr>
            <w:tcW w:w="980" w:type="pct"/>
            <w:shd w:val="clear" w:color="auto" w:fill="auto"/>
            <w:vAlign w:val="center"/>
          </w:tcPr>
          <w:p w14:paraId="6E8DA72F" w14:textId="222AA343"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1083" w:type="pct"/>
            <w:shd w:val="clear" w:color="auto" w:fill="auto"/>
            <w:vAlign w:val="center"/>
          </w:tcPr>
          <w:p w14:paraId="4B5398A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20</w:t>
            </w:r>
            <w:r w:rsidRPr="00765F6E">
              <w:rPr>
                <w:rFonts w:hAnsi="宋体" w:cs="宋体" w:hint="eastAsia"/>
                <w:sz w:val="18"/>
                <w:szCs w:val="18"/>
              </w:rPr>
              <w:t>0</w:t>
            </w:r>
          </w:p>
        </w:tc>
      </w:tr>
      <w:tr w:rsidR="00737EB2" w:rsidRPr="00765F6E" w14:paraId="0E5E399C" w14:textId="77777777" w:rsidTr="00871D47">
        <w:trPr>
          <w:trHeight w:val="176"/>
          <w:jc w:val="center"/>
        </w:trPr>
        <w:tc>
          <w:tcPr>
            <w:tcW w:w="779" w:type="pct"/>
            <w:vMerge w:val="restart"/>
            <w:shd w:val="clear" w:color="auto" w:fill="auto"/>
            <w:vAlign w:val="center"/>
          </w:tcPr>
          <w:p w14:paraId="0374B2D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无砟</w:t>
            </w:r>
            <w:r w:rsidRPr="00765F6E">
              <w:rPr>
                <w:rFonts w:hAnsi="宋体" w:cs="宋体"/>
                <w:sz w:val="18"/>
                <w:szCs w:val="18"/>
              </w:rPr>
              <w:t>轨道</w:t>
            </w:r>
          </w:p>
        </w:tc>
        <w:tc>
          <w:tcPr>
            <w:tcW w:w="1375" w:type="pct"/>
            <w:shd w:val="clear" w:color="auto" w:fill="auto"/>
            <w:vAlign w:val="center"/>
          </w:tcPr>
          <w:p w14:paraId="2EFC82E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砂</w:t>
            </w:r>
            <w:r w:rsidRPr="00765F6E">
              <w:rPr>
                <w:rFonts w:hAnsi="宋体" w:cs="宋体"/>
                <w:sz w:val="18"/>
                <w:szCs w:val="18"/>
              </w:rPr>
              <w:t>类土</w:t>
            </w:r>
            <w:r w:rsidRPr="00765F6E">
              <w:rPr>
                <w:rFonts w:hAnsi="宋体" w:cs="宋体" w:hint="eastAsia"/>
                <w:sz w:val="18"/>
                <w:szCs w:val="18"/>
              </w:rPr>
              <w:t>、</w:t>
            </w:r>
            <w:r w:rsidRPr="00765F6E">
              <w:rPr>
                <w:rFonts w:hAnsi="宋体" w:cs="宋体"/>
                <w:sz w:val="18"/>
                <w:szCs w:val="18"/>
              </w:rPr>
              <w:t>细</w:t>
            </w:r>
            <w:r w:rsidRPr="00765F6E">
              <w:rPr>
                <w:rFonts w:hAnsi="宋体" w:cs="宋体" w:hint="eastAsia"/>
                <w:sz w:val="18"/>
                <w:szCs w:val="18"/>
              </w:rPr>
              <w:t>砾土</w:t>
            </w:r>
          </w:p>
        </w:tc>
        <w:tc>
          <w:tcPr>
            <w:tcW w:w="783" w:type="pct"/>
            <w:shd w:val="clear" w:color="auto" w:fill="auto"/>
            <w:vAlign w:val="center"/>
          </w:tcPr>
          <w:p w14:paraId="283660E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2</w:t>
            </w:r>
          </w:p>
        </w:tc>
        <w:tc>
          <w:tcPr>
            <w:tcW w:w="980" w:type="pct"/>
            <w:shd w:val="clear" w:color="auto" w:fill="auto"/>
            <w:vAlign w:val="center"/>
          </w:tcPr>
          <w:p w14:paraId="49309CB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10</w:t>
            </w:r>
          </w:p>
        </w:tc>
        <w:tc>
          <w:tcPr>
            <w:tcW w:w="1083" w:type="pct"/>
            <w:shd w:val="clear" w:color="auto" w:fill="auto"/>
          </w:tcPr>
          <w:p w14:paraId="68F8082B" w14:textId="0EE331E0"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4DC97B6F" w14:textId="77777777" w:rsidTr="00871D47">
        <w:trPr>
          <w:trHeight w:val="176"/>
          <w:jc w:val="center"/>
        </w:trPr>
        <w:tc>
          <w:tcPr>
            <w:tcW w:w="779" w:type="pct"/>
            <w:vMerge/>
            <w:shd w:val="clear" w:color="auto" w:fill="auto"/>
            <w:vAlign w:val="center"/>
          </w:tcPr>
          <w:p w14:paraId="4FD4BCEF" w14:textId="77777777" w:rsidR="00737EB2" w:rsidRPr="00765F6E" w:rsidRDefault="00737EB2" w:rsidP="00871D47">
            <w:pPr>
              <w:pStyle w:val="affffffffffff2"/>
              <w:jc w:val="center"/>
              <w:rPr>
                <w:rFonts w:hAnsi="宋体" w:cs="宋体"/>
                <w:sz w:val="18"/>
                <w:szCs w:val="18"/>
              </w:rPr>
            </w:pPr>
          </w:p>
        </w:tc>
        <w:tc>
          <w:tcPr>
            <w:tcW w:w="1375" w:type="pct"/>
            <w:shd w:val="clear" w:color="auto" w:fill="auto"/>
            <w:vAlign w:val="center"/>
          </w:tcPr>
          <w:p w14:paraId="2F60FD8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碎石</w:t>
            </w:r>
            <w:r w:rsidRPr="00765F6E">
              <w:rPr>
                <w:rFonts w:hAnsi="宋体" w:cs="宋体"/>
                <w:sz w:val="18"/>
                <w:szCs w:val="18"/>
              </w:rPr>
              <w:t>类及粗砾石</w:t>
            </w:r>
          </w:p>
        </w:tc>
        <w:tc>
          <w:tcPr>
            <w:tcW w:w="783" w:type="pct"/>
            <w:shd w:val="clear" w:color="auto" w:fill="auto"/>
            <w:vAlign w:val="center"/>
          </w:tcPr>
          <w:p w14:paraId="36EC1D8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2</w:t>
            </w:r>
          </w:p>
        </w:tc>
        <w:tc>
          <w:tcPr>
            <w:tcW w:w="980" w:type="pct"/>
            <w:shd w:val="clear" w:color="auto" w:fill="auto"/>
            <w:vAlign w:val="center"/>
          </w:tcPr>
          <w:p w14:paraId="1B35C84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3</w:t>
            </w:r>
            <w:r w:rsidRPr="00765F6E">
              <w:rPr>
                <w:rFonts w:hAnsi="宋体" w:cs="宋体" w:hint="eastAsia"/>
                <w:sz w:val="18"/>
                <w:szCs w:val="18"/>
              </w:rPr>
              <w:t>0</w:t>
            </w:r>
          </w:p>
        </w:tc>
        <w:tc>
          <w:tcPr>
            <w:tcW w:w="1083" w:type="pct"/>
            <w:shd w:val="clear" w:color="auto" w:fill="auto"/>
          </w:tcPr>
          <w:p w14:paraId="7951AF92" w14:textId="0BEC69DC"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r>
      <w:tr w:rsidR="00737EB2" w:rsidRPr="00765F6E" w14:paraId="1D9C7DED" w14:textId="77777777" w:rsidTr="00871D47">
        <w:trPr>
          <w:trHeight w:val="176"/>
          <w:jc w:val="center"/>
        </w:trPr>
        <w:tc>
          <w:tcPr>
            <w:tcW w:w="779" w:type="pct"/>
            <w:vMerge/>
            <w:tcBorders>
              <w:bottom w:val="single" w:sz="8" w:space="0" w:color="auto"/>
            </w:tcBorders>
            <w:shd w:val="clear" w:color="auto" w:fill="auto"/>
            <w:vAlign w:val="center"/>
          </w:tcPr>
          <w:p w14:paraId="459133DB" w14:textId="77777777" w:rsidR="00737EB2" w:rsidRPr="00765F6E" w:rsidRDefault="00737EB2" w:rsidP="00871D47">
            <w:pPr>
              <w:jc w:val="center"/>
              <w:rPr>
                <w:rFonts w:ascii="宋体" w:hAnsi="宋体"/>
                <w:sz w:val="15"/>
                <w:szCs w:val="15"/>
              </w:rPr>
            </w:pPr>
          </w:p>
        </w:tc>
        <w:tc>
          <w:tcPr>
            <w:tcW w:w="1375" w:type="pct"/>
            <w:tcBorders>
              <w:bottom w:val="single" w:sz="8" w:space="0" w:color="auto"/>
            </w:tcBorders>
            <w:shd w:val="clear" w:color="auto" w:fill="auto"/>
            <w:vAlign w:val="center"/>
          </w:tcPr>
          <w:p w14:paraId="6E7F2CE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化学</w:t>
            </w:r>
            <w:r w:rsidRPr="00765F6E">
              <w:rPr>
                <w:rFonts w:hAnsi="宋体" w:cs="宋体"/>
                <w:sz w:val="18"/>
                <w:szCs w:val="18"/>
              </w:rPr>
              <w:t>改良土</w:t>
            </w:r>
          </w:p>
        </w:tc>
        <w:tc>
          <w:tcPr>
            <w:tcW w:w="783" w:type="pct"/>
            <w:tcBorders>
              <w:bottom w:val="single" w:sz="8" w:space="0" w:color="auto"/>
            </w:tcBorders>
            <w:shd w:val="clear" w:color="auto" w:fill="auto"/>
            <w:vAlign w:val="center"/>
          </w:tcPr>
          <w:p w14:paraId="1FEB6E2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2</w:t>
            </w:r>
          </w:p>
        </w:tc>
        <w:tc>
          <w:tcPr>
            <w:tcW w:w="980" w:type="pct"/>
            <w:tcBorders>
              <w:bottom w:val="single" w:sz="8" w:space="0" w:color="auto"/>
            </w:tcBorders>
            <w:shd w:val="clear" w:color="auto" w:fill="auto"/>
            <w:vAlign w:val="center"/>
          </w:tcPr>
          <w:p w14:paraId="25EE3B05" w14:textId="506C1C38" w:rsidR="00737EB2" w:rsidRPr="00765F6E" w:rsidRDefault="00904857" w:rsidP="00871D47">
            <w:pPr>
              <w:pStyle w:val="affffffffffff2"/>
              <w:jc w:val="center"/>
              <w:rPr>
                <w:rFonts w:hAnsi="宋体" w:cs="宋体"/>
                <w:sz w:val="18"/>
                <w:szCs w:val="18"/>
              </w:rPr>
            </w:pPr>
            <w:r>
              <w:rPr>
                <w:rFonts w:hAnsi="宋体" w:cs="宋体" w:hint="eastAsia"/>
                <w:sz w:val="18"/>
                <w:szCs w:val="18"/>
              </w:rPr>
              <w:t>-</w:t>
            </w:r>
          </w:p>
        </w:tc>
        <w:tc>
          <w:tcPr>
            <w:tcW w:w="1083" w:type="pct"/>
            <w:tcBorders>
              <w:bottom w:val="single" w:sz="8" w:space="0" w:color="auto"/>
            </w:tcBorders>
            <w:shd w:val="clear" w:color="auto" w:fill="auto"/>
            <w:vAlign w:val="center"/>
          </w:tcPr>
          <w:p w14:paraId="3F5AE8A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25</w:t>
            </w:r>
            <w:r w:rsidRPr="00765F6E">
              <w:rPr>
                <w:rFonts w:hAnsi="宋体" w:cs="宋体" w:hint="eastAsia"/>
                <w:sz w:val="18"/>
                <w:szCs w:val="18"/>
              </w:rPr>
              <w:t>0</w:t>
            </w:r>
          </w:p>
        </w:tc>
      </w:tr>
    </w:tbl>
    <w:p w14:paraId="1797C178" w14:textId="77777777" w:rsidR="00737EB2" w:rsidRDefault="00737EB2" w:rsidP="00737EB2">
      <w:pPr>
        <w:spacing w:line="240" w:lineRule="auto"/>
      </w:pPr>
    </w:p>
    <w:p w14:paraId="33E5E04D" w14:textId="77777777" w:rsidR="00737EB2" w:rsidRPr="005D4937" w:rsidRDefault="00737EB2" w:rsidP="009D0776">
      <w:pPr>
        <w:pStyle w:val="22"/>
      </w:pPr>
      <w:r w:rsidRPr="005D4937">
        <w:rPr>
          <w:rFonts w:hint="eastAsia"/>
        </w:rPr>
        <w:t>有轨道路基填料最大粒径不应大于摊铺厚度的2/3且不应大于300mm；无轨道路基填料的最大粒径不应大于75mm。</w:t>
      </w:r>
    </w:p>
    <w:p w14:paraId="269CBF7D" w14:textId="77777777" w:rsidR="00737EB2" w:rsidRPr="005D4937" w:rsidRDefault="00737EB2" w:rsidP="009D0776">
      <w:pPr>
        <w:pStyle w:val="22"/>
      </w:pPr>
      <w:bookmarkStart w:id="1105" w:name="_Toc153291250"/>
      <w:bookmarkStart w:id="1106" w:name="_Toc99791819"/>
      <w:r w:rsidRPr="005D4937">
        <w:rPr>
          <w:rFonts w:hint="eastAsia"/>
        </w:rPr>
        <w:t>路堤边坡坡率应根据路基填料、路堤高度、基底地质条件、水文气候条件、抗震设防烈度等因素综合分析确定。</w:t>
      </w:r>
      <w:bookmarkEnd w:id="1105"/>
      <w:bookmarkEnd w:id="1106"/>
      <w:r w:rsidRPr="005D4937">
        <w:rPr>
          <w:rFonts w:hint="eastAsia"/>
        </w:rPr>
        <w:t xml:space="preserve"> </w:t>
      </w:r>
    </w:p>
    <w:p w14:paraId="666ADEB2" w14:textId="77777777" w:rsidR="00737EB2" w:rsidRPr="00765F6E" w:rsidRDefault="00737EB2" w:rsidP="009D0776">
      <w:pPr>
        <w:pStyle w:val="22"/>
      </w:pPr>
      <w:bookmarkStart w:id="1107" w:name="_Toc99791820"/>
      <w:bookmarkStart w:id="1108" w:name="_Toc153291251"/>
      <w:r w:rsidRPr="005D4937">
        <w:rPr>
          <w:rFonts w:hint="eastAsia"/>
        </w:rPr>
        <w:t>半填半挖路基轨道下横跨挖方与填方时，挖方部分可通过换填调整与填方部分的强度及刚度差异，换填厚度宜根据填方部分高度及地基条件</w:t>
      </w:r>
      <w:r w:rsidRPr="00765F6E">
        <w:rPr>
          <w:rFonts w:hint="eastAsia"/>
        </w:rPr>
        <w:t>确定。</w:t>
      </w:r>
      <w:bookmarkEnd w:id="1107"/>
      <w:bookmarkEnd w:id="1108"/>
    </w:p>
    <w:p w14:paraId="2CEE4D06" w14:textId="77777777" w:rsidR="00737EB2" w:rsidRPr="00765F6E" w:rsidRDefault="00737EB2" w:rsidP="00737EB2">
      <w:pPr>
        <w:pStyle w:val="affe"/>
        <w:spacing w:before="156" w:after="156"/>
      </w:pPr>
      <w:bookmarkStart w:id="1109" w:name="_Toc99791821"/>
      <w:bookmarkStart w:id="1110" w:name="_Toc153291252"/>
      <w:bookmarkStart w:id="1111" w:name="_Toc153210862"/>
      <w:bookmarkStart w:id="1112" w:name="_Toc167895759"/>
      <w:bookmarkStart w:id="1113" w:name="_Toc174538673"/>
      <w:bookmarkStart w:id="1114" w:name="_Toc182476428"/>
      <w:r w:rsidRPr="00765F6E">
        <w:rPr>
          <w:rFonts w:hint="eastAsia"/>
        </w:rPr>
        <w:t>路堑</w:t>
      </w:r>
      <w:bookmarkEnd w:id="1109"/>
      <w:bookmarkEnd w:id="1110"/>
      <w:bookmarkEnd w:id="1111"/>
      <w:bookmarkEnd w:id="1112"/>
      <w:bookmarkEnd w:id="1113"/>
      <w:bookmarkEnd w:id="1114"/>
    </w:p>
    <w:p w14:paraId="4D0DAA68" w14:textId="77777777" w:rsidR="00737EB2" w:rsidRPr="005D4937" w:rsidRDefault="00737EB2" w:rsidP="009D0776">
      <w:pPr>
        <w:pStyle w:val="22"/>
      </w:pPr>
      <w:bookmarkStart w:id="1115" w:name="_Toc99791822"/>
      <w:bookmarkStart w:id="1116" w:name="_Toc153291253"/>
      <w:r w:rsidRPr="00765F6E">
        <w:rPr>
          <w:rFonts w:hint="eastAsia"/>
        </w:rPr>
        <w:t>路堑基床应符</w:t>
      </w:r>
      <w:r w:rsidRPr="005D4937">
        <w:rPr>
          <w:rFonts w:hint="eastAsia"/>
        </w:rPr>
        <w:t>合 1</w:t>
      </w:r>
      <w:r w:rsidRPr="005D4937">
        <w:t>3</w:t>
      </w:r>
      <w:r w:rsidRPr="005D4937">
        <w:rPr>
          <w:rFonts w:hint="eastAsia"/>
        </w:rPr>
        <w:t>.3.5的要求。</w:t>
      </w:r>
      <w:bookmarkEnd w:id="1115"/>
      <w:bookmarkEnd w:id="1116"/>
      <w:r w:rsidRPr="005D4937">
        <w:rPr>
          <w:rFonts w:hint="eastAsia"/>
        </w:rPr>
        <w:t xml:space="preserve"> </w:t>
      </w:r>
    </w:p>
    <w:p w14:paraId="204F3FB6" w14:textId="415B6359" w:rsidR="00737EB2" w:rsidRPr="005D4937" w:rsidRDefault="00737EB2" w:rsidP="009D0776">
      <w:pPr>
        <w:pStyle w:val="22"/>
      </w:pPr>
      <w:bookmarkStart w:id="1117" w:name="_Toc153291254"/>
      <w:bookmarkStart w:id="1118" w:name="_Toc99791823"/>
      <w:r w:rsidRPr="005D4937">
        <w:rPr>
          <w:rFonts w:hint="eastAsia"/>
        </w:rPr>
        <w:t>路堑地段应于侧沟外侧设置平台，宽度不宜小于1.0m。路堑边坡高度较大时，应分级设置边坡平台，宽度不宜小于2.0m。</w:t>
      </w:r>
      <w:bookmarkEnd w:id="1117"/>
      <w:bookmarkEnd w:id="1118"/>
    </w:p>
    <w:p w14:paraId="1B4BDA1F" w14:textId="77777777" w:rsidR="00737EB2" w:rsidRPr="005D4937" w:rsidRDefault="00737EB2" w:rsidP="009D0776">
      <w:pPr>
        <w:pStyle w:val="22"/>
      </w:pPr>
      <w:bookmarkStart w:id="1119" w:name="_Toc153291255"/>
      <w:bookmarkStart w:id="1120" w:name="_Toc99791824"/>
      <w:r w:rsidRPr="005D4937">
        <w:rPr>
          <w:rFonts w:hint="eastAsia"/>
        </w:rPr>
        <w:t>路堑边坡形式和坡率应根据水文地质、气象条件、边坡高度、岩性及岩体结构、结构面产状、风化程度等因素结合自然稳定山坡和人工边坡的调查通过力学分析或工程经验确定。</w:t>
      </w:r>
      <w:bookmarkEnd w:id="1119"/>
      <w:bookmarkEnd w:id="1120"/>
    </w:p>
    <w:p w14:paraId="47FBA928" w14:textId="77777777" w:rsidR="00737EB2" w:rsidRPr="00765F6E" w:rsidRDefault="00737EB2" w:rsidP="00737EB2">
      <w:pPr>
        <w:pStyle w:val="affe"/>
        <w:spacing w:before="156" w:after="156"/>
      </w:pPr>
      <w:bookmarkStart w:id="1121" w:name="_Toc153291256"/>
      <w:bookmarkStart w:id="1122" w:name="_Toc99791825"/>
      <w:bookmarkStart w:id="1123" w:name="_Toc153210863"/>
      <w:bookmarkStart w:id="1124" w:name="_Toc167895760"/>
      <w:bookmarkStart w:id="1125" w:name="_Toc174538674"/>
      <w:bookmarkStart w:id="1126" w:name="_Toc182476429"/>
      <w:r w:rsidRPr="00765F6E">
        <w:rPr>
          <w:rFonts w:hint="eastAsia"/>
        </w:rPr>
        <w:t>过渡段</w:t>
      </w:r>
      <w:bookmarkEnd w:id="1121"/>
      <w:bookmarkEnd w:id="1122"/>
      <w:bookmarkEnd w:id="1123"/>
      <w:bookmarkEnd w:id="1124"/>
      <w:bookmarkEnd w:id="1125"/>
      <w:bookmarkEnd w:id="1126"/>
    </w:p>
    <w:p w14:paraId="1C9551D4" w14:textId="349DF6D9" w:rsidR="00737EB2" w:rsidRPr="005D4937" w:rsidRDefault="00737EB2" w:rsidP="009D0776">
      <w:pPr>
        <w:pStyle w:val="22"/>
      </w:pPr>
      <w:bookmarkStart w:id="1127" w:name="_Toc99791826"/>
      <w:bookmarkStart w:id="1128" w:name="_Toc153291257"/>
      <w:r w:rsidRPr="00765F6E">
        <w:rPr>
          <w:rFonts w:hint="eastAsia"/>
        </w:rPr>
        <w:t>路堤与桥台连</w:t>
      </w:r>
      <w:r w:rsidRPr="005D4937">
        <w:rPr>
          <w:rFonts w:hint="eastAsia"/>
        </w:rPr>
        <w:t>接处应设置过渡段，宜采用倒梯形过渡形式；过渡段施工先于临近路基时，也可采用正梯形过渡形式，示意图如图</w:t>
      </w:r>
      <w:r w:rsidR="00357519">
        <w:t>6</w:t>
      </w:r>
      <w:r w:rsidRPr="005D4937">
        <w:rPr>
          <w:rFonts w:hint="eastAsia"/>
        </w:rPr>
        <w:t>～图</w:t>
      </w:r>
      <w:r w:rsidR="00357519">
        <w:t>7</w:t>
      </w:r>
      <w:r w:rsidRPr="005D4937">
        <w:rPr>
          <w:rFonts w:hint="eastAsia"/>
        </w:rPr>
        <w:t>所示。</w:t>
      </w:r>
      <w:bookmarkEnd w:id="1127"/>
      <w:bookmarkEnd w:id="1128"/>
    </w:p>
    <w:p w14:paraId="2770F3E1" w14:textId="52AE841C" w:rsidR="00737EB2" w:rsidRPr="00453DBE" w:rsidRDefault="00813AC1" w:rsidP="00453DBE">
      <w:pPr>
        <w:pStyle w:val="affffb"/>
        <w:spacing w:before="156" w:after="156"/>
        <w:ind w:firstLine="360"/>
        <w:jc w:val="right"/>
        <w:rPr>
          <w:sz w:val="18"/>
          <w:szCs w:val="18"/>
        </w:rPr>
      </w:pPr>
      <w:r w:rsidRPr="00453DBE">
        <w:rPr>
          <w:rFonts w:hint="eastAsia"/>
          <w:sz w:val="18"/>
          <w:szCs w:val="18"/>
        </w:rPr>
        <w:t>单位为米</w:t>
      </w:r>
    </w:p>
    <w:p w14:paraId="3348CB9E" w14:textId="46121B43" w:rsidR="00737EB2" w:rsidRPr="00765F6E" w:rsidRDefault="00A27066" w:rsidP="00A27066">
      <w:pPr>
        <w:pStyle w:val="affffb"/>
        <w:spacing w:before="156" w:after="156"/>
        <w:ind w:firstLineChars="0" w:firstLine="0"/>
        <w:jc w:val="center"/>
      </w:pPr>
      <w:r>
        <w:lastRenderedPageBreak/>
        <w:drawing>
          <wp:inline distT="0" distB="0" distL="0" distR="0" wp14:anchorId="3FACAF5C" wp14:editId="35639596">
            <wp:extent cx="5641370" cy="175260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655026" cy="1756843"/>
                    </a:xfrm>
                    <a:prstGeom prst="rect">
                      <a:avLst/>
                    </a:prstGeom>
                  </pic:spPr>
                </pic:pic>
              </a:graphicData>
            </a:graphic>
          </wp:inline>
        </w:drawing>
      </w:r>
    </w:p>
    <w:p w14:paraId="0AB82DD0" w14:textId="77777777" w:rsidR="00737EB2" w:rsidRPr="00765F6E" w:rsidRDefault="00737EB2" w:rsidP="00737EB2">
      <w:pPr>
        <w:pStyle w:val="afe"/>
        <w:spacing w:before="156" w:after="156"/>
      </w:pPr>
      <w:r w:rsidRPr="00765F6E">
        <w:rPr>
          <w:rFonts w:hint="eastAsia"/>
        </w:rPr>
        <w:t>台尾倒梯形过渡段示意图</w:t>
      </w:r>
    </w:p>
    <w:p w14:paraId="56C24DFE" w14:textId="2B13BC00" w:rsidR="00737EB2" w:rsidRPr="000131E3" w:rsidRDefault="00737EB2" w:rsidP="005D4937">
      <w:pPr>
        <w:pStyle w:val="affffb"/>
        <w:ind w:firstLine="420"/>
        <w:rPr>
          <w:szCs w:val="21"/>
        </w:rPr>
      </w:pPr>
      <w:r w:rsidRPr="000131E3">
        <w:rPr>
          <w:rFonts w:hint="eastAsia"/>
          <w:szCs w:val="21"/>
        </w:rPr>
        <w:t>标引序号说明：</w:t>
      </w:r>
    </w:p>
    <w:p w14:paraId="7736E369" w14:textId="0D0B7923" w:rsidR="00737EB2" w:rsidRPr="000131E3" w:rsidRDefault="00737EB2" w:rsidP="005D4937">
      <w:pPr>
        <w:pStyle w:val="affffb"/>
        <w:ind w:firstLine="420"/>
        <w:rPr>
          <w:szCs w:val="21"/>
        </w:rPr>
      </w:pPr>
      <w:r w:rsidRPr="000131E3">
        <w:rPr>
          <w:rFonts w:hint="eastAsia"/>
          <w:szCs w:val="21"/>
        </w:rPr>
        <w:t xml:space="preserve">L——过渡段长度； </w:t>
      </w:r>
    </w:p>
    <w:p w14:paraId="0FBF20B1" w14:textId="19F3DD8C" w:rsidR="00737EB2" w:rsidRPr="000131E3" w:rsidRDefault="00737EB2" w:rsidP="005D4937">
      <w:pPr>
        <w:pStyle w:val="affffb"/>
        <w:ind w:firstLine="420"/>
        <w:rPr>
          <w:szCs w:val="21"/>
        </w:rPr>
      </w:pPr>
      <w:r w:rsidRPr="000131E3">
        <w:rPr>
          <w:rFonts w:hint="eastAsia"/>
          <w:szCs w:val="21"/>
        </w:rPr>
        <w:t xml:space="preserve">h——基床表层厚度； </w:t>
      </w:r>
    </w:p>
    <w:p w14:paraId="3255EF5B" w14:textId="5CD7A749" w:rsidR="00737EB2" w:rsidRPr="000131E3" w:rsidRDefault="00737EB2" w:rsidP="005D4937">
      <w:pPr>
        <w:pStyle w:val="affffb"/>
        <w:ind w:firstLine="420"/>
        <w:rPr>
          <w:szCs w:val="21"/>
        </w:rPr>
      </w:pPr>
      <w:r w:rsidRPr="000131E3">
        <w:rPr>
          <w:rFonts w:hint="eastAsia"/>
          <w:szCs w:val="21"/>
        </w:rPr>
        <w:t>H——台后路堤高度；</w:t>
      </w:r>
    </w:p>
    <w:p w14:paraId="25CC53B9" w14:textId="51CC5A87" w:rsidR="00737EB2" w:rsidRPr="000131E3" w:rsidRDefault="00737EB2" w:rsidP="005D4937">
      <w:pPr>
        <w:pStyle w:val="affffb"/>
        <w:ind w:firstLine="420"/>
        <w:rPr>
          <w:szCs w:val="21"/>
        </w:rPr>
      </w:pPr>
      <w:r w:rsidRPr="000131E3">
        <w:rPr>
          <w:rFonts w:hint="eastAsia"/>
          <w:szCs w:val="21"/>
        </w:rPr>
        <w:t>a——底部（或顶部）沿线路方向长度，无砟轨道铁路取3～5m，设计速度160km/h及以下有砟轨道铁路取3m；</w:t>
      </w:r>
    </w:p>
    <w:p w14:paraId="2AB495A2" w14:textId="4A8E7F66" w:rsidR="00737EB2" w:rsidRDefault="00737EB2" w:rsidP="005D4937">
      <w:pPr>
        <w:pStyle w:val="affffb"/>
        <w:ind w:firstLineChars="195" w:firstLine="409"/>
        <w:rPr>
          <w:szCs w:val="21"/>
        </w:rPr>
      </w:pPr>
      <w:r w:rsidRPr="000131E3">
        <w:rPr>
          <w:rFonts w:hint="eastAsia"/>
          <w:szCs w:val="21"/>
        </w:rPr>
        <w:t>n——常数，取2～5，设计速度160km/h及以下有砟轨道铁路取2。</w:t>
      </w:r>
    </w:p>
    <w:p w14:paraId="57BA52A1" w14:textId="77777777" w:rsidR="00813AC1" w:rsidRPr="000131E3" w:rsidRDefault="00813AC1" w:rsidP="005D4937">
      <w:pPr>
        <w:pStyle w:val="affffb"/>
        <w:ind w:firstLineChars="195" w:firstLine="409"/>
        <w:rPr>
          <w:szCs w:val="21"/>
        </w:rPr>
      </w:pPr>
    </w:p>
    <w:p w14:paraId="6CDD2EE2" w14:textId="30999A8C" w:rsidR="00737EB2" w:rsidRPr="00453DBE" w:rsidRDefault="00813AC1" w:rsidP="00453DBE">
      <w:pPr>
        <w:pStyle w:val="affffb"/>
        <w:spacing w:before="156" w:after="156"/>
        <w:ind w:firstLineChars="0" w:firstLine="0"/>
        <w:jc w:val="right"/>
        <w:rPr>
          <w:sz w:val="18"/>
          <w:szCs w:val="18"/>
        </w:rPr>
      </w:pPr>
      <w:r w:rsidRPr="00453DBE">
        <w:rPr>
          <w:rFonts w:hint="eastAsia"/>
          <w:sz w:val="18"/>
          <w:szCs w:val="18"/>
        </w:rPr>
        <w:t>单位为米</w:t>
      </w:r>
    </w:p>
    <w:p w14:paraId="7C5C756E" w14:textId="5C8C5356" w:rsidR="00737EB2" w:rsidRPr="00765F6E" w:rsidRDefault="00A27066" w:rsidP="00A27066">
      <w:pPr>
        <w:pStyle w:val="affffb"/>
        <w:spacing w:before="156" w:after="156"/>
        <w:ind w:firstLineChars="0" w:firstLine="0"/>
        <w:jc w:val="center"/>
      </w:pPr>
      <w:r>
        <w:drawing>
          <wp:inline distT="0" distB="0" distL="0" distR="0" wp14:anchorId="0E65E176" wp14:editId="13C464FD">
            <wp:extent cx="5787196" cy="2035479"/>
            <wp:effectExtent l="0" t="0" r="4445"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791541" cy="2037007"/>
                    </a:xfrm>
                    <a:prstGeom prst="rect">
                      <a:avLst/>
                    </a:prstGeom>
                  </pic:spPr>
                </pic:pic>
              </a:graphicData>
            </a:graphic>
          </wp:inline>
        </w:drawing>
      </w:r>
    </w:p>
    <w:p w14:paraId="0211FB5E" w14:textId="77777777" w:rsidR="00737EB2" w:rsidRPr="00765F6E" w:rsidRDefault="00737EB2" w:rsidP="00737EB2">
      <w:pPr>
        <w:pStyle w:val="afe"/>
        <w:spacing w:before="156" w:after="156"/>
      </w:pPr>
      <w:r w:rsidRPr="00765F6E">
        <w:rPr>
          <w:rFonts w:hint="eastAsia"/>
        </w:rPr>
        <w:t>台尾正梯形过渡段示意图</w:t>
      </w:r>
    </w:p>
    <w:p w14:paraId="06E5091D" w14:textId="77777777" w:rsidR="00737EB2" w:rsidRPr="000131E3" w:rsidRDefault="00737EB2" w:rsidP="00DF1ECE">
      <w:pPr>
        <w:pStyle w:val="affffb"/>
        <w:ind w:firstLine="420"/>
        <w:rPr>
          <w:szCs w:val="21"/>
        </w:rPr>
      </w:pPr>
      <w:r w:rsidRPr="000131E3">
        <w:rPr>
          <w:rFonts w:hint="eastAsia"/>
          <w:szCs w:val="21"/>
        </w:rPr>
        <w:t>标引序号说明：</w:t>
      </w:r>
    </w:p>
    <w:p w14:paraId="1B9B475A" w14:textId="3DDFC74F" w:rsidR="00737EB2" w:rsidRPr="000131E3" w:rsidRDefault="00737EB2" w:rsidP="00DF1ECE">
      <w:pPr>
        <w:pStyle w:val="affffb"/>
        <w:ind w:firstLine="420"/>
        <w:rPr>
          <w:szCs w:val="21"/>
        </w:rPr>
      </w:pPr>
      <w:r w:rsidRPr="000131E3">
        <w:rPr>
          <w:rFonts w:hint="eastAsia"/>
          <w:szCs w:val="21"/>
        </w:rPr>
        <w:t>L——过渡段长度；</w:t>
      </w:r>
    </w:p>
    <w:p w14:paraId="2F0CF971" w14:textId="498C2619" w:rsidR="00737EB2" w:rsidRPr="000131E3" w:rsidRDefault="00737EB2" w:rsidP="00DF1ECE">
      <w:pPr>
        <w:pStyle w:val="affffb"/>
        <w:ind w:firstLine="420"/>
        <w:rPr>
          <w:szCs w:val="21"/>
        </w:rPr>
      </w:pPr>
      <w:r w:rsidRPr="000131E3">
        <w:rPr>
          <w:rFonts w:hint="eastAsia"/>
          <w:szCs w:val="21"/>
        </w:rPr>
        <w:t>h——基床表层厚度；</w:t>
      </w:r>
    </w:p>
    <w:p w14:paraId="1FCA1FA9" w14:textId="7F705A7F" w:rsidR="00737EB2" w:rsidRPr="000131E3" w:rsidRDefault="00737EB2" w:rsidP="00DF1ECE">
      <w:pPr>
        <w:pStyle w:val="affffb"/>
        <w:ind w:firstLine="420"/>
        <w:rPr>
          <w:szCs w:val="21"/>
        </w:rPr>
      </w:pPr>
      <w:r w:rsidRPr="000131E3">
        <w:rPr>
          <w:rFonts w:hint="eastAsia"/>
          <w:szCs w:val="21"/>
        </w:rPr>
        <w:t>H——台后路堤高度；</w:t>
      </w:r>
    </w:p>
    <w:p w14:paraId="282D49AF" w14:textId="475B786C" w:rsidR="00737EB2" w:rsidRPr="000131E3" w:rsidRDefault="00737EB2" w:rsidP="00DF1ECE">
      <w:pPr>
        <w:pStyle w:val="affffb"/>
        <w:ind w:firstLine="420"/>
        <w:rPr>
          <w:szCs w:val="21"/>
        </w:rPr>
      </w:pPr>
      <w:r w:rsidRPr="000131E3">
        <w:rPr>
          <w:rFonts w:hint="eastAsia"/>
          <w:szCs w:val="21"/>
        </w:rPr>
        <w:t>a——底部（或顶部）沿线路方向长度，无砟轨道铁路取3～5m，设计速度160km/h及以下有砟轨道铁路取3m；</w:t>
      </w:r>
    </w:p>
    <w:p w14:paraId="6C709201" w14:textId="77777777" w:rsidR="00737EB2" w:rsidRPr="000131E3" w:rsidRDefault="00737EB2" w:rsidP="00DF1ECE">
      <w:pPr>
        <w:pStyle w:val="affffb"/>
        <w:ind w:firstLine="420"/>
        <w:rPr>
          <w:szCs w:val="21"/>
        </w:rPr>
      </w:pPr>
      <w:r w:rsidRPr="000131E3">
        <w:rPr>
          <w:rFonts w:hint="eastAsia"/>
          <w:szCs w:val="21"/>
        </w:rPr>
        <w:t>n——常数，取2～5，设计速度160km/h及以下有砟轨道铁路取2。</w:t>
      </w:r>
    </w:p>
    <w:p w14:paraId="0F541C90" w14:textId="77777777" w:rsidR="00737EB2" w:rsidRPr="005D4937" w:rsidRDefault="00737EB2" w:rsidP="009D0776">
      <w:pPr>
        <w:pStyle w:val="22"/>
      </w:pPr>
      <w:bookmarkStart w:id="1129" w:name="_Toc153291258"/>
      <w:bookmarkStart w:id="1130" w:name="_Toc99791827"/>
      <w:r w:rsidRPr="00765F6E">
        <w:rPr>
          <w:rFonts w:hint="eastAsia"/>
        </w:rPr>
        <w:t>无砟轨道铁路</w:t>
      </w:r>
      <w:r w:rsidRPr="005D4937">
        <w:rPr>
          <w:rFonts w:hint="eastAsia"/>
        </w:rPr>
        <w:t>路桥过渡段长度不应小于20m。</w:t>
      </w:r>
      <w:bookmarkEnd w:id="1129"/>
      <w:bookmarkEnd w:id="1130"/>
      <w:r w:rsidRPr="005D4937">
        <w:rPr>
          <w:rFonts w:hint="eastAsia"/>
        </w:rPr>
        <w:t xml:space="preserve"> </w:t>
      </w:r>
    </w:p>
    <w:p w14:paraId="28D88C24" w14:textId="5A106AEF" w:rsidR="00737EB2" w:rsidRPr="005D4937" w:rsidRDefault="00737EB2" w:rsidP="009D0776">
      <w:pPr>
        <w:pStyle w:val="22"/>
      </w:pPr>
      <w:bookmarkStart w:id="1131" w:name="_Toc153291259"/>
      <w:bookmarkStart w:id="1132" w:name="_Toc99791828"/>
      <w:r w:rsidRPr="005D4937">
        <w:rPr>
          <w:rFonts w:hint="eastAsia"/>
        </w:rPr>
        <w:t>路堤与横向结构物（立交框构、箱涵等）连接处应设置过渡段，宜采用倒梯形过渡形式，过渡</w:t>
      </w:r>
      <w:r w:rsidRPr="005D4937">
        <w:rPr>
          <w:rFonts w:hint="eastAsia"/>
        </w:rPr>
        <w:lastRenderedPageBreak/>
        <w:t>段施工先于临近路基时，也可采用正梯形过渡形式，如图</w:t>
      </w:r>
      <w:r w:rsidR="00357519">
        <w:t>8</w:t>
      </w:r>
      <w:r w:rsidRPr="005D4937">
        <w:rPr>
          <w:rFonts w:hint="eastAsia"/>
        </w:rPr>
        <w:t>和图</w:t>
      </w:r>
      <w:r w:rsidR="00357519">
        <w:t>9</w:t>
      </w:r>
      <w:r w:rsidRPr="005D4937">
        <w:rPr>
          <w:rFonts w:hint="eastAsia"/>
        </w:rPr>
        <w:t>所示。</w:t>
      </w:r>
      <w:bookmarkEnd w:id="1131"/>
      <w:bookmarkEnd w:id="1132"/>
    </w:p>
    <w:p w14:paraId="16851407" w14:textId="65B05488" w:rsidR="00737EB2" w:rsidRDefault="00737EB2" w:rsidP="00737EB2">
      <w:pPr>
        <w:pStyle w:val="affffb"/>
        <w:spacing w:before="156" w:after="156"/>
        <w:ind w:firstLine="420"/>
      </w:pPr>
    </w:p>
    <w:p w14:paraId="38A7DD38" w14:textId="1A07AA39" w:rsidR="005D2978" w:rsidRPr="00453DBE" w:rsidRDefault="005D2978" w:rsidP="00453DBE">
      <w:pPr>
        <w:pStyle w:val="affffb"/>
        <w:spacing w:before="156" w:after="156"/>
        <w:ind w:firstLine="360"/>
        <w:jc w:val="right"/>
        <w:rPr>
          <w:sz w:val="18"/>
          <w:szCs w:val="18"/>
        </w:rPr>
      </w:pPr>
      <w:r w:rsidRPr="00453DBE">
        <w:rPr>
          <w:rFonts w:hint="eastAsia"/>
          <w:sz w:val="18"/>
          <w:szCs w:val="18"/>
        </w:rPr>
        <w:t>单位为米</w:t>
      </w:r>
    </w:p>
    <w:p w14:paraId="0A5E06F2" w14:textId="273500A3" w:rsidR="00737EB2" w:rsidRPr="00765F6E" w:rsidRDefault="00A27066" w:rsidP="00A27066">
      <w:pPr>
        <w:pStyle w:val="affffb"/>
        <w:spacing w:before="156" w:after="156"/>
        <w:ind w:firstLineChars="0" w:firstLine="0"/>
        <w:jc w:val="center"/>
      </w:pPr>
      <w:r>
        <w:drawing>
          <wp:inline distT="0" distB="0" distL="0" distR="0" wp14:anchorId="376621BE" wp14:editId="44E0161E">
            <wp:extent cx="5839819" cy="2238785"/>
            <wp:effectExtent l="0" t="0" r="0"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842686" cy="2239884"/>
                    </a:xfrm>
                    <a:prstGeom prst="rect">
                      <a:avLst/>
                    </a:prstGeom>
                  </pic:spPr>
                </pic:pic>
              </a:graphicData>
            </a:graphic>
          </wp:inline>
        </w:drawing>
      </w:r>
    </w:p>
    <w:p w14:paraId="543D2072" w14:textId="77777777" w:rsidR="00737EB2" w:rsidRPr="00765F6E" w:rsidRDefault="00737EB2" w:rsidP="00737EB2">
      <w:pPr>
        <w:pStyle w:val="afe"/>
        <w:spacing w:before="156" w:after="156"/>
      </w:pPr>
      <w:r w:rsidRPr="00765F6E">
        <w:rPr>
          <w:rFonts w:hint="eastAsia"/>
        </w:rPr>
        <w:t>一般路堤与横向结构物倒梯形过渡段示意图</w:t>
      </w:r>
    </w:p>
    <w:p w14:paraId="48128789" w14:textId="77777777" w:rsidR="00737EB2" w:rsidRPr="000131E3" w:rsidRDefault="00737EB2" w:rsidP="00737EB2">
      <w:pPr>
        <w:pStyle w:val="a6"/>
        <w:numPr>
          <w:ilvl w:val="0"/>
          <w:numId w:val="0"/>
        </w:numPr>
        <w:ind w:firstLineChars="200" w:firstLine="420"/>
        <w:jc w:val="left"/>
        <w:rPr>
          <w:rFonts w:hAnsi="宋体" w:cstheme="minorBidi"/>
          <w:kern w:val="2"/>
          <w:sz w:val="21"/>
          <w:szCs w:val="21"/>
        </w:rPr>
      </w:pPr>
      <w:r w:rsidRPr="000131E3">
        <w:rPr>
          <w:rFonts w:hAnsi="宋体" w:cstheme="minorBidi" w:hint="eastAsia"/>
          <w:kern w:val="2"/>
          <w:sz w:val="21"/>
          <w:szCs w:val="21"/>
        </w:rPr>
        <w:t>标引序号说明</w:t>
      </w:r>
      <w:r w:rsidRPr="000131E3">
        <w:rPr>
          <w:rFonts w:hAnsi="宋体" w:cstheme="minorBidi"/>
          <w:kern w:val="2"/>
          <w:sz w:val="21"/>
          <w:szCs w:val="21"/>
        </w:rPr>
        <w:t>：</w:t>
      </w:r>
    </w:p>
    <w:p w14:paraId="09E66F9C" w14:textId="0507949F" w:rsidR="00737EB2" w:rsidRPr="000131E3" w:rsidRDefault="00737EB2" w:rsidP="005D4937">
      <w:pPr>
        <w:pStyle w:val="affffb"/>
        <w:ind w:firstLineChars="300" w:firstLine="630"/>
        <w:rPr>
          <w:szCs w:val="21"/>
        </w:rPr>
      </w:pPr>
      <w:r w:rsidRPr="000131E3">
        <w:rPr>
          <w:rFonts w:hint="eastAsia"/>
          <w:szCs w:val="21"/>
        </w:rPr>
        <w:t xml:space="preserve">L——过渡段长度； </w:t>
      </w:r>
    </w:p>
    <w:p w14:paraId="6854692B" w14:textId="43CDB0F7" w:rsidR="00737EB2" w:rsidRPr="000131E3" w:rsidRDefault="00737EB2" w:rsidP="005D4937">
      <w:pPr>
        <w:pStyle w:val="affffb"/>
        <w:ind w:firstLineChars="300" w:firstLine="630"/>
        <w:rPr>
          <w:szCs w:val="21"/>
        </w:rPr>
      </w:pPr>
      <w:r w:rsidRPr="000131E3">
        <w:rPr>
          <w:rFonts w:hint="eastAsia"/>
          <w:szCs w:val="21"/>
        </w:rPr>
        <w:t xml:space="preserve">h——基床表层厚度； </w:t>
      </w:r>
    </w:p>
    <w:p w14:paraId="09538AFD" w14:textId="5ADA5A78" w:rsidR="00737EB2" w:rsidRPr="000131E3" w:rsidRDefault="00737EB2" w:rsidP="005D4937">
      <w:pPr>
        <w:pStyle w:val="affffb"/>
        <w:ind w:firstLineChars="300" w:firstLine="630"/>
        <w:rPr>
          <w:szCs w:val="21"/>
        </w:rPr>
      </w:pPr>
      <w:r w:rsidRPr="000131E3">
        <w:rPr>
          <w:rFonts w:hint="eastAsia"/>
          <w:szCs w:val="21"/>
        </w:rPr>
        <w:t>H——台后路堤高度。</w:t>
      </w:r>
    </w:p>
    <w:p w14:paraId="6507C2C1" w14:textId="4027A741" w:rsidR="00737EB2" w:rsidRDefault="00737EB2" w:rsidP="00737EB2">
      <w:pPr>
        <w:pStyle w:val="affffb"/>
        <w:spacing w:before="156" w:after="156"/>
        <w:ind w:firstLine="420"/>
      </w:pPr>
    </w:p>
    <w:p w14:paraId="4C482EAC" w14:textId="04C0AA49" w:rsidR="005D2978" w:rsidRPr="00453DBE" w:rsidRDefault="005D2978" w:rsidP="00453DBE">
      <w:pPr>
        <w:pStyle w:val="affffb"/>
        <w:spacing w:before="156" w:after="156"/>
        <w:ind w:firstLine="360"/>
        <w:jc w:val="right"/>
        <w:rPr>
          <w:sz w:val="18"/>
          <w:szCs w:val="18"/>
        </w:rPr>
      </w:pPr>
      <w:r w:rsidRPr="00453DBE">
        <w:rPr>
          <w:rFonts w:hint="eastAsia"/>
          <w:sz w:val="18"/>
          <w:szCs w:val="18"/>
        </w:rPr>
        <w:t>单位为米</w:t>
      </w:r>
    </w:p>
    <w:p w14:paraId="7D7385AE" w14:textId="17F09702" w:rsidR="00737EB2" w:rsidRPr="00765F6E" w:rsidRDefault="00A27066" w:rsidP="00A27066">
      <w:pPr>
        <w:pStyle w:val="affffb"/>
        <w:spacing w:before="156" w:after="156"/>
        <w:ind w:firstLineChars="0" w:firstLine="0"/>
        <w:jc w:val="center"/>
      </w:pPr>
      <w:r>
        <w:drawing>
          <wp:inline distT="0" distB="0" distL="0" distR="0" wp14:anchorId="03DDDC1B" wp14:editId="39F39B57">
            <wp:extent cx="5761308" cy="2232707"/>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67799" cy="2235222"/>
                    </a:xfrm>
                    <a:prstGeom prst="rect">
                      <a:avLst/>
                    </a:prstGeom>
                  </pic:spPr>
                </pic:pic>
              </a:graphicData>
            </a:graphic>
          </wp:inline>
        </w:drawing>
      </w:r>
    </w:p>
    <w:p w14:paraId="53DC69CF" w14:textId="77777777" w:rsidR="00737EB2" w:rsidRPr="00765F6E" w:rsidRDefault="00737EB2" w:rsidP="00737EB2">
      <w:pPr>
        <w:pStyle w:val="afe"/>
        <w:spacing w:before="156" w:after="156"/>
      </w:pPr>
      <w:r w:rsidRPr="00765F6E">
        <w:rPr>
          <w:rFonts w:hint="eastAsia"/>
        </w:rPr>
        <w:t>一般路堤与横向结构物正梯形过渡段示意图</w:t>
      </w:r>
    </w:p>
    <w:p w14:paraId="49D3FEF1" w14:textId="77777777" w:rsidR="00737EB2" w:rsidRPr="000131E3" w:rsidRDefault="00737EB2" w:rsidP="005D4937">
      <w:pPr>
        <w:pStyle w:val="a6"/>
        <w:numPr>
          <w:ilvl w:val="0"/>
          <w:numId w:val="0"/>
        </w:numPr>
        <w:ind w:firstLineChars="200" w:firstLine="420"/>
        <w:jc w:val="left"/>
        <w:rPr>
          <w:rFonts w:hAnsi="宋体" w:cstheme="minorBidi"/>
          <w:kern w:val="2"/>
          <w:sz w:val="21"/>
          <w:szCs w:val="21"/>
        </w:rPr>
      </w:pPr>
      <w:r w:rsidRPr="000131E3">
        <w:rPr>
          <w:rFonts w:hAnsi="宋体" w:cstheme="minorBidi" w:hint="eastAsia"/>
          <w:kern w:val="2"/>
          <w:sz w:val="21"/>
          <w:szCs w:val="21"/>
        </w:rPr>
        <w:t>标引序号说明</w:t>
      </w:r>
      <w:r w:rsidRPr="000131E3">
        <w:rPr>
          <w:rFonts w:hAnsi="宋体" w:cstheme="minorBidi"/>
          <w:kern w:val="2"/>
          <w:sz w:val="21"/>
          <w:szCs w:val="21"/>
        </w:rPr>
        <w:t>：</w:t>
      </w:r>
    </w:p>
    <w:p w14:paraId="64E84E19" w14:textId="383D54D4" w:rsidR="00737EB2" w:rsidRPr="000131E3" w:rsidRDefault="00737EB2" w:rsidP="005D4937">
      <w:pPr>
        <w:pStyle w:val="affffb"/>
        <w:ind w:firstLineChars="300" w:firstLine="630"/>
        <w:rPr>
          <w:szCs w:val="21"/>
        </w:rPr>
      </w:pPr>
      <w:r w:rsidRPr="000131E3">
        <w:rPr>
          <w:rFonts w:hint="eastAsia"/>
          <w:szCs w:val="21"/>
        </w:rPr>
        <w:t xml:space="preserve">L——过渡段长度； </w:t>
      </w:r>
    </w:p>
    <w:p w14:paraId="3F08FA29" w14:textId="38102EC3" w:rsidR="00737EB2" w:rsidRPr="000131E3" w:rsidRDefault="00737EB2" w:rsidP="005D4937">
      <w:pPr>
        <w:pStyle w:val="affffb"/>
        <w:ind w:firstLineChars="300" w:firstLine="630"/>
        <w:rPr>
          <w:szCs w:val="21"/>
        </w:rPr>
      </w:pPr>
      <w:r w:rsidRPr="000131E3">
        <w:rPr>
          <w:rFonts w:hint="eastAsia"/>
          <w:szCs w:val="21"/>
        </w:rPr>
        <w:t xml:space="preserve">h——基床表层厚度； </w:t>
      </w:r>
    </w:p>
    <w:p w14:paraId="5671D202" w14:textId="3F9A5F22" w:rsidR="00737EB2" w:rsidRPr="000131E3" w:rsidRDefault="00737EB2" w:rsidP="005D4937">
      <w:pPr>
        <w:pStyle w:val="affffb"/>
        <w:ind w:firstLineChars="300" w:firstLine="630"/>
        <w:rPr>
          <w:szCs w:val="21"/>
        </w:rPr>
      </w:pPr>
      <w:r w:rsidRPr="000131E3">
        <w:rPr>
          <w:rFonts w:hint="eastAsia"/>
          <w:szCs w:val="21"/>
        </w:rPr>
        <w:lastRenderedPageBreak/>
        <w:t>H——台后路堤高度。</w:t>
      </w:r>
    </w:p>
    <w:p w14:paraId="67926BC5" w14:textId="77777777" w:rsidR="00737EB2" w:rsidRPr="00765F6E" w:rsidRDefault="00737EB2" w:rsidP="00DF1ECE">
      <w:pPr>
        <w:pStyle w:val="affffb"/>
        <w:ind w:firstLine="420"/>
      </w:pPr>
    </w:p>
    <w:p w14:paraId="773D449F" w14:textId="2A336D8E" w:rsidR="00737EB2" w:rsidRPr="005D4937" w:rsidRDefault="00737EB2" w:rsidP="009D0776">
      <w:pPr>
        <w:pStyle w:val="22"/>
      </w:pPr>
      <w:bookmarkStart w:id="1133" w:name="_Toc153291260"/>
      <w:bookmarkStart w:id="1134" w:name="_Toc99791829"/>
      <w:r w:rsidRPr="00765F6E">
        <w:rPr>
          <w:rFonts w:hint="eastAsia"/>
        </w:rPr>
        <w:t>过渡段基</w:t>
      </w:r>
      <w:r w:rsidRPr="005D4937">
        <w:rPr>
          <w:rFonts w:hint="eastAsia"/>
        </w:rPr>
        <w:t>床表层填料及压实标准应符合</w:t>
      </w:r>
      <w:r w:rsidRPr="00BD03B6">
        <w:rPr>
          <w:rFonts w:hint="eastAsia"/>
        </w:rPr>
        <w:t>1</w:t>
      </w:r>
      <w:r w:rsidR="00BD03B6" w:rsidRPr="00BD03B6">
        <w:t>3</w:t>
      </w:r>
      <w:r w:rsidRPr="00BD03B6">
        <w:rPr>
          <w:rFonts w:hint="eastAsia"/>
        </w:rPr>
        <w:t>.3.2</w:t>
      </w:r>
      <w:r w:rsidRPr="005D4937">
        <w:rPr>
          <w:rFonts w:hint="eastAsia"/>
        </w:rPr>
        <w:t>的规定，无砟轨道路桥过渡段基床表层填料中还应掺加5%水泥。</w:t>
      </w:r>
      <w:bookmarkEnd w:id="1133"/>
      <w:bookmarkEnd w:id="1134"/>
    </w:p>
    <w:p w14:paraId="047E82B9" w14:textId="27E60832" w:rsidR="00737EB2" w:rsidRPr="00765F6E" w:rsidRDefault="00737EB2" w:rsidP="009D0776">
      <w:pPr>
        <w:pStyle w:val="22"/>
      </w:pPr>
      <w:bookmarkStart w:id="1135" w:name="_Toc153291261"/>
      <w:bookmarkStart w:id="1136" w:name="_Toc99791830"/>
      <w:r w:rsidRPr="005D4937">
        <w:rPr>
          <w:rFonts w:hint="eastAsia"/>
        </w:rPr>
        <w:t>基床表层以下梯形过渡段填料应满足表</w:t>
      </w:r>
      <w:r w:rsidR="00E512B4" w:rsidRPr="005D4937">
        <w:rPr>
          <w:rFonts w:hint="eastAsia"/>
        </w:rPr>
        <w:t>4</w:t>
      </w:r>
      <w:r w:rsidR="00E512B4">
        <w:t>4</w:t>
      </w:r>
      <w:r w:rsidRPr="005D4937">
        <w:rPr>
          <w:rFonts w:hint="eastAsia"/>
        </w:rPr>
        <w:t>的要求，压实标准应满足表</w:t>
      </w:r>
      <w:r w:rsidR="00E512B4" w:rsidRPr="005D4937">
        <w:rPr>
          <w:rFonts w:hint="eastAsia"/>
        </w:rPr>
        <w:t>4</w:t>
      </w:r>
      <w:r w:rsidR="00E512B4">
        <w:t>5</w:t>
      </w:r>
      <w:r w:rsidRPr="005D4937">
        <w:rPr>
          <w:rFonts w:hint="eastAsia"/>
        </w:rPr>
        <w:t>的要求</w:t>
      </w:r>
      <w:r w:rsidRPr="00765F6E">
        <w:rPr>
          <w:rFonts w:hint="eastAsia"/>
        </w:rPr>
        <w:t>。</w:t>
      </w:r>
      <w:bookmarkEnd w:id="1135"/>
      <w:bookmarkEnd w:id="1136"/>
    </w:p>
    <w:p w14:paraId="0469A989" w14:textId="77777777" w:rsidR="00737EB2" w:rsidRPr="00765F6E" w:rsidRDefault="00737EB2" w:rsidP="00737EB2">
      <w:pPr>
        <w:pStyle w:val="aff3"/>
        <w:spacing w:before="156" w:after="156"/>
      </w:pPr>
      <w:r w:rsidRPr="00765F6E">
        <w:rPr>
          <w:rFonts w:hint="eastAsia"/>
        </w:rPr>
        <w:t>梯形过渡段的填料要求</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10"/>
        <w:gridCol w:w="1716"/>
        <w:gridCol w:w="6508"/>
      </w:tblGrid>
      <w:tr w:rsidR="00737EB2" w:rsidRPr="00765F6E" w14:paraId="02B97735" w14:textId="77777777" w:rsidTr="00871D47">
        <w:trPr>
          <w:trHeight w:val="176"/>
        </w:trPr>
        <w:tc>
          <w:tcPr>
            <w:tcW w:w="595" w:type="pct"/>
            <w:tcBorders>
              <w:top w:val="single" w:sz="8" w:space="0" w:color="auto"/>
              <w:bottom w:val="single" w:sz="8" w:space="0" w:color="auto"/>
            </w:tcBorders>
            <w:shd w:val="clear" w:color="auto" w:fill="auto"/>
            <w:vAlign w:val="center"/>
          </w:tcPr>
          <w:p w14:paraId="6499945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轨道</w:t>
            </w:r>
            <w:r w:rsidRPr="00765F6E">
              <w:rPr>
                <w:rFonts w:hAnsi="宋体" w:cs="宋体"/>
                <w:sz w:val="18"/>
                <w:szCs w:val="18"/>
              </w:rPr>
              <w:t>类型</w:t>
            </w:r>
          </w:p>
        </w:tc>
        <w:tc>
          <w:tcPr>
            <w:tcW w:w="919" w:type="pct"/>
            <w:tcBorders>
              <w:top w:val="single" w:sz="8" w:space="0" w:color="auto"/>
              <w:bottom w:val="single" w:sz="8" w:space="0" w:color="auto"/>
            </w:tcBorders>
            <w:shd w:val="clear" w:color="auto" w:fill="auto"/>
            <w:vAlign w:val="center"/>
          </w:tcPr>
          <w:p w14:paraId="72DC571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设计</w:t>
            </w:r>
            <w:r w:rsidRPr="00765F6E">
              <w:rPr>
                <w:rFonts w:hAnsi="宋体" w:cs="宋体"/>
                <w:sz w:val="18"/>
                <w:szCs w:val="18"/>
              </w:rPr>
              <w:t>速度</w:t>
            </w:r>
          </w:p>
          <w:p w14:paraId="0A071CB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km/h</w:t>
            </w:r>
          </w:p>
        </w:tc>
        <w:tc>
          <w:tcPr>
            <w:tcW w:w="3486" w:type="pct"/>
            <w:tcBorders>
              <w:top w:val="single" w:sz="8" w:space="0" w:color="auto"/>
              <w:bottom w:val="single" w:sz="8" w:space="0" w:color="auto"/>
            </w:tcBorders>
            <w:shd w:val="clear" w:color="auto" w:fill="auto"/>
            <w:vAlign w:val="center"/>
          </w:tcPr>
          <w:p w14:paraId="4DE5C4B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填料</w:t>
            </w:r>
            <w:r w:rsidRPr="00765F6E">
              <w:rPr>
                <w:rFonts w:hAnsi="宋体" w:cs="宋体"/>
                <w:sz w:val="18"/>
                <w:szCs w:val="18"/>
              </w:rPr>
              <w:t>要求</w:t>
            </w:r>
          </w:p>
        </w:tc>
      </w:tr>
      <w:tr w:rsidR="00737EB2" w:rsidRPr="00765F6E" w14:paraId="1B50F84E" w14:textId="77777777" w:rsidTr="00871D47">
        <w:trPr>
          <w:trHeight w:val="176"/>
        </w:trPr>
        <w:tc>
          <w:tcPr>
            <w:tcW w:w="595" w:type="pct"/>
            <w:tcBorders>
              <w:top w:val="single" w:sz="8" w:space="0" w:color="auto"/>
            </w:tcBorders>
            <w:shd w:val="clear" w:color="auto" w:fill="auto"/>
            <w:vAlign w:val="center"/>
          </w:tcPr>
          <w:p w14:paraId="201ED8FD" w14:textId="77777777" w:rsidR="00737EB2" w:rsidRPr="00765F6E" w:rsidRDefault="00737EB2" w:rsidP="00871D47">
            <w:pPr>
              <w:spacing w:line="240" w:lineRule="auto"/>
              <w:jc w:val="center"/>
              <w:rPr>
                <w:rFonts w:ascii="宋体" w:hAnsi="宋体"/>
                <w:sz w:val="18"/>
                <w:szCs w:val="18"/>
              </w:rPr>
            </w:pPr>
            <w:r w:rsidRPr="00765F6E">
              <w:rPr>
                <w:rFonts w:ascii="宋体" w:hAnsi="宋体" w:hint="eastAsia"/>
                <w:sz w:val="18"/>
                <w:szCs w:val="18"/>
              </w:rPr>
              <w:t>有</w:t>
            </w:r>
            <w:r w:rsidRPr="00765F6E">
              <w:rPr>
                <w:rFonts w:ascii="宋体" w:hAnsi="宋体"/>
                <w:sz w:val="18"/>
                <w:szCs w:val="18"/>
              </w:rPr>
              <w:t>砟轨道</w:t>
            </w:r>
          </w:p>
        </w:tc>
        <w:tc>
          <w:tcPr>
            <w:tcW w:w="919" w:type="pct"/>
            <w:tcBorders>
              <w:top w:val="single" w:sz="8" w:space="0" w:color="auto"/>
            </w:tcBorders>
            <w:shd w:val="clear" w:color="auto" w:fill="auto"/>
            <w:vAlign w:val="center"/>
          </w:tcPr>
          <w:p w14:paraId="5A77263F" w14:textId="77777777" w:rsidR="00737EB2" w:rsidRPr="00765F6E" w:rsidRDefault="00737EB2" w:rsidP="00871D47">
            <w:pPr>
              <w:spacing w:line="240" w:lineRule="auto"/>
              <w:jc w:val="center"/>
              <w:rPr>
                <w:rFonts w:ascii="宋体" w:hAnsi="宋体"/>
                <w:sz w:val="18"/>
                <w:szCs w:val="18"/>
              </w:rPr>
            </w:pPr>
            <w:r w:rsidRPr="00765F6E">
              <w:rPr>
                <w:rFonts w:ascii="宋体" w:hAnsi="宋体" w:hint="eastAsia"/>
                <w:sz w:val="18"/>
                <w:szCs w:val="18"/>
              </w:rPr>
              <w:t>120、140、160</w:t>
            </w:r>
          </w:p>
        </w:tc>
        <w:tc>
          <w:tcPr>
            <w:tcW w:w="3486" w:type="pct"/>
            <w:tcBorders>
              <w:top w:val="single" w:sz="8" w:space="0" w:color="auto"/>
            </w:tcBorders>
            <w:shd w:val="clear" w:color="auto" w:fill="auto"/>
            <w:vAlign w:val="center"/>
          </w:tcPr>
          <w:p w14:paraId="2803228B" w14:textId="77777777" w:rsidR="00737EB2" w:rsidRPr="00765F6E" w:rsidRDefault="00737EB2" w:rsidP="00871D47">
            <w:pPr>
              <w:spacing w:line="240" w:lineRule="auto"/>
              <w:jc w:val="left"/>
              <w:rPr>
                <w:rFonts w:ascii="宋体" w:hAnsi="宋体"/>
                <w:sz w:val="18"/>
                <w:szCs w:val="18"/>
              </w:rPr>
            </w:pPr>
            <w:r w:rsidRPr="00765F6E">
              <w:rPr>
                <w:rFonts w:ascii="宋体" w:hAnsi="宋体" w:hint="eastAsia"/>
                <w:sz w:val="18"/>
                <w:szCs w:val="18"/>
              </w:rPr>
              <w:t>应</w:t>
            </w:r>
            <w:r w:rsidRPr="00765F6E">
              <w:rPr>
                <w:rFonts w:ascii="宋体" w:hAnsi="宋体"/>
                <w:sz w:val="18"/>
                <w:szCs w:val="18"/>
              </w:rPr>
              <w:t>选用</w:t>
            </w:r>
            <w:r w:rsidRPr="007C2200">
              <w:rPr>
                <w:rFonts w:ascii="宋体" w:hAnsi="宋体"/>
                <w:sz w:val="18"/>
                <w:szCs w:val="18"/>
              </w:rPr>
              <w:t>A</w:t>
            </w:r>
            <w:r w:rsidRPr="007C2200">
              <w:rPr>
                <w:rFonts w:ascii="宋体" w:hAnsi="宋体" w:hint="eastAsia"/>
                <w:sz w:val="18"/>
                <w:szCs w:val="18"/>
              </w:rPr>
              <w:t>组</w:t>
            </w:r>
            <w:r w:rsidRPr="007C2200">
              <w:rPr>
                <w:rFonts w:ascii="宋体" w:hAnsi="宋体"/>
                <w:sz w:val="18"/>
                <w:szCs w:val="18"/>
              </w:rPr>
              <w:t>填料</w:t>
            </w:r>
            <w:r w:rsidRPr="00765F6E">
              <w:rPr>
                <w:rFonts w:ascii="宋体" w:hAnsi="宋体" w:hint="eastAsia"/>
                <w:sz w:val="18"/>
                <w:szCs w:val="18"/>
              </w:rPr>
              <w:t>。</w:t>
            </w:r>
          </w:p>
        </w:tc>
      </w:tr>
      <w:tr w:rsidR="00737EB2" w:rsidRPr="00765F6E" w14:paraId="4322ADF2" w14:textId="77777777" w:rsidTr="00871D47">
        <w:trPr>
          <w:trHeight w:val="176"/>
        </w:trPr>
        <w:tc>
          <w:tcPr>
            <w:tcW w:w="595" w:type="pct"/>
            <w:tcBorders>
              <w:bottom w:val="single" w:sz="8" w:space="0" w:color="auto"/>
            </w:tcBorders>
            <w:shd w:val="clear" w:color="auto" w:fill="auto"/>
            <w:vAlign w:val="center"/>
          </w:tcPr>
          <w:p w14:paraId="0C527898" w14:textId="77777777" w:rsidR="00737EB2" w:rsidRPr="00765F6E" w:rsidRDefault="00737EB2" w:rsidP="00871D47">
            <w:pPr>
              <w:spacing w:line="240" w:lineRule="auto"/>
              <w:jc w:val="center"/>
              <w:rPr>
                <w:rFonts w:ascii="宋体" w:hAnsi="宋体"/>
                <w:sz w:val="18"/>
                <w:szCs w:val="18"/>
              </w:rPr>
            </w:pPr>
            <w:r w:rsidRPr="00765F6E">
              <w:rPr>
                <w:rFonts w:ascii="宋体" w:hAnsi="宋体" w:hint="eastAsia"/>
                <w:sz w:val="18"/>
                <w:szCs w:val="18"/>
              </w:rPr>
              <w:t>无</w:t>
            </w:r>
            <w:r w:rsidRPr="00765F6E">
              <w:rPr>
                <w:rFonts w:ascii="宋体" w:hAnsi="宋体"/>
                <w:sz w:val="18"/>
                <w:szCs w:val="18"/>
              </w:rPr>
              <w:t>砟轨道</w:t>
            </w:r>
          </w:p>
        </w:tc>
        <w:tc>
          <w:tcPr>
            <w:tcW w:w="919" w:type="pct"/>
            <w:tcBorders>
              <w:bottom w:val="single" w:sz="8" w:space="0" w:color="auto"/>
            </w:tcBorders>
            <w:shd w:val="clear" w:color="auto" w:fill="auto"/>
            <w:vAlign w:val="center"/>
          </w:tcPr>
          <w:p w14:paraId="52E911CB" w14:textId="69FF309C" w:rsidR="00737EB2" w:rsidRPr="00765F6E" w:rsidRDefault="008639ED" w:rsidP="00871D47">
            <w:pPr>
              <w:spacing w:line="240" w:lineRule="auto"/>
              <w:jc w:val="center"/>
              <w:rPr>
                <w:rFonts w:ascii="宋体" w:hAnsi="宋体"/>
                <w:sz w:val="18"/>
                <w:szCs w:val="18"/>
              </w:rPr>
            </w:pPr>
            <w:r>
              <w:rPr>
                <w:rFonts w:ascii="宋体" w:hAnsi="宋体" w:hint="eastAsia"/>
                <w:sz w:val="18"/>
                <w:szCs w:val="18"/>
              </w:rPr>
              <w:t>-</w:t>
            </w:r>
          </w:p>
        </w:tc>
        <w:tc>
          <w:tcPr>
            <w:tcW w:w="3486" w:type="pct"/>
            <w:tcBorders>
              <w:bottom w:val="single" w:sz="8" w:space="0" w:color="auto"/>
            </w:tcBorders>
            <w:shd w:val="clear" w:color="auto" w:fill="auto"/>
            <w:vAlign w:val="center"/>
          </w:tcPr>
          <w:p w14:paraId="525C89E3" w14:textId="77777777" w:rsidR="00737EB2" w:rsidRPr="00765F6E" w:rsidRDefault="00737EB2" w:rsidP="00871D47">
            <w:pPr>
              <w:spacing w:line="240" w:lineRule="auto"/>
              <w:jc w:val="left"/>
              <w:rPr>
                <w:rFonts w:ascii="宋体" w:hAnsi="宋体"/>
                <w:sz w:val="18"/>
                <w:szCs w:val="18"/>
              </w:rPr>
            </w:pPr>
            <w:r w:rsidRPr="00765F6E">
              <w:rPr>
                <w:rFonts w:ascii="宋体" w:hAnsi="宋体" w:hint="eastAsia"/>
                <w:sz w:val="18"/>
                <w:szCs w:val="18"/>
              </w:rPr>
              <w:t>应选用</w:t>
            </w:r>
            <w:r w:rsidRPr="00765F6E">
              <w:rPr>
                <w:rFonts w:ascii="宋体" w:hAnsi="宋体"/>
                <w:sz w:val="18"/>
                <w:szCs w:val="18"/>
              </w:rPr>
              <w:t>掺和</w:t>
            </w:r>
            <w:r w:rsidRPr="00765F6E">
              <w:rPr>
                <w:rFonts w:ascii="宋体" w:hAnsi="宋体" w:hint="eastAsia"/>
                <w:sz w:val="18"/>
                <w:szCs w:val="18"/>
              </w:rPr>
              <w:t>3</w:t>
            </w:r>
            <w:r w:rsidRPr="00765F6E">
              <w:rPr>
                <w:rFonts w:ascii="宋体" w:hAnsi="宋体"/>
                <w:sz w:val="18"/>
                <w:szCs w:val="18"/>
              </w:rPr>
              <w:t>%</w:t>
            </w:r>
            <w:r w:rsidRPr="00765F6E">
              <w:rPr>
                <w:rFonts w:ascii="宋体" w:hAnsi="宋体" w:hint="eastAsia"/>
                <w:sz w:val="18"/>
                <w:szCs w:val="18"/>
              </w:rPr>
              <w:t>水泥</w:t>
            </w:r>
            <w:r w:rsidRPr="00765F6E">
              <w:rPr>
                <w:rFonts w:ascii="宋体" w:hAnsi="宋体"/>
                <w:sz w:val="18"/>
                <w:szCs w:val="18"/>
              </w:rPr>
              <w:t>的级配碎石。级配</w:t>
            </w:r>
            <w:r w:rsidRPr="00765F6E">
              <w:rPr>
                <w:rFonts w:ascii="宋体" w:hAnsi="宋体" w:hint="eastAsia"/>
                <w:sz w:val="18"/>
                <w:szCs w:val="18"/>
              </w:rPr>
              <w:t>碎石</w:t>
            </w:r>
            <w:r w:rsidRPr="00765F6E">
              <w:rPr>
                <w:rFonts w:ascii="宋体" w:hAnsi="宋体"/>
                <w:sz w:val="18"/>
                <w:szCs w:val="18"/>
              </w:rPr>
              <w:t>应符合</w:t>
            </w:r>
            <w:r w:rsidRPr="00765F6E">
              <w:rPr>
                <w:rFonts w:ascii="宋体" w:hAnsi="宋体" w:hint="eastAsia"/>
                <w:sz w:val="18"/>
                <w:szCs w:val="18"/>
              </w:rPr>
              <w:t>TB 1</w:t>
            </w:r>
            <w:r w:rsidRPr="00765F6E">
              <w:rPr>
                <w:rFonts w:ascii="宋体" w:hAnsi="宋体"/>
                <w:sz w:val="18"/>
                <w:szCs w:val="18"/>
              </w:rPr>
              <w:t>0</w:t>
            </w:r>
            <w:r w:rsidRPr="00765F6E">
              <w:rPr>
                <w:rFonts w:ascii="宋体" w:hAnsi="宋体" w:hint="eastAsia"/>
                <w:sz w:val="18"/>
                <w:szCs w:val="18"/>
              </w:rPr>
              <w:t>001的规定</w:t>
            </w:r>
            <w:r w:rsidRPr="00765F6E">
              <w:rPr>
                <w:rFonts w:ascii="宋体" w:hAnsi="宋体"/>
                <w:sz w:val="18"/>
                <w:szCs w:val="18"/>
              </w:rPr>
              <w:t>。</w:t>
            </w:r>
          </w:p>
        </w:tc>
      </w:tr>
    </w:tbl>
    <w:p w14:paraId="26D81798" w14:textId="77777777" w:rsidR="00737EB2" w:rsidRPr="00765F6E" w:rsidRDefault="00737EB2" w:rsidP="00737EB2">
      <w:pPr>
        <w:pStyle w:val="aff3"/>
        <w:spacing w:before="156" w:after="156"/>
      </w:pPr>
      <w:r w:rsidRPr="00765F6E">
        <w:rPr>
          <w:rFonts w:hint="eastAsia"/>
        </w:rPr>
        <w:t>梯形过渡段的压实标准</w:t>
      </w:r>
    </w:p>
    <w:tbl>
      <w:tblPr>
        <w:tblW w:w="5114"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271"/>
        <w:gridCol w:w="1414"/>
        <w:gridCol w:w="2134"/>
        <w:gridCol w:w="1260"/>
        <w:gridCol w:w="1421"/>
        <w:gridCol w:w="2047"/>
      </w:tblGrid>
      <w:tr w:rsidR="00737EB2" w:rsidRPr="00765F6E" w14:paraId="1C42BFC6" w14:textId="77777777" w:rsidTr="00871D47">
        <w:trPr>
          <w:trHeight w:val="176"/>
        </w:trPr>
        <w:tc>
          <w:tcPr>
            <w:tcW w:w="665" w:type="pct"/>
            <w:vMerge w:val="restart"/>
            <w:tcBorders>
              <w:top w:val="single" w:sz="8" w:space="0" w:color="auto"/>
              <w:bottom w:val="single" w:sz="4" w:space="0" w:color="auto"/>
            </w:tcBorders>
            <w:shd w:val="clear" w:color="auto" w:fill="auto"/>
            <w:vAlign w:val="center"/>
          </w:tcPr>
          <w:p w14:paraId="4B0DD8EB"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轨道</w:t>
            </w:r>
            <w:r w:rsidRPr="00765F6E">
              <w:rPr>
                <w:rFonts w:hAnsi="宋体" w:cs="宋体"/>
                <w:sz w:val="18"/>
                <w:szCs w:val="18"/>
              </w:rPr>
              <w:t>类型</w:t>
            </w:r>
          </w:p>
        </w:tc>
        <w:tc>
          <w:tcPr>
            <w:tcW w:w="740" w:type="pct"/>
            <w:vMerge w:val="restart"/>
            <w:tcBorders>
              <w:top w:val="single" w:sz="8" w:space="0" w:color="auto"/>
              <w:bottom w:val="single" w:sz="4" w:space="0" w:color="auto"/>
            </w:tcBorders>
            <w:shd w:val="clear" w:color="auto" w:fill="auto"/>
            <w:vAlign w:val="center"/>
          </w:tcPr>
          <w:p w14:paraId="6D4779C6"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设计</w:t>
            </w:r>
            <w:r w:rsidRPr="00765F6E">
              <w:rPr>
                <w:rFonts w:hAnsi="宋体" w:cs="宋体"/>
                <w:sz w:val="18"/>
                <w:szCs w:val="18"/>
              </w:rPr>
              <w:t>速度</w:t>
            </w:r>
          </w:p>
          <w:p w14:paraId="6A1788EE"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km/h</w:t>
            </w:r>
          </w:p>
        </w:tc>
        <w:tc>
          <w:tcPr>
            <w:tcW w:w="1117" w:type="pct"/>
            <w:vMerge w:val="restart"/>
            <w:tcBorders>
              <w:top w:val="single" w:sz="8" w:space="0" w:color="auto"/>
              <w:bottom w:val="single" w:sz="4" w:space="0" w:color="auto"/>
            </w:tcBorders>
            <w:shd w:val="clear" w:color="auto" w:fill="auto"/>
            <w:vAlign w:val="center"/>
          </w:tcPr>
          <w:p w14:paraId="23ECF0CC"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填料</w:t>
            </w:r>
          </w:p>
        </w:tc>
        <w:tc>
          <w:tcPr>
            <w:tcW w:w="2476" w:type="pct"/>
            <w:gridSpan w:val="3"/>
            <w:tcBorders>
              <w:top w:val="single" w:sz="8" w:space="0" w:color="auto"/>
              <w:bottom w:val="single" w:sz="4" w:space="0" w:color="auto"/>
            </w:tcBorders>
            <w:shd w:val="clear" w:color="auto" w:fill="auto"/>
            <w:vAlign w:val="center"/>
          </w:tcPr>
          <w:p w14:paraId="53DE8FE2"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压实</w:t>
            </w:r>
            <w:r w:rsidRPr="00765F6E">
              <w:rPr>
                <w:rFonts w:hAnsi="宋体" w:cs="宋体"/>
                <w:sz w:val="18"/>
                <w:szCs w:val="18"/>
              </w:rPr>
              <w:t>标准</w:t>
            </w:r>
          </w:p>
        </w:tc>
      </w:tr>
      <w:tr w:rsidR="00737EB2" w:rsidRPr="00765F6E" w14:paraId="05E109A9" w14:textId="77777777" w:rsidTr="00871D47">
        <w:trPr>
          <w:trHeight w:val="176"/>
        </w:trPr>
        <w:tc>
          <w:tcPr>
            <w:tcW w:w="665" w:type="pct"/>
            <w:vMerge/>
            <w:tcBorders>
              <w:top w:val="single" w:sz="4" w:space="0" w:color="auto"/>
              <w:bottom w:val="single" w:sz="8" w:space="0" w:color="auto"/>
            </w:tcBorders>
            <w:shd w:val="clear" w:color="auto" w:fill="auto"/>
            <w:vAlign w:val="center"/>
          </w:tcPr>
          <w:p w14:paraId="47C3CD45" w14:textId="77777777" w:rsidR="00737EB2" w:rsidRPr="00765F6E" w:rsidRDefault="00737EB2" w:rsidP="00871D47">
            <w:pPr>
              <w:pStyle w:val="affffffffffff2"/>
              <w:spacing w:line="200" w:lineRule="exact"/>
              <w:jc w:val="center"/>
              <w:rPr>
                <w:rFonts w:hAnsi="宋体" w:cs="宋体"/>
                <w:sz w:val="18"/>
                <w:szCs w:val="18"/>
              </w:rPr>
            </w:pPr>
          </w:p>
        </w:tc>
        <w:tc>
          <w:tcPr>
            <w:tcW w:w="740" w:type="pct"/>
            <w:vMerge/>
            <w:tcBorders>
              <w:top w:val="single" w:sz="4" w:space="0" w:color="auto"/>
              <w:bottom w:val="single" w:sz="8" w:space="0" w:color="auto"/>
            </w:tcBorders>
            <w:shd w:val="clear" w:color="auto" w:fill="auto"/>
            <w:vAlign w:val="center"/>
          </w:tcPr>
          <w:p w14:paraId="3DA6AEB4" w14:textId="77777777" w:rsidR="00737EB2" w:rsidRPr="00765F6E" w:rsidRDefault="00737EB2" w:rsidP="00871D47">
            <w:pPr>
              <w:pStyle w:val="affffffffffff2"/>
              <w:spacing w:line="200" w:lineRule="exact"/>
              <w:jc w:val="center"/>
              <w:rPr>
                <w:rFonts w:hAnsi="宋体" w:cs="宋体"/>
                <w:sz w:val="18"/>
                <w:szCs w:val="18"/>
              </w:rPr>
            </w:pPr>
          </w:p>
        </w:tc>
        <w:tc>
          <w:tcPr>
            <w:tcW w:w="1117" w:type="pct"/>
            <w:vMerge/>
            <w:tcBorders>
              <w:top w:val="single" w:sz="4" w:space="0" w:color="auto"/>
              <w:bottom w:val="single" w:sz="8" w:space="0" w:color="auto"/>
            </w:tcBorders>
            <w:shd w:val="clear" w:color="auto" w:fill="auto"/>
            <w:vAlign w:val="center"/>
          </w:tcPr>
          <w:p w14:paraId="3E88F2AD" w14:textId="77777777" w:rsidR="00737EB2" w:rsidRPr="00765F6E" w:rsidRDefault="00737EB2" w:rsidP="00871D47">
            <w:pPr>
              <w:pStyle w:val="affffffffffff2"/>
              <w:spacing w:line="200" w:lineRule="exact"/>
              <w:jc w:val="center"/>
              <w:rPr>
                <w:rFonts w:hAnsi="宋体" w:cs="宋体"/>
                <w:sz w:val="18"/>
                <w:szCs w:val="18"/>
              </w:rPr>
            </w:pPr>
          </w:p>
        </w:tc>
        <w:tc>
          <w:tcPr>
            <w:tcW w:w="660" w:type="pct"/>
            <w:tcBorders>
              <w:top w:val="single" w:sz="4" w:space="0" w:color="auto"/>
              <w:bottom w:val="single" w:sz="8" w:space="0" w:color="auto"/>
            </w:tcBorders>
            <w:shd w:val="clear" w:color="auto" w:fill="auto"/>
            <w:vAlign w:val="center"/>
          </w:tcPr>
          <w:p w14:paraId="26D2B509"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压实</w:t>
            </w:r>
            <w:r w:rsidRPr="00765F6E">
              <w:rPr>
                <w:rFonts w:hAnsi="宋体" w:cs="宋体"/>
                <w:sz w:val="18"/>
                <w:szCs w:val="18"/>
              </w:rPr>
              <w:t>系数</w:t>
            </w:r>
            <w:r w:rsidRPr="00765F6E">
              <w:rPr>
                <w:rFonts w:hAnsi="宋体" w:cs="宋体" w:hint="eastAsia"/>
                <w:sz w:val="18"/>
                <w:szCs w:val="18"/>
              </w:rPr>
              <w:t>K</w:t>
            </w:r>
          </w:p>
        </w:tc>
        <w:tc>
          <w:tcPr>
            <w:tcW w:w="744" w:type="pct"/>
            <w:tcBorders>
              <w:top w:val="single" w:sz="4" w:space="0" w:color="auto"/>
              <w:bottom w:val="single" w:sz="8" w:space="0" w:color="auto"/>
            </w:tcBorders>
            <w:shd w:val="clear" w:color="auto" w:fill="auto"/>
            <w:vAlign w:val="center"/>
          </w:tcPr>
          <w:p w14:paraId="7C77DA1B"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地基</w:t>
            </w:r>
            <w:r w:rsidRPr="00765F6E">
              <w:rPr>
                <w:rFonts w:hAnsi="宋体" w:cs="宋体"/>
                <w:sz w:val="18"/>
                <w:szCs w:val="18"/>
              </w:rPr>
              <w:t>系数</w:t>
            </w:r>
          </w:p>
          <w:p w14:paraId="1CF734B9"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K30/（MP</w:t>
            </w:r>
            <w:r w:rsidRPr="00765F6E">
              <w:rPr>
                <w:rFonts w:hAnsi="宋体" w:cs="宋体"/>
                <w:sz w:val="18"/>
                <w:szCs w:val="18"/>
              </w:rPr>
              <w:t>a</w:t>
            </w:r>
            <w:r w:rsidRPr="00765F6E">
              <w:rPr>
                <w:rFonts w:hAnsi="宋体" w:cs="宋体" w:hint="eastAsia"/>
                <w:sz w:val="18"/>
                <w:szCs w:val="18"/>
              </w:rPr>
              <w:t>/m）</w:t>
            </w:r>
          </w:p>
        </w:tc>
        <w:tc>
          <w:tcPr>
            <w:tcW w:w="1071" w:type="pct"/>
            <w:tcBorders>
              <w:top w:val="single" w:sz="4" w:space="0" w:color="auto"/>
              <w:bottom w:val="single" w:sz="8" w:space="0" w:color="auto"/>
            </w:tcBorders>
            <w:shd w:val="clear" w:color="auto" w:fill="auto"/>
            <w:vAlign w:val="center"/>
          </w:tcPr>
          <w:p w14:paraId="52AE5ADF"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7</w:t>
            </w:r>
            <w:r w:rsidRPr="00765F6E">
              <w:rPr>
                <w:rFonts w:hAnsi="宋体" w:cs="宋体"/>
                <w:sz w:val="18"/>
                <w:szCs w:val="18"/>
              </w:rPr>
              <w:t>d</w:t>
            </w:r>
            <w:r w:rsidRPr="00765F6E">
              <w:rPr>
                <w:rFonts w:hAnsi="宋体" w:cs="宋体" w:hint="eastAsia"/>
                <w:sz w:val="18"/>
                <w:szCs w:val="18"/>
              </w:rPr>
              <w:t>饱和</w:t>
            </w:r>
            <w:r w:rsidRPr="00765F6E">
              <w:rPr>
                <w:rFonts w:hAnsi="宋体" w:cs="宋体"/>
                <w:sz w:val="18"/>
                <w:szCs w:val="18"/>
              </w:rPr>
              <w:t>无侧限抗压强度</w:t>
            </w:r>
            <w:r w:rsidRPr="00765F6E">
              <w:rPr>
                <w:rFonts w:hAnsi="宋体" w:cs="宋体" w:hint="eastAsia"/>
                <w:sz w:val="18"/>
                <w:szCs w:val="18"/>
              </w:rPr>
              <w:t>/kP</w:t>
            </w:r>
            <w:r w:rsidRPr="00765F6E">
              <w:rPr>
                <w:rFonts w:hAnsi="宋体" w:cs="宋体"/>
                <w:sz w:val="18"/>
                <w:szCs w:val="18"/>
              </w:rPr>
              <w:t>a</w:t>
            </w:r>
          </w:p>
        </w:tc>
      </w:tr>
      <w:tr w:rsidR="00737EB2" w:rsidRPr="00765F6E" w14:paraId="30F03EFD" w14:textId="77777777" w:rsidTr="00871D47">
        <w:trPr>
          <w:trHeight w:val="176"/>
        </w:trPr>
        <w:tc>
          <w:tcPr>
            <w:tcW w:w="665" w:type="pct"/>
            <w:tcBorders>
              <w:top w:val="single" w:sz="8" w:space="0" w:color="auto"/>
            </w:tcBorders>
            <w:shd w:val="clear" w:color="auto" w:fill="auto"/>
            <w:vAlign w:val="center"/>
          </w:tcPr>
          <w:p w14:paraId="253C5A6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有</w:t>
            </w:r>
            <w:r w:rsidRPr="00765F6E">
              <w:rPr>
                <w:rFonts w:hAnsi="宋体" w:cs="宋体"/>
                <w:sz w:val="18"/>
                <w:szCs w:val="18"/>
              </w:rPr>
              <w:t>砟轨道</w:t>
            </w:r>
          </w:p>
        </w:tc>
        <w:tc>
          <w:tcPr>
            <w:tcW w:w="740" w:type="pct"/>
            <w:tcBorders>
              <w:top w:val="single" w:sz="8" w:space="0" w:color="auto"/>
            </w:tcBorders>
            <w:shd w:val="clear" w:color="auto" w:fill="auto"/>
            <w:vAlign w:val="center"/>
          </w:tcPr>
          <w:p w14:paraId="1765229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120、140、160</w:t>
            </w:r>
          </w:p>
        </w:tc>
        <w:tc>
          <w:tcPr>
            <w:tcW w:w="1117" w:type="pct"/>
            <w:tcBorders>
              <w:top w:val="single" w:sz="8" w:space="0" w:color="auto"/>
            </w:tcBorders>
            <w:shd w:val="clear" w:color="auto" w:fill="auto"/>
            <w:vAlign w:val="center"/>
          </w:tcPr>
          <w:p w14:paraId="1DED00C1" w14:textId="77777777" w:rsidR="00737EB2" w:rsidRPr="00765F6E" w:rsidRDefault="00737EB2" w:rsidP="00871D47">
            <w:pPr>
              <w:pStyle w:val="affffffffffff2"/>
              <w:jc w:val="center"/>
              <w:rPr>
                <w:rFonts w:hAnsi="宋体" w:cs="宋体"/>
                <w:sz w:val="18"/>
                <w:szCs w:val="18"/>
              </w:rPr>
            </w:pPr>
            <w:r w:rsidRPr="007C2200">
              <w:rPr>
                <w:rFonts w:hAnsi="宋体" w:cs="宋体"/>
                <w:sz w:val="18"/>
                <w:szCs w:val="18"/>
              </w:rPr>
              <w:t>A组填料</w:t>
            </w:r>
          </w:p>
        </w:tc>
        <w:tc>
          <w:tcPr>
            <w:tcW w:w="660" w:type="pct"/>
            <w:tcBorders>
              <w:top w:val="single" w:sz="8" w:space="0" w:color="auto"/>
            </w:tcBorders>
            <w:shd w:val="clear" w:color="auto" w:fill="auto"/>
            <w:vAlign w:val="center"/>
          </w:tcPr>
          <w:p w14:paraId="2842B64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3</w:t>
            </w:r>
          </w:p>
        </w:tc>
        <w:tc>
          <w:tcPr>
            <w:tcW w:w="744" w:type="pct"/>
            <w:tcBorders>
              <w:top w:val="single" w:sz="8" w:space="0" w:color="auto"/>
            </w:tcBorders>
            <w:shd w:val="clear" w:color="auto" w:fill="auto"/>
            <w:vAlign w:val="center"/>
          </w:tcPr>
          <w:p w14:paraId="22582E5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13</w:t>
            </w:r>
            <w:r w:rsidRPr="00765F6E">
              <w:rPr>
                <w:rFonts w:hAnsi="宋体" w:cs="宋体" w:hint="eastAsia"/>
                <w:sz w:val="18"/>
                <w:szCs w:val="18"/>
              </w:rPr>
              <w:t>0</w:t>
            </w:r>
          </w:p>
        </w:tc>
        <w:tc>
          <w:tcPr>
            <w:tcW w:w="1071" w:type="pct"/>
            <w:tcBorders>
              <w:top w:val="single" w:sz="8" w:space="0" w:color="auto"/>
            </w:tcBorders>
            <w:shd w:val="clear" w:color="auto" w:fill="auto"/>
            <w:vAlign w:val="center"/>
          </w:tcPr>
          <w:p w14:paraId="2BF6AA4E" w14:textId="309F1A77" w:rsidR="00737EB2" w:rsidRPr="00765F6E" w:rsidRDefault="008639ED" w:rsidP="00871D47">
            <w:pPr>
              <w:pStyle w:val="affffffffffff2"/>
              <w:jc w:val="center"/>
              <w:rPr>
                <w:rFonts w:hAnsi="宋体" w:cs="宋体"/>
                <w:sz w:val="18"/>
                <w:szCs w:val="18"/>
              </w:rPr>
            </w:pPr>
            <w:r>
              <w:rPr>
                <w:rFonts w:hAnsi="宋体" w:cs="宋体" w:hint="eastAsia"/>
                <w:sz w:val="18"/>
                <w:szCs w:val="18"/>
              </w:rPr>
              <w:t>-</w:t>
            </w:r>
          </w:p>
        </w:tc>
      </w:tr>
      <w:tr w:rsidR="00737EB2" w:rsidRPr="00765F6E" w14:paraId="35E16DA2" w14:textId="77777777" w:rsidTr="00871D47">
        <w:trPr>
          <w:trHeight w:val="176"/>
        </w:trPr>
        <w:tc>
          <w:tcPr>
            <w:tcW w:w="665" w:type="pct"/>
            <w:tcBorders>
              <w:bottom w:val="single" w:sz="8" w:space="0" w:color="auto"/>
            </w:tcBorders>
            <w:shd w:val="clear" w:color="auto" w:fill="auto"/>
            <w:vAlign w:val="center"/>
          </w:tcPr>
          <w:p w14:paraId="0BAD42C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无砟</w:t>
            </w:r>
            <w:r w:rsidRPr="00765F6E">
              <w:rPr>
                <w:rFonts w:hAnsi="宋体" w:cs="宋体"/>
                <w:sz w:val="18"/>
                <w:szCs w:val="18"/>
              </w:rPr>
              <w:t>轨道</w:t>
            </w:r>
          </w:p>
        </w:tc>
        <w:tc>
          <w:tcPr>
            <w:tcW w:w="740" w:type="pct"/>
            <w:tcBorders>
              <w:bottom w:val="single" w:sz="8" w:space="0" w:color="auto"/>
            </w:tcBorders>
            <w:shd w:val="clear" w:color="auto" w:fill="auto"/>
            <w:vAlign w:val="center"/>
          </w:tcPr>
          <w:p w14:paraId="10E7C874" w14:textId="7DF8C45C" w:rsidR="00737EB2" w:rsidRPr="00765F6E" w:rsidRDefault="008639ED" w:rsidP="00871D47">
            <w:pPr>
              <w:pStyle w:val="affffffffffff2"/>
              <w:jc w:val="center"/>
              <w:rPr>
                <w:rFonts w:hAnsi="宋体" w:cs="宋体"/>
                <w:sz w:val="18"/>
                <w:szCs w:val="18"/>
              </w:rPr>
            </w:pPr>
            <w:r>
              <w:rPr>
                <w:rFonts w:hAnsi="宋体" w:cs="宋体" w:hint="eastAsia"/>
                <w:sz w:val="18"/>
                <w:szCs w:val="18"/>
              </w:rPr>
              <w:t>-</w:t>
            </w:r>
          </w:p>
        </w:tc>
        <w:tc>
          <w:tcPr>
            <w:tcW w:w="1117" w:type="pct"/>
            <w:tcBorders>
              <w:bottom w:val="single" w:sz="8" w:space="0" w:color="auto"/>
            </w:tcBorders>
            <w:shd w:val="clear" w:color="auto" w:fill="auto"/>
            <w:vAlign w:val="center"/>
          </w:tcPr>
          <w:p w14:paraId="2701BCCB" w14:textId="77777777" w:rsidR="00737EB2" w:rsidRPr="00765F6E" w:rsidRDefault="00737EB2" w:rsidP="00871D47">
            <w:pPr>
              <w:pStyle w:val="affffffffffff2"/>
              <w:jc w:val="center"/>
              <w:rPr>
                <w:rFonts w:hAnsi="宋体" w:cs="宋体"/>
                <w:sz w:val="18"/>
                <w:szCs w:val="18"/>
              </w:rPr>
            </w:pPr>
            <w:r w:rsidRPr="00765F6E">
              <w:rPr>
                <w:rFonts w:hAnsi="宋体" w:cs="宋体"/>
                <w:sz w:val="18"/>
                <w:szCs w:val="18"/>
              </w:rPr>
              <w:t>掺和</w:t>
            </w:r>
            <w:r w:rsidRPr="00765F6E">
              <w:rPr>
                <w:rFonts w:hAnsi="宋体" w:cs="宋体" w:hint="eastAsia"/>
                <w:sz w:val="18"/>
                <w:szCs w:val="18"/>
              </w:rPr>
              <w:t>3</w:t>
            </w:r>
            <w:r w:rsidRPr="00765F6E">
              <w:rPr>
                <w:rFonts w:hAnsi="宋体" w:cs="宋体"/>
                <w:sz w:val="18"/>
                <w:szCs w:val="18"/>
              </w:rPr>
              <w:t>%</w:t>
            </w:r>
            <w:r w:rsidRPr="00765F6E">
              <w:rPr>
                <w:rFonts w:hAnsi="宋体" w:cs="宋体" w:hint="eastAsia"/>
                <w:sz w:val="18"/>
                <w:szCs w:val="18"/>
              </w:rPr>
              <w:t>水泥</w:t>
            </w:r>
            <w:r w:rsidRPr="00765F6E">
              <w:rPr>
                <w:rFonts w:hAnsi="宋体" w:cs="宋体"/>
                <w:sz w:val="18"/>
                <w:szCs w:val="18"/>
              </w:rPr>
              <w:t>的级配碎石</w:t>
            </w:r>
          </w:p>
        </w:tc>
        <w:tc>
          <w:tcPr>
            <w:tcW w:w="660" w:type="pct"/>
            <w:tcBorders>
              <w:bottom w:val="single" w:sz="8" w:space="0" w:color="auto"/>
            </w:tcBorders>
            <w:shd w:val="clear" w:color="auto" w:fill="auto"/>
            <w:vAlign w:val="center"/>
          </w:tcPr>
          <w:p w14:paraId="08B4897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≥0.9</w:t>
            </w:r>
            <w:r w:rsidRPr="00765F6E">
              <w:rPr>
                <w:rFonts w:hAnsi="宋体" w:cs="宋体"/>
                <w:sz w:val="18"/>
                <w:szCs w:val="18"/>
              </w:rPr>
              <w:t>5</w:t>
            </w:r>
          </w:p>
        </w:tc>
        <w:tc>
          <w:tcPr>
            <w:tcW w:w="744" w:type="pct"/>
            <w:tcBorders>
              <w:bottom w:val="single" w:sz="8" w:space="0" w:color="auto"/>
            </w:tcBorders>
            <w:shd w:val="clear" w:color="auto" w:fill="auto"/>
            <w:vAlign w:val="center"/>
          </w:tcPr>
          <w:p w14:paraId="110B872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≥1</w:t>
            </w:r>
            <w:r w:rsidRPr="00765F6E">
              <w:rPr>
                <w:rFonts w:hAnsi="宋体" w:cs="宋体"/>
                <w:sz w:val="18"/>
                <w:szCs w:val="18"/>
              </w:rPr>
              <w:t>5</w:t>
            </w:r>
            <w:r w:rsidRPr="00765F6E">
              <w:rPr>
                <w:rFonts w:hAnsi="宋体" w:cs="宋体" w:hint="eastAsia"/>
                <w:sz w:val="18"/>
                <w:szCs w:val="18"/>
              </w:rPr>
              <w:t>0</w:t>
            </w:r>
          </w:p>
        </w:tc>
        <w:tc>
          <w:tcPr>
            <w:tcW w:w="1071" w:type="pct"/>
            <w:tcBorders>
              <w:bottom w:val="single" w:sz="8" w:space="0" w:color="auto"/>
            </w:tcBorders>
            <w:shd w:val="clear" w:color="auto" w:fill="auto"/>
            <w:vAlign w:val="center"/>
          </w:tcPr>
          <w:p w14:paraId="024BED7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r w:rsidRPr="00765F6E">
              <w:rPr>
                <w:rFonts w:hAnsi="宋体" w:cs="宋体"/>
                <w:sz w:val="18"/>
                <w:szCs w:val="18"/>
              </w:rPr>
              <w:t>5</w:t>
            </w:r>
            <w:r w:rsidRPr="00765F6E">
              <w:rPr>
                <w:rFonts w:hAnsi="宋体" w:cs="宋体" w:hint="eastAsia"/>
                <w:sz w:val="18"/>
                <w:szCs w:val="18"/>
              </w:rPr>
              <w:t>0</w:t>
            </w:r>
          </w:p>
        </w:tc>
      </w:tr>
    </w:tbl>
    <w:p w14:paraId="2437A850" w14:textId="77777777" w:rsidR="00737EB2" w:rsidRPr="00765F6E" w:rsidRDefault="00737EB2" w:rsidP="00737EB2">
      <w:pPr>
        <w:spacing w:line="240" w:lineRule="auto"/>
      </w:pPr>
    </w:p>
    <w:p w14:paraId="0640C1FC" w14:textId="77777777" w:rsidR="00737EB2" w:rsidRPr="00D12EC7" w:rsidRDefault="00737EB2" w:rsidP="009D0776">
      <w:pPr>
        <w:pStyle w:val="22"/>
      </w:pPr>
      <w:bookmarkStart w:id="1137" w:name="_Toc99791831"/>
      <w:bookmarkStart w:id="1138" w:name="_Toc153291262"/>
      <w:r w:rsidRPr="00D12EC7">
        <w:rPr>
          <w:rFonts w:hint="eastAsia"/>
        </w:rPr>
        <w:t>桥台及横向结构物等在过渡段范围内的基坑应填筑碎石或灰土，压实标准应满足</w:t>
      </w:r>
      <w:proofErr w:type="spellStart"/>
      <w:r w:rsidRPr="00D12EC7">
        <w:rPr>
          <w:rFonts w:hint="eastAsia"/>
        </w:rPr>
        <w:t>E</w:t>
      </w:r>
      <w:r w:rsidRPr="00D12EC7">
        <w:rPr>
          <w:rFonts w:hint="eastAsia"/>
          <w:vertAlign w:val="subscript"/>
        </w:rPr>
        <w:t>vd</w:t>
      </w:r>
      <w:proofErr w:type="spellEnd"/>
      <w:r w:rsidRPr="00D12EC7">
        <w:rPr>
          <w:rFonts w:hint="eastAsia"/>
        </w:rPr>
        <w:t>不小于30MPa；基坑狭小、夯实困难时可回填混凝土。</w:t>
      </w:r>
      <w:bookmarkEnd w:id="1137"/>
      <w:bookmarkEnd w:id="1138"/>
      <w:r w:rsidRPr="00D12EC7">
        <w:rPr>
          <w:rFonts w:hint="eastAsia"/>
        </w:rPr>
        <w:t xml:space="preserve"> </w:t>
      </w:r>
    </w:p>
    <w:p w14:paraId="7D5E8782" w14:textId="77777777" w:rsidR="00737EB2" w:rsidRPr="00D12EC7" w:rsidRDefault="00737EB2" w:rsidP="009D0776">
      <w:pPr>
        <w:pStyle w:val="22"/>
      </w:pPr>
      <w:bookmarkStart w:id="1139" w:name="_Toc153291263"/>
      <w:bookmarkStart w:id="1140" w:name="_Toc99791832"/>
      <w:r w:rsidRPr="00D12EC7">
        <w:rPr>
          <w:rFonts w:hint="eastAsia"/>
        </w:rPr>
        <w:t>横向结构物顶面填土厚度不大于1.0m时，横向结构物及过渡段范围结构物顶面高程以上宜按基床表层要求填筑。</w:t>
      </w:r>
      <w:bookmarkEnd w:id="1139"/>
      <w:bookmarkEnd w:id="1140"/>
      <w:r w:rsidRPr="00D12EC7">
        <w:rPr>
          <w:rFonts w:hint="eastAsia"/>
        </w:rPr>
        <w:t xml:space="preserve"> </w:t>
      </w:r>
    </w:p>
    <w:p w14:paraId="2E817173" w14:textId="77777777" w:rsidR="00737EB2" w:rsidRPr="00D12EC7" w:rsidRDefault="00737EB2" w:rsidP="009D0776">
      <w:pPr>
        <w:pStyle w:val="22"/>
      </w:pPr>
      <w:bookmarkStart w:id="1141" w:name="_Toc99791833"/>
      <w:bookmarkStart w:id="1142" w:name="_Toc153291264"/>
      <w:r w:rsidRPr="00D12EC7">
        <w:rPr>
          <w:rFonts w:hint="eastAsia"/>
        </w:rPr>
        <w:t>有砟轨道线路横向结构物顶面填土高度大于3m，且大于路堤高度的2/3时可不设过渡段。</w:t>
      </w:r>
      <w:bookmarkEnd w:id="1141"/>
      <w:bookmarkEnd w:id="1142"/>
    </w:p>
    <w:p w14:paraId="36EA1FEB" w14:textId="77777777" w:rsidR="00737EB2" w:rsidRPr="00D12EC7" w:rsidRDefault="00737EB2" w:rsidP="009D0776">
      <w:pPr>
        <w:pStyle w:val="22"/>
      </w:pPr>
      <w:bookmarkStart w:id="1143" w:name="_Toc99791834"/>
      <w:bookmarkStart w:id="1144" w:name="_Toc153291265"/>
      <w:r w:rsidRPr="00D12EC7">
        <w:rPr>
          <w:rFonts w:hint="eastAsia"/>
        </w:rPr>
        <w:t>路堤与路堑过渡段采用下列设置方式</w:t>
      </w:r>
      <w:bookmarkEnd w:id="1143"/>
      <w:bookmarkEnd w:id="1144"/>
      <w:r w:rsidRPr="00D12EC7">
        <w:rPr>
          <w:rFonts w:hint="eastAsia"/>
        </w:rPr>
        <w:t>：</w:t>
      </w:r>
    </w:p>
    <w:p w14:paraId="4ED75DBA" w14:textId="3ED522DB" w:rsidR="00737EB2" w:rsidRPr="00D12EC7" w:rsidRDefault="00737EB2" w:rsidP="003334F3">
      <w:pPr>
        <w:pStyle w:val="af6"/>
        <w:numPr>
          <w:ilvl w:val="0"/>
          <w:numId w:val="90"/>
        </w:numPr>
        <w:tabs>
          <w:tab w:val="left" w:pos="851"/>
        </w:tabs>
        <w:snapToGrid w:val="0"/>
        <w:contextualSpacing/>
        <w:rPr>
          <w:rFonts w:hAnsi="宋体"/>
        </w:rPr>
      </w:pPr>
      <w:r w:rsidRPr="00D12EC7">
        <w:rPr>
          <w:rFonts w:hAnsi="宋体" w:hint="eastAsia"/>
        </w:rPr>
        <w:t>当路堤与硬质岩石路堑连接时，在路堑一侧顺原地面纵向开挖台阶，每级台阶宽度不应小于 1.0m，并在路堤一侧设置过渡段，示意图如图</w:t>
      </w:r>
      <w:r w:rsidR="00357519">
        <w:rPr>
          <w:rFonts w:hAnsi="宋体"/>
        </w:rPr>
        <w:t>10</w:t>
      </w:r>
      <w:r w:rsidRPr="00D12EC7">
        <w:rPr>
          <w:rFonts w:hAnsi="宋体" w:hint="eastAsia"/>
        </w:rPr>
        <w:t>所示。过渡段填筑要求应符合</w:t>
      </w:r>
      <w:r w:rsidRPr="00BD03B6">
        <w:rPr>
          <w:rFonts w:hAnsi="宋体"/>
        </w:rPr>
        <w:t>13.6.1</w:t>
      </w:r>
      <w:r w:rsidRPr="00D12EC7">
        <w:rPr>
          <w:rFonts w:hAnsi="宋体" w:hint="eastAsia"/>
        </w:rPr>
        <w:t>的规定；</w:t>
      </w:r>
    </w:p>
    <w:p w14:paraId="37337CDE" w14:textId="77777777" w:rsidR="00737EB2" w:rsidRPr="00765F6E" w:rsidRDefault="00737EB2" w:rsidP="00737EB2">
      <w:pPr>
        <w:pStyle w:val="affffb"/>
        <w:spacing w:before="156" w:after="156"/>
        <w:ind w:firstLine="420"/>
        <w:jc w:val="center"/>
      </w:pPr>
    </w:p>
    <w:p w14:paraId="4D4A1163" w14:textId="330BD167" w:rsidR="00737EB2" w:rsidRPr="00765F6E" w:rsidRDefault="00A27066" w:rsidP="00A27066">
      <w:pPr>
        <w:pStyle w:val="affffb"/>
        <w:spacing w:before="156" w:after="156"/>
        <w:ind w:firstLineChars="0" w:firstLine="0"/>
        <w:jc w:val="center"/>
      </w:pPr>
      <w:r>
        <w:drawing>
          <wp:inline distT="0" distB="0" distL="0" distR="0" wp14:anchorId="676D1B81" wp14:editId="66C4A8BD">
            <wp:extent cx="5396643" cy="2464086"/>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406756" cy="2468704"/>
                    </a:xfrm>
                    <a:prstGeom prst="rect">
                      <a:avLst/>
                    </a:prstGeom>
                  </pic:spPr>
                </pic:pic>
              </a:graphicData>
            </a:graphic>
          </wp:inline>
        </w:drawing>
      </w:r>
    </w:p>
    <w:p w14:paraId="2D89DA68" w14:textId="77777777" w:rsidR="00737EB2" w:rsidRPr="00765F6E" w:rsidRDefault="00737EB2" w:rsidP="00737EB2">
      <w:pPr>
        <w:pStyle w:val="afe"/>
        <w:spacing w:before="156" w:after="156"/>
      </w:pPr>
      <w:bookmarkStart w:id="1145" w:name="_Hlk153787550"/>
      <w:r w:rsidRPr="00765F6E">
        <w:rPr>
          <w:rFonts w:hint="eastAsia"/>
        </w:rPr>
        <w:t>硬质岩石堤堑过渡段示意图</w:t>
      </w:r>
    </w:p>
    <w:bookmarkEnd w:id="1145"/>
    <w:p w14:paraId="1C8CA0A6" w14:textId="11A70A59" w:rsidR="00737EB2" w:rsidRPr="00765F6E" w:rsidRDefault="00737EB2" w:rsidP="003334F3">
      <w:pPr>
        <w:pStyle w:val="af6"/>
        <w:tabs>
          <w:tab w:val="left" w:pos="851"/>
        </w:tabs>
        <w:snapToGrid w:val="0"/>
        <w:contextualSpacing/>
      </w:pPr>
      <w:r w:rsidRPr="00765F6E">
        <w:rPr>
          <w:rFonts w:hint="eastAsia"/>
        </w:rPr>
        <w:lastRenderedPageBreak/>
        <w:t>当路堤与软质岩石或土质路堑连接时，应顺原地面纵向开挖台阶，每级台阶宽度不应小于1.0 m，</w:t>
      </w:r>
      <w:r>
        <w:rPr>
          <w:rFonts w:hint="eastAsia"/>
        </w:rPr>
        <w:t>示意图</w:t>
      </w:r>
      <w:r w:rsidRPr="00765F6E">
        <w:rPr>
          <w:rFonts w:hint="eastAsia"/>
        </w:rPr>
        <w:t>如图</w:t>
      </w:r>
      <w:r w:rsidR="00357519">
        <w:t>11</w:t>
      </w:r>
      <w:r w:rsidRPr="00765F6E">
        <w:rPr>
          <w:rFonts w:hint="eastAsia"/>
        </w:rPr>
        <w:t>所示。开挖部分填筑要求应与路堤相应位置相同。</w:t>
      </w:r>
    </w:p>
    <w:p w14:paraId="59FBC41D" w14:textId="526A1065" w:rsidR="00737EB2" w:rsidRPr="00765F6E" w:rsidRDefault="00A27066" w:rsidP="00A27066">
      <w:pPr>
        <w:pStyle w:val="affffb"/>
        <w:spacing w:before="156" w:after="156"/>
        <w:ind w:firstLineChars="0" w:firstLine="0"/>
        <w:jc w:val="center"/>
      </w:pPr>
      <w:r>
        <w:drawing>
          <wp:inline distT="0" distB="0" distL="0" distR="0" wp14:anchorId="4A03E721" wp14:editId="41765BBB">
            <wp:extent cx="5480791" cy="2465008"/>
            <wp:effectExtent l="0" t="0" r="5715"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483562" cy="2466254"/>
                    </a:xfrm>
                    <a:prstGeom prst="rect">
                      <a:avLst/>
                    </a:prstGeom>
                  </pic:spPr>
                </pic:pic>
              </a:graphicData>
            </a:graphic>
          </wp:inline>
        </w:drawing>
      </w:r>
    </w:p>
    <w:p w14:paraId="2A9F7523" w14:textId="77777777" w:rsidR="00737EB2" w:rsidRPr="00765F6E" w:rsidRDefault="00737EB2" w:rsidP="00737EB2">
      <w:pPr>
        <w:pStyle w:val="afe"/>
        <w:spacing w:before="156" w:after="156"/>
      </w:pPr>
      <w:r w:rsidRPr="00765F6E">
        <w:rPr>
          <w:rFonts w:hint="eastAsia"/>
        </w:rPr>
        <w:t>软质岩石或土质堤堑过渡段示意图</w:t>
      </w:r>
    </w:p>
    <w:p w14:paraId="425D8912" w14:textId="77777777" w:rsidR="00737EB2" w:rsidRPr="000131E3" w:rsidRDefault="00737EB2" w:rsidP="00DF1ECE">
      <w:pPr>
        <w:pStyle w:val="a6"/>
        <w:numPr>
          <w:ilvl w:val="0"/>
          <w:numId w:val="0"/>
        </w:numPr>
        <w:ind w:firstLineChars="200" w:firstLine="420"/>
        <w:jc w:val="left"/>
        <w:rPr>
          <w:rFonts w:hAnsi="宋体" w:cstheme="minorBidi"/>
          <w:kern w:val="2"/>
          <w:sz w:val="21"/>
          <w:szCs w:val="21"/>
        </w:rPr>
      </w:pPr>
      <w:r w:rsidRPr="000131E3">
        <w:rPr>
          <w:rFonts w:hAnsi="宋体" w:cstheme="minorBidi" w:hint="eastAsia"/>
          <w:kern w:val="2"/>
          <w:sz w:val="21"/>
          <w:szCs w:val="21"/>
        </w:rPr>
        <w:t>标引序号说明</w:t>
      </w:r>
      <w:r w:rsidRPr="000131E3">
        <w:rPr>
          <w:rFonts w:hAnsi="宋体" w:cstheme="minorBidi"/>
          <w:kern w:val="2"/>
          <w:sz w:val="21"/>
          <w:szCs w:val="21"/>
        </w:rPr>
        <w:t>：</w:t>
      </w:r>
    </w:p>
    <w:p w14:paraId="19604AB6" w14:textId="4B91E8A5" w:rsidR="00737EB2" w:rsidRPr="00765F6E" w:rsidRDefault="00737EB2" w:rsidP="000131E3">
      <w:pPr>
        <w:pStyle w:val="affffb"/>
        <w:ind w:firstLineChars="300" w:firstLine="630"/>
        <w:rPr>
          <w:szCs w:val="21"/>
        </w:rPr>
      </w:pPr>
      <w:r w:rsidRPr="000131E3">
        <w:rPr>
          <w:rFonts w:hint="eastAsia"/>
          <w:szCs w:val="21"/>
        </w:rPr>
        <w:t>h——基床表层/底层厚度，单位为米（m）。</w:t>
      </w:r>
    </w:p>
    <w:p w14:paraId="1E1EF36C" w14:textId="77777777" w:rsidR="00737EB2" w:rsidRPr="00765F6E" w:rsidRDefault="00737EB2" w:rsidP="00BF0BA3">
      <w:pPr>
        <w:pStyle w:val="affffb"/>
        <w:ind w:firstLineChars="0" w:firstLine="0"/>
      </w:pPr>
    </w:p>
    <w:p w14:paraId="246D3EC4" w14:textId="77777777" w:rsidR="00737EB2" w:rsidRPr="00D12EC7" w:rsidRDefault="00737EB2" w:rsidP="009D0776">
      <w:pPr>
        <w:pStyle w:val="22"/>
      </w:pPr>
      <w:bookmarkStart w:id="1146" w:name="_Toc99791835"/>
      <w:bookmarkStart w:id="1147" w:name="_Toc153291266"/>
      <w:r w:rsidRPr="00D12EC7">
        <w:rPr>
          <w:rFonts w:hint="eastAsia"/>
        </w:rPr>
        <w:t>无砟轨道线路土质及软质岩路堑与隧道连接处应设置倒梯形过渡段，其填料及压实标准应符合1</w:t>
      </w:r>
      <w:r w:rsidRPr="00D12EC7">
        <w:t>3</w:t>
      </w:r>
      <w:r w:rsidRPr="00D12EC7">
        <w:rPr>
          <w:rFonts w:hint="eastAsia"/>
        </w:rPr>
        <w:t>.6.4及1</w:t>
      </w:r>
      <w:r w:rsidRPr="00D12EC7">
        <w:t>3</w:t>
      </w:r>
      <w:r w:rsidRPr="00D12EC7">
        <w:rPr>
          <w:rFonts w:hint="eastAsia"/>
        </w:rPr>
        <w:t>.6.5的规定。</w:t>
      </w:r>
      <w:bookmarkEnd w:id="1146"/>
      <w:bookmarkEnd w:id="1147"/>
      <w:r w:rsidRPr="00D12EC7">
        <w:rPr>
          <w:rFonts w:hint="eastAsia"/>
        </w:rPr>
        <w:t xml:space="preserve"> </w:t>
      </w:r>
    </w:p>
    <w:p w14:paraId="0E0DB874" w14:textId="77777777" w:rsidR="00737EB2" w:rsidRPr="00D12EC7" w:rsidRDefault="00737EB2" w:rsidP="009D0776">
      <w:pPr>
        <w:pStyle w:val="22"/>
      </w:pPr>
      <w:bookmarkStart w:id="1148" w:name="_Toc99791836"/>
      <w:bookmarkStart w:id="1149" w:name="_Toc153291267"/>
      <w:r w:rsidRPr="00D12EC7">
        <w:rPr>
          <w:rFonts w:hint="eastAsia"/>
        </w:rPr>
        <w:t>两桥之间、桥隧之间及两隧之间的短路基应结合路基无度、施工条件、填挖高度、填料来源等合理确定过渡形式；路基无度小于40m时，其填料及压实标准可按过渡段要求设计。</w:t>
      </w:r>
      <w:bookmarkEnd w:id="1148"/>
      <w:bookmarkEnd w:id="1149"/>
      <w:r w:rsidRPr="00D12EC7">
        <w:rPr>
          <w:rFonts w:hint="eastAsia"/>
        </w:rPr>
        <w:t xml:space="preserve"> </w:t>
      </w:r>
    </w:p>
    <w:p w14:paraId="3F69E60D" w14:textId="77777777" w:rsidR="00737EB2" w:rsidRPr="00D12EC7" w:rsidRDefault="00737EB2" w:rsidP="009D0776">
      <w:pPr>
        <w:pStyle w:val="22"/>
      </w:pPr>
      <w:bookmarkStart w:id="1150" w:name="_Toc153291268"/>
      <w:bookmarkStart w:id="1151" w:name="_Toc99791837"/>
      <w:r w:rsidRPr="00D12EC7">
        <w:rPr>
          <w:rFonts w:hint="eastAsia"/>
        </w:rPr>
        <w:t>无砟轨道路基与有砟轨道路基连接处应在有砟轨道路基范围设置过渡段，不同标准路基连接处应在较低等级侧路基范围设置过渡段。</w:t>
      </w:r>
      <w:bookmarkEnd w:id="1150"/>
      <w:bookmarkEnd w:id="1151"/>
    </w:p>
    <w:p w14:paraId="5CAB4521" w14:textId="77777777" w:rsidR="00737EB2" w:rsidRPr="00765F6E" w:rsidRDefault="00737EB2" w:rsidP="00737EB2">
      <w:pPr>
        <w:pStyle w:val="affe"/>
        <w:spacing w:before="156" w:after="156"/>
      </w:pPr>
      <w:bookmarkStart w:id="1152" w:name="_Toc153210864"/>
      <w:bookmarkStart w:id="1153" w:name="_Toc153291269"/>
      <w:bookmarkStart w:id="1154" w:name="_Toc99791838"/>
      <w:bookmarkStart w:id="1155" w:name="_Toc167895761"/>
      <w:bookmarkStart w:id="1156" w:name="_Toc174538675"/>
      <w:bookmarkStart w:id="1157" w:name="_Toc182476430"/>
      <w:r w:rsidRPr="00765F6E">
        <w:rPr>
          <w:rFonts w:hint="eastAsia"/>
        </w:rPr>
        <w:t>地基处理</w:t>
      </w:r>
      <w:bookmarkEnd w:id="1152"/>
      <w:bookmarkEnd w:id="1153"/>
      <w:bookmarkEnd w:id="1154"/>
      <w:bookmarkEnd w:id="1155"/>
      <w:bookmarkEnd w:id="1156"/>
      <w:bookmarkEnd w:id="1157"/>
    </w:p>
    <w:p w14:paraId="3187FCF9" w14:textId="77777777" w:rsidR="00737EB2" w:rsidRPr="00765F6E" w:rsidRDefault="00737EB2" w:rsidP="009D0776">
      <w:pPr>
        <w:pStyle w:val="22"/>
      </w:pPr>
      <w:bookmarkStart w:id="1158" w:name="_Toc153291270"/>
      <w:bookmarkStart w:id="1159" w:name="_Toc99791839"/>
      <w:r w:rsidRPr="00765F6E">
        <w:rPr>
          <w:rFonts w:hint="eastAsia"/>
        </w:rPr>
        <w:t>地基处理方法应根据线路种类、轨道类型、路基结构形式、荷载大小、地质和环境条件、处理目的、工期要求等因素，结合施工工艺和地区经验等合理确定。</w:t>
      </w:r>
      <w:bookmarkEnd w:id="1158"/>
      <w:bookmarkEnd w:id="1159"/>
    </w:p>
    <w:p w14:paraId="4900AB35" w14:textId="77777777" w:rsidR="00737EB2" w:rsidRPr="00765F6E" w:rsidRDefault="00737EB2" w:rsidP="009D0776">
      <w:pPr>
        <w:pStyle w:val="22"/>
      </w:pPr>
      <w:bookmarkStart w:id="1160" w:name="_Toc153291271"/>
      <w:bookmarkStart w:id="1161" w:name="_Toc99791840"/>
      <w:r w:rsidRPr="00765F6E">
        <w:rPr>
          <w:rFonts w:hint="eastAsia"/>
        </w:rPr>
        <w:t>地基处理设计应满足路基稳定和变形控制要求，基床、支挡结构物下的复合地基尚应满足地基承载力要求。</w:t>
      </w:r>
      <w:bookmarkEnd w:id="1160"/>
      <w:bookmarkEnd w:id="1161"/>
    </w:p>
    <w:p w14:paraId="39B4E66C" w14:textId="77777777" w:rsidR="00737EB2" w:rsidRPr="00765F6E" w:rsidRDefault="00737EB2" w:rsidP="009D0776">
      <w:pPr>
        <w:pStyle w:val="22"/>
      </w:pPr>
      <w:bookmarkStart w:id="1162" w:name="_Toc99791841"/>
      <w:bookmarkStart w:id="1163" w:name="_Toc153291272"/>
      <w:r w:rsidRPr="00765F6E">
        <w:rPr>
          <w:rFonts w:hint="eastAsia"/>
        </w:rPr>
        <w:t>地基处理设计与施工有关参数，宜通过现场试验施工验证。</w:t>
      </w:r>
      <w:bookmarkEnd w:id="1162"/>
      <w:bookmarkEnd w:id="1163"/>
    </w:p>
    <w:p w14:paraId="6BF892BA" w14:textId="77777777" w:rsidR="00737EB2" w:rsidRPr="00765F6E" w:rsidRDefault="00737EB2" w:rsidP="009D0776">
      <w:pPr>
        <w:pStyle w:val="22"/>
      </w:pPr>
      <w:bookmarkStart w:id="1164" w:name="_Toc153291273"/>
      <w:bookmarkStart w:id="1165" w:name="_Toc99791842"/>
      <w:r w:rsidRPr="00765F6E">
        <w:rPr>
          <w:rFonts w:hint="eastAsia"/>
        </w:rPr>
        <w:t>路基与其他构筑物分界处、地层变化较大地段及不同地基处理措施连接处，应进行差异沉降验算，采取渐变过渡的地基处理措施，减少不均匀沉降。</w:t>
      </w:r>
      <w:bookmarkEnd w:id="1164"/>
      <w:bookmarkEnd w:id="1165"/>
    </w:p>
    <w:p w14:paraId="3A21CD13" w14:textId="77777777" w:rsidR="00737EB2" w:rsidRPr="00765F6E" w:rsidRDefault="00737EB2" w:rsidP="00737EB2">
      <w:pPr>
        <w:pStyle w:val="affe"/>
        <w:spacing w:before="156" w:after="156"/>
      </w:pPr>
      <w:bookmarkStart w:id="1166" w:name="_Toc99791843"/>
      <w:bookmarkStart w:id="1167" w:name="_Toc153210865"/>
      <w:bookmarkStart w:id="1168" w:name="_Toc153291274"/>
      <w:bookmarkStart w:id="1169" w:name="_Toc167895762"/>
      <w:bookmarkStart w:id="1170" w:name="_Toc174538676"/>
      <w:bookmarkStart w:id="1171" w:name="_Toc182476431"/>
      <w:r w:rsidRPr="00765F6E">
        <w:rPr>
          <w:rFonts w:hint="eastAsia"/>
        </w:rPr>
        <w:t>路基排水</w:t>
      </w:r>
      <w:bookmarkEnd w:id="1166"/>
      <w:bookmarkEnd w:id="1167"/>
      <w:bookmarkEnd w:id="1168"/>
      <w:bookmarkEnd w:id="1169"/>
      <w:bookmarkEnd w:id="1170"/>
      <w:bookmarkEnd w:id="1171"/>
    </w:p>
    <w:p w14:paraId="3DC53422" w14:textId="77777777" w:rsidR="00737EB2" w:rsidRPr="00D12EC7" w:rsidRDefault="00737EB2" w:rsidP="009D0776">
      <w:pPr>
        <w:pStyle w:val="22"/>
      </w:pPr>
      <w:bookmarkStart w:id="1172" w:name="_Toc153291275"/>
      <w:bookmarkStart w:id="1173" w:name="_Toc99791844"/>
      <w:r w:rsidRPr="00D12EC7">
        <w:rPr>
          <w:rFonts w:hint="eastAsia"/>
        </w:rPr>
        <w:t>路基排水设施设计降雨的重现期应为50年。</w:t>
      </w:r>
      <w:bookmarkEnd w:id="1172"/>
      <w:bookmarkEnd w:id="1173"/>
      <w:r w:rsidRPr="00D12EC7">
        <w:rPr>
          <w:rFonts w:hint="eastAsia"/>
        </w:rPr>
        <w:t xml:space="preserve"> </w:t>
      </w:r>
    </w:p>
    <w:p w14:paraId="516DDB36" w14:textId="77777777" w:rsidR="00737EB2" w:rsidRPr="00D12EC7" w:rsidRDefault="00737EB2" w:rsidP="009D0776">
      <w:pPr>
        <w:pStyle w:val="22"/>
      </w:pPr>
      <w:bookmarkStart w:id="1174" w:name="_Toc153291276"/>
      <w:bookmarkStart w:id="1175" w:name="_Toc99791845"/>
      <w:r w:rsidRPr="00D12EC7">
        <w:rPr>
          <w:rFonts w:hint="eastAsia"/>
        </w:rPr>
        <w:t>低矮路堤或路堑地段，地下水位较高或无固定含水层时，可采用明沟、排水槽、渗水暗沟、边坡支撑渗沟等设施排除地下水；埋藏较深的地下水或固定含水层危害路基时，可采用渗水隧洞、渗井、渗管或仰斜式钻孔等设施排除地下水。</w:t>
      </w:r>
      <w:bookmarkEnd w:id="1174"/>
      <w:bookmarkEnd w:id="1175"/>
    </w:p>
    <w:p w14:paraId="7E7F7ECE" w14:textId="77777777" w:rsidR="00737EB2" w:rsidRPr="00D12EC7" w:rsidRDefault="00737EB2" w:rsidP="009D0776">
      <w:pPr>
        <w:pStyle w:val="22"/>
      </w:pPr>
      <w:bookmarkStart w:id="1176" w:name="_Toc153291277"/>
      <w:bookmarkStart w:id="1177" w:name="_Toc99791846"/>
      <w:r w:rsidRPr="00D12EC7">
        <w:rPr>
          <w:rFonts w:hint="eastAsia"/>
        </w:rPr>
        <w:t>渗水暗沟和渗水隧洞的纵坡不宜小于5‰，困难条件下不应小于2‰，在出口位置应采用较陡纵坡。</w:t>
      </w:r>
      <w:bookmarkEnd w:id="1176"/>
      <w:bookmarkEnd w:id="1177"/>
      <w:r w:rsidRPr="00D12EC7">
        <w:rPr>
          <w:rFonts w:hint="eastAsia"/>
        </w:rPr>
        <w:t xml:space="preserve"> </w:t>
      </w:r>
    </w:p>
    <w:p w14:paraId="7C309D04" w14:textId="77777777" w:rsidR="00737EB2" w:rsidRPr="00D12EC7" w:rsidRDefault="00737EB2" w:rsidP="009D0776">
      <w:pPr>
        <w:pStyle w:val="22"/>
      </w:pPr>
      <w:bookmarkStart w:id="1178" w:name="_Toc99791847"/>
      <w:r w:rsidRPr="00D12EC7">
        <w:rPr>
          <w:rFonts w:hint="eastAsia"/>
        </w:rPr>
        <w:t>路基排水设施应与桥涵、隧道、车站等排水设施衔接配合，与水土保持及农田水利设施的综合利用相结合。排水设施设计符合下列规定：</w:t>
      </w:r>
      <w:bookmarkEnd w:id="1178"/>
    </w:p>
    <w:p w14:paraId="7004B024" w14:textId="52F36FDA" w:rsidR="00737EB2" w:rsidRPr="00D12EC7" w:rsidRDefault="00737EB2" w:rsidP="003334F3">
      <w:pPr>
        <w:pStyle w:val="af6"/>
        <w:numPr>
          <w:ilvl w:val="0"/>
          <w:numId w:val="91"/>
        </w:numPr>
        <w:tabs>
          <w:tab w:val="left" w:pos="851"/>
        </w:tabs>
        <w:snapToGrid w:val="0"/>
        <w:contextualSpacing/>
        <w:rPr>
          <w:rFonts w:hAnsi="宋体"/>
        </w:rPr>
      </w:pPr>
      <w:r w:rsidRPr="00D12EC7">
        <w:rPr>
          <w:rFonts w:hAnsi="宋体" w:hint="eastAsia"/>
        </w:rPr>
        <w:lastRenderedPageBreak/>
        <w:t>路堤地段排水沟设置应结合地形条件、工程环境等综合分析确定</w:t>
      </w:r>
      <w:r w:rsidR="000D553E">
        <w:rPr>
          <w:rFonts w:hAnsi="宋体" w:hint="eastAsia"/>
        </w:rPr>
        <w:t>；</w:t>
      </w:r>
      <w:r w:rsidRPr="00D12EC7">
        <w:rPr>
          <w:rFonts w:hAnsi="宋体" w:hint="eastAsia"/>
        </w:rPr>
        <w:t xml:space="preserve"> </w:t>
      </w:r>
    </w:p>
    <w:p w14:paraId="7EE6417F" w14:textId="7E96ECC6" w:rsidR="00737EB2" w:rsidRPr="00D12EC7" w:rsidRDefault="00737EB2" w:rsidP="003334F3">
      <w:pPr>
        <w:pStyle w:val="af6"/>
        <w:tabs>
          <w:tab w:val="left" w:pos="851"/>
        </w:tabs>
        <w:snapToGrid w:val="0"/>
        <w:contextualSpacing/>
        <w:rPr>
          <w:rFonts w:hAnsi="宋体"/>
        </w:rPr>
      </w:pPr>
      <w:r w:rsidRPr="00D12EC7">
        <w:rPr>
          <w:rFonts w:hAnsi="宋体" w:hint="eastAsia"/>
        </w:rPr>
        <w:t>路堑地段应设置侧沟，天沟设置应结合堑顶外地形条件确定</w:t>
      </w:r>
      <w:r w:rsidR="000D553E">
        <w:rPr>
          <w:rFonts w:hAnsi="宋体" w:hint="eastAsia"/>
        </w:rPr>
        <w:t>；</w:t>
      </w:r>
    </w:p>
    <w:p w14:paraId="626B9F0B" w14:textId="2552E0DC" w:rsidR="00737EB2" w:rsidRPr="00D12EC7" w:rsidRDefault="00737EB2" w:rsidP="003334F3">
      <w:pPr>
        <w:pStyle w:val="af6"/>
        <w:tabs>
          <w:tab w:val="left" w:pos="851"/>
        </w:tabs>
        <w:snapToGrid w:val="0"/>
        <w:contextualSpacing/>
        <w:rPr>
          <w:rFonts w:hAnsi="宋体"/>
        </w:rPr>
      </w:pPr>
      <w:r w:rsidRPr="00D12EC7">
        <w:rPr>
          <w:rFonts w:hAnsi="宋体" w:hint="eastAsia"/>
        </w:rPr>
        <w:t>地面排水设施的纵坡不宜小于2‰。单面排水坡坡段长度大于4</w:t>
      </w:r>
      <w:r w:rsidRPr="00D12EC7">
        <w:rPr>
          <w:rFonts w:hAnsi="宋体"/>
        </w:rPr>
        <w:t>00m</w:t>
      </w:r>
      <w:r w:rsidRPr="00D12EC7">
        <w:rPr>
          <w:rFonts w:hAnsi="宋体" w:hint="eastAsia"/>
        </w:rPr>
        <w:t>时，应在适宜位置增设出水口</w:t>
      </w:r>
      <w:r w:rsidR="000D553E">
        <w:rPr>
          <w:rFonts w:hAnsi="宋体" w:hint="eastAsia"/>
        </w:rPr>
        <w:t>；</w:t>
      </w:r>
    </w:p>
    <w:p w14:paraId="55C15737" w14:textId="77777777" w:rsidR="00737EB2" w:rsidRPr="00D12EC7" w:rsidRDefault="00737EB2" w:rsidP="003334F3">
      <w:pPr>
        <w:pStyle w:val="af6"/>
        <w:tabs>
          <w:tab w:val="left" w:pos="851"/>
        </w:tabs>
        <w:snapToGrid w:val="0"/>
        <w:contextualSpacing/>
        <w:rPr>
          <w:rFonts w:hAnsi="宋体"/>
        </w:rPr>
      </w:pPr>
      <w:r w:rsidRPr="00D12EC7">
        <w:rPr>
          <w:rFonts w:hAnsi="宋体" w:hint="eastAsia"/>
        </w:rPr>
        <w:t>沟槽的顶面标高应高出设计水位至少0</w:t>
      </w:r>
      <w:r w:rsidRPr="00D12EC7">
        <w:rPr>
          <w:rFonts w:hAnsi="宋体"/>
        </w:rPr>
        <w:t>.2m</w:t>
      </w:r>
      <w:r w:rsidRPr="00D12EC7">
        <w:rPr>
          <w:rFonts w:hAnsi="宋体" w:hint="eastAsia"/>
        </w:rPr>
        <w:t>。</w:t>
      </w:r>
    </w:p>
    <w:p w14:paraId="753BBA3C" w14:textId="77777777" w:rsidR="00737EB2" w:rsidRPr="00765F6E" w:rsidRDefault="00737EB2" w:rsidP="00737EB2">
      <w:pPr>
        <w:pStyle w:val="affe"/>
        <w:spacing w:before="156" w:after="156"/>
      </w:pPr>
      <w:bookmarkStart w:id="1179" w:name="_Toc99791849"/>
      <w:bookmarkStart w:id="1180" w:name="_Toc153291280"/>
      <w:bookmarkStart w:id="1181" w:name="_Toc153210866"/>
      <w:bookmarkStart w:id="1182" w:name="_Toc167895763"/>
      <w:bookmarkStart w:id="1183" w:name="_Toc174538677"/>
      <w:bookmarkStart w:id="1184" w:name="_Toc182476432"/>
      <w:r w:rsidRPr="00765F6E">
        <w:rPr>
          <w:rFonts w:hint="eastAsia"/>
        </w:rPr>
        <w:t>路基防护</w:t>
      </w:r>
      <w:bookmarkEnd w:id="1179"/>
      <w:bookmarkEnd w:id="1180"/>
      <w:bookmarkEnd w:id="1181"/>
      <w:bookmarkEnd w:id="1182"/>
      <w:bookmarkEnd w:id="1183"/>
      <w:bookmarkEnd w:id="1184"/>
    </w:p>
    <w:p w14:paraId="0F648729" w14:textId="77777777" w:rsidR="00737EB2" w:rsidRPr="00765F6E" w:rsidRDefault="00737EB2" w:rsidP="009D0776">
      <w:pPr>
        <w:pStyle w:val="22"/>
      </w:pPr>
      <w:bookmarkStart w:id="1185" w:name="_Toc153291281"/>
      <w:bookmarkStart w:id="1186" w:name="_Toc99791850"/>
      <w:r w:rsidRPr="00765F6E">
        <w:rPr>
          <w:rFonts w:hint="eastAsia"/>
        </w:rPr>
        <w:t>路堤边坡防护形式应根据周围环境、填料性质、气候条件、水文条件、边坡高度等确定，并符合下列规定：</w:t>
      </w:r>
      <w:bookmarkEnd w:id="1185"/>
      <w:bookmarkEnd w:id="1186"/>
    </w:p>
    <w:p w14:paraId="1EA1F102" w14:textId="2235D67E" w:rsidR="00737EB2" w:rsidRPr="00765F6E" w:rsidRDefault="00737EB2" w:rsidP="003334F3">
      <w:pPr>
        <w:pStyle w:val="af6"/>
        <w:numPr>
          <w:ilvl w:val="0"/>
          <w:numId w:val="92"/>
        </w:numPr>
        <w:tabs>
          <w:tab w:val="left" w:pos="851"/>
        </w:tabs>
        <w:snapToGrid w:val="0"/>
        <w:contextualSpacing/>
      </w:pPr>
      <w:r w:rsidRPr="00765F6E">
        <w:rPr>
          <w:rFonts w:hint="eastAsia"/>
        </w:rPr>
        <w:t>路堤边坡宜采用植物防护或骨架、空心砖等结合植物防护形式</w:t>
      </w:r>
      <w:r w:rsidR="000D553E">
        <w:rPr>
          <w:rFonts w:hint="eastAsia"/>
        </w:rPr>
        <w:t>；</w:t>
      </w:r>
    </w:p>
    <w:p w14:paraId="45A7ADA5" w14:textId="567F132B" w:rsidR="00737EB2" w:rsidRPr="00765F6E" w:rsidRDefault="00737EB2" w:rsidP="003334F3">
      <w:pPr>
        <w:pStyle w:val="af6"/>
        <w:numPr>
          <w:ilvl w:val="0"/>
          <w:numId w:val="92"/>
        </w:numPr>
        <w:tabs>
          <w:tab w:val="left" w:pos="851"/>
        </w:tabs>
        <w:snapToGrid w:val="0"/>
        <w:contextualSpacing/>
      </w:pPr>
      <w:r w:rsidRPr="00765F6E">
        <w:rPr>
          <w:rFonts w:hint="eastAsia"/>
        </w:rPr>
        <w:t>当路堤填料不利于植物生无时，宜结合客土植生</w:t>
      </w:r>
      <w:r w:rsidR="000D553E">
        <w:rPr>
          <w:rFonts w:hint="eastAsia"/>
        </w:rPr>
        <w:t>；</w:t>
      </w:r>
      <w:r w:rsidRPr="00765F6E">
        <w:rPr>
          <w:rFonts w:hint="eastAsia"/>
        </w:rPr>
        <w:t xml:space="preserve"> </w:t>
      </w:r>
    </w:p>
    <w:p w14:paraId="4CBD7D90" w14:textId="77777777" w:rsidR="00737EB2" w:rsidRPr="00765F6E" w:rsidRDefault="00737EB2" w:rsidP="003334F3">
      <w:pPr>
        <w:pStyle w:val="af6"/>
        <w:numPr>
          <w:ilvl w:val="0"/>
          <w:numId w:val="92"/>
        </w:numPr>
        <w:tabs>
          <w:tab w:val="left" w:pos="851"/>
        </w:tabs>
        <w:snapToGrid w:val="0"/>
        <w:contextualSpacing/>
      </w:pPr>
      <w:r w:rsidRPr="00765F6E">
        <w:rPr>
          <w:rFonts w:hint="eastAsia"/>
        </w:rPr>
        <w:t>浸水地段受水流冲刷的路基边坡应根据水位、流速、流向及冲刷深度，采用抗冲刷能力强的防护措施。</w:t>
      </w:r>
    </w:p>
    <w:p w14:paraId="1C86E95D" w14:textId="77777777" w:rsidR="00737EB2" w:rsidRPr="00765F6E" w:rsidRDefault="00737EB2" w:rsidP="009D0776">
      <w:pPr>
        <w:pStyle w:val="22"/>
      </w:pPr>
      <w:bookmarkStart w:id="1187" w:name="_Toc99791851"/>
      <w:bookmarkStart w:id="1188" w:name="_Toc153291282"/>
      <w:r w:rsidRPr="00765F6E">
        <w:rPr>
          <w:rFonts w:hint="eastAsia"/>
        </w:rPr>
        <w:t>土质路堑边坡宜采用植物防护或骨架、空心砖等结合植物防护形式。</w:t>
      </w:r>
      <w:bookmarkEnd w:id="1187"/>
      <w:bookmarkEnd w:id="1188"/>
    </w:p>
    <w:p w14:paraId="7EB34569" w14:textId="77777777" w:rsidR="00737EB2" w:rsidRPr="00765F6E" w:rsidRDefault="00737EB2" w:rsidP="00737EB2">
      <w:pPr>
        <w:pStyle w:val="affe"/>
        <w:spacing w:before="156" w:after="156"/>
      </w:pPr>
      <w:bookmarkStart w:id="1189" w:name="_Toc99791852"/>
      <w:bookmarkStart w:id="1190" w:name="_Toc153210867"/>
      <w:bookmarkStart w:id="1191" w:name="_Toc153291283"/>
      <w:bookmarkStart w:id="1192" w:name="_Toc167895764"/>
      <w:bookmarkStart w:id="1193" w:name="_Toc174538678"/>
      <w:bookmarkStart w:id="1194" w:name="_Toc182476433"/>
      <w:r w:rsidRPr="00765F6E">
        <w:rPr>
          <w:rFonts w:hint="eastAsia"/>
        </w:rPr>
        <w:t>路基支挡</w:t>
      </w:r>
      <w:bookmarkEnd w:id="1189"/>
      <w:bookmarkEnd w:id="1190"/>
      <w:bookmarkEnd w:id="1191"/>
      <w:bookmarkEnd w:id="1192"/>
      <w:bookmarkEnd w:id="1193"/>
      <w:bookmarkEnd w:id="1194"/>
    </w:p>
    <w:p w14:paraId="3E7AC8ED" w14:textId="77777777" w:rsidR="00737EB2" w:rsidRPr="00765F6E" w:rsidRDefault="00737EB2" w:rsidP="009D0776">
      <w:pPr>
        <w:pStyle w:val="22"/>
      </w:pPr>
      <w:bookmarkStart w:id="1195" w:name="_Toc99791853"/>
      <w:bookmarkStart w:id="1196" w:name="_Toc153291284"/>
      <w:r w:rsidRPr="00765F6E">
        <w:rPr>
          <w:rFonts w:hint="eastAsia"/>
        </w:rPr>
        <w:t>支挡结构的设置位置及结构形式应结合地形地质条件、周围环境、征地、拆迁及工程投资等因素综合分析确定。</w:t>
      </w:r>
      <w:bookmarkEnd w:id="1195"/>
      <w:bookmarkEnd w:id="1196"/>
      <w:r w:rsidRPr="00765F6E">
        <w:rPr>
          <w:rFonts w:hint="eastAsia"/>
        </w:rPr>
        <w:t xml:space="preserve"> </w:t>
      </w:r>
    </w:p>
    <w:p w14:paraId="077B08A3" w14:textId="77777777" w:rsidR="00737EB2" w:rsidRPr="00765F6E" w:rsidRDefault="00737EB2" w:rsidP="009D0776">
      <w:pPr>
        <w:pStyle w:val="22"/>
      </w:pPr>
      <w:bookmarkStart w:id="1197" w:name="_Toc153291285"/>
      <w:bookmarkStart w:id="1198" w:name="_Toc99791854"/>
      <w:r w:rsidRPr="00765F6E">
        <w:rPr>
          <w:rFonts w:hint="eastAsia"/>
        </w:rPr>
        <w:t>路堤及路肩支挡结构设计检算宜考虑列车及轨道荷载。运架梁车通过时，还宜考虑运架梁车等特殊荷载。</w:t>
      </w:r>
      <w:bookmarkEnd w:id="1197"/>
      <w:bookmarkEnd w:id="1198"/>
      <w:r w:rsidRPr="00765F6E">
        <w:rPr>
          <w:rFonts w:hint="eastAsia"/>
        </w:rPr>
        <w:t xml:space="preserve"> </w:t>
      </w:r>
    </w:p>
    <w:p w14:paraId="16071535" w14:textId="3796D915" w:rsidR="00737EB2" w:rsidRDefault="00737EB2" w:rsidP="009D0776">
      <w:pPr>
        <w:pStyle w:val="22"/>
      </w:pPr>
      <w:bookmarkStart w:id="1199" w:name="_Toc153291286"/>
      <w:bookmarkStart w:id="1200" w:name="_Toc99791855"/>
      <w:r w:rsidRPr="00765F6E">
        <w:rPr>
          <w:rFonts w:hint="eastAsia"/>
        </w:rPr>
        <w:t>在城市、车站、风景区及并行高等级公路等人流密集地段支挡结构宜选用悬臂式、扶壁式、桩板式及加筋土挡墙等支挡结构。</w:t>
      </w:r>
      <w:bookmarkEnd w:id="1199"/>
      <w:bookmarkEnd w:id="1200"/>
    </w:p>
    <w:p w14:paraId="2DB594C7" w14:textId="7F4C5F34" w:rsidR="00B50649" w:rsidRDefault="00B50649" w:rsidP="00B50649">
      <w:pPr>
        <w:pStyle w:val="affe"/>
        <w:spacing w:before="156" w:after="156"/>
      </w:pPr>
      <w:bookmarkStart w:id="1201" w:name="_Toc180404215"/>
      <w:bookmarkStart w:id="1202" w:name="_Toc182476434"/>
      <w:r w:rsidRPr="00453DBE">
        <w:rPr>
          <w:rFonts w:hint="eastAsia"/>
        </w:rPr>
        <w:t>路基变形观测</w:t>
      </w:r>
      <w:bookmarkEnd w:id="1201"/>
      <w:bookmarkEnd w:id="1202"/>
    </w:p>
    <w:p w14:paraId="2FED3F2F" w14:textId="2425A21B" w:rsidR="00B50649" w:rsidRPr="00453DBE" w:rsidRDefault="004835CC" w:rsidP="00453DBE">
      <w:pPr>
        <w:pStyle w:val="22"/>
      </w:pPr>
      <w:r w:rsidRPr="004835CC">
        <w:rPr>
          <w:rFonts w:hint="eastAsia"/>
        </w:rPr>
        <w:t>路基变形观测及评估符合下列规定：</w:t>
      </w:r>
    </w:p>
    <w:p w14:paraId="386FC93D" w14:textId="18FAE488" w:rsidR="004835CC" w:rsidRDefault="004835CC" w:rsidP="003334F3">
      <w:pPr>
        <w:pStyle w:val="af6"/>
        <w:numPr>
          <w:ilvl w:val="0"/>
          <w:numId w:val="301"/>
        </w:numPr>
      </w:pPr>
      <w:r w:rsidRPr="00BD7AFA">
        <w:rPr>
          <w:rFonts w:hint="eastAsia"/>
        </w:rPr>
        <w:t>路堤填筑完成后</w:t>
      </w:r>
      <w:r w:rsidR="00331E9D" w:rsidRPr="00BF0BA3">
        <w:rPr>
          <w:rFonts w:hint="eastAsia"/>
        </w:rPr>
        <w:t>或施加预压荷载后</w:t>
      </w:r>
      <w:r w:rsidR="00BD7AFA" w:rsidRPr="00BF0BA3">
        <w:rPr>
          <w:rFonts w:hint="eastAsia"/>
        </w:rPr>
        <w:t>的观测期</w:t>
      </w:r>
      <w:r w:rsidR="00331E9D" w:rsidRPr="00BF0BA3">
        <w:rPr>
          <w:rFonts w:hint="eastAsia"/>
        </w:rPr>
        <w:t>不</w:t>
      </w:r>
      <w:r w:rsidRPr="00BD7AFA">
        <w:rPr>
          <w:rFonts w:hint="eastAsia"/>
        </w:rPr>
        <w:t>宜</w:t>
      </w:r>
      <w:r w:rsidR="00331E9D" w:rsidRPr="00BF0BA3">
        <w:rPr>
          <w:rFonts w:hint="eastAsia"/>
        </w:rPr>
        <w:t>少</w:t>
      </w:r>
      <w:r w:rsidRPr="00BD7AFA">
        <w:rPr>
          <w:rFonts w:hint="eastAsia"/>
        </w:rPr>
        <w:t>于6个月</w:t>
      </w:r>
      <w:r>
        <w:rPr>
          <w:rFonts w:hint="eastAsia"/>
        </w:rPr>
        <w:t>，并应经过一个雨季。个别情况下采取可靠工程措施并经论证可确保路基工后沉降满足轨道铺设要求时，路基放置条件可适当调整；</w:t>
      </w:r>
    </w:p>
    <w:p w14:paraId="3388083F" w14:textId="332C01AD" w:rsidR="004835CC" w:rsidRDefault="004835CC" w:rsidP="00453DBE">
      <w:pPr>
        <w:pStyle w:val="af6"/>
      </w:pPr>
      <w:r>
        <w:rPr>
          <w:rFonts w:hint="eastAsia"/>
        </w:rPr>
        <w:t>路基施工应进行沉降观测，铺轨前应根据沉降观测资料进行系统分析评估，预测的路基工后沉降符合要求后方可开始进行轨道的铺设；</w:t>
      </w:r>
    </w:p>
    <w:p w14:paraId="04B11F9F" w14:textId="26D66A51" w:rsidR="004835CC" w:rsidRDefault="004835CC" w:rsidP="00453DBE">
      <w:pPr>
        <w:pStyle w:val="af6"/>
      </w:pPr>
      <w:r>
        <w:rPr>
          <w:rFonts w:hint="eastAsia"/>
        </w:rPr>
        <w:t>观测数据不足以评估或工后沉降评估不符合要求时，应继续观测或者采取必要的加速或控制沉降的措施，保证工后沉降满足设计要求。</w:t>
      </w:r>
    </w:p>
    <w:p w14:paraId="1A16DC39" w14:textId="00A9E024" w:rsidR="004835CC" w:rsidRDefault="004835CC" w:rsidP="00453DBE">
      <w:pPr>
        <w:pStyle w:val="22"/>
      </w:pPr>
      <w:r>
        <w:rPr>
          <w:rFonts w:hint="eastAsia"/>
        </w:rPr>
        <w:t xml:space="preserve">路基沉降观测应以路基面沉降和地基沉降观测为主，可设置沉降板、观测桩或剖面沉降观测装置等，并符合下列规定： </w:t>
      </w:r>
    </w:p>
    <w:p w14:paraId="7A0B38CA" w14:textId="4938E607" w:rsidR="004835CC" w:rsidRDefault="004835CC" w:rsidP="003334F3">
      <w:pPr>
        <w:pStyle w:val="af6"/>
        <w:numPr>
          <w:ilvl w:val="0"/>
          <w:numId w:val="302"/>
        </w:numPr>
      </w:pPr>
      <w:r>
        <w:rPr>
          <w:rFonts w:hint="eastAsia"/>
        </w:rPr>
        <w:t>路基沉降观测断面的设置及观测断面的观测内容应根据沉降控制要求、地形地质条件、地基处理方法、路堤高度、堆载预压等具体情况并结合施工工期确定；</w:t>
      </w:r>
    </w:p>
    <w:p w14:paraId="1B8EA588" w14:textId="60D36C7B" w:rsidR="004835CC" w:rsidRDefault="004835CC" w:rsidP="00453DBE">
      <w:pPr>
        <w:pStyle w:val="af6"/>
      </w:pPr>
      <w:r>
        <w:rPr>
          <w:rFonts w:hint="eastAsia"/>
        </w:rPr>
        <w:t xml:space="preserve">沉降观测断面的间距不宜大于50m；地势平坦、地基条件均匀良好、高度小于5m的路堤及路堑可放宽到100m；过渡段和地形地质条件变化较大的地段应适当加密。 </w:t>
      </w:r>
    </w:p>
    <w:p w14:paraId="4A710788" w14:textId="48DFFB37" w:rsidR="004835CC" w:rsidRDefault="004835CC" w:rsidP="00453DBE">
      <w:pPr>
        <w:pStyle w:val="22"/>
      </w:pPr>
      <w:r>
        <w:rPr>
          <w:rFonts w:hint="eastAsia"/>
        </w:rPr>
        <w:t xml:space="preserve">观测仪器应满足测量精度控制要求，可采用精密水准仪、剖面沉降仪和经纬仪。 </w:t>
      </w:r>
    </w:p>
    <w:p w14:paraId="3E982312" w14:textId="073533C9" w:rsidR="00B50649" w:rsidRDefault="004835CC" w:rsidP="004835CC">
      <w:pPr>
        <w:pStyle w:val="22"/>
      </w:pPr>
      <w:r>
        <w:rPr>
          <w:rFonts w:hint="eastAsia"/>
        </w:rPr>
        <w:t>路基沉降观测的频次不应低于表4</w:t>
      </w:r>
      <w:r w:rsidR="00E512B4">
        <w:t>6</w:t>
      </w:r>
      <w:r>
        <w:rPr>
          <w:rFonts w:hint="eastAsia"/>
        </w:rPr>
        <w:t>的规定，环境条件发生变化时及时观测。</w:t>
      </w:r>
    </w:p>
    <w:p w14:paraId="5175290C" w14:textId="228A76A6" w:rsidR="004835CC" w:rsidRPr="009B2CC3" w:rsidRDefault="004835CC" w:rsidP="004835CC">
      <w:pPr>
        <w:pStyle w:val="aff3"/>
        <w:spacing w:before="156" w:after="156"/>
      </w:pPr>
      <w:r w:rsidRPr="00453DBE">
        <w:rPr>
          <w:rFonts w:hint="eastAsia"/>
        </w:rPr>
        <w:t>路基沉降观测频次</w:t>
      </w:r>
    </w:p>
    <w:tbl>
      <w:tblPr>
        <w:tblW w:w="5000" w:type="pct"/>
        <w:jc w:val="center"/>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3022"/>
        <w:gridCol w:w="3782"/>
        <w:gridCol w:w="2502"/>
        <w:gridCol w:w="28"/>
      </w:tblGrid>
      <w:tr w:rsidR="005F3B71" w:rsidRPr="00A7607F" w14:paraId="6965881D" w14:textId="77777777" w:rsidTr="00D46B45">
        <w:trPr>
          <w:gridAfter w:val="1"/>
          <w:wAfter w:w="1048" w:type="dxa"/>
          <w:trHeight w:val="340"/>
          <w:jc w:val="center"/>
        </w:trPr>
        <w:tc>
          <w:tcPr>
            <w:tcW w:w="1619" w:type="pct"/>
            <w:vAlign w:val="center"/>
          </w:tcPr>
          <w:p w14:paraId="04F93625" w14:textId="6E5F89D8" w:rsidR="00F4436E" w:rsidRPr="00453DBE" w:rsidRDefault="00460F76" w:rsidP="006417E6">
            <w:pPr>
              <w:pStyle w:val="affffffffffff7"/>
              <w:topLinePunct/>
              <w:snapToGrid w:val="0"/>
            </w:pPr>
            <w:r>
              <w:rPr>
                <w:rFonts w:hint="eastAsia"/>
              </w:rPr>
              <w:t>路基施工阶段</w:t>
            </w:r>
          </w:p>
        </w:tc>
        <w:tc>
          <w:tcPr>
            <w:tcW w:w="2026" w:type="pct"/>
            <w:vAlign w:val="center"/>
          </w:tcPr>
          <w:p w14:paraId="679ED62C" w14:textId="2B230AF3" w:rsidR="00F4436E" w:rsidRPr="00453DBE" w:rsidRDefault="00BD7AFA" w:rsidP="006417E6">
            <w:pPr>
              <w:pStyle w:val="affffffffffff7"/>
              <w:topLinePunct/>
              <w:snapToGrid w:val="0"/>
            </w:pPr>
            <w:r>
              <w:rPr>
                <w:rFonts w:hint="eastAsia"/>
              </w:rPr>
              <w:t>观测时间</w:t>
            </w:r>
          </w:p>
        </w:tc>
        <w:tc>
          <w:tcPr>
            <w:tcW w:w="1340" w:type="pct"/>
            <w:vAlign w:val="center"/>
          </w:tcPr>
          <w:p w14:paraId="538B40AE" w14:textId="6D78E542" w:rsidR="00F4436E" w:rsidRPr="00453DBE" w:rsidRDefault="00F4436E" w:rsidP="006417E6">
            <w:pPr>
              <w:pStyle w:val="affffffffffff7"/>
              <w:topLinePunct/>
              <w:snapToGrid w:val="0"/>
            </w:pPr>
            <w:r>
              <w:rPr>
                <w:rFonts w:hint="eastAsia"/>
              </w:rPr>
              <w:t>观测频次</w:t>
            </w:r>
          </w:p>
        </w:tc>
      </w:tr>
      <w:tr w:rsidR="000110B6" w:rsidRPr="00A7607F" w14:paraId="797FA5A0" w14:textId="77777777" w:rsidTr="00BF0BA3">
        <w:trPr>
          <w:gridAfter w:val="1"/>
          <w:wAfter w:w="15" w:type="pct"/>
          <w:trHeight w:val="340"/>
          <w:jc w:val="center"/>
        </w:trPr>
        <w:tc>
          <w:tcPr>
            <w:tcW w:w="1619" w:type="pct"/>
            <w:vMerge w:val="restart"/>
            <w:vAlign w:val="center"/>
          </w:tcPr>
          <w:p w14:paraId="78DD9AC6" w14:textId="77777777" w:rsidR="004835CC" w:rsidRPr="00453DBE" w:rsidRDefault="004835CC" w:rsidP="006417E6">
            <w:pPr>
              <w:pStyle w:val="affffffffffff7"/>
              <w:topLinePunct/>
              <w:snapToGrid w:val="0"/>
            </w:pPr>
            <w:r w:rsidRPr="00453DBE">
              <w:rPr>
                <w:rFonts w:hint="eastAsia"/>
              </w:rPr>
              <w:t>填筑或堆载</w:t>
            </w:r>
          </w:p>
        </w:tc>
        <w:tc>
          <w:tcPr>
            <w:tcW w:w="2026" w:type="pct"/>
            <w:vAlign w:val="center"/>
          </w:tcPr>
          <w:p w14:paraId="6887870D" w14:textId="77777777" w:rsidR="004835CC" w:rsidRPr="00453DBE" w:rsidRDefault="004835CC" w:rsidP="006417E6">
            <w:pPr>
              <w:pStyle w:val="affffffffffff7"/>
              <w:topLinePunct/>
              <w:snapToGrid w:val="0"/>
            </w:pPr>
            <w:r w:rsidRPr="00453DBE">
              <w:rPr>
                <w:rFonts w:hint="eastAsia"/>
              </w:rPr>
              <w:t>一般</w:t>
            </w:r>
          </w:p>
        </w:tc>
        <w:tc>
          <w:tcPr>
            <w:tcW w:w="1340" w:type="pct"/>
            <w:vAlign w:val="center"/>
          </w:tcPr>
          <w:p w14:paraId="3254F7EF" w14:textId="77777777" w:rsidR="004835CC" w:rsidRPr="00453DBE" w:rsidRDefault="004835CC" w:rsidP="006417E6">
            <w:pPr>
              <w:pStyle w:val="affffffffffff7"/>
              <w:topLinePunct/>
              <w:snapToGrid w:val="0"/>
            </w:pPr>
            <w:r w:rsidRPr="00453DBE">
              <w:t>1</w:t>
            </w:r>
            <w:r w:rsidRPr="00453DBE">
              <w:rPr>
                <w:rFonts w:hint="eastAsia"/>
              </w:rPr>
              <w:t>次</w:t>
            </w:r>
            <w:r w:rsidRPr="00453DBE">
              <w:t>/d</w:t>
            </w:r>
          </w:p>
        </w:tc>
      </w:tr>
      <w:tr w:rsidR="000110B6" w:rsidRPr="00A7607F" w14:paraId="0E49DC8D" w14:textId="77777777" w:rsidTr="00BF0BA3">
        <w:trPr>
          <w:gridAfter w:val="1"/>
          <w:wAfter w:w="15" w:type="pct"/>
          <w:trHeight w:val="340"/>
          <w:jc w:val="center"/>
        </w:trPr>
        <w:tc>
          <w:tcPr>
            <w:tcW w:w="1619" w:type="pct"/>
            <w:vMerge/>
            <w:vAlign w:val="center"/>
          </w:tcPr>
          <w:p w14:paraId="38D9CDB4" w14:textId="77777777" w:rsidR="004835CC" w:rsidRPr="00453DBE" w:rsidRDefault="004835CC" w:rsidP="006417E6">
            <w:pPr>
              <w:pStyle w:val="affffffffffff7"/>
              <w:topLinePunct/>
              <w:snapToGrid w:val="0"/>
            </w:pPr>
          </w:p>
        </w:tc>
        <w:tc>
          <w:tcPr>
            <w:tcW w:w="2026" w:type="pct"/>
            <w:vAlign w:val="center"/>
          </w:tcPr>
          <w:p w14:paraId="16B54903" w14:textId="77777777" w:rsidR="004835CC" w:rsidRPr="00453DBE" w:rsidRDefault="004835CC" w:rsidP="006417E6">
            <w:pPr>
              <w:pStyle w:val="affffffffffff7"/>
              <w:topLinePunct/>
              <w:snapToGrid w:val="0"/>
            </w:pPr>
            <w:r w:rsidRPr="00453DBE">
              <w:rPr>
                <w:rFonts w:hint="eastAsia"/>
              </w:rPr>
              <w:t>沉降量突变</w:t>
            </w:r>
          </w:p>
        </w:tc>
        <w:tc>
          <w:tcPr>
            <w:tcW w:w="1340" w:type="pct"/>
            <w:vAlign w:val="center"/>
          </w:tcPr>
          <w:p w14:paraId="43BEB621" w14:textId="77777777" w:rsidR="004835CC" w:rsidRPr="00453DBE" w:rsidRDefault="004835CC" w:rsidP="006417E6">
            <w:pPr>
              <w:pStyle w:val="affffffffffff7"/>
              <w:topLinePunct/>
              <w:snapToGrid w:val="0"/>
            </w:pPr>
            <w:r w:rsidRPr="00453DBE">
              <w:t>2</w:t>
            </w:r>
            <w:r w:rsidRPr="00453DBE">
              <w:rPr>
                <w:rFonts w:hint="eastAsia"/>
              </w:rPr>
              <w:t>～</w:t>
            </w:r>
            <w:r w:rsidRPr="00453DBE">
              <w:t>3</w:t>
            </w:r>
            <w:r w:rsidRPr="00453DBE">
              <w:rPr>
                <w:rFonts w:hint="eastAsia"/>
              </w:rPr>
              <w:t>次</w:t>
            </w:r>
            <w:r w:rsidRPr="00453DBE">
              <w:t>/d</w:t>
            </w:r>
          </w:p>
        </w:tc>
      </w:tr>
      <w:tr w:rsidR="000110B6" w:rsidRPr="00A7607F" w14:paraId="0AFB79EC" w14:textId="77777777" w:rsidTr="00BF0BA3">
        <w:trPr>
          <w:gridAfter w:val="1"/>
          <w:wAfter w:w="15" w:type="pct"/>
          <w:trHeight w:val="340"/>
          <w:jc w:val="center"/>
        </w:trPr>
        <w:tc>
          <w:tcPr>
            <w:tcW w:w="1619" w:type="pct"/>
            <w:vMerge/>
            <w:vAlign w:val="center"/>
          </w:tcPr>
          <w:p w14:paraId="5E2AA14E" w14:textId="77777777" w:rsidR="004835CC" w:rsidRPr="00453DBE" w:rsidRDefault="004835CC" w:rsidP="006417E6">
            <w:pPr>
              <w:pStyle w:val="affffffffffff7"/>
              <w:topLinePunct/>
              <w:snapToGrid w:val="0"/>
            </w:pPr>
          </w:p>
        </w:tc>
        <w:tc>
          <w:tcPr>
            <w:tcW w:w="2026" w:type="pct"/>
            <w:vAlign w:val="center"/>
          </w:tcPr>
          <w:p w14:paraId="247B0A06" w14:textId="77777777" w:rsidR="004835CC" w:rsidRPr="00453DBE" w:rsidRDefault="004835CC" w:rsidP="006417E6">
            <w:pPr>
              <w:pStyle w:val="affffffffffff7"/>
              <w:topLinePunct/>
              <w:snapToGrid w:val="0"/>
            </w:pPr>
            <w:r w:rsidRPr="00453DBE">
              <w:rPr>
                <w:rFonts w:hint="eastAsia"/>
              </w:rPr>
              <w:t>两次填筑间隔时间较长</w:t>
            </w:r>
          </w:p>
        </w:tc>
        <w:tc>
          <w:tcPr>
            <w:tcW w:w="1340" w:type="pct"/>
            <w:vAlign w:val="center"/>
          </w:tcPr>
          <w:p w14:paraId="1F3C561C" w14:textId="77777777" w:rsidR="004835CC" w:rsidRPr="00453DBE" w:rsidRDefault="004835CC" w:rsidP="006417E6">
            <w:pPr>
              <w:pStyle w:val="affffffffffff7"/>
              <w:topLinePunct/>
              <w:snapToGrid w:val="0"/>
            </w:pPr>
            <w:r w:rsidRPr="00453DBE">
              <w:t>1</w:t>
            </w:r>
            <w:r w:rsidRPr="00453DBE">
              <w:rPr>
                <w:rFonts w:hint="eastAsia"/>
              </w:rPr>
              <w:t>次</w:t>
            </w:r>
            <w:r w:rsidRPr="00453DBE">
              <w:t>/3 d</w:t>
            </w:r>
          </w:p>
        </w:tc>
      </w:tr>
      <w:tr w:rsidR="000110B6" w:rsidRPr="00A7607F" w14:paraId="43F530F5" w14:textId="77777777" w:rsidTr="00BF0BA3">
        <w:trPr>
          <w:trHeight w:val="340"/>
          <w:jc w:val="center"/>
        </w:trPr>
        <w:tc>
          <w:tcPr>
            <w:tcW w:w="1619" w:type="pct"/>
            <w:vMerge w:val="restart"/>
            <w:vAlign w:val="center"/>
          </w:tcPr>
          <w:p w14:paraId="08C920A9" w14:textId="77777777" w:rsidR="004835CC" w:rsidRPr="00453DBE" w:rsidRDefault="004835CC" w:rsidP="006417E6">
            <w:pPr>
              <w:pStyle w:val="affffffffffff7"/>
              <w:topLinePunct/>
              <w:snapToGrid w:val="0"/>
            </w:pPr>
            <w:r w:rsidRPr="00453DBE">
              <w:rPr>
                <w:rFonts w:hint="eastAsia"/>
              </w:rPr>
              <w:t>堆载预压或路基填筑完成</w:t>
            </w:r>
          </w:p>
        </w:tc>
        <w:tc>
          <w:tcPr>
            <w:tcW w:w="2026" w:type="pct"/>
            <w:vAlign w:val="center"/>
          </w:tcPr>
          <w:p w14:paraId="26F6A1B4" w14:textId="77777777" w:rsidR="004835CC" w:rsidRPr="00453DBE" w:rsidRDefault="004835CC" w:rsidP="006417E6">
            <w:pPr>
              <w:pStyle w:val="affffffffffff7"/>
              <w:topLinePunct/>
              <w:snapToGrid w:val="0"/>
            </w:pPr>
            <w:r w:rsidRPr="00453DBE">
              <w:rPr>
                <w:rFonts w:hint="eastAsia"/>
              </w:rPr>
              <w:t>第</w:t>
            </w:r>
            <w:r w:rsidRPr="00453DBE">
              <w:t>1</w:t>
            </w:r>
            <w:r w:rsidRPr="00453DBE">
              <w:rPr>
                <w:rFonts w:hint="eastAsia"/>
              </w:rPr>
              <w:t>～</w:t>
            </w:r>
            <w:r w:rsidRPr="00453DBE">
              <w:t>3</w:t>
            </w:r>
            <w:r w:rsidRPr="00453DBE">
              <w:rPr>
                <w:rFonts w:hint="eastAsia"/>
              </w:rPr>
              <w:t>个月</w:t>
            </w:r>
          </w:p>
        </w:tc>
        <w:tc>
          <w:tcPr>
            <w:tcW w:w="1355" w:type="pct"/>
            <w:gridSpan w:val="2"/>
            <w:vAlign w:val="center"/>
          </w:tcPr>
          <w:p w14:paraId="5EA6339B" w14:textId="77777777" w:rsidR="004835CC" w:rsidRPr="00453DBE" w:rsidRDefault="004835CC" w:rsidP="006417E6">
            <w:pPr>
              <w:pStyle w:val="affffffffffff7"/>
              <w:topLinePunct/>
              <w:snapToGrid w:val="0"/>
            </w:pPr>
            <w:r w:rsidRPr="00453DBE">
              <w:t>1</w:t>
            </w:r>
            <w:r w:rsidRPr="00453DBE">
              <w:rPr>
                <w:rFonts w:hint="eastAsia"/>
              </w:rPr>
              <w:t>次</w:t>
            </w:r>
            <w:r w:rsidRPr="00453DBE">
              <w:t>/</w:t>
            </w:r>
            <w:r w:rsidRPr="00453DBE">
              <w:rPr>
                <w:rFonts w:hint="eastAsia"/>
              </w:rPr>
              <w:t>周</w:t>
            </w:r>
          </w:p>
        </w:tc>
      </w:tr>
      <w:tr w:rsidR="000110B6" w:rsidRPr="00A7607F" w14:paraId="7F492381" w14:textId="77777777" w:rsidTr="00BF0BA3">
        <w:trPr>
          <w:trHeight w:val="340"/>
          <w:jc w:val="center"/>
        </w:trPr>
        <w:tc>
          <w:tcPr>
            <w:tcW w:w="1619" w:type="pct"/>
            <w:vMerge/>
            <w:vAlign w:val="center"/>
          </w:tcPr>
          <w:p w14:paraId="659817F6" w14:textId="77777777" w:rsidR="004835CC" w:rsidRPr="00453DBE" w:rsidRDefault="004835CC" w:rsidP="006417E6">
            <w:pPr>
              <w:pStyle w:val="affffffffffff7"/>
              <w:topLinePunct/>
              <w:snapToGrid w:val="0"/>
            </w:pPr>
          </w:p>
        </w:tc>
        <w:tc>
          <w:tcPr>
            <w:tcW w:w="2026" w:type="pct"/>
            <w:vAlign w:val="center"/>
          </w:tcPr>
          <w:p w14:paraId="16DC374C" w14:textId="77777777" w:rsidR="004835CC" w:rsidRPr="00453DBE" w:rsidRDefault="004835CC" w:rsidP="006417E6">
            <w:pPr>
              <w:pStyle w:val="affffffffffff7"/>
              <w:topLinePunct/>
              <w:snapToGrid w:val="0"/>
            </w:pPr>
            <w:r w:rsidRPr="00453DBE">
              <w:rPr>
                <w:rFonts w:hint="eastAsia"/>
              </w:rPr>
              <w:t>第</w:t>
            </w:r>
            <w:r w:rsidRPr="00453DBE">
              <w:t>4</w:t>
            </w:r>
            <w:r w:rsidRPr="00453DBE">
              <w:rPr>
                <w:rFonts w:hint="eastAsia"/>
              </w:rPr>
              <w:t>～</w:t>
            </w:r>
            <w:r w:rsidRPr="00453DBE">
              <w:t>6</w:t>
            </w:r>
            <w:r w:rsidRPr="00453DBE">
              <w:rPr>
                <w:rFonts w:hint="eastAsia"/>
              </w:rPr>
              <w:t>个月</w:t>
            </w:r>
          </w:p>
        </w:tc>
        <w:tc>
          <w:tcPr>
            <w:tcW w:w="1355" w:type="pct"/>
            <w:gridSpan w:val="2"/>
            <w:vAlign w:val="center"/>
          </w:tcPr>
          <w:p w14:paraId="19422CEA" w14:textId="77777777" w:rsidR="004835CC" w:rsidRPr="00453DBE" w:rsidRDefault="004835CC" w:rsidP="006417E6">
            <w:pPr>
              <w:pStyle w:val="affffffffffff7"/>
              <w:topLinePunct/>
              <w:snapToGrid w:val="0"/>
            </w:pPr>
            <w:r w:rsidRPr="00453DBE">
              <w:t>1</w:t>
            </w:r>
            <w:r w:rsidRPr="00453DBE">
              <w:rPr>
                <w:rFonts w:hint="eastAsia"/>
              </w:rPr>
              <w:t>次</w:t>
            </w:r>
            <w:r w:rsidRPr="00453DBE">
              <w:t>/2</w:t>
            </w:r>
            <w:r w:rsidRPr="00453DBE">
              <w:rPr>
                <w:rFonts w:hint="eastAsia"/>
              </w:rPr>
              <w:t>周</w:t>
            </w:r>
          </w:p>
        </w:tc>
      </w:tr>
      <w:tr w:rsidR="000110B6" w:rsidRPr="00A7607F" w14:paraId="3B74337B" w14:textId="77777777" w:rsidTr="00BF0BA3">
        <w:trPr>
          <w:trHeight w:val="340"/>
          <w:jc w:val="center"/>
        </w:trPr>
        <w:tc>
          <w:tcPr>
            <w:tcW w:w="1619" w:type="pct"/>
            <w:vMerge/>
            <w:vAlign w:val="center"/>
          </w:tcPr>
          <w:p w14:paraId="14F11302" w14:textId="77777777" w:rsidR="004835CC" w:rsidRPr="00453DBE" w:rsidRDefault="004835CC" w:rsidP="006417E6">
            <w:pPr>
              <w:pStyle w:val="affffffffffff7"/>
              <w:topLinePunct/>
              <w:snapToGrid w:val="0"/>
            </w:pPr>
          </w:p>
        </w:tc>
        <w:tc>
          <w:tcPr>
            <w:tcW w:w="2026" w:type="pct"/>
            <w:vAlign w:val="center"/>
          </w:tcPr>
          <w:p w14:paraId="7F72EE9E" w14:textId="77777777" w:rsidR="004835CC" w:rsidRPr="00453DBE" w:rsidRDefault="004835CC" w:rsidP="006417E6">
            <w:pPr>
              <w:pStyle w:val="affffffffffff7"/>
              <w:topLinePunct/>
              <w:snapToGrid w:val="0"/>
            </w:pPr>
            <w:r w:rsidRPr="00453DBE">
              <w:t>6</w:t>
            </w:r>
            <w:r w:rsidRPr="00453DBE">
              <w:rPr>
                <w:rFonts w:hint="eastAsia"/>
              </w:rPr>
              <w:t>个月以后</w:t>
            </w:r>
          </w:p>
        </w:tc>
        <w:tc>
          <w:tcPr>
            <w:tcW w:w="1355" w:type="pct"/>
            <w:gridSpan w:val="2"/>
            <w:vAlign w:val="center"/>
          </w:tcPr>
          <w:p w14:paraId="77391AC2" w14:textId="77777777" w:rsidR="004835CC" w:rsidRPr="00453DBE" w:rsidRDefault="004835CC" w:rsidP="006417E6">
            <w:pPr>
              <w:pStyle w:val="affffffffffff7"/>
              <w:topLinePunct/>
              <w:snapToGrid w:val="0"/>
            </w:pPr>
            <w:r w:rsidRPr="00453DBE">
              <w:t>1</w:t>
            </w:r>
            <w:r w:rsidRPr="00453DBE">
              <w:rPr>
                <w:rFonts w:hint="eastAsia"/>
              </w:rPr>
              <w:t>次</w:t>
            </w:r>
            <w:r w:rsidRPr="00453DBE">
              <w:t>/</w:t>
            </w:r>
            <w:r w:rsidRPr="00453DBE">
              <w:rPr>
                <w:rFonts w:hint="eastAsia"/>
              </w:rPr>
              <w:t>月</w:t>
            </w:r>
          </w:p>
        </w:tc>
      </w:tr>
      <w:tr w:rsidR="000110B6" w:rsidRPr="00A7607F" w14:paraId="238D0270" w14:textId="77777777" w:rsidTr="00BF0BA3">
        <w:trPr>
          <w:trHeight w:val="340"/>
          <w:jc w:val="center"/>
        </w:trPr>
        <w:tc>
          <w:tcPr>
            <w:tcW w:w="1619" w:type="pct"/>
            <w:vMerge w:val="restart"/>
            <w:vAlign w:val="center"/>
          </w:tcPr>
          <w:p w14:paraId="5E6E43A2" w14:textId="77777777" w:rsidR="004835CC" w:rsidRPr="00453DBE" w:rsidRDefault="004835CC" w:rsidP="006417E6">
            <w:pPr>
              <w:pStyle w:val="affffffffffff7"/>
              <w:topLinePunct/>
              <w:snapToGrid w:val="0"/>
            </w:pPr>
            <w:r w:rsidRPr="00453DBE">
              <w:rPr>
                <w:rFonts w:hint="eastAsia"/>
              </w:rPr>
              <w:t>轨道铺设后</w:t>
            </w:r>
          </w:p>
        </w:tc>
        <w:tc>
          <w:tcPr>
            <w:tcW w:w="2026" w:type="pct"/>
            <w:vAlign w:val="center"/>
          </w:tcPr>
          <w:p w14:paraId="47258F71" w14:textId="77777777" w:rsidR="004835CC" w:rsidRPr="00453DBE" w:rsidRDefault="004835CC" w:rsidP="006417E6">
            <w:pPr>
              <w:pStyle w:val="affffffffffff7"/>
              <w:topLinePunct/>
              <w:snapToGrid w:val="0"/>
            </w:pPr>
            <w:r w:rsidRPr="00453DBE">
              <w:rPr>
                <w:rFonts w:hint="eastAsia"/>
              </w:rPr>
              <w:t>第</w:t>
            </w:r>
            <w:r w:rsidRPr="00453DBE">
              <w:t>1</w:t>
            </w:r>
            <w:r w:rsidRPr="00453DBE">
              <w:rPr>
                <w:rFonts w:hint="eastAsia"/>
              </w:rPr>
              <w:t>个月</w:t>
            </w:r>
          </w:p>
        </w:tc>
        <w:tc>
          <w:tcPr>
            <w:tcW w:w="1355" w:type="pct"/>
            <w:gridSpan w:val="2"/>
            <w:vAlign w:val="center"/>
          </w:tcPr>
          <w:p w14:paraId="06FCC9FB" w14:textId="77777777" w:rsidR="004835CC" w:rsidRPr="00453DBE" w:rsidRDefault="004835CC" w:rsidP="006417E6">
            <w:pPr>
              <w:pStyle w:val="affffffffffff7"/>
              <w:topLinePunct/>
              <w:snapToGrid w:val="0"/>
            </w:pPr>
            <w:r w:rsidRPr="00453DBE">
              <w:t>1</w:t>
            </w:r>
            <w:r w:rsidRPr="00453DBE">
              <w:rPr>
                <w:rFonts w:hint="eastAsia"/>
              </w:rPr>
              <w:t>次</w:t>
            </w:r>
            <w:r w:rsidRPr="00453DBE">
              <w:t>/2</w:t>
            </w:r>
            <w:r w:rsidRPr="00453DBE">
              <w:rPr>
                <w:rFonts w:hint="eastAsia"/>
              </w:rPr>
              <w:t>周</w:t>
            </w:r>
          </w:p>
        </w:tc>
      </w:tr>
      <w:tr w:rsidR="000110B6" w:rsidRPr="00A7607F" w14:paraId="0D0C3FB2" w14:textId="77777777" w:rsidTr="00BF0BA3">
        <w:trPr>
          <w:trHeight w:val="340"/>
          <w:jc w:val="center"/>
        </w:trPr>
        <w:tc>
          <w:tcPr>
            <w:tcW w:w="1619" w:type="pct"/>
            <w:vMerge/>
            <w:vAlign w:val="center"/>
          </w:tcPr>
          <w:p w14:paraId="07CD2A56" w14:textId="77777777" w:rsidR="004835CC" w:rsidRPr="00453DBE" w:rsidRDefault="004835CC" w:rsidP="006417E6">
            <w:pPr>
              <w:pStyle w:val="affffffffffff7"/>
              <w:topLinePunct/>
              <w:snapToGrid w:val="0"/>
            </w:pPr>
          </w:p>
        </w:tc>
        <w:tc>
          <w:tcPr>
            <w:tcW w:w="2026" w:type="pct"/>
            <w:vAlign w:val="center"/>
          </w:tcPr>
          <w:p w14:paraId="64DDED2C" w14:textId="77777777" w:rsidR="004835CC" w:rsidRPr="00453DBE" w:rsidRDefault="004835CC" w:rsidP="006417E6">
            <w:pPr>
              <w:pStyle w:val="affffffffffff7"/>
              <w:topLinePunct/>
              <w:snapToGrid w:val="0"/>
            </w:pPr>
            <w:r w:rsidRPr="00453DBE">
              <w:rPr>
                <w:rFonts w:hint="eastAsia"/>
              </w:rPr>
              <w:t>第</w:t>
            </w:r>
            <w:r w:rsidRPr="00453DBE">
              <w:t>2</w:t>
            </w:r>
            <w:r w:rsidRPr="00453DBE">
              <w:rPr>
                <w:rFonts w:hint="eastAsia"/>
              </w:rPr>
              <w:t>～</w:t>
            </w:r>
            <w:r w:rsidRPr="00453DBE">
              <w:t>3</w:t>
            </w:r>
            <w:r w:rsidRPr="00453DBE">
              <w:rPr>
                <w:rFonts w:hint="eastAsia"/>
              </w:rPr>
              <w:t>个月</w:t>
            </w:r>
          </w:p>
        </w:tc>
        <w:tc>
          <w:tcPr>
            <w:tcW w:w="1355" w:type="pct"/>
            <w:gridSpan w:val="2"/>
            <w:vAlign w:val="center"/>
          </w:tcPr>
          <w:p w14:paraId="30E09936" w14:textId="77777777" w:rsidR="004835CC" w:rsidRPr="00453DBE" w:rsidRDefault="004835CC" w:rsidP="006417E6">
            <w:pPr>
              <w:pStyle w:val="affffffffffff7"/>
              <w:topLinePunct/>
              <w:snapToGrid w:val="0"/>
            </w:pPr>
            <w:r w:rsidRPr="00453DBE">
              <w:t>1</w:t>
            </w:r>
            <w:r w:rsidRPr="00453DBE">
              <w:rPr>
                <w:rFonts w:hint="eastAsia"/>
              </w:rPr>
              <w:t>次</w:t>
            </w:r>
            <w:r w:rsidRPr="00453DBE">
              <w:t>/</w:t>
            </w:r>
            <w:r w:rsidRPr="00453DBE">
              <w:rPr>
                <w:rFonts w:hint="eastAsia"/>
              </w:rPr>
              <w:t>月</w:t>
            </w:r>
          </w:p>
        </w:tc>
      </w:tr>
      <w:tr w:rsidR="000110B6" w:rsidRPr="00A7607F" w14:paraId="22A224DB" w14:textId="77777777" w:rsidTr="00BF0BA3">
        <w:trPr>
          <w:trHeight w:val="340"/>
          <w:jc w:val="center"/>
        </w:trPr>
        <w:tc>
          <w:tcPr>
            <w:tcW w:w="1619" w:type="pct"/>
            <w:vMerge/>
            <w:vAlign w:val="center"/>
          </w:tcPr>
          <w:p w14:paraId="63DBBE8C" w14:textId="77777777" w:rsidR="004835CC" w:rsidRPr="00453DBE" w:rsidRDefault="004835CC" w:rsidP="006417E6">
            <w:pPr>
              <w:pStyle w:val="affffffffffff7"/>
              <w:topLinePunct/>
              <w:snapToGrid w:val="0"/>
            </w:pPr>
          </w:p>
        </w:tc>
        <w:tc>
          <w:tcPr>
            <w:tcW w:w="2026" w:type="pct"/>
            <w:vAlign w:val="center"/>
          </w:tcPr>
          <w:p w14:paraId="0029F0A8" w14:textId="77777777" w:rsidR="004835CC" w:rsidRPr="00453DBE" w:rsidRDefault="004835CC" w:rsidP="006417E6">
            <w:pPr>
              <w:pStyle w:val="affffffffffff7"/>
              <w:topLinePunct/>
              <w:snapToGrid w:val="0"/>
            </w:pPr>
            <w:r w:rsidRPr="00453DBE">
              <w:t>3</w:t>
            </w:r>
            <w:r w:rsidRPr="00453DBE">
              <w:rPr>
                <w:rFonts w:hint="eastAsia"/>
              </w:rPr>
              <w:t>个月以后</w:t>
            </w:r>
          </w:p>
        </w:tc>
        <w:tc>
          <w:tcPr>
            <w:tcW w:w="1355" w:type="pct"/>
            <w:gridSpan w:val="2"/>
            <w:vAlign w:val="center"/>
          </w:tcPr>
          <w:p w14:paraId="640210CE" w14:textId="77777777" w:rsidR="004835CC" w:rsidRPr="00453DBE" w:rsidRDefault="004835CC" w:rsidP="006417E6">
            <w:pPr>
              <w:pStyle w:val="affffffffffff7"/>
              <w:topLinePunct/>
              <w:snapToGrid w:val="0"/>
            </w:pPr>
            <w:r w:rsidRPr="00453DBE">
              <w:t>1</w:t>
            </w:r>
            <w:r w:rsidRPr="00453DBE">
              <w:rPr>
                <w:rFonts w:hint="eastAsia"/>
              </w:rPr>
              <w:t>次</w:t>
            </w:r>
            <w:r w:rsidRPr="00453DBE">
              <w:t>/3</w:t>
            </w:r>
            <w:r w:rsidRPr="00453DBE">
              <w:rPr>
                <w:rFonts w:hint="eastAsia"/>
              </w:rPr>
              <w:t>月</w:t>
            </w:r>
          </w:p>
        </w:tc>
      </w:tr>
    </w:tbl>
    <w:p w14:paraId="16AA69A0" w14:textId="18035913" w:rsidR="004835CC" w:rsidRPr="00A7607F" w:rsidRDefault="004835CC" w:rsidP="004835CC">
      <w:pPr>
        <w:pStyle w:val="affffb"/>
        <w:ind w:firstLineChars="0" w:firstLine="0"/>
      </w:pPr>
    </w:p>
    <w:p w14:paraId="5EF2AC57" w14:textId="6938DB29" w:rsidR="004835CC" w:rsidRPr="00453DBE" w:rsidRDefault="004835CC" w:rsidP="00453DBE">
      <w:pPr>
        <w:pStyle w:val="22"/>
      </w:pPr>
      <w:r w:rsidRPr="00453DBE">
        <w:rPr>
          <w:rFonts w:hint="eastAsia"/>
        </w:rPr>
        <w:t>沉降水准测量的重复精度不应低于</w:t>
      </w:r>
      <w:r w:rsidRPr="00453DBE">
        <w:t>±1 mm</w:t>
      </w:r>
      <w:r w:rsidRPr="00453DBE">
        <w:rPr>
          <w:rFonts w:hint="eastAsia"/>
        </w:rPr>
        <w:t>，读数取位至</w:t>
      </w:r>
      <w:r w:rsidRPr="00453DBE">
        <w:t>0.1 mm</w:t>
      </w:r>
      <w:r w:rsidRPr="00453DBE">
        <w:rPr>
          <w:rFonts w:hint="eastAsia"/>
        </w:rPr>
        <w:t>；剖面沉降观测的重复精度不应低于</w:t>
      </w:r>
      <w:r w:rsidRPr="00453DBE">
        <w:t>±4 mm/30 m</w:t>
      </w:r>
      <w:r w:rsidRPr="00453DBE">
        <w:rPr>
          <w:rFonts w:hint="eastAsia"/>
        </w:rPr>
        <w:t>。</w:t>
      </w:r>
    </w:p>
    <w:p w14:paraId="1ECA60CC" w14:textId="179E2C03" w:rsidR="004835CC" w:rsidRPr="00453DBE" w:rsidRDefault="004835CC" w:rsidP="00453DBE">
      <w:pPr>
        <w:pStyle w:val="22"/>
      </w:pPr>
      <w:r w:rsidRPr="00453DBE">
        <w:rPr>
          <w:rFonts w:hint="eastAsia"/>
        </w:rPr>
        <w:t>路基评估应根据有关设计、施工和监理的资料及交接检验和复检的结果进行综合分析。</w:t>
      </w:r>
      <w:r w:rsidRPr="00453DBE">
        <w:t xml:space="preserve"> </w:t>
      </w:r>
    </w:p>
    <w:p w14:paraId="54F027C2" w14:textId="3DE12888" w:rsidR="004835CC" w:rsidRPr="00453DBE" w:rsidRDefault="004835CC" w:rsidP="00DE0C56">
      <w:pPr>
        <w:pStyle w:val="22"/>
      </w:pPr>
      <w:r w:rsidRPr="00453DBE">
        <w:t>路基沉降预测应采用曲线回归法。</w:t>
      </w:r>
    </w:p>
    <w:p w14:paraId="4386E9D6" w14:textId="465423CF" w:rsidR="00DE0C56" w:rsidRPr="00765F6E" w:rsidRDefault="00DE0C56" w:rsidP="00DE0C56">
      <w:pPr>
        <w:pStyle w:val="affe"/>
        <w:spacing w:before="156" w:after="156"/>
      </w:pPr>
      <w:bookmarkStart w:id="1203" w:name="_Toc182476435"/>
      <w:r>
        <w:rPr>
          <w:rFonts w:hint="eastAsia"/>
        </w:rPr>
        <w:t>接口设计</w:t>
      </w:r>
      <w:bookmarkEnd w:id="1203"/>
    </w:p>
    <w:p w14:paraId="2D662B2F" w14:textId="77777777" w:rsidR="00DE0C56" w:rsidRDefault="00DE0C56" w:rsidP="00453DBE">
      <w:pPr>
        <w:pStyle w:val="22"/>
      </w:pPr>
      <w:r>
        <w:rPr>
          <w:rFonts w:hint="eastAsia"/>
        </w:rPr>
        <w:t>路基工程设计应按相关要求预留电缆槽、电缆井、过轨管线、接触网支柱及声屏障基础、综合接地等工程设施的条件。</w:t>
      </w:r>
    </w:p>
    <w:p w14:paraId="43936CB0" w14:textId="4B7BA772" w:rsidR="00DE0C56" w:rsidRDefault="00DE0C56" w:rsidP="00453DBE">
      <w:pPr>
        <w:pStyle w:val="22"/>
      </w:pPr>
      <w:r>
        <w:rPr>
          <w:rFonts w:hint="eastAsia"/>
        </w:rPr>
        <w:t>路基设计应为埋设于路基面的各种设备及基础预留条件，避免二次开挖破坏路基强度、稳定性及防排水性能。</w:t>
      </w:r>
    </w:p>
    <w:p w14:paraId="09BD61C6" w14:textId="5C12CEEE" w:rsidR="00DE0C56" w:rsidRDefault="00DE0C56" w:rsidP="00453DBE">
      <w:pPr>
        <w:pStyle w:val="22"/>
      </w:pPr>
      <w:r>
        <w:rPr>
          <w:rFonts w:hint="eastAsia"/>
        </w:rPr>
        <w:t>电缆槽设置于路肩时，应采取防排水措施，应与电缆井及桥梁、隧道上的电缆槽平顺连接。</w:t>
      </w:r>
    </w:p>
    <w:p w14:paraId="1A18FA0E" w14:textId="11AF5FD6" w:rsidR="00DE0C56" w:rsidRPr="00453DBE" w:rsidRDefault="00DE0C56" w:rsidP="00453DBE">
      <w:pPr>
        <w:pStyle w:val="22"/>
      </w:pPr>
      <w:r w:rsidRPr="009B2CC3">
        <w:rPr>
          <w:rFonts w:hint="eastAsia"/>
        </w:rPr>
        <w:t>声屏障基础应设置于路肩外侧，并应与路基面排水系统协调。</w:t>
      </w:r>
    </w:p>
    <w:p w14:paraId="28C54A60" w14:textId="77777777" w:rsidR="00737EB2" w:rsidRPr="00765F6E" w:rsidRDefault="00737EB2" w:rsidP="00737EB2">
      <w:pPr>
        <w:pStyle w:val="affd"/>
        <w:spacing w:before="312" w:after="312"/>
      </w:pPr>
      <w:bookmarkStart w:id="1204" w:name="_Toc99791856"/>
      <w:bookmarkStart w:id="1205" w:name="_Toc153291287"/>
      <w:bookmarkStart w:id="1206" w:name="_Toc153210868"/>
      <w:bookmarkStart w:id="1207" w:name="_Toc167895765"/>
      <w:bookmarkStart w:id="1208" w:name="_Toc174538679"/>
      <w:bookmarkStart w:id="1209" w:name="_Toc182476436"/>
      <w:r w:rsidRPr="00765F6E">
        <w:rPr>
          <w:rFonts w:hint="eastAsia"/>
        </w:rPr>
        <w:t>桥涵</w:t>
      </w:r>
      <w:bookmarkEnd w:id="1204"/>
      <w:bookmarkEnd w:id="1205"/>
      <w:bookmarkEnd w:id="1206"/>
      <w:bookmarkEnd w:id="1207"/>
      <w:bookmarkEnd w:id="1208"/>
      <w:bookmarkEnd w:id="1209"/>
    </w:p>
    <w:p w14:paraId="33C32097" w14:textId="77777777" w:rsidR="00737EB2" w:rsidRPr="00765F6E" w:rsidRDefault="00737EB2" w:rsidP="00737EB2">
      <w:pPr>
        <w:pStyle w:val="affe"/>
        <w:spacing w:before="156" w:after="156"/>
      </w:pPr>
      <w:bookmarkStart w:id="1210" w:name="_Toc99791857"/>
      <w:bookmarkStart w:id="1211" w:name="_Toc153291288"/>
      <w:bookmarkStart w:id="1212" w:name="_Toc153210869"/>
      <w:bookmarkStart w:id="1213" w:name="_Toc167895766"/>
      <w:bookmarkStart w:id="1214" w:name="_Toc174538680"/>
      <w:bookmarkStart w:id="1215" w:name="_Toc182476437"/>
      <w:r w:rsidRPr="00765F6E">
        <w:rPr>
          <w:rFonts w:hint="eastAsia"/>
        </w:rPr>
        <w:t>一般规定</w:t>
      </w:r>
      <w:bookmarkEnd w:id="1210"/>
      <w:bookmarkEnd w:id="1211"/>
      <w:bookmarkEnd w:id="1212"/>
      <w:bookmarkEnd w:id="1213"/>
      <w:bookmarkEnd w:id="1214"/>
      <w:bookmarkEnd w:id="1215"/>
    </w:p>
    <w:p w14:paraId="5FC600EB" w14:textId="77777777" w:rsidR="00737EB2" w:rsidRPr="00D12EC7" w:rsidRDefault="00737EB2" w:rsidP="009D0776">
      <w:pPr>
        <w:pStyle w:val="22"/>
      </w:pPr>
      <w:bookmarkStart w:id="1216" w:name="_Toc153291289"/>
      <w:bookmarkStart w:id="1217" w:name="_Toc99791858"/>
      <w:r w:rsidRPr="00D12EC7">
        <w:rPr>
          <w:rFonts w:hint="eastAsia"/>
        </w:rPr>
        <w:t>桥涵结构应满足安全、适用、经济、环保和耐久性要求。</w:t>
      </w:r>
      <w:bookmarkEnd w:id="1216"/>
      <w:bookmarkEnd w:id="1217"/>
    </w:p>
    <w:p w14:paraId="4A1E1CD3" w14:textId="743564BE" w:rsidR="00737EB2" w:rsidRPr="00D12EC7" w:rsidRDefault="00737EB2" w:rsidP="009D0776">
      <w:pPr>
        <w:pStyle w:val="22"/>
      </w:pPr>
      <w:bookmarkStart w:id="1218" w:name="_Toc153291290"/>
      <w:r w:rsidRPr="00D12EC7">
        <w:rPr>
          <w:rFonts w:hint="eastAsia"/>
        </w:rPr>
        <w:t>桥涵主体结构的设计使用年限应为100年</w:t>
      </w:r>
      <w:bookmarkEnd w:id="1218"/>
      <w:r w:rsidR="005F69EA">
        <w:rPr>
          <w:rFonts w:hint="eastAsia"/>
        </w:rPr>
        <w:t>，附属结构</w:t>
      </w:r>
      <w:r w:rsidR="005F69EA" w:rsidRPr="005F69EA">
        <w:rPr>
          <w:rFonts w:hint="eastAsia"/>
        </w:rPr>
        <w:t>设计正常使用年限按TB</w:t>
      </w:r>
      <w:r w:rsidR="005F69EA">
        <w:t xml:space="preserve"> </w:t>
      </w:r>
      <w:r w:rsidR="005F69EA" w:rsidRPr="005F69EA">
        <w:rPr>
          <w:rFonts w:hint="eastAsia"/>
        </w:rPr>
        <w:t>10005办理。</w:t>
      </w:r>
    </w:p>
    <w:p w14:paraId="0044A23F" w14:textId="77777777" w:rsidR="00737EB2" w:rsidRPr="00D12EC7" w:rsidRDefault="00737EB2" w:rsidP="009D0776">
      <w:pPr>
        <w:pStyle w:val="22"/>
      </w:pPr>
      <w:bookmarkStart w:id="1219" w:name="_Toc99791860"/>
      <w:bookmarkStart w:id="1220" w:name="_Toc153291291"/>
      <w:r w:rsidRPr="00D12EC7">
        <w:rPr>
          <w:rFonts w:hint="eastAsia"/>
        </w:rPr>
        <w:t>桥涵结构在制造、运输、安装和运营过程中，应具有规定的强度、刚度、稳定性，并应满足轨道平顺性、列车运行安全性和乘客乘坐舒适性的要求。</w:t>
      </w:r>
      <w:bookmarkEnd w:id="1219"/>
      <w:bookmarkEnd w:id="1220"/>
    </w:p>
    <w:p w14:paraId="64110B53" w14:textId="77777777" w:rsidR="00737EB2" w:rsidRPr="00D12EC7" w:rsidRDefault="00737EB2" w:rsidP="009D0776">
      <w:pPr>
        <w:pStyle w:val="22"/>
      </w:pPr>
      <w:bookmarkStart w:id="1221" w:name="_Toc153291292"/>
      <w:bookmarkStart w:id="1222" w:name="_Toc99791861"/>
      <w:r w:rsidRPr="00D12EC7">
        <w:rPr>
          <w:rFonts w:hint="eastAsia"/>
        </w:rPr>
        <w:t>桥涵结构的工程材料宜综合考虑结构类型、受力状态、使用要求和所处环境等因素选用。</w:t>
      </w:r>
      <w:bookmarkEnd w:id="1221"/>
      <w:bookmarkEnd w:id="1222"/>
    </w:p>
    <w:p w14:paraId="7CEC5115" w14:textId="77777777" w:rsidR="00737EB2" w:rsidRPr="00D12EC7" w:rsidRDefault="00737EB2" w:rsidP="009D0776">
      <w:pPr>
        <w:pStyle w:val="22"/>
      </w:pPr>
      <w:bookmarkStart w:id="1223" w:name="_Toc153291293"/>
      <w:bookmarkStart w:id="1224" w:name="_Toc99791862"/>
      <w:r w:rsidRPr="00D12EC7">
        <w:rPr>
          <w:rFonts w:hint="eastAsia"/>
        </w:rPr>
        <w:t>同一区段内桥涵的孔径与式样应力求简化。除通航、立交等特殊需要外，同一座桥宜采用等跨及相同类型的桥跨结构，并宜采用预制架设、预制拼装等施工工艺和结构形式。</w:t>
      </w:r>
      <w:bookmarkEnd w:id="1223"/>
      <w:bookmarkEnd w:id="1224"/>
    </w:p>
    <w:p w14:paraId="10EF8A5E" w14:textId="77777777" w:rsidR="00737EB2" w:rsidRPr="00D12EC7" w:rsidRDefault="00737EB2" w:rsidP="009D0776">
      <w:pPr>
        <w:pStyle w:val="22"/>
      </w:pPr>
      <w:bookmarkStart w:id="1225" w:name="_Toc153291294"/>
      <w:bookmarkStart w:id="1226" w:name="_Toc99791863"/>
      <w:r w:rsidRPr="00D12EC7">
        <w:rPr>
          <w:rFonts w:hint="eastAsia"/>
        </w:rPr>
        <w:t>桥涵结构形式选择宜综合考虑使用功能、水文和地质情况、环境条件、轨道类型以及施工方法等因素，同时考虑城市景观及减振降噪的要求。</w:t>
      </w:r>
      <w:bookmarkEnd w:id="1225"/>
      <w:bookmarkEnd w:id="1226"/>
    </w:p>
    <w:p w14:paraId="509BF5D0" w14:textId="77777777" w:rsidR="00737EB2" w:rsidRPr="00D12EC7" w:rsidRDefault="00737EB2" w:rsidP="009D0776">
      <w:pPr>
        <w:pStyle w:val="22"/>
      </w:pPr>
      <w:bookmarkStart w:id="1227" w:name="_Toc99791864"/>
      <w:bookmarkStart w:id="1228" w:name="_Toc153291295"/>
      <w:r w:rsidRPr="00D12EC7">
        <w:rPr>
          <w:rFonts w:hint="eastAsia"/>
        </w:rPr>
        <w:t>桥梁上部结构宜采用预应力混凝土结构，下部结构宜采用钢筋混凝土结构。桥墩类型宜结合桥梁所处的地域、地形、水文、立交条件及景观要求等成段统一。</w:t>
      </w:r>
      <w:bookmarkEnd w:id="1227"/>
      <w:bookmarkEnd w:id="1228"/>
    </w:p>
    <w:p w14:paraId="0A321936" w14:textId="77777777" w:rsidR="00737EB2" w:rsidRPr="00D12EC7" w:rsidRDefault="00737EB2" w:rsidP="009D0776">
      <w:pPr>
        <w:pStyle w:val="22"/>
      </w:pPr>
      <w:bookmarkStart w:id="1229" w:name="_Toc153291296"/>
      <w:bookmarkStart w:id="1230" w:name="_Toc99791865"/>
      <w:r w:rsidRPr="00D12EC7">
        <w:rPr>
          <w:rFonts w:hint="eastAsia"/>
        </w:rPr>
        <w:t>涵洞可采用框架涵、圆涵或其他适宜的结构形式。</w:t>
      </w:r>
      <w:bookmarkEnd w:id="1229"/>
      <w:bookmarkEnd w:id="1230"/>
    </w:p>
    <w:p w14:paraId="3EFDEEA1" w14:textId="77777777" w:rsidR="00737EB2" w:rsidRPr="00D12EC7" w:rsidRDefault="00737EB2" w:rsidP="009D0776">
      <w:pPr>
        <w:pStyle w:val="22"/>
      </w:pPr>
      <w:bookmarkStart w:id="1231" w:name="_Toc99791866"/>
      <w:bookmarkStart w:id="1232" w:name="_Toc153291297"/>
      <w:r w:rsidRPr="00D12EC7">
        <w:rPr>
          <w:rFonts w:hint="eastAsia"/>
        </w:rPr>
        <w:t>相邻桥涵之间路堤长度的确定宜综合考虑列车运行平顺性要求、路桥（涵）过渡段的施工工艺以及技术经济等因素。</w:t>
      </w:r>
      <w:bookmarkEnd w:id="1231"/>
      <w:bookmarkEnd w:id="1232"/>
    </w:p>
    <w:p w14:paraId="2EB8714E" w14:textId="77777777" w:rsidR="00737EB2" w:rsidRPr="00D12EC7" w:rsidRDefault="00737EB2" w:rsidP="009D0776">
      <w:pPr>
        <w:pStyle w:val="22"/>
      </w:pPr>
      <w:bookmarkStart w:id="1233" w:name="_Toc153291298"/>
      <w:bookmarkStart w:id="1234" w:name="_Toc99791867"/>
      <w:r w:rsidRPr="00D12EC7">
        <w:rPr>
          <w:rFonts w:hint="eastAsia"/>
        </w:rPr>
        <w:t>桥涵应满足排洪、灌溉和铁路系统排水要求，不宜改变天然排水系统。</w:t>
      </w:r>
      <w:bookmarkEnd w:id="1233"/>
      <w:bookmarkEnd w:id="1234"/>
    </w:p>
    <w:p w14:paraId="74DF7681" w14:textId="77777777" w:rsidR="00737EB2" w:rsidRPr="00D12EC7" w:rsidRDefault="00737EB2" w:rsidP="009D0776">
      <w:pPr>
        <w:pStyle w:val="22"/>
      </w:pPr>
      <w:bookmarkStart w:id="1235" w:name="_Toc153291299"/>
      <w:bookmarkStart w:id="1236" w:name="_Toc99791868"/>
      <w:r w:rsidRPr="00D12EC7">
        <w:rPr>
          <w:rFonts w:hint="eastAsia"/>
        </w:rPr>
        <w:t>市域铁路上跨铁路、公路、城市道路及河流时，桥下净高应满足相应规范和有关部门的要求，并预留梁体挠度、路面后期改造等余量。</w:t>
      </w:r>
      <w:bookmarkEnd w:id="1235"/>
      <w:bookmarkEnd w:id="1236"/>
    </w:p>
    <w:p w14:paraId="3BD22368" w14:textId="77777777" w:rsidR="00737EB2" w:rsidRPr="00D12EC7" w:rsidRDefault="00737EB2" w:rsidP="009D0776">
      <w:pPr>
        <w:pStyle w:val="22"/>
      </w:pPr>
      <w:bookmarkStart w:id="1237" w:name="_Toc99791869"/>
      <w:bookmarkStart w:id="1238" w:name="_Toc153291300"/>
      <w:r w:rsidRPr="00D12EC7">
        <w:rPr>
          <w:rFonts w:hint="eastAsia"/>
        </w:rPr>
        <w:t>跨越排洪河流时，应按1/100洪水频率标准进行设计。技术复杂、修复困难的大桥、特大桥应按1/300洪水频率标准进行检算。当观测或调查洪水频率大于前述洪水频率时，应采用观测或调查洪水频率值；跨越通航河流时，桥下净高应根据通航等级要求确定，并满足</w:t>
      </w:r>
      <w:r w:rsidRPr="00D12EC7">
        <w:t>GB 50139</w:t>
      </w:r>
      <w:r w:rsidRPr="00D12EC7">
        <w:rPr>
          <w:rFonts w:hint="eastAsia"/>
        </w:rPr>
        <w:t>的要求。</w:t>
      </w:r>
      <w:bookmarkEnd w:id="1237"/>
      <w:bookmarkEnd w:id="1238"/>
    </w:p>
    <w:p w14:paraId="07A52008" w14:textId="40F14E1B" w:rsidR="00737EB2" w:rsidRPr="009A58C7" w:rsidRDefault="00737EB2" w:rsidP="009D0776">
      <w:pPr>
        <w:pStyle w:val="22"/>
      </w:pPr>
      <w:bookmarkStart w:id="1239" w:name="_Toc99791870"/>
      <w:bookmarkStart w:id="1240" w:name="_Toc153291301"/>
      <w:r w:rsidRPr="009A58C7">
        <w:rPr>
          <w:rFonts w:hint="eastAsia"/>
        </w:rPr>
        <w:t>跨越道路的桥下净高小于5.0m时，应设置限高防护架。</w:t>
      </w:r>
      <w:r w:rsidR="00915C69" w:rsidRPr="009A58C7">
        <w:rPr>
          <w:rFonts w:hint="eastAsia"/>
        </w:rPr>
        <w:t>桥梁</w:t>
      </w:r>
      <w:r w:rsidRPr="009A58C7">
        <w:rPr>
          <w:rFonts w:hint="eastAsia"/>
        </w:rPr>
        <w:t>墩台应满足表</w:t>
      </w:r>
      <w:r w:rsidR="00B731DB" w:rsidRPr="009A58C7">
        <w:rPr>
          <w:rFonts w:hint="eastAsia"/>
        </w:rPr>
        <w:t>4</w:t>
      </w:r>
      <w:r w:rsidR="00B731DB" w:rsidRPr="009A58C7">
        <w:t>7</w:t>
      </w:r>
      <w:r w:rsidRPr="009A58C7">
        <w:rPr>
          <w:rFonts w:hint="eastAsia"/>
        </w:rPr>
        <w:t>规定的最小安全距离要求。桥墩可能受到汽车撞击时，宜进行防护设计。</w:t>
      </w:r>
      <w:bookmarkEnd w:id="1239"/>
      <w:bookmarkEnd w:id="1240"/>
    </w:p>
    <w:p w14:paraId="64CA7ED0" w14:textId="29F5A438" w:rsidR="00737EB2" w:rsidRPr="002C6609" w:rsidRDefault="002C6609" w:rsidP="00737EB2">
      <w:pPr>
        <w:pStyle w:val="aff3"/>
        <w:spacing w:before="156" w:after="156"/>
      </w:pPr>
      <w:r w:rsidRPr="00BF0BA3">
        <w:rPr>
          <w:rFonts w:hint="eastAsia"/>
        </w:rPr>
        <w:lastRenderedPageBreak/>
        <w:t>高架线桥墩与道路路侧的最小安全距</w:t>
      </w:r>
      <w:r w:rsidR="00737EB2" w:rsidRPr="002C6609">
        <w:rPr>
          <w:rFonts w:hint="eastAsia"/>
        </w:rPr>
        <w:t>离</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085"/>
        <w:gridCol w:w="2451"/>
        <w:gridCol w:w="1484"/>
        <w:gridCol w:w="1915"/>
        <w:gridCol w:w="2399"/>
      </w:tblGrid>
      <w:tr w:rsidR="0040330F" w:rsidRPr="002C6609" w14:paraId="75887A6F" w14:textId="77777777" w:rsidTr="00BF0BA3">
        <w:trPr>
          <w:trHeight w:val="176"/>
        </w:trPr>
        <w:tc>
          <w:tcPr>
            <w:tcW w:w="2689" w:type="pct"/>
            <w:gridSpan w:val="3"/>
            <w:tcBorders>
              <w:top w:val="single" w:sz="8" w:space="0" w:color="auto"/>
              <w:bottom w:val="single" w:sz="8" w:space="0" w:color="auto"/>
            </w:tcBorders>
            <w:shd w:val="clear" w:color="auto" w:fill="auto"/>
            <w:noWrap/>
            <w:vAlign w:val="center"/>
          </w:tcPr>
          <w:p w14:paraId="09150EA2" w14:textId="72AE378C" w:rsidR="0040330F" w:rsidRDefault="0040330F" w:rsidP="00871D47">
            <w:pPr>
              <w:pStyle w:val="affffffffffff2"/>
              <w:jc w:val="center"/>
              <w:rPr>
                <w:rFonts w:hAnsi="宋体" w:cs="宋体"/>
                <w:sz w:val="18"/>
                <w:szCs w:val="18"/>
              </w:rPr>
            </w:pPr>
            <w:r w:rsidRPr="002C6609">
              <w:rPr>
                <w:rFonts w:hAnsi="宋体" w:cs="宋体" w:hint="eastAsia"/>
                <w:sz w:val="18"/>
                <w:szCs w:val="18"/>
              </w:rPr>
              <w:t>分类</w:t>
            </w:r>
          </w:p>
        </w:tc>
        <w:tc>
          <w:tcPr>
            <w:tcW w:w="1026" w:type="pct"/>
            <w:tcBorders>
              <w:top w:val="single" w:sz="8" w:space="0" w:color="auto"/>
              <w:bottom w:val="single" w:sz="8" w:space="0" w:color="auto"/>
            </w:tcBorders>
          </w:tcPr>
          <w:p w14:paraId="67E63288" w14:textId="2D1EDBA5" w:rsidR="0040330F" w:rsidRPr="002C6609" w:rsidRDefault="0040330F" w:rsidP="00871D47">
            <w:pPr>
              <w:pStyle w:val="affffffffffff2"/>
              <w:jc w:val="center"/>
              <w:rPr>
                <w:rFonts w:hAnsi="宋体" w:cs="宋体"/>
                <w:sz w:val="18"/>
                <w:szCs w:val="18"/>
              </w:rPr>
            </w:pPr>
            <w:r>
              <w:rPr>
                <w:rFonts w:hAnsi="宋体" w:cs="宋体" w:hint="eastAsia"/>
                <w:sz w:val="18"/>
                <w:szCs w:val="18"/>
              </w:rPr>
              <w:t>设计速度</w:t>
            </w:r>
            <w:r w:rsidR="008C7BDB">
              <w:rPr>
                <w:rFonts w:hAnsi="宋体" w:cs="宋体" w:hint="eastAsia"/>
                <w:sz w:val="18"/>
                <w:szCs w:val="18"/>
              </w:rPr>
              <w:t>/</w:t>
            </w:r>
            <w:r w:rsidR="008C7BDB">
              <w:rPr>
                <w:rFonts w:hAnsi="宋体" w:cs="宋体"/>
                <w:sz w:val="18"/>
                <w:szCs w:val="18"/>
              </w:rPr>
              <w:t>(</w:t>
            </w:r>
            <w:r w:rsidR="008C7BDB">
              <w:rPr>
                <w:rFonts w:hAnsi="宋体" w:cs="宋体" w:hint="eastAsia"/>
                <w:sz w:val="18"/>
                <w:szCs w:val="18"/>
              </w:rPr>
              <w:t>k</w:t>
            </w:r>
            <w:r w:rsidR="008C7BDB">
              <w:rPr>
                <w:rFonts w:hAnsi="宋体" w:cs="宋体"/>
                <w:sz w:val="18"/>
                <w:szCs w:val="18"/>
              </w:rPr>
              <w:t>m/h)</w:t>
            </w:r>
          </w:p>
        </w:tc>
        <w:tc>
          <w:tcPr>
            <w:tcW w:w="1285" w:type="pct"/>
            <w:tcBorders>
              <w:top w:val="single" w:sz="8" w:space="0" w:color="auto"/>
              <w:bottom w:val="single" w:sz="8" w:space="0" w:color="auto"/>
            </w:tcBorders>
            <w:shd w:val="clear" w:color="auto" w:fill="auto"/>
            <w:noWrap/>
            <w:vAlign w:val="center"/>
          </w:tcPr>
          <w:p w14:paraId="14C8C70A" w14:textId="3EC37FD6" w:rsidR="0040330F" w:rsidRPr="002C6609" w:rsidRDefault="0040330F" w:rsidP="007B2A9C">
            <w:pPr>
              <w:pStyle w:val="affffffffffff2"/>
              <w:jc w:val="center"/>
              <w:rPr>
                <w:rFonts w:hAnsi="宋体" w:cs="宋体"/>
                <w:sz w:val="18"/>
                <w:szCs w:val="18"/>
              </w:rPr>
            </w:pPr>
            <w:r w:rsidRPr="002C6609">
              <w:rPr>
                <w:rFonts w:hAnsi="宋体" w:cs="宋体" w:hint="eastAsia"/>
                <w:sz w:val="18"/>
                <w:szCs w:val="18"/>
              </w:rPr>
              <w:t>最小安全距离</w:t>
            </w:r>
            <w:r>
              <w:rPr>
                <w:rFonts w:hAnsi="宋体" w:cs="宋体" w:hint="eastAsia"/>
                <w:sz w:val="18"/>
                <w:szCs w:val="18"/>
              </w:rPr>
              <w:t>/</w:t>
            </w:r>
            <w:r>
              <w:rPr>
                <w:rFonts w:hAnsi="宋体" w:cs="宋体"/>
                <w:sz w:val="18"/>
                <w:szCs w:val="18"/>
              </w:rPr>
              <w:t>m</w:t>
            </w:r>
          </w:p>
        </w:tc>
      </w:tr>
      <w:tr w:rsidR="00302DDA" w:rsidRPr="002C6609" w14:paraId="1D029F22" w14:textId="77777777" w:rsidTr="00302DDA">
        <w:trPr>
          <w:trHeight w:val="107"/>
        </w:trPr>
        <w:tc>
          <w:tcPr>
            <w:tcW w:w="581" w:type="pct"/>
            <w:vMerge w:val="restart"/>
            <w:shd w:val="clear" w:color="auto" w:fill="auto"/>
            <w:vAlign w:val="center"/>
          </w:tcPr>
          <w:p w14:paraId="10527819" w14:textId="1368CB34" w:rsidR="00302DDA" w:rsidRPr="002C6609" w:rsidRDefault="00302DDA" w:rsidP="0040330F">
            <w:pPr>
              <w:pStyle w:val="affffffffffff2"/>
              <w:jc w:val="center"/>
              <w:rPr>
                <w:rFonts w:hAnsi="宋体" w:cs="宋体"/>
                <w:sz w:val="18"/>
                <w:szCs w:val="18"/>
              </w:rPr>
            </w:pPr>
            <w:r>
              <w:rPr>
                <w:rFonts w:hAnsi="宋体" w:cs="宋体" w:hint="eastAsia"/>
                <w:sz w:val="18"/>
                <w:szCs w:val="18"/>
              </w:rPr>
              <w:t>城市道路</w:t>
            </w:r>
          </w:p>
        </w:tc>
        <w:tc>
          <w:tcPr>
            <w:tcW w:w="1313" w:type="pct"/>
            <w:vMerge w:val="restart"/>
            <w:shd w:val="clear" w:color="auto" w:fill="auto"/>
            <w:noWrap/>
            <w:vAlign w:val="center"/>
          </w:tcPr>
          <w:p w14:paraId="46D611FA" w14:textId="019B4730" w:rsidR="00302DDA" w:rsidRPr="002C6609" w:rsidRDefault="00302DDA" w:rsidP="0040330F">
            <w:pPr>
              <w:pStyle w:val="affffffffffff2"/>
              <w:jc w:val="center"/>
              <w:rPr>
                <w:rFonts w:hAnsi="宋体" w:cs="宋体"/>
                <w:sz w:val="18"/>
                <w:szCs w:val="18"/>
              </w:rPr>
            </w:pPr>
            <w:r w:rsidRPr="002C6609">
              <w:rPr>
                <w:rFonts w:hAnsi="宋体" w:cs="宋体" w:hint="eastAsia"/>
                <w:sz w:val="18"/>
                <w:szCs w:val="18"/>
              </w:rPr>
              <w:t>机动车道</w:t>
            </w:r>
          </w:p>
        </w:tc>
        <w:tc>
          <w:tcPr>
            <w:tcW w:w="795" w:type="pct"/>
            <w:vMerge w:val="restart"/>
            <w:vAlign w:val="center"/>
          </w:tcPr>
          <w:p w14:paraId="13880E20" w14:textId="219B5314" w:rsidR="00302DDA" w:rsidRPr="002C6609" w:rsidRDefault="00302DDA" w:rsidP="0040330F">
            <w:pPr>
              <w:pStyle w:val="affffffffffff2"/>
              <w:jc w:val="center"/>
              <w:rPr>
                <w:rFonts w:hAnsi="宋体" w:cs="宋体"/>
                <w:sz w:val="18"/>
                <w:szCs w:val="18"/>
              </w:rPr>
            </w:pPr>
            <w:r w:rsidRPr="002C6609">
              <w:rPr>
                <w:rFonts w:hAnsi="宋体" w:cs="宋体" w:hint="eastAsia"/>
                <w:sz w:val="18"/>
                <w:szCs w:val="18"/>
              </w:rPr>
              <w:t>中间带</w:t>
            </w:r>
          </w:p>
        </w:tc>
        <w:tc>
          <w:tcPr>
            <w:tcW w:w="1026" w:type="pct"/>
          </w:tcPr>
          <w:p w14:paraId="5C5CE5CB" w14:textId="346E2E1D" w:rsidR="00302DDA" w:rsidRPr="002C6609" w:rsidRDefault="00302DDA" w:rsidP="0040330F">
            <w:pPr>
              <w:pStyle w:val="affffffffffff2"/>
              <w:jc w:val="center"/>
              <w:rPr>
                <w:rFonts w:hAnsi="宋体" w:cs="宋体"/>
                <w:sz w:val="18"/>
                <w:szCs w:val="18"/>
              </w:rPr>
            </w:pPr>
            <w:r w:rsidRPr="002C6609">
              <w:rPr>
                <w:rFonts w:hAnsi="宋体" w:cs="宋体" w:hint="eastAsia"/>
                <w:sz w:val="18"/>
                <w:szCs w:val="18"/>
              </w:rPr>
              <w:t>≥</w:t>
            </w:r>
            <w:r w:rsidRPr="002C6609">
              <w:rPr>
                <w:rFonts w:hAnsi="宋体" w:cs="宋体"/>
                <w:sz w:val="18"/>
                <w:szCs w:val="18"/>
              </w:rPr>
              <w:t>60</w:t>
            </w:r>
          </w:p>
        </w:tc>
        <w:tc>
          <w:tcPr>
            <w:tcW w:w="1285" w:type="pct"/>
            <w:shd w:val="clear" w:color="auto" w:fill="auto"/>
            <w:noWrap/>
            <w:vAlign w:val="center"/>
          </w:tcPr>
          <w:p w14:paraId="24E5BFFA" w14:textId="1E9A030B" w:rsidR="00302DDA" w:rsidRPr="002C6609" w:rsidRDefault="00302DDA" w:rsidP="0040330F">
            <w:pPr>
              <w:pStyle w:val="affffffffffff2"/>
              <w:jc w:val="center"/>
              <w:rPr>
                <w:rFonts w:hAnsi="宋体" w:cs="宋体"/>
                <w:sz w:val="18"/>
                <w:szCs w:val="18"/>
              </w:rPr>
            </w:pPr>
            <w:r>
              <w:rPr>
                <w:rFonts w:hAnsi="宋体" w:cs="宋体"/>
                <w:sz w:val="18"/>
                <w:szCs w:val="18"/>
              </w:rPr>
              <w:t>0.50</w:t>
            </w:r>
          </w:p>
        </w:tc>
      </w:tr>
      <w:tr w:rsidR="00302DDA" w:rsidRPr="002C6609" w14:paraId="604872FC" w14:textId="77777777" w:rsidTr="00302DDA">
        <w:trPr>
          <w:trHeight w:val="106"/>
        </w:trPr>
        <w:tc>
          <w:tcPr>
            <w:tcW w:w="581" w:type="pct"/>
            <w:vMerge/>
            <w:shd w:val="clear" w:color="auto" w:fill="auto"/>
            <w:vAlign w:val="center"/>
          </w:tcPr>
          <w:p w14:paraId="1F0CA08D" w14:textId="77777777" w:rsidR="00302DDA" w:rsidRPr="002C6609" w:rsidRDefault="00302DDA" w:rsidP="0040330F">
            <w:pPr>
              <w:pStyle w:val="affffffffffff2"/>
              <w:jc w:val="center"/>
              <w:rPr>
                <w:rFonts w:hAnsi="宋体" w:cs="宋体"/>
                <w:sz w:val="18"/>
                <w:szCs w:val="18"/>
              </w:rPr>
            </w:pPr>
          </w:p>
        </w:tc>
        <w:tc>
          <w:tcPr>
            <w:tcW w:w="1313" w:type="pct"/>
            <w:vMerge/>
            <w:shd w:val="clear" w:color="auto" w:fill="auto"/>
            <w:noWrap/>
            <w:vAlign w:val="center"/>
          </w:tcPr>
          <w:p w14:paraId="4277F67F" w14:textId="77777777" w:rsidR="00302DDA" w:rsidRPr="002C6609" w:rsidRDefault="00302DDA" w:rsidP="0040330F">
            <w:pPr>
              <w:pStyle w:val="affffffffffff2"/>
              <w:jc w:val="center"/>
              <w:rPr>
                <w:rFonts w:hAnsi="宋体" w:cs="宋体"/>
                <w:sz w:val="18"/>
                <w:szCs w:val="18"/>
              </w:rPr>
            </w:pPr>
          </w:p>
        </w:tc>
        <w:tc>
          <w:tcPr>
            <w:tcW w:w="795" w:type="pct"/>
            <w:vMerge/>
            <w:vAlign w:val="center"/>
          </w:tcPr>
          <w:p w14:paraId="0F384599" w14:textId="77777777" w:rsidR="00302DDA" w:rsidRPr="002C6609" w:rsidRDefault="00302DDA" w:rsidP="0040330F">
            <w:pPr>
              <w:pStyle w:val="affffffffffff2"/>
              <w:jc w:val="center"/>
              <w:rPr>
                <w:rFonts w:hAnsi="宋体" w:cs="宋体"/>
                <w:sz w:val="18"/>
                <w:szCs w:val="18"/>
              </w:rPr>
            </w:pPr>
          </w:p>
        </w:tc>
        <w:tc>
          <w:tcPr>
            <w:tcW w:w="1026" w:type="pct"/>
          </w:tcPr>
          <w:p w14:paraId="7CD2C1CA" w14:textId="01EBCCBB" w:rsidR="00302DDA" w:rsidRPr="002C6609" w:rsidRDefault="00302DDA" w:rsidP="0040330F">
            <w:pPr>
              <w:pStyle w:val="affffffffffff2"/>
              <w:jc w:val="center"/>
              <w:rPr>
                <w:rFonts w:hAnsi="宋体" w:cs="宋体"/>
                <w:sz w:val="18"/>
                <w:szCs w:val="18"/>
              </w:rPr>
            </w:pPr>
            <w:r w:rsidRPr="002C6609">
              <w:rPr>
                <w:rFonts w:hAnsi="宋体" w:cs="宋体"/>
                <w:sz w:val="18"/>
                <w:szCs w:val="18"/>
              </w:rPr>
              <w:t>＜60</w:t>
            </w:r>
          </w:p>
        </w:tc>
        <w:tc>
          <w:tcPr>
            <w:tcW w:w="1285" w:type="pct"/>
            <w:shd w:val="clear" w:color="auto" w:fill="auto"/>
            <w:noWrap/>
            <w:vAlign w:val="center"/>
          </w:tcPr>
          <w:p w14:paraId="6F4C6195" w14:textId="2285588F" w:rsidR="00302DDA" w:rsidRPr="002C6609" w:rsidRDefault="00302DDA" w:rsidP="0040330F">
            <w:pPr>
              <w:pStyle w:val="affffffffffff2"/>
              <w:jc w:val="center"/>
              <w:rPr>
                <w:rFonts w:hAnsi="宋体" w:cs="宋体"/>
                <w:sz w:val="18"/>
                <w:szCs w:val="18"/>
              </w:rPr>
            </w:pPr>
            <w:r>
              <w:rPr>
                <w:rFonts w:hAnsi="宋体" w:cs="宋体" w:hint="eastAsia"/>
                <w:sz w:val="18"/>
                <w:szCs w:val="18"/>
              </w:rPr>
              <w:t>0</w:t>
            </w:r>
            <w:r>
              <w:rPr>
                <w:rFonts w:hAnsi="宋体" w:cs="宋体"/>
                <w:sz w:val="18"/>
                <w:szCs w:val="18"/>
              </w:rPr>
              <w:t>.25</w:t>
            </w:r>
          </w:p>
        </w:tc>
      </w:tr>
      <w:tr w:rsidR="00302DDA" w:rsidRPr="002C6609" w14:paraId="6876FBF7" w14:textId="77777777" w:rsidTr="00302DDA">
        <w:trPr>
          <w:trHeight w:val="107"/>
        </w:trPr>
        <w:tc>
          <w:tcPr>
            <w:tcW w:w="581" w:type="pct"/>
            <w:vMerge/>
            <w:shd w:val="clear" w:color="auto" w:fill="auto"/>
            <w:vAlign w:val="center"/>
          </w:tcPr>
          <w:p w14:paraId="35EEC41B" w14:textId="77777777" w:rsidR="00302DDA" w:rsidRPr="002C6609" w:rsidRDefault="00302DDA" w:rsidP="0040330F">
            <w:pPr>
              <w:pStyle w:val="affffffffffff2"/>
              <w:jc w:val="center"/>
              <w:rPr>
                <w:rFonts w:hAnsi="宋体" w:cs="宋体"/>
                <w:sz w:val="18"/>
                <w:szCs w:val="18"/>
              </w:rPr>
            </w:pPr>
          </w:p>
        </w:tc>
        <w:tc>
          <w:tcPr>
            <w:tcW w:w="1313" w:type="pct"/>
            <w:vMerge/>
            <w:shd w:val="clear" w:color="auto" w:fill="auto"/>
            <w:noWrap/>
            <w:vAlign w:val="center"/>
          </w:tcPr>
          <w:p w14:paraId="23E6038C" w14:textId="77777777" w:rsidR="00302DDA" w:rsidRPr="002C6609" w:rsidRDefault="00302DDA" w:rsidP="0040330F">
            <w:pPr>
              <w:pStyle w:val="affffffffffff2"/>
              <w:jc w:val="center"/>
              <w:rPr>
                <w:rFonts w:hAnsi="宋体" w:cs="宋体"/>
                <w:sz w:val="18"/>
                <w:szCs w:val="18"/>
              </w:rPr>
            </w:pPr>
          </w:p>
        </w:tc>
        <w:tc>
          <w:tcPr>
            <w:tcW w:w="795" w:type="pct"/>
            <w:vMerge w:val="restart"/>
            <w:vAlign w:val="center"/>
          </w:tcPr>
          <w:p w14:paraId="432F9AF6" w14:textId="5ECEEAF9" w:rsidR="00302DDA" w:rsidRPr="002C6609" w:rsidRDefault="00302DDA" w:rsidP="0040330F">
            <w:pPr>
              <w:pStyle w:val="affffffffffff2"/>
              <w:jc w:val="center"/>
              <w:rPr>
                <w:rFonts w:hAnsi="宋体" w:cs="宋体"/>
                <w:sz w:val="18"/>
                <w:szCs w:val="18"/>
              </w:rPr>
            </w:pPr>
            <w:r w:rsidRPr="002C6609">
              <w:rPr>
                <w:rFonts w:hAnsi="宋体" w:cs="宋体" w:hint="eastAsia"/>
                <w:sz w:val="18"/>
                <w:szCs w:val="18"/>
              </w:rPr>
              <w:t>两侧带</w:t>
            </w:r>
          </w:p>
        </w:tc>
        <w:tc>
          <w:tcPr>
            <w:tcW w:w="1026" w:type="pct"/>
          </w:tcPr>
          <w:p w14:paraId="4A22CD21" w14:textId="451956E9" w:rsidR="00302DDA" w:rsidRPr="002C6609" w:rsidRDefault="00302DDA" w:rsidP="0040330F">
            <w:pPr>
              <w:pStyle w:val="affffffffffff2"/>
              <w:jc w:val="center"/>
              <w:rPr>
                <w:rFonts w:hAnsi="宋体" w:cs="宋体"/>
                <w:sz w:val="18"/>
                <w:szCs w:val="18"/>
              </w:rPr>
            </w:pPr>
            <w:r w:rsidRPr="002C6609">
              <w:rPr>
                <w:rFonts w:hAnsi="宋体" w:cs="宋体" w:hint="eastAsia"/>
                <w:sz w:val="18"/>
                <w:szCs w:val="18"/>
              </w:rPr>
              <w:t>≥</w:t>
            </w:r>
            <w:r w:rsidRPr="002C6609">
              <w:rPr>
                <w:rFonts w:hAnsi="宋体" w:cs="宋体"/>
                <w:sz w:val="18"/>
                <w:szCs w:val="18"/>
              </w:rPr>
              <w:t>60</w:t>
            </w:r>
          </w:p>
        </w:tc>
        <w:tc>
          <w:tcPr>
            <w:tcW w:w="1285" w:type="pct"/>
            <w:shd w:val="clear" w:color="auto" w:fill="auto"/>
            <w:noWrap/>
            <w:vAlign w:val="center"/>
          </w:tcPr>
          <w:p w14:paraId="3B348249" w14:textId="75B8785E" w:rsidR="00302DDA" w:rsidRPr="002C6609" w:rsidRDefault="00302DDA" w:rsidP="0040330F">
            <w:pPr>
              <w:pStyle w:val="affffffffffff2"/>
              <w:jc w:val="center"/>
              <w:rPr>
                <w:rFonts w:hAnsi="宋体" w:cs="宋体"/>
                <w:sz w:val="18"/>
                <w:szCs w:val="18"/>
              </w:rPr>
            </w:pPr>
            <w:r>
              <w:rPr>
                <w:rFonts w:hAnsi="宋体" w:cs="宋体" w:hint="eastAsia"/>
                <w:sz w:val="18"/>
                <w:szCs w:val="18"/>
              </w:rPr>
              <w:t>0</w:t>
            </w:r>
            <w:r>
              <w:rPr>
                <w:rFonts w:hAnsi="宋体" w:cs="宋体"/>
                <w:sz w:val="18"/>
                <w:szCs w:val="18"/>
              </w:rPr>
              <w:t>.25</w:t>
            </w:r>
          </w:p>
        </w:tc>
      </w:tr>
      <w:tr w:rsidR="00302DDA" w:rsidRPr="002C6609" w14:paraId="4344A831" w14:textId="77777777" w:rsidTr="00302DDA">
        <w:trPr>
          <w:trHeight w:val="106"/>
        </w:trPr>
        <w:tc>
          <w:tcPr>
            <w:tcW w:w="581" w:type="pct"/>
            <w:vMerge/>
            <w:shd w:val="clear" w:color="auto" w:fill="auto"/>
            <w:vAlign w:val="center"/>
          </w:tcPr>
          <w:p w14:paraId="0B8C9D5C" w14:textId="77777777" w:rsidR="00302DDA" w:rsidRPr="002C6609" w:rsidRDefault="00302DDA" w:rsidP="0040330F">
            <w:pPr>
              <w:pStyle w:val="affffffffffff2"/>
              <w:jc w:val="center"/>
              <w:rPr>
                <w:rFonts w:hAnsi="宋体" w:cs="宋体"/>
                <w:sz w:val="18"/>
                <w:szCs w:val="18"/>
              </w:rPr>
            </w:pPr>
          </w:p>
        </w:tc>
        <w:tc>
          <w:tcPr>
            <w:tcW w:w="1313" w:type="pct"/>
            <w:vMerge/>
            <w:shd w:val="clear" w:color="auto" w:fill="auto"/>
            <w:noWrap/>
            <w:vAlign w:val="center"/>
          </w:tcPr>
          <w:p w14:paraId="2C7D7950" w14:textId="77777777" w:rsidR="00302DDA" w:rsidRPr="002C6609" w:rsidRDefault="00302DDA" w:rsidP="0040330F">
            <w:pPr>
              <w:pStyle w:val="affffffffffff2"/>
              <w:jc w:val="center"/>
              <w:rPr>
                <w:rFonts w:hAnsi="宋体" w:cs="宋体"/>
                <w:sz w:val="18"/>
                <w:szCs w:val="18"/>
              </w:rPr>
            </w:pPr>
          </w:p>
        </w:tc>
        <w:tc>
          <w:tcPr>
            <w:tcW w:w="795" w:type="pct"/>
            <w:vMerge/>
            <w:vAlign w:val="center"/>
          </w:tcPr>
          <w:p w14:paraId="64A3AFF4" w14:textId="77777777" w:rsidR="00302DDA" w:rsidRPr="002C6609" w:rsidRDefault="00302DDA" w:rsidP="0040330F">
            <w:pPr>
              <w:pStyle w:val="affffffffffff2"/>
              <w:jc w:val="center"/>
              <w:rPr>
                <w:rFonts w:hAnsi="宋体" w:cs="宋体"/>
                <w:sz w:val="18"/>
                <w:szCs w:val="18"/>
              </w:rPr>
            </w:pPr>
          </w:p>
        </w:tc>
        <w:tc>
          <w:tcPr>
            <w:tcW w:w="1026" w:type="pct"/>
          </w:tcPr>
          <w:p w14:paraId="76A1FED3" w14:textId="7828113E" w:rsidR="00302DDA" w:rsidRPr="002C6609" w:rsidRDefault="00302DDA" w:rsidP="0040330F">
            <w:pPr>
              <w:pStyle w:val="affffffffffff2"/>
              <w:jc w:val="center"/>
              <w:rPr>
                <w:rFonts w:hAnsi="宋体" w:cs="宋体"/>
                <w:sz w:val="18"/>
                <w:szCs w:val="18"/>
              </w:rPr>
            </w:pPr>
            <w:r w:rsidRPr="002C6609">
              <w:rPr>
                <w:rFonts w:hAnsi="宋体" w:cs="宋体"/>
                <w:sz w:val="18"/>
                <w:szCs w:val="18"/>
              </w:rPr>
              <w:t>＜60</w:t>
            </w:r>
          </w:p>
        </w:tc>
        <w:tc>
          <w:tcPr>
            <w:tcW w:w="1285" w:type="pct"/>
            <w:shd w:val="clear" w:color="auto" w:fill="auto"/>
            <w:noWrap/>
            <w:vAlign w:val="center"/>
          </w:tcPr>
          <w:p w14:paraId="13BFE1C3" w14:textId="1CCC2DA5" w:rsidR="00302DDA" w:rsidRPr="002C6609" w:rsidRDefault="00302DDA" w:rsidP="0040330F">
            <w:pPr>
              <w:pStyle w:val="affffffffffff2"/>
              <w:jc w:val="center"/>
              <w:rPr>
                <w:rFonts w:hAnsi="宋体" w:cs="宋体"/>
                <w:sz w:val="18"/>
                <w:szCs w:val="18"/>
              </w:rPr>
            </w:pPr>
            <w:r>
              <w:rPr>
                <w:rFonts w:hAnsi="宋体" w:cs="宋体" w:hint="eastAsia"/>
                <w:sz w:val="18"/>
                <w:szCs w:val="18"/>
              </w:rPr>
              <w:t>0</w:t>
            </w:r>
            <w:r>
              <w:rPr>
                <w:rFonts w:hAnsi="宋体" w:cs="宋体"/>
                <w:sz w:val="18"/>
                <w:szCs w:val="18"/>
              </w:rPr>
              <w:t>.25</w:t>
            </w:r>
          </w:p>
        </w:tc>
      </w:tr>
      <w:tr w:rsidR="00302DDA" w:rsidRPr="002C6609" w14:paraId="1434E682" w14:textId="77777777" w:rsidTr="00302DDA">
        <w:trPr>
          <w:trHeight w:val="107"/>
        </w:trPr>
        <w:tc>
          <w:tcPr>
            <w:tcW w:w="581" w:type="pct"/>
            <w:vMerge/>
            <w:shd w:val="clear" w:color="auto" w:fill="auto"/>
            <w:vAlign w:val="center"/>
          </w:tcPr>
          <w:p w14:paraId="089F8F81" w14:textId="77777777" w:rsidR="00302DDA" w:rsidRPr="002C6609" w:rsidRDefault="00302DDA" w:rsidP="0040330F">
            <w:pPr>
              <w:pStyle w:val="affffffffffff2"/>
              <w:jc w:val="center"/>
              <w:rPr>
                <w:rFonts w:hAnsi="宋体" w:cs="宋体"/>
                <w:sz w:val="18"/>
                <w:szCs w:val="18"/>
              </w:rPr>
            </w:pPr>
          </w:p>
        </w:tc>
        <w:tc>
          <w:tcPr>
            <w:tcW w:w="1313" w:type="pct"/>
            <w:vMerge w:val="restart"/>
            <w:shd w:val="clear" w:color="auto" w:fill="auto"/>
            <w:noWrap/>
            <w:vAlign w:val="center"/>
          </w:tcPr>
          <w:p w14:paraId="6C510B85" w14:textId="094F9C64" w:rsidR="00302DDA" w:rsidRPr="002C6609" w:rsidRDefault="00302DDA" w:rsidP="0040330F">
            <w:pPr>
              <w:pStyle w:val="affffffffffff2"/>
              <w:jc w:val="center"/>
              <w:rPr>
                <w:rFonts w:hAnsi="宋体" w:cs="宋体"/>
                <w:sz w:val="18"/>
                <w:szCs w:val="18"/>
              </w:rPr>
            </w:pPr>
            <w:r w:rsidRPr="002C6609">
              <w:rPr>
                <w:rFonts w:hAnsi="宋体" w:cs="宋体" w:hint="eastAsia"/>
                <w:sz w:val="18"/>
                <w:szCs w:val="18"/>
              </w:rPr>
              <w:t>非机动车道</w:t>
            </w:r>
          </w:p>
        </w:tc>
        <w:tc>
          <w:tcPr>
            <w:tcW w:w="795" w:type="pct"/>
            <w:vMerge w:val="restart"/>
            <w:vAlign w:val="center"/>
          </w:tcPr>
          <w:p w14:paraId="2A6590A6" w14:textId="7F2D1A8B" w:rsidR="00302DDA" w:rsidRPr="002C6609" w:rsidRDefault="00302DDA" w:rsidP="0040330F">
            <w:pPr>
              <w:pStyle w:val="affffffffffff2"/>
              <w:jc w:val="center"/>
              <w:rPr>
                <w:rFonts w:hAnsi="宋体" w:cs="宋体"/>
                <w:sz w:val="18"/>
                <w:szCs w:val="18"/>
              </w:rPr>
            </w:pPr>
            <w:r w:rsidRPr="00BA0790">
              <w:rPr>
                <w:rFonts w:hAnsi="宋体" w:cs="宋体" w:hint="eastAsia"/>
                <w:sz w:val="18"/>
                <w:szCs w:val="18"/>
              </w:rPr>
              <w:t>中间带</w:t>
            </w:r>
          </w:p>
        </w:tc>
        <w:tc>
          <w:tcPr>
            <w:tcW w:w="1026" w:type="pct"/>
          </w:tcPr>
          <w:p w14:paraId="5CCF1681" w14:textId="3C18763D" w:rsidR="00302DDA" w:rsidRPr="002C6609" w:rsidRDefault="00302DDA" w:rsidP="0040330F">
            <w:pPr>
              <w:pStyle w:val="affffffffffff2"/>
              <w:jc w:val="center"/>
              <w:rPr>
                <w:rFonts w:hAnsi="宋体" w:cs="宋体"/>
                <w:sz w:val="18"/>
                <w:szCs w:val="18"/>
              </w:rPr>
            </w:pPr>
            <w:r>
              <w:rPr>
                <w:rFonts w:hAnsi="宋体" w:cs="宋体" w:hint="eastAsia"/>
                <w:sz w:val="18"/>
                <w:szCs w:val="18"/>
              </w:rPr>
              <w:t>-</w:t>
            </w:r>
          </w:p>
        </w:tc>
        <w:tc>
          <w:tcPr>
            <w:tcW w:w="1285" w:type="pct"/>
            <w:shd w:val="clear" w:color="auto" w:fill="auto"/>
            <w:noWrap/>
            <w:vAlign w:val="center"/>
          </w:tcPr>
          <w:p w14:paraId="5636ED27" w14:textId="421F40BC" w:rsidR="00302DDA" w:rsidRPr="002C6609" w:rsidRDefault="00302DDA" w:rsidP="0040330F">
            <w:pPr>
              <w:pStyle w:val="affffffffffff2"/>
              <w:jc w:val="center"/>
              <w:rPr>
                <w:rFonts w:hAnsi="宋体" w:cs="宋体"/>
                <w:sz w:val="18"/>
                <w:szCs w:val="18"/>
              </w:rPr>
            </w:pPr>
            <w:r>
              <w:rPr>
                <w:rFonts w:hAnsi="宋体" w:cs="宋体" w:hint="eastAsia"/>
                <w:sz w:val="18"/>
                <w:szCs w:val="18"/>
              </w:rPr>
              <w:t>-</w:t>
            </w:r>
          </w:p>
        </w:tc>
      </w:tr>
      <w:tr w:rsidR="00302DDA" w:rsidRPr="002C6609" w14:paraId="4A396DA7" w14:textId="77777777" w:rsidTr="0064143D">
        <w:trPr>
          <w:trHeight w:val="150"/>
        </w:trPr>
        <w:tc>
          <w:tcPr>
            <w:tcW w:w="581" w:type="pct"/>
            <w:vMerge/>
            <w:shd w:val="clear" w:color="auto" w:fill="auto"/>
            <w:vAlign w:val="center"/>
          </w:tcPr>
          <w:p w14:paraId="3332A088" w14:textId="77777777" w:rsidR="00302DDA" w:rsidRPr="002C6609" w:rsidRDefault="00302DDA" w:rsidP="0040330F">
            <w:pPr>
              <w:pStyle w:val="affffffffffff2"/>
              <w:jc w:val="center"/>
              <w:rPr>
                <w:rFonts w:hAnsi="宋体" w:cs="宋体"/>
                <w:sz w:val="18"/>
                <w:szCs w:val="18"/>
              </w:rPr>
            </w:pPr>
          </w:p>
        </w:tc>
        <w:tc>
          <w:tcPr>
            <w:tcW w:w="1313" w:type="pct"/>
            <w:vMerge/>
            <w:shd w:val="clear" w:color="auto" w:fill="auto"/>
            <w:noWrap/>
            <w:vAlign w:val="center"/>
          </w:tcPr>
          <w:p w14:paraId="38455B2C" w14:textId="77777777" w:rsidR="00302DDA" w:rsidRPr="002C6609" w:rsidRDefault="00302DDA" w:rsidP="0040330F">
            <w:pPr>
              <w:pStyle w:val="affffffffffff2"/>
              <w:jc w:val="center"/>
              <w:rPr>
                <w:rFonts w:hAnsi="宋体" w:cs="宋体"/>
                <w:sz w:val="18"/>
                <w:szCs w:val="18"/>
              </w:rPr>
            </w:pPr>
          </w:p>
        </w:tc>
        <w:tc>
          <w:tcPr>
            <w:tcW w:w="795" w:type="pct"/>
            <w:vMerge/>
            <w:vAlign w:val="center"/>
          </w:tcPr>
          <w:p w14:paraId="57C771B0" w14:textId="77777777" w:rsidR="00302DDA" w:rsidRPr="002C6609" w:rsidRDefault="00302DDA" w:rsidP="0040330F">
            <w:pPr>
              <w:pStyle w:val="affffffffffff2"/>
              <w:jc w:val="center"/>
              <w:rPr>
                <w:rFonts w:hAnsi="宋体" w:cs="宋体"/>
                <w:sz w:val="18"/>
                <w:szCs w:val="18"/>
              </w:rPr>
            </w:pPr>
          </w:p>
        </w:tc>
        <w:tc>
          <w:tcPr>
            <w:tcW w:w="1026" w:type="pct"/>
          </w:tcPr>
          <w:p w14:paraId="19614A73" w14:textId="1DB01216" w:rsidR="00302DDA" w:rsidRPr="002C6609" w:rsidRDefault="00302DDA" w:rsidP="0040330F">
            <w:pPr>
              <w:pStyle w:val="affffffffffff2"/>
              <w:jc w:val="center"/>
              <w:rPr>
                <w:rFonts w:hAnsi="宋体" w:cs="宋体"/>
                <w:sz w:val="18"/>
                <w:szCs w:val="18"/>
              </w:rPr>
            </w:pPr>
            <w:r>
              <w:rPr>
                <w:rFonts w:hAnsi="宋体" w:cs="宋体" w:hint="eastAsia"/>
                <w:sz w:val="18"/>
                <w:szCs w:val="18"/>
              </w:rPr>
              <w:t>-</w:t>
            </w:r>
          </w:p>
        </w:tc>
        <w:tc>
          <w:tcPr>
            <w:tcW w:w="1285" w:type="pct"/>
            <w:shd w:val="clear" w:color="auto" w:fill="auto"/>
            <w:noWrap/>
            <w:vAlign w:val="center"/>
          </w:tcPr>
          <w:p w14:paraId="2562613F" w14:textId="14AA7738" w:rsidR="00302DDA" w:rsidRPr="002C6609" w:rsidRDefault="00302DDA" w:rsidP="0040330F">
            <w:pPr>
              <w:pStyle w:val="affffffffffff2"/>
              <w:jc w:val="center"/>
              <w:rPr>
                <w:rFonts w:hAnsi="宋体" w:cs="宋体"/>
                <w:sz w:val="18"/>
                <w:szCs w:val="18"/>
              </w:rPr>
            </w:pPr>
            <w:r>
              <w:rPr>
                <w:rFonts w:hAnsi="宋体" w:cs="宋体" w:hint="eastAsia"/>
                <w:sz w:val="18"/>
                <w:szCs w:val="18"/>
              </w:rPr>
              <w:t>-</w:t>
            </w:r>
          </w:p>
        </w:tc>
      </w:tr>
      <w:tr w:rsidR="00302DDA" w:rsidRPr="002C6609" w14:paraId="0E377FAE" w14:textId="77777777" w:rsidTr="00302DDA">
        <w:trPr>
          <w:trHeight w:val="107"/>
        </w:trPr>
        <w:tc>
          <w:tcPr>
            <w:tcW w:w="581" w:type="pct"/>
            <w:vMerge/>
            <w:shd w:val="clear" w:color="auto" w:fill="auto"/>
            <w:vAlign w:val="center"/>
          </w:tcPr>
          <w:p w14:paraId="08275F71" w14:textId="77777777" w:rsidR="00302DDA" w:rsidRPr="002C6609" w:rsidRDefault="00302DDA" w:rsidP="0040330F">
            <w:pPr>
              <w:pStyle w:val="affffffffffff2"/>
              <w:jc w:val="center"/>
              <w:rPr>
                <w:rFonts w:hAnsi="宋体" w:cs="宋体"/>
                <w:sz w:val="18"/>
                <w:szCs w:val="18"/>
              </w:rPr>
            </w:pPr>
          </w:p>
        </w:tc>
        <w:tc>
          <w:tcPr>
            <w:tcW w:w="1313" w:type="pct"/>
            <w:vMerge/>
            <w:shd w:val="clear" w:color="auto" w:fill="auto"/>
            <w:noWrap/>
            <w:vAlign w:val="center"/>
          </w:tcPr>
          <w:p w14:paraId="698514AA" w14:textId="77777777" w:rsidR="00302DDA" w:rsidRPr="002C6609" w:rsidRDefault="00302DDA" w:rsidP="0040330F">
            <w:pPr>
              <w:pStyle w:val="affffffffffff2"/>
              <w:jc w:val="center"/>
              <w:rPr>
                <w:rFonts w:hAnsi="宋体" w:cs="宋体"/>
                <w:sz w:val="18"/>
                <w:szCs w:val="18"/>
              </w:rPr>
            </w:pPr>
          </w:p>
        </w:tc>
        <w:tc>
          <w:tcPr>
            <w:tcW w:w="795" w:type="pct"/>
            <w:vMerge w:val="restart"/>
            <w:vAlign w:val="center"/>
          </w:tcPr>
          <w:p w14:paraId="44715622" w14:textId="00604D12" w:rsidR="00302DDA" w:rsidRPr="002C6609" w:rsidRDefault="00302DDA" w:rsidP="0040330F">
            <w:pPr>
              <w:pStyle w:val="affffffffffff2"/>
              <w:jc w:val="center"/>
              <w:rPr>
                <w:rFonts w:hAnsi="宋体" w:cs="宋体"/>
                <w:sz w:val="18"/>
                <w:szCs w:val="18"/>
              </w:rPr>
            </w:pPr>
            <w:r w:rsidRPr="002C6609">
              <w:rPr>
                <w:rFonts w:hAnsi="宋体" w:cs="宋体" w:hint="eastAsia"/>
                <w:sz w:val="18"/>
                <w:szCs w:val="18"/>
              </w:rPr>
              <w:t>两侧带</w:t>
            </w:r>
          </w:p>
        </w:tc>
        <w:tc>
          <w:tcPr>
            <w:tcW w:w="1026" w:type="pct"/>
          </w:tcPr>
          <w:p w14:paraId="3176BAD0" w14:textId="782A740D" w:rsidR="00302DDA" w:rsidRPr="002C6609" w:rsidRDefault="00302DDA" w:rsidP="0040330F">
            <w:pPr>
              <w:pStyle w:val="affffffffffff2"/>
              <w:jc w:val="center"/>
              <w:rPr>
                <w:rFonts w:hAnsi="宋体" w:cs="宋体"/>
                <w:sz w:val="18"/>
                <w:szCs w:val="18"/>
              </w:rPr>
            </w:pPr>
            <w:r w:rsidRPr="002C6609">
              <w:rPr>
                <w:rFonts w:hAnsi="宋体" w:cs="宋体" w:hint="eastAsia"/>
                <w:sz w:val="18"/>
                <w:szCs w:val="18"/>
              </w:rPr>
              <w:t>≥</w:t>
            </w:r>
            <w:r w:rsidRPr="002C6609">
              <w:rPr>
                <w:rFonts w:hAnsi="宋体" w:cs="宋体"/>
                <w:sz w:val="18"/>
                <w:szCs w:val="18"/>
              </w:rPr>
              <w:t>60</w:t>
            </w:r>
          </w:p>
        </w:tc>
        <w:tc>
          <w:tcPr>
            <w:tcW w:w="1285" w:type="pct"/>
            <w:shd w:val="clear" w:color="auto" w:fill="auto"/>
            <w:noWrap/>
            <w:vAlign w:val="center"/>
          </w:tcPr>
          <w:p w14:paraId="7C100908" w14:textId="1909A0E7" w:rsidR="00302DDA" w:rsidRPr="002C6609" w:rsidRDefault="00302DDA" w:rsidP="0040330F">
            <w:pPr>
              <w:pStyle w:val="affffffffffff2"/>
              <w:jc w:val="center"/>
              <w:rPr>
                <w:rFonts w:hAnsi="宋体" w:cs="宋体"/>
                <w:sz w:val="18"/>
                <w:szCs w:val="18"/>
              </w:rPr>
            </w:pPr>
            <w:r>
              <w:rPr>
                <w:rFonts w:hAnsi="宋体" w:cs="宋体" w:hint="eastAsia"/>
                <w:sz w:val="18"/>
                <w:szCs w:val="18"/>
              </w:rPr>
              <w:t>0</w:t>
            </w:r>
            <w:r>
              <w:rPr>
                <w:rFonts w:hAnsi="宋体" w:cs="宋体"/>
                <w:sz w:val="18"/>
                <w:szCs w:val="18"/>
              </w:rPr>
              <w:t>.25</w:t>
            </w:r>
          </w:p>
        </w:tc>
      </w:tr>
      <w:tr w:rsidR="00302DDA" w:rsidRPr="002C6609" w14:paraId="70B11722" w14:textId="77777777" w:rsidTr="00302DDA">
        <w:trPr>
          <w:trHeight w:val="106"/>
        </w:trPr>
        <w:tc>
          <w:tcPr>
            <w:tcW w:w="581" w:type="pct"/>
            <w:vMerge/>
            <w:shd w:val="clear" w:color="auto" w:fill="auto"/>
            <w:vAlign w:val="center"/>
          </w:tcPr>
          <w:p w14:paraId="08612971" w14:textId="77777777" w:rsidR="00302DDA" w:rsidRPr="002C6609" w:rsidRDefault="00302DDA" w:rsidP="0040330F">
            <w:pPr>
              <w:pStyle w:val="affffffffffff2"/>
              <w:jc w:val="center"/>
              <w:rPr>
                <w:rFonts w:hAnsi="宋体" w:cs="宋体"/>
                <w:sz w:val="18"/>
                <w:szCs w:val="18"/>
              </w:rPr>
            </w:pPr>
          </w:p>
        </w:tc>
        <w:tc>
          <w:tcPr>
            <w:tcW w:w="1313" w:type="pct"/>
            <w:vMerge/>
            <w:shd w:val="clear" w:color="auto" w:fill="auto"/>
            <w:noWrap/>
            <w:vAlign w:val="center"/>
          </w:tcPr>
          <w:p w14:paraId="127F8AD4" w14:textId="77777777" w:rsidR="00302DDA" w:rsidRPr="002C6609" w:rsidRDefault="00302DDA" w:rsidP="0040330F">
            <w:pPr>
              <w:pStyle w:val="affffffffffff2"/>
              <w:jc w:val="center"/>
              <w:rPr>
                <w:rFonts w:hAnsi="宋体" w:cs="宋体"/>
                <w:sz w:val="18"/>
                <w:szCs w:val="18"/>
              </w:rPr>
            </w:pPr>
          </w:p>
        </w:tc>
        <w:tc>
          <w:tcPr>
            <w:tcW w:w="795" w:type="pct"/>
            <w:vMerge/>
            <w:vAlign w:val="center"/>
          </w:tcPr>
          <w:p w14:paraId="41FD9206" w14:textId="77777777" w:rsidR="00302DDA" w:rsidRPr="002C6609" w:rsidRDefault="00302DDA" w:rsidP="0040330F">
            <w:pPr>
              <w:pStyle w:val="affffffffffff2"/>
              <w:jc w:val="center"/>
              <w:rPr>
                <w:rFonts w:hAnsi="宋体" w:cs="宋体"/>
                <w:sz w:val="18"/>
                <w:szCs w:val="18"/>
              </w:rPr>
            </w:pPr>
          </w:p>
        </w:tc>
        <w:tc>
          <w:tcPr>
            <w:tcW w:w="1026" w:type="pct"/>
          </w:tcPr>
          <w:p w14:paraId="37D7D40F" w14:textId="0FB314AE" w:rsidR="00302DDA" w:rsidRPr="002C6609" w:rsidRDefault="00302DDA" w:rsidP="0040330F">
            <w:pPr>
              <w:pStyle w:val="affffffffffff2"/>
              <w:jc w:val="center"/>
              <w:rPr>
                <w:rFonts w:hAnsi="宋体" w:cs="宋体"/>
                <w:sz w:val="18"/>
                <w:szCs w:val="18"/>
              </w:rPr>
            </w:pPr>
            <w:bookmarkStart w:id="1241" w:name="OLE_LINK24"/>
            <w:r w:rsidRPr="002C6609">
              <w:rPr>
                <w:rFonts w:hAnsi="宋体" w:cs="宋体"/>
                <w:sz w:val="18"/>
                <w:szCs w:val="18"/>
              </w:rPr>
              <w:t>＜60</w:t>
            </w:r>
            <w:bookmarkEnd w:id="1241"/>
          </w:p>
        </w:tc>
        <w:tc>
          <w:tcPr>
            <w:tcW w:w="1285" w:type="pct"/>
            <w:shd w:val="clear" w:color="auto" w:fill="auto"/>
            <w:noWrap/>
            <w:vAlign w:val="center"/>
          </w:tcPr>
          <w:p w14:paraId="3D1BDB19" w14:textId="012E153A" w:rsidR="00302DDA" w:rsidRPr="002C6609" w:rsidRDefault="00302DDA" w:rsidP="0040330F">
            <w:pPr>
              <w:pStyle w:val="affffffffffff2"/>
              <w:jc w:val="center"/>
              <w:rPr>
                <w:rFonts w:hAnsi="宋体" w:cs="宋体"/>
                <w:sz w:val="18"/>
                <w:szCs w:val="18"/>
              </w:rPr>
            </w:pPr>
            <w:r>
              <w:rPr>
                <w:rFonts w:hAnsi="宋体" w:cs="宋体" w:hint="eastAsia"/>
                <w:sz w:val="18"/>
                <w:szCs w:val="18"/>
              </w:rPr>
              <w:t>0</w:t>
            </w:r>
            <w:r>
              <w:rPr>
                <w:rFonts w:hAnsi="宋体" w:cs="宋体"/>
                <w:sz w:val="18"/>
                <w:szCs w:val="18"/>
              </w:rPr>
              <w:t>.25</w:t>
            </w:r>
          </w:p>
        </w:tc>
      </w:tr>
      <w:tr w:rsidR="00302DDA" w:rsidRPr="00765F6E" w14:paraId="689906A9" w14:textId="77777777" w:rsidTr="00302DDA">
        <w:trPr>
          <w:trHeight w:val="107"/>
        </w:trPr>
        <w:tc>
          <w:tcPr>
            <w:tcW w:w="581" w:type="pct"/>
            <w:vMerge w:val="restart"/>
            <w:shd w:val="clear" w:color="auto" w:fill="auto"/>
            <w:vAlign w:val="center"/>
          </w:tcPr>
          <w:p w14:paraId="5BADFA60" w14:textId="02BCBEF8" w:rsidR="00302DDA" w:rsidRPr="002C6609" w:rsidRDefault="00302DDA" w:rsidP="0040330F">
            <w:pPr>
              <w:pStyle w:val="affffffffffff2"/>
              <w:jc w:val="center"/>
              <w:rPr>
                <w:rFonts w:hAnsi="宋体" w:cs="宋体"/>
                <w:sz w:val="18"/>
                <w:szCs w:val="18"/>
              </w:rPr>
            </w:pPr>
            <w:r>
              <w:rPr>
                <w:rFonts w:hAnsi="宋体" w:cs="宋体" w:hint="eastAsia"/>
                <w:sz w:val="18"/>
                <w:szCs w:val="18"/>
              </w:rPr>
              <w:t>公路</w:t>
            </w:r>
          </w:p>
        </w:tc>
        <w:tc>
          <w:tcPr>
            <w:tcW w:w="1313" w:type="pct"/>
            <w:vMerge w:val="restart"/>
            <w:shd w:val="clear" w:color="auto" w:fill="auto"/>
            <w:noWrap/>
            <w:vAlign w:val="center"/>
          </w:tcPr>
          <w:p w14:paraId="3C6B1755" w14:textId="09B98152" w:rsidR="00302DDA" w:rsidRPr="002C6609" w:rsidRDefault="00302DDA" w:rsidP="0040330F">
            <w:pPr>
              <w:pStyle w:val="affffffffffff2"/>
              <w:jc w:val="center"/>
              <w:rPr>
                <w:rFonts w:hAnsi="宋体" w:cs="宋体"/>
                <w:sz w:val="18"/>
                <w:szCs w:val="18"/>
              </w:rPr>
            </w:pPr>
            <w:r w:rsidRPr="002C6609">
              <w:rPr>
                <w:rFonts w:hAnsi="宋体" w:cs="宋体" w:hint="eastAsia"/>
                <w:sz w:val="18"/>
                <w:szCs w:val="18"/>
              </w:rPr>
              <w:t>机动车道</w:t>
            </w:r>
          </w:p>
        </w:tc>
        <w:tc>
          <w:tcPr>
            <w:tcW w:w="795" w:type="pct"/>
            <w:vMerge w:val="restart"/>
            <w:vAlign w:val="center"/>
          </w:tcPr>
          <w:p w14:paraId="72733120" w14:textId="25F347B3" w:rsidR="00302DDA" w:rsidRPr="002C6609" w:rsidRDefault="00302DDA" w:rsidP="0040330F">
            <w:pPr>
              <w:pStyle w:val="affffffffffff2"/>
              <w:jc w:val="center"/>
              <w:rPr>
                <w:rFonts w:hAnsi="宋体" w:cs="宋体"/>
                <w:sz w:val="18"/>
                <w:szCs w:val="18"/>
              </w:rPr>
            </w:pPr>
            <w:r w:rsidRPr="002C6609">
              <w:rPr>
                <w:rFonts w:hAnsi="宋体" w:cs="宋体" w:hint="eastAsia"/>
                <w:sz w:val="18"/>
                <w:szCs w:val="18"/>
              </w:rPr>
              <w:t>中间带</w:t>
            </w:r>
          </w:p>
        </w:tc>
        <w:tc>
          <w:tcPr>
            <w:tcW w:w="1026" w:type="pct"/>
          </w:tcPr>
          <w:p w14:paraId="28EC4022" w14:textId="79DEA7C6" w:rsidR="00302DDA" w:rsidRPr="002C6609" w:rsidRDefault="00302DDA" w:rsidP="0040330F">
            <w:pPr>
              <w:pStyle w:val="affffffffffff2"/>
              <w:jc w:val="center"/>
              <w:rPr>
                <w:rFonts w:hAnsi="宋体" w:cs="宋体"/>
                <w:sz w:val="18"/>
                <w:szCs w:val="18"/>
              </w:rPr>
            </w:pPr>
            <w:r w:rsidRPr="002C6609">
              <w:rPr>
                <w:rFonts w:hAnsi="宋体" w:cs="宋体" w:hint="eastAsia"/>
                <w:sz w:val="18"/>
                <w:szCs w:val="18"/>
              </w:rPr>
              <w:t>≥</w:t>
            </w:r>
            <w:r>
              <w:rPr>
                <w:rFonts w:hAnsi="宋体" w:cs="宋体"/>
                <w:sz w:val="18"/>
                <w:szCs w:val="18"/>
              </w:rPr>
              <w:t>100</w:t>
            </w:r>
          </w:p>
        </w:tc>
        <w:tc>
          <w:tcPr>
            <w:tcW w:w="1285" w:type="pct"/>
            <w:shd w:val="clear" w:color="auto" w:fill="auto"/>
            <w:noWrap/>
            <w:vAlign w:val="center"/>
          </w:tcPr>
          <w:p w14:paraId="5B47B289" w14:textId="6C337205" w:rsidR="00302DDA" w:rsidRPr="00765F6E" w:rsidRDefault="00302DDA" w:rsidP="0040330F">
            <w:pPr>
              <w:pStyle w:val="affffffffffff2"/>
              <w:jc w:val="center"/>
              <w:rPr>
                <w:rFonts w:hAnsi="宋体" w:cs="宋体"/>
                <w:sz w:val="18"/>
                <w:szCs w:val="18"/>
              </w:rPr>
            </w:pPr>
            <w:r>
              <w:rPr>
                <w:rFonts w:hAnsi="宋体" w:cs="宋体" w:hint="eastAsia"/>
                <w:sz w:val="18"/>
                <w:szCs w:val="18"/>
              </w:rPr>
              <w:t>0</w:t>
            </w:r>
            <w:r>
              <w:rPr>
                <w:rFonts w:hAnsi="宋体" w:cs="宋体"/>
                <w:sz w:val="18"/>
                <w:szCs w:val="18"/>
              </w:rPr>
              <w:t>.75</w:t>
            </w:r>
          </w:p>
        </w:tc>
      </w:tr>
      <w:tr w:rsidR="00302DDA" w:rsidRPr="00765F6E" w14:paraId="3056FB68" w14:textId="77777777" w:rsidTr="00302DDA">
        <w:trPr>
          <w:trHeight w:val="106"/>
        </w:trPr>
        <w:tc>
          <w:tcPr>
            <w:tcW w:w="581" w:type="pct"/>
            <w:vMerge/>
            <w:shd w:val="clear" w:color="auto" w:fill="auto"/>
            <w:vAlign w:val="center"/>
          </w:tcPr>
          <w:p w14:paraId="39837EFE" w14:textId="77777777" w:rsidR="00302DDA" w:rsidRPr="002C6609" w:rsidRDefault="00302DDA" w:rsidP="0040330F">
            <w:pPr>
              <w:pStyle w:val="affffffffffff2"/>
              <w:jc w:val="center"/>
              <w:rPr>
                <w:rFonts w:hAnsi="宋体" w:cs="宋体"/>
                <w:sz w:val="18"/>
                <w:szCs w:val="18"/>
              </w:rPr>
            </w:pPr>
          </w:p>
        </w:tc>
        <w:tc>
          <w:tcPr>
            <w:tcW w:w="1313" w:type="pct"/>
            <w:vMerge/>
            <w:shd w:val="clear" w:color="auto" w:fill="auto"/>
            <w:noWrap/>
            <w:vAlign w:val="center"/>
          </w:tcPr>
          <w:p w14:paraId="04ABB942" w14:textId="77777777" w:rsidR="00302DDA" w:rsidRPr="002C6609" w:rsidRDefault="00302DDA" w:rsidP="0040330F">
            <w:pPr>
              <w:pStyle w:val="affffffffffff2"/>
              <w:jc w:val="center"/>
              <w:rPr>
                <w:rFonts w:hAnsi="宋体" w:cs="宋体"/>
                <w:sz w:val="18"/>
                <w:szCs w:val="18"/>
              </w:rPr>
            </w:pPr>
          </w:p>
        </w:tc>
        <w:tc>
          <w:tcPr>
            <w:tcW w:w="795" w:type="pct"/>
            <w:vMerge/>
            <w:vAlign w:val="center"/>
          </w:tcPr>
          <w:p w14:paraId="4AEECA6E" w14:textId="77777777" w:rsidR="00302DDA" w:rsidRPr="002C6609" w:rsidRDefault="00302DDA" w:rsidP="0040330F">
            <w:pPr>
              <w:pStyle w:val="affffffffffff2"/>
              <w:jc w:val="center"/>
              <w:rPr>
                <w:rFonts w:hAnsi="宋体" w:cs="宋体"/>
                <w:sz w:val="18"/>
                <w:szCs w:val="18"/>
              </w:rPr>
            </w:pPr>
          </w:p>
        </w:tc>
        <w:tc>
          <w:tcPr>
            <w:tcW w:w="1026" w:type="pct"/>
          </w:tcPr>
          <w:p w14:paraId="45D8B34E" w14:textId="47359316" w:rsidR="00302DDA" w:rsidRPr="002C6609" w:rsidRDefault="00302DDA" w:rsidP="0040330F">
            <w:pPr>
              <w:pStyle w:val="affffffffffff2"/>
              <w:jc w:val="center"/>
              <w:rPr>
                <w:rFonts w:hAnsi="宋体" w:cs="宋体"/>
                <w:sz w:val="18"/>
                <w:szCs w:val="18"/>
              </w:rPr>
            </w:pPr>
            <w:r w:rsidRPr="002C6609">
              <w:rPr>
                <w:rFonts w:hAnsi="宋体" w:cs="宋体"/>
                <w:sz w:val="18"/>
                <w:szCs w:val="18"/>
              </w:rPr>
              <w:t>＜</w:t>
            </w:r>
            <w:r>
              <w:rPr>
                <w:rFonts w:hAnsi="宋体" w:cs="宋体"/>
                <w:sz w:val="18"/>
                <w:szCs w:val="18"/>
              </w:rPr>
              <w:t>10</w:t>
            </w:r>
            <w:r w:rsidRPr="002C6609">
              <w:rPr>
                <w:rFonts w:hAnsi="宋体" w:cs="宋体"/>
                <w:sz w:val="18"/>
                <w:szCs w:val="18"/>
              </w:rPr>
              <w:t>0</w:t>
            </w:r>
          </w:p>
        </w:tc>
        <w:tc>
          <w:tcPr>
            <w:tcW w:w="1285" w:type="pct"/>
            <w:shd w:val="clear" w:color="auto" w:fill="auto"/>
            <w:noWrap/>
            <w:vAlign w:val="center"/>
          </w:tcPr>
          <w:p w14:paraId="62A35DEB" w14:textId="4F9101AE" w:rsidR="00302DDA" w:rsidRPr="002C6609" w:rsidRDefault="00302DDA" w:rsidP="0040330F">
            <w:pPr>
              <w:pStyle w:val="affffffffffff2"/>
              <w:jc w:val="center"/>
              <w:rPr>
                <w:rFonts w:hAnsi="宋体" w:cs="宋体"/>
                <w:sz w:val="18"/>
                <w:szCs w:val="18"/>
              </w:rPr>
            </w:pPr>
            <w:r>
              <w:rPr>
                <w:rFonts w:hAnsi="宋体" w:cs="宋体" w:hint="eastAsia"/>
                <w:sz w:val="18"/>
                <w:szCs w:val="18"/>
              </w:rPr>
              <w:t>0</w:t>
            </w:r>
            <w:r>
              <w:rPr>
                <w:rFonts w:hAnsi="宋体" w:cs="宋体"/>
                <w:sz w:val="18"/>
                <w:szCs w:val="18"/>
              </w:rPr>
              <w:t>.50</w:t>
            </w:r>
          </w:p>
        </w:tc>
      </w:tr>
      <w:tr w:rsidR="00302DDA" w:rsidRPr="00765F6E" w14:paraId="568996AD" w14:textId="77777777" w:rsidTr="00302DDA">
        <w:trPr>
          <w:trHeight w:val="107"/>
        </w:trPr>
        <w:tc>
          <w:tcPr>
            <w:tcW w:w="581" w:type="pct"/>
            <w:vMerge/>
            <w:shd w:val="clear" w:color="auto" w:fill="auto"/>
            <w:vAlign w:val="center"/>
          </w:tcPr>
          <w:p w14:paraId="751B56B4" w14:textId="77777777" w:rsidR="00302DDA" w:rsidRPr="002C6609" w:rsidRDefault="00302DDA" w:rsidP="0040330F">
            <w:pPr>
              <w:pStyle w:val="affffffffffff2"/>
              <w:jc w:val="center"/>
              <w:rPr>
                <w:rFonts w:hAnsi="宋体" w:cs="宋体"/>
                <w:sz w:val="18"/>
                <w:szCs w:val="18"/>
              </w:rPr>
            </w:pPr>
          </w:p>
        </w:tc>
        <w:tc>
          <w:tcPr>
            <w:tcW w:w="1313" w:type="pct"/>
            <w:vMerge/>
            <w:shd w:val="clear" w:color="auto" w:fill="auto"/>
            <w:noWrap/>
            <w:vAlign w:val="center"/>
          </w:tcPr>
          <w:p w14:paraId="34DA2589" w14:textId="77777777" w:rsidR="00302DDA" w:rsidRPr="002C6609" w:rsidRDefault="00302DDA" w:rsidP="0040330F">
            <w:pPr>
              <w:pStyle w:val="affffffffffff2"/>
              <w:jc w:val="center"/>
              <w:rPr>
                <w:rFonts w:hAnsi="宋体" w:cs="宋体"/>
                <w:sz w:val="18"/>
                <w:szCs w:val="18"/>
              </w:rPr>
            </w:pPr>
          </w:p>
        </w:tc>
        <w:tc>
          <w:tcPr>
            <w:tcW w:w="795" w:type="pct"/>
            <w:vMerge w:val="restart"/>
            <w:vAlign w:val="center"/>
          </w:tcPr>
          <w:p w14:paraId="0AEB1433" w14:textId="01125780" w:rsidR="00302DDA" w:rsidRPr="002C6609" w:rsidRDefault="00302DDA" w:rsidP="0040330F">
            <w:pPr>
              <w:pStyle w:val="affffffffffff2"/>
              <w:jc w:val="center"/>
              <w:rPr>
                <w:rFonts w:hAnsi="宋体" w:cs="宋体"/>
                <w:sz w:val="18"/>
                <w:szCs w:val="18"/>
              </w:rPr>
            </w:pPr>
            <w:r w:rsidRPr="002C6609">
              <w:rPr>
                <w:rFonts w:hAnsi="宋体" w:cs="宋体" w:hint="eastAsia"/>
                <w:sz w:val="18"/>
                <w:szCs w:val="18"/>
              </w:rPr>
              <w:t>两侧带</w:t>
            </w:r>
          </w:p>
        </w:tc>
        <w:tc>
          <w:tcPr>
            <w:tcW w:w="1026" w:type="pct"/>
          </w:tcPr>
          <w:p w14:paraId="2FDED336" w14:textId="2877389C" w:rsidR="00302DDA" w:rsidRPr="002C6609" w:rsidRDefault="00302DDA" w:rsidP="0040330F">
            <w:pPr>
              <w:pStyle w:val="affffffffffff2"/>
              <w:jc w:val="center"/>
              <w:rPr>
                <w:rFonts w:hAnsi="宋体" w:cs="宋体"/>
                <w:sz w:val="18"/>
                <w:szCs w:val="18"/>
              </w:rPr>
            </w:pPr>
            <w:r>
              <w:rPr>
                <w:rFonts w:hAnsi="宋体" w:cs="宋体" w:hint="eastAsia"/>
                <w:sz w:val="18"/>
                <w:szCs w:val="18"/>
              </w:rPr>
              <w:t>-</w:t>
            </w:r>
          </w:p>
        </w:tc>
        <w:tc>
          <w:tcPr>
            <w:tcW w:w="1285" w:type="pct"/>
            <w:shd w:val="clear" w:color="auto" w:fill="auto"/>
            <w:noWrap/>
            <w:vAlign w:val="center"/>
          </w:tcPr>
          <w:p w14:paraId="5281BF02" w14:textId="69EC00C1" w:rsidR="00302DDA" w:rsidRPr="002C6609" w:rsidRDefault="00302DDA" w:rsidP="0040330F">
            <w:pPr>
              <w:pStyle w:val="affffffffffff2"/>
              <w:jc w:val="center"/>
              <w:rPr>
                <w:rFonts w:hAnsi="宋体" w:cs="宋体"/>
                <w:sz w:val="18"/>
                <w:szCs w:val="18"/>
              </w:rPr>
            </w:pPr>
            <w:r>
              <w:rPr>
                <w:rFonts w:hAnsi="宋体" w:cs="宋体" w:hint="eastAsia"/>
                <w:sz w:val="18"/>
                <w:szCs w:val="18"/>
              </w:rPr>
              <w:t>-</w:t>
            </w:r>
          </w:p>
        </w:tc>
      </w:tr>
      <w:tr w:rsidR="00302DDA" w:rsidRPr="00765F6E" w14:paraId="472BA8C2" w14:textId="77777777" w:rsidTr="0040330F">
        <w:trPr>
          <w:trHeight w:val="106"/>
        </w:trPr>
        <w:tc>
          <w:tcPr>
            <w:tcW w:w="581" w:type="pct"/>
            <w:vMerge/>
            <w:tcBorders>
              <w:bottom w:val="single" w:sz="8" w:space="0" w:color="auto"/>
            </w:tcBorders>
            <w:shd w:val="clear" w:color="auto" w:fill="auto"/>
            <w:vAlign w:val="center"/>
          </w:tcPr>
          <w:p w14:paraId="68B72DD9" w14:textId="77777777" w:rsidR="00302DDA" w:rsidRPr="002C6609" w:rsidRDefault="00302DDA" w:rsidP="0040330F">
            <w:pPr>
              <w:pStyle w:val="affffffffffff2"/>
              <w:jc w:val="center"/>
              <w:rPr>
                <w:rFonts w:hAnsi="宋体" w:cs="宋体"/>
                <w:sz w:val="18"/>
                <w:szCs w:val="18"/>
              </w:rPr>
            </w:pPr>
          </w:p>
        </w:tc>
        <w:tc>
          <w:tcPr>
            <w:tcW w:w="1313" w:type="pct"/>
            <w:vMerge/>
            <w:tcBorders>
              <w:bottom w:val="single" w:sz="8" w:space="0" w:color="auto"/>
            </w:tcBorders>
            <w:shd w:val="clear" w:color="auto" w:fill="auto"/>
            <w:noWrap/>
            <w:vAlign w:val="center"/>
          </w:tcPr>
          <w:p w14:paraId="5666DC89" w14:textId="77777777" w:rsidR="00302DDA" w:rsidRPr="002C6609" w:rsidRDefault="00302DDA" w:rsidP="0040330F">
            <w:pPr>
              <w:pStyle w:val="affffffffffff2"/>
              <w:jc w:val="center"/>
              <w:rPr>
                <w:rFonts w:hAnsi="宋体" w:cs="宋体"/>
                <w:sz w:val="18"/>
                <w:szCs w:val="18"/>
              </w:rPr>
            </w:pPr>
          </w:p>
        </w:tc>
        <w:tc>
          <w:tcPr>
            <w:tcW w:w="795" w:type="pct"/>
            <w:vMerge/>
            <w:tcBorders>
              <w:bottom w:val="single" w:sz="8" w:space="0" w:color="auto"/>
            </w:tcBorders>
          </w:tcPr>
          <w:p w14:paraId="43275387" w14:textId="77777777" w:rsidR="00302DDA" w:rsidRPr="002C6609" w:rsidRDefault="00302DDA" w:rsidP="0040330F">
            <w:pPr>
              <w:pStyle w:val="affffffffffff2"/>
              <w:jc w:val="center"/>
              <w:rPr>
                <w:rFonts w:hAnsi="宋体" w:cs="宋体"/>
                <w:sz w:val="18"/>
                <w:szCs w:val="18"/>
              </w:rPr>
            </w:pPr>
          </w:p>
        </w:tc>
        <w:tc>
          <w:tcPr>
            <w:tcW w:w="1026" w:type="pct"/>
            <w:tcBorders>
              <w:bottom w:val="single" w:sz="8" w:space="0" w:color="auto"/>
            </w:tcBorders>
          </w:tcPr>
          <w:p w14:paraId="56BC4120" w14:textId="3499B10B" w:rsidR="00302DDA" w:rsidRPr="002C6609" w:rsidRDefault="00302DDA" w:rsidP="0040330F">
            <w:pPr>
              <w:pStyle w:val="affffffffffff2"/>
              <w:jc w:val="center"/>
              <w:rPr>
                <w:rFonts w:hAnsi="宋体" w:cs="宋体"/>
                <w:sz w:val="18"/>
                <w:szCs w:val="18"/>
              </w:rPr>
            </w:pPr>
            <w:r>
              <w:rPr>
                <w:rFonts w:hAnsi="宋体" w:cs="宋体" w:hint="eastAsia"/>
                <w:sz w:val="18"/>
                <w:szCs w:val="18"/>
              </w:rPr>
              <w:t>-</w:t>
            </w:r>
          </w:p>
        </w:tc>
        <w:tc>
          <w:tcPr>
            <w:tcW w:w="1285" w:type="pct"/>
            <w:tcBorders>
              <w:bottom w:val="single" w:sz="8" w:space="0" w:color="auto"/>
            </w:tcBorders>
            <w:shd w:val="clear" w:color="auto" w:fill="auto"/>
            <w:noWrap/>
            <w:vAlign w:val="center"/>
          </w:tcPr>
          <w:p w14:paraId="1954040A" w14:textId="43AF9B05" w:rsidR="00302DDA" w:rsidRPr="002C6609" w:rsidRDefault="00302DDA" w:rsidP="0040330F">
            <w:pPr>
              <w:pStyle w:val="affffffffffff2"/>
              <w:jc w:val="center"/>
              <w:rPr>
                <w:rFonts w:hAnsi="宋体" w:cs="宋体"/>
                <w:sz w:val="18"/>
                <w:szCs w:val="18"/>
              </w:rPr>
            </w:pPr>
            <w:r>
              <w:rPr>
                <w:rFonts w:hAnsi="宋体" w:cs="宋体" w:hint="eastAsia"/>
                <w:sz w:val="18"/>
                <w:szCs w:val="18"/>
              </w:rPr>
              <w:t>-</w:t>
            </w:r>
          </w:p>
        </w:tc>
      </w:tr>
    </w:tbl>
    <w:p w14:paraId="51A179E1" w14:textId="77777777" w:rsidR="00737EB2" w:rsidRPr="00765F6E" w:rsidRDefault="00737EB2" w:rsidP="00737EB2">
      <w:pPr>
        <w:spacing w:line="240" w:lineRule="auto"/>
      </w:pPr>
    </w:p>
    <w:p w14:paraId="3ACD8993" w14:textId="77777777" w:rsidR="00737EB2" w:rsidRPr="00D12EC7" w:rsidRDefault="00737EB2" w:rsidP="009D0776">
      <w:pPr>
        <w:pStyle w:val="22"/>
      </w:pPr>
      <w:bookmarkStart w:id="1242" w:name="_Toc153291302"/>
      <w:bookmarkStart w:id="1243" w:name="_Toc99791871"/>
      <w:r w:rsidRPr="00D12EC7">
        <w:rPr>
          <w:rFonts w:hint="eastAsia"/>
        </w:rPr>
        <w:t>混凝土结构耐久性应符合TB 10005的相关规定。</w:t>
      </w:r>
      <w:bookmarkEnd w:id="1242"/>
      <w:bookmarkEnd w:id="1243"/>
    </w:p>
    <w:p w14:paraId="7A23A843" w14:textId="77777777" w:rsidR="00737EB2" w:rsidRPr="00D12EC7" w:rsidRDefault="00737EB2" w:rsidP="009D0776">
      <w:pPr>
        <w:pStyle w:val="22"/>
      </w:pPr>
      <w:bookmarkStart w:id="1244" w:name="_Toc153291303"/>
      <w:bookmarkStart w:id="1245" w:name="_Toc99791872"/>
      <w:r w:rsidRPr="00D12EC7">
        <w:rPr>
          <w:rFonts w:hint="eastAsia"/>
        </w:rPr>
        <w:t>抗震设计应按GB</w:t>
      </w:r>
      <w:r w:rsidRPr="00D12EC7">
        <w:t xml:space="preserve"> </w:t>
      </w:r>
      <w:r w:rsidRPr="00D12EC7">
        <w:rPr>
          <w:rFonts w:hint="eastAsia"/>
        </w:rPr>
        <w:t>50111的规定执行，抗震设防烈度应按</w:t>
      </w:r>
      <w:r w:rsidRPr="00D12EC7">
        <w:t>GB 18306</w:t>
      </w:r>
      <w:r w:rsidRPr="00D12EC7">
        <w:rPr>
          <w:rFonts w:hint="eastAsia"/>
        </w:rPr>
        <w:t>规定的地震基本烈度采用。</w:t>
      </w:r>
      <w:bookmarkEnd w:id="1244"/>
      <w:bookmarkEnd w:id="1245"/>
    </w:p>
    <w:p w14:paraId="44FB06B4" w14:textId="77777777" w:rsidR="00737EB2" w:rsidRPr="00765F6E" w:rsidRDefault="00737EB2" w:rsidP="00737EB2">
      <w:pPr>
        <w:pStyle w:val="affe"/>
        <w:spacing w:before="156" w:after="156"/>
      </w:pPr>
      <w:bookmarkStart w:id="1246" w:name="_Toc153210870"/>
      <w:bookmarkStart w:id="1247" w:name="_Toc99791873"/>
      <w:bookmarkStart w:id="1248" w:name="_Toc153291304"/>
      <w:bookmarkStart w:id="1249" w:name="_Toc167895767"/>
      <w:bookmarkStart w:id="1250" w:name="_Toc174538681"/>
      <w:bookmarkStart w:id="1251" w:name="_Toc182476438"/>
      <w:r w:rsidRPr="00765F6E">
        <w:rPr>
          <w:rFonts w:hint="eastAsia"/>
        </w:rPr>
        <w:t>设计荷载</w:t>
      </w:r>
      <w:bookmarkEnd w:id="1246"/>
      <w:bookmarkEnd w:id="1247"/>
      <w:bookmarkEnd w:id="1248"/>
      <w:bookmarkEnd w:id="1249"/>
      <w:bookmarkEnd w:id="1250"/>
      <w:bookmarkEnd w:id="1251"/>
    </w:p>
    <w:p w14:paraId="6D3D04AD" w14:textId="543AC663" w:rsidR="00737EB2" w:rsidRPr="00D12EC7" w:rsidRDefault="00737EB2" w:rsidP="009D0776">
      <w:pPr>
        <w:pStyle w:val="22"/>
      </w:pPr>
      <w:bookmarkStart w:id="1252" w:name="_Toc153291305"/>
      <w:bookmarkStart w:id="1253" w:name="_Toc99791874"/>
      <w:r w:rsidRPr="00D12EC7">
        <w:rPr>
          <w:rFonts w:hint="eastAsia"/>
        </w:rPr>
        <w:t>桥涵结构设计应根据结构的特性，按表</w:t>
      </w:r>
      <w:r w:rsidR="00B731DB" w:rsidRPr="00D12EC7">
        <w:rPr>
          <w:rFonts w:hint="eastAsia"/>
        </w:rPr>
        <w:t>4</w:t>
      </w:r>
      <w:r w:rsidR="00B731DB">
        <w:t>8</w:t>
      </w:r>
      <w:r w:rsidRPr="00D12EC7">
        <w:rPr>
          <w:rFonts w:hint="eastAsia"/>
        </w:rPr>
        <w:t>所列荷载中可能的最不利组合进行计算。</w:t>
      </w:r>
      <w:bookmarkEnd w:id="1252"/>
      <w:bookmarkEnd w:id="1253"/>
    </w:p>
    <w:p w14:paraId="58E94028" w14:textId="77777777" w:rsidR="00737EB2" w:rsidRPr="00765F6E" w:rsidRDefault="00737EB2" w:rsidP="00737EB2">
      <w:pPr>
        <w:pStyle w:val="aff3"/>
        <w:spacing w:before="156" w:after="156"/>
      </w:pPr>
      <w:r w:rsidRPr="00765F6E">
        <w:rPr>
          <w:rFonts w:hint="eastAsia"/>
        </w:rPr>
        <w:t>荷载分类及组合</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1143"/>
        <w:gridCol w:w="1142"/>
        <w:gridCol w:w="7049"/>
      </w:tblGrid>
      <w:tr w:rsidR="00737EB2" w:rsidRPr="00765F6E" w14:paraId="5867BFD7" w14:textId="77777777" w:rsidTr="00871D47">
        <w:trPr>
          <w:trHeight w:val="176"/>
          <w:tblHeader/>
          <w:jc w:val="center"/>
        </w:trPr>
        <w:tc>
          <w:tcPr>
            <w:tcW w:w="1224" w:type="pct"/>
            <w:gridSpan w:val="2"/>
            <w:tcBorders>
              <w:top w:val="single" w:sz="8" w:space="0" w:color="auto"/>
              <w:bottom w:val="single" w:sz="8" w:space="0" w:color="auto"/>
            </w:tcBorders>
            <w:shd w:val="clear" w:color="auto" w:fill="auto"/>
            <w:vAlign w:val="center"/>
          </w:tcPr>
          <w:p w14:paraId="074F1A2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荷 载 分 类</w:t>
            </w:r>
          </w:p>
        </w:tc>
        <w:tc>
          <w:tcPr>
            <w:tcW w:w="3776" w:type="pct"/>
            <w:tcBorders>
              <w:top w:val="single" w:sz="8" w:space="0" w:color="auto"/>
              <w:bottom w:val="single" w:sz="8" w:space="0" w:color="auto"/>
            </w:tcBorders>
            <w:shd w:val="clear" w:color="auto" w:fill="auto"/>
            <w:vAlign w:val="center"/>
          </w:tcPr>
          <w:p w14:paraId="00ABC31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荷 载 名 称</w:t>
            </w:r>
          </w:p>
        </w:tc>
      </w:tr>
      <w:tr w:rsidR="00737EB2" w:rsidRPr="00765F6E" w14:paraId="75BBE680" w14:textId="77777777" w:rsidTr="00871D47">
        <w:trPr>
          <w:trHeight w:val="176"/>
          <w:jc w:val="center"/>
        </w:trPr>
        <w:tc>
          <w:tcPr>
            <w:tcW w:w="612" w:type="pct"/>
            <w:vMerge w:val="restart"/>
            <w:tcBorders>
              <w:top w:val="single" w:sz="8" w:space="0" w:color="auto"/>
            </w:tcBorders>
            <w:shd w:val="clear" w:color="auto" w:fill="auto"/>
            <w:vAlign w:val="center"/>
          </w:tcPr>
          <w:p w14:paraId="1F37725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主 力</w:t>
            </w:r>
          </w:p>
        </w:tc>
        <w:tc>
          <w:tcPr>
            <w:tcW w:w="612" w:type="pct"/>
            <w:vMerge w:val="restart"/>
            <w:tcBorders>
              <w:top w:val="single" w:sz="8" w:space="0" w:color="auto"/>
            </w:tcBorders>
            <w:shd w:val="clear" w:color="auto" w:fill="auto"/>
            <w:vAlign w:val="center"/>
          </w:tcPr>
          <w:p w14:paraId="2D29A99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恒 载</w:t>
            </w:r>
          </w:p>
        </w:tc>
        <w:tc>
          <w:tcPr>
            <w:tcW w:w="3776" w:type="pct"/>
            <w:tcBorders>
              <w:top w:val="single" w:sz="8" w:space="0" w:color="auto"/>
            </w:tcBorders>
            <w:shd w:val="clear" w:color="auto" w:fill="auto"/>
            <w:vAlign w:val="center"/>
          </w:tcPr>
          <w:p w14:paraId="325B5AE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结构构件及附属设备自重</w:t>
            </w:r>
          </w:p>
        </w:tc>
      </w:tr>
      <w:tr w:rsidR="00737EB2" w:rsidRPr="00765F6E" w14:paraId="7C1C1078" w14:textId="77777777" w:rsidTr="00871D47">
        <w:trPr>
          <w:trHeight w:val="176"/>
          <w:jc w:val="center"/>
        </w:trPr>
        <w:tc>
          <w:tcPr>
            <w:tcW w:w="612" w:type="pct"/>
            <w:vMerge/>
            <w:shd w:val="clear" w:color="auto" w:fill="auto"/>
            <w:vAlign w:val="center"/>
          </w:tcPr>
          <w:p w14:paraId="4486A360" w14:textId="77777777" w:rsidR="00737EB2" w:rsidRPr="00765F6E" w:rsidRDefault="00737EB2" w:rsidP="00871D47">
            <w:pPr>
              <w:pStyle w:val="affffffffffff2"/>
              <w:jc w:val="center"/>
              <w:rPr>
                <w:rFonts w:hAnsi="宋体" w:cs="宋体"/>
                <w:sz w:val="18"/>
                <w:szCs w:val="18"/>
              </w:rPr>
            </w:pPr>
          </w:p>
        </w:tc>
        <w:tc>
          <w:tcPr>
            <w:tcW w:w="612" w:type="pct"/>
            <w:vMerge/>
            <w:shd w:val="clear" w:color="auto" w:fill="auto"/>
            <w:vAlign w:val="center"/>
          </w:tcPr>
          <w:p w14:paraId="7C3682D9" w14:textId="77777777" w:rsidR="00737EB2" w:rsidRPr="00765F6E" w:rsidRDefault="00737EB2" w:rsidP="00871D47">
            <w:pPr>
              <w:pStyle w:val="affffffffffff2"/>
              <w:jc w:val="center"/>
              <w:rPr>
                <w:rFonts w:hAnsi="宋体" w:cs="宋体"/>
                <w:sz w:val="18"/>
                <w:szCs w:val="18"/>
              </w:rPr>
            </w:pPr>
          </w:p>
        </w:tc>
        <w:tc>
          <w:tcPr>
            <w:tcW w:w="3776" w:type="pct"/>
            <w:shd w:val="clear" w:color="auto" w:fill="auto"/>
            <w:vAlign w:val="center"/>
          </w:tcPr>
          <w:p w14:paraId="5246AB0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预加力</w:t>
            </w:r>
          </w:p>
        </w:tc>
      </w:tr>
      <w:tr w:rsidR="00737EB2" w:rsidRPr="00765F6E" w14:paraId="78287818" w14:textId="77777777" w:rsidTr="00871D47">
        <w:trPr>
          <w:trHeight w:val="176"/>
          <w:jc w:val="center"/>
        </w:trPr>
        <w:tc>
          <w:tcPr>
            <w:tcW w:w="612" w:type="pct"/>
            <w:vMerge/>
            <w:shd w:val="clear" w:color="auto" w:fill="auto"/>
            <w:vAlign w:val="center"/>
          </w:tcPr>
          <w:p w14:paraId="5BB0BF22" w14:textId="77777777" w:rsidR="00737EB2" w:rsidRPr="00765F6E" w:rsidRDefault="00737EB2" w:rsidP="00871D47">
            <w:pPr>
              <w:pStyle w:val="affffffffffff2"/>
              <w:jc w:val="center"/>
              <w:rPr>
                <w:rFonts w:hAnsi="宋体" w:cs="宋体"/>
                <w:sz w:val="18"/>
                <w:szCs w:val="18"/>
              </w:rPr>
            </w:pPr>
          </w:p>
        </w:tc>
        <w:tc>
          <w:tcPr>
            <w:tcW w:w="612" w:type="pct"/>
            <w:vMerge/>
            <w:shd w:val="clear" w:color="auto" w:fill="auto"/>
            <w:vAlign w:val="center"/>
          </w:tcPr>
          <w:p w14:paraId="26A158CA" w14:textId="77777777" w:rsidR="00737EB2" w:rsidRPr="00765F6E" w:rsidRDefault="00737EB2" w:rsidP="00871D47">
            <w:pPr>
              <w:pStyle w:val="affffffffffff2"/>
              <w:jc w:val="center"/>
              <w:rPr>
                <w:rFonts w:hAnsi="宋体" w:cs="宋体"/>
                <w:sz w:val="18"/>
                <w:szCs w:val="18"/>
              </w:rPr>
            </w:pPr>
          </w:p>
        </w:tc>
        <w:tc>
          <w:tcPr>
            <w:tcW w:w="3776" w:type="pct"/>
            <w:shd w:val="clear" w:color="auto" w:fill="auto"/>
            <w:vAlign w:val="center"/>
          </w:tcPr>
          <w:p w14:paraId="16D8044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混凝土收缩和徐变的影响</w:t>
            </w:r>
          </w:p>
        </w:tc>
      </w:tr>
      <w:tr w:rsidR="00737EB2" w:rsidRPr="00765F6E" w14:paraId="69253171" w14:textId="77777777" w:rsidTr="00871D47">
        <w:trPr>
          <w:trHeight w:val="176"/>
          <w:jc w:val="center"/>
        </w:trPr>
        <w:tc>
          <w:tcPr>
            <w:tcW w:w="612" w:type="pct"/>
            <w:vMerge/>
            <w:shd w:val="clear" w:color="auto" w:fill="auto"/>
            <w:vAlign w:val="center"/>
          </w:tcPr>
          <w:p w14:paraId="4394374A" w14:textId="77777777" w:rsidR="00737EB2" w:rsidRPr="00765F6E" w:rsidRDefault="00737EB2" w:rsidP="00871D47">
            <w:pPr>
              <w:pStyle w:val="affffffffffff2"/>
              <w:jc w:val="center"/>
              <w:rPr>
                <w:rFonts w:hAnsi="宋体" w:cs="宋体"/>
                <w:sz w:val="18"/>
                <w:szCs w:val="18"/>
              </w:rPr>
            </w:pPr>
          </w:p>
        </w:tc>
        <w:tc>
          <w:tcPr>
            <w:tcW w:w="612" w:type="pct"/>
            <w:vMerge/>
            <w:shd w:val="clear" w:color="auto" w:fill="auto"/>
            <w:vAlign w:val="center"/>
          </w:tcPr>
          <w:p w14:paraId="2819F46A" w14:textId="77777777" w:rsidR="00737EB2" w:rsidRPr="00765F6E" w:rsidRDefault="00737EB2" w:rsidP="00871D47">
            <w:pPr>
              <w:pStyle w:val="affffffffffff2"/>
              <w:jc w:val="center"/>
              <w:rPr>
                <w:rFonts w:hAnsi="宋体" w:cs="宋体"/>
                <w:sz w:val="18"/>
                <w:szCs w:val="18"/>
              </w:rPr>
            </w:pPr>
          </w:p>
        </w:tc>
        <w:tc>
          <w:tcPr>
            <w:tcW w:w="3776" w:type="pct"/>
            <w:shd w:val="clear" w:color="auto" w:fill="auto"/>
            <w:vAlign w:val="center"/>
          </w:tcPr>
          <w:p w14:paraId="06C25AE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土压力</w:t>
            </w:r>
          </w:p>
        </w:tc>
      </w:tr>
      <w:tr w:rsidR="00737EB2" w:rsidRPr="00765F6E" w14:paraId="4E656F61" w14:textId="77777777" w:rsidTr="00871D47">
        <w:trPr>
          <w:trHeight w:val="176"/>
          <w:jc w:val="center"/>
        </w:trPr>
        <w:tc>
          <w:tcPr>
            <w:tcW w:w="612" w:type="pct"/>
            <w:vMerge/>
            <w:shd w:val="clear" w:color="auto" w:fill="auto"/>
            <w:vAlign w:val="center"/>
          </w:tcPr>
          <w:p w14:paraId="52E6B5BC" w14:textId="77777777" w:rsidR="00737EB2" w:rsidRPr="00765F6E" w:rsidRDefault="00737EB2" w:rsidP="00871D47">
            <w:pPr>
              <w:pStyle w:val="affffffffffff2"/>
              <w:jc w:val="center"/>
              <w:rPr>
                <w:rFonts w:hAnsi="宋体" w:cs="宋体"/>
                <w:sz w:val="18"/>
                <w:szCs w:val="18"/>
              </w:rPr>
            </w:pPr>
          </w:p>
        </w:tc>
        <w:tc>
          <w:tcPr>
            <w:tcW w:w="612" w:type="pct"/>
            <w:vMerge/>
            <w:shd w:val="clear" w:color="auto" w:fill="auto"/>
            <w:vAlign w:val="center"/>
          </w:tcPr>
          <w:p w14:paraId="77D6C689" w14:textId="77777777" w:rsidR="00737EB2" w:rsidRPr="00765F6E" w:rsidRDefault="00737EB2" w:rsidP="00871D47">
            <w:pPr>
              <w:pStyle w:val="affffffffffff2"/>
              <w:jc w:val="center"/>
              <w:rPr>
                <w:rFonts w:hAnsi="宋体" w:cs="宋体"/>
                <w:sz w:val="18"/>
                <w:szCs w:val="18"/>
              </w:rPr>
            </w:pPr>
          </w:p>
        </w:tc>
        <w:tc>
          <w:tcPr>
            <w:tcW w:w="3776" w:type="pct"/>
            <w:shd w:val="clear" w:color="auto" w:fill="auto"/>
            <w:vAlign w:val="center"/>
          </w:tcPr>
          <w:p w14:paraId="058B5C6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静水压力及水浮力</w:t>
            </w:r>
          </w:p>
        </w:tc>
      </w:tr>
      <w:tr w:rsidR="00737EB2" w:rsidRPr="00765F6E" w14:paraId="6F63982A" w14:textId="77777777" w:rsidTr="00871D47">
        <w:trPr>
          <w:trHeight w:val="176"/>
          <w:jc w:val="center"/>
        </w:trPr>
        <w:tc>
          <w:tcPr>
            <w:tcW w:w="612" w:type="pct"/>
            <w:vMerge/>
            <w:shd w:val="clear" w:color="auto" w:fill="auto"/>
            <w:vAlign w:val="center"/>
          </w:tcPr>
          <w:p w14:paraId="246EB568" w14:textId="77777777" w:rsidR="00737EB2" w:rsidRPr="00765F6E" w:rsidRDefault="00737EB2" w:rsidP="00871D47">
            <w:pPr>
              <w:pStyle w:val="affffffffffff2"/>
              <w:jc w:val="center"/>
              <w:rPr>
                <w:rFonts w:hAnsi="宋体" w:cs="宋体"/>
                <w:sz w:val="18"/>
                <w:szCs w:val="18"/>
              </w:rPr>
            </w:pPr>
          </w:p>
        </w:tc>
        <w:tc>
          <w:tcPr>
            <w:tcW w:w="612" w:type="pct"/>
            <w:vMerge/>
            <w:shd w:val="clear" w:color="auto" w:fill="auto"/>
            <w:vAlign w:val="center"/>
          </w:tcPr>
          <w:p w14:paraId="4632101A" w14:textId="77777777" w:rsidR="00737EB2" w:rsidRPr="00765F6E" w:rsidRDefault="00737EB2" w:rsidP="00871D47">
            <w:pPr>
              <w:pStyle w:val="affffffffffff2"/>
              <w:jc w:val="center"/>
              <w:rPr>
                <w:rFonts w:hAnsi="宋体" w:cs="宋体"/>
                <w:sz w:val="18"/>
                <w:szCs w:val="18"/>
              </w:rPr>
            </w:pPr>
          </w:p>
        </w:tc>
        <w:tc>
          <w:tcPr>
            <w:tcW w:w="3776" w:type="pct"/>
            <w:shd w:val="clear" w:color="auto" w:fill="auto"/>
            <w:vAlign w:val="center"/>
          </w:tcPr>
          <w:p w14:paraId="09A08D9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基础变位的影响</w:t>
            </w:r>
          </w:p>
        </w:tc>
      </w:tr>
      <w:tr w:rsidR="00737EB2" w:rsidRPr="00765F6E" w14:paraId="78350884" w14:textId="77777777" w:rsidTr="00871D47">
        <w:trPr>
          <w:trHeight w:val="176"/>
          <w:jc w:val="center"/>
        </w:trPr>
        <w:tc>
          <w:tcPr>
            <w:tcW w:w="612" w:type="pct"/>
            <w:vMerge/>
            <w:shd w:val="clear" w:color="auto" w:fill="auto"/>
            <w:vAlign w:val="center"/>
          </w:tcPr>
          <w:p w14:paraId="5AD16EB4" w14:textId="77777777" w:rsidR="00737EB2" w:rsidRPr="00765F6E" w:rsidRDefault="00737EB2" w:rsidP="00871D47">
            <w:pPr>
              <w:pStyle w:val="affffffffffff2"/>
              <w:jc w:val="center"/>
              <w:rPr>
                <w:rFonts w:hAnsi="宋体" w:cs="宋体"/>
                <w:sz w:val="18"/>
                <w:szCs w:val="18"/>
              </w:rPr>
            </w:pPr>
          </w:p>
        </w:tc>
        <w:tc>
          <w:tcPr>
            <w:tcW w:w="612" w:type="pct"/>
            <w:vMerge w:val="restart"/>
            <w:shd w:val="clear" w:color="auto" w:fill="auto"/>
            <w:vAlign w:val="center"/>
          </w:tcPr>
          <w:p w14:paraId="2F90DB8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活 载</w:t>
            </w:r>
          </w:p>
        </w:tc>
        <w:tc>
          <w:tcPr>
            <w:tcW w:w="3776" w:type="pct"/>
            <w:shd w:val="clear" w:color="auto" w:fill="auto"/>
            <w:vAlign w:val="center"/>
          </w:tcPr>
          <w:p w14:paraId="63420E8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列车竖向静荷载及动力作用</w:t>
            </w:r>
          </w:p>
        </w:tc>
      </w:tr>
      <w:tr w:rsidR="00737EB2" w:rsidRPr="00765F6E" w14:paraId="53E4C4B2" w14:textId="77777777" w:rsidTr="00871D47">
        <w:trPr>
          <w:trHeight w:val="176"/>
          <w:jc w:val="center"/>
        </w:trPr>
        <w:tc>
          <w:tcPr>
            <w:tcW w:w="612" w:type="pct"/>
            <w:vMerge/>
            <w:shd w:val="clear" w:color="auto" w:fill="auto"/>
            <w:vAlign w:val="center"/>
          </w:tcPr>
          <w:p w14:paraId="2594B33B" w14:textId="77777777" w:rsidR="00737EB2" w:rsidRPr="00765F6E" w:rsidRDefault="00737EB2" w:rsidP="00871D47">
            <w:pPr>
              <w:pStyle w:val="affffffffffff2"/>
              <w:jc w:val="center"/>
              <w:rPr>
                <w:rFonts w:hAnsi="宋体" w:cs="宋体"/>
                <w:sz w:val="18"/>
                <w:szCs w:val="18"/>
              </w:rPr>
            </w:pPr>
          </w:p>
        </w:tc>
        <w:tc>
          <w:tcPr>
            <w:tcW w:w="612" w:type="pct"/>
            <w:vMerge/>
            <w:shd w:val="clear" w:color="auto" w:fill="auto"/>
            <w:vAlign w:val="center"/>
          </w:tcPr>
          <w:p w14:paraId="54AC9AE6" w14:textId="77777777" w:rsidR="00737EB2" w:rsidRPr="00765F6E" w:rsidRDefault="00737EB2" w:rsidP="00871D47">
            <w:pPr>
              <w:pStyle w:val="affffffffffff2"/>
              <w:jc w:val="center"/>
              <w:rPr>
                <w:rFonts w:hAnsi="宋体" w:cs="宋体"/>
                <w:sz w:val="18"/>
                <w:szCs w:val="18"/>
              </w:rPr>
            </w:pPr>
          </w:p>
        </w:tc>
        <w:tc>
          <w:tcPr>
            <w:tcW w:w="3776" w:type="pct"/>
            <w:shd w:val="clear" w:color="auto" w:fill="auto"/>
            <w:vAlign w:val="center"/>
          </w:tcPr>
          <w:p w14:paraId="7CBF59C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公路（城市道路）活载及动力作用</w:t>
            </w:r>
          </w:p>
        </w:tc>
      </w:tr>
      <w:tr w:rsidR="00737EB2" w:rsidRPr="00765F6E" w14:paraId="564DFABC" w14:textId="77777777" w:rsidTr="00871D47">
        <w:trPr>
          <w:trHeight w:val="176"/>
          <w:jc w:val="center"/>
        </w:trPr>
        <w:tc>
          <w:tcPr>
            <w:tcW w:w="612" w:type="pct"/>
            <w:vMerge/>
            <w:shd w:val="clear" w:color="auto" w:fill="auto"/>
            <w:vAlign w:val="center"/>
          </w:tcPr>
          <w:p w14:paraId="0A5AB590" w14:textId="77777777" w:rsidR="00737EB2" w:rsidRPr="00765F6E" w:rsidRDefault="00737EB2" w:rsidP="00871D47">
            <w:pPr>
              <w:pStyle w:val="affffffffffff2"/>
              <w:jc w:val="center"/>
              <w:rPr>
                <w:rFonts w:hAnsi="宋体" w:cs="宋体"/>
                <w:sz w:val="18"/>
                <w:szCs w:val="18"/>
              </w:rPr>
            </w:pPr>
          </w:p>
        </w:tc>
        <w:tc>
          <w:tcPr>
            <w:tcW w:w="612" w:type="pct"/>
            <w:vMerge/>
            <w:shd w:val="clear" w:color="auto" w:fill="auto"/>
            <w:vAlign w:val="center"/>
          </w:tcPr>
          <w:p w14:paraId="54F40112" w14:textId="77777777" w:rsidR="00737EB2" w:rsidRPr="00765F6E" w:rsidRDefault="00737EB2" w:rsidP="00871D47">
            <w:pPr>
              <w:pStyle w:val="affffffffffff2"/>
              <w:jc w:val="center"/>
              <w:rPr>
                <w:rFonts w:hAnsi="宋体" w:cs="宋体"/>
                <w:sz w:val="18"/>
                <w:szCs w:val="18"/>
              </w:rPr>
            </w:pPr>
          </w:p>
        </w:tc>
        <w:tc>
          <w:tcPr>
            <w:tcW w:w="3776" w:type="pct"/>
            <w:shd w:val="clear" w:color="auto" w:fill="auto"/>
            <w:vAlign w:val="center"/>
          </w:tcPr>
          <w:p w14:paraId="2FD9EC6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离心力</w:t>
            </w:r>
          </w:p>
        </w:tc>
      </w:tr>
      <w:tr w:rsidR="00737EB2" w:rsidRPr="00765F6E" w14:paraId="4264B423" w14:textId="77777777" w:rsidTr="00871D47">
        <w:trPr>
          <w:trHeight w:val="176"/>
          <w:jc w:val="center"/>
        </w:trPr>
        <w:tc>
          <w:tcPr>
            <w:tcW w:w="612" w:type="pct"/>
            <w:vMerge/>
            <w:shd w:val="clear" w:color="auto" w:fill="auto"/>
            <w:vAlign w:val="center"/>
          </w:tcPr>
          <w:p w14:paraId="0898F2AA" w14:textId="77777777" w:rsidR="00737EB2" w:rsidRPr="00765F6E" w:rsidRDefault="00737EB2" w:rsidP="00871D47">
            <w:pPr>
              <w:pStyle w:val="affffffffffff2"/>
              <w:jc w:val="center"/>
              <w:rPr>
                <w:rFonts w:hAnsi="宋体" w:cs="宋体"/>
                <w:sz w:val="18"/>
                <w:szCs w:val="18"/>
              </w:rPr>
            </w:pPr>
          </w:p>
        </w:tc>
        <w:tc>
          <w:tcPr>
            <w:tcW w:w="612" w:type="pct"/>
            <w:vMerge/>
            <w:shd w:val="clear" w:color="auto" w:fill="auto"/>
            <w:vAlign w:val="center"/>
          </w:tcPr>
          <w:p w14:paraId="6EA21A9A" w14:textId="77777777" w:rsidR="00737EB2" w:rsidRPr="00765F6E" w:rsidRDefault="00737EB2" w:rsidP="00871D47">
            <w:pPr>
              <w:pStyle w:val="affffffffffff2"/>
              <w:jc w:val="center"/>
              <w:rPr>
                <w:rFonts w:hAnsi="宋体" w:cs="宋体"/>
                <w:sz w:val="18"/>
                <w:szCs w:val="18"/>
              </w:rPr>
            </w:pPr>
          </w:p>
        </w:tc>
        <w:tc>
          <w:tcPr>
            <w:tcW w:w="3776" w:type="pct"/>
            <w:shd w:val="clear" w:color="auto" w:fill="auto"/>
            <w:vAlign w:val="center"/>
          </w:tcPr>
          <w:p w14:paraId="5BE384A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横向摇摆力</w:t>
            </w:r>
          </w:p>
        </w:tc>
      </w:tr>
      <w:tr w:rsidR="00737EB2" w:rsidRPr="00765F6E" w14:paraId="37FAAB6D" w14:textId="77777777" w:rsidTr="00871D47">
        <w:trPr>
          <w:trHeight w:val="176"/>
          <w:jc w:val="center"/>
        </w:trPr>
        <w:tc>
          <w:tcPr>
            <w:tcW w:w="612" w:type="pct"/>
            <w:vMerge/>
            <w:shd w:val="clear" w:color="auto" w:fill="auto"/>
            <w:vAlign w:val="center"/>
          </w:tcPr>
          <w:p w14:paraId="2C5F88C5" w14:textId="77777777" w:rsidR="00737EB2" w:rsidRPr="00765F6E" w:rsidRDefault="00737EB2" w:rsidP="00871D47">
            <w:pPr>
              <w:pStyle w:val="affffffffffff2"/>
              <w:jc w:val="center"/>
              <w:rPr>
                <w:rFonts w:hAnsi="宋体" w:cs="宋体"/>
                <w:sz w:val="18"/>
                <w:szCs w:val="18"/>
              </w:rPr>
            </w:pPr>
          </w:p>
        </w:tc>
        <w:tc>
          <w:tcPr>
            <w:tcW w:w="612" w:type="pct"/>
            <w:vMerge/>
            <w:shd w:val="clear" w:color="auto" w:fill="auto"/>
            <w:vAlign w:val="center"/>
          </w:tcPr>
          <w:p w14:paraId="680EB02D" w14:textId="77777777" w:rsidR="00737EB2" w:rsidRPr="00765F6E" w:rsidRDefault="00737EB2" w:rsidP="00871D47">
            <w:pPr>
              <w:pStyle w:val="affffffffffff2"/>
              <w:jc w:val="center"/>
              <w:rPr>
                <w:rFonts w:hAnsi="宋体" w:cs="宋体"/>
                <w:sz w:val="18"/>
                <w:szCs w:val="18"/>
              </w:rPr>
            </w:pPr>
          </w:p>
        </w:tc>
        <w:tc>
          <w:tcPr>
            <w:tcW w:w="3776" w:type="pct"/>
            <w:shd w:val="clear" w:color="auto" w:fill="auto"/>
            <w:vAlign w:val="center"/>
          </w:tcPr>
          <w:p w14:paraId="16899A8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活载土压力</w:t>
            </w:r>
          </w:p>
        </w:tc>
      </w:tr>
      <w:tr w:rsidR="00737EB2" w:rsidRPr="00765F6E" w14:paraId="45305185" w14:textId="77777777" w:rsidTr="00871D47">
        <w:trPr>
          <w:trHeight w:val="176"/>
          <w:jc w:val="center"/>
        </w:trPr>
        <w:tc>
          <w:tcPr>
            <w:tcW w:w="612" w:type="pct"/>
            <w:vMerge/>
            <w:shd w:val="clear" w:color="auto" w:fill="auto"/>
            <w:vAlign w:val="center"/>
          </w:tcPr>
          <w:p w14:paraId="268F41C7" w14:textId="77777777" w:rsidR="00737EB2" w:rsidRPr="00765F6E" w:rsidRDefault="00737EB2" w:rsidP="00871D47">
            <w:pPr>
              <w:pStyle w:val="affffffffffff2"/>
              <w:jc w:val="center"/>
              <w:rPr>
                <w:rFonts w:hAnsi="宋体" w:cs="宋体"/>
                <w:sz w:val="18"/>
                <w:szCs w:val="18"/>
              </w:rPr>
            </w:pPr>
          </w:p>
        </w:tc>
        <w:tc>
          <w:tcPr>
            <w:tcW w:w="612" w:type="pct"/>
            <w:vMerge/>
            <w:shd w:val="clear" w:color="auto" w:fill="auto"/>
            <w:vAlign w:val="center"/>
          </w:tcPr>
          <w:p w14:paraId="60DB2637" w14:textId="77777777" w:rsidR="00737EB2" w:rsidRPr="00765F6E" w:rsidRDefault="00737EB2" w:rsidP="00871D47">
            <w:pPr>
              <w:pStyle w:val="affffffffffff2"/>
              <w:jc w:val="center"/>
              <w:rPr>
                <w:rFonts w:hAnsi="宋体" w:cs="宋体"/>
                <w:sz w:val="18"/>
                <w:szCs w:val="18"/>
              </w:rPr>
            </w:pPr>
          </w:p>
        </w:tc>
        <w:tc>
          <w:tcPr>
            <w:tcW w:w="3776" w:type="pct"/>
            <w:shd w:val="clear" w:color="auto" w:fill="auto"/>
            <w:vAlign w:val="center"/>
          </w:tcPr>
          <w:p w14:paraId="5255EB4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人行道人行荷载</w:t>
            </w:r>
          </w:p>
        </w:tc>
      </w:tr>
      <w:tr w:rsidR="00737EB2" w:rsidRPr="00765F6E" w14:paraId="578D0496" w14:textId="77777777" w:rsidTr="00871D47">
        <w:trPr>
          <w:trHeight w:val="176"/>
          <w:jc w:val="center"/>
        </w:trPr>
        <w:tc>
          <w:tcPr>
            <w:tcW w:w="612" w:type="pct"/>
            <w:vMerge/>
            <w:shd w:val="clear" w:color="auto" w:fill="auto"/>
            <w:vAlign w:val="center"/>
          </w:tcPr>
          <w:p w14:paraId="69B43AC6" w14:textId="77777777" w:rsidR="00737EB2" w:rsidRPr="00765F6E" w:rsidRDefault="00737EB2" w:rsidP="00871D47">
            <w:pPr>
              <w:jc w:val="center"/>
              <w:rPr>
                <w:rFonts w:ascii="宋体" w:hAnsi="宋体"/>
                <w:sz w:val="18"/>
                <w:szCs w:val="18"/>
              </w:rPr>
            </w:pPr>
          </w:p>
        </w:tc>
        <w:tc>
          <w:tcPr>
            <w:tcW w:w="612" w:type="pct"/>
            <w:vMerge/>
            <w:shd w:val="clear" w:color="auto" w:fill="auto"/>
            <w:vAlign w:val="center"/>
          </w:tcPr>
          <w:p w14:paraId="423FA781" w14:textId="77777777" w:rsidR="00737EB2" w:rsidRPr="00765F6E" w:rsidRDefault="00737EB2" w:rsidP="00871D47">
            <w:pPr>
              <w:jc w:val="center"/>
              <w:rPr>
                <w:rFonts w:ascii="宋体" w:hAnsi="宋体"/>
                <w:sz w:val="18"/>
                <w:szCs w:val="18"/>
              </w:rPr>
            </w:pPr>
          </w:p>
        </w:tc>
        <w:tc>
          <w:tcPr>
            <w:tcW w:w="3776" w:type="pct"/>
            <w:shd w:val="clear" w:color="auto" w:fill="auto"/>
            <w:vAlign w:val="center"/>
          </w:tcPr>
          <w:p w14:paraId="1F09D71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气动力</w:t>
            </w:r>
          </w:p>
        </w:tc>
      </w:tr>
      <w:tr w:rsidR="0092397E" w:rsidRPr="00765F6E" w14:paraId="767904BC" w14:textId="77777777" w:rsidTr="00871D47">
        <w:trPr>
          <w:trHeight w:val="176"/>
          <w:jc w:val="center"/>
        </w:trPr>
        <w:tc>
          <w:tcPr>
            <w:tcW w:w="1224" w:type="pct"/>
            <w:gridSpan w:val="2"/>
            <w:vMerge w:val="restart"/>
            <w:shd w:val="clear" w:color="auto" w:fill="auto"/>
            <w:vAlign w:val="center"/>
          </w:tcPr>
          <w:p w14:paraId="57F5E507" w14:textId="24166763" w:rsidR="0092397E" w:rsidRPr="00765F6E" w:rsidRDefault="0092397E" w:rsidP="00871D47">
            <w:pPr>
              <w:pStyle w:val="affffffffffff2"/>
              <w:jc w:val="center"/>
              <w:rPr>
                <w:rFonts w:hAnsi="宋体" w:cs="宋体"/>
                <w:sz w:val="18"/>
                <w:szCs w:val="18"/>
              </w:rPr>
            </w:pPr>
            <w:r w:rsidRPr="00765F6E">
              <w:rPr>
                <w:rFonts w:hAnsi="宋体" w:cs="宋体" w:hint="eastAsia"/>
                <w:sz w:val="18"/>
                <w:szCs w:val="18"/>
              </w:rPr>
              <w:t>附 加 力</w:t>
            </w:r>
          </w:p>
        </w:tc>
        <w:tc>
          <w:tcPr>
            <w:tcW w:w="3776" w:type="pct"/>
            <w:shd w:val="clear" w:color="auto" w:fill="auto"/>
            <w:vAlign w:val="center"/>
          </w:tcPr>
          <w:p w14:paraId="0F602506" w14:textId="77777777" w:rsidR="0092397E" w:rsidRPr="00765F6E" w:rsidRDefault="0092397E" w:rsidP="00871D47">
            <w:pPr>
              <w:pStyle w:val="affffffffffff2"/>
              <w:jc w:val="center"/>
              <w:rPr>
                <w:rFonts w:hAnsi="宋体" w:cs="宋体"/>
                <w:sz w:val="18"/>
                <w:szCs w:val="18"/>
              </w:rPr>
            </w:pPr>
            <w:r w:rsidRPr="00765F6E">
              <w:rPr>
                <w:rFonts w:hAnsi="宋体" w:cs="宋体" w:hint="eastAsia"/>
                <w:sz w:val="18"/>
                <w:szCs w:val="18"/>
              </w:rPr>
              <w:t>制动力或牵引力</w:t>
            </w:r>
          </w:p>
        </w:tc>
      </w:tr>
      <w:tr w:rsidR="0092397E" w:rsidRPr="00765F6E" w14:paraId="5ACBD0BB" w14:textId="77777777" w:rsidTr="00871D47">
        <w:trPr>
          <w:trHeight w:val="176"/>
          <w:jc w:val="center"/>
        </w:trPr>
        <w:tc>
          <w:tcPr>
            <w:tcW w:w="1224" w:type="pct"/>
            <w:gridSpan w:val="2"/>
            <w:vMerge/>
            <w:shd w:val="clear" w:color="auto" w:fill="auto"/>
            <w:vAlign w:val="center"/>
          </w:tcPr>
          <w:p w14:paraId="1BB78AEC" w14:textId="55A6CB14" w:rsidR="0092397E" w:rsidRPr="00765F6E" w:rsidRDefault="0092397E" w:rsidP="00871D47">
            <w:pPr>
              <w:pStyle w:val="affffffffffff2"/>
              <w:jc w:val="center"/>
              <w:rPr>
                <w:rFonts w:hAnsi="宋体" w:cs="宋体"/>
                <w:sz w:val="18"/>
                <w:szCs w:val="18"/>
              </w:rPr>
            </w:pPr>
          </w:p>
        </w:tc>
        <w:tc>
          <w:tcPr>
            <w:tcW w:w="3776" w:type="pct"/>
            <w:shd w:val="clear" w:color="auto" w:fill="auto"/>
            <w:vAlign w:val="center"/>
          </w:tcPr>
          <w:p w14:paraId="6B59457E" w14:textId="77777777" w:rsidR="0092397E" w:rsidRPr="00765F6E" w:rsidRDefault="0092397E" w:rsidP="00871D47">
            <w:pPr>
              <w:pStyle w:val="affffffffffff2"/>
              <w:jc w:val="center"/>
              <w:rPr>
                <w:rFonts w:hAnsi="宋体" w:cs="宋体"/>
                <w:sz w:val="18"/>
                <w:szCs w:val="18"/>
              </w:rPr>
            </w:pPr>
            <w:r w:rsidRPr="00765F6E">
              <w:rPr>
                <w:rFonts w:hAnsi="宋体" w:cs="宋体" w:hint="eastAsia"/>
                <w:sz w:val="18"/>
                <w:szCs w:val="18"/>
              </w:rPr>
              <w:t>支座摩擦阻力</w:t>
            </w:r>
          </w:p>
        </w:tc>
      </w:tr>
      <w:tr w:rsidR="0092397E" w:rsidRPr="00765F6E" w14:paraId="675BF199" w14:textId="77777777" w:rsidTr="00871D47">
        <w:trPr>
          <w:trHeight w:val="176"/>
          <w:jc w:val="center"/>
        </w:trPr>
        <w:tc>
          <w:tcPr>
            <w:tcW w:w="1224" w:type="pct"/>
            <w:gridSpan w:val="2"/>
            <w:vMerge/>
            <w:shd w:val="clear" w:color="auto" w:fill="auto"/>
            <w:vAlign w:val="center"/>
          </w:tcPr>
          <w:p w14:paraId="58138DBE" w14:textId="79888551" w:rsidR="0092397E" w:rsidRPr="00765F6E" w:rsidRDefault="0092397E" w:rsidP="00871D47">
            <w:pPr>
              <w:pStyle w:val="affffffffffff2"/>
              <w:jc w:val="center"/>
              <w:rPr>
                <w:rFonts w:hAnsi="宋体" w:cs="宋体"/>
                <w:sz w:val="18"/>
                <w:szCs w:val="18"/>
              </w:rPr>
            </w:pPr>
          </w:p>
        </w:tc>
        <w:tc>
          <w:tcPr>
            <w:tcW w:w="3776" w:type="pct"/>
            <w:shd w:val="clear" w:color="auto" w:fill="auto"/>
            <w:vAlign w:val="center"/>
          </w:tcPr>
          <w:p w14:paraId="01319CE0" w14:textId="77777777" w:rsidR="0092397E" w:rsidRPr="00765F6E" w:rsidRDefault="0092397E" w:rsidP="00871D47">
            <w:pPr>
              <w:pStyle w:val="affffffffffff2"/>
              <w:jc w:val="center"/>
              <w:rPr>
                <w:rFonts w:hAnsi="宋体" w:cs="宋体"/>
                <w:sz w:val="18"/>
                <w:szCs w:val="18"/>
              </w:rPr>
            </w:pPr>
            <w:r w:rsidRPr="00765F6E">
              <w:rPr>
                <w:rFonts w:hAnsi="宋体" w:cs="宋体" w:hint="eastAsia"/>
                <w:sz w:val="18"/>
                <w:szCs w:val="18"/>
              </w:rPr>
              <w:t>风力</w:t>
            </w:r>
          </w:p>
        </w:tc>
      </w:tr>
      <w:tr w:rsidR="0092397E" w:rsidRPr="00765F6E" w14:paraId="0D842E1A" w14:textId="77777777" w:rsidTr="00871D47">
        <w:trPr>
          <w:trHeight w:val="176"/>
          <w:jc w:val="center"/>
        </w:trPr>
        <w:tc>
          <w:tcPr>
            <w:tcW w:w="1224" w:type="pct"/>
            <w:gridSpan w:val="2"/>
            <w:vMerge/>
            <w:shd w:val="clear" w:color="auto" w:fill="auto"/>
            <w:vAlign w:val="center"/>
          </w:tcPr>
          <w:p w14:paraId="4D506B93" w14:textId="6C4EE923" w:rsidR="0092397E" w:rsidRPr="00765F6E" w:rsidRDefault="0092397E" w:rsidP="00871D47">
            <w:pPr>
              <w:pStyle w:val="affffffffffff2"/>
              <w:jc w:val="center"/>
              <w:rPr>
                <w:rFonts w:hAnsi="宋体" w:cs="宋体"/>
                <w:sz w:val="18"/>
                <w:szCs w:val="18"/>
              </w:rPr>
            </w:pPr>
          </w:p>
        </w:tc>
        <w:tc>
          <w:tcPr>
            <w:tcW w:w="3776" w:type="pct"/>
            <w:shd w:val="clear" w:color="auto" w:fill="auto"/>
            <w:vAlign w:val="center"/>
          </w:tcPr>
          <w:p w14:paraId="213BC869" w14:textId="77777777" w:rsidR="0092397E" w:rsidRPr="00765F6E" w:rsidRDefault="0092397E" w:rsidP="00871D47">
            <w:pPr>
              <w:pStyle w:val="affffffffffff2"/>
              <w:jc w:val="center"/>
              <w:rPr>
                <w:rFonts w:hAnsi="宋体" w:cs="宋体"/>
                <w:sz w:val="18"/>
                <w:szCs w:val="18"/>
              </w:rPr>
            </w:pPr>
            <w:r w:rsidRPr="00765F6E">
              <w:rPr>
                <w:rFonts w:hAnsi="宋体" w:cs="宋体" w:hint="eastAsia"/>
                <w:sz w:val="18"/>
                <w:szCs w:val="18"/>
              </w:rPr>
              <w:t>流水压力</w:t>
            </w:r>
          </w:p>
        </w:tc>
      </w:tr>
      <w:tr w:rsidR="0092397E" w:rsidRPr="00765F6E" w14:paraId="15B0E68A" w14:textId="77777777" w:rsidTr="00871D47">
        <w:trPr>
          <w:trHeight w:val="176"/>
          <w:jc w:val="center"/>
        </w:trPr>
        <w:tc>
          <w:tcPr>
            <w:tcW w:w="1224" w:type="pct"/>
            <w:gridSpan w:val="2"/>
            <w:vMerge/>
            <w:shd w:val="clear" w:color="auto" w:fill="auto"/>
            <w:vAlign w:val="center"/>
          </w:tcPr>
          <w:p w14:paraId="22E959A3" w14:textId="518515CE" w:rsidR="0092397E" w:rsidRPr="00765F6E" w:rsidRDefault="0092397E" w:rsidP="00871D47">
            <w:pPr>
              <w:pStyle w:val="affffffffffff2"/>
              <w:jc w:val="center"/>
              <w:rPr>
                <w:rFonts w:hAnsi="宋体" w:cs="宋体"/>
                <w:sz w:val="18"/>
                <w:szCs w:val="18"/>
              </w:rPr>
            </w:pPr>
          </w:p>
        </w:tc>
        <w:tc>
          <w:tcPr>
            <w:tcW w:w="3776" w:type="pct"/>
            <w:shd w:val="clear" w:color="auto" w:fill="auto"/>
            <w:vAlign w:val="center"/>
          </w:tcPr>
          <w:p w14:paraId="6D2092E9" w14:textId="77777777" w:rsidR="0092397E" w:rsidRPr="00765F6E" w:rsidRDefault="0092397E" w:rsidP="00871D47">
            <w:pPr>
              <w:pStyle w:val="affffffffffff2"/>
              <w:jc w:val="center"/>
              <w:rPr>
                <w:rFonts w:hAnsi="宋体" w:cs="宋体"/>
                <w:sz w:val="18"/>
                <w:szCs w:val="18"/>
              </w:rPr>
            </w:pPr>
            <w:r w:rsidRPr="00765F6E">
              <w:rPr>
                <w:rFonts w:hAnsi="宋体" w:cs="宋体" w:hint="eastAsia"/>
                <w:sz w:val="18"/>
                <w:szCs w:val="18"/>
              </w:rPr>
              <w:t>温度变化的作用</w:t>
            </w:r>
          </w:p>
        </w:tc>
      </w:tr>
      <w:tr w:rsidR="0092397E" w:rsidRPr="00765F6E" w14:paraId="06D6B51D" w14:textId="77777777" w:rsidTr="00871D47">
        <w:trPr>
          <w:trHeight w:val="176"/>
          <w:jc w:val="center"/>
        </w:trPr>
        <w:tc>
          <w:tcPr>
            <w:tcW w:w="1224" w:type="pct"/>
            <w:gridSpan w:val="2"/>
            <w:vMerge/>
            <w:shd w:val="clear" w:color="auto" w:fill="auto"/>
            <w:vAlign w:val="center"/>
          </w:tcPr>
          <w:p w14:paraId="3E88F335" w14:textId="33398828" w:rsidR="0092397E" w:rsidRPr="00765F6E" w:rsidRDefault="0092397E" w:rsidP="00871D47">
            <w:pPr>
              <w:pStyle w:val="affffffffffff2"/>
              <w:jc w:val="center"/>
              <w:rPr>
                <w:rFonts w:hAnsi="宋体" w:cs="宋体"/>
                <w:sz w:val="18"/>
                <w:szCs w:val="18"/>
              </w:rPr>
            </w:pPr>
          </w:p>
        </w:tc>
        <w:tc>
          <w:tcPr>
            <w:tcW w:w="3776" w:type="pct"/>
            <w:shd w:val="clear" w:color="auto" w:fill="auto"/>
            <w:vAlign w:val="center"/>
          </w:tcPr>
          <w:p w14:paraId="26E6FF23" w14:textId="77777777" w:rsidR="0092397E" w:rsidRPr="00765F6E" w:rsidRDefault="0092397E" w:rsidP="00871D47">
            <w:pPr>
              <w:pStyle w:val="affffffffffff2"/>
              <w:jc w:val="center"/>
              <w:rPr>
                <w:rFonts w:hAnsi="宋体" w:cs="宋体"/>
                <w:sz w:val="18"/>
                <w:szCs w:val="18"/>
              </w:rPr>
            </w:pPr>
            <w:r w:rsidRPr="00765F6E">
              <w:rPr>
                <w:rFonts w:hAnsi="宋体" w:cs="宋体" w:hint="eastAsia"/>
                <w:sz w:val="18"/>
                <w:szCs w:val="18"/>
              </w:rPr>
              <w:t>冻胀力</w:t>
            </w:r>
          </w:p>
        </w:tc>
      </w:tr>
      <w:tr w:rsidR="0092397E" w:rsidRPr="00765F6E" w14:paraId="5D4CE402" w14:textId="77777777" w:rsidTr="00871D47">
        <w:trPr>
          <w:trHeight w:val="176"/>
          <w:jc w:val="center"/>
        </w:trPr>
        <w:tc>
          <w:tcPr>
            <w:tcW w:w="1224" w:type="pct"/>
            <w:gridSpan w:val="2"/>
            <w:vMerge/>
            <w:shd w:val="clear" w:color="auto" w:fill="auto"/>
            <w:vAlign w:val="center"/>
          </w:tcPr>
          <w:p w14:paraId="75EED360" w14:textId="17659095" w:rsidR="0092397E" w:rsidRPr="00765F6E" w:rsidRDefault="0092397E" w:rsidP="00871D47">
            <w:pPr>
              <w:pStyle w:val="affffffffffff2"/>
              <w:jc w:val="center"/>
              <w:rPr>
                <w:rFonts w:hAnsi="宋体" w:cs="宋体"/>
                <w:sz w:val="18"/>
                <w:szCs w:val="18"/>
              </w:rPr>
            </w:pPr>
          </w:p>
        </w:tc>
        <w:tc>
          <w:tcPr>
            <w:tcW w:w="3776" w:type="pct"/>
            <w:shd w:val="clear" w:color="auto" w:fill="auto"/>
            <w:vAlign w:val="center"/>
          </w:tcPr>
          <w:p w14:paraId="663012C4" w14:textId="77777777" w:rsidR="0092397E" w:rsidRPr="00765F6E" w:rsidRDefault="0092397E" w:rsidP="00871D47">
            <w:pPr>
              <w:pStyle w:val="affffffffffff2"/>
              <w:jc w:val="center"/>
              <w:rPr>
                <w:rFonts w:hAnsi="宋体" w:cs="宋体"/>
                <w:sz w:val="18"/>
                <w:szCs w:val="18"/>
              </w:rPr>
            </w:pPr>
            <w:r w:rsidRPr="00765F6E">
              <w:rPr>
                <w:rFonts w:hAnsi="宋体" w:cs="宋体" w:hint="eastAsia"/>
                <w:sz w:val="18"/>
                <w:szCs w:val="18"/>
              </w:rPr>
              <w:t>波浪力</w:t>
            </w:r>
          </w:p>
        </w:tc>
      </w:tr>
      <w:tr w:rsidR="00737EB2" w:rsidRPr="00765F6E" w14:paraId="12487C09" w14:textId="77777777" w:rsidTr="00871D47">
        <w:trPr>
          <w:trHeight w:val="176"/>
          <w:jc w:val="center"/>
        </w:trPr>
        <w:tc>
          <w:tcPr>
            <w:tcW w:w="1224" w:type="pct"/>
            <w:gridSpan w:val="2"/>
            <w:vMerge w:val="restart"/>
            <w:shd w:val="clear" w:color="auto" w:fill="auto"/>
            <w:vAlign w:val="center"/>
          </w:tcPr>
          <w:p w14:paraId="69D415C3" w14:textId="77777777" w:rsidR="00737EB2" w:rsidRPr="00765F6E" w:rsidRDefault="00737EB2" w:rsidP="00871D47">
            <w:pPr>
              <w:pStyle w:val="affffffffffff2"/>
              <w:jc w:val="center"/>
              <w:rPr>
                <w:rFonts w:hAnsi="宋体"/>
                <w:sz w:val="18"/>
                <w:szCs w:val="18"/>
              </w:rPr>
            </w:pPr>
            <w:r w:rsidRPr="00765F6E">
              <w:rPr>
                <w:rFonts w:hAnsi="宋体" w:cs="宋体" w:hint="eastAsia"/>
                <w:sz w:val="18"/>
                <w:szCs w:val="18"/>
              </w:rPr>
              <w:t>特殊荷载</w:t>
            </w:r>
          </w:p>
        </w:tc>
        <w:tc>
          <w:tcPr>
            <w:tcW w:w="3776" w:type="pct"/>
            <w:shd w:val="clear" w:color="auto" w:fill="auto"/>
            <w:vAlign w:val="center"/>
          </w:tcPr>
          <w:p w14:paraId="0853CF6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列车脱轨荷载</w:t>
            </w:r>
          </w:p>
        </w:tc>
      </w:tr>
      <w:tr w:rsidR="00737EB2" w:rsidRPr="00765F6E" w14:paraId="4B2C4848" w14:textId="77777777" w:rsidTr="00871D47">
        <w:trPr>
          <w:trHeight w:val="176"/>
          <w:jc w:val="center"/>
        </w:trPr>
        <w:tc>
          <w:tcPr>
            <w:tcW w:w="1224" w:type="pct"/>
            <w:gridSpan w:val="2"/>
            <w:vMerge/>
            <w:shd w:val="clear" w:color="auto" w:fill="auto"/>
            <w:vAlign w:val="center"/>
          </w:tcPr>
          <w:p w14:paraId="01CB220A" w14:textId="77777777" w:rsidR="00737EB2" w:rsidRPr="00765F6E" w:rsidRDefault="00737EB2" w:rsidP="00871D47">
            <w:pPr>
              <w:widowControl/>
              <w:jc w:val="left"/>
              <w:rPr>
                <w:rFonts w:ascii="宋体" w:hAnsi="宋体" w:cs="宋体"/>
                <w:kern w:val="0"/>
                <w:sz w:val="18"/>
                <w:szCs w:val="18"/>
              </w:rPr>
            </w:pPr>
          </w:p>
        </w:tc>
        <w:tc>
          <w:tcPr>
            <w:tcW w:w="3776" w:type="pct"/>
            <w:shd w:val="clear" w:color="auto" w:fill="auto"/>
            <w:vAlign w:val="center"/>
          </w:tcPr>
          <w:p w14:paraId="68E5990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船只或排筏的撞击力</w:t>
            </w:r>
          </w:p>
        </w:tc>
      </w:tr>
      <w:tr w:rsidR="00737EB2" w:rsidRPr="00765F6E" w14:paraId="4D5986CF" w14:textId="77777777" w:rsidTr="00871D47">
        <w:trPr>
          <w:trHeight w:val="176"/>
          <w:jc w:val="center"/>
        </w:trPr>
        <w:tc>
          <w:tcPr>
            <w:tcW w:w="1224" w:type="pct"/>
            <w:gridSpan w:val="2"/>
            <w:vMerge/>
            <w:shd w:val="clear" w:color="auto" w:fill="auto"/>
            <w:vAlign w:val="center"/>
          </w:tcPr>
          <w:p w14:paraId="7CDDDF79" w14:textId="77777777" w:rsidR="00737EB2" w:rsidRPr="00765F6E" w:rsidRDefault="00737EB2" w:rsidP="00871D47">
            <w:pPr>
              <w:widowControl/>
              <w:jc w:val="left"/>
              <w:rPr>
                <w:rFonts w:ascii="宋体" w:hAnsi="宋体" w:cs="宋体"/>
                <w:kern w:val="0"/>
                <w:sz w:val="18"/>
                <w:szCs w:val="18"/>
              </w:rPr>
            </w:pPr>
          </w:p>
        </w:tc>
        <w:tc>
          <w:tcPr>
            <w:tcW w:w="3776" w:type="pct"/>
            <w:shd w:val="clear" w:color="auto" w:fill="auto"/>
            <w:vAlign w:val="center"/>
          </w:tcPr>
          <w:p w14:paraId="66D325A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汽车撞击力</w:t>
            </w:r>
          </w:p>
        </w:tc>
      </w:tr>
      <w:tr w:rsidR="00737EB2" w:rsidRPr="00765F6E" w14:paraId="4D47A83C" w14:textId="77777777" w:rsidTr="00871D47">
        <w:trPr>
          <w:trHeight w:val="176"/>
          <w:jc w:val="center"/>
        </w:trPr>
        <w:tc>
          <w:tcPr>
            <w:tcW w:w="1224" w:type="pct"/>
            <w:gridSpan w:val="2"/>
            <w:vMerge/>
            <w:shd w:val="clear" w:color="auto" w:fill="auto"/>
            <w:vAlign w:val="center"/>
          </w:tcPr>
          <w:p w14:paraId="7E95A40A" w14:textId="77777777" w:rsidR="00737EB2" w:rsidRPr="00765F6E" w:rsidRDefault="00737EB2" w:rsidP="00871D47">
            <w:pPr>
              <w:widowControl/>
              <w:jc w:val="left"/>
              <w:rPr>
                <w:rFonts w:ascii="宋体" w:hAnsi="宋体" w:cs="宋体"/>
                <w:kern w:val="0"/>
                <w:sz w:val="18"/>
                <w:szCs w:val="18"/>
              </w:rPr>
            </w:pPr>
          </w:p>
        </w:tc>
        <w:tc>
          <w:tcPr>
            <w:tcW w:w="3776" w:type="pct"/>
            <w:shd w:val="clear" w:color="auto" w:fill="auto"/>
            <w:vAlign w:val="center"/>
          </w:tcPr>
          <w:p w14:paraId="4DC3029A" w14:textId="6DD99DE0"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施工荷载</w:t>
            </w:r>
          </w:p>
        </w:tc>
      </w:tr>
      <w:tr w:rsidR="00737EB2" w:rsidRPr="00765F6E" w14:paraId="1E1D6BBF" w14:textId="77777777" w:rsidTr="00871D47">
        <w:trPr>
          <w:trHeight w:val="176"/>
          <w:jc w:val="center"/>
        </w:trPr>
        <w:tc>
          <w:tcPr>
            <w:tcW w:w="1224" w:type="pct"/>
            <w:gridSpan w:val="2"/>
            <w:vMerge/>
            <w:shd w:val="clear" w:color="auto" w:fill="auto"/>
            <w:vAlign w:val="center"/>
          </w:tcPr>
          <w:p w14:paraId="510DDAEA" w14:textId="77777777" w:rsidR="00737EB2" w:rsidRPr="00765F6E" w:rsidRDefault="00737EB2" w:rsidP="00871D47">
            <w:pPr>
              <w:widowControl/>
              <w:jc w:val="left"/>
              <w:rPr>
                <w:rFonts w:ascii="宋体" w:hAnsi="宋体" w:cs="宋体"/>
                <w:kern w:val="0"/>
                <w:sz w:val="18"/>
                <w:szCs w:val="18"/>
              </w:rPr>
            </w:pPr>
          </w:p>
        </w:tc>
        <w:tc>
          <w:tcPr>
            <w:tcW w:w="3776" w:type="pct"/>
            <w:shd w:val="clear" w:color="auto" w:fill="auto"/>
            <w:vAlign w:val="center"/>
          </w:tcPr>
          <w:p w14:paraId="1B942A0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地震力</w:t>
            </w:r>
          </w:p>
        </w:tc>
      </w:tr>
      <w:tr w:rsidR="00737EB2" w:rsidRPr="00765F6E" w14:paraId="2A0F3BCE" w14:textId="77777777" w:rsidTr="00871D47">
        <w:trPr>
          <w:trHeight w:val="176"/>
          <w:jc w:val="center"/>
        </w:trPr>
        <w:tc>
          <w:tcPr>
            <w:tcW w:w="1224" w:type="pct"/>
            <w:gridSpan w:val="2"/>
            <w:vMerge/>
            <w:shd w:val="clear" w:color="auto" w:fill="auto"/>
            <w:vAlign w:val="center"/>
          </w:tcPr>
          <w:p w14:paraId="69BB3502" w14:textId="77777777" w:rsidR="00737EB2" w:rsidRPr="00765F6E" w:rsidRDefault="00737EB2" w:rsidP="00871D47">
            <w:pPr>
              <w:widowControl/>
              <w:jc w:val="left"/>
              <w:rPr>
                <w:rFonts w:ascii="宋体" w:hAnsi="宋体" w:cs="宋体"/>
                <w:kern w:val="0"/>
                <w:sz w:val="18"/>
                <w:szCs w:val="18"/>
              </w:rPr>
            </w:pPr>
          </w:p>
        </w:tc>
        <w:tc>
          <w:tcPr>
            <w:tcW w:w="3776" w:type="pct"/>
            <w:shd w:val="clear" w:color="auto" w:fill="auto"/>
            <w:vAlign w:val="center"/>
          </w:tcPr>
          <w:p w14:paraId="4DED7786"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长钢轨纵向作用力（伸缩力、挠曲力和断轨力）</w:t>
            </w:r>
          </w:p>
        </w:tc>
      </w:tr>
      <w:tr w:rsidR="00737EB2" w:rsidRPr="00765F6E" w14:paraId="76EA4BEB" w14:textId="77777777" w:rsidTr="00871D47">
        <w:trPr>
          <w:trHeight w:val="176"/>
          <w:jc w:val="center"/>
        </w:trPr>
        <w:tc>
          <w:tcPr>
            <w:tcW w:w="5000" w:type="pct"/>
            <w:gridSpan w:val="3"/>
            <w:tcBorders>
              <w:top w:val="single" w:sz="8" w:space="0" w:color="auto"/>
              <w:bottom w:val="single" w:sz="8" w:space="0" w:color="auto"/>
            </w:tcBorders>
            <w:shd w:val="clear" w:color="auto" w:fill="auto"/>
            <w:vAlign w:val="center"/>
          </w:tcPr>
          <w:p w14:paraId="2576056F" w14:textId="77777777" w:rsidR="00737EB2" w:rsidRPr="00765F6E" w:rsidRDefault="00737EB2" w:rsidP="00871D47">
            <w:pPr>
              <w:pStyle w:val="a6"/>
              <w:numPr>
                <w:ilvl w:val="0"/>
                <w:numId w:val="0"/>
              </w:numPr>
              <w:ind w:firstLineChars="100" w:firstLine="180"/>
            </w:pPr>
            <w:r w:rsidRPr="00765F6E">
              <w:t>如杆件的主要用途为承受某种附加力，则在计算此杆件时，该附加力按主力考虑。</w:t>
            </w:r>
          </w:p>
          <w:p w14:paraId="3BBB449F" w14:textId="77777777" w:rsidR="00737EB2" w:rsidRPr="00765F6E" w:rsidRDefault="00737EB2" w:rsidP="00871D47">
            <w:pPr>
              <w:pStyle w:val="a6"/>
              <w:numPr>
                <w:ilvl w:val="0"/>
                <w:numId w:val="0"/>
              </w:numPr>
              <w:ind w:leftChars="8" w:left="17" w:firstLineChars="100" w:firstLine="180"/>
              <w:jc w:val="left"/>
            </w:pPr>
            <w:r w:rsidRPr="00765F6E">
              <w:t>列车脱轨荷载只与主力中恒载组合，不与主力中活载和其他附加力组合。地震力与其他荷载的组合应符合GB 50111的相关规定。</w:t>
            </w:r>
          </w:p>
          <w:p w14:paraId="1A4464AD" w14:textId="508A9961" w:rsidR="00737EB2" w:rsidRPr="00765F6E" w:rsidRDefault="00221D7B" w:rsidP="00871D47">
            <w:pPr>
              <w:pStyle w:val="a6"/>
              <w:numPr>
                <w:ilvl w:val="0"/>
                <w:numId w:val="0"/>
              </w:numPr>
              <w:ind w:firstLineChars="100" w:firstLine="180"/>
            </w:pPr>
            <w:r>
              <w:rPr>
                <w:rFonts w:hint="eastAsia"/>
              </w:rPr>
              <w:t>长轨枕</w:t>
            </w:r>
            <w:r w:rsidR="00737EB2" w:rsidRPr="00765F6E">
              <w:t>线路纵向作用力不参与常规组合，其与其他荷载的组合应符合TB 10002的相关规定。</w:t>
            </w:r>
          </w:p>
          <w:p w14:paraId="4CD6FD50" w14:textId="77777777" w:rsidR="00737EB2" w:rsidRPr="00765F6E" w:rsidRDefault="00737EB2" w:rsidP="003334F3">
            <w:pPr>
              <w:pStyle w:val="a6"/>
              <w:numPr>
                <w:ilvl w:val="0"/>
                <w:numId w:val="93"/>
              </w:numPr>
            </w:pPr>
            <w:r w:rsidRPr="00765F6E">
              <w:t>流水压力不与制动力或牵引力组合。</w:t>
            </w:r>
          </w:p>
          <w:p w14:paraId="6EC0D64D" w14:textId="77777777" w:rsidR="00737EB2" w:rsidRPr="00765F6E" w:rsidRDefault="00737EB2" w:rsidP="00871D47">
            <w:pPr>
              <w:pStyle w:val="a6"/>
            </w:pPr>
            <w:r w:rsidRPr="00765F6E">
              <w:t>船只或排筏的撞击力、汽车撞击力，只计算其中的一种荷载与主力相组合，不与其他附加力组合。</w:t>
            </w:r>
          </w:p>
        </w:tc>
      </w:tr>
    </w:tbl>
    <w:p w14:paraId="156F71A2" w14:textId="77777777" w:rsidR="00737EB2" w:rsidRPr="00765F6E" w:rsidRDefault="00737EB2" w:rsidP="00737EB2">
      <w:pPr>
        <w:spacing w:line="240" w:lineRule="auto"/>
      </w:pPr>
    </w:p>
    <w:p w14:paraId="6F66FFAF" w14:textId="77777777" w:rsidR="00737EB2" w:rsidRPr="00D12EC7" w:rsidRDefault="00737EB2" w:rsidP="009D0776">
      <w:pPr>
        <w:pStyle w:val="22"/>
      </w:pPr>
      <w:bookmarkStart w:id="1254" w:name="_Toc99791875"/>
      <w:bookmarkStart w:id="1255" w:name="_Toc153291306"/>
      <w:r w:rsidRPr="00D12EC7">
        <w:rPr>
          <w:rFonts w:hint="eastAsia"/>
        </w:rPr>
        <w:t>桥梁设计时，仅考虑主力与一个方向（顺桥或横桥方向）的附加力相组合。</w:t>
      </w:r>
      <w:bookmarkEnd w:id="1254"/>
      <w:bookmarkEnd w:id="1255"/>
    </w:p>
    <w:p w14:paraId="5D6BC061" w14:textId="77777777" w:rsidR="00737EB2" w:rsidRPr="00D12EC7" w:rsidRDefault="00737EB2" w:rsidP="009D0776">
      <w:pPr>
        <w:pStyle w:val="22"/>
      </w:pPr>
      <w:bookmarkStart w:id="1256" w:name="_Toc153291307"/>
      <w:bookmarkStart w:id="1257" w:name="_Toc99791876"/>
      <w:r w:rsidRPr="00D12EC7">
        <w:rPr>
          <w:rFonts w:hint="eastAsia"/>
        </w:rPr>
        <w:t>桥梁设计应根据各种结构的不同荷载组合，将材料基本容许应力和地基容许承载力乘以不同的提高系数。</w:t>
      </w:r>
      <w:bookmarkEnd w:id="1256"/>
      <w:bookmarkEnd w:id="1257"/>
    </w:p>
    <w:p w14:paraId="09C020FC" w14:textId="77777777" w:rsidR="00737EB2" w:rsidRPr="00D12EC7" w:rsidRDefault="00737EB2" w:rsidP="009D0776">
      <w:pPr>
        <w:pStyle w:val="22"/>
      </w:pPr>
      <w:bookmarkStart w:id="1258" w:name="_Toc153291308"/>
      <w:bookmarkStart w:id="1259" w:name="_Toc99791877"/>
      <w:r w:rsidRPr="00D12EC7">
        <w:rPr>
          <w:rFonts w:hint="eastAsia"/>
        </w:rPr>
        <w:t>结构构件及附属设备自重的计算应符合TB 10002的规定。</w:t>
      </w:r>
      <w:bookmarkEnd w:id="1258"/>
      <w:bookmarkEnd w:id="1259"/>
    </w:p>
    <w:p w14:paraId="2ABE0B8F" w14:textId="77777777" w:rsidR="00737EB2" w:rsidRPr="00D12EC7" w:rsidRDefault="00737EB2" w:rsidP="009D0776">
      <w:pPr>
        <w:pStyle w:val="22"/>
      </w:pPr>
      <w:bookmarkStart w:id="1260" w:name="_Toc99791878"/>
      <w:bookmarkStart w:id="1261" w:name="_Toc153291309"/>
      <w:r w:rsidRPr="00D12EC7">
        <w:rPr>
          <w:rFonts w:hint="eastAsia"/>
        </w:rPr>
        <w:t>土压力的计算应符合TB 10002的规定。台后填土的内摩擦角应根据台后过渡段设计情况确定。</w:t>
      </w:r>
      <w:bookmarkEnd w:id="1260"/>
      <w:bookmarkEnd w:id="1261"/>
    </w:p>
    <w:p w14:paraId="57CE46A3" w14:textId="2CA2ED26" w:rsidR="00737EB2" w:rsidRPr="00D12EC7" w:rsidRDefault="00737EB2" w:rsidP="009D0776">
      <w:pPr>
        <w:pStyle w:val="22"/>
      </w:pPr>
      <w:bookmarkStart w:id="1262" w:name="_Toc153291311"/>
      <w:bookmarkStart w:id="1263" w:name="_Toc99791880"/>
      <w:r w:rsidRPr="00D12EC7">
        <w:rPr>
          <w:rFonts w:hint="eastAsia"/>
        </w:rPr>
        <w:t>同时承受多线列车荷载的桥梁，其列车竖向静荷载计算应符合下列规定</w:t>
      </w:r>
      <w:bookmarkEnd w:id="1262"/>
      <w:bookmarkEnd w:id="1263"/>
      <w:r w:rsidR="00C23689">
        <w:rPr>
          <w:rFonts w:hint="eastAsia"/>
        </w:rPr>
        <w:t>。</w:t>
      </w:r>
    </w:p>
    <w:p w14:paraId="1F78C551" w14:textId="017093CA" w:rsidR="00737EB2" w:rsidRPr="00D12EC7" w:rsidRDefault="00737EB2" w:rsidP="003334F3">
      <w:pPr>
        <w:pStyle w:val="af6"/>
        <w:numPr>
          <w:ilvl w:val="0"/>
          <w:numId w:val="94"/>
        </w:numPr>
        <w:tabs>
          <w:tab w:val="left" w:pos="851"/>
        </w:tabs>
        <w:snapToGrid w:val="0"/>
        <w:contextualSpacing/>
        <w:rPr>
          <w:rFonts w:hAnsi="宋体"/>
        </w:rPr>
      </w:pPr>
      <w:r w:rsidRPr="00D12EC7">
        <w:rPr>
          <w:rFonts w:hAnsi="宋体" w:hint="eastAsia"/>
        </w:rPr>
        <w:t>单线或双线的桥梁结构，各线均应计入100% ZS荷载作用</w:t>
      </w:r>
      <w:r w:rsidR="00C23689">
        <w:rPr>
          <w:rFonts w:hAnsi="宋体" w:hint="eastAsia"/>
        </w:rPr>
        <w:t>。</w:t>
      </w:r>
    </w:p>
    <w:p w14:paraId="77366FB1" w14:textId="77777777" w:rsidR="00737EB2" w:rsidRPr="00D12EC7" w:rsidRDefault="00737EB2" w:rsidP="003334F3">
      <w:pPr>
        <w:pStyle w:val="af6"/>
        <w:numPr>
          <w:ilvl w:val="0"/>
          <w:numId w:val="94"/>
        </w:numPr>
        <w:tabs>
          <w:tab w:val="left" w:pos="851"/>
        </w:tabs>
        <w:snapToGrid w:val="0"/>
        <w:contextualSpacing/>
        <w:rPr>
          <w:rFonts w:hAnsi="宋体"/>
        </w:rPr>
      </w:pPr>
      <w:r w:rsidRPr="00D12EC7">
        <w:rPr>
          <w:rFonts w:hAnsi="宋体" w:hint="eastAsia"/>
        </w:rPr>
        <w:t>多于两线的桥梁结构应按以下最不利情况考虑：</w:t>
      </w:r>
    </w:p>
    <w:p w14:paraId="7E67CD23" w14:textId="77777777" w:rsidR="00737EB2" w:rsidRPr="00765F6E" w:rsidRDefault="00737EB2" w:rsidP="00D12EC7">
      <w:pPr>
        <w:pStyle w:val="af7"/>
        <w:tabs>
          <w:tab w:val="left" w:pos="851"/>
          <w:tab w:val="left" w:pos="1276"/>
        </w:tabs>
      </w:pPr>
      <w:r w:rsidRPr="00D12EC7">
        <w:rPr>
          <w:rFonts w:hAnsi="宋体" w:hint="eastAsia"/>
        </w:rPr>
        <w:t>按两条线路在最不利位置承受ZS荷载，其余线路不承</w:t>
      </w:r>
      <w:r w:rsidRPr="00765F6E">
        <w:rPr>
          <w:rFonts w:hint="eastAsia"/>
        </w:rPr>
        <w:t>受列车荷载；</w:t>
      </w:r>
    </w:p>
    <w:p w14:paraId="6F35B105" w14:textId="77777777" w:rsidR="00737EB2" w:rsidRPr="00765F6E" w:rsidRDefault="00737EB2" w:rsidP="00D12EC7">
      <w:pPr>
        <w:pStyle w:val="af7"/>
        <w:tabs>
          <w:tab w:val="left" w:pos="851"/>
          <w:tab w:val="left" w:pos="1276"/>
        </w:tabs>
      </w:pPr>
      <w:r w:rsidRPr="00765F6E">
        <w:rPr>
          <w:rFonts w:hint="eastAsia"/>
        </w:rPr>
        <w:t>所有线路在最不利位置承受75%的ZS荷载。</w:t>
      </w:r>
    </w:p>
    <w:p w14:paraId="79D51003" w14:textId="56E25CB6" w:rsidR="00737EB2" w:rsidRPr="00765F6E" w:rsidRDefault="00737EB2" w:rsidP="003334F3">
      <w:pPr>
        <w:pStyle w:val="af6"/>
        <w:numPr>
          <w:ilvl w:val="0"/>
          <w:numId w:val="94"/>
        </w:numPr>
        <w:tabs>
          <w:tab w:val="left" w:pos="851"/>
        </w:tabs>
        <w:snapToGrid w:val="0"/>
        <w:contextualSpacing/>
      </w:pPr>
      <w:r w:rsidRPr="00765F6E">
        <w:rPr>
          <w:rFonts w:hint="eastAsia"/>
        </w:rPr>
        <w:t>桥上所有线路不能同时运转时，应按可能同时运转的线路计算列车竖向力、离心力</w:t>
      </w:r>
      <w:r w:rsidR="00C23689">
        <w:rPr>
          <w:rFonts w:hint="eastAsia"/>
        </w:rPr>
        <w:t>。</w:t>
      </w:r>
    </w:p>
    <w:p w14:paraId="7DD44563" w14:textId="450B9207" w:rsidR="00737EB2" w:rsidRPr="00765F6E" w:rsidRDefault="00737EB2" w:rsidP="003334F3">
      <w:pPr>
        <w:pStyle w:val="af6"/>
        <w:numPr>
          <w:ilvl w:val="0"/>
          <w:numId w:val="94"/>
        </w:numPr>
        <w:tabs>
          <w:tab w:val="left" w:pos="851"/>
        </w:tabs>
        <w:snapToGrid w:val="0"/>
        <w:contextualSpacing/>
      </w:pPr>
      <w:r w:rsidRPr="00765F6E">
        <w:rPr>
          <w:rFonts w:hint="eastAsia"/>
        </w:rPr>
        <w:t>设计加载时，列车荷载图式可任意截取，需要加载的结构（影响线）长度超过运营列车最大编组长度时，可采用列车最大编组长度。对多符号影响线，可在同符号影响线各区段进行加载，异符号影响线区段长度不大于15m时可不加活载；异符号影响线区段长度大于15m时，可按空车静荷载10kN/m加载</w:t>
      </w:r>
      <w:r w:rsidR="00C23689">
        <w:rPr>
          <w:rFonts w:hint="eastAsia"/>
        </w:rPr>
        <w:t>。</w:t>
      </w:r>
    </w:p>
    <w:p w14:paraId="5376E25F" w14:textId="67EDE8AA" w:rsidR="00737EB2" w:rsidRPr="00765F6E" w:rsidRDefault="00737EB2" w:rsidP="003334F3">
      <w:pPr>
        <w:pStyle w:val="af6"/>
        <w:numPr>
          <w:ilvl w:val="0"/>
          <w:numId w:val="94"/>
        </w:numPr>
        <w:tabs>
          <w:tab w:val="left" w:pos="851"/>
        </w:tabs>
        <w:snapToGrid w:val="0"/>
        <w:contextualSpacing/>
      </w:pPr>
      <w:r w:rsidRPr="00765F6E">
        <w:rPr>
          <w:rFonts w:hint="eastAsia"/>
        </w:rPr>
        <w:t>承受局部活载的杆件应按列车竖向荷载的100%计算。用空车检算桥涵各部分构件时，竖向活载应按10kN/m计算</w:t>
      </w:r>
      <w:r w:rsidR="00C23689">
        <w:rPr>
          <w:rFonts w:hint="eastAsia"/>
        </w:rPr>
        <w:t>。</w:t>
      </w:r>
    </w:p>
    <w:p w14:paraId="12D736A6" w14:textId="77777777" w:rsidR="00737EB2" w:rsidRPr="00765F6E" w:rsidRDefault="00737EB2" w:rsidP="003334F3">
      <w:pPr>
        <w:pStyle w:val="af6"/>
        <w:numPr>
          <w:ilvl w:val="0"/>
          <w:numId w:val="94"/>
        </w:numPr>
        <w:tabs>
          <w:tab w:val="left" w:pos="851"/>
        </w:tabs>
        <w:snapToGrid w:val="0"/>
        <w:contextualSpacing/>
      </w:pPr>
      <w:r w:rsidRPr="00765F6E">
        <w:rPr>
          <w:rFonts w:hint="eastAsia"/>
        </w:rPr>
        <w:t>疲劳验算时异符号影响线区段长度内应按荷载图示中的均布荷载加载。</w:t>
      </w:r>
    </w:p>
    <w:p w14:paraId="65583380" w14:textId="2510805A" w:rsidR="00737EB2" w:rsidRPr="00765F6E" w:rsidRDefault="00737EB2" w:rsidP="009D0776">
      <w:pPr>
        <w:pStyle w:val="22"/>
      </w:pPr>
      <w:bookmarkStart w:id="1264" w:name="_Toc99791881"/>
      <w:bookmarkStart w:id="1265" w:name="_Toc153291312"/>
      <w:r w:rsidRPr="00765F6E">
        <w:rPr>
          <w:rFonts w:hint="eastAsia"/>
        </w:rPr>
        <w:t>桥涵结构计算宜考虑列车竖向荷载动力作用，可按竖向静荷载乘以动力系数（1+u）确定。动力系数应按下列</w:t>
      </w:r>
      <w:r>
        <w:rPr>
          <w:rFonts w:hint="eastAsia"/>
        </w:rPr>
        <w:t>规定</w:t>
      </w:r>
      <w:r w:rsidRPr="00765F6E">
        <w:rPr>
          <w:rFonts w:hint="eastAsia"/>
        </w:rPr>
        <w:t>计算，且不应小于1.0</w:t>
      </w:r>
      <w:bookmarkEnd w:id="1264"/>
      <w:bookmarkEnd w:id="1265"/>
      <w:r w:rsidR="00EF4A8D">
        <w:rPr>
          <w:rFonts w:hint="eastAsia"/>
        </w:rPr>
        <w:t>：</w:t>
      </w:r>
    </w:p>
    <w:p w14:paraId="03BCB45C" w14:textId="0B8022C2" w:rsidR="00737EB2" w:rsidRPr="00765F6E" w:rsidRDefault="00737EB2" w:rsidP="003334F3">
      <w:pPr>
        <w:pStyle w:val="af6"/>
        <w:numPr>
          <w:ilvl w:val="0"/>
          <w:numId w:val="95"/>
        </w:numPr>
        <w:tabs>
          <w:tab w:val="left" w:pos="851"/>
        </w:tabs>
        <w:snapToGrid w:val="0"/>
        <w:spacing w:beforeLines="50" w:before="156"/>
        <w:ind w:left="850" w:hanging="425"/>
        <w:contextualSpacing/>
      </w:pPr>
      <w:r w:rsidRPr="00765F6E">
        <w:rPr>
          <w:rFonts w:hint="eastAsia"/>
        </w:rPr>
        <w:t>简支或连续的钢桥跨结构和钢墩台按公式（26）计算</w:t>
      </w:r>
      <w:r w:rsidR="00EF4A8D">
        <w:rPr>
          <w:rFonts w:hint="eastAsia"/>
        </w:rPr>
        <w:t>；</w:t>
      </w:r>
    </w:p>
    <w:p w14:paraId="795FCE63" w14:textId="4529CF8A" w:rsidR="00737EB2" w:rsidRPr="00765F6E" w:rsidRDefault="00737EB2" w:rsidP="00737EB2">
      <w:pPr>
        <w:pStyle w:val="af6"/>
        <w:tabs>
          <w:tab w:val="left" w:pos="851"/>
        </w:tabs>
        <w:snapToGrid w:val="0"/>
        <w:contextualSpacing/>
      </w:pPr>
      <w:r w:rsidRPr="00765F6E">
        <w:rPr>
          <w:rFonts w:hint="eastAsia"/>
        </w:rPr>
        <w:t>钢与钢筋混凝土板的结合梁按公式（27）计算</w:t>
      </w:r>
      <w:r w:rsidR="00EF4A8D">
        <w:rPr>
          <w:rFonts w:hint="eastAsia"/>
        </w:rPr>
        <w:t>；</w:t>
      </w:r>
    </w:p>
    <w:p w14:paraId="6B7DA92B" w14:textId="2897FC4D" w:rsidR="00737EB2" w:rsidRPr="00765F6E" w:rsidRDefault="00737EB2" w:rsidP="00737EB2">
      <w:pPr>
        <w:pStyle w:val="af6"/>
        <w:tabs>
          <w:tab w:val="left" w:pos="851"/>
        </w:tabs>
        <w:snapToGrid w:val="0"/>
        <w:contextualSpacing/>
      </w:pPr>
      <w:r w:rsidRPr="00765F6E">
        <w:rPr>
          <w:rFonts w:hint="eastAsia"/>
        </w:rPr>
        <w:t>钢筋混凝土、混凝土、石砌的桥跨结构及涵洞、刚架桥，其顶上填土厚度</w:t>
      </w:r>
      <w:r w:rsidRPr="00765F6E">
        <w:rPr>
          <w:i/>
        </w:rPr>
        <w:t>h</w:t>
      </w:r>
      <w:r w:rsidR="00CF562B">
        <w:rPr>
          <w:rFonts w:hint="eastAsia"/>
        </w:rPr>
        <w:t>≥</w:t>
      </w:r>
      <w:r w:rsidRPr="00765F6E">
        <w:rPr>
          <w:rFonts w:hint="eastAsia"/>
        </w:rPr>
        <w:t>3</w:t>
      </w:r>
      <w:r w:rsidRPr="00765F6E">
        <w:rPr>
          <w:rFonts w:hint="eastAsia"/>
          <w:i/>
        </w:rPr>
        <w:t>m</w:t>
      </w:r>
      <w:r w:rsidRPr="00765F6E">
        <w:rPr>
          <w:rFonts w:hint="eastAsia"/>
        </w:rPr>
        <w:t>（从轨底算起）时不计列车竖向动力作用。当</w:t>
      </w:r>
      <w:r w:rsidRPr="00765F6E">
        <w:rPr>
          <w:i/>
        </w:rPr>
        <w:t>h</w:t>
      </w:r>
      <w:r w:rsidR="00CF562B">
        <w:rPr>
          <w:rFonts w:hint="eastAsia"/>
          <w:sz w:val="18"/>
          <w:szCs w:val="18"/>
        </w:rPr>
        <w:t>＜</w:t>
      </w:r>
      <w:r w:rsidRPr="00765F6E">
        <w:rPr>
          <w:rFonts w:hint="eastAsia"/>
        </w:rPr>
        <w:t>3</w:t>
      </w:r>
      <w:r w:rsidRPr="00765F6E">
        <w:rPr>
          <w:rFonts w:hint="eastAsia"/>
          <w:i/>
        </w:rPr>
        <w:t>m</w:t>
      </w:r>
      <w:r w:rsidRPr="00765F6E">
        <w:rPr>
          <w:rFonts w:hint="eastAsia"/>
        </w:rPr>
        <w:t>时，动力系数应按公式（28）计算。</w:t>
      </w:r>
    </w:p>
    <w:p w14:paraId="4ECFC48A" w14:textId="77777777" w:rsidR="00737EB2" w:rsidRPr="00765F6E" w:rsidRDefault="00737EB2" w:rsidP="00737EB2">
      <w:pPr>
        <w:pStyle w:val="affffffd"/>
        <w:spacing w:before="156" w:after="156"/>
      </w:pPr>
      <w:r w:rsidRPr="00765F6E">
        <w:tab/>
      </w:r>
      <m:oMath>
        <m:r>
          <m:rPr>
            <m:sty m:val="p"/>
          </m:rPr>
          <w:rPr>
            <w:rFonts w:ascii="Cambria Math" w:hAnsi="Cambria Math"/>
          </w:rPr>
          <w:object w:dxaOrig="1232" w:dyaOrig="454" w14:anchorId="0BC5E2C8">
            <v:shape id="_x0000_i1034" type="#_x0000_t75" style="width:64.45pt;height:20.1pt" o:ole="">
              <v:imagedata r:id="rId50" o:title=""/>
            </v:shape>
            <o:OLEObject Type="Embed" ProgID="Equation.DSMT4" ShapeID="_x0000_i1034" DrawAspect="Content" ObjectID="_1793792799" r:id="rId51"/>
          </w:object>
        </m:r>
        <m:r>
          <m:rPr>
            <m:sty m:val="p"/>
          </m:rPr>
          <w:rPr>
            <w:rFonts w:ascii="Cambria Math" w:hAnsi="Cambria Math" w:hint="eastAsia"/>
          </w:rPr>
          <m:t xml:space="preserve"> </m:t>
        </m:r>
      </m:oMath>
      <w:r w:rsidRPr="00765F6E">
        <w:rPr>
          <w:rFonts w:ascii="微软雅黑" w:eastAsia="微软雅黑" w:hAnsi="微软雅黑"/>
        </w:rPr>
        <w:tab/>
      </w:r>
      <w:r w:rsidRPr="00765F6E">
        <w:t>(</w:t>
      </w:r>
      <w:r w:rsidRPr="00765F6E">
        <w:rPr>
          <w:rFonts w:hint="eastAsia"/>
        </w:rPr>
        <w:t>26</w:t>
      </w:r>
      <w:r w:rsidRPr="00765F6E">
        <w:t>)</w:t>
      </w:r>
    </w:p>
    <w:p w14:paraId="13B3CDF5" w14:textId="77777777" w:rsidR="00737EB2" w:rsidRDefault="00737EB2" w:rsidP="00737EB2">
      <w:pPr>
        <w:pStyle w:val="affffffd"/>
        <w:spacing w:before="156" w:after="156"/>
      </w:pPr>
      <w:r w:rsidRPr="00765F6E">
        <w:lastRenderedPageBreak/>
        <w:tab/>
      </w:r>
      <m:oMath>
        <m:r>
          <m:rPr>
            <m:sty m:val="p"/>
          </m:rPr>
          <w:rPr>
            <w:rFonts w:ascii="Cambria Math" w:hAnsi="Cambria Math"/>
          </w:rPr>
          <w:object w:dxaOrig="1336" w:dyaOrig="519" w14:anchorId="4199D92A">
            <v:shape id="_x0000_i1035" type="#_x0000_t75" style="width:66.15pt;height:26.8pt" o:ole="">
              <v:imagedata r:id="rId52" o:title=""/>
            </v:shape>
            <o:OLEObject Type="Embed" ProgID="Equation.DSMT4" ShapeID="_x0000_i1035" DrawAspect="Content" ObjectID="_1793792800" r:id="rId53"/>
          </w:object>
        </m:r>
        <m:r>
          <m:rPr>
            <m:sty m:val="p"/>
          </m:rPr>
          <w:rPr>
            <w:rFonts w:ascii="Cambria Math" w:hAnsi="Cambria Math" w:hint="eastAsia"/>
          </w:rPr>
          <m:t xml:space="preserve"> </m:t>
        </m:r>
      </m:oMath>
      <w:r w:rsidRPr="00765F6E">
        <w:rPr>
          <w:rFonts w:ascii="微软雅黑" w:eastAsia="微软雅黑" w:hAnsi="微软雅黑"/>
        </w:rPr>
        <w:tab/>
      </w:r>
      <w:r w:rsidRPr="00765F6E">
        <w:t>(</w:t>
      </w:r>
      <w:r w:rsidRPr="00765F6E">
        <w:rPr>
          <w:rFonts w:hint="eastAsia"/>
        </w:rPr>
        <w:t>27</w:t>
      </w:r>
      <w:r w:rsidRPr="00765F6E">
        <w:t>)</w:t>
      </w:r>
    </w:p>
    <w:p w14:paraId="7D843E22" w14:textId="3ACF70B3" w:rsidR="00737EB2" w:rsidRPr="00F85C88" w:rsidRDefault="00737EB2" w:rsidP="00737EB2">
      <w:pPr>
        <w:pStyle w:val="affffffd"/>
        <w:spacing w:before="156" w:after="156"/>
      </w:pPr>
      <w:r>
        <w:tab/>
      </w:r>
      <m:oMath>
        <m:r>
          <w:rPr>
            <w:rFonts w:ascii="Cambria Math" w:hAnsi="Cambria Math"/>
          </w:rPr>
          <m:t>1+μ=1+α(</m:t>
        </m:r>
        <m:f>
          <m:fPr>
            <m:ctrlPr>
              <w:rPr>
                <w:rFonts w:ascii="Cambria Math" w:hAnsi="Cambria Math"/>
                <w:i/>
              </w:rPr>
            </m:ctrlPr>
          </m:fPr>
          <m:num>
            <m:r>
              <w:rPr>
                <w:rFonts w:ascii="Cambria Math" w:hAnsi="Cambria Math"/>
              </w:rPr>
              <m:t>6</m:t>
            </m:r>
          </m:num>
          <m:den>
            <m:r>
              <w:rPr>
                <w:rFonts w:ascii="Cambria Math" w:hAnsi="Cambria Math"/>
              </w:rPr>
              <m:t>30+L</m:t>
            </m:r>
          </m:den>
        </m:f>
        <m:r>
          <w:rPr>
            <w:rFonts w:ascii="Cambria Math" w:hAnsi="Cambria Math"/>
          </w:rPr>
          <m:t>)</m:t>
        </m:r>
      </m:oMath>
      <w:r w:rsidRPr="0087711A">
        <w:rPr>
          <w:rFonts w:ascii="微软雅黑" w:eastAsia="微软雅黑" w:hAnsi="微软雅黑"/>
        </w:rPr>
        <w:tab/>
      </w:r>
      <w:r>
        <w:t>(28)</w:t>
      </w:r>
    </w:p>
    <w:p w14:paraId="5550A034" w14:textId="77777777" w:rsidR="00737EB2" w:rsidRPr="000131E3" w:rsidRDefault="00737EB2" w:rsidP="0062778D">
      <w:pPr>
        <w:pStyle w:val="affffa"/>
        <w:spacing w:line="240" w:lineRule="auto"/>
        <w:ind w:firstLine="420"/>
      </w:pPr>
      <w:r w:rsidRPr="000131E3">
        <w:rPr>
          <w:rFonts w:hint="eastAsia"/>
        </w:rPr>
        <w:t>式中：</w:t>
      </w:r>
      <w:r w:rsidRPr="000131E3">
        <w:t xml:space="preserve"> </w:t>
      </w:r>
    </w:p>
    <w:p w14:paraId="111EBC7E" w14:textId="3F75A640" w:rsidR="00737EB2" w:rsidRDefault="00737EB2" w:rsidP="0062778D">
      <w:pPr>
        <w:adjustRightInd/>
        <w:spacing w:line="240" w:lineRule="auto"/>
        <w:ind w:leftChars="350" w:left="735"/>
        <w:jc w:val="left"/>
      </w:pPr>
      <w:r w:rsidRPr="000131E3">
        <w:rPr>
          <w:rFonts w:hint="eastAsia"/>
        </w:rPr>
        <w:t>1+u</w:t>
      </w:r>
      <w:r w:rsidRPr="000131E3">
        <w:rPr>
          <w:rFonts w:hint="eastAsia"/>
        </w:rPr>
        <w:t>——动力系数</w:t>
      </w:r>
      <w:r w:rsidR="00CE5208">
        <w:rPr>
          <w:rFonts w:hint="eastAsia"/>
        </w:rPr>
        <w:t>；</w:t>
      </w:r>
    </w:p>
    <w:p w14:paraId="1F77BDD1" w14:textId="7D46D302" w:rsidR="00CE5208" w:rsidRPr="000131E3" w:rsidRDefault="00CE5208" w:rsidP="0062778D">
      <w:pPr>
        <w:adjustRightInd/>
        <w:spacing w:line="240" w:lineRule="auto"/>
        <w:ind w:leftChars="350" w:left="735"/>
        <w:jc w:val="left"/>
        <w:rPr>
          <w:rFonts w:hAnsi="宋体" w:cs="宋体"/>
          <w:lang w:bidi="ar"/>
        </w:rPr>
      </w:pPr>
      <w:r w:rsidRPr="000131E3">
        <w:rPr>
          <w:rFonts w:hAnsi="宋体" w:cs="宋体"/>
          <w:i/>
          <w:lang w:bidi="ar"/>
        </w:rPr>
        <w:t>L</w:t>
      </w:r>
      <w:r w:rsidRPr="000131E3">
        <w:rPr>
          <w:rFonts w:hAnsi="宋体" w:cs="宋体" w:hint="eastAsia"/>
          <w:i/>
          <w:lang w:bidi="ar"/>
        </w:rPr>
        <w:t>——</w:t>
      </w:r>
      <w:r w:rsidRPr="000131E3">
        <w:rPr>
          <w:rFonts w:hAnsi="宋体" w:cs="宋体" w:hint="eastAsia"/>
          <w:lang w:bidi="ar"/>
        </w:rPr>
        <w:t>桥梁跨度，单位为米（</w:t>
      </w:r>
      <w:r w:rsidRPr="000131E3">
        <w:rPr>
          <w:rFonts w:hAnsi="宋体" w:cs="宋体"/>
          <w:lang w:bidi="ar"/>
        </w:rPr>
        <w:t>m</w:t>
      </w:r>
      <w:r w:rsidRPr="000131E3">
        <w:rPr>
          <w:rFonts w:hAnsi="宋体" w:cs="宋体" w:hint="eastAsia"/>
          <w:lang w:bidi="ar"/>
        </w:rPr>
        <w:t>）</w:t>
      </w:r>
      <w:r>
        <w:rPr>
          <w:rFonts w:hAnsi="宋体" w:cs="宋体" w:hint="eastAsia"/>
          <w:lang w:bidi="ar"/>
        </w:rPr>
        <w:t>；</w:t>
      </w:r>
    </w:p>
    <w:p w14:paraId="47C6A28B" w14:textId="7EE80914" w:rsidR="00CE5208" w:rsidRDefault="00737EB2">
      <w:pPr>
        <w:adjustRightInd/>
        <w:spacing w:line="240" w:lineRule="auto"/>
        <w:ind w:leftChars="350" w:left="735"/>
        <w:jc w:val="left"/>
        <w:rPr>
          <w:rFonts w:hAnsi="宋体" w:cs="宋体"/>
          <w:lang w:bidi="ar"/>
        </w:rPr>
      </w:pPr>
      <m:oMath>
        <m:r>
          <w:rPr>
            <w:rFonts w:ascii="Cambria Math" w:hAnsi="Cambria Math"/>
          </w:rPr>
          <m:t>α</m:t>
        </m:r>
        <m:r>
          <w:rPr>
            <w:rFonts w:ascii="Cambria Math" w:hAnsi="Cambria Math" w:hint="eastAsia"/>
          </w:rPr>
          <m:t>=</m:t>
        </m:r>
        <m:r>
          <w:rPr>
            <w:rFonts w:ascii="Cambria Math" w:hAnsi="Cambria Math"/>
          </w:rPr>
          <m:t>0.32*</m:t>
        </m:r>
        <m:sSup>
          <m:sSupPr>
            <m:ctrlPr>
              <w:rPr>
                <w:rFonts w:ascii="Cambria Math" w:hAnsi="Cambria Math"/>
                <w:i/>
              </w:rPr>
            </m:ctrlPr>
          </m:sSupPr>
          <m:e>
            <m:r>
              <w:rPr>
                <w:rFonts w:ascii="Cambria Math" w:hAnsi="Cambria Math"/>
              </w:rPr>
              <m:t>(3-</m:t>
            </m:r>
            <m:r>
              <w:rPr>
                <w:rFonts w:ascii="Cambria Math" w:hAnsi="Cambria Math"/>
              </w:rPr>
              <m:t>h)</m:t>
            </m:r>
          </m:e>
          <m:sup>
            <m:r>
              <w:rPr>
                <w:rFonts w:ascii="Cambria Math" w:hAnsi="Cambria Math"/>
              </w:rPr>
              <m:t>2</m:t>
            </m:r>
          </m:sup>
        </m:sSup>
      </m:oMath>
      <w:r w:rsidR="0032077D">
        <w:rPr>
          <w:rFonts w:hAnsi="宋体" w:cs="宋体" w:hint="eastAsia"/>
        </w:rPr>
        <w:t>，</w:t>
      </w:r>
      <w:r w:rsidR="0032077D" w:rsidRPr="000131E3">
        <w:rPr>
          <w:rFonts w:hAnsi="宋体" w:cs="宋体"/>
          <w:lang w:bidi="ar"/>
        </w:rPr>
        <w:t>h</w:t>
      </w:r>
      <w:r w:rsidR="0032077D" w:rsidRPr="000131E3">
        <w:rPr>
          <w:rFonts w:hAnsi="宋体" w:cs="宋体" w:hint="eastAsia"/>
          <w:lang w:bidi="ar"/>
        </w:rPr>
        <w:t>——顶上填土厚度，单位为米（</w:t>
      </w:r>
      <w:r w:rsidR="0032077D" w:rsidRPr="000131E3">
        <w:rPr>
          <w:rFonts w:hAnsi="宋体" w:cs="宋体" w:hint="eastAsia"/>
          <w:lang w:bidi="ar"/>
        </w:rPr>
        <w:t>m</w:t>
      </w:r>
      <w:r w:rsidR="0032077D" w:rsidRPr="000131E3">
        <w:rPr>
          <w:rFonts w:hAnsi="宋体" w:cs="宋体" w:hint="eastAsia"/>
          <w:lang w:bidi="ar"/>
        </w:rPr>
        <w:t>）</w:t>
      </w:r>
      <w:r w:rsidR="00AC1892">
        <w:rPr>
          <w:rFonts w:hAnsi="宋体" w:cs="宋体" w:hint="eastAsia"/>
          <w:lang w:bidi="ar"/>
        </w:rPr>
        <w:t>，</w:t>
      </w:r>
      <w:r w:rsidR="0032077D" w:rsidRPr="000131E3">
        <w:rPr>
          <w:rFonts w:hAnsi="宋体" w:cs="宋体"/>
          <w:lang w:bidi="ar"/>
        </w:rPr>
        <w:t>h</w:t>
      </w:r>
      <w:r w:rsidR="0032077D" w:rsidRPr="000131E3">
        <w:rPr>
          <w:rFonts w:hAnsi="宋体" w:cs="宋体" w:hint="eastAsia"/>
          <w:lang w:bidi="ar"/>
        </w:rPr>
        <w:t>＜</w:t>
      </w:r>
      <w:r w:rsidR="0032077D" w:rsidRPr="000131E3">
        <w:rPr>
          <w:rFonts w:hAnsi="宋体" w:cs="宋体"/>
          <w:lang w:bidi="ar"/>
        </w:rPr>
        <w:t>0.5m</w:t>
      </w:r>
      <w:r w:rsidR="0032077D" w:rsidRPr="000131E3">
        <w:rPr>
          <w:rFonts w:hAnsi="宋体" w:cs="宋体" w:hint="eastAsia"/>
          <w:lang w:bidi="ar"/>
        </w:rPr>
        <w:t>时取</w:t>
      </w:r>
      <w:r w:rsidR="0032077D" w:rsidRPr="000131E3">
        <w:rPr>
          <w:rFonts w:hAnsi="宋体" w:cs="宋体"/>
          <w:lang w:bidi="ar"/>
        </w:rPr>
        <w:t>0.5m</w:t>
      </w:r>
      <w:r w:rsidR="00CE5208" w:rsidRPr="000131E3">
        <w:rPr>
          <w:rFonts w:hAnsi="宋体" w:cs="宋体" w:hint="eastAsia"/>
          <w:lang w:bidi="ar"/>
        </w:rPr>
        <w:t>。</w:t>
      </w:r>
    </w:p>
    <w:p w14:paraId="34CFB4F3" w14:textId="77777777" w:rsidR="00737EB2" w:rsidRPr="00765F6E" w:rsidRDefault="00737EB2" w:rsidP="009D0776">
      <w:pPr>
        <w:pStyle w:val="22"/>
      </w:pPr>
      <w:bookmarkStart w:id="1266" w:name="_Toc99791882"/>
      <w:bookmarkStart w:id="1267" w:name="_Toc153291313"/>
      <w:r w:rsidRPr="00765F6E">
        <w:rPr>
          <w:rFonts w:hint="eastAsia"/>
        </w:rPr>
        <w:t>支座的动力系数计算公式与相应的桥跨结构计算公式相同。</w:t>
      </w:r>
      <w:bookmarkEnd w:id="1266"/>
      <w:bookmarkEnd w:id="1267"/>
    </w:p>
    <w:p w14:paraId="1F5D9DC7" w14:textId="77777777" w:rsidR="00737EB2" w:rsidRPr="00765F6E" w:rsidRDefault="00737EB2" w:rsidP="009D0776">
      <w:pPr>
        <w:pStyle w:val="22"/>
      </w:pPr>
      <w:bookmarkStart w:id="1268" w:name="_Toc153291314"/>
      <w:bookmarkStart w:id="1269" w:name="_Toc99791883"/>
      <w:r w:rsidRPr="00765F6E">
        <w:rPr>
          <w:rFonts w:hint="eastAsia"/>
        </w:rPr>
        <w:t>单线简支U形梁桥道板的动力系数宜取1.4，双线简支U形梁桥道板的动力系数宜取1.3。</w:t>
      </w:r>
      <w:bookmarkEnd w:id="1268"/>
      <w:bookmarkEnd w:id="1269"/>
    </w:p>
    <w:p w14:paraId="657AAA6A" w14:textId="26B138A2" w:rsidR="00737EB2" w:rsidRPr="00765F6E" w:rsidRDefault="00737EB2" w:rsidP="009D0776">
      <w:pPr>
        <w:pStyle w:val="22"/>
      </w:pPr>
      <w:bookmarkStart w:id="1270" w:name="_Toc99791884"/>
      <w:bookmarkStart w:id="1271" w:name="_Toc153291315"/>
      <w:r w:rsidRPr="00765F6E">
        <w:rPr>
          <w:rFonts w:hint="eastAsia"/>
        </w:rPr>
        <w:t>列车在曲线上产生的离心力计算符合下列规定</w:t>
      </w:r>
      <w:bookmarkEnd w:id="1270"/>
      <w:bookmarkEnd w:id="1271"/>
      <w:r w:rsidR="00AC1892">
        <w:rPr>
          <w:rFonts w:hint="eastAsia"/>
        </w:rPr>
        <w:t>。</w:t>
      </w:r>
    </w:p>
    <w:p w14:paraId="2DE89D85" w14:textId="77777777" w:rsidR="00737EB2" w:rsidRPr="00765F6E" w:rsidRDefault="00737EB2" w:rsidP="003334F3">
      <w:pPr>
        <w:pStyle w:val="af6"/>
        <w:numPr>
          <w:ilvl w:val="0"/>
          <w:numId w:val="96"/>
        </w:numPr>
        <w:tabs>
          <w:tab w:val="left" w:pos="851"/>
        </w:tabs>
        <w:snapToGrid w:val="0"/>
        <w:contextualSpacing/>
      </w:pPr>
      <w:r w:rsidRPr="00765F6E">
        <w:t>离心力应按下列公式计算：</w:t>
      </w:r>
    </w:p>
    <w:p w14:paraId="4FEFB834" w14:textId="404EF644" w:rsidR="00737EB2" w:rsidRPr="00765F6E" w:rsidRDefault="00737EB2" w:rsidP="003334F3">
      <w:pPr>
        <w:numPr>
          <w:ilvl w:val="0"/>
          <w:numId w:val="97"/>
        </w:numPr>
        <w:spacing w:beforeLines="50" w:before="156"/>
        <w:ind w:firstLineChars="450" w:firstLine="945"/>
        <w:jc w:val="left"/>
        <w:rPr>
          <w:rFonts w:ascii="宋体" w:hAnsi="宋体"/>
        </w:rPr>
      </w:pPr>
      <w:r w:rsidRPr="00765F6E">
        <w:rPr>
          <w:rFonts w:ascii="宋体" w:hAnsi="宋体"/>
        </w:rPr>
        <w:t>集中活载</w:t>
      </w:r>
      <w:r w:rsidRPr="00765F6E">
        <w:rPr>
          <w:rFonts w:ascii="宋体" w:hAnsi="宋体" w:hint="eastAsia"/>
        </w:rPr>
        <w:t>按公式（</w:t>
      </w:r>
      <w:r w:rsidR="00A53FA7">
        <w:rPr>
          <w:rFonts w:ascii="宋体" w:hAnsi="宋体"/>
        </w:rPr>
        <w:t>29</w:t>
      </w:r>
      <w:r w:rsidRPr="00765F6E">
        <w:rPr>
          <w:rFonts w:ascii="宋体" w:hAnsi="宋体" w:hint="eastAsia"/>
        </w:rPr>
        <w:t>）计算；</w:t>
      </w:r>
    </w:p>
    <w:p w14:paraId="3A7A8845" w14:textId="3356FA20" w:rsidR="00737EB2" w:rsidRPr="00765F6E" w:rsidRDefault="00737EB2" w:rsidP="003334F3">
      <w:pPr>
        <w:numPr>
          <w:ilvl w:val="0"/>
          <w:numId w:val="97"/>
        </w:numPr>
        <w:spacing w:beforeLines="50" w:before="156"/>
        <w:ind w:firstLineChars="450" w:firstLine="945"/>
        <w:jc w:val="left"/>
        <w:rPr>
          <w:rFonts w:ascii="宋体" w:hAnsi="宋体"/>
        </w:rPr>
      </w:pPr>
      <w:r w:rsidRPr="00765F6E">
        <w:rPr>
          <w:rFonts w:ascii="宋体" w:hAnsi="宋体" w:hint="eastAsia"/>
        </w:rPr>
        <w:t>分布活载按公式（</w:t>
      </w:r>
      <w:r w:rsidR="00A53FA7" w:rsidRPr="00765F6E">
        <w:rPr>
          <w:rFonts w:ascii="宋体" w:hAnsi="宋体" w:hint="eastAsia"/>
        </w:rPr>
        <w:t>3</w:t>
      </w:r>
      <w:r w:rsidR="00A53FA7">
        <w:rPr>
          <w:rFonts w:ascii="宋体" w:hAnsi="宋体"/>
        </w:rPr>
        <w:t>0</w:t>
      </w:r>
      <w:r w:rsidRPr="00765F6E">
        <w:rPr>
          <w:rFonts w:ascii="宋体" w:hAnsi="宋体" w:hint="eastAsia"/>
        </w:rPr>
        <w:t>）计算。</w:t>
      </w:r>
    </w:p>
    <w:p w14:paraId="09CA8FB1" w14:textId="2AC65E11" w:rsidR="00737EB2" w:rsidRPr="00765F6E" w:rsidRDefault="00737EB2" w:rsidP="00737EB2">
      <w:pPr>
        <w:pStyle w:val="affffffd"/>
        <w:spacing w:before="156" w:after="156"/>
      </w:pPr>
      <w:r w:rsidRPr="00765F6E">
        <w:tab/>
      </w:r>
      <m:oMath>
        <m:r>
          <m:rPr>
            <m:sty m:val="p"/>
          </m:rPr>
          <w:rPr>
            <w:rFonts w:ascii="Cambria Math" w:hAnsi="Cambria Math"/>
          </w:rPr>
          <w:object w:dxaOrig="934" w:dyaOrig="454" w14:anchorId="462CF72D">
            <v:shape id="_x0000_i1036" type="#_x0000_t75" style="width:46.9pt;height:20.1pt" o:ole="">
              <v:imagedata r:id="rId54" o:title=""/>
            </v:shape>
            <o:OLEObject Type="Embed" ProgID="Equation.DSMT4" ShapeID="_x0000_i1036" DrawAspect="Content" ObjectID="_1793792801" r:id="rId55"/>
          </w:object>
        </m:r>
      </m:oMath>
      <w:r w:rsidRPr="00765F6E">
        <w:rPr>
          <w:rFonts w:ascii="微软雅黑" w:eastAsia="微软雅黑" w:hAnsi="微软雅黑"/>
        </w:rPr>
        <w:tab/>
      </w:r>
      <w:r w:rsidRPr="00765F6E">
        <w:t>(</w:t>
      </w:r>
      <w:r w:rsidR="00A53FA7">
        <w:t>29</w:t>
      </w:r>
      <w:r w:rsidRPr="00765F6E">
        <w:t>)</w:t>
      </w:r>
    </w:p>
    <w:p w14:paraId="3AF73DDC" w14:textId="5F65FB5F" w:rsidR="00737EB2" w:rsidRPr="00765F6E" w:rsidRDefault="00737EB2" w:rsidP="00737EB2">
      <w:pPr>
        <w:pStyle w:val="affffffd"/>
        <w:spacing w:before="156" w:after="156"/>
      </w:pPr>
      <w:r w:rsidRPr="00765F6E">
        <w:tab/>
      </w:r>
      <m:oMath>
        <m:r>
          <m:rPr>
            <m:sty m:val="p"/>
          </m:rPr>
          <w:rPr>
            <w:rFonts w:ascii="Cambria Math" w:hAnsi="Cambria Math"/>
          </w:rPr>
          <w:object w:dxaOrig="1064" w:dyaOrig="519" w14:anchorId="461347CC">
            <v:shape id="_x0000_i1037" type="#_x0000_t75" style="width:53.6pt;height:26.8pt" o:ole="">
              <v:imagedata r:id="rId56" o:title=""/>
            </v:shape>
            <o:OLEObject Type="Embed" ProgID="Equation.DSMT4" ShapeID="_x0000_i1037" DrawAspect="Content" ObjectID="_1793792802" r:id="rId57"/>
          </w:object>
        </m:r>
        <m:r>
          <m:rPr>
            <m:sty m:val="p"/>
          </m:rPr>
          <w:rPr>
            <w:rFonts w:ascii="Cambria Math" w:hAnsi="Cambria Math"/>
          </w:rPr>
          <m:t xml:space="preserve"> </m:t>
        </m:r>
      </m:oMath>
      <w:r w:rsidRPr="00765F6E">
        <w:rPr>
          <w:rFonts w:ascii="微软雅黑" w:eastAsia="微软雅黑" w:hAnsi="微软雅黑"/>
        </w:rPr>
        <w:tab/>
      </w:r>
      <w:r w:rsidRPr="00765F6E">
        <w:t>(</w:t>
      </w:r>
      <w:r w:rsidR="00A53FA7" w:rsidRPr="00765F6E">
        <w:rPr>
          <w:rFonts w:hint="eastAsia"/>
        </w:rPr>
        <w:t>3</w:t>
      </w:r>
      <w:r w:rsidR="00A53FA7">
        <w:t>0</w:t>
      </w:r>
      <w:r w:rsidRPr="00765F6E">
        <w:t>)</w:t>
      </w:r>
    </w:p>
    <w:p w14:paraId="3A0D027B" w14:textId="77777777" w:rsidR="00737EB2" w:rsidRPr="00765F6E" w:rsidRDefault="00737EB2" w:rsidP="0062778D">
      <w:pPr>
        <w:pStyle w:val="affffa"/>
        <w:spacing w:line="240" w:lineRule="auto"/>
        <w:ind w:firstLine="420"/>
        <w:rPr>
          <w:rFonts w:hAnsi="宋体" w:cstheme="minorBidi"/>
          <w:i/>
          <w:kern w:val="2"/>
        </w:rPr>
      </w:pPr>
      <w:r w:rsidRPr="00765F6E">
        <w:rPr>
          <w:rFonts w:hint="eastAsia"/>
        </w:rPr>
        <w:t>式中：</w:t>
      </w:r>
      <w:r w:rsidRPr="00765F6E">
        <w:rPr>
          <w:rFonts w:hAnsi="宋体" w:cstheme="minorBidi"/>
          <w:i/>
          <w:kern w:val="2"/>
        </w:rPr>
        <w:t xml:space="preserve"> </w:t>
      </w:r>
    </w:p>
    <w:p w14:paraId="2024EF32" w14:textId="42F5F60B" w:rsidR="00737EB2" w:rsidRDefault="00737EB2" w:rsidP="0062778D">
      <w:pPr>
        <w:pStyle w:val="affffb"/>
        <w:ind w:firstLineChars="300" w:firstLine="630"/>
        <w:rPr>
          <w:rFonts w:hAnsi="宋体" w:cs="宋体"/>
          <w:lang w:bidi="ar"/>
        </w:rPr>
      </w:pPr>
      <w:r w:rsidRPr="00765F6E">
        <w:rPr>
          <w:rFonts w:hAnsi="宋体" w:cstheme="minorBidi" w:hint="eastAsia"/>
          <w:i/>
          <w:kern w:val="2"/>
        </w:rPr>
        <w:t>F</w:t>
      </w:r>
      <w:r w:rsidRPr="00765F6E">
        <w:rPr>
          <w:rFonts w:hAnsi="宋体" w:cstheme="minorBidi" w:hint="eastAsia"/>
          <w:i/>
          <w:kern w:val="2"/>
          <w:sz w:val="15"/>
          <w:szCs w:val="15"/>
        </w:rPr>
        <w:t>N</w:t>
      </w:r>
      <w:r w:rsidRPr="00765F6E">
        <w:rPr>
          <w:rFonts w:hAnsi="宋体" w:cs="宋体"/>
          <w:lang w:bidi="ar"/>
        </w:rPr>
        <w:t>——</w:t>
      </w:r>
      <w:r w:rsidRPr="00765F6E">
        <w:rPr>
          <w:rFonts w:hAnsi="宋体"/>
        </w:rPr>
        <w:t>集中活载</w:t>
      </w:r>
      <w:r w:rsidRPr="00765F6E">
        <w:rPr>
          <w:rFonts w:hAnsi="宋体" w:hint="eastAsia"/>
        </w:rPr>
        <w:t>，</w:t>
      </w:r>
      <w:r w:rsidRPr="00765F6E">
        <w:rPr>
          <w:rFonts w:hAnsi="宋体" w:cs="宋体" w:hint="eastAsia"/>
          <w:lang w:bidi="ar"/>
        </w:rPr>
        <w:t>单位为千牛顿</w:t>
      </w:r>
      <w:r w:rsidRPr="00765F6E">
        <w:rPr>
          <w:rFonts w:hAnsi="宋体" w:cs="宋体"/>
          <w:lang w:bidi="ar"/>
        </w:rPr>
        <w:t>（kN）</w:t>
      </w:r>
      <w:r w:rsidRPr="00765F6E">
        <w:rPr>
          <w:rFonts w:hAnsi="宋体" w:cs="宋体" w:hint="eastAsia"/>
          <w:lang w:bidi="ar"/>
        </w:rPr>
        <w:t>；</w:t>
      </w:r>
    </w:p>
    <w:p w14:paraId="5366C46E" w14:textId="77777777" w:rsidR="00CE5208" w:rsidRPr="00765F6E" w:rsidRDefault="00CE5208" w:rsidP="00CE5208">
      <w:pPr>
        <w:adjustRightInd/>
        <w:spacing w:line="240" w:lineRule="auto"/>
        <w:ind w:firstLineChars="300" w:firstLine="630"/>
        <w:jc w:val="left"/>
        <w:rPr>
          <w:rFonts w:hAnsi="宋体" w:cs="宋体"/>
          <w:lang w:bidi="ar"/>
        </w:rPr>
      </w:pPr>
      <w:r w:rsidRPr="00765F6E">
        <w:rPr>
          <w:rFonts w:hAnsi="宋体" w:cs="宋体"/>
          <w:i/>
          <w:lang w:bidi="ar"/>
        </w:rPr>
        <w:t>v</w:t>
      </w:r>
      <w:r w:rsidRPr="00765F6E">
        <w:rPr>
          <w:rFonts w:hAnsi="宋体" w:cs="宋体"/>
          <w:lang w:bidi="ar"/>
        </w:rPr>
        <w:t>——设计速度</w:t>
      </w:r>
      <w:r w:rsidRPr="00765F6E">
        <w:rPr>
          <w:rFonts w:hAnsi="宋体" w:cs="宋体" w:hint="eastAsia"/>
          <w:lang w:bidi="ar"/>
        </w:rPr>
        <w:t>，单位为千米每小时</w:t>
      </w:r>
      <w:r w:rsidRPr="00765F6E">
        <w:rPr>
          <w:rFonts w:hAnsi="宋体" w:cs="宋体"/>
          <w:lang w:bidi="ar"/>
        </w:rPr>
        <w:t>（</w:t>
      </w:r>
      <w:r w:rsidRPr="00765F6E">
        <w:rPr>
          <w:rFonts w:hAnsi="宋体" w:cs="宋体"/>
          <w:lang w:bidi="ar"/>
        </w:rPr>
        <w:t>km/h</w:t>
      </w:r>
      <w:r w:rsidRPr="00765F6E">
        <w:rPr>
          <w:rFonts w:hAnsi="宋体" w:cs="宋体"/>
          <w:lang w:bidi="ar"/>
        </w:rPr>
        <w:t>）</w:t>
      </w:r>
      <w:r w:rsidRPr="00765F6E">
        <w:rPr>
          <w:rFonts w:hAnsi="宋体" w:cs="宋体" w:hint="eastAsia"/>
          <w:lang w:bidi="ar"/>
        </w:rPr>
        <w:t>；</w:t>
      </w:r>
    </w:p>
    <w:p w14:paraId="67266082" w14:textId="026D4886" w:rsidR="00CE5208" w:rsidRPr="00765F6E" w:rsidRDefault="00CE5208" w:rsidP="00CE5208">
      <w:pPr>
        <w:adjustRightInd/>
        <w:spacing w:line="240" w:lineRule="auto"/>
        <w:ind w:firstLineChars="300" w:firstLine="630"/>
        <w:jc w:val="left"/>
        <w:rPr>
          <w:rFonts w:hAnsi="宋体" w:cs="宋体"/>
          <w:lang w:bidi="ar"/>
        </w:rPr>
      </w:pPr>
      <w:r w:rsidRPr="00765F6E">
        <w:rPr>
          <w:rFonts w:hAnsi="宋体" w:cs="宋体"/>
          <w:i/>
          <w:lang w:bidi="ar"/>
        </w:rPr>
        <w:t>R</w:t>
      </w:r>
      <w:r w:rsidRPr="00765F6E">
        <w:rPr>
          <w:rFonts w:hAnsi="宋体" w:cs="宋体"/>
          <w:lang w:bidi="ar"/>
        </w:rPr>
        <w:t>——曲线半径</w:t>
      </w:r>
      <w:r w:rsidRPr="00765F6E">
        <w:rPr>
          <w:rFonts w:hAnsi="宋体" w:cs="宋体" w:hint="eastAsia"/>
          <w:lang w:bidi="ar"/>
        </w:rPr>
        <w:t>，单位为米</w:t>
      </w:r>
      <w:r w:rsidRPr="00765F6E">
        <w:rPr>
          <w:rFonts w:hAnsi="宋体" w:cs="宋体"/>
          <w:lang w:bidi="ar"/>
        </w:rPr>
        <w:t>（</w:t>
      </w:r>
      <w:r w:rsidRPr="00765F6E">
        <w:rPr>
          <w:rFonts w:hAnsi="宋体" w:cs="宋体"/>
          <w:lang w:bidi="ar"/>
        </w:rPr>
        <w:t>m</w:t>
      </w:r>
      <w:r w:rsidRPr="00765F6E">
        <w:rPr>
          <w:rFonts w:hAnsi="宋体" w:cs="宋体"/>
          <w:lang w:bidi="ar"/>
        </w:rPr>
        <w:t>）</w:t>
      </w:r>
      <w:r>
        <w:rPr>
          <w:rFonts w:hAnsi="宋体" w:cs="宋体" w:hint="eastAsia"/>
          <w:lang w:bidi="ar"/>
        </w:rPr>
        <w:t>；</w:t>
      </w:r>
    </w:p>
    <w:p w14:paraId="42C3BE4B" w14:textId="198D8853" w:rsidR="00737EB2" w:rsidRDefault="00737EB2" w:rsidP="0062778D">
      <w:pPr>
        <w:pStyle w:val="affffb"/>
        <w:ind w:firstLineChars="300" w:firstLine="630"/>
        <w:rPr>
          <w:rFonts w:hAnsi="宋体" w:cs="宋体"/>
          <w:lang w:bidi="ar"/>
        </w:rPr>
      </w:pPr>
      <w:r w:rsidRPr="00765F6E">
        <w:rPr>
          <w:rFonts w:hAnsi="宋体" w:cs="宋体"/>
          <w:i/>
          <w:lang w:bidi="ar"/>
        </w:rPr>
        <w:t>N</w:t>
      </w:r>
      <w:r w:rsidRPr="00765F6E">
        <w:rPr>
          <w:rFonts w:hAnsi="宋体" w:cs="宋体"/>
          <w:lang w:bidi="ar"/>
        </w:rPr>
        <w:t>——活载图式中的集中荷载</w:t>
      </w:r>
      <w:r w:rsidRPr="00765F6E">
        <w:rPr>
          <w:rFonts w:hAnsi="宋体" w:cs="宋体" w:hint="eastAsia"/>
          <w:lang w:bidi="ar"/>
        </w:rPr>
        <w:t>，单位为千牛顿</w:t>
      </w:r>
      <w:r w:rsidRPr="00765F6E">
        <w:rPr>
          <w:rFonts w:hAnsi="宋体" w:cs="宋体"/>
          <w:lang w:bidi="ar"/>
        </w:rPr>
        <w:t>（kN）</w:t>
      </w:r>
      <w:r w:rsidRPr="00765F6E">
        <w:rPr>
          <w:rFonts w:hAnsi="宋体" w:cs="宋体" w:hint="eastAsia"/>
          <w:lang w:bidi="ar"/>
        </w:rPr>
        <w:t>；</w:t>
      </w:r>
    </w:p>
    <w:p w14:paraId="72F8E35D" w14:textId="77777777" w:rsidR="00CE5208" w:rsidRPr="00765F6E" w:rsidRDefault="00CE5208" w:rsidP="00CE5208">
      <w:pPr>
        <w:pStyle w:val="affffb"/>
        <w:ind w:firstLineChars="300" w:firstLine="630"/>
        <w:rPr>
          <w:rFonts w:hAnsi="宋体" w:cs="宋体"/>
          <w:lang w:bidi="ar"/>
        </w:rPr>
      </w:pPr>
      <w:r w:rsidRPr="00765F6E">
        <w:rPr>
          <w:rFonts w:hAnsi="宋体" w:cstheme="minorBidi" w:hint="eastAsia"/>
          <w:i/>
          <w:kern w:val="2"/>
        </w:rPr>
        <w:t>F</w:t>
      </w:r>
      <w:r w:rsidRPr="00765F6E">
        <w:rPr>
          <w:rFonts w:hAnsi="宋体" w:cstheme="minorBidi"/>
          <w:i/>
          <w:kern w:val="2"/>
          <w:sz w:val="15"/>
          <w:szCs w:val="15"/>
        </w:rPr>
        <w:t>q</w:t>
      </w:r>
      <w:r w:rsidRPr="00765F6E">
        <w:rPr>
          <w:rFonts w:hAnsi="宋体" w:cs="宋体"/>
          <w:lang w:bidi="ar"/>
        </w:rPr>
        <w:t>——</w:t>
      </w:r>
      <w:r w:rsidRPr="00765F6E">
        <w:rPr>
          <w:rFonts w:hAnsi="宋体" w:hint="eastAsia"/>
        </w:rPr>
        <w:t>分布活载，</w:t>
      </w:r>
      <w:r w:rsidRPr="00765F6E">
        <w:rPr>
          <w:rFonts w:hAnsi="宋体" w:cs="宋体" w:hint="eastAsia"/>
          <w:lang w:bidi="ar"/>
        </w:rPr>
        <w:t>单位为千牛顿每米</w:t>
      </w:r>
      <w:r w:rsidRPr="00765F6E">
        <w:rPr>
          <w:rFonts w:hAnsi="宋体" w:cs="宋体"/>
          <w:lang w:bidi="ar"/>
        </w:rPr>
        <w:t>（kN/m）</w:t>
      </w:r>
      <w:r w:rsidRPr="00765F6E">
        <w:rPr>
          <w:rFonts w:hAnsi="宋体" w:cs="宋体" w:hint="eastAsia"/>
          <w:lang w:bidi="ar"/>
        </w:rPr>
        <w:t>；</w:t>
      </w:r>
    </w:p>
    <w:p w14:paraId="6A6823E7" w14:textId="6669542F" w:rsidR="00737EB2" w:rsidRPr="00765F6E" w:rsidRDefault="00737EB2" w:rsidP="0062778D">
      <w:pPr>
        <w:adjustRightInd/>
        <w:spacing w:line="240" w:lineRule="auto"/>
        <w:ind w:firstLineChars="300" w:firstLine="630"/>
        <w:jc w:val="left"/>
        <w:rPr>
          <w:rFonts w:hAnsi="宋体" w:cs="宋体"/>
          <w:lang w:bidi="ar"/>
        </w:rPr>
      </w:pPr>
      <w:r w:rsidRPr="00765F6E">
        <w:rPr>
          <w:rFonts w:hAnsi="宋体" w:cs="宋体"/>
          <w:i/>
          <w:lang w:bidi="ar"/>
        </w:rPr>
        <w:t>q</w:t>
      </w:r>
      <w:r w:rsidRPr="00765F6E">
        <w:rPr>
          <w:rFonts w:hAnsi="宋体" w:cs="宋体"/>
          <w:lang w:bidi="ar"/>
        </w:rPr>
        <w:t>——活载图式中的分布荷载</w:t>
      </w:r>
      <w:r w:rsidRPr="00765F6E">
        <w:rPr>
          <w:rFonts w:hAnsi="宋体" w:cs="宋体" w:hint="eastAsia"/>
          <w:lang w:bidi="ar"/>
        </w:rPr>
        <w:t>，单位为千牛顿每米</w:t>
      </w:r>
      <w:r w:rsidRPr="00765F6E">
        <w:rPr>
          <w:rFonts w:hAnsi="宋体" w:cs="宋体"/>
          <w:lang w:bidi="ar"/>
        </w:rPr>
        <w:t>（</w:t>
      </w:r>
      <w:proofErr w:type="spellStart"/>
      <w:r w:rsidRPr="00765F6E">
        <w:rPr>
          <w:rFonts w:hAnsi="宋体" w:cs="宋体"/>
          <w:lang w:bidi="ar"/>
        </w:rPr>
        <w:t>kN</w:t>
      </w:r>
      <w:proofErr w:type="spellEnd"/>
      <w:r w:rsidRPr="00765F6E">
        <w:rPr>
          <w:rFonts w:hAnsi="宋体" w:cs="宋体"/>
          <w:lang w:bidi="ar"/>
        </w:rPr>
        <w:t>/m</w:t>
      </w:r>
      <w:r w:rsidRPr="00765F6E">
        <w:rPr>
          <w:rFonts w:hAnsi="宋体" w:cs="宋体"/>
          <w:lang w:bidi="ar"/>
        </w:rPr>
        <w:t>）</w:t>
      </w:r>
      <w:r w:rsidR="00CE5208">
        <w:rPr>
          <w:rFonts w:hAnsi="宋体" w:cs="宋体" w:hint="eastAsia"/>
          <w:lang w:bidi="ar"/>
        </w:rPr>
        <w:t>。</w:t>
      </w:r>
    </w:p>
    <w:p w14:paraId="6E317F7B" w14:textId="77777777" w:rsidR="00737EB2" w:rsidRPr="00765F6E" w:rsidRDefault="00737EB2" w:rsidP="00737EB2">
      <w:pPr>
        <w:pStyle w:val="af6"/>
        <w:tabs>
          <w:tab w:val="left" w:pos="851"/>
        </w:tabs>
        <w:snapToGrid w:val="0"/>
        <w:contextualSpacing/>
      </w:pPr>
      <w:r w:rsidRPr="00765F6E">
        <w:t>离心力作用位置可按水平向外作用于轨顶以上1.8m处考虑。</w:t>
      </w:r>
    </w:p>
    <w:p w14:paraId="7BF4763C" w14:textId="77777777" w:rsidR="00737EB2" w:rsidRPr="00765F6E" w:rsidRDefault="00737EB2" w:rsidP="009D0776">
      <w:pPr>
        <w:pStyle w:val="22"/>
      </w:pPr>
      <w:bookmarkStart w:id="1272" w:name="_Toc153291316"/>
      <w:bookmarkStart w:id="1273" w:name="_Toc99791885"/>
      <w:r w:rsidRPr="00765F6E">
        <w:rPr>
          <w:rFonts w:hint="eastAsia"/>
        </w:rPr>
        <w:t>横向摇摆力应按60kN水平作用于桥跨结构最不利位置处的钢轨顶面。多线桥梁只计算任一线上的横向摇摆力。</w:t>
      </w:r>
      <w:bookmarkEnd w:id="1272"/>
      <w:bookmarkEnd w:id="1273"/>
    </w:p>
    <w:p w14:paraId="6C68D301" w14:textId="77777777" w:rsidR="00737EB2" w:rsidRPr="00765F6E" w:rsidRDefault="00737EB2" w:rsidP="009D0776">
      <w:pPr>
        <w:pStyle w:val="22"/>
      </w:pPr>
      <w:bookmarkStart w:id="1274" w:name="_Toc153291317"/>
      <w:bookmarkStart w:id="1275" w:name="_Toc99791886"/>
      <w:r w:rsidRPr="00765F6E">
        <w:rPr>
          <w:rFonts w:hint="eastAsia"/>
        </w:rPr>
        <w:t>桥上列车制动力或牵引力的计算应符合下列规定：</w:t>
      </w:r>
      <w:bookmarkEnd w:id="1274"/>
      <w:bookmarkEnd w:id="1275"/>
    </w:p>
    <w:p w14:paraId="0C73CD45" w14:textId="68A05FCC" w:rsidR="00737EB2" w:rsidRPr="00765F6E" w:rsidRDefault="00737EB2" w:rsidP="003334F3">
      <w:pPr>
        <w:pStyle w:val="af6"/>
        <w:numPr>
          <w:ilvl w:val="0"/>
          <w:numId w:val="98"/>
        </w:numPr>
        <w:tabs>
          <w:tab w:val="left" w:pos="851"/>
        </w:tabs>
        <w:snapToGrid w:val="0"/>
        <w:contextualSpacing/>
      </w:pPr>
      <w:r w:rsidRPr="00765F6E">
        <w:rPr>
          <w:rFonts w:hint="eastAsia"/>
        </w:rPr>
        <w:t>桥上列车制动力或牵引力应按列车竖向静活载的10%计算；当其与离心力同时计算时，制动力或牵引力应按列车竖向静活载的7%计算。作用位置应符合TB 10002的规定</w:t>
      </w:r>
      <w:r w:rsidR="00D432C4">
        <w:rPr>
          <w:rFonts w:hint="eastAsia"/>
        </w:rPr>
        <w:t>；</w:t>
      </w:r>
    </w:p>
    <w:p w14:paraId="519685F0" w14:textId="77777777" w:rsidR="00737EB2" w:rsidRPr="00765F6E" w:rsidRDefault="00737EB2" w:rsidP="003334F3">
      <w:pPr>
        <w:pStyle w:val="af6"/>
        <w:numPr>
          <w:ilvl w:val="0"/>
          <w:numId w:val="98"/>
        </w:numPr>
        <w:tabs>
          <w:tab w:val="left" w:pos="851"/>
        </w:tabs>
        <w:snapToGrid w:val="0"/>
        <w:contextualSpacing/>
      </w:pPr>
      <w:r w:rsidRPr="00765F6E">
        <w:rPr>
          <w:rFonts w:hint="eastAsia"/>
        </w:rPr>
        <w:t>区间双线桥应采用单线的制动力或牵引力，车站内双线桥梁应根据其结构形式考虑制动和启动同时发生的情况进行设计；三线或三线以上的桥梁应采用双线的制动力或牵引力。</w:t>
      </w:r>
    </w:p>
    <w:p w14:paraId="169D3908" w14:textId="64A9B63B" w:rsidR="00737EB2" w:rsidRPr="00765F6E" w:rsidRDefault="00737EB2" w:rsidP="009D0776">
      <w:pPr>
        <w:pStyle w:val="22"/>
      </w:pPr>
      <w:bookmarkStart w:id="1276" w:name="_Toc153291318"/>
      <w:bookmarkStart w:id="1277" w:name="_Toc99791887"/>
      <w:r w:rsidRPr="00765F6E">
        <w:rPr>
          <w:rFonts w:hint="eastAsia"/>
        </w:rPr>
        <w:t>列车活载在桥台后破坏棱体上引起的侧向土压力可按活载换算为当量均布土层厚度计算。活载换算当量均布土层厚度可按公式（</w:t>
      </w:r>
      <w:r w:rsidR="00141503" w:rsidRPr="00765F6E">
        <w:rPr>
          <w:rFonts w:hint="eastAsia"/>
        </w:rPr>
        <w:t>3</w:t>
      </w:r>
      <w:r w:rsidR="00141503">
        <w:t>1</w:t>
      </w:r>
      <w:r w:rsidRPr="00765F6E">
        <w:rPr>
          <w:rFonts w:hint="eastAsia"/>
        </w:rPr>
        <w:t>）计算</w:t>
      </w:r>
      <w:bookmarkEnd w:id="1276"/>
      <w:bookmarkEnd w:id="1277"/>
      <w:r w:rsidRPr="00765F6E">
        <w:rPr>
          <w:rFonts w:hint="eastAsia"/>
        </w:rPr>
        <w:t>。</w:t>
      </w:r>
    </w:p>
    <w:p w14:paraId="28A1B083" w14:textId="49B9D825" w:rsidR="00737EB2" w:rsidRPr="00765F6E" w:rsidRDefault="00737EB2" w:rsidP="00737EB2">
      <w:pPr>
        <w:pStyle w:val="affffffd"/>
        <w:spacing w:before="156" w:after="156"/>
      </w:pPr>
      <w:bookmarkStart w:id="1278" w:name="_Toc153291319"/>
      <w:bookmarkStart w:id="1279" w:name="_Toc99791888"/>
      <w:r w:rsidRPr="00765F6E">
        <w:tab/>
      </w:r>
      <m:oMath>
        <m:r>
          <m:rPr>
            <m:sty m:val="p"/>
          </m:rPr>
          <w:rPr>
            <w:rFonts w:ascii="Cambria Math" w:hAnsi="Cambria Math"/>
          </w:rPr>
          <w:object w:dxaOrig="532" w:dyaOrig="532" w14:anchorId="6CB63DC4">
            <v:shape id="_x0000_i1038" type="#_x0000_t75" style="width:25.95pt;height:25.95pt" o:ole="">
              <v:imagedata r:id="rId58" o:title=""/>
            </v:shape>
            <o:OLEObject Type="Embed" ProgID="Equation.DSMT4" ShapeID="_x0000_i1038" DrawAspect="Content" ObjectID="_1793792803" r:id="rId59"/>
          </w:object>
        </m:r>
        <m:r>
          <m:rPr>
            <m:sty m:val="p"/>
          </m:rPr>
          <w:rPr>
            <w:rFonts w:ascii="Cambria Math" w:hAnsi="Cambria Math"/>
          </w:rPr>
          <m:t xml:space="preserve"> </m:t>
        </m:r>
      </m:oMath>
      <w:r w:rsidRPr="00765F6E">
        <w:rPr>
          <w:rFonts w:ascii="微软雅黑" w:eastAsia="微软雅黑" w:hAnsi="微软雅黑"/>
        </w:rPr>
        <w:tab/>
      </w:r>
      <w:r w:rsidRPr="00765F6E">
        <w:t>(</w:t>
      </w:r>
      <w:r w:rsidR="00141503" w:rsidRPr="00765F6E">
        <w:rPr>
          <w:rFonts w:hint="eastAsia"/>
        </w:rPr>
        <w:t>3</w:t>
      </w:r>
      <w:r w:rsidR="00141503">
        <w:t>1</w:t>
      </w:r>
      <w:r w:rsidRPr="00765F6E">
        <w:t>)</w:t>
      </w:r>
    </w:p>
    <w:p w14:paraId="5DFD6BCD" w14:textId="77777777" w:rsidR="00737EB2" w:rsidRPr="00765F6E" w:rsidRDefault="00737EB2" w:rsidP="0062778D">
      <w:pPr>
        <w:pStyle w:val="affffa"/>
        <w:spacing w:line="240" w:lineRule="auto"/>
        <w:ind w:firstLine="420"/>
        <w:rPr>
          <w:rFonts w:hAnsi="宋体" w:cstheme="minorBidi"/>
          <w:i/>
          <w:kern w:val="2"/>
        </w:rPr>
      </w:pPr>
      <w:r w:rsidRPr="00765F6E">
        <w:rPr>
          <w:rFonts w:hint="eastAsia"/>
        </w:rPr>
        <w:t>式中：</w:t>
      </w:r>
      <w:bookmarkEnd w:id="1278"/>
      <w:bookmarkEnd w:id="1279"/>
      <w:r w:rsidRPr="00765F6E">
        <w:rPr>
          <w:rFonts w:hAnsi="宋体" w:cstheme="minorBidi"/>
          <w:i/>
          <w:kern w:val="2"/>
        </w:rPr>
        <w:t xml:space="preserve"> </w:t>
      </w:r>
    </w:p>
    <w:p w14:paraId="5E1D8BFC" w14:textId="7EFD16E8" w:rsidR="00737EB2" w:rsidRPr="00765F6E" w:rsidRDefault="00737EB2" w:rsidP="0062778D">
      <w:pPr>
        <w:pStyle w:val="affffb"/>
        <w:ind w:firstLine="420"/>
      </w:pPr>
      <w:r w:rsidRPr="00765F6E">
        <w:rPr>
          <w:rFonts w:hAnsi="宋体" w:cstheme="minorBidi" w:hint="eastAsia"/>
          <w:i/>
          <w:kern w:val="2"/>
        </w:rPr>
        <w:lastRenderedPageBreak/>
        <w:t xml:space="preserve"> </w:t>
      </w:r>
      <w:r w:rsidRPr="00765F6E">
        <w:rPr>
          <w:rFonts w:hAnsi="宋体" w:cstheme="minorBidi" w:hint="eastAsia"/>
          <w:iCs/>
          <w:kern w:val="2"/>
        </w:rPr>
        <w:t xml:space="preserve"> </w:t>
      </w:r>
      <w:r w:rsidRPr="00765F6E">
        <w:rPr>
          <w:rFonts w:hAnsi="宋体" w:cstheme="minorBidi" w:hint="eastAsia"/>
          <w:i/>
          <w:iCs/>
          <w:kern w:val="2"/>
        </w:rPr>
        <w:t xml:space="preserve"> h</w:t>
      </w:r>
      <w:r w:rsidRPr="00765F6E">
        <w:rPr>
          <w:rFonts w:hAnsi="宋体" w:cstheme="minorBidi" w:hint="eastAsia"/>
          <w:i/>
          <w:iCs/>
          <w:kern w:val="2"/>
          <w:sz w:val="15"/>
          <w:szCs w:val="15"/>
        </w:rPr>
        <w:t>0</w:t>
      </w:r>
      <w:r w:rsidRPr="00765F6E">
        <w:rPr>
          <w:rFonts w:hAnsi="宋体" w:cs="宋体"/>
          <w:lang w:bidi="ar"/>
        </w:rPr>
        <w:t>——</w:t>
      </w:r>
      <w:r w:rsidRPr="00765F6E">
        <w:rPr>
          <w:rFonts w:hint="eastAsia"/>
        </w:rPr>
        <w:t>均布土层厚度，</w:t>
      </w:r>
      <w:r w:rsidRPr="00765F6E">
        <w:rPr>
          <w:rFonts w:hAnsi="宋体" w:cs="宋体" w:hint="eastAsia"/>
          <w:lang w:bidi="ar"/>
        </w:rPr>
        <w:t>单位为米</w:t>
      </w:r>
      <w:r w:rsidRPr="00765F6E">
        <w:rPr>
          <w:rFonts w:hAnsi="宋体" w:cs="宋体"/>
          <w:lang w:bidi="ar"/>
        </w:rPr>
        <w:t>（</w:t>
      </w:r>
      <w:r w:rsidRPr="00765F6E">
        <w:rPr>
          <w:rFonts w:hAnsi="宋体" w:cs="宋体" w:hint="eastAsia"/>
          <w:lang w:bidi="ar"/>
        </w:rPr>
        <w:t>m</w:t>
      </w:r>
      <w:r w:rsidRPr="00765F6E">
        <w:rPr>
          <w:rFonts w:hAnsi="宋体" w:cs="宋体"/>
          <w:lang w:bidi="ar"/>
        </w:rPr>
        <w:t>）</w:t>
      </w:r>
      <w:r w:rsidR="008419F4">
        <w:rPr>
          <w:rFonts w:hAnsi="宋体" w:cs="宋体" w:hint="eastAsia"/>
          <w:lang w:bidi="ar"/>
        </w:rPr>
        <w:t>；</w:t>
      </w:r>
    </w:p>
    <w:p w14:paraId="2E902DB2" w14:textId="77777777" w:rsidR="00737EB2" w:rsidRPr="00765F6E" w:rsidRDefault="00737EB2" w:rsidP="0062778D">
      <w:pPr>
        <w:adjustRightInd/>
        <w:spacing w:line="240" w:lineRule="auto"/>
        <w:ind w:leftChars="350" w:left="735"/>
        <w:jc w:val="left"/>
        <w:rPr>
          <w:rFonts w:hAnsi="宋体" w:cs="宋体"/>
          <w:lang w:bidi="ar"/>
        </w:rPr>
      </w:pPr>
      <w:r w:rsidRPr="00765F6E">
        <w:rPr>
          <w:rFonts w:hAnsi="宋体" w:cs="宋体"/>
          <w:i/>
          <w:lang w:bidi="ar"/>
        </w:rPr>
        <w:t>q</w:t>
      </w:r>
      <w:r w:rsidRPr="00765F6E">
        <w:rPr>
          <w:rFonts w:hAnsi="宋体" w:cs="宋体"/>
          <w:lang w:bidi="ar"/>
        </w:rPr>
        <w:t>——轨底平面上列车竖向静活载压力强度</w:t>
      </w:r>
      <w:r w:rsidRPr="00765F6E">
        <w:rPr>
          <w:rFonts w:hAnsi="宋体" w:cs="宋体" w:hint="eastAsia"/>
          <w:lang w:bidi="ar"/>
        </w:rPr>
        <w:t>，单位为千帕</w:t>
      </w:r>
      <w:r w:rsidRPr="00765F6E">
        <w:rPr>
          <w:rFonts w:hAnsi="宋体" w:cs="宋体"/>
          <w:lang w:bidi="ar"/>
        </w:rPr>
        <w:t>（</w:t>
      </w:r>
      <w:r w:rsidRPr="00765F6E">
        <w:rPr>
          <w:rFonts w:hAnsi="宋体" w:cs="宋体"/>
          <w:lang w:bidi="ar"/>
        </w:rPr>
        <w:t>kPa</w:t>
      </w:r>
      <w:r w:rsidRPr="00765F6E">
        <w:rPr>
          <w:rFonts w:hAnsi="宋体" w:cs="宋体"/>
          <w:lang w:bidi="ar"/>
        </w:rPr>
        <w:t>）。荷载横向分布宽度按</w:t>
      </w:r>
      <w:r w:rsidRPr="00765F6E">
        <w:rPr>
          <w:rFonts w:hAnsi="宋体" w:cs="宋体"/>
          <w:lang w:bidi="ar"/>
        </w:rPr>
        <w:t>3.0m</w:t>
      </w:r>
      <w:r w:rsidRPr="00765F6E">
        <w:rPr>
          <w:rFonts w:hAnsi="宋体" w:cs="宋体"/>
          <w:lang w:bidi="ar"/>
        </w:rPr>
        <w:t>计</w:t>
      </w:r>
      <w:r w:rsidRPr="00765F6E">
        <w:rPr>
          <w:rFonts w:hAnsi="宋体" w:cs="宋体" w:hint="eastAsia"/>
          <w:lang w:bidi="ar"/>
        </w:rPr>
        <w:t>；</w:t>
      </w:r>
    </w:p>
    <w:p w14:paraId="6C35D5C3" w14:textId="77777777" w:rsidR="00737EB2" w:rsidRPr="00765F6E" w:rsidRDefault="00737EB2" w:rsidP="0062778D">
      <w:pPr>
        <w:adjustRightInd/>
        <w:spacing w:line="240" w:lineRule="auto"/>
        <w:ind w:leftChars="350" w:left="735"/>
        <w:jc w:val="left"/>
        <w:rPr>
          <w:rFonts w:hAnsi="宋体" w:cs="宋体"/>
          <w:lang w:bidi="ar"/>
        </w:rPr>
      </w:pPr>
      <w:r w:rsidRPr="00765F6E">
        <w:rPr>
          <w:rFonts w:hAnsi="宋体" w:cs="宋体"/>
          <w:i/>
          <w:lang w:bidi="ar"/>
        </w:rPr>
        <w:t>γ</w:t>
      </w:r>
      <w:r w:rsidRPr="00765F6E">
        <w:rPr>
          <w:rFonts w:hAnsi="宋体" w:cs="宋体"/>
          <w:lang w:bidi="ar"/>
        </w:rPr>
        <w:t>——土的重度</w:t>
      </w:r>
      <w:r w:rsidRPr="00765F6E">
        <w:rPr>
          <w:rFonts w:hAnsi="宋体" w:cs="宋体" w:hint="eastAsia"/>
          <w:lang w:bidi="ar"/>
        </w:rPr>
        <w:t>，单位为千牛顿每立方米</w:t>
      </w:r>
      <w:r w:rsidRPr="00765F6E">
        <w:rPr>
          <w:rFonts w:hAnsi="宋体" w:cs="宋体"/>
          <w:lang w:bidi="ar"/>
        </w:rPr>
        <w:t>（</w:t>
      </w:r>
      <w:proofErr w:type="spellStart"/>
      <w:r w:rsidRPr="00765F6E">
        <w:rPr>
          <w:rFonts w:hAnsi="宋体" w:cs="宋体"/>
          <w:lang w:bidi="ar"/>
        </w:rPr>
        <w:t>kN</w:t>
      </w:r>
      <w:proofErr w:type="spellEnd"/>
      <w:r w:rsidRPr="00765F6E">
        <w:rPr>
          <w:rFonts w:hAnsi="宋体" w:cs="宋体"/>
          <w:lang w:bidi="ar"/>
        </w:rPr>
        <w:t>/m</w:t>
      </w:r>
      <w:r w:rsidRPr="00765F6E">
        <w:rPr>
          <w:rFonts w:hAnsi="宋体" w:cs="宋体"/>
          <w:vertAlign w:val="superscript"/>
          <w:lang w:bidi="ar"/>
        </w:rPr>
        <w:t>3</w:t>
      </w:r>
      <w:r w:rsidRPr="00765F6E">
        <w:rPr>
          <w:rFonts w:hAnsi="宋体" w:cs="宋体"/>
          <w:lang w:bidi="ar"/>
        </w:rPr>
        <w:t>）。</w:t>
      </w:r>
    </w:p>
    <w:p w14:paraId="68567A58" w14:textId="77777777" w:rsidR="00737EB2" w:rsidRPr="00765F6E" w:rsidRDefault="00737EB2" w:rsidP="009D0776">
      <w:pPr>
        <w:pStyle w:val="22"/>
      </w:pPr>
      <w:bookmarkStart w:id="1280" w:name="_Toc153291320"/>
      <w:bookmarkStart w:id="1281" w:name="_Toc99791889"/>
      <w:r w:rsidRPr="00765F6E">
        <w:rPr>
          <w:rFonts w:hint="eastAsia"/>
        </w:rPr>
        <w:t>长度大于15m的桥梁宜考虑列车脱轨荷载。列车脱轨荷载不计动力系数。多线桥上，只考虑单线脱轨荷载，且其他线路上无列车活载。列车脱轨荷载计算符合TB 10002的规定。</w:t>
      </w:r>
      <w:bookmarkEnd w:id="1280"/>
      <w:bookmarkEnd w:id="1281"/>
    </w:p>
    <w:p w14:paraId="58A0805F" w14:textId="77777777" w:rsidR="00737EB2" w:rsidRPr="00765F6E" w:rsidRDefault="00737EB2" w:rsidP="009D0776">
      <w:pPr>
        <w:pStyle w:val="22"/>
      </w:pPr>
      <w:bookmarkStart w:id="1282" w:name="_Toc153291321"/>
      <w:bookmarkStart w:id="1283" w:name="_Toc99791890"/>
      <w:r w:rsidRPr="00765F6E">
        <w:rPr>
          <w:rFonts w:hint="eastAsia"/>
        </w:rPr>
        <w:t>桥梁结构施工临时荷载应根据施工阶段、施工方法和施工条件确定。</w:t>
      </w:r>
      <w:bookmarkEnd w:id="1282"/>
      <w:bookmarkEnd w:id="1283"/>
    </w:p>
    <w:p w14:paraId="2069A6C3" w14:textId="77777777" w:rsidR="00737EB2" w:rsidRPr="00765F6E" w:rsidRDefault="00737EB2" w:rsidP="009D0776">
      <w:pPr>
        <w:pStyle w:val="22"/>
      </w:pPr>
      <w:bookmarkStart w:id="1284" w:name="_Toc153291322"/>
      <w:bookmarkStart w:id="1285" w:name="_Toc99791891"/>
      <w:r w:rsidRPr="00765F6E">
        <w:rPr>
          <w:rFonts w:hint="eastAsia"/>
        </w:rPr>
        <w:t>当桥面上布置有作业通道时，作业通道设计符合下列规定：</w:t>
      </w:r>
      <w:bookmarkEnd w:id="1284"/>
      <w:bookmarkEnd w:id="1285"/>
    </w:p>
    <w:p w14:paraId="102F500C" w14:textId="77777777" w:rsidR="00737EB2" w:rsidRPr="00765F6E" w:rsidRDefault="00737EB2" w:rsidP="003334F3">
      <w:pPr>
        <w:pStyle w:val="af6"/>
        <w:numPr>
          <w:ilvl w:val="0"/>
          <w:numId w:val="99"/>
        </w:numPr>
        <w:tabs>
          <w:tab w:val="left" w:pos="851"/>
        </w:tabs>
        <w:snapToGrid w:val="0"/>
        <w:contextualSpacing/>
      </w:pPr>
      <w:r w:rsidRPr="00765F6E">
        <w:rPr>
          <w:rFonts w:hint="eastAsia"/>
        </w:rPr>
        <w:t>竖向静活载应采用4kN/m</w:t>
      </w:r>
      <w:r w:rsidRPr="00765F6E">
        <w:rPr>
          <w:rFonts w:hint="eastAsia"/>
          <w:vertAlign w:val="superscript"/>
        </w:rPr>
        <w:t>2</w:t>
      </w:r>
      <w:r w:rsidRPr="00765F6E">
        <w:rPr>
          <w:rFonts w:hint="eastAsia"/>
        </w:rPr>
        <w:t>。主梁设计时作业通道的竖向静活载不应与列车活载同时计算；</w:t>
      </w:r>
    </w:p>
    <w:p w14:paraId="021EA199" w14:textId="77777777" w:rsidR="00737EB2" w:rsidRPr="00765F6E" w:rsidRDefault="00737EB2" w:rsidP="003334F3">
      <w:pPr>
        <w:pStyle w:val="af6"/>
        <w:numPr>
          <w:ilvl w:val="0"/>
          <w:numId w:val="99"/>
        </w:numPr>
        <w:tabs>
          <w:tab w:val="left" w:pos="851"/>
        </w:tabs>
        <w:snapToGrid w:val="0"/>
        <w:contextualSpacing/>
      </w:pPr>
      <w:r w:rsidRPr="00765F6E">
        <w:rPr>
          <w:rFonts w:hint="eastAsia"/>
        </w:rPr>
        <w:t>桥上走行检查小车时宜考虑检查小车的竖向活载，主梁设计时应与列车活载同时计算；</w:t>
      </w:r>
    </w:p>
    <w:p w14:paraId="6C2A17C3" w14:textId="77777777" w:rsidR="00737EB2" w:rsidRPr="00765F6E" w:rsidRDefault="00737EB2" w:rsidP="003334F3">
      <w:pPr>
        <w:pStyle w:val="af6"/>
        <w:numPr>
          <w:ilvl w:val="0"/>
          <w:numId w:val="99"/>
        </w:numPr>
        <w:tabs>
          <w:tab w:val="left" w:pos="851"/>
        </w:tabs>
        <w:snapToGrid w:val="0"/>
        <w:contextualSpacing/>
      </w:pPr>
      <w:r w:rsidRPr="00765F6E">
        <w:rPr>
          <w:rFonts w:hint="eastAsia"/>
        </w:rPr>
        <w:t>检算栏杆立柱及扶手时，水平推力应按0.75kN/m考虑。水平推力作用于立柱顶面处。立柱和扶手还应按1.0kN的集中荷载检算。</w:t>
      </w:r>
    </w:p>
    <w:p w14:paraId="25DE81FD" w14:textId="77777777" w:rsidR="00737EB2" w:rsidRPr="00765F6E" w:rsidRDefault="00737EB2" w:rsidP="009D0776">
      <w:pPr>
        <w:pStyle w:val="22"/>
      </w:pPr>
      <w:bookmarkStart w:id="1286" w:name="_Toc153291323"/>
      <w:bookmarkStart w:id="1287" w:name="_Toc99791892"/>
      <w:r w:rsidRPr="00765F6E">
        <w:rPr>
          <w:rFonts w:hint="eastAsia"/>
        </w:rPr>
        <w:t>铺设无缝线路的桥梁宜考虑长钢轨纵向力（伸缩力、挠曲力、断轨力）作用。无缝线路纵向力的计算应符合TB 10002的规定。</w:t>
      </w:r>
      <w:bookmarkEnd w:id="1286"/>
      <w:bookmarkEnd w:id="1287"/>
    </w:p>
    <w:p w14:paraId="642D91E9" w14:textId="77777777" w:rsidR="00737EB2" w:rsidRPr="00765F6E" w:rsidRDefault="00737EB2" w:rsidP="009D0776">
      <w:pPr>
        <w:pStyle w:val="22"/>
      </w:pPr>
      <w:bookmarkStart w:id="1288" w:name="_Toc153291324"/>
      <w:bookmarkStart w:id="1289" w:name="_Toc99791893"/>
      <w:r w:rsidRPr="00765F6E">
        <w:rPr>
          <w:rFonts w:hint="eastAsia"/>
        </w:rPr>
        <w:t>风力、流水压力、静水压力及水浮力、船只或排筏的撞击力、汽车撞击力、施工荷载、气动力、声屏障等荷载应按TB 10002的规定计算。</w:t>
      </w:r>
      <w:bookmarkEnd w:id="1288"/>
      <w:bookmarkEnd w:id="1289"/>
    </w:p>
    <w:p w14:paraId="43439107" w14:textId="668F184E" w:rsidR="00737EB2" w:rsidRPr="00765F6E" w:rsidRDefault="00737EB2" w:rsidP="009D0776">
      <w:pPr>
        <w:pStyle w:val="22"/>
      </w:pPr>
      <w:bookmarkStart w:id="1290" w:name="_Toc99791894"/>
      <w:bookmarkStart w:id="1291" w:name="_Toc153291325"/>
      <w:r w:rsidRPr="00765F6E">
        <w:rPr>
          <w:rFonts w:hint="eastAsia"/>
        </w:rPr>
        <w:t>温度作用应按TB 10002、TB 10092</w:t>
      </w:r>
      <w:r w:rsidR="00AC1892">
        <w:rPr>
          <w:rFonts w:hint="eastAsia"/>
        </w:rPr>
        <w:t>-</w:t>
      </w:r>
      <w:r w:rsidR="00AC1892">
        <w:t>2017</w:t>
      </w:r>
      <w:r w:rsidRPr="00765F6E">
        <w:rPr>
          <w:rFonts w:hint="eastAsia"/>
        </w:rPr>
        <w:t>的规定计算。结构构件宜考虑截面的上下、侧面、内外温差产生的应力和位移。</w:t>
      </w:r>
      <w:bookmarkEnd w:id="1290"/>
      <w:bookmarkEnd w:id="1291"/>
    </w:p>
    <w:p w14:paraId="121F9D47" w14:textId="77777777" w:rsidR="00737EB2" w:rsidRPr="00765F6E" w:rsidRDefault="00737EB2" w:rsidP="009D0776">
      <w:pPr>
        <w:pStyle w:val="22"/>
      </w:pPr>
      <w:bookmarkStart w:id="1292" w:name="_Toc99791895"/>
      <w:bookmarkStart w:id="1293" w:name="_Toc153291326"/>
      <w:r w:rsidRPr="00765F6E">
        <w:rPr>
          <w:rFonts w:hint="eastAsia"/>
        </w:rPr>
        <w:t>地震力应按GB 50111的规定计算。</w:t>
      </w:r>
      <w:bookmarkEnd w:id="1292"/>
      <w:bookmarkEnd w:id="1293"/>
    </w:p>
    <w:p w14:paraId="61E15733" w14:textId="77777777" w:rsidR="00737EB2" w:rsidRPr="00765F6E" w:rsidRDefault="00737EB2" w:rsidP="009D0776">
      <w:pPr>
        <w:pStyle w:val="22"/>
      </w:pPr>
      <w:bookmarkStart w:id="1294" w:name="_Toc99791896"/>
      <w:bookmarkStart w:id="1295" w:name="_Toc153291327"/>
      <w:r w:rsidRPr="00765F6E">
        <w:rPr>
          <w:rFonts w:hint="eastAsia"/>
        </w:rPr>
        <w:t>市域铁路与公路、城市道路两用桥梁承受的荷载及荷载组合应按</w:t>
      </w:r>
      <w:r w:rsidRPr="00765F6E">
        <w:t>JT/T 1246</w:t>
      </w:r>
      <w:r w:rsidRPr="00765F6E">
        <w:rPr>
          <w:rFonts w:hint="eastAsia"/>
        </w:rPr>
        <w:t>执行。</w:t>
      </w:r>
      <w:bookmarkEnd w:id="1294"/>
      <w:bookmarkEnd w:id="1295"/>
    </w:p>
    <w:p w14:paraId="1CDB3864" w14:textId="77777777" w:rsidR="00737EB2" w:rsidRPr="00765F6E" w:rsidRDefault="00737EB2" w:rsidP="009D0776">
      <w:pPr>
        <w:pStyle w:val="22"/>
      </w:pPr>
      <w:bookmarkStart w:id="1296" w:name="_Toc153291328"/>
      <w:bookmarkStart w:id="1297" w:name="_Toc99791897"/>
      <w:r w:rsidRPr="00765F6E">
        <w:rPr>
          <w:rFonts w:hint="eastAsia"/>
        </w:rPr>
        <w:t>通航河流中的桥梁墩台，设计时宜考虑船舶撞击的作用，撞击作用力按照TB 10002的规定计算。</w:t>
      </w:r>
      <w:bookmarkEnd w:id="1296"/>
      <w:bookmarkEnd w:id="1297"/>
    </w:p>
    <w:p w14:paraId="210F0748" w14:textId="77777777" w:rsidR="00737EB2" w:rsidRPr="00765F6E" w:rsidRDefault="00737EB2" w:rsidP="009D0776">
      <w:pPr>
        <w:pStyle w:val="22"/>
      </w:pPr>
      <w:bookmarkStart w:id="1298" w:name="_Toc99791898"/>
      <w:bookmarkStart w:id="1299" w:name="_Toc153291329"/>
      <w:r w:rsidRPr="00765F6E">
        <w:rPr>
          <w:rFonts w:hint="eastAsia"/>
        </w:rPr>
        <w:t>桥墩有可能受到汽车撞击时，宜考虑汽车的撞击力，按照TB 10002的规定计算。</w:t>
      </w:r>
      <w:bookmarkEnd w:id="1298"/>
      <w:bookmarkEnd w:id="1299"/>
    </w:p>
    <w:p w14:paraId="58971C69" w14:textId="77777777" w:rsidR="00737EB2" w:rsidRPr="00765F6E" w:rsidRDefault="00737EB2" w:rsidP="00737EB2">
      <w:pPr>
        <w:pStyle w:val="affe"/>
        <w:spacing w:before="156" w:after="156"/>
      </w:pPr>
      <w:bookmarkStart w:id="1300" w:name="_Toc153291330"/>
      <w:bookmarkStart w:id="1301" w:name="_Toc99791899"/>
      <w:bookmarkStart w:id="1302" w:name="_Toc153210871"/>
      <w:bookmarkStart w:id="1303" w:name="_Toc167895768"/>
      <w:bookmarkStart w:id="1304" w:name="_Toc174538682"/>
      <w:bookmarkStart w:id="1305" w:name="_Toc182476439"/>
      <w:r w:rsidRPr="00765F6E">
        <w:rPr>
          <w:rFonts w:hint="eastAsia"/>
        </w:rPr>
        <w:t>结构变形、变位和基频的限值</w:t>
      </w:r>
      <w:bookmarkEnd w:id="1300"/>
      <w:bookmarkEnd w:id="1301"/>
      <w:bookmarkEnd w:id="1302"/>
      <w:bookmarkEnd w:id="1303"/>
      <w:bookmarkEnd w:id="1304"/>
      <w:bookmarkEnd w:id="1305"/>
    </w:p>
    <w:p w14:paraId="3829DE62" w14:textId="1EC26BD0" w:rsidR="00737EB2" w:rsidRPr="00765F6E" w:rsidRDefault="002C6609" w:rsidP="009D0776">
      <w:pPr>
        <w:pStyle w:val="22"/>
      </w:pPr>
      <w:bookmarkStart w:id="1306" w:name="_Toc99791900"/>
      <w:bookmarkStart w:id="1307" w:name="_Toc153291331"/>
      <w:r w:rsidRPr="00BF0BA3">
        <w:rPr>
          <w:rFonts w:hint="eastAsia"/>
        </w:rPr>
        <w:t>本节规定适用于跨度不大于</w:t>
      </w:r>
      <w:r w:rsidRPr="00BF0BA3">
        <w:t>128m的混凝土梁和跨度不大于168m的钢梁以及墩高不大于50m的桥梁</w:t>
      </w:r>
      <w:r w:rsidR="00737EB2" w:rsidRPr="00765F6E">
        <w:rPr>
          <w:rFonts w:hint="eastAsia"/>
        </w:rPr>
        <w:t>。</w:t>
      </w:r>
      <w:bookmarkEnd w:id="1306"/>
      <w:bookmarkEnd w:id="1307"/>
    </w:p>
    <w:p w14:paraId="39452134" w14:textId="23AEBDE4" w:rsidR="00737EB2" w:rsidRPr="00765F6E" w:rsidRDefault="00737EB2" w:rsidP="009D0776">
      <w:pPr>
        <w:pStyle w:val="22"/>
      </w:pPr>
      <w:bookmarkStart w:id="1308" w:name="_Toc99791901"/>
      <w:bookmarkStart w:id="1309" w:name="_Toc153291332"/>
      <w:r w:rsidRPr="00765F6E">
        <w:rPr>
          <w:rFonts w:hint="eastAsia"/>
        </w:rPr>
        <w:t>梁体竖向变形、变位限值应符合下列规定</w:t>
      </w:r>
      <w:bookmarkEnd w:id="1308"/>
      <w:bookmarkEnd w:id="1309"/>
      <w:r w:rsidR="00AC1892">
        <w:rPr>
          <w:rFonts w:hint="eastAsia"/>
        </w:rPr>
        <w:t>。</w:t>
      </w:r>
    </w:p>
    <w:p w14:paraId="2C17AC4C" w14:textId="01B79791" w:rsidR="00737EB2" w:rsidRPr="00765F6E" w:rsidRDefault="00737EB2" w:rsidP="003334F3">
      <w:pPr>
        <w:pStyle w:val="af6"/>
        <w:numPr>
          <w:ilvl w:val="0"/>
          <w:numId w:val="100"/>
        </w:numPr>
        <w:tabs>
          <w:tab w:val="left" w:pos="851"/>
        </w:tabs>
        <w:snapToGrid w:val="0"/>
        <w:contextualSpacing/>
      </w:pPr>
      <w:r w:rsidRPr="00765F6E">
        <w:rPr>
          <w:rFonts w:hint="eastAsia"/>
        </w:rPr>
        <w:t>在列车竖向静活载作用下，梁体的竖向挠度不应大于表</w:t>
      </w:r>
      <w:r w:rsidR="00B731DB" w:rsidRPr="00765F6E">
        <w:rPr>
          <w:rFonts w:hint="eastAsia"/>
        </w:rPr>
        <w:t>4</w:t>
      </w:r>
      <w:r w:rsidR="00B731DB">
        <w:t>9</w:t>
      </w:r>
      <w:r w:rsidRPr="00765F6E">
        <w:rPr>
          <w:rFonts w:hint="eastAsia"/>
        </w:rPr>
        <w:t>规定的限值</w:t>
      </w:r>
      <w:r w:rsidR="00AC1892">
        <w:rPr>
          <w:rFonts w:hint="eastAsia"/>
        </w:rPr>
        <w:t>。</w:t>
      </w:r>
    </w:p>
    <w:p w14:paraId="2339A25F" w14:textId="518296C5" w:rsidR="00737EB2" w:rsidRPr="00765F6E" w:rsidRDefault="00737EB2" w:rsidP="00737EB2">
      <w:pPr>
        <w:pStyle w:val="aff3"/>
        <w:spacing w:before="156" w:after="156"/>
      </w:pPr>
      <w:r w:rsidRPr="00765F6E">
        <w:rPr>
          <w:rFonts w:hint="eastAsia"/>
        </w:rPr>
        <w:t>梁体的竖向挠度限值</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393"/>
        <w:gridCol w:w="2418"/>
        <w:gridCol w:w="2320"/>
        <w:gridCol w:w="2203"/>
      </w:tblGrid>
      <w:tr w:rsidR="00D65BDE" w:rsidRPr="00765F6E" w14:paraId="69C0C578" w14:textId="77777777" w:rsidTr="00904857">
        <w:trPr>
          <w:trHeight w:val="176"/>
          <w:tblHeader/>
          <w:jc w:val="center"/>
        </w:trPr>
        <w:tc>
          <w:tcPr>
            <w:tcW w:w="1282" w:type="pct"/>
            <w:tcBorders>
              <w:left w:val="single" w:sz="8" w:space="0" w:color="auto"/>
              <w:bottom w:val="single" w:sz="4" w:space="0" w:color="auto"/>
              <w:right w:val="single" w:sz="4" w:space="0" w:color="auto"/>
              <w:tl2br w:val="nil"/>
            </w:tcBorders>
            <w:shd w:val="clear" w:color="auto" w:fill="auto"/>
            <w:vAlign w:val="center"/>
          </w:tcPr>
          <w:p w14:paraId="626C68CF" w14:textId="15BDDF53" w:rsidR="00D65BDE" w:rsidRPr="00765F6E" w:rsidDel="00D27233" w:rsidRDefault="00552DCE" w:rsidP="00D65BDE">
            <w:pPr>
              <w:pStyle w:val="affffffffffff2"/>
              <w:jc w:val="center"/>
              <w:rPr>
                <w:rFonts w:hAnsi="宋体" w:cs="宋体"/>
                <w:sz w:val="18"/>
                <w:szCs w:val="18"/>
              </w:rPr>
            </w:pPr>
            <w:r>
              <w:rPr>
                <w:rFonts w:hAnsi="宋体" w:cs="宋体" w:hint="eastAsia"/>
                <w:sz w:val="18"/>
                <w:szCs w:val="18"/>
              </w:rPr>
              <w:t>跨度范围</w:t>
            </w:r>
          </w:p>
        </w:tc>
        <w:tc>
          <w:tcPr>
            <w:tcW w:w="1295" w:type="pct"/>
            <w:tcBorders>
              <w:top w:val="single" w:sz="8" w:space="0" w:color="auto"/>
              <w:left w:val="single" w:sz="4" w:space="0" w:color="auto"/>
              <w:bottom w:val="single" w:sz="4" w:space="0" w:color="auto"/>
              <w:right w:val="single" w:sz="4" w:space="0" w:color="auto"/>
              <w:tl2br w:val="nil"/>
            </w:tcBorders>
            <w:shd w:val="clear" w:color="auto" w:fill="auto"/>
            <w:vAlign w:val="center"/>
          </w:tcPr>
          <w:p w14:paraId="53595380" w14:textId="1F6D4301" w:rsidR="00D65BDE" w:rsidRPr="00765F6E" w:rsidRDefault="00D65BDE" w:rsidP="00D65BDE">
            <w:pPr>
              <w:pStyle w:val="affffffffffff2"/>
              <w:jc w:val="center"/>
              <w:rPr>
                <w:rFonts w:hAnsi="宋体" w:cs="宋体"/>
                <w:sz w:val="18"/>
                <w:szCs w:val="18"/>
              </w:rPr>
            </w:pPr>
            <w:r w:rsidRPr="00765F6E">
              <w:rPr>
                <w:rFonts w:hAnsi="宋体" w:cs="宋体"/>
                <w:i/>
                <w:sz w:val="18"/>
                <w:szCs w:val="18"/>
              </w:rPr>
              <w:t>L</w:t>
            </w:r>
            <w:r w:rsidRPr="00765F6E">
              <w:rPr>
                <w:rFonts w:hAnsi="宋体" w:cs="宋体"/>
                <w:sz w:val="18"/>
                <w:szCs w:val="18"/>
              </w:rPr>
              <w:t>≤ 40m</w:t>
            </w:r>
          </w:p>
        </w:tc>
        <w:tc>
          <w:tcPr>
            <w:tcW w:w="1243" w:type="pct"/>
            <w:tcBorders>
              <w:top w:val="single" w:sz="8" w:space="0" w:color="auto"/>
              <w:left w:val="single" w:sz="4" w:space="0" w:color="auto"/>
              <w:bottom w:val="single" w:sz="4" w:space="0" w:color="auto"/>
              <w:right w:val="single" w:sz="4" w:space="0" w:color="auto"/>
              <w:tl2br w:val="nil"/>
            </w:tcBorders>
            <w:shd w:val="clear" w:color="auto" w:fill="auto"/>
            <w:vAlign w:val="center"/>
          </w:tcPr>
          <w:p w14:paraId="24E52659" w14:textId="3DB038C8" w:rsidR="00D65BDE" w:rsidRPr="00765F6E" w:rsidRDefault="00D65BDE" w:rsidP="00D65BDE">
            <w:pPr>
              <w:pStyle w:val="affffffffffff2"/>
              <w:jc w:val="center"/>
              <w:rPr>
                <w:rFonts w:hAnsi="宋体" w:cs="宋体"/>
                <w:sz w:val="18"/>
                <w:szCs w:val="18"/>
              </w:rPr>
            </w:pPr>
            <w:r w:rsidRPr="00765F6E">
              <w:rPr>
                <w:rFonts w:hAnsi="宋体" w:cs="宋体"/>
                <w:sz w:val="18"/>
                <w:szCs w:val="18"/>
              </w:rPr>
              <w:t>40m＜</w:t>
            </w:r>
            <w:r w:rsidRPr="00765F6E">
              <w:rPr>
                <w:rFonts w:hAnsi="宋体" w:cs="宋体"/>
                <w:i/>
                <w:sz w:val="18"/>
                <w:szCs w:val="18"/>
              </w:rPr>
              <w:t>L</w:t>
            </w:r>
            <w:r w:rsidRPr="00765F6E">
              <w:rPr>
                <w:rFonts w:hAnsi="宋体" w:cs="宋体"/>
                <w:sz w:val="18"/>
                <w:szCs w:val="18"/>
              </w:rPr>
              <w:t>≤ 80m</w:t>
            </w:r>
          </w:p>
        </w:tc>
        <w:tc>
          <w:tcPr>
            <w:tcW w:w="1180" w:type="pct"/>
            <w:tcBorders>
              <w:top w:val="single" w:sz="8" w:space="0" w:color="auto"/>
              <w:left w:val="single" w:sz="4" w:space="0" w:color="auto"/>
              <w:bottom w:val="single" w:sz="4" w:space="0" w:color="auto"/>
              <w:right w:val="single" w:sz="8" w:space="0" w:color="auto"/>
              <w:tl2br w:val="nil"/>
            </w:tcBorders>
            <w:shd w:val="clear" w:color="auto" w:fill="auto"/>
            <w:vAlign w:val="center"/>
          </w:tcPr>
          <w:p w14:paraId="73FDC6CE" w14:textId="2C7F2C12" w:rsidR="00D65BDE" w:rsidRPr="00765F6E" w:rsidRDefault="00D65BDE" w:rsidP="00D65BDE">
            <w:pPr>
              <w:pStyle w:val="affffffffffff2"/>
              <w:jc w:val="center"/>
              <w:rPr>
                <w:rFonts w:hAnsi="宋体" w:cs="宋体"/>
                <w:sz w:val="18"/>
                <w:szCs w:val="18"/>
              </w:rPr>
            </w:pPr>
            <w:r w:rsidRPr="00765F6E">
              <w:rPr>
                <w:rFonts w:hAnsi="宋体" w:cs="宋体"/>
                <w:i/>
                <w:sz w:val="18"/>
                <w:szCs w:val="18"/>
              </w:rPr>
              <w:t>L</w:t>
            </w:r>
            <w:r w:rsidRPr="00765F6E">
              <w:rPr>
                <w:rFonts w:hAnsi="宋体" w:cs="宋体"/>
                <w:sz w:val="18"/>
                <w:szCs w:val="18"/>
              </w:rPr>
              <w:t>＞80m</w:t>
            </w:r>
          </w:p>
        </w:tc>
      </w:tr>
      <w:tr w:rsidR="00F6204B" w:rsidRPr="00765F6E" w14:paraId="764D08FD" w14:textId="77777777" w:rsidTr="00904857">
        <w:trPr>
          <w:trHeight w:val="176"/>
          <w:jc w:val="center"/>
        </w:trPr>
        <w:tc>
          <w:tcPr>
            <w:tcW w:w="1282" w:type="pct"/>
            <w:tcBorders>
              <w:top w:val="single" w:sz="4" w:space="0" w:color="auto"/>
              <w:left w:val="single" w:sz="8" w:space="0" w:color="auto"/>
              <w:bottom w:val="single" w:sz="4" w:space="0" w:color="auto"/>
              <w:right w:val="single" w:sz="4" w:space="0" w:color="auto"/>
            </w:tcBorders>
            <w:shd w:val="clear" w:color="auto" w:fill="auto"/>
            <w:vAlign w:val="center"/>
          </w:tcPr>
          <w:p w14:paraId="6A2BAC0A" w14:textId="3971E334" w:rsidR="00D27233" w:rsidRPr="00765F6E" w:rsidRDefault="00552DCE" w:rsidP="00D27233">
            <w:pPr>
              <w:spacing w:line="240" w:lineRule="auto"/>
              <w:jc w:val="center"/>
              <w:textAlignment w:val="center"/>
              <w:rPr>
                <w:rFonts w:ascii="宋体" w:hAnsi="宋体"/>
                <w:sz w:val="18"/>
                <w:szCs w:val="18"/>
              </w:rPr>
            </w:pPr>
            <w:r w:rsidRPr="00765F6E">
              <w:rPr>
                <w:rFonts w:hAnsi="宋体" w:cs="宋体"/>
                <w:sz w:val="18"/>
                <w:szCs w:val="18"/>
              </w:rPr>
              <w:t>设计速度</w:t>
            </w:r>
            <w:r w:rsidRPr="00765F6E">
              <w:rPr>
                <w:rFonts w:ascii="宋体" w:hAnsi="宋体" w:hint="eastAsia"/>
                <w:sz w:val="18"/>
                <w:szCs w:val="18"/>
              </w:rPr>
              <w:t>140</w:t>
            </w:r>
            <w:r>
              <w:rPr>
                <w:rFonts w:hint="eastAsia"/>
              </w:rPr>
              <w:t>、</w:t>
            </w:r>
            <w:r w:rsidRPr="00765F6E">
              <w:rPr>
                <w:rFonts w:ascii="宋体" w:hAnsi="宋体"/>
                <w:sz w:val="18"/>
                <w:szCs w:val="18"/>
              </w:rPr>
              <w:t>160km/h</w:t>
            </w:r>
          </w:p>
        </w:tc>
        <w:tc>
          <w:tcPr>
            <w:tcW w:w="1295" w:type="pct"/>
            <w:tcBorders>
              <w:top w:val="single" w:sz="4" w:space="0" w:color="auto"/>
              <w:left w:val="single" w:sz="4" w:space="0" w:color="auto"/>
              <w:bottom w:val="single" w:sz="4" w:space="0" w:color="auto"/>
              <w:right w:val="single" w:sz="4" w:space="0" w:color="auto"/>
            </w:tcBorders>
            <w:shd w:val="clear" w:color="auto" w:fill="auto"/>
            <w:vAlign w:val="center"/>
          </w:tcPr>
          <w:p w14:paraId="2873F6BE" w14:textId="77777777" w:rsidR="00D27233" w:rsidRPr="00765F6E" w:rsidRDefault="00D27233" w:rsidP="00D27233">
            <w:pPr>
              <w:spacing w:line="240" w:lineRule="auto"/>
              <w:jc w:val="center"/>
              <w:textAlignment w:val="center"/>
              <w:rPr>
                <w:rFonts w:ascii="宋体" w:hAnsi="宋体"/>
                <w:sz w:val="18"/>
                <w:szCs w:val="18"/>
              </w:rPr>
            </w:pPr>
            <w:r w:rsidRPr="00765F6E">
              <w:rPr>
                <w:rFonts w:ascii="宋体" w:hAnsi="宋体"/>
                <w:i/>
                <w:sz w:val="18"/>
                <w:szCs w:val="18"/>
              </w:rPr>
              <w:t>L</w:t>
            </w:r>
            <w:r w:rsidRPr="00765F6E">
              <w:rPr>
                <w:rFonts w:ascii="宋体" w:hAnsi="宋体"/>
                <w:sz w:val="18"/>
                <w:szCs w:val="18"/>
              </w:rPr>
              <w:t>/1600</w:t>
            </w:r>
          </w:p>
        </w:tc>
        <w:tc>
          <w:tcPr>
            <w:tcW w:w="1243" w:type="pct"/>
            <w:tcBorders>
              <w:top w:val="single" w:sz="4" w:space="0" w:color="auto"/>
              <w:left w:val="single" w:sz="4" w:space="0" w:color="auto"/>
              <w:bottom w:val="single" w:sz="4" w:space="0" w:color="auto"/>
              <w:right w:val="single" w:sz="4" w:space="0" w:color="auto"/>
            </w:tcBorders>
            <w:shd w:val="clear" w:color="auto" w:fill="auto"/>
            <w:vAlign w:val="center"/>
          </w:tcPr>
          <w:p w14:paraId="03CD9B36" w14:textId="77777777" w:rsidR="00D27233" w:rsidRPr="00765F6E" w:rsidRDefault="00D27233" w:rsidP="00D27233">
            <w:pPr>
              <w:spacing w:line="240" w:lineRule="auto"/>
              <w:jc w:val="center"/>
              <w:textAlignment w:val="center"/>
              <w:rPr>
                <w:rFonts w:ascii="宋体" w:hAnsi="宋体"/>
                <w:sz w:val="18"/>
                <w:szCs w:val="18"/>
              </w:rPr>
            </w:pPr>
            <w:r w:rsidRPr="00765F6E">
              <w:rPr>
                <w:rFonts w:ascii="宋体" w:hAnsi="宋体"/>
                <w:i/>
                <w:sz w:val="18"/>
                <w:szCs w:val="18"/>
              </w:rPr>
              <w:t>L</w:t>
            </w:r>
            <w:r w:rsidRPr="00765F6E">
              <w:rPr>
                <w:rFonts w:ascii="宋体" w:hAnsi="宋体"/>
                <w:sz w:val="18"/>
                <w:szCs w:val="18"/>
              </w:rPr>
              <w:t>/1350</w:t>
            </w:r>
          </w:p>
        </w:tc>
        <w:tc>
          <w:tcPr>
            <w:tcW w:w="1180" w:type="pct"/>
            <w:tcBorders>
              <w:top w:val="single" w:sz="4" w:space="0" w:color="auto"/>
              <w:left w:val="single" w:sz="4" w:space="0" w:color="auto"/>
              <w:bottom w:val="single" w:sz="4" w:space="0" w:color="auto"/>
              <w:right w:val="single" w:sz="8" w:space="0" w:color="auto"/>
            </w:tcBorders>
            <w:shd w:val="clear" w:color="auto" w:fill="auto"/>
            <w:vAlign w:val="center"/>
          </w:tcPr>
          <w:p w14:paraId="01C82556" w14:textId="77777777" w:rsidR="00D27233" w:rsidRPr="00765F6E" w:rsidRDefault="00D27233" w:rsidP="00D27233">
            <w:pPr>
              <w:spacing w:line="240" w:lineRule="auto"/>
              <w:jc w:val="center"/>
              <w:textAlignment w:val="center"/>
              <w:rPr>
                <w:rFonts w:ascii="宋体" w:hAnsi="宋体"/>
                <w:sz w:val="18"/>
                <w:szCs w:val="18"/>
              </w:rPr>
            </w:pPr>
            <w:r w:rsidRPr="00765F6E">
              <w:rPr>
                <w:rFonts w:ascii="宋体" w:hAnsi="宋体"/>
                <w:i/>
                <w:sz w:val="18"/>
                <w:szCs w:val="18"/>
              </w:rPr>
              <w:t>L</w:t>
            </w:r>
            <w:r w:rsidRPr="00765F6E">
              <w:rPr>
                <w:rFonts w:ascii="宋体" w:hAnsi="宋体"/>
                <w:sz w:val="18"/>
                <w:szCs w:val="18"/>
              </w:rPr>
              <w:t>/1100</w:t>
            </w:r>
          </w:p>
        </w:tc>
      </w:tr>
      <w:tr w:rsidR="00F6204B" w:rsidRPr="00765F6E" w14:paraId="2EB5DA02" w14:textId="77777777" w:rsidTr="00915C69">
        <w:trPr>
          <w:trHeight w:val="176"/>
          <w:jc w:val="center"/>
        </w:trPr>
        <w:tc>
          <w:tcPr>
            <w:tcW w:w="1282" w:type="pct"/>
            <w:tcBorders>
              <w:top w:val="single" w:sz="4" w:space="0" w:color="auto"/>
              <w:left w:val="single" w:sz="8" w:space="0" w:color="auto"/>
              <w:bottom w:val="single" w:sz="4" w:space="0" w:color="auto"/>
              <w:right w:val="single" w:sz="4" w:space="0" w:color="auto"/>
            </w:tcBorders>
            <w:shd w:val="clear" w:color="auto" w:fill="auto"/>
            <w:vAlign w:val="center"/>
          </w:tcPr>
          <w:p w14:paraId="045ECD53" w14:textId="349BFED5" w:rsidR="00D27233" w:rsidRPr="00765F6E" w:rsidRDefault="00552DCE" w:rsidP="00D27233">
            <w:pPr>
              <w:spacing w:line="240" w:lineRule="auto"/>
              <w:jc w:val="center"/>
              <w:textAlignment w:val="center"/>
              <w:rPr>
                <w:rFonts w:ascii="宋体" w:hAnsi="宋体"/>
                <w:sz w:val="18"/>
                <w:szCs w:val="18"/>
              </w:rPr>
            </w:pPr>
            <w:r w:rsidRPr="00765F6E">
              <w:rPr>
                <w:rFonts w:hAnsi="宋体" w:cs="宋体"/>
                <w:sz w:val="18"/>
                <w:szCs w:val="18"/>
              </w:rPr>
              <w:t>设计速度</w:t>
            </w:r>
            <w:r w:rsidRPr="00765F6E">
              <w:rPr>
                <w:rFonts w:ascii="宋体" w:hAnsi="宋体"/>
                <w:sz w:val="18"/>
                <w:szCs w:val="18"/>
              </w:rPr>
              <w:t>120km/h</w:t>
            </w:r>
          </w:p>
        </w:tc>
        <w:tc>
          <w:tcPr>
            <w:tcW w:w="1295" w:type="pct"/>
            <w:tcBorders>
              <w:top w:val="single" w:sz="4" w:space="0" w:color="auto"/>
              <w:left w:val="single" w:sz="4" w:space="0" w:color="auto"/>
              <w:bottom w:val="single" w:sz="4" w:space="0" w:color="auto"/>
              <w:right w:val="single" w:sz="4" w:space="0" w:color="auto"/>
            </w:tcBorders>
            <w:shd w:val="clear" w:color="auto" w:fill="auto"/>
            <w:vAlign w:val="center"/>
          </w:tcPr>
          <w:p w14:paraId="43F7937D" w14:textId="77777777" w:rsidR="00D27233" w:rsidRPr="00765F6E" w:rsidRDefault="00D27233" w:rsidP="00D27233">
            <w:pPr>
              <w:spacing w:line="240" w:lineRule="auto"/>
              <w:jc w:val="center"/>
              <w:textAlignment w:val="center"/>
              <w:rPr>
                <w:rFonts w:ascii="宋体" w:hAnsi="宋体"/>
                <w:sz w:val="18"/>
                <w:szCs w:val="18"/>
              </w:rPr>
            </w:pPr>
            <w:r w:rsidRPr="00765F6E">
              <w:rPr>
                <w:rFonts w:ascii="宋体" w:hAnsi="宋体"/>
                <w:i/>
                <w:sz w:val="18"/>
                <w:szCs w:val="18"/>
              </w:rPr>
              <w:t>L</w:t>
            </w:r>
            <w:r w:rsidRPr="00765F6E">
              <w:rPr>
                <w:rFonts w:ascii="宋体" w:hAnsi="宋体"/>
                <w:sz w:val="18"/>
                <w:szCs w:val="18"/>
              </w:rPr>
              <w:t>/1350</w:t>
            </w:r>
          </w:p>
        </w:tc>
        <w:tc>
          <w:tcPr>
            <w:tcW w:w="1243" w:type="pct"/>
            <w:tcBorders>
              <w:top w:val="single" w:sz="4" w:space="0" w:color="auto"/>
              <w:left w:val="single" w:sz="4" w:space="0" w:color="auto"/>
              <w:bottom w:val="single" w:sz="4" w:space="0" w:color="auto"/>
              <w:right w:val="single" w:sz="4" w:space="0" w:color="auto"/>
            </w:tcBorders>
            <w:shd w:val="clear" w:color="auto" w:fill="auto"/>
            <w:vAlign w:val="center"/>
          </w:tcPr>
          <w:p w14:paraId="0BE1EDF1" w14:textId="77777777" w:rsidR="00D27233" w:rsidRPr="00765F6E" w:rsidRDefault="00D27233" w:rsidP="00D27233">
            <w:pPr>
              <w:spacing w:line="240" w:lineRule="auto"/>
              <w:jc w:val="center"/>
              <w:textAlignment w:val="center"/>
              <w:rPr>
                <w:rFonts w:ascii="宋体" w:hAnsi="宋体"/>
                <w:sz w:val="18"/>
                <w:szCs w:val="18"/>
              </w:rPr>
            </w:pPr>
            <w:r w:rsidRPr="00765F6E">
              <w:rPr>
                <w:rFonts w:ascii="宋体" w:hAnsi="宋体"/>
                <w:i/>
                <w:sz w:val="18"/>
                <w:szCs w:val="18"/>
              </w:rPr>
              <w:t>L</w:t>
            </w:r>
            <w:r w:rsidRPr="00765F6E">
              <w:rPr>
                <w:rFonts w:ascii="宋体" w:hAnsi="宋体"/>
                <w:sz w:val="18"/>
                <w:szCs w:val="18"/>
              </w:rPr>
              <w:t>/1100</w:t>
            </w:r>
          </w:p>
        </w:tc>
        <w:tc>
          <w:tcPr>
            <w:tcW w:w="1180" w:type="pct"/>
            <w:tcBorders>
              <w:top w:val="single" w:sz="4" w:space="0" w:color="auto"/>
              <w:left w:val="single" w:sz="4" w:space="0" w:color="auto"/>
              <w:bottom w:val="single" w:sz="4" w:space="0" w:color="auto"/>
              <w:right w:val="single" w:sz="8" w:space="0" w:color="auto"/>
            </w:tcBorders>
            <w:shd w:val="clear" w:color="auto" w:fill="auto"/>
            <w:vAlign w:val="center"/>
          </w:tcPr>
          <w:p w14:paraId="7571ED9F" w14:textId="77777777" w:rsidR="00D27233" w:rsidRPr="00765F6E" w:rsidRDefault="00D27233" w:rsidP="00D27233">
            <w:pPr>
              <w:spacing w:line="240" w:lineRule="auto"/>
              <w:jc w:val="center"/>
              <w:textAlignment w:val="center"/>
              <w:rPr>
                <w:rFonts w:ascii="宋体" w:hAnsi="宋体"/>
                <w:sz w:val="18"/>
                <w:szCs w:val="18"/>
              </w:rPr>
            </w:pPr>
            <w:r w:rsidRPr="00765F6E">
              <w:rPr>
                <w:rFonts w:ascii="宋体" w:hAnsi="宋体"/>
                <w:i/>
                <w:sz w:val="18"/>
                <w:szCs w:val="18"/>
              </w:rPr>
              <w:t>L</w:t>
            </w:r>
            <w:r w:rsidRPr="00765F6E">
              <w:rPr>
                <w:rFonts w:ascii="宋体" w:hAnsi="宋体"/>
                <w:sz w:val="18"/>
                <w:szCs w:val="18"/>
              </w:rPr>
              <w:t>/1100</w:t>
            </w:r>
          </w:p>
        </w:tc>
      </w:tr>
      <w:tr w:rsidR="00D27233" w:rsidRPr="00765F6E" w14:paraId="3135ED7A" w14:textId="77777777" w:rsidTr="00871D47">
        <w:trPr>
          <w:trHeight w:val="176"/>
          <w:jc w:val="center"/>
        </w:trPr>
        <w:tc>
          <w:tcPr>
            <w:tcW w:w="5000" w:type="pct"/>
            <w:gridSpan w:val="4"/>
            <w:tcBorders>
              <w:top w:val="single" w:sz="8" w:space="0" w:color="auto"/>
              <w:left w:val="single" w:sz="8" w:space="0" w:color="auto"/>
              <w:bottom w:val="single" w:sz="8" w:space="0" w:color="auto"/>
              <w:right w:val="single" w:sz="8" w:space="0" w:color="auto"/>
            </w:tcBorders>
            <w:shd w:val="clear" w:color="auto" w:fill="auto"/>
            <w:vAlign w:val="center"/>
          </w:tcPr>
          <w:p w14:paraId="11795246" w14:textId="77777777" w:rsidR="00D27233" w:rsidRPr="00765F6E" w:rsidRDefault="00D27233" w:rsidP="00D27233">
            <w:pPr>
              <w:pStyle w:val="a6"/>
              <w:numPr>
                <w:ilvl w:val="0"/>
                <w:numId w:val="0"/>
              </w:numPr>
              <w:ind w:firstLineChars="100" w:firstLine="180"/>
            </w:pPr>
            <w:r w:rsidRPr="00765F6E">
              <w:t>表中限值适用于3跨及以上的双线简支梁；对于3跨及以上一联的连续梁，梁体竖向挠度限值应按表中数值的1.1倍取用；对于2跨一联的连续梁、2跨及以下的双线简支梁，梁体竖向挠度限值应按表中数值的1.4倍取用。</w:t>
            </w:r>
          </w:p>
          <w:p w14:paraId="76560F35" w14:textId="77777777" w:rsidR="00D27233" w:rsidRPr="00765F6E" w:rsidRDefault="00D27233" w:rsidP="00D27233">
            <w:pPr>
              <w:pStyle w:val="a6"/>
              <w:numPr>
                <w:ilvl w:val="0"/>
                <w:numId w:val="0"/>
              </w:numPr>
              <w:ind w:firstLineChars="100" w:firstLine="180"/>
            </w:pPr>
            <w:r w:rsidRPr="00765F6E">
              <w:t>对于单线简支或连续梁，梁体竖向挠度限值应按相应双线桥限值的0.6倍取用。</w:t>
            </w:r>
          </w:p>
          <w:p w14:paraId="5E9264E7" w14:textId="77777777" w:rsidR="00D27233" w:rsidRPr="00765F6E" w:rsidRDefault="00D27233" w:rsidP="00D27233">
            <w:pPr>
              <w:pStyle w:val="a6"/>
              <w:numPr>
                <w:ilvl w:val="0"/>
                <w:numId w:val="0"/>
              </w:numPr>
              <w:tabs>
                <w:tab w:val="left" w:pos="851"/>
              </w:tabs>
              <w:ind w:left="363"/>
            </w:pPr>
            <w:r w:rsidRPr="00765F6E">
              <w:rPr>
                <w:rFonts w:ascii="黑体" w:eastAsia="黑体" w:hAnsi="黑体" w:hint="eastAsia"/>
              </w:rPr>
              <w:t>注：</w:t>
            </w:r>
            <w:r w:rsidRPr="00765F6E">
              <w:t>表中的L为简支梁或连续梁检算跨的跨度。</w:t>
            </w:r>
          </w:p>
        </w:tc>
      </w:tr>
    </w:tbl>
    <w:p w14:paraId="7CE428F3" w14:textId="77777777" w:rsidR="00737EB2" w:rsidRPr="00765F6E" w:rsidRDefault="00737EB2" w:rsidP="00737EB2">
      <w:pPr>
        <w:spacing w:line="240" w:lineRule="auto"/>
      </w:pPr>
    </w:p>
    <w:p w14:paraId="5803E4FE" w14:textId="19FD29D8" w:rsidR="00737EB2" w:rsidRPr="00765F6E" w:rsidRDefault="00737EB2" w:rsidP="003334F3">
      <w:pPr>
        <w:pStyle w:val="af6"/>
        <w:numPr>
          <w:ilvl w:val="0"/>
          <w:numId w:val="100"/>
        </w:numPr>
        <w:tabs>
          <w:tab w:val="left" w:pos="851"/>
        </w:tabs>
        <w:snapToGrid w:val="0"/>
        <w:contextualSpacing/>
      </w:pPr>
      <w:r w:rsidRPr="00765F6E">
        <w:rPr>
          <w:rFonts w:hint="eastAsia"/>
        </w:rPr>
        <w:t>拱桥、刚架及连续梁桥等超静定结构的竖向挠度宜考虑温度的影响。竖向挠度按下列最不利情况取值，并应满足表</w:t>
      </w:r>
      <w:r w:rsidRPr="00765F6E">
        <w:t>47</w:t>
      </w:r>
      <w:r w:rsidRPr="00765F6E">
        <w:rPr>
          <w:rFonts w:hint="eastAsia"/>
        </w:rPr>
        <w:t>所列限值要求</w:t>
      </w:r>
      <w:r w:rsidR="009C0DC4">
        <w:rPr>
          <w:rFonts w:hint="eastAsia"/>
        </w:rPr>
        <w:t>：</w:t>
      </w:r>
    </w:p>
    <w:p w14:paraId="2874C1B6" w14:textId="77777777" w:rsidR="00737EB2" w:rsidRPr="00765F6E" w:rsidRDefault="00737EB2" w:rsidP="003334F3">
      <w:pPr>
        <w:pStyle w:val="af7"/>
        <w:numPr>
          <w:ilvl w:val="1"/>
          <w:numId w:val="101"/>
        </w:numPr>
        <w:tabs>
          <w:tab w:val="left" w:pos="851"/>
          <w:tab w:val="left" w:pos="1276"/>
        </w:tabs>
      </w:pPr>
      <w:r w:rsidRPr="00765F6E">
        <w:rPr>
          <w:rFonts w:hint="eastAsia"/>
        </w:rPr>
        <w:t>列车竖向静荷载作用下产生的挠度值与0.5倍温度引起的挠度值之和；</w:t>
      </w:r>
    </w:p>
    <w:p w14:paraId="22382A00" w14:textId="77777777" w:rsidR="00737EB2" w:rsidRPr="00765F6E" w:rsidRDefault="00737EB2" w:rsidP="003334F3">
      <w:pPr>
        <w:pStyle w:val="af7"/>
        <w:numPr>
          <w:ilvl w:val="1"/>
          <w:numId w:val="101"/>
        </w:numPr>
        <w:tabs>
          <w:tab w:val="left" w:pos="851"/>
          <w:tab w:val="left" w:pos="1276"/>
        </w:tabs>
      </w:pPr>
      <w:r w:rsidRPr="00765F6E">
        <w:rPr>
          <w:rFonts w:hint="eastAsia"/>
        </w:rPr>
        <w:t>0.63倍列车竖向静活载作用下产生的挠度值与全部温度引起的挠度值之和。</w:t>
      </w:r>
    </w:p>
    <w:p w14:paraId="5FB01565" w14:textId="77777777" w:rsidR="00737EB2" w:rsidRPr="00765F6E" w:rsidRDefault="00737EB2" w:rsidP="00737EB2">
      <w:pPr>
        <w:pStyle w:val="af6"/>
        <w:tabs>
          <w:tab w:val="left" w:pos="851"/>
        </w:tabs>
        <w:snapToGrid w:val="0"/>
        <w:contextualSpacing/>
      </w:pPr>
      <w:r w:rsidRPr="00765F6E">
        <w:rPr>
          <w:rFonts w:hint="eastAsia"/>
        </w:rPr>
        <w:t>无砟轨道桥面预应力混凝土梁，轨道铺设完成后竖向残余徐变变形应符合下列规定：</w:t>
      </w:r>
    </w:p>
    <w:p w14:paraId="0131A3E7" w14:textId="77777777" w:rsidR="00737EB2" w:rsidRPr="00765F6E" w:rsidRDefault="00737EB2" w:rsidP="003334F3">
      <w:pPr>
        <w:pStyle w:val="af7"/>
        <w:numPr>
          <w:ilvl w:val="1"/>
          <w:numId w:val="102"/>
        </w:numPr>
        <w:tabs>
          <w:tab w:val="left" w:pos="851"/>
          <w:tab w:val="left" w:pos="1276"/>
        </w:tabs>
      </w:pPr>
      <w:r w:rsidRPr="00765F6E">
        <w:rPr>
          <w:rFonts w:hint="eastAsia"/>
        </w:rPr>
        <w:t>当跨度小于等于50m时，竖向变形不应大于10mm；</w:t>
      </w:r>
    </w:p>
    <w:p w14:paraId="68699115" w14:textId="77777777" w:rsidR="00737EB2" w:rsidRPr="00765F6E" w:rsidRDefault="00737EB2" w:rsidP="003334F3">
      <w:pPr>
        <w:pStyle w:val="af7"/>
        <w:numPr>
          <w:ilvl w:val="1"/>
          <w:numId w:val="102"/>
        </w:numPr>
        <w:tabs>
          <w:tab w:val="left" w:pos="851"/>
          <w:tab w:val="left" w:pos="1276"/>
        </w:tabs>
      </w:pPr>
      <w:r w:rsidRPr="00765F6E">
        <w:rPr>
          <w:rFonts w:hint="eastAsia"/>
        </w:rPr>
        <w:t>当跨度大于50m时，竖向变形不应大于</w:t>
      </w:r>
      <w:r w:rsidRPr="00765F6E">
        <w:rPr>
          <w:i/>
        </w:rPr>
        <w:t>L</w:t>
      </w:r>
      <w:r w:rsidRPr="00765F6E">
        <w:rPr>
          <w:rFonts w:hint="eastAsia"/>
        </w:rPr>
        <w:t>/5000（</w:t>
      </w:r>
      <w:r w:rsidRPr="00765F6E">
        <w:rPr>
          <w:i/>
        </w:rPr>
        <w:t>L</w:t>
      </w:r>
      <w:r w:rsidRPr="00765F6E">
        <w:rPr>
          <w:rFonts w:hint="eastAsia"/>
        </w:rPr>
        <w:t>为梁跨度）且不应大于20mm。</w:t>
      </w:r>
    </w:p>
    <w:p w14:paraId="34EFCD5D" w14:textId="77777777" w:rsidR="00737EB2" w:rsidRPr="00765F6E" w:rsidRDefault="00737EB2" w:rsidP="00737EB2">
      <w:pPr>
        <w:pStyle w:val="af6"/>
        <w:tabs>
          <w:tab w:val="left" w:pos="851"/>
        </w:tabs>
        <w:snapToGrid w:val="0"/>
        <w:contextualSpacing/>
      </w:pPr>
      <w:r w:rsidRPr="00765F6E">
        <w:rPr>
          <w:rFonts w:hint="eastAsia"/>
        </w:rPr>
        <w:lastRenderedPageBreak/>
        <w:t>有砟轨道桥面预应力混凝土梁，轨道铺设完成后竖向残余徐变变形不应大于20mm。</w:t>
      </w:r>
    </w:p>
    <w:p w14:paraId="6EA63BF4" w14:textId="77777777" w:rsidR="00737EB2" w:rsidRPr="00765F6E" w:rsidRDefault="00737EB2" w:rsidP="009D0776">
      <w:pPr>
        <w:pStyle w:val="22"/>
      </w:pPr>
      <w:bookmarkStart w:id="1310" w:name="_Toc153291333"/>
      <w:bookmarkStart w:id="1311" w:name="_Toc99791902"/>
      <w:r w:rsidRPr="00765F6E">
        <w:rPr>
          <w:rFonts w:hint="eastAsia"/>
        </w:rPr>
        <w:t>梁体横向变形的限值应符合下列规定：</w:t>
      </w:r>
      <w:bookmarkEnd w:id="1310"/>
      <w:bookmarkEnd w:id="1311"/>
    </w:p>
    <w:p w14:paraId="7A56F14E" w14:textId="77777777" w:rsidR="00737EB2" w:rsidRPr="00765F6E" w:rsidRDefault="00737EB2" w:rsidP="003334F3">
      <w:pPr>
        <w:pStyle w:val="af6"/>
        <w:numPr>
          <w:ilvl w:val="0"/>
          <w:numId w:val="103"/>
        </w:numPr>
        <w:tabs>
          <w:tab w:val="left" w:pos="851"/>
        </w:tabs>
        <w:snapToGrid w:val="0"/>
        <w:contextualSpacing/>
      </w:pPr>
      <w:r w:rsidRPr="00765F6E">
        <w:rPr>
          <w:rFonts w:hint="eastAsia"/>
        </w:rPr>
        <w:t>在列车横向摇摆力、离心力、风力和温度的作用下，梁体的水平挠度不应大于梁体计算跨度的1/4000；</w:t>
      </w:r>
    </w:p>
    <w:p w14:paraId="74742C4D" w14:textId="77777777" w:rsidR="00737EB2" w:rsidRPr="00765F6E" w:rsidRDefault="00737EB2" w:rsidP="003334F3">
      <w:pPr>
        <w:pStyle w:val="af6"/>
        <w:numPr>
          <w:ilvl w:val="0"/>
          <w:numId w:val="103"/>
        </w:numPr>
        <w:tabs>
          <w:tab w:val="left" w:pos="851"/>
        </w:tabs>
        <w:snapToGrid w:val="0"/>
        <w:contextualSpacing/>
      </w:pPr>
      <w:r w:rsidRPr="00765F6E">
        <w:rPr>
          <w:rFonts w:hint="eastAsia"/>
        </w:rPr>
        <w:t>在列车横向摇摆力、离心力、风力和温度的作用下，无砟轨道桥梁相邻梁端两侧的钢轨支点处横向相对位移不应大于1mm。</w:t>
      </w:r>
    </w:p>
    <w:p w14:paraId="27D486A0" w14:textId="77777777" w:rsidR="00737EB2" w:rsidRPr="00765F6E" w:rsidRDefault="00737EB2" w:rsidP="009D0776">
      <w:pPr>
        <w:pStyle w:val="22"/>
      </w:pPr>
      <w:bookmarkStart w:id="1312" w:name="_Toc153291334"/>
      <w:bookmarkStart w:id="1313" w:name="_Toc99791903"/>
      <w:r w:rsidRPr="00765F6E">
        <w:t>列车竖向静</w:t>
      </w:r>
      <w:r w:rsidRPr="00765F6E">
        <w:rPr>
          <w:rFonts w:hint="eastAsia"/>
        </w:rPr>
        <w:t>荷载</w:t>
      </w:r>
      <w:r w:rsidRPr="00765F6E">
        <w:t>作用下梁体扭转引起的轨面不平顺限值，在3m长的线路范围一线两根钢轨的竖向相对变形量限值应符合下列规定：</w:t>
      </w:r>
      <w:bookmarkEnd w:id="1312"/>
      <w:bookmarkEnd w:id="1313"/>
    </w:p>
    <w:p w14:paraId="1F3D7D52" w14:textId="4FE9E669" w:rsidR="00737EB2" w:rsidRPr="00552DCE" w:rsidRDefault="00552DCE" w:rsidP="003334F3">
      <w:pPr>
        <w:pStyle w:val="af6"/>
        <w:numPr>
          <w:ilvl w:val="0"/>
          <w:numId w:val="104"/>
        </w:numPr>
        <w:tabs>
          <w:tab w:val="left" w:pos="851"/>
        </w:tabs>
        <w:snapToGrid w:val="0"/>
        <w:contextualSpacing/>
      </w:pPr>
      <w:r w:rsidRPr="00BF0BA3">
        <w:rPr>
          <w:rFonts w:hint="eastAsia"/>
        </w:rPr>
        <w:t>当设计速度为140km/h、160km/h时，竖向相对变形量不应大于3.7mm</w:t>
      </w:r>
      <w:r w:rsidR="00737EB2" w:rsidRPr="00552DCE">
        <w:rPr>
          <w:rFonts w:hint="eastAsia"/>
        </w:rPr>
        <w:t>；</w:t>
      </w:r>
    </w:p>
    <w:p w14:paraId="14FD7A6C" w14:textId="6298B28B" w:rsidR="00737EB2" w:rsidRPr="00765F6E" w:rsidRDefault="00552DCE" w:rsidP="003334F3">
      <w:pPr>
        <w:pStyle w:val="af6"/>
        <w:numPr>
          <w:ilvl w:val="0"/>
          <w:numId w:val="104"/>
        </w:numPr>
        <w:tabs>
          <w:tab w:val="left" w:pos="851"/>
        </w:tabs>
        <w:snapToGrid w:val="0"/>
        <w:contextualSpacing/>
      </w:pPr>
      <w:r w:rsidRPr="00BF0BA3">
        <w:rPr>
          <w:rFonts w:hint="eastAsia"/>
        </w:rPr>
        <w:t>当设计速度为120km/h时，竖向相对变形量不应大于4.5mm</w:t>
      </w:r>
      <w:r w:rsidR="00737EB2" w:rsidRPr="00765F6E">
        <w:rPr>
          <w:rFonts w:hint="eastAsia"/>
        </w:rPr>
        <w:t>。</w:t>
      </w:r>
    </w:p>
    <w:p w14:paraId="5B4E4D96" w14:textId="5390DF08" w:rsidR="00737EB2" w:rsidRPr="00765F6E" w:rsidRDefault="00737EB2" w:rsidP="009D0776">
      <w:pPr>
        <w:pStyle w:val="22"/>
      </w:pPr>
      <w:bookmarkStart w:id="1314" w:name="_Toc99791904"/>
      <w:bookmarkStart w:id="1315" w:name="_Toc153291335"/>
      <w:r w:rsidRPr="00765F6E">
        <w:t>简支梁竖向基频不应低于表</w:t>
      </w:r>
      <w:r w:rsidR="00B731DB">
        <w:t>50</w:t>
      </w:r>
      <w:r w:rsidRPr="00765F6E">
        <w:t>规定的限值</w:t>
      </w:r>
      <w:r w:rsidRPr="00765F6E">
        <w:rPr>
          <w:rFonts w:hint="eastAsia"/>
        </w:rPr>
        <w:t>。</w:t>
      </w:r>
      <w:bookmarkEnd w:id="1314"/>
      <w:bookmarkEnd w:id="1315"/>
    </w:p>
    <w:p w14:paraId="660350DA" w14:textId="77777777" w:rsidR="00737EB2" w:rsidRPr="00765F6E" w:rsidRDefault="00737EB2" w:rsidP="00737EB2">
      <w:pPr>
        <w:pStyle w:val="aff3"/>
        <w:spacing w:before="156" w:after="156"/>
      </w:pPr>
      <w:r w:rsidRPr="00765F6E">
        <w:rPr>
          <w:rFonts w:hint="eastAsia"/>
        </w:rPr>
        <w:t>简支梁竖向基频限值</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top w:w="15" w:type="dxa"/>
          <w:left w:w="0" w:type="dxa"/>
          <w:bottom w:w="15" w:type="dxa"/>
          <w:right w:w="0" w:type="dxa"/>
        </w:tblCellMar>
        <w:tblLook w:val="04A0" w:firstRow="1" w:lastRow="0" w:firstColumn="1" w:lastColumn="0" w:noHBand="0" w:noVBand="1"/>
      </w:tblPr>
      <w:tblGrid>
        <w:gridCol w:w="2630"/>
        <w:gridCol w:w="3295"/>
        <w:gridCol w:w="3409"/>
      </w:tblGrid>
      <w:tr w:rsidR="00737EB2" w:rsidRPr="00765F6E" w14:paraId="41CB2E83" w14:textId="77777777" w:rsidTr="00871D47">
        <w:trPr>
          <w:trHeight w:val="176"/>
          <w:jc w:val="center"/>
        </w:trPr>
        <w:tc>
          <w:tcPr>
            <w:tcW w:w="1409" w:type="pct"/>
            <w:tcBorders>
              <w:top w:val="single" w:sz="8" w:space="0" w:color="auto"/>
              <w:bottom w:val="single" w:sz="8" w:space="0" w:color="auto"/>
            </w:tcBorders>
            <w:shd w:val="clear" w:color="auto" w:fill="auto"/>
            <w:vAlign w:val="center"/>
          </w:tcPr>
          <w:p w14:paraId="2841A17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序号</w:t>
            </w:r>
          </w:p>
        </w:tc>
        <w:tc>
          <w:tcPr>
            <w:tcW w:w="1765" w:type="pct"/>
            <w:tcBorders>
              <w:top w:val="single" w:sz="8" w:space="0" w:color="auto"/>
              <w:bottom w:val="single" w:sz="8" w:space="0" w:color="auto"/>
            </w:tcBorders>
            <w:shd w:val="clear" w:color="auto" w:fill="auto"/>
            <w:vAlign w:val="center"/>
          </w:tcPr>
          <w:p w14:paraId="78DC767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跨度/m</w:t>
            </w:r>
          </w:p>
        </w:tc>
        <w:tc>
          <w:tcPr>
            <w:tcW w:w="1826" w:type="pct"/>
            <w:tcBorders>
              <w:top w:val="single" w:sz="8" w:space="0" w:color="auto"/>
              <w:bottom w:val="single" w:sz="8" w:space="0" w:color="auto"/>
            </w:tcBorders>
            <w:shd w:val="clear" w:color="auto" w:fill="auto"/>
            <w:vAlign w:val="center"/>
          </w:tcPr>
          <w:p w14:paraId="3CB9DFC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限值/Hz</w:t>
            </w:r>
          </w:p>
        </w:tc>
      </w:tr>
      <w:tr w:rsidR="00737EB2" w:rsidRPr="00765F6E" w14:paraId="0C9A26C0" w14:textId="77777777" w:rsidTr="00871D47">
        <w:trPr>
          <w:trHeight w:val="176"/>
          <w:jc w:val="center"/>
        </w:trPr>
        <w:tc>
          <w:tcPr>
            <w:tcW w:w="1409" w:type="pct"/>
            <w:tcBorders>
              <w:top w:val="single" w:sz="8" w:space="0" w:color="auto"/>
            </w:tcBorders>
            <w:shd w:val="clear" w:color="auto" w:fill="auto"/>
            <w:vAlign w:val="center"/>
          </w:tcPr>
          <w:p w14:paraId="2AC4212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w:t>
            </w:r>
          </w:p>
        </w:tc>
        <w:tc>
          <w:tcPr>
            <w:tcW w:w="1765" w:type="pct"/>
            <w:tcBorders>
              <w:top w:val="single" w:sz="8" w:space="0" w:color="auto"/>
            </w:tcBorders>
            <w:shd w:val="clear" w:color="auto" w:fill="auto"/>
            <w:vAlign w:val="center"/>
          </w:tcPr>
          <w:p w14:paraId="413956B2"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i/>
                <w:sz w:val="18"/>
                <w:szCs w:val="18"/>
              </w:rPr>
              <w:t>L</w:t>
            </w:r>
            <w:r w:rsidRPr="00765F6E">
              <w:rPr>
                <w:rFonts w:ascii="宋体" w:hAnsi="宋体" w:hint="eastAsia"/>
                <w:sz w:val="18"/>
                <w:szCs w:val="18"/>
              </w:rPr>
              <w:t>≤20</w:t>
            </w:r>
          </w:p>
        </w:tc>
        <w:tc>
          <w:tcPr>
            <w:tcW w:w="1826" w:type="pct"/>
            <w:tcBorders>
              <w:top w:val="single" w:sz="8" w:space="0" w:color="auto"/>
            </w:tcBorders>
            <w:shd w:val="clear" w:color="auto" w:fill="auto"/>
            <w:vAlign w:val="center"/>
          </w:tcPr>
          <w:p w14:paraId="4FBFCFF7"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80/</w:t>
            </w:r>
            <w:r w:rsidRPr="00765F6E">
              <w:rPr>
                <w:rFonts w:ascii="宋体" w:hAnsi="宋体"/>
                <w:i/>
                <w:sz w:val="18"/>
                <w:szCs w:val="18"/>
              </w:rPr>
              <w:t>L</w:t>
            </w:r>
          </w:p>
        </w:tc>
      </w:tr>
      <w:tr w:rsidR="00737EB2" w:rsidRPr="00765F6E" w14:paraId="1BFF991E" w14:textId="77777777" w:rsidTr="00871D47">
        <w:trPr>
          <w:trHeight w:val="176"/>
          <w:jc w:val="center"/>
        </w:trPr>
        <w:tc>
          <w:tcPr>
            <w:tcW w:w="1409" w:type="pct"/>
            <w:shd w:val="clear" w:color="auto" w:fill="auto"/>
            <w:vAlign w:val="center"/>
          </w:tcPr>
          <w:p w14:paraId="10CD5C6F"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w:t>
            </w:r>
          </w:p>
        </w:tc>
        <w:tc>
          <w:tcPr>
            <w:tcW w:w="1765" w:type="pct"/>
            <w:shd w:val="clear" w:color="auto" w:fill="auto"/>
            <w:vAlign w:val="center"/>
          </w:tcPr>
          <w:p w14:paraId="315FC925"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20&lt;</w:t>
            </w:r>
            <w:r w:rsidRPr="00765F6E">
              <w:rPr>
                <w:rFonts w:ascii="宋体" w:hAnsi="宋体"/>
                <w:i/>
                <w:sz w:val="18"/>
                <w:szCs w:val="18"/>
              </w:rPr>
              <w:t>L</w:t>
            </w:r>
            <w:r w:rsidRPr="00765F6E">
              <w:rPr>
                <w:rFonts w:ascii="宋体" w:hAnsi="宋体" w:hint="eastAsia"/>
                <w:sz w:val="18"/>
                <w:szCs w:val="18"/>
              </w:rPr>
              <w:t>≤</w:t>
            </w:r>
            <w:r w:rsidRPr="00765F6E">
              <w:rPr>
                <w:rFonts w:ascii="宋体" w:hAnsi="宋体"/>
                <w:sz w:val="18"/>
                <w:szCs w:val="18"/>
              </w:rPr>
              <w:t>128</w:t>
            </w:r>
          </w:p>
        </w:tc>
        <w:tc>
          <w:tcPr>
            <w:tcW w:w="1826" w:type="pct"/>
            <w:shd w:val="clear" w:color="auto" w:fill="auto"/>
            <w:vAlign w:val="center"/>
          </w:tcPr>
          <w:p w14:paraId="42B45A79"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23.58</w:t>
            </w:r>
            <w:r w:rsidRPr="00765F6E">
              <w:rPr>
                <w:rFonts w:ascii="宋体" w:hAnsi="宋体"/>
                <w:i/>
                <w:sz w:val="18"/>
                <w:szCs w:val="18"/>
              </w:rPr>
              <w:t>L</w:t>
            </w:r>
            <w:r w:rsidRPr="00765F6E">
              <w:rPr>
                <w:rFonts w:ascii="宋体" w:hAnsi="宋体"/>
                <w:sz w:val="18"/>
                <w:szCs w:val="18"/>
                <w:vertAlign w:val="superscript"/>
              </w:rPr>
              <w:t>-0.592</w:t>
            </w:r>
          </w:p>
        </w:tc>
      </w:tr>
      <w:tr w:rsidR="00737EB2" w:rsidRPr="00765F6E" w14:paraId="582D7439" w14:textId="77777777" w:rsidTr="00871D47">
        <w:trPr>
          <w:trHeight w:val="176"/>
          <w:jc w:val="center"/>
        </w:trPr>
        <w:tc>
          <w:tcPr>
            <w:tcW w:w="5000" w:type="pct"/>
            <w:gridSpan w:val="3"/>
            <w:tcBorders>
              <w:top w:val="single" w:sz="8" w:space="0" w:color="auto"/>
              <w:bottom w:val="single" w:sz="8" w:space="0" w:color="auto"/>
            </w:tcBorders>
            <w:shd w:val="clear" w:color="auto" w:fill="auto"/>
            <w:vAlign w:val="center"/>
          </w:tcPr>
          <w:p w14:paraId="37A1E07A" w14:textId="77777777" w:rsidR="00737EB2" w:rsidRPr="00765F6E" w:rsidRDefault="00737EB2" w:rsidP="00737EB2">
            <w:pPr>
              <w:pStyle w:val="afff2"/>
              <w:ind w:left="584"/>
              <w:rPr>
                <w:lang w:bidi="ar"/>
              </w:rPr>
            </w:pPr>
            <w:r w:rsidRPr="00765F6E">
              <w:rPr>
                <w:lang w:bidi="ar"/>
              </w:rPr>
              <w:t>表中L为简支梁计算跨度。</w:t>
            </w:r>
          </w:p>
        </w:tc>
      </w:tr>
    </w:tbl>
    <w:p w14:paraId="62D0889F" w14:textId="77777777" w:rsidR="00737EB2" w:rsidRPr="00765F6E" w:rsidRDefault="00737EB2" w:rsidP="00737EB2">
      <w:pPr>
        <w:spacing w:line="240" w:lineRule="auto"/>
      </w:pPr>
    </w:p>
    <w:p w14:paraId="75161466" w14:textId="77777777" w:rsidR="00737EB2" w:rsidRPr="00765F6E" w:rsidRDefault="00737EB2" w:rsidP="009D0776">
      <w:pPr>
        <w:pStyle w:val="22"/>
      </w:pPr>
      <w:bookmarkStart w:id="1316" w:name="_Toc153291336"/>
      <w:bookmarkStart w:id="1317" w:name="_Toc99791905"/>
      <w:r w:rsidRPr="00765F6E">
        <w:rPr>
          <w:rFonts w:hint="eastAsia"/>
        </w:rPr>
        <w:t>跨度大于1</w:t>
      </w:r>
      <w:r w:rsidRPr="00765F6E">
        <w:t>28</w:t>
      </w:r>
      <w:r w:rsidRPr="00765F6E">
        <w:rPr>
          <w:rFonts w:hint="eastAsia"/>
        </w:rPr>
        <w:t>m混凝土梁和跨度大于1</w:t>
      </w:r>
      <w:r w:rsidRPr="00765F6E">
        <w:t>68</w:t>
      </w:r>
      <w:r w:rsidRPr="00765F6E">
        <w:rPr>
          <w:rFonts w:hint="eastAsia"/>
        </w:rPr>
        <w:t>m的钢梁以及墩高大于5</w:t>
      </w:r>
      <w:r w:rsidRPr="00765F6E">
        <w:t>0</w:t>
      </w:r>
      <w:r w:rsidRPr="00765F6E">
        <w:rPr>
          <w:rFonts w:hint="eastAsia"/>
        </w:rPr>
        <w:t>m的桥梁，其设计刚度和动力参数的要求要结合车桥耦合振动分析的结果确定，车桥耦合动力响应指标符合下列规定：</w:t>
      </w:r>
      <w:bookmarkEnd w:id="1316"/>
      <w:bookmarkEnd w:id="1317"/>
    </w:p>
    <w:p w14:paraId="6B1988AF" w14:textId="17065A36" w:rsidR="00737EB2" w:rsidRPr="00765F6E" w:rsidRDefault="00737EB2" w:rsidP="003334F3">
      <w:pPr>
        <w:pStyle w:val="af6"/>
        <w:numPr>
          <w:ilvl w:val="0"/>
          <w:numId w:val="105"/>
        </w:numPr>
        <w:tabs>
          <w:tab w:val="left" w:pos="851"/>
        </w:tabs>
        <w:snapToGrid w:val="0"/>
        <w:contextualSpacing/>
      </w:pPr>
      <w:r w:rsidRPr="00765F6E">
        <w:rPr>
          <w:rFonts w:hint="eastAsia"/>
        </w:rPr>
        <w:t>脱轨系数Q/P不应大于0.8</w:t>
      </w:r>
      <w:r w:rsidR="00552DCE">
        <w:rPr>
          <w:rFonts w:hint="eastAsia"/>
        </w:rPr>
        <w:t>；</w:t>
      </w:r>
    </w:p>
    <w:p w14:paraId="4D9D96B0" w14:textId="2386F1E7" w:rsidR="00737EB2" w:rsidRPr="00765F6E" w:rsidRDefault="00737EB2" w:rsidP="003334F3">
      <w:pPr>
        <w:pStyle w:val="af6"/>
        <w:numPr>
          <w:ilvl w:val="0"/>
          <w:numId w:val="105"/>
        </w:numPr>
        <w:tabs>
          <w:tab w:val="left" w:pos="851"/>
        </w:tabs>
        <w:snapToGrid w:val="0"/>
        <w:contextualSpacing/>
      </w:pPr>
      <w:r w:rsidRPr="00765F6E">
        <w:rPr>
          <w:rFonts w:hint="eastAsia"/>
        </w:rPr>
        <w:t>轮重减载率△P/P不应大于0.6</w:t>
      </w:r>
      <w:r w:rsidR="009C0DC4">
        <w:rPr>
          <w:rFonts w:hint="eastAsia"/>
        </w:rPr>
        <w:t>；</w:t>
      </w:r>
    </w:p>
    <w:p w14:paraId="31AAB42E" w14:textId="25CCC369" w:rsidR="00737EB2" w:rsidRPr="00765F6E" w:rsidRDefault="00737EB2" w:rsidP="003334F3">
      <w:pPr>
        <w:pStyle w:val="af6"/>
        <w:numPr>
          <w:ilvl w:val="0"/>
          <w:numId w:val="105"/>
        </w:numPr>
        <w:tabs>
          <w:tab w:val="left" w:pos="851"/>
        </w:tabs>
        <w:snapToGrid w:val="0"/>
        <w:contextualSpacing/>
      </w:pPr>
      <w:r w:rsidRPr="00765F6E">
        <w:rPr>
          <w:rFonts w:hint="eastAsia"/>
        </w:rPr>
        <w:t>轮对横向水平力Q不应大于（10+P</w:t>
      </w:r>
      <w:r w:rsidRPr="00765F6E">
        <w:rPr>
          <w:rFonts w:hint="eastAsia"/>
          <w:vertAlign w:val="subscript"/>
        </w:rPr>
        <w:t>0</w:t>
      </w:r>
      <w:r w:rsidRPr="00765F6E">
        <w:rPr>
          <w:rFonts w:hint="eastAsia"/>
        </w:rPr>
        <w:t>/3）</w:t>
      </w:r>
      <w:proofErr w:type="spellStart"/>
      <w:r w:rsidRPr="00765F6E">
        <w:t>kN</w:t>
      </w:r>
      <w:proofErr w:type="spellEnd"/>
      <w:r w:rsidRPr="00765F6E">
        <w:rPr>
          <w:rFonts w:hint="eastAsia"/>
        </w:rPr>
        <w:t>，P</w:t>
      </w:r>
      <w:r w:rsidRPr="00765F6E">
        <w:rPr>
          <w:rFonts w:hint="eastAsia"/>
          <w:vertAlign w:val="subscript"/>
        </w:rPr>
        <w:t>0</w:t>
      </w:r>
      <w:r w:rsidRPr="00765F6E">
        <w:rPr>
          <w:rFonts w:hint="eastAsia"/>
        </w:rPr>
        <w:t>为静轴重</w:t>
      </w:r>
      <w:r w:rsidR="009C0DC4">
        <w:rPr>
          <w:rFonts w:hint="eastAsia"/>
        </w:rPr>
        <w:t>；</w:t>
      </w:r>
    </w:p>
    <w:p w14:paraId="7CCF252B" w14:textId="3475FF1D" w:rsidR="00737EB2" w:rsidRPr="00765F6E" w:rsidRDefault="00737EB2" w:rsidP="003334F3">
      <w:pPr>
        <w:pStyle w:val="af6"/>
        <w:numPr>
          <w:ilvl w:val="0"/>
          <w:numId w:val="105"/>
        </w:numPr>
        <w:tabs>
          <w:tab w:val="left" w:pos="851"/>
        </w:tabs>
        <w:snapToGrid w:val="0"/>
        <w:contextualSpacing/>
      </w:pPr>
      <w:r w:rsidRPr="00765F6E">
        <w:rPr>
          <w:rFonts w:hint="eastAsia"/>
        </w:rPr>
        <w:t>车体竖向振动加速度</w:t>
      </w:r>
      <w:proofErr w:type="spellStart"/>
      <w:r w:rsidRPr="00765F6E">
        <w:rPr>
          <w:rFonts w:hint="eastAsia"/>
        </w:rPr>
        <w:t>a</w:t>
      </w:r>
      <w:r w:rsidRPr="00765F6E">
        <w:rPr>
          <w:rFonts w:hint="eastAsia"/>
          <w:vertAlign w:val="subscript"/>
        </w:rPr>
        <w:t>z</w:t>
      </w:r>
      <w:proofErr w:type="spellEnd"/>
      <w:r w:rsidRPr="00765F6E">
        <w:rPr>
          <w:rFonts w:hint="eastAsia"/>
        </w:rPr>
        <w:t>不应大于1.3m/s</w:t>
      </w:r>
      <w:r w:rsidRPr="00765F6E">
        <w:rPr>
          <w:rFonts w:hint="eastAsia"/>
          <w:vertAlign w:val="superscript"/>
        </w:rPr>
        <w:t>2</w:t>
      </w:r>
      <w:r w:rsidRPr="00765F6E">
        <w:rPr>
          <w:rFonts w:hint="eastAsia"/>
        </w:rPr>
        <w:t>（半峰值）</w:t>
      </w:r>
      <w:r w:rsidR="009C0DC4">
        <w:rPr>
          <w:rFonts w:hint="eastAsia"/>
        </w:rPr>
        <w:t>；</w:t>
      </w:r>
    </w:p>
    <w:p w14:paraId="31D1E85F" w14:textId="6EDEC408" w:rsidR="00737EB2" w:rsidRPr="00765F6E" w:rsidRDefault="00737EB2" w:rsidP="003334F3">
      <w:pPr>
        <w:pStyle w:val="af6"/>
        <w:numPr>
          <w:ilvl w:val="0"/>
          <w:numId w:val="105"/>
        </w:numPr>
        <w:tabs>
          <w:tab w:val="left" w:pos="851"/>
        </w:tabs>
        <w:snapToGrid w:val="0"/>
        <w:contextualSpacing/>
      </w:pPr>
      <w:r w:rsidRPr="00765F6E">
        <w:rPr>
          <w:rFonts w:hint="eastAsia"/>
        </w:rPr>
        <w:t>车体横向振动加速度a</w:t>
      </w:r>
      <w:r w:rsidRPr="00765F6E">
        <w:rPr>
          <w:rFonts w:hint="eastAsia"/>
          <w:vertAlign w:val="subscript"/>
        </w:rPr>
        <w:t>y</w:t>
      </w:r>
      <w:r w:rsidRPr="00765F6E">
        <w:rPr>
          <w:rFonts w:hint="eastAsia"/>
        </w:rPr>
        <w:t>不应大于1.0m/s</w:t>
      </w:r>
      <w:r w:rsidRPr="00765F6E">
        <w:rPr>
          <w:rFonts w:hint="eastAsia"/>
          <w:vertAlign w:val="superscript"/>
        </w:rPr>
        <w:t>2</w:t>
      </w:r>
      <w:r w:rsidRPr="00765F6E">
        <w:rPr>
          <w:rFonts w:hint="eastAsia"/>
        </w:rPr>
        <w:t>（半峰值）</w:t>
      </w:r>
      <w:r w:rsidR="009C0DC4">
        <w:rPr>
          <w:rFonts w:hint="eastAsia"/>
        </w:rPr>
        <w:t>；</w:t>
      </w:r>
    </w:p>
    <w:p w14:paraId="5CCC40D4" w14:textId="77C92386" w:rsidR="00737EB2" w:rsidRPr="00765F6E" w:rsidRDefault="00737EB2" w:rsidP="003334F3">
      <w:pPr>
        <w:pStyle w:val="af6"/>
        <w:numPr>
          <w:ilvl w:val="0"/>
          <w:numId w:val="105"/>
        </w:numPr>
        <w:tabs>
          <w:tab w:val="left" w:pos="851"/>
        </w:tabs>
        <w:snapToGrid w:val="0"/>
        <w:contextualSpacing/>
      </w:pPr>
      <w:r w:rsidRPr="00765F6E">
        <w:rPr>
          <w:rFonts w:hint="eastAsia"/>
        </w:rPr>
        <w:t>斯佩林舒适度指标可按表</w:t>
      </w:r>
      <w:r w:rsidR="00B731DB">
        <w:t>51</w:t>
      </w:r>
      <w:r w:rsidRPr="00765F6E">
        <w:rPr>
          <w:rFonts w:hint="eastAsia"/>
        </w:rPr>
        <w:t>选用。</w:t>
      </w:r>
    </w:p>
    <w:p w14:paraId="22DFE753" w14:textId="7A64C1EA" w:rsidR="00737EB2" w:rsidRPr="00765F6E" w:rsidRDefault="00737EB2" w:rsidP="00737EB2">
      <w:pPr>
        <w:pStyle w:val="aff3"/>
        <w:spacing w:before="156" w:after="156"/>
      </w:pPr>
      <w:r w:rsidRPr="00765F6E">
        <w:rPr>
          <w:rFonts w:hint="eastAsia"/>
        </w:rPr>
        <w:t>斯佩林舒适度指标</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top w:w="15" w:type="dxa"/>
          <w:left w:w="0" w:type="dxa"/>
          <w:bottom w:w="15" w:type="dxa"/>
          <w:right w:w="0" w:type="dxa"/>
        </w:tblCellMar>
        <w:tblLook w:val="04A0" w:firstRow="1" w:lastRow="0" w:firstColumn="1" w:lastColumn="0" w:noHBand="0" w:noVBand="1"/>
      </w:tblPr>
      <w:tblGrid>
        <w:gridCol w:w="2402"/>
        <w:gridCol w:w="4402"/>
        <w:gridCol w:w="2530"/>
      </w:tblGrid>
      <w:tr w:rsidR="00737EB2" w:rsidRPr="00765F6E" w14:paraId="69A28430" w14:textId="77777777" w:rsidTr="00871D47">
        <w:trPr>
          <w:trHeight w:val="176"/>
          <w:jc w:val="center"/>
        </w:trPr>
        <w:tc>
          <w:tcPr>
            <w:tcW w:w="1287" w:type="pct"/>
            <w:tcBorders>
              <w:top w:val="single" w:sz="8" w:space="0" w:color="auto"/>
              <w:bottom w:val="single" w:sz="8" w:space="0" w:color="auto"/>
            </w:tcBorders>
            <w:shd w:val="clear" w:color="auto" w:fill="auto"/>
            <w:vAlign w:val="center"/>
          </w:tcPr>
          <w:p w14:paraId="02BA1A9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序号</w:t>
            </w:r>
          </w:p>
        </w:tc>
        <w:tc>
          <w:tcPr>
            <w:tcW w:w="2358" w:type="pct"/>
            <w:tcBorders>
              <w:top w:val="single" w:sz="8" w:space="0" w:color="auto"/>
              <w:bottom w:val="single" w:sz="8" w:space="0" w:color="auto"/>
            </w:tcBorders>
            <w:shd w:val="clear" w:color="auto" w:fill="auto"/>
            <w:vAlign w:val="center"/>
          </w:tcPr>
          <w:p w14:paraId="389BF37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斯佩林舒适度指标</w:t>
            </w:r>
            <w:r w:rsidRPr="00765F6E">
              <w:rPr>
                <w:rFonts w:hAnsi="宋体" w:cs="宋体" w:hint="eastAsia"/>
                <w:i/>
                <w:iCs/>
                <w:sz w:val="18"/>
                <w:szCs w:val="18"/>
              </w:rPr>
              <w:t>W</w:t>
            </w:r>
          </w:p>
        </w:tc>
        <w:tc>
          <w:tcPr>
            <w:tcW w:w="1355" w:type="pct"/>
            <w:tcBorders>
              <w:top w:val="single" w:sz="8" w:space="0" w:color="auto"/>
              <w:bottom w:val="single" w:sz="8" w:space="0" w:color="auto"/>
            </w:tcBorders>
            <w:shd w:val="clear" w:color="auto" w:fill="auto"/>
            <w:vAlign w:val="center"/>
          </w:tcPr>
          <w:p w14:paraId="51D814C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评价等级</w:t>
            </w:r>
          </w:p>
        </w:tc>
      </w:tr>
      <w:tr w:rsidR="00737EB2" w:rsidRPr="00765F6E" w14:paraId="73E56997" w14:textId="77777777" w:rsidTr="00871D47">
        <w:trPr>
          <w:trHeight w:val="176"/>
          <w:jc w:val="center"/>
        </w:trPr>
        <w:tc>
          <w:tcPr>
            <w:tcW w:w="1287" w:type="pct"/>
            <w:tcBorders>
              <w:top w:val="single" w:sz="8" w:space="0" w:color="auto"/>
            </w:tcBorders>
            <w:shd w:val="clear" w:color="auto" w:fill="auto"/>
            <w:vAlign w:val="center"/>
          </w:tcPr>
          <w:p w14:paraId="1AB61A7A"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w:t>
            </w:r>
          </w:p>
        </w:tc>
        <w:tc>
          <w:tcPr>
            <w:tcW w:w="2358" w:type="pct"/>
            <w:tcBorders>
              <w:top w:val="single" w:sz="8" w:space="0" w:color="auto"/>
            </w:tcBorders>
            <w:shd w:val="clear" w:color="auto" w:fill="auto"/>
            <w:vAlign w:val="center"/>
          </w:tcPr>
          <w:p w14:paraId="57228985"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i/>
                <w:sz w:val="18"/>
                <w:szCs w:val="18"/>
              </w:rPr>
              <w:t>W</w:t>
            </w:r>
            <w:r w:rsidRPr="00765F6E">
              <w:rPr>
                <w:rFonts w:ascii="宋体" w:hAnsi="宋体" w:hint="eastAsia"/>
                <w:sz w:val="18"/>
                <w:szCs w:val="18"/>
              </w:rPr>
              <w:t>≤2.50</w:t>
            </w:r>
          </w:p>
        </w:tc>
        <w:tc>
          <w:tcPr>
            <w:tcW w:w="1355" w:type="pct"/>
            <w:tcBorders>
              <w:top w:val="single" w:sz="8" w:space="0" w:color="auto"/>
            </w:tcBorders>
            <w:shd w:val="clear" w:color="auto" w:fill="auto"/>
            <w:vAlign w:val="center"/>
          </w:tcPr>
          <w:p w14:paraId="63028CEE"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优</w:t>
            </w:r>
          </w:p>
        </w:tc>
      </w:tr>
      <w:tr w:rsidR="00737EB2" w:rsidRPr="00765F6E" w14:paraId="02EC0E40" w14:textId="77777777" w:rsidTr="00871D47">
        <w:trPr>
          <w:trHeight w:val="176"/>
          <w:jc w:val="center"/>
        </w:trPr>
        <w:tc>
          <w:tcPr>
            <w:tcW w:w="1287" w:type="pct"/>
            <w:shd w:val="clear" w:color="auto" w:fill="auto"/>
            <w:vAlign w:val="center"/>
          </w:tcPr>
          <w:p w14:paraId="4310AB9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w:t>
            </w:r>
          </w:p>
        </w:tc>
        <w:tc>
          <w:tcPr>
            <w:tcW w:w="2358" w:type="pct"/>
            <w:shd w:val="clear" w:color="auto" w:fill="auto"/>
            <w:vAlign w:val="center"/>
          </w:tcPr>
          <w:p w14:paraId="71944CE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2.50&lt;</w:t>
            </w:r>
            <w:r w:rsidRPr="00765F6E">
              <w:rPr>
                <w:rFonts w:ascii="宋体" w:hAnsi="宋体"/>
                <w:sz w:val="18"/>
                <w:szCs w:val="18"/>
              </w:rPr>
              <w:t>W</w:t>
            </w:r>
            <w:r w:rsidRPr="00765F6E">
              <w:rPr>
                <w:rFonts w:ascii="宋体" w:hAnsi="宋体" w:hint="eastAsia"/>
                <w:sz w:val="18"/>
                <w:szCs w:val="18"/>
              </w:rPr>
              <w:t>≤2.75</w:t>
            </w:r>
          </w:p>
        </w:tc>
        <w:tc>
          <w:tcPr>
            <w:tcW w:w="1355" w:type="pct"/>
            <w:shd w:val="clear" w:color="auto" w:fill="auto"/>
            <w:vAlign w:val="center"/>
          </w:tcPr>
          <w:p w14:paraId="6157DDFD"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良</w:t>
            </w:r>
          </w:p>
        </w:tc>
      </w:tr>
      <w:tr w:rsidR="00737EB2" w:rsidRPr="00765F6E" w14:paraId="7C2F431F" w14:textId="77777777" w:rsidTr="00871D47">
        <w:trPr>
          <w:trHeight w:val="176"/>
          <w:jc w:val="center"/>
        </w:trPr>
        <w:tc>
          <w:tcPr>
            <w:tcW w:w="1287" w:type="pct"/>
            <w:tcBorders>
              <w:bottom w:val="single" w:sz="8" w:space="0" w:color="auto"/>
            </w:tcBorders>
            <w:shd w:val="clear" w:color="auto" w:fill="auto"/>
            <w:vAlign w:val="center"/>
          </w:tcPr>
          <w:p w14:paraId="34EB70D6"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3</w:t>
            </w:r>
          </w:p>
        </w:tc>
        <w:tc>
          <w:tcPr>
            <w:tcW w:w="2358" w:type="pct"/>
            <w:tcBorders>
              <w:bottom w:val="single" w:sz="8" w:space="0" w:color="auto"/>
            </w:tcBorders>
            <w:shd w:val="clear" w:color="auto" w:fill="auto"/>
            <w:vAlign w:val="center"/>
          </w:tcPr>
          <w:p w14:paraId="47549570"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2.75&lt;</w:t>
            </w:r>
            <w:r w:rsidRPr="00765F6E">
              <w:rPr>
                <w:rFonts w:ascii="宋体" w:hAnsi="宋体"/>
                <w:sz w:val="18"/>
                <w:szCs w:val="18"/>
              </w:rPr>
              <w:t>W</w:t>
            </w:r>
            <w:r w:rsidRPr="00765F6E">
              <w:rPr>
                <w:rFonts w:ascii="宋体" w:hAnsi="宋体" w:hint="eastAsia"/>
                <w:sz w:val="18"/>
                <w:szCs w:val="18"/>
              </w:rPr>
              <w:t>≤3.00</w:t>
            </w:r>
          </w:p>
        </w:tc>
        <w:tc>
          <w:tcPr>
            <w:tcW w:w="1355" w:type="pct"/>
            <w:tcBorders>
              <w:bottom w:val="single" w:sz="8" w:space="0" w:color="auto"/>
            </w:tcBorders>
            <w:shd w:val="clear" w:color="auto" w:fill="auto"/>
            <w:vAlign w:val="center"/>
          </w:tcPr>
          <w:p w14:paraId="12F5D669"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合格</w:t>
            </w:r>
          </w:p>
        </w:tc>
      </w:tr>
    </w:tbl>
    <w:p w14:paraId="3C2EF951" w14:textId="77777777" w:rsidR="00737EB2" w:rsidRPr="00765F6E" w:rsidRDefault="00737EB2" w:rsidP="00737EB2">
      <w:pPr>
        <w:spacing w:line="240" w:lineRule="auto"/>
      </w:pPr>
    </w:p>
    <w:p w14:paraId="711F7868" w14:textId="429DCFB3" w:rsidR="00737EB2" w:rsidRPr="00765F6E" w:rsidRDefault="00737EB2" w:rsidP="009D0776">
      <w:pPr>
        <w:pStyle w:val="22"/>
      </w:pPr>
      <w:bookmarkStart w:id="1318" w:name="_Toc99791906"/>
      <w:bookmarkStart w:id="1319" w:name="_Toc153291337"/>
      <w:r w:rsidRPr="00765F6E">
        <w:t>在列车竖向静</w:t>
      </w:r>
      <w:r w:rsidRPr="00765F6E">
        <w:rPr>
          <w:rFonts w:hint="eastAsia"/>
        </w:rPr>
        <w:t>活载</w:t>
      </w:r>
      <w:r w:rsidRPr="00765F6E">
        <w:t>作用下，桥梁梁端竖向转角限值应符合表</w:t>
      </w:r>
      <w:r w:rsidR="00B731DB" w:rsidRPr="00765F6E">
        <w:rPr>
          <w:rFonts w:hint="eastAsia"/>
        </w:rPr>
        <w:t>5</w:t>
      </w:r>
      <w:r w:rsidR="00B731DB">
        <w:t>2</w:t>
      </w:r>
      <w:r w:rsidRPr="00765F6E">
        <w:t>的规定。梁端竖向转角如图</w:t>
      </w:r>
      <w:r w:rsidR="00357519">
        <w:t>12</w:t>
      </w:r>
      <w:r w:rsidRPr="00765F6E">
        <w:t>所示。当梁端转角限值不满足表中限值要求时，应对梁端轨道结构和扣件</w:t>
      </w:r>
      <w:r w:rsidRPr="00765F6E">
        <w:rPr>
          <w:rFonts w:hint="eastAsia"/>
        </w:rPr>
        <w:t>的扣压力</w:t>
      </w:r>
      <w:r w:rsidRPr="00765F6E">
        <w:t>进行</w:t>
      </w:r>
      <w:r w:rsidRPr="00765F6E">
        <w:rPr>
          <w:rFonts w:hint="eastAsia"/>
        </w:rPr>
        <w:t>强度</w:t>
      </w:r>
      <w:r w:rsidRPr="00765F6E">
        <w:t>检算。</w:t>
      </w:r>
      <w:bookmarkEnd w:id="1318"/>
      <w:bookmarkEnd w:id="1319"/>
    </w:p>
    <w:p w14:paraId="5F5B21C5" w14:textId="77777777" w:rsidR="00737EB2" w:rsidRPr="00765F6E" w:rsidRDefault="00737EB2" w:rsidP="00737EB2">
      <w:pPr>
        <w:pStyle w:val="aff3"/>
        <w:spacing w:before="156" w:after="156"/>
      </w:pPr>
      <w:r w:rsidRPr="00765F6E">
        <w:rPr>
          <w:rFonts w:hint="eastAsia"/>
        </w:rPr>
        <w:t>梁端转角限值</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1746"/>
        <w:gridCol w:w="2031"/>
        <w:gridCol w:w="2081"/>
        <w:gridCol w:w="3476"/>
      </w:tblGrid>
      <w:tr w:rsidR="00737EB2" w:rsidRPr="00765F6E" w14:paraId="66CCECAD" w14:textId="77777777" w:rsidTr="00871D47">
        <w:trPr>
          <w:trHeight w:val="176"/>
          <w:jc w:val="center"/>
        </w:trPr>
        <w:tc>
          <w:tcPr>
            <w:tcW w:w="935" w:type="pct"/>
            <w:tcBorders>
              <w:top w:val="single" w:sz="8" w:space="0" w:color="auto"/>
              <w:bottom w:val="single" w:sz="8" w:space="0" w:color="auto"/>
            </w:tcBorders>
            <w:shd w:val="clear" w:color="auto" w:fill="auto"/>
            <w:vAlign w:val="center"/>
          </w:tcPr>
          <w:p w14:paraId="462B634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桥上轨道类型</w:t>
            </w:r>
          </w:p>
        </w:tc>
        <w:tc>
          <w:tcPr>
            <w:tcW w:w="1088" w:type="pct"/>
            <w:tcBorders>
              <w:top w:val="single" w:sz="8" w:space="0" w:color="auto"/>
              <w:bottom w:val="single" w:sz="8" w:space="0" w:color="auto"/>
            </w:tcBorders>
            <w:shd w:val="clear" w:color="auto" w:fill="auto"/>
            <w:vAlign w:val="center"/>
          </w:tcPr>
          <w:p w14:paraId="098D478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位 置</w:t>
            </w:r>
          </w:p>
        </w:tc>
        <w:tc>
          <w:tcPr>
            <w:tcW w:w="1115" w:type="pct"/>
            <w:tcBorders>
              <w:top w:val="single" w:sz="8" w:space="0" w:color="auto"/>
              <w:bottom w:val="single" w:sz="8" w:space="0" w:color="auto"/>
            </w:tcBorders>
            <w:shd w:val="clear" w:color="auto" w:fill="auto"/>
            <w:vAlign w:val="center"/>
          </w:tcPr>
          <w:p w14:paraId="0BFEF07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梁的转角（θ）限值</w:t>
            </w:r>
          </w:p>
          <w:p w14:paraId="4E5C1C49"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/rad</w:t>
            </w:r>
          </w:p>
        </w:tc>
        <w:tc>
          <w:tcPr>
            <w:tcW w:w="1859" w:type="pct"/>
            <w:tcBorders>
              <w:top w:val="single" w:sz="8" w:space="0" w:color="auto"/>
              <w:bottom w:val="single" w:sz="8" w:space="0" w:color="auto"/>
            </w:tcBorders>
            <w:shd w:val="clear" w:color="auto" w:fill="auto"/>
            <w:vAlign w:val="center"/>
          </w:tcPr>
          <w:p w14:paraId="3EB5FD8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适用条件</w:t>
            </w:r>
          </w:p>
        </w:tc>
      </w:tr>
      <w:tr w:rsidR="00737EB2" w:rsidRPr="00765F6E" w14:paraId="1956E60F" w14:textId="77777777" w:rsidTr="00871D47">
        <w:trPr>
          <w:trHeight w:val="176"/>
          <w:jc w:val="center"/>
        </w:trPr>
        <w:tc>
          <w:tcPr>
            <w:tcW w:w="935" w:type="pct"/>
            <w:vMerge w:val="restart"/>
            <w:tcBorders>
              <w:top w:val="single" w:sz="8" w:space="0" w:color="auto"/>
            </w:tcBorders>
            <w:shd w:val="clear" w:color="auto" w:fill="auto"/>
            <w:vAlign w:val="center"/>
          </w:tcPr>
          <w:p w14:paraId="5EA09C9C" w14:textId="77777777" w:rsidR="00737EB2" w:rsidRPr="00765F6E" w:rsidRDefault="00737EB2" w:rsidP="00871D47">
            <w:pPr>
              <w:pStyle w:val="affffffffffff2"/>
              <w:jc w:val="center"/>
              <w:rPr>
                <w:rFonts w:hAnsi="宋体"/>
                <w:sz w:val="18"/>
                <w:szCs w:val="18"/>
              </w:rPr>
            </w:pPr>
            <w:r w:rsidRPr="00765F6E">
              <w:rPr>
                <w:rFonts w:hAnsi="宋体" w:hint="eastAsia"/>
                <w:sz w:val="18"/>
                <w:szCs w:val="18"/>
              </w:rPr>
              <w:t>有砟轨道</w:t>
            </w:r>
          </w:p>
        </w:tc>
        <w:tc>
          <w:tcPr>
            <w:tcW w:w="1088" w:type="pct"/>
            <w:tcBorders>
              <w:top w:val="single" w:sz="8" w:space="0" w:color="auto"/>
            </w:tcBorders>
            <w:shd w:val="clear" w:color="auto" w:fill="auto"/>
            <w:vAlign w:val="center"/>
          </w:tcPr>
          <w:p w14:paraId="52A4FED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桥台与桥梁之间</w:t>
            </w:r>
          </w:p>
        </w:tc>
        <w:tc>
          <w:tcPr>
            <w:tcW w:w="1115" w:type="pct"/>
            <w:tcBorders>
              <w:top w:val="single" w:sz="8" w:space="0" w:color="auto"/>
            </w:tcBorders>
            <w:shd w:val="clear" w:color="auto" w:fill="auto"/>
            <w:vAlign w:val="center"/>
          </w:tcPr>
          <w:p w14:paraId="1ED2373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θ≤3.0‰</w:t>
            </w:r>
          </w:p>
        </w:tc>
        <w:tc>
          <w:tcPr>
            <w:tcW w:w="1859" w:type="pct"/>
            <w:tcBorders>
              <w:top w:val="single" w:sz="8" w:space="0" w:color="auto"/>
            </w:tcBorders>
            <w:shd w:val="clear" w:color="auto" w:fill="auto"/>
            <w:vAlign w:val="center"/>
          </w:tcPr>
          <w:p w14:paraId="019DAF3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p>
        </w:tc>
      </w:tr>
      <w:tr w:rsidR="00737EB2" w:rsidRPr="00765F6E" w14:paraId="6A1E4D2C" w14:textId="77777777" w:rsidTr="00871D47">
        <w:trPr>
          <w:trHeight w:val="176"/>
          <w:jc w:val="center"/>
        </w:trPr>
        <w:tc>
          <w:tcPr>
            <w:tcW w:w="935" w:type="pct"/>
            <w:vMerge/>
            <w:shd w:val="clear" w:color="auto" w:fill="auto"/>
            <w:vAlign w:val="center"/>
          </w:tcPr>
          <w:p w14:paraId="35C49F93" w14:textId="77777777" w:rsidR="00737EB2" w:rsidRPr="00765F6E" w:rsidRDefault="00737EB2" w:rsidP="00871D47">
            <w:pPr>
              <w:jc w:val="center"/>
              <w:rPr>
                <w:rFonts w:ascii="宋体" w:hAnsi="宋体"/>
                <w:sz w:val="18"/>
                <w:szCs w:val="18"/>
              </w:rPr>
            </w:pPr>
          </w:p>
        </w:tc>
        <w:tc>
          <w:tcPr>
            <w:tcW w:w="1088" w:type="pct"/>
            <w:shd w:val="clear" w:color="auto" w:fill="auto"/>
            <w:vAlign w:val="center"/>
          </w:tcPr>
          <w:p w14:paraId="532A8C6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相邻两孔梁之间</w:t>
            </w:r>
          </w:p>
        </w:tc>
        <w:tc>
          <w:tcPr>
            <w:tcW w:w="1115" w:type="pct"/>
            <w:shd w:val="clear" w:color="auto" w:fill="auto"/>
            <w:vAlign w:val="center"/>
          </w:tcPr>
          <w:p w14:paraId="2258296D" w14:textId="77777777" w:rsidR="00737EB2" w:rsidRPr="00765F6E" w:rsidRDefault="00737EB2" w:rsidP="00871D47">
            <w:pPr>
              <w:pStyle w:val="affffffffffff2"/>
              <w:jc w:val="center"/>
              <w:rPr>
                <w:rFonts w:hAnsi="宋体"/>
                <w:sz w:val="18"/>
                <w:szCs w:val="18"/>
              </w:rPr>
            </w:pPr>
            <w:r w:rsidRPr="00765F6E">
              <w:rPr>
                <w:rFonts w:hAnsi="宋体" w:cs="宋体" w:hint="eastAsia"/>
                <w:sz w:val="18"/>
                <w:szCs w:val="18"/>
              </w:rPr>
              <w:t>θ1+θ2≤6.0‰</w:t>
            </w:r>
          </w:p>
        </w:tc>
        <w:tc>
          <w:tcPr>
            <w:tcW w:w="1859" w:type="pct"/>
            <w:shd w:val="clear" w:color="auto" w:fill="auto"/>
            <w:vAlign w:val="center"/>
          </w:tcPr>
          <w:p w14:paraId="2B39F95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w:t>
            </w:r>
          </w:p>
        </w:tc>
      </w:tr>
      <w:tr w:rsidR="00737EB2" w:rsidRPr="00765F6E" w14:paraId="67F52F23" w14:textId="77777777" w:rsidTr="00871D47">
        <w:trPr>
          <w:trHeight w:val="176"/>
          <w:jc w:val="center"/>
        </w:trPr>
        <w:tc>
          <w:tcPr>
            <w:tcW w:w="935" w:type="pct"/>
            <w:vMerge w:val="restart"/>
            <w:shd w:val="clear" w:color="auto" w:fill="auto"/>
            <w:vAlign w:val="center"/>
          </w:tcPr>
          <w:p w14:paraId="27838C65"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无砟轨道</w:t>
            </w:r>
          </w:p>
        </w:tc>
        <w:tc>
          <w:tcPr>
            <w:tcW w:w="1088" w:type="pct"/>
            <w:vMerge w:val="restart"/>
            <w:shd w:val="clear" w:color="auto" w:fill="auto"/>
            <w:vAlign w:val="center"/>
          </w:tcPr>
          <w:p w14:paraId="7CADB86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桥台与桥梁之间</w:t>
            </w:r>
          </w:p>
        </w:tc>
        <w:tc>
          <w:tcPr>
            <w:tcW w:w="1115" w:type="pct"/>
            <w:shd w:val="clear" w:color="auto" w:fill="auto"/>
            <w:vAlign w:val="center"/>
          </w:tcPr>
          <w:p w14:paraId="2F87828F" w14:textId="77777777" w:rsidR="00737EB2" w:rsidRPr="00765F6E" w:rsidRDefault="00737EB2" w:rsidP="00871D47">
            <w:pPr>
              <w:pStyle w:val="affffffffffff2"/>
              <w:jc w:val="center"/>
              <w:rPr>
                <w:rFonts w:hAnsi="宋体"/>
                <w:sz w:val="18"/>
                <w:szCs w:val="18"/>
              </w:rPr>
            </w:pPr>
            <w:r w:rsidRPr="00765F6E">
              <w:rPr>
                <w:rFonts w:hAnsi="宋体" w:cs="宋体" w:hint="eastAsia"/>
                <w:sz w:val="18"/>
                <w:szCs w:val="18"/>
              </w:rPr>
              <w:t>θ≤2.1‰</w:t>
            </w:r>
          </w:p>
        </w:tc>
        <w:tc>
          <w:tcPr>
            <w:tcW w:w="1859" w:type="pct"/>
            <w:shd w:val="clear" w:color="auto" w:fill="auto"/>
            <w:vAlign w:val="center"/>
          </w:tcPr>
          <w:p w14:paraId="7CA884A2" w14:textId="77777777" w:rsidR="00737EB2" w:rsidRPr="00765F6E" w:rsidRDefault="00737EB2" w:rsidP="00871D47">
            <w:pPr>
              <w:pStyle w:val="affffffffffff2"/>
              <w:jc w:val="center"/>
              <w:rPr>
                <w:rFonts w:hAnsi="宋体"/>
                <w:sz w:val="18"/>
                <w:szCs w:val="18"/>
              </w:rPr>
            </w:pPr>
            <w:r w:rsidRPr="00765F6E">
              <w:rPr>
                <w:rFonts w:hAnsi="宋体" w:cs="宋体" w:hint="eastAsia"/>
                <w:sz w:val="18"/>
                <w:szCs w:val="18"/>
              </w:rPr>
              <w:t>梁端悬出长度≤0.30m</w:t>
            </w:r>
          </w:p>
        </w:tc>
      </w:tr>
      <w:tr w:rsidR="00737EB2" w:rsidRPr="00765F6E" w14:paraId="6CC25AD7" w14:textId="77777777" w:rsidTr="00871D47">
        <w:trPr>
          <w:trHeight w:val="176"/>
          <w:jc w:val="center"/>
        </w:trPr>
        <w:tc>
          <w:tcPr>
            <w:tcW w:w="935" w:type="pct"/>
            <w:vMerge/>
            <w:shd w:val="clear" w:color="auto" w:fill="auto"/>
            <w:vAlign w:val="center"/>
          </w:tcPr>
          <w:p w14:paraId="441E4E52" w14:textId="77777777" w:rsidR="00737EB2" w:rsidRPr="00765F6E" w:rsidRDefault="00737EB2" w:rsidP="00871D47">
            <w:pPr>
              <w:jc w:val="center"/>
              <w:rPr>
                <w:rFonts w:ascii="宋体" w:hAnsi="宋体"/>
                <w:sz w:val="18"/>
                <w:szCs w:val="18"/>
              </w:rPr>
            </w:pPr>
          </w:p>
        </w:tc>
        <w:tc>
          <w:tcPr>
            <w:tcW w:w="1088" w:type="pct"/>
            <w:vMerge/>
            <w:shd w:val="clear" w:color="auto" w:fill="auto"/>
            <w:vAlign w:val="center"/>
          </w:tcPr>
          <w:p w14:paraId="59AF7C40" w14:textId="77777777" w:rsidR="00737EB2" w:rsidRPr="00765F6E" w:rsidRDefault="00737EB2" w:rsidP="00871D47">
            <w:pPr>
              <w:jc w:val="center"/>
              <w:rPr>
                <w:rFonts w:ascii="宋体" w:hAnsi="宋体"/>
                <w:sz w:val="18"/>
                <w:szCs w:val="18"/>
              </w:rPr>
            </w:pPr>
          </w:p>
        </w:tc>
        <w:tc>
          <w:tcPr>
            <w:tcW w:w="1115" w:type="pct"/>
            <w:shd w:val="clear" w:color="auto" w:fill="auto"/>
            <w:vAlign w:val="center"/>
          </w:tcPr>
          <w:p w14:paraId="3C3E82A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θ≤1.5‰</w:t>
            </w:r>
          </w:p>
        </w:tc>
        <w:tc>
          <w:tcPr>
            <w:tcW w:w="1859" w:type="pct"/>
            <w:shd w:val="clear" w:color="auto" w:fill="auto"/>
            <w:vAlign w:val="center"/>
          </w:tcPr>
          <w:p w14:paraId="4526637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0.3m＜梁端悬出长度≤0.55m</w:t>
            </w:r>
          </w:p>
        </w:tc>
      </w:tr>
      <w:tr w:rsidR="00737EB2" w:rsidRPr="00765F6E" w14:paraId="75918FE5" w14:textId="77777777" w:rsidTr="00871D47">
        <w:trPr>
          <w:trHeight w:val="176"/>
          <w:jc w:val="center"/>
        </w:trPr>
        <w:tc>
          <w:tcPr>
            <w:tcW w:w="935" w:type="pct"/>
            <w:vMerge/>
            <w:shd w:val="clear" w:color="auto" w:fill="auto"/>
            <w:vAlign w:val="center"/>
          </w:tcPr>
          <w:p w14:paraId="7723D40D" w14:textId="77777777" w:rsidR="00737EB2" w:rsidRPr="00765F6E" w:rsidRDefault="00737EB2" w:rsidP="00871D47">
            <w:pPr>
              <w:jc w:val="center"/>
              <w:rPr>
                <w:rFonts w:ascii="宋体" w:hAnsi="宋体"/>
                <w:sz w:val="18"/>
                <w:szCs w:val="18"/>
              </w:rPr>
            </w:pPr>
          </w:p>
        </w:tc>
        <w:tc>
          <w:tcPr>
            <w:tcW w:w="1088" w:type="pct"/>
            <w:vMerge/>
            <w:shd w:val="clear" w:color="auto" w:fill="auto"/>
            <w:vAlign w:val="center"/>
          </w:tcPr>
          <w:p w14:paraId="348AF0EF" w14:textId="77777777" w:rsidR="00737EB2" w:rsidRPr="00765F6E" w:rsidRDefault="00737EB2" w:rsidP="00871D47">
            <w:pPr>
              <w:jc w:val="center"/>
              <w:rPr>
                <w:rFonts w:ascii="宋体" w:hAnsi="宋体"/>
                <w:sz w:val="18"/>
                <w:szCs w:val="18"/>
              </w:rPr>
            </w:pPr>
          </w:p>
        </w:tc>
        <w:tc>
          <w:tcPr>
            <w:tcW w:w="1115" w:type="pct"/>
            <w:shd w:val="clear" w:color="auto" w:fill="auto"/>
            <w:vAlign w:val="center"/>
          </w:tcPr>
          <w:p w14:paraId="5149BE31"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θ≤1.0‰</w:t>
            </w:r>
          </w:p>
        </w:tc>
        <w:tc>
          <w:tcPr>
            <w:tcW w:w="1859" w:type="pct"/>
            <w:shd w:val="clear" w:color="auto" w:fill="auto"/>
            <w:vAlign w:val="center"/>
          </w:tcPr>
          <w:p w14:paraId="15122E9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0.55m＜梁端悬出长度≤0.75m</w:t>
            </w:r>
          </w:p>
        </w:tc>
      </w:tr>
      <w:tr w:rsidR="00737EB2" w:rsidRPr="00765F6E" w14:paraId="617E2E55" w14:textId="77777777" w:rsidTr="00871D47">
        <w:trPr>
          <w:trHeight w:val="176"/>
          <w:jc w:val="center"/>
        </w:trPr>
        <w:tc>
          <w:tcPr>
            <w:tcW w:w="935" w:type="pct"/>
            <w:vMerge/>
            <w:shd w:val="clear" w:color="auto" w:fill="auto"/>
            <w:vAlign w:val="center"/>
          </w:tcPr>
          <w:p w14:paraId="6C4A43DE" w14:textId="77777777" w:rsidR="00737EB2" w:rsidRPr="00765F6E" w:rsidRDefault="00737EB2" w:rsidP="00871D47">
            <w:pPr>
              <w:jc w:val="center"/>
              <w:rPr>
                <w:rFonts w:ascii="宋体" w:hAnsi="宋体"/>
                <w:sz w:val="18"/>
                <w:szCs w:val="18"/>
              </w:rPr>
            </w:pPr>
          </w:p>
        </w:tc>
        <w:tc>
          <w:tcPr>
            <w:tcW w:w="1088" w:type="pct"/>
            <w:vMerge w:val="restart"/>
            <w:shd w:val="clear" w:color="auto" w:fill="auto"/>
            <w:vAlign w:val="center"/>
          </w:tcPr>
          <w:p w14:paraId="781A8944"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相邻两孔梁之间</w:t>
            </w:r>
          </w:p>
        </w:tc>
        <w:tc>
          <w:tcPr>
            <w:tcW w:w="1115" w:type="pct"/>
            <w:shd w:val="clear" w:color="auto" w:fill="auto"/>
            <w:vAlign w:val="center"/>
          </w:tcPr>
          <w:p w14:paraId="2D10EC0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θ1+θ2≤4.2‰</w:t>
            </w:r>
          </w:p>
        </w:tc>
        <w:tc>
          <w:tcPr>
            <w:tcW w:w="1859" w:type="pct"/>
            <w:shd w:val="clear" w:color="auto" w:fill="auto"/>
            <w:vAlign w:val="center"/>
          </w:tcPr>
          <w:p w14:paraId="7D3B2818"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梁端悬出长度≤0.30m</w:t>
            </w:r>
          </w:p>
        </w:tc>
      </w:tr>
      <w:tr w:rsidR="00737EB2" w:rsidRPr="00765F6E" w14:paraId="3878367B" w14:textId="77777777" w:rsidTr="00871D47">
        <w:trPr>
          <w:trHeight w:val="176"/>
          <w:jc w:val="center"/>
        </w:trPr>
        <w:tc>
          <w:tcPr>
            <w:tcW w:w="935" w:type="pct"/>
            <w:vMerge/>
            <w:shd w:val="clear" w:color="auto" w:fill="auto"/>
            <w:vAlign w:val="center"/>
          </w:tcPr>
          <w:p w14:paraId="40C45868" w14:textId="77777777" w:rsidR="00737EB2" w:rsidRPr="00765F6E" w:rsidRDefault="00737EB2" w:rsidP="00871D47">
            <w:pPr>
              <w:jc w:val="center"/>
              <w:rPr>
                <w:rFonts w:ascii="宋体" w:hAnsi="宋体"/>
                <w:sz w:val="18"/>
                <w:szCs w:val="18"/>
              </w:rPr>
            </w:pPr>
          </w:p>
        </w:tc>
        <w:tc>
          <w:tcPr>
            <w:tcW w:w="1088" w:type="pct"/>
            <w:vMerge/>
            <w:shd w:val="clear" w:color="auto" w:fill="auto"/>
            <w:vAlign w:val="center"/>
          </w:tcPr>
          <w:p w14:paraId="47806C57" w14:textId="77777777" w:rsidR="00737EB2" w:rsidRPr="00765F6E" w:rsidRDefault="00737EB2" w:rsidP="00871D47">
            <w:pPr>
              <w:jc w:val="center"/>
              <w:rPr>
                <w:rFonts w:ascii="宋体" w:hAnsi="宋体"/>
                <w:sz w:val="18"/>
                <w:szCs w:val="18"/>
              </w:rPr>
            </w:pPr>
          </w:p>
        </w:tc>
        <w:tc>
          <w:tcPr>
            <w:tcW w:w="1115" w:type="pct"/>
            <w:shd w:val="clear" w:color="auto" w:fill="auto"/>
            <w:vAlign w:val="center"/>
          </w:tcPr>
          <w:p w14:paraId="24C9284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θ1+θ2≤3.0‰</w:t>
            </w:r>
          </w:p>
        </w:tc>
        <w:tc>
          <w:tcPr>
            <w:tcW w:w="1859" w:type="pct"/>
            <w:shd w:val="clear" w:color="auto" w:fill="auto"/>
            <w:vAlign w:val="center"/>
          </w:tcPr>
          <w:p w14:paraId="541B5AD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0.3m＜梁端悬出长度≤0.55m</w:t>
            </w:r>
          </w:p>
        </w:tc>
      </w:tr>
      <w:tr w:rsidR="00737EB2" w:rsidRPr="00765F6E" w14:paraId="71A6EE71" w14:textId="77777777" w:rsidTr="00871D47">
        <w:trPr>
          <w:trHeight w:val="176"/>
          <w:jc w:val="center"/>
        </w:trPr>
        <w:tc>
          <w:tcPr>
            <w:tcW w:w="935" w:type="pct"/>
            <w:vMerge/>
            <w:shd w:val="clear" w:color="auto" w:fill="auto"/>
            <w:vAlign w:val="center"/>
          </w:tcPr>
          <w:p w14:paraId="76CEE0C0" w14:textId="77777777" w:rsidR="00737EB2" w:rsidRPr="00765F6E" w:rsidRDefault="00737EB2" w:rsidP="00871D47">
            <w:pPr>
              <w:jc w:val="center"/>
              <w:rPr>
                <w:rFonts w:ascii="宋体" w:hAnsi="宋体"/>
                <w:sz w:val="18"/>
                <w:szCs w:val="18"/>
              </w:rPr>
            </w:pPr>
          </w:p>
        </w:tc>
        <w:tc>
          <w:tcPr>
            <w:tcW w:w="1088" w:type="pct"/>
            <w:vMerge/>
            <w:shd w:val="clear" w:color="auto" w:fill="auto"/>
            <w:vAlign w:val="center"/>
          </w:tcPr>
          <w:p w14:paraId="79911E4E" w14:textId="77777777" w:rsidR="00737EB2" w:rsidRPr="00765F6E" w:rsidRDefault="00737EB2" w:rsidP="00871D47">
            <w:pPr>
              <w:jc w:val="center"/>
              <w:rPr>
                <w:rFonts w:ascii="宋体" w:hAnsi="宋体"/>
                <w:sz w:val="18"/>
                <w:szCs w:val="18"/>
              </w:rPr>
            </w:pPr>
          </w:p>
        </w:tc>
        <w:tc>
          <w:tcPr>
            <w:tcW w:w="1115" w:type="pct"/>
            <w:shd w:val="clear" w:color="auto" w:fill="auto"/>
            <w:vAlign w:val="center"/>
          </w:tcPr>
          <w:p w14:paraId="4F44A09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θ1+θ2≤2.0‰</w:t>
            </w:r>
          </w:p>
        </w:tc>
        <w:tc>
          <w:tcPr>
            <w:tcW w:w="1859" w:type="pct"/>
            <w:shd w:val="clear" w:color="auto" w:fill="auto"/>
            <w:vAlign w:val="center"/>
          </w:tcPr>
          <w:p w14:paraId="16D12C8E"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0.55m＜梁端悬出长度≤0.75m</w:t>
            </w:r>
          </w:p>
        </w:tc>
      </w:tr>
      <w:tr w:rsidR="00737EB2" w:rsidRPr="00765F6E" w14:paraId="71A1C715" w14:textId="77777777" w:rsidTr="00871D47">
        <w:trPr>
          <w:trHeight w:val="176"/>
          <w:jc w:val="center"/>
        </w:trPr>
        <w:tc>
          <w:tcPr>
            <w:tcW w:w="5000" w:type="pct"/>
            <w:gridSpan w:val="4"/>
            <w:tcBorders>
              <w:top w:val="single" w:sz="8" w:space="0" w:color="auto"/>
              <w:bottom w:val="single" w:sz="8" w:space="0" w:color="auto"/>
            </w:tcBorders>
            <w:shd w:val="clear" w:color="auto" w:fill="auto"/>
            <w:vAlign w:val="center"/>
          </w:tcPr>
          <w:p w14:paraId="2C16615C" w14:textId="77777777" w:rsidR="00737EB2" w:rsidRPr="00765F6E" w:rsidRDefault="00737EB2" w:rsidP="00871D47">
            <w:pPr>
              <w:pStyle w:val="afff2"/>
              <w:numPr>
                <w:ilvl w:val="0"/>
                <w:numId w:val="0"/>
              </w:numPr>
              <w:ind w:firstLineChars="100" w:firstLine="180"/>
            </w:pPr>
            <w:r w:rsidRPr="00765F6E">
              <w:t>相邻两孔梁的转角之和（</w:t>
            </w:r>
            <w:r w:rsidRPr="00765F6E">
              <w:t>θ</w:t>
            </w:r>
            <w:r w:rsidRPr="00765F6E">
              <w:t>1+</w:t>
            </w:r>
            <w:r w:rsidRPr="00765F6E">
              <w:t>θ</w:t>
            </w:r>
            <w:r w:rsidRPr="00765F6E">
              <w:t>2）除应满足本条规定的限值外，每孔梁的转角尚应满足本条中</w:t>
            </w:r>
            <w:r w:rsidRPr="00765F6E">
              <w:t>“</w:t>
            </w:r>
            <w:r w:rsidRPr="00765F6E">
              <w:t>桥台与桥梁间转角限值</w:t>
            </w:r>
            <w:r w:rsidRPr="00765F6E">
              <w:t>”</w:t>
            </w:r>
            <w:r w:rsidRPr="00765F6E">
              <w:t>规定。</w:t>
            </w:r>
          </w:p>
        </w:tc>
      </w:tr>
    </w:tbl>
    <w:p w14:paraId="665F6777" w14:textId="77777777" w:rsidR="00737EB2" w:rsidRPr="00765F6E" w:rsidRDefault="00737EB2" w:rsidP="00737EB2">
      <w:pPr>
        <w:pStyle w:val="affffb"/>
        <w:spacing w:before="156" w:after="156"/>
        <w:ind w:firstLine="420"/>
      </w:pPr>
    </w:p>
    <w:p w14:paraId="75111D5D" w14:textId="77777777" w:rsidR="00737EB2" w:rsidRPr="00765F6E" w:rsidRDefault="00737EB2" w:rsidP="00737EB2">
      <w:pPr>
        <w:pStyle w:val="affffb"/>
        <w:spacing w:before="156" w:after="156"/>
        <w:ind w:firstLine="442"/>
        <w:jc w:val="center"/>
      </w:pPr>
      <w:r w:rsidRPr="00765F6E">
        <w:rPr>
          <w:rFonts w:ascii="Times New Roman" w:hAnsi="宋体"/>
          <w:b/>
          <w:sz w:val="22"/>
        </w:rPr>
        <w:drawing>
          <wp:inline distT="0" distB="0" distL="0" distR="0" wp14:anchorId="60547920" wp14:editId="23B7985E">
            <wp:extent cx="4889500" cy="412115"/>
            <wp:effectExtent l="0" t="0" r="6350" b="698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4998944" cy="421488"/>
                    </a:xfrm>
                    <a:prstGeom prst="rect">
                      <a:avLst/>
                    </a:prstGeom>
                    <a:noFill/>
                    <a:ln>
                      <a:noFill/>
                    </a:ln>
                  </pic:spPr>
                </pic:pic>
              </a:graphicData>
            </a:graphic>
          </wp:inline>
        </w:drawing>
      </w:r>
    </w:p>
    <w:p w14:paraId="2CA07086" w14:textId="77777777" w:rsidR="00737EB2" w:rsidRPr="00765F6E" w:rsidRDefault="00737EB2" w:rsidP="00737EB2">
      <w:pPr>
        <w:pStyle w:val="afe"/>
        <w:spacing w:before="156" w:after="156"/>
      </w:pPr>
      <w:r w:rsidRPr="00765F6E">
        <w:rPr>
          <w:rFonts w:hint="eastAsia"/>
        </w:rPr>
        <w:t>梁端竖向转角示意图</w:t>
      </w:r>
    </w:p>
    <w:p w14:paraId="22098259" w14:textId="77777777" w:rsidR="00737EB2" w:rsidRPr="00765F6E" w:rsidRDefault="00737EB2" w:rsidP="00DF023D">
      <w:pPr>
        <w:pStyle w:val="a6"/>
        <w:numPr>
          <w:ilvl w:val="0"/>
          <w:numId w:val="0"/>
        </w:numPr>
        <w:ind w:firstLineChars="200" w:firstLine="420"/>
        <w:jc w:val="left"/>
        <w:rPr>
          <w:rFonts w:hAnsi="宋体" w:cstheme="minorBidi"/>
          <w:kern w:val="2"/>
          <w:sz w:val="21"/>
          <w:szCs w:val="21"/>
        </w:rPr>
      </w:pPr>
      <w:r>
        <w:rPr>
          <w:rFonts w:hAnsi="宋体" w:cstheme="minorBidi" w:hint="eastAsia"/>
          <w:kern w:val="2"/>
          <w:sz w:val="21"/>
          <w:szCs w:val="21"/>
        </w:rPr>
        <w:t>标引序号说明</w:t>
      </w:r>
      <w:r w:rsidRPr="00765F6E">
        <w:rPr>
          <w:rFonts w:hAnsi="宋体" w:cstheme="minorBidi"/>
          <w:kern w:val="2"/>
          <w:sz w:val="21"/>
          <w:szCs w:val="21"/>
        </w:rPr>
        <w:t>：</w:t>
      </w:r>
    </w:p>
    <w:p w14:paraId="61DA569D" w14:textId="282CD786" w:rsidR="00737EB2" w:rsidRPr="00765F6E" w:rsidRDefault="00737EB2" w:rsidP="00DF023D">
      <w:pPr>
        <w:pStyle w:val="affffb"/>
        <w:ind w:firstLineChars="300" w:firstLine="630"/>
        <w:rPr>
          <w:szCs w:val="21"/>
        </w:rPr>
      </w:pPr>
      <w:bookmarkStart w:id="1320" w:name="OLE_LINK10"/>
      <w:r w:rsidRPr="00765F6E">
        <w:rPr>
          <w:rFonts w:hAnsi="宋体" w:cs="宋体" w:hint="eastAsia"/>
          <w:szCs w:val="21"/>
        </w:rPr>
        <w:t>θ</w:t>
      </w:r>
      <w:bookmarkEnd w:id="1320"/>
      <w:r w:rsidR="00915C69">
        <w:rPr>
          <w:rFonts w:hAnsi="宋体" w:cs="宋体" w:hint="eastAsia"/>
          <w:szCs w:val="21"/>
        </w:rPr>
        <w:t>、</w:t>
      </w:r>
      <w:r w:rsidR="00915C69" w:rsidRPr="00765F6E">
        <w:rPr>
          <w:rFonts w:hAnsi="宋体" w:cs="宋体" w:hint="eastAsia"/>
          <w:szCs w:val="21"/>
        </w:rPr>
        <w:t>θ</w:t>
      </w:r>
      <w:r w:rsidR="00915C69">
        <w:rPr>
          <w:rFonts w:hAnsi="宋体" w:cs="宋体" w:hint="eastAsia"/>
          <w:szCs w:val="21"/>
          <w:vertAlign w:val="subscript"/>
        </w:rPr>
        <w:t>1</w:t>
      </w:r>
      <w:r w:rsidR="00915C69">
        <w:rPr>
          <w:rFonts w:hAnsi="宋体" w:cs="宋体" w:hint="eastAsia"/>
          <w:szCs w:val="21"/>
        </w:rPr>
        <w:t>、</w:t>
      </w:r>
      <w:r w:rsidR="00915C69" w:rsidRPr="00765F6E">
        <w:rPr>
          <w:rFonts w:hAnsi="宋体" w:cs="宋体" w:hint="eastAsia"/>
          <w:szCs w:val="21"/>
        </w:rPr>
        <w:t>θ</w:t>
      </w:r>
      <w:r w:rsidR="00915C69">
        <w:rPr>
          <w:rFonts w:hAnsi="宋体" w:cs="宋体" w:hint="eastAsia"/>
          <w:szCs w:val="21"/>
          <w:vertAlign w:val="subscript"/>
        </w:rPr>
        <w:t>2</w:t>
      </w:r>
      <w:r w:rsidRPr="00765F6E">
        <w:rPr>
          <w:rFonts w:hint="eastAsia"/>
          <w:szCs w:val="21"/>
        </w:rPr>
        <w:t>——梁端转角，单位为度（</w:t>
      </w:r>
      <w:r w:rsidRPr="00765F6E">
        <w:rPr>
          <w:rFonts w:hAnsi="宋体" w:cs="宋体" w:hint="eastAsia"/>
          <w:szCs w:val="21"/>
        </w:rPr>
        <w:t>rad</w:t>
      </w:r>
      <w:r w:rsidRPr="00765F6E">
        <w:rPr>
          <w:rFonts w:hint="eastAsia"/>
          <w:szCs w:val="21"/>
        </w:rPr>
        <w:t xml:space="preserve">）。 </w:t>
      </w:r>
    </w:p>
    <w:p w14:paraId="1039AD6A" w14:textId="77777777" w:rsidR="00737EB2" w:rsidRPr="00765F6E" w:rsidRDefault="00737EB2" w:rsidP="00DF023D">
      <w:pPr>
        <w:pStyle w:val="affffb"/>
        <w:ind w:firstLine="420"/>
      </w:pPr>
    </w:p>
    <w:p w14:paraId="0FBE6FF6" w14:textId="1B6FE99E" w:rsidR="00737EB2" w:rsidRPr="00765F6E" w:rsidRDefault="00737EB2" w:rsidP="009D0776">
      <w:pPr>
        <w:pStyle w:val="22"/>
      </w:pPr>
      <w:bookmarkStart w:id="1321" w:name="_Toc153291338"/>
      <w:bookmarkStart w:id="1322" w:name="_Toc99791907"/>
      <w:r w:rsidRPr="00765F6E">
        <w:rPr>
          <w:rFonts w:hint="eastAsia"/>
        </w:rPr>
        <w:t>位于无缝线路固定区的混凝土双线简支梁，其墩台顶部纵向水平线刚度不宜小于表</w:t>
      </w:r>
      <w:r w:rsidR="00B731DB" w:rsidRPr="00765F6E">
        <w:rPr>
          <w:rFonts w:hint="eastAsia"/>
        </w:rPr>
        <w:t>5</w:t>
      </w:r>
      <w:r w:rsidR="00B731DB">
        <w:t>3</w:t>
      </w:r>
      <w:r w:rsidRPr="00765F6E">
        <w:rPr>
          <w:rFonts w:hint="eastAsia"/>
        </w:rPr>
        <w:t>规定的限值要求。</w:t>
      </w:r>
      <w:bookmarkEnd w:id="1321"/>
      <w:bookmarkEnd w:id="1322"/>
    </w:p>
    <w:p w14:paraId="17D9E98A" w14:textId="77777777" w:rsidR="00737EB2" w:rsidRPr="00765F6E" w:rsidRDefault="00737EB2" w:rsidP="00737EB2">
      <w:pPr>
        <w:pStyle w:val="aff3"/>
        <w:spacing w:before="156" w:after="156"/>
      </w:pPr>
      <w:r w:rsidRPr="00765F6E">
        <w:rPr>
          <w:rFonts w:hint="eastAsia"/>
        </w:rPr>
        <w:t>双线简支梁墩顶纵向水平线刚度限值</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1897"/>
        <w:gridCol w:w="3868"/>
        <w:gridCol w:w="3569"/>
      </w:tblGrid>
      <w:tr w:rsidR="00737EB2" w:rsidRPr="00765F6E" w14:paraId="6D1F3E3A" w14:textId="77777777" w:rsidTr="00871D47">
        <w:trPr>
          <w:trHeight w:val="176"/>
          <w:jc w:val="center"/>
        </w:trPr>
        <w:tc>
          <w:tcPr>
            <w:tcW w:w="1016" w:type="pct"/>
            <w:vMerge w:val="restart"/>
            <w:tcBorders>
              <w:top w:val="single" w:sz="8" w:space="0" w:color="auto"/>
            </w:tcBorders>
            <w:shd w:val="clear" w:color="auto" w:fill="auto"/>
            <w:vAlign w:val="center"/>
          </w:tcPr>
          <w:p w14:paraId="1DE11D50"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跨度/m</w:t>
            </w:r>
          </w:p>
        </w:tc>
        <w:tc>
          <w:tcPr>
            <w:tcW w:w="3984" w:type="pct"/>
            <w:gridSpan w:val="2"/>
            <w:tcBorders>
              <w:top w:val="single" w:sz="8" w:space="0" w:color="auto"/>
            </w:tcBorders>
            <w:shd w:val="clear" w:color="auto" w:fill="auto"/>
            <w:vAlign w:val="center"/>
          </w:tcPr>
          <w:p w14:paraId="602E5928"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最小水平线刚度/（</w:t>
            </w:r>
            <w:proofErr w:type="spellStart"/>
            <w:r w:rsidRPr="00765F6E">
              <w:rPr>
                <w:rFonts w:hAnsi="宋体" w:cs="宋体" w:hint="eastAsia"/>
                <w:sz w:val="18"/>
                <w:szCs w:val="18"/>
              </w:rPr>
              <w:t>kN</w:t>
            </w:r>
            <w:proofErr w:type="spellEnd"/>
            <w:r w:rsidRPr="00765F6E">
              <w:rPr>
                <w:rFonts w:hAnsi="宋体" w:cs="宋体" w:hint="eastAsia"/>
                <w:sz w:val="18"/>
                <w:szCs w:val="18"/>
              </w:rPr>
              <w:t>/cm）</w:t>
            </w:r>
          </w:p>
        </w:tc>
      </w:tr>
      <w:tr w:rsidR="00737EB2" w:rsidRPr="00765F6E" w14:paraId="470D462C" w14:textId="77777777" w:rsidTr="00871D47">
        <w:trPr>
          <w:trHeight w:val="176"/>
          <w:jc w:val="center"/>
        </w:trPr>
        <w:tc>
          <w:tcPr>
            <w:tcW w:w="1016" w:type="pct"/>
            <w:vMerge/>
            <w:shd w:val="clear" w:color="auto" w:fill="auto"/>
            <w:vAlign w:val="center"/>
          </w:tcPr>
          <w:p w14:paraId="62A32A15" w14:textId="77777777" w:rsidR="00737EB2" w:rsidRPr="00765F6E" w:rsidRDefault="00737EB2" w:rsidP="00871D47">
            <w:pPr>
              <w:pStyle w:val="affffffffffff2"/>
              <w:spacing w:line="200" w:lineRule="exact"/>
              <w:jc w:val="center"/>
              <w:rPr>
                <w:rFonts w:hAnsi="宋体" w:cs="宋体"/>
                <w:sz w:val="18"/>
                <w:szCs w:val="18"/>
              </w:rPr>
            </w:pPr>
          </w:p>
        </w:tc>
        <w:tc>
          <w:tcPr>
            <w:tcW w:w="2072" w:type="pct"/>
            <w:shd w:val="clear" w:color="auto" w:fill="auto"/>
            <w:vAlign w:val="center"/>
          </w:tcPr>
          <w:p w14:paraId="289260F1"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年温差≤65℃</w:t>
            </w:r>
          </w:p>
        </w:tc>
        <w:tc>
          <w:tcPr>
            <w:tcW w:w="1912" w:type="pct"/>
            <w:shd w:val="clear" w:color="auto" w:fill="auto"/>
            <w:vAlign w:val="center"/>
          </w:tcPr>
          <w:p w14:paraId="129DB3F4" w14:textId="6C70411D"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年温差</w:t>
            </w:r>
            <w:r w:rsidR="00B01F50">
              <w:rPr>
                <w:rFonts w:hAnsi="宋体" w:cs="宋体" w:hint="eastAsia"/>
                <w:sz w:val="18"/>
                <w:szCs w:val="18"/>
              </w:rPr>
              <w:t>＞</w:t>
            </w:r>
            <w:r w:rsidRPr="00765F6E">
              <w:rPr>
                <w:rFonts w:hAnsi="宋体" w:cs="宋体" w:hint="eastAsia"/>
                <w:sz w:val="18"/>
                <w:szCs w:val="18"/>
              </w:rPr>
              <w:t>65℃</w:t>
            </w:r>
          </w:p>
        </w:tc>
      </w:tr>
      <w:tr w:rsidR="00737EB2" w:rsidRPr="00765F6E" w14:paraId="08B02DD7" w14:textId="77777777" w:rsidTr="00871D47">
        <w:trPr>
          <w:trHeight w:val="176"/>
          <w:jc w:val="center"/>
        </w:trPr>
        <w:tc>
          <w:tcPr>
            <w:tcW w:w="1016" w:type="pct"/>
            <w:shd w:val="clear" w:color="auto" w:fill="auto"/>
            <w:vAlign w:val="center"/>
          </w:tcPr>
          <w:p w14:paraId="6349D81B"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≤12</w:t>
            </w:r>
          </w:p>
        </w:tc>
        <w:tc>
          <w:tcPr>
            <w:tcW w:w="2072" w:type="pct"/>
            <w:shd w:val="clear" w:color="auto" w:fill="auto"/>
            <w:vAlign w:val="center"/>
          </w:tcPr>
          <w:p w14:paraId="22F460A6"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60</w:t>
            </w:r>
          </w:p>
        </w:tc>
        <w:tc>
          <w:tcPr>
            <w:tcW w:w="1912" w:type="pct"/>
            <w:shd w:val="clear" w:color="auto" w:fill="auto"/>
            <w:vAlign w:val="center"/>
          </w:tcPr>
          <w:p w14:paraId="142C75CE"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85</w:t>
            </w:r>
          </w:p>
        </w:tc>
      </w:tr>
      <w:tr w:rsidR="00737EB2" w:rsidRPr="00765F6E" w14:paraId="4C4313A2" w14:textId="77777777" w:rsidTr="00871D47">
        <w:trPr>
          <w:trHeight w:val="176"/>
          <w:jc w:val="center"/>
        </w:trPr>
        <w:tc>
          <w:tcPr>
            <w:tcW w:w="1016" w:type="pct"/>
            <w:shd w:val="clear" w:color="auto" w:fill="auto"/>
            <w:vAlign w:val="center"/>
          </w:tcPr>
          <w:p w14:paraId="69DB47F3"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16</w:t>
            </w:r>
          </w:p>
        </w:tc>
        <w:tc>
          <w:tcPr>
            <w:tcW w:w="2072" w:type="pct"/>
            <w:shd w:val="clear" w:color="auto" w:fill="auto"/>
            <w:vAlign w:val="center"/>
          </w:tcPr>
          <w:p w14:paraId="1C6433FC"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85</w:t>
            </w:r>
          </w:p>
        </w:tc>
        <w:tc>
          <w:tcPr>
            <w:tcW w:w="1912" w:type="pct"/>
            <w:shd w:val="clear" w:color="auto" w:fill="auto"/>
            <w:vAlign w:val="center"/>
          </w:tcPr>
          <w:p w14:paraId="4B2B03F1"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120</w:t>
            </w:r>
          </w:p>
        </w:tc>
      </w:tr>
      <w:tr w:rsidR="00737EB2" w:rsidRPr="00765F6E" w14:paraId="0C582E2C" w14:textId="77777777" w:rsidTr="00871D47">
        <w:trPr>
          <w:trHeight w:val="176"/>
          <w:jc w:val="center"/>
        </w:trPr>
        <w:tc>
          <w:tcPr>
            <w:tcW w:w="1016" w:type="pct"/>
            <w:shd w:val="clear" w:color="auto" w:fill="auto"/>
            <w:vAlign w:val="center"/>
          </w:tcPr>
          <w:p w14:paraId="44551AF2"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20</w:t>
            </w:r>
          </w:p>
        </w:tc>
        <w:tc>
          <w:tcPr>
            <w:tcW w:w="2072" w:type="pct"/>
            <w:shd w:val="clear" w:color="auto" w:fill="auto"/>
            <w:vAlign w:val="center"/>
          </w:tcPr>
          <w:p w14:paraId="0FF7A1BD"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100</w:t>
            </w:r>
          </w:p>
        </w:tc>
        <w:tc>
          <w:tcPr>
            <w:tcW w:w="1912" w:type="pct"/>
            <w:shd w:val="clear" w:color="auto" w:fill="auto"/>
            <w:vAlign w:val="center"/>
          </w:tcPr>
          <w:p w14:paraId="2A0491C0"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135</w:t>
            </w:r>
          </w:p>
        </w:tc>
      </w:tr>
      <w:tr w:rsidR="00737EB2" w:rsidRPr="00765F6E" w14:paraId="3E860750" w14:textId="77777777" w:rsidTr="00871D47">
        <w:trPr>
          <w:trHeight w:val="176"/>
          <w:jc w:val="center"/>
        </w:trPr>
        <w:tc>
          <w:tcPr>
            <w:tcW w:w="1016" w:type="pct"/>
            <w:shd w:val="clear" w:color="auto" w:fill="auto"/>
            <w:vAlign w:val="center"/>
          </w:tcPr>
          <w:p w14:paraId="2DF00309"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24</w:t>
            </w:r>
          </w:p>
        </w:tc>
        <w:tc>
          <w:tcPr>
            <w:tcW w:w="2072" w:type="pct"/>
            <w:shd w:val="clear" w:color="auto" w:fill="auto"/>
            <w:vAlign w:val="center"/>
          </w:tcPr>
          <w:p w14:paraId="6BB13AD2"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180</w:t>
            </w:r>
          </w:p>
        </w:tc>
        <w:tc>
          <w:tcPr>
            <w:tcW w:w="1912" w:type="pct"/>
            <w:shd w:val="clear" w:color="auto" w:fill="auto"/>
            <w:vAlign w:val="center"/>
          </w:tcPr>
          <w:p w14:paraId="092A803B"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210</w:t>
            </w:r>
          </w:p>
        </w:tc>
      </w:tr>
      <w:tr w:rsidR="00737EB2" w:rsidRPr="00765F6E" w14:paraId="059E9436" w14:textId="77777777" w:rsidTr="00871D47">
        <w:trPr>
          <w:trHeight w:val="176"/>
          <w:jc w:val="center"/>
        </w:trPr>
        <w:tc>
          <w:tcPr>
            <w:tcW w:w="1016" w:type="pct"/>
            <w:shd w:val="clear" w:color="auto" w:fill="auto"/>
            <w:vAlign w:val="center"/>
          </w:tcPr>
          <w:p w14:paraId="36D36486"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32</w:t>
            </w:r>
          </w:p>
        </w:tc>
        <w:tc>
          <w:tcPr>
            <w:tcW w:w="2072" w:type="pct"/>
            <w:shd w:val="clear" w:color="auto" w:fill="auto"/>
            <w:vAlign w:val="center"/>
          </w:tcPr>
          <w:p w14:paraId="66C44810"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190</w:t>
            </w:r>
          </w:p>
        </w:tc>
        <w:tc>
          <w:tcPr>
            <w:tcW w:w="1912" w:type="pct"/>
            <w:shd w:val="clear" w:color="auto" w:fill="auto"/>
            <w:vAlign w:val="center"/>
          </w:tcPr>
          <w:p w14:paraId="130D706C"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250</w:t>
            </w:r>
          </w:p>
        </w:tc>
      </w:tr>
      <w:tr w:rsidR="00737EB2" w:rsidRPr="00765F6E" w14:paraId="4A2222AA" w14:textId="77777777" w:rsidTr="00871D47">
        <w:trPr>
          <w:trHeight w:val="176"/>
          <w:jc w:val="center"/>
        </w:trPr>
        <w:tc>
          <w:tcPr>
            <w:tcW w:w="1016" w:type="pct"/>
            <w:shd w:val="clear" w:color="auto" w:fill="auto"/>
            <w:vAlign w:val="center"/>
          </w:tcPr>
          <w:p w14:paraId="2FA89F34"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40</w:t>
            </w:r>
          </w:p>
        </w:tc>
        <w:tc>
          <w:tcPr>
            <w:tcW w:w="2072" w:type="pct"/>
            <w:shd w:val="clear" w:color="auto" w:fill="auto"/>
            <w:vAlign w:val="center"/>
          </w:tcPr>
          <w:p w14:paraId="72F06195"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240</w:t>
            </w:r>
          </w:p>
        </w:tc>
        <w:tc>
          <w:tcPr>
            <w:tcW w:w="1912" w:type="pct"/>
            <w:shd w:val="clear" w:color="auto" w:fill="auto"/>
            <w:vAlign w:val="center"/>
          </w:tcPr>
          <w:p w14:paraId="0ADC8D37"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300</w:t>
            </w:r>
          </w:p>
        </w:tc>
      </w:tr>
      <w:tr w:rsidR="00737EB2" w:rsidRPr="00765F6E" w14:paraId="35168CD8" w14:textId="77777777" w:rsidTr="00871D47">
        <w:trPr>
          <w:trHeight w:val="176"/>
          <w:jc w:val="center"/>
        </w:trPr>
        <w:tc>
          <w:tcPr>
            <w:tcW w:w="1016" w:type="pct"/>
            <w:shd w:val="clear" w:color="auto" w:fill="auto"/>
            <w:vAlign w:val="center"/>
          </w:tcPr>
          <w:p w14:paraId="1A98A9A1"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48</w:t>
            </w:r>
          </w:p>
        </w:tc>
        <w:tc>
          <w:tcPr>
            <w:tcW w:w="2072" w:type="pct"/>
            <w:shd w:val="clear" w:color="auto" w:fill="auto"/>
            <w:vAlign w:val="center"/>
          </w:tcPr>
          <w:p w14:paraId="6DB03F1B"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320</w:t>
            </w:r>
          </w:p>
        </w:tc>
        <w:tc>
          <w:tcPr>
            <w:tcW w:w="1912" w:type="pct"/>
            <w:shd w:val="clear" w:color="auto" w:fill="auto"/>
            <w:vAlign w:val="center"/>
          </w:tcPr>
          <w:p w14:paraId="1D71E2CD"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460</w:t>
            </w:r>
          </w:p>
        </w:tc>
      </w:tr>
      <w:tr w:rsidR="00737EB2" w:rsidRPr="00765F6E" w14:paraId="1E927B0F" w14:textId="77777777" w:rsidTr="00871D47">
        <w:trPr>
          <w:trHeight w:val="176"/>
          <w:jc w:val="center"/>
        </w:trPr>
        <w:tc>
          <w:tcPr>
            <w:tcW w:w="5000" w:type="pct"/>
            <w:gridSpan w:val="3"/>
            <w:tcBorders>
              <w:top w:val="single" w:sz="8" w:space="0" w:color="auto"/>
              <w:bottom w:val="single" w:sz="8" w:space="0" w:color="auto"/>
            </w:tcBorders>
            <w:shd w:val="clear" w:color="auto" w:fill="auto"/>
            <w:vAlign w:val="center"/>
          </w:tcPr>
          <w:p w14:paraId="3D26010D" w14:textId="77777777" w:rsidR="00737EB2" w:rsidRPr="00765F6E" w:rsidRDefault="00737EB2" w:rsidP="00871D47">
            <w:pPr>
              <w:pStyle w:val="afff2"/>
              <w:numPr>
                <w:ilvl w:val="0"/>
                <w:numId w:val="0"/>
              </w:numPr>
              <w:ind w:firstLineChars="100" w:firstLine="180"/>
            </w:pPr>
            <w:r w:rsidRPr="00765F6E">
              <w:t>当墩台顶纵向水平线刚度不满足表中规定时，应进行无缝线路检算。</w:t>
            </w:r>
          </w:p>
          <w:p w14:paraId="76032D9B" w14:textId="77777777" w:rsidR="00737EB2" w:rsidRPr="00765F6E" w:rsidRDefault="00737EB2" w:rsidP="00871D47">
            <w:pPr>
              <w:pStyle w:val="afff2"/>
              <w:numPr>
                <w:ilvl w:val="0"/>
                <w:numId w:val="0"/>
              </w:numPr>
              <w:ind w:firstLineChars="100" w:firstLine="180"/>
            </w:pPr>
            <w:r w:rsidRPr="00765F6E">
              <w:t>单线简支梁墩顶最小水平线刚度限值按双线简支梁墩顶最小水平线刚度限值的0.6倍取值。</w:t>
            </w:r>
          </w:p>
          <w:p w14:paraId="72F983FF" w14:textId="77777777" w:rsidR="00737EB2" w:rsidRPr="00765F6E" w:rsidRDefault="00737EB2" w:rsidP="00871D47">
            <w:pPr>
              <w:pStyle w:val="afff2"/>
              <w:numPr>
                <w:ilvl w:val="0"/>
                <w:numId w:val="0"/>
              </w:numPr>
              <w:ind w:firstLineChars="100" w:firstLine="180"/>
            </w:pPr>
            <w:r w:rsidRPr="00765F6E">
              <w:t>单线简支梁桥台顶最小水平线刚度限值为1500kN/cm，双线简支梁桥台顶最小水平线刚度限值为3000kN/cm。</w:t>
            </w:r>
          </w:p>
          <w:p w14:paraId="6949D508" w14:textId="77777777" w:rsidR="00737EB2" w:rsidRPr="00765F6E" w:rsidRDefault="00737EB2" w:rsidP="00871D47">
            <w:pPr>
              <w:pStyle w:val="afff2"/>
              <w:numPr>
                <w:ilvl w:val="0"/>
                <w:numId w:val="0"/>
              </w:numPr>
              <w:ind w:firstLineChars="100" w:firstLine="180"/>
            </w:pPr>
            <w:r w:rsidRPr="00765F6E">
              <w:t>高架车站到发线有效长度范围内双线桥梁墩台的最小水平线刚度的限值按表中单线桥梁墩台的最小水平线刚度的限值的2.0倍取值。</w:t>
            </w:r>
          </w:p>
          <w:p w14:paraId="507E7670" w14:textId="77777777" w:rsidR="00737EB2" w:rsidRPr="00765F6E" w:rsidRDefault="00737EB2" w:rsidP="00871D47">
            <w:pPr>
              <w:pStyle w:val="a6"/>
              <w:numPr>
                <w:ilvl w:val="0"/>
                <w:numId w:val="0"/>
              </w:numPr>
              <w:tabs>
                <w:tab w:val="left" w:pos="851"/>
              </w:tabs>
              <w:ind w:left="363"/>
              <w:rPr>
                <w:lang w:bidi="ar"/>
              </w:rPr>
            </w:pPr>
            <w:r w:rsidRPr="00765F6E">
              <w:rPr>
                <w:rFonts w:ascii="黑体" w:eastAsia="黑体" w:hAnsi="黑体" w:hint="eastAsia"/>
                <w:lang w:bidi="ar"/>
              </w:rPr>
              <w:t>注：</w:t>
            </w:r>
            <w:r w:rsidRPr="00765F6E">
              <w:rPr>
                <w:lang w:bidi="ar"/>
              </w:rPr>
              <w:t>年温差是指桥址处极端最高气温与极端最低气温之差。</w:t>
            </w:r>
          </w:p>
        </w:tc>
      </w:tr>
    </w:tbl>
    <w:p w14:paraId="7487B627" w14:textId="77777777" w:rsidR="00737EB2" w:rsidRPr="00765F6E" w:rsidRDefault="00737EB2" w:rsidP="00C954F6">
      <w:pPr>
        <w:pStyle w:val="affffb"/>
        <w:snapToGrid w:val="0"/>
        <w:ind w:firstLine="420"/>
      </w:pPr>
    </w:p>
    <w:p w14:paraId="1563EFDB" w14:textId="77777777" w:rsidR="00737EB2" w:rsidRPr="00765F6E" w:rsidRDefault="00737EB2" w:rsidP="009D0776">
      <w:pPr>
        <w:pStyle w:val="22"/>
        <w:rPr>
          <w:szCs w:val="21"/>
        </w:rPr>
      </w:pPr>
      <w:bookmarkStart w:id="1323" w:name="_Toc153291340"/>
      <w:bookmarkStart w:id="1324" w:name="_Toc99791908"/>
      <w:r w:rsidRPr="00765F6E">
        <w:rPr>
          <w:rFonts w:hint="eastAsia"/>
        </w:rPr>
        <w:t>三跨预应力混凝土连续梁桥长大于300m，预应力混凝土刚构桥长度大于350m，宜考虑设置桥上轨缝伸缩调节器，伸缩调节器宜布置在桥梁两端端部区域。如不布置轨缝伸缩调节器，则应进行梁轨相互作用分析，检算桥上钢轨强度和线路的稳定性。</w:t>
      </w:r>
      <w:bookmarkEnd w:id="1323"/>
    </w:p>
    <w:p w14:paraId="35F55770" w14:textId="2F6219F5" w:rsidR="00737EB2" w:rsidRPr="00765F6E" w:rsidRDefault="00737EB2" w:rsidP="009D0776">
      <w:pPr>
        <w:pStyle w:val="22"/>
      </w:pPr>
      <w:bookmarkStart w:id="1325" w:name="_Toc153291341"/>
      <w:r w:rsidRPr="00765F6E">
        <w:t>墩台横向水平线刚度应满足列车运行安全性和旅客乘车舒适度要求，并对最不利荷载作用下墩台顶横向弹性水平位移进行计算。在列车竖向静</w:t>
      </w:r>
      <w:r w:rsidRPr="00765F6E">
        <w:rPr>
          <w:rFonts w:hint="eastAsia"/>
        </w:rPr>
        <w:t>荷载</w:t>
      </w:r>
      <w:r w:rsidRPr="00765F6E">
        <w:t>、横向摇摆力、离心力、风力和温度的作用下，墩顶横向水平位移引起的桥面处梁端水平折角</w:t>
      </w:r>
      <w:r w:rsidRPr="00765F6E">
        <w:rPr>
          <w:rFonts w:hint="eastAsia"/>
        </w:rPr>
        <w:t>如图</w:t>
      </w:r>
      <w:r w:rsidR="00357519">
        <w:t>13</w:t>
      </w:r>
      <w:r w:rsidRPr="00765F6E">
        <w:rPr>
          <w:rFonts w:hint="eastAsia"/>
        </w:rPr>
        <w:t>所示，并</w:t>
      </w:r>
      <w:r w:rsidRPr="00765F6E">
        <w:t>应符合下列规定：</w:t>
      </w:r>
      <w:bookmarkEnd w:id="1324"/>
      <w:bookmarkEnd w:id="1325"/>
    </w:p>
    <w:p w14:paraId="202823FA" w14:textId="77777777" w:rsidR="00737EB2" w:rsidRPr="00765F6E" w:rsidRDefault="00737EB2" w:rsidP="003334F3">
      <w:pPr>
        <w:pStyle w:val="af6"/>
        <w:numPr>
          <w:ilvl w:val="0"/>
          <w:numId w:val="106"/>
        </w:numPr>
        <w:tabs>
          <w:tab w:val="left" w:pos="851"/>
        </w:tabs>
        <w:snapToGrid w:val="0"/>
        <w:contextualSpacing/>
      </w:pPr>
      <w:r w:rsidRPr="00765F6E">
        <w:rPr>
          <w:rFonts w:hint="eastAsia"/>
        </w:rPr>
        <w:t>当设计速度160km/h及以下时，跨度小于40m的梁端水平折角不应大于1.5‰ rad，跨度大于等于40m的梁端水平折角不应大于1.0‰ rad；</w:t>
      </w:r>
    </w:p>
    <w:p w14:paraId="3EF901D1" w14:textId="77777777" w:rsidR="00737EB2" w:rsidRPr="00765F6E" w:rsidRDefault="00737EB2" w:rsidP="003334F3">
      <w:pPr>
        <w:pStyle w:val="af6"/>
        <w:numPr>
          <w:ilvl w:val="0"/>
          <w:numId w:val="106"/>
        </w:numPr>
        <w:tabs>
          <w:tab w:val="left" w:pos="851"/>
        </w:tabs>
        <w:snapToGrid w:val="0"/>
        <w:contextualSpacing/>
      </w:pPr>
      <w:r w:rsidRPr="00765F6E">
        <w:rPr>
          <w:rFonts w:hint="eastAsia"/>
        </w:rPr>
        <w:lastRenderedPageBreak/>
        <w:t>梁端水平折角计算宜考虑以下荷载作用：竖向静荷载；曲线上列车的离心力；列车的横向摇摆力；列车、梁及墩身风荷载或0.4倍的风荷载与0.5倍的桥墩温差组合作用，取较大者；水中墩的水流压力作用；地基基础弹性变形引起的墩顶水平位移。</w:t>
      </w:r>
    </w:p>
    <w:p w14:paraId="71C77A27" w14:textId="77777777" w:rsidR="00737EB2" w:rsidRPr="00765F6E" w:rsidRDefault="00737EB2" w:rsidP="00737EB2">
      <w:pPr>
        <w:pStyle w:val="af6"/>
        <w:numPr>
          <w:ilvl w:val="0"/>
          <w:numId w:val="0"/>
        </w:numPr>
        <w:ind w:left="425"/>
      </w:pPr>
    </w:p>
    <w:p w14:paraId="0CA61219" w14:textId="77777777" w:rsidR="00737EB2" w:rsidRPr="00765F6E" w:rsidRDefault="00737EB2" w:rsidP="00737EB2">
      <w:pPr>
        <w:pStyle w:val="af6"/>
        <w:numPr>
          <w:ilvl w:val="0"/>
          <w:numId w:val="0"/>
        </w:numPr>
        <w:ind w:left="851"/>
        <w:jc w:val="center"/>
      </w:pPr>
      <w:r w:rsidRPr="00765F6E">
        <w:rPr>
          <w:rFonts w:ascii="Times New Roman" w:hAnsi="宋体" w:hint="eastAsia"/>
          <w:b/>
          <w:noProof/>
          <w:sz w:val="22"/>
        </w:rPr>
        <w:drawing>
          <wp:inline distT="0" distB="0" distL="0" distR="0" wp14:anchorId="555D1C86" wp14:editId="701C1A5E">
            <wp:extent cx="4881880" cy="1367790"/>
            <wp:effectExtent l="0" t="0" r="13970" b="381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4881880" cy="1367790"/>
                    </a:xfrm>
                    <a:prstGeom prst="rect">
                      <a:avLst/>
                    </a:prstGeom>
                    <a:noFill/>
                    <a:ln>
                      <a:noFill/>
                    </a:ln>
                  </pic:spPr>
                </pic:pic>
              </a:graphicData>
            </a:graphic>
          </wp:inline>
        </w:drawing>
      </w:r>
    </w:p>
    <w:p w14:paraId="5A10FA29" w14:textId="77777777" w:rsidR="00737EB2" w:rsidRPr="00765F6E" w:rsidRDefault="00737EB2" w:rsidP="00737EB2">
      <w:pPr>
        <w:pStyle w:val="afe"/>
        <w:spacing w:before="156" w:after="156"/>
      </w:pPr>
      <w:r w:rsidRPr="00765F6E">
        <w:rPr>
          <w:rFonts w:hint="eastAsia"/>
        </w:rPr>
        <w:t>梁端水平折角示意图</w:t>
      </w:r>
    </w:p>
    <w:p w14:paraId="5859CFC2" w14:textId="1BF86473" w:rsidR="00737EB2" w:rsidRPr="00765F6E" w:rsidRDefault="00737EB2" w:rsidP="009D0776">
      <w:pPr>
        <w:pStyle w:val="22"/>
      </w:pPr>
      <w:bookmarkStart w:id="1326" w:name="_Toc153291342"/>
      <w:bookmarkStart w:id="1327" w:name="_Toc99791909"/>
      <w:r w:rsidRPr="00765F6E">
        <w:rPr>
          <w:rFonts w:hint="eastAsia"/>
        </w:rPr>
        <w:t>简支梁桥墩台顶面顺桥向的弹性水平位移应满足公式（</w:t>
      </w:r>
      <w:r w:rsidR="00141503" w:rsidRPr="00765F6E">
        <w:rPr>
          <w:rFonts w:hint="eastAsia"/>
        </w:rPr>
        <w:t>3</w:t>
      </w:r>
      <w:r w:rsidR="00141503">
        <w:t>2</w:t>
      </w:r>
      <w:r w:rsidRPr="00765F6E">
        <w:rPr>
          <w:rFonts w:hint="eastAsia"/>
        </w:rPr>
        <w:t>）要求</w:t>
      </w:r>
      <w:bookmarkEnd w:id="1326"/>
      <w:bookmarkEnd w:id="1327"/>
      <w:r w:rsidRPr="00765F6E">
        <w:rPr>
          <w:rFonts w:hint="eastAsia"/>
        </w:rPr>
        <w:t>。</w:t>
      </w:r>
    </w:p>
    <w:p w14:paraId="08842FA7" w14:textId="5C19B176" w:rsidR="00737EB2" w:rsidRPr="00765F6E" w:rsidRDefault="00737EB2" w:rsidP="00737EB2">
      <w:pPr>
        <w:pStyle w:val="affffffd"/>
        <w:spacing w:before="156" w:after="156"/>
      </w:pPr>
      <w:r w:rsidRPr="00765F6E">
        <w:tab/>
      </w:r>
      <m:oMath>
        <m:r>
          <m:rPr>
            <m:sty m:val="p"/>
          </m:rPr>
          <w:rPr>
            <w:rFonts w:ascii="Cambria Math" w:hAnsi="Cambria Math"/>
            <w:position w:val="-6"/>
          </w:rPr>
          <w:object w:dxaOrig="843" w:dyaOrig="311" w14:anchorId="266C6E2F">
            <v:shape id="_x0000_i1039" type="#_x0000_t75" style="width:42.7pt;height:15.05pt" o:ole="">
              <v:imagedata r:id="rId62" o:title=""/>
            </v:shape>
            <o:OLEObject Type="Embed" ProgID="Equation.DSMT4" ShapeID="_x0000_i1039" DrawAspect="Content" ObjectID="_1793792804" r:id="rId63"/>
          </w:object>
        </m:r>
      </m:oMath>
      <w:r w:rsidRPr="00765F6E">
        <w:rPr>
          <w:rFonts w:ascii="微软雅黑" w:eastAsia="微软雅黑" w:hAnsi="微软雅黑"/>
        </w:rPr>
        <w:tab/>
      </w:r>
      <w:r w:rsidRPr="00765F6E">
        <w:t>(</w:t>
      </w:r>
      <w:r w:rsidR="00141503" w:rsidRPr="00765F6E">
        <w:rPr>
          <w:rFonts w:hint="eastAsia"/>
        </w:rPr>
        <w:t>3</w:t>
      </w:r>
      <w:r w:rsidR="00141503">
        <w:t>2</w:t>
      </w:r>
      <w:r w:rsidRPr="00765F6E">
        <w:t>)</w:t>
      </w:r>
    </w:p>
    <w:p w14:paraId="5224DBE7" w14:textId="77777777" w:rsidR="00737EB2" w:rsidRPr="00765F6E" w:rsidRDefault="00737EB2" w:rsidP="00DF023D">
      <w:pPr>
        <w:pStyle w:val="affffa"/>
        <w:spacing w:line="240" w:lineRule="auto"/>
        <w:ind w:firstLine="420"/>
        <w:rPr>
          <w:rFonts w:ascii="Times New Roman" w:hAnsi="宋体"/>
        </w:rPr>
      </w:pPr>
      <w:r w:rsidRPr="00765F6E">
        <w:rPr>
          <w:rFonts w:hint="eastAsia"/>
        </w:rPr>
        <w:t>式中：</w:t>
      </w:r>
      <w:r w:rsidRPr="00765F6E">
        <w:rPr>
          <w:rFonts w:ascii="Times New Roman" w:hAnsi="宋体"/>
        </w:rPr>
        <w:t xml:space="preserve"> </w:t>
      </w:r>
    </w:p>
    <w:p w14:paraId="6B151CA2" w14:textId="77777777" w:rsidR="00737EB2" w:rsidRPr="00765F6E" w:rsidRDefault="00737EB2" w:rsidP="00DF023D">
      <w:pPr>
        <w:adjustRightInd/>
        <w:spacing w:line="240" w:lineRule="auto"/>
        <w:ind w:leftChars="200" w:left="840" w:hangingChars="200" w:hanging="420"/>
        <w:jc w:val="left"/>
        <w:rPr>
          <w:rFonts w:hAnsi="宋体" w:cs="宋体"/>
          <w:lang w:bidi="ar"/>
        </w:rPr>
      </w:pPr>
      <w:r w:rsidRPr="00765F6E">
        <w:rPr>
          <w:rFonts w:hAnsi="宋体" w:cs="宋体"/>
          <w:lang w:bidi="ar"/>
        </w:rPr>
        <w:object w:dxaOrig="221" w:dyaOrig="221" w14:anchorId="28CBBCCB">
          <v:shape id="_x0000_i1040" type="#_x0000_t75" style="width:11.7pt;height:11.7pt" o:ole="">
            <v:imagedata r:id="rId64" o:title=""/>
          </v:shape>
          <o:OLEObject Type="Embed" ProgID="Equation.DSMT4" ShapeID="_x0000_i1040" DrawAspect="Content" ObjectID="_1793792805" r:id="rId65"/>
        </w:object>
      </w:r>
      <w:r w:rsidRPr="00765F6E">
        <w:rPr>
          <w:rFonts w:hAnsi="宋体" w:cs="宋体"/>
          <w:lang w:bidi="ar"/>
        </w:rPr>
        <w:t>——墩台顶面处的水平位移</w:t>
      </w:r>
      <w:r w:rsidRPr="00765F6E">
        <w:rPr>
          <w:rFonts w:hAnsi="宋体" w:cs="宋体" w:hint="eastAsia"/>
          <w:lang w:bidi="ar"/>
        </w:rPr>
        <w:t>，单位为毫米</w:t>
      </w:r>
      <w:r w:rsidRPr="00765F6E">
        <w:rPr>
          <w:rFonts w:hAnsi="宋体" w:cs="宋体"/>
          <w:lang w:bidi="ar"/>
        </w:rPr>
        <w:t>(mm)</w:t>
      </w:r>
      <w:r w:rsidRPr="00765F6E">
        <w:rPr>
          <w:rFonts w:hAnsi="宋体" w:cs="宋体"/>
          <w:lang w:bidi="ar"/>
        </w:rPr>
        <w:t>，包括由于墩台身和基础的弹性变形，以及基底土弹性变形的影响：计算钢筋混凝土墩台水平位移时，截面惯性矩</w:t>
      </w:r>
      <w:r w:rsidRPr="00765F6E">
        <w:rPr>
          <w:rFonts w:hAnsi="宋体" w:cs="宋体"/>
          <w:lang w:bidi="ar"/>
        </w:rPr>
        <w:object w:dxaOrig="208" w:dyaOrig="221" w14:anchorId="2B1688AC">
          <v:shape id="_x0000_i1041" type="#_x0000_t75" style="width:11.7pt;height:11.7pt" o:ole="">
            <v:imagedata r:id="rId66" o:title=""/>
          </v:shape>
          <o:OLEObject Type="Embed" ProgID="Equation.DSMT4" ShapeID="_x0000_i1041" DrawAspect="Content" ObjectID="_1793792806" r:id="rId67"/>
        </w:object>
      </w:r>
      <w:r w:rsidRPr="00765F6E">
        <w:rPr>
          <w:rFonts w:hAnsi="宋体" w:cs="宋体"/>
          <w:lang w:bidi="ar"/>
        </w:rPr>
        <w:t>按全截面考虑，抗弯刚度应取</w:t>
      </w:r>
      <w:r w:rsidRPr="00765F6E">
        <w:rPr>
          <w:rFonts w:hAnsi="宋体" w:cs="宋体"/>
          <w:lang w:bidi="ar"/>
        </w:rPr>
        <w:object w:dxaOrig="636" w:dyaOrig="311" w14:anchorId="1A85E88E">
          <v:shape id="_x0000_i1042" type="#_x0000_t75" style="width:34.35pt;height:15.05pt" o:ole="">
            <v:imagedata r:id="rId68" o:title=""/>
          </v:shape>
          <o:OLEObject Type="Embed" ProgID="Equation.DSMT4" ShapeID="_x0000_i1042" DrawAspect="Content" ObjectID="_1793792807" r:id="rId69"/>
        </w:object>
      </w:r>
      <w:r w:rsidRPr="00765F6E">
        <w:rPr>
          <w:rFonts w:hAnsi="宋体" w:cs="宋体"/>
          <w:lang w:bidi="ar"/>
        </w:rPr>
        <w:t>，</w:t>
      </w:r>
      <w:r w:rsidRPr="00765F6E">
        <w:rPr>
          <w:rFonts w:hAnsi="宋体" w:cs="宋体"/>
          <w:lang w:bidi="ar"/>
        </w:rPr>
        <w:object w:dxaOrig="285" w:dyaOrig="311" w14:anchorId="1E3760A9">
          <v:shape id="_x0000_i1043" type="#_x0000_t75" style="width:15.05pt;height:15.05pt" o:ole="">
            <v:imagedata r:id="rId70" o:title=""/>
          </v:shape>
          <o:OLEObject Type="Embed" ProgID="Equation.DSMT4" ShapeID="_x0000_i1043" DrawAspect="Content" ObjectID="_1793792808" r:id="rId71"/>
        </w:object>
      </w:r>
      <w:r w:rsidRPr="00765F6E">
        <w:rPr>
          <w:rFonts w:hAnsi="宋体" w:cs="宋体"/>
          <w:lang w:bidi="ar"/>
        </w:rPr>
        <w:t>为墩台身的受压弹性模量</w:t>
      </w:r>
      <w:r w:rsidRPr="00765F6E">
        <w:rPr>
          <w:rFonts w:hAnsi="宋体" w:cs="宋体" w:hint="eastAsia"/>
          <w:lang w:bidi="ar"/>
        </w:rPr>
        <w:t>；</w:t>
      </w:r>
    </w:p>
    <w:p w14:paraId="23F86C63" w14:textId="77777777" w:rsidR="00737EB2" w:rsidRPr="00765F6E" w:rsidRDefault="00737EB2" w:rsidP="00DF023D">
      <w:pPr>
        <w:adjustRightInd/>
        <w:spacing w:line="240" w:lineRule="auto"/>
        <w:ind w:leftChars="200" w:left="840" w:hangingChars="200" w:hanging="420"/>
        <w:jc w:val="left"/>
        <w:rPr>
          <w:rFonts w:hAnsi="宋体" w:cs="宋体"/>
          <w:lang w:bidi="ar"/>
        </w:rPr>
      </w:pPr>
      <w:r w:rsidRPr="00765F6E">
        <w:rPr>
          <w:rFonts w:hAnsi="宋体" w:cs="宋体"/>
          <w:lang w:bidi="ar"/>
        </w:rPr>
        <w:object w:dxaOrig="208" w:dyaOrig="221" w14:anchorId="4D83FB66">
          <v:shape id="_x0000_i1044" type="#_x0000_t75" style="width:11.7pt;height:11.7pt" o:ole="">
            <v:imagedata r:id="rId72" o:title=""/>
          </v:shape>
          <o:OLEObject Type="Embed" ProgID="Equation.DSMT4" ShapeID="_x0000_i1044" DrawAspect="Content" ObjectID="_1793792809" r:id="rId73"/>
        </w:object>
      </w:r>
      <w:r w:rsidRPr="00765F6E">
        <w:rPr>
          <w:rFonts w:hAnsi="宋体" w:cs="宋体"/>
          <w:lang w:bidi="ar"/>
        </w:rPr>
        <w:t>——桥梁跨度</w:t>
      </w:r>
      <w:r w:rsidRPr="00765F6E">
        <w:rPr>
          <w:rFonts w:hAnsi="宋体" w:cs="宋体" w:hint="eastAsia"/>
          <w:lang w:bidi="ar"/>
        </w:rPr>
        <w:t>，单位为米</w:t>
      </w:r>
      <w:r w:rsidRPr="00765F6E">
        <w:rPr>
          <w:rFonts w:hAnsi="宋体" w:cs="宋体"/>
          <w:lang w:bidi="ar"/>
        </w:rPr>
        <w:t>(m)</w:t>
      </w:r>
      <w:r w:rsidRPr="00765F6E">
        <w:rPr>
          <w:rFonts w:hAnsi="宋体" w:cs="宋体"/>
          <w:lang w:bidi="ar"/>
        </w:rPr>
        <w:t>：当</w:t>
      </w:r>
      <w:r w:rsidRPr="00765F6E">
        <w:rPr>
          <w:rFonts w:hAnsi="宋体" w:cs="宋体"/>
          <w:lang w:bidi="ar"/>
        </w:rPr>
        <w:object w:dxaOrig="208" w:dyaOrig="221" w14:anchorId="5B50673F">
          <v:shape id="_x0000_i1045" type="#_x0000_t75" style="width:11.7pt;height:11.7pt" o:ole="">
            <v:imagedata r:id="rId74" o:title=""/>
          </v:shape>
          <o:OLEObject Type="Embed" ProgID="Equation.DSMT4" ShapeID="_x0000_i1045" DrawAspect="Content" ObjectID="_1793792810" r:id="rId75"/>
        </w:object>
      </w:r>
      <w:r w:rsidRPr="00765F6E">
        <w:rPr>
          <w:rFonts w:hAnsi="宋体" w:cs="宋体"/>
          <w:lang w:bidi="ar"/>
        </w:rPr>
        <w:t>小于</w:t>
      </w:r>
      <w:r w:rsidRPr="00765F6E">
        <w:rPr>
          <w:rFonts w:hAnsi="宋体" w:cs="宋体"/>
          <w:lang w:bidi="ar"/>
        </w:rPr>
        <w:t>24 m</w:t>
      </w:r>
      <w:r w:rsidRPr="00765F6E">
        <w:rPr>
          <w:rFonts w:hAnsi="宋体" w:cs="宋体"/>
          <w:lang w:bidi="ar"/>
        </w:rPr>
        <w:t>时，</w:t>
      </w:r>
      <w:r w:rsidRPr="00765F6E">
        <w:rPr>
          <w:rFonts w:hAnsi="宋体" w:cs="宋体"/>
          <w:lang w:bidi="ar"/>
        </w:rPr>
        <w:object w:dxaOrig="208" w:dyaOrig="221" w14:anchorId="3695CB02">
          <v:shape id="_x0000_i1046" type="#_x0000_t75" style="width:11.7pt;height:11.7pt" o:ole="">
            <v:imagedata r:id="rId74" o:title=""/>
          </v:shape>
          <o:OLEObject Type="Embed" ProgID="Equation.DSMT4" ShapeID="_x0000_i1046" DrawAspect="Content" ObjectID="_1793792811" r:id="rId76"/>
        </w:object>
      </w:r>
      <w:r w:rsidRPr="00765F6E">
        <w:rPr>
          <w:rFonts w:hAnsi="宋体" w:cs="宋体"/>
          <w:lang w:bidi="ar"/>
        </w:rPr>
        <w:t>按</w:t>
      </w:r>
      <w:r w:rsidRPr="00765F6E">
        <w:rPr>
          <w:rFonts w:hAnsi="宋体" w:cs="宋体"/>
          <w:lang w:bidi="ar"/>
        </w:rPr>
        <w:t>24 m</w:t>
      </w:r>
      <w:r w:rsidRPr="00765F6E">
        <w:rPr>
          <w:rFonts w:hAnsi="宋体" w:cs="宋体"/>
          <w:lang w:bidi="ar"/>
        </w:rPr>
        <w:t>计算；当为不等跨时，</w:t>
      </w:r>
      <w:r w:rsidRPr="00765F6E">
        <w:rPr>
          <w:rFonts w:hAnsi="宋体" w:cs="宋体"/>
          <w:lang w:bidi="ar"/>
        </w:rPr>
        <w:object w:dxaOrig="208" w:dyaOrig="221" w14:anchorId="2B99CD84">
          <v:shape id="_x0000_i1047" type="#_x0000_t75" style="width:11.7pt;height:11.7pt" o:ole="">
            <v:imagedata r:id="rId74" o:title=""/>
          </v:shape>
          <o:OLEObject Type="Embed" ProgID="Equation.DSMT4" ShapeID="_x0000_i1047" DrawAspect="Content" ObjectID="_1793792812" r:id="rId77"/>
        </w:object>
      </w:r>
      <w:r w:rsidRPr="00765F6E">
        <w:rPr>
          <w:rFonts w:hAnsi="宋体" w:cs="宋体"/>
          <w:lang w:bidi="ar"/>
        </w:rPr>
        <w:t>采用相邻桥跨较小跨的跨度。</w:t>
      </w:r>
    </w:p>
    <w:p w14:paraId="0C62DD6C" w14:textId="5844C484" w:rsidR="00737EB2" w:rsidRPr="00765F6E" w:rsidRDefault="00737EB2" w:rsidP="009D0776">
      <w:pPr>
        <w:pStyle w:val="22"/>
      </w:pPr>
      <w:bookmarkStart w:id="1328" w:name="_Toc99791910"/>
      <w:bookmarkStart w:id="1329" w:name="_Toc153291343"/>
      <w:r w:rsidRPr="00765F6E">
        <w:rPr>
          <w:rFonts w:hint="eastAsia"/>
        </w:rPr>
        <w:t>墩台基础的沉降只考虑恒载的作用，静定结构墩台基础工后沉降量不应大于表</w:t>
      </w:r>
      <w:r w:rsidR="00B731DB" w:rsidRPr="00765F6E">
        <w:rPr>
          <w:rFonts w:hint="eastAsia"/>
        </w:rPr>
        <w:t>5</w:t>
      </w:r>
      <w:r w:rsidR="00B731DB">
        <w:t>4</w:t>
      </w:r>
      <w:r w:rsidRPr="00765F6E">
        <w:rPr>
          <w:rFonts w:hint="eastAsia"/>
        </w:rPr>
        <w:t>规定的限值。超静定结构相邻墩台沉降量之差除应满足下表的规定外，尚应根据沉降差对结构产生的附加应力的影响确定。墩台基础沉降计算值不应含区域沉降。</w:t>
      </w:r>
      <w:bookmarkEnd w:id="1328"/>
      <w:bookmarkEnd w:id="1329"/>
    </w:p>
    <w:p w14:paraId="47D52857" w14:textId="69BF89AE" w:rsidR="00737EB2" w:rsidRPr="00765F6E" w:rsidRDefault="00C14412" w:rsidP="00737EB2">
      <w:pPr>
        <w:pStyle w:val="aff3"/>
        <w:spacing w:before="156" w:after="156"/>
      </w:pPr>
      <w:r w:rsidRPr="00BF0BA3">
        <w:rPr>
          <w:rFonts w:hint="eastAsia"/>
        </w:rPr>
        <w:t>静定结构墩台基础工后沉降限</w:t>
      </w:r>
      <w:r w:rsidR="00737EB2" w:rsidRPr="00765F6E">
        <w:rPr>
          <w:rFonts w:hint="eastAsia"/>
        </w:rPr>
        <w:t>值</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top w:w="15" w:type="dxa"/>
          <w:bottom w:w="15" w:type="dxa"/>
        </w:tblCellMar>
        <w:tblLook w:val="04A0" w:firstRow="1" w:lastRow="0" w:firstColumn="1" w:lastColumn="0" w:noHBand="0" w:noVBand="1"/>
      </w:tblPr>
      <w:tblGrid>
        <w:gridCol w:w="3004"/>
        <w:gridCol w:w="3855"/>
        <w:gridCol w:w="2475"/>
      </w:tblGrid>
      <w:tr w:rsidR="004E34FD" w:rsidRPr="00765F6E" w14:paraId="562887CB" w14:textId="77777777" w:rsidTr="00BF0BA3">
        <w:trPr>
          <w:trHeight w:val="176"/>
          <w:jc w:val="center"/>
        </w:trPr>
        <w:tc>
          <w:tcPr>
            <w:tcW w:w="1609" w:type="pct"/>
            <w:shd w:val="clear" w:color="auto" w:fill="auto"/>
            <w:vAlign w:val="center"/>
          </w:tcPr>
          <w:p w14:paraId="57795C9C"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桥上轨道类型</w:t>
            </w:r>
          </w:p>
        </w:tc>
        <w:tc>
          <w:tcPr>
            <w:tcW w:w="2065" w:type="pct"/>
            <w:shd w:val="clear" w:color="auto" w:fill="auto"/>
            <w:vAlign w:val="center"/>
          </w:tcPr>
          <w:p w14:paraId="416D5CAE"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沉降类型</w:t>
            </w:r>
          </w:p>
        </w:tc>
        <w:tc>
          <w:tcPr>
            <w:tcW w:w="1326" w:type="pct"/>
            <w:shd w:val="clear" w:color="auto" w:fill="auto"/>
            <w:vAlign w:val="center"/>
          </w:tcPr>
          <w:p w14:paraId="1B8951B6"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限值</w:t>
            </w:r>
          </w:p>
          <w:p w14:paraId="7E106611"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mm</w:t>
            </w:r>
          </w:p>
        </w:tc>
      </w:tr>
      <w:tr w:rsidR="004E34FD" w:rsidRPr="00765F6E" w14:paraId="415CF729" w14:textId="77777777" w:rsidTr="00BF0BA3">
        <w:trPr>
          <w:trHeight w:val="176"/>
          <w:jc w:val="center"/>
        </w:trPr>
        <w:tc>
          <w:tcPr>
            <w:tcW w:w="1609" w:type="pct"/>
            <w:vMerge w:val="restart"/>
            <w:shd w:val="clear" w:color="auto" w:fill="auto"/>
            <w:vAlign w:val="center"/>
          </w:tcPr>
          <w:p w14:paraId="6BEE6D0E"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有砟轨道</w:t>
            </w:r>
          </w:p>
        </w:tc>
        <w:tc>
          <w:tcPr>
            <w:tcW w:w="2065" w:type="pct"/>
            <w:shd w:val="clear" w:color="auto" w:fill="auto"/>
            <w:vAlign w:val="center"/>
          </w:tcPr>
          <w:p w14:paraId="43DFBF40"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墩台均匀沉降</w:t>
            </w:r>
          </w:p>
        </w:tc>
        <w:tc>
          <w:tcPr>
            <w:tcW w:w="1326" w:type="pct"/>
            <w:shd w:val="clear" w:color="auto" w:fill="auto"/>
            <w:vAlign w:val="center"/>
          </w:tcPr>
          <w:p w14:paraId="79B8CB52"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80</w:t>
            </w:r>
          </w:p>
        </w:tc>
      </w:tr>
      <w:tr w:rsidR="004E34FD" w:rsidRPr="00765F6E" w14:paraId="054D53BD" w14:textId="77777777" w:rsidTr="00BF0BA3">
        <w:trPr>
          <w:trHeight w:val="176"/>
          <w:jc w:val="center"/>
        </w:trPr>
        <w:tc>
          <w:tcPr>
            <w:tcW w:w="1609" w:type="pct"/>
            <w:vMerge/>
            <w:shd w:val="clear" w:color="auto" w:fill="auto"/>
            <w:vAlign w:val="center"/>
          </w:tcPr>
          <w:p w14:paraId="2682A8CD" w14:textId="77777777" w:rsidR="004E34FD" w:rsidRPr="00765F6E" w:rsidRDefault="004E34FD" w:rsidP="00871D47">
            <w:pPr>
              <w:pStyle w:val="affffffffffff2"/>
              <w:spacing w:line="200" w:lineRule="exact"/>
              <w:jc w:val="center"/>
              <w:rPr>
                <w:rFonts w:hAnsi="宋体" w:cs="宋体"/>
                <w:sz w:val="18"/>
                <w:szCs w:val="18"/>
              </w:rPr>
            </w:pPr>
          </w:p>
        </w:tc>
        <w:tc>
          <w:tcPr>
            <w:tcW w:w="2065" w:type="pct"/>
            <w:shd w:val="clear" w:color="auto" w:fill="auto"/>
            <w:vAlign w:val="center"/>
          </w:tcPr>
          <w:p w14:paraId="7AB2B231"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相邻墩台沉降差</w:t>
            </w:r>
          </w:p>
        </w:tc>
        <w:tc>
          <w:tcPr>
            <w:tcW w:w="1326" w:type="pct"/>
            <w:shd w:val="clear" w:color="auto" w:fill="auto"/>
            <w:vAlign w:val="center"/>
          </w:tcPr>
          <w:p w14:paraId="346AEE86"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40</w:t>
            </w:r>
          </w:p>
        </w:tc>
      </w:tr>
      <w:tr w:rsidR="004E34FD" w:rsidRPr="00765F6E" w14:paraId="5D319D63" w14:textId="77777777" w:rsidTr="00BF0BA3">
        <w:trPr>
          <w:trHeight w:val="176"/>
          <w:jc w:val="center"/>
        </w:trPr>
        <w:tc>
          <w:tcPr>
            <w:tcW w:w="1609" w:type="pct"/>
            <w:vMerge w:val="restart"/>
            <w:shd w:val="clear" w:color="auto" w:fill="auto"/>
            <w:vAlign w:val="center"/>
          </w:tcPr>
          <w:p w14:paraId="029230F6"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无砟轨道</w:t>
            </w:r>
          </w:p>
        </w:tc>
        <w:tc>
          <w:tcPr>
            <w:tcW w:w="2065" w:type="pct"/>
            <w:shd w:val="clear" w:color="auto" w:fill="auto"/>
            <w:vAlign w:val="center"/>
          </w:tcPr>
          <w:p w14:paraId="1A10ECC8"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墩台均匀沉降</w:t>
            </w:r>
          </w:p>
        </w:tc>
        <w:tc>
          <w:tcPr>
            <w:tcW w:w="1326" w:type="pct"/>
            <w:shd w:val="clear" w:color="auto" w:fill="auto"/>
            <w:vAlign w:val="center"/>
          </w:tcPr>
          <w:p w14:paraId="165886A1"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20</w:t>
            </w:r>
          </w:p>
        </w:tc>
      </w:tr>
      <w:tr w:rsidR="004E34FD" w:rsidRPr="00765F6E" w14:paraId="0EB85DE6" w14:textId="77777777" w:rsidTr="00BF0BA3">
        <w:trPr>
          <w:trHeight w:val="176"/>
          <w:jc w:val="center"/>
        </w:trPr>
        <w:tc>
          <w:tcPr>
            <w:tcW w:w="1609" w:type="pct"/>
            <w:vMerge/>
            <w:shd w:val="clear" w:color="auto" w:fill="auto"/>
            <w:vAlign w:val="center"/>
          </w:tcPr>
          <w:p w14:paraId="536FC311" w14:textId="77777777" w:rsidR="004E34FD" w:rsidRPr="00765F6E" w:rsidRDefault="004E34FD" w:rsidP="00871D47">
            <w:pPr>
              <w:pStyle w:val="affffffffffff2"/>
              <w:spacing w:line="200" w:lineRule="exact"/>
              <w:jc w:val="center"/>
              <w:rPr>
                <w:rFonts w:hAnsi="宋体" w:cs="宋体"/>
                <w:sz w:val="18"/>
                <w:szCs w:val="18"/>
              </w:rPr>
            </w:pPr>
          </w:p>
        </w:tc>
        <w:tc>
          <w:tcPr>
            <w:tcW w:w="2065" w:type="pct"/>
            <w:shd w:val="clear" w:color="auto" w:fill="auto"/>
            <w:vAlign w:val="center"/>
          </w:tcPr>
          <w:p w14:paraId="3F5D67A3"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相邻墩台沉降差</w:t>
            </w:r>
          </w:p>
        </w:tc>
        <w:tc>
          <w:tcPr>
            <w:tcW w:w="1326" w:type="pct"/>
            <w:shd w:val="clear" w:color="auto" w:fill="auto"/>
            <w:vAlign w:val="center"/>
          </w:tcPr>
          <w:p w14:paraId="7D5DB366" w14:textId="77777777" w:rsidR="004E34FD" w:rsidRPr="00765F6E" w:rsidRDefault="004E34FD" w:rsidP="00871D47">
            <w:pPr>
              <w:pStyle w:val="affffffffffff2"/>
              <w:spacing w:line="200" w:lineRule="exact"/>
              <w:jc w:val="center"/>
              <w:rPr>
                <w:rFonts w:hAnsi="宋体" w:cs="宋体"/>
                <w:sz w:val="18"/>
                <w:szCs w:val="18"/>
              </w:rPr>
            </w:pPr>
            <w:r w:rsidRPr="00765F6E">
              <w:rPr>
                <w:rFonts w:hAnsi="宋体" w:cs="宋体" w:hint="eastAsia"/>
                <w:sz w:val="18"/>
                <w:szCs w:val="18"/>
              </w:rPr>
              <w:t>10</w:t>
            </w:r>
          </w:p>
        </w:tc>
      </w:tr>
    </w:tbl>
    <w:p w14:paraId="51F6EE2F" w14:textId="77777777" w:rsidR="00737EB2" w:rsidRPr="00765F6E" w:rsidRDefault="00737EB2" w:rsidP="00737EB2">
      <w:pPr>
        <w:spacing w:line="240" w:lineRule="auto"/>
      </w:pPr>
    </w:p>
    <w:p w14:paraId="091C72AB" w14:textId="77777777" w:rsidR="00737EB2" w:rsidRPr="00765F6E" w:rsidRDefault="00737EB2" w:rsidP="009D0776">
      <w:pPr>
        <w:pStyle w:val="22"/>
      </w:pPr>
      <w:bookmarkStart w:id="1330" w:name="_Toc99791911"/>
      <w:bookmarkStart w:id="1331" w:name="_Toc153291344"/>
      <w:r w:rsidRPr="00765F6E">
        <w:rPr>
          <w:rFonts w:hint="eastAsia"/>
        </w:rPr>
        <w:t>涵洞</w:t>
      </w:r>
      <w:r w:rsidRPr="00765F6E">
        <w:t>工后沉降限值应与相邻</w:t>
      </w:r>
      <w:r w:rsidRPr="00765F6E">
        <w:rPr>
          <w:rFonts w:hint="eastAsia"/>
        </w:rPr>
        <w:t>路基工后沉降限值一致</w:t>
      </w:r>
      <w:r w:rsidRPr="00765F6E">
        <w:t>。</w:t>
      </w:r>
      <w:bookmarkEnd w:id="1330"/>
      <w:bookmarkEnd w:id="1331"/>
    </w:p>
    <w:p w14:paraId="2367CBAF" w14:textId="77777777" w:rsidR="00737EB2" w:rsidRPr="00765F6E" w:rsidRDefault="00737EB2" w:rsidP="00737EB2">
      <w:pPr>
        <w:pStyle w:val="affe"/>
        <w:spacing w:before="156" w:after="156"/>
      </w:pPr>
      <w:bookmarkStart w:id="1332" w:name="_Toc153210872"/>
      <w:bookmarkStart w:id="1333" w:name="_Toc99791912"/>
      <w:bookmarkStart w:id="1334" w:name="_Toc153291345"/>
      <w:bookmarkStart w:id="1335" w:name="_Toc167895769"/>
      <w:bookmarkStart w:id="1336" w:name="_Toc174538683"/>
      <w:bookmarkStart w:id="1337" w:name="_Toc182476440"/>
      <w:r w:rsidRPr="00765F6E">
        <w:rPr>
          <w:rFonts w:hint="eastAsia"/>
        </w:rPr>
        <w:t>结构与构造</w:t>
      </w:r>
      <w:bookmarkEnd w:id="1332"/>
      <w:bookmarkEnd w:id="1333"/>
      <w:bookmarkEnd w:id="1334"/>
      <w:bookmarkEnd w:id="1335"/>
      <w:bookmarkEnd w:id="1336"/>
      <w:bookmarkEnd w:id="1337"/>
    </w:p>
    <w:p w14:paraId="5FFDCFF0" w14:textId="77777777" w:rsidR="00737EB2" w:rsidRPr="00765F6E" w:rsidRDefault="00737EB2" w:rsidP="009D0776">
      <w:pPr>
        <w:pStyle w:val="22"/>
      </w:pPr>
      <w:bookmarkStart w:id="1338" w:name="_Toc99791913"/>
      <w:bookmarkStart w:id="1339" w:name="_Toc153291346"/>
      <w:r w:rsidRPr="00765F6E">
        <w:rPr>
          <w:rFonts w:hint="eastAsia"/>
        </w:rPr>
        <w:t>市域铁路常用跨度简支梁可选用箱梁、T梁、U形梁、结合梁等结构形式。桥涵结构及构造要求除满足本文件的规定外，尚应符合铁路桥涵相关设计规范的规定。</w:t>
      </w:r>
      <w:bookmarkEnd w:id="1338"/>
      <w:bookmarkEnd w:id="1339"/>
    </w:p>
    <w:p w14:paraId="271F2273" w14:textId="77777777" w:rsidR="00737EB2" w:rsidRPr="00765F6E" w:rsidRDefault="00737EB2" w:rsidP="009D0776">
      <w:pPr>
        <w:pStyle w:val="22"/>
      </w:pPr>
      <w:bookmarkStart w:id="1340" w:name="_Toc153291347"/>
      <w:bookmarkStart w:id="1341" w:name="_Toc99791914"/>
      <w:r w:rsidRPr="00765F6E">
        <w:rPr>
          <w:rFonts w:hint="eastAsia"/>
        </w:rPr>
        <w:t>混凝土箱梁的构造符合下列规定：</w:t>
      </w:r>
      <w:bookmarkEnd w:id="1340"/>
      <w:bookmarkEnd w:id="1341"/>
    </w:p>
    <w:p w14:paraId="70795DB5" w14:textId="77777777" w:rsidR="00737EB2" w:rsidRPr="00765F6E" w:rsidRDefault="00737EB2" w:rsidP="003334F3">
      <w:pPr>
        <w:pStyle w:val="af6"/>
        <w:numPr>
          <w:ilvl w:val="0"/>
          <w:numId w:val="107"/>
        </w:numPr>
        <w:tabs>
          <w:tab w:val="left" w:pos="851"/>
        </w:tabs>
        <w:snapToGrid w:val="0"/>
        <w:contextualSpacing/>
        <w:rPr>
          <w:rFonts w:hAnsi="宋体"/>
        </w:rPr>
      </w:pPr>
      <w:r w:rsidRPr="00765F6E">
        <w:rPr>
          <w:rFonts w:hAnsi="宋体" w:hint="eastAsia"/>
        </w:rPr>
        <w:t>箱梁应根据需要设置进人孔，进人孔宜设置在梁端附近的底板上；</w:t>
      </w:r>
    </w:p>
    <w:p w14:paraId="7B0CD0FA" w14:textId="77777777" w:rsidR="00737EB2" w:rsidRPr="00765F6E" w:rsidRDefault="00737EB2" w:rsidP="003334F3">
      <w:pPr>
        <w:pStyle w:val="af6"/>
        <w:numPr>
          <w:ilvl w:val="0"/>
          <w:numId w:val="107"/>
        </w:numPr>
        <w:tabs>
          <w:tab w:val="left" w:pos="851"/>
        </w:tabs>
        <w:snapToGrid w:val="0"/>
        <w:contextualSpacing/>
        <w:rPr>
          <w:rFonts w:hAnsi="宋体"/>
        </w:rPr>
      </w:pPr>
      <w:r w:rsidRPr="00765F6E">
        <w:rPr>
          <w:rFonts w:hAnsi="宋体" w:hint="eastAsia"/>
        </w:rPr>
        <w:t>简支箱梁梁端伸过支点的纵向预应力筋数量不应小于全部纵向预应力筋数量的1/2；</w:t>
      </w:r>
    </w:p>
    <w:p w14:paraId="35B9FA23" w14:textId="77777777" w:rsidR="00737EB2" w:rsidRPr="00765F6E" w:rsidRDefault="00737EB2" w:rsidP="003334F3">
      <w:pPr>
        <w:pStyle w:val="af6"/>
        <w:numPr>
          <w:ilvl w:val="0"/>
          <w:numId w:val="107"/>
        </w:numPr>
        <w:tabs>
          <w:tab w:val="left" w:pos="851"/>
        </w:tabs>
        <w:snapToGrid w:val="0"/>
        <w:contextualSpacing/>
        <w:rPr>
          <w:rFonts w:hAnsi="宋体"/>
        </w:rPr>
      </w:pPr>
      <w:r w:rsidRPr="00765F6E">
        <w:rPr>
          <w:rFonts w:hAnsi="宋体" w:hint="eastAsia"/>
        </w:rPr>
        <w:t>对箱梁梁端倒角部位、吊点部位、顶板与梗胁交界部位、梁端底板、进人孔等部位应进行预加应力、存梁、运架梁等施工阶段的局部应力分析，并应在构造上予以加强；</w:t>
      </w:r>
    </w:p>
    <w:p w14:paraId="3ABDD92C" w14:textId="77777777" w:rsidR="00737EB2" w:rsidRPr="00765F6E" w:rsidRDefault="00737EB2" w:rsidP="003334F3">
      <w:pPr>
        <w:pStyle w:val="af6"/>
        <w:numPr>
          <w:ilvl w:val="0"/>
          <w:numId w:val="107"/>
        </w:numPr>
        <w:tabs>
          <w:tab w:val="left" w:pos="851"/>
        </w:tabs>
        <w:snapToGrid w:val="0"/>
        <w:contextualSpacing/>
        <w:rPr>
          <w:rFonts w:hAnsi="宋体"/>
        </w:rPr>
      </w:pPr>
      <w:r w:rsidRPr="00765F6E">
        <w:rPr>
          <w:rFonts w:hAnsi="宋体" w:hint="eastAsia"/>
        </w:rPr>
        <w:lastRenderedPageBreak/>
        <w:t>箱梁设计宜考虑有砟轨道铺砟或无砟轨道铺设前等阶段及成桥后温度梯度的影响；</w:t>
      </w:r>
    </w:p>
    <w:p w14:paraId="20413943" w14:textId="77777777" w:rsidR="00737EB2" w:rsidRPr="00765F6E" w:rsidRDefault="00737EB2" w:rsidP="003334F3">
      <w:pPr>
        <w:pStyle w:val="af6"/>
        <w:numPr>
          <w:ilvl w:val="0"/>
          <w:numId w:val="107"/>
        </w:numPr>
        <w:tabs>
          <w:tab w:val="left" w:pos="851"/>
        </w:tabs>
        <w:snapToGrid w:val="0"/>
        <w:contextualSpacing/>
        <w:rPr>
          <w:rFonts w:hAnsi="宋体"/>
        </w:rPr>
      </w:pPr>
      <w:r w:rsidRPr="00765F6E">
        <w:rPr>
          <w:rFonts w:hAnsi="宋体" w:hint="eastAsia"/>
        </w:rPr>
        <w:t>箱梁设计宜考虑施工荷载的影响。</w:t>
      </w:r>
    </w:p>
    <w:p w14:paraId="013E95BC" w14:textId="77777777" w:rsidR="00737EB2" w:rsidRPr="00765F6E" w:rsidRDefault="00737EB2" w:rsidP="009D0776">
      <w:pPr>
        <w:pStyle w:val="22"/>
      </w:pPr>
      <w:bookmarkStart w:id="1342" w:name="_Toc153291348"/>
      <w:bookmarkStart w:id="1343" w:name="_Toc99791915"/>
      <w:r w:rsidRPr="00765F6E">
        <w:rPr>
          <w:rFonts w:hint="eastAsia"/>
        </w:rPr>
        <w:t>混凝土T梁的构造符合下列规定：</w:t>
      </w:r>
      <w:bookmarkEnd w:id="1342"/>
      <w:bookmarkEnd w:id="1343"/>
    </w:p>
    <w:p w14:paraId="59031155" w14:textId="77777777" w:rsidR="00737EB2" w:rsidRPr="00765F6E" w:rsidRDefault="00737EB2" w:rsidP="003334F3">
      <w:pPr>
        <w:pStyle w:val="af6"/>
        <w:numPr>
          <w:ilvl w:val="0"/>
          <w:numId w:val="108"/>
        </w:numPr>
        <w:tabs>
          <w:tab w:val="left" w:pos="851"/>
        </w:tabs>
        <w:snapToGrid w:val="0"/>
        <w:contextualSpacing/>
        <w:rPr>
          <w:rFonts w:hAnsi="宋体"/>
        </w:rPr>
      </w:pPr>
      <w:r w:rsidRPr="00765F6E">
        <w:rPr>
          <w:rFonts w:hAnsi="宋体" w:hint="eastAsia"/>
        </w:rPr>
        <w:t>端隔板底部应高于梁底不小于10cm；</w:t>
      </w:r>
    </w:p>
    <w:p w14:paraId="65BCC105" w14:textId="77777777" w:rsidR="00737EB2" w:rsidRPr="00765F6E" w:rsidRDefault="00737EB2" w:rsidP="003334F3">
      <w:pPr>
        <w:pStyle w:val="af6"/>
        <w:numPr>
          <w:ilvl w:val="0"/>
          <w:numId w:val="108"/>
        </w:numPr>
        <w:tabs>
          <w:tab w:val="left" w:pos="851"/>
        </w:tabs>
        <w:snapToGrid w:val="0"/>
        <w:contextualSpacing/>
        <w:rPr>
          <w:rFonts w:hAnsi="宋体"/>
        </w:rPr>
      </w:pPr>
      <w:r w:rsidRPr="00765F6E">
        <w:rPr>
          <w:rFonts w:hAnsi="宋体" w:hint="eastAsia"/>
        </w:rPr>
        <w:t>多片式T梁在分片架设后应将横隔板、桥面连成整体；</w:t>
      </w:r>
    </w:p>
    <w:p w14:paraId="1545CBA3" w14:textId="77777777" w:rsidR="00737EB2" w:rsidRPr="00765F6E" w:rsidRDefault="00737EB2" w:rsidP="003334F3">
      <w:pPr>
        <w:pStyle w:val="af6"/>
        <w:numPr>
          <w:ilvl w:val="0"/>
          <w:numId w:val="108"/>
        </w:numPr>
        <w:tabs>
          <w:tab w:val="left" w:pos="851"/>
        </w:tabs>
        <w:snapToGrid w:val="0"/>
        <w:contextualSpacing/>
        <w:rPr>
          <w:rFonts w:hAnsi="宋体"/>
        </w:rPr>
      </w:pPr>
      <w:r w:rsidRPr="00765F6E">
        <w:rPr>
          <w:rFonts w:hAnsi="宋体" w:hint="eastAsia"/>
        </w:rPr>
        <w:t>多片式T梁的湿接缝宽度不宜小于300mm，湿接缝处钢筋应满足整体截面受力要求。</w:t>
      </w:r>
    </w:p>
    <w:p w14:paraId="31A1F87E" w14:textId="7411BDA9" w:rsidR="00737EB2" w:rsidRPr="00765F6E" w:rsidRDefault="00737EB2" w:rsidP="009D0776">
      <w:pPr>
        <w:pStyle w:val="22"/>
      </w:pPr>
      <w:bookmarkStart w:id="1344" w:name="_Toc99791916"/>
      <w:bookmarkStart w:id="1345" w:name="_Toc153291349"/>
      <w:r w:rsidRPr="00765F6E">
        <w:rPr>
          <w:rFonts w:hint="eastAsia"/>
        </w:rPr>
        <w:t>钢-混凝土结合梁的构造符合下列规定</w:t>
      </w:r>
      <w:bookmarkEnd w:id="1344"/>
      <w:bookmarkEnd w:id="1345"/>
      <w:r w:rsidR="004E34FD">
        <w:rPr>
          <w:rFonts w:hint="eastAsia"/>
        </w:rPr>
        <w:t>。</w:t>
      </w:r>
    </w:p>
    <w:p w14:paraId="2DC6D02B" w14:textId="77777777" w:rsidR="00737EB2" w:rsidRPr="00765F6E" w:rsidRDefault="00737EB2" w:rsidP="003334F3">
      <w:pPr>
        <w:pStyle w:val="af6"/>
        <w:numPr>
          <w:ilvl w:val="0"/>
          <w:numId w:val="109"/>
        </w:numPr>
        <w:tabs>
          <w:tab w:val="left" w:pos="851"/>
        </w:tabs>
        <w:snapToGrid w:val="0"/>
        <w:contextualSpacing/>
        <w:rPr>
          <w:rFonts w:hAnsi="宋体"/>
        </w:rPr>
      </w:pPr>
      <w:r w:rsidRPr="00765F6E">
        <w:rPr>
          <w:rFonts w:hAnsi="宋体" w:hint="eastAsia"/>
        </w:rPr>
        <w:t xml:space="preserve">钢梁符合下列规定： </w:t>
      </w:r>
    </w:p>
    <w:p w14:paraId="3F2CC5A8" w14:textId="77777777" w:rsidR="00737EB2" w:rsidRPr="00765F6E" w:rsidRDefault="00737EB2" w:rsidP="00D12EC7">
      <w:pPr>
        <w:pStyle w:val="af7"/>
        <w:tabs>
          <w:tab w:val="left" w:pos="851"/>
          <w:tab w:val="left" w:pos="1276"/>
        </w:tabs>
      </w:pPr>
      <w:r w:rsidRPr="00765F6E">
        <w:rPr>
          <w:rFonts w:hint="eastAsia"/>
        </w:rPr>
        <w:t>钢梁结构应具有足够的横向刚度，跨长不宜大于主梁中距的15倍，主梁横向宽度不应小于2.2m，并满足梁体横向刚度的要求；</w:t>
      </w:r>
    </w:p>
    <w:p w14:paraId="33A7952D" w14:textId="77777777" w:rsidR="00737EB2" w:rsidRPr="00765F6E" w:rsidRDefault="00737EB2" w:rsidP="00D12EC7">
      <w:pPr>
        <w:pStyle w:val="af7"/>
        <w:tabs>
          <w:tab w:val="left" w:pos="851"/>
          <w:tab w:val="left" w:pos="1276"/>
        </w:tabs>
      </w:pPr>
      <w:r w:rsidRPr="00765F6E">
        <w:rPr>
          <w:rFonts w:hint="eastAsia"/>
        </w:rPr>
        <w:t>连接件可采用栓钉、开孔板连接件、抗拔不抗剪连接件，并具有足够的强度和耐久性。</w:t>
      </w:r>
    </w:p>
    <w:p w14:paraId="3F129C57" w14:textId="65820F35" w:rsidR="00737EB2" w:rsidRPr="00765F6E" w:rsidRDefault="00737EB2" w:rsidP="003334F3">
      <w:pPr>
        <w:pStyle w:val="af6"/>
        <w:numPr>
          <w:ilvl w:val="0"/>
          <w:numId w:val="109"/>
        </w:numPr>
        <w:tabs>
          <w:tab w:val="left" w:pos="851"/>
        </w:tabs>
        <w:snapToGrid w:val="0"/>
        <w:contextualSpacing/>
        <w:rPr>
          <w:rFonts w:hAnsi="宋体"/>
        </w:rPr>
      </w:pPr>
      <w:r w:rsidRPr="00765F6E">
        <w:rPr>
          <w:rFonts w:hAnsi="宋体" w:hint="eastAsia"/>
        </w:rPr>
        <w:t>混凝土板符合下列规定</w:t>
      </w:r>
      <w:r w:rsidR="00AC1892">
        <w:rPr>
          <w:rFonts w:hAnsi="宋体" w:hint="eastAsia"/>
        </w:rPr>
        <w:t>：</w:t>
      </w:r>
    </w:p>
    <w:p w14:paraId="480489E6" w14:textId="77777777" w:rsidR="00737EB2" w:rsidRPr="00765F6E" w:rsidRDefault="00737EB2" w:rsidP="00D12EC7">
      <w:pPr>
        <w:pStyle w:val="af7"/>
        <w:tabs>
          <w:tab w:val="left" w:pos="851"/>
          <w:tab w:val="left" w:pos="1276"/>
        </w:tabs>
      </w:pPr>
      <w:r w:rsidRPr="00765F6E">
        <w:rPr>
          <w:rFonts w:hint="eastAsia"/>
        </w:rPr>
        <w:t>结合梁的混凝土板厚度不宜小于200mm；</w:t>
      </w:r>
    </w:p>
    <w:p w14:paraId="712B23A7" w14:textId="77777777" w:rsidR="00737EB2" w:rsidRPr="00765F6E" w:rsidRDefault="00737EB2" w:rsidP="00D12EC7">
      <w:pPr>
        <w:pStyle w:val="af7"/>
        <w:tabs>
          <w:tab w:val="left" w:pos="851"/>
          <w:tab w:val="left" w:pos="1276"/>
        </w:tabs>
      </w:pPr>
      <w:r w:rsidRPr="00765F6E">
        <w:rPr>
          <w:rFonts w:hAnsi="宋体" w:hint="eastAsia"/>
        </w:rPr>
        <w:t>混凝土梗胁高度不应超过混凝土梁翼板厚度的1.5倍；</w:t>
      </w:r>
    </w:p>
    <w:p w14:paraId="1F03BB7A" w14:textId="77777777" w:rsidR="00737EB2" w:rsidRPr="00765F6E" w:rsidRDefault="00737EB2" w:rsidP="00D12EC7">
      <w:pPr>
        <w:pStyle w:val="af7"/>
        <w:tabs>
          <w:tab w:val="left" w:pos="851"/>
          <w:tab w:val="left" w:pos="1276"/>
        </w:tabs>
      </w:pPr>
      <w:r w:rsidRPr="00765F6E">
        <w:rPr>
          <w:rFonts w:hAnsi="宋体" w:hint="eastAsia"/>
        </w:rPr>
        <w:t>连续结合梁在中间支座负弯矩区的上部纵向钢筋应伸入弯矩反弯点，并应满足锚固长度的要求，下部钢筋在支座处连续配置，不应中断；</w:t>
      </w:r>
    </w:p>
    <w:p w14:paraId="6D3BE9E5" w14:textId="77777777" w:rsidR="00737EB2" w:rsidRPr="00765F6E" w:rsidRDefault="00737EB2" w:rsidP="00D12EC7">
      <w:pPr>
        <w:pStyle w:val="af7"/>
        <w:tabs>
          <w:tab w:val="left" w:pos="851"/>
          <w:tab w:val="left" w:pos="1276"/>
        </w:tabs>
      </w:pPr>
      <w:r w:rsidRPr="00765F6E">
        <w:rPr>
          <w:rFonts w:hAnsi="宋体" w:hint="eastAsia"/>
        </w:rPr>
        <w:t>为了减少混凝土板收缩影响，施工时宜在桥跨中线两侧设封闭缝各一道，封闭混凝土应采用无收缩混凝土，标号不应低于混凝土板的标号，宜在10d后灌注。</w:t>
      </w:r>
    </w:p>
    <w:p w14:paraId="2E88E756" w14:textId="77777777" w:rsidR="00737EB2" w:rsidRPr="00765F6E" w:rsidRDefault="00737EB2" w:rsidP="003334F3">
      <w:pPr>
        <w:pStyle w:val="af6"/>
        <w:numPr>
          <w:ilvl w:val="0"/>
          <w:numId w:val="109"/>
        </w:numPr>
        <w:tabs>
          <w:tab w:val="left" w:pos="851"/>
        </w:tabs>
        <w:snapToGrid w:val="0"/>
        <w:contextualSpacing/>
        <w:rPr>
          <w:rFonts w:hAnsi="宋体"/>
        </w:rPr>
      </w:pPr>
      <w:r w:rsidRPr="00765F6E">
        <w:rPr>
          <w:rFonts w:hAnsi="宋体" w:hint="eastAsia"/>
        </w:rPr>
        <w:t>混凝土桥面板可现场浇筑或预制，并铺设防水层和保护层。</w:t>
      </w:r>
    </w:p>
    <w:p w14:paraId="551F8C82" w14:textId="77777777" w:rsidR="00737EB2" w:rsidRPr="00765F6E" w:rsidRDefault="00737EB2" w:rsidP="009D0776">
      <w:pPr>
        <w:pStyle w:val="22"/>
      </w:pPr>
      <w:bookmarkStart w:id="1346" w:name="_Toc99791917"/>
      <w:bookmarkStart w:id="1347" w:name="_Toc153291350"/>
      <w:r w:rsidRPr="00765F6E">
        <w:rPr>
          <w:rFonts w:hint="eastAsia"/>
        </w:rPr>
        <w:t>预应力筋或管道间的净距及保护层厚度应符合下列规定：</w:t>
      </w:r>
      <w:bookmarkEnd w:id="1346"/>
      <w:bookmarkEnd w:id="1347"/>
    </w:p>
    <w:p w14:paraId="365E2EE5" w14:textId="77777777" w:rsidR="00737EB2" w:rsidRPr="00765F6E" w:rsidRDefault="00737EB2" w:rsidP="003334F3">
      <w:pPr>
        <w:pStyle w:val="af6"/>
        <w:numPr>
          <w:ilvl w:val="0"/>
          <w:numId w:val="110"/>
        </w:numPr>
        <w:tabs>
          <w:tab w:val="left" w:pos="851"/>
        </w:tabs>
        <w:snapToGrid w:val="0"/>
        <w:contextualSpacing/>
        <w:rPr>
          <w:rFonts w:hAnsi="宋体"/>
        </w:rPr>
      </w:pPr>
      <w:r w:rsidRPr="00765F6E">
        <w:rPr>
          <w:rFonts w:hAnsi="宋体" w:hint="eastAsia"/>
        </w:rPr>
        <w:t>在后张法结构中，当管道直径小于或等于55mm时，预应力筋管道间的净距不应小于40mm；当管道直径大于55mm时，预应力筋管道间的净距不应小于管道外径的0.8倍；</w:t>
      </w:r>
    </w:p>
    <w:p w14:paraId="5639CE99" w14:textId="77777777" w:rsidR="00737EB2" w:rsidRPr="00765F6E" w:rsidRDefault="00737EB2" w:rsidP="003334F3">
      <w:pPr>
        <w:pStyle w:val="af6"/>
        <w:numPr>
          <w:ilvl w:val="0"/>
          <w:numId w:val="110"/>
        </w:numPr>
        <w:tabs>
          <w:tab w:val="left" w:pos="851"/>
        </w:tabs>
        <w:snapToGrid w:val="0"/>
        <w:contextualSpacing/>
        <w:rPr>
          <w:rFonts w:hAnsi="宋体"/>
        </w:rPr>
      </w:pPr>
      <w:r w:rsidRPr="00765F6E">
        <w:rPr>
          <w:rFonts w:hAnsi="宋体" w:hint="eastAsia"/>
        </w:rPr>
        <w:t>在先张法结构中，钢丝束、钢绞线、螺纹钢筋之间的净距不应小于1.5倍直径，且不应小于30mm；</w:t>
      </w:r>
    </w:p>
    <w:p w14:paraId="02B7A165" w14:textId="77777777" w:rsidR="00737EB2" w:rsidRPr="00765F6E" w:rsidRDefault="00737EB2" w:rsidP="003334F3">
      <w:pPr>
        <w:pStyle w:val="af6"/>
        <w:numPr>
          <w:ilvl w:val="0"/>
          <w:numId w:val="110"/>
        </w:numPr>
        <w:tabs>
          <w:tab w:val="left" w:pos="851"/>
        </w:tabs>
        <w:snapToGrid w:val="0"/>
        <w:contextualSpacing/>
        <w:rPr>
          <w:rFonts w:hAnsi="宋体"/>
        </w:rPr>
      </w:pPr>
      <w:r w:rsidRPr="00765F6E">
        <w:rPr>
          <w:rFonts w:hAnsi="宋体" w:hint="eastAsia"/>
        </w:rPr>
        <w:t>预应力筋或管道与结构表面之间的保护层厚度，在结构的顶面和侧面不应小于1倍管道外径，且不应小于50mm，在结构底面不应小于60mm。</w:t>
      </w:r>
    </w:p>
    <w:p w14:paraId="59B7630D" w14:textId="498E4D27" w:rsidR="00737EB2" w:rsidRPr="00765F6E" w:rsidRDefault="00737EB2" w:rsidP="009D0776">
      <w:pPr>
        <w:pStyle w:val="22"/>
      </w:pPr>
      <w:bookmarkStart w:id="1348" w:name="_Toc153291351"/>
      <w:bookmarkStart w:id="1349" w:name="_Toc99791918"/>
      <w:r w:rsidRPr="00765F6E">
        <w:rPr>
          <w:rFonts w:hint="eastAsia"/>
        </w:rPr>
        <w:t>混凝土U形梁的温度应力按照TB</w:t>
      </w:r>
      <w:r w:rsidRPr="00765F6E">
        <w:t xml:space="preserve"> </w:t>
      </w:r>
      <w:bookmarkStart w:id="1350" w:name="OLE_LINK12"/>
      <w:r w:rsidRPr="00AC1892">
        <w:t>10092</w:t>
      </w:r>
      <w:r w:rsidR="00AF6821" w:rsidRPr="002808D3">
        <w:t>-2017</w:t>
      </w:r>
      <w:bookmarkEnd w:id="1350"/>
      <w:r w:rsidRPr="00765F6E">
        <w:rPr>
          <w:rFonts w:hint="eastAsia"/>
        </w:rPr>
        <w:t>中4.3.9</w:t>
      </w:r>
      <w:r w:rsidR="00396F4E">
        <w:rPr>
          <w:rFonts w:asciiTheme="minorEastAsia" w:eastAsiaTheme="minorEastAsia" w:hAnsiTheme="minorEastAsia" w:hint="eastAsia"/>
        </w:rPr>
        <w:t>～</w:t>
      </w:r>
      <w:r w:rsidRPr="00765F6E">
        <w:rPr>
          <w:rFonts w:hint="eastAsia"/>
        </w:rPr>
        <w:t>4.3.11的规定方法进行计算。</w:t>
      </w:r>
      <w:bookmarkEnd w:id="1348"/>
      <w:bookmarkEnd w:id="1349"/>
    </w:p>
    <w:p w14:paraId="6B5FCEE0" w14:textId="77777777" w:rsidR="00737EB2" w:rsidRPr="00765F6E" w:rsidRDefault="00737EB2" w:rsidP="009D0776">
      <w:pPr>
        <w:pStyle w:val="22"/>
      </w:pPr>
      <w:bookmarkStart w:id="1351" w:name="_Toc153291352"/>
      <w:bookmarkStart w:id="1352" w:name="_Toc99791919"/>
      <w:r w:rsidRPr="00765F6E">
        <w:rPr>
          <w:rFonts w:hint="eastAsia"/>
        </w:rPr>
        <w:t>封锚混凝土宜采用补偿收缩混凝土，其强度不宜低于C35。在封端及封锚范围内应采用防水涂料进行防水处理。</w:t>
      </w:r>
      <w:bookmarkEnd w:id="1351"/>
      <w:bookmarkEnd w:id="1352"/>
    </w:p>
    <w:p w14:paraId="55906075" w14:textId="77777777" w:rsidR="00737EB2" w:rsidRPr="00765F6E" w:rsidRDefault="00737EB2" w:rsidP="009D0776">
      <w:pPr>
        <w:pStyle w:val="22"/>
      </w:pPr>
      <w:bookmarkStart w:id="1353" w:name="_Toc99791920"/>
      <w:bookmarkStart w:id="1354" w:name="_Toc153291353"/>
      <w:r w:rsidRPr="00765F6E">
        <w:rPr>
          <w:rFonts w:hint="eastAsia"/>
        </w:rPr>
        <w:t>胶接缝节段拼装的块件端面宜设置直径不小于10mm的钢筋网。</w:t>
      </w:r>
      <w:bookmarkEnd w:id="1353"/>
      <w:bookmarkEnd w:id="1354"/>
    </w:p>
    <w:p w14:paraId="1ED156BA" w14:textId="77777777" w:rsidR="00737EB2" w:rsidRPr="00765F6E" w:rsidRDefault="00737EB2" w:rsidP="009D0776">
      <w:pPr>
        <w:pStyle w:val="22"/>
      </w:pPr>
      <w:bookmarkStart w:id="1355" w:name="_Toc99791921"/>
      <w:bookmarkStart w:id="1356" w:name="_Toc153291354"/>
      <w:r w:rsidRPr="00765F6E">
        <w:rPr>
          <w:rFonts w:hint="eastAsia"/>
        </w:rPr>
        <w:t>节段拼装的预应力混凝土结构的块件之间的接缝符合下列规定：</w:t>
      </w:r>
      <w:bookmarkEnd w:id="1355"/>
      <w:bookmarkEnd w:id="1356"/>
    </w:p>
    <w:p w14:paraId="5FF8D876" w14:textId="3C3366F6" w:rsidR="00737EB2" w:rsidRPr="00765F6E" w:rsidRDefault="00737EB2" w:rsidP="003334F3">
      <w:pPr>
        <w:pStyle w:val="af6"/>
        <w:numPr>
          <w:ilvl w:val="0"/>
          <w:numId w:val="111"/>
        </w:numPr>
        <w:tabs>
          <w:tab w:val="left" w:pos="851"/>
        </w:tabs>
        <w:snapToGrid w:val="0"/>
        <w:contextualSpacing/>
        <w:rPr>
          <w:rFonts w:hAnsi="宋体"/>
        </w:rPr>
      </w:pPr>
      <w:r w:rsidRPr="00765F6E">
        <w:rPr>
          <w:rFonts w:hAnsi="宋体" w:hint="eastAsia"/>
        </w:rPr>
        <w:t>采用普通混凝土湿接缝时，节段之间预留接缝的宽度不宜小于300mm。接缝处应将非预应力钢筋连接，并用与块件等强度的混凝土填实</w:t>
      </w:r>
      <w:r w:rsidR="00742D0F">
        <w:rPr>
          <w:rFonts w:hAnsi="宋体" w:hint="eastAsia"/>
        </w:rPr>
        <w:t>；</w:t>
      </w:r>
    </w:p>
    <w:p w14:paraId="68951E3A" w14:textId="77777777" w:rsidR="00737EB2" w:rsidRPr="00765F6E" w:rsidRDefault="00737EB2" w:rsidP="003334F3">
      <w:pPr>
        <w:pStyle w:val="af6"/>
        <w:numPr>
          <w:ilvl w:val="0"/>
          <w:numId w:val="111"/>
        </w:numPr>
        <w:tabs>
          <w:tab w:val="left" w:pos="851"/>
        </w:tabs>
        <w:snapToGrid w:val="0"/>
        <w:contextualSpacing/>
        <w:rPr>
          <w:rFonts w:hAnsi="宋体"/>
        </w:rPr>
      </w:pPr>
      <w:r w:rsidRPr="00765F6E">
        <w:rPr>
          <w:rFonts w:hAnsi="宋体" w:hint="eastAsia"/>
        </w:rPr>
        <w:t>采用胶接缝时，应保证接缝的密闭性。</w:t>
      </w:r>
    </w:p>
    <w:p w14:paraId="3BB57E79" w14:textId="77777777" w:rsidR="00737EB2" w:rsidRPr="00765F6E" w:rsidRDefault="00737EB2" w:rsidP="009D0776">
      <w:pPr>
        <w:pStyle w:val="22"/>
      </w:pPr>
      <w:bookmarkStart w:id="1357" w:name="_Toc153291355"/>
      <w:bookmarkStart w:id="1358" w:name="_Toc99791922"/>
      <w:r w:rsidRPr="00765F6E">
        <w:rPr>
          <w:rFonts w:hint="eastAsia"/>
        </w:rPr>
        <w:t>支座设计符合下列规定：</w:t>
      </w:r>
      <w:bookmarkEnd w:id="1357"/>
      <w:bookmarkEnd w:id="1358"/>
    </w:p>
    <w:p w14:paraId="3CC1B4E9" w14:textId="77777777" w:rsidR="00737EB2" w:rsidRPr="00765F6E" w:rsidRDefault="00737EB2" w:rsidP="003334F3">
      <w:pPr>
        <w:pStyle w:val="af6"/>
        <w:numPr>
          <w:ilvl w:val="0"/>
          <w:numId w:val="112"/>
        </w:numPr>
        <w:tabs>
          <w:tab w:val="left" w:pos="851"/>
        </w:tabs>
        <w:snapToGrid w:val="0"/>
        <w:contextualSpacing/>
        <w:rPr>
          <w:rFonts w:hAnsi="宋体"/>
        </w:rPr>
      </w:pPr>
      <w:r w:rsidRPr="00765F6E">
        <w:rPr>
          <w:rFonts w:hAnsi="宋体" w:hint="eastAsia"/>
        </w:rPr>
        <w:t>桥梁支座宜采用盆式橡胶支座或钢支座，支座底面应水平设置；</w:t>
      </w:r>
    </w:p>
    <w:p w14:paraId="6E461706" w14:textId="77777777" w:rsidR="00737EB2" w:rsidRPr="00765F6E" w:rsidRDefault="00737EB2" w:rsidP="003334F3">
      <w:pPr>
        <w:pStyle w:val="af6"/>
        <w:numPr>
          <w:ilvl w:val="0"/>
          <w:numId w:val="112"/>
        </w:numPr>
        <w:tabs>
          <w:tab w:val="left" w:pos="851"/>
        </w:tabs>
        <w:snapToGrid w:val="0"/>
        <w:contextualSpacing/>
        <w:rPr>
          <w:rFonts w:hAnsi="宋体"/>
        </w:rPr>
      </w:pPr>
      <w:r w:rsidRPr="00765F6E">
        <w:rPr>
          <w:rFonts w:hAnsi="宋体" w:hint="eastAsia"/>
        </w:rPr>
        <w:t>斜交梁支座的纵向位移方向应与梁轴线一致；</w:t>
      </w:r>
    </w:p>
    <w:p w14:paraId="11EE2CDB" w14:textId="77777777" w:rsidR="00737EB2" w:rsidRPr="00765F6E" w:rsidRDefault="00737EB2" w:rsidP="003334F3">
      <w:pPr>
        <w:pStyle w:val="af6"/>
        <w:numPr>
          <w:ilvl w:val="0"/>
          <w:numId w:val="112"/>
        </w:numPr>
        <w:tabs>
          <w:tab w:val="left" w:pos="851"/>
        </w:tabs>
        <w:snapToGrid w:val="0"/>
        <w:contextualSpacing/>
        <w:rPr>
          <w:rFonts w:hAnsi="宋体"/>
        </w:rPr>
      </w:pPr>
      <w:r w:rsidRPr="00765F6E">
        <w:rPr>
          <w:rFonts w:hAnsi="宋体" w:hint="eastAsia"/>
        </w:rPr>
        <w:t>支座设置应满足检查、维修和更换的要求；</w:t>
      </w:r>
    </w:p>
    <w:p w14:paraId="793B81C8" w14:textId="77777777" w:rsidR="00737EB2" w:rsidRPr="00765F6E" w:rsidRDefault="00737EB2" w:rsidP="003334F3">
      <w:pPr>
        <w:pStyle w:val="af6"/>
        <w:numPr>
          <w:ilvl w:val="0"/>
          <w:numId w:val="112"/>
        </w:numPr>
        <w:tabs>
          <w:tab w:val="left" w:pos="851"/>
        </w:tabs>
        <w:snapToGrid w:val="0"/>
        <w:contextualSpacing/>
        <w:rPr>
          <w:rFonts w:hAnsi="宋体"/>
        </w:rPr>
      </w:pPr>
      <w:r w:rsidRPr="00765F6E">
        <w:rPr>
          <w:rFonts w:hAnsi="宋体" w:hint="eastAsia"/>
        </w:rPr>
        <w:t>同一座桥梁中线路一侧的支座横向位移约束条件宜相同；</w:t>
      </w:r>
    </w:p>
    <w:p w14:paraId="7AEEC6A5" w14:textId="77777777" w:rsidR="00737EB2" w:rsidRPr="00765F6E" w:rsidRDefault="00737EB2" w:rsidP="003334F3">
      <w:pPr>
        <w:pStyle w:val="af6"/>
        <w:numPr>
          <w:ilvl w:val="0"/>
          <w:numId w:val="112"/>
        </w:numPr>
        <w:tabs>
          <w:tab w:val="left" w:pos="851"/>
        </w:tabs>
        <w:snapToGrid w:val="0"/>
        <w:contextualSpacing/>
        <w:rPr>
          <w:rFonts w:hAnsi="宋体"/>
        </w:rPr>
      </w:pPr>
      <w:r w:rsidRPr="00765F6E">
        <w:rPr>
          <w:rFonts w:hAnsi="宋体" w:hint="eastAsia"/>
        </w:rPr>
        <w:t>当横向布置多于2个支座时，支座应具有调高功能。</w:t>
      </w:r>
    </w:p>
    <w:p w14:paraId="3547A4D9" w14:textId="77777777" w:rsidR="00737EB2" w:rsidRPr="00765F6E" w:rsidRDefault="00737EB2" w:rsidP="009D0776">
      <w:pPr>
        <w:pStyle w:val="22"/>
      </w:pPr>
      <w:bookmarkStart w:id="1359" w:name="_Toc99791923"/>
      <w:bookmarkStart w:id="1360" w:name="_Toc153291356"/>
      <w:r w:rsidRPr="00765F6E">
        <w:rPr>
          <w:rFonts w:hint="eastAsia"/>
        </w:rPr>
        <w:t>支承垫石及墩台顶帽设计符合下列规定：</w:t>
      </w:r>
      <w:bookmarkEnd w:id="1359"/>
      <w:bookmarkEnd w:id="1360"/>
    </w:p>
    <w:p w14:paraId="188BEAE2" w14:textId="77777777" w:rsidR="00737EB2" w:rsidRPr="00765F6E" w:rsidRDefault="00737EB2" w:rsidP="003334F3">
      <w:pPr>
        <w:pStyle w:val="af6"/>
        <w:numPr>
          <w:ilvl w:val="0"/>
          <w:numId w:val="113"/>
        </w:numPr>
        <w:tabs>
          <w:tab w:val="left" w:pos="851"/>
        </w:tabs>
        <w:snapToGrid w:val="0"/>
        <w:contextualSpacing/>
        <w:rPr>
          <w:rFonts w:hAnsi="宋体"/>
        </w:rPr>
      </w:pPr>
      <w:r w:rsidRPr="00765F6E">
        <w:rPr>
          <w:rFonts w:hAnsi="宋体" w:hint="eastAsia"/>
        </w:rPr>
        <w:t>顶帽应采用钢筋混凝土结构，混凝土强度等级不应低于C35，厚度不应小于0.40m；</w:t>
      </w:r>
    </w:p>
    <w:p w14:paraId="4ABE8F9B" w14:textId="77777777" w:rsidR="00737EB2" w:rsidRPr="00765F6E" w:rsidRDefault="00737EB2" w:rsidP="003334F3">
      <w:pPr>
        <w:pStyle w:val="af6"/>
        <w:numPr>
          <w:ilvl w:val="0"/>
          <w:numId w:val="113"/>
        </w:numPr>
        <w:tabs>
          <w:tab w:val="left" w:pos="851"/>
        </w:tabs>
        <w:snapToGrid w:val="0"/>
        <w:contextualSpacing/>
        <w:rPr>
          <w:rFonts w:hAnsi="宋体"/>
        </w:rPr>
      </w:pPr>
      <w:r w:rsidRPr="00765F6E">
        <w:rPr>
          <w:rFonts w:hAnsi="宋体" w:hint="eastAsia"/>
        </w:rPr>
        <w:t>顶帽上应设置钢筋混凝土的支承垫石。支承垫石顶面应高出顶帽排水坡的上棱；</w:t>
      </w:r>
    </w:p>
    <w:p w14:paraId="0B980D4C" w14:textId="77777777" w:rsidR="00737EB2" w:rsidRPr="00765F6E" w:rsidRDefault="00737EB2" w:rsidP="003334F3">
      <w:pPr>
        <w:pStyle w:val="af6"/>
        <w:numPr>
          <w:ilvl w:val="0"/>
          <w:numId w:val="113"/>
        </w:numPr>
        <w:tabs>
          <w:tab w:val="left" w:pos="851"/>
        </w:tabs>
        <w:snapToGrid w:val="0"/>
        <w:contextualSpacing/>
        <w:rPr>
          <w:rFonts w:hAnsi="宋体"/>
        </w:rPr>
      </w:pPr>
      <w:r w:rsidRPr="00765F6E">
        <w:rPr>
          <w:rFonts w:hAnsi="宋体" w:hint="eastAsia"/>
        </w:rPr>
        <w:t>支承垫石外边缘距支座底板边缘的距离应为0.15m～0.20m；</w:t>
      </w:r>
    </w:p>
    <w:p w14:paraId="6342C3DF" w14:textId="77777777" w:rsidR="00737EB2" w:rsidRPr="00765F6E" w:rsidRDefault="00737EB2" w:rsidP="003334F3">
      <w:pPr>
        <w:pStyle w:val="af6"/>
        <w:numPr>
          <w:ilvl w:val="0"/>
          <w:numId w:val="113"/>
        </w:numPr>
        <w:tabs>
          <w:tab w:val="left" w:pos="851"/>
        </w:tabs>
        <w:snapToGrid w:val="0"/>
        <w:contextualSpacing/>
        <w:rPr>
          <w:rFonts w:hAnsi="宋体"/>
        </w:rPr>
      </w:pPr>
      <w:r w:rsidRPr="00765F6E">
        <w:rPr>
          <w:rFonts w:hAnsi="宋体" w:hint="eastAsia"/>
        </w:rPr>
        <w:t>顺桥方向支承垫石边缘距顶帽边缘距离：T梁不应小于0.40m，箱梁不应小于0.20m；</w:t>
      </w:r>
    </w:p>
    <w:p w14:paraId="136122BF" w14:textId="77777777" w:rsidR="00737EB2" w:rsidRPr="00765F6E" w:rsidRDefault="00737EB2" w:rsidP="003334F3">
      <w:pPr>
        <w:pStyle w:val="af6"/>
        <w:numPr>
          <w:ilvl w:val="0"/>
          <w:numId w:val="113"/>
        </w:numPr>
        <w:tabs>
          <w:tab w:val="left" w:pos="851"/>
        </w:tabs>
        <w:snapToGrid w:val="0"/>
        <w:contextualSpacing/>
        <w:rPr>
          <w:rFonts w:hAnsi="宋体"/>
        </w:rPr>
      </w:pPr>
      <w:r w:rsidRPr="00765F6E">
        <w:rPr>
          <w:rFonts w:hAnsi="宋体" w:hint="eastAsia"/>
        </w:rPr>
        <w:t>顶帽为圆弧形时，横桥方向的支承垫石角至顶帽最近边缘的最小距离应与顺桥方向相同；顶帽为矩形时，横桥方向的支承垫石角至顶帽边缘的最小距离宜为0.5m；</w:t>
      </w:r>
    </w:p>
    <w:p w14:paraId="107EBFF9" w14:textId="77777777" w:rsidR="00737EB2" w:rsidRPr="00765F6E" w:rsidRDefault="00737EB2" w:rsidP="003334F3">
      <w:pPr>
        <w:pStyle w:val="af6"/>
        <w:numPr>
          <w:ilvl w:val="0"/>
          <w:numId w:val="113"/>
        </w:numPr>
        <w:tabs>
          <w:tab w:val="left" w:pos="851"/>
        </w:tabs>
        <w:snapToGrid w:val="0"/>
        <w:contextualSpacing/>
        <w:rPr>
          <w:rFonts w:hAnsi="宋体"/>
        </w:rPr>
      </w:pPr>
      <w:r w:rsidRPr="00765F6E">
        <w:rPr>
          <w:rFonts w:hAnsi="宋体" w:hint="eastAsia"/>
        </w:rPr>
        <w:t>顶帽除满足构造要求，还应满足局部承压及抗剪检算的要求；</w:t>
      </w:r>
    </w:p>
    <w:p w14:paraId="69976AFA" w14:textId="77777777" w:rsidR="00737EB2" w:rsidRPr="00765F6E" w:rsidRDefault="00737EB2" w:rsidP="003334F3">
      <w:pPr>
        <w:pStyle w:val="af6"/>
        <w:numPr>
          <w:ilvl w:val="0"/>
          <w:numId w:val="113"/>
        </w:numPr>
        <w:tabs>
          <w:tab w:val="left" w:pos="851"/>
        </w:tabs>
        <w:snapToGrid w:val="0"/>
        <w:contextualSpacing/>
        <w:rPr>
          <w:rFonts w:hAnsi="宋体"/>
        </w:rPr>
      </w:pPr>
      <w:r w:rsidRPr="00765F6E">
        <w:rPr>
          <w:rFonts w:hAnsi="宋体" w:hint="eastAsia"/>
        </w:rPr>
        <w:lastRenderedPageBreak/>
        <w:t>支承垫石边缘距顶帽边缘距离、墩台顶帽尺寸应满足架设、检查、养护、维修和支座更换及顶梁的要求，并应设不小于3%的排水坡。</w:t>
      </w:r>
    </w:p>
    <w:p w14:paraId="70EFE983" w14:textId="77777777" w:rsidR="00737EB2" w:rsidRPr="00765F6E" w:rsidRDefault="00737EB2" w:rsidP="009D0776">
      <w:pPr>
        <w:pStyle w:val="22"/>
      </w:pPr>
      <w:bookmarkStart w:id="1361" w:name="_Toc153291357"/>
      <w:bookmarkStart w:id="1362" w:name="_Toc99791924"/>
      <w:r w:rsidRPr="00765F6E">
        <w:rPr>
          <w:rFonts w:hint="eastAsia"/>
        </w:rPr>
        <w:t>桥墩承台在平面布置时应尽可能控制在地面道路分隔带或分割岛范围内，避免伸入地面道路的机动车范围，如受条件限制无法避免时，应保证承台顶面至路面的埋深不小于1.5m</w:t>
      </w:r>
      <w:bookmarkEnd w:id="1361"/>
      <w:bookmarkEnd w:id="1362"/>
      <w:r w:rsidRPr="00765F6E">
        <w:rPr>
          <w:rFonts w:hint="eastAsia"/>
        </w:rPr>
        <w:t>。</w:t>
      </w:r>
    </w:p>
    <w:p w14:paraId="3EDE279F" w14:textId="7B8C29BD" w:rsidR="00737EB2" w:rsidRPr="00765F6E" w:rsidRDefault="00737EB2" w:rsidP="009D0776">
      <w:pPr>
        <w:pStyle w:val="22"/>
      </w:pPr>
      <w:bookmarkStart w:id="1363" w:name="_Toc153291358"/>
      <w:bookmarkStart w:id="1364" w:name="_Toc99791925"/>
      <w:r w:rsidRPr="00765F6E">
        <w:rPr>
          <w:rFonts w:hint="eastAsia"/>
        </w:rPr>
        <w:t>桩端后压浆灌注桩的单桩轴向受压承载力容许值宜通过静载试验确定。按照</w:t>
      </w:r>
      <w:r w:rsidRPr="00765F6E">
        <w:t>JTG 3363</w:t>
      </w:r>
      <w:r w:rsidR="002808D3">
        <w:rPr>
          <w:rFonts w:hint="eastAsia"/>
        </w:rPr>
        <w:t>-</w:t>
      </w:r>
      <w:r w:rsidR="002808D3">
        <w:t>2019</w:t>
      </w:r>
      <w:r w:rsidRPr="00765F6E">
        <w:rPr>
          <w:rFonts w:hint="eastAsia"/>
        </w:rPr>
        <w:t>中相关条文进行桩端后压浆灌注桩的单桩轴向受压承载力容许值计算，但后压浆的技术指标应满足</w:t>
      </w:r>
      <w:bookmarkStart w:id="1365" w:name="OLE_LINK11"/>
      <w:r w:rsidRPr="00765F6E">
        <w:rPr>
          <w:rFonts w:hint="eastAsia"/>
        </w:rPr>
        <w:t xml:space="preserve">JTG </w:t>
      </w:r>
      <w:bookmarkStart w:id="1366" w:name="OLE_LINK22"/>
      <w:r w:rsidRPr="00765F6E">
        <w:rPr>
          <w:rFonts w:hint="eastAsia"/>
        </w:rPr>
        <w:t>3363</w:t>
      </w:r>
      <w:bookmarkEnd w:id="1365"/>
      <w:bookmarkEnd w:id="1366"/>
      <w:r w:rsidR="008E057D">
        <w:rPr>
          <w:rFonts w:hint="eastAsia"/>
        </w:rPr>
        <w:t>-</w:t>
      </w:r>
      <w:r w:rsidR="002808D3">
        <w:t>2019</w:t>
      </w:r>
      <w:r w:rsidR="002808D3" w:rsidRPr="00765F6E">
        <w:rPr>
          <w:rFonts w:hint="eastAsia"/>
        </w:rPr>
        <w:t xml:space="preserve"> </w:t>
      </w:r>
      <w:r w:rsidRPr="00765F6E">
        <w:rPr>
          <w:rFonts w:hint="eastAsia"/>
        </w:rPr>
        <w:t>中附录K要求。</w:t>
      </w:r>
      <w:bookmarkEnd w:id="1363"/>
      <w:bookmarkEnd w:id="1364"/>
    </w:p>
    <w:p w14:paraId="6BA2E14A" w14:textId="77777777" w:rsidR="00737EB2" w:rsidRPr="00765F6E" w:rsidRDefault="00737EB2" w:rsidP="009D0776">
      <w:pPr>
        <w:pStyle w:val="22"/>
      </w:pPr>
      <w:bookmarkStart w:id="1367" w:name="_Toc153291359"/>
      <w:bookmarkStart w:id="1368" w:name="_Toc99791926"/>
      <w:r w:rsidRPr="00765F6E">
        <w:rPr>
          <w:rFonts w:hint="eastAsia"/>
        </w:rPr>
        <w:t>涵洞设计符合下列规定：</w:t>
      </w:r>
      <w:bookmarkEnd w:id="1367"/>
      <w:bookmarkEnd w:id="1368"/>
    </w:p>
    <w:p w14:paraId="62A9CE9D" w14:textId="77777777" w:rsidR="00737EB2" w:rsidRPr="00765F6E" w:rsidRDefault="00737EB2" w:rsidP="003334F3">
      <w:pPr>
        <w:pStyle w:val="af6"/>
        <w:numPr>
          <w:ilvl w:val="0"/>
          <w:numId w:val="114"/>
        </w:numPr>
        <w:tabs>
          <w:tab w:val="left" w:pos="851"/>
        </w:tabs>
        <w:snapToGrid w:val="0"/>
        <w:contextualSpacing/>
        <w:rPr>
          <w:rFonts w:hAnsi="宋体"/>
        </w:rPr>
      </w:pPr>
      <w:r w:rsidRPr="00765F6E">
        <w:rPr>
          <w:rFonts w:hAnsi="宋体" w:hint="eastAsia"/>
        </w:rPr>
        <w:t>涵洞控制路肩高程时，涵洞顶可与路肩平，但不应高于路肩；</w:t>
      </w:r>
    </w:p>
    <w:p w14:paraId="27684B42" w14:textId="77777777" w:rsidR="00737EB2" w:rsidRPr="00765F6E" w:rsidRDefault="00737EB2" w:rsidP="003334F3">
      <w:pPr>
        <w:pStyle w:val="af6"/>
        <w:numPr>
          <w:ilvl w:val="0"/>
          <w:numId w:val="114"/>
        </w:numPr>
        <w:tabs>
          <w:tab w:val="left" w:pos="851"/>
        </w:tabs>
        <w:snapToGrid w:val="0"/>
        <w:contextualSpacing/>
        <w:rPr>
          <w:rFonts w:hAnsi="宋体"/>
        </w:rPr>
      </w:pPr>
      <w:r w:rsidRPr="00765F6E">
        <w:rPr>
          <w:rFonts w:hAnsi="宋体" w:hint="eastAsia"/>
        </w:rPr>
        <w:t>斜交涵洞的斜交角度不宜大于45º；</w:t>
      </w:r>
    </w:p>
    <w:p w14:paraId="671BDDDE" w14:textId="77777777" w:rsidR="00737EB2" w:rsidRPr="00765F6E" w:rsidRDefault="00737EB2" w:rsidP="003334F3">
      <w:pPr>
        <w:pStyle w:val="af6"/>
        <w:numPr>
          <w:ilvl w:val="0"/>
          <w:numId w:val="114"/>
        </w:numPr>
        <w:tabs>
          <w:tab w:val="left" w:pos="851"/>
        </w:tabs>
        <w:snapToGrid w:val="0"/>
        <w:contextualSpacing/>
        <w:rPr>
          <w:rFonts w:hAnsi="宋体"/>
        </w:rPr>
      </w:pPr>
      <w:r w:rsidRPr="00765F6E">
        <w:rPr>
          <w:rFonts w:hAnsi="宋体" w:hint="eastAsia"/>
        </w:rPr>
        <w:t>涵洞的沉降缝应做到密不透水，且不应设在无砟轨道板下方；</w:t>
      </w:r>
    </w:p>
    <w:p w14:paraId="331B8503" w14:textId="77777777" w:rsidR="00737EB2" w:rsidRPr="00765F6E" w:rsidRDefault="00737EB2" w:rsidP="003334F3">
      <w:pPr>
        <w:pStyle w:val="af6"/>
        <w:numPr>
          <w:ilvl w:val="0"/>
          <w:numId w:val="114"/>
        </w:numPr>
        <w:tabs>
          <w:tab w:val="left" w:pos="851"/>
        </w:tabs>
        <w:snapToGrid w:val="0"/>
        <w:contextualSpacing/>
        <w:rPr>
          <w:rFonts w:hAnsi="宋体"/>
        </w:rPr>
      </w:pPr>
      <w:r w:rsidRPr="00765F6E">
        <w:rPr>
          <w:rFonts w:hAnsi="宋体" w:hint="eastAsia"/>
        </w:rPr>
        <w:t>涵洞地基的处理方式应与两侧路基地基处理方式相协调。</w:t>
      </w:r>
    </w:p>
    <w:p w14:paraId="41CA8521" w14:textId="532B4661" w:rsidR="00737EB2" w:rsidRPr="00765F6E" w:rsidRDefault="00737EB2" w:rsidP="009D0776">
      <w:pPr>
        <w:pStyle w:val="22"/>
      </w:pPr>
      <w:bookmarkStart w:id="1369" w:name="_Toc99791927"/>
      <w:bookmarkStart w:id="1370" w:name="_Toc153291360"/>
      <w:r w:rsidRPr="00765F6E">
        <w:rPr>
          <w:rFonts w:hint="eastAsia"/>
        </w:rPr>
        <w:t>普通钢筋配筋构造按照T</w:t>
      </w:r>
      <w:r w:rsidRPr="00765F6E">
        <w:t>B 10092</w:t>
      </w:r>
      <w:r w:rsidR="00AC1892">
        <w:rPr>
          <w:rFonts w:hint="eastAsia"/>
        </w:rPr>
        <w:t>-</w:t>
      </w:r>
      <w:r w:rsidR="00AC1892">
        <w:t>2017</w:t>
      </w:r>
      <w:r w:rsidRPr="00765F6E">
        <w:rPr>
          <w:rFonts w:hint="eastAsia"/>
        </w:rPr>
        <w:t>及TB 10064执行。</w:t>
      </w:r>
      <w:bookmarkEnd w:id="1369"/>
      <w:bookmarkEnd w:id="1370"/>
    </w:p>
    <w:p w14:paraId="11620FF1" w14:textId="77777777" w:rsidR="00737EB2" w:rsidRPr="00765F6E" w:rsidRDefault="00737EB2" w:rsidP="00737EB2">
      <w:pPr>
        <w:pStyle w:val="affe"/>
        <w:spacing w:before="156" w:after="156"/>
      </w:pPr>
      <w:bookmarkStart w:id="1371" w:name="_Toc153210873"/>
      <w:bookmarkStart w:id="1372" w:name="_Toc99791928"/>
      <w:bookmarkStart w:id="1373" w:name="_Toc153291361"/>
      <w:bookmarkStart w:id="1374" w:name="_Toc167895770"/>
      <w:bookmarkStart w:id="1375" w:name="_Toc174538684"/>
      <w:bookmarkStart w:id="1376" w:name="_Toc182476441"/>
      <w:r w:rsidRPr="00765F6E">
        <w:rPr>
          <w:rFonts w:hint="eastAsia"/>
        </w:rPr>
        <w:t>桥面布置及附属设施</w:t>
      </w:r>
      <w:bookmarkEnd w:id="1371"/>
      <w:bookmarkEnd w:id="1372"/>
      <w:bookmarkEnd w:id="1373"/>
      <w:bookmarkEnd w:id="1374"/>
      <w:bookmarkEnd w:id="1375"/>
      <w:bookmarkEnd w:id="1376"/>
    </w:p>
    <w:p w14:paraId="7A0A58EE" w14:textId="77777777" w:rsidR="00737EB2" w:rsidRPr="00765F6E" w:rsidRDefault="00737EB2" w:rsidP="009D0776">
      <w:pPr>
        <w:pStyle w:val="22"/>
      </w:pPr>
      <w:bookmarkStart w:id="1377" w:name="_Toc99791929"/>
      <w:bookmarkStart w:id="1378" w:name="_Toc153291362"/>
      <w:r w:rsidRPr="00765F6E">
        <w:rPr>
          <w:rFonts w:hint="eastAsia"/>
        </w:rPr>
        <w:t>桥面的布置符合下列规定：</w:t>
      </w:r>
      <w:bookmarkEnd w:id="1377"/>
      <w:bookmarkEnd w:id="1378"/>
    </w:p>
    <w:p w14:paraId="7A028E21" w14:textId="77777777" w:rsidR="00737EB2" w:rsidRPr="00765F6E" w:rsidRDefault="00737EB2" w:rsidP="003334F3">
      <w:pPr>
        <w:pStyle w:val="af6"/>
        <w:numPr>
          <w:ilvl w:val="0"/>
          <w:numId w:val="115"/>
        </w:numPr>
        <w:tabs>
          <w:tab w:val="left" w:pos="851"/>
        </w:tabs>
        <w:snapToGrid w:val="0"/>
        <w:contextualSpacing/>
        <w:rPr>
          <w:rFonts w:hAnsi="宋体"/>
        </w:rPr>
      </w:pPr>
      <w:r w:rsidRPr="00765F6E">
        <w:rPr>
          <w:rFonts w:hAnsi="宋体" w:hint="eastAsia"/>
        </w:rPr>
        <w:t>桥面宽度宜综合考虑建筑限界、应急疏散、电缆槽、接触网立柱、声屏障结构及养护维修方式等要求确定；</w:t>
      </w:r>
    </w:p>
    <w:p w14:paraId="4F1388F0" w14:textId="77777777" w:rsidR="00737EB2" w:rsidRPr="00765F6E" w:rsidRDefault="00737EB2" w:rsidP="003334F3">
      <w:pPr>
        <w:pStyle w:val="af6"/>
        <w:numPr>
          <w:ilvl w:val="0"/>
          <w:numId w:val="115"/>
        </w:numPr>
        <w:tabs>
          <w:tab w:val="left" w:pos="851"/>
        </w:tabs>
        <w:snapToGrid w:val="0"/>
        <w:contextualSpacing/>
        <w:rPr>
          <w:rFonts w:hAnsi="宋体"/>
        </w:rPr>
      </w:pPr>
      <w:r w:rsidRPr="00765F6E">
        <w:rPr>
          <w:rFonts w:hAnsi="宋体" w:hint="eastAsia"/>
        </w:rPr>
        <w:t>桥上设置防护墙时，防护墙顶面不应低于相邻钢轨顶面。线路中心线至防护墙内侧净距应满足养护维修要求；</w:t>
      </w:r>
    </w:p>
    <w:p w14:paraId="3B795041" w14:textId="77777777" w:rsidR="00737EB2" w:rsidRPr="00765F6E" w:rsidRDefault="00737EB2" w:rsidP="003334F3">
      <w:pPr>
        <w:pStyle w:val="af6"/>
        <w:numPr>
          <w:ilvl w:val="0"/>
          <w:numId w:val="115"/>
        </w:numPr>
        <w:tabs>
          <w:tab w:val="left" w:pos="851"/>
        </w:tabs>
        <w:snapToGrid w:val="0"/>
        <w:contextualSpacing/>
        <w:rPr>
          <w:rFonts w:hAnsi="宋体"/>
        </w:rPr>
      </w:pPr>
      <w:r w:rsidRPr="00765F6E">
        <w:rPr>
          <w:rFonts w:hAnsi="宋体" w:hint="eastAsia"/>
        </w:rPr>
        <w:t>桥上栏杆在踏面以上的高度不宜小于1.1m。</w:t>
      </w:r>
    </w:p>
    <w:p w14:paraId="3808AB20" w14:textId="77777777" w:rsidR="00737EB2" w:rsidRPr="00765F6E" w:rsidRDefault="00737EB2" w:rsidP="009D0776">
      <w:pPr>
        <w:pStyle w:val="22"/>
      </w:pPr>
      <w:bookmarkStart w:id="1379" w:name="_Toc99791930"/>
      <w:bookmarkStart w:id="1380" w:name="_Toc153291363"/>
      <w:r w:rsidRPr="00765F6E">
        <w:rPr>
          <w:rFonts w:hint="eastAsia"/>
        </w:rPr>
        <w:t>桥涵结构的检查设备应符合下列规定：</w:t>
      </w:r>
      <w:bookmarkEnd w:id="1379"/>
      <w:bookmarkEnd w:id="1380"/>
    </w:p>
    <w:p w14:paraId="3F99B87A" w14:textId="77777777" w:rsidR="00737EB2" w:rsidRPr="00765F6E" w:rsidRDefault="00737EB2" w:rsidP="003334F3">
      <w:pPr>
        <w:pStyle w:val="af6"/>
        <w:numPr>
          <w:ilvl w:val="0"/>
          <w:numId w:val="116"/>
        </w:numPr>
        <w:tabs>
          <w:tab w:val="left" w:pos="851"/>
        </w:tabs>
        <w:snapToGrid w:val="0"/>
        <w:contextualSpacing/>
        <w:rPr>
          <w:rFonts w:hAnsi="宋体"/>
        </w:rPr>
      </w:pPr>
      <w:r w:rsidRPr="00765F6E">
        <w:rPr>
          <w:rFonts w:hAnsi="宋体" w:hint="eastAsia"/>
        </w:rPr>
        <w:t>墩台顶至地面高度大于6m，或经常有水的桥梁，当不具备其他检修条件时，墩台顶应设置围栏、吊篮；当没有其他方式到达墩台顶时，应设置桥面至墩台顶的检查梯；</w:t>
      </w:r>
    </w:p>
    <w:p w14:paraId="0746EF99" w14:textId="77777777" w:rsidR="00737EB2" w:rsidRPr="00765F6E" w:rsidRDefault="00737EB2" w:rsidP="003334F3">
      <w:pPr>
        <w:pStyle w:val="af6"/>
        <w:numPr>
          <w:ilvl w:val="0"/>
          <w:numId w:val="116"/>
        </w:numPr>
        <w:tabs>
          <w:tab w:val="left" w:pos="851"/>
        </w:tabs>
        <w:snapToGrid w:val="0"/>
        <w:contextualSpacing/>
        <w:rPr>
          <w:rFonts w:hAnsi="宋体"/>
        </w:rPr>
      </w:pPr>
      <w:r w:rsidRPr="00765F6E">
        <w:rPr>
          <w:rFonts w:hAnsi="宋体" w:hint="eastAsia"/>
        </w:rPr>
        <w:t>特殊桥梁应根据构造特点和需要，必要时设置专门的移动检查设备和固定检查通道；</w:t>
      </w:r>
    </w:p>
    <w:p w14:paraId="47627ACD" w14:textId="77777777" w:rsidR="00737EB2" w:rsidRPr="00765F6E" w:rsidRDefault="00737EB2" w:rsidP="003334F3">
      <w:pPr>
        <w:pStyle w:val="af6"/>
        <w:numPr>
          <w:ilvl w:val="0"/>
          <w:numId w:val="116"/>
        </w:numPr>
        <w:tabs>
          <w:tab w:val="left" w:pos="851"/>
        </w:tabs>
        <w:snapToGrid w:val="0"/>
        <w:contextualSpacing/>
        <w:rPr>
          <w:rFonts w:hAnsi="宋体"/>
        </w:rPr>
      </w:pPr>
      <w:r w:rsidRPr="00765F6E">
        <w:rPr>
          <w:rFonts w:hAnsi="宋体" w:hint="eastAsia"/>
        </w:rPr>
        <w:t>桥涵处路堤高度超过3.0m时，应在路堤边坡上设置简易台阶。</w:t>
      </w:r>
    </w:p>
    <w:p w14:paraId="280DE97C" w14:textId="77777777" w:rsidR="00737EB2" w:rsidRPr="00765F6E" w:rsidRDefault="00737EB2" w:rsidP="009D0776">
      <w:pPr>
        <w:pStyle w:val="22"/>
      </w:pPr>
      <w:bookmarkStart w:id="1381" w:name="_Toc99791931"/>
      <w:bookmarkStart w:id="1382" w:name="_Toc153291364"/>
      <w:r w:rsidRPr="00765F6E">
        <w:rPr>
          <w:rFonts w:hint="eastAsia"/>
        </w:rPr>
        <w:t>桥梁应设置性能良好的防、排水设施，并符合下列规定：</w:t>
      </w:r>
      <w:bookmarkEnd w:id="1381"/>
      <w:bookmarkEnd w:id="1382"/>
    </w:p>
    <w:p w14:paraId="38C2F9D0" w14:textId="77777777" w:rsidR="00737EB2" w:rsidRPr="00765F6E" w:rsidRDefault="00737EB2" w:rsidP="003334F3">
      <w:pPr>
        <w:pStyle w:val="af6"/>
        <w:numPr>
          <w:ilvl w:val="0"/>
          <w:numId w:val="117"/>
        </w:numPr>
        <w:tabs>
          <w:tab w:val="left" w:pos="851"/>
        </w:tabs>
        <w:snapToGrid w:val="0"/>
        <w:contextualSpacing/>
        <w:rPr>
          <w:rFonts w:hAnsi="宋体"/>
        </w:rPr>
      </w:pPr>
      <w:r w:rsidRPr="00765F6E">
        <w:rPr>
          <w:rFonts w:hAnsi="宋体" w:hint="eastAsia"/>
        </w:rPr>
        <w:t>桥梁顶面宜设置不小于2%的横向排水坡；桥梁纵向坡度不宜小于3‰；桥梁集中排水管宜接入市政排水系统，当不具备接入条件时，应设置散水等构造；</w:t>
      </w:r>
    </w:p>
    <w:p w14:paraId="2AF66A25" w14:textId="77777777" w:rsidR="00737EB2" w:rsidRPr="00765F6E" w:rsidRDefault="00737EB2" w:rsidP="003334F3">
      <w:pPr>
        <w:pStyle w:val="af6"/>
        <w:numPr>
          <w:ilvl w:val="0"/>
          <w:numId w:val="117"/>
        </w:numPr>
        <w:tabs>
          <w:tab w:val="left" w:pos="851"/>
        </w:tabs>
        <w:snapToGrid w:val="0"/>
        <w:contextualSpacing/>
        <w:rPr>
          <w:rFonts w:hAnsi="宋体"/>
        </w:rPr>
      </w:pPr>
      <w:r w:rsidRPr="00765F6E">
        <w:rPr>
          <w:rFonts w:hAnsi="宋体" w:hint="eastAsia"/>
        </w:rPr>
        <w:t>桥面应设置连续、整体密封、耐久的防水层；</w:t>
      </w:r>
    </w:p>
    <w:p w14:paraId="4A52CF27" w14:textId="77777777" w:rsidR="00737EB2" w:rsidRPr="00765F6E" w:rsidRDefault="00737EB2" w:rsidP="003334F3">
      <w:pPr>
        <w:pStyle w:val="af6"/>
        <w:numPr>
          <w:ilvl w:val="0"/>
          <w:numId w:val="117"/>
        </w:numPr>
        <w:tabs>
          <w:tab w:val="left" w:pos="851"/>
        </w:tabs>
        <w:snapToGrid w:val="0"/>
        <w:contextualSpacing/>
        <w:rPr>
          <w:rFonts w:hAnsi="宋体"/>
        </w:rPr>
      </w:pPr>
      <w:r w:rsidRPr="00765F6E">
        <w:rPr>
          <w:rFonts w:hAnsi="宋体" w:hint="eastAsia"/>
        </w:rPr>
        <w:t>桥梁端部应设伸缩缝，伸缩缝除保证梁部能自由伸缩外，还应能有效防止桥面水渗漏、污染梁体和支座，并且应便于更换。</w:t>
      </w:r>
    </w:p>
    <w:p w14:paraId="65E1F078" w14:textId="77777777" w:rsidR="00737EB2" w:rsidRPr="00765F6E" w:rsidRDefault="00737EB2" w:rsidP="009D0776">
      <w:pPr>
        <w:pStyle w:val="22"/>
      </w:pPr>
      <w:bookmarkStart w:id="1383" w:name="_Toc99791932"/>
      <w:bookmarkStart w:id="1384" w:name="_Toc153291365"/>
      <w:r w:rsidRPr="00765F6E">
        <w:rPr>
          <w:rFonts w:hint="eastAsia"/>
        </w:rPr>
        <w:t>市域铁路桥梁救援疏散通道应根据工程需要并结合地面道路条件设置，救援疏散通道设计符合下列规定：</w:t>
      </w:r>
      <w:bookmarkEnd w:id="1383"/>
      <w:bookmarkEnd w:id="1384"/>
    </w:p>
    <w:p w14:paraId="27D31B9D" w14:textId="77777777" w:rsidR="00737EB2" w:rsidRPr="00765F6E" w:rsidRDefault="00737EB2" w:rsidP="003334F3">
      <w:pPr>
        <w:pStyle w:val="af6"/>
        <w:numPr>
          <w:ilvl w:val="0"/>
          <w:numId w:val="118"/>
        </w:numPr>
        <w:tabs>
          <w:tab w:val="left" w:pos="851"/>
        </w:tabs>
        <w:snapToGrid w:val="0"/>
        <w:contextualSpacing/>
        <w:rPr>
          <w:rFonts w:hAnsi="宋体"/>
        </w:rPr>
      </w:pPr>
      <w:r w:rsidRPr="00765F6E">
        <w:rPr>
          <w:rFonts w:hAnsi="宋体" w:hint="eastAsia"/>
        </w:rPr>
        <w:t>桥长超过3km时，每隔3km（单侧6km）左右，在线路两侧交错设置一处可上下桥的救援疏散通道；</w:t>
      </w:r>
    </w:p>
    <w:p w14:paraId="68D71EB7" w14:textId="77777777" w:rsidR="00737EB2" w:rsidRPr="00765F6E" w:rsidRDefault="00737EB2" w:rsidP="003334F3">
      <w:pPr>
        <w:pStyle w:val="af6"/>
        <w:numPr>
          <w:ilvl w:val="0"/>
          <w:numId w:val="118"/>
        </w:numPr>
        <w:tabs>
          <w:tab w:val="left" w:pos="851"/>
        </w:tabs>
        <w:snapToGrid w:val="0"/>
        <w:contextualSpacing/>
        <w:rPr>
          <w:rFonts w:hAnsi="宋体"/>
        </w:rPr>
      </w:pPr>
      <w:r w:rsidRPr="00765F6E">
        <w:rPr>
          <w:rFonts w:hAnsi="宋体" w:hint="eastAsia"/>
        </w:rPr>
        <w:t>桥梁救援疏散通道应满足抗震设防的要求；</w:t>
      </w:r>
    </w:p>
    <w:p w14:paraId="1FC233AA" w14:textId="77777777" w:rsidR="00737EB2" w:rsidRPr="00765F6E" w:rsidRDefault="00737EB2" w:rsidP="003334F3">
      <w:pPr>
        <w:pStyle w:val="af6"/>
        <w:numPr>
          <w:ilvl w:val="0"/>
          <w:numId w:val="118"/>
        </w:numPr>
        <w:tabs>
          <w:tab w:val="left" w:pos="851"/>
        </w:tabs>
        <w:snapToGrid w:val="0"/>
        <w:contextualSpacing/>
        <w:rPr>
          <w:rFonts w:hAnsi="宋体"/>
        </w:rPr>
      </w:pPr>
      <w:r w:rsidRPr="00765F6E">
        <w:rPr>
          <w:rFonts w:hAnsi="宋体" w:hint="eastAsia"/>
        </w:rPr>
        <w:t>桥上应设置疏散导向标志，救援疏散通道侧对应的桥上栏杆或声屏障位置应预留出口。</w:t>
      </w:r>
    </w:p>
    <w:p w14:paraId="7844CAC9" w14:textId="3D12B2D3" w:rsidR="00737EB2" w:rsidRPr="00765F6E" w:rsidRDefault="00737EB2" w:rsidP="009D0776">
      <w:pPr>
        <w:pStyle w:val="22"/>
      </w:pPr>
      <w:bookmarkStart w:id="1385" w:name="_Toc99791933"/>
      <w:bookmarkStart w:id="1386" w:name="_Toc153291366"/>
      <w:r w:rsidRPr="00765F6E">
        <w:rPr>
          <w:rFonts w:hint="eastAsia"/>
        </w:rPr>
        <w:t>上跨市域铁路的公路或城市道路桥，其跨线及相邻桥跨结构设计除符合公路或城市道路相关设计标准的规定外，还符合下列规定：</w:t>
      </w:r>
      <w:bookmarkEnd w:id="1385"/>
      <w:bookmarkEnd w:id="1386"/>
    </w:p>
    <w:p w14:paraId="02246C8C" w14:textId="77777777" w:rsidR="00737EB2" w:rsidRPr="00765F6E" w:rsidRDefault="00737EB2" w:rsidP="003334F3">
      <w:pPr>
        <w:pStyle w:val="af6"/>
        <w:numPr>
          <w:ilvl w:val="0"/>
          <w:numId w:val="119"/>
        </w:numPr>
        <w:tabs>
          <w:tab w:val="left" w:pos="851"/>
        </w:tabs>
        <w:snapToGrid w:val="0"/>
        <w:contextualSpacing/>
        <w:rPr>
          <w:rFonts w:hAnsi="宋体"/>
        </w:rPr>
      </w:pPr>
      <w:r w:rsidRPr="00765F6E">
        <w:rPr>
          <w:rFonts w:hAnsi="宋体" w:hint="eastAsia"/>
        </w:rPr>
        <w:t>安全等级采用一级，结构重要性系数取1.1；</w:t>
      </w:r>
    </w:p>
    <w:p w14:paraId="4A64DD26" w14:textId="77777777" w:rsidR="00737EB2" w:rsidRPr="00765F6E" w:rsidRDefault="00737EB2" w:rsidP="003334F3">
      <w:pPr>
        <w:pStyle w:val="af6"/>
        <w:numPr>
          <w:ilvl w:val="0"/>
          <w:numId w:val="119"/>
        </w:numPr>
        <w:tabs>
          <w:tab w:val="left" w:pos="851"/>
        </w:tabs>
        <w:snapToGrid w:val="0"/>
        <w:contextualSpacing/>
        <w:rPr>
          <w:rFonts w:hAnsi="宋体"/>
        </w:rPr>
      </w:pPr>
      <w:r w:rsidRPr="00765F6E">
        <w:rPr>
          <w:rFonts w:hAnsi="宋体" w:hint="eastAsia"/>
        </w:rPr>
        <w:t>汽车设计荷载应采用相应标准设计荷载的1.3 倍；</w:t>
      </w:r>
    </w:p>
    <w:p w14:paraId="1A84CDAE" w14:textId="09235BAE" w:rsidR="00737EB2" w:rsidRPr="00765F6E" w:rsidRDefault="00737EB2" w:rsidP="003334F3">
      <w:pPr>
        <w:pStyle w:val="af6"/>
        <w:numPr>
          <w:ilvl w:val="0"/>
          <w:numId w:val="119"/>
        </w:numPr>
        <w:tabs>
          <w:tab w:val="left" w:pos="851"/>
        </w:tabs>
        <w:snapToGrid w:val="0"/>
        <w:contextualSpacing/>
        <w:rPr>
          <w:rFonts w:hAnsi="宋体"/>
        </w:rPr>
      </w:pPr>
      <w:r w:rsidRPr="00765F6E">
        <w:rPr>
          <w:rFonts w:hAnsi="宋体" w:hint="eastAsia"/>
        </w:rPr>
        <w:t>抗震设防类别应不低于</w:t>
      </w:r>
      <w:r w:rsidRPr="00765F6E">
        <w:rPr>
          <w:rFonts w:hAnsi="宋体"/>
        </w:rPr>
        <w:t>JTG/T 2331-01</w:t>
      </w:r>
      <w:r w:rsidRPr="00765F6E">
        <w:rPr>
          <w:rFonts w:hAnsi="宋体" w:hint="eastAsia"/>
        </w:rPr>
        <w:t>或</w:t>
      </w:r>
      <w:r w:rsidRPr="00765F6E">
        <w:rPr>
          <w:rFonts w:hAnsi="宋体"/>
        </w:rPr>
        <w:t>CJJ 166</w:t>
      </w:r>
      <w:r w:rsidR="009B7476">
        <w:rPr>
          <w:rFonts w:hAnsi="宋体" w:hint="eastAsia"/>
        </w:rPr>
        <w:t>有关</w:t>
      </w:r>
      <w:r w:rsidRPr="00765F6E">
        <w:rPr>
          <w:rFonts w:hAnsi="宋体" w:hint="eastAsia"/>
        </w:rPr>
        <w:t>规定；</w:t>
      </w:r>
    </w:p>
    <w:p w14:paraId="73D352A4" w14:textId="77777777" w:rsidR="00737EB2" w:rsidRPr="00765F6E" w:rsidRDefault="00737EB2" w:rsidP="003334F3">
      <w:pPr>
        <w:pStyle w:val="af6"/>
        <w:numPr>
          <w:ilvl w:val="0"/>
          <w:numId w:val="119"/>
        </w:numPr>
        <w:tabs>
          <w:tab w:val="left" w:pos="851"/>
        </w:tabs>
        <w:snapToGrid w:val="0"/>
        <w:contextualSpacing/>
        <w:rPr>
          <w:rFonts w:hAnsi="宋体"/>
        </w:rPr>
      </w:pPr>
      <w:r w:rsidRPr="00765F6E">
        <w:rPr>
          <w:rFonts w:hAnsi="宋体" w:hint="eastAsia"/>
        </w:rPr>
        <w:t>梁部宜采用整体结构，采用其他结构形式时，应采取措施加强结构的整体性。</w:t>
      </w:r>
    </w:p>
    <w:p w14:paraId="0D1653E5" w14:textId="77777777" w:rsidR="00737EB2" w:rsidRPr="00765F6E" w:rsidRDefault="00737EB2" w:rsidP="009D0776">
      <w:pPr>
        <w:pStyle w:val="22"/>
      </w:pPr>
      <w:bookmarkStart w:id="1387" w:name="_Toc153291367"/>
      <w:bookmarkStart w:id="1388" w:name="_Toc99791934"/>
      <w:r w:rsidRPr="00765F6E">
        <w:rPr>
          <w:rFonts w:hint="eastAsia"/>
        </w:rPr>
        <w:t>上跨市域铁路立交桥的新建公路、城市道路桥梁，其安全防护符合下列规定：</w:t>
      </w:r>
      <w:bookmarkEnd w:id="1387"/>
      <w:bookmarkEnd w:id="1388"/>
    </w:p>
    <w:p w14:paraId="2C9D247A" w14:textId="77777777" w:rsidR="00737EB2" w:rsidRPr="00765F6E" w:rsidRDefault="00737EB2" w:rsidP="003334F3">
      <w:pPr>
        <w:pStyle w:val="af6"/>
        <w:numPr>
          <w:ilvl w:val="0"/>
          <w:numId w:val="120"/>
        </w:numPr>
        <w:tabs>
          <w:tab w:val="left" w:pos="851"/>
        </w:tabs>
        <w:snapToGrid w:val="0"/>
        <w:contextualSpacing/>
        <w:rPr>
          <w:rFonts w:hAnsi="宋体"/>
        </w:rPr>
      </w:pPr>
      <w:r w:rsidRPr="00765F6E">
        <w:rPr>
          <w:rFonts w:hAnsi="宋体" w:hint="eastAsia"/>
        </w:rPr>
        <w:t>市域铁路安全防护范围内的桥面护栏采用一道护栏，等级采用HA级；</w:t>
      </w:r>
    </w:p>
    <w:p w14:paraId="238D1D36" w14:textId="77777777" w:rsidR="00737EB2" w:rsidRPr="00765F6E" w:rsidRDefault="00737EB2" w:rsidP="003334F3">
      <w:pPr>
        <w:pStyle w:val="af6"/>
        <w:numPr>
          <w:ilvl w:val="0"/>
          <w:numId w:val="120"/>
        </w:numPr>
        <w:tabs>
          <w:tab w:val="left" w:pos="851"/>
        </w:tabs>
        <w:snapToGrid w:val="0"/>
        <w:contextualSpacing/>
        <w:rPr>
          <w:rFonts w:hAnsi="宋体"/>
        </w:rPr>
      </w:pPr>
      <w:r w:rsidRPr="00765F6E">
        <w:rPr>
          <w:rFonts w:hAnsi="宋体" w:hint="eastAsia"/>
        </w:rPr>
        <w:t>桥上应设置安全警示标志和接地系统；</w:t>
      </w:r>
    </w:p>
    <w:p w14:paraId="77A65FA1" w14:textId="6658E9AF" w:rsidR="00737EB2" w:rsidRPr="00765F6E" w:rsidRDefault="00737EB2" w:rsidP="003334F3">
      <w:pPr>
        <w:pStyle w:val="af6"/>
        <w:numPr>
          <w:ilvl w:val="0"/>
          <w:numId w:val="120"/>
        </w:numPr>
        <w:tabs>
          <w:tab w:val="left" w:pos="851"/>
        </w:tabs>
        <w:snapToGrid w:val="0"/>
        <w:contextualSpacing/>
        <w:rPr>
          <w:rFonts w:hAnsi="宋体"/>
        </w:rPr>
      </w:pPr>
      <w:r w:rsidRPr="00765F6E">
        <w:rPr>
          <w:rFonts w:hAnsi="宋体" w:hint="eastAsia"/>
        </w:rPr>
        <w:t>桥上应设置防抛网等防护措施，</w:t>
      </w:r>
      <w:r w:rsidRPr="00FB7C79">
        <w:rPr>
          <w:rFonts w:hAnsi="宋体" w:hint="eastAsia"/>
        </w:rPr>
        <w:t>按照</w:t>
      </w:r>
      <w:bookmarkStart w:id="1389" w:name="OLE_LINK8"/>
      <w:r w:rsidRPr="00765F6E">
        <w:rPr>
          <w:rFonts w:hAnsi="宋体"/>
        </w:rPr>
        <w:t>JTG</w:t>
      </w:r>
      <w:bookmarkEnd w:id="1389"/>
      <w:r w:rsidRPr="00765F6E">
        <w:rPr>
          <w:rFonts w:hAnsi="宋体"/>
        </w:rPr>
        <w:t xml:space="preserve"> D81</w:t>
      </w:r>
      <w:r w:rsidRPr="00765F6E">
        <w:rPr>
          <w:rFonts w:hAnsi="宋体" w:hint="eastAsia"/>
        </w:rPr>
        <w:t>有关规定进行设置；</w:t>
      </w:r>
    </w:p>
    <w:p w14:paraId="44AF9A79" w14:textId="77777777" w:rsidR="00737EB2" w:rsidRPr="00765F6E" w:rsidRDefault="00737EB2" w:rsidP="003334F3">
      <w:pPr>
        <w:pStyle w:val="af6"/>
        <w:numPr>
          <w:ilvl w:val="0"/>
          <w:numId w:val="120"/>
        </w:numPr>
        <w:tabs>
          <w:tab w:val="left" w:pos="851"/>
        </w:tabs>
        <w:snapToGrid w:val="0"/>
        <w:contextualSpacing/>
        <w:rPr>
          <w:rFonts w:hAnsi="宋体"/>
        </w:rPr>
      </w:pPr>
      <w:r w:rsidRPr="00765F6E">
        <w:rPr>
          <w:rFonts w:hAnsi="宋体" w:hint="eastAsia"/>
        </w:rPr>
        <w:t>桥面宜采用集中排水方式，将水引出市域铁路范围以外；</w:t>
      </w:r>
    </w:p>
    <w:p w14:paraId="1FC5FEE2" w14:textId="77777777" w:rsidR="00737EB2" w:rsidRPr="00765F6E" w:rsidRDefault="00737EB2" w:rsidP="003334F3">
      <w:pPr>
        <w:pStyle w:val="af6"/>
        <w:numPr>
          <w:ilvl w:val="0"/>
          <w:numId w:val="120"/>
        </w:numPr>
        <w:tabs>
          <w:tab w:val="left" w:pos="851"/>
        </w:tabs>
        <w:snapToGrid w:val="0"/>
        <w:contextualSpacing/>
      </w:pPr>
      <w:r w:rsidRPr="00765F6E">
        <w:rPr>
          <w:rFonts w:hAnsi="宋体" w:hint="eastAsia"/>
        </w:rPr>
        <w:lastRenderedPageBreak/>
        <w:t>跨线范围内桥面灯杆和交通监控设施不宜设置在桥面外侧，并采取防止其倾覆坠落桥下的措</w:t>
      </w:r>
      <w:r w:rsidRPr="00765F6E">
        <w:rPr>
          <w:rFonts w:hint="eastAsia"/>
        </w:rPr>
        <w:t>施；</w:t>
      </w:r>
    </w:p>
    <w:p w14:paraId="09CFDF4C" w14:textId="77777777" w:rsidR="00737EB2" w:rsidRPr="00765F6E" w:rsidRDefault="00737EB2" w:rsidP="003334F3">
      <w:pPr>
        <w:pStyle w:val="af6"/>
        <w:numPr>
          <w:ilvl w:val="0"/>
          <w:numId w:val="120"/>
        </w:numPr>
        <w:tabs>
          <w:tab w:val="left" w:pos="851"/>
        </w:tabs>
        <w:snapToGrid w:val="0"/>
        <w:contextualSpacing/>
      </w:pPr>
      <w:r w:rsidRPr="00765F6E">
        <w:rPr>
          <w:rFonts w:hint="eastAsia"/>
        </w:rPr>
        <w:t xml:space="preserve">荷载要求按照 </w:t>
      </w:r>
      <w:r w:rsidRPr="00765F6E">
        <w:t>TB 10002</w:t>
      </w:r>
      <w:r w:rsidRPr="00765F6E">
        <w:rPr>
          <w:rFonts w:hint="eastAsia"/>
        </w:rPr>
        <w:t>执行。</w:t>
      </w:r>
    </w:p>
    <w:p w14:paraId="06B62D1F" w14:textId="77777777" w:rsidR="00737EB2" w:rsidRPr="00765F6E" w:rsidRDefault="00737EB2" w:rsidP="00737EB2">
      <w:pPr>
        <w:pStyle w:val="affe"/>
        <w:spacing w:before="156" w:after="156"/>
      </w:pPr>
      <w:bookmarkStart w:id="1390" w:name="_Toc99791935"/>
      <w:bookmarkStart w:id="1391" w:name="_Toc153210874"/>
      <w:bookmarkStart w:id="1392" w:name="_Toc153291368"/>
      <w:bookmarkStart w:id="1393" w:name="_Toc167895771"/>
      <w:bookmarkStart w:id="1394" w:name="_Toc174538685"/>
      <w:bookmarkStart w:id="1395" w:name="_Toc182476442"/>
      <w:r w:rsidRPr="00765F6E">
        <w:rPr>
          <w:rFonts w:hint="eastAsia"/>
        </w:rPr>
        <w:t>高架车站桥梁结构</w:t>
      </w:r>
      <w:bookmarkEnd w:id="1390"/>
      <w:bookmarkEnd w:id="1391"/>
      <w:bookmarkEnd w:id="1392"/>
      <w:bookmarkEnd w:id="1393"/>
      <w:bookmarkEnd w:id="1394"/>
      <w:bookmarkEnd w:id="1395"/>
    </w:p>
    <w:p w14:paraId="15EDAED1" w14:textId="77777777" w:rsidR="00737EB2" w:rsidRPr="00765F6E" w:rsidRDefault="00737EB2" w:rsidP="009D0776">
      <w:pPr>
        <w:pStyle w:val="22"/>
      </w:pPr>
      <w:bookmarkStart w:id="1396" w:name="_Toc99791936"/>
      <w:bookmarkStart w:id="1397" w:name="_Toc153291369"/>
      <w:r w:rsidRPr="00765F6E">
        <w:rPr>
          <w:rFonts w:hint="eastAsia"/>
        </w:rPr>
        <w:t>高架车站桥梁结构除满足使用功能要求外，应与高架车站设计相协调。</w:t>
      </w:r>
      <w:bookmarkEnd w:id="1396"/>
      <w:bookmarkEnd w:id="1397"/>
    </w:p>
    <w:p w14:paraId="5A585660" w14:textId="77777777" w:rsidR="00737EB2" w:rsidRPr="00765F6E" w:rsidRDefault="00737EB2" w:rsidP="009D0776">
      <w:pPr>
        <w:pStyle w:val="22"/>
      </w:pPr>
      <w:bookmarkStart w:id="1398" w:name="_Toc99791937"/>
      <w:bookmarkStart w:id="1399" w:name="_Toc153291370"/>
      <w:r w:rsidRPr="00765F6E">
        <w:rPr>
          <w:rFonts w:hint="eastAsia"/>
        </w:rPr>
        <w:t>道岔区桥梁结构应满足道岔对结构的相对变形、变位的要求。</w:t>
      </w:r>
      <w:bookmarkEnd w:id="1398"/>
      <w:bookmarkEnd w:id="1399"/>
    </w:p>
    <w:p w14:paraId="09F68189" w14:textId="77777777" w:rsidR="00737EB2" w:rsidRPr="00765F6E" w:rsidRDefault="00737EB2" w:rsidP="009D0776">
      <w:pPr>
        <w:pStyle w:val="22"/>
      </w:pPr>
      <w:bookmarkStart w:id="1400" w:name="_Toc153291371"/>
      <w:bookmarkStart w:id="1401" w:name="_Toc99791938"/>
      <w:r w:rsidRPr="00765F6E">
        <w:rPr>
          <w:rFonts w:hint="eastAsia"/>
        </w:rPr>
        <w:t>高架车站结构与桥梁结构合建时，宜统筹考虑桥站结构受力时的共同作用和设计标准问题。</w:t>
      </w:r>
      <w:bookmarkEnd w:id="1400"/>
      <w:bookmarkEnd w:id="1401"/>
    </w:p>
    <w:p w14:paraId="50D42462" w14:textId="77777777" w:rsidR="00737EB2" w:rsidRPr="00765F6E" w:rsidRDefault="00737EB2" w:rsidP="00737EB2">
      <w:pPr>
        <w:pStyle w:val="affe"/>
        <w:spacing w:before="156" w:after="156"/>
      </w:pPr>
      <w:bookmarkStart w:id="1402" w:name="_Toc99791939"/>
      <w:bookmarkStart w:id="1403" w:name="_Toc153291372"/>
      <w:bookmarkStart w:id="1404" w:name="_Toc153210875"/>
      <w:bookmarkStart w:id="1405" w:name="_Toc167895772"/>
      <w:bookmarkStart w:id="1406" w:name="_Toc174538686"/>
      <w:bookmarkStart w:id="1407" w:name="_Toc182476443"/>
      <w:r w:rsidRPr="00765F6E">
        <w:rPr>
          <w:rFonts w:hint="eastAsia"/>
        </w:rPr>
        <w:t>接口设计</w:t>
      </w:r>
      <w:bookmarkEnd w:id="1402"/>
      <w:bookmarkEnd w:id="1403"/>
      <w:bookmarkEnd w:id="1404"/>
      <w:bookmarkEnd w:id="1405"/>
      <w:bookmarkEnd w:id="1406"/>
      <w:bookmarkEnd w:id="1407"/>
    </w:p>
    <w:p w14:paraId="7584A59B" w14:textId="77777777" w:rsidR="00737EB2" w:rsidRPr="00765F6E" w:rsidRDefault="00737EB2" w:rsidP="009D0776">
      <w:pPr>
        <w:pStyle w:val="22"/>
      </w:pPr>
      <w:bookmarkStart w:id="1408" w:name="_Toc99791940"/>
      <w:bookmarkStart w:id="1409" w:name="_Toc153291373"/>
      <w:r w:rsidRPr="00765F6E">
        <w:rPr>
          <w:rFonts w:hint="eastAsia"/>
        </w:rPr>
        <w:t>桥梁结构设计时宜考虑轨道结构技术要求和梁轨相互作用。</w:t>
      </w:r>
      <w:bookmarkEnd w:id="1408"/>
      <w:bookmarkEnd w:id="1409"/>
    </w:p>
    <w:p w14:paraId="7CD21B9F" w14:textId="77777777" w:rsidR="00737EB2" w:rsidRPr="00765F6E" w:rsidRDefault="00737EB2" w:rsidP="009D0776">
      <w:pPr>
        <w:pStyle w:val="22"/>
      </w:pPr>
      <w:bookmarkStart w:id="1410" w:name="_Toc99791941"/>
      <w:bookmarkStart w:id="1411" w:name="_Toc153291374"/>
      <w:r w:rsidRPr="00765F6E">
        <w:rPr>
          <w:rFonts w:hint="eastAsia"/>
        </w:rPr>
        <w:t>桥梁设计应根据需要设置电缆支架、电缆槽道、电缆上下桥槽口、接触网支柱等设施的条件。</w:t>
      </w:r>
      <w:bookmarkEnd w:id="1410"/>
      <w:bookmarkEnd w:id="1411"/>
    </w:p>
    <w:p w14:paraId="237AADC1" w14:textId="77777777" w:rsidR="00737EB2" w:rsidRPr="00765F6E" w:rsidRDefault="00737EB2" w:rsidP="009D0776">
      <w:pPr>
        <w:pStyle w:val="22"/>
      </w:pPr>
      <w:bookmarkStart w:id="1412" w:name="_Toc153291375"/>
      <w:bookmarkStart w:id="1413" w:name="_Toc99791942"/>
      <w:r w:rsidRPr="00765F6E">
        <w:rPr>
          <w:rFonts w:hint="eastAsia"/>
        </w:rPr>
        <w:t>桥上应根据环评要求设置声屏障。全线宜根据远期环境要求，预留设置声屏障的条件。</w:t>
      </w:r>
      <w:bookmarkEnd w:id="1412"/>
      <w:bookmarkEnd w:id="1413"/>
    </w:p>
    <w:p w14:paraId="34689CDB" w14:textId="77777777" w:rsidR="00737EB2" w:rsidRPr="00765F6E" w:rsidRDefault="00737EB2" w:rsidP="009D0776">
      <w:pPr>
        <w:pStyle w:val="22"/>
      </w:pPr>
      <w:bookmarkStart w:id="1414" w:name="_Toc99791943"/>
      <w:bookmarkStart w:id="1415" w:name="_Toc153291376"/>
      <w:r w:rsidRPr="00765F6E">
        <w:rPr>
          <w:rFonts w:hint="eastAsia"/>
        </w:rPr>
        <w:t>桥梁设计宜考虑设置接地装置的条件。</w:t>
      </w:r>
      <w:bookmarkEnd w:id="1414"/>
      <w:bookmarkEnd w:id="1415"/>
    </w:p>
    <w:p w14:paraId="2C564BEF" w14:textId="77777777" w:rsidR="00737EB2" w:rsidRPr="00765F6E" w:rsidRDefault="00737EB2" w:rsidP="009D0776">
      <w:pPr>
        <w:pStyle w:val="22"/>
      </w:pPr>
      <w:bookmarkStart w:id="1416" w:name="_Toc99791944"/>
      <w:bookmarkStart w:id="1417" w:name="_Toc153291377"/>
      <w:r w:rsidRPr="00765F6E">
        <w:rPr>
          <w:rFonts w:hint="eastAsia"/>
        </w:rPr>
        <w:t>当桥梁排水具备集中排放条件时，应对接市政排水系统的容量、接口等相关技术和工程实施问题。</w:t>
      </w:r>
      <w:bookmarkEnd w:id="1416"/>
      <w:bookmarkEnd w:id="1417"/>
    </w:p>
    <w:p w14:paraId="05ABE984" w14:textId="77777777" w:rsidR="00737EB2" w:rsidRPr="00765F6E" w:rsidRDefault="00737EB2" w:rsidP="009D0776">
      <w:pPr>
        <w:pStyle w:val="22"/>
      </w:pPr>
      <w:bookmarkStart w:id="1418" w:name="_Toc99791945"/>
      <w:bookmarkStart w:id="1419" w:name="_Toc153291378"/>
      <w:r w:rsidRPr="00765F6E">
        <w:rPr>
          <w:rFonts w:hint="eastAsia"/>
        </w:rPr>
        <w:t>桥隧、桥路接口段设计宜统筹考虑排水和边坡防护等因素。</w:t>
      </w:r>
      <w:bookmarkEnd w:id="1418"/>
      <w:bookmarkEnd w:id="1419"/>
    </w:p>
    <w:p w14:paraId="2F2A30B1" w14:textId="77777777" w:rsidR="00737EB2" w:rsidRPr="00765F6E" w:rsidRDefault="00737EB2" w:rsidP="009D0776">
      <w:pPr>
        <w:pStyle w:val="22"/>
      </w:pPr>
      <w:bookmarkStart w:id="1420" w:name="_Toc99791946"/>
      <w:bookmarkStart w:id="1421" w:name="_Toc153291379"/>
      <w:r w:rsidRPr="00765F6E">
        <w:rPr>
          <w:rFonts w:hint="eastAsia"/>
        </w:rPr>
        <w:t>救援疏散通道的设置宜统筹考虑桥下维修通道、声屏障安全通道及地面道路等因素。</w:t>
      </w:r>
      <w:bookmarkEnd w:id="1420"/>
      <w:bookmarkEnd w:id="1421"/>
    </w:p>
    <w:p w14:paraId="009AB193" w14:textId="77777777" w:rsidR="00737EB2" w:rsidRPr="00765F6E" w:rsidRDefault="00737EB2" w:rsidP="009D0776">
      <w:pPr>
        <w:pStyle w:val="22"/>
      </w:pPr>
      <w:bookmarkStart w:id="1422" w:name="_Toc153291380"/>
      <w:bookmarkStart w:id="1423" w:name="_Toc99791947"/>
      <w:r w:rsidRPr="00765F6E">
        <w:rPr>
          <w:rFonts w:hint="eastAsia"/>
        </w:rPr>
        <w:t>通航河道桥梁应设置必要的航标等设施。位于航空走廊附近的桥梁结构应按相关规定在结构顶设置航空障碍灯。</w:t>
      </w:r>
      <w:bookmarkEnd w:id="1422"/>
      <w:bookmarkEnd w:id="1423"/>
    </w:p>
    <w:p w14:paraId="499AFB84" w14:textId="77777777" w:rsidR="00737EB2" w:rsidRPr="00765F6E" w:rsidRDefault="00737EB2" w:rsidP="009D0776">
      <w:pPr>
        <w:pStyle w:val="22"/>
      </w:pPr>
      <w:bookmarkStart w:id="1424" w:name="_Toc153291381"/>
      <w:bookmarkStart w:id="1425" w:name="_Toc99791948"/>
      <w:r w:rsidRPr="00765F6E">
        <w:rPr>
          <w:rFonts w:hint="eastAsia"/>
        </w:rPr>
        <w:t>桥涵应按照</w:t>
      </w:r>
      <w:r w:rsidRPr="00765F6E">
        <w:t>Q/CR 9230</w:t>
      </w:r>
      <w:r w:rsidRPr="00765F6E">
        <w:rPr>
          <w:rFonts w:hint="eastAsia"/>
        </w:rPr>
        <w:t>的规定设置结构变形及基础沉降观测装置。</w:t>
      </w:r>
      <w:bookmarkEnd w:id="1424"/>
      <w:bookmarkEnd w:id="1425"/>
    </w:p>
    <w:p w14:paraId="59AFC9C0" w14:textId="77777777" w:rsidR="00737EB2" w:rsidRPr="00765F6E" w:rsidRDefault="00737EB2" w:rsidP="00737EB2">
      <w:pPr>
        <w:pStyle w:val="affd"/>
        <w:spacing w:before="312" w:after="312"/>
      </w:pPr>
      <w:bookmarkStart w:id="1426" w:name="_Toc99791949"/>
      <w:bookmarkStart w:id="1427" w:name="_Toc153291382"/>
      <w:bookmarkStart w:id="1428" w:name="_Toc153210876"/>
      <w:bookmarkStart w:id="1429" w:name="_Toc167895773"/>
      <w:bookmarkStart w:id="1430" w:name="_Toc174538687"/>
      <w:bookmarkStart w:id="1431" w:name="_Toc182476444"/>
      <w:r w:rsidRPr="00765F6E">
        <w:rPr>
          <w:rFonts w:hint="eastAsia"/>
        </w:rPr>
        <w:t>隧道</w:t>
      </w:r>
      <w:bookmarkEnd w:id="1426"/>
      <w:bookmarkEnd w:id="1427"/>
      <w:bookmarkEnd w:id="1428"/>
      <w:bookmarkEnd w:id="1429"/>
      <w:bookmarkEnd w:id="1430"/>
      <w:bookmarkEnd w:id="1431"/>
    </w:p>
    <w:p w14:paraId="47DBA50A" w14:textId="77777777" w:rsidR="00737EB2" w:rsidRPr="00765F6E" w:rsidRDefault="00737EB2" w:rsidP="00737EB2">
      <w:pPr>
        <w:pStyle w:val="affe"/>
        <w:spacing w:before="156" w:after="156"/>
      </w:pPr>
      <w:bookmarkStart w:id="1432" w:name="_Toc99791950"/>
      <w:bookmarkStart w:id="1433" w:name="_Toc153291383"/>
      <w:bookmarkStart w:id="1434" w:name="_Toc153210877"/>
      <w:bookmarkStart w:id="1435" w:name="_Toc167895774"/>
      <w:bookmarkStart w:id="1436" w:name="_Toc174538688"/>
      <w:bookmarkStart w:id="1437" w:name="_Toc182476445"/>
      <w:r w:rsidRPr="00765F6E">
        <w:rPr>
          <w:rFonts w:hint="eastAsia"/>
        </w:rPr>
        <w:t>一般规定</w:t>
      </w:r>
      <w:bookmarkEnd w:id="1432"/>
      <w:bookmarkEnd w:id="1433"/>
      <w:bookmarkEnd w:id="1434"/>
      <w:bookmarkEnd w:id="1435"/>
      <w:bookmarkEnd w:id="1436"/>
      <w:bookmarkEnd w:id="1437"/>
    </w:p>
    <w:p w14:paraId="505745C0" w14:textId="77777777" w:rsidR="00737EB2" w:rsidRPr="00765F6E" w:rsidRDefault="00737EB2" w:rsidP="009D0776">
      <w:pPr>
        <w:pStyle w:val="22"/>
      </w:pPr>
      <w:bookmarkStart w:id="1438" w:name="_Toc99791951"/>
      <w:bookmarkStart w:id="1439" w:name="_Toc153291384"/>
      <w:r w:rsidRPr="00765F6E">
        <w:rPr>
          <w:rFonts w:hint="eastAsia"/>
        </w:rPr>
        <w:t>隧道设计应以“结构为功能服务”为原则，满足城市规划、行车运营、空气动力学效应、环境保护、抗震、防水、防火、防护、防腐蚀及施工等要求，并应做到结构安全耐久、技术先进成熟、经济适用。</w:t>
      </w:r>
      <w:bookmarkEnd w:id="1438"/>
      <w:bookmarkEnd w:id="1439"/>
    </w:p>
    <w:p w14:paraId="3F1BBDC7" w14:textId="77777777" w:rsidR="00737EB2" w:rsidRPr="00765F6E" w:rsidRDefault="00737EB2" w:rsidP="009D0776">
      <w:pPr>
        <w:pStyle w:val="22"/>
      </w:pPr>
      <w:bookmarkStart w:id="1440" w:name="_Toc99791952"/>
      <w:bookmarkStart w:id="1441" w:name="_Toc153291385"/>
      <w:r w:rsidRPr="00765F6E">
        <w:rPr>
          <w:rFonts w:hint="eastAsia"/>
        </w:rPr>
        <w:t>隧道主体结构的设计使用年限应为100年，使用期间可以更换且不影响运营的次要结构构件可按使用年限为50年设计，临时围护结构使用年限不应低于工期要求。</w:t>
      </w:r>
      <w:bookmarkEnd w:id="1440"/>
      <w:bookmarkEnd w:id="1441"/>
    </w:p>
    <w:p w14:paraId="264C4BC5" w14:textId="77777777" w:rsidR="00737EB2" w:rsidRPr="00765F6E" w:rsidRDefault="00737EB2" w:rsidP="009D0776">
      <w:pPr>
        <w:pStyle w:val="22"/>
      </w:pPr>
      <w:r w:rsidRPr="00765F6E">
        <w:rPr>
          <w:rFonts w:hint="eastAsia"/>
        </w:rPr>
        <w:t>隧道单、双洞选择应根据国土空间规划、环境及地质条件、隧道长度、洞口相关工程、施工组织与防灾疏散等因素，通过技术经济比选确定。</w:t>
      </w:r>
    </w:p>
    <w:p w14:paraId="58037B30" w14:textId="77777777" w:rsidR="00737EB2" w:rsidRPr="00765F6E" w:rsidRDefault="00737EB2" w:rsidP="009D0776">
      <w:pPr>
        <w:pStyle w:val="22"/>
      </w:pPr>
      <w:r w:rsidRPr="00765F6E">
        <w:rPr>
          <w:rFonts w:hint="eastAsia"/>
        </w:rPr>
        <w:t>隧道结构应按主管部门批准的人防设防等级进行设计。</w:t>
      </w:r>
    </w:p>
    <w:p w14:paraId="1899CA3D" w14:textId="77777777" w:rsidR="00737EB2" w:rsidRPr="00765F6E" w:rsidRDefault="00737EB2" w:rsidP="009D0776">
      <w:pPr>
        <w:pStyle w:val="22"/>
      </w:pPr>
      <w:r w:rsidRPr="00765F6E">
        <w:rPr>
          <w:rFonts w:hint="eastAsia"/>
        </w:rPr>
        <w:t>隧道结构抗浮设计应根据</w:t>
      </w:r>
      <w:r w:rsidRPr="008D655B">
        <w:t>JGJ</w:t>
      </w:r>
      <w:r>
        <w:t xml:space="preserve"> </w:t>
      </w:r>
      <w:r w:rsidRPr="008D655B">
        <w:t>476</w:t>
      </w:r>
      <w:r w:rsidRPr="00765F6E">
        <w:rPr>
          <w:rFonts w:hint="eastAsia"/>
        </w:rPr>
        <w:t>的有关规定进行检算。</w:t>
      </w:r>
    </w:p>
    <w:p w14:paraId="5EF04BEB" w14:textId="77777777" w:rsidR="00737EB2" w:rsidRPr="00765F6E" w:rsidRDefault="00737EB2" w:rsidP="009D0776">
      <w:pPr>
        <w:pStyle w:val="22"/>
      </w:pPr>
      <w:r w:rsidRPr="00765F6E">
        <w:rPr>
          <w:rFonts w:hint="eastAsia"/>
        </w:rPr>
        <w:t>隧道结构耐火等级为一级。</w:t>
      </w:r>
    </w:p>
    <w:p w14:paraId="439D5455" w14:textId="77777777" w:rsidR="00737EB2" w:rsidRPr="00765F6E" w:rsidRDefault="00737EB2" w:rsidP="009D0776">
      <w:pPr>
        <w:pStyle w:val="22"/>
      </w:pPr>
      <w:r w:rsidRPr="00765F6E">
        <w:rPr>
          <w:rFonts w:hint="eastAsia"/>
        </w:rPr>
        <w:t>隧道结构防水等级应达到GB 50108 规定的二级标准，有防潮要求的机电设备集中段应达到一级标准。</w:t>
      </w:r>
    </w:p>
    <w:p w14:paraId="05B9122E" w14:textId="77777777" w:rsidR="00737EB2" w:rsidRPr="00765F6E" w:rsidRDefault="00737EB2" w:rsidP="009D0776">
      <w:pPr>
        <w:pStyle w:val="22"/>
      </w:pPr>
      <w:r w:rsidRPr="00765F6E">
        <w:rPr>
          <w:rFonts w:hint="eastAsia"/>
        </w:rPr>
        <w:t>隧道工程应根据超前地质预报成果、实际揭示地质状况以及监控量测信息开展信息化动态设计。</w:t>
      </w:r>
    </w:p>
    <w:p w14:paraId="27FB2543" w14:textId="77777777" w:rsidR="00737EB2" w:rsidRPr="00765F6E" w:rsidRDefault="00737EB2" w:rsidP="009D0776">
      <w:pPr>
        <w:pStyle w:val="22"/>
      </w:pPr>
      <w:r w:rsidRPr="00765F6E">
        <w:rPr>
          <w:rFonts w:hint="eastAsia"/>
        </w:rPr>
        <w:t>两相邻隧道的最小净距，应根据地质条件、隧道断面尺寸、施工方法、周边环境条件等因素综合确定。</w:t>
      </w:r>
    </w:p>
    <w:p w14:paraId="68D137CE" w14:textId="77777777" w:rsidR="00737EB2" w:rsidRPr="00765F6E" w:rsidRDefault="00737EB2" w:rsidP="009D0776">
      <w:pPr>
        <w:pStyle w:val="22"/>
      </w:pPr>
      <w:r w:rsidRPr="00765F6E">
        <w:rPr>
          <w:rFonts w:hint="eastAsia"/>
        </w:rPr>
        <w:t>隧道纵坡设置宜结合地形、水文地质及环境条件、排水条件等因素综合确定。</w:t>
      </w:r>
    </w:p>
    <w:p w14:paraId="3D56CA14" w14:textId="2A4C344F" w:rsidR="00737EB2" w:rsidRPr="00765F6E" w:rsidRDefault="00737EB2" w:rsidP="009D0776">
      <w:pPr>
        <w:pStyle w:val="22"/>
      </w:pPr>
      <w:r w:rsidRPr="00765F6E">
        <w:rPr>
          <w:rFonts w:hint="eastAsia"/>
        </w:rPr>
        <w:t>矿山法隧道的围岩分级按TB 10003的有关规定执行。</w:t>
      </w:r>
    </w:p>
    <w:p w14:paraId="45933EDA" w14:textId="77777777" w:rsidR="00737EB2" w:rsidRPr="00765F6E" w:rsidRDefault="00737EB2" w:rsidP="009D0776">
      <w:pPr>
        <w:pStyle w:val="22"/>
      </w:pPr>
      <w:r w:rsidRPr="00765F6E">
        <w:rPr>
          <w:rFonts w:hint="eastAsia"/>
        </w:rPr>
        <w:t>隧道结构在荷载、结构、地层条件发生变化的部位或因抗震要求需要设置变形缝时，应采取可靠的工程技术措施，确保变形缝两侧的结构不产生影响使用的差异沉降。</w:t>
      </w:r>
    </w:p>
    <w:p w14:paraId="3CDF0604" w14:textId="1F448608" w:rsidR="00737EB2" w:rsidRPr="00765F6E" w:rsidRDefault="00737EB2" w:rsidP="009D0776">
      <w:pPr>
        <w:pStyle w:val="22"/>
      </w:pPr>
      <w:r w:rsidRPr="00765F6E">
        <w:rPr>
          <w:rFonts w:hint="eastAsia"/>
        </w:rPr>
        <w:t>明挖法施工的隧道结构设计、计算及构造要求</w:t>
      </w:r>
      <w:r w:rsidRPr="00CC17FB">
        <w:rPr>
          <w:rFonts w:hint="eastAsia"/>
        </w:rPr>
        <w:t>按照</w:t>
      </w:r>
      <w:r w:rsidR="00FB7C79">
        <w:rPr>
          <w:rFonts w:hint="eastAsia"/>
        </w:rPr>
        <w:t>本规范第1</w:t>
      </w:r>
      <w:r w:rsidR="00FB7C79">
        <w:t>7</w:t>
      </w:r>
      <w:r w:rsidR="00FB7C79">
        <w:rPr>
          <w:rFonts w:hint="eastAsia"/>
        </w:rPr>
        <w:t>章</w:t>
      </w:r>
      <w:r w:rsidRPr="00765F6E">
        <w:rPr>
          <w:rFonts w:hint="eastAsia"/>
        </w:rPr>
        <w:t>相关规定执行。</w:t>
      </w:r>
    </w:p>
    <w:p w14:paraId="52F6929B" w14:textId="77777777" w:rsidR="00737EB2" w:rsidRPr="00765F6E" w:rsidRDefault="00737EB2" w:rsidP="00737EB2">
      <w:pPr>
        <w:pStyle w:val="affe"/>
        <w:spacing w:before="156" w:after="156"/>
      </w:pPr>
      <w:bookmarkStart w:id="1442" w:name="_Toc99791966"/>
      <w:bookmarkStart w:id="1443" w:name="_Toc153291399"/>
      <w:bookmarkStart w:id="1444" w:name="_Toc153210878"/>
      <w:bookmarkStart w:id="1445" w:name="_Toc167895775"/>
      <w:bookmarkStart w:id="1446" w:name="_Toc174538689"/>
      <w:bookmarkStart w:id="1447" w:name="_Toc182476446"/>
      <w:r w:rsidRPr="00765F6E">
        <w:rPr>
          <w:rFonts w:hint="eastAsia"/>
        </w:rPr>
        <w:t>隧道衬砌内轮廓</w:t>
      </w:r>
      <w:bookmarkEnd w:id="1442"/>
      <w:bookmarkEnd w:id="1443"/>
      <w:bookmarkEnd w:id="1444"/>
      <w:bookmarkEnd w:id="1445"/>
      <w:bookmarkEnd w:id="1446"/>
      <w:bookmarkEnd w:id="1447"/>
    </w:p>
    <w:p w14:paraId="58632544" w14:textId="77777777" w:rsidR="00737EB2" w:rsidRPr="00765F6E" w:rsidRDefault="00737EB2" w:rsidP="009D0776">
      <w:pPr>
        <w:pStyle w:val="22"/>
      </w:pPr>
      <w:bookmarkStart w:id="1448" w:name="_Toc153291400"/>
      <w:bookmarkStart w:id="1449" w:name="_Toc99791967"/>
      <w:r w:rsidRPr="00765F6E">
        <w:rPr>
          <w:rFonts w:hint="eastAsia"/>
        </w:rPr>
        <w:lastRenderedPageBreak/>
        <w:t>隧道衬砌内轮廓的确定宜考虑建筑限界、线间距、疏散通道、空气动力学效应、接触网悬挂方式、隧道内设备、维修养护方式、市域车辆组密封性能、后期维修补强空间、综合施工误差等因素。</w:t>
      </w:r>
      <w:bookmarkEnd w:id="1448"/>
    </w:p>
    <w:p w14:paraId="6E997D30" w14:textId="15E4C7ED" w:rsidR="00737EB2" w:rsidRPr="00765F6E" w:rsidRDefault="00FB7C79" w:rsidP="009D0776">
      <w:pPr>
        <w:pStyle w:val="22"/>
      </w:pPr>
      <w:bookmarkStart w:id="1450" w:name="_Toc153291402"/>
      <w:bookmarkStart w:id="1451" w:name="_Toc99791968"/>
      <w:bookmarkEnd w:id="1449"/>
      <w:r w:rsidRPr="00FB7C79">
        <w:rPr>
          <w:rFonts w:hint="eastAsia"/>
        </w:rPr>
        <w:t>直线地段隧道轨面以上最小净空横断面面积不应小于表</w:t>
      </w:r>
      <w:r w:rsidR="00E512B4">
        <w:t>55</w:t>
      </w:r>
      <w:r w:rsidRPr="00FB7C79">
        <w:rPr>
          <w:rFonts w:hint="eastAsia"/>
        </w:rPr>
        <w:t>的规定，曲线地段加宽应符合TB 10003</w:t>
      </w:r>
      <w:r>
        <w:rPr>
          <w:rFonts w:hint="eastAsia"/>
        </w:rPr>
        <w:t>的相关</w:t>
      </w:r>
      <w:r w:rsidRPr="00FB7C79">
        <w:rPr>
          <w:rFonts w:hint="eastAsia"/>
        </w:rPr>
        <w:t>规定</w:t>
      </w:r>
      <w:r w:rsidR="00737EB2" w:rsidRPr="00765F6E">
        <w:rPr>
          <w:rFonts w:hint="eastAsia"/>
        </w:rPr>
        <w:t>。</w:t>
      </w:r>
      <w:bookmarkEnd w:id="1450"/>
      <w:bookmarkEnd w:id="1451"/>
    </w:p>
    <w:p w14:paraId="11649253" w14:textId="31C65088" w:rsidR="00737EB2" w:rsidRPr="00FB7C79" w:rsidRDefault="00FB7C79" w:rsidP="00737EB2">
      <w:pPr>
        <w:pStyle w:val="aff3"/>
        <w:spacing w:before="156" w:after="156"/>
      </w:pPr>
      <w:r w:rsidRPr="00453DBE">
        <w:rPr>
          <w:rFonts w:hint="eastAsia"/>
        </w:rPr>
        <w:t>直线地段隧道轨面以上最小净空横断面面</w:t>
      </w:r>
      <w:r w:rsidR="00737EB2" w:rsidRPr="00FB7C79">
        <w:rPr>
          <w:rFonts w:hint="eastAsia"/>
        </w:rPr>
        <w:t>积</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2333"/>
        <w:gridCol w:w="2333"/>
        <w:gridCol w:w="2334"/>
        <w:gridCol w:w="2334"/>
      </w:tblGrid>
      <w:tr w:rsidR="00F6204B" w:rsidRPr="00FB7C79" w14:paraId="325689F6" w14:textId="77777777" w:rsidTr="006417E6">
        <w:trPr>
          <w:trHeight w:val="176"/>
          <w:jc w:val="center"/>
        </w:trPr>
        <w:tc>
          <w:tcPr>
            <w:tcW w:w="1250" w:type="pct"/>
            <w:tcBorders>
              <w:top w:val="single" w:sz="8" w:space="0" w:color="auto"/>
              <w:bottom w:val="single" w:sz="8" w:space="0" w:color="auto"/>
            </w:tcBorders>
          </w:tcPr>
          <w:p w14:paraId="56D31F5E" w14:textId="77777777" w:rsidR="00FB7C79" w:rsidRPr="00453DBE" w:rsidRDefault="00FB7C79" w:rsidP="006417E6">
            <w:pPr>
              <w:pStyle w:val="affffffffffff2"/>
              <w:jc w:val="center"/>
              <w:rPr>
                <w:rFonts w:hAnsi="宋体" w:cs="宋体"/>
                <w:sz w:val="18"/>
                <w:szCs w:val="18"/>
              </w:rPr>
            </w:pPr>
            <w:r w:rsidRPr="00453DBE">
              <w:rPr>
                <w:rFonts w:hAnsi="宋体" w:cs="宋体" w:hint="eastAsia"/>
                <w:sz w:val="18"/>
                <w:szCs w:val="18"/>
              </w:rPr>
              <w:t>车辆类型</w:t>
            </w:r>
          </w:p>
        </w:tc>
        <w:tc>
          <w:tcPr>
            <w:tcW w:w="1250" w:type="pct"/>
            <w:tcBorders>
              <w:top w:val="single" w:sz="8" w:space="0" w:color="auto"/>
              <w:bottom w:val="single" w:sz="8" w:space="0" w:color="auto"/>
            </w:tcBorders>
            <w:shd w:val="clear" w:color="auto" w:fill="auto"/>
            <w:vAlign w:val="center"/>
          </w:tcPr>
          <w:p w14:paraId="7C6740B2" w14:textId="77777777" w:rsidR="00FB7C79" w:rsidRPr="00453DBE" w:rsidRDefault="00FB7C79" w:rsidP="006417E6">
            <w:pPr>
              <w:pStyle w:val="affffffffffff2"/>
              <w:jc w:val="center"/>
              <w:rPr>
                <w:rFonts w:hAnsi="宋体" w:cs="宋体"/>
                <w:sz w:val="18"/>
                <w:szCs w:val="18"/>
              </w:rPr>
            </w:pPr>
            <w:r w:rsidRPr="00453DBE">
              <w:rPr>
                <w:rFonts w:hAnsi="宋体" w:cs="宋体" w:hint="eastAsia"/>
                <w:sz w:val="18"/>
                <w:szCs w:val="18"/>
              </w:rPr>
              <w:t>隧道类型</w:t>
            </w:r>
          </w:p>
        </w:tc>
        <w:tc>
          <w:tcPr>
            <w:tcW w:w="1250" w:type="pct"/>
            <w:tcBorders>
              <w:top w:val="single" w:sz="8" w:space="0" w:color="auto"/>
              <w:bottom w:val="single" w:sz="8" w:space="0" w:color="auto"/>
            </w:tcBorders>
            <w:shd w:val="clear" w:color="auto" w:fill="auto"/>
            <w:vAlign w:val="center"/>
          </w:tcPr>
          <w:p w14:paraId="2029EDEB" w14:textId="77777777" w:rsidR="00FB7C79" w:rsidRPr="00453DBE" w:rsidRDefault="00FB7C79" w:rsidP="006417E6">
            <w:pPr>
              <w:pStyle w:val="affffffffffff2"/>
              <w:jc w:val="center"/>
              <w:rPr>
                <w:rFonts w:hAnsi="宋体" w:cs="宋体"/>
                <w:sz w:val="18"/>
                <w:szCs w:val="18"/>
              </w:rPr>
            </w:pPr>
            <w:r w:rsidRPr="00453DBE">
              <w:rPr>
                <w:rFonts w:hAnsi="宋体" w:cs="宋体" w:hint="eastAsia"/>
                <w:sz w:val="18"/>
                <w:szCs w:val="18"/>
              </w:rPr>
              <w:t>设计速度</w:t>
            </w:r>
            <w:r w:rsidRPr="00453DBE">
              <w:rPr>
                <w:rFonts w:hAnsi="宋体" w:cs="宋体"/>
                <w:sz w:val="18"/>
                <w:szCs w:val="18"/>
              </w:rPr>
              <w:t>/（km/h</w:t>
            </w:r>
            <w:r w:rsidRPr="00453DBE">
              <w:rPr>
                <w:rFonts w:hAnsi="宋体" w:cs="宋体" w:hint="eastAsia"/>
                <w:sz w:val="18"/>
                <w:szCs w:val="18"/>
              </w:rPr>
              <w:t>）</w:t>
            </w:r>
          </w:p>
        </w:tc>
        <w:tc>
          <w:tcPr>
            <w:tcW w:w="1250" w:type="pct"/>
            <w:tcBorders>
              <w:top w:val="single" w:sz="8" w:space="0" w:color="auto"/>
              <w:bottom w:val="single" w:sz="8" w:space="0" w:color="auto"/>
            </w:tcBorders>
            <w:shd w:val="clear" w:color="auto" w:fill="auto"/>
            <w:vAlign w:val="center"/>
          </w:tcPr>
          <w:p w14:paraId="03991097" w14:textId="77777777" w:rsidR="00FB7C79" w:rsidRPr="00453DBE" w:rsidRDefault="00FB7C79" w:rsidP="006417E6">
            <w:pPr>
              <w:pStyle w:val="affffffffffff2"/>
              <w:jc w:val="center"/>
              <w:rPr>
                <w:rFonts w:hAnsi="宋体" w:cs="宋体"/>
                <w:sz w:val="18"/>
                <w:szCs w:val="18"/>
              </w:rPr>
            </w:pPr>
            <w:r w:rsidRPr="00453DBE">
              <w:rPr>
                <w:rFonts w:hAnsi="宋体" w:cs="宋体" w:hint="eastAsia"/>
                <w:sz w:val="18"/>
                <w:szCs w:val="18"/>
              </w:rPr>
              <w:t>面积</w:t>
            </w:r>
            <w:r w:rsidRPr="00453DBE">
              <w:rPr>
                <w:rFonts w:hAnsi="宋体" w:cs="宋体"/>
                <w:sz w:val="18"/>
                <w:szCs w:val="18"/>
              </w:rPr>
              <w:t>/（m</w:t>
            </w:r>
            <w:r w:rsidRPr="00453DBE">
              <w:rPr>
                <w:rFonts w:hAnsi="宋体" w:cs="宋体"/>
                <w:sz w:val="18"/>
                <w:szCs w:val="18"/>
                <w:vertAlign w:val="superscript"/>
              </w:rPr>
              <w:t>2</w:t>
            </w:r>
            <w:r w:rsidRPr="00453DBE">
              <w:rPr>
                <w:rFonts w:hAnsi="宋体" w:cs="宋体" w:hint="eastAsia"/>
                <w:sz w:val="18"/>
                <w:szCs w:val="18"/>
              </w:rPr>
              <w:t>）</w:t>
            </w:r>
          </w:p>
        </w:tc>
      </w:tr>
      <w:tr w:rsidR="00F6204B" w:rsidRPr="00FB7C79" w14:paraId="6D10CB0F" w14:textId="77777777" w:rsidTr="006417E6">
        <w:trPr>
          <w:trHeight w:val="176"/>
          <w:jc w:val="center"/>
        </w:trPr>
        <w:tc>
          <w:tcPr>
            <w:tcW w:w="1250" w:type="pct"/>
            <w:vMerge w:val="restart"/>
            <w:tcBorders>
              <w:top w:val="single" w:sz="8" w:space="0" w:color="auto"/>
            </w:tcBorders>
            <w:vAlign w:val="center"/>
          </w:tcPr>
          <w:p w14:paraId="777918AA"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hint="eastAsia"/>
                <w:sz w:val="18"/>
                <w:szCs w:val="18"/>
              </w:rPr>
              <w:t>市域</w:t>
            </w:r>
            <w:r w:rsidRPr="00453DBE">
              <w:rPr>
                <w:rFonts w:hAnsi="宋体" w:cs="宋体"/>
                <w:sz w:val="18"/>
                <w:szCs w:val="18"/>
              </w:rPr>
              <w:t>A型</w:t>
            </w:r>
          </w:p>
          <w:p w14:paraId="7BB4194E"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hint="eastAsia"/>
                <w:sz w:val="18"/>
                <w:szCs w:val="18"/>
              </w:rPr>
              <w:t>市域</w:t>
            </w:r>
            <w:r w:rsidRPr="00453DBE">
              <w:rPr>
                <w:rFonts w:hAnsi="宋体" w:cs="宋体"/>
                <w:sz w:val="18"/>
                <w:szCs w:val="18"/>
              </w:rPr>
              <w:t>B型</w:t>
            </w:r>
          </w:p>
        </w:tc>
        <w:tc>
          <w:tcPr>
            <w:tcW w:w="1250" w:type="pct"/>
            <w:vMerge w:val="restart"/>
            <w:tcBorders>
              <w:top w:val="single" w:sz="8" w:space="0" w:color="auto"/>
            </w:tcBorders>
            <w:shd w:val="clear" w:color="auto" w:fill="auto"/>
            <w:vAlign w:val="center"/>
          </w:tcPr>
          <w:p w14:paraId="473BC6BD"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hint="eastAsia"/>
                <w:sz w:val="18"/>
                <w:szCs w:val="18"/>
              </w:rPr>
              <w:t>单线</w:t>
            </w:r>
          </w:p>
        </w:tc>
        <w:tc>
          <w:tcPr>
            <w:tcW w:w="1250" w:type="pct"/>
            <w:tcBorders>
              <w:top w:val="single" w:sz="8" w:space="0" w:color="auto"/>
            </w:tcBorders>
            <w:shd w:val="clear" w:color="auto" w:fill="auto"/>
          </w:tcPr>
          <w:p w14:paraId="5B440ECF"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sz w:val="18"/>
                <w:szCs w:val="18"/>
              </w:rPr>
              <w:t>120</w:t>
            </w:r>
          </w:p>
        </w:tc>
        <w:tc>
          <w:tcPr>
            <w:tcW w:w="1250" w:type="pct"/>
            <w:tcBorders>
              <w:top w:val="single" w:sz="8" w:space="0" w:color="auto"/>
            </w:tcBorders>
            <w:shd w:val="clear" w:color="auto" w:fill="auto"/>
          </w:tcPr>
          <w:p w14:paraId="5CF90658"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sz w:val="18"/>
                <w:szCs w:val="18"/>
              </w:rPr>
              <w:t>28</w:t>
            </w:r>
          </w:p>
        </w:tc>
      </w:tr>
      <w:tr w:rsidR="00F6204B" w:rsidRPr="00FB7C79" w14:paraId="54E2901E" w14:textId="77777777" w:rsidTr="006417E6">
        <w:trPr>
          <w:trHeight w:val="176"/>
          <w:jc w:val="center"/>
        </w:trPr>
        <w:tc>
          <w:tcPr>
            <w:tcW w:w="1250" w:type="pct"/>
            <w:vMerge/>
            <w:vAlign w:val="center"/>
          </w:tcPr>
          <w:p w14:paraId="2834E078" w14:textId="77777777" w:rsidR="00FB7C79" w:rsidRPr="00453DBE" w:rsidRDefault="00FB7C79" w:rsidP="006417E6">
            <w:pPr>
              <w:pStyle w:val="affffffffffff2"/>
              <w:spacing w:line="200" w:lineRule="exact"/>
              <w:jc w:val="center"/>
              <w:rPr>
                <w:rFonts w:hAnsi="宋体" w:cs="宋体"/>
                <w:sz w:val="18"/>
                <w:szCs w:val="18"/>
              </w:rPr>
            </w:pPr>
          </w:p>
        </w:tc>
        <w:tc>
          <w:tcPr>
            <w:tcW w:w="1250" w:type="pct"/>
            <w:vMerge/>
            <w:shd w:val="clear" w:color="auto" w:fill="auto"/>
            <w:vAlign w:val="center"/>
          </w:tcPr>
          <w:p w14:paraId="0F9433A3" w14:textId="77777777" w:rsidR="00FB7C79" w:rsidRPr="00453DBE" w:rsidRDefault="00FB7C79" w:rsidP="006417E6">
            <w:pPr>
              <w:pStyle w:val="affffffffffff2"/>
              <w:spacing w:line="200" w:lineRule="exact"/>
              <w:jc w:val="center"/>
              <w:rPr>
                <w:rFonts w:hAnsi="宋体" w:cs="宋体"/>
                <w:sz w:val="18"/>
                <w:szCs w:val="18"/>
              </w:rPr>
            </w:pPr>
          </w:p>
        </w:tc>
        <w:tc>
          <w:tcPr>
            <w:tcW w:w="1250" w:type="pct"/>
            <w:shd w:val="clear" w:color="auto" w:fill="auto"/>
          </w:tcPr>
          <w:p w14:paraId="438DB81A"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sz w:val="18"/>
                <w:szCs w:val="18"/>
              </w:rPr>
              <w:t>140</w:t>
            </w:r>
          </w:p>
        </w:tc>
        <w:tc>
          <w:tcPr>
            <w:tcW w:w="1250" w:type="pct"/>
            <w:shd w:val="clear" w:color="auto" w:fill="auto"/>
          </w:tcPr>
          <w:p w14:paraId="2EDC86A7"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sz w:val="18"/>
                <w:szCs w:val="18"/>
              </w:rPr>
              <w:t>35</w:t>
            </w:r>
          </w:p>
        </w:tc>
      </w:tr>
      <w:tr w:rsidR="00F6204B" w:rsidRPr="00FB7C79" w14:paraId="6FB96DC0" w14:textId="77777777" w:rsidTr="006417E6">
        <w:trPr>
          <w:trHeight w:val="176"/>
          <w:jc w:val="center"/>
        </w:trPr>
        <w:tc>
          <w:tcPr>
            <w:tcW w:w="1250" w:type="pct"/>
            <w:vMerge/>
            <w:vAlign w:val="center"/>
          </w:tcPr>
          <w:p w14:paraId="281F6677" w14:textId="77777777" w:rsidR="00FB7C79" w:rsidRPr="00453DBE" w:rsidRDefault="00FB7C79" w:rsidP="006417E6">
            <w:pPr>
              <w:pStyle w:val="affffffffffff2"/>
              <w:spacing w:line="200" w:lineRule="exact"/>
              <w:jc w:val="center"/>
              <w:rPr>
                <w:rFonts w:hAnsi="宋体" w:cs="宋体"/>
                <w:sz w:val="18"/>
                <w:szCs w:val="18"/>
              </w:rPr>
            </w:pPr>
          </w:p>
        </w:tc>
        <w:tc>
          <w:tcPr>
            <w:tcW w:w="1250" w:type="pct"/>
            <w:shd w:val="clear" w:color="auto" w:fill="auto"/>
            <w:vAlign w:val="center"/>
          </w:tcPr>
          <w:p w14:paraId="57AAAB03"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hint="eastAsia"/>
                <w:sz w:val="18"/>
                <w:szCs w:val="18"/>
              </w:rPr>
              <w:t>双线</w:t>
            </w:r>
          </w:p>
        </w:tc>
        <w:tc>
          <w:tcPr>
            <w:tcW w:w="1250" w:type="pct"/>
            <w:shd w:val="clear" w:color="auto" w:fill="auto"/>
          </w:tcPr>
          <w:p w14:paraId="496F6C61" w14:textId="1E247D46" w:rsidR="00FB7C79" w:rsidRPr="00453DBE" w:rsidRDefault="00B01F50" w:rsidP="006417E6">
            <w:pPr>
              <w:pStyle w:val="affffffffffff2"/>
              <w:spacing w:line="200" w:lineRule="exact"/>
              <w:jc w:val="center"/>
              <w:rPr>
                <w:rFonts w:hAnsi="宋体" w:cs="宋体"/>
                <w:sz w:val="18"/>
                <w:szCs w:val="18"/>
              </w:rPr>
            </w:pPr>
            <w:r>
              <w:rPr>
                <w:rFonts w:hAnsi="宋体" w:cs="宋体" w:hint="eastAsia"/>
                <w:sz w:val="18"/>
                <w:szCs w:val="18"/>
              </w:rPr>
              <w:t>-</w:t>
            </w:r>
          </w:p>
        </w:tc>
        <w:tc>
          <w:tcPr>
            <w:tcW w:w="1250" w:type="pct"/>
            <w:shd w:val="clear" w:color="auto" w:fill="auto"/>
          </w:tcPr>
          <w:p w14:paraId="529D9A5B"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sz w:val="18"/>
                <w:szCs w:val="18"/>
              </w:rPr>
              <w:t>60</w:t>
            </w:r>
          </w:p>
        </w:tc>
      </w:tr>
      <w:tr w:rsidR="00F6204B" w:rsidRPr="00FB7C79" w14:paraId="118BFE44" w14:textId="77777777" w:rsidTr="006417E6">
        <w:trPr>
          <w:trHeight w:val="176"/>
          <w:jc w:val="center"/>
        </w:trPr>
        <w:tc>
          <w:tcPr>
            <w:tcW w:w="1250" w:type="pct"/>
            <w:vMerge w:val="restart"/>
            <w:vAlign w:val="center"/>
          </w:tcPr>
          <w:p w14:paraId="02A02878"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hint="eastAsia"/>
                <w:sz w:val="18"/>
                <w:szCs w:val="18"/>
              </w:rPr>
              <w:t>市域</w:t>
            </w:r>
            <w:r w:rsidRPr="00453DBE">
              <w:rPr>
                <w:rFonts w:hAnsi="宋体" w:cs="宋体"/>
                <w:sz w:val="18"/>
                <w:szCs w:val="18"/>
              </w:rPr>
              <w:t>C型</w:t>
            </w:r>
          </w:p>
          <w:p w14:paraId="553D3A38"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hint="eastAsia"/>
                <w:sz w:val="18"/>
                <w:szCs w:val="18"/>
              </w:rPr>
              <w:t>市域</w:t>
            </w:r>
            <w:r w:rsidRPr="00453DBE">
              <w:rPr>
                <w:rFonts w:hAnsi="宋体" w:cs="宋体"/>
                <w:sz w:val="18"/>
                <w:szCs w:val="18"/>
              </w:rPr>
              <w:t>D型</w:t>
            </w:r>
          </w:p>
        </w:tc>
        <w:tc>
          <w:tcPr>
            <w:tcW w:w="1250" w:type="pct"/>
            <w:vMerge w:val="restart"/>
            <w:shd w:val="clear" w:color="auto" w:fill="auto"/>
            <w:vAlign w:val="center"/>
          </w:tcPr>
          <w:p w14:paraId="28EF50C7"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hint="eastAsia"/>
                <w:sz w:val="18"/>
                <w:szCs w:val="18"/>
              </w:rPr>
              <w:t>单线</w:t>
            </w:r>
          </w:p>
        </w:tc>
        <w:tc>
          <w:tcPr>
            <w:tcW w:w="1250" w:type="pct"/>
            <w:shd w:val="clear" w:color="auto" w:fill="auto"/>
          </w:tcPr>
          <w:p w14:paraId="7FFABDB4"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sz w:val="18"/>
                <w:szCs w:val="18"/>
              </w:rPr>
              <w:t>120</w:t>
            </w:r>
          </w:p>
        </w:tc>
        <w:tc>
          <w:tcPr>
            <w:tcW w:w="1250" w:type="pct"/>
            <w:shd w:val="clear" w:color="auto" w:fill="auto"/>
          </w:tcPr>
          <w:p w14:paraId="514C934F"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sz w:val="18"/>
                <w:szCs w:val="18"/>
              </w:rPr>
              <w:t>35</w:t>
            </w:r>
          </w:p>
        </w:tc>
      </w:tr>
      <w:tr w:rsidR="00F6204B" w:rsidRPr="00FB7C79" w14:paraId="6796399C" w14:textId="77777777" w:rsidTr="006417E6">
        <w:trPr>
          <w:trHeight w:val="176"/>
          <w:jc w:val="center"/>
        </w:trPr>
        <w:tc>
          <w:tcPr>
            <w:tcW w:w="1250" w:type="pct"/>
            <w:vMerge/>
          </w:tcPr>
          <w:p w14:paraId="2658EC65" w14:textId="77777777" w:rsidR="00FB7C79" w:rsidRPr="00453DBE" w:rsidRDefault="00FB7C79" w:rsidP="006417E6">
            <w:pPr>
              <w:pStyle w:val="affffffffffff2"/>
              <w:spacing w:line="200" w:lineRule="exact"/>
              <w:jc w:val="center"/>
              <w:rPr>
                <w:rFonts w:hAnsi="宋体" w:cs="宋体"/>
                <w:sz w:val="18"/>
                <w:szCs w:val="18"/>
              </w:rPr>
            </w:pPr>
          </w:p>
        </w:tc>
        <w:tc>
          <w:tcPr>
            <w:tcW w:w="1250" w:type="pct"/>
            <w:vMerge/>
            <w:shd w:val="clear" w:color="auto" w:fill="auto"/>
          </w:tcPr>
          <w:p w14:paraId="3C71A919" w14:textId="77777777" w:rsidR="00FB7C79" w:rsidRPr="00453DBE" w:rsidRDefault="00FB7C79" w:rsidP="006417E6">
            <w:pPr>
              <w:pStyle w:val="affffffffffff2"/>
              <w:spacing w:line="200" w:lineRule="exact"/>
              <w:jc w:val="center"/>
              <w:rPr>
                <w:rFonts w:hAnsi="宋体" w:cs="宋体"/>
                <w:sz w:val="18"/>
                <w:szCs w:val="18"/>
              </w:rPr>
            </w:pPr>
          </w:p>
        </w:tc>
        <w:tc>
          <w:tcPr>
            <w:tcW w:w="1250" w:type="pct"/>
            <w:shd w:val="clear" w:color="auto" w:fill="auto"/>
          </w:tcPr>
          <w:p w14:paraId="6F70FCB8"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sz w:val="18"/>
                <w:szCs w:val="18"/>
              </w:rPr>
              <w:t>140/160</w:t>
            </w:r>
          </w:p>
        </w:tc>
        <w:tc>
          <w:tcPr>
            <w:tcW w:w="1250" w:type="pct"/>
            <w:shd w:val="clear" w:color="auto" w:fill="auto"/>
          </w:tcPr>
          <w:p w14:paraId="5C9C1A79"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sz w:val="18"/>
                <w:szCs w:val="18"/>
              </w:rPr>
              <w:t>39</w:t>
            </w:r>
          </w:p>
        </w:tc>
      </w:tr>
      <w:tr w:rsidR="00F6204B" w:rsidRPr="00FB7C79" w14:paraId="50EC1DC8" w14:textId="77777777" w:rsidTr="006417E6">
        <w:trPr>
          <w:trHeight w:val="176"/>
          <w:jc w:val="center"/>
        </w:trPr>
        <w:tc>
          <w:tcPr>
            <w:tcW w:w="1250" w:type="pct"/>
            <w:vMerge/>
          </w:tcPr>
          <w:p w14:paraId="6E874DB4" w14:textId="77777777" w:rsidR="00FB7C79" w:rsidRPr="00453DBE" w:rsidRDefault="00FB7C79" w:rsidP="006417E6">
            <w:pPr>
              <w:pStyle w:val="affffffffffff2"/>
              <w:spacing w:line="200" w:lineRule="exact"/>
              <w:jc w:val="center"/>
              <w:rPr>
                <w:rFonts w:hAnsi="宋体" w:cs="宋体"/>
                <w:sz w:val="18"/>
                <w:szCs w:val="18"/>
              </w:rPr>
            </w:pPr>
          </w:p>
        </w:tc>
        <w:tc>
          <w:tcPr>
            <w:tcW w:w="1250" w:type="pct"/>
            <w:shd w:val="clear" w:color="auto" w:fill="auto"/>
          </w:tcPr>
          <w:p w14:paraId="57BCEE65"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hint="eastAsia"/>
                <w:sz w:val="18"/>
                <w:szCs w:val="18"/>
              </w:rPr>
              <w:t>双线</w:t>
            </w:r>
          </w:p>
        </w:tc>
        <w:tc>
          <w:tcPr>
            <w:tcW w:w="1250" w:type="pct"/>
            <w:shd w:val="clear" w:color="auto" w:fill="auto"/>
          </w:tcPr>
          <w:p w14:paraId="06128A36" w14:textId="597583DD" w:rsidR="00FB7C79" w:rsidRPr="00453DBE" w:rsidRDefault="00B01F50" w:rsidP="006417E6">
            <w:pPr>
              <w:pStyle w:val="affffffffffff2"/>
              <w:spacing w:line="200" w:lineRule="exact"/>
              <w:jc w:val="center"/>
              <w:rPr>
                <w:rFonts w:hAnsi="宋体" w:cs="宋体"/>
                <w:sz w:val="18"/>
                <w:szCs w:val="18"/>
              </w:rPr>
            </w:pPr>
            <w:r>
              <w:rPr>
                <w:rFonts w:hAnsi="宋体" w:cs="宋体" w:hint="eastAsia"/>
                <w:sz w:val="18"/>
                <w:szCs w:val="18"/>
              </w:rPr>
              <w:t>-</w:t>
            </w:r>
          </w:p>
        </w:tc>
        <w:tc>
          <w:tcPr>
            <w:tcW w:w="1250" w:type="pct"/>
            <w:shd w:val="clear" w:color="auto" w:fill="auto"/>
          </w:tcPr>
          <w:p w14:paraId="104CF437" w14:textId="77777777" w:rsidR="00FB7C79" w:rsidRPr="00453DBE" w:rsidRDefault="00FB7C79" w:rsidP="006417E6">
            <w:pPr>
              <w:pStyle w:val="affffffffffff2"/>
              <w:spacing w:line="200" w:lineRule="exact"/>
              <w:jc w:val="center"/>
              <w:rPr>
                <w:rFonts w:hAnsi="宋体" w:cs="宋体"/>
                <w:sz w:val="18"/>
                <w:szCs w:val="18"/>
              </w:rPr>
            </w:pPr>
            <w:r w:rsidRPr="00453DBE">
              <w:rPr>
                <w:rFonts w:hAnsi="宋体" w:cs="宋体"/>
                <w:sz w:val="18"/>
                <w:szCs w:val="18"/>
              </w:rPr>
              <w:t>64</w:t>
            </w:r>
          </w:p>
        </w:tc>
      </w:tr>
      <w:tr w:rsidR="00643550" w14:paraId="703DD898" w14:textId="77777777" w:rsidTr="006417E6">
        <w:trPr>
          <w:trHeight w:val="176"/>
          <w:jc w:val="center"/>
        </w:trPr>
        <w:tc>
          <w:tcPr>
            <w:tcW w:w="5000" w:type="pct"/>
            <w:gridSpan w:val="4"/>
            <w:tcBorders>
              <w:top w:val="single" w:sz="8" w:space="0" w:color="auto"/>
              <w:bottom w:val="single" w:sz="8" w:space="0" w:color="auto"/>
            </w:tcBorders>
          </w:tcPr>
          <w:p w14:paraId="364EB855" w14:textId="4B2A2AF9" w:rsidR="00FB7C79" w:rsidRPr="00453DBE" w:rsidRDefault="00FB7C79" w:rsidP="006417E6">
            <w:pPr>
              <w:pStyle w:val="afff2"/>
              <w:ind w:left="584"/>
              <w:textAlignment w:val="center"/>
              <w:rPr>
                <w:lang w:bidi="ar"/>
              </w:rPr>
            </w:pPr>
            <w:r w:rsidRPr="00FB7C79">
              <w:rPr>
                <w:rFonts w:hint="eastAsia"/>
                <w:lang w:bidi="ar"/>
              </w:rPr>
              <w:t>列车动态密封指数不</w:t>
            </w:r>
            <w:r w:rsidR="00DD1818">
              <w:rPr>
                <w:rFonts w:hint="eastAsia"/>
                <w:lang w:bidi="ar"/>
              </w:rPr>
              <w:t>宜</w:t>
            </w:r>
            <w:r w:rsidRPr="00FB7C79">
              <w:rPr>
                <w:rFonts w:hint="eastAsia"/>
                <w:lang w:bidi="ar"/>
              </w:rPr>
              <w:t>小于6s</w:t>
            </w:r>
            <w:r w:rsidRPr="00453DBE">
              <w:rPr>
                <w:rFonts w:hint="eastAsia"/>
                <w:lang w:bidi="ar"/>
              </w:rPr>
              <w:t>。</w:t>
            </w:r>
          </w:p>
        </w:tc>
      </w:tr>
    </w:tbl>
    <w:p w14:paraId="7F43555D" w14:textId="77777777" w:rsidR="00737EB2" w:rsidRPr="00765F6E" w:rsidRDefault="00737EB2" w:rsidP="00C954F6">
      <w:pPr>
        <w:snapToGrid w:val="0"/>
        <w:spacing w:line="240" w:lineRule="auto"/>
      </w:pPr>
    </w:p>
    <w:p w14:paraId="552EC273" w14:textId="77777777" w:rsidR="00737EB2" w:rsidRPr="00765F6E" w:rsidRDefault="00737EB2" w:rsidP="00737EB2">
      <w:pPr>
        <w:pStyle w:val="affe"/>
        <w:spacing w:before="156" w:after="156"/>
      </w:pPr>
      <w:bookmarkStart w:id="1452" w:name="_Toc153291403"/>
      <w:bookmarkStart w:id="1453" w:name="_Toc153210879"/>
      <w:bookmarkStart w:id="1454" w:name="_Toc99791969"/>
      <w:bookmarkStart w:id="1455" w:name="_Toc167895776"/>
      <w:bookmarkStart w:id="1456" w:name="_Toc174538690"/>
      <w:bookmarkStart w:id="1457" w:name="_Toc182476447"/>
      <w:r w:rsidRPr="00765F6E">
        <w:rPr>
          <w:rFonts w:hint="eastAsia"/>
        </w:rPr>
        <w:t>设计荷载</w:t>
      </w:r>
      <w:bookmarkEnd w:id="1452"/>
      <w:bookmarkEnd w:id="1453"/>
      <w:bookmarkEnd w:id="1454"/>
      <w:bookmarkEnd w:id="1455"/>
      <w:bookmarkEnd w:id="1456"/>
      <w:bookmarkEnd w:id="1457"/>
    </w:p>
    <w:p w14:paraId="7DE6A4BE" w14:textId="13535A31" w:rsidR="00737EB2" w:rsidRPr="00765F6E" w:rsidRDefault="00737EB2" w:rsidP="009D0776">
      <w:pPr>
        <w:pStyle w:val="22"/>
      </w:pPr>
      <w:bookmarkStart w:id="1458" w:name="_Toc99791970"/>
      <w:bookmarkStart w:id="1459" w:name="_Toc153291404"/>
      <w:r w:rsidRPr="00765F6E">
        <w:rPr>
          <w:rFonts w:hint="eastAsia"/>
        </w:rPr>
        <w:t>隧道结构上的荷载分类应符合表</w:t>
      </w:r>
      <w:r w:rsidR="00B731DB" w:rsidRPr="00765F6E">
        <w:rPr>
          <w:rFonts w:hint="eastAsia"/>
        </w:rPr>
        <w:t>5</w:t>
      </w:r>
      <w:r w:rsidR="00B731DB">
        <w:t>6</w:t>
      </w:r>
      <w:r w:rsidRPr="00765F6E">
        <w:rPr>
          <w:rFonts w:hint="eastAsia"/>
        </w:rPr>
        <w:t>的规定。</w:t>
      </w:r>
      <w:bookmarkEnd w:id="1458"/>
      <w:bookmarkEnd w:id="1459"/>
    </w:p>
    <w:p w14:paraId="144B0D9A" w14:textId="77777777" w:rsidR="00737EB2" w:rsidRPr="00765F6E" w:rsidRDefault="00737EB2" w:rsidP="00737EB2">
      <w:pPr>
        <w:pStyle w:val="aff3"/>
        <w:spacing w:before="156" w:after="156"/>
      </w:pPr>
      <w:r w:rsidRPr="00765F6E">
        <w:rPr>
          <w:rFonts w:hint="eastAsia"/>
        </w:rPr>
        <w:t>荷载分类</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304"/>
        <w:gridCol w:w="6030"/>
      </w:tblGrid>
      <w:tr w:rsidR="00737EB2" w:rsidRPr="00765F6E" w14:paraId="0D455EC0" w14:textId="77777777" w:rsidTr="00871D47">
        <w:trPr>
          <w:trHeight w:val="176"/>
          <w:tblHeader/>
          <w:jc w:val="center"/>
        </w:trPr>
        <w:tc>
          <w:tcPr>
            <w:tcW w:w="1770" w:type="pct"/>
            <w:tcBorders>
              <w:top w:val="single" w:sz="8" w:space="0" w:color="auto"/>
              <w:bottom w:val="single" w:sz="8" w:space="0" w:color="auto"/>
            </w:tcBorders>
            <w:shd w:val="clear" w:color="auto" w:fill="auto"/>
            <w:vAlign w:val="center"/>
          </w:tcPr>
          <w:p w14:paraId="1E559B19"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荷载分类</w:t>
            </w:r>
          </w:p>
        </w:tc>
        <w:tc>
          <w:tcPr>
            <w:tcW w:w="3230" w:type="pct"/>
            <w:tcBorders>
              <w:top w:val="single" w:sz="8" w:space="0" w:color="auto"/>
              <w:bottom w:val="single" w:sz="8" w:space="0" w:color="auto"/>
            </w:tcBorders>
            <w:shd w:val="clear" w:color="auto" w:fill="auto"/>
            <w:vAlign w:val="center"/>
          </w:tcPr>
          <w:p w14:paraId="552BD2DE"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荷载名称</w:t>
            </w:r>
          </w:p>
        </w:tc>
      </w:tr>
      <w:tr w:rsidR="00737EB2" w:rsidRPr="00765F6E" w14:paraId="207033AF" w14:textId="77777777" w:rsidTr="00871D47">
        <w:trPr>
          <w:trHeight w:val="176"/>
          <w:jc w:val="center"/>
        </w:trPr>
        <w:tc>
          <w:tcPr>
            <w:tcW w:w="1770" w:type="pct"/>
            <w:vMerge w:val="restart"/>
            <w:tcBorders>
              <w:top w:val="single" w:sz="8" w:space="0" w:color="auto"/>
            </w:tcBorders>
            <w:shd w:val="clear" w:color="auto" w:fill="auto"/>
            <w:vAlign w:val="center"/>
          </w:tcPr>
          <w:p w14:paraId="3950A5E5"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永久荷载</w:t>
            </w:r>
          </w:p>
        </w:tc>
        <w:tc>
          <w:tcPr>
            <w:tcW w:w="3230" w:type="pct"/>
            <w:tcBorders>
              <w:top w:val="single" w:sz="8" w:space="0" w:color="auto"/>
            </w:tcBorders>
            <w:shd w:val="clear" w:color="auto" w:fill="auto"/>
          </w:tcPr>
          <w:p w14:paraId="65F91A3B"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结构自重</w:t>
            </w:r>
          </w:p>
        </w:tc>
      </w:tr>
      <w:tr w:rsidR="00737EB2" w:rsidRPr="00765F6E" w14:paraId="40E73860" w14:textId="77777777" w:rsidTr="00871D47">
        <w:trPr>
          <w:trHeight w:val="176"/>
          <w:jc w:val="center"/>
        </w:trPr>
        <w:tc>
          <w:tcPr>
            <w:tcW w:w="1770" w:type="pct"/>
            <w:vMerge/>
            <w:shd w:val="clear" w:color="auto" w:fill="auto"/>
            <w:vAlign w:val="center"/>
          </w:tcPr>
          <w:p w14:paraId="0B7B89C8"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1D6182E4"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围岩（地层）压力</w:t>
            </w:r>
          </w:p>
        </w:tc>
      </w:tr>
      <w:tr w:rsidR="00737EB2" w:rsidRPr="00765F6E" w14:paraId="598DBBE8" w14:textId="77777777" w:rsidTr="00871D47">
        <w:trPr>
          <w:trHeight w:val="176"/>
          <w:jc w:val="center"/>
        </w:trPr>
        <w:tc>
          <w:tcPr>
            <w:tcW w:w="1770" w:type="pct"/>
            <w:vMerge/>
            <w:shd w:val="clear" w:color="auto" w:fill="auto"/>
            <w:vAlign w:val="center"/>
          </w:tcPr>
          <w:p w14:paraId="016A82A9"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6E234151"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结构上部和破坏棱体范围内的设施及建（构）筑物压力</w:t>
            </w:r>
          </w:p>
        </w:tc>
      </w:tr>
      <w:tr w:rsidR="00737EB2" w:rsidRPr="00765F6E" w14:paraId="2BB6BD22" w14:textId="77777777" w:rsidTr="00871D47">
        <w:trPr>
          <w:trHeight w:val="176"/>
          <w:jc w:val="center"/>
        </w:trPr>
        <w:tc>
          <w:tcPr>
            <w:tcW w:w="1770" w:type="pct"/>
            <w:vMerge/>
            <w:shd w:val="clear" w:color="auto" w:fill="auto"/>
            <w:vAlign w:val="center"/>
          </w:tcPr>
          <w:p w14:paraId="2D6EA5D9"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08DD4542"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水压力及浮力</w:t>
            </w:r>
          </w:p>
        </w:tc>
      </w:tr>
      <w:tr w:rsidR="00737EB2" w:rsidRPr="00765F6E" w14:paraId="3A3B9DD4" w14:textId="77777777" w:rsidTr="00871D47">
        <w:trPr>
          <w:trHeight w:val="176"/>
          <w:jc w:val="center"/>
        </w:trPr>
        <w:tc>
          <w:tcPr>
            <w:tcW w:w="1770" w:type="pct"/>
            <w:vMerge/>
            <w:shd w:val="clear" w:color="auto" w:fill="auto"/>
            <w:vAlign w:val="center"/>
          </w:tcPr>
          <w:p w14:paraId="1C82981F"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59129DC6"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混凝土收缩及徐变影响</w:t>
            </w:r>
          </w:p>
        </w:tc>
      </w:tr>
      <w:tr w:rsidR="00737EB2" w:rsidRPr="00765F6E" w14:paraId="002AE635" w14:textId="77777777" w:rsidTr="00871D47">
        <w:trPr>
          <w:trHeight w:val="176"/>
          <w:jc w:val="center"/>
        </w:trPr>
        <w:tc>
          <w:tcPr>
            <w:tcW w:w="1770" w:type="pct"/>
            <w:vMerge/>
            <w:shd w:val="clear" w:color="auto" w:fill="auto"/>
            <w:vAlign w:val="center"/>
          </w:tcPr>
          <w:p w14:paraId="1C22B33F"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7A433A92"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预加应力</w:t>
            </w:r>
          </w:p>
        </w:tc>
      </w:tr>
      <w:tr w:rsidR="00737EB2" w:rsidRPr="00765F6E" w14:paraId="798E60CB" w14:textId="77777777" w:rsidTr="00871D47">
        <w:trPr>
          <w:trHeight w:val="176"/>
          <w:jc w:val="center"/>
        </w:trPr>
        <w:tc>
          <w:tcPr>
            <w:tcW w:w="1770" w:type="pct"/>
            <w:vMerge/>
            <w:shd w:val="clear" w:color="auto" w:fill="auto"/>
            <w:vAlign w:val="center"/>
          </w:tcPr>
          <w:p w14:paraId="08CE39C7"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6A8B3573"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设备荷载</w:t>
            </w:r>
          </w:p>
        </w:tc>
      </w:tr>
      <w:tr w:rsidR="00737EB2" w:rsidRPr="00765F6E" w14:paraId="7CA6C644" w14:textId="77777777" w:rsidTr="00871D47">
        <w:trPr>
          <w:trHeight w:val="176"/>
          <w:jc w:val="center"/>
        </w:trPr>
        <w:tc>
          <w:tcPr>
            <w:tcW w:w="1770" w:type="pct"/>
            <w:vMerge/>
            <w:shd w:val="clear" w:color="auto" w:fill="auto"/>
            <w:vAlign w:val="center"/>
          </w:tcPr>
          <w:p w14:paraId="66244F78"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1A099506"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基础变位产生的作用</w:t>
            </w:r>
          </w:p>
        </w:tc>
      </w:tr>
      <w:tr w:rsidR="00737EB2" w:rsidRPr="00765F6E" w14:paraId="3EF1902E" w14:textId="77777777" w:rsidTr="00871D47">
        <w:trPr>
          <w:trHeight w:val="176"/>
          <w:jc w:val="center"/>
        </w:trPr>
        <w:tc>
          <w:tcPr>
            <w:tcW w:w="1770" w:type="pct"/>
            <w:vMerge w:val="restart"/>
            <w:shd w:val="clear" w:color="auto" w:fill="auto"/>
            <w:vAlign w:val="center"/>
          </w:tcPr>
          <w:p w14:paraId="25111CA9"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可变荷载</w:t>
            </w:r>
          </w:p>
        </w:tc>
        <w:tc>
          <w:tcPr>
            <w:tcW w:w="3230" w:type="pct"/>
            <w:shd w:val="clear" w:color="auto" w:fill="auto"/>
          </w:tcPr>
          <w:p w14:paraId="1C853FE9"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地面车辆荷载及其动力作用</w:t>
            </w:r>
          </w:p>
        </w:tc>
      </w:tr>
      <w:tr w:rsidR="00737EB2" w:rsidRPr="00765F6E" w14:paraId="353CF1F6" w14:textId="77777777" w:rsidTr="00871D47">
        <w:trPr>
          <w:trHeight w:val="176"/>
          <w:jc w:val="center"/>
        </w:trPr>
        <w:tc>
          <w:tcPr>
            <w:tcW w:w="1770" w:type="pct"/>
            <w:vMerge/>
            <w:shd w:val="clear" w:color="auto" w:fill="auto"/>
            <w:vAlign w:val="center"/>
          </w:tcPr>
          <w:p w14:paraId="543519F0"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1430F53D"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地面车辆荷载引起的侧向土压力</w:t>
            </w:r>
          </w:p>
        </w:tc>
      </w:tr>
      <w:tr w:rsidR="00737EB2" w:rsidRPr="00765F6E" w14:paraId="76B7B364" w14:textId="77777777" w:rsidTr="00871D47">
        <w:trPr>
          <w:trHeight w:val="176"/>
          <w:jc w:val="center"/>
        </w:trPr>
        <w:tc>
          <w:tcPr>
            <w:tcW w:w="1770" w:type="pct"/>
            <w:vMerge/>
            <w:shd w:val="clear" w:color="auto" w:fill="auto"/>
            <w:vAlign w:val="center"/>
          </w:tcPr>
          <w:p w14:paraId="7E1B4B2C"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781FCAE5"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列车活载及其动力作用</w:t>
            </w:r>
          </w:p>
        </w:tc>
      </w:tr>
      <w:tr w:rsidR="00737EB2" w:rsidRPr="00765F6E" w14:paraId="3272EE56" w14:textId="77777777" w:rsidTr="00871D47">
        <w:trPr>
          <w:trHeight w:val="176"/>
          <w:jc w:val="center"/>
        </w:trPr>
        <w:tc>
          <w:tcPr>
            <w:tcW w:w="1770" w:type="pct"/>
            <w:vMerge/>
            <w:shd w:val="clear" w:color="auto" w:fill="auto"/>
            <w:vAlign w:val="center"/>
          </w:tcPr>
          <w:p w14:paraId="0069FB71"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7CDFD81E"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人群荷载</w:t>
            </w:r>
          </w:p>
        </w:tc>
      </w:tr>
      <w:tr w:rsidR="00737EB2" w:rsidRPr="00765F6E" w14:paraId="38D52264" w14:textId="77777777" w:rsidTr="00871D47">
        <w:trPr>
          <w:trHeight w:val="176"/>
          <w:jc w:val="center"/>
        </w:trPr>
        <w:tc>
          <w:tcPr>
            <w:tcW w:w="1770" w:type="pct"/>
            <w:vMerge/>
            <w:shd w:val="clear" w:color="auto" w:fill="auto"/>
            <w:vAlign w:val="center"/>
          </w:tcPr>
          <w:p w14:paraId="7E2E2FA2"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4CE64440"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渡槽流水压力（设计渡槽明洞时）</w:t>
            </w:r>
          </w:p>
        </w:tc>
      </w:tr>
      <w:tr w:rsidR="00737EB2" w:rsidRPr="00765F6E" w14:paraId="268AA5C0" w14:textId="77777777" w:rsidTr="00871D47">
        <w:trPr>
          <w:trHeight w:val="176"/>
          <w:jc w:val="center"/>
        </w:trPr>
        <w:tc>
          <w:tcPr>
            <w:tcW w:w="1770" w:type="pct"/>
            <w:vMerge/>
            <w:shd w:val="clear" w:color="auto" w:fill="auto"/>
            <w:vAlign w:val="center"/>
          </w:tcPr>
          <w:p w14:paraId="639539AE"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6ED2C2DE"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列车制动力</w:t>
            </w:r>
          </w:p>
        </w:tc>
      </w:tr>
      <w:tr w:rsidR="00737EB2" w:rsidRPr="00765F6E" w14:paraId="30CE51EF" w14:textId="77777777" w:rsidTr="00871D47">
        <w:trPr>
          <w:trHeight w:val="176"/>
          <w:jc w:val="center"/>
        </w:trPr>
        <w:tc>
          <w:tcPr>
            <w:tcW w:w="1770" w:type="pct"/>
            <w:vMerge/>
            <w:shd w:val="clear" w:color="auto" w:fill="auto"/>
            <w:vAlign w:val="center"/>
          </w:tcPr>
          <w:p w14:paraId="30058E31"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602CC6AA" w14:textId="7FB7B81A" w:rsidR="00737EB2" w:rsidRPr="00765F6E" w:rsidRDefault="00D61CC4" w:rsidP="00871D47">
            <w:pPr>
              <w:pStyle w:val="affffffffffff2"/>
              <w:spacing w:line="200" w:lineRule="exact"/>
              <w:jc w:val="center"/>
              <w:rPr>
                <w:rFonts w:hAnsi="宋体" w:cs="宋体"/>
                <w:sz w:val="18"/>
                <w:szCs w:val="18"/>
              </w:rPr>
            </w:pPr>
            <w:r>
              <w:rPr>
                <w:rFonts w:hAnsi="宋体" w:cs="宋体" w:hint="eastAsia"/>
                <w:sz w:val="18"/>
                <w:szCs w:val="18"/>
              </w:rPr>
              <w:t>温度变化的影响</w:t>
            </w:r>
          </w:p>
        </w:tc>
      </w:tr>
      <w:tr w:rsidR="00737EB2" w:rsidRPr="00765F6E" w14:paraId="798B57DD" w14:textId="77777777" w:rsidTr="00871D47">
        <w:trPr>
          <w:trHeight w:val="176"/>
          <w:jc w:val="center"/>
        </w:trPr>
        <w:tc>
          <w:tcPr>
            <w:tcW w:w="1770" w:type="pct"/>
            <w:vMerge/>
            <w:shd w:val="clear" w:color="auto" w:fill="auto"/>
            <w:vAlign w:val="center"/>
          </w:tcPr>
          <w:p w14:paraId="762A000F"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44512F2B"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灌浆压力</w:t>
            </w:r>
          </w:p>
        </w:tc>
      </w:tr>
      <w:tr w:rsidR="00737EB2" w:rsidRPr="00765F6E" w14:paraId="58BE71E0" w14:textId="77777777" w:rsidTr="00871D47">
        <w:trPr>
          <w:trHeight w:val="176"/>
          <w:jc w:val="center"/>
        </w:trPr>
        <w:tc>
          <w:tcPr>
            <w:tcW w:w="1770" w:type="pct"/>
            <w:vMerge/>
            <w:shd w:val="clear" w:color="auto" w:fill="auto"/>
            <w:vAlign w:val="center"/>
          </w:tcPr>
          <w:p w14:paraId="71B6B1EB" w14:textId="77777777" w:rsidR="00737EB2" w:rsidRPr="00765F6E" w:rsidRDefault="00737EB2" w:rsidP="00871D47">
            <w:pPr>
              <w:jc w:val="center"/>
              <w:rPr>
                <w:rFonts w:hAnsi="宋体"/>
                <w:sz w:val="22"/>
                <w:lang w:val="zh-CN"/>
              </w:rPr>
            </w:pPr>
          </w:p>
        </w:tc>
        <w:tc>
          <w:tcPr>
            <w:tcW w:w="3230" w:type="pct"/>
            <w:shd w:val="clear" w:color="auto" w:fill="auto"/>
          </w:tcPr>
          <w:p w14:paraId="08D46F4C"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施工荷载（施工阶段的某些外加力）</w:t>
            </w:r>
          </w:p>
        </w:tc>
      </w:tr>
      <w:tr w:rsidR="00737EB2" w:rsidRPr="00765F6E" w14:paraId="23E9131F" w14:textId="77777777" w:rsidTr="00871D47">
        <w:trPr>
          <w:trHeight w:val="176"/>
          <w:jc w:val="center"/>
        </w:trPr>
        <w:tc>
          <w:tcPr>
            <w:tcW w:w="1770" w:type="pct"/>
            <w:vMerge/>
            <w:shd w:val="clear" w:color="auto" w:fill="auto"/>
            <w:vAlign w:val="center"/>
          </w:tcPr>
          <w:p w14:paraId="1D239237" w14:textId="77777777" w:rsidR="00737EB2" w:rsidRPr="00765F6E" w:rsidRDefault="00737EB2" w:rsidP="00871D47">
            <w:pPr>
              <w:jc w:val="center"/>
              <w:rPr>
                <w:rFonts w:hAnsi="宋体"/>
                <w:sz w:val="22"/>
                <w:lang w:val="zh-CN"/>
              </w:rPr>
            </w:pPr>
          </w:p>
        </w:tc>
        <w:tc>
          <w:tcPr>
            <w:tcW w:w="3230" w:type="pct"/>
            <w:shd w:val="clear" w:color="auto" w:fill="auto"/>
          </w:tcPr>
          <w:p w14:paraId="78AD1AC6"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空气动力荷载</w:t>
            </w:r>
          </w:p>
        </w:tc>
      </w:tr>
      <w:tr w:rsidR="00737EB2" w:rsidRPr="00765F6E" w14:paraId="32795475" w14:textId="77777777" w:rsidTr="00871D47">
        <w:trPr>
          <w:trHeight w:val="176"/>
          <w:jc w:val="center"/>
        </w:trPr>
        <w:tc>
          <w:tcPr>
            <w:tcW w:w="1770" w:type="pct"/>
            <w:vMerge w:val="restart"/>
            <w:shd w:val="clear" w:color="auto" w:fill="auto"/>
            <w:vAlign w:val="center"/>
          </w:tcPr>
          <w:p w14:paraId="3F8F4309"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偶然荷载</w:t>
            </w:r>
          </w:p>
        </w:tc>
        <w:tc>
          <w:tcPr>
            <w:tcW w:w="3230" w:type="pct"/>
            <w:shd w:val="clear" w:color="auto" w:fill="auto"/>
          </w:tcPr>
          <w:p w14:paraId="760B81A4"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落石冲击力</w:t>
            </w:r>
          </w:p>
        </w:tc>
      </w:tr>
      <w:tr w:rsidR="00737EB2" w:rsidRPr="00765F6E" w14:paraId="1718ACC1" w14:textId="77777777" w:rsidTr="00871D47">
        <w:trPr>
          <w:trHeight w:val="176"/>
          <w:jc w:val="center"/>
        </w:trPr>
        <w:tc>
          <w:tcPr>
            <w:tcW w:w="1770" w:type="pct"/>
            <w:vMerge/>
            <w:shd w:val="clear" w:color="auto" w:fill="auto"/>
            <w:vAlign w:val="center"/>
          </w:tcPr>
          <w:p w14:paraId="73A9EB49"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58B4471B"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地震作用</w:t>
            </w:r>
          </w:p>
        </w:tc>
      </w:tr>
      <w:tr w:rsidR="00737EB2" w:rsidRPr="00765F6E" w14:paraId="48FC144C" w14:textId="77777777" w:rsidTr="00871D47">
        <w:trPr>
          <w:trHeight w:val="176"/>
          <w:jc w:val="center"/>
        </w:trPr>
        <w:tc>
          <w:tcPr>
            <w:tcW w:w="1770" w:type="pct"/>
            <w:vMerge/>
            <w:shd w:val="clear" w:color="auto" w:fill="auto"/>
          </w:tcPr>
          <w:p w14:paraId="28A828B4"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562E4AE5"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人防荷载</w:t>
            </w:r>
          </w:p>
        </w:tc>
      </w:tr>
      <w:tr w:rsidR="00737EB2" w:rsidRPr="00765F6E" w14:paraId="0ACA206E" w14:textId="77777777" w:rsidTr="00871D47">
        <w:trPr>
          <w:trHeight w:val="176"/>
          <w:jc w:val="center"/>
        </w:trPr>
        <w:tc>
          <w:tcPr>
            <w:tcW w:w="1770" w:type="pct"/>
            <w:vMerge/>
            <w:shd w:val="clear" w:color="auto" w:fill="auto"/>
          </w:tcPr>
          <w:p w14:paraId="09A3910A" w14:textId="77777777" w:rsidR="00737EB2" w:rsidRPr="00765F6E" w:rsidRDefault="00737EB2" w:rsidP="00871D47">
            <w:pPr>
              <w:pStyle w:val="affffffffffff2"/>
              <w:spacing w:line="200" w:lineRule="exact"/>
              <w:jc w:val="center"/>
              <w:rPr>
                <w:rFonts w:hAnsi="宋体" w:cs="宋体"/>
                <w:sz w:val="18"/>
                <w:szCs w:val="18"/>
              </w:rPr>
            </w:pPr>
          </w:p>
        </w:tc>
        <w:tc>
          <w:tcPr>
            <w:tcW w:w="3230" w:type="pct"/>
            <w:shd w:val="clear" w:color="auto" w:fill="auto"/>
          </w:tcPr>
          <w:p w14:paraId="62FFCF8C" w14:textId="77777777" w:rsidR="00737EB2" w:rsidRPr="00765F6E" w:rsidRDefault="00737EB2" w:rsidP="00871D47">
            <w:pPr>
              <w:pStyle w:val="affffffffffff2"/>
              <w:spacing w:line="200" w:lineRule="exact"/>
              <w:jc w:val="center"/>
              <w:rPr>
                <w:rFonts w:hAnsi="宋体" w:cs="宋体"/>
                <w:sz w:val="18"/>
                <w:szCs w:val="18"/>
              </w:rPr>
            </w:pPr>
            <w:r w:rsidRPr="00765F6E">
              <w:rPr>
                <w:rFonts w:hAnsi="宋体" w:cs="宋体" w:hint="eastAsia"/>
                <w:sz w:val="18"/>
                <w:szCs w:val="18"/>
              </w:rPr>
              <w:t>沉船、爆炸、抛锚或河道疏浚产生的撞击力等灾害性荷载</w:t>
            </w:r>
          </w:p>
        </w:tc>
      </w:tr>
      <w:tr w:rsidR="00737EB2" w:rsidRPr="00765F6E" w14:paraId="5B933C9A" w14:textId="77777777" w:rsidTr="00871D47">
        <w:trPr>
          <w:trHeight w:val="176"/>
          <w:jc w:val="center"/>
        </w:trPr>
        <w:tc>
          <w:tcPr>
            <w:tcW w:w="5000" w:type="pct"/>
            <w:gridSpan w:val="2"/>
            <w:tcBorders>
              <w:top w:val="single" w:sz="8" w:space="0" w:color="auto"/>
              <w:bottom w:val="single" w:sz="8" w:space="0" w:color="auto"/>
            </w:tcBorders>
            <w:shd w:val="clear" w:color="auto" w:fill="auto"/>
          </w:tcPr>
          <w:p w14:paraId="074AC507" w14:textId="77777777" w:rsidR="00737EB2" w:rsidRPr="00765F6E" w:rsidRDefault="00737EB2" w:rsidP="00871D47">
            <w:pPr>
              <w:pStyle w:val="a6"/>
              <w:numPr>
                <w:ilvl w:val="0"/>
                <w:numId w:val="0"/>
              </w:numPr>
              <w:ind w:firstLineChars="100" w:firstLine="180"/>
              <w:rPr>
                <w:lang w:bidi="ar"/>
              </w:rPr>
            </w:pPr>
            <w:r w:rsidRPr="00BF0BA3">
              <w:rPr>
                <w:rFonts w:ascii="黑体" w:eastAsia="黑体" w:hAnsi="黑体" w:hint="eastAsia"/>
                <w:lang w:bidi="ar"/>
              </w:rPr>
              <w:t>注1</w:t>
            </w:r>
            <w:r w:rsidRPr="00765F6E">
              <w:rPr>
                <w:rFonts w:hint="eastAsia"/>
                <w:lang w:bidi="ar"/>
              </w:rPr>
              <w:t>：</w:t>
            </w:r>
            <w:r w:rsidRPr="00765F6E">
              <w:rPr>
                <w:lang w:bidi="ar"/>
              </w:rPr>
              <w:t>设计中要求考虑的其它荷载，可根据其性质分别列入上述三类荷载中。</w:t>
            </w:r>
          </w:p>
          <w:p w14:paraId="5A753F56" w14:textId="77777777" w:rsidR="00737EB2" w:rsidRPr="00765F6E" w:rsidRDefault="00737EB2" w:rsidP="00871D47">
            <w:pPr>
              <w:pStyle w:val="a6"/>
              <w:numPr>
                <w:ilvl w:val="0"/>
                <w:numId w:val="0"/>
              </w:numPr>
              <w:ind w:firstLineChars="100" w:firstLine="180"/>
              <w:rPr>
                <w:lang w:bidi="ar"/>
              </w:rPr>
            </w:pPr>
            <w:r w:rsidRPr="00BF0BA3">
              <w:rPr>
                <w:rFonts w:ascii="黑体" w:eastAsia="黑体" w:hAnsi="黑体" w:hint="eastAsia"/>
                <w:bCs/>
                <w:lang w:bidi="ar"/>
              </w:rPr>
              <w:t>注2：</w:t>
            </w:r>
            <w:r w:rsidRPr="00765F6E">
              <w:rPr>
                <w:lang w:bidi="ar"/>
              </w:rPr>
              <w:t>本表中所列荷载本节未加说明者，可按国家现行有关标准或根据实际情况确定。</w:t>
            </w:r>
          </w:p>
          <w:p w14:paraId="5F0B9D02" w14:textId="77777777" w:rsidR="00737EB2" w:rsidRPr="00765F6E" w:rsidRDefault="00737EB2" w:rsidP="00871D47">
            <w:pPr>
              <w:pStyle w:val="a6"/>
              <w:numPr>
                <w:ilvl w:val="0"/>
                <w:numId w:val="0"/>
              </w:numPr>
              <w:ind w:firstLineChars="100" w:firstLine="180"/>
              <w:rPr>
                <w:lang w:bidi="ar"/>
              </w:rPr>
            </w:pPr>
            <w:r w:rsidRPr="00BF0BA3">
              <w:rPr>
                <w:rFonts w:ascii="黑体" w:eastAsia="黑体" w:hAnsi="黑体" w:hint="eastAsia"/>
                <w:bCs/>
                <w:lang w:bidi="ar"/>
              </w:rPr>
              <w:t>注3：</w:t>
            </w:r>
            <w:r w:rsidRPr="00765F6E">
              <w:rPr>
                <w:lang w:bidi="ar"/>
              </w:rPr>
              <w:t>施工荷载包括：施工机具、盾构机等设备运输及吊装荷载，人群荷载，地面堆载及卸载，相邻施工的影响，注浆等地层加固荷载，开挖掘进及拼装荷载，沉管拖运、沉放和水力压接等荷载。</w:t>
            </w:r>
          </w:p>
        </w:tc>
      </w:tr>
    </w:tbl>
    <w:p w14:paraId="3A88C8D8" w14:textId="77777777" w:rsidR="00737EB2" w:rsidRPr="00765F6E" w:rsidRDefault="00737EB2" w:rsidP="00737EB2">
      <w:pPr>
        <w:spacing w:line="240" w:lineRule="auto"/>
      </w:pPr>
    </w:p>
    <w:p w14:paraId="2C8DEBB3" w14:textId="77777777" w:rsidR="00737EB2" w:rsidRPr="00765F6E" w:rsidRDefault="00737EB2" w:rsidP="009D0776">
      <w:pPr>
        <w:pStyle w:val="22"/>
      </w:pPr>
      <w:bookmarkStart w:id="1460" w:name="_Toc99791971"/>
      <w:bookmarkStart w:id="1461" w:name="_Toc153291405"/>
      <w:r w:rsidRPr="00765F6E">
        <w:rPr>
          <w:rFonts w:hint="eastAsia"/>
        </w:rPr>
        <w:t>设计荷载应符合下列规定</w:t>
      </w:r>
      <w:bookmarkEnd w:id="1460"/>
      <w:r w:rsidRPr="00765F6E">
        <w:rPr>
          <w:rFonts w:hint="eastAsia"/>
        </w:rPr>
        <w:t>：</w:t>
      </w:r>
      <w:bookmarkEnd w:id="1461"/>
    </w:p>
    <w:p w14:paraId="5B97F4B6" w14:textId="5B4FFAE7" w:rsidR="00737EB2" w:rsidRPr="00765F6E" w:rsidRDefault="00737EB2" w:rsidP="003334F3">
      <w:pPr>
        <w:pStyle w:val="af6"/>
        <w:numPr>
          <w:ilvl w:val="0"/>
          <w:numId w:val="121"/>
        </w:numPr>
        <w:tabs>
          <w:tab w:val="left" w:pos="851"/>
        </w:tabs>
        <w:snapToGrid w:val="0"/>
        <w:contextualSpacing/>
      </w:pPr>
      <w:r w:rsidRPr="00765F6E">
        <w:rPr>
          <w:rFonts w:hint="eastAsia"/>
        </w:rPr>
        <w:t>荷载取值：设计荷载应根据GB 50009、GB 50011、GB 50111和TB 10003等有关规范取用，并应根据施工和使用阶段可能发生的变化，按可能出现的最不利情况，确定不同荷载组合时的组合系数；</w:t>
      </w:r>
    </w:p>
    <w:p w14:paraId="6F93DD48" w14:textId="77777777" w:rsidR="00737EB2" w:rsidRPr="00765F6E" w:rsidRDefault="00737EB2" w:rsidP="003334F3">
      <w:pPr>
        <w:pStyle w:val="af6"/>
        <w:numPr>
          <w:ilvl w:val="0"/>
          <w:numId w:val="121"/>
        </w:numPr>
        <w:tabs>
          <w:tab w:val="left" w:pos="851"/>
        </w:tabs>
        <w:snapToGrid w:val="0"/>
        <w:contextualSpacing/>
      </w:pPr>
      <w:r w:rsidRPr="00765F6E">
        <w:rPr>
          <w:rFonts w:hint="eastAsia"/>
        </w:rPr>
        <w:t>荷载组合：隧道结构设计应根据使用过程中在结构上可能同时出现的荷载，按承载能力极限状态和正常使用极限状态分别进行荷载组合，并应取各自的最不利组合进行设计。</w:t>
      </w:r>
    </w:p>
    <w:p w14:paraId="169CF3F7" w14:textId="77777777" w:rsidR="00737EB2" w:rsidRPr="00765F6E" w:rsidRDefault="00737EB2" w:rsidP="009D0776">
      <w:pPr>
        <w:pStyle w:val="22"/>
      </w:pPr>
      <w:bookmarkStart w:id="1462" w:name="_Toc153291406"/>
      <w:bookmarkStart w:id="1463" w:name="_Toc99791972"/>
      <w:r w:rsidRPr="00765F6E">
        <w:rPr>
          <w:rFonts w:hint="eastAsia"/>
        </w:rPr>
        <w:lastRenderedPageBreak/>
        <w:t>围岩（地层）压力应根据隧道的周边环境、地质条件、埋置深度、相邻隧道间距、施工方法等因素，按有关理论或工程类比确定，并考虑施工和使用年限内发生的变化。</w:t>
      </w:r>
      <w:bookmarkEnd w:id="1462"/>
      <w:bookmarkEnd w:id="1463"/>
    </w:p>
    <w:p w14:paraId="1E481849" w14:textId="77777777" w:rsidR="00737EB2" w:rsidRPr="00765F6E" w:rsidRDefault="00737EB2" w:rsidP="009D0776">
      <w:pPr>
        <w:pStyle w:val="22"/>
      </w:pPr>
      <w:bookmarkStart w:id="1464" w:name="_Toc99791973"/>
      <w:bookmarkStart w:id="1465" w:name="_Toc153291407"/>
      <w:r w:rsidRPr="00765F6E">
        <w:rPr>
          <w:rFonts w:hint="eastAsia"/>
        </w:rPr>
        <w:t>围岩（地层）压力计算符合下列规定：</w:t>
      </w:r>
      <w:bookmarkEnd w:id="1464"/>
      <w:bookmarkEnd w:id="1465"/>
    </w:p>
    <w:p w14:paraId="4ED85BEB" w14:textId="2BBF8147" w:rsidR="00737EB2" w:rsidRPr="00765F6E" w:rsidRDefault="00737EB2" w:rsidP="003334F3">
      <w:pPr>
        <w:pStyle w:val="af6"/>
        <w:numPr>
          <w:ilvl w:val="0"/>
          <w:numId w:val="122"/>
        </w:numPr>
        <w:tabs>
          <w:tab w:val="left" w:pos="851"/>
        </w:tabs>
        <w:snapToGrid w:val="0"/>
        <w:contextualSpacing/>
      </w:pPr>
      <w:r w:rsidRPr="00765F6E">
        <w:rPr>
          <w:rFonts w:hint="eastAsia"/>
        </w:rPr>
        <w:t>矿山法隧道按TB 10003的规定计算；</w:t>
      </w:r>
    </w:p>
    <w:p w14:paraId="5D4B3770" w14:textId="77777777" w:rsidR="00737EB2" w:rsidRPr="00765F6E" w:rsidRDefault="00737EB2" w:rsidP="003334F3">
      <w:pPr>
        <w:pStyle w:val="af6"/>
        <w:numPr>
          <w:ilvl w:val="0"/>
          <w:numId w:val="122"/>
        </w:numPr>
        <w:tabs>
          <w:tab w:val="left" w:pos="851"/>
        </w:tabs>
        <w:snapToGrid w:val="0"/>
        <w:contextualSpacing/>
      </w:pPr>
      <w:r w:rsidRPr="00765F6E">
        <w:rPr>
          <w:rFonts w:hint="eastAsia"/>
        </w:rPr>
        <w:t>明挖法隧道按全部土柱重量计算；</w:t>
      </w:r>
    </w:p>
    <w:p w14:paraId="299AA133" w14:textId="77777777" w:rsidR="00737EB2" w:rsidRPr="00765F6E" w:rsidRDefault="00737EB2" w:rsidP="003334F3">
      <w:pPr>
        <w:pStyle w:val="af6"/>
        <w:numPr>
          <w:ilvl w:val="0"/>
          <w:numId w:val="122"/>
        </w:numPr>
        <w:tabs>
          <w:tab w:val="left" w:pos="851"/>
        </w:tabs>
        <w:snapToGrid w:val="0"/>
        <w:contextualSpacing/>
      </w:pPr>
      <w:r w:rsidRPr="00765F6E">
        <w:rPr>
          <w:rFonts w:hint="eastAsia"/>
        </w:rPr>
        <w:t>盾构法隧道按隧道埋置深度及地层条件考虑承载拱效应后合理确定。</w:t>
      </w:r>
    </w:p>
    <w:p w14:paraId="2C26EF61" w14:textId="77777777" w:rsidR="00737EB2" w:rsidRPr="00765F6E" w:rsidRDefault="00737EB2" w:rsidP="009D0776">
      <w:pPr>
        <w:pStyle w:val="22"/>
      </w:pPr>
      <w:bookmarkStart w:id="1466" w:name="_Toc153291408"/>
      <w:r w:rsidRPr="00765F6E">
        <w:t>水压力和浮力应根据地下水位的情况,按施工和使用两个阶段的最不利地下水位进行计算。作用在隧道结构上的水压力计算符合下列规定</w:t>
      </w:r>
      <w:r w:rsidRPr="00765F6E">
        <w:rPr>
          <w:rFonts w:hint="eastAsia"/>
        </w:rPr>
        <w:t>：</w:t>
      </w:r>
      <w:bookmarkEnd w:id="1466"/>
    </w:p>
    <w:p w14:paraId="6CBA2B83" w14:textId="77777777" w:rsidR="00737EB2" w:rsidRPr="00765F6E" w:rsidRDefault="00737EB2" w:rsidP="003334F3">
      <w:pPr>
        <w:pStyle w:val="af6"/>
        <w:numPr>
          <w:ilvl w:val="0"/>
          <w:numId w:val="123"/>
        </w:numPr>
        <w:tabs>
          <w:tab w:val="left" w:pos="851"/>
        </w:tabs>
        <w:snapToGrid w:val="0"/>
        <w:contextualSpacing/>
      </w:pPr>
      <w:r w:rsidRPr="00765F6E">
        <w:t>隧道地下水具备自排水条件</w:t>
      </w:r>
      <w:r w:rsidRPr="00765F6E">
        <w:rPr>
          <w:rFonts w:hint="eastAsia"/>
        </w:rPr>
        <w:t>，</w:t>
      </w:r>
      <w:r w:rsidRPr="00765F6E">
        <w:t>隧道衬砌采用排水型衬砌且不对衬砌形成水压力时</w:t>
      </w:r>
      <w:r w:rsidRPr="00765F6E">
        <w:rPr>
          <w:rFonts w:hint="eastAsia"/>
        </w:rPr>
        <w:t>，</w:t>
      </w:r>
      <w:r w:rsidRPr="00765F6E">
        <w:t>可不考虑外水压力</w:t>
      </w:r>
      <w:r w:rsidRPr="00765F6E">
        <w:rPr>
          <w:rFonts w:hint="eastAsia"/>
        </w:rPr>
        <w:t>；</w:t>
      </w:r>
    </w:p>
    <w:p w14:paraId="3D24212C" w14:textId="77777777" w:rsidR="00737EB2" w:rsidRPr="00765F6E" w:rsidRDefault="00737EB2" w:rsidP="00737EB2">
      <w:pPr>
        <w:pStyle w:val="af6"/>
        <w:tabs>
          <w:tab w:val="left" w:pos="851"/>
        </w:tabs>
        <w:snapToGrid w:val="0"/>
        <w:contextualSpacing/>
      </w:pPr>
      <w:r w:rsidRPr="00765F6E">
        <w:t>隧道地下水不具备自排水条件或有水环境保护要求而对衬砌形成水压力时</w:t>
      </w:r>
      <w:r w:rsidRPr="00765F6E">
        <w:rPr>
          <w:rFonts w:hint="eastAsia"/>
        </w:rPr>
        <w:t>，</w:t>
      </w:r>
      <w:r w:rsidRPr="00765F6E">
        <w:t>隧道衬砌宜采用抗水压型衬砌。矿山法隧道当水压力小于</w:t>
      </w:r>
      <w:r w:rsidRPr="00765F6E">
        <w:rPr>
          <w:rFonts w:hint="eastAsia"/>
        </w:rPr>
        <w:t>0</w:t>
      </w:r>
      <w:r w:rsidRPr="00765F6E">
        <w:t>.5MPa时</w:t>
      </w:r>
      <w:r w:rsidRPr="00765F6E">
        <w:rPr>
          <w:rFonts w:hint="eastAsia"/>
        </w:rPr>
        <w:t>，</w:t>
      </w:r>
      <w:r w:rsidRPr="00765F6E">
        <w:t>衬砌结构外水压力可按全水头计算</w:t>
      </w:r>
      <w:r w:rsidRPr="00765F6E">
        <w:rPr>
          <w:rFonts w:hint="eastAsia"/>
        </w:rPr>
        <w:t>；</w:t>
      </w:r>
      <w:r w:rsidRPr="00765F6E">
        <w:t>当水压力大于或等于0.5MPa时</w:t>
      </w:r>
      <w:r w:rsidRPr="00765F6E">
        <w:rPr>
          <w:rFonts w:hint="eastAsia"/>
        </w:rPr>
        <w:t>，</w:t>
      </w:r>
      <w:r w:rsidRPr="00765F6E">
        <w:t>应采用注浆加固围岩及泄水措施控制水压。</w:t>
      </w:r>
    </w:p>
    <w:p w14:paraId="2E197412" w14:textId="77777777" w:rsidR="00737EB2" w:rsidRPr="00765F6E" w:rsidRDefault="00737EB2" w:rsidP="009D0776">
      <w:pPr>
        <w:pStyle w:val="22"/>
      </w:pPr>
      <w:bookmarkStart w:id="1467" w:name="_Toc153291409"/>
      <w:bookmarkStart w:id="1468" w:name="_Toc99791975"/>
      <w:r w:rsidRPr="00765F6E">
        <w:t>衬砌水压力应根据围岩的渗透性确定。黏性土地层的水压力在施工阶段应与土压力合算,使用阶段应与土压力分算</w:t>
      </w:r>
      <w:r w:rsidRPr="00765F6E">
        <w:rPr>
          <w:rFonts w:hint="eastAsia"/>
        </w:rPr>
        <w:t>；</w:t>
      </w:r>
      <w:r w:rsidRPr="00765F6E">
        <w:t>砂性土地层的水压力应与土压力分算</w:t>
      </w:r>
      <w:r w:rsidRPr="00765F6E">
        <w:rPr>
          <w:rFonts w:hint="eastAsia"/>
        </w:rPr>
        <w:t>；</w:t>
      </w:r>
      <w:r w:rsidRPr="00765F6E">
        <w:t>岩石地层水压力应分别与土压力进行分、合算</w:t>
      </w:r>
      <w:r w:rsidRPr="00765F6E">
        <w:rPr>
          <w:rFonts w:hint="eastAsia"/>
        </w:rPr>
        <w:t>，</w:t>
      </w:r>
      <w:r w:rsidRPr="00765F6E">
        <w:t>并按不利情况确定。</w:t>
      </w:r>
      <w:bookmarkEnd w:id="1467"/>
    </w:p>
    <w:p w14:paraId="21869D46" w14:textId="77777777" w:rsidR="00737EB2" w:rsidRPr="00765F6E" w:rsidRDefault="00737EB2" w:rsidP="009D0776">
      <w:pPr>
        <w:pStyle w:val="22"/>
      </w:pPr>
      <w:bookmarkStart w:id="1469" w:name="_Toc153291410"/>
      <w:r w:rsidRPr="00765F6E">
        <w:rPr>
          <w:rFonts w:hint="eastAsia"/>
        </w:rPr>
        <w:t>穿越冲刷河流的水下隧道稳定性应按百年一遇冲刷深度计算，按三百年一遇冲刷深度检算。</w:t>
      </w:r>
      <w:bookmarkEnd w:id="1468"/>
      <w:bookmarkEnd w:id="1469"/>
    </w:p>
    <w:p w14:paraId="444C4BE3" w14:textId="36749B65" w:rsidR="00737EB2" w:rsidRPr="00FB7C79" w:rsidRDefault="00FB7C79" w:rsidP="009D0776">
      <w:pPr>
        <w:pStyle w:val="22"/>
      </w:pPr>
      <w:bookmarkStart w:id="1470" w:name="_Toc99791976"/>
      <w:bookmarkStart w:id="1471" w:name="_Toc153291411"/>
      <w:r w:rsidRPr="00FB7C79">
        <w:rPr>
          <w:rFonts w:hint="eastAsia"/>
        </w:rPr>
        <w:t>穿越河流、湖泊等水下隧道结构应按最不利水位设计，</w:t>
      </w:r>
      <w:r w:rsidRPr="00453DBE">
        <w:rPr>
          <w:rFonts w:hint="eastAsia"/>
        </w:rPr>
        <w:t>下穿大江、大河隧道</w:t>
      </w:r>
      <w:r w:rsidRPr="00FB7C79">
        <w:rPr>
          <w:rFonts w:hint="eastAsia"/>
        </w:rPr>
        <w:t>按百年一遇水位计算，按三百年一遇水位检算，</w:t>
      </w:r>
      <w:r w:rsidRPr="00453DBE">
        <w:rPr>
          <w:rFonts w:hint="eastAsia"/>
        </w:rPr>
        <w:t>下穿普通河流隧道按百年一遇水位计算</w:t>
      </w:r>
      <w:bookmarkEnd w:id="1470"/>
      <w:bookmarkEnd w:id="1471"/>
      <w:r w:rsidRPr="00FB7C79">
        <w:rPr>
          <w:rFonts w:hint="eastAsia"/>
        </w:rPr>
        <w:t>。</w:t>
      </w:r>
    </w:p>
    <w:p w14:paraId="3E082BEA" w14:textId="77777777" w:rsidR="00737EB2" w:rsidRPr="00765F6E" w:rsidRDefault="00737EB2" w:rsidP="009D0776">
      <w:pPr>
        <w:pStyle w:val="22"/>
      </w:pPr>
      <w:bookmarkStart w:id="1472" w:name="_Toc153291412"/>
      <w:bookmarkStart w:id="1473" w:name="_Toc99791977"/>
      <w:r w:rsidRPr="00765F6E">
        <w:rPr>
          <w:rFonts w:hint="eastAsia"/>
        </w:rPr>
        <w:t>隧道下穿铁路时，列车荷载及其冲击力、制动力等应按TB 10002的规定进行计算；隧道下穿公路或市政道路时，地面车辆荷载及其动力作用应按</w:t>
      </w:r>
      <w:r w:rsidRPr="00765F6E">
        <w:t>JTG</w:t>
      </w:r>
      <w:r>
        <w:t xml:space="preserve"> </w:t>
      </w:r>
      <w:r w:rsidRPr="00765F6E">
        <w:t>D60</w:t>
      </w:r>
      <w:r w:rsidRPr="00765F6E">
        <w:rPr>
          <w:rFonts w:hint="eastAsia"/>
        </w:rPr>
        <w:t>的规定取值。</w:t>
      </w:r>
      <w:bookmarkEnd w:id="1472"/>
      <w:bookmarkEnd w:id="1473"/>
    </w:p>
    <w:p w14:paraId="5A8991CA" w14:textId="77777777" w:rsidR="00737EB2" w:rsidRPr="00765F6E" w:rsidRDefault="00737EB2" w:rsidP="009D0776">
      <w:pPr>
        <w:pStyle w:val="22"/>
      </w:pPr>
      <w:bookmarkStart w:id="1474" w:name="_Toc99791978"/>
      <w:bookmarkStart w:id="1475" w:name="_Toc153291413"/>
      <w:r w:rsidRPr="00765F6E">
        <w:rPr>
          <w:rFonts w:hint="eastAsia"/>
        </w:rPr>
        <w:t>隧道结构考虑战时防护的部位，作用在该部位结构上的等效荷载应按GB 50038的有关规定取值。</w:t>
      </w:r>
      <w:bookmarkEnd w:id="1474"/>
      <w:bookmarkEnd w:id="1475"/>
    </w:p>
    <w:p w14:paraId="6AAACDCB" w14:textId="77777777" w:rsidR="00737EB2" w:rsidRPr="00765F6E" w:rsidRDefault="00737EB2" w:rsidP="009D0776">
      <w:pPr>
        <w:pStyle w:val="22"/>
      </w:pPr>
      <w:bookmarkStart w:id="1476" w:name="_Toc153291414"/>
      <w:bookmarkStart w:id="1477" w:name="_Toc99791979"/>
      <w:r w:rsidRPr="00765F6E">
        <w:rPr>
          <w:rFonts w:hint="eastAsia"/>
        </w:rPr>
        <w:t>混凝土收缩及徐变影响可采用假定降低温度的方法计算。</w:t>
      </w:r>
      <w:bookmarkEnd w:id="1476"/>
      <w:bookmarkEnd w:id="1477"/>
    </w:p>
    <w:p w14:paraId="35A5D5AA" w14:textId="77777777" w:rsidR="00737EB2" w:rsidRPr="00765F6E" w:rsidRDefault="00737EB2" w:rsidP="00737EB2">
      <w:pPr>
        <w:pStyle w:val="affe"/>
        <w:spacing w:before="156" w:after="156"/>
      </w:pPr>
      <w:bookmarkStart w:id="1478" w:name="_Toc99791980"/>
      <w:bookmarkStart w:id="1479" w:name="_Toc153210880"/>
      <w:bookmarkStart w:id="1480" w:name="_Toc153291415"/>
      <w:bookmarkStart w:id="1481" w:name="_Toc167895777"/>
      <w:bookmarkStart w:id="1482" w:name="_Toc174538691"/>
      <w:bookmarkStart w:id="1483" w:name="_Toc182476448"/>
      <w:r w:rsidRPr="00765F6E">
        <w:rPr>
          <w:rFonts w:hint="eastAsia"/>
        </w:rPr>
        <w:t>建筑材料</w:t>
      </w:r>
      <w:bookmarkEnd w:id="1478"/>
      <w:bookmarkEnd w:id="1479"/>
      <w:bookmarkEnd w:id="1480"/>
      <w:bookmarkEnd w:id="1481"/>
      <w:bookmarkEnd w:id="1482"/>
      <w:bookmarkEnd w:id="1483"/>
    </w:p>
    <w:p w14:paraId="3602AA55" w14:textId="77777777" w:rsidR="00737EB2" w:rsidRPr="00765F6E" w:rsidRDefault="00737EB2" w:rsidP="009D0776">
      <w:pPr>
        <w:pStyle w:val="22"/>
      </w:pPr>
      <w:bookmarkStart w:id="1484" w:name="_Toc153291416"/>
      <w:bookmarkStart w:id="1485" w:name="_Toc99791981"/>
      <w:r w:rsidRPr="00765F6E">
        <w:rPr>
          <w:rFonts w:hint="eastAsia"/>
        </w:rPr>
        <w:t>隧道结构的建筑材料应根据结构类型、受力条件、施工方法、使用要求和所处环境等选用，并结合可靠性、耐久性和经济性综合考虑。主要受力结构应采用混凝土、钢筋混凝土等材料，必要时也可采用钢管混凝土、钢骨混凝土、型钢混凝土组合和金属等材料。</w:t>
      </w:r>
      <w:bookmarkEnd w:id="1484"/>
      <w:bookmarkEnd w:id="1485"/>
    </w:p>
    <w:p w14:paraId="1F4D54F9" w14:textId="77777777" w:rsidR="00737EB2" w:rsidRPr="00765F6E" w:rsidRDefault="00737EB2" w:rsidP="009D0776">
      <w:pPr>
        <w:pStyle w:val="22"/>
      </w:pPr>
      <w:r w:rsidRPr="00765F6E">
        <w:rPr>
          <w:rFonts w:hint="eastAsia"/>
        </w:rPr>
        <w:t>混凝土结构的耐久性应根据结构的使用年限、结构所处的环境类别及作用等级进行设计。</w:t>
      </w:r>
    </w:p>
    <w:p w14:paraId="74C1A2FB" w14:textId="679E3D77" w:rsidR="00737EB2" w:rsidRPr="00765F6E" w:rsidRDefault="00737EB2" w:rsidP="009D0776">
      <w:pPr>
        <w:pStyle w:val="22"/>
      </w:pPr>
      <w:bookmarkStart w:id="1486" w:name="_Toc99791982"/>
      <w:r w:rsidRPr="00765F6E">
        <w:rPr>
          <w:rFonts w:hint="eastAsia"/>
        </w:rPr>
        <w:t>混凝土的原材料与配合比、强度等级、最大水胶比和单方混凝土的凝胶材料最小用量等应符合耐久性要求，满足抗裂、抗渗、抗冻和抗侵蚀的要求。耐久性设计应符合GB/T</w:t>
      </w:r>
      <w:r w:rsidRPr="00765F6E">
        <w:t xml:space="preserve"> </w:t>
      </w:r>
      <w:r w:rsidRPr="00765F6E">
        <w:rPr>
          <w:rFonts w:hint="eastAsia"/>
        </w:rPr>
        <w:t>50476</w:t>
      </w:r>
      <w:r w:rsidR="00293BB7">
        <w:t>-2019</w:t>
      </w:r>
      <w:r w:rsidRPr="00765F6E">
        <w:rPr>
          <w:rFonts w:hint="eastAsia"/>
        </w:rPr>
        <w:t>的相关规定。</w:t>
      </w:r>
      <w:bookmarkStart w:id="1487" w:name="_Toc99791983"/>
      <w:bookmarkEnd w:id="1486"/>
      <w:r w:rsidRPr="00765F6E">
        <w:rPr>
          <w:rFonts w:hint="eastAsia"/>
        </w:rPr>
        <w:t>一般环境条件下的混凝土设计强度等级不应低于表</w:t>
      </w:r>
      <w:r w:rsidR="00B731DB" w:rsidRPr="00765F6E">
        <w:rPr>
          <w:rFonts w:hint="eastAsia"/>
        </w:rPr>
        <w:t>5</w:t>
      </w:r>
      <w:r w:rsidR="00B731DB">
        <w:t>7</w:t>
      </w:r>
      <w:r w:rsidRPr="00765F6E">
        <w:rPr>
          <w:rFonts w:hint="eastAsia"/>
        </w:rPr>
        <w:t>～表</w:t>
      </w:r>
      <w:r w:rsidR="00B731DB">
        <w:t>60</w:t>
      </w:r>
      <w:r w:rsidRPr="00765F6E">
        <w:rPr>
          <w:rFonts w:hint="eastAsia"/>
        </w:rPr>
        <w:t>的规定。</w:t>
      </w:r>
      <w:bookmarkEnd w:id="1487"/>
    </w:p>
    <w:p w14:paraId="43965ECF" w14:textId="77777777" w:rsidR="00737EB2" w:rsidRPr="00765F6E" w:rsidRDefault="00737EB2" w:rsidP="00737EB2">
      <w:pPr>
        <w:pStyle w:val="aff3"/>
        <w:spacing w:before="156" w:after="156"/>
      </w:pPr>
      <w:r w:rsidRPr="00765F6E">
        <w:rPr>
          <w:rFonts w:hint="eastAsia"/>
        </w:rPr>
        <w:t>矿山法隧道结构混凝土设计强度等级</w:t>
      </w:r>
    </w:p>
    <w:tbl>
      <w:tblPr>
        <w:tblW w:w="5000" w:type="pct"/>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331"/>
        <w:gridCol w:w="2334"/>
        <w:gridCol w:w="2334"/>
        <w:gridCol w:w="2335"/>
      </w:tblGrid>
      <w:tr w:rsidR="005714B3" w:rsidRPr="00765F6E" w14:paraId="0D62914F" w14:textId="77777777" w:rsidTr="006417E6">
        <w:trPr>
          <w:trHeight w:val="176"/>
          <w:jc w:val="center"/>
        </w:trPr>
        <w:tc>
          <w:tcPr>
            <w:tcW w:w="1249" w:type="pct"/>
            <w:vMerge w:val="restart"/>
            <w:tcBorders>
              <w:top w:val="single" w:sz="8" w:space="0" w:color="auto"/>
              <w:tl2br w:val="nil"/>
            </w:tcBorders>
            <w:shd w:val="clear" w:color="auto" w:fill="auto"/>
            <w:vAlign w:val="center"/>
          </w:tcPr>
          <w:p w14:paraId="34C49457" w14:textId="5813E349" w:rsidR="005714B3" w:rsidRPr="00765F6E" w:rsidRDefault="005714B3" w:rsidP="00453DBE">
            <w:pPr>
              <w:pStyle w:val="affffffffffff2"/>
              <w:snapToGrid w:val="0"/>
              <w:spacing w:beforeLines="10" w:before="31" w:afterLines="10" w:after="31"/>
              <w:jc w:val="center"/>
              <w:rPr>
                <w:rFonts w:hAnsi="宋体" w:cs="宋体"/>
                <w:sz w:val="18"/>
                <w:szCs w:val="18"/>
              </w:rPr>
            </w:pPr>
            <w:r w:rsidRPr="00765F6E">
              <w:rPr>
                <w:rFonts w:hAnsi="宋体" w:cs="宋体"/>
                <w:sz w:val="18"/>
                <w:szCs w:val="18"/>
              </w:rPr>
              <w:t>工程部位</w:t>
            </w:r>
          </w:p>
        </w:tc>
        <w:tc>
          <w:tcPr>
            <w:tcW w:w="3751" w:type="pct"/>
            <w:gridSpan w:val="3"/>
            <w:tcBorders>
              <w:top w:val="single" w:sz="8" w:space="0" w:color="auto"/>
              <w:bottom w:val="single" w:sz="8" w:space="0" w:color="auto"/>
            </w:tcBorders>
            <w:shd w:val="clear" w:color="auto" w:fill="auto"/>
            <w:vAlign w:val="center"/>
          </w:tcPr>
          <w:p w14:paraId="57C721A5" w14:textId="01522387" w:rsidR="005714B3" w:rsidRPr="00765F6E" w:rsidRDefault="005714B3" w:rsidP="00453DBE">
            <w:pPr>
              <w:pStyle w:val="affffffffffff2"/>
              <w:snapToGrid w:val="0"/>
              <w:spacing w:beforeLines="10" w:before="31" w:afterLines="10" w:after="31"/>
              <w:jc w:val="center"/>
              <w:rPr>
                <w:rFonts w:hAnsi="宋体" w:cs="宋体"/>
                <w:sz w:val="18"/>
                <w:szCs w:val="18"/>
              </w:rPr>
            </w:pPr>
            <w:r>
              <w:rPr>
                <w:rFonts w:hAnsi="宋体" w:cs="宋体" w:hint="eastAsia"/>
                <w:sz w:val="18"/>
                <w:szCs w:val="18"/>
              </w:rPr>
              <w:t>材料种类</w:t>
            </w:r>
          </w:p>
        </w:tc>
      </w:tr>
      <w:tr w:rsidR="005714B3" w:rsidRPr="00765F6E" w14:paraId="5DD46A7B" w14:textId="77777777" w:rsidTr="005714B3">
        <w:trPr>
          <w:trHeight w:val="176"/>
          <w:jc w:val="center"/>
        </w:trPr>
        <w:tc>
          <w:tcPr>
            <w:tcW w:w="1249" w:type="pct"/>
            <w:vMerge/>
            <w:tcBorders>
              <w:tl2br w:val="nil"/>
            </w:tcBorders>
            <w:shd w:val="clear" w:color="auto" w:fill="auto"/>
            <w:vAlign w:val="center"/>
          </w:tcPr>
          <w:p w14:paraId="0B05E899" w14:textId="77777777" w:rsidR="005714B3" w:rsidRPr="00765F6E" w:rsidDel="00291C73" w:rsidRDefault="005714B3" w:rsidP="00453DBE">
            <w:pPr>
              <w:pStyle w:val="affffffffffff2"/>
              <w:snapToGrid w:val="0"/>
              <w:spacing w:beforeLines="10" w:before="31" w:afterLines="10" w:after="31"/>
              <w:jc w:val="center"/>
              <w:rPr>
                <w:rFonts w:hAnsi="宋体" w:cs="宋体"/>
                <w:sz w:val="18"/>
                <w:szCs w:val="18"/>
              </w:rPr>
            </w:pPr>
          </w:p>
        </w:tc>
        <w:tc>
          <w:tcPr>
            <w:tcW w:w="1250" w:type="pct"/>
            <w:tcBorders>
              <w:top w:val="single" w:sz="8" w:space="0" w:color="auto"/>
              <w:bottom w:val="single" w:sz="8" w:space="0" w:color="auto"/>
            </w:tcBorders>
            <w:shd w:val="clear" w:color="auto" w:fill="auto"/>
            <w:vAlign w:val="center"/>
          </w:tcPr>
          <w:p w14:paraId="348272BF" w14:textId="78D383BD" w:rsidR="005714B3" w:rsidRDefault="005714B3" w:rsidP="00453DBE">
            <w:pPr>
              <w:pStyle w:val="affffffffffff2"/>
              <w:snapToGrid w:val="0"/>
              <w:spacing w:beforeLines="10" w:before="31" w:afterLines="10" w:after="31"/>
              <w:jc w:val="center"/>
              <w:rPr>
                <w:rFonts w:hAnsi="宋体" w:cs="宋体"/>
                <w:sz w:val="18"/>
                <w:szCs w:val="18"/>
              </w:rPr>
            </w:pPr>
            <w:r w:rsidRPr="00765F6E">
              <w:rPr>
                <w:rFonts w:hAnsi="宋体" w:cs="宋体" w:hint="eastAsia"/>
                <w:sz w:val="18"/>
                <w:szCs w:val="18"/>
              </w:rPr>
              <w:t>混凝土</w:t>
            </w:r>
          </w:p>
        </w:tc>
        <w:tc>
          <w:tcPr>
            <w:tcW w:w="1250" w:type="pct"/>
            <w:tcBorders>
              <w:top w:val="single" w:sz="8" w:space="0" w:color="auto"/>
              <w:bottom w:val="single" w:sz="8" w:space="0" w:color="auto"/>
            </w:tcBorders>
            <w:shd w:val="clear" w:color="auto" w:fill="auto"/>
            <w:vAlign w:val="center"/>
          </w:tcPr>
          <w:p w14:paraId="0B78E4CE" w14:textId="6571D51B" w:rsidR="005714B3" w:rsidRDefault="005714B3" w:rsidP="00453DBE">
            <w:pPr>
              <w:pStyle w:val="affffffffffff2"/>
              <w:snapToGrid w:val="0"/>
              <w:spacing w:beforeLines="10" w:before="31" w:afterLines="10" w:after="31"/>
              <w:jc w:val="center"/>
              <w:rPr>
                <w:rFonts w:hAnsi="宋体" w:cs="宋体"/>
                <w:sz w:val="18"/>
                <w:szCs w:val="18"/>
              </w:rPr>
            </w:pPr>
            <w:r w:rsidRPr="00765F6E">
              <w:rPr>
                <w:rFonts w:hAnsi="宋体" w:hint="eastAsia"/>
                <w:sz w:val="18"/>
                <w:szCs w:val="18"/>
              </w:rPr>
              <w:t>钢筋混凝土</w:t>
            </w:r>
          </w:p>
        </w:tc>
        <w:tc>
          <w:tcPr>
            <w:tcW w:w="1251" w:type="pct"/>
            <w:tcBorders>
              <w:top w:val="single" w:sz="8" w:space="0" w:color="auto"/>
              <w:bottom w:val="single" w:sz="8" w:space="0" w:color="auto"/>
            </w:tcBorders>
            <w:shd w:val="clear" w:color="auto" w:fill="auto"/>
            <w:vAlign w:val="center"/>
          </w:tcPr>
          <w:p w14:paraId="7CB8EFCC" w14:textId="5B0958EE" w:rsidR="005714B3" w:rsidRDefault="005714B3" w:rsidP="00453DBE">
            <w:pPr>
              <w:pStyle w:val="affffffffffff2"/>
              <w:snapToGrid w:val="0"/>
              <w:spacing w:beforeLines="10" w:before="31" w:afterLines="10" w:after="31"/>
              <w:jc w:val="center"/>
              <w:rPr>
                <w:rFonts w:hAnsi="宋体" w:cs="宋体"/>
                <w:sz w:val="18"/>
                <w:szCs w:val="18"/>
              </w:rPr>
            </w:pPr>
            <w:r w:rsidRPr="00765F6E">
              <w:rPr>
                <w:rFonts w:hAnsi="宋体" w:cs="宋体" w:hint="eastAsia"/>
                <w:sz w:val="18"/>
                <w:szCs w:val="18"/>
              </w:rPr>
              <w:t>喷锚支护</w:t>
            </w:r>
          </w:p>
        </w:tc>
      </w:tr>
      <w:tr w:rsidR="00245573" w:rsidRPr="00765F6E" w14:paraId="4EAAB281" w14:textId="77777777" w:rsidTr="00291C73">
        <w:trPr>
          <w:trHeight w:val="176"/>
          <w:jc w:val="center"/>
        </w:trPr>
        <w:tc>
          <w:tcPr>
            <w:tcW w:w="1249" w:type="pct"/>
            <w:tcBorders>
              <w:top w:val="single" w:sz="8" w:space="0" w:color="auto"/>
              <w:bottom w:val="single" w:sz="4" w:space="0" w:color="auto"/>
            </w:tcBorders>
            <w:shd w:val="clear" w:color="auto" w:fill="auto"/>
            <w:vAlign w:val="center"/>
          </w:tcPr>
          <w:p w14:paraId="196D396D" w14:textId="77777777" w:rsidR="00291C73" w:rsidRPr="00765F6E" w:rsidRDefault="00291C73" w:rsidP="00453DBE">
            <w:pPr>
              <w:snapToGrid w:val="0"/>
              <w:spacing w:beforeLines="10" w:before="31" w:afterLines="10" w:after="31" w:line="240" w:lineRule="auto"/>
              <w:jc w:val="center"/>
              <w:textAlignment w:val="center"/>
              <w:rPr>
                <w:rFonts w:ascii="宋体" w:hAnsi="宋体"/>
                <w:sz w:val="18"/>
                <w:szCs w:val="18"/>
              </w:rPr>
            </w:pPr>
            <w:r w:rsidRPr="00765F6E">
              <w:rPr>
                <w:rFonts w:ascii="宋体" w:hAnsi="宋体" w:hint="eastAsia"/>
                <w:sz w:val="18"/>
                <w:szCs w:val="18"/>
              </w:rPr>
              <w:t>拱墙</w:t>
            </w:r>
          </w:p>
        </w:tc>
        <w:tc>
          <w:tcPr>
            <w:tcW w:w="1250" w:type="pct"/>
            <w:tcBorders>
              <w:top w:val="single" w:sz="8" w:space="0" w:color="auto"/>
              <w:bottom w:val="single" w:sz="4" w:space="0" w:color="auto"/>
            </w:tcBorders>
            <w:shd w:val="clear" w:color="auto" w:fill="auto"/>
            <w:vAlign w:val="center"/>
          </w:tcPr>
          <w:p w14:paraId="0E40C725" w14:textId="77777777" w:rsidR="00291C73" w:rsidRPr="00765F6E" w:rsidRDefault="00291C73" w:rsidP="00453DBE">
            <w:pPr>
              <w:snapToGrid w:val="0"/>
              <w:spacing w:beforeLines="10" w:before="31" w:afterLines="10" w:after="31" w:line="240" w:lineRule="auto"/>
              <w:jc w:val="center"/>
              <w:textAlignment w:val="center"/>
              <w:rPr>
                <w:rFonts w:ascii="宋体" w:hAnsi="宋体"/>
                <w:sz w:val="18"/>
                <w:szCs w:val="18"/>
              </w:rPr>
            </w:pPr>
            <w:r w:rsidRPr="00765F6E">
              <w:rPr>
                <w:rFonts w:ascii="宋体" w:hAnsi="宋体"/>
                <w:sz w:val="18"/>
                <w:szCs w:val="18"/>
              </w:rPr>
              <w:t>C3</w:t>
            </w:r>
            <w:r w:rsidRPr="00765F6E">
              <w:rPr>
                <w:rFonts w:ascii="宋体" w:hAnsi="宋体" w:hint="eastAsia"/>
                <w:sz w:val="18"/>
                <w:szCs w:val="18"/>
              </w:rPr>
              <w:t>0</w:t>
            </w:r>
          </w:p>
        </w:tc>
        <w:tc>
          <w:tcPr>
            <w:tcW w:w="1250" w:type="pct"/>
            <w:tcBorders>
              <w:top w:val="single" w:sz="8" w:space="0" w:color="auto"/>
              <w:bottom w:val="single" w:sz="4" w:space="0" w:color="auto"/>
            </w:tcBorders>
            <w:shd w:val="clear" w:color="auto" w:fill="auto"/>
            <w:vAlign w:val="center"/>
          </w:tcPr>
          <w:p w14:paraId="662480EC" w14:textId="77777777" w:rsidR="00291C73" w:rsidRPr="00765F6E" w:rsidRDefault="00291C73" w:rsidP="00453DBE">
            <w:pPr>
              <w:snapToGrid w:val="0"/>
              <w:spacing w:beforeLines="10" w:before="31" w:afterLines="10" w:after="31" w:line="240" w:lineRule="auto"/>
              <w:jc w:val="center"/>
              <w:textAlignment w:val="center"/>
              <w:rPr>
                <w:rFonts w:ascii="宋体" w:hAnsi="宋体"/>
                <w:sz w:val="18"/>
                <w:szCs w:val="18"/>
              </w:rPr>
            </w:pPr>
            <w:r w:rsidRPr="00765F6E">
              <w:rPr>
                <w:rFonts w:ascii="宋体" w:hAnsi="宋体"/>
                <w:sz w:val="18"/>
                <w:szCs w:val="18"/>
              </w:rPr>
              <w:t>C35</w:t>
            </w:r>
          </w:p>
        </w:tc>
        <w:tc>
          <w:tcPr>
            <w:tcW w:w="1251" w:type="pct"/>
            <w:tcBorders>
              <w:top w:val="single" w:sz="8" w:space="0" w:color="auto"/>
              <w:bottom w:val="single" w:sz="4" w:space="0" w:color="auto"/>
            </w:tcBorders>
            <w:shd w:val="clear" w:color="auto" w:fill="auto"/>
            <w:vAlign w:val="center"/>
          </w:tcPr>
          <w:p w14:paraId="2172DD90" w14:textId="77777777" w:rsidR="00291C73" w:rsidRPr="00765F6E" w:rsidRDefault="00291C73" w:rsidP="00453DBE">
            <w:pPr>
              <w:snapToGrid w:val="0"/>
              <w:spacing w:beforeLines="10" w:before="31" w:afterLines="10" w:after="31" w:line="240" w:lineRule="auto"/>
              <w:jc w:val="center"/>
              <w:textAlignment w:val="center"/>
              <w:rPr>
                <w:rFonts w:ascii="宋体" w:hAnsi="宋体"/>
                <w:sz w:val="18"/>
                <w:szCs w:val="18"/>
              </w:rPr>
            </w:pPr>
            <w:r w:rsidRPr="00765F6E">
              <w:rPr>
                <w:rFonts w:ascii="宋体" w:hAnsi="宋体"/>
                <w:sz w:val="18"/>
                <w:szCs w:val="18"/>
              </w:rPr>
              <w:t>C25</w:t>
            </w:r>
          </w:p>
        </w:tc>
      </w:tr>
      <w:tr w:rsidR="00245573" w:rsidRPr="00765F6E" w14:paraId="6AA5F3E9" w14:textId="77777777" w:rsidTr="00291C73">
        <w:trPr>
          <w:trHeight w:val="176"/>
          <w:jc w:val="center"/>
        </w:trPr>
        <w:tc>
          <w:tcPr>
            <w:tcW w:w="1249" w:type="pct"/>
            <w:tcBorders>
              <w:top w:val="single" w:sz="4" w:space="0" w:color="auto"/>
              <w:bottom w:val="single" w:sz="4" w:space="0" w:color="auto"/>
            </w:tcBorders>
            <w:shd w:val="clear" w:color="auto" w:fill="auto"/>
            <w:vAlign w:val="center"/>
          </w:tcPr>
          <w:p w14:paraId="058EECDD" w14:textId="77777777" w:rsidR="00291C73" w:rsidRPr="00765F6E" w:rsidRDefault="00291C73" w:rsidP="00453DBE">
            <w:pPr>
              <w:snapToGrid w:val="0"/>
              <w:spacing w:beforeLines="10" w:before="31" w:afterLines="10" w:after="31" w:line="240" w:lineRule="auto"/>
              <w:jc w:val="center"/>
              <w:textAlignment w:val="center"/>
              <w:rPr>
                <w:rFonts w:ascii="宋体" w:hAnsi="宋体"/>
                <w:sz w:val="18"/>
                <w:szCs w:val="18"/>
              </w:rPr>
            </w:pPr>
            <w:r w:rsidRPr="00765F6E">
              <w:rPr>
                <w:rFonts w:ascii="宋体" w:hAnsi="宋体"/>
                <w:sz w:val="18"/>
                <w:szCs w:val="18"/>
              </w:rPr>
              <w:t>仰拱</w:t>
            </w:r>
          </w:p>
        </w:tc>
        <w:tc>
          <w:tcPr>
            <w:tcW w:w="1250" w:type="pct"/>
            <w:tcBorders>
              <w:top w:val="single" w:sz="4" w:space="0" w:color="auto"/>
              <w:bottom w:val="single" w:sz="4" w:space="0" w:color="auto"/>
            </w:tcBorders>
            <w:shd w:val="clear" w:color="auto" w:fill="auto"/>
            <w:vAlign w:val="center"/>
          </w:tcPr>
          <w:p w14:paraId="57218046" w14:textId="77777777" w:rsidR="00291C73" w:rsidRPr="00765F6E" w:rsidRDefault="00291C73" w:rsidP="00453DBE">
            <w:pPr>
              <w:snapToGrid w:val="0"/>
              <w:spacing w:beforeLines="10" w:before="31" w:afterLines="10" w:after="31" w:line="240" w:lineRule="auto"/>
              <w:jc w:val="center"/>
              <w:textAlignment w:val="center"/>
              <w:rPr>
                <w:rFonts w:ascii="宋体" w:hAnsi="宋体"/>
                <w:sz w:val="18"/>
                <w:szCs w:val="18"/>
              </w:rPr>
            </w:pPr>
            <w:r w:rsidRPr="00765F6E">
              <w:rPr>
                <w:rFonts w:ascii="宋体" w:hAnsi="宋体"/>
                <w:sz w:val="18"/>
                <w:szCs w:val="18"/>
              </w:rPr>
              <w:t>C3</w:t>
            </w:r>
            <w:r w:rsidRPr="00765F6E">
              <w:rPr>
                <w:rFonts w:ascii="宋体" w:hAnsi="宋体" w:hint="eastAsia"/>
                <w:sz w:val="18"/>
                <w:szCs w:val="18"/>
              </w:rPr>
              <w:t>0</w:t>
            </w:r>
          </w:p>
        </w:tc>
        <w:tc>
          <w:tcPr>
            <w:tcW w:w="1250" w:type="pct"/>
            <w:tcBorders>
              <w:top w:val="single" w:sz="4" w:space="0" w:color="auto"/>
              <w:bottom w:val="single" w:sz="4" w:space="0" w:color="auto"/>
            </w:tcBorders>
            <w:shd w:val="clear" w:color="auto" w:fill="auto"/>
            <w:vAlign w:val="center"/>
          </w:tcPr>
          <w:p w14:paraId="3B42DACA" w14:textId="77777777" w:rsidR="00291C73" w:rsidRPr="00765F6E" w:rsidRDefault="00291C73" w:rsidP="00453DBE">
            <w:pPr>
              <w:snapToGrid w:val="0"/>
              <w:spacing w:beforeLines="10" w:before="31" w:afterLines="10" w:after="31" w:line="240" w:lineRule="auto"/>
              <w:jc w:val="center"/>
              <w:textAlignment w:val="center"/>
              <w:rPr>
                <w:rFonts w:ascii="宋体" w:hAnsi="宋体"/>
                <w:sz w:val="18"/>
                <w:szCs w:val="18"/>
              </w:rPr>
            </w:pPr>
            <w:r w:rsidRPr="00765F6E">
              <w:rPr>
                <w:rFonts w:ascii="宋体" w:hAnsi="宋体"/>
                <w:sz w:val="18"/>
                <w:szCs w:val="18"/>
              </w:rPr>
              <w:t>C35</w:t>
            </w:r>
          </w:p>
        </w:tc>
        <w:tc>
          <w:tcPr>
            <w:tcW w:w="1251" w:type="pct"/>
            <w:tcBorders>
              <w:top w:val="single" w:sz="4" w:space="0" w:color="auto"/>
              <w:bottom w:val="single" w:sz="4" w:space="0" w:color="auto"/>
            </w:tcBorders>
            <w:shd w:val="clear" w:color="auto" w:fill="auto"/>
            <w:vAlign w:val="center"/>
          </w:tcPr>
          <w:p w14:paraId="0ED05DAA" w14:textId="77777777" w:rsidR="00291C73" w:rsidRPr="00765F6E" w:rsidRDefault="00291C73" w:rsidP="00453DBE">
            <w:pPr>
              <w:snapToGrid w:val="0"/>
              <w:spacing w:beforeLines="10" w:before="31" w:afterLines="10" w:after="31" w:line="240" w:lineRule="auto"/>
              <w:jc w:val="center"/>
              <w:textAlignment w:val="center"/>
              <w:rPr>
                <w:rFonts w:ascii="宋体" w:hAnsi="宋体"/>
                <w:sz w:val="18"/>
                <w:szCs w:val="18"/>
              </w:rPr>
            </w:pPr>
            <w:r w:rsidRPr="00765F6E">
              <w:rPr>
                <w:rFonts w:ascii="宋体" w:hAnsi="宋体"/>
                <w:sz w:val="18"/>
                <w:szCs w:val="18"/>
              </w:rPr>
              <w:t>C</w:t>
            </w:r>
            <w:r w:rsidRPr="00765F6E">
              <w:rPr>
                <w:rFonts w:ascii="宋体" w:hAnsi="宋体" w:hint="eastAsia"/>
                <w:sz w:val="18"/>
                <w:szCs w:val="18"/>
              </w:rPr>
              <w:t>2</w:t>
            </w:r>
            <w:r w:rsidRPr="00765F6E">
              <w:rPr>
                <w:rFonts w:ascii="宋体" w:hAnsi="宋体"/>
                <w:sz w:val="18"/>
                <w:szCs w:val="18"/>
              </w:rPr>
              <w:t>5</w:t>
            </w:r>
          </w:p>
        </w:tc>
      </w:tr>
      <w:tr w:rsidR="00DD1818" w:rsidRPr="00765F6E" w14:paraId="2AC7B462" w14:textId="77777777" w:rsidTr="00BF0BA3">
        <w:trPr>
          <w:trHeight w:val="176"/>
          <w:jc w:val="center"/>
        </w:trPr>
        <w:tc>
          <w:tcPr>
            <w:tcW w:w="1249" w:type="pct"/>
            <w:tcBorders>
              <w:top w:val="single" w:sz="4" w:space="0" w:color="auto"/>
              <w:bottom w:val="single" w:sz="4" w:space="0" w:color="auto"/>
            </w:tcBorders>
            <w:shd w:val="clear" w:color="auto" w:fill="auto"/>
            <w:vAlign w:val="center"/>
          </w:tcPr>
          <w:p w14:paraId="7B8B1179" w14:textId="6CCF4D11" w:rsidR="00DD1818" w:rsidRPr="00765F6E" w:rsidRDefault="00DD1818" w:rsidP="00DD1818">
            <w:pPr>
              <w:snapToGrid w:val="0"/>
              <w:spacing w:beforeLines="10" w:before="31" w:afterLines="10" w:after="31" w:line="240" w:lineRule="auto"/>
              <w:jc w:val="center"/>
              <w:textAlignment w:val="center"/>
              <w:rPr>
                <w:rFonts w:ascii="宋体" w:hAnsi="宋体"/>
                <w:sz w:val="18"/>
                <w:szCs w:val="18"/>
              </w:rPr>
            </w:pPr>
            <w:r w:rsidRPr="00765F6E">
              <w:rPr>
                <w:rFonts w:ascii="宋体" w:hAnsi="宋体" w:hint="eastAsia"/>
                <w:sz w:val="18"/>
                <w:szCs w:val="18"/>
              </w:rPr>
              <w:t>底板</w:t>
            </w:r>
          </w:p>
        </w:tc>
        <w:tc>
          <w:tcPr>
            <w:tcW w:w="1250" w:type="pct"/>
            <w:tcBorders>
              <w:top w:val="single" w:sz="4" w:space="0" w:color="auto"/>
              <w:bottom w:val="single" w:sz="4" w:space="0" w:color="auto"/>
            </w:tcBorders>
            <w:shd w:val="clear" w:color="auto" w:fill="auto"/>
            <w:vAlign w:val="center"/>
          </w:tcPr>
          <w:p w14:paraId="212A5B60" w14:textId="67CC81EE" w:rsidR="00DD1818" w:rsidRPr="00765F6E" w:rsidRDefault="00DD1818" w:rsidP="00DD1818">
            <w:pPr>
              <w:snapToGrid w:val="0"/>
              <w:spacing w:beforeLines="10" w:before="31" w:afterLines="10" w:after="31" w:line="240" w:lineRule="auto"/>
              <w:jc w:val="center"/>
              <w:textAlignment w:val="center"/>
              <w:rPr>
                <w:rFonts w:ascii="宋体" w:hAnsi="宋体"/>
                <w:sz w:val="18"/>
                <w:szCs w:val="18"/>
              </w:rPr>
            </w:pPr>
            <w:r>
              <w:rPr>
                <w:rFonts w:ascii="宋体" w:hAnsi="宋体" w:hint="eastAsia"/>
                <w:sz w:val="18"/>
                <w:szCs w:val="18"/>
              </w:rPr>
              <w:t>-</w:t>
            </w:r>
          </w:p>
        </w:tc>
        <w:tc>
          <w:tcPr>
            <w:tcW w:w="1250" w:type="pct"/>
            <w:tcBorders>
              <w:top w:val="single" w:sz="4" w:space="0" w:color="auto"/>
              <w:bottom w:val="single" w:sz="4" w:space="0" w:color="auto"/>
            </w:tcBorders>
            <w:shd w:val="clear" w:color="auto" w:fill="auto"/>
            <w:vAlign w:val="center"/>
          </w:tcPr>
          <w:p w14:paraId="710034A2" w14:textId="2BA171F0" w:rsidR="00DD1818" w:rsidRPr="00765F6E" w:rsidRDefault="00DD1818" w:rsidP="00DD1818">
            <w:pPr>
              <w:snapToGrid w:val="0"/>
              <w:spacing w:beforeLines="10" w:before="31" w:afterLines="10" w:after="31" w:line="240" w:lineRule="auto"/>
              <w:jc w:val="center"/>
              <w:textAlignment w:val="center"/>
              <w:rPr>
                <w:rFonts w:ascii="宋体" w:hAnsi="宋体"/>
                <w:sz w:val="18"/>
                <w:szCs w:val="18"/>
              </w:rPr>
            </w:pPr>
            <w:r w:rsidRPr="00765F6E">
              <w:rPr>
                <w:rFonts w:ascii="宋体" w:hAnsi="宋体"/>
                <w:sz w:val="18"/>
                <w:szCs w:val="18"/>
              </w:rPr>
              <w:t>C35</w:t>
            </w:r>
          </w:p>
        </w:tc>
        <w:tc>
          <w:tcPr>
            <w:tcW w:w="1251" w:type="pct"/>
            <w:tcBorders>
              <w:top w:val="single" w:sz="4" w:space="0" w:color="auto"/>
              <w:bottom w:val="single" w:sz="4" w:space="0" w:color="auto"/>
            </w:tcBorders>
            <w:shd w:val="clear" w:color="auto" w:fill="auto"/>
            <w:vAlign w:val="center"/>
          </w:tcPr>
          <w:p w14:paraId="2FF024FC" w14:textId="6B9CBBEF" w:rsidR="00DD1818" w:rsidRPr="00765F6E" w:rsidRDefault="00DD1818" w:rsidP="00DD1818">
            <w:pPr>
              <w:snapToGrid w:val="0"/>
              <w:spacing w:beforeLines="10" w:before="31" w:afterLines="10" w:after="31" w:line="240" w:lineRule="auto"/>
              <w:jc w:val="center"/>
              <w:textAlignment w:val="center"/>
              <w:rPr>
                <w:rFonts w:ascii="宋体" w:hAnsi="宋体"/>
                <w:sz w:val="18"/>
                <w:szCs w:val="18"/>
              </w:rPr>
            </w:pPr>
            <w:r>
              <w:rPr>
                <w:rFonts w:ascii="宋体" w:hAnsi="宋体" w:hint="eastAsia"/>
                <w:sz w:val="18"/>
                <w:szCs w:val="18"/>
              </w:rPr>
              <w:t>-</w:t>
            </w:r>
          </w:p>
        </w:tc>
      </w:tr>
      <w:tr w:rsidR="005F3B71" w:rsidRPr="00765F6E" w14:paraId="7C0BD3F8" w14:textId="77777777" w:rsidTr="00697660">
        <w:trPr>
          <w:trHeight w:val="176"/>
          <w:jc w:val="center"/>
        </w:trPr>
        <w:tc>
          <w:tcPr>
            <w:tcW w:w="1249" w:type="pct"/>
            <w:tcBorders>
              <w:top w:val="single" w:sz="4" w:space="0" w:color="auto"/>
              <w:bottom w:val="single" w:sz="8" w:space="0" w:color="auto"/>
            </w:tcBorders>
            <w:shd w:val="clear" w:color="auto" w:fill="auto"/>
          </w:tcPr>
          <w:p w14:paraId="7F7F49A9" w14:textId="1D8288B5" w:rsidR="00DD1818" w:rsidRPr="00765F6E" w:rsidRDefault="00DD1818" w:rsidP="00DD1818">
            <w:pPr>
              <w:snapToGrid w:val="0"/>
              <w:spacing w:beforeLines="10" w:before="31" w:afterLines="10" w:after="31" w:line="240" w:lineRule="auto"/>
              <w:jc w:val="center"/>
              <w:textAlignment w:val="center"/>
              <w:rPr>
                <w:rFonts w:ascii="宋体" w:hAnsi="宋体"/>
                <w:sz w:val="18"/>
                <w:szCs w:val="18"/>
              </w:rPr>
            </w:pPr>
            <w:r w:rsidRPr="00BF0BA3">
              <w:rPr>
                <w:rFonts w:ascii="宋体" w:hAnsi="宋体" w:hint="eastAsia"/>
                <w:sz w:val="18"/>
                <w:szCs w:val="18"/>
              </w:rPr>
              <w:t>仰拱填充</w:t>
            </w:r>
          </w:p>
        </w:tc>
        <w:tc>
          <w:tcPr>
            <w:tcW w:w="1250" w:type="pct"/>
            <w:tcBorders>
              <w:top w:val="single" w:sz="4" w:space="0" w:color="auto"/>
              <w:bottom w:val="single" w:sz="8" w:space="0" w:color="auto"/>
            </w:tcBorders>
            <w:shd w:val="clear" w:color="auto" w:fill="auto"/>
          </w:tcPr>
          <w:p w14:paraId="5139C9D6" w14:textId="33C354B5" w:rsidR="00DD1818" w:rsidRPr="00765F6E" w:rsidRDefault="00DD1818" w:rsidP="00DD1818">
            <w:pPr>
              <w:snapToGrid w:val="0"/>
              <w:spacing w:beforeLines="10" w:before="31" w:afterLines="10" w:after="31" w:line="240" w:lineRule="auto"/>
              <w:jc w:val="center"/>
              <w:textAlignment w:val="center"/>
              <w:rPr>
                <w:rFonts w:ascii="宋体" w:hAnsi="宋体"/>
                <w:sz w:val="18"/>
                <w:szCs w:val="18"/>
              </w:rPr>
            </w:pPr>
            <w:r w:rsidRPr="00BF0BA3">
              <w:rPr>
                <w:rFonts w:ascii="宋体" w:hAnsi="宋体"/>
                <w:sz w:val="18"/>
                <w:szCs w:val="18"/>
              </w:rPr>
              <w:t>C20</w:t>
            </w:r>
          </w:p>
        </w:tc>
        <w:tc>
          <w:tcPr>
            <w:tcW w:w="1250" w:type="pct"/>
            <w:tcBorders>
              <w:top w:val="single" w:sz="4" w:space="0" w:color="auto"/>
              <w:bottom w:val="single" w:sz="8" w:space="0" w:color="auto"/>
            </w:tcBorders>
            <w:shd w:val="clear" w:color="auto" w:fill="auto"/>
          </w:tcPr>
          <w:p w14:paraId="3100F0E2" w14:textId="35121E82" w:rsidR="00DD1818" w:rsidRPr="00765F6E" w:rsidRDefault="00DD1818" w:rsidP="00DD1818">
            <w:pPr>
              <w:snapToGrid w:val="0"/>
              <w:spacing w:beforeLines="10" w:before="31" w:afterLines="10" w:after="31" w:line="240" w:lineRule="auto"/>
              <w:jc w:val="center"/>
              <w:textAlignment w:val="center"/>
              <w:rPr>
                <w:rFonts w:ascii="宋体" w:hAnsi="宋体"/>
                <w:sz w:val="18"/>
                <w:szCs w:val="18"/>
              </w:rPr>
            </w:pPr>
            <w:r w:rsidRPr="00BF0BA3">
              <w:rPr>
                <w:rFonts w:ascii="宋体" w:hAnsi="宋体"/>
                <w:sz w:val="18"/>
                <w:szCs w:val="18"/>
              </w:rPr>
              <w:t>-</w:t>
            </w:r>
          </w:p>
        </w:tc>
        <w:tc>
          <w:tcPr>
            <w:tcW w:w="1251" w:type="pct"/>
            <w:tcBorders>
              <w:top w:val="single" w:sz="4" w:space="0" w:color="auto"/>
              <w:bottom w:val="single" w:sz="8" w:space="0" w:color="auto"/>
            </w:tcBorders>
            <w:shd w:val="clear" w:color="auto" w:fill="auto"/>
          </w:tcPr>
          <w:p w14:paraId="0C25D549" w14:textId="0FC6B0EC" w:rsidR="00DD1818" w:rsidRPr="00765F6E" w:rsidRDefault="00DD1818" w:rsidP="00DD1818">
            <w:pPr>
              <w:snapToGrid w:val="0"/>
              <w:spacing w:beforeLines="10" w:before="31" w:afterLines="10" w:after="31" w:line="240" w:lineRule="auto"/>
              <w:jc w:val="center"/>
              <w:textAlignment w:val="center"/>
              <w:rPr>
                <w:rFonts w:ascii="宋体" w:hAnsi="宋体"/>
                <w:sz w:val="18"/>
                <w:szCs w:val="18"/>
              </w:rPr>
            </w:pPr>
            <w:r w:rsidRPr="00BF0BA3">
              <w:rPr>
                <w:rFonts w:ascii="宋体" w:hAnsi="宋体"/>
                <w:sz w:val="18"/>
                <w:szCs w:val="18"/>
              </w:rPr>
              <w:t>-</w:t>
            </w:r>
          </w:p>
        </w:tc>
      </w:tr>
    </w:tbl>
    <w:p w14:paraId="4A5FEF77" w14:textId="2DC31895" w:rsidR="00737EB2" w:rsidRPr="00765F6E" w:rsidRDefault="00737EB2" w:rsidP="00737EB2">
      <w:pPr>
        <w:pStyle w:val="aff3"/>
        <w:spacing w:beforeLines="100" w:before="312" w:after="156"/>
      </w:pPr>
      <w:r w:rsidRPr="00765F6E">
        <w:rPr>
          <w:rFonts w:hint="eastAsia"/>
        </w:rPr>
        <w:t>明挖法隧道结构混凝土设计强度等级</w:t>
      </w:r>
    </w:p>
    <w:tbl>
      <w:tblPr>
        <w:tblW w:w="5000" w:type="pct"/>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ook w:val="04A0" w:firstRow="1" w:lastRow="0" w:firstColumn="1" w:lastColumn="0" w:noHBand="0" w:noVBand="1"/>
      </w:tblPr>
      <w:tblGrid>
        <w:gridCol w:w="6159"/>
        <w:gridCol w:w="3175"/>
      </w:tblGrid>
      <w:tr w:rsidR="00BF0BA3" w:rsidRPr="00765F6E" w14:paraId="18ECA709" w14:textId="77777777" w:rsidTr="00DB7E4D">
        <w:trPr>
          <w:trHeight w:val="176"/>
          <w:jc w:val="center"/>
        </w:trPr>
        <w:tc>
          <w:tcPr>
            <w:tcW w:w="3299" w:type="pct"/>
            <w:shd w:val="clear" w:color="auto" w:fill="auto"/>
          </w:tcPr>
          <w:p w14:paraId="481035A0" w14:textId="3AB22A00" w:rsidR="00DD1818" w:rsidRPr="00765F6E" w:rsidRDefault="001F1DAC" w:rsidP="00453DBE">
            <w:pPr>
              <w:pStyle w:val="affffffffffff2"/>
              <w:spacing w:beforeLines="10" w:before="31" w:afterLines="10" w:after="31" w:line="200" w:lineRule="exact"/>
              <w:jc w:val="center"/>
              <w:rPr>
                <w:rFonts w:hAnsi="宋体" w:cs="宋体"/>
                <w:sz w:val="18"/>
                <w:szCs w:val="18"/>
              </w:rPr>
            </w:pPr>
            <w:r>
              <w:rPr>
                <w:rFonts w:hAnsi="宋体" w:cs="宋体" w:hint="eastAsia"/>
                <w:sz w:val="18"/>
                <w:szCs w:val="18"/>
              </w:rPr>
              <w:t>混凝土类型</w:t>
            </w:r>
          </w:p>
        </w:tc>
        <w:tc>
          <w:tcPr>
            <w:tcW w:w="1701" w:type="pct"/>
            <w:shd w:val="clear" w:color="auto" w:fill="auto"/>
          </w:tcPr>
          <w:p w14:paraId="30E611E5" w14:textId="2E9B6F0A" w:rsidR="00DD1818" w:rsidRPr="00765F6E" w:rsidRDefault="001F1DAC" w:rsidP="00453DBE">
            <w:pPr>
              <w:pStyle w:val="affffffffffff2"/>
              <w:spacing w:beforeLines="10" w:before="31" w:afterLines="10" w:after="31" w:line="200" w:lineRule="exact"/>
              <w:jc w:val="center"/>
              <w:rPr>
                <w:rFonts w:hAnsi="宋体" w:cs="宋体"/>
                <w:sz w:val="18"/>
                <w:szCs w:val="18"/>
              </w:rPr>
            </w:pPr>
            <w:r>
              <w:rPr>
                <w:rFonts w:hAnsi="宋体" w:cs="宋体" w:hint="eastAsia"/>
                <w:sz w:val="18"/>
                <w:szCs w:val="18"/>
              </w:rPr>
              <w:t>强度等级</w:t>
            </w:r>
          </w:p>
        </w:tc>
      </w:tr>
      <w:tr w:rsidR="00DD1818" w:rsidRPr="00765F6E" w14:paraId="22C455EB" w14:textId="77777777" w:rsidTr="00BF0BA3">
        <w:trPr>
          <w:trHeight w:val="176"/>
          <w:jc w:val="center"/>
        </w:trPr>
        <w:tc>
          <w:tcPr>
            <w:tcW w:w="3299" w:type="pct"/>
            <w:shd w:val="clear" w:color="auto" w:fill="auto"/>
          </w:tcPr>
          <w:p w14:paraId="0B2E92A6" w14:textId="77777777" w:rsidR="00DD1818" w:rsidRPr="00765F6E" w:rsidRDefault="00DD1818" w:rsidP="00453DBE">
            <w:pPr>
              <w:pStyle w:val="affffffffffff2"/>
              <w:spacing w:beforeLines="10" w:before="31" w:afterLines="10" w:after="31" w:line="200" w:lineRule="exact"/>
              <w:jc w:val="center"/>
              <w:rPr>
                <w:rFonts w:hAnsi="宋体" w:cs="宋体"/>
                <w:sz w:val="18"/>
                <w:szCs w:val="18"/>
              </w:rPr>
            </w:pPr>
            <w:r w:rsidRPr="00765F6E">
              <w:rPr>
                <w:rFonts w:hAnsi="宋体" w:cs="宋体" w:hint="eastAsia"/>
                <w:sz w:val="18"/>
                <w:szCs w:val="18"/>
              </w:rPr>
              <w:t>整体式钢筋混凝土结构</w:t>
            </w:r>
          </w:p>
        </w:tc>
        <w:tc>
          <w:tcPr>
            <w:tcW w:w="1701" w:type="pct"/>
            <w:shd w:val="clear" w:color="auto" w:fill="auto"/>
          </w:tcPr>
          <w:p w14:paraId="14BC9C49" w14:textId="77777777" w:rsidR="00DD1818" w:rsidRPr="00765F6E" w:rsidRDefault="00DD1818" w:rsidP="00453DBE">
            <w:pPr>
              <w:pStyle w:val="affffffffffff2"/>
              <w:spacing w:beforeLines="10" w:before="31" w:afterLines="10" w:after="31" w:line="200" w:lineRule="exact"/>
              <w:jc w:val="center"/>
              <w:rPr>
                <w:rFonts w:hAnsi="宋体" w:cs="宋体"/>
                <w:sz w:val="18"/>
                <w:szCs w:val="18"/>
              </w:rPr>
            </w:pPr>
            <w:r w:rsidRPr="00765F6E">
              <w:rPr>
                <w:rFonts w:hAnsi="宋体" w:cs="宋体"/>
                <w:sz w:val="18"/>
                <w:szCs w:val="18"/>
              </w:rPr>
              <w:t>C35</w:t>
            </w:r>
          </w:p>
        </w:tc>
      </w:tr>
      <w:tr w:rsidR="00DD1818" w:rsidRPr="00765F6E" w14:paraId="71CBAD08" w14:textId="77777777" w:rsidTr="00BF0BA3">
        <w:trPr>
          <w:trHeight w:val="176"/>
          <w:jc w:val="center"/>
        </w:trPr>
        <w:tc>
          <w:tcPr>
            <w:tcW w:w="3299" w:type="pct"/>
            <w:shd w:val="clear" w:color="auto" w:fill="auto"/>
          </w:tcPr>
          <w:p w14:paraId="43024C74" w14:textId="77777777" w:rsidR="00DD1818" w:rsidRPr="00765F6E" w:rsidRDefault="00DD1818" w:rsidP="00453DBE">
            <w:pPr>
              <w:pStyle w:val="affffffffffff2"/>
              <w:spacing w:beforeLines="10" w:before="31" w:afterLines="10" w:after="31" w:line="200" w:lineRule="exact"/>
              <w:jc w:val="center"/>
              <w:rPr>
                <w:rFonts w:hAnsi="宋体" w:cs="宋体"/>
                <w:sz w:val="18"/>
                <w:szCs w:val="18"/>
              </w:rPr>
            </w:pPr>
            <w:r w:rsidRPr="00765F6E">
              <w:rPr>
                <w:rFonts w:hAnsi="宋体" w:cs="宋体" w:hint="eastAsia"/>
                <w:sz w:val="18"/>
                <w:szCs w:val="18"/>
              </w:rPr>
              <w:t>装配式钢筋混凝土结构</w:t>
            </w:r>
          </w:p>
        </w:tc>
        <w:tc>
          <w:tcPr>
            <w:tcW w:w="1701" w:type="pct"/>
            <w:shd w:val="clear" w:color="auto" w:fill="auto"/>
          </w:tcPr>
          <w:p w14:paraId="4A3BC399" w14:textId="77777777" w:rsidR="00DD1818" w:rsidRPr="00765F6E" w:rsidRDefault="00DD1818" w:rsidP="00453DBE">
            <w:pPr>
              <w:pStyle w:val="affffffffffff2"/>
              <w:spacing w:beforeLines="10" w:before="31" w:afterLines="10" w:after="31" w:line="200" w:lineRule="exact"/>
              <w:jc w:val="center"/>
              <w:rPr>
                <w:rFonts w:hAnsi="宋体" w:cs="宋体"/>
                <w:sz w:val="18"/>
                <w:szCs w:val="18"/>
              </w:rPr>
            </w:pPr>
            <w:r w:rsidRPr="00765F6E">
              <w:rPr>
                <w:rFonts w:hAnsi="宋体" w:cs="宋体"/>
                <w:sz w:val="18"/>
                <w:szCs w:val="18"/>
              </w:rPr>
              <w:t>C35</w:t>
            </w:r>
          </w:p>
        </w:tc>
      </w:tr>
      <w:tr w:rsidR="00DD1818" w:rsidRPr="00765F6E" w14:paraId="12988FB8" w14:textId="77777777" w:rsidTr="00BF0BA3">
        <w:trPr>
          <w:trHeight w:val="176"/>
          <w:jc w:val="center"/>
        </w:trPr>
        <w:tc>
          <w:tcPr>
            <w:tcW w:w="3299" w:type="pct"/>
            <w:shd w:val="clear" w:color="auto" w:fill="auto"/>
          </w:tcPr>
          <w:p w14:paraId="50E0546D" w14:textId="77777777" w:rsidR="00DD1818" w:rsidRPr="00765F6E" w:rsidRDefault="00DD1818" w:rsidP="00453DBE">
            <w:pPr>
              <w:pStyle w:val="affffffffffff2"/>
              <w:spacing w:beforeLines="10" w:before="31" w:afterLines="10" w:after="31" w:line="200" w:lineRule="exact"/>
              <w:jc w:val="center"/>
              <w:rPr>
                <w:rFonts w:hAnsi="宋体" w:cs="宋体"/>
                <w:sz w:val="18"/>
                <w:szCs w:val="18"/>
              </w:rPr>
            </w:pPr>
            <w:r w:rsidRPr="00765F6E">
              <w:rPr>
                <w:rFonts w:hAnsi="宋体" w:cs="宋体" w:hint="eastAsia"/>
                <w:sz w:val="18"/>
                <w:szCs w:val="18"/>
              </w:rPr>
              <w:t>作为</w:t>
            </w:r>
            <w:r w:rsidRPr="00765F6E">
              <w:rPr>
                <w:rFonts w:hAnsi="宋体" w:cs="宋体"/>
                <w:sz w:val="18"/>
                <w:szCs w:val="18"/>
              </w:rPr>
              <w:t>永久结构的地下连续墙和灌注桩</w:t>
            </w:r>
          </w:p>
        </w:tc>
        <w:tc>
          <w:tcPr>
            <w:tcW w:w="1701" w:type="pct"/>
            <w:shd w:val="clear" w:color="auto" w:fill="auto"/>
          </w:tcPr>
          <w:p w14:paraId="4913AB1F" w14:textId="77777777" w:rsidR="00DD1818" w:rsidRPr="00765F6E" w:rsidRDefault="00DD1818" w:rsidP="00453DBE">
            <w:pPr>
              <w:pStyle w:val="affffffffffff2"/>
              <w:spacing w:beforeLines="10" w:before="31" w:afterLines="10" w:after="31" w:line="200" w:lineRule="exact"/>
              <w:jc w:val="center"/>
              <w:rPr>
                <w:rFonts w:hAnsi="宋体" w:cs="宋体"/>
                <w:sz w:val="18"/>
                <w:szCs w:val="18"/>
              </w:rPr>
            </w:pPr>
            <w:r w:rsidRPr="00765F6E">
              <w:rPr>
                <w:rFonts w:hAnsi="宋体" w:cs="宋体"/>
                <w:sz w:val="18"/>
                <w:szCs w:val="18"/>
              </w:rPr>
              <w:t>C35</w:t>
            </w:r>
          </w:p>
        </w:tc>
      </w:tr>
    </w:tbl>
    <w:p w14:paraId="01CE35F4" w14:textId="77777777" w:rsidR="00737EB2" w:rsidRPr="00765F6E" w:rsidRDefault="00737EB2" w:rsidP="00737EB2">
      <w:pPr>
        <w:pStyle w:val="aff3"/>
        <w:spacing w:beforeLines="100" w:before="312" w:after="156"/>
      </w:pPr>
      <w:r w:rsidRPr="00765F6E">
        <w:rPr>
          <w:rFonts w:hint="eastAsia"/>
        </w:rPr>
        <w:lastRenderedPageBreak/>
        <w:t>盾构法、沉管法、顶管法隧道结构混凝土设计强度等级</w:t>
      </w:r>
    </w:p>
    <w:tbl>
      <w:tblPr>
        <w:tblW w:w="5000" w:type="pct"/>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ook w:val="04A0" w:firstRow="1" w:lastRow="0" w:firstColumn="1" w:lastColumn="0" w:noHBand="0" w:noVBand="1"/>
      </w:tblPr>
      <w:tblGrid>
        <w:gridCol w:w="2242"/>
        <w:gridCol w:w="4628"/>
        <w:gridCol w:w="2464"/>
      </w:tblGrid>
      <w:tr w:rsidR="00A65E62" w:rsidRPr="00765F6E" w14:paraId="7BE64AD7" w14:textId="77777777" w:rsidTr="00DB7E4D">
        <w:trPr>
          <w:trHeight w:val="176"/>
          <w:jc w:val="center"/>
        </w:trPr>
        <w:tc>
          <w:tcPr>
            <w:tcW w:w="1201" w:type="pct"/>
            <w:shd w:val="clear" w:color="auto" w:fill="auto"/>
            <w:vAlign w:val="center"/>
          </w:tcPr>
          <w:p w14:paraId="5D818744" w14:textId="0D4439C4" w:rsidR="00092057" w:rsidRPr="00765F6E" w:rsidRDefault="001208F3" w:rsidP="00BF0BA3">
            <w:pPr>
              <w:snapToGrid w:val="0"/>
              <w:spacing w:beforeLines="10" w:before="31" w:afterLines="10" w:after="31" w:line="240" w:lineRule="auto"/>
              <w:jc w:val="center"/>
              <w:textAlignment w:val="center"/>
              <w:rPr>
                <w:rFonts w:ascii="宋体" w:hAnsi="宋体"/>
                <w:sz w:val="18"/>
                <w:szCs w:val="18"/>
              </w:rPr>
            </w:pPr>
            <w:r>
              <w:rPr>
                <w:rFonts w:ascii="宋体" w:hAnsi="宋体" w:hint="eastAsia"/>
                <w:sz w:val="18"/>
                <w:szCs w:val="18"/>
              </w:rPr>
              <w:t>施工方法</w:t>
            </w:r>
          </w:p>
        </w:tc>
        <w:tc>
          <w:tcPr>
            <w:tcW w:w="2479" w:type="pct"/>
            <w:shd w:val="clear" w:color="auto" w:fill="auto"/>
            <w:vAlign w:val="center"/>
          </w:tcPr>
          <w:p w14:paraId="4D2F255A" w14:textId="4E821834" w:rsidR="00092057" w:rsidRPr="00765F6E" w:rsidRDefault="001208F3" w:rsidP="00BF0BA3">
            <w:pPr>
              <w:pStyle w:val="affffffffffff2"/>
              <w:adjustRightInd w:val="0"/>
              <w:snapToGrid w:val="0"/>
              <w:spacing w:beforeLines="10" w:before="31" w:afterLines="10" w:after="31" w:line="200" w:lineRule="exact"/>
              <w:jc w:val="center"/>
              <w:rPr>
                <w:rFonts w:hAnsi="宋体" w:cs="宋体"/>
                <w:sz w:val="18"/>
                <w:szCs w:val="18"/>
              </w:rPr>
            </w:pPr>
            <w:r>
              <w:rPr>
                <w:rFonts w:hAnsi="宋体" w:cs="宋体" w:hint="eastAsia"/>
                <w:sz w:val="18"/>
                <w:szCs w:val="18"/>
              </w:rPr>
              <w:t>混凝土类型</w:t>
            </w:r>
          </w:p>
        </w:tc>
        <w:tc>
          <w:tcPr>
            <w:tcW w:w="1320" w:type="pct"/>
            <w:shd w:val="clear" w:color="auto" w:fill="auto"/>
            <w:vAlign w:val="center"/>
          </w:tcPr>
          <w:p w14:paraId="24B8CBE2" w14:textId="08C109CA" w:rsidR="00092057" w:rsidRPr="00765F6E" w:rsidRDefault="001208F3" w:rsidP="00BF0BA3">
            <w:pPr>
              <w:pStyle w:val="affffffffffff2"/>
              <w:adjustRightInd w:val="0"/>
              <w:snapToGrid w:val="0"/>
              <w:spacing w:beforeLines="10" w:before="31" w:afterLines="10" w:after="31" w:line="200" w:lineRule="exact"/>
              <w:jc w:val="center"/>
              <w:rPr>
                <w:rFonts w:hAnsi="宋体" w:cs="宋体"/>
                <w:sz w:val="18"/>
                <w:szCs w:val="18"/>
              </w:rPr>
            </w:pPr>
            <w:r>
              <w:rPr>
                <w:rFonts w:hAnsi="宋体" w:cs="宋体" w:hint="eastAsia"/>
                <w:sz w:val="18"/>
                <w:szCs w:val="18"/>
              </w:rPr>
              <w:t>强度等级</w:t>
            </w:r>
          </w:p>
        </w:tc>
      </w:tr>
      <w:tr w:rsidR="00BA0790" w:rsidRPr="00765F6E" w14:paraId="6F2DB57C" w14:textId="77777777" w:rsidTr="00DB7E4D">
        <w:trPr>
          <w:trHeight w:val="176"/>
          <w:jc w:val="center"/>
        </w:trPr>
        <w:tc>
          <w:tcPr>
            <w:tcW w:w="1201" w:type="pct"/>
            <w:vMerge w:val="restart"/>
            <w:shd w:val="clear" w:color="auto" w:fill="auto"/>
            <w:vAlign w:val="center"/>
          </w:tcPr>
          <w:p w14:paraId="5EF87647" w14:textId="77777777" w:rsidR="00737EB2" w:rsidRPr="00765F6E" w:rsidRDefault="00737EB2" w:rsidP="00453DBE">
            <w:pPr>
              <w:snapToGrid w:val="0"/>
              <w:spacing w:beforeLines="10" w:before="31" w:afterLines="10" w:after="31"/>
              <w:jc w:val="center"/>
              <w:textAlignment w:val="center"/>
              <w:rPr>
                <w:rFonts w:hAnsi="宋体" w:cs="宋体"/>
                <w:sz w:val="18"/>
                <w:szCs w:val="18"/>
                <w:highlight w:val="yellow"/>
              </w:rPr>
            </w:pPr>
            <w:r w:rsidRPr="00765F6E">
              <w:rPr>
                <w:rFonts w:ascii="宋体" w:hAnsi="宋体" w:hint="eastAsia"/>
                <w:sz w:val="18"/>
                <w:szCs w:val="18"/>
              </w:rPr>
              <w:t>盾构法/TBM</w:t>
            </w:r>
          </w:p>
        </w:tc>
        <w:tc>
          <w:tcPr>
            <w:tcW w:w="2479" w:type="pct"/>
            <w:shd w:val="clear" w:color="auto" w:fill="auto"/>
          </w:tcPr>
          <w:p w14:paraId="7CDE7B2D" w14:textId="77777777" w:rsidR="00737EB2" w:rsidRPr="00765F6E" w:rsidRDefault="00737EB2" w:rsidP="00453DBE">
            <w:pPr>
              <w:pStyle w:val="affffffffffff2"/>
              <w:snapToGrid w:val="0"/>
              <w:spacing w:beforeLines="10" w:before="31" w:afterLines="10" w:after="31" w:line="200" w:lineRule="exact"/>
              <w:jc w:val="center"/>
              <w:rPr>
                <w:rFonts w:hAnsi="宋体" w:cs="宋体"/>
                <w:sz w:val="18"/>
                <w:szCs w:val="18"/>
              </w:rPr>
            </w:pPr>
            <w:r w:rsidRPr="00765F6E">
              <w:rPr>
                <w:rFonts w:hAnsi="宋体" w:cs="宋体" w:hint="eastAsia"/>
                <w:sz w:val="18"/>
                <w:szCs w:val="18"/>
              </w:rPr>
              <w:t>装配式钢筋混凝土管片</w:t>
            </w:r>
          </w:p>
        </w:tc>
        <w:tc>
          <w:tcPr>
            <w:tcW w:w="1320" w:type="pct"/>
            <w:shd w:val="clear" w:color="auto" w:fill="auto"/>
          </w:tcPr>
          <w:p w14:paraId="7E286814" w14:textId="77777777" w:rsidR="00737EB2" w:rsidRPr="00765F6E" w:rsidRDefault="00737EB2" w:rsidP="00453DBE">
            <w:pPr>
              <w:pStyle w:val="affffffffffff2"/>
              <w:snapToGrid w:val="0"/>
              <w:spacing w:beforeLines="10" w:before="31" w:afterLines="10" w:after="31" w:line="200" w:lineRule="exact"/>
              <w:jc w:val="center"/>
              <w:rPr>
                <w:rFonts w:hAnsi="宋体" w:cs="宋体"/>
                <w:sz w:val="18"/>
                <w:szCs w:val="18"/>
              </w:rPr>
            </w:pPr>
            <w:r w:rsidRPr="00765F6E">
              <w:rPr>
                <w:rFonts w:hAnsi="宋体" w:cs="宋体"/>
                <w:sz w:val="18"/>
                <w:szCs w:val="18"/>
              </w:rPr>
              <w:t>C</w:t>
            </w:r>
            <w:r w:rsidRPr="00765F6E">
              <w:rPr>
                <w:rFonts w:hAnsi="宋体" w:cs="宋体" w:hint="eastAsia"/>
                <w:sz w:val="18"/>
                <w:szCs w:val="18"/>
              </w:rPr>
              <w:t>50</w:t>
            </w:r>
          </w:p>
        </w:tc>
      </w:tr>
      <w:tr w:rsidR="00BA0790" w:rsidRPr="00765F6E" w14:paraId="75BE4133" w14:textId="77777777" w:rsidTr="00DB7E4D">
        <w:trPr>
          <w:trHeight w:val="176"/>
          <w:jc w:val="center"/>
        </w:trPr>
        <w:tc>
          <w:tcPr>
            <w:tcW w:w="1201" w:type="pct"/>
            <w:vMerge/>
            <w:shd w:val="clear" w:color="auto" w:fill="auto"/>
            <w:vAlign w:val="center"/>
          </w:tcPr>
          <w:p w14:paraId="47983761" w14:textId="77777777" w:rsidR="00737EB2" w:rsidRPr="00765F6E" w:rsidRDefault="00737EB2" w:rsidP="00453DBE">
            <w:pPr>
              <w:snapToGrid w:val="0"/>
              <w:spacing w:beforeLines="10" w:before="31" w:afterLines="10" w:after="31"/>
              <w:jc w:val="center"/>
              <w:rPr>
                <w:rFonts w:ascii="宋体" w:hAnsi="宋体"/>
                <w:sz w:val="18"/>
                <w:szCs w:val="18"/>
                <w:highlight w:val="yellow"/>
              </w:rPr>
            </w:pPr>
          </w:p>
        </w:tc>
        <w:tc>
          <w:tcPr>
            <w:tcW w:w="2479" w:type="pct"/>
            <w:shd w:val="clear" w:color="auto" w:fill="auto"/>
          </w:tcPr>
          <w:p w14:paraId="35915C48" w14:textId="77777777" w:rsidR="00737EB2" w:rsidRPr="00765F6E" w:rsidRDefault="00737EB2" w:rsidP="00453DBE">
            <w:pPr>
              <w:pStyle w:val="affffffffffff2"/>
              <w:snapToGrid w:val="0"/>
              <w:spacing w:beforeLines="10" w:before="31" w:afterLines="10" w:after="31" w:line="200" w:lineRule="exact"/>
              <w:jc w:val="center"/>
              <w:rPr>
                <w:rFonts w:hAnsi="宋体" w:cs="宋体"/>
                <w:sz w:val="18"/>
                <w:szCs w:val="18"/>
              </w:rPr>
            </w:pPr>
            <w:r w:rsidRPr="00765F6E">
              <w:rPr>
                <w:rFonts w:hAnsi="宋体" w:cs="宋体" w:hint="eastAsia"/>
                <w:sz w:val="18"/>
                <w:szCs w:val="18"/>
              </w:rPr>
              <w:t>整体式钢筋混凝土衬砌</w:t>
            </w:r>
          </w:p>
        </w:tc>
        <w:tc>
          <w:tcPr>
            <w:tcW w:w="1320" w:type="pct"/>
            <w:shd w:val="clear" w:color="auto" w:fill="auto"/>
          </w:tcPr>
          <w:p w14:paraId="248DFA0B" w14:textId="77777777" w:rsidR="00737EB2" w:rsidRPr="00765F6E" w:rsidRDefault="00737EB2" w:rsidP="00453DBE">
            <w:pPr>
              <w:pStyle w:val="affffffffffff2"/>
              <w:snapToGrid w:val="0"/>
              <w:spacing w:beforeLines="10" w:before="31" w:afterLines="10" w:after="31" w:line="200" w:lineRule="exact"/>
              <w:jc w:val="center"/>
              <w:rPr>
                <w:rFonts w:hAnsi="宋体" w:cs="宋体"/>
                <w:sz w:val="18"/>
                <w:szCs w:val="18"/>
              </w:rPr>
            </w:pPr>
            <w:r w:rsidRPr="00765F6E">
              <w:rPr>
                <w:rFonts w:hAnsi="宋体" w:cs="宋体"/>
                <w:sz w:val="18"/>
                <w:szCs w:val="18"/>
              </w:rPr>
              <w:t>C35</w:t>
            </w:r>
          </w:p>
        </w:tc>
      </w:tr>
      <w:tr w:rsidR="00BA0790" w:rsidRPr="00765F6E" w14:paraId="49E7747E" w14:textId="77777777" w:rsidTr="00DB7E4D">
        <w:trPr>
          <w:trHeight w:val="176"/>
          <w:jc w:val="center"/>
        </w:trPr>
        <w:tc>
          <w:tcPr>
            <w:tcW w:w="1201" w:type="pct"/>
            <w:vMerge/>
            <w:tcBorders>
              <w:bottom w:val="single" w:sz="6" w:space="0" w:color="auto"/>
            </w:tcBorders>
            <w:shd w:val="clear" w:color="auto" w:fill="auto"/>
            <w:vAlign w:val="center"/>
          </w:tcPr>
          <w:p w14:paraId="1ED82D20" w14:textId="77777777" w:rsidR="00737EB2" w:rsidRPr="00765F6E" w:rsidRDefault="00737EB2" w:rsidP="00453DBE">
            <w:pPr>
              <w:snapToGrid w:val="0"/>
              <w:spacing w:beforeLines="10" w:before="31" w:afterLines="10" w:after="31"/>
              <w:jc w:val="center"/>
              <w:rPr>
                <w:rFonts w:ascii="宋体" w:hAnsi="宋体"/>
                <w:sz w:val="18"/>
                <w:szCs w:val="18"/>
                <w:highlight w:val="yellow"/>
              </w:rPr>
            </w:pPr>
          </w:p>
        </w:tc>
        <w:tc>
          <w:tcPr>
            <w:tcW w:w="2479" w:type="pct"/>
            <w:tcBorders>
              <w:bottom w:val="single" w:sz="6" w:space="0" w:color="auto"/>
            </w:tcBorders>
            <w:shd w:val="clear" w:color="auto" w:fill="auto"/>
          </w:tcPr>
          <w:p w14:paraId="6647F82B" w14:textId="77777777" w:rsidR="00737EB2" w:rsidRPr="00765F6E" w:rsidRDefault="00737EB2" w:rsidP="00453DBE">
            <w:pPr>
              <w:pStyle w:val="affffffffffff2"/>
              <w:snapToGrid w:val="0"/>
              <w:spacing w:beforeLines="10" w:before="31" w:afterLines="10" w:after="31" w:line="200" w:lineRule="exact"/>
              <w:jc w:val="center"/>
              <w:rPr>
                <w:rFonts w:hAnsi="宋体" w:cs="宋体"/>
                <w:sz w:val="18"/>
                <w:szCs w:val="18"/>
              </w:rPr>
            </w:pPr>
            <w:r w:rsidRPr="00765F6E">
              <w:rPr>
                <w:rFonts w:hAnsi="宋体" w:cs="宋体" w:hint="eastAsia"/>
                <w:sz w:val="18"/>
                <w:szCs w:val="18"/>
              </w:rPr>
              <w:t>素混凝土衬砌</w:t>
            </w:r>
          </w:p>
        </w:tc>
        <w:tc>
          <w:tcPr>
            <w:tcW w:w="1320" w:type="pct"/>
            <w:tcBorders>
              <w:bottom w:val="single" w:sz="6" w:space="0" w:color="auto"/>
            </w:tcBorders>
            <w:shd w:val="clear" w:color="auto" w:fill="auto"/>
          </w:tcPr>
          <w:p w14:paraId="720877C3" w14:textId="77777777" w:rsidR="00737EB2" w:rsidRPr="00765F6E" w:rsidRDefault="00737EB2" w:rsidP="00453DBE">
            <w:pPr>
              <w:pStyle w:val="affffffffffff2"/>
              <w:snapToGrid w:val="0"/>
              <w:spacing w:beforeLines="10" w:before="31" w:afterLines="10" w:after="31" w:line="200" w:lineRule="exact"/>
              <w:jc w:val="center"/>
              <w:rPr>
                <w:rFonts w:hAnsi="宋体" w:cs="宋体"/>
                <w:sz w:val="18"/>
                <w:szCs w:val="18"/>
              </w:rPr>
            </w:pPr>
            <w:r w:rsidRPr="00765F6E">
              <w:rPr>
                <w:rFonts w:hAnsi="宋体" w:cs="宋体"/>
                <w:sz w:val="18"/>
                <w:szCs w:val="18"/>
              </w:rPr>
              <w:t>C3</w:t>
            </w:r>
            <w:r w:rsidRPr="00765F6E">
              <w:rPr>
                <w:rFonts w:hAnsi="宋体" w:cs="宋体" w:hint="eastAsia"/>
                <w:sz w:val="18"/>
                <w:szCs w:val="18"/>
              </w:rPr>
              <w:t>0</w:t>
            </w:r>
          </w:p>
        </w:tc>
      </w:tr>
      <w:tr w:rsidR="00BA0790" w:rsidRPr="00765F6E" w14:paraId="4FEBD518" w14:textId="77777777" w:rsidTr="00DB7E4D">
        <w:trPr>
          <w:trHeight w:val="176"/>
          <w:jc w:val="center"/>
        </w:trPr>
        <w:tc>
          <w:tcPr>
            <w:tcW w:w="1201" w:type="pct"/>
            <w:vMerge w:val="restart"/>
            <w:tcBorders>
              <w:top w:val="single" w:sz="6" w:space="0" w:color="auto"/>
              <w:bottom w:val="single" w:sz="6" w:space="0" w:color="auto"/>
            </w:tcBorders>
            <w:shd w:val="clear" w:color="auto" w:fill="auto"/>
            <w:vAlign w:val="center"/>
          </w:tcPr>
          <w:p w14:paraId="4F6CDAF7" w14:textId="77777777" w:rsidR="00737EB2" w:rsidRPr="00765F6E" w:rsidRDefault="00737EB2" w:rsidP="00453DBE">
            <w:pPr>
              <w:snapToGrid w:val="0"/>
              <w:spacing w:beforeLines="10" w:before="31" w:afterLines="10" w:after="31"/>
              <w:jc w:val="center"/>
              <w:textAlignment w:val="center"/>
              <w:rPr>
                <w:rFonts w:ascii="宋体" w:hAnsi="宋体"/>
                <w:sz w:val="18"/>
                <w:szCs w:val="18"/>
              </w:rPr>
            </w:pPr>
            <w:r w:rsidRPr="00765F6E">
              <w:rPr>
                <w:rFonts w:ascii="宋体" w:hAnsi="宋体"/>
                <w:sz w:val="18"/>
                <w:szCs w:val="18"/>
              </w:rPr>
              <w:t>沉管法</w:t>
            </w:r>
          </w:p>
        </w:tc>
        <w:tc>
          <w:tcPr>
            <w:tcW w:w="2479" w:type="pct"/>
            <w:tcBorders>
              <w:top w:val="single" w:sz="6" w:space="0" w:color="auto"/>
              <w:bottom w:val="single" w:sz="6" w:space="0" w:color="auto"/>
            </w:tcBorders>
            <w:shd w:val="clear" w:color="auto" w:fill="auto"/>
          </w:tcPr>
          <w:p w14:paraId="1E1923BA" w14:textId="77777777" w:rsidR="00737EB2" w:rsidRPr="00765F6E" w:rsidRDefault="00737EB2" w:rsidP="00453DBE">
            <w:pPr>
              <w:pStyle w:val="affffffffffff2"/>
              <w:snapToGrid w:val="0"/>
              <w:spacing w:beforeLines="10" w:before="31" w:afterLines="10" w:after="31" w:line="200" w:lineRule="exact"/>
              <w:jc w:val="center"/>
              <w:rPr>
                <w:rFonts w:hAnsi="宋体" w:cs="宋体"/>
                <w:sz w:val="18"/>
                <w:szCs w:val="18"/>
              </w:rPr>
            </w:pPr>
            <w:r w:rsidRPr="00765F6E">
              <w:rPr>
                <w:rFonts w:hAnsi="宋体" w:cs="宋体" w:hint="eastAsia"/>
                <w:sz w:val="18"/>
                <w:szCs w:val="18"/>
              </w:rPr>
              <w:t>钢筋混凝土结构</w:t>
            </w:r>
          </w:p>
        </w:tc>
        <w:tc>
          <w:tcPr>
            <w:tcW w:w="1320" w:type="pct"/>
            <w:tcBorders>
              <w:top w:val="single" w:sz="6" w:space="0" w:color="auto"/>
              <w:bottom w:val="single" w:sz="6" w:space="0" w:color="auto"/>
            </w:tcBorders>
            <w:shd w:val="clear" w:color="auto" w:fill="auto"/>
          </w:tcPr>
          <w:p w14:paraId="457C62EC" w14:textId="77777777" w:rsidR="00737EB2" w:rsidRPr="00765F6E" w:rsidRDefault="00737EB2" w:rsidP="00453DBE">
            <w:pPr>
              <w:pStyle w:val="affffffffffff2"/>
              <w:snapToGrid w:val="0"/>
              <w:spacing w:beforeLines="10" w:before="31" w:afterLines="10" w:after="31" w:line="200" w:lineRule="exact"/>
              <w:jc w:val="center"/>
              <w:rPr>
                <w:rFonts w:hAnsi="宋体" w:cs="宋体"/>
                <w:sz w:val="18"/>
                <w:szCs w:val="18"/>
              </w:rPr>
            </w:pPr>
            <w:r w:rsidRPr="00765F6E">
              <w:rPr>
                <w:rFonts w:hAnsi="宋体" w:cs="宋体"/>
                <w:sz w:val="18"/>
                <w:szCs w:val="18"/>
              </w:rPr>
              <w:t>C35</w:t>
            </w:r>
          </w:p>
        </w:tc>
      </w:tr>
      <w:tr w:rsidR="00BA0790" w:rsidRPr="00765F6E" w14:paraId="3C94170E" w14:textId="77777777" w:rsidTr="00DB7E4D">
        <w:trPr>
          <w:trHeight w:val="176"/>
          <w:jc w:val="center"/>
        </w:trPr>
        <w:tc>
          <w:tcPr>
            <w:tcW w:w="1201" w:type="pct"/>
            <w:vMerge/>
            <w:tcBorders>
              <w:top w:val="single" w:sz="6" w:space="0" w:color="auto"/>
              <w:bottom w:val="single" w:sz="4" w:space="0" w:color="auto"/>
            </w:tcBorders>
            <w:shd w:val="clear" w:color="auto" w:fill="auto"/>
            <w:vAlign w:val="center"/>
          </w:tcPr>
          <w:p w14:paraId="255ADFFF" w14:textId="77777777" w:rsidR="00737EB2" w:rsidRPr="00765F6E" w:rsidRDefault="00737EB2" w:rsidP="00453DBE">
            <w:pPr>
              <w:snapToGrid w:val="0"/>
              <w:spacing w:beforeLines="10" w:before="31" w:afterLines="10" w:after="31"/>
              <w:jc w:val="center"/>
              <w:rPr>
                <w:rFonts w:ascii="宋体" w:hAnsi="宋体"/>
                <w:sz w:val="18"/>
                <w:szCs w:val="18"/>
                <w:highlight w:val="yellow"/>
              </w:rPr>
            </w:pPr>
          </w:p>
        </w:tc>
        <w:tc>
          <w:tcPr>
            <w:tcW w:w="2479" w:type="pct"/>
            <w:tcBorders>
              <w:top w:val="single" w:sz="6" w:space="0" w:color="auto"/>
              <w:bottom w:val="single" w:sz="4" w:space="0" w:color="auto"/>
            </w:tcBorders>
            <w:shd w:val="clear" w:color="auto" w:fill="auto"/>
          </w:tcPr>
          <w:p w14:paraId="2A501128" w14:textId="77777777" w:rsidR="00737EB2" w:rsidRPr="00765F6E" w:rsidRDefault="00737EB2" w:rsidP="00453DBE">
            <w:pPr>
              <w:pStyle w:val="affffffffffff2"/>
              <w:snapToGrid w:val="0"/>
              <w:spacing w:beforeLines="10" w:before="31" w:afterLines="10" w:after="31" w:line="200" w:lineRule="exact"/>
              <w:jc w:val="center"/>
              <w:rPr>
                <w:rFonts w:hAnsi="宋体" w:cs="宋体"/>
                <w:sz w:val="18"/>
                <w:szCs w:val="18"/>
              </w:rPr>
            </w:pPr>
            <w:r w:rsidRPr="00765F6E">
              <w:rPr>
                <w:rFonts w:hAnsi="宋体" w:cs="宋体" w:hint="eastAsia"/>
                <w:sz w:val="18"/>
                <w:szCs w:val="18"/>
              </w:rPr>
              <w:t>预应力混凝土结构</w:t>
            </w:r>
          </w:p>
        </w:tc>
        <w:tc>
          <w:tcPr>
            <w:tcW w:w="1320" w:type="pct"/>
            <w:tcBorders>
              <w:top w:val="single" w:sz="6" w:space="0" w:color="auto"/>
              <w:bottom w:val="single" w:sz="4" w:space="0" w:color="auto"/>
            </w:tcBorders>
            <w:shd w:val="clear" w:color="auto" w:fill="auto"/>
          </w:tcPr>
          <w:p w14:paraId="5CAEE500" w14:textId="77777777" w:rsidR="00737EB2" w:rsidRPr="00765F6E" w:rsidRDefault="00737EB2" w:rsidP="00453DBE">
            <w:pPr>
              <w:pStyle w:val="affffffffffff2"/>
              <w:snapToGrid w:val="0"/>
              <w:spacing w:beforeLines="10" w:before="31" w:afterLines="10" w:after="31" w:line="200" w:lineRule="exact"/>
              <w:jc w:val="center"/>
              <w:rPr>
                <w:rFonts w:hAnsi="宋体" w:cs="宋体"/>
                <w:sz w:val="18"/>
                <w:szCs w:val="18"/>
              </w:rPr>
            </w:pPr>
            <w:r w:rsidRPr="00765F6E">
              <w:rPr>
                <w:rFonts w:hAnsi="宋体" w:cs="宋体"/>
                <w:sz w:val="18"/>
                <w:szCs w:val="18"/>
              </w:rPr>
              <w:t>C</w:t>
            </w:r>
            <w:r w:rsidRPr="00765F6E">
              <w:rPr>
                <w:rFonts w:hAnsi="宋体" w:cs="宋体" w:hint="eastAsia"/>
                <w:sz w:val="18"/>
                <w:szCs w:val="18"/>
              </w:rPr>
              <w:t>40</w:t>
            </w:r>
          </w:p>
        </w:tc>
      </w:tr>
      <w:tr w:rsidR="00BA0790" w:rsidRPr="00765F6E" w14:paraId="4C56CA5F" w14:textId="77777777" w:rsidTr="00DB7E4D">
        <w:trPr>
          <w:trHeight w:val="176"/>
          <w:jc w:val="center"/>
        </w:trPr>
        <w:tc>
          <w:tcPr>
            <w:tcW w:w="1201" w:type="pct"/>
            <w:tcBorders>
              <w:top w:val="single" w:sz="4" w:space="0" w:color="auto"/>
            </w:tcBorders>
            <w:shd w:val="clear" w:color="auto" w:fill="auto"/>
            <w:vAlign w:val="center"/>
          </w:tcPr>
          <w:p w14:paraId="184536B3" w14:textId="77777777" w:rsidR="00737EB2" w:rsidRPr="00765F6E" w:rsidRDefault="00737EB2" w:rsidP="00453DBE">
            <w:pPr>
              <w:pStyle w:val="affffffffffff2"/>
              <w:snapToGrid w:val="0"/>
              <w:spacing w:beforeLines="10" w:before="31" w:afterLines="10" w:after="31" w:line="200" w:lineRule="exact"/>
              <w:jc w:val="center"/>
              <w:rPr>
                <w:rFonts w:hAnsi="宋体" w:cs="宋体"/>
                <w:sz w:val="18"/>
                <w:szCs w:val="18"/>
              </w:rPr>
            </w:pPr>
            <w:r w:rsidRPr="00765F6E">
              <w:rPr>
                <w:rFonts w:hAnsi="宋体" w:cs="宋体"/>
                <w:sz w:val="18"/>
                <w:szCs w:val="18"/>
              </w:rPr>
              <w:t>顶管法</w:t>
            </w:r>
          </w:p>
        </w:tc>
        <w:tc>
          <w:tcPr>
            <w:tcW w:w="2479" w:type="pct"/>
            <w:tcBorders>
              <w:top w:val="single" w:sz="4" w:space="0" w:color="auto"/>
            </w:tcBorders>
            <w:shd w:val="clear" w:color="auto" w:fill="auto"/>
          </w:tcPr>
          <w:p w14:paraId="325036DD" w14:textId="77777777" w:rsidR="00737EB2" w:rsidRPr="00765F6E" w:rsidRDefault="00737EB2" w:rsidP="00453DBE">
            <w:pPr>
              <w:pStyle w:val="affffffffffff2"/>
              <w:snapToGrid w:val="0"/>
              <w:spacing w:beforeLines="10" w:before="31" w:afterLines="10" w:after="31" w:line="200" w:lineRule="exact"/>
              <w:jc w:val="center"/>
              <w:rPr>
                <w:rFonts w:hAnsi="宋体" w:cs="宋体"/>
                <w:sz w:val="18"/>
                <w:szCs w:val="18"/>
              </w:rPr>
            </w:pPr>
            <w:r w:rsidRPr="00765F6E">
              <w:rPr>
                <w:rFonts w:hAnsi="宋体" w:cs="宋体" w:hint="eastAsia"/>
                <w:sz w:val="18"/>
                <w:szCs w:val="18"/>
              </w:rPr>
              <w:t>钢筋混凝土结构</w:t>
            </w:r>
          </w:p>
        </w:tc>
        <w:tc>
          <w:tcPr>
            <w:tcW w:w="1320" w:type="pct"/>
            <w:tcBorders>
              <w:top w:val="single" w:sz="4" w:space="0" w:color="auto"/>
            </w:tcBorders>
            <w:shd w:val="clear" w:color="auto" w:fill="auto"/>
          </w:tcPr>
          <w:p w14:paraId="4A557ADA" w14:textId="77777777" w:rsidR="00737EB2" w:rsidRPr="00765F6E" w:rsidRDefault="00737EB2" w:rsidP="00453DBE">
            <w:pPr>
              <w:pStyle w:val="affffffffffff2"/>
              <w:snapToGrid w:val="0"/>
              <w:spacing w:beforeLines="10" w:before="31" w:afterLines="10" w:after="31" w:line="200" w:lineRule="exact"/>
              <w:jc w:val="center"/>
              <w:rPr>
                <w:rFonts w:hAnsi="宋体" w:cs="宋体"/>
                <w:sz w:val="18"/>
                <w:szCs w:val="18"/>
              </w:rPr>
            </w:pPr>
            <w:r w:rsidRPr="00765F6E">
              <w:rPr>
                <w:rFonts w:hAnsi="宋体" w:cs="宋体"/>
                <w:sz w:val="18"/>
                <w:szCs w:val="18"/>
              </w:rPr>
              <w:t>C35</w:t>
            </w:r>
          </w:p>
        </w:tc>
      </w:tr>
    </w:tbl>
    <w:p w14:paraId="389E7BCC" w14:textId="77777777" w:rsidR="00737EB2" w:rsidRPr="00765F6E" w:rsidRDefault="00737EB2" w:rsidP="00737EB2">
      <w:pPr>
        <w:pStyle w:val="aff3"/>
        <w:spacing w:beforeLines="100" w:before="312" w:after="156"/>
      </w:pPr>
      <w:r w:rsidRPr="00765F6E">
        <w:rPr>
          <w:rFonts w:hint="eastAsia"/>
        </w:rPr>
        <w:t>其他部位结构混凝土设计强度等级</w:t>
      </w:r>
    </w:p>
    <w:tbl>
      <w:tblPr>
        <w:tblW w:w="5000" w:type="pct"/>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3110"/>
        <w:gridCol w:w="3112"/>
        <w:gridCol w:w="3112"/>
      </w:tblGrid>
      <w:tr w:rsidR="005714B3" w:rsidRPr="00765F6E" w14:paraId="51FF7E05" w14:textId="77777777" w:rsidTr="006417E6">
        <w:trPr>
          <w:trHeight w:val="176"/>
          <w:jc w:val="center"/>
        </w:trPr>
        <w:tc>
          <w:tcPr>
            <w:tcW w:w="1666" w:type="pct"/>
            <w:vMerge w:val="restart"/>
            <w:tcBorders>
              <w:top w:val="single" w:sz="8" w:space="0" w:color="auto"/>
              <w:tl2br w:val="nil"/>
            </w:tcBorders>
            <w:shd w:val="clear" w:color="auto" w:fill="auto"/>
            <w:vAlign w:val="center"/>
          </w:tcPr>
          <w:p w14:paraId="26E88483" w14:textId="34E13388" w:rsidR="005714B3" w:rsidRPr="00765F6E" w:rsidRDefault="005714B3" w:rsidP="00453DBE">
            <w:pPr>
              <w:pStyle w:val="affffffffffff2"/>
              <w:snapToGrid w:val="0"/>
              <w:spacing w:beforeLines="10" w:before="31" w:afterLines="10" w:after="31"/>
              <w:jc w:val="center"/>
              <w:rPr>
                <w:rFonts w:hAnsi="宋体" w:cs="宋体"/>
                <w:sz w:val="18"/>
                <w:szCs w:val="18"/>
              </w:rPr>
            </w:pPr>
            <w:r w:rsidRPr="00765F6E">
              <w:rPr>
                <w:rFonts w:hAnsi="宋体" w:cs="宋体"/>
                <w:sz w:val="18"/>
                <w:szCs w:val="18"/>
              </w:rPr>
              <w:t>工程部位</w:t>
            </w:r>
          </w:p>
        </w:tc>
        <w:tc>
          <w:tcPr>
            <w:tcW w:w="3334" w:type="pct"/>
            <w:gridSpan w:val="2"/>
            <w:tcBorders>
              <w:top w:val="single" w:sz="8" w:space="0" w:color="auto"/>
              <w:bottom w:val="single" w:sz="8" w:space="0" w:color="auto"/>
            </w:tcBorders>
            <w:shd w:val="clear" w:color="auto" w:fill="auto"/>
            <w:vAlign w:val="center"/>
          </w:tcPr>
          <w:p w14:paraId="75477925" w14:textId="5C5B29D3" w:rsidR="005714B3" w:rsidRPr="00765F6E" w:rsidRDefault="005714B3" w:rsidP="00453DBE">
            <w:pPr>
              <w:pStyle w:val="affffffffffff2"/>
              <w:snapToGrid w:val="0"/>
              <w:spacing w:beforeLines="10" w:before="31" w:afterLines="10" w:after="31"/>
              <w:jc w:val="center"/>
              <w:rPr>
                <w:rFonts w:hAnsi="宋体" w:cs="宋体"/>
                <w:sz w:val="18"/>
                <w:szCs w:val="18"/>
              </w:rPr>
            </w:pPr>
            <w:r w:rsidRPr="00765F6E">
              <w:rPr>
                <w:rFonts w:hAnsi="宋体" w:cs="宋体" w:hint="eastAsia"/>
                <w:sz w:val="18"/>
                <w:szCs w:val="18"/>
              </w:rPr>
              <w:t>材料种类</w:t>
            </w:r>
          </w:p>
        </w:tc>
      </w:tr>
      <w:tr w:rsidR="005714B3" w:rsidRPr="00765F6E" w14:paraId="4A9498F6" w14:textId="77777777" w:rsidTr="005714B3">
        <w:trPr>
          <w:trHeight w:val="176"/>
          <w:jc w:val="center"/>
        </w:trPr>
        <w:tc>
          <w:tcPr>
            <w:tcW w:w="1666" w:type="pct"/>
            <w:vMerge/>
            <w:tcBorders>
              <w:tl2br w:val="nil"/>
            </w:tcBorders>
            <w:shd w:val="clear" w:color="auto" w:fill="auto"/>
            <w:vAlign w:val="center"/>
          </w:tcPr>
          <w:p w14:paraId="207B4F2C" w14:textId="77777777" w:rsidR="005714B3" w:rsidRPr="00765F6E" w:rsidDel="00021F77" w:rsidRDefault="005714B3" w:rsidP="00453DBE">
            <w:pPr>
              <w:pStyle w:val="affffffffffff2"/>
              <w:snapToGrid w:val="0"/>
              <w:spacing w:beforeLines="10" w:before="31" w:afterLines="10" w:after="31"/>
              <w:jc w:val="center"/>
              <w:rPr>
                <w:rFonts w:hAnsi="宋体" w:cs="宋体"/>
                <w:sz w:val="18"/>
                <w:szCs w:val="18"/>
              </w:rPr>
            </w:pPr>
          </w:p>
        </w:tc>
        <w:tc>
          <w:tcPr>
            <w:tcW w:w="1667" w:type="pct"/>
            <w:tcBorders>
              <w:top w:val="single" w:sz="8" w:space="0" w:color="auto"/>
              <w:bottom w:val="single" w:sz="8" w:space="0" w:color="auto"/>
            </w:tcBorders>
            <w:shd w:val="clear" w:color="auto" w:fill="auto"/>
            <w:vAlign w:val="center"/>
          </w:tcPr>
          <w:p w14:paraId="67475E15" w14:textId="1429055B" w:rsidR="005714B3" w:rsidRPr="00765F6E" w:rsidDel="00021F77" w:rsidRDefault="005714B3" w:rsidP="00453DBE">
            <w:pPr>
              <w:pStyle w:val="affffffffffff2"/>
              <w:snapToGrid w:val="0"/>
              <w:spacing w:beforeLines="10" w:before="31" w:afterLines="10" w:after="31"/>
              <w:jc w:val="center"/>
              <w:rPr>
                <w:rFonts w:hAnsi="宋体" w:cs="宋体"/>
                <w:sz w:val="18"/>
                <w:szCs w:val="18"/>
              </w:rPr>
            </w:pPr>
            <w:r>
              <w:rPr>
                <w:rFonts w:hAnsi="宋体" w:cs="宋体" w:hint="eastAsia"/>
                <w:sz w:val="18"/>
                <w:szCs w:val="18"/>
              </w:rPr>
              <w:t>混凝土</w:t>
            </w:r>
          </w:p>
        </w:tc>
        <w:tc>
          <w:tcPr>
            <w:tcW w:w="1667" w:type="pct"/>
            <w:tcBorders>
              <w:top w:val="single" w:sz="8" w:space="0" w:color="auto"/>
              <w:bottom w:val="single" w:sz="8" w:space="0" w:color="auto"/>
            </w:tcBorders>
            <w:shd w:val="clear" w:color="auto" w:fill="auto"/>
            <w:vAlign w:val="center"/>
          </w:tcPr>
          <w:p w14:paraId="35990654" w14:textId="04BF3E17" w:rsidR="005714B3" w:rsidRPr="00765F6E" w:rsidDel="00021F77" w:rsidRDefault="005714B3" w:rsidP="00453DBE">
            <w:pPr>
              <w:pStyle w:val="affffffffffff2"/>
              <w:snapToGrid w:val="0"/>
              <w:spacing w:beforeLines="10" w:before="31" w:afterLines="10" w:after="31"/>
              <w:jc w:val="center"/>
              <w:rPr>
                <w:rFonts w:hAnsi="宋体" w:cs="宋体"/>
                <w:sz w:val="18"/>
                <w:szCs w:val="18"/>
              </w:rPr>
            </w:pPr>
            <w:r>
              <w:rPr>
                <w:rFonts w:hAnsi="宋体" w:hint="eastAsia"/>
                <w:sz w:val="18"/>
                <w:szCs w:val="18"/>
              </w:rPr>
              <w:t>钢筋混凝土</w:t>
            </w:r>
          </w:p>
        </w:tc>
      </w:tr>
      <w:tr w:rsidR="00021F77" w:rsidRPr="00765F6E" w14:paraId="55D14690" w14:textId="77777777" w:rsidTr="00871D47">
        <w:trPr>
          <w:trHeight w:val="176"/>
          <w:jc w:val="center"/>
        </w:trPr>
        <w:tc>
          <w:tcPr>
            <w:tcW w:w="1666" w:type="pct"/>
            <w:tcBorders>
              <w:top w:val="single" w:sz="8" w:space="0" w:color="auto"/>
              <w:bottom w:val="single" w:sz="4" w:space="0" w:color="auto"/>
            </w:tcBorders>
            <w:shd w:val="clear" w:color="auto" w:fill="auto"/>
            <w:vAlign w:val="center"/>
          </w:tcPr>
          <w:p w14:paraId="51927024" w14:textId="77777777" w:rsidR="00021F77" w:rsidRPr="00765F6E" w:rsidRDefault="00021F77" w:rsidP="00453DBE">
            <w:pPr>
              <w:snapToGrid w:val="0"/>
              <w:spacing w:beforeLines="10" w:before="31" w:afterLines="10" w:after="31" w:line="240" w:lineRule="auto"/>
              <w:jc w:val="center"/>
              <w:textAlignment w:val="center"/>
              <w:rPr>
                <w:rFonts w:ascii="宋体" w:hAnsi="宋体"/>
                <w:sz w:val="18"/>
                <w:szCs w:val="18"/>
              </w:rPr>
            </w:pPr>
            <w:r w:rsidRPr="00765F6E">
              <w:rPr>
                <w:rFonts w:ascii="宋体" w:hAnsi="宋体" w:hint="eastAsia"/>
                <w:sz w:val="18"/>
                <w:szCs w:val="18"/>
              </w:rPr>
              <w:t>水沟、电缆槽</w:t>
            </w:r>
          </w:p>
        </w:tc>
        <w:tc>
          <w:tcPr>
            <w:tcW w:w="1667" w:type="pct"/>
            <w:tcBorders>
              <w:top w:val="single" w:sz="8" w:space="0" w:color="auto"/>
              <w:bottom w:val="single" w:sz="4" w:space="0" w:color="auto"/>
            </w:tcBorders>
            <w:shd w:val="clear" w:color="auto" w:fill="auto"/>
            <w:vAlign w:val="center"/>
          </w:tcPr>
          <w:p w14:paraId="79E4E540" w14:textId="77777777" w:rsidR="00021F77" w:rsidRPr="00765F6E" w:rsidRDefault="00021F77" w:rsidP="00453DBE">
            <w:pPr>
              <w:snapToGrid w:val="0"/>
              <w:spacing w:beforeLines="10" w:before="31" w:afterLines="10" w:after="31" w:line="240" w:lineRule="auto"/>
              <w:jc w:val="center"/>
              <w:textAlignment w:val="center"/>
              <w:rPr>
                <w:rFonts w:ascii="宋体" w:hAnsi="宋体"/>
                <w:sz w:val="18"/>
                <w:szCs w:val="18"/>
              </w:rPr>
            </w:pPr>
            <w:r w:rsidRPr="00765F6E">
              <w:rPr>
                <w:rFonts w:ascii="宋体" w:hAnsi="宋体"/>
                <w:sz w:val="18"/>
                <w:szCs w:val="18"/>
              </w:rPr>
              <w:t>C</w:t>
            </w:r>
            <w:r w:rsidRPr="00765F6E">
              <w:rPr>
                <w:rFonts w:ascii="宋体" w:hAnsi="宋体" w:hint="eastAsia"/>
                <w:sz w:val="18"/>
                <w:szCs w:val="18"/>
              </w:rPr>
              <w:t>25</w:t>
            </w:r>
          </w:p>
        </w:tc>
        <w:tc>
          <w:tcPr>
            <w:tcW w:w="1667" w:type="pct"/>
            <w:tcBorders>
              <w:top w:val="single" w:sz="8" w:space="0" w:color="auto"/>
              <w:bottom w:val="single" w:sz="4" w:space="0" w:color="auto"/>
            </w:tcBorders>
            <w:shd w:val="clear" w:color="auto" w:fill="auto"/>
            <w:vAlign w:val="center"/>
          </w:tcPr>
          <w:p w14:paraId="5D3BAFB9" w14:textId="77777777" w:rsidR="00021F77" w:rsidRPr="00765F6E" w:rsidRDefault="00021F77" w:rsidP="00453DBE">
            <w:pPr>
              <w:snapToGrid w:val="0"/>
              <w:spacing w:beforeLines="10" w:before="31" w:afterLines="10" w:after="31" w:line="240" w:lineRule="auto"/>
              <w:jc w:val="center"/>
              <w:textAlignment w:val="center"/>
              <w:rPr>
                <w:rFonts w:ascii="宋体" w:hAnsi="宋体"/>
                <w:sz w:val="18"/>
                <w:szCs w:val="18"/>
              </w:rPr>
            </w:pPr>
            <w:r w:rsidRPr="00765F6E">
              <w:rPr>
                <w:rFonts w:ascii="宋体" w:hAnsi="宋体"/>
                <w:sz w:val="18"/>
                <w:szCs w:val="18"/>
              </w:rPr>
              <w:t>C3</w:t>
            </w:r>
            <w:r w:rsidRPr="00765F6E">
              <w:rPr>
                <w:rFonts w:ascii="宋体" w:hAnsi="宋体" w:hint="eastAsia"/>
                <w:sz w:val="18"/>
                <w:szCs w:val="18"/>
              </w:rPr>
              <w:t>0</w:t>
            </w:r>
          </w:p>
        </w:tc>
      </w:tr>
      <w:tr w:rsidR="00021F77" w:rsidRPr="00765F6E" w14:paraId="7A9050A3" w14:textId="77777777" w:rsidTr="00871D47">
        <w:trPr>
          <w:trHeight w:val="176"/>
          <w:jc w:val="center"/>
        </w:trPr>
        <w:tc>
          <w:tcPr>
            <w:tcW w:w="1666" w:type="pct"/>
            <w:tcBorders>
              <w:top w:val="single" w:sz="4" w:space="0" w:color="auto"/>
              <w:bottom w:val="single" w:sz="8" w:space="0" w:color="auto"/>
            </w:tcBorders>
            <w:shd w:val="clear" w:color="auto" w:fill="auto"/>
            <w:vAlign w:val="center"/>
          </w:tcPr>
          <w:p w14:paraId="588CF3E7" w14:textId="77777777" w:rsidR="00021F77" w:rsidRPr="00765F6E" w:rsidRDefault="00021F77" w:rsidP="00453DBE">
            <w:pPr>
              <w:snapToGrid w:val="0"/>
              <w:spacing w:beforeLines="10" w:before="31" w:afterLines="10" w:after="31" w:line="240" w:lineRule="auto"/>
              <w:jc w:val="center"/>
              <w:textAlignment w:val="center"/>
              <w:rPr>
                <w:rFonts w:ascii="宋体" w:hAnsi="宋体"/>
                <w:sz w:val="18"/>
                <w:szCs w:val="18"/>
              </w:rPr>
            </w:pPr>
            <w:r w:rsidRPr="00765F6E">
              <w:rPr>
                <w:rFonts w:ascii="宋体" w:hAnsi="宋体" w:hint="eastAsia"/>
                <w:sz w:val="18"/>
                <w:szCs w:val="18"/>
              </w:rPr>
              <w:t>水沟、电缆槽盖板</w:t>
            </w:r>
          </w:p>
        </w:tc>
        <w:tc>
          <w:tcPr>
            <w:tcW w:w="1667" w:type="pct"/>
            <w:tcBorders>
              <w:top w:val="single" w:sz="4" w:space="0" w:color="auto"/>
              <w:bottom w:val="single" w:sz="8" w:space="0" w:color="auto"/>
            </w:tcBorders>
            <w:shd w:val="clear" w:color="auto" w:fill="auto"/>
            <w:vAlign w:val="center"/>
          </w:tcPr>
          <w:p w14:paraId="3275CCD8" w14:textId="6AF2141F" w:rsidR="00021F77" w:rsidRPr="00765F6E" w:rsidRDefault="00B01F50" w:rsidP="00453DBE">
            <w:pPr>
              <w:snapToGrid w:val="0"/>
              <w:spacing w:beforeLines="10" w:before="31" w:afterLines="10" w:after="31" w:line="240" w:lineRule="auto"/>
              <w:jc w:val="center"/>
              <w:textAlignment w:val="center"/>
              <w:rPr>
                <w:rFonts w:ascii="宋体" w:hAnsi="宋体"/>
                <w:sz w:val="18"/>
                <w:szCs w:val="18"/>
              </w:rPr>
            </w:pPr>
            <w:r>
              <w:rPr>
                <w:rFonts w:ascii="宋体" w:hAnsi="宋体" w:hint="eastAsia"/>
                <w:sz w:val="18"/>
                <w:szCs w:val="18"/>
              </w:rPr>
              <w:t>-</w:t>
            </w:r>
          </w:p>
        </w:tc>
        <w:tc>
          <w:tcPr>
            <w:tcW w:w="1667" w:type="pct"/>
            <w:tcBorders>
              <w:top w:val="single" w:sz="4" w:space="0" w:color="auto"/>
              <w:bottom w:val="single" w:sz="8" w:space="0" w:color="auto"/>
            </w:tcBorders>
            <w:shd w:val="clear" w:color="auto" w:fill="auto"/>
            <w:vAlign w:val="center"/>
          </w:tcPr>
          <w:p w14:paraId="6C4051D5" w14:textId="77777777" w:rsidR="00021F77" w:rsidRPr="00765F6E" w:rsidRDefault="00021F77" w:rsidP="00453DBE">
            <w:pPr>
              <w:snapToGrid w:val="0"/>
              <w:spacing w:beforeLines="10" w:before="31" w:afterLines="10" w:after="31" w:line="240" w:lineRule="auto"/>
              <w:jc w:val="center"/>
              <w:textAlignment w:val="center"/>
              <w:rPr>
                <w:rFonts w:ascii="宋体" w:hAnsi="宋体"/>
                <w:sz w:val="18"/>
                <w:szCs w:val="18"/>
              </w:rPr>
            </w:pPr>
            <w:r w:rsidRPr="00765F6E">
              <w:rPr>
                <w:rFonts w:ascii="宋体" w:hAnsi="宋体"/>
                <w:sz w:val="18"/>
                <w:szCs w:val="18"/>
              </w:rPr>
              <w:t>C35</w:t>
            </w:r>
          </w:p>
        </w:tc>
      </w:tr>
    </w:tbl>
    <w:p w14:paraId="0D726B96" w14:textId="77777777" w:rsidR="00737EB2" w:rsidRPr="00DF66A6" w:rsidRDefault="00737EB2" w:rsidP="00DF66A6">
      <w:bookmarkStart w:id="1488" w:name="_Toc99791984"/>
    </w:p>
    <w:p w14:paraId="79962265" w14:textId="0FE62816" w:rsidR="00737EB2" w:rsidRPr="00765F6E" w:rsidRDefault="00737EB2" w:rsidP="009D0776">
      <w:pPr>
        <w:pStyle w:val="22"/>
      </w:pPr>
      <w:r w:rsidRPr="00765F6E">
        <w:rPr>
          <w:rFonts w:hint="eastAsia"/>
        </w:rPr>
        <w:t>普通钢筋混凝土结构的钢筋，宜采用HPB300、HRB400、HRB500级钢筋，也可采用强度较高的钢筋。主受力钢筋采用普通钢筋时，钢筋的抗拉强度实测值与屈服强度实测值的比值不应小于1.25；钢筋的屈服强度实测值与屈服强度标准值的比值不应大于1.3，且钢筋在最大拉力下的总伸长率实测值不应小于9％。预应力混凝土结构中的预应力钢筋，宜采用预应力钢绞线、钢丝、预应力螺纹钢筋。</w:t>
      </w:r>
      <w:bookmarkEnd w:id="1488"/>
    </w:p>
    <w:p w14:paraId="0FB272C8" w14:textId="77777777" w:rsidR="00737EB2" w:rsidRPr="00765F6E" w:rsidRDefault="00737EB2" w:rsidP="009D0776">
      <w:pPr>
        <w:pStyle w:val="22"/>
      </w:pPr>
      <w:r w:rsidRPr="00765F6E">
        <w:rPr>
          <w:rFonts w:hint="eastAsia"/>
        </w:rPr>
        <w:t>大体积浇筑的混凝土不宜采用高水化热水泥，并宜掺入高效减水剂、优质粉煤灰或磨细矿渣等，同时应严格控制水泥用量，限制水胶比和控制混凝土入模稳定。</w:t>
      </w:r>
    </w:p>
    <w:p w14:paraId="4BEA2052" w14:textId="77777777" w:rsidR="00737EB2" w:rsidRPr="00765F6E" w:rsidRDefault="00737EB2" w:rsidP="009D0776">
      <w:pPr>
        <w:pStyle w:val="22"/>
      </w:pPr>
      <w:r w:rsidRPr="00765F6E">
        <w:rPr>
          <w:rFonts w:hint="eastAsia"/>
        </w:rPr>
        <w:t>喷射混凝土宜采用湿喷混凝土，注浆材料宜采用对地下环境无污染以及后期收缩小的材料。</w:t>
      </w:r>
    </w:p>
    <w:p w14:paraId="6FE6D66F" w14:textId="77777777" w:rsidR="00737EB2" w:rsidRPr="00765F6E" w:rsidRDefault="00737EB2" w:rsidP="009D0776">
      <w:pPr>
        <w:pStyle w:val="22"/>
      </w:pPr>
      <w:r w:rsidRPr="00765F6E">
        <w:rPr>
          <w:rFonts w:hint="eastAsia"/>
        </w:rPr>
        <w:t>锚杆、防水材料等应满足材料的物理力学性能、环境作用及耐久性等要求。</w:t>
      </w:r>
    </w:p>
    <w:p w14:paraId="05BD48B4" w14:textId="77777777" w:rsidR="00737EB2" w:rsidRPr="00765F6E" w:rsidRDefault="00737EB2" w:rsidP="009D0776">
      <w:pPr>
        <w:pStyle w:val="22"/>
      </w:pPr>
      <w:bookmarkStart w:id="1489" w:name="_Toc99791985"/>
      <w:r w:rsidRPr="00765F6E">
        <w:rPr>
          <w:rFonts w:hint="eastAsia"/>
        </w:rPr>
        <w:t>隧道衬砌中钢管片宜选用Q235、Q345钢，球墨铸铁管片宜选用QT400。</w:t>
      </w:r>
      <w:bookmarkEnd w:id="1489"/>
    </w:p>
    <w:p w14:paraId="499AD5EA" w14:textId="77777777" w:rsidR="00737EB2" w:rsidRPr="00765F6E" w:rsidRDefault="00737EB2" w:rsidP="009D0776">
      <w:pPr>
        <w:pStyle w:val="22"/>
      </w:pPr>
      <w:bookmarkStart w:id="1490" w:name="_Toc99791986"/>
      <w:r w:rsidRPr="00765F6E">
        <w:rPr>
          <w:rFonts w:hint="eastAsia"/>
        </w:rPr>
        <w:t>钢筋混凝土管片间的连接紧固件的连接形式及其机械性能等级应满足构造和结构受力要求，且表面应进行防腐蚀处理。</w:t>
      </w:r>
      <w:bookmarkEnd w:id="1490"/>
    </w:p>
    <w:p w14:paraId="540D5882" w14:textId="77777777" w:rsidR="00737EB2" w:rsidRPr="00765F6E" w:rsidRDefault="00737EB2" w:rsidP="009D0776">
      <w:pPr>
        <w:pStyle w:val="22"/>
      </w:pPr>
      <w:bookmarkStart w:id="1491" w:name="_Toc99791987"/>
      <w:r w:rsidRPr="00765F6E">
        <w:rPr>
          <w:rFonts w:hint="eastAsia"/>
        </w:rPr>
        <w:t>密封垫应为具有良好弹性、耐久性、耐水性的橡胶类材料。</w:t>
      </w:r>
      <w:bookmarkEnd w:id="1491"/>
    </w:p>
    <w:p w14:paraId="1F095FA6" w14:textId="77777777" w:rsidR="00737EB2" w:rsidRPr="00765F6E" w:rsidRDefault="00737EB2" w:rsidP="009D0776">
      <w:pPr>
        <w:pStyle w:val="22"/>
      </w:pPr>
      <w:bookmarkStart w:id="1492" w:name="_Toc99791989"/>
      <w:r w:rsidRPr="00765F6E">
        <w:rPr>
          <w:rFonts w:hint="eastAsia"/>
        </w:rPr>
        <w:t>当隧道周边有腐蚀性介质时，应选用耐腐蚀混凝土或采取防腐蚀措施。</w:t>
      </w:r>
      <w:bookmarkEnd w:id="1492"/>
    </w:p>
    <w:p w14:paraId="45A736C6" w14:textId="2E3C5489" w:rsidR="00737EB2" w:rsidRPr="00765F6E" w:rsidRDefault="00737EB2" w:rsidP="00737EB2">
      <w:pPr>
        <w:pStyle w:val="affe"/>
        <w:spacing w:before="156" w:after="156"/>
      </w:pPr>
      <w:bookmarkStart w:id="1493" w:name="_Toc153291425"/>
      <w:bookmarkStart w:id="1494" w:name="_Toc99791990"/>
      <w:bookmarkStart w:id="1495" w:name="_Toc153210881"/>
      <w:bookmarkStart w:id="1496" w:name="_Toc167895778"/>
      <w:bookmarkStart w:id="1497" w:name="_Toc174538692"/>
      <w:bookmarkStart w:id="1498" w:name="_Toc182476449"/>
      <w:r w:rsidRPr="00765F6E">
        <w:rPr>
          <w:rFonts w:hint="eastAsia"/>
        </w:rPr>
        <w:t>隧道结构设计</w:t>
      </w:r>
      <w:bookmarkEnd w:id="1493"/>
      <w:bookmarkEnd w:id="1494"/>
      <w:bookmarkEnd w:id="1495"/>
      <w:bookmarkEnd w:id="1496"/>
      <w:bookmarkEnd w:id="1497"/>
      <w:bookmarkEnd w:id="1498"/>
    </w:p>
    <w:p w14:paraId="3AED311B" w14:textId="77777777" w:rsidR="00737EB2" w:rsidRPr="00765F6E" w:rsidRDefault="00737EB2" w:rsidP="009D0776">
      <w:pPr>
        <w:pStyle w:val="22"/>
      </w:pPr>
      <w:bookmarkStart w:id="1499" w:name="_Toc99791991"/>
      <w:r w:rsidRPr="00765F6E">
        <w:rPr>
          <w:rFonts w:hint="eastAsia"/>
        </w:rPr>
        <w:t>结构设计符合下列规定：</w:t>
      </w:r>
      <w:bookmarkEnd w:id="1499"/>
    </w:p>
    <w:p w14:paraId="3881B738" w14:textId="020381C7" w:rsidR="00737EB2" w:rsidRPr="00765F6E" w:rsidRDefault="00737EB2" w:rsidP="003334F3">
      <w:pPr>
        <w:pStyle w:val="af6"/>
        <w:numPr>
          <w:ilvl w:val="0"/>
          <w:numId w:val="124"/>
        </w:numPr>
        <w:tabs>
          <w:tab w:val="left" w:pos="851"/>
        </w:tabs>
        <w:snapToGrid w:val="0"/>
        <w:contextualSpacing/>
      </w:pPr>
      <w:r w:rsidRPr="00765F6E">
        <w:rPr>
          <w:rFonts w:hint="eastAsia"/>
        </w:rPr>
        <w:t>隧道结构应按施工阶段和正常使用阶段分别进行结构强度、刚度和稳定性计算。对于钢筋混凝土结构，尚应对使用阶段进行裂缝宽度验算；偶然荷载参与组合时，不验算结构的裂缝宽度</w:t>
      </w:r>
      <w:r w:rsidR="00B52E69">
        <w:rPr>
          <w:rFonts w:hint="eastAsia"/>
        </w:rPr>
        <w:t>；</w:t>
      </w:r>
    </w:p>
    <w:p w14:paraId="635EB416" w14:textId="6902428A" w:rsidR="00737EB2" w:rsidRPr="00765F6E" w:rsidRDefault="00737EB2" w:rsidP="003334F3">
      <w:pPr>
        <w:pStyle w:val="af6"/>
        <w:tabs>
          <w:tab w:val="left" w:pos="851"/>
        </w:tabs>
        <w:snapToGrid w:val="0"/>
        <w:contextualSpacing/>
      </w:pPr>
      <w:r w:rsidRPr="00765F6E">
        <w:rPr>
          <w:rFonts w:hint="eastAsia"/>
        </w:rPr>
        <w:t>处于一般环境中的结构，按荷载准永久组合并计入长期作用影响计算时，构件的最大计算裂缝宽度允许值，可按表</w:t>
      </w:r>
      <w:r w:rsidR="00B731DB">
        <w:t>61</w:t>
      </w:r>
      <w:r w:rsidRPr="00765F6E">
        <w:rPr>
          <w:rFonts w:hint="eastAsia"/>
        </w:rPr>
        <w:t>中的数值进行控制；处于其它环境类别下的结构构件，其裂缝控制要求应符合G</w:t>
      </w:r>
      <w:r w:rsidRPr="00765F6E">
        <w:t>B</w:t>
      </w:r>
      <w:r w:rsidRPr="00765F6E">
        <w:rPr>
          <w:rFonts w:hint="eastAsia"/>
        </w:rPr>
        <w:t>/</w:t>
      </w:r>
      <w:r w:rsidRPr="00765F6E">
        <w:t>T 50476</w:t>
      </w:r>
      <w:r w:rsidR="00293BB7">
        <w:t>-2019</w:t>
      </w:r>
      <w:r w:rsidRPr="00765F6E">
        <w:rPr>
          <w:rFonts w:hint="eastAsia"/>
        </w:rPr>
        <w:t>的规定。</w:t>
      </w:r>
    </w:p>
    <w:p w14:paraId="432F9A8A" w14:textId="77777777" w:rsidR="00737EB2" w:rsidRPr="00765F6E" w:rsidRDefault="00737EB2" w:rsidP="00737EB2">
      <w:pPr>
        <w:pStyle w:val="aff3"/>
        <w:spacing w:before="156" w:after="156"/>
      </w:pPr>
      <w:bookmarkStart w:id="1500" w:name="_Hlk182233741"/>
      <w:r w:rsidRPr="00765F6E">
        <w:rPr>
          <w:rFonts w:hint="eastAsia"/>
        </w:rPr>
        <w:t>一般环境条件下钢筋混凝土构件的最大计算裂缝宽度允许值</w:t>
      </w:r>
    </w:p>
    <w:tbl>
      <w:tblPr>
        <w:tblW w:w="5000" w:type="pct"/>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ook w:val="04A0" w:firstRow="1" w:lastRow="0" w:firstColumn="1" w:lastColumn="0" w:noHBand="0" w:noVBand="1"/>
      </w:tblPr>
      <w:tblGrid>
        <w:gridCol w:w="2397"/>
        <w:gridCol w:w="3717"/>
        <w:gridCol w:w="3220"/>
      </w:tblGrid>
      <w:tr w:rsidR="00737EB2" w:rsidRPr="00765F6E" w14:paraId="3FD231FA" w14:textId="77777777" w:rsidTr="00871D47">
        <w:trPr>
          <w:trHeight w:val="176"/>
          <w:jc w:val="center"/>
        </w:trPr>
        <w:tc>
          <w:tcPr>
            <w:tcW w:w="3275" w:type="pct"/>
            <w:gridSpan w:val="2"/>
            <w:tcBorders>
              <w:top w:val="single" w:sz="8" w:space="0" w:color="auto"/>
              <w:bottom w:val="single" w:sz="6" w:space="0" w:color="auto"/>
            </w:tcBorders>
            <w:shd w:val="clear" w:color="auto" w:fill="auto"/>
            <w:vAlign w:val="center"/>
          </w:tcPr>
          <w:bookmarkEnd w:id="1500"/>
          <w:p w14:paraId="14488537"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结构类型</w:t>
            </w:r>
          </w:p>
        </w:tc>
        <w:tc>
          <w:tcPr>
            <w:tcW w:w="1725" w:type="pct"/>
            <w:tcBorders>
              <w:top w:val="single" w:sz="8" w:space="0" w:color="auto"/>
              <w:bottom w:val="single" w:sz="6" w:space="0" w:color="auto"/>
            </w:tcBorders>
            <w:shd w:val="clear" w:color="auto" w:fill="auto"/>
            <w:vAlign w:val="center"/>
          </w:tcPr>
          <w:p w14:paraId="3D2B43BB"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允许值/</w:t>
            </w:r>
            <w:r w:rsidRPr="00765F6E">
              <w:rPr>
                <w:rFonts w:ascii="宋体" w:hAnsi="宋体"/>
                <w:sz w:val="18"/>
                <w:szCs w:val="18"/>
              </w:rPr>
              <w:t>mm</w:t>
            </w:r>
          </w:p>
        </w:tc>
      </w:tr>
      <w:tr w:rsidR="00737EB2" w:rsidRPr="00765F6E" w14:paraId="6A30F090" w14:textId="77777777" w:rsidTr="00871D47">
        <w:trPr>
          <w:trHeight w:val="176"/>
          <w:jc w:val="center"/>
        </w:trPr>
        <w:tc>
          <w:tcPr>
            <w:tcW w:w="3275" w:type="pct"/>
            <w:gridSpan w:val="2"/>
            <w:tcBorders>
              <w:top w:val="single" w:sz="6" w:space="0" w:color="auto"/>
            </w:tcBorders>
            <w:shd w:val="clear" w:color="auto" w:fill="auto"/>
          </w:tcPr>
          <w:p w14:paraId="7DD423E0"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盾构隧道管片、顶管管节</w:t>
            </w:r>
          </w:p>
        </w:tc>
        <w:tc>
          <w:tcPr>
            <w:tcW w:w="1725" w:type="pct"/>
            <w:tcBorders>
              <w:top w:val="single" w:sz="6" w:space="0" w:color="auto"/>
            </w:tcBorders>
            <w:shd w:val="clear" w:color="auto" w:fill="auto"/>
          </w:tcPr>
          <w:p w14:paraId="4E714355"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sz w:val="18"/>
                <w:szCs w:val="18"/>
              </w:rPr>
              <w:t>0.2</w:t>
            </w:r>
          </w:p>
        </w:tc>
      </w:tr>
      <w:tr w:rsidR="00737EB2" w:rsidRPr="00765F6E" w14:paraId="50CE41CF" w14:textId="77777777" w:rsidTr="00871D47">
        <w:trPr>
          <w:trHeight w:val="176"/>
          <w:jc w:val="center"/>
        </w:trPr>
        <w:tc>
          <w:tcPr>
            <w:tcW w:w="1284" w:type="pct"/>
            <w:vMerge w:val="restart"/>
            <w:shd w:val="clear" w:color="auto" w:fill="auto"/>
            <w:vAlign w:val="center"/>
          </w:tcPr>
          <w:p w14:paraId="7289B899"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其它结构</w:t>
            </w:r>
          </w:p>
        </w:tc>
        <w:tc>
          <w:tcPr>
            <w:tcW w:w="1991" w:type="pct"/>
            <w:shd w:val="clear" w:color="auto" w:fill="auto"/>
          </w:tcPr>
          <w:p w14:paraId="287BC231"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水中环境、土中缺氧环境</w:t>
            </w:r>
          </w:p>
        </w:tc>
        <w:tc>
          <w:tcPr>
            <w:tcW w:w="1725" w:type="pct"/>
            <w:shd w:val="clear" w:color="auto" w:fill="auto"/>
          </w:tcPr>
          <w:p w14:paraId="2ED587FA"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sz w:val="18"/>
                <w:szCs w:val="18"/>
              </w:rPr>
              <w:t>0.3</w:t>
            </w:r>
          </w:p>
        </w:tc>
      </w:tr>
      <w:tr w:rsidR="00737EB2" w:rsidRPr="00765F6E" w14:paraId="528BE45E" w14:textId="77777777" w:rsidTr="00871D47">
        <w:trPr>
          <w:trHeight w:val="176"/>
          <w:jc w:val="center"/>
        </w:trPr>
        <w:tc>
          <w:tcPr>
            <w:tcW w:w="1284" w:type="pct"/>
            <w:vMerge/>
            <w:shd w:val="clear" w:color="auto" w:fill="auto"/>
            <w:vAlign w:val="center"/>
          </w:tcPr>
          <w:p w14:paraId="13BF80B0" w14:textId="77777777" w:rsidR="00737EB2" w:rsidRPr="00765F6E" w:rsidRDefault="00737EB2" w:rsidP="00871D47">
            <w:pPr>
              <w:spacing w:line="240" w:lineRule="auto"/>
              <w:jc w:val="center"/>
              <w:textAlignment w:val="center"/>
              <w:rPr>
                <w:rFonts w:ascii="宋体" w:hAnsi="宋体"/>
                <w:sz w:val="18"/>
                <w:szCs w:val="18"/>
              </w:rPr>
            </w:pPr>
          </w:p>
        </w:tc>
        <w:tc>
          <w:tcPr>
            <w:tcW w:w="1991" w:type="pct"/>
            <w:shd w:val="clear" w:color="auto" w:fill="auto"/>
          </w:tcPr>
          <w:p w14:paraId="34B8954A"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洞内干燥环境或洞内潮湿环境</w:t>
            </w:r>
          </w:p>
        </w:tc>
        <w:tc>
          <w:tcPr>
            <w:tcW w:w="1725" w:type="pct"/>
            <w:shd w:val="clear" w:color="auto" w:fill="auto"/>
          </w:tcPr>
          <w:p w14:paraId="2843F7F3"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sz w:val="18"/>
                <w:szCs w:val="18"/>
              </w:rPr>
              <w:t>0.3</w:t>
            </w:r>
          </w:p>
        </w:tc>
      </w:tr>
      <w:tr w:rsidR="00737EB2" w:rsidRPr="00765F6E" w14:paraId="5CB85175" w14:textId="77777777" w:rsidTr="00871D47">
        <w:trPr>
          <w:trHeight w:val="176"/>
          <w:jc w:val="center"/>
        </w:trPr>
        <w:tc>
          <w:tcPr>
            <w:tcW w:w="1284" w:type="pct"/>
            <w:vMerge/>
            <w:shd w:val="clear" w:color="auto" w:fill="auto"/>
            <w:vAlign w:val="center"/>
          </w:tcPr>
          <w:p w14:paraId="5BC4C1BD" w14:textId="77777777" w:rsidR="00737EB2" w:rsidRPr="00765F6E" w:rsidRDefault="00737EB2" w:rsidP="00871D47">
            <w:pPr>
              <w:spacing w:line="240" w:lineRule="auto"/>
              <w:jc w:val="center"/>
              <w:textAlignment w:val="center"/>
              <w:rPr>
                <w:rFonts w:ascii="宋体" w:hAnsi="宋体"/>
                <w:sz w:val="18"/>
                <w:szCs w:val="18"/>
              </w:rPr>
            </w:pPr>
          </w:p>
        </w:tc>
        <w:tc>
          <w:tcPr>
            <w:tcW w:w="1991" w:type="pct"/>
            <w:shd w:val="clear" w:color="auto" w:fill="auto"/>
          </w:tcPr>
          <w:p w14:paraId="26495677"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干湿交替环境</w:t>
            </w:r>
          </w:p>
        </w:tc>
        <w:tc>
          <w:tcPr>
            <w:tcW w:w="1725" w:type="pct"/>
            <w:shd w:val="clear" w:color="auto" w:fill="auto"/>
          </w:tcPr>
          <w:p w14:paraId="6686CEC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sz w:val="18"/>
                <w:szCs w:val="18"/>
              </w:rPr>
              <w:t>0.2</w:t>
            </w:r>
          </w:p>
        </w:tc>
      </w:tr>
      <w:tr w:rsidR="00737EB2" w:rsidRPr="00765F6E" w14:paraId="51391077" w14:textId="77777777" w:rsidTr="00871D47">
        <w:trPr>
          <w:trHeight w:val="176"/>
          <w:jc w:val="center"/>
        </w:trPr>
        <w:tc>
          <w:tcPr>
            <w:tcW w:w="5000" w:type="pct"/>
            <w:gridSpan w:val="3"/>
            <w:tcBorders>
              <w:top w:val="single" w:sz="8" w:space="0" w:color="auto"/>
              <w:bottom w:val="single" w:sz="8" w:space="0" w:color="auto"/>
            </w:tcBorders>
            <w:shd w:val="clear" w:color="auto" w:fill="auto"/>
            <w:vAlign w:val="center"/>
          </w:tcPr>
          <w:p w14:paraId="2619DE2E" w14:textId="77777777" w:rsidR="00737EB2" w:rsidRPr="00765F6E" w:rsidRDefault="00737EB2" w:rsidP="00871D47">
            <w:pPr>
              <w:pStyle w:val="a6"/>
              <w:numPr>
                <w:ilvl w:val="0"/>
                <w:numId w:val="0"/>
              </w:numPr>
              <w:ind w:leftChars="64" w:left="134"/>
              <w:jc w:val="left"/>
              <w:rPr>
                <w:lang w:bidi="ar"/>
              </w:rPr>
            </w:pPr>
            <w:r w:rsidRPr="00765F6E">
              <w:rPr>
                <w:lang w:bidi="ar"/>
              </w:rPr>
              <w:t>当最大裂缝宽度的计算式中保护层的实际厚度超过30mm时，可将保护层厚度的计算值取为30mm。</w:t>
            </w:r>
          </w:p>
          <w:p w14:paraId="496D5B09" w14:textId="77777777" w:rsidR="00737EB2" w:rsidRPr="00765F6E" w:rsidRDefault="00737EB2" w:rsidP="00871D47">
            <w:pPr>
              <w:pStyle w:val="a6"/>
              <w:numPr>
                <w:ilvl w:val="0"/>
                <w:numId w:val="0"/>
              </w:numPr>
              <w:ind w:leftChars="64" w:left="134"/>
              <w:jc w:val="left"/>
              <w:rPr>
                <w:lang w:bidi="ar"/>
              </w:rPr>
            </w:pPr>
            <w:r w:rsidRPr="00765F6E">
              <w:rPr>
                <w:lang w:bidi="ar"/>
              </w:rPr>
              <w:lastRenderedPageBreak/>
              <w:t>洞内潮湿环境指环境相对湿度为45%～80%。</w:t>
            </w:r>
          </w:p>
          <w:p w14:paraId="034A3753" w14:textId="77777777" w:rsidR="00737EB2" w:rsidRPr="00765F6E" w:rsidRDefault="00737EB2" w:rsidP="00871D47">
            <w:pPr>
              <w:pStyle w:val="a6"/>
              <w:numPr>
                <w:ilvl w:val="0"/>
                <w:numId w:val="0"/>
              </w:numPr>
              <w:ind w:leftChars="64" w:left="134"/>
              <w:jc w:val="left"/>
              <w:rPr>
                <w:lang w:bidi="ar"/>
              </w:rPr>
            </w:pPr>
            <w:r w:rsidRPr="00765F6E">
              <w:rPr>
                <w:lang w:bidi="ar"/>
              </w:rPr>
              <w:t>隧道结构应按施工阶段和正常使用阶段分别进行抗浮验算，暗挖隧道抗浮安全系数施工阶段应不小于1.1，使用阶段应不小于1.2；明挖隧道抗浮安全系数与车站结构一致。</w:t>
            </w:r>
          </w:p>
        </w:tc>
      </w:tr>
    </w:tbl>
    <w:p w14:paraId="1539909C" w14:textId="77777777" w:rsidR="00737EB2" w:rsidRPr="00D0002D" w:rsidRDefault="00737EB2" w:rsidP="0062428F">
      <w:pPr>
        <w:pStyle w:val="affffb"/>
        <w:snapToGrid w:val="0"/>
        <w:ind w:firstLine="420"/>
      </w:pPr>
    </w:p>
    <w:p w14:paraId="5C6D5FF3" w14:textId="0256E3CF" w:rsidR="00737EB2" w:rsidRDefault="0084607F" w:rsidP="009D0776">
      <w:pPr>
        <w:pStyle w:val="22"/>
      </w:pPr>
      <w:r w:rsidRPr="0084607F">
        <w:rPr>
          <w:rFonts w:hint="eastAsia"/>
        </w:rPr>
        <w:t>钢筋的混凝土保护层厚度应根据结构类别、环境条件和耐久性要求等确定，一般环境条件下混凝土结构构件钢筋的保护层最小厚度应符合表62的规定</w:t>
      </w:r>
      <w:r w:rsidR="00737EB2" w:rsidRPr="00765F6E">
        <w:rPr>
          <w:rFonts w:hint="eastAsia"/>
        </w:rPr>
        <w:t>。</w:t>
      </w:r>
    </w:p>
    <w:p w14:paraId="1D8DF8E0" w14:textId="0DE983AD" w:rsidR="005C23A1" w:rsidRDefault="005C23A1" w:rsidP="00BF0BA3">
      <w:pPr>
        <w:pStyle w:val="aff3"/>
        <w:snapToGrid w:val="0"/>
        <w:spacing w:before="156" w:afterLines="0" w:after="0"/>
      </w:pPr>
      <w:r w:rsidRPr="0084607F">
        <w:rPr>
          <w:rFonts w:hint="eastAsia"/>
        </w:rPr>
        <w:t>一般环境条件下混凝土结构构件钢筋的保护层最小厚度</w:t>
      </w:r>
    </w:p>
    <w:p w14:paraId="526D2C62" w14:textId="51FE32CD" w:rsidR="005C23A1" w:rsidRPr="005C23A1" w:rsidRDefault="005C23A1" w:rsidP="00BF0BA3">
      <w:pPr>
        <w:pStyle w:val="affffb"/>
        <w:ind w:firstLine="360"/>
        <w:jc w:val="right"/>
      </w:pPr>
      <w:r w:rsidRPr="00765F6E">
        <w:rPr>
          <w:rFonts w:hAnsi="宋体" w:cs="宋体" w:hint="eastAsia"/>
          <w:sz w:val="18"/>
          <w:szCs w:val="18"/>
        </w:rPr>
        <w:t>单位为</w:t>
      </w:r>
      <w:r>
        <w:rPr>
          <w:rFonts w:hAnsi="宋体" w:cs="宋体" w:hint="eastAsia"/>
          <w:sz w:val="18"/>
          <w:szCs w:val="18"/>
        </w:rPr>
        <w:t>毫米</w:t>
      </w:r>
    </w:p>
    <w:tbl>
      <w:tblPr>
        <w:tblStyle w:val="afffffffffc"/>
        <w:tblW w:w="5000" w:type="pct"/>
        <w:tblLook w:val="04A0" w:firstRow="1" w:lastRow="0" w:firstColumn="1" w:lastColumn="0" w:noHBand="0" w:noVBand="1"/>
      </w:tblPr>
      <w:tblGrid>
        <w:gridCol w:w="1335"/>
        <w:gridCol w:w="1335"/>
        <w:gridCol w:w="1334"/>
        <w:gridCol w:w="1334"/>
        <w:gridCol w:w="1334"/>
        <w:gridCol w:w="1334"/>
        <w:gridCol w:w="1338"/>
      </w:tblGrid>
      <w:tr w:rsidR="005F3B71" w14:paraId="28DA3C63" w14:textId="77777777" w:rsidTr="005C23A1">
        <w:tc>
          <w:tcPr>
            <w:tcW w:w="714" w:type="pct"/>
            <w:vAlign w:val="center"/>
          </w:tcPr>
          <w:p w14:paraId="65889D99"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hint="eastAsia"/>
                <w:noProof w:val="0"/>
                <w:kern w:val="2"/>
                <w:sz w:val="18"/>
                <w:szCs w:val="18"/>
              </w:rPr>
              <w:t>结构名称</w:t>
            </w:r>
          </w:p>
        </w:tc>
        <w:tc>
          <w:tcPr>
            <w:tcW w:w="1428" w:type="pct"/>
            <w:gridSpan w:val="2"/>
            <w:vAlign w:val="center"/>
          </w:tcPr>
          <w:p w14:paraId="4512D5D1"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hint="eastAsia"/>
                <w:noProof w:val="0"/>
                <w:kern w:val="2"/>
                <w:sz w:val="18"/>
                <w:szCs w:val="18"/>
              </w:rPr>
              <w:t>盾构管片</w:t>
            </w:r>
          </w:p>
        </w:tc>
        <w:tc>
          <w:tcPr>
            <w:tcW w:w="1428" w:type="pct"/>
            <w:gridSpan w:val="2"/>
            <w:vAlign w:val="center"/>
          </w:tcPr>
          <w:p w14:paraId="7EA18797"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hint="eastAsia"/>
                <w:noProof w:val="0"/>
                <w:kern w:val="2"/>
                <w:sz w:val="18"/>
                <w:szCs w:val="18"/>
              </w:rPr>
              <w:t>矿山法二村</w:t>
            </w:r>
          </w:p>
        </w:tc>
        <w:tc>
          <w:tcPr>
            <w:tcW w:w="1430" w:type="pct"/>
            <w:gridSpan w:val="2"/>
            <w:vAlign w:val="center"/>
          </w:tcPr>
          <w:p w14:paraId="15DBB5CD"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hint="eastAsia"/>
                <w:noProof w:val="0"/>
                <w:kern w:val="2"/>
                <w:sz w:val="18"/>
                <w:szCs w:val="18"/>
              </w:rPr>
              <w:t>顶管管节</w:t>
            </w:r>
          </w:p>
        </w:tc>
      </w:tr>
      <w:tr w:rsidR="005F3B71" w14:paraId="4ED2279E" w14:textId="77777777" w:rsidTr="005C23A1">
        <w:tc>
          <w:tcPr>
            <w:tcW w:w="714" w:type="pct"/>
            <w:vAlign w:val="center"/>
          </w:tcPr>
          <w:p w14:paraId="574B5D4F"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hint="eastAsia"/>
                <w:noProof w:val="0"/>
                <w:kern w:val="2"/>
                <w:sz w:val="18"/>
                <w:szCs w:val="18"/>
              </w:rPr>
              <w:t>结构部位</w:t>
            </w:r>
          </w:p>
        </w:tc>
        <w:tc>
          <w:tcPr>
            <w:tcW w:w="714" w:type="pct"/>
            <w:vAlign w:val="center"/>
          </w:tcPr>
          <w:p w14:paraId="01477426"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hint="eastAsia"/>
                <w:noProof w:val="0"/>
                <w:kern w:val="2"/>
                <w:sz w:val="18"/>
                <w:szCs w:val="18"/>
              </w:rPr>
              <w:t>外弧面</w:t>
            </w:r>
          </w:p>
        </w:tc>
        <w:tc>
          <w:tcPr>
            <w:tcW w:w="714" w:type="pct"/>
            <w:vAlign w:val="center"/>
          </w:tcPr>
          <w:p w14:paraId="2D3F7E1E"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hint="eastAsia"/>
                <w:noProof w:val="0"/>
                <w:kern w:val="2"/>
                <w:sz w:val="18"/>
                <w:szCs w:val="18"/>
              </w:rPr>
              <w:t>内弧面</w:t>
            </w:r>
          </w:p>
        </w:tc>
        <w:tc>
          <w:tcPr>
            <w:tcW w:w="714" w:type="pct"/>
            <w:vAlign w:val="center"/>
          </w:tcPr>
          <w:p w14:paraId="77D61419"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hint="eastAsia"/>
                <w:noProof w:val="0"/>
                <w:kern w:val="2"/>
                <w:sz w:val="18"/>
                <w:szCs w:val="18"/>
              </w:rPr>
              <w:t>迎支护面</w:t>
            </w:r>
          </w:p>
        </w:tc>
        <w:tc>
          <w:tcPr>
            <w:tcW w:w="714" w:type="pct"/>
            <w:vAlign w:val="center"/>
          </w:tcPr>
          <w:p w14:paraId="6ACDE832"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hint="eastAsia"/>
                <w:noProof w:val="0"/>
                <w:kern w:val="2"/>
                <w:sz w:val="18"/>
                <w:szCs w:val="18"/>
              </w:rPr>
              <w:t>内侧</w:t>
            </w:r>
          </w:p>
        </w:tc>
        <w:tc>
          <w:tcPr>
            <w:tcW w:w="714" w:type="pct"/>
            <w:vAlign w:val="center"/>
          </w:tcPr>
          <w:p w14:paraId="7851B7FA"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hint="eastAsia"/>
                <w:noProof w:val="0"/>
                <w:kern w:val="2"/>
                <w:sz w:val="18"/>
                <w:szCs w:val="18"/>
              </w:rPr>
              <w:t>外侧</w:t>
            </w:r>
          </w:p>
        </w:tc>
        <w:tc>
          <w:tcPr>
            <w:tcW w:w="716" w:type="pct"/>
            <w:vAlign w:val="center"/>
          </w:tcPr>
          <w:p w14:paraId="720BEEB9"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hint="eastAsia"/>
                <w:noProof w:val="0"/>
                <w:kern w:val="2"/>
                <w:sz w:val="18"/>
                <w:szCs w:val="18"/>
              </w:rPr>
              <w:t>内侧</w:t>
            </w:r>
          </w:p>
        </w:tc>
      </w:tr>
      <w:tr w:rsidR="005F3B71" w14:paraId="00DB053A" w14:textId="77777777" w:rsidTr="005C23A1">
        <w:tc>
          <w:tcPr>
            <w:tcW w:w="714" w:type="pct"/>
            <w:vAlign w:val="center"/>
          </w:tcPr>
          <w:p w14:paraId="6F46AE57"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hint="eastAsia"/>
                <w:noProof w:val="0"/>
                <w:kern w:val="2"/>
                <w:sz w:val="18"/>
                <w:szCs w:val="18"/>
              </w:rPr>
              <w:t>保护层厚度</w:t>
            </w:r>
          </w:p>
        </w:tc>
        <w:tc>
          <w:tcPr>
            <w:tcW w:w="714" w:type="pct"/>
            <w:vAlign w:val="center"/>
          </w:tcPr>
          <w:p w14:paraId="059B2690"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noProof w:val="0"/>
                <w:kern w:val="2"/>
                <w:sz w:val="18"/>
                <w:szCs w:val="18"/>
              </w:rPr>
              <w:t>35</w:t>
            </w:r>
          </w:p>
        </w:tc>
        <w:tc>
          <w:tcPr>
            <w:tcW w:w="714" w:type="pct"/>
            <w:vAlign w:val="center"/>
          </w:tcPr>
          <w:p w14:paraId="2C23059B"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noProof w:val="0"/>
                <w:kern w:val="2"/>
                <w:sz w:val="18"/>
                <w:szCs w:val="18"/>
              </w:rPr>
              <w:t>25</w:t>
            </w:r>
          </w:p>
        </w:tc>
        <w:tc>
          <w:tcPr>
            <w:tcW w:w="714" w:type="pct"/>
            <w:vAlign w:val="center"/>
          </w:tcPr>
          <w:p w14:paraId="569AD3FD"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noProof w:val="0"/>
                <w:kern w:val="2"/>
                <w:sz w:val="18"/>
                <w:szCs w:val="18"/>
              </w:rPr>
              <w:t>35</w:t>
            </w:r>
          </w:p>
        </w:tc>
        <w:tc>
          <w:tcPr>
            <w:tcW w:w="714" w:type="pct"/>
            <w:vAlign w:val="center"/>
          </w:tcPr>
          <w:p w14:paraId="0CC37218"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noProof w:val="0"/>
                <w:kern w:val="2"/>
                <w:sz w:val="18"/>
                <w:szCs w:val="18"/>
              </w:rPr>
              <w:t>35</w:t>
            </w:r>
          </w:p>
        </w:tc>
        <w:tc>
          <w:tcPr>
            <w:tcW w:w="714" w:type="pct"/>
            <w:vAlign w:val="center"/>
          </w:tcPr>
          <w:p w14:paraId="40FCCCC0"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noProof w:val="0"/>
                <w:kern w:val="2"/>
                <w:sz w:val="18"/>
                <w:szCs w:val="18"/>
              </w:rPr>
              <w:t>35</w:t>
            </w:r>
          </w:p>
        </w:tc>
        <w:tc>
          <w:tcPr>
            <w:tcW w:w="716" w:type="pct"/>
            <w:vAlign w:val="center"/>
          </w:tcPr>
          <w:p w14:paraId="3D47A6E9" w14:textId="77777777" w:rsidR="0084607F" w:rsidRPr="00BF0BA3" w:rsidRDefault="0084607F" w:rsidP="00BF0BA3">
            <w:pPr>
              <w:pStyle w:val="affffb"/>
              <w:adjustRightInd w:val="0"/>
              <w:snapToGrid w:val="0"/>
              <w:spacing w:beforeLines="10" w:before="31" w:afterLines="10" w:after="31"/>
              <w:ind w:firstLineChars="0" w:firstLine="0"/>
              <w:jc w:val="center"/>
              <w:rPr>
                <w:rFonts w:hAnsi="宋体"/>
                <w:noProof w:val="0"/>
                <w:kern w:val="2"/>
                <w:sz w:val="18"/>
                <w:szCs w:val="18"/>
              </w:rPr>
            </w:pPr>
            <w:r w:rsidRPr="00BF0BA3">
              <w:rPr>
                <w:rFonts w:hAnsi="宋体"/>
                <w:noProof w:val="0"/>
                <w:kern w:val="2"/>
                <w:sz w:val="18"/>
                <w:szCs w:val="18"/>
              </w:rPr>
              <w:t>25</w:t>
            </w:r>
          </w:p>
        </w:tc>
      </w:tr>
      <w:tr w:rsidR="0084607F" w14:paraId="36506597" w14:textId="77777777" w:rsidTr="00BF0BA3">
        <w:tc>
          <w:tcPr>
            <w:tcW w:w="5000" w:type="pct"/>
            <w:gridSpan w:val="7"/>
            <w:vAlign w:val="center"/>
          </w:tcPr>
          <w:p w14:paraId="6D64279B" w14:textId="1982BA62" w:rsidR="0084607F" w:rsidRPr="00BF0BA3" w:rsidRDefault="0084607F" w:rsidP="00BF0BA3">
            <w:pPr>
              <w:pStyle w:val="affffb"/>
              <w:adjustRightInd w:val="0"/>
              <w:snapToGrid w:val="0"/>
              <w:spacing w:beforeLines="10" w:before="31" w:afterLines="10" w:after="31"/>
              <w:ind w:firstLineChars="0" w:firstLine="0"/>
              <w:jc w:val="left"/>
              <w:rPr>
                <w:rFonts w:hAnsi="宋体"/>
                <w:noProof w:val="0"/>
                <w:kern w:val="2"/>
                <w:sz w:val="18"/>
                <w:szCs w:val="18"/>
              </w:rPr>
            </w:pPr>
            <w:r w:rsidRPr="00BF0BA3">
              <w:rPr>
                <w:rFonts w:ascii="黑体" w:eastAsia="黑体" w:hAnsi="黑体" w:hint="eastAsia"/>
                <w:noProof w:val="0"/>
                <w:kern w:val="2"/>
                <w:sz w:val="18"/>
                <w:szCs w:val="18"/>
              </w:rPr>
              <w:t>注：</w:t>
            </w:r>
            <w:r w:rsidRPr="00BF0BA3">
              <w:rPr>
                <w:rFonts w:hAnsi="宋体" w:hint="eastAsia"/>
                <w:noProof w:val="0"/>
                <w:kern w:val="2"/>
                <w:sz w:val="18"/>
                <w:szCs w:val="18"/>
              </w:rPr>
              <w:t>明挖隧道钢筋的保护层最小厚度与车站结构一致。</w:t>
            </w:r>
          </w:p>
        </w:tc>
      </w:tr>
    </w:tbl>
    <w:p w14:paraId="1B47CA9B" w14:textId="77777777" w:rsidR="001208F3" w:rsidRPr="001208F3" w:rsidRDefault="001208F3" w:rsidP="00BF0BA3">
      <w:pPr>
        <w:pStyle w:val="affffb"/>
        <w:ind w:firstLineChars="0" w:firstLine="0"/>
      </w:pPr>
    </w:p>
    <w:p w14:paraId="0B3E4593" w14:textId="77777777" w:rsidR="001208F3" w:rsidRPr="00765F6E" w:rsidRDefault="001208F3" w:rsidP="001208F3">
      <w:pPr>
        <w:pStyle w:val="22"/>
      </w:pPr>
      <w:r w:rsidRPr="00765F6E">
        <w:rPr>
          <w:rFonts w:hint="eastAsia"/>
        </w:rPr>
        <w:t>明挖法隧道主体结构宜采用矩形或拱形结构，并根据施工工艺、工程地质、水文地质条件等因素确定与围护结构的叠合或复合形式。</w:t>
      </w:r>
    </w:p>
    <w:p w14:paraId="6B06DEB7" w14:textId="77777777" w:rsidR="00737EB2" w:rsidRPr="00765F6E" w:rsidRDefault="00737EB2" w:rsidP="009D0776">
      <w:pPr>
        <w:pStyle w:val="22"/>
      </w:pPr>
      <w:r w:rsidRPr="00765F6E">
        <w:t>基坑工程设计应根据基坑安全等级、环境保护要求，选择可靠的支护形式、地下水处理方法和基坑保护措施等，基坑支护结构应满足强度、刚度以及抗滑移、抗倾覆、抗隆起、抗突涌、抗</w:t>
      </w:r>
      <w:r w:rsidRPr="00765F6E">
        <w:rPr>
          <w:rFonts w:hint="eastAsia"/>
        </w:rPr>
        <w:t>渗流</w:t>
      </w:r>
      <w:r w:rsidRPr="00765F6E">
        <w:t>等安全稳定性要求。</w:t>
      </w:r>
    </w:p>
    <w:p w14:paraId="019B12D6" w14:textId="7E65001F" w:rsidR="00737EB2" w:rsidRPr="00765F6E" w:rsidRDefault="00737EB2" w:rsidP="009D0776">
      <w:pPr>
        <w:pStyle w:val="22"/>
      </w:pPr>
      <w:r w:rsidRPr="00765F6E">
        <w:rPr>
          <w:rFonts w:hint="eastAsia"/>
        </w:rPr>
        <w:t>矿山法隧道衬砌应符合TB 10003的相关规定。</w:t>
      </w:r>
    </w:p>
    <w:p w14:paraId="352E5510" w14:textId="77777777" w:rsidR="00737EB2" w:rsidRPr="00765F6E" w:rsidRDefault="00737EB2" w:rsidP="009D0776">
      <w:pPr>
        <w:pStyle w:val="22"/>
      </w:pPr>
      <w:r w:rsidRPr="00765F6E">
        <w:rPr>
          <w:rFonts w:hint="eastAsia"/>
        </w:rPr>
        <w:t>盾构法隧道宜采用全环单层管片衬砌，当处于特殊环境条件时，管片内可设置现浇内衬。TBM法隧道可采用管片衬砌或现浇衬砌。</w:t>
      </w:r>
    </w:p>
    <w:p w14:paraId="4D821EEE" w14:textId="77777777" w:rsidR="00737EB2" w:rsidRPr="00765F6E" w:rsidRDefault="00737EB2" w:rsidP="009D0776">
      <w:pPr>
        <w:pStyle w:val="22"/>
      </w:pPr>
      <w:bookmarkStart w:id="1501" w:name="_Toc99791994"/>
      <w:r w:rsidRPr="00765F6E">
        <w:rPr>
          <w:rFonts w:hint="eastAsia"/>
        </w:rPr>
        <w:t>顶管法隧道结构</w:t>
      </w:r>
      <w:bookmarkEnd w:id="1501"/>
      <w:r w:rsidRPr="00765F6E">
        <w:rPr>
          <w:rFonts w:hint="eastAsia"/>
        </w:rPr>
        <w:t>设计符合下列规定：</w:t>
      </w:r>
    </w:p>
    <w:p w14:paraId="13E966D2" w14:textId="77777777" w:rsidR="00737EB2" w:rsidRPr="00765F6E" w:rsidRDefault="00737EB2" w:rsidP="003334F3">
      <w:pPr>
        <w:pStyle w:val="af6"/>
        <w:numPr>
          <w:ilvl w:val="0"/>
          <w:numId w:val="125"/>
        </w:numPr>
        <w:tabs>
          <w:tab w:val="left" w:pos="851"/>
        </w:tabs>
        <w:snapToGrid w:val="0"/>
        <w:contextualSpacing/>
      </w:pPr>
      <w:bookmarkStart w:id="1502" w:name="_Toc99791963"/>
      <w:r w:rsidRPr="00765F6E">
        <w:rPr>
          <w:rFonts w:hint="eastAsia"/>
        </w:rPr>
        <w:t>管顶最小覆土厚度不宜小于管节外包高度较大值的1.1倍，且不宜小于3m；</w:t>
      </w:r>
      <w:bookmarkEnd w:id="1502"/>
      <w:r w:rsidRPr="00765F6E">
        <w:rPr>
          <w:rFonts w:hint="eastAsia"/>
        </w:rPr>
        <w:t>当顶管穿越河道时，管顶覆土厚度应结合河道演变的冲刷或淤积作用选择，管节结构内力和抗浮应满足施工和运营工况要求；</w:t>
      </w:r>
    </w:p>
    <w:p w14:paraId="7C1A33B1" w14:textId="77777777" w:rsidR="00737EB2" w:rsidRPr="00765F6E" w:rsidRDefault="00737EB2" w:rsidP="003334F3">
      <w:pPr>
        <w:pStyle w:val="af6"/>
        <w:tabs>
          <w:tab w:val="left" w:pos="851"/>
        </w:tabs>
        <w:snapToGrid w:val="0"/>
        <w:contextualSpacing/>
      </w:pPr>
      <w:r w:rsidRPr="00765F6E">
        <w:rPr>
          <w:rFonts w:hint="eastAsia"/>
        </w:rPr>
        <w:t>隧道结构在满足工程使用、结构受力、防水和耐久性等要求的前提下，顶管管节可采用钢筋混凝土、钢纤维混凝土、复合管节等型式；</w:t>
      </w:r>
    </w:p>
    <w:p w14:paraId="143E105A" w14:textId="77777777" w:rsidR="00737EB2" w:rsidRPr="00765F6E" w:rsidRDefault="00737EB2" w:rsidP="003334F3">
      <w:pPr>
        <w:pStyle w:val="af6"/>
        <w:tabs>
          <w:tab w:val="left" w:pos="851"/>
        </w:tabs>
        <w:snapToGrid w:val="0"/>
        <w:contextualSpacing/>
      </w:pPr>
      <w:r w:rsidRPr="00765F6E">
        <w:rPr>
          <w:rFonts w:hint="eastAsia"/>
        </w:rPr>
        <w:t>管节接头宜采用“F”型钢板接头，能适应容许的变形并满足防水要求；</w:t>
      </w:r>
    </w:p>
    <w:p w14:paraId="2C061AB2" w14:textId="77777777" w:rsidR="00737EB2" w:rsidRPr="00765F6E" w:rsidRDefault="00737EB2" w:rsidP="003334F3">
      <w:pPr>
        <w:pStyle w:val="af6"/>
        <w:tabs>
          <w:tab w:val="left" w:pos="851"/>
        </w:tabs>
        <w:snapToGrid w:val="0"/>
        <w:contextualSpacing/>
      </w:pPr>
      <w:r w:rsidRPr="00765F6E">
        <w:rPr>
          <w:rFonts w:hint="eastAsia"/>
        </w:rPr>
        <w:t>顶管法施工的通道结构，顶管上方的覆土除满足施工工艺要求外，尚应满足结构抗要求；</w:t>
      </w:r>
    </w:p>
    <w:p w14:paraId="013AFBE1" w14:textId="77777777" w:rsidR="00737EB2" w:rsidRPr="00765F6E" w:rsidRDefault="00737EB2" w:rsidP="003334F3">
      <w:pPr>
        <w:pStyle w:val="af6"/>
        <w:tabs>
          <w:tab w:val="left" w:pos="851"/>
        </w:tabs>
        <w:snapToGrid w:val="0"/>
        <w:contextualSpacing/>
      </w:pPr>
      <w:r w:rsidRPr="00765F6E">
        <w:rPr>
          <w:rFonts w:hint="eastAsia"/>
        </w:rPr>
        <w:t>特殊地段顶进法施工的结构设计，宜按TB</w:t>
      </w:r>
      <w:r w:rsidRPr="00765F6E">
        <w:t xml:space="preserve"> </w:t>
      </w:r>
      <w:r w:rsidRPr="00765F6E">
        <w:rPr>
          <w:rFonts w:hint="eastAsia"/>
        </w:rPr>
        <w:t>10002中有关顶进桥涵的规定执行。</w:t>
      </w:r>
    </w:p>
    <w:p w14:paraId="4EDD98B7" w14:textId="77777777" w:rsidR="00737EB2" w:rsidRPr="00765F6E" w:rsidRDefault="00737EB2" w:rsidP="009D0776">
      <w:pPr>
        <w:pStyle w:val="22"/>
      </w:pPr>
      <w:bookmarkStart w:id="1503" w:name="_Toc99791995"/>
      <w:bookmarkStart w:id="1504" w:name="_Toc152659728"/>
      <w:r w:rsidRPr="00765F6E">
        <w:rPr>
          <w:rFonts w:hint="eastAsia"/>
        </w:rPr>
        <w:t>沉管法隧道结构设计符合下列规定：</w:t>
      </w:r>
    </w:p>
    <w:p w14:paraId="2638843E" w14:textId="77777777" w:rsidR="00737EB2" w:rsidRPr="00765F6E" w:rsidRDefault="00737EB2" w:rsidP="003334F3">
      <w:pPr>
        <w:pStyle w:val="af6"/>
        <w:numPr>
          <w:ilvl w:val="0"/>
          <w:numId w:val="126"/>
        </w:numPr>
        <w:tabs>
          <w:tab w:val="left" w:pos="851"/>
        </w:tabs>
        <w:snapToGrid w:val="0"/>
        <w:contextualSpacing/>
      </w:pPr>
      <w:r w:rsidRPr="00765F6E">
        <w:t>隧道结构可采用钢筋混凝土或钢壳混凝土结构</w:t>
      </w:r>
      <w:r w:rsidRPr="00765F6E">
        <w:rPr>
          <w:rFonts w:hint="eastAsia"/>
        </w:rPr>
        <w:t>；</w:t>
      </w:r>
    </w:p>
    <w:p w14:paraId="613602B5" w14:textId="77777777" w:rsidR="00737EB2" w:rsidRPr="00765F6E" w:rsidRDefault="00737EB2" w:rsidP="003334F3">
      <w:pPr>
        <w:pStyle w:val="af6"/>
        <w:tabs>
          <w:tab w:val="left" w:pos="851"/>
        </w:tabs>
        <w:snapToGrid w:val="0"/>
        <w:contextualSpacing/>
      </w:pPr>
      <w:r w:rsidRPr="00765F6E">
        <w:rPr>
          <w:rFonts w:hint="eastAsia"/>
        </w:rPr>
        <w:t>结构设计宜考虑沉管在预制、系泊、浮运、沉放、对接、基础处理等施工阶段可能出现的不利影响；</w:t>
      </w:r>
    </w:p>
    <w:p w14:paraId="7012BED4" w14:textId="77777777" w:rsidR="00737EB2" w:rsidRPr="00765F6E" w:rsidRDefault="00737EB2" w:rsidP="003334F3">
      <w:pPr>
        <w:pStyle w:val="af6"/>
        <w:tabs>
          <w:tab w:val="left" w:pos="851"/>
        </w:tabs>
        <w:snapToGrid w:val="0"/>
        <w:contextualSpacing/>
      </w:pPr>
      <w:r w:rsidRPr="00765F6E">
        <w:rPr>
          <w:rFonts w:hint="eastAsia"/>
        </w:rPr>
        <w:t>接头剪力键和止水构造设计宜考虑基础刚度、混凝土收缩徐变、温度变化、地震等因素。</w:t>
      </w:r>
    </w:p>
    <w:p w14:paraId="1A2FCC7F" w14:textId="77777777" w:rsidR="00737EB2" w:rsidRPr="00765F6E" w:rsidRDefault="00737EB2" w:rsidP="00737EB2">
      <w:pPr>
        <w:pStyle w:val="affe"/>
        <w:spacing w:before="156" w:after="156"/>
      </w:pPr>
      <w:bookmarkStart w:id="1505" w:name="_Toc167895779"/>
      <w:bookmarkStart w:id="1506" w:name="_Toc174538693"/>
      <w:bookmarkStart w:id="1507" w:name="_Toc182476450"/>
      <w:r w:rsidRPr="00765F6E">
        <w:rPr>
          <w:rFonts w:hint="eastAsia"/>
        </w:rPr>
        <w:t>抗震设计</w:t>
      </w:r>
      <w:bookmarkEnd w:id="1505"/>
      <w:bookmarkEnd w:id="1506"/>
      <w:bookmarkEnd w:id="1507"/>
    </w:p>
    <w:p w14:paraId="36C4D2D1" w14:textId="77777777" w:rsidR="00737EB2" w:rsidRPr="00765F6E" w:rsidRDefault="00737EB2" w:rsidP="009D0776">
      <w:pPr>
        <w:pStyle w:val="22"/>
      </w:pPr>
      <w:r w:rsidRPr="00765F6E">
        <w:t>设防烈度</w:t>
      </w:r>
      <w:r w:rsidRPr="00765F6E">
        <w:rPr>
          <w:rFonts w:hint="eastAsia"/>
        </w:rPr>
        <w:t>6度及以上地区的隧道结构设计时，应根据设防要求、场地条件、结构类型和埋置深度等因素，选用能反映其地震工作性状的结构计算分析方法，并应采取提高结构和接头处整体抗震能力的构造措施。</w:t>
      </w:r>
    </w:p>
    <w:p w14:paraId="37D87BFC" w14:textId="77777777" w:rsidR="00737EB2" w:rsidRPr="00765F6E" w:rsidRDefault="00737EB2" w:rsidP="009D0776">
      <w:pPr>
        <w:pStyle w:val="22"/>
      </w:pPr>
      <w:r w:rsidRPr="00765F6E">
        <w:t>隧道结构抗震设防等级应根据其工程类别、使用条件和重要性程度等确定。隧道结构与地面结构结合设计时</w:t>
      </w:r>
      <w:r w:rsidRPr="00765F6E">
        <w:rPr>
          <w:rFonts w:hint="eastAsia"/>
        </w:rPr>
        <w:t>，</w:t>
      </w:r>
      <w:r w:rsidRPr="00765F6E">
        <w:t>隧道结构抗震设计应与地面结构抗震设计相协调。</w:t>
      </w:r>
    </w:p>
    <w:p w14:paraId="07194725" w14:textId="77777777" w:rsidR="00737EB2" w:rsidRPr="00765F6E" w:rsidRDefault="00737EB2" w:rsidP="009D0776">
      <w:pPr>
        <w:pStyle w:val="22"/>
      </w:pPr>
      <w:r w:rsidRPr="00765F6E">
        <w:t>隧道抗震设计应符合</w:t>
      </w:r>
      <w:r>
        <w:t>G</w:t>
      </w:r>
      <w:r w:rsidRPr="00765F6E">
        <w:t>B/T 51336、</w:t>
      </w:r>
      <w:r w:rsidRPr="00765F6E">
        <w:rPr>
          <w:rFonts w:hint="eastAsia"/>
        </w:rPr>
        <w:t>GB 50909</w:t>
      </w:r>
      <w:r w:rsidRPr="00765F6E">
        <w:t>的有关规定</w:t>
      </w:r>
      <w:r w:rsidRPr="00765F6E">
        <w:rPr>
          <w:rFonts w:hint="eastAsia"/>
        </w:rPr>
        <w:t>。</w:t>
      </w:r>
    </w:p>
    <w:p w14:paraId="6FCB0CB0" w14:textId="77777777" w:rsidR="00737EB2" w:rsidRPr="00765F6E" w:rsidRDefault="00737EB2" w:rsidP="009D0776">
      <w:pPr>
        <w:pStyle w:val="22"/>
      </w:pPr>
      <w:r w:rsidRPr="00765F6E">
        <w:t>山岭隧道洞口抗震设防段的长度可根据地形</w:t>
      </w:r>
      <w:r w:rsidRPr="00765F6E">
        <w:rPr>
          <w:rFonts w:hint="eastAsia"/>
        </w:rPr>
        <w:t>，</w:t>
      </w:r>
      <w:r w:rsidRPr="00765F6E">
        <w:t>地质条件及设防烈度等确定</w:t>
      </w:r>
      <w:r w:rsidRPr="00765F6E">
        <w:rPr>
          <w:rFonts w:hint="eastAsia"/>
        </w:rPr>
        <w:t>，</w:t>
      </w:r>
      <w:r w:rsidRPr="00765F6E">
        <w:t>并不</w:t>
      </w:r>
      <w:r w:rsidRPr="00765F6E">
        <w:rPr>
          <w:rFonts w:hint="eastAsia"/>
        </w:rPr>
        <w:t>应</w:t>
      </w:r>
      <w:r w:rsidRPr="00765F6E">
        <w:t>小于隧道净空宽度的2.5倍。</w:t>
      </w:r>
    </w:p>
    <w:p w14:paraId="5BB2A942" w14:textId="77777777" w:rsidR="00737EB2" w:rsidRPr="00765F6E" w:rsidRDefault="00737EB2" w:rsidP="009D0776">
      <w:pPr>
        <w:pStyle w:val="22"/>
      </w:pPr>
      <w:r w:rsidRPr="00765F6E">
        <w:t>地震区隧道洞口应避免洞口高边坡。边仰坡宜采用柔性防护措施</w:t>
      </w:r>
      <w:r w:rsidRPr="00765F6E">
        <w:rPr>
          <w:rFonts w:hint="eastAsia"/>
        </w:rPr>
        <w:t>，</w:t>
      </w:r>
      <w:r w:rsidRPr="00765F6E">
        <w:t>并适当接长明</w:t>
      </w:r>
      <w:r w:rsidRPr="00765F6E">
        <w:rPr>
          <w:rFonts w:hint="eastAsia"/>
        </w:rPr>
        <w:t>洞</w:t>
      </w:r>
      <w:r w:rsidRPr="00765F6E">
        <w:t>。</w:t>
      </w:r>
    </w:p>
    <w:p w14:paraId="7014236A" w14:textId="77777777" w:rsidR="00737EB2" w:rsidRPr="00765F6E" w:rsidRDefault="00737EB2" w:rsidP="009D0776">
      <w:pPr>
        <w:pStyle w:val="22"/>
      </w:pPr>
      <w:r w:rsidRPr="00765F6E">
        <w:t>隧道位于可液化的砂性地层或可震陷的软黏土地层时，应采取抗液化及防震陷处理措施。</w:t>
      </w:r>
    </w:p>
    <w:p w14:paraId="4F9F7C90" w14:textId="77777777" w:rsidR="00737EB2" w:rsidRPr="00765F6E" w:rsidRDefault="00737EB2" w:rsidP="00737EB2">
      <w:pPr>
        <w:pStyle w:val="affe"/>
        <w:spacing w:before="156" w:after="156"/>
      </w:pPr>
      <w:bookmarkStart w:id="1508" w:name="_Toc167895780"/>
      <w:bookmarkStart w:id="1509" w:name="_Toc174538694"/>
      <w:bookmarkStart w:id="1510" w:name="_Toc182476451"/>
      <w:r w:rsidRPr="00765F6E">
        <w:rPr>
          <w:rFonts w:hint="eastAsia"/>
        </w:rPr>
        <w:lastRenderedPageBreak/>
        <w:t>隧道内附属构筑物</w:t>
      </w:r>
      <w:bookmarkEnd w:id="1503"/>
      <w:bookmarkEnd w:id="1504"/>
      <w:bookmarkEnd w:id="1508"/>
      <w:bookmarkEnd w:id="1509"/>
      <w:bookmarkEnd w:id="1510"/>
    </w:p>
    <w:p w14:paraId="347A7F3F" w14:textId="77777777" w:rsidR="00737EB2" w:rsidRPr="00765F6E" w:rsidRDefault="00737EB2" w:rsidP="009D0776">
      <w:pPr>
        <w:pStyle w:val="22"/>
      </w:pPr>
      <w:bookmarkStart w:id="1511" w:name="_Toc99791998"/>
      <w:r w:rsidRPr="00765F6E">
        <w:rPr>
          <w:rFonts w:hint="eastAsia"/>
        </w:rPr>
        <w:t>隧道内设备专用洞室应根据相关专业要求设置，专用洞室宜结合隧道内的横通道统筹设置或多个洞室合并设置。盾构法隧道专用洞室宜结合盾构工作井、轨下空间或横通道设置。</w:t>
      </w:r>
      <w:bookmarkEnd w:id="1511"/>
    </w:p>
    <w:p w14:paraId="5A70730B" w14:textId="77777777" w:rsidR="00737EB2" w:rsidRPr="00765F6E" w:rsidRDefault="00737EB2" w:rsidP="009D0776">
      <w:pPr>
        <w:pStyle w:val="22"/>
      </w:pPr>
      <w:r w:rsidRPr="00765F6E">
        <w:rPr>
          <w:rFonts w:hint="eastAsia"/>
        </w:rPr>
        <w:t>隧道内可根据接触网设计要求在洞内设置下锚区段，矿山法隧道的下锚地段宜布置在地质条件较好的位置。</w:t>
      </w:r>
    </w:p>
    <w:p w14:paraId="26FA6110" w14:textId="77777777" w:rsidR="00737EB2" w:rsidRPr="00765F6E" w:rsidRDefault="00737EB2" w:rsidP="009D0776">
      <w:pPr>
        <w:pStyle w:val="22"/>
      </w:pPr>
      <w:bookmarkStart w:id="1512" w:name="_Toc99792003"/>
      <w:r w:rsidRPr="00765F6E">
        <w:rPr>
          <w:rFonts w:hint="eastAsia"/>
        </w:rPr>
        <w:t>隧道内应根据需要预埋综合接地系统设施。电缆过轨通道宜采用预埋过轨管方式，过轨管转弯半径应满足电缆铺设要求。</w:t>
      </w:r>
      <w:bookmarkEnd w:id="1512"/>
    </w:p>
    <w:p w14:paraId="6E6A6426" w14:textId="77777777" w:rsidR="00737EB2" w:rsidRPr="00765F6E" w:rsidRDefault="00737EB2" w:rsidP="009D0776">
      <w:pPr>
        <w:pStyle w:val="22"/>
      </w:pPr>
      <w:bookmarkStart w:id="1513" w:name="_Toc99792004"/>
      <w:r w:rsidRPr="00765F6E">
        <w:rPr>
          <w:rFonts w:hint="eastAsia"/>
        </w:rPr>
        <w:t>隧道内的管线可采用挂墙或沟槽敷设方式。当采用沟槽敷设方式时符合下列规定：</w:t>
      </w:r>
      <w:bookmarkEnd w:id="1513"/>
    </w:p>
    <w:p w14:paraId="0290EEA2" w14:textId="77777777" w:rsidR="00737EB2" w:rsidRPr="00765F6E" w:rsidRDefault="00737EB2" w:rsidP="003334F3">
      <w:pPr>
        <w:pStyle w:val="af6"/>
        <w:numPr>
          <w:ilvl w:val="0"/>
          <w:numId w:val="127"/>
        </w:numPr>
        <w:tabs>
          <w:tab w:val="left" w:pos="851"/>
        </w:tabs>
        <w:snapToGrid w:val="0"/>
        <w:contextualSpacing/>
      </w:pPr>
      <w:r w:rsidRPr="00765F6E">
        <w:rPr>
          <w:rFonts w:hint="eastAsia"/>
        </w:rPr>
        <w:t>综合考虑与轨道结构、排水沟槽的相互关系；</w:t>
      </w:r>
    </w:p>
    <w:p w14:paraId="0D1F74D4" w14:textId="28EC354E" w:rsidR="00737EB2" w:rsidRPr="00765F6E" w:rsidRDefault="00737EB2" w:rsidP="003334F3">
      <w:pPr>
        <w:pStyle w:val="af6"/>
        <w:tabs>
          <w:tab w:val="left" w:pos="851"/>
        </w:tabs>
        <w:snapToGrid w:val="0"/>
        <w:contextualSpacing/>
      </w:pPr>
      <w:r w:rsidRPr="00765F6E">
        <w:rPr>
          <w:rFonts w:hint="eastAsia"/>
        </w:rPr>
        <w:t>宜设置双侧电缆槽，电缆槽盖板应平整，铺设稳固</w:t>
      </w:r>
      <w:r w:rsidR="00B52E69">
        <w:rPr>
          <w:rFonts w:hint="eastAsia"/>
        </w:rPr>
        <w:t>；</w:t>
      </w:r>
    </w:p>
    <w:p w14:paraId="0AD1906F" w14:textId="77777777" w:rsidR="00737EB2" w:rsidRPr="00765F6E" w:rsidRDefault="00737EB2" w:rsidP="003334F3">
      <w:pPr>
        <w:pStyle w:val="af6"/>
        <w:tabs>
          <w:tab w:val="left" w:pos="851"/>
        </w:tabs>
        <w:snapToGrid w:val="0"/>
        <w:contextualSpacing/>
      </w:pPr>
      <w:r w:rsidRPr="00765F6E">
        <w:rPr>
          <w:rFonts w:hint="eastAsia"/>
        </w:rPr>
        <w:t>排水沟或电缆槽结构靠近道床一侧的沟（槽）身应设置构造钢筋。</w:t>
      </w:r>
    </w:p>
    <w:p w14:paraId="249EAB43" w14:textId="77777777" w:rsidR="00737EB2" w:rsidRPr="00765F6E" w:rsidRDefault="00737EB2" w:rsidP="009D0776">
      <w:pPr>
        <w:pStyle w:val="22"/>
      </w:pPr>
      <w:bookmarkStart w:id="1514" w:name="_Toc99792005"/>
      <w:r w:rsidRPr="00765F6E">
        <w:rPr>
          <w:rFonts w:hint="eastAsia"/>
        </w:rPr>
        <w:t>隧道内附属构筑物及安装设计宜考虑列车通过时所产生的压力变化和列车风的影响，并应按照最不利情况组合考虑。</w:t>
      </w:r>
      <w:bookmarkEnd w:id="1514"/>
    </w:p>
    <w:p w14:paraId="761CF5B8" w14:textId="77777777" w:rsidR="00737EB2" w:rsidRPr="00765F6E" w:rsidRDefault="00737EB2" w:rsidP="00737EB2">
      <w:pPr>
        <w:pStyle w:val="affe"/>
        <w:spacing w:before="156" w:after="156"/>
      </w:pPr>
      <w:bookmarkStart w:id="1515" w:name="_Toc99792006"/>
      <w:bookmarkStart w:id="1516" w:name="_Toc152659729"/>
      <w:bookmarkStart w:id="1517" w:name="_Toc167895781"/>
      <w:bookmarkStart w:id="1518" w:name="_Toc174538695"/>
      <w:bookmarkStart w:id="1519" w:name="_Toc182476452"/>
      <w:r w:rsidRPr="00765F6E">
        <w:rPr>
          <w:rFonts w:hint="eastAsia"/>
        </w:rPr>
        <w:t>隧道洞口</w:t>
      </w:r>
      <w:bookmarkEnd w:id="1515"/>
      <w:bookmarkEnd w:id="1516"/>
      <w:bookmarkEnd w:id="1517"/>
      <w:bookmarkEnd w:id="1518"/>
      <w:bookmarkEnd w:id="1519"/>
    </w:p>
    <w:p w14:paraId="500B789F" w14:textId="77777777" w:rsidR="00737EB2" w:rsidRPr="00765F6E" w:rsidRDefault="00737EB2" w:rsidP="009D0776">
      <w:pPr>
        <w:pStyle w:val="22"/>
      </w:pPr>
      <w:bookmarkStart w:id="1520" w:name="_Toc99792007"/>
      <w:r w:rsidRPr="00765F6E">
        <w:rPr>
          <w:rFonts w:hint="eastAsia"/>
        </w:rPr>
        <w:t>隧道洞口设计应结合规划、地质、环境条件、施工方法、空气动力学效应，综合考虑景观、环保和通风要求设计。</w:t>
      </w:r>
      <w:bookmarkEnd w:id="1520"/>
    </w:p>
    <w:p w14:paraId="631F5170" w14:textId="77777777" w:rsidR="00737EB2" w:rsidRPr="00765F6E" w:rsidRDefault="00737EB2" w:rsidP="009D0776">
      <w:pPr>
        <w:pStyle w:val="22"/>
      </w:pPr>
      <w:bookmarkStart w:id="1521" w:name="_Toc99792010"/>
      <w:r w:rsidRPr="00765F6E">
        <w:rPr>
          <w:rFonts w:hint="eastAsia"/>
        </w:rPr>
        <w:t>隧道洞口宜考虑防洪、防淹、防抛物等措施。</w:t>
      </w:r>
      <w:bookmarkEnd w:id="1521"/>
      <w:r w:rsidRPr="00765F6E">
        <w:rPr>
          <w:rFonts w:hint="eastAsia"/>
        </w:rPr>
        <w:t>洞口挡墙应高出防洪水位不小于0</w:t>
      </w:r>
      <w:r w:rsidRPr="00765F6E">
        <w:t>.5m</w:t>
      </w:r>
      <w:r w:rsidRPr="00765F6E">
        <w:rPr>
          <w:rFonts w:hint="eastAsia"/>
        </w:rPr>
        <w:t>。</w:t>
      </w:r>
    </w:p>
    <w:p w14:paraId="4384222F" w14:textId="77777777" w:rsidR="00737EB2" w:rsidRPr="00765F6E" w:rsidRDefault="00737EB2" w:rsidP="009D0776">
      <w:pPr>
        <w:pStyle w:val="22"/>
      </w:pPr>
      <w:r w:rsidRPr="00765F6E">
        <w:t>地下区间隧道</w:t>
      </w:r>
      <w:r w:rsidRPr="00765F6E">
        <w:rPr>
          <w:rFonts w:hint="eastAsia"/>
        </w:rPr>
        <w:t>敞</w:t>
      </w:r>
      <w:r w:rsidRPr="00765F6E">
        <w:t>开段宜设置雨棚</w:t>
      </w:r>
      <w:r w:rsidRPr="00765F6E">
        <w:rPr>
          <w:rFonts w:hint="eastAsia"/>
        </w:rPr>
        <w:t>，</w:t>
      </w:r>
      <w:r w:rsidRPr="00765F6E">
        <w:t>雨棚应结合城市景观设计</w:t>
      </w:r>
      <w:r w:rsidRPr="00765F6E">
        <w:rPr>
          <w:rFonts w:hint="eastAsia"/>
        </w:rPr>
        <w:t>；</w:t>
      </w:r>
      <w:r w:rsidRPr="00765F6E">
        <w:t>不设置雨棚时</w:t>
      </w:r>
      <w:r w:rsidRPr="00765F6E">
        <w:rPr>
          <w:rFonts w:hint="eastAsia"/>
        </w:rPr>
        <w:t>，</w:t>
      </w:r>
      <w:r w:rsidRPr="00765F6E">
        <w:t>应在临近洞口的暗埋段设置截水沟及雨水泵房。</w:t>
      </w:r>
    </w:p>
    <w:p w14:paraId="3F203F83" w14:textId="77777777" w:rsidR="00737EB2" w:rsidRPr="00765F6E" w:rsidRDefault="00737EB2" w:rsidP="009D0776">
      <w:pPr>
        <w:pStyle w:val="22"/>
      </w:pPr>
      <w:bookmarkStart w:id="1522" w:name="_Toc99792011"/>
      <w:r w:rsidRPr="00765F6E">
        <w:rPr>
          <w:rFonts w:hint="eastAsia"/>
        </w:rPr>
        <w:t>隧道洞口上方有公路跨越或邻近洞口的路堑顶有公路并行时，应在靠近市域铁路的公路路侧设置防撞、防抛物护栏，护栏等级应符合国家安全护栏标准有关规定。</w:t>
      </w:r>
      <w:bookmarkEnd w:id="1522"/>
    </w:p>
    <w:p w14:paraId="533167A5" w14:textId="77777777" w:rsidR="00737EB2" w:rsidRPr="00765F6E" w:rsidRDefault="00737EB2" w:rsidP="009D0776">
      <w:pPr>
        <w:pStyle w:val="22"/>
      </w:pPr>
      <w:bookmarkStart w:id="1523" w:name="_Toc99792012"/>
      <w:r w:rsidRPr="00765F6E">
        <w:rPr>
          <w:rFonts w:hint="eastAsia"/>
        </w:rPr>
        <w:t>隧道洞口上方存在崩塌、落石等地质灾害隐患时，应采取针对性的处理措施。</w:t>
      </w:r>
      <w:bookmarkEnd w:id="1523"/>
    </w:p>
    <w:p w14:paraId="296203BA" w14:textId="03C290DD" w:rsidR="00737EB2" w:rsidRPr="00765F6E" w:rsidRDefault="00737EB2" w:rsidP="009D0776">
      <w:pPr>
        <w:pStyle w:val="22"/>
      </w:pPr>
      <w:bookmarkStart w:id="1524" w:name="_Toc99792013"/>
      <w:r w:rsidRPr="00765F6E">
        <w:rPr>
          <w:rFonts w:hint="eastAsia"/>
        </w:rPr>
        <w:t>隧道洞口微气压波峰值应满足TB 10003的相关规定。</w:t>
      </w:r>
      <w:bookmarkEnd w:id="1524"/>
    </w:p>
    <w:p w14:paraId="3035C7CB" w14:textId="77777777" w:rsidR="00737EB2" w:rsidRPr="00765F6E" w:rsidRDefault="00737EB2" w:rsidP="00737EB2">
      <w:pPr>
        <w:pStyle w:val="affe"/>
        <w:spacing w:before="156" w:after="156"/>
      </w:pPr>
      <w:bookmarkStart w:id="1525" w:name="_Toc99792014"/>
      <w:bookmarkStart w:id="1526" w:name="_Toc152659730"/>
      <w:bookmarkStart w:id="1527" w:name="_Toc167895782"/>
      <w:bookmarkStart w:id="1528" w:name="_Toc174538696"/>
      <w:bookmarkStart w:id="1529" w:name="_Toc182476453"/>
      <w:r w:rsidRPr="00765F6E">
        <w:rPr>
          <w:rFonts w:hint="eastAsia"/>
        </w:rPr>
        <w:t>隧道防排水</w:t>
      </w:r>
      <w:bookmarkEnd w:id="1525"/>
      <w:bookmarkEnd w:id="1526"/>
      <w:bookmarkEnd w:id="1527"/>
      <w:bookmarkEnd w:id="1528"/>
      <w:bookmarkEnd w:id="1529"/>
    </w:p>
    <w:p w14:paraId="1A3E8CB1" w14:textId="77777777" w:rsidR="00737EB2" w:rsidRPr="00765F6E" w:rsidRDefault="00737EB2" w:rsidP="009D0776">
      <w:pPr>
        <w:pStyle w:val="22"/>
      </w:pPr>
      <w:bookmarkStart w:id="1530" w:name="_Toc99792015"/>
      <w:r w:rsidRPr="00765F6E">
        <w:rPr>
          <w:rFonts w:hint="eastAsia"/>
        </w:rPr>
        <w:t>防水型隧道防水应遵循“以防为主、刚柔结合、多道防线、因地制宜、综合治理”</w:t>
      </w:r>
      <w:bookmarkStart w:id="1531" w:name="_Toc99792016"/>
      <w:bookmarkEnd w:id="1530"/>
      <w:r w:rsidRPr="00765F6E">
        <w:rPr>
          <w:rFonts w:hint="eastAsia"/>
        </w:rPr>
        <w:t>的原则，采取与其相适应的防水措施</w:t>
      </w:r>
      <w:bookmarkEnd w:id="1531"/>
      <w:r w:rsidRPr="00765F6E">
        <w:rPr>
          <w:rFonts w:hint="eastAsia"/>
        </w:rPr>
        <w:t>；排水型隧道防排水应采取“防、堵、截、排，因地制宜、综合治理”的原则。</w:t>
      </w:r>
    </w:p>
    <w:p w14:paraId="6CA822E3" w14:textId="77777777" w:rsidR="00737EB2" w:rsidRPr="00765F6E" w:rsidRDefault="00737EB2" w:rsidP="009D0776">
      <w:pPr>
        <w:pStyle w:val="22"/>
      </w:pPr>
      <w:bookmarkStart w:id="1532" w:name="_Toc99792017"/>
      <w:r w:rsidRPr="00765F6E">
        <w:rPr>
          <w:rFonts w:hint="eastAsia"/>
        </w:rPr>
        <w:t>隧道防水应以混凝土结构自防水为根本，以接缝防水为重点，并辅以防水层加强防水，满足结构使用寿命。防水措施应符合GB 50108的相关规定。</w:t>
      </w:r>
      <w:bookmarkEnd w:id="1532"/>
    </w:p>
    <w:p w14:paraId="094F4E56" w14:textId="77777777" w:rsidR="00737EB2" w:rsidRPr="00765F6E" w:rsidRDefault="00737EB2" w:rsidP="009D0776">
      <w:pPr>
        <w:pStyle w:val="22"/>
      </w:pPr>
      <w:r w:rsidRPr="00765F6E">
        <w:t>隧道防排水设计方案应根据气候条件、工程地质、水文地质、地下水保护、结构特点、施工方法</w:t>
      </w:r>
      <w:r w:rsidRPr="00765F6E">
        <w:rPr>
          <w:rFonts w:hint="eastAsia"/>
        </w:rPr>
        <w:t>，</w:t>
      </w:r>
      <w:r w:rsidRPr="00765F6E">
        <w:t>使用功能等要求</w:t>
      </w:r>
      <w:r w:rsidRPr="00765F6E">
        <w:rPr>
          <w:rFonts w:hint="eastAsia"/>
        </w:rPr>
        <w:t>，</w:t>
      </w:r>
      <w:r w:rsidRPr="00765F6E">
        <w:t>并考虑人为作用引起的水位变化、市政管线渗漏等因素综合确定。</w:t>
      </w:r>
    </w:p>
    <w:p w14:paraId="427CF410" w14:textId="5A3C1B77" w:rsidR="00737EB2" w:rsidRPr="00765F6E" w:rsidRDefault="00737EB2" w:rsidP="009D0776">
      <w:pPr>
        <w:pStyle w:val="22"/>
      </w:pPr>
      <w:bookmarkStart w:id="1533" w:name="_Toc99792018"/>
      <w:r w:rsidRPr="00765F6E">
        <w:rPr>
          <w:rFonts w:hint="eastAsia"/>
        </w:rPr>
        <w:t>隧道衬砌应采用防水混凝土，抗渗等级根据使用功能要求和埋置深度确定，且不应低于P8；地下水发育段、抗冻设防段隧道及盾构隧道和顶管隧道抗渗等级不应低于P10。</w:t>
      </w:r>
      <w:bookmarkEnd w:id="1533"/>
    </w:p>
    <w:p w14:paraId="4EABD3D7" w14:textId="77777777" w:rsidR="00737EB2" w:rsidRPr="00765F6E" w:rsidRDefault="00737EB2" w:rsidP="009D0776">
      <w:pPr>
        <w:pStyle w:val="22"/>
      </w:pPr>
      <w:bookmarkStart w:id="1534" w:name="_Toc99792019"/>
      <w:r w:rsidRPr="00765F6E">
        <w:rPr>
          <w:rFonts w:hint="eastAsia"/>
        </w:rPr>
        <w:t>防水混凝土结构厚度不宜小于300mm；衬砌结构为素混凝土时，应满足防裂要求；防水混凝土结构最大裂缝宽度、钢筋保护层最小厚度应符合国家和行业标准相关规定。</w:t>
      </w:r>
      <w:bookmarkEnd w:id="1534"/>
    </w:p>
    <w:p w14:paraId="30EACAA1" w14:textId="321AA8E7" w:rsidR="00737EB2" w:rsidRPr="00765F6E" w:rsidRDefault="00FB7C79" w:rsidP="009D0776">
      <w:pPr>
        <w:pStyle w:val="22"/>
      </w:pPr>
      <w:bookmarkStart w:id="1535" w:name="_Toc99792020"/>
      <w:r w:rsidRPr="00453DBE">
        <w:rPr>
          <w:rFonts w:hint="eastAsia"/>
        </w:rPr>
        <w:t>明挖隧道及采用复合式衬砌的暗挖隧道应设置附加防水层，设在围护结构或初期支护与主体结构之间。防水层的种类和铺设方式应根据环境条件、结构形式、工程防水等级、施工方法等因素确定</w:t>
      </w:r>
      <w:r w:rsidR="00737EB2" w:rsidRPr="00765F6E">
        <w:rPr>
          <w:rFonts w:hint="eastAsia"/>
        </w:rPr>
        <w:t>。</w:t>
      </w:r>
      <w:bookmarkEnd w:id="1535"/>
    </w:p>
    <w:p w14:paraId="3A6C4F11" w14:textId="77777777" w:rsidR="00737EB2" w:rsidRPr="00765F6E" w:rsidRDefault="00737EB2" w:rsidP="009D0776">
      <w:pPr>
        <w:pStyle w:val="22"/>
      </w:pPr>
      <w:r w:rsidRPr="00765F6E">
        <w:rPr>
          <w:rFonts w:hint="eastAsia"/>
        </w:rPr>
        <w:t>叠合墙结构防水应符合下列规定：</w:t>
      </w:r>
    </w:p>
    <w:p w14:paraId="68220B13" w14:textId="77777777" w:rsidR="00737EB2" w:rsidRPr="00765F6E" w:rsidRDefault="00737EB2" w:rsidP="003334F3">
      <w:pPr>
        <w:pStyle w:val="af6"/>
        <w:numPr>
          <w:ilvl w:val="0"/>
          <w:numId w:val="128"/>
        </w:numPr>
        <w:tabs>
          <w:tab w:val="left" w:pos="851"/>
        </w:tabs>
        <w:snapToGrid w:val="0"/>
        <w:contextualSpacing/>
      </w:pPr>
      <w:r w:rsidRPr="00765F6E">
        <w:rPr>
          <w:rFonts w:hint="eastAsia"/>
        </w:rPr>
        <w:t>墙体裂缝和连续墙支撑部位、墙体幅间的缺陷应进行修补和防水处理；</w:t>
      </w:r>
    </w:p>
    <w:p w14:paraId="7D0FD82D" w14:textId="77777777" w:rsidR="00737EB2" w:rsidRPr="00765F6E" w:rsidRDefault="00737EB2" w:rsidP="003334F3">
      <w:pPr>
        <w:pStyle w:val="af6"/>
        <w:tabs>
          <w:tab w:val="left" w:pos="851"/>
        </w:tabs>
        <w:snapToGrid w:val="0"/>
        <w:contextualSpacing/>
      </w:pPr>
      <w:r w:rsidRPr="00765F6E">
        <w:rPr>
          <w:rFonts w:hint="eastAsia"/>
        </w:rPr>
        <w:t>连续墙墙面进行防水处理后，浇筑内衬混凝土；</w:t>
      </w:r>
    </w:p>
    <w:p w14:paraId="63E53559" w14:textId="77777777" w:rsidR="00737EB2" w:rsidRPr="00765F6E" w:rsidRDefault="00737EB2" w:rsidP="003334F3">
      <w:pPr>
        <w:pStyle w:val="af6"/>
        <w:tabs>
          <w:tab w:val="left" w:pos="851"/>
        </w:tabs>
        <w:snapToGrid w:val="0"/>
        <w:contextualSpacing/>
      </w:pPr>
      <w:r w:rsidRPr="00765F6E">
        <w:rPr>
          <w:rFonts w:hint="eastAsia"/>
        </w:rPr>
        <w:t>结构顶板迎水面应设置柔性防水层，并应对刚、柔连接过渡区进行密封。</w:t>
      </w:r>
    </w:p>
    <w:p w14:paraId="6B3C9309" w14:textId="77777777" w:rsidR="00737EB2" w:rsidRPr="00765F6E" w:rsidRDefault="00737EB2" w:rsidP="009D0776">
      <w:pPr>
        <w:pStyle w:val="22"/>
      </w:pPr>
      <w:bookmarkStart w:id="1536" w:name="_Toc99792021"/>
      <w:r w:rsidRPr="00765F6E">
        <w:rPr>
          <w:rFonts w:hint="eastAsia"/>
        </w:rPr>
        <w:t>盾构法施工的隧道，管片的防水密封垫不应少于1道。</w:t>
      </w:r>
      <w:bookmarkEnd w:id="1536"/>
    </w:p>
    <w:p w14:paraId="0DE1BC34" w14:textId="77777777" w:rsidR="00737EB2" w:rsidRPr="00765F6E" w:rsidRDefault="00737EB2" w:rsidP="009D0776">
      <w:pPr>
        <w:pStyle w:val="22"/>
      </w:pPr>
      <w:bookmarkStart w:id="1537" w:name="_Toc99792022"/>
      <w:r w:rsidRPr="00765F6E">
        <w:rPr>
          <w:rFonts w:hint="eastAsia"/>
        </w:rPr>
        <w:t>隧道结构施工缝防水措施不应少于2种，后浇带和变形缝部位不应少于3种。变形缝处采取的防水措施应满足接缝两端结构产生的差异沉降及纵向伸缩时的密封防水要求。</w:t>
      </w:r>
      <w:bookmarkEnd w:id="1537"/>
    </w:p>
    <w:p w14:paraId="27FDDB27" w14:textId="77777777" w:rsidR="00737EB2" w:rsidRPr="00765F6E" w:rsidRDefault="00737EB2" w:rsidP="009D0776">
      <w:pPr>
        <w:pStyle w:val="22"/>
      </w:pPr>
      <w:bookmarkStart w:id="1538" w:name="_Toc99792023"/>
      <w:r w:rsidRPr="00765F6E">
        <w:rPr>
          <w:rFonts w:hint="eastAsia"/>
        </w:rPr>
        <w:t>防水层材料的物理力学性能及耐久性应满足国家和行业标准相关规定。</w:t>
      </w:r>
      <w:bookmarkEnd w:id="1538"/>
    </w:p>
    <w:p w14:paraId="50CD2CDA" w14:textId="77777777" w:rsidR="00737EB2" w:rsidRPr="00765F6E" w:rsidRDefault="00737EB2" w:rsidP="009D0776">
      <w:pPr>
        <w:pStyle w:val="22"/>
      </w:pPr>
      <w:bookmarkStart w:id="1539" w:name="_Toc99792024"/>
      <w:r w:rsidRPr="00765F6E">
        <w:rPr>
          <w:rFonts w:hint="eastAsia"/>
        </w:rPr>
        <w:t>隧道内宜采用自流排水，不能自流排水的隧道应设置集水池和机械排水设施。集水池和机械排水设施设计符合下列规定：</w:t>
      </w:r>
      <w:bookmarkEnd w:id="1539"/>
    </w:p>
    <w:p w14:paraId="6A3E7E2F" w14:textId="77777777" w:rsidR="00737EB2" w:rsidRPr="00765F6E" w:rsidRDefault="00737EB2" w:rsidP="003334F3">
      <w:pPr>
        <w:pStyle w:val="af6"/>
        <w:numPr>
          <w:ilvl w:val="0"/>
          <w:numId w:val="129"/>
        </w:numPr>
        <w:tabs>
          <w:tab w:val="left" w:pos="851"/>
        </w:tabs>
        <w:snapToGrid w:val="0"/>
        <w:contextualSpacing/>
      </w:pPr>
      <w:r w:rsidRPr="00765F6E">
        <w:rPr>
          <w:rFonts w:hint="eastAsia"/>
        </w:rPr>
        <w:lastRenderedPageBreak/>
        <w:t>集水池的有效容积宜充分考虑排水区域的隧道结构渗水容量，并应有一定的富余量；</w:t>
      </w:r>
    </w:p>
    <w:p w14:paraId="7A7BCCDA" w14:textId="77777777" w:rsidR="00737EB2" w:rsidRPr="00765F6E" w:rsidRDefault="00737EB2" w:rsidP="003334F3">
      <w:pPr>
        <w:pStyle w:val="af6"/>
        <w:tabs>
          <w:tab w:val="left" w:pos="851"/>
        </w:tabs>
        <w:snapToGrid w:val="0"/>
        <w:contextualSpacing/>
      </w:pPr>
      <w:r w:rsidRPr="00765F6E">
        <w:rPr>
          <w:rFonts w:hint="eastAsia"/>
        </w:rPr>
        <w:t>机械排水设施的排水能力应满足设计排水量要求，并配置备用泵；</w:t>
      </w:r>
    </w:p>
    <w:p w14:paraId="7A6ECA18" w14:textId="77777777" w:rsidR="00737EB2" w:rsidRPr="00765F6E" w:rsidRDefault="00737EB2" w:rsidP="003334F3">
      <w:pPr>
        <w:pStyle w:val="af6"/>
        <w:tabs>
          <w:tab w:val="left" w:pos="851"/>
        </w:tabs>
        <w:snapToGrid w:val="0"/>
        <w:contextualSpacing/>
      </w:pPr>
      <w:r w:rsidRPr="00765F6E">
        <w:rPr>
          <w:rFonts w:hint="eastAsia"/>
        </w:rPr>
        <w:t>集水池宜设置监控系统，机械排水设施应设置控制系统和监控系统。</w:t>
      </w:r>
    </w:p>
    <w:p w14:paraId="074BE126" w14:textId="77777777" w:rsidR="00737EB2" w:rsidRPr="00765F6E" w:rsidRDefault="00737EB2" w:rsidP="009D0776">
      <w:pPr>
        <w:pStyle w:val="22"/>
      </w:pPr>
      <w:bookmarkStart w:id="1540" w:name="_Toc99792025"/>
      <w:r w:rsidRPr="00765F6E">
        <w:rPr>
          <w:rFonts w:hint="eastAsia"/>
        </w:rPr>
        <w:t>隧道洞外路堑水不宜流入隧道。隧道洞内排水系统应与洞外排水系统顺接，宜设置具有检修、维护功能的汇水井（池）。洞外排水设施符合下列规定：</w:t>
      </w:r>
      <w:bookmarkEnd w:id="1540"/>
    </w:p>
    <w:p w14:paraId="05092DF9" w14:textId="77777777" w:rsidR="00737EB2" w:rsidRPr="00765F6E" w:rsidRDefault="00737EB2" w:rsidP="003334F3">
      <w:pPr>
        <w:pStyle w:val="af6"/>
        <w:numPr>
          <w:ilvl w:val="0"/>
          <w:numId w:val="130"/>
        </w:numPr>
        <w:tabs>
          <w:tab w:val="left" w:pos="851"/>
        </w:tabs>
        <w:snapToGrid w:val="0"/>
        <w:contextualSpacing/>
      </w:pPr>
      <w:r w:rsidRPr="00765F6E">
        <w:rPr>
          <w:rFonts w:hint="eastAsia"/>
        </w:rPr>
        <w:t>应避开不良、不稳定地质体，以较短途径引排到自然稳定的沟谷中；经路堑侧沟、涵洞排放时，应采用无缝顺接，并保证过水能力满足要求，防止壅水；</w:t>
      </w:r>
    </w:p>
    <w:p w14:paraId="4C3561A7" w14:textId="77777777" w:rsidR="00737EB2" w:rsidRPr="00765F6E" w:rsidRDefault="00737EB2" w:rsidP="003334F3">
      <w:pPr>
        <w:pStyle w:val="af6"/>
        <w:tabs>
          <w:tab w:val="left" w:pos="851"/>
        </w:tabs>
        <w:snapToGrid w:val="0"/>
        <w:contextualSpacing/>
      </w:pPr>
      <w:r w:rsidRPr="00765F6E">
        <w:rPr>
          <w:rFonts w:hint="eastAsia"/>
        </w:rPr>
        <w:t>洞口范围存在的威胁施工及运营安全的地表径流、坑洞、漏斗、陷穴、裂缝等，应采取封闭、引排、截流等工程措施；</w:t>
      </w:r>
    </w:p>
    <w:p w14:paraId="36F02659" w14:textId="77777777" w:rsidR="00737EB2" w:rsidRPr="00765F6E" w:rsidRDefault="00737EB2" w:rsidP="003334F3">
      <w:pPr>
        <w:pStyle w:val="af6"/>
        <w:tabs>
          <w:tab w:val="left" w:pos="851"/>
        </w:tabs>
        <w:snapToGrid w:val="0"/>
        <w:contextualSpacing/>
      </w:pPr>
      <w:r w:rsidRPr="00765F6E">
        <w:rPr>
          <w:rFonts w:hint="eastAsia"/>
        </w:rPr>
        <w:t>隧道外部的地表水丰富时，应有良好的地表和洞顶排水系统。地表沟谷、坑洼积水、鱼塘及居民蓄水井的渗水对隧道有影响时，宜采用疏导、铺砌、填平或堵漏等措施，防止洞外地表水渗流到隧道内。</w:t>
      </w:r>
    </w:p>
    <w:p w14:paraId="35FC06A4" w14:textId="77777777" w:rsidR="00737EB2" w:rsidRPr="00765F6E" w:rsidRDefault="00737EB2" w:rsidP="00737EB2">
      <w:pPr>
        <w:pStyle w:val="affe"/>
        <w:spacing w:before="156" w:after="156"/>
      </w:pPr>
      <w:bookmarkStart w:id="1541" w:name="_Toc99792026"/>
      <w:bookmarkStart w:id="1542" w:name="_Toc152659731"/>
      <w:bookmarkStart w:id="1543" w:name="_Toc167895783"/>
      <w:bookmarkStart w:id="1544" w:name="_Toc174538697"/>
      <w:bookmarkStart w:id="1545" w:name="_Toc182476454"/>
      <w:r w:rsidRPr="00765F6E">
        <w:rPr>
          <w:rFonts w:hint="eastAsia"/>
        </w:rPr>
        <w:t>监控与量测</w:t>
      </w:r>
      <w:bookmarkEnd w:id="1541"/>
      <w:bookmarkEnd w:id="1542"/>
      <w:bookmarkEnd w:id="1543"/>
      <w:bookmarkEnd w:id="1544"/>
      <w:bookmarkEnd w:id="1545"/>
    </w:p>
    <w:p w14:paraId="2097810B" w14:textId="77777777" w:rsidR="00737EB2" w:rsidRPr="00765F6E" w:rsidRDefault="00737EB2" w:rsidP="009D0776">
      <w:pPr>
        <w:pStyle w:val="22"/>
      </w:pPr>
      <w:bookmarkStart w:id="1546" w:name="_Toc99792027"/>
      <w:r w:rsidRPr="00765F6E">
        <w:rPr>
          <w:rFonts w:hint="eastAsia"/>
        </w:rPr>
        <w:t>隧道施工过程中，应按设计要求加强监控和量测，掌握隧道变形、地面建构筑物和管线沉降及变形等数据，优化设计和施工方案，实现信息化设计、施工与保护。</w:t>
      </w:r>
      <w:bookmarkEnd w:id="1546"/>
    </w:p>
    <w:p w14:paraId="6F3E5710" w14:textId="77777777" w:rsidR="00737EB2" w:rsidRPr="00765F6E" w:rsidRDefault="00737EB2" w:rsidP="009D0776">
      <w:pPr>
        <w:pStyle w:val="22"/>
      </w:pPr>
      <w:bookmarkStart w:id="1547" w:name="_Toc99792028"/>
      <w:r w:rsidRPr="00765F6E">
        <w:rPr>
          <w:rFonts w:hint="eastAsia"/>
        </w:rPr>
        <w:t>隧道穿越地面建筑物、地铁隧道、铁路、桥梁、防汛墙、地下管线等重要建（构）筑物时，依据GB 50652评估风险源风险等级，并依据风险等级，制定专项方案，通过加强监控量测，对工程进行动态设计。</w:t>
      </w:r>
      <w:bookmarkEnd w:id="1547"/>
    </w:p>
    <w:p w14:paraId="459EF95F" w14:textId="77777777" w:rsidR="00737EB2" w:rsidRPr="00765F6E" w:rsidRDefault="00737EB2" w:rsidP="009D0776">
      <w:pPr>
        <w:pStyle w:val="22"/>
      </w:pPr>
      <w:bookmarkStart w:id="1548" w:name="_Toc99792029"/>
      <w:r w:rsidRPr="00765F6E">
        <w:rPr>
          <w:rFonts w:hint="eastAsia"/>
        </w:rPr>
        <w:t>隧道结构施工监测应按照GB 50911、</w:t>
      </w:r>
      <w:r w:rsidRPr="00765F6E">
        <w:t>DGJ32/J 195</w:t>
      </w:r>
      <w:r w:rsidRPr="00765F6E">
        <w:rPr>
          <w:rFonts w:hint="eastAsia"/>
        </w:rPr>
        <w:t>有关要求执行。</w:t>
      </w:r>
      <w:bookmarkEnd w:id="1548"/>
    </w:p>
    <w:p w14:paraId="7ED19563" w14:textId="77777777" w:rsidR="00737EB2" w:rsidRPr="00765F6E" w:rsidRDefault="00737EB2" w:rsidP="00737EB2">
      <w:pPr>
        <w:pStyle w:val="affe"/>
        <w:spacing w:before="156" w:after="156"/>
      </w:pPr>
      <w:bookmarkStart w:id="1549" w:name="_Toc99792030"/>
      <w:bookmarkStart w:id="1550" w:name="_Toc152659732"/>
      <w:bookmarkStart w:id="1551" w:name="_Toc167895784"/>
      <w:bookmarkStart w:id="1552" w:name="_Toc174538698"/>
      <w:bookmarkStart w:id="1553" w:name="_Toc182476455"/>
      <w:r w:rsidRPr="00765F6E">
        <w:rPr>
          <w:rFonts w:hint="eastAsia"/>
        </w:rPr>
        <w:t>接口设计</w:t>
      </w:r>
      <w:bookmarkEnd w:id="1549"/>
      <w:bookmarkEnd w:id="1550"/>
      <w:bookmarkEnd w:id="1551"/>
      <w:bookmarkEnd w:id="1552"/>
      <w:bookmarkEnd w:id="1553"/>
    </w:p>
    <w:p w14:paraId="495CFC0A" w14:textId="77777777" w:rsidR="00737EB2" w:rsidRPr="00765F6E" w:rsidRDefault="00737EB2" w:rsidP="009D0776">
      <w:pPr>
        <w:pStyle w:val="22"/>
      </w:pPr>
      <w:bookmarkStart w:id="1554" w:name="_Toc99792031"/>
      <w:r w:rsidRPr="00765F6E">
        <w:rPr>
          <w:rFonts w:hint="eastAsia"/>
        </w:rPr>
        <w:t>隧道设计宜考虑相关工程在隧道内设施的布置安装要求，各种设施在隧道内的布置宜综合考虑，隧道与相关工程的接口应有良好的过渡和衔接。</w:t>
      </w:r>
      <w:bookmarkEnd w:id="1554"/>
    </w:p>
    <w:p w14:paraId="0F3DD5E4" w14:textId="77777777" w:rsidR="00737EB2" w:rsidRPr="00765F6E" w:rsidRDefault="00737EB2" w:rsidP="009D0776">
      <w:pPr>
        <w:pStyle w:val="22"/>
      </w:pPr>
      <w:bookmarkStart w:id="1555" w:name="_Toc99792032"/>
      <w:r w:rsidRPr="00765F6E">
        <w:rPr>
          <w:rFonts w:hint="eastAsia"/>
        </w:rPr>
        <w:t>隧道与路基、桥梁、地下车站的接口设计符合下列规定：</w:t>
      </w:r>
      <w:bookmarkEnd w:id="1555"/>
    </w:p>
    <w:p w14:paraId="52433F87" w14:textId="77777777" w:rsidR="00737EB2" w:rsidRPr="00765F6E" w:rsidRDefault="00737EB2" w:rsidP="003334F3">
      <w:pPr>
        <w:pStyle w:val="af6"/>
        <w:numPr>
          <w:ilvl w:val="0"/>
          <w:numId w:val="131"/>
        </w:numPr>
        <w:tabs>
          <w:tab w:val="left" w:pos="851"/>
        </w:tabs>
        <w:snapToGrid w:val="0"/>
        <w:contextualSpacing/>
      </w:pPr>
      <w:r w:rsidRPr="00765F6E">
        <w:rPr>
          <w:rFonts w:hint="eastAsia"/>
        </w:rPr>
        <w:t>隧道洞口边坡应与路基边坡一体化设计；</w:t>
      </w:r>
    </w:p>
    <w:p w14:paraId="78E9049E" w14:textId="77777777" w:rsidR="00737EB2" w:rsidRPr="00765F6E" w:rsidRDefault="00737EB2" w:rsidP="003334F3">
      <w:pPr>
        <w:pStyle w:val="af6"/>
        <w:tabs>
          <w:tab w:val="left" w:pos="851"/>
        </w:tabs>
        <w:snapToGrid w:val="0"/>
        <w:contextualSpacing/>
      </w:pPr>
      <w:r w:rsidRPr="00765F6E">
        <w:rPr>
          <w:rFonts w:hint="eastAsia"/>
        </w:rPr>
        <w:t>隧道与路基、桥梁结构应平顺过渡；</w:t>
      </w:r>
    </w:p>
    <w:p w14:paraId="1E6314CA" w14:textId="77777777" w:rsidR="00737EB2" w:rsidRPr="00765F6E" w:rsidRDefault="00737EB2" w:rsidP="003334F3">
      <w:pPr>
        <w:pStyle w:val="af6"/>
        <w:tabs>
          <w:tab w:val="left" w:pos="851"/>
        </w:tabs>
        <w:snapToGrid w:val="0"/>
        <w:contextualSpacing/>
      </w:pPr>
      <w:r w:rsidRPr="00765F6E">
        <w:rPr>
          <w:rFonts w:hint="eastAsia"/>
        </w:rPr>
        <w:t>隧道与桥梁、路基、地下车站相接时，洞内排水沟应采取过渡衔接措施，保证排水顺畅；V字坡隧道应采取可靠措施，防止桥梁、路基、地下车站的排水流入隧道；</w:t>
      </w:r>
    </w:p>
    <w:p w14:paraId="5A2158BB" w14:textId="77777777" w:rsidR="00737EB2" w:rsidRPr="00765F6E" w:rsidRDefault="00737EB2" w:rsidP="003334F3">
      <w:pPr>
        <w:pStyle w:val="af6"/>
        <w:tabs>
          <w:tab w:val="left" w:pos="851"/>
        </w:tabs>
        <w:snapToGrid w:val="0"/>
        <w:contextualSpacing/>
      </w:pPr>
      <w:r w:rsidRPr="00765F6E">
        <w:rPr>
          <w:rFonts w:hint="eastAsia"/>
        </w:rPr>
        <w:t>隧道内的电缆槽向路基、桥梁、地下车站范围的电缆槽过渡时，其转弯半径应满足电缆敷设要求；</w:t>
      </w:r>
    </w:p>
    <w:p w14:paraId="4C55E57C" w14:textId="77777777" w:rsidR="00737EB2" w:rsidRPr="00765F6E" w:rsidRDefault="00737EB2" w:rsidP="003334F3">
      <w:pPr>
        <w:pStyle w:val="af6"/>
        <w:tabs>
          <w:tab w:val="left" w:pos="851"/>
        </w:tabs>
        <w:snapToGrid w:val="0"/>
        <w:contextualSpacing/>
      </w:pPr>
      <w:r w:rsidRPr="00765F6E">
        <w:rPr>
          <w:rFonts w:hint="eastAsia"/>
        </w:rPr>
        <w:t>桥隧相连段宜统筹考虑隧道洞口与桥台的结构形式，合理设计桥隧的连接方式及施工工序。隧站相连段应一体化设计区间隧道及其相邻地下车站；</w:t>
      </w:r>
    </w:p>
    <w:p w14:paraId="1651A0F0" w14:textId="77777777" w:rsidR="00737EB2" w:rsidRPr="00765F6E" w:rsidRDefault="00737EB2" w:rsidP="003334F3">
      <w:pPr>
        <w:pStyle w:val="af6"/>
        <w:tabs>
          <w:tab w:val="left" w:pos="851"/>
        </w:tabs>
        <w:snapToGrid w:val="0"/>
        <w:contextualSpacing/>
      </w:pPr>
      <w:r w:rsidRPr="00765F6E">
        <w:rPr>
          <w:rFonts w:hint="eastAsia"/>
        </w:rPr>
        <w:t>桥隧相连、隧站相连时，隧道内的救援通道与桥梁、地下车站人行道应做好过渡和衔接。</w:t>
      </w:r>
    </w:p>
    <w:p w14:paraId="5497D753" w14:textId="77777777" w:rsidR="00737EB2" w:rsidRPr="00765F6E" w:rsidRDefault="00737EB2" w:rsidP="009D0776">
      <w:pPr>
        <w:pStyle w:val="22"/>
      </w:pPr>
      <w:bookmarkStart w:id="1556" w:name="_Toc99792033"/>
      <w:r w:rsidRPr="00765F6E">
        <w:rPr>
          <w:rFonts w:hint="eastAsia"/>
        </w:rPr>
        <w:t>隧道与接触网、通信、信号等工程的接口设计应符合下列规定：</w:t>
      </w:r>
      <w:bookmarkEnd w:id="1556"/>
    </w:p>
    <w:p w14:paraId="602C7792" w14:textId="77777777" w:rsidR="00737EB2" w:rsidRPr="00765F6E" w:rsidRDefault="00737EB2" w:rsidP="003334F3">
      <w:pPr>
        <w:pStyle w:val="af6"/>
        <w:numPr>
          <w:ilvl w:val="0"/>
          <w:numId w:val="132"/>
        </w:numPr>
        <w:tabs>
          <w:tab w:val="left" w:pos="851"/>
        </w:tabs>
        <w:snapToGrid w:val="0"/>
        <w:contextualSpacing/>
      </w:pPr>
      <w:r w:rsidRPr="00765F6E">
        <w:rPr>
          <w:rFonts w:hint="eastAsia"/>
        </w:rPr>
        <w:t>隧道衬砌应满足接触网下锚、综合接地等设施设备的安装需求，确保设备安装不应对隧道结构安全和防水效果产生不良影响；</w:t>
      </w:r>
    </w:p>
    <w:p w14:paraId="24F415E0" w14:textId="77777777" w:rsidR="00737EB2" w:rsidRPr="00765F6E" w:rsidRDefault="00737EB2" w:rsidP="003334F3">
      <w:pPr>
        <w:pStyle w:val="af6"/>
        <w:tabs>
          <w:tab w:val="left" w:pos="851"/>
        </w:tabs>
        <w:snapToGrid w:val="0"/>
        <w:contextualSpacing/>
      </w:pPr>
      <w:r w:rsidRPr="00765F6E">
        <w:rPr>
          <w:rFonts w:hint="eastAsia"/>
        </w:rPr>
        <w:t>隧道内过轨管路应采取有效防护措施，避免受力变形或损坏；</w:t>
      </w:r>
    </w:p>
    <w:p w14:paraId="42F7F330" w14:textId="77777777" w:rsidR="00737EB2" w:rsidRPr="00765F6E" w:rsidRDefault="00737EB2" w:rsidP="003334F3">
      <w:pPr>
        <w:pStyle w:val="af6"/>
        <w:tabs>
          <w:tab w:val="left" w:pos="851"/>
        </w:tabs>
        <w:snapToGrid w:val="0"/>
        <w:contextualSpacing/>
      </w:pPr>
      <w:r w:rsidRPr="00765F6E">
        <w:rPr>
          <w:rFonts w:hint="eastAsia"/>
        </w:rPr>
        <w:t>设置有道岔的隧道内轮廓宜考虑信号等设备安装空间；</w:t>
      </w:r>
    </w:p>
    <w:p w14:paraId="3D3956D9" w14:textId="6EFCD731" w:rsidR="00737EB2" w:rsidRPr="00765F6E" w:rsidRDefault="00737EB2" w:rsidP="003334F3">
      <w:pPr>
        <w:pStyle w:val="af6"/>
        <w:tabs>
          <w:tab w:val="left" w:pos="851"/>
        </w:tabs>
        <w:snapToGrid w:val="0"/>
        <w:contextualSpacing/>
      </w:pPr>
      <w:r w:rsidRPr="00765F6E">
        <w:rPr>
          <w:rFonts w:hint="eastAsia"/>
        </w:rPr>
        <w:t>隧道附属构筑物中的预留孔洞应与上</w:t>
      </w:r>
      <w:r w:rsidR="00ED0D80">
        <w:rPr>
          <w:rFonts w:hint="eastAsia"/>
        </w:rPr>
        <w:t>序</w:t>
      </w:r>
      <w:r w:rsidRPr="00765F6E">
        <w:rPr>
          <w:rFonts w:hint="eastAsia"/>
        </w:rPr>
        <w:t>专业协调设计。</w:t>
      </w:r>
    </w:p>
    <w:p w14:paraId="5BC59793" w14:textId="77777777" w:rsidR="00737EB2" w:rsidRPr="00765F6E" w:rsidRDefault="00737EB2" w:rsidP="009D0776">
      <w:pPr>
        <w:pStyle w:val="22"/>
      </w:pPr>
      <w:bookmarkStart w:id="1557" w:name="_Toc99792034"/>
      <w:r w:rsidRPr="00765F6E">
        <w:t>隧道的底板和仰拱填充应与无砟轨道底座结合设置</w:t>
      </w:r>
      <w:r w:rsidRPr="00765F6E">
        <w:rPr>
          <w:rFonts w:hint="eastAsia"/>
        </w:rPr>
        <w:t>。</w:t>
      </w:r>
      <w:r w:rsidRPr="00765F6E">
        <w:t>隧道内铺设有砟轨道时</w:t>
      </w:r>
      <w:r w:rsidRPr="00765F6E">
        <w:rPr>
          <w:rFonts w:hint="eastAsia"/>
        </w:rPr>
        <w:t>，</w:t>
      </w:r>
      <w:r w:rsidRPr="00765F6E">
        <w:t>线路中心线与隧道水沟或电缆槽侧墙外侧的水平净距应满足大机养护作业要求</w:t>
      </w:r>
      <w:r w:rsidRPr="00765F6E">
        <w:rPr>
          <w:rFonts w:hint="eastAsia"/>
        </w:rPr>
        <w:t>；</w:t>
      </w:r>
      <w:r w:rsidRPr="00765F6E">
        <w:t>轨枕端头与沟槽侧壁间的宽度不应小于2</w:t>
      </w:r>
      <w:r w:rsidRPr="00765F6E">
        <w:rPr>
          <w:rFonts w:hint="eastAsia"/>
        </w:rPr>
        <w:t>0</w:t>
      </w:r>
      <w:r w:rsidRPr="00765F6E">
        <w:t>cm。</w:t>
      </w:r>
      <w:bookmarkEnd w:id="1557"/>
    </w:p>
    <w:p w14:paraId="4654CCF3" w14:textId="77777777" w:rsidR="00737EB2" w:rsidRPr="00765F6E" w:rsidRDefault="00737EB2" w:rsidP="00737EB2">
      <w:pPr>
        <w:pStyle w:val="affd"/>
        <w:spacing w:before="312" w:after="312"/>
      </w:pPr>
      <w:bookmarkStart w:id="1558" w:name="_Toc99792037"/>
      <w:bookmarkStart w:id="1559" w:name="_Toc153210887"/>
      <w:bookmarkStart w:id="1560" w:name="_Toc153291471"/>
      <w:bookmarkStart w:id="1561" w:name="_Toc167895785"/>
      <w:bookmarkStart w:id="1562" w:name="_Toc174538699"/>
      <w:bookmarkStart w:id="1563" w:name="_Toc182476456"/>
      <w:r w:rsidRPr="00765F6E">
        <w:rPr>
          <w:rFonts w:hint="eastAsia"/>
        </w:rPr>
        <w:t>车站建筑</w:t>
      </w:r>
      <w:bookmarkEnd w:id="1558"/>
      <w:bookmarkEnd w:id="1559"/>
      <w:bookmarkEnd w:id="1560"/>
      <w:bookmarkEnd w:id="1561"/>
      <w:bookmarkEnd w:id="1562"/>
      <w:bookmarkEnd w:id="1563"/>
    </w:p>
    <w:p w14:paraId="3E476B5B" w14:textId="77777777" w:rsidR="00737EB2" w:rsidRPr="00765F6E" w:rsidRDefault="00737EB2" w:rsidP="00737EB2">
      <w:pPr>
        <w:pStyle w:val="affe"/>
        <w:spacing w:before="156" w:after="156"/>
      </w:pPr>
      <w:bookmarkStart w:id="1564" w:name="_Toc153291472"/>
      <w:bookmarkStart w:id="1565" w:name="_Toc153210888"/>
      <w:bookmarkStart w:id="1566" w:name="_Toc99792038"/>
      <w:bookmarkStart w:id="1567" w:name="_Toc167895786"/>
      <w:bookmarkStart w:id="1568" w:name="_Toc174538700"/>
      <w:bookmarkStart w:id="1569" w:name="_Toc182476457"/>
      <w:r w:rsidRPr="00765F6E">
        <w:rPr>
          <w:rFonts w:hint="eastAsia"/>
        </w:rPr>
        <w:t>一般规定</w:t>
      </w:r>
      <w:bookmarkEnd w:id="1564"/>
      <w:bookmarkEnd w:id="1565"/>
      <w:bookmarkEnd w:id="1566"/>
      <w:bookmarkEnd w:id="1567"/>
      <w:bookmarkEnd w:id="1568"/>
      <w:bookmarkEnd w:id="1569"/>
    </w:p>
    <w:p w14:paraId="54EE5D2C" w14:textId="77777777" w:rsidR="00737EB2" w:rsidRPr="00765F6E" w:rsidRDefault="00737EB2" w:rsidP="009D0776">
      <w:pPr>
        <w:pStyle w:val="22"/>
      </w:pPr>
      <w:bookmarkStart w:id="1570" w:name="_Toc99792039"/>
      <w:bookmarkStart w:id="1571" w:name="_Toc153291473"/>
      <w:r w:rsidRPr="00765F6E">
        <w:rPr>
          <w:rFonts w:hint="eastAsia"/>
        </w:rPr>
        <w:lastRenderedPageBreak/>
        <w:t>车站总体布局应符合国土空间规划、综合交通规划、环境保护的要求，与城市景观协调，并应处理好与周边建构筑物、道路交通、市政管线的关系。</w:t>
      </w:r>
      <w:bookmarkEnd w:id="1570"/>
      <w:bookmarkEnd w:id="1571"/>
    </w:p>
    <w:p w14:paraId="57793607" w14:textId="77777777" w:rsidR="00737EB2" w:rsidRPr="00765F6E" w:rsidRDefault="00737EB2" w:rsidP="009D0776">
      <w:pPr>
        <w:pStyle w:val="22"/>
      </w:pPr>
      <w:bookmarkStart w:id="1572" w:name="_Toc99792040"/>
      <w:bookmarkStart w:id="1573" w:name="_Toc153291474"/>
      <w:r w:rsidRPr="00765F6E">
        <w:rPr>
          <w:rFonts w:hint="eastAsia"/>
        </w:rPr>
        <w:t>车站应适应城市（城镇）的构成形态，宜在城镇组团和旅游景点处设站。车站设置应以规划的交通换乘节点、既有或规划的交通枢纽为基本点，宜与城市轨道交通形成多点换乘。</w:t>
      </w:r>
      <w:bookmarkEnd w:id="1572"/>
      <w:bookmarkEnd w:id="1573"/>
    </w:p>
    <w:p w14:paraId="601A8A99" w14:textId="77777777" w:rsidR="00737EB2" w:rsidRPr="00765F6E" w:rsidRDefault="00737EB2" w:rsidP="009D0776">
      <w:pPr>
        <w:pStyle w:val="22"/>
      </w:pPr>
      <w:bookmarkStart w:id="1574" w:name="_Toc153291475"/>
      <w:bookmarkStart w:id="1575" w:name="_Toc99792041"/>
      <w:r w:rsidRPr="00765F6E">
        <w:rPr>
          <w:rFonts w:hint="eastAsia"/>
        </w:rPr>
        <w:t>车站按照功能适应、设施适用、安全便捷的原则，尽量设置于城镇中心，增强交通引导，提高客流聚集。</w:t>
      </w:r>
      <w:bookmarkEnd w:id="1574"/>
      <w:bookmarkEnd w:id="1575"/>
    </w:p>
    <w:p w14:paraId="75440A89" w14:textId="77777777" w:rsidR="00737EB2" w:rsidRPr="00765F6E" w:rsidRDefault="00737EB2" w:rsidP="009D0776">
      <w:pPr>
        <w:pStyle w:val="22"/>
      </w:pPr>
      <w:bookmarkStart w:id="1576" w:name="_Toc153291476"/>
      <w:bookmarkStart w:id="1577" w:name="_Toc99792042"/>
      <w:r w:rsidRPr="00765F6E">
        <w:rPr>
          <w:rFonts w:hint="eastAsia"/>
        </w:rPr>
        <w:t>中心城内的线路起终点站车站宜设在综合交通枢纽、铁路客运、城市轨道交通站，中心城外的线路起终点车站宜与城市用地规划相结合，靠近客流集中区，方便接驳换乘。</w:t>
      </w:r>
      <w:bookmarkEnd w:id="1576"/>
      <w:bookmarkEnd w:id="1577"/>
    </w:p>
    <w:p w14:paraId="4E552CBE" w14:textId="77777777" w:rsidR="00737EB2" w:rsidRPr="00765F6E" w:rsidRDefault="00737EB2" w:rsidP="009D0776">
      <w:pPr>
        <w:pStyle w:val="22"/>
      </w:pPr>
      <w:bookmarkStart w:id="1578" w:name="_Toc99792043"/>
      <w:bookmarkStart w:id="1579" w:name="_Toc153291477"/>
      <w:r w:rsidRPr="00765F6E">
        <w:rPr>
          <w:rFonts w:hint="eastAsia"/>
        </w:rPr>
        <w:t>车站应开展一体化设计，充分利用周边及沿线地上地下空间资源，实现车站周边土地的集约化开发与利用。考虑商业布局与车站环境的融合，适宜地段规划预留一定的经营空间，并做好与其他交通方式的衔接</w:t>
      </w:r>
      <w:bookmarkEnd w:id="1578"/>
      <w:r w:rsidRPr="00765F6E">
        <w:rPr>
          <w:rFonts w:hint="eastAsia"/>
        </w:rPr>
        <w:t>；广告设施、商业网点等商业设施设置不应影响运营安全和服务质量。</w:t>
      </w:r>
      <w:bookmarkEnd w:id="1579"/>
    </w:p>
    <w:p w14:paraId="34A26258" w14:textId="77777777" w:rsidR="00737EB2" w:rsidRPr="00765F6E" w:rsidRDefault="00737EB2" w:rsidP="009D0776">
      <w:pPr>
        <w:pStyle w:val="22"/>
      </w:pPr>
      <w:bookmarkStart w:id="1580" w:name="_Toc153291478"/>
      <w:bookmarkStart w:id="1581" w:name="_Toc99792044"/>
      <w:r w:rsidRPr="00765F6E">
        <w:rPr>
          <w:rFonts w:hint="eastAsia"/>
        </w:rPr>
        <w:t>车站设计规模和客运服务设施标准应根据预测客流、系统设计能力和车站分类、分级标准以及不同运营工况合理确定。</w:t>
      </w:r>
      <w:bookmarkEnd w:id="1580"/>
      <w:bookmarkEnd w:id="1581"/>
    </w:p>
    <w:p w14:paraId="54A3A455" w14:textId="77777777" w:rsidR="00737EB2" w:rsidRPr="00765F6E" w:rsidRDefault="00737EB2" w:rsidP="009D0776">
      <w:pPr>
        <w:pStyle w:val="22"/>
      </w:pPr>
      <w:bookmarkStart w:id="1582" w:name="_Toc153291479"/>
      <w:bookmarkStart w:id="1583" w:name="_Toc99792045"/>
      <w:r w:rsidRPr="00765F6E">
        <w:rPr>
          <w:rFonts w:hint="eastAsia"/>
        </w:rPr>
        <w:t>车站形式应根据线网关系、线路敷设方式、客流特征、选址环境条件和建设时序等综合因素合理确定。</w:t>
      </w:r>
      <w:bookmarkEnd w:id="1582"/>
      <w:bookmarkEnd w:id="1583"/>
    </w:p>
    <w:p w14:paraId="24E42CF8" w14:textId="77777777" w:rsidR="00737EB2" w:rsidRPr="00765F6E" w:rsidRDefault="00737EB2" w:rsidP="009D0776">
      <w:pPr>
        <w:pStyle w:val="22"/>
      </w:pPr>
      <w:bookmarkStart w:id="1584" w:name="_Toc99792046"/>
      <w:bookmarkStart w:id="1585" w:name="_Toc153291480"/>
      <w:r w:rsidRPr="00765F6E">
        <w:rPr>
          <w:rFonts w:hint="eastAsia"/>
        </w:rPr>
        <w:t>车站设计应满足乘客出行需求，并应确保乘降安全、疏导迅速；同时应满足系统功能需求，且应能提供良好的通风、采光、卫生、防灾等设施条件。</w:t>
      </w:r>
      <w:bookmarkEnd w:id="1584"/>
      <w:bookmarkEnd w:id="1585"/>
    </w:p>
    <w:p w14:paraId="609DE2A2" w14:textId="77777777" w:rsidR="00737EB2" w:rsidRPr="00765F6E" w:rsidRDefault="00737EB2" w:rsidP="009D0776">
      <w:pPr>
        <w:pStyle w:val="22"/>
      </w:pPr>
      <w:bookmarkStart w:id="1586" w:name="_Toc99792047"/>
      <w:bookmarkStart w:id="1587" w:name="_Toc153291481"/>
      <w:r w:rsidRPr="00765F6E">
        <w:rPr>
          <w:rFonts w:hint="eastAsia"/>
        </w:rPr>
        <w:t>车站地面部分宜考虑防雨雪、防风、遮阳和保温隔热措施，同时宜考虑运营维护的需求，设置必要设施。</w:t>
      </w:r>
      <w:bookmarkEnd w:id="1586"/>
      <w:bookmarkEnd w:id="1587"/>
    </w:p>
    <w:p w14:paraId="240C5811" w14:textId="77777777" w:rsidR="00737EB2" w:rsidRPr="00765F6E" w:rsidRDefault="00737EB2" w:rsidP="009D0776">
      <w:pPr>
        <w:pStyle w:val="22"/>
      </w:pPr>
      <w:bookmarkStart w:id="1588" w:name="_Toc99792048"/>
      <w:bookmarkStart w:id="1589" w:name="_Toc153291482"/>
      <w:r w:rsidRPr="00765F6E">
        <w:rPr>
          <w:rFonts w:hint="eastAsia"/>
        </w:rPr>
        <w:t>车站流线设计应清晰明确、通畅，满足进出站便捷、安全疏散和无障碍通行的要求。</w:t>
      </w:r>
      <w:bookmarkEnd w:id="1588"/>
      <w:bookmarkEnd w:id="1589"/>
    </w:p>
    <w:p w14:paraId="089B3748" w14:textId="74D85D6C" w:rsidR="00737EB2" w:rsidRPr="00765F6E" w:rsidRDefault="00737EB2" w:rsidP="009D0776">
      <w:pPr>
        <w:pStyle w:val="22"/>
      </w:pPr>
      <w:bookmarkStart w:id="1590" w:name="_Toc99792049"/>
      <w:bookmarkStart w:id="1591" w:name="_Toc153291483"/>
      <w:r w:rsidRPr="00765F6E">
        <w:rPr>
          <w:rFonts w:hint="eastAsia"/>
        </w:rPr>
        <w:t>车站</w:t>
      </w:r>
      <w:r w:rsidR="00ED0D80">
        <w:rPr>
          <w:rFonts w:hint="eastAsia"/>
        </w:rPr>
        <w:t>应</w:t>
      </w:r>
      <w:r w:rsidRPr="00765F6E">
        <w:rPr>
          <w:rFonts w:hint="eastAsia"/>
        </w:rPr>
        <w:t>采用新技术，绿色建造，打造环境友好的市域轨道交通。</w:t>
      </w:r>
      <w:bookmarkEnd w:id="1590"/>
      <w:bookmarkEnd w:id="1591"/>
    </w:p>
    <w:p w14:paraId="45A473FD" w14:textId="77777777" w:rsidR="00737EB2" w:rsidRPr="00765F6E" w:rsidRDefault="00737EB2" w:rsidP="009D0776">
      <w:pPr>
        <w:pStyle w:val="22"/>
      </w:pPr>
      <w:bookmarkStart w:id="1592" w:name="_Toc99792050"/>
      <w:bookmarkStart w:id="1593" w:name="_Toc153291484"/>
      <w:r w:rsidRPr="00765F6E">
        <w:rPr>
          <w:rFonts w:hint="eastAsia"/>
        </w:rPr>
        <w:t>车站建筑宜体现地域特色和时代特征，并注重体现交通建筑特色。</w:t>
      </w:r>
      <w:bookmarkEnd w:id="1592"/>
      <w:bookmarkEnd w:id="1593"/>
    </w:p>
    <w:p w14:paraId="5102788A" w14:textId="77777777" w:rsidR="00737EB2" w:rsidRPr="00765F6E" w:rsidRDefault="00737EB2" w:rsidP="00737EB2">
      <w:pPr>
        <w:pStyle w:val="affe"/>
        <w:spacing w:before="156" w:after="156"/>
      </w:pPr>
      <w:bookmarkStart w:id="1594" w:name="_Toc99792051"/>
      <w:bookmarkStart w:id="1595" w:name="_Toc153210889"/>
      <w:bookmarkStart w:id="1596" w:name="_Toc153291485"/>
      <w:bookmarkStart w:id="1597" w:name="_Toc167895787"/>
      <w:bookmarkStart w:id="1598" w:name="_Toc174538701"/>
      <w:bookmarkStart w:id="1599" w:name="_Toc182476458"/>
      <w:r w:rsidRPr="00765F6E">
        <w:rPr>
          <w:rFonts w:hint="eastAsia"/>
        </w:rPr>
        <w:t>车站分类分级</w:t>
      </w:r>
      <w:bookmarkEnd w:id="1594"/>
      <w:bookmarkEnd w:id="1595"/>
      <w:bookmarkEnd w:id="1596"/>
      <w:bookmarkEnd w:id="1597"/>
      <w:bookmarkEnd w:id="1598"/>
      <w:bookmarkEnd w:id="1599"/>
    </w:p>
    <w:p w14:paraId="66D738D9" w14:textId="10900957" w:rsidR="00737EB2" w:rsidRPr="00765F6E" w:rsidRDefault="00737EB2" w:rsidP="009D0776">
      <w:pPr>
        <w:pStyle w:val="22"/>
      </w:pPr>
      <w:bookmarkStart w:id="1600" w:name="_Toc153291486"/>
      <w:bookmarkStart w:id="1601" w:name="_Toc99792052"/>
      <w:r w:rsidRPr="00765F6E">
        <w:rPr>
          <w:rFonts w:hint="eastAsia"/>
        </w:rPr>
        <w:t>根据服务区域的主导客流特征、客流量规模、城市交通规划等因素，车站可按表</w:t>
      </w:r>
      <w:r w:rsidR="00DB7E4D" w:rsidRPr="00765F6E">
        <w:t>6</w:t>
      </w:r>
      <w:r w:rsidR="00DB7E4D">
        <w:t>3</w:t>
      </w:r>
      <w:r w:rsidRPr="00765F6E">
        <w:rPr>
          <w:rFonts w:hint="eastAsia"/>
        </w:rPr>
        <w:t>和表</w:t>
      </w:r>
      <w:r w:rsidR="00DB7E4D" w:rsidRPr="00765F6E">
        <w:rPr>
          <w:rFonts w:hint="eastAsia"/>
        </w:rPr>
        <w:t>6</w:t>
      </w:r>
      <w:r w:rsidR="00DB7E4D">
        <w:t>4</w:t>
      </w:r>
      <w:r w:rsidRPr="00765F6E">
        <w:rPr>
          <w:rFonts w:hint="eastAsia"/>
        </w:rPr>
        <w:t>的规定进行分类分级。</w:t>
      </w:r>
      <w:bookmarkEnd w:id="1600"/>
      <w:bookmarkEnd w:id="1601"/>
    </w:p>
    <w:p w14:paraId="69ACBA31" w14:textId="2A689C2D" w:rsidR="00737EB2" w:rsidRPr="00765F6E" w:rsidRDefault="00737EB2" w:rsidP="00737EB2">
      <w:pPr>
        <w:pStyle w:val="aff3"/>
        <w:spacing w:before="156" w:after="156"/>
      </w:pPr>
      <w:r w:rsidRPr="00765F6E">
        <w:rPr>
          <w:rFonts w:hint="eastAsia"/>
        </w:rPr>
        <w:t>车站建筑分类体系</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987"/>
        <w:gridCol w:w="1402"/>
        <w:gridCol w:w="2584"/>
        <w:gridCol w:w="1820"/>
        <w:gridCol w:w="2541"/>
      </w:tblGrid>
      <w:tr w:rsidR="00737EB2" w:rsidRPr="00765F6E" w14:paraId="2815AAD8" w14:textId="77777777" w:rsidTr="00871D47">
        <w:trPr>
          <w:trHeight w:val="176"/>
        </w:trPr>
        <w:tc>
          <w:tcPr>
            <w:tcW w:w="529" w:type="pct"/>
            <w:vMerge w:val="restart"/>
            <w:tcBorders>
              <w:top w:val="single" w:sz="8" w:space="0" w:color="auto"/>
              <w:bottom w:val="single" w:sz="4" w:space="0" w:color="auto"/>
            </w:tcBorders>
            <w:shd w:val="clear" w:color="auto" w:fill="auto"/>
            <w:vAlign w:val="center"/>
          </w:tcPr>
          <w:p w14:paraId="226FD014"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类别</w:t>
            </w:r>
          </w:p>
        </w:tc>
        <w:tc>
          <w:tcPr>
            <w:tcW w:w="751" w:type="pct"/>
            <w:vMerge w:val="restart"/>
            <w:tcBorders>
              <w:top w:val="single" w:sz="8" w:space="0" w:color="auto"/>
              <w:bottom w:val="single" w:sz="4" w:space="0" w:color="auto"/>
            </w:tcBorders>
            <w:shd w:val="clear" w:color="auto" w:fill="auto"/>
            <w:vAlign w:val="center"/>
          </w:tcPr>
          <w:p w14:paraId="368E66C8"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A类（旅行）</w:t>
            </w:r>
          </w:p>
        </w:tc>
        <w:tc>
          <w:tcPr>
            <w:tcW w:w="2359" w:type="pct"/>
            <w:gridSpan w:val="2"/>
            <w:tcBorders>
              <w:top w:val="single" w:sz="8" w:space="0" w:color="auto"/>
              <w:bottom w:val="single" w:sz="4" w:space="0" w:color="auto"/>
            </w:tcBorders>
            <w:shd w:val="clear" w:color="auto" w:fill="auto"/>
            <w:vAlign w:val="center"/>
          </w:tcPr>
          <w:p w14:paraId="1009E67E"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sz w:val="18"/>
                <w:szCs w:val="18"/>
              </w:rPr>
              <w:t>B</w:t>
            </w:r>
            <w:r w:rsidRPr="00765F6E">
              <w:rPr>
                <w:rFonts w:hAnsi="宋体" w:cs="宋体" w:hint="eastAsia"/>
                <w:sz w:val="18"/>
                <w:szCs w:val="18"/>
              </w:rPr>
              <w:t>类（休闲、集会）</w:t>
            </w:r>
          </w:p>
        </w:tc>
        <w:tc>
          <w:tcPr>
            <w:tcW w:w="1361" w:type="pct"/>
            <w:vMerge w:val="restart"/>
            <w:tcBorders>
              <w:top w:val="single" w:sz="8" w:space="0" w:color="auto"/>
              <w:bottom w:val="single" w:sz="8" w:space="0" w:color="auto"/>
            </w:tcBorders>
            <w:shd w:val="clear" w:color="auto" w:fill="auto"/>
            <w:vAlign w:val="center"/>
          </w:tcPr>
          <w:p w14:paraId="66DC2F76"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C类（通勤）</w:t>
            </w:r>
          </w:p>
        </w:tc>
      </w:tr>
      <w:tr w:rsidR="00737EB2" w:rsidRPr="00765F6E" w14:paraId="406A9FC6" w14:textId="77777777" w:rsidTr="00871D47">
        <w:trPr>
          <w:trHeight w:val="176"/>
        </w:trPr>
        <w:tc>
          <w:tcPr>
            <w:tcW w:w="529" w:type="pct"/>
            <w:vMerge/>
            <w:tcBorders>
              <w:top w:val="single" w:sz="4" w:space="0" w:color="auto"/>
              <w:bottom w:val="single" w:sz="8" w:space="0" w:color="auto"/>
            </w:tcBorders>
            <w:shd w:val="clear" w:color="auto" w:fill="auto"/>
            <w:vAlign w:val="center"/>
          </w:tcPr>
          <w:p w14:paraId="6247E64D" w14:textId="77777777" w:rsidR="00737EB2" w:rsidRPr="00765F6E" w:rsidRDefault="00737EB2" w:rsidP="00871D47">
            <w:pPr>
              <w:spacing w:line="240" w:lineRule="exact"/>
              <w:jc w:val="left"/>
              <w:rPr>
                <w:sz w:val="18"/>
                <w:szCs w:val="18"/>
              </w:rPr>
            </w:pPr>
          </w:p>
        </w:tc>
        <w:tc>
          <w:tcPr>
            <w:tcW w:w="751" w:type="pct"/>
            <w:vMerge/>
            <w:tcBorders>
              <w:top w:val="single" w:sz="4" w:space="0" w:color="auto"/>
              <w:bottom w:val="single" w:sz="8" w:space="0" w:color="auto"/>
            </w:tcBorders>
            <w:shd w:val="clear" w:color="auto" w:fill="auto"/>
            <w:vAlign w:val="center"/>
          </w:tcPr>
          <w:p w14:paraId="7B5AFCE6" w14:textId="77777777" w:rsidR="00737EB2" w:rsidRPr="00765F6E" w:rsidRDefault="00737EB2" w:rsidP="00871D47">
            <w:pPr>
              <w:spacing w:line="240" w:lineRule="exact"/>
              <w:jc w:val="center"/>
              <w:rPr>
                <w:sz w:val="18"/>
                <w:szCs w:val="18"/>
              </w:rPr>
            </w:pPr>
          </w:p>
        </w:tc>
        <w:tc>
          <w:tcPr>
            <w:tcW w:w="1384" w:type="pct"/>
            <w:tcBorders>
              <w:top w:val="single" w:sz="4" w:space="0" w:color="auto"/>
              <w:bottom w:val="single" w:sz="8" w:space="0" w:color="auto"/>
            </w:tcBorders>
            <w:shd w:val="clear" w:color="auto" w:fill="auto"/>
            <w:vAlign w:val="center"/>
          </w:tcPr>
          <w:p w14:paraId="6CA4F717"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休闲</w:t>
            </w:r>
          </w:p>
        </w:tc>
        <w:tc>
          <w:tcPr>
            <w:tcW w:w="975" w:type="pct"/>
            <w:tcBorders>
              <w:top w:val="single" w:sz="4" w:space="0" w:color="auto"/>
              <w:bottom w:val="single" w:sz="8" w:space="0" w:color="auto"/>
            </w:tcBorders>
            <w:shd w:val="clear" w:color="auto" w:fill="auto"/>
            <w:vAlign w:val="center"/>
          </w:tcPr>
          <w:p w14:paraId="0FA83128" w14:textId="77777777" w:rsidR="00737EB2" w:rsidRPr="00765F6E" w:rsidRDefault="00737EB2" w:rsidP="00871D47">
            <w:pPr>
              <w:pStyle w:val="affffffffffff2"/>
              <w:spacing w:line="240" w:lineRule="exact"/>
              <w:jc w:val="center"/>
              <w:rPr>
                <w:rFonts w:hAnsi="宋体" w:cs="宋体"/>
                <w:sz w:val="18"/>
                <w:szCs w:val="18"/>
              </w:rPr>
            </w:pPr>
            <w:r w:rsidRPr="00765F6E">
              <w:rPr>
                <w:rFonts w:hAnsi="宋体" w:cs="宋体" w:hint="eastAsia"/>
                <w:sz w:val="18"/>
                <w:szCs w:val="18"/>
              </w:rPr>
              <w:t>集会</w:t>
            </w:r>
          </w:p>
        </w:tc>
        <w:tc>
          <w:tcPr>
            <w:tcW w:w="1361" w:type="pct"/>
            <w:vMerge/>
            <w:tcBorders>
              <w:top w:val="single" w:sz="4" w:space="0" w:color="auto"/>
              <w:bottom w:val="single" w:sz="8" w:space="0" w:color="auto"/>
            </w:tcBorders>
            <w:shd w:val="clear" w:color="auto" w:fill="auto"/>
            <w:vAlign w:val="center"/>
          </w:tcPr>
          <w:p w14:paraId="4272927D" w14:textId="77777777" w:rsidR="00737EB2" w:rsidRPr="00765F6E" w:rsidRDefault="00737EB2" w:rsidP="00871D47">
            <w:pPr>
              <w:spacing w:line="240" w:lineRule="exact"/>
              <w:jc w:val="center"/>
              <w:rPr>
                <w:sz w:val="18"/>
                <w:szCs w:val="18"/>
              </w:rPr>
            </w:pPr>
          </w:p>
        </w:tc>
      </w:tr>
      <w:tr w:rsidR="00737EB2" w:rsidRPr="00765F6E" w14:paraId="3171D694" w14:textId="77777777" w:rsidTr="00871D47">
        <w:trPr>
          <w:trHeight w:val="176"/>
        </w:trPr>
        <w:tc>
          <w:tcPr>
            <w:tcW w:w="529" w:type="pct"/>
            <w:tcBorders>
              <w:top w:val="single" w:sz="8" w:space="0" w:color="auto"/>
              <w:bottom w:val="single" w:sz="4" w:space="0" w:color="auto"/>
            </w:tcBorders>
            <w:shd w:val="clear" w:color="auto" w:fill="auto"/>
            <w:vAlign w:val="center"/>
          </w:tcPr>
          <w:p w14:paraId="55804B04" w14:textId="77777777" w:rsidR="00737EB2" w:rsidRPr="00765F6E" w:rsidRDefault="00737EB2" w:rsidP="00871D47">
            <w:pPr>
              <w:spacing w:line="240" w:lineRule="exact"/>
              <w:jc w:val="center"/>
              <w:rPr>
                <w:rFonts w:ascii="宋体" w:hAnsi="宋体"/>
                <w:sz w:val="18"/>
                <w:szCs w:val="18"/>
              </w:rPr>
            </w:pPr>
            <w:r w:rsidRPr="00765F6E">
              <w:rPr>
                <w:rFonts w:ascii="宋体" w:hAnsi="宋体" w:hint="eastAsia"/>
                <w:sz w:val="18"/>
                <w:szCs w:val="18"/>
              </w:rPr>
              <w:t>主导客流</w:t>
            </w:r>
          </w:p>
        </w:tc>
        <w:tc>
          <w:tcPr>
            <w:tcW w:w="751" w:type="pct"/>
            <w:tcBorders>
              <w:top w:val="single" w:sz="8" w:space="0" w:color="auto"/>
              <w:bottom w:val="single" w:sz="4" w:space="0" w:color="auto"/>
            </w:tcBorders>
            <w:shd w:val="clear" w:color="auto" w:fill="auto"/>
            <w:vAlign w:val="center"/>
          </w:tcPr>
          <w:p w14:paraId="35CABB5C" w14:textId="77777777" w:rsidR="00737EB2" w:rsidRPr="00765F6E" w:rsidRDefault="00737EB2" w:rsidP="00871D47">
            <w:pPr>
              <w:spacing w:line="240" w:lineRule="exact"/>
              <w:jc w:val="center"/>
              <w:rPr>
                <w:rFonts w:ascii="宋体" w:hAnsi="宋体"/>
                <w:sz w:val="18"/>
                <w:szCs w:val="18"/>
              </w:rPr>
            </w:pPr>
            <w:r w:rsidRPr="00765F6E">
              <w:rPr>
                <w:rFonts w:ascii="宋体" w:hAnsi="宋体" w:hint="eastAsia"/>
                <w:sz w:val="18"/>
                <w:szCs w:val="18"/>
              </w:rPr>
              <w:t>转乘城际交通客流</w:t>
            </w:r>
          </w:p>
        </w:tc>
        <w:tc>
          <w:tcPr>
            <w:tcW w:w="1384" w:type="pct"/>
            <w:tcBorders>
              <w:top w:val="single" w:sz="8" w:space="0" w:color="auto"/>
              <w:bottom w:val="single" w:sz="4" w:space="0" w:color="auto"/>
            </w:tcBorders>
            <w:shd w:val="clear" w:color="auto" w:fill="auto"/>
            <w:vAlign w:val="center"/>
          </w:tcPr>
          <w:p w14:paraId="3D828945" w14:textId="77777777" w:rsidR="00737EB2" w:rsidRPr="00765F6E" w:rsidRDefault="00737EB2" w:rsidP="00871D47">
            <w:pPr>
              <w:spacing w:line="240" w:lineRule="exact"/>
              <w:jc w:val="left"/>
              <w:rPr>
                <w:rFonts w:ascii="宋体" w:hAnsi="宋体"/>
                <w:sz w:val="18"/>
                <w:szCs w:val="18"/>
              </w:rPr>
            </w:pPr>
            <w:r w:rsidRPr="00765F6E">
              <w:rPr>
                <w:rFonts w:ascii="宋体" w:hAnsi="宋体" w:hint="eastAsia"/>
                <w:sz w:val="18"/>
                <w:szCs w:val="18"/>
              </w:rPr>
              <w:t>旅游观光及商业购物客流</w:t>
            </w:r>
          </w:p>
        </w:tc>
        <w:tc>
          <w:tcPr>
            <w:tcW w:w="975" w:type="pct"/>
            <w:tcBorders>
              <w:top w:val="single" w:sz="8" w:space="0" w:color="auto"/>
              <w:bottom w:val="single" w:sz="4" w:space="0" w:color="auto"/>
            </w:tcBorders>
            <w:shd w:val="clear" w:color="auto" w:fill="auto"/>
            <w:vAlign w:val="center"/>
          </w:tcPr>
          <w:p w14:paraId="53D8F588" w14:textId="77777777" w:rsidR="00737EB2" w:rsidRPr="00765F6E" w:rsidRDefault="00737EB2" w:rsidP="00871D47">
            <w:pPr>
              <w:spacing w:line="240" w:lineRule="exact"/>
              <w:jc w:val="left"/>
              <w:rPr>
                <w:rFonts w:ascii="宋体" w:hAnsi="宋体"/>
                <w:sz w:val="18"/>
                <w:szCs w:val="18"/>
              </w:rPr>
            </w:pPr>
            <w:r w:rsidRPr="00765F6E">
              <w:rPr>
                <w:rFonts w:ascii="宋体" w:hAnsi="宋体" w:hint="eastAsia"/>
                <w:sz w:val="18"/>
                <w:szCs w:val="18"/>
              </w:rPr>
              <w:t>瞬时大规模突发客流</w:t>
            </w:r>
          </w:p>
        </w:tc>
        <w:tc>
          <w:tcPr>
            <w:tcW w:w="1361" w:type="pct"/>
            <w:tcBorders>
              <w:top w:val="single" w:sz="8" w:space="0" w:color="auto"/>
              <w:bottom w:val="single" w:sz="4" w:space="0" w:color="auto"/>
            </w:tcBorders>
            <w:shd w:val="clear" w:color="auto" w:fill="auto"/>
            <w:vAlign w:val="center"/>
          </w:tcPr>
          <w:p w14:paraId="4550379A" w14:textId="77777777" w:rsidR="00737EB2" w:rsidRPr="00765F6E" w:rsidRDefault="00737EB2" w:rsidP="00871D47">
            <w:pPr>
              <w:spacing w:line="240" w:lineRule="exact"/>
              <w:jc w:val="left"/>
              <w:rPr>
                <w:rFonts w:ascii="宋体" w:hAnsi="宋体"/>
                <w:sz w:val="18"/>
                <w:szCs w:val="18"/>
              </w:rPr>
            </w:pPr>
            <w:r w:rsidRPr="00765F6E">
              <w:rPr>
                <w:rFonts w:ascii="宋体" w:hAnsi="宋体" w:hint="eastAsia"/>
                <w:sz w:val="18"/>
                <w:szCs w:val="18"/>
              </w:rPr>
              <w:t>上下班及日常商务客流</w:t>
            </w:r>
          </w:p>
        </w:tc>
      </w:tr>
      <w:tr w:rsidR="00737EB2" w:rsidRPr="00765F6E" w14:paraId="54B14130" w14:textId="77777777" w:rsidTr="00871D47">
        <w:trPr>
          <w:trHeight w:val="176"/>
        </w:trPr>
        <w:tc>
          <w:tcPr>
            <w:tcW w:w="529" w:type="pct"/>
            <w:tcBorders>
              <w:top w:val="single" w:sz="4" w:space="0" w:color="auto"/>
              <w:bottom w:val="single" w:sz="8" w:space="0" w:color="auto"/>
            </w:tcBorders>
            <w:shd w:val="clear" w:color="auto" w:fill="auto"/>
            <w:vAlign w:val="center"/>
          </w:tcPr>
          <w:p w14:paraId="7741B81D"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车站服务区域功能定位</w:t>
            </w:r>
          </w:p>
        </w:tc>
        <w:tc>
          <w:tcPr>
            <w:tcW w:w="751" w:type="pct"/>
            <w:tcBorders>
              <w:top w:val="single" w:sz="4" w:space="0" w:color="auto"/>
              <w:bottom w:val="single" w:sz="8" w:space="0" w:color="auto"/>
            </w:tcBorders>
            <w:shd w:val="clear" w:color="auto" w:fill="auto"/>
            <w:vAlign w:val="center"/>
          </w:tcPr>
          <w:p w14:paraId="2F413443"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各级城际交通枢纽</w:t>
            </w:r>
          </w:p>
        </w:tc>
        <w:tc>
          <w:tcPr>
            <w:tcW w:w="1384" w:type="pct"/>
            <w:tcBorders>
              <w:top w:val="single" w:sz="4" w:space="0" w:color="auto"/>
              <w:bottom w:val="single" w:sz="8" w:space="0" w:color="auto"/>
            </w:tcBorders>
            <w:shd w:val="clear" w:color="auto" w:fill="auto"/>
            <w:vAlign w:val="center"/>
          </w:tcPr>
          <w:p w14:paraId="737EAE67"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（1）大型特色商业区</w:t>
            </w:r>
          </w:p>
          <w:p w14:paraId="5DF58ADF"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（2）风景名胜区及观光点</w:t>
            </w:r>
          </w:p>
        </w:tc>
        <w:tc>
          <w:tcPr>
            <w:tcW w:w="975" w:type="pct"/>
            <w:tcBorders>
              <w:top w:val="single" w:sz="4" w:space="0" w:color="auto"/>
              <w:bottom w:val="single" w:sz="8" w:space="0" w:color="auto"/>
            </w:tcBorders>
            <w:shd w:val="clear" w:color="auto" w:fill="auto"/>
            <w:vAlign w:val="center"/>
          </w:tcPr>
          <w:p w14:paraId="2FDD64C1"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（1）体育场馆</w:t>
            </w:r>
          </w:p>
          <w:p w14:paraId="5B6F0E7D"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（2）会展中心</w:t>
            </w:r>
          </w:p>
        </w:tc>
        <w:tc>
          <w:tcPr>
            <w:tcW w:w="1361" w:type="pct"/>
            <w:tcBorders>
              <w:top w:val="single" w:sz="4" w:space="0" w:color="auto"/>
              <w:bottom w:val="single" w:sz="8" w:space="0" w:color="auto"/>
            </w:tcBorders>
            <w:shd w:val="clear" w:color="auto" w:fill="auto"/>
            <w:vAlign w:val="center"/>
          </w:tcPr>
          <w:p w14:paraId="4E8BAB19"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（1）就业区</w:t>
            </w:r>
          </w:p>
          <w:p w14:paraId="5F2FC82E"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（2）居住区</w:t>
            </w:r>
          </w:p>
          <w:p w14:paraId="471F6E58"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（3）近郊客运中心</w:t>
            </w:r>
          </w:p>
          <w:p w14:paraId="1BD8F372"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（4）市郊铁路首末站</w:t>
            </w:r>
          </w:p>
          <w:p w14:paraId="6D002F35"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（5）市域公交枢纽</w:t>
            </w:r>
          </w:p>
          <w:p w14:paraId="3B1FF971"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（6）线路起终点和普通车站</w:t>
            </w:r>
          </w:p>
        </w:tc>
      </w:tr>
    </w:tbl>
    <w:p w14:paraId="44E5AC14" w14:textId="77777777" w:rsidR="00737EB2" w:rsidRPr="00765F6E" w:rsidRDefault="00737EB2" w:rsidP="00737EB2">
      <w:pPr>
        <w:pStyle w:val="aff3"/>
        <w:spacing w:before="156" w:after="156"/>
      </w:pPr>
      <w:r w:rsidRPr="00765F6E">
        <w:rPr>
          <w:rFonts w:hint="eastAsia"/>
        </w:rPr>
        <w:t>车站建筑分类分级表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2"/>
        <w:gridCol w:w="2007"/>
        <w:gridCol w:w="3495"/>
        <w:gridCol w:w="2800"/>
      </w:tblGrid>
      <w:tr w:rsidR="00FC64C4" w:rsidRPr="00765F6E" w14:paraId="46FC11EC" w14:textId="77777777" w:rsidTr="006417E6">
        <w:trPr>
          <w:trHeight w:val="176"/>
          <w:jc w:val="center"/>
        </w:trPr>
        <w:tc>
          <w:tcPr>
            <w:tcW w:w="553" w:type="pct"/>
            <w:vMerge w:val="restart"/>
            <w:tcBorders>
              <w:top w:val="single" w:sz="8" w:space="0" w:color="auto"/>
              <w:left w:val="single" w:sz="8" w:space="0" w:color="auto"/>
              <w:right w:val="single" w:sz="4" w:space="0" w:color="auto"/>
              <w:tl2br w:val="nil"/>
            </w:tcBorders>
            <w:shd w:val="clear" w:color="auto" w:fill="auto"/>
            <w:vAlign w:val="center"/>
          </w:tcPr>
          <w:p w14:paraId="557130F7" w14:textId="76DD1B9D" w:rsidR="00FC64C4" w:rsidRPr="00765F6E" w:rsidRDefault="00FC64C4" w:rsidP="00453DBE">
            <w:pPr>
              <w:pStyle w:val="affffffffffff2"/>
              <w:spacing w:line="240" w:lineRule="exact"/>
              <w:jc w:val="center"/>
              <w:rPr>
                <w:rFonts w:hAnsi="宋体" w:cs="宋体"/>
                <w:sz w:val="18"/>
                <w:szCs w:val="18"/>
              </w:rPr>
            </w:pPr>
            <w:r w:rsidRPr="00765F6E">
              <w:rPr>
                <w:rFonts w:hAnsi="宋体" w:cs="宋体" w:hint="eastAsia"/>
                <w:sz w:val="18"/>
                <w:szCs w:val="18"/>
              </w:rPr>
              <w:t xml:space="preserve"> </w:t>
            </w:r>
            <w:r>
              <w:rPr>
                <w:rFonts w:hAnsi="宋体" w:cs="宋体" w:hint="eastAsia"/>
                <w:sz w:val="18"/>
                <w:szCs w:val="18"/>
              </w:rPr>
              <w:t>等级</w:t>
            </w:r>
          </w:p>
        </w:tc>
        <w:tc>
          <w:tcPr>
            <w:tcW w:w="4447" w:type="pct"/>
            <w:gridSpan w:val="3"/>
            <w:tcBorders>
              <w:top w:val="single" w:sz="8" w:space="0" w:color="auto"/>
              <w:left w:val="single" w:sz="4" w:space="0" w:color="auto"/>
              <w:bottom w:val="single" w:sz="4" w:space="0" w:color="auto"/>
              <w:right w:val="single" w:sz="8" w:space="0" w:color="auto"/>
              <w:tl2br w:val="nil"/>
            </w:tcBorders>
            <w:shd w:val="clear" w:color="auto" w:fill="auto"/>
            <w:vAlign w:val="center"/>
          </w:tcPr>
          <w:p w14:paraId="0DF68FEC" w14:textId="30E23194" w:rsidR="00FC64C4" w:rsidRPr="00765F6E" w:rsidRDefault="00FC64C4" w:rsidP="00871D47">
            <w:pPr>
              <w:pStyle w:val="affffffffffff2"/>
              <w:jc w:val="center"/>
              <w:rPr>
                <w:rFonts w:hAnsi="宋体" w:cs="宋体"/>
                <w:sz w:val="18"/>
                <w:szCs w:val="18"/>
              </w:rPr>
            </w:pPr>
            <w:r>
              <w:rPr>
                <w:rFonts w:hAnsi="宋体" w:cs="宋体" w:hint="eastAsia"/>
                <w:sz w:val="18"/>
                <w:szCs w:val="18"/>
              </w:rPr>
              <w:t xml:space="preserve">类 </w:t>
            </w:r>
            <w:r>
              <w:rPr>
                <w:rFonts w:hAnsi="宋体" w:cs="宋体"/>
                <w:sz w:val="18"/>
                <w:szCs w:val="18"/>
              </w:rPr>
              <w:t xml:space="preserve"> </w:t>
            </w:r>
            <w:r>
              <w:rPr>
                <w:rFonts w:hAnsi="宋体" w:cs="宋体" w:hint="eastAsia"/>
                <w:sz w:val="18"/>
                <w:szCs w:val="18"/>
              </w:rPr>
              <w:t>型</w:t>
            </w:r>
          </w:p>
        </w:tc>
      </w:tr>
      <w:tr w:rsidR="00C1698F" w:rsidRPr="00765F6E" w14:paraId="7B915706" w14:textId="77777777" w:rsidTr="006417E6">
        <w:trPr>
          <w:trHeight w:val="176"/>
          <w:jc w:val="center"/>
        </w:trPr>
        <w:tc>
          <w:tcPr>
            <w:tcW w:w="553" w:type="pct"/>
            <w:vMerge/>
            <w:tcBorders>
              <w:left w:val="single" w:sz="8" w:space="0" w:color="auto"/>
              <w:right w:val="single" w:sz="4" w:space="0" w:color="auto"/>
              <w:tl2br w:val="nil"/>
            </w:tcBorders>
            <w:shd w:val="clear" w:color="auto" w:fill="auto"/>
            <w:vAlign w:val="center"/>
          </w:tcPr>
          <w:p w14:paraId="4F48659F" w14:textId="062469C8" w:rsidR="00FC64C4" w:rsidRPr="00765F6E" w:rsidRDefault="00FC64C4" w:rsidP="00FC64C4">
            <w:pPr>
              <w:spacing w:line="240" w:lineRule="exact"/>
              <w:jc w:val="center"/>
              <w:rPr>
                <w:rFonts w:hAnsi="宋体" w:cs="宋体"/>
                <w:sz w:val="18"/>
                <w:szCs w:val="18"/>
              </w:rPr>
            </w:pPr>
          </w:p>
        </w:tc>
        <w:tc>
          <w:tcPr>
            <w:tcW w:w="1075" w:type="pct"/>
            <w:tcBorders>
              <w:top w:val="single" w:sz="4" w:space="0" w:color="auto"/>
              <w:left w:val="single" w:sz="4" w:space="0" w:color="auto"/>
              <w:bottom w:val="single" w:sz="8" w:space="0" w:color="auto"/>
              <w:right w:val="single" w:sz="4" w:space="0" w:color="auto"/>
              <w:tl2br w:val="nil"/>
            </w:tcBorders>
            <w:shd w:val="clear" w:color="auto" w:fill="auto"/>
            <w:vAlign w:val="center"/>
          </w:tcPr>
          <w:p w14:paraId="276F6B44" w14:textId="7094D9EC" w:rsidR="00FC64C4" w:rsidRPr="00765F6E" w:rsidRDefault="00FC64C4" w:rsidP="00FC64C4">
            <w:pPr>
              <w:pStyle w:val="affffffffffff2"/>
              <w:jc w:val="center"/>
              <w:rPr>
                <w:rFonts w:hAnsi="宋体" w:cs="宋体"/>
                <w:sz w:val="18"/>
                <w:szCs w:val="18"/>
              </w:rPr>
            </w:pPr>
            <w:r w:rsidRPr="00765F6E">
              <w:rPr>
                <w:rFonts w:hAnsi="宋体" w:cs="宋体"/>
                <w:sz w:val="18"/>
                <w:szCs w:val="18"/>
              </w:rPr>
              <w:t>A</w:t>
            </w:r>
            <w:r w:rsidRPr="00765F6E">
              <w:rPr>
                <w:rFonts w:hAnsi="宋体" w:cs="宋体" w:hint="eastAsia"/>
                <w:sz w:val="18"/>
                <w:szCs w:val="18"/>
              </w:rPr>
              <w:t>类（旅行）</w:t>
            </w:r>
          </w:p>
        </w:tc>
        <w:tc>
          <w:tcPr>
            <w:tcW w:w="1872" w:type="pct"/>
            <w:tcBorders>
              <w:top w:val="single" w:sz="4" w:space="0" w:color="auto"/>
              <w:left w:val="single" w:sz="4" w:space="0" w:color="auto"/>
              <w:bottom w:val="single" w:sz="8" w:space="0" w:color="auto"/>
              <w:right w:val="single" w:sz="4" w:space="0" w:color="auto"/>
              <w:tl2br w:val="nil"/>
            </w:tcBorders>
            <w:shd w:val="clear" w:color="auto" w:fill="auto"/>
            <w:vAlign w:val="center"/>
          </w:tcPr>
          <w:p w14:paraId="7872D5C2" w14:textId="197926CD" w:rsidR="00FC64C4" w:rsidRPr="00765F6E" w:rsidRDefault="00FC64C4" w:rsidP="00FC64C4">
            <w:pPr>
              <w:pStyle w:val="affffffffffff2"/>
              <w:jc w:val="center"/>
              <w:rPr>
                <w:rFonts w:hAnsi="宋体" w:cs="宋体"/>
                <w:sz w:val="18"/>
                <w:szCs w:val="18"/>
              </w:rPr>
            </w:pPr>
            <w:r w:rsidRPr="00765F6E">
              <w:rPr>
                <w:rFonts w:hAnsi="宋体" w:cs="宋体" w:hint="eastAsia"/>
                <w:sz w:val="18"/>
                <w:szCs w:val="18"/>
              </w:rPr>
              <w:t>B类（休闲、集会）</w:t>
            </w:r>
          </w:p>
        </w:tc>
        <w:tc>
          <w:tcPr>
            <w:tcW w:w="1500" w:type="pct"/>
            <w:tcBorders>
              <w:top w:val="single" w:sz="4" w:space="0" w:color="auto"/>
              <w:left w:val="single" w:sz="4" w:space="0" w:color="auto"/>
              <w:bottom w:val="single" w:sz="8" w:space="0" w:color="auto"/>
              <w:right w:val="single" w:sz="8" w:space="0" w:color="auto"/>
              <w:tl2br w:val="nil"/>
            </w:tcBorders>
            <w:shd w:val="clear" w:color="auto" w:fill="auto"/>
            <w:vAlign w:val="center"/>
          </w:tcPr>
          <w:p w14:paraId="687F6D4F" w14:textId="57D247E2" w:rsidR="00FC64C4" w:rsidRPr="00765F6E" w:rsidRDefault="00FC64C4" w:rsidP="00FC64C4">
            <w:pPr>
              <w:pStyle w:val="affffffffffff2"/>
              <w:jc w:val="center"/>
              <w:rPr>
                <w:rFonts w:hAnsi="宋体" w:cs="宋体"/>
                <w:sz w:val="18"/>
                <w:szCs w:val="18"/>
              </w:rPr>
            </w:pPr>
            <w:r w:rsidRPr="00765F6E">
              <w:rPr>
                <w:rFonts w:hAnsi="宋体" w:cs="宋体" w:hint="eastAsia"/>
                <w:sz w:val="18"/>
                <w:szCs w:val="18"/>
              </w:rPr>
              <w:t>C类（通勤）</w:t>
            </w:r>
          </w:p>
        </w:tc>
      </w:tr>
      <w:tr w:rsidR="00C1698F" w:rsidRPr="00765F6E" w14:paraId="095EE7B4" w14:textId="77777777" w:rsidTr="006417E6">
        <w:trPr>
          <w:trHeight w:val="176"/>
          <w:jc w:val="center"/>
        </w:trPr>
        <w:tc>
          <w:tcPr>
            <w:tcW w:w="553" w:type="pct"/>
            <w:vMerge/>
            <w:tcBorders>
              <w:left w:val="single" w:sz="8" w:space="0" w:color="auto"/>
              <w:bottom w:val="single" w:sz="4" w:space="0" w:color="auto"/>
              <w:right w:val="single" w:sz="4" w:space="0" w:color="auto"/>
              <w:tl2br w:val="nil"/>
            </w:tcBorders>
            <w:shd w:val="clear" w:color="auto" w:fill="auto"/>
            <w:vAlign w:val="center"/>
          </w:tcPr>
          <w:p w14:paraId="11C46D87" w14:textId="55031C4D" w:rsidR="00FC64C4" w:rsidRPr="00765F6E" w:rsidRDefault="00FC64C4" w:rsidP="00FC64C4">
            <w:pPr>
              <w:spacing w:line="240" w:lineRule="exact"/>
              <w:jc w:val="center"/>
              <w:rPr>
                <w:rFonts w:ascii="宋体" w:hAnsi="宋体"/>
                <w:sz w:val="18"/>
                <w:szCs w:val="18"/>
              </w:rPr>
            </w:pPr>
          </w:p>
        </w:tc>
        <w:tc>
          <w:tcPr>
            <w:tcW w:w="1075" w:type="pct"/>
            <w:tcBorders>
              <w:top w:val="single" w:sz="8" w:space="0" w:color="auto"/>
              <w:left w:val="single" w:sz="4" w:space="0" w:color="auto"/>
              <w:bottom w:val="single" w:sz="4" w:space="0" w:color="auto"/>
              <w:right w:val="single" w:sz="4" w:space="0" w:color="auto"/>
              <w:tl2br w:val="nil"/>
            </w:tcBorders>
            <w:shd w:val="clear" w:color="auto" w:fill="auto"/>
            <w:vAlign w:val="center"/>
          </w:tcPr>
          <w:p w14:paraId="37AAA0B2" w14:textId="391C98E5" w:rsidR="00FC64C4" w:rsidRPr="00765F6E" w:rsidRDefault="00FC64C4" w:rsidP="00FC64C4">
            <w:pPr>
              <w:spacing w:line="240" w:lineRule="exact"/>
              <w:jc w:val="center"/>
              <w:textAlignment w:val="center"/>
              <w:rPr>
                <w:rFonts w:ascii="宋体" w:hAnsi="宋体"/>
                <w:sz w:val="18"/>
                <w:szCs w:val="18"/>
              </w:rPr>
            </w:pPr>
            <w:r w:rsidRPr="00765F6E">
              <w:rPr>
                <w:rFonts w:hAnsi="宋体" w:cs="宋体" w:hint="eastAsia"/>
                <w:sz w:val="18"/>
                <w:szCs w:val="18"/>
              </w:rPr>
              <w:t>转乘城际交通客流</w:t>
            </w:r>
          </w:p>
        </w:tc>
        <w:tc>
          <w:tcPr>
            <w:tcW w:w="1872" w:type="pct"/>
            <w:tcBorders>
              <w:top w:val="single" w:sz="8" w:space="0" w:color="auto"/>
              <w:left w:val="single" w:sz="4" w:space="0" w:color="auto"/>
              <w:bottom w:val="single" w:sz="4" w:space="0" w:color="auto"/>
              <w:right w:val="single" w:sz="4" w:space="0" w:color="auto"/>
              <w:tl2br w:val="nil"/>
            </w:tcBorders>
            <w:shd w:val="clear" w:color="auto" w:fill="auto"/>
            <w:vAlign w:val="center"/>
          </w:tcPr>
          <w:p w14:paraId="692A0D53" w14:textId="714EC503" w:rsidR="00FC64C4" w:rsidRPr="00765F6E" w:rsidRDefault="00FC64C4" w:rsidP="00FC64C4">
            <w:pPr>
              <w:spacing w:line="240" w:lineRule="exact"/>
              <w:jc w:val="left"/>
              <w:textAlignment w:val="center"/>
              <w:rPr>
                <w:rFonts w:ascii="宋体" w:hAnsi="宋体"/>
                <w:sz w:val="18"/>
                <w:szCs w:val="18"/>
              </w:rPr>
            </w:pPr>
            <w:r w:rsidRPr="00765F6E">
              <w:rPr>
                <w:rFonts w:hAnsi="宋体" w:cs="宋体" w:hint="eastAsia"/>
                <w:sz w:val="18"/>
                <w:szCs w:val="18"/>
              </w:rPr>
              <w:t>旅游观光及商业购物客流</w:t>
            </w:r>
          </w:p>
        </w:tc>
        <w:tc>
          <w:tcPr>
            <w:tcW w:w="1500" w:type="pct"/>
            <w:tcBorders>
              <w:top w:val="single" w:sz="8" w:space="0" w:color="auto"/>
              <w:left w:val="single" w:sz="4" w:space="0" w:color="auto"/>
              <w:bottom w:val="single" w:sz="4" w:space="0" w:color="auto"/>
              <w:right w:val="single" w:sz="8" w:space="0" w:color="auto"/>
              <w:tl2br w:val="nil"/>
            </w:tcBorders>
            <w:shd w:val="clear" w:color="auto" w:fill="auto"/>
            <w:vAlign w:val="center"/>
          </w:tcPr>
          <w:p w14:paraId="0D4E2144" w14:textId="75E8EAAA" w:rsidR="00FC64C4" w:rsidRPr="00765F6E" w:rsidRDefault="00FC64C4" w:rsidP="00FC64C4">
            <w:pPr>
              <w:spacing w:line="240" w:lineRule="exact"/>
              <w:jc w:val="center"/>
              <w:textAlignment w:val="center"/>
              <w:rPr>
                <w:rFonts w:ascii="宋体" w:hAnsi="宋体"/>
                <w:sz w:val="18"/>
                <w:szCs w:val="18"/>
              </w:rPr>
            </w:pPr>
            <w:r w:rsidRPr="00765F6E">
              <w:rPr>
                <w:rFonts w:hAnsi="宋体" w:cs="宋体" w:hint="eastAsia"/>
                <w:sz w:val="18"/>
                <w:szCs w:val="18"/>
              </w:rPr>
              <w:t>上下班及日常商务客流</w:t>
            </w:r>
          </w:p>
        </w:tc>
      </w:tr>
      <w:tr w:rsidR="000110B6" w:rsidRPr="00765F6E" w14:paraId="2800FF72" w14:textId="77777777" w:rsidTr="00623032">
        <w:trPr>
          <w:trHeight w:val="176"/>
          <w:jc w:val="center"/>
        </w:trPr>
        <w:tc>
          <w:tcPr>
            <w:tcW w:w="553" w:type="pct"/>
            <w:tcBorders>
              <w:top w:val="single" w:sz="8" w:space="0" w:color="auto"/>
              <w:left w:val="single" w:sz="8" w:space="0" w:color="auto"/>
              <w:bottom w:val="single" w:sz="4" w:space="0" w:color="auto"/>
              <w:right w:val="single" w:sz="4" w:space="0" w:color="auto"/>
              <w:tl2br w:val="nil"/>
            </w:tcBorders>
            <w:shd w:val="clear" w:color="auto" w:fill="auto"/>
            <w:vAlign w:val="center"/>
          </w:tcPr>
          <w:p w14:paraId="3603061C" w14:textId="131EEF92" w:rsidR="00FC64C4" w:rsidRPr="00765F6E" w:rsidRDefault="00FC64C4" w:rsidP="00FC64C4">
            <w:pPr>
              <w:spacing w:line="240" w:lineRule="exact"/>
              <w:jc w:val="center"/>
              <w:rPr>
                <w:rFonts w:ascii="宋体" w:hAnsi="宋体"/>
                <w:sz w:val="18"/>
                <w:szCs w:val="18"/>
              </w:rPr>
            </w:pPr>
            <w:r w:rsidRPr="00765F6E">
              <w:rPr>
                <w:rFonts w:ascii="宋体" w:hAnsi="宋体" w:hint="eastAsia"/>
                <w:sz w:val="18"/>
                <w:szCs w:val="18"/>
              </w:rPr>
              <w:t>特级</w:t>
            </w:r>
          </w:p>
        </w:tc>
        <w:tc>
          <w:tcPr>
            <w:tcW w:w="1075" w:type="pct"/>
            <w:tcBorders>
              <w:top w:val="single" w:sz="8" w:space="0" w:color="auto"/>
              <w:left w:val="single" w:sz="4" w:space="0" w:color="auto"/>
              <w:bottom w:val="single" w:sz="4" w:space="0" w:color="auto"/>
              <w:right w:val="single" w:sz="4" w:space="0" w:color="auto"/>
              <w:tl2br w:val="nil"/>
            </w:tcBorders>
            <w:shd w:val="clear" w:color="auto" w:fill="auto"/>
            <w:vAlign w:val="center"/>
          </w:tcPr>
          <w:p w14:paraId="2D0E4301" w14:textId="24D96220" w:rsidR="00FC64C4" w:rsidRPr="00765F6E" w:rsidRDefault="00FC64C4" w:rsidP="00FC64C4">
            <w:pPr>
              <w:spacing w:line="240" w:lineRule="exact"/>
              <w:jc w:val="center"/>
              <w:textAlignment w:val="center"/>
              <w:rPr>
                <w:rFonts w:ascii="宋体" w:hAnsi="宋体"/>
                <w:sz w:val="18"/>
                <w:szCs w:val="18"/>
              </w:rPr>
            </w:pPr>
            <w:r w:rsidRPr="00765F6E">
              <w:rPr>
                <w:rFonts w:ascii="宋体" w:hAnsi="宋体" w:hint="eastAsia"/>
                <w:sz w:val="18"/>
                <w:szCs w:val="18"/>
              </w:rPr>
              <w:t>大型城际交通枢纽站</w:t>
            </w:r>
          </w:p>
        </w:tc>
        <w:tc>
          <w:tcPr>
            <w:tcW w:w="1872" w:type="pct"/>
            <w:tcBorders>
              <w:top w:val="single" w:sz="8" w:space="0" w:color="auto"/>
              <w:left w:val="single" w:sz="4" w:space="0" w:color="auto"/>
              <w:bottom w:val="single" w:sz="4" w:space="0" w:color="auto"/>
              <w:right w:val="single" w:sz="4" w:space="0" w:color="auto"/>
              <w:tl2br w:val="nil"/>
            </w:tcBorders>
            <w:shd w:val="clear" w:color="auto" w:fill="auto"/>
            <w:vAlign w:val="center"/>
          </w:tcPr>
          <w:p w14:paraId="42961970" w14:textId="77777777" w:rsidR="00FC64C4" w:rsidRPr="00765F6E" w:rsidRDefault="00FC64C4" w:rsidP="00FC64C4">
            <w:pPr>
              <w:spacing w:line="240" w:lineRule="exact"/>
              <w:jc w:val="left"/>
              <w:textAlignment w:val="center"/>
              <w:rPr>
                <w:rFonts w:ascii="宋体" w:hAnsi="宋体"/>
                <w:sz w:val="18"/>
                <w:szCs w:val="18"/>
              </w:rPr>
            </w:pPr>
            <w:r w:rsidRPr="00765F6E">
              <w:rPr>
                <w:rFonts w:ascii="宋体" w:hAnsi="宋体" w:hint="eastAsia"/>
                <w:sz w:val="18"/>
                <w:szCs w:val="18"/>
              </w:rPr>
              <w:t>（1）世界文化遗产旅游观光区</w:t>
            </w:r>
          </w:p>
          <w:p w14:paraId="135ABB8A" w14:textId="77777777" w:rsidR="00FC64C4" w:rsidRPr="00765F6E" w:rsidRDefault="00FC64C4" w:rsidP="00FC64C4">
            <w:pPr>
              <w:spacing w:line="240" w:lineRule="exact"/>
              <w:jc w:val="left"/>
              <w:textAlignment w:val="center"/>
              <w:rPr>
                <w:rFonts w:ascii="宋体" w:hAnsi="宋体"/>
                <w:sz w:val="18"/>
                <w:szCs w:val="18"/>
              </w:rPr>
            </w:pPr>
            <w:r w:rsidRPr="00765F6E">
              <w:rPr>
                <w:rFonts w:ascii="宋体" w:hAnsi="宋体" w:hint="eastAsia"/>
                <w:sz w:val="18"/>
                <w:szCs w:val="18"/>
              </w:rPr>
              <w:t>（2）举办国际性集会活动的场所</w:t>
            </w:r>
          </w:p>
          <w:p w14:paraId="172D473F" w14:textId="1AD950D6" w:rsidR="00FC64C4" w:rsidRPr="00765F6E" w:rsidRDefault="00FC64C4" w:rsidP="00FC64C4">
            <w:pPr>
              <w:spacing w:line="240" w:lineRule="exact"/>
              <w:jc w:val="left"/>
              <w:textAlignment w:val="center"/>
              <w:rPr>
                <w:rFonts w:ascii="宋体" w:hAnsi="宋体"/>
                <w:sz w:val="18"/>
                <w:szCs w:val="18"/>
              </w:rPr>
            </w:pPr>
            <w:r w:rsidRPr="00765F6E">
              <w:rPr>
                <w:rFonts w:ascii="宋体" w:hAnsi="宋体" w:hint="eastAsia"/>
                <w:sz w:val="18"/>
                <w:szCs w:val="18"/>
              </w:rPr>
              <w:t>（3）特大体育中心</w:t>
            </w:r>
          </w:p>
        </w:tc>
        <w:tc>
          <w:tcPr>
            <w:tcW w:w="1500" w:type="pct"/>
            <w:tcBorders>
              <w:top w:val="single" w:sz="8" w:space="0" w:color="auto"/>
              <w:left w:val="single" w:sz="4" w:space="0" w:color="auto"/>
              <w:bottom w:val="single" w:sz="4" w:space="0" w:color="auto"/>
              <w:right w:val="single" w:sz="8" w:space="0" w:color="auto"/>
              <w:tl2br w:val="nil"/>
            </w:tcBorders>
            <w:shd w:val="clear" w:color="auto" w:fill="auto"/>
            <w:vAlign w:val="center"/>
          </w:tcPr>
          <w:p w14:paraId="3F12F31C" w14:textId="4E69244D" w:rsidR="00FC64C4" w:rsidRPr="00765F6E" w:rsidRDefault="00B01F50" w:rsidP="00FC64C4">
            <w:pPr>
              <w:spacing w:line="240" w:lineRule="exact"/>
              <w:jc w:val="center"/>
              <w:textAlignment w:val="center"/>
              <w:rPr>
                <w:rFonts w:ascii="宋体" w:hAnsi="宋体"/>
                <w:sz w:val="18"/>
                <w:szCs w:val="18"/>
              </w:rPr>
            </w:pPr>
            <w:r>
              <w:rPr>
                <w:rFonts w:ascii="宋体" w:hAnsi="宋体" w:hint="eastAsia"/>
                <w:sz w:val="18"/>
                <w:szCs w:val="18"/>
              </w:rPr>
              <w:t>-</w:t>
            </w:r>
          </w:p>
        </w:tc>
      </w:tr>
      <w:tr w:rsidR="00C1698F" w:rsidRPr="00765F6E" w14:paraId="6C1D629A" w14:textId="77777777" w:rsidTr="00623032">
        <w:trPr>
          <w:trHeight w:val="176"/>
          <w:jc w:val="center"/>
        </w:trPr>
        <w:tc>
          <w:tcPr>
            <w:tcW w:w="553" w:type="pct"/>
            <w:tcBorders>
              <w:top w:val="single" w:sz="4" w:space="0" w:color="auto"/>
              <w:left w:val="single" w:sz="8" w:space="0" w:color="auto"/>
              <w:bottom w:val="single" w:sz="4" w:space="0" w:color="auto"/>
              <w:right w:val="single" w:sz="4" w:space="0" w:color="auto"/>
              <w:tl2br w:val="nil"/>
            </w:tcBorders>
            <w:shd w:val="clear" w:color="auto" w:fill="auto"/>
            <w:vAlign w:val="center"/>
          </w:tcPr>
          <w:p w14:paraId="18EB8822"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甲级</w:t>
            </w:r>
          </w:p>
        </w:tc>
        <w:tc>
          <w:tcPr>
            <w:tcW w:w="1075" w:type="pct"/>
            <w:tcBorders>
              <w:top w:val="single" w:sz="4" w:space="0" w:color="auto"/>
              <w:left w:val="single" w:sz="4" w:space="0" w:color="auto"/>
              <w:bottom w:val="single" w:sz="4" w:space="0" w:color="auto"/>
              <w:right w:val="single" w:sz="4" w:space="0" w:color="auto"/>
              <w:tl2br w:val="nil"/>
            </w:tcBorders>
            <w:shd w:val="clear" w:color="auto" w:fill="auto"/>
            <w:vAlign w:val="center"/>
          </w:tcPr>
          <w:p w14:paraId="1ED24C7B"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发车距离&gt;</w:t>
            </w:r>
            <w:r w:rsidRPr="00765F6E">
              <w:rPr>
                <w:rFonts w:ascii="宋体" w:hAnsi="宋体"/>
                <w:sz w:val="18"/>
                <w:szCs w:val="18"/>
              </w:rPr>
              <w:t>300km</w:t>
            </w:r>
            <w:r w:rsidRPr="00765F6E">
              <w:rPr>
                <w:rFonts w:ascii="宋体" w:hAnsi="宋体" w:hint="eastAsia"/>
                <w:sz w:val="18"/>
                <w:szCs w:val="18"/>
              </w:rPr>
              <w:t>的城际交通枢纽站</w:t>
            </w:r>
          </w:p>
        </w:tc>
        <w:tc>
          <w:tcPr>
            <w:tcW w:w="1872" w:type="pct"/>
            <w:tcBorders>
              <w:top w:val="single" w:sz="4" w:space="0" w:color="auto"/>
              <w:left w:val="single" w:sz="4" w:space="0" w:color="auto"/>
              <w:bottom w:val="single" w:sz="4" w:space="0" w:color="auto"/>
              <w:right w:val="single" w:sz="4" w:space="0" w:color="auto"/>
              <w:tl2br w:val="nil"/>
            </w:tcBorders>
            <w:shd w:val="clear" w:color="auto" w:fill="auto"/>
            <w:vAlign w:val="center"/>
          </w:tcPr>
          <w:p w14:paraId="04CCD325"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（1）大型特色商业区</w:t>
            </w:r>
          </w:p>
          <w:p w14:paraId="40CCD85B"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（2）国家级风景名胜区</w:t>
            </w:r>
          </w:p>
          <w:p w14:paraId="0D94F174"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（3）举办国家性集会活动的场所</w:t>
            </w:r>
          </w:p>
          <w:p w14:paraId="25FFB32D"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（4）大型体育中心</w:t>
            </w:r>
          </w:p>
          <w:p w14:paraId="5D899C7D"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lastRenderedPageBreak/>
              <w:t>（5）大型会展场馆</w:t>
            </w:r>
          </w:p>
        </w:tc>
        <w:tc>
          <w:tcPr>
            <w:tcW w:w="1500" w:type="pct"/>
            <w:tcBorders>
              <w:top w:val="single" w:sz="4" w:space="0" w:color="auto"/>
              <w:left w:val="single" w:sz="4" w:space="0" w:color="auto"/>
              <w:bottom w:val="single" w:sz="4" w:space="0" w:color="auto"/>
              <w:right w:val="single" w:sz="8" w:space="0" w:color="auto"/>
              <w:tl2br w:val="nil"/>
            </w:tcBorders>
            <w:shd w:val="clear" w:color="auto" w:fill="auto"/>
            <w:vAlign w:val="center"/>
          </w:tcPr>
          <w:p w14:paraId="03454AC5"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lastRenderedPageBreak/>
              <w:t>（1）近郊客运中心</w:t>
            </w:r>
          </w:p>
          <w:p w14:paraId="14521580"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（2）市郊铁路首末站</w:t>
            </w:r>
          </w:p>
          <w:p w14:paraId="2C0F903E"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（3）市域公交枢纽</w:t>
            </w:r>
          </w:p>
        </w:tc>
      </w:tr>
      <w:tr w:rsidR="00C1698F" w:rsidRPr="00765F6E" w14:paraId="6C1A7478" w14:textId="77777777" w:rsidTr="00623032">
        <w:trPr>
          <w:trHeight w:val="176"/>
          <w:jc w:val="center"/>
        </w:trPr>
        <w:tc>
          <w:tcPr>
            <w:tcW w:w="553" w:type="pct"/>
            <w:tcBorders>
              <w:top w:val="single" w:sz="4" w:space="0" w:color="auto"/>
              <w:left w:val="single" w:sz="8" w:space="0" w:color="auto"/>
              <w:bottom w:val="single" w:sz="4" w:space="0" w:color="auto"/>
              <w:right w:val="single" w:sz="4" w:space="0" w:color="auto"/>
              <w:tl2br w:val="nil"/>
            </w:tcBorders>
            <w:shd w:val="clear" w:color="auto" w:fill="auto"/>
            <w:vAlign w:val="center"/>
          </w:tcPr>
          <w:p w14:paraId="3E5CA41C"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乙级</w:t>
            </w:r>
          </w:p>
        </w:tc>
        <w:tc>
          <w:tcPr>
            <w:tcW w:w="1075" w:type="pct"/>
            <w:tcBorders>
              <w:top w:val="single" w:sz="4" w:space="0" w:color="auto"/>
              <w:left w:val="single" w:sz="4" w:space="0" w:color="auto"/>
              <w:bottom w:val="single" w:sz="4" w:space="0" w:color="auto"/>
              <w:right w:val="single" w:sz="4" w:space="0" w:color="auto"/>
              <w:tl2br w:val="nil"/>
            </w:tcBorders>
            <w:shd w:val="clear" w:color="auto" w:fill="auto"/>
            <w:vAlign w:val="center"/>
          </w:tcPr>
          <w:p w14:paraId="03108AE3"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发车距离&lt;</w:t>
            </w:r>
            <w:r w:rsidRPr="00765F6E">
              <w:rPr>
                <w:rFonts w:ascii="宋体" w:hAnsi="宋体"/>
                <w:sz w:val="18"/>
                <w:szCs w:val="18"/>
              </w:rPr>
              <w:t>300km</w:t>
            </w:r>
            <w:r w:rsidRPr="00765F6E">
              <w:rPr>
                <w:rFonts w:ascii="宋体" w:hAnsi="宋体" w:hint="eastAsia"/>
                <w:sz w:val="18"/>
                <w:szCs w:val="18"/>
              </w:rPr>
              <w:t>的城际交通枢纽站</w:t>
            </w:r>
          </w:p>
        </w:tc>
        <w:tc>
          <w:tcPr>
            <w:tcW w:w="1872" w:type="pct"/>
            <w:tcBorders>
              <w:top w:val="single" w:sz="4" w:space="0" w:color="auto"/>
              <w:left w:val="single" w:sz="4" w:space="0" w:color="auto"/>
              <w:bottom w:val="single" w:sz="4" w:space="0" w:color="auto"/>
              <w:right w:val="single" w:sz="4" w:space="0" w:color="auto"/>
              <w:tl2br w:val="nil"/>
            </w:tcBorders>
            <w:shd w:val="clear" w:color="auto" w:fill="auto"/>
            <w:vAlign w:val="center"/>
          </w:tcPr>
          <w:p w14:paraId="2CACC93C"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（1）中型体育中心</w:t>
            </w:r>
          </w:p>
          <w:p w14:paraId="7BB0C110"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（2）中型会展场馆</w:t>
            </w:r>
          </w:p>
        </w:tc>
        <w:tc>
          <w:tcPr>
            <w:tcW w:w="1500" w:type="pct"/>
            <w:tcBorders>
              <w:top w:val="single" w:sz="4" w:space="0" w:color="auto"/>
              <w:left w:val="single" w:sz="4" w:space="0" w:color="auto"/>
              <w:bottom w:val="single" w:sz="4" w:space="0" w:color="auto"/>
              <w:right w:val="single" w:sz="8" w:space="0" w:color="auto"/>
              <w:tl2br w:val="nil"/>
            </w:tcBorders>
            <w:shd w:val="clear" w:color="auto" w:fill="auto"/>
            <w:vAlign w:val="center"/>
          </w:tcPr>
          <w:p w14:paraId="46EB717B"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（1）高密度就业区</w:t>
            </w:r>
          </w:p>
          <w:p w14:paraId="516D6076"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（2）十分钟生活圈及以上</w:t>
            </w:r>
          </w:p>
        </w:tc>
      </w:tr>
      <w:tr w:rsidR="00C1698F" w:rsidRPr="00765F6E" w14:paraId="535E866E" w14:textId="77777777" w:rsidTr="00623032">
        <w:trPr>
          <w:trHeight w:val="176"/>
          <w:jc w:val="center"/>
        </w:trPr>
        <w:tc>
          <w:tcPr>
            <w:tcW w:w="553" w:type="pct"/>
            <w:tcBorders>
              <w:top w:val="single" w:sz="4" w:space="0" w:color="auto"/>
              <w:left w:val="single" w:sz="8" w:space="0" w:color="auto"/>
              <w:bottom w:val="single" w:sz="8" w:space="0" w:color="auto"/>
              <w:right w:val="single" w:sz="4" w:space="0" w:color="auto"/>
              <w:tl2br w:val="nil"/>
            </w:tcBorders>
            <w:shd w:val="clear" w:color="auto" w:fill="auto"/>
            <w:vAlign w:val="center"/>
          </w:tcPr>
          <w:p w14:paraId="4DF3051F"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丙级</w:t>
            </w:r>
          </w:p>
        </w:tc>
        <w:tc>
          <w:tcPr>
            <w:tcW w:w="1075" w:type="pct"/>
            <w:tcBorders>
              <w:top w:val="single" w:sz="4" w:space="0" w:color="auto"/>
              <w:left w:val="single" w:sz="4" w:space="0" w:color="auto"/>
              <w:bottom w:val="single" w:sz="8" w:space="0" w:color="auto"/>
              <w:right w:val="single" w:sz="4" w:space="0" w:color="auto"/>
              <w:tl2br w:val="nil"/>
            </w:tcBorders>
            <w:shd w:val="clear" w:color="auto" w:fill="auto"/>
            <w:vAlign w:val="center"/>
          </w:tcPr>
          <w:p w14:paraId="7F1854E5"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w:t>
            </w:r>
          </w:p>
        </w:tc>
        <w:tc>
          <w:tcPr>
            <w:tcW w:w="1872" w:type="pct"/>
            <w:tcBorders>
              <w:top w:val="single" w:sz="4" w:space="0" w:color="auto"/>
              <w:left w:val="single" w:sz="4" w:space="0" w:color="auto"/>
              <w:bottom w:val="single" w:sz="8" w:space="0" w:color="auto"/>
              <w:right w:val="single" w:sz="4" w:space="0" w:color="auto"/>
              <w:tl2br w:val="nil"/>
            </w:tcBorders>
            <w:shd w:val="clear" w:color="auto" w:fill="auto"/>
            <w:vAlign w:val="center"/>
          </w:tcPr>
          <w:p w14:paraId="637DBED7"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（1）小型体育中心</w:t>
            </w:r>
          </w:p>
          <w:p w14:paraId="6A0F1C70"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（2）区级商业区</w:t>
            </w:r>
          </w:p>
          <w:p w14:paraId="60C2E8D3"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（3）小型会展场馆</w:t>
            </w:r>
          </w:p>
          <w:p w14:paraId="306AD553"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（4）举办地区性集会活动的场所</w:t>
            </w:r>
          </w:p>
        </w:tc>
        <w:tc>
          <w:tcPr>
            <w:tcW w:w="1500" w:type="pct"/>
            <w:tcBorders>
              <w:top w:val="single" w:sz="4" w:space="0" w:color="auto"/>
              <w:left w:val="single" w:sz="4" w:space="0" w:color="auto"/>
              <w:bottom w:val="single" w:sz="8" w:space="0" w:color="auto"/>
              <w:right w:val="single" w:sz="8" w:space="0" w:color="auto"/>
              <w:tl2br w:val="nil"/>
            </w:tcBorders>
            <w:shd w:val="clear" w:color="auto" w:fill="auto"/>
            <w:vAlign w:val="center"/>
          </w:tcPr>
          <w:p w14:paraId="0D868F7F"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（1）线路起终点</w:t>
            </w:r>
          </w:p>
          <w:p w14:paraId="7E3BB368"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（2）五分钟生活圈及以下</w:t>
            </w:r>
          </w:p>
        </w:tc>
      </w:tr>
    </w:tbl>
    <w:p w14:paraId="6C58084B" w14:textId="77777777" w:rsidR="00737EB2" w:rsidRPr="00765F6E" w:rsidRDefault="00737EB2" w:rsidP="00737EB2">
      <w:pPr>
        <w:spacing w:line="240" w:lineRule="auto"/>
      </w:pPr>
    </w:p>
    <w:p w14:paraId="08431964" w14:textId="77777777" w:rsidR="00737EB2" w:rsidRPr="00765F6E" w:rsidRDefault="00737EB2" w:rsidP="00737EB2">
      <w:pPr>
        <w:pStyle w:val="affe"/>
        <w:spacing w:before="156" w:after="156"/>
      </w:pPr>
      <w:bookmarkStart w:id="1602" w:name="_Toc99792053"/>
      <w:bookmarkStart w:id="1603" w:name="_Toc153291487"/>
      <w:bookmarkStart w:id="1604" w:name="_Toc153210890"/>
      <w:bookmarkStart w:id="1605" w:name="_Toc167895788"/>
      <w:bookmarkStart w:id="1606" w:name="_Toc174538702"/>
      <w:bookmarkStart w:id="1607" w:name="_Toc182476459"/>
      <w:r w:rsidRPr="00765F6E">
        <w:rPr>
          <w:rFonts w:hint="eastAsia"/>
        </w:rPr>
        <w:t>主要设计标准</w:t>
      </w:r>
      <w:bookmarkEnd w:id="1602"/>
      <w:bookmarkEnd w:id="1603"/>
      <w:bookmarkEnd w:id="1604"/>
      <w:bookmarkEnd w:id="1605"/>
      <w:bookmarkEnd w:id="1606"/>
      <w:bookmarkEnd w:id="1607"/>
    </w:p>
    <w:p w14:paraId="1131B36C" w14:textId="77777777" w:rsidR="00737EB2" w:rsidRPr="00765F6E" w:rsidRDefault="00737EB2" w:rsidP="009D0776">
      <w:pPr>
        <w:pStyle w:val="22"/>
      </w:pPr>
      <w:bookmarkStart w:id="1608" w:name="_Toc99792054"/>
      <w:bookmarkStart w:id="1609" w:name="_Toc153291488"/>
      <w:r w:rsidRPr="00765F6E">
        <w:rPr>
          <w:rFonts w:hint="eastAsia"/>
        </w:rPr>
        <w:t>车站站厅、站台规模以及出入口通道、楼梯、自动扶梯、售检票口（机）等设施的能力应按照超高峰设计客流量确定，超高峰设计客流量应为该站预测远期高峰小时客流量或客流控制期的高峰小时客流乘以超高峰系数。</w:t>
      </w:r>
      <w:bookmarkEnd w:id="1608"/>
      <w:bookmarkEnd w:id="1609"/>
    </w:p>
    <w:p w14:paraId="3ABD0283" w14:textId="559B0122" w:rsidR="00737EB2" w:rsidRPr="00765F6E" w:rsidRDefault="00737EB2" w:rsidP="009D0776">
      <w:pPr>
        <w:pStyle w:val="22"/>
      </w:pPr>
      <w:bookmarkStart w:id="1610" w:name="_Toc153291489"/>
      <w:bookmarkStart w:id="1611" w:name="_Toc99792055"/>
      <w:r w:rsidRPr="00765F6E">
        <w:rPr>
          <w:rFonts w:hint="eastAsia"/>
        </w:rPr>
        <w:t>车站的站台宽度应通过计算确定，但最小站台宽度不应小于表</w:t>
      </w:r>
      <w:r w:rsidR="001C1F75" w:rsidRPr="00765F6E">
        <w:rPr>
          <w:rFonts w:hint="eastAsia"/>
        </w:rPr>
        <w:t>6</w:t>
      </w:r>
      <w:r w:rsidR="001C1F75">
        <w:t>5</w:t>
      </w:r>
      <w:r w:rsidRPr="00765F6E">
        <w:rPr>
          <w:rFonts w:hint="eastAsia"/>
        </w:rPr>
        <w:t>的规定：</w:t>
      </w:r>
      <w:bookmarkEnd w:id="1610"/>
      <w:bookmarkEnd w:id="1611"/>
    </w:p>
    <w:p w14:paraId="001631FD" w14:textId="77777777" w:rsidR="00737EB2" w:rsidRPr="00765F6E" w:rsidRDefault="00737EB2" w:rsidP="00737EB2">
      <w:pPr>
        <w:pStyle w:val="aff3"/>
        <w:spacing w:before="156" w:after="156"/>
      </w:pPr>
      <w:r w:rsidRPr="00765F6E">
        <w:rPr>
          <w:rFonts w:hint="eastAsia"/>
        </w:rPr>
        <w:t>车站站台最小宽度</w:t>
      </w:r>
    </w:p>
    <w:p w14:paraId="6E885494" w14:textId="77777777" w:rsidR="00737EB2" w:rsidRPr="00765F6E" w:rsidRDefault="00737EB2" w:rsidP="00DF66A6">
      <w:pPr>
        <w:pStyle w:val="affffb"/>
        <w:snapToGrid w:val="0"/>
        <w:spacing w:before="156"/>
        <w:ind w:firstLine="360"/>
        <w:jc w:val="right"/>
        <w:rPr>
          <w:rFonts w:hAnsi="宋体" w:cs="宋体"/>
          <w:sz w:val="18"/>
          <w:szCs w:val="18"/>
        </w:rPr>
      </w:pPr>
      <w:r w:rsidRPr="00765F6E">
        <w:rPr>
          <w:rFonts w:hAnsi="宋体" w:cs="宋体" w:hint="eastAsia"/>
          <w:sz w:val="18"/>
          <w:szCs w:val="18"/>
        </w:rPr>
        <w:t>单位为米</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953"/>
        <w:gridCol w:w="1344"/>
        <w:gridCol w:w="3177"/>
        <w:gridCol w:w="2860"/>
      </w:tblGrid>
      <w:tr w:rsidR="00737EB2" w:rsidRPr="00765F6E" w14:paraId="27DC84F0" w14:textId="77777777" w:rsidTr="00871D47">
        <w:trPr>
          <w:trHeight w:val="176"/>
        </w:trPr>
        <w:tc>
          <w:tcPr>
            <w:tcW w:w="1046" w:type="pct"/>
            <w:vMerge w:val="restart"/>
            <w:tcBorders>
              <w:top w:val="single" w:sz="8" w:space="0" w:color="auto"/>
              <w:bottom w:val="single" w:sz="4" w:space="0" w:color="auto"/>
            </w:tcBorders>
            <w:shd w:val="clear" w:color="auto" w:fill="auto"/>
            <w:vAlign w:val="center"/>
          </w:tcPr>
          <w:p w14:paraId="7F21AF45" w14:textId="77777777" w:rsidR="00737EB2" w:rsidRPr="00765F6E" w:rsidRDefault="00737EB2" w:rsidP="00871D47">
            <w:pPr>
              <w:pStyle w:val="affffffffffff2"/>
              <w:spacing w:line="220" w:lineRule="exact"/>
              <w:jc w:val="center"/>
              <w:rPr>
                <w:rFonts w:hAnsi="宋体" w:cs="宋体"/>
                <w:sz w:val="18"/>
                <w:szCs w:val="18"/>
              </w:rPr>
            </w:pPr>
            <w:r w:rsidRPr="00765F6E">
              <w:rPr>
                <w:rFonts w:hAnsi="宋体" w:cs="宋体" w:hint="eastAsia"/>
                <w:sz w:val="18"/>
                <w:szCs w:val="18"/>
              </w:rPr>
              <w:t>车站等级</w:t>
            </w:r>
          </w:p>
        </w:tc>
        <w:tc>
          <w:tcPr>
            <w:tcW w:w="3954" w:type="pct"/>
            <w:gridSpan w:val="3"/>
            <w:tcBorders>
              <w:top w:val="single" w:sz="8" w:space="0" w:color="auto"/>
              <w:bottom w:val="single" w:sz="4" w:space="0" w:color="auto"/>
            </w:tcBorders>
            <w:shd w:val="clear" w:color="auto" w:fill="auto"/>
            <w:vAlign w:val="center"/>
          </w:tcPr>
          <w:p w14:paraId="4A4DDB2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站台宽度</w:t>
            </w:r>
          </w:p>
        </w:tc>
      </w:tr>
      <w:tr w:rsidR="00737EB2" w:rsidRPr="00765F6E" w14:paraId="055E8F28" w14:textId="77777777" w:rsidTr="00871D47">
        <w:trPr>
          <w:trHeight w:val="176"/>
        </w:trPr>
        <w:tc>
          <w:tcPr>
            <w:tcW w:w="1046" w:type="pct"/>
            <w:vMerge/>
            <w:tcBorders>
              <w:top w:val="single" w:sz="4" w:space="0" w:color="auto"/>
              <w:bottom w:val="single" w:sz="4" w:space="0" w:color="auto"/>
            </w:tcBorders>
            <w:shd w:val="clear" w:color="auto" w:fill="auto"/>
            <w:vAlign w:val="center"/>
          </w:tcPr>
          <w:p w14:paraId="51E4C001" w14:textId="77777777" w:rsidR="00737EB2" w:rsidRPr="00765F6E" w:rsidRDefault="00737EB2" w:rsidP="00871D47">
            <w:pPr>
              <w:pStyle w:val="affffffffffff2"/>
              <w:spacing w:line="220" w:lineRule="exact"/>
              <w:jc w:val="center"/>
              <w:rPr>
                <w:rFonts w:hAnsi="宋体" w:cs="宋体"/>
                <w:sz w:val="18"/>
                <w:szCs w:val="18"/>
              </w:rPr>
            </w:pPr>
          </w:p>
        </w:tc>
        <w:tc>
          <w:tcPr>
            <w:tcW w:w="720" w:type="pct"/>
            <w:vMerge w:val="restart"/>
            <w:tcBorders>
              <w:top w:val="single" w:sz="4" w:space="0" w:color="auto"/>
              <w:bottom w:val="single" w:sz="4" w:space="0" w:color="auto"/>
            </w:tcBorders>
            <w:shd w:val="clear" w:color="auto" w:fill="auto"/>
            <w:vAlign w:val="center"/>
          </w:tcPr>
          <w:p w14:paraId="4FA6D7E1" w14:textId="77777777" w:rsidR="00737EB2" w:rsidRPr="00765F6E" w:rsidRDefault="00737EB2" w:rsidP="00871D47">
            <w:pPr>
              <w:pStyle w:val="affffffffffff2"/>
              <w:spacing w:line="220" w:lineRule="exact"/>
              <w:jc w:val="center"/>
              <w:rPr>
                <w:rFonts w:hAnsi="宋体" w:cs="宋体"/>
                <w:sz w:val="18"/>
                <w:szCs w:val="18"/>
              </w:rPr>
            </w:pPr>
            <w:r w:rsidRPr="00765F6E">
              <w:rPr>
                <w:rFonts w:hAnsi="宋体" w:cs="宋体" w:hint="eastAsia"/>
                <w:sz w:val="18"/>
                <w:szCs w:val="18"/>
              </w:rPr>
              <w:t>岛式站台</w:t>
            </w:r>
          </w:p>
        </w:tc>
        <w:tc>
          <w:tcPr>
            <w:tcW w:w="3234" w:type="pct"/>
            <w:gridSpan w:val="2"/>
            <w:tcBorders>
              <w:top w:val="single" w:sz="4" w:space="0" w:color="auto"/>
              <w:bottom w:val="single" w:sz="4" w:space="0" w:color="auto"/>
            </w:tcBorders>
            <w:shd w:val="clear" w:color="auto" w:fill="auto"/>
            <w:vAlign w:val="center"/>
          </w:tcPr>
          <w:p w14:paraId="4EB4B3B2"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侧式站台</w:t>
            </w:r>
          </w:p>
        </w:tc>
      </w:tr>
      <w:tr w:rsidR="00737EB2" w:rsidRPr="00765F6E" w14:paraId="6D4D311C" w14:textId="77777777" w:rsidTr="00871D47">
        <w:trPr>
          <w:trHeight w:val="176"/>
        </w:trPr>
        <w:tc>
          <w:tcPr>
            <w:tcW w:w="1046" w:type="pct"/>
            <w:vMerge/>
            <w:tcBorders>
              <w:top w:val="single" w:sz="4" w:space="0" w:color="auto"/>
              <w:bottom w:val="single" w:sz="8" w:space="0" w:color="auto"/>
            </w:tcBorders>
            <w:shd w:val="clear" w:color="auto" w:fill="auto"/>
            <w:vAlign w:val="center"/>
          </w:tcPr>
          <w:p w14:paraId="17A69CB1" w14:textId="77777777" w:rsidR="00737EB2" w:rsidRPr="00765F6E" w:rsidRDefault="00737EB2" w:rsidP="00871D47">
            <w:pPr>
              <w:pStyle w:val="affffffffffff2"/>
              <w:spacing w:line="220" w:lineRule="exact"/>
              <w:jc w:val="center"/>
              <w:rPr>
                <w:rFonts w:hAnsi="宋体" w:cs="宋体"/>
                <w:sz w:val="18"/>
                <w:szCs w:val="18"/>
              </w:rPr>
            </w:pPr>
          </w:p>
        </w:tc>
        <w:tc>
          <w:tcPr>
            <w:tcW w:w="720" w:type="pct"/>
            <w:vMerge/>
            <w:tcBorders>
              <w:top w:val="single" w:sz="4" w:space="0" w:color="auto"/>
              <w:bottom w:val="single" w:sz="8" w:space="0" w:color="auto"/>
            </w:tcBorders>
            <w:shd w:val="clear" w:color="auto" w:fill="auto"/>
            <w:vAlign w:val="center"/>
          </w:tcPr>
          <w:p w14:paraId="6DD5FDC0" w14:textId="77777777" w:rsidR="00737EB2" w:rsidRPr="00765F6E" w:rsidRDefault="00737EB2" w:rsidP="00871D47">
            <w:pPr>
              <w:pStyle w:val="affffffffffff2"/>
              <w:spacing w:line="220" w:lineRule="exact"/>
              <w:jc w:val="center"/>
              <w:rPr>
                <w:rFonts w:hAnsi="宋体" w:cs="宋体"/>
                <w:sz w:val="18"/>
                <w:szCs w:val="18"/>
              </w:rPr>
            </w:pPr>
          </w:p>
        </w:tc>
        <w:tc>
          <w:tcPr>
            <w:tcW w:w="1702" w:type="pct"/>
            <w:tcBorders>
              <w:top w:val="single" w:sz="4" w:space="0" w:color="auto"/>
              <w:bottom w:val="single" w:sz="8" w:space="0" w:color="auto"/>
            </w:tcBorders>
            <w:shd w:val="clear" w:color="auto" w:fill="auto"/>
            <w:vAlign w:val="center"/>
          </w:tcPr>
          <w:p w14:paraId="4574AB95" w14:textId="77777777" w:rsidR="00737EB2" w:rsidRPr="00765F6E" w:rsidRDefault="00737EB2" w:rsidP="00871D47">
            <w:pPr>
              <w:pStyle w:val="affffffffffff2"/>
              <w:spacing w:line="220" w:lineRule="exact"/>
              <w:jc w:val="center"/>
              <w:rPr>
                <w:rFonts w:hAnsi="宋体" w:cs="宋体"/>
                <w:sz w:val="18"/>
                <w:szCs w:val="18"/>
              </w:rPr>
            </w:pPr>
            <w:r w:rsidRPr="00765F6E">
              <w:rPr>
                <w:rFonts w:hAnsi="宋体" w:cs="宋体" w:hint="eastAsia"/>
                <w:sz w:val="18"/>
                <w:szCs w:val="18"/>
              </w:rPr>
              <w:t>长向范围内设楼扶梯或柱的侧站台乘降区宽度</w:t>
            </w:r>
          </w:p>
        </w:tc>
        <w:tc>
          <w:tcPr>
            <w:tcW w:w="1532" w:type="pct"/>
            <w:tcBorders>
              <w:top w:val="single" w:sz="4" w:space="0" w:color="auto"/>
              <w:bottom w:val="single" w:sz="8" w:space="0" w:color="auto"/>
            </w:tcBorders>
            <w:shd w:val="clear" w:color="auto" w:fill="auto"/>
            <w:vAlign w:val="center"/>
          </w:tcPr>
          <w:p w14:paraId="27E73E49" w14:textId="77777777" w:rsidR="00737EB2" w:rsidRPr="00765F6E" w:rsidRDefault="00737EB2" w:rsidP="00871D47">
            <w:pPr>
              <w:pStyle w:val="affffffffffff2"/>
              <w:spacing w:line="220" w:lineRule="exact"/>
              <w:jc w:val="center"/>
              <w:rPr>
                <w:rFonts w:hAnsi="宋体" w:cs="宋体"/>
                <w:sz w:val="18"/>
                <w:szCs w:val="18"/>
              </w:rPr>
            </w:pPr>
            <w:r w:rsidRPr="00765F6E">
              <w:rPr>
                <w:rFonts w:hAnsi="宋体" w:cs="宋体" w:hint="eastAsia"/>
                <w:sz w:val="18"/>
                <w:szCs w:val="18"/>
              </w:rPr>
              <w:t>垂直于侧站台开设通道口或楼扶梯的侧站台宽度</w:t>
            </w:r>
          </w:p>
        </w:tc>
      </w:tr>
      <w:tr w:rsidR="00737EB2" w:rsidRPr="00765F6E" w14:paraId="64343E64" w14:textId="77777777" w:rsidTr="00871D47">
        <w:trPr>
          <w:trHeight w:val="176"/>
        </w:trPr>
        <w:tc>
          <w:tcPr>
            <w:tcW w:w="1046" w:type="pct"/>
            <w:tcBorders>
              <w:top w:val="single" w:sz="8" w:space="0" w:color="auto"/>
            </w:tcBorders>
            <w:shd w:val="clear" w:color="auto" w:fill="auto"/>
            <w:vAlign w:val="center"/>
          </w:tcPr>
          <w:p w14:paraId="45620106"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特级</w:t>
            </w:r>
          </w:p>
        </w:tc>
        <w:tc>
          <w:tcPr>
            <w:tcW w:w="720" w:type="pct"/>
            <w:tcBorders>
              <w:top w:val="single" w:sz="8" w:space="0" w:color="auto"/>
            </w:tcBorders>
            <w:shd w:val="clear" w:color="auto" w:fill="auto"/>
            <w:vAlign w:val="center"/>
          </w:tcPr>
          <w:p w14:paraId="5BCE14C6"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6</w:t>
            </w:r>
          </w:p>
        </w:tc>
        <w:tc>
          <w:tcPr>
            <w:tcW w:w="1702" w:type="pct"/>
            <w:tcBorders>
              <w:top w:val="single" w:sz="8" w:space="0" w:color="auto"/>
            </w:tcBorders>
            <w:shd w:val="clear" w:color="auto" w:fill="auto"/>
            <w:vAlign w:val="center"/>
          </w:tcPr>
          <w:p w14:paraId="0BFFE8B8"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3</w:t>
            </w:r>
            <w:r w:rsidRPr="00765F6E">
              <w:rPr>
                <w:rFonts w:ascii="宋体" w:hAnsi="宋体"/>
                <w:sz w:val="18"/>
                <w:szCs w:val="18"/>
              </w:rPr>
              <w:t>.3</w:t>
            </w:r>
          </w:p>
        </w:tc>
        <w:tc>
          <w:tcPr>
            <w:tcW w:w="1532" w:type="pct"/>
            <w:tcBorders>
              <w:top w:val="single" w:sz="8" w:space="0" w:color="auto"/>
            </w:tcBorders>
            <w:shd w:val="clear" w:color="auto" w:fill="auto"/>
            <w:vAlign w:val="center"/>
          </w:tcPr>
          <w:p w14:paraId="738F86D3"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w:t>
            </w:r>
          </w:p>
        </w:tc>
      </w:tr>
      <w:tr w:rsidR="00737EB2" w:rsidRPr="00765F6E" w14:paraId="5A3B2D8B" w14:textId="77777777" w:rsidTr="00871D47">
        <w:trPr>
          <w:trHeight w:val="176"/>
        </w:trPr>
        <w:tc>
          <w:tcPr>
            <w:tcW w:w="1046" w:type="pct"/>
            <w:shd w:val="clear" w:color="auto" w:fill="auto"/>
            <w:vAlign w:val="center"/>
          </w:tcPr>
          <w:p w14:paraId="434A7857"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甲级</w:t>
            </w:r>
          </w:p>
        </w:tc>
        <w:tc>
          <w:tcPr>
            <w:tcW w:w="720" w:type="pct"/>
            <w:shd w:val="clear" w:color="auto" w:fill="auto"/>
            <w:vAlign w:val="center"/>
          </w:tcPr>
          <w:p w14:paraId="1AF77EAB"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4</w:t>
            </w:r>
          </w:p>
        </w:tc>
        <w:tc>
          <w:tcPr>
            <w:tcW w:w="1702" w:type="pct"/>
            <w:shd w:val="clear" w:color="auto" w:fill="auto"/>
            <w:vAlign w:val="center"/>
          </w:tcPr>
          <w:p w14:paraId="23C33087"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2</w:t>
            </w:r>
            <w:r w:rsidRPr="00765F6E">
              <w:rPr>
                <w:rFonts w:ascii="宋体" w:hAnsi="宋体"/>
                <w:sz w:val="18"/>
                <w:szCs w:val="18"/>
              </w:rPr>
              <w:t>.8</w:t>
            </w:r>
          </w:p>
        </w:tc>
        <w:tc>
          <w:tcPr>
            <w:tcW w:w="1532" w:type="pct"/>
            <w:shd w:val="clear" w:color="auto" w:fill="auto"/>
            <w:vAlign w:val="center"/>
          </w:tcPr>
          <w:p w14:paraId="12296CAF"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6</w:t>
            </w:r>
            <w:r w:rsidRPr="00765F6E">
              <w:rPr>
                <w:rFonts w:ascii="宋体" w:hAnsi="宋体"/>
                <w:sz w:val="18"/>
                <w:szCs w:val="18"/>
              </w:rPr>
              <w:t>.0</w:t>
            </w:r>
          </w:p>
        </w:tc>
      </w:tr>
      <w:tr w:rsidR="00737EB2" w:rsidRPr="00765F6E" w14:paraId="0414306E" w14:textId="77777777" w:rsidTr="00871D47">
        <w:trPr>
          <w:trHeight w:val="176"/>
        </w:trPr>
        <w:tc>
          <w:tcPr>
            <w:tcW w:w="1046" w:type="pct"/>
            <w:shd w:val="clear" w:color="auto" w:fill="auto"/>
            <w:vAlign w:val="center"/>
          </w:tcPr>
          <w:p w14:paraId="2B4F21A3"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乙级</w:t>
            </w:r>
          </w:p>
        </w:tc>
        <w:tc>
          <w:tcPr>
            <w:tcW w:w="720" w:type="pct"/>
            <w:shd w:val="clear" w:color="auto" w:fill="auto"/>
            <w:vAlign w:val="center"/>
          </w:tcPr>
          <w:p w14:paraId="15CA3286"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3</w:t>
            </w:r>
          </w:p>
        </w:tc>
        <w:tc>
          <w:tcPr>
            <w:tcW w:w="1702" w:type="pct"/>
            <w:shd w:val="clear" w:color="auto" w:fill="auto"/>
            <w:vAlign w:val="center"/>
          </w:tcPr>
          <w:p w14:paraId="0900FD06"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2</w:t>
            </w:r>
            <w:r w:rsidRPr="00765F6E">
              <w:rPr>
                <w:rFonts w:ascii="宋体" w:hAnsi="宋体"/>
                <w:sz w:val="18"/>
                <w:szCs w:val="18"/>
              </w:rPr>
              <w:t>.6</w:t>
            </w:r>
          </w:p>
        </w:tc>
        <w:tc>
          <w:tcPr>
            <w:tcW w:w="1532" w:type="pct"/>
            <w:shd w:val="clear" w:color="auto" w:fill="auto"/>
            <w:vAlign w:val="center"/>
          </w:tcPr>
          <w:p w14:paraId="05F7877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5</w:t>
            </w:r>
            <w:r w:rsidRPr="00765F6E">
              <w:rPr>
                <w:rFonts w:ascii="宋体" w:hAnsi="宋体"/>
                <w:sz w:val="18"/>
                <w:szCs w:val="18"/>
              </w:rPr>
              <w:t>.0</w:t>
            </w:r>
          </w:p>
        </w:tc>
      </w:tr>
      <w:tr w:rsidR="00737EB2" w:rsidRPr="00765F6E" w14:paraId="619F5489" w14:textId="77777777" w:rsidTr="00871D47">
        <w:trPr>
          <w:trHeight w:val="176"/>
        </w:trPr>
        <w:tc>
          <w:tcPr>
            <w:tcW w:w="1046" w:type="pct"/>
            <w:shd w:val="clear" w:color="auto" w:fill="auto"/>
            <w:vAlign w:val="center"/>
          </w:tcPr>
          <w:p w14:paraId="1592A3C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丙级</w:t>
            </w:r>
          </w:p>
        </w:tc>
        <w:tc>
          <w:tcPr>
            <w:tcW w:w="720" w:type="pct"/>
            <w:shd w:val="clear" w:color="auto" w:fill="auto"/>
            <w:vAlign w:val="center"/>
          </w:tcPr>
          <w:p w14:paraId="35A215DC"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1</w:t>
            </w:r>
          </w:p>
        </w:tc>
        <w:tc>
          <w:tcPr>
            <w:tcW w:w="1702" w:type="pct"/>
            <w:shd w:val="clear" w:color="auto" w:fill="auto"/>
            <w:vAlign w:val="center"/>
          </w:tcPr>
          <w:p w14:paraId="262D697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2</w:t>
            </w:r>
            <w:r w:rsidRPr="00765F6E">
              <w:rPr>
                <w:rFonts w:ascii="宋体" w:hAnsi="宋体"/>
                <w:sz w:val="18"/>
                <w:szCs w:val="18"/>
              </w:rPr>
              <w:t>.6</w:t>
            </w:r>
          </w:p>
        </w:tc>
        <w:tc>
          <w:tcPr>
            <w:tcW w:w="1532" w:type="pct"/>
            <w:shd w:val="clear" w:color="auto" w:fill="auto"/>
            <w:vAlign w:val="center"/>
          </w:tcPr>
          <w:p w14:paraId="3734048D"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4</w:t>
            </w:r>
            <w:r w:rsidRPr="00765F6E">
              <w:rPr>
                <w:rFonts w:ascii="宋体" w:hAnsi="宋体"/>
                <w:sz w:val="18"/>
                <w:szCs w:val="18"/>
              </w:rPr>
              <w:t>.0</w:t>
            </w:r>
          </w:p>
        </w:tc>
      </w:tr>
      <w:tr w:rsidR="00737EB2" w:rsidRPr="00765F6E" w14:paraId="60932324" w14:textId="77777777" w:rsidTr="00871D47">
        <w:trPr>
          <w:trHeight w:val="176"/>
        </w:trPr>
        <w:tc>
          <w:tcPr>
            <w:tcW w:w="5000" w:type="pct"/>
            <w:gridSpan w:val="4"/>
            <w:tcBorders>
              <w:top w:val="single" w:sz="8" w:space="0" w:color="auto"/>
              <w:bottom w:val="single" w:sz="8" w:space="0" w:color="auto"/>
            </w:tcBorders>
            <w:shd w:val="clear" w:color="auto" w:fill="auto"/>
            <w:vAlign w:val="center"/>
          </w:tcPr>
          <w:p w14:paraId="387AF844" w14:textId="77777777" w:rsidR="00737EB2" w:rsidRPr="00765F6E" w:rsidRDefault="00737EB2" w:rsidP="00737EB2">
            <w:pPr>
              <w:pStyle w:val="afff2"/>
              <w:ind w:left="584"/>
              <w:rPr>
                <w:lang w:bidi="ar"/>
              </w:rPr>
            </w:pPr>
            <w:bookmarkStart w:id="1612" w:name="OLE_LINK21"/>
            <w:r w:rsidRPr="00765F6E">
              <w:rPr>
                <w:lang w:bidi="ar"/>
              </w:rPr>
              <w:t>各级岛式站台侧站台的最小宽度同侧式站台长向范围内设楼扶梯或柱的侧站台乘降区最小宽度。</w:t>
            </w:r>
            <w:bookmarkEnd w:id="1612"/>
          </w:p>
        </w:tc>
      </w:tr>
    </w:tbl>
    <w:p w14:paraId="07B7FF23" w14:textId="77777777" w:rsidR="00737EB2" w:rsidRPr="00765F6E" w:rsidRDefault="00737EB2" w:rsidP="00737EB2">
      <w:pPr>
        <w:spacing w:line="240" w:lineRule="auto"/>
      </w:pPr>
    </w:p>
    <w:p w14:paraId="38C39A23" w14:textId="032EE2D3" w:rsidR="00737EB2" w:rsidRPr="00765F6E" w:rsidRDefault="00737EB2" w:rsidP="009D0776">
      <w:pPr>
        <w:pStyle w:val="22"/>
      </w:pPr>
      <w:bookmarkStart w:id="1613" w:name="_Toc153291490"/>
      <w:bookmarkStart w:id="1614" w:name="_Toc99792056"/>
      <w:r w:rsidRPr="00765F6E">
        <w:rPr>
          <w:rFonts w:hint="eastAsia"/>
        </w:rPr>
        <w:t>车站站厅和站台公共区净高不应小于3.2m，高度取值尚应结合车站横向宽度和实际工程土建高度综合确定。车站其他部位最小净宽和最小净高应符合表</w:t>
      </w:r>
      <w:r w:rsidR="001C1F75" w:rsidRPr="00765F6E">
        <w:rPr>
          <w:rFonts w:hint="eastAsia"/>
        </w:rPr>
        <w:t>6</w:t>
      </w:r>
      <w:r w:rsidR="001C1F75">
        <w:t>6</w:t>
      </w:r>
      <w:r w:rsidRPr="00765F6E">
        <w:rPr>
          <w:rFonts w:hint="eastAsia"/>
        </w:rPr>
        <w:t>的规定。</w:t>
      </w:r>
      <w:bookmarkEnd w:id="1613"/>
      <w:bookmarkEnd w:id="1614"/>
    </w:p>
    <w:p w14:paraId="42FD01F0" w14:textId="77777777" w:rsidR="00737EB2" w:rsidRPr="00765F6E" w:rsidRDefault="00737EB2" w:rsidP="00737EB2">
      <w:pPr>
        <w:pStyle w:val="aff3"/>
        <w:spacing w:before="156" w:after="156"/>
      </w:pPr>
      <w:r w:rsidRPr="00765F6E">
        <w:rPr>
          <w:rFonts w:hint="eastAsia"/>
        </w:rPr>
        <w:t>车站各部位最小净宽和净高</w:t>
      </w:r>
    </w:p>
    <w:p w14:paraId="7F402A20" w14:textId="77777777" w:rsidR="00737EB2" w:rsidRPr="00765F6E" w:rsidRDefault="00737EB2" w:rsidP="00737EB2">
      <w:pPr>
        <w:pStyle w:val="affffffffffff2"/>
        <w:jc w:val="right"/>
        <w:rPr>
          <w:rFonts w:hAnsi="宋体" w:cs="宋体"/>
          <w:sz w:val="18"/>
          <w:szCs w:val="18"/>
        </w:rPr>
      </w:pPr>
      <w:r w:rsidRPr="00765F6E">
        <w:rPr>
          <w:rFonts w:hAnsi="宋体" w:cs="宋体" w:hint="eastAsia"/>
          <w:sz w:val="18"/>
          <w:szCs w:val="18"/>
        </w:rPr>
        <w:t>单位为米</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11"/>
        <w:gridCol w:w="3111"/>
        <w:gridCol w:w="3112"/>
      </w:tblGrid>
      <w:tr w:rsidR="00737EB2" w:rsidRPr="00765F6E" w14:paraId="467FC802" w14:textId="77777777" w:rsidTr="00871D47">
        <w:trPr>
          <w:trHeight w:val="176"/>
        </w:trPr>
        <w:tc>
          <w:tcPr>
            <w:tcW w:w="1666" w:type="pct"/>
            <w:tcBorders>
              <w:top w:val="single" w:sz="8" w:space="0" w:color="auto"/>
              <w:bottom w:val="single" w:sz="8" w:space="0" w:color="auto"/>
            </w:tcBorders>
            <w:shd w:val="clear" w:color="auto" w:fill="auto"/>
            <w:vAlign w:val="center"/>
          </w:tcPr>
          <w:p w14:paraId="5B9D1AF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部位</w:t>
            </w:r>
          </w:p>
        </w:tc>
        <w:tc>
          <w:tcPr>
            <w:tcW w:w="1666" w:type="pct"/>
            <w:tcBorders>
              <w:top w:val="single" w:sz="8" w:space="0" w:color="auto"/>
              <w:bottom w:val="single" w:sz="8" w:space="0" w:color="auto"/>
            </w:tcBorders>
            <w:shd w:val="clear" w:color="auto" w:fill="auto"/>
            <w:vAlign w:val="center"/>
          </w:tcPr>
          <w:p w14:paraId="351F593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最小净宽</w:t>
            </w:r>
          </w:p>
        </w:tc>
        <w:tc>
          <w:tcPr>
            <w:tcW w:w="1667" w:type="pct"/>
            <w:tcBorders>
              <w:top w:val="single" w:sz="8" w:space="0" w:color="auto"/>
              <w:bottom w:val="single" w:sz="8" w:space="0" w:color="auto"/>
            </w:tcBorders>
            <w:shd w:val="clear" w:color="auto" w:fill="auto"/>
            <w:vAlign w:val="center"/>
          </w:tcPr>
          <w:p w14:paraId="0EAE0EF0"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最小净高</w:t>
            </w:r>
          </w:p>
        </w:tc>
      </w:tr>
      <w:tr w:rsidR="00737EB2" w:rsidRPr="00765F6E" w14:paraId="78F771A5" w14:textId="77777777" w:rsidTr="00871D47">
        <w:trPr>
          <w:trHeight w:val="176"/>
        </w:trPr>
        <w:tc>
          <w:tcPr>
            <w:tcW w:w="1666" w:type="pct"/>
            <w:tcBorders>
              <w:top w:val="single" w:sz="8" w:space="0" w:color="auto"/>
            </w:tcBorders>
            <w:shd w:val="clear" w:color="auto" w:fill="auto"/>
            <w:vAlign w:val="center"/>
          </w:tcPr>
          <w:p w14:paraId="2F28BEC2"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地下车站出入口通道</w:t>
            </w:r>
          </w:p>
        </w:tc>
        <w:tc>
          <w:tcPr>
            <w:tcW w:w="1666" w:type="pct"/>
            <w:tcBorders>
              <w:top w:val="single" w:sz="8" w:space="0" w:color="auto"/>
            </w:tcBorders>
            <w:shd w:val="clear" w:color="auto" w:fill="auto"/>
            <w:vAlign w:val="center"/>
          </w:tcPr>
          <w:p w14:paraId="492ADDA3"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4</w:t>
            </w:r>
            <w:r w:rsidRPr="00765F6E">
              <w:rPr>
                <w:rFonts w:ascii="宋体" w:hAnsi="宋体"/>
                <w:sz w:val="18"/>
                <w:szCs w:val="18"/>
              </w:rPr>
              <w:t>.0</w:t>
            </w:r>
          </w:p>
        </w:tc>
        <w:tc>
          <w:tcPr>
            <w:tcW w:w="1667" w:type="pct"/>
            <w:tcBorders>
              <w:top w:val="single" w:sz="8" w:space="0" w:color="auto"/>
            </w:tcBorders>
            <w:shd w:val="clear" w:color="auto" w:fill="auto"/>
            <w:vAlign w:val="center"/>
          </w:tcPr>
          <w:p w14:paraId="0C8582C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w:t>
            </w:r>
            <w:r w:rsidRPr="00765F6E">
              <w:rPr>
                <w:rFonts w:ascii="宋体" w:hAnsi="宋体"/>
                <w:sz w:val="18"/>
                <w:szCs w:val="18"/>
              </w:rPr>
              <w:t>.8</w:t>
            </w:r>
          </w:p>
        </w:tc>
      </w:tr>
      <w:tr w:rsidR="00737EB2" w:rsidRPr="00765F6E" w14:paraId="739C5786" w14:textId="77777777" w:rsidTr="00871D47">
        <w:trPr>
          <w:trHeight w:val="176"/>
        </w:trPr>
        <w:tc>
          <w:tcPr>
            <w:tcW w:w="1666" w:type="pct"/>
            <w:shd w:val="clear" w:color="auto" w:fill="auto"/>
            <w:vAlign w:val="center"/>
          </w:tcPr>
          <w:p w14:paraId="47CFC738"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人行天桥</w:t>
            </w:r>
          </w:p>
        </w:tc>
        <w:tc>
          <w:tcPr>
            <w:tcW w:w="1666" w:type="pct"/>
            <w:shd w:val="clear" w:color="auto" w:fill="auto"/>
            <w:vAlign w:val="center"/>
          </w:tcPr>
          <w:p w14:paraId="091A87FD"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4</w:t>
            </w:r>
            <w:r w:rsidRPr="00765F6E">
              <w:rPr>
                <w:rFonts w:ascii="宋体" w:hAnsi="宋体"/>
                <w:sz w:val="18"/>
                <w:szCs w:val="18"/>
              </w:rPr>
              <w:t>.0</w:t>
            </w:r>
          </w:p>
        </w:tc>
        <w:tc>
          <w:tcPr>
            <w:tcW w:w="1667" w:type="pct"/>
            <w:shd w:val="clear" w:color="auto" w:fill="auto"/>
            <w:vAlign w:val="center"/>
          </w:tcPr>
          <w:p w14:paraId="59DFA3D0"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w:t>
            </w:r>
            <w:r w:rsidRPr="00765F6E">
              <w:rPr>
                <w:rFonts w:ascii="宋体" w:hAnsi="宋体"/>
                <w:sz w:val="18"/>
                <w:szCs w:val="18"/>
              </w:rPr>
              <w:t>.6</w:t>
            </w:r>
          </w:p>
        </w:tc>
      </w:tr>
      <w:tr w:rsidR="00737EB2" w:rsidRPr="00765F6E" w14:paraId="26FF9B84" w14:textId="77777777" w:rsidTr="00871D47">
        <w:trPr>
          <w:trHeight w:val="176"/>
        </w:trPr>
        <w:tc>
          <w:tcPr>
            <w:tcW w:w="1666" w:type="pct"/>
            <w:shd w:val="clear" w:color="auto" w:fill="auto"/>
            <w:vAlign w:val="center"/>
          </w:tcPr>
          <w:p w14:paraId="4FD69E46"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公共区单向人行楼梯</w:t>
            </w:r>
          </w:p>
        </w:tc>
        <w:tc>
          <w:tcPr>
            <w:tcW w:w="1666" w:type="pct"/>
            <w:shd w:val="clear" w:color="auto" w:fill="auto"/>
            <w:vAlign w:val="center"/>
          </w:tcPr>
          <w:p w14:paraId="7782C129"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.8</w:t>
            </w:r>
          </w:p>
        </w:tc>
        <w:tc>
          <w:tcPr>
            <w:tcW w:w="1667" w:type="pct"/>
            <w:shd w:val="clear" w:color="auto" w:fill="auto"/>
            <w:vAlign w:val="center"/>
          </w:tcPr>
          <w:p w14:paraId="6E394B03"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w:t>
            </w:r>
            <w:r w:rsidRPr="00765F6E">
              <w:rPr>
                <w:rFonts w:ascii="宋体" w:hAnsi="宋体"/>
                <w:sz w:val="18"/>
                <w:szCs w:val="18"/>
              </w:rPr>
              <w:t>.4</w:t>
            </w:r>
          </w:p>
        </w:tc>
      </w:tr>
      <w:tr w:rsidR="00737EB2" w:rsidRPr="00765F6E" w14:paraId="72FD9AF4" w14:textId="77777777" w:rsidTr="00871D47">
        <w:trPr>
          <w:trHeight w:val="176"/>
        </w:trPr>
        <w:tc>
          <w:tcPr>
            <w:tcW w:w="1666" w:type="pct"/>
            <w:shd w:val="clear" w:color="auto" w:fill="auto"/>
            <w:vAlign w:val="center"/>
          </w:tcPr>
          <w:p w14:paraId="36FDE04F"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公共区双向人行楼梯</w:t>
            </w:r>
          </w:p>
        </w:tc>
        <w:tc>
          <w:tcPr>
            <w:tcW w:w="1666" w:type="pct"/>
            <w:shd w:val="clear" w:color="auto" w:fill="auto"/>
            <w:vAlign w:val="center"/>
          </w:tcPr>
          <w:p w14:paraId="449309DF"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w:t>
            </w:r>
            <w:r w:rsidRPr="00765F6E">
              <w:rPr>
                <w:rFonts w:ascii="宋体" w:hAnsi="宋体"/>
                <w:sz w:val="18"/>
                <w:szCs w:val="18"/>
              </w:rPr>
              <w:t>.4</w:t>
            </w:r>
          </w:p>
        </w:tc>
        <w:tc>
          <w:tcPr>
            <w:tcW w:w="1667" w:type="pct"/>
            <w:shd w:val="clear" w:color="auto" w:fill="auto"/>
            <w:vAlign w:val="center"/>
          </w:tcPr>
          <w:p w14:paraId="57EE7B50"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w:t>
            </w:r>
            <w:r w:rsidRPr="00765F6E">
              <w:rPr>
                <w:rFonts w:ascii="宋体" w:hAnsi="宋体"/>
                <w:sz w:val="18"/>
                <w:szCs w:val="18"/>
              </w:rPr>
              <w:t>.4</w:t>
            </w:r>
          </w:p>
        </w:tc>
      </w:tr>
      <w:tr w:rsidR="00737EB2" w:rsidRPr="00765F6E" w14:paraId="0F6161DF" w14:textId="77777777" w:rsidTr="00871D47">
        <w:trPr>
          <w:trHeight w:val="176"/>
        </w:trPr>
        <w:tc>
          <w:tcPr>
            <w:tcW w:w="1666" w:type="pct"/>
            <w:shd w:val="clear" w:color="auto" w:fill="auto"/>
            <w:vAlign w:val="center"/>
          </w:tcPr>
          <w:p w14:paraId="062E7C41"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其他非乘客使用的疏散楼梯</w:t>
            </w:r>
          </w:p>
        </w:tc>
        <w:tc>
          <w:tcPr>
            <w:tcW w:w="1666" w:type="pct"/>
            <w:shd w:val="clear" w:color="auto" w:fill="auto"/>
            <w:vAlign w:val="center"/>
          </w:tcPr>
          <w:p w14:paraId="40617599"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.2</w:t>
            </w:r>
          </w:p>
        </w:tc>
        <w:tc>
          <w:tcPr>
            <w:tcW w:w="1667" w:type="pct"/>
            <w:shd w:val="clear" w:color="auto" w:fill="auto"/>
            <w:vAlign w:val="center"/>
          </w:tcPr>
          <w:p w14:paraId="75E939F5"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w:t>
            </w:r>
            <w:r w:rsidRPr="00765F6E">
              <w:rPr>
                <w:rFonts w:ascii="宋体" w:hAnsi="宋体"/>
                <w:sz w:val="18"/>
                <w:szCs w:val="18"/>
              </w:rPr>
              <w:t>.4</w:t>
            </w:r>
          </w:p>
        </w:tc>
      </w:tr>
      <w:tr w:rsidR="00737EB2" w:rsidRPr="00765F6E" w14:paraId="6B1F303F" w14:textId="77777777" w:rsidTr="00871D47">
        <w:trPr>
          <w:trHeight w:val="176"/>
        </w:trPr>
        <w:tc>
          <w:tcPr>
            <w:tcW w:w="1666" w:type="pct"/>
            <w:shd w:val="clear" w:color="auto" w:fill="auto"/>
            <w:vAlign w:val="center"/>
          </w:tcPr>
          <w:p w14:paraId="25F450D9"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站台至轨行区的工作楼梯</w:t>
            </w:r>
          </w:p>
        </w:tc>
        <w:tc>
          <w:tcPr>
            <w:tcW w:w="1666" w:type="pct"/>
            <w:shd w:val="clear" w:color="auto" w:fill="auto"/>
            <w:vAlign w:val="center"/>
          </w:tcPr>
          <w:p w14:paraId="28CE6E73"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.1</w:t>
            </w:r>
          </w:p>
        </w:tc>
        <w:tc>
          <w:tcPr>
            <w:tcW w:w="1667" w:type="pct"/>
            <w:shd w:val="clear" w:color="auto" w:fill="auto"/>
            <w:vAlign w:val="center"/>
          </w:tcPr>
          <w:p w14:paraId="126FEE8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w:t>
            </w:r>
          </w:p>
        </w:tc>
      </w:tr>
      <w:tr w:rsidR="00737EB2" w:rsidRPr="00765F6E" w14:paraId="6E4BC078" w14:textId="77777777" w:rsidTr="00871D47">
        <w:trPr>
          <w:trHeight w:val="176"/>
        </w:trPr>
        <w:tc>
          <w:tcPr>
            <w:tcW w:w="1666" w:type="pct"/>
            <w:tcBorders>
              <w:bottom w:val="single" w:sz="8" w:space="0" w:color="auto"/>
            </w:tcBorders>
            <w:shd w:val="clear" w:color="auto" w:fill="auto"/>
            <w:vAlign w:val="center"/>
          </w:tcPr>
          <w:p w14:paraId="268AD45A"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风道内的上下联系楼梯</w:t>
            </w:r>
          </w:p>
        </w:tc>
        <w:tc>
          <w:tcPr>
            <w:tcW w:w="1666" w:type="pct"/>
            <w:tcBorders>
              <w:bottom w:val="single" w:sz="8" w:space="0" w:color="auto"/>
            </w:tcBorders>
            <w:shd w:val="clear" w:color="auto" w:fill="auto"/>
            <w:vAlign w:val="center"/>
          </w:tcPr>
          <w:p w14:paraId="37015717"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0</w:t>
            </w:r>
            <w:r w:rsidRPr="00765F6E">
              <w:rPr>
                <w:rFonts w:ascii="宋体" w:hAnsi="宋体"/>
                <w:sz w:val="18"/>
                <w:szCs w:val="18"/>
              </w:rPr>
              <w:t>.9</w:t>
            </w:r>
          </w:p>
        </w:tc>
        <w:tc>
          <w:tcPr>
            <w:tcW w:w="1667" w:type="pct"/>
            <w:tcBorders>
              <w:bottom w:val="single" w:sz="8" w:space="0" w:color="auto"/>
            </w:tcBorders>
            <w:shd w:val="clear" w:color="auto" w:fill="auto"/>
            <w:vAlign w:val="center"/>
          </w:tcPr>
          <w:p w14:paraId="4976D164"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w:t>
            </w:r>
            <w:r w:rsidRPr="00765F6E">
              <w:rPr>
                <w:rFonts w:ascii="宋体" w:hAnsi="宋体"/>
                <w:sz w:val="18"/>
                <w:szCs w:val="18"/>
              </w:rPr>
              <w:t>.2</w:t>
            </w:r>
          </w:p>
        </w:tc>
      </w:tr>
    </w:tbl>
    <w:p w14:paraId="6B239EF2" w14:textId="77777777" w:rsidR="00737EB2" w:rsidRPr="00765F6E" w:rsidRDefault="00737EB2" w:rsidP="00737EB2">
      <w:pPr>
        <w:spacing w:line="240" w:lineRule="auto"/>
      </w:pPr>
    </w:p>
    <w:p w14:paraId="5095A4B9" w14:textId="48B64306" w:rsidR="00737EB2" w:rsidRPr="00765F6E" w:rsidRDefault="00737EB2" w:rsidP="009D0776">
      <w:pPr>
        <w:pStyle w:val="22"/>
      </w:pPr>
      <w:bookmarkStart w:id="1615" w:name="_Toc153291491"/>
      <w:bookmarkStart w:id="1616" w:name="_Toc99792057"/>
      <w:r w:rsidRPr="00765F6E">
        <w:rPr>
          <w:rFonts w:hint="eastAsia"/>
        </w:rPr>
        <w:t>车站各种设施的最大通行能力应按表</w:t>
      </w:r>
      <w:r w:rsidR="001C1F75" w:rsidRPr="00765F6E">
        <w:rPr>
          <w:rFonts w:hint="eastAsia"/>
        </w:rPr>
        <w:t>6</w:t>
      </w:r>
      <w:r w:rsidR="001C1F75">
        <w:t>7</w:t>
      </w:r>
      <w:r w:rsidRPr="00765F6E">
        <w:rPr>
          <w:rFonts w:hint="eastAsia"/>
        </w:rPr>
        <w:t>确定。</w:t>
      </w:r>
      <w:bookmarkEnd w:id="1615"/>
      <w:bookmarkEnd w:id="1616"/>
    </w:p>
    <w:p w14:paraId="17DD1BF6" w14:textId="77777777" w:rsidR="00737EB2" w:rsidRPr="00765F6E" w:rsidRDefault="00737EB2" w:rsidP="00737EB2">
      <w:pPr>
        <w:pStyle w:val="aff3"/>
        <w:spacing w:before="156" w:after="156"/>
      </w:pPr>
      <w:r w:rsidRPr="00765F6E">
        <w:rPr>
          <w:rFonts w:hint="eastAsia"/>
        </w:rPr>
        <w:t>车站各设施的最大通行能力</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110"/>
        <w:gridCol w:w="3112"/>
        <w:gridCol w:w="3112"/>
      </w:tblGrid>
      <w:tr w:rsidR="00737EB2" w:rsidRPr="00765F6E" w14:paraId="6AC600D3" w14:textId="77777777" w:rsidTr="00871D47">
        <w:trPr>
          <w:trHeight w:val="176"/>
          <w:jc w:val="center"/>
        </w:trPr>
        <w:tc>
          <w:tcPr>
            <w:tcW w:w="3333" w:type="pct"/>
            <w:gridSpan w:val="2"/>
            <w:tcBorders>
              <w:top w:val="single" w:sz="8" w:space="0" w:color="auto"/>
              <w:bottom w:val="single" w:sz="8" w:space="0" w:color="auto"/>
            </w:tcBorders>
            <w:shd w:val="clear" w:color="auto" w:fill="auto"/>
            <w:vAlign w:val="center"/>
          </w:tcPr>
          <w:p w14:paraId="18865C2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设施名称</w:t>
            </w:r>
          </w:p>
        </w:tc>
        <w:tc>
          <w:tcPr>
            <w:tcW w:w="1667" w:type="pct"/>
            <w:tcBorders>
              <w:top w:val="single" w:sz="8" w:space="0" w:color="auto"/>
              <w:bottom w:val="single" w:sz="8" w:space="0" w:color="auto"/>
            </w:tcBorders>
            <w:shd w:val="clear" w:color="auto" w:fill="auto"/>
            <w:vAlign w:val="center"/>
          </w:tcPr>
          <w:p w14:paraId="758AD97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最大通向能力/（人/</w:t>
            </w:r>
            <w:r w:rsidRPr="00765F6E">
              <w:rPr>
                <w:rFonts w:hAnsi="宋体" w:cs="宋体"/>
                <w:sz w:val="18"/>
                <w:szCs w:val="18"/>
              </w:rPr>
              <w:t>h</w:t>
            </w:r>
            <w:r w:rsidRPr="00765F6E">
              <w:rPr>
                <w:rFonts w:hAnsi="宋体" w:cs="宋体" w:hint="eastAsia"/>
                <w:sz w:val="18"/>
                <w:szCs w:val="18"/>
              </w:rPr>
              <w:t>）</w:t>
            </w:r>
          </w:p>
        </w:tc>
      </w:tr>
      <w:tr w:rsidR="00737EB2" w:rsidRPr="00765F6E" w14:paraId="095786AA" w14:textId="77777777" w:rsidTr="00871D47">
        <w:trPr>
          <w:trHeight w:val="176"/>
          <w:jc w:val="center"/>
        </w:trPr>
        <w:tc>
          <w:tcPr>
            <w:tcW w:w="1666" w:type="pct"/>
            <w:vMerge w:val="restart"/>
            <w:tcBorders>
              <w:top w:val="single" w:sz="8" w:space="0" w:color="auto"/>
            </w:tcBorders>
            <w:shd w:val="clear" w:color="auto" w:fill="auto"/>
            <w:vAlign w:val="center"/>
          </w:tcPr>
          <w:p w14:paraId="491A80E2"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m</w:t>
            </w:r>
            <w:r w:rsidRPr="00765F6E">
              <w:rPr>
                <w:rFonts w:ascii="宋体" w:hAnsi="宋体" w:hint="eastAsia"/>
                <w:sz w:val="18"/>
                <w:szCs w:val="18"/>
              </w:rPr>
              <w:t>宽通道</w:t>
            </w:r>
          </w:p>
        </w:tc>
        <w:tc>
          <w:tcPr>
            <w:tcW w:w="1667" w:type="pct"/>
            <w:tcBorders>
              <w:top w:val="single" w:sz="8" w:space="0" w:color="auto"/>
            </w:tcBorders>
            <w:shd w:val="clear" w:color="auto" w:fill="auto"/>
            <w:vAlign w:val="center"/>
          </w:tcPr>
          <w:p w14:paraId="18CF3D0A"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单向通行</w:t>
            </w:r>
          </w:p>
        </w:tc>
        <w:tc>
          <w:tcPr>
            <w:tcW w:w="1667" w:type="pct"/>
            <w:tcBorders>
              <w:top w:val="single" w:sz="8" w:space="0" w:color="auto"/>
            </w:tcBorders>
            <w:shd w:val="clear" w:color="auto" w:fill="auto"/>
            <w:vAlign w:val="center"/>
          </w:tcPr>
          <w:p w14:paraId="6165616D"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5</w:t>
            </w:r>
            <w:r w:rsidRPr="00765F6E">
              <w:rPr>
                <w:rFonts w:ascii="宋体" w:hAnsi="宋体"/>
                <w:sz w:val="18"/>
                <w:szCs w:val="18"/>
              </w:rPr>
              <w:t>000</w:t>
            </w:r>
          </w:p>
        </w:tc>
      </w:tr>
      <w:tr w:rsidR="00737EB2" w:rsidRPr="00765F6E" w14:paraId="433E3928" w14:textId="77777777" w:rsidTr="00871D47">
        <w:trPr>
          <w:trHeight w:val="176"/>
          <w:jc w:val="center"/>
        </w:trPr>
        <w:tc>
          <w:tcPr>
            <w:tcW w:w="1666" w:type="pct"/>
            <w:vMerge/>
            <w:shd w:val="clear" w:color="auto" w:fill="auto"/>
            <w:vAlign w:val="center"/>
          </w:tcPr>
          <w:p w14:paraId="7DD5E918" w14:textId="77777777" w:rsidR="00737EB2" w:rsidRPr="00765F6E" w:rsidRDefault="00737EB2" w:rsidP="00871D47">
            <w:pPr>
              <w:spacing w:line="240" w:lineRule="exact"/>
              <w:jc w:val="center"/>
              <w:textAlignment w:val="center"/>
              <w:rPr>
                <w:rFonts w:ascii="宋体" w:hAnsi="宋体"/>
                <w:sz w:val="18"/>
                <w:szCs w:val="18"/>
              </w:rPr>
            </w:pPr>
          </w:p>
        </w:tc>
        <w:tc>
          <w:tcPr>
            <w:tcW w:w="1667" w:type="pct"/>
            <w:shd w:val="clear" w:color="auto" w:fill="auto"/>
            <w:vAlign w:val="center"/>
          </w:tcPr>
          <w:p w14:paraId="125C268C"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双向混行</w:t>
            </w:r>
          </w:p>
        </w:tc>
        <w:tc>
          <w:tcPr>
            <w:tcW w:w="1667" w:type="pct"/>
            <w:shd w:val="clear" w:color="auto" w:fill="auto"/>
            <w:vAlign w:val="center"/>
          </w:tcPr>
          <w:p w14:paraId="743F80D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4</w:t>
            </w:r>
            <w:r w:rsidRPr="00765F6E">
              <w:rPr>
                <w:rFonts w:ascii="宋体" w:hAnsi="宋体"/>
                <w:sz w:val="18"/>
                <w:szCs w:val="18"/>
              </w:rPr>
              <w:t>000</w:t>
            </w:r>
          </w:p>
        </w:tc>
      </w:tr>
      <w:tr w:rsidR="00737EB2" w:rsidRPr="00765F6E" w14:paraId="7275877C" w14:textId="77777777" w:rsidTr="00871D47">
        <w:trPr>
          <w:trHeight w:val="176"/>
          <w:jc w:val="center"/>
        </w:trPr>
        <w:tc>
          <w:tcPr>
            <w:tcW w:w="1666" w:type="pct"/>
            <w:vMerge w:val="restart"/>
            <w:shd w:val="clear" w:color="auto" w:fill="auto"/>
            <w:vAlign w:val="center"/>
          </w:tcPr>
          <w:p w14:paraId="45237BFD"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m</w:t>
            </w:r>
            <w:r w:rsidRPr="00765F6E">
              <w:rPr>
                <w:rFonts w:ascii="宋体" w:hAnsi="宋体" w:hint="eastAsia"/>
                <w:sz w:val="18"/>
                <w:szCs w:val="18"/>
              </w:rPr>
              <w:t>宽楼梯</w:t>
            </w:r>
          </w:p>
        </w:tc>
        <w:tc>
          <w:tcPr>
            <w:tcW w:w="1667" w:type="pct"/>
            <w:shd w:val="clear" w:color="auto" w:fill="auto"/>
            <w:vAlign w:val="center"/>
          </w:tcPr>
          <w:p w14:paraId="7D58652F"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单向下行</w:t>
            </w:r>
          </w:p>
        </w:tc>
        <w:tc>
          <w:tcPr>
            <w:tcW w:w="1667" w:type="pct"/>
            <w:shd w:val="clear" w:color="auto" w:fill="auto"/>
            <w:vAlign w:val="center"/>
          </w:tcPr>
          <w:p w14:paraId="432EB8D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4</w:t>
            </w:r>
            <w:r w:rsidRPr="00765F6E">
              <w:rPr>
                <w:rFonts w:ascii="宋体" w:hAnsi="宋体"/>
                <w:sz w:val="18"/>
                <w:szCs w:val="18"/>
              </w:rPr>
              <w:t>200</w:t>
            </w:r>
          </w:p>
        </w:tc>
      </w:tr>
      <w:tr w:rsidR="00737EB2" w:rsidRPr="00765F6E" w14:paraId="65673869" w14:textId="77777777" w:rsidTr="00871D47">
        <w:trPr>
          <w:trHeight w:val="176"/>
          <w:jc w:val="center"/>
        </w:trPr>
        <w:tc>
          <w:tcPr>
            <w:tcW w:w="1666" w:type="pct"/>
            <w:vMerge/>
            <w:shd w:val="clear" w:color="auto" w:fill="auto"/>
            <w:vAlign w:val="center"/>
          </w:tcPr>
          <w:p w14:paraId="21DBA486" w14:textId="77777777" w:rsidR="00737EB2" w:rsidRPr="00765F6E" w:rsidRDefault="00737EB2" w:rsidP="00871D47">
            <w:pPr>
              <w:spacing w:line="240" w:lineRule="exact"/>
              <w:jc w:val="center"/>
              <w:textAlignment w:val="center"/>
              <w:rPr>
                <w:rFonts w:ascii="宋体" w:hAnsi="宋体"/>
                <w:sz w:val="18"/>
                <w:szCs w:val="18"/>
              </w:rPr>
            </w:pPr>
          </w:p>
        </w:tc>
        <w:tc>
          <w:tcPr>
            <w:tcW w:w="1667" w:type="pct"/>
            <w:shd w:val="clear" w:color="auto" w:fill="auto"/>
            <w:vAlign w:val="center"/>
          </w:tcPr>
          <w:p w14:paraId="0243618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单向上行</w:t>
            </w:r>
          </w:p>
        </w:tc>
        <w:tc>
          <w:tcPr>
            <w:tcW w:w="1667" w:type="pct"/>
            <w:shd w:val="clear" w:color="auto" w:fill="auto"/>
            <w:vAlign w:val="center"/>
          </w:tcPr>
          <w:p w14:paraId="6E0232E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3</w:t>
            </w:r>
            <w:r w:rsidRPr="00765F6E">
              <w:rPr>
                <w:rFonts w:ascii="宋体" w:hAnsi="宋体"/>
                <w:sz w:val="18"/>
                <w:szCs w:val="18"/>
              </w:rPr>
              <w:t>700</w:t>
            </w:r>
          </w:p>
        </w:tc>
      </w:tr>
      <w:tr w:rsidR="00737EB2" w:rsidRPr="00765F6E" w14:paraId="7269C185" w14:textId="77777777" w:rsidTr="00871D47">
        <w:trPr>
          <w:trHeight w:val="176"/>
          <w:jc w:val="center"/>
        </w:trPr>
        <w:tc>
          <w:tcPr>
            <w:tcW w:w="1666" w:type="pct"/>
            <w:vMerge/>
            <w:shd w:val="clear" w:color="auto" w:fill="auto"/>
            <w:vAlign w:val="center"/>
          </w:tcPr>
          <w:p w14:paraId="43EBEDFC" w14:textId="77777777" w:rsidR="00737EB2" w:rsidRPr="00765F6E" w:rsidRDefault="00737EB2" w:rsidP="00871D47">
            <w:pPr>
              <w:spacing w:line="240" w:lineRule="exact"/>
              <w:jc w:val="center"/>
              <w:textAlignment w:val="center"/>
              <w:rPr>
                <w:rFonts w:ascii="宋体" w:hAnsi="宋体"/>
                <w:sz w:val="18"/>
                <w:szCs w:val="18"/>
              </w:rPr>
            </w:pPr>
          </w:p>
        </w:tc>
        <w:tc>
          <w:tcPr>
            <w:tcW w:w="1667" w:type="pct"/>
            <w:shd w:val="clear" w:color="auto" w:fill="auto"/>
            <w:vAlign w:val="center"/>
          </w:tcPr>
          <w:p w14:paraId="4D15AE38"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双向混行</w:t>
            </w:r>
          </w:p>
        </w:tc>
        <w:tc>
          <w:tcPr>
            <w:tcW w:w="1667" w:type="pct"/>
            <w:shd w:val="clear" w:color="auto" w:fill="auto"/>
            <w:vAlign w:val="center"/>
          </w:tcPr>
          <w:p w14:paraId="53C973BB"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3</w:t>
            </w:r>
            <w:r w:rsidRPr="00765F6E">
              <w:rPr>
                <w:rFonts w:ascii="宋体" w:hAnsi="宋体"/>
                <w:sz w:val="18"/>
                <w:szCs w:val="18"/>
              </w:rPr>
              <w:t>200</w:t>
            </w:r>
          </w:p>
        </w:tc>
      </w:tr>
      <w:tr w:rsidR="00737EB2" w:rsidRPr="00765F6E" w14:paraId="0301E0F9" w14:textId="77777777" w:rsidTr="00871D47">
        <w:trPr>
          <w:trHeight w:val="176"/>
          <w:jc w:val="center"/>
        </w:trPr>
        <w:tc>
          <w:tcPr>
            <w:tcW w:w="1666" w:type="pct"/>
            <w:vMerge w:val="restart"/>
            <w:shd w:val="clear" w:color="auto" w:fill="auto"/>
            <w:vAlign w:val="center"/>
          </w:tcPr>
          <w:p w14:paraId="5E31FD6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m</w:t>
            </w:r>
            <w:r w:rsidRPr="00765F6E">
              <w:rPr>
                <w:rFonts w:ascii="宋体" w:hAnsi="宋体" w:hint="eastAsia"/>
                <w:sz w:val="18"/>
                <w:szCs w:val="18"/>
              </w:rPr>
              <w:t>宽自动扶梯（3</w:t>
            </w:r>
            <w:r w:rsidRPr="00765F6E">
              <w:rPr>
                <w:rFonts w:ascii="宋体" w:hAnsi="宋体"/>
                <w:sz w:val="18"/>
                <w:szCs w:val="18"/>
              </w:rPr>
              <w:t>0</w:t>
            </w:r>
            <w:r w:rsidRPr="00765F6E">
              <w:rPr>
                <w:rFonts w:ascii="宋体" w:hAnsi="宋体" w:hint="eastAsia"/>
                <w:sz w:val="18"/>
                <w:szCs w:val="18"/>
              </w:rPr>
              <w:t>°）</w:t>
            </w:r>
          </w:p>
        </w:tc>
        <w:tc>
          <w:tcPr>
            <w:tcW w:w="1667" w:type="pct"/>
            <w:shd w:val="clear" w:color="auto" w:fill="auto"/>
            <w:vAlign w:val="center"/>
          </w:tcPr>
          <w:p w14:paraId="3ED45760"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0</w:t>
            </w:r>
            <w:r w:rsidRPr="00765F6E">
              <w:rPr>
                <w:rFonts w:ascii="宋体" w:hAnsi="宋体"/>
                <w:sz w:val="18"/>
                <w:szCs w:val="18"/>
              </w:rPr>
              <w:t>.50m/s</w:t>
            </w:r>
          </w:p>
        </w:tc>
        <w:tc>
          <w:tcPr>
            <w:tcW w:w="1667" w:type="pct"/>
            <w:shd w:val="clear" w:color="auto" w:fill="auto"/>
            <w:vAlign w:val="center"/>
          </w:tcPr>
          <w:p w14:paraId="7328E5B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6</w:t>
            </w:r>
            <w:r w:rsidRPr="00765F6E">
              <w:rPr>
                <w:rFonts w:ascii="宋体" w:hAnsi="宋体"/>
                <w:sz w:val="18"/>
                <w:szCs w:val="18"/>
              </w:rPr>
              <w:t>000</w:t>
            </w:r>
          </w:p>
        </w:tc>
      </w:tr>
      <w:tr w:rsidR="00737EB2" w:rsidRPr="00765F6E" w14:paraId="776C954B" w14:textId="77777777" w:rsidTr="00871D47">
        <w:trPr>
          <w:trHeight w:val="176"/>
          <w:jc w:val="center"/>
        </w:trPr>
        <w:tc>
          <w:tcPr>
            <w:tcW w:w="1666" w:type="pct"/>
            <w:vMerge/>
            <w:shd w:val="clear" w:color="auto" w:fill="auto"/>
            <w:vAlign w:val="center"/>
          </w:tcPr>
          <w:p w14:paraId="7A20602F" w14:textId="77777777" w:rsidR="00737EB2" w:rsidRPr="00765F6E" w:rsidRDefault="00737EB2" w:rsidP="00871D47">
            <w:pPr>
              <w:spacing w:line="240" w:lineRule="exact"/>
              <w:jc w:val="center"/>
              <w:textAlignment w:val="center"/>
              <w:rPr>
                <w:rFonts w:ascii="宋体" w:hAnsi="宋体"/>
                <w:sz w:val="18"/>
                <w:szCs w:val="18"/>
              </w:rPr>
            </w:pPr>
          </w:p>
        </w:tc>
        <w:tc>
          <w:tcPr>
            <w:tcW w:w="1667" w:type="pct"/>
            <w:shd w:val="clear" w:color="auto" w:fill="auto"/>
            <w:vAlign w:val="center"/>
          </w:tcPr>
          <w:p w14:paraId="4716DFF7"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0</w:t>
            </w:r>
            <w:r w:rsidRPr="00765F6E">
              <w:rPr>
                <w:rFonts w:ascii="宋体" w:hAnsi="宋体"/>
                <w:sz w:val="18"/>
                <w:szCs w:val="18"/>
              </w:rPr>
              <w:t>.65m/s</w:t>
            </w:r>
          </w:p>
        </w:tc>
        <w:tc>
          <w:tcPr>
            <w:tcW w:w="1667" w:type="pct"/>
            <w:shd w:val="clear" w:color="auto" w:fill="auto"/>
            <w:vAlign w:val="center"/>
          </w:tcPr>
          <w:p w14:paraId="539ADF12"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7</w:t>
            </w:r>
            <w:r w:rsidRPr="00765F6E">
              <w:rPr>
                <w:rFonts w:ascii="宋体" w:hAnsi="宋体"/>
                <w:sz w:val="18"/>
                <w:szCs w:val="18"/>
              </w:rPr>
              <w:t>300</w:t>
            </w:r>
          </w:p>
        </w:tc>
      </w:tr>
      <w:tr w:rsidR="00737EB2" w:rsidRPr="00765F6E" w14:paraId="38D27062" w14:textId="77777777" w:rsidTr="00871D47">
        <w:trPr>
          <w:trHeight w:val="176"/>
          <w:jc w:val="center"/>
        </w:trPr>
        <w:tc>
          <w:tcPr>
            <w:tcW w:w="3333" w:type="pct"/>
            <w:gridSpan w:val="2"/>
            <w:shd w:val="clear" w:color="auto" w:fill="auto"/>
            <w:vAlign w:val="center"/>
          </w:tcPr>
          <w:p w14:paraId="1BA863B2"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人工售票口</w:t>
            </w:r>
          </w:p>
        </w:tc>
        <w:tc>
          <w:tcPr>
            <w:tcW w:w="1667" w:type="pct"/>
            <w:shd w:val="clear" w:color="auto" w:fill="auto"/>
            <w:vAlign w:val="center"/>
          </w:tcPr>
          <w:p w14:paraId="26056A7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200</w:t>
            </w:r>
          </w:p>
        </w:tc>
      </w:tr>
      <w:tr w:rsidR="00737EB2" w:rsidRPr="00765F6E" w14:paraId="5558FC70" w14:textId="77777777" w:rsidTr="00871D47">
        <w:trPr>
          <w:trHeight w:val="176"/>
          <w:jc w:val="center"/>
        </w:trPr>
        <w:tc>
          <w:tcPr>
            <w:tcW w:w="3333" w:type="pct"/>
            <w:gridSpan w:val="2"/>
            <w:shd w:val="clear" w:color="auto" w:fill="auto"/>
            <w:vAlign w:val="center"/>
          </w:tcPr>
          <w:p w14:paraId="7C2E43ED"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自动售票机</w:t>
            </w:r>
          </w:p>
        </w:tc>
        <w:tc>
          <w:tcPr>
            <w:tcW w:w="1667" w:type="pct"/>
            <w:shd w:val="clear" w:color="auto" w:fill="auto"/>
            <w:vAlign w:val="center"/>
          </w:tcPr>
          <w:p w14:paraId="15F0E39F"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3</w:t>
            </w:r>
            <w:r w:rsidRPr="00765F6E">
              <w:rPr>
                <w:rFonts w:ascii="宋体" w:hAnsi="宋体"/>
                <w:sz w:val="18"/>
                <w:szCs w:val="18"/>
              </w:rPr>
              <w:t>00</w:t>
            </w:r>
          </w:p>
        </w:tc>
      </w:tr>
      <w:tr w:rsidR="00737EB2" w:rsidRPr="00765F6E" w14:paraId="20A955ED" w14:textId="77777777" w:rsidTr="00871D47">
        <w:trPr>
          <w:trHeight w:val="176"/>
          <w:jc w:val="center"/>
        </w:trPr>
        <w:tc>
          <w:tcPr>
            <w:tcW w:w="3333" w:type="pct"/>
            <w:gridSpan w:val="2"/>
            <w:shd w:val="clear" w:color="auto" w:fill="auto"/>
            <w:vAlign w:val="center"/>
          </w:tcPr>
          <w:p w14:paraId="51D93EEF"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人工检票口</w:t>
            </w:r>
          </w:p>
        </w:tc>
        <w:tc>
          <w:tcPr>
            <w:tcW w:w="1667" w:type="pct"/>
            <w:shd w:val="clear" w:color="auto" w:fill="auto"/>
            <w:vAlign w:val="center"/>
          </w:tcPr>
          <w:p w14:paraId="16504665"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2</w:t>
            </w:r>
            <w:r w:rsidRPr="00765F6E">
              <w:rPr>
                <w:rFonts w:ascii="宋体" w:hAnsi="宋体"/>
                <w:sz w:val="18"/>
                <w:szCs w:val="18"/>
              </w:rPr>
              <w:t>600</w:t>
            </w:r>
          </w:p>
        </w:tc>
      </w:tr>
      <w:tr w:rsidR="00737EB2" w:rsidRPr="00765F6E" w14:paraId="2AB9A542" w14:textId="77777777" w:rsidTr="00871D47">
        <w:trPr>
          <w:trHeight w:val="176"/>
          <w:jc w:val="center"/>
        </w:trPr>
        <w:tc>
          <w:tcPr>
            <w:tcW w:w="1666" w:type="pct"/>
            <w:vMerge w:val="restart"/>
            <w:shd w:val="clear" w:color="auto" w:fill="auto"/>
            <w:vAlign w:val="center"/>
          </w:tcPr>
          <w:p w14:paraId="1B5238A5"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自动检票机</w:t>
            </w:r>
          </w:p>
        </w:tc>
        <w:tc>
          <w:tcPr>
            <w:tcW w:w="1667" w:type="pct"/>
            <w:shd w:val="clear" w:color="auto" w:fill="auto"/>
            <w:vAlign w:val="center"/>
          </w:tcPr>
          <w:p w14:paraId="3C53D9B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门扉式</w:t>
            </w:r>
          </w:p>
        </w:tc>
        <w:tc>
          <w:tcPr>
            <w:tcW w:w="1667" w:type="pct"/>
            <w:shd w:val="clear" w:color="auto" w:fill="auto"/>
            <w:vAlign w:val="center"/>
          </w:tcPr>
          <w:p w14:paraId="77D4687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800</w:t>
            </w:r>
          </w:p>
        </w:tc>
      </w:tr>
      <w:tr w:rsidR="00737EB2" w:rsidRPr="00765F6E" w14:paraId="3FF6A98E" w14:textId="77777777" w:rsidTr="00871D47">
        <w:trPr>
          <w:trHeight w:val="176"/>
          <w:jc w:val="center"/>
        </w:trPr>
        <w:tc>
          <w:tcPr>
            <w:tcW w:w="1666" w:type="pct"/>
            <w:vMerge/>
            <w:tcBorders>
              <w:bottom w:val="single" w:sz="8" w:space="0" w:color="auto"/>
            </w:tcBorders>
            <w:shd w:val="clear" w:color="auto" w:fill="auto"/>
            <w:vAlign w:val="center"/>
          </w:tcPr>
          <w:p w14:paraId="2F0595A4" w14:textId="77777777" w:rsidR="00737EB2" w:rsidRPr="00765F6E" w:rsidRDefault="00737EB2" w:rsidP="00871D47">
            <w:pPr>
              <w:spacing w:line="240" w:lineRule="exact"/>
              <w:jc w:val="center"/>
              <w:textAlignment w:val="center"/>
              <w:rPr>
                <w:rFonts w:ascii="宋体" w:hAnsi="宋体"/>
                <w:sz w:val="18"/>
                <w:szCs w:val="18"/>
              </w:rPr>
            </w:pPr>
          </w:p>
        </w:tc>
        <w:tc>
          <w:tcPr>
            <w:tcW w:w="1667" w:type="pct"/>
            <w:tcBorders>
              <w:bottom w:val="single" w:sz="8" w:space="0" w:color="auto"/>
            </w:tcBorders>
            <w:shd w:val="clear" w:color="auto" w:fill="auto"/>
            <w:vAlign w:val="center"/>
          </w:tcPr>
          <w:p w14:paraId="044A850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双向门扉式</w:t>
            </w:r>
          </w:p>
        </w:tc>
        <w:tc>
          <w:tcPr>
            <w:tcW w:w="1667" w:type="pct"/>
            <w:tcBorders>
              <w:bottom w:val="single" w:sz="8" w:space="0" w:color="auto"/>
            </w:tcBorders>
            <w:shd w:val="clear" w:color="auto" w:fill="auto"/>
            <w:vAlign w:val="center"/>
          </w:tcPr>
          <w:p w14:paraId="39DF20B6"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500</w:t>
            </w:r>
          </w:p>
        </w:tc>
      </w:tr>
    </w:tbl>
    <w:p w14:paraId="74D37257" w14:textId="77777777" w:rsidR="00737EB2" w:rsidRPr="00765F6E" w:rsidRDefault="00737EB2" w:rsidP="00737EB2">
      <w:pPr>
        <w:spacing w:line="240" w:lineRule="auto"/>
      </w:pPr>
    </w:p>
    <w:p w14:paraId="6ED677ED" w14:textId="1F4E7346" w:rsidR="00737EB2" w:rsidRPr="00765F6E" w:rsidRDefault="00737EB2" w:rsidP="009D0776">
      <w:pPr>
        <w:pStyle w:val="22"/>
      </w:pPr>
      <w:bookmarkStart w:id="1617" w:name="_Toc153291492"/>
      <w:bookmarkStart w:id="1618" w:name="_Toc99792058"/>
      <w:r w:rsidRPr="00765F6E">
        <w:rPr>
          <w:rFonts w:hint="eastAsia"/>
        </w:rPr>
        <w:t>车站的自动扶梯、楼梯、检票机和出入口通道等站内设施能力折减系数宜符合表</w:t>
      </w:r>
      <w:r w:rsidR="001C1F75" w:rsidRPr="00765F6E">
        <w:rPr>
          <w:rFonts w:hint="eastAsia"/>
        </w:rPr>
        <w:t>6</w:t>
      </w:r>
      <w:r w:rsidR="001C1F75">
        <w:t>8</w:t>
      </w:r>
      <w:r w:rsidRPr="00765F6E">
        <w:rPr>
          <w:rFonts w:hint="eastAsia"/>
        </w:rPr>
        <w:t>的规定。</w:t>
      </w:r>
      <w:bookmarkEnd w:id="1617"/>
      <w:bookmarkEnd w:id="1618"/>
    </w:p>
    <w:p w14:paraId="34C3B6E9" w14:textId="77777777" w:rsidR="00737EB2" w:rsidRPr="00765F6E" w:rsidRDefault="00737EB2" w:rsidP="00737EB2">
      <w:pPr>
        <w:pStyle w:val="aff3"/>
        <w:spacing w:before="156" w:after="156"/>
      </w:pPr>
      <w:r w:rsidRPr="00765F6E">
        <w:rPr>
          <w:rFonts w:hint="eastAsia"/>
        </w:rPr>
        <w:t>车站通行施折减系数</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252"/>
        <w:gridCol w:w="2266"/>
        <w:gridCol w:w="991"/>
        <w:gridCol w:w="1133"/>
        <w:gridCol w:w="792"/>
        <w:gridCol w:w="900"/>
      </w:tblGrid>
      <w:tr w:rsidR="00737EB2" w:rsidRPr="00765F6E" w14:paraId="5B298E6F" w14:textId="77777777" w:rsidTr="00871D47">
        <w:trPr>
          <w:trHeight w:val="176"/>
          <w:jc w:val="center"/>
        </w:trPr>
        <w:tc>
          <w:tcPr>
            <w:tcW w:w="1742" w:type="pct"/>
            <w:vMerge w:val="restart"/>
            <w:tcBorders>
              <w:top w:val="single" w:sz="8" w:space="0" w:color="auto"/>
              <w:bottom w:val="single" w:sz="4" w:space="0" w:color="auto"/>
            </w:tcBorders>
            <w:shd w:val="clear" w:color="auto" w:fill="auto"/>
            <w:vAlign w:val="center"/>
          </w:tcPr>
          <w:p w14:paraId="534CCD3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车站类型</w:t>
            </w:r>
          </w:p>
        </w:tc>
        <w:tc>
          <w:tcPr>
            <w:tcW w:w="1214" w:type="pct"/>
            <w:vMerge w:val="restart"/>
            <w:tcBorders>
              <w:top w:val="single" w:sz="8" w:space="0" w:color="auto"/>
              <w:bottom w:val="single" w:sz="4" w:space="0" w:color="auto"/>
            </w:tcBorders>
            <w:shd w:val="clear" w:color="auto" w:fill="auto"/>
            <w:vAlign w:val="center"/>
          </w:tcPr>
          <w:p w14:paraId="4469257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车站等级</w:t>
            </w:r>
          </w:p>
        </w:tc>
        <w:tc>
          <w:tcPr>
            <w:tcW w:w="2044" w:type="pct"/>
            <w:gridSpan w:val="4"/>
            <w:tcBorders>
              <w:top w:val="single" w:sz="8" w:space="0" w:color="auto"/>
              <w:bottom w:val="single" w:sz="4" w:space="0" w:color="auto"/>
            </w:tcBorders>
            <w:shd w:val="clear" w:color="auto" w:fill="auto"/>
            <w:vAlign w:val="center"/>
          </w:tcPr>
          <w:p w14:paraId="10CE734A"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通行设施折减系数</w:t>
            </w:r>
          </w:p>
        </w:tc>
      </w:tr>
      <w:tr w:rsidR="00737EB2" w:rsidRPr="00765F6E" w14:paraId="22D125F4" w14:textId="77777777" w:rsidTr="00871D47">
        <w:trPr>
          <w:trHeight w:val="176"/>
          <w:jc w:val="center"/>
        </w:trPr>
        <w:tc>
          <w:tcPr>
            <w:tcW w:w="1742" w:type="pct"/>
            <w:vMerge/>
            <w:tcBorders>
              <w:top w:val="single" w:sz="4" w:space="0" w:color="auto"/>
              <w:bottom w:val="single" w:sz="8" w:space="0" w:color="auto"/>
            </w:tcBorders>
            <w:shd w:val="clear" w:color="auto" w:fill="auto"/>
            <w:vAlign w:val="center"/>
          </w:tcPr>
          <w:p w14:paraId="644A2D23" w14:textId="77777777" w:rsidR="00737EB2" w:rsidRPr="00765F6E" w:rsidRDefault="00737EB2" w:rsidP="00871D47">
            <w:pPr>
              <w:pStyle w:val="affffffffffff2"/>
              <w:jc w:val="center"/>
              <w:rPr>
                <w:rFonts w:hAnsi="宋体" w:cs="宋体"/>
                <w:sz w:val="18"/>
                <w:szCs w:val="18"/>
              </w:rPr>
            </w:pPr>
          </w:p>
        </w:tc>
        <w:tc>
          <w:tcPr>
            <w:tcW w:w="1214" w:type="pct"/>
            <w:vMerge/>
            <w:tcBorders>
              <w:top w:val="single" w:sz="4" w:space="0" w:color="auto"/>
              <w:bottom w:val="single" w:sz="8" w:space="0" w:color="auto"/>
            </w:tcBorders>
            <w:shd w:val="clear" w:color="auto" w:fill="auto"/>
            <w:vAlign w:val="center"/>
          </w:tcPr>
          <w:p w14:paraId="0CB27860" w14:textId="77777777" w:rsidR="00737EB2" w:rsidRPr="00765F6E" w:rsidRDefault="00737EB2" w:rsidP="00871D47">
            <w:pPr>
              <w:pStyle w:val="affffffffffff2"/>
              <w:jc w:val="center"/>
              <w:rPr>
                <w:rFonts w:hAnsi="宋体" w:cs="宋体"/>
                <w:sz w:val="18"/>
                <w:szCs w:val="18"/>
              </w:rPr>
            </w:pPr>
          </w:p>
        </w:tc>
        <w:tc>
          <w:tcPr>
            <w:tcW w:w="531" w:type="pct"/>
            <w:tcBorders>
              <w:top w:val="single" w:sz="4" w:space="0" w:color="auto"/>
              <w:bottom w:val="single" w:sz="8" w:space="0" w:color="auto"/>
            </w:tcBorders>
            <w:shd w:val="clear" w:color="auto" w:fill="auto"/>
            <w:vAlign w:val="center"/>
          </w:tcPr>
          <w:p w14:paraId="35C0BA7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通道</w:t>
            </w:r>
          </w:p>
        </w:tc>
        <w:tc>
          <w:tcPr>
            <w:tcW w:w="607" w:type="pct"/>
            <w:tcBorders>
              <w:top w:val="single" w:sz="4" w:space="0" w:color="auto"/>
              <w:bottom w:val="single" w:sz="8" w:space="0" w:color="auto"/>
            </w:tcBorders>
            <w:shd w:val="clear" w:color="auto" w:fill="auto"/>
            <w:vAlign w:val="center"/>
          </w:tcPr>
          <w:p w14:paraId="3DBF2F6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自动扶梯</w:t>
            </w:r>
          </w:p>
        </w:tc>
        <w:tc>
          <w:tcPr>
            <w:tcW w:w="424" w:type="pct"/>
            <w:tcBorders>
              <w:top w:val="single" w:sz="4" w:space="0" w:color="auto"/>
              <w:bottom w:val="single" w:sz="8" w:space="0" w:color="auto"/>
            </w:tcBorders>
            <w:shd w:val="clear" w:color="auto" w:fill="auto"/>
            <w:vAlign w:val="center"/>
          </w:tcPr>
          <w:p w14:paraId="6A8AE5D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楼梯</w:t>
            </w:r>
          </w:p>
        </w:tc>
        <w:tc>
          <w:tcPr>
            <w:tcW w:w="482" w:type="pct"/>
            <w:tcBorders>
              <w:top w:val="single" w:sz="4" w:space="0" w:color="auto"/>
              <w:bottom w:val="single" w:sz="8" w:space="0" w:color="auto"/>
            </w:tcBorders>
            <w:shd w:val="clear" w:color="auto" w:fill="auto"/>
            <w:vAlign w:val="center"/>
          </w:tcPr>
          <w:p w14:paraId="6D9FB434"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检票机</w:t>
            </w:r>
          </w:p>
        </w:tc>
      </w:tr>
      <w:tr w:rsidR="00737EB2" w:rsidRPr="00765F6E" w14:paraId="5C3DC9E9" w14:textId="77777777" w:rsidTr="00871D47">
        <w:trPr>
          <w:trHeight w:val="176"/>
          <w:jc w:val="center"/>
        </w:trPr>
        <w:tc>
          <w:tcPr>
            <w:tcW w:w="1742" w:type="pct"/>
            <w:tcBorders>
              <w:top w:val="single" w:sz="8" w:space="0" w:color="auto"/>
            </w:tcBorders>
            <w:shd w:val="clear" w:color="auto" w:fill="auto"/>
            <w:vAlign w:val="center"/>
          </w:tcPr>
          <w:p w14:paraId="4CA9CD3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A类：转乘城际交通</w:t>
            </w:r>
          </w:p>
        </w:tc>
        <w:tc>
          <w:tcPr>
            <w:tcW w:w="1214" w:type="pct"/>
            <w:tcBorders>
              <w:top w:val="single" w:sz="8" w:space="0" w:color="auto"/>
            </w:tcBorders>
            <w:shd w:val="clear" w:color="auto" w:fill="auto"/>
            <w:vAlign w:val="center"/>
          </w:tcPr>
          <w:p w14:paraId="2933A7E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特级、甲级、乙级</w:t>
            </w:r>
          </w:p>
        </w:tc>
        <w:tc>
          <w:tcPr>
            <w:tcW w:w="531" w:type="pct"/>
            <w:vMerge w:val="restart"/>
            <w:tcBorders>
              <w:top w:val="single" w:sz="8" w:space="0" w:color="auto"/>
            </w:tcBorders>
            <w:shd w:val="clear" w:color="auto" w:fill="auto"/>
            <w:vAlign w:val="center"/>
          </w:tcPr>
          <w:p w14:paraId="3DBE183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0</w:t>
            </w:r>
            <w:r w:rsidRPr="00765F6E">
              <w:rPr>
                <w:rFonts w:ascii="宋体" w:hAnsi="宋体"/>
                <w:sz w:val="18"/>
                <w:szCs w:val="18"/>
              </w:rPr>
              <w:t>.70</w:t>
            </w:r>
          </w:p>
        </w:tc>
        <w:tc>
          <w:tcPr>
            <w:tcW w:w="607" w:type="pct"/>
            <w:vMerge w:val="restart"/>
            <w:tcBorders>
              <w:top w:val="single" w:sz="8" w:space="0" w:color="auto"/>
            </w:tcBorders>
            <w:shd w:val="clear" w:color="auto" w:fill="auto"/>
            <w:vAlign w:val="center"/>
          </w:tcPr>
          <w:p w14:paraId="40B4167A"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0</w:t>
            </w:r>
            <w:r w:rsidRPr="00765F6E">
              <w:rPr>
                <w:rFonts w:ascii="宋体" w:hAnsi="宋体"/>
                <w:sz w:val="18"/>
                <w:szCs w:val="18"/>
              </w:rPr>
              <w:t>.85</w:t>
            </w:r>
          </w:p>
        </w:tc>
        <w:tc>
          <w:tcPr>
            <w:tcW w:w="424" w:type="pct"/>
            <w:vMerge w:val="restart"/>
            <w:tcBorders>
              <w:top w:val="single" w:sz="8" w:space="0" w:color="auto"/>
            </w:tcBorders>
            <w:shd w:val="clear" w:color="auto" w:fill="auto"/>
            <w:vAlign w:val="center"/>
          </w:tcPr>
          <w:p w14:paraId="57CF2301"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0</w:t>
            </w:r>
            <w:r w:rsidRPr="00765F6E">
              <w:rPr>
                <w:rFonts w:ascii="宋体" w:hAnsi="宋体"/>
                <w:sz w:val="18"/>
                <w:szCs w:val="18"/>
              </w:rPr>
              <w:t>.85</w:t>
            </w:r>
          </w:p>
        </w:tc>
        <w:tc>
          <w:tcPr>
            <w:tcW w:w="482" w:type="pct"/>
            <w:vMerge w:val="restart"/>
            <w:tcBorders>
              <w:top w:val="single" w:sz="8" w:space="0" w:color="auto"/>
            </w:tcBorders>
            <w:shd w:val="clear" w:color="auto" w:fill="auto"/>
            <w:vAlign w:val="center"/>
          </w:tcPr>
          <w:p w14:paraId="407ED1A7"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0</w:t>
            </w:r>
            <w:r w:rsidRPr="00765F6E">
              <w:rPr>
                <w:rFonts w:ascii="宋体" w:hAnsi="宋体"/>
                <w:sz w:val="18"/>
                <w:szCs w:val="18"/>
              </w:rPr>
              <w:t>.75</w:t>
            </w:r>
          </w:p>
        </w:tc>
      </w:tr>
      <w:tr w:rsidR="00737EB2" w:rsidRPr="00765F6E" w14:paraId="7D7CBAC2" w14:textId="77777777" w:rsidTr="00871D47">
        <w:trPr>
          <w:trHeight w:val="176"/>
          <w:jc w:val="center"/>
        </w:trPr>
        <w:tc>
          <w:tcPr>
            <w:tcW w:w="1742" w:type="pct"/>
            <w:shd w:val="clear" w:color="auto" w:fill="auto"/>
            <w:vAlign w:val="center"/>
          </w:tcPr>
          <w:p w14:paraId="4977CC1B"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C类：近郊客运中心</w:t>
            </w:r>
          </w:p>
        </w:tc>
        <w:tc>
          <w:tcPr>
            <w:tcW w:w="1214" w:type="pct"/>
            <w:shd w:val="clear" w:color="auto" w:fill="auto"/>
            <w:vAlign w:val="center"/>
          </w:tcPr>
          <w:p w14:paraId="13DE0732"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甲级</w:t>
            </w:r>
          </w:p>
        </w:tc>
        <w:tc>
          <w:tcPr>
            <w:tcW w:w="531" w:type="pct"/>
            <w:vMerge/>
            <w:shd w:val="clear" w:color="auto" w:fill="auto"/>
            <w:vAlign w:val="center"/>
          </w:tcPr>
          <w:p w14:paraId="47C6C568" w14:textId="77777777" w:rsidR="00737EB2" w:rsidRPr="00765F6E" w:rsidRDefault="00737EB2" w:rsidP="00871D47">
            <w:pPr>
              <w:jc w:val="center"/>
              <w:rPr>
                <w:rFonts w:ascii="宋体" w:hAnsi="宋体"/>
                <w:sz w:val="18"/>
                <w:szCs w:val="18"/>
              </w:rPr>
            </w:pPr>
          </w:p>
        </w:tc>
        <w:tc>
          <w:tcPr>
            <w:tcW w:w="607" w:type="pct"/>
            <w:vMerge/>
            <w:shd w:val="clear" w:color="auto" w:fill="auto"/>
            <w:vAlign w:val="center"/>
          </w:tcPr>
          <w:p w14:paraId="2F90021F" w14:textId="77777777" w:rsidR="00737EB2" w:rsidRPr="00765F6E" w:rsidRDefault="00737EB2" w:rsidP="00871D47">
            <w:pPr>
              <w:jc w:val="center"/>
              <w:rPr>
                <w:rFonts w:ascii="宋体" w:hAnsi="宋体"/>
                <w:sz w:val="18"/>
                <w:szCs w:val="18"/>
              </w:rPr>
            </w:pPr>
          </w:p>
        </w:tc>
        <w:tc>
          <w:tcPr>
            <w:tcW w:w="424" w:type="pct"/>
            <w:vMerge/>
            <w:shd w:val="clear" w:color="auto" w:fill="auto"/>
            <w:vAlign w:val="center"/>
          </w:tcPr>
          <w:p w14:paraId="42AE22D9" w14:textId="77777777" w:rsidR="00737EB2" w:rsidRPr="00765F6E" w:rsidRDefault="00737EB2" w:rsidP="00871D47">
            <w:pPr>
              <w:jc w:val="center"/>
              <w:rPr>
                <w:rFonts w:ascii="宋体" w:hAnsi="宋体"/>
                <w:sz w:val="18"/>
                <w:szCs w:val="18"/>
              </w:rPr>
            </w:pPr>
          </w:p>
        </w:tc>
        <w:tc>
          <w:tcPr>
            <w:tcW w:w="482" w:type="pct"/>
            <w:vMerge/>
            <w:shd w:val="clear" w:color="auto" w:fill="auto"/>
            <w:vAlign w:val="center"/>
          </w:tcPr>
          <w:p w14:paraId="2D7BB287" w14:textId="77777777" w:rsidR="00737EB2" w:rsidRPr="00765F6E" w:rsidRDefault="00737EB2" w:rsidP="00871D47">
            <w:pPr>
              <w:jc w:val="center"/>
              <w:rPr>
                <w:rFonts w:ascii="宋体" w:hAnsi="宋体"/>
                <w:sz w:val="18"/>
                <w:szCs w:val="18"/>
              </w:rPr>
            </w:pPr>
          </w:p>
        </w:tc>
      </w:tr>
      <w:tr w:rsidR="00737EB2" w:rsidRPr="00765F6E" w14:paraId="5D6219F8" w14:textId="77777777" w:rsidTr="00871D47">
        <w:trPr>
          <w:trHeight w:val="176"/>
          <w:jc w:val="center"/>
        </w:trPr>
        <w:tc>
          <w:tcPr>
            <w:tcW w:w="1742" w:type="pct"/>
            <w:shd w:val="clear" w:color="auto" w:fill="auto"/>
            <w:vAlign w:val="center"/>
          </w:tcPr>
          <w:p w14:paraId="35159CE3"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B类：体育场馆、会展中心、大型社会活动中心、商业购物中心、旅游观光</w:t>
            </w:r>
          </w:p>
        </w:tc>
        <w:tc>
          <w:tcPr>
            <w:tcW w:w="1214" w:type="pct"/>
            <w:shd w:val="clear" w:color="auto" w:fill="auto"/>
            <w:vAlign w:val="center"/>
          </w:tcPr>
          <w:p w14:paraId="1930866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特级、甲级、乙级</w:t>
            </w:r>
          </w:p>
        </w:tc>
        <w:tc>
          <w:tcPr>
            <w:tcW w:w="531" w:type="pct"/>
            <w:vMerge w:val="restart"/>
            <w:shd w:val="clear" w:color="auto" w:fill="auto"/>
            <w:vAlign w:val="center"/>
          </w:tcPr>
          <w:p w14:paraId="75A12ABB"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0</w:t>
            </w:r>
            <w:r w:rsidRPr="00765F6E">
              <w:rPr>
                <w:rFonts w:ascii="宋体" w:hAnsi="宋体"/>
                <w:sz w:val="18"/>
                <w:szCs w:val="18"/>
              </w:rPr>
              <w:t>.80</w:t>
            </w:r>
          </w:p>
        </w:tc>
        <w:tc>
          <w:tcPr>
            <w:tcW w:w="607" w:type="pct"/>
            <w:vMerge w:val="restart"/>
            <w:shd w:val="clear" w:color="auto" w:fill="auto"/>
            <w:vAlign w:val="center"/>
          </w:tcPr>
          <w:p w14:paraId="42F137CD"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0</w:t>
            </w:r>
            <w:r w:rsidRPr="00765F6E">
              <w:rPr>
                <w:rFonts w:ascii="宋体" w:hAnsi="宋体"/>
                <w:sz w:val="18"/>
                <w:szCs w:val="18"/>
              </w:rPr>
              <w:t>.90</w:t>
            </w:r>
          </w:p>
        </w:tc>
        <w:tc>
          <w:tcPr>
            <w:tcW w:w="424" w:type="pct"/>
            <w:vMerge w:val="restart"/>
            <w:shd w:val="clear" w:color="auto" w:fill="auto"/>
            <w:vAlign w:val="center"/>
          </w:tcPr>
          <w:p w14:paraId="3AF694A8"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0</w:t>
            </w:r>
            <w:r w:rsidRPr="00765F6E">
              <w:rPr>
                <w:rFonts w:ascii="宋体" w:hAnsi="宋体"/>
                <w:sz w:val="18"/>
                <w:szCs w:val="18"/>
              </w:rPr>
              <w:t>.90</w:t>
            </w:r>
          </w:p>
        </w:tc>
        <w:tc>
          <w:tcPr>
            <w:tcW w:w="482" w:type="pct"/>
            <w:vMerge w:val="restart"/>
            <w:shd w:val="clear" w:color="auto" w:fill="auto"/>
            <w:vAlign w:val="center"/>
          </w:tcPr>
          <w:p w14:paraId="20B1BB10"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0</w:t>
            </w:r>
            <w:r w:rsidRPr="00765F6E">
              <w:rPr>
                <w:rFonts w:ascii="宋体" w:hAnsi="宋体"/>
                <w:sz w:val="18"/>
                <w:szCs w:val="18"/>
              </w:rPr>
              <w:t>.85</w:t>
            </w:r>
          </w:p>
        </w:tc>
      </w:tr>
      <w:tr w:rsidR="00737EB2" w:rsidRPr="00765F6E" w14:paraId="74FD1B67" w14:textId="77777777" w:rsidTr="00871D47">
        <w:trPr>
          <w:trHeight w:val="176"/>
          <w:jc w:val="center"/>
        </w:trPr>
        <w:tc>
          <w:tcPr>
            <w:tcW w:w="1742" w:type="pct"/>
            <w:tcBorders>
              <w:bottom w:val="single" w:sz="8" w:space="0" w:color="auto"/>
            </w:tcBorders>
            <w:shd w:val="clear" w:color="auto" w:fill="auto"/>
            <w:vAlign w:val="center"/>
          </w:tcPr>
          <w:p w14:paraId="178B3209" w14:textId="77777777" w:rsidR="00737EB2" w:rsidRPr="00765F6E" w:rsidRDefault="00737EB2" w:rsidP="00871D47">
            <w:pPr>
              <w:jc w:val="center"/>
              <w:textAlignment w:val="center"/>
              <w:rPr>
                <w:rFonts w:ascii="宋体" w:hAnsi="宋体"/>
                <w:sz w:val="18"/>
                <w:szCs w:val="18"/>
              </w:rPr>
            </w:pPr>
            <w:r w:rsidRPr="00765F6E">
              <w:rPr>
                <w:rFonts w:ascii="宋体" w:hAnsi="宋体" w:hint="eastAsia"/>
                <w:sz w:val="18"/>
                <w:szCs w:val="18"/>
              </w:rPr>
              <w:t>C类：市域公交枢纽、市郊铁路首末站</w:t>
            </w:r>
          </w:p>
        </w:tc>
        <w:tc>
          <w:tcPr>
            <w:tcW w:w="1214" w:type="pct"/>
            <w:tcBorders>
              <w:bottom w:val="single" w:sz="8" w:space="0" w:color="auto"/>
            </w:tcBorders>
            <w:shd w:val="clear" w:color="auto" w:fill="auto"/>
            <w:vAlign w:val="center"/>
          </w:tcPr>
          <w:p w14:paraId="520B4F2C"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甲级</w:t>
            </w:r>
          </w:p>
        </w:tc>
        <w:tc>
          <w:tcPr>
            <w:tcW w:w="531" w:type="pct"/>
            <w:vMerge/>
            <w:tcBorders>
              <w:bottom w:val="single" w:sz="8" w:space="0" w:color="auto"/>
            </w:tcBorders>
            <w:shd w:val="clear" w:color="auto" w:fill="auto"/>
            <w:vAlign w:val="center"/>
          </w:tcPr>
          <w:p w14:paraId="16E924E7" w14:textId="77777777" w:rsidR="00737EB2" w:rsidRPr="00765F6E" w:rsidRDefault="00737EB2" w:rsidP="00871D47">
            <w:pPr>
              <w:jc w:val="center"/>
              <w:rPr>
                <w:sz w:val="18"/>
                <w:szCs w:val="18"/>
              </w:rPr>
            </w:pPr>
          </w:p>
        </w:tc>
        <w:tc>
          <w:tcPr>
            <w:tcW w:w="607" w:type="pct"/>
            <w:vMerge/>
            <w:tcBorders>
              <w:bottom w:val="single" w:sz="8" w:space="0" w:color="auto"/>
            </w:tcBorders>
            <w:shd w:val="clear" w:color="auto" w:fill="auto"/>
            <w:vAlign w:val="center"/>
          </w:tcPr>
          <w:p w14:paraId="09396433" w14:textId="77777777" w:rsidR="00737EB2" w:rsidRPr="00765F6E" w:rsidRDefault="00737EB2" w:rsidP="00871D47">
            <w:pPr>
              <w:jc w:val="center"/>
              <w:rPr>
                <w:sz w:val="18"/>
                <w:szCs w:val="18"/>
              </w:rPr>
            </w:pPr>
          </w:p>
        </w:tc>
        <w:tc>
          <w:tcPr>
            <w:tcW w:w="424" w:type="pct"/>
            <w:vMerge/>
            <w:tcBorders>
              <w:bottom w:val="single" w:sz="8" w:space="0" w:color="auto"/>
            </w:tcBorders>
            <w:shd w:val="clear" w:color="auto" w:fill="auto"/>
            <w:vAlign w:val="center"/>
          </w:tcPr>
          <w:p w14:paraId="79C5A76E" w14:textId="77777777" w:rsidR="00737EB2" w:rsidRPr="00765F6E" w:rsidRDefault="00737EB2" w:rsidP="00871D47">
            <w:pPr>
              <w:jc w:val="center"/>
              <w:rPr>
                <w:sz w:val="18"/>
                <w:szCs w:val="18"/>
              </w:rPr>
            </w:pPr>
          </w:p>
        </w:tc>
        <w:tc>
          <w:tcPr>
            <w:tcW w:w="482" w:type="pct"/>
            <w:vMerge/>
            <w:tcBorders>
              <w:bottom w:val="single" w:sz="8" w:space="0" w:color="auto"/>
            </w:tcBorders>
            <w:shd w:val="clear" w:color="auto" w:fill="auto"/>
            <w:vAlign w:val="center"/>
          </w:tcPr>
          <w:p w14:paraId="2EB51BED" w14:textId="77777777" w:rsidR="00737EB2" w:rsidRPr="00765F6E" w:rsidRDefault="00737EB2" w:rsidP="00871D47">
            <w:pPr>
              <w:jc w:val="center"/>
              <w:rPr>
                <w:sz w:val="18"/>
                <w:szCs w:val="18"/>
              </w:rPr>
            </w:pPr>
          </w:p>
        </w:tc>
      </w:tr>
    </w:tbl>
    <w:p w14:paraId="2D112320" w14:textId="77777777" w:rsidR="00737EB2" w:rsidRPr="00765F6E" w:rsidRDefault="00737EB2" w:rsidP="00737EB2">
      <w:pPr>
        <w:spacing w:line="240" w:lineRule="auto"/>
      </w:pPr>
    </w:p>
    <w:p w14:paraId="057D3AE6" w14:textId="3077AE3D" w:rsidR="00737EB2" w:rsidRPr="00765F6E" w:rsidRDefault="00737EB2" w:rsidP="009D0776">
      <w:pPr>
        <w:pStyle w:val="22"/>
      </w:pPr>
      <w:bookmarkStart w:id="1619" w:name="_Toc99792059"/>
      <w:bookmarkStart w:id="1620" w:name="_Toc153291493"/>
      <w:r w:rsidRPr="00765F6E">
        <w:rPr>
          <w:rFonts w:hint="eastAsia"/>
        </w:rPr>
        <w:t>车站服务设施的分类标准宜符合表</w:t>
      </w:r>
      <w:r w:rsidR="001C1F75" w:rsidRPr="00765F6E">
        <w:rPr>
          <w:rFonts w:hint="eastAsia"/>
        </w:rPr>
        <w:t>6</w:t>
      </w:r>
      <w:r w:rsidR="001C1F75">
        <w:t>9</w:t>
      </w:r>
      <w:r w:rsidRPr="00765F6E">
        <w:rPr>
          <w:rFonts w:hint="eastAsia"/>
        </w:rPr>
        <w:t>的规定。</w:t>
      </w:r>
      <w:bookmarkEnd w:id="1619"/>
      <w:bookmarkEnd w:id="1620"/>
    </w:p>
    <w:p w14:paraId="30494CD7" w14:textId="77777777" w:rsidR="00737EB2" w:rsidRPr="00765F6E" w:rsidRDefault="00737EB2" w:rsidP="00737EB2">
      <w:pPr>
        <w:pStyle w:val="aff3"/>
        <w:spacing w:before="156" w:after="156"/>
      </w:pPr>
      <w:r w:rsidRPr="00765F6E">
        <w:rPr>
          <w:rFonts w:hint="eastAsia"/>
        </w:rPr>
        <w:t>车站服务设施的分类标准</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987"/>
        <w:gridCol w:w="2124"/>
        <w:gridCol w:w="1701"/>
        <w:gridCol w:w="1983"/>
        <w:gridCol w:w="1133"/>
        <w:gridCol w:w="1406"/>
      </w:tblGrid>
      <w:tr w:rsidR="00737EB2" w:rsidRPr="00765F6E" w14:paraId="64C7C78A" w14:textId="77777777" w:rsidTr="00871D47">
        <w:trPr>
          <w:trHeight w:val="176"/>
        </w:trPr>
        <w:tc>
          <w:tcPr>
            <w:tcW w:w="529" w:type="pct"/>
            <w:vMerge w:val="restart"/>
            <w:tcBorders>
              <w:top w:val="single" w:sz="8" w:space="0" w:color="auto"/>
              <w:bottom w:val="single" w:sz="4" w:space="0" w:color="auto"/>
            </w:tcBorders>
            <w:shd w:val="clear" w:color="auto" w:fill="auto"/>
            <w:vAlign w:val="center"/>
          </w:tcPr>
          <w:p w14:paraId="0715B24B"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车站等级</w:t>
            </w:r>
          </w:p>
        </w:tc>
        <w:tc>
          <w:tcPr>
            <w:tcW w:w="4471" w:type="pct"/>
            <w:gridSpan w:val="5"/>
            <w:tcBorders>
              <w:top w:val="single" w:sz="8" w:space="0" w:color="auto"/>
              <w:bottom w:val="single" w:sz="4" w:space="0" w:color="auto"/>
            </w:tcBorders>
            <w:shd w:val="clear" w:color="auto" w:fill="auto"/>
            <w:vAlign w:val="center"/>
          </w:tcPr>
          <w:p w14:paraId="6665A715"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需配置的服务设施</w:t>
            </w:r>
          </w:p>
        </w:tc>
      </w:tr>
      <w:tr w:rsidR="00737EB2" w:rsidRPr="00765F6E" w14:paraId="61F4B14D" w14:textId="77777777" w:rsidTr="00871D47">
        <w:trPr>
          <w:trHeight w:val="176"/>
        </w:trPr>
        <w:tc>
          <w:tcPr>
            <w:tcW w:w="529" w:type="pct"/>
            <w:vMerge/>
            <w:tcBorders>
              <w:top w:val="single" w:sz="4" w:space="0" w:color="auto"/>
              <w:bottom w:val="single" w:sz="8" w:space="0" w:color="auto"/>
            </w:tcBorders>
            <w:shd w:val="clear" w:color="auto" w:fill="auto"/>
            <w:vAlign w:val="center"/>
          </w:tcPr>
          <w:p w14:paraId="5F3EDD16" w14:textId="77777777" w:rsidR="00737EB2" w:rsidRPr="00765F6E" w:rsidRDefault="00737EB2" w:rsidP="00871D47">
            <w:pPr>
              <w:pStyle w:val="affffffffffff2"/>
              <w:jc w:val="center"/>
              <w:rPr>
                <w:rFonts w:hAnsi="宋体" w:cs="宋体"/>
                <w:sz w:val="18"/>
                <w:szCs w:val="18"/>
              </w:rPr>
            </w:pPr>
          </w:p>
        </w:tc>
        <w:tc>
          <w:tcPr>
            <w:tcW w:w="1138" w:type="pct"/>
            <w:tcBorders>
              <w:top w:val="single" w:sz="4" w:space="0" w:color="auto"/>
              <w:bottom w:val="single" w:sz="8" w:space="0" w:color="auto"/>
            </w:tcBorders>
            <w:shd w:val="clear" w:color="auto" w:fill="auto"/>
            <w:vAlign w:val="center"/>
          </w:tcPr>
          <w:p w14:paraId="09B47AAC"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室外广场接驳</w:t>
            </w:r>
          </w:p>
        </w:tc>
        <w:tc>
          <w:tcPr>
            <w:tcW w:w="911" w:type="pct"/>
            <w:tcBorders>
              <w:top w:val="single" w:sz="4" w:space="0" w:color="auto"/>
              <w:bottom w:val="single" w:sz="8" w:space="0" w:color="auto"/>
            </w:tcBorders>
            <w:shd w:val="clear" w:color="auto" w:fill="auto"/>
            <w:vAlign w:val="center"/>
          </w:tcPr>
          <w:p w14:paraId="6BD2DE9D"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商业配套</w:t>
            </w:r>
          </w:p>
        </w:tc>
        <w:tc>
          <w:tcPr>
            <w:tcW w:w="1062" w:type="pct"/>
            <w:tcBorders>
              <w:top w:val="single" w:sz="4" w:space="0" w:color="auto"/>
              <w:bottom w:val="single" w:sz="8" w:space="0" w:color="auto"/>
            </w:tcBorders>
            <w:shd w:val="clear" w:color="auto" w:fill="auto"/>
            <w:vAlign w:val="center"/>
          </w:tcPr>
          <w:p w14:paraId="13B32DD7"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客服中心、信息咨询</w:t>
            </w:r>
          </w:p>
        </w:tc>
        <w:tc>
          <w:tcPr>
            <w:tcW w:w="607" w:type="pct"/>
            <w:tcBorders>
              <w:top w:val="single" w:sz="4" w:space="0" w:color="auto"/>
              <w:bottom w:val="single" w:sz="8" w:space="0" w:color="auto"/>
            </w:tcBorders>
            <w:shd w:val="clear" w:color="auto" w:fill="auto"/>
            <w:vAlign w:val="center"/>
          </w:tcPr>
          <w:p w14:paraId="5BF24DDF"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无障碍设施</w:t>
            </w:r>
          </w:p>
        </w:tc>
        <w:tc>
          <w:tcPr>
            <w:tcW w:w="753" w:type="pct"/>
            <w:tcBorders>
              <w:top w:val="single" w:sz="4" w:space="0" w:color="auto"/>
              <w:bottom w:val="single" w:sz="8" w:space="0" w:color="auto"/>
            </w:tcBorders>
            <w:shd w:val="clear" w:color="auto" w:fill="auto"/>
            <w:vAlign w:val="center"/>
          </w:tcPr>
          <w:p w14:paraId="79A249C3" w14:textId="77777777" w:rsidR="00737EB2" w:rsidRPr="00765F6E" w:rsidRDefault="00737EB2" w:rsidP="00871D47">
            <w:pPr>
              <w:pStyle w:val="affffffffffff2"/>
              <w:jc w:val="center"/>
              <w:rPr>
                <w:rFonts w:hAnsi="宋体" w:cs="宋体"/>
                <w:sz w:val="18"/>
                <w:szCs w:val="18"/>
              </w:rPr>
            </w:pPr>
            <w:r w:rsidRPr="00765F6E">
              <w:rPr>
                <w:rFonts w:hAnsi="宋体" w:cs="宋体" w:hint="eastAsia"/>
                <w:sz w:val="18"/>
                <w:szCs w:val="18"/>
              </w:rPr>
              <w:t>卫生间规模</w:t>
            </w:r>
          </w:p>
        </w:tc>
      </w:tr>
      <w:tr w:rsidR="00737EB2" w:rsidRPr="00765F6E" w14:paraId="495942C9" w14:textId="77777777" w:rsidTr="00871D47">
        <w:trPr>
          <w:trHeight w:val="176"/>
        </w:trPr>
        <w:tc>
          <w:tcPr>
            <w:tcW w:w="529" w:type="pct"/>
            <w:tcBorders>
              <w:top w:val="single" w:sz="8" w:space="0" w:color="auto"/>
            </w:tcBorders>
            <w:shd w:val="clear" w:color="auto" w:fill="auto"/>
            <w:vAlign w:val="center"/>
          </w:tcPr>
          <w:p w14:paraId="0342D3BB" w14:textId="77777777" w:rsidR="00737EB2" w:rsidRPr="00765F6E" w:rsidRDefault="00737EB2" w:rsidP="00871D47">
            <w:pPr>
              <w:jc w:val="center"/>
              <w:textAlignment w:val="center"/>
              <w:rPr>
                <w:rFonts w:ascii="宋体" w:hAnsi="宋体"/>
                <w:sz w:val="18"/>
                <w:szCs w:val="18"/>
              </w:rPr>
            </w:pPr>
            <w:r w:rsidRPr="00765F6E">
              <w:rPr>
                <w:rFonts w:ascii="宋体" w:hAnsi="宋体" w:hint="eastAsia"/>
                <w:sz w:val="18"/>
                <w:szCs w:val="18"/>
              </w:rPr>
              <w:t>特级</w:t>
            </w:r>
          </w:p>
        </w:tc>
        <w:tc>
          <w:tcPr>
            <w:tcW w:w="1138" w:type="pct"/>
            <w:tcBorders>
              <w:top w:val="single" w:sz="8" w:space="0" w:color="auto"/>
            </w:tcBorders>
            <w:shd w:val="clear" w:color="auto" w:fill="auto"/>
            <w:vAlign w:val="center"/>
          </w:tcPr>
          <w:p w14:paraId="35C170F8" w14:textId="77777777" w:rsidR="00737EB2" w:rsidRPr="00765F6E" w:rsidRDefault="00737EB2" w:rsidP="00871D47">
            <w:pPr>
              <w:spacing w:line="200" w:lineRule="exact"/>
              <w:jc w:val="center"/>
              <w:textAlignment w:val="center"/>
              <w:rPr>
                <w:rFonts w:ascii="宋体" w:hAnsi="宋体"/>
                <w:sz w:val="18"/>
                <w:szCs w:val="18"/>
              </w:rPr>
            </w:pPr>
            <w:r w:rsidRPr="00765F6E">
              <w:rPr>
                <w:rFonts w:ascii="宋体" w:hAnsi="宋体" w:hint="eastAsia"/>
                <w:sz w:val="18"/>
                <w:szCs w:val="18"/>
              </w:rPr>
              <w:t>私家车、出租车、网约车、公交车</w:t>
            </w:r>
          </w:p>
        </w:tc>
        <w:tc>
          <w:tcPr>
            <w:tcW w:w="911" w:type="pct"/>
            <w:tcBorders>
              <w:top w:val="single" w:sz="8" w:space="0" w:color="auto"/>
            </w:tcBorders>
            <w:shd w:val="clear" w:color="auto" w:fill="auto"/>
            <w:vAlign w:val="center"/>
          </w:tcPr>
          <w:p w14:paraId="5917B13D" w14:textId="77777777" w:rsidR="00737EB2" w:rsidRPr="00765F6E" w:rsidRDefault="00737EB2" w:rsidP="00871D47">
            <w:pPr>
              <w:spacing w:line="200" w:lineRule="exact"/>
              <w:jc w:val="center"/>
              <w:textAlignment w:val="center"/>
              <w:rPr>
                <w:rFonts w:ascii="宋体" w:hAnsi="宋体"/>
                <w:sz w:val="18"/>
                <w:szCs w:val="18"/>
              </w:rPr>
            </w:pPr>
            <w:r w:rsidRPr="00765F6E">
              <w:rPr>
                <w:rFonts w:ascii="宋体" w:hAnsi="宋体" w:hint="eastAsia"/>
                <w:sz w:val="18"/>
                <w:szCs w:val="18"/>
              </w:rPr>
              <w:t>餐饮、金融、便利</w:t>
            </w:r>
          </w:p>
        </w:tc>
        <w:tc>
          <w:tcPr>
            <w:tcW w:w="1062" w:type="pct"/>
            <w:tcBorders>
              <w:top w:val="single" w:sz="8" w:space="0" w:color="auto"/>
            </w:tcBorders>
            <w:shd w:val="clear" w:color="auto" w:fill="auto"/>
            <w:vAlign w:val="center"/>
          </w:tcPr>
          <w:p w14:paraId="7CF74527" w14:textId="77777777" w:rsidR="00737EB2" w:rsidRPr="00765F6E" w:rsidRDefault="00737EB2" w:rsidP="00871D47">
            <w:pPr>
              <w:spacing w:line="200" w:lineRule="exact"/>
              <w:jc w:val="center"/>
              <w:textAlignment w:val="center"/>
              <w:rPr>
                <w:rFonts w:ascii="宋体" w:hAnsi="宋体"/>
                <w:sz w:val="18"/>
                <w:szCs w:val="18"/>
              </w:rPr>
            </w:pPr>
            <w:r w:rsidRPr="00765F6E">
              <w:rPr>
                <w:rFonts w:ascii="宋体" w:hAnsi="宋体" w:hint="eastAsia"/>
                <w:sz w:val="18"/>
                <w:szCs w:val="18"/>
              </w:rPr>
              <w:t>每个进出点均应设置</w:t>
            </w:r>
          </w:p>
        </w:tc>
        <w:tc>
          <w:tcPr>
            <w:tcW w:w="607" w:type="pct"/>
            <w:tcBorders>
              <w:top w:val="single" w:sz="8" w:space="0" w:color="auto"/>
            </w:tcBorders>
            <w:shd w:val="clear" w:color="auto" w:fill="auto"/>
            <w:vAlign w:val="center"/>
          </w:tcPr>
          <w:p w14:paraId="3524DAC3" w14:textId="77777777" w:rsidR="00737EB2" w:rsidRPr="00765F6E" w:rsidRDefault="00737EB2" w:rsidP="00871D47">
            <w:pPr>
              <w:jc w:val="center"/>
              <w:textAlignment w:val="center"/>
              <w:rPr>
                <w:rFonts w:ascii="宋体" w:hAnsi="宋体"/>
                <w:sz w:val="18"/>
                <w:szCs w:val="18"/>
              </w:rPr>
            </w:pPr>
            <w:r w:rsidRPr="00765F6E">
              <w:rPr>
                <w:rFonts w:ascii="宋体" w:hAnsi="宋体" w:hint="eastAsia"/>
                <w:sz w:val="18"/>
                <w:szCs w:val="18"/>
              </w:rPr>
              <w:t>提高标准</w:t>
            </w:r>
          </w:p>
        </w:tc>
        <w:tc>
          <w:tcPr>
            <w:tcW w:w="753" w:type="pct"/>
            <w:tcBorders>
              <w:top w:val="single" w:sz="8" w:space="0" w:color="auto"/>
            </w:tcBorders>
            <w:shd w:val="clear" w:color="auto" w:fill="auto"/>
            <w:vAlign w:val="center"/>
          </w:tcPr>
          <w:p w14:paraId="61E92C66" w14:textId="77777777" w:rsidR="00737EB2" w:rsidRPr="00765F6E" w:rsidRDefault="00737EB2" w:rsidP="00871D47">
            <w:pPr>
              <w:jc w:val="center"/>
              <w:textAlignment w:val="center"/>
              <w:rPr>
                <w:rFonts w:ascii="宋体" w:hAnsi="宋体"/>
                <w:sz w:val="18"/>
                <w:szCs w:val="18"/>
              </w:rPr>
            </w:pPr>
            <w:r w:rsidRPr="00765F6E">
              <w:rPr>
                <w:rFonts w:ascii="宋体" w:hAnsi="宋体" w:hint="eastAsia"/>
                <w:sz w:val="18"/>
                <w:szCs w:val="18"/>
              </w:rPr>
              <w:t>增加洁具数量</w:t>
            </w:r>
          </w:p>
        </w:tc>
      </w:tr>
      <w:tr w:rsidR="00737EB2" w:rsidRPr="00765F6E" w14:paraId="64979CB5" w14:textId="77777777" w:rsidTr="00871D47">
        <w:trPr>
          <w:trHeight w:val="176"/>
        </w:trPr>
        <w:tc>
          <w:tcPr>
            <w:tcW w:w="529" w:type="pct"/>
            <w:shd w:val="clear" w:color="auto" w:fill="auto"/>
            <w:vAlign w:val="center"/>
          </w:tcPr>
          <w:p w14:paraId="0063EAEC" w14:textId="77777777" w:rsidR="00737EB2" w:rsidRPr="00765F6E" w:rsidRDefault="00737EB2" w:rsidP="00871D47">
            <w:pPr>
              <w:jc w:val="center"/>
              <w:textAlignment w:val="center"/>
              <w:rPr>
                <w:rFonts w:ascii="宋体" w:hAnsi="宋体"/>
                <w:sz w:val="18"/>
                <w:szCs w:val="18"/>
              </w:rPr>
            </w:pPr>
            <w:r w:rsidRPr="00765F6E">
              <w:rPr>
                <w:rFonts w:ascii="宋体" w:hAnsi="宋体" w:hint="eastAsia"/>
                <w:sz w:val="18"/>
                <w:szCs w:val="18"/>
              </w:rPr>
              <w:t>甲级</w:t>
            </w:r>
          </w:p>
        </w:tc>
        <w:tc>
          <w:tcPr>
            <w:tcW w:w="1138" w:type="pct"/>
            <w:shd w:val="clear" w:color="auto" w:fill="auto"/>
            <w:vAlign w:val="center"/>
          </w:tcPr>
          <w:p w14:paraId="1438014E" w14:textId="77777777" w:rsidR="00737EB2" w:rsidRPr="00765F6E" w:rsidRDefault="00737EB2" w:rsidP="00871D47">
            <w:pPr>
              <w:spacing w:line="200" w:lineRule="exact"/>
              <w:jc w:val="center"/>
              <w:textAlignment w:val="center"/>
              <w:rPr>
                <w:rFonts w:ascii="宋体" w:hAnsi="宋体"/>
                <w:sz w:val="18"/>
                <w:szCs w:val="18"/>
              </w:rPr>
            </w:pPr>
            <w:r w:rsidRPr="00765F6E">
              <w:rPr>
                <w:rFonts w:ascii="宋体" w:hAnsi="宋体" w:hint="eastAsia"/>
                <w:sz w:val="18"/>
                <w:szCs w:val="18"/>
              </w:rPr>
              <w:t>出租车、网约车、公交车</w:t>
            </w:r>
          </w:p>
        </w:tc>
        <w:tc>
          <w:tcPr>
            <w:tcW w:w="911" w:type="pct"/>
            <w:shd w:val="clear" w:color="auto" w:fill="auto"/>
            <w:vAlign w:val="center"/>
          </w:tcPr>
          <w:p w14:paraId="4396CF33" w14:textId="77777777" w:rsidR="00737EB2" w:rsidRPr="00765F6E" w:rsidRDefault="00737EB2" w:rsidP="00871D47">
            <w:pPr>
              <w:spacing w:line="200" w:lineRule="exact"/>
              <w:jc w:val="center"/>
              <w:textAlignment w:val="center"/>
              <w:rPr>
                <w:rFonts w:ascii="宋体" w:hAnsi="宋体"/>
                <w:sz w:val="18"/>
                <w:szCs w:val="18"/>
              </w:rPr>
            </w:pPr>
            <w:r w:rsidRPr="00765F6E">
              <w:rPr>
                <w:rFonts w:ascii="宋体" w:hAnsi="宋体" w:hint="eastAsia"/>
                <w:sz w:val="18"/>
                <w:szCs w:val="18"/>
              </w:rPr>
              <w:t>餐饮、金融、便利</w:t>
            </w:r>
          </w:p>
        </w:tc>
        <w:tc>
          <w:tcPr>
            <w:tcW w:w="1062" w:type="pct"/>
            <w:shd w:val="clear" w:color="auto" w:fill="auto"/>
            <w:vAlign w:val="center"/>
          </w:tcPr>
          <w:p w14:paraId="0B97B2C6" w14:textId="77777777" w:rsidR="00737EB2" w:rsidRPr="00765F6E" w:rsidRDefault="00737EB2" w:rsidP="00871D47">
            <w:pPr>
              <w:spacing w:line="200" w:lineRule="exact"/>
              <w:jc w:val="center"/>
              <w:textAlignment w:val="center"/>
              <w:rPr>
                <w:rFonts w:ascii="宋体" w:hAnsi="宋体"/>
                <w:sz w:val="18"/>
                <w:szCs w:val="18"/>
              </w:rPr>
            </w:pPr>
            <w:r w:rsidRPr="00765F6E">
              <w:rPr>
                <w:rFonts w:ascii="宋体" w:hAnsi="宋体" w:hint="eastAsia"/>
                <w:sz w:val="18"/>
                <w:szCs w:val="18"/>
              </w:rPr>
              <w:t>车站相邻进出点可共用，不少于2个</w:t>
            </w:r>
          </w:p>
        </w:tc>
        <w:tc>
          <w:tcPr>
            <w:tcW w:w="607" w:type="pct"/>
            <w:shd w:val="clear" w:color="auto" w:fill="auto"/>
            <w:vAlign w:val="center"/>
          </w:tcPr>
          <w:p w14:paraId="55B21A6A" w14:textId="77777777" w:rsidR="00737EB2" w:rsidRPr="00765F6E" w:rsidRDefault="00737EB2" w:rsidP="00871D47">
            <w:pPr>
              <w:jc w:val="center"/>
              <w:textAlignment w:val="center"/>
              <w:rPr>
                <w:rFonts w:ascii="宋体" w:hAnsi="宋体"/>
                <w:sz w:val="18"/>
                <w:szCs w:val="18"/>
              </w:rPr>
            </w:pPr>
            <w:r w:rsidRPr="00765F6E">
              <w:rPr>
                <w:rFonts w:ascii="宋体" w:hAnsi="宋体" w:hint="eastAsia"/>
                <w:sz w:val="18"/>
                <w:szCs w:val="18"/>
              </w:rPr>
              <w:t>提高标准</w:t>
            </w:r>
          </w:p>
        </w:tc>
        <w:tc>
          <w:tcPr>
            <w:tcW w:w="753" w:type="pct"/>
            <w:shd w:val="clear" w:color="auto" w:fill="auto"/>
            <w:vAlign w:val="center"/>
          </w:tcPr>
          <w:p w14:paraId="2CAC2F19" w14:textId="77777777" w:rsidR="00737EB2" w:rsidRPr="00765F6E" w:rsidRDefault="00737EB2" w:rsidP="00871D47">
            <w:pPr>
              <w:jc w:val="center"/>
              <w:textAlignment w:val="center"/>
              <w:rPr>
                <w:rFonts w:ascii="宋体" w:hAnsi="宋体"/>
                <w:sz w:val="18"/>
                <w:szCs w:val="18"/>
              </w:rPr>
            </w:pPr>
            <w:r w:rsidRPr="00765F6E">
              <w:rPr>
                <w:rFonts w:ascii="宋体" w:hAnsi="宋体" w:hint="eastAsia"/>
                <w:sz w:val="18"/>
                <w:szCs w:val="18"/>
              </w:rPr>
              <w:t>增加洁具数量</w:t>
            </w:r>
          </w:p>
        </w:tc>
      </w:tr>
      <w:tr w:rsidR="00737EB2" w:rsidRPr="00765F6E" w14:paraId="2500FC61" w14:textId="77777777" w:rsidTr="00871D47">
        <w:trPr>
          <w:trHeight w:val="176"/>
        </w:trPr>
        <w:tc>
          <w:tcPr>
            <w:tcW w:w="529" w:type="pct"/>
            <w:shd w:val="clear" w:color="auto" w:fill="auto"/>
            <w:vAlign w:val="center"/>
          </w:tcPr>
          <w:p w14:paraId="2763C8A9" w14:textId="77777777" w:rsidR="00737EB2" w:rsidRPr="00765F6E" w:rsidRDefault="00737EB2" w:rsidP="00871D47">
            <w:pPr>
              <w:jc w:val="center"/>
              <w:textAlignment w:val="center"/>
              <w:rPr>
                <w:rFonts w:ascii="宋体" w:hAnsi="宋体"/>
                <w:sz w:val="18"/>
                <w:szCs w:val="18"/>
              </w:rPr>
            </w:pPr>
            <w:r w:rsidRPr="00765F6E">
              <w:rPr>
                <w:rFonts w:ascii="宋体" w:hAnsi="宋体" w:hint="eastAsia"/>
                <w:sz w:val="18"/>
                <w:szCs w:val="18"/>
              </w:rPr>
              <w:t>乙级</w:t>
            </w:r>
          </w:p>
        </w:tc>
        <w:tc>
          <w:tcPr>
            <w:tcW w:w="1138" w:type="pct"/>
            <w:shd w:val="clear" w:color="auto" w:fill="auto"/>
            <w:vAlign w:val="center"/>
          </w:tcPr>
          <w:p w14:paraId="3A15CD5E" w14:textId="77777777" w:rsidR="00737EB2" w:rsidRPr="00765F6E" w:rsidRDefault="00737EB2" w:rsidP="00871D47">
            <w:pPr>
              <w:spacing w:line="200" w:lineRule="exact"/>
              <w:jc w:val="center"/>
              <w:textAlignment w:val="center"/>
              <w:rPr>
                <w:rFonts w:ascii="宋体" w:hAnsi="宋体"/>
                <w:sz w:val="18"/>
                <w:szCs w:val="18"/>
              </w:rPr>
            </w:pPr>
            <w:r w:rsidRPr="00765F6E">
              <w:rPr>
                <w:rFonts w:ascii="宋体" w:hAnsi="宋体" w:hint="eastAsia"/>
                <w:sz w:val="18"/>
                <w:szCs w:val="18"/>
              </w:rPr>
              <w:t>出租车、网约车、公交车</w:t>
            </w:r>
          </w:p>
        </w:tc>
        <w:tc>
          <w:tcPr>
            <w:tcW w:w="911" w:type="pct"/>
            <w:shd w:val="clear" w:color="auto" w:fill="auto"/>
            <w:vAlign w:val="center"/>
          </w:tcPr>
          <w:p w14:paraId="71745E0C" w14:textId="77777777" w:rsidR="00737EB2" w:rsidRPr="00765F6E" w:rsidRDefault="00737EB2" w:rsidP="00871D47">
            <w:pPr>
              <w:spacing w:line="200" w:lineRule="exact"/>
              <w:jc w:val="center"/>
              <w:textAlignment w:val="center"/>
              <w:rPr>
                <w:rFonts w:ascii="宋体" w:hAnsi="宋体"/>
                <w:sz w:val="18"/>
                <w:szCs w:val="18"/>
              </w:rPr>
            </w:pPr>
            <w:r w:rsidRPr="00765F6E">
              <w:rPr>
                <w:rFonts w:ascii="宋体" w:hAnsi="宋体" w:hint="eastAsia"/>
                <w:sz w:val="18"/>
                <w:szCs w:val="18"/>
              </w:rPr>
              <w:t>金融、便利</w:t>
            </w:r>
          </w:p>
        </w:tc>
        <w:tc>
          <w:tcPr>
            <w:tcW w:w="1062" w:type="pct"/>
            <w:shd w:val="clear" w:color="auto" w:fill="auto"/>
            <w:vAlign w:val="center"/>
          </w:tcPr>
          <w:p w14:paraId="1848D677" w14:textId="77777777" w:rsidR="00737EB2" w:rsidRPr="00765F6E" w:rsidRDefault="00737EB2" w:rsidP="00871D47">
            <w:pPr>
              <w:spacing w:line="200" w:lineRule="exact"/>
              <w:jc w:val="center"/>
              <w:textAlignment w:val="center"/>
              <w:rPr>
                <w:rFonts w:ascii="宋体" w:hAnsi="宋体"/>
                <w:sz w:val="18"/>
                <w:szCs w:val="18"/>
              </w:rPr>
            </w:pPr>
            <w:r w:rsidRPr="00765F6E">
              <w:rPr>
                <w:rFonts w:ascii="宋体" w:hAnsi="宋体" w:hint="eastAsia"/>
                <w:sz w:val="18"/>
                <w:szCs w:val="18"/>
              </w:rPr>
              <w:t>车站相邻进出点可共用，不少于2个</w:t>
            </w:r>
          </w:p>
        </w:tc>
        <w:tc>
          <w:tcPr>
            <w:tcW w:w="607" w:type="pct"/>
            <w:shd w:val="clear" w:color="auto" w:fill="auto"/>
            <w:vAlign w:val="center"/>
          </w:tcPr>
          <w:p w14:paraId="3D58607B" w14:textId="77777777" w:rsidR="00737EB2" w:rsidRPr="00765F6E" w:rsidRDefault="00737EB2" w:rsidP="00871D47">
            <w:pPr>
              <w:jc w:val="center"/>
              <w:textAlignment w:val="center"/>
              <w:rPr>
                <w:rFonts w:ascii="宋体" w:hAnsi="宋体"/>
                <w:sz w:val="18"/>
                <w:szCs w:val="18"/>
              </w:rPr>
            </w:pPr>
            <w:r w:rsidRPr="00765F6E">
              <w:rPr>
                <w:rFonts w:ascii="宋体" w:hAnsi="宋体" w:hint="eastAsia"/>
                <w:sz w:val="18"/>
                <w:szCs w:val="18"/>
              </w:rPr>
              <w:t>符合规范</w:t>
            </w:r>
          </w:p>
        </w:tc>
        <w:tc>
          <w:tcPr>
            <w:tcW w:w="753" w:type="pct"/>
            <w:shd w:val="clear" w:color="auto" w:fill="auto"/>
            <w:vAlign w:val="center"/>
          </w:tcPr>
          <w:p w14:paraId="027A32F1" w14:textId="77777777" w:rsidR="00737EB2" w:rsidRPr="00765F6E" w:rsidRDefault="00737EB2" w:rsidP="00871D47">
            <w:pPr>
              <w:jc w:val="center"/>
              <w:textAlignment w:val="center"/>
              <w:rPr>
                <w:rFonts w:ascii="宋体" w:hAnsi="宋体"/>
                <w:sz w:val="18"/>
                <w:szCs w:val="18"/>
              </w:rPr>
            </w:pPr>
            <w:r w:rsidRPr="00765F6E">
              <w:rPr>
                <w:rFonts w:ascii="宋体" w:hAnsi="宋体" w:hint="eastAsia"/>
                <w:sz w:val="18"/>
                <w:szCs w:val="18"/>
              </w:rPr>
              <w:t>符合规范</w:t>
            </w:r>
          </w:p>
        </w:tc>
      </w:tr>
      <w:tr w:rsidR="00737EB2" w:rsidRPr="00765F6E" w14:paraId="6CBB32BE" w14:textId="77777777" w:rsidTr="00871D47">
        <w:trPr>
          <w:trHeight w:val="176"/>
        </w:trPr>
        <w:tc>
          <w:tcPr>
            <w:tcW w:w="529" w:type="pct"/>
            <w:tcBorders>
              <w:bottom w:val="single" w:sz="8" w:space="0" w:color="auto"/>
            </w:tcBorders>
            <w:shd w:val="clear" w:color="auto" w:fill="auto"/>
            <w:vAlign w:val="center"/>
          </w:tcPr>
          <w:p w14:paraId="31DECAE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丙级</w:t>
            </w:r>
          </w:p>
        </w:tc>
        <w:tc>
          <w:tcPr>
            <w:tcW w:w="1138" w:type="pct"/>
            <w:tcBorders>
              <w:bottom w:val="single" w:sz="8" w:space="0" w:color="auto"/>
            </w:tcBorders>
            <w:shd w:val="clear" w:color="auto" w:fill="auto"/>
            <w:vAlign w:val="center"/>
          </w:tcPr>
          <w:p w14:paraId="4B1A5968"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公交车</w:t>
            </w:r>
          </w:p>
        </w:tc>
        <w:tc>
          <w:tcPr>
            <w:tcW w:w="911" w:type="pct"/>
            <w:tcBorders>
              <w:bottom w:val="single" w:sz="8" w:space="0" w:color="auto"/>
            </w:tcBorders>
            <w:shd w:val="clear" w:color="auto" w:fill="auto"/>
            <w:vAlign w:val="center"/>
          </w:tcPr>
          <w:p w14:paraId="4CE4B6AF"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便利</w:t>
            </w:r>
          </w:p>
        </w:tc>
        <w:tc>
          <w:tcPr>
            <w:tcW w:w="1062" w:type="pct"/>
            <w:tcBorders>
              <w:bottom w:val="single" w:sz="8" w:space="0" w:color="auto"/>
            </w:tcBorders>
            <w:shd w:val="clear" w:color="auto" w:fill="auto"/>
            <w:vAlign w:val="center"/>
          </w:tcPr>
          <w:p w14:paraId="7D41317C"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车站至少设置1处</w:t>
            </w:r>
          </w:p>
        </w:tc>
        <w:tc>
          <w:tcPr>
            <w:tcW w:w="607" w:type="pct"/>
            <w:tcBorders>
              <w:bottom w:val="single" w:sz="8" w:space="0" w:color="auto"/>
            </w:tcBorders>
            <w:shd w:val="clear" w:color="auto" w:fill="auto"/>
            <w:vAlign w:val="center"/>
          </w:tcPr>
          <w:p w14:paraId="4914610D"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符合规范</w:t>
            </w:r>
          </w:p>
        </w:tc>
        <w:tc>
          <w:tcPr>
            <w:tcW w:w="753" w:type="pct"/>
            <w:tcBorders>
              <w:bottom w:val="single" w:sz="8" w:space="0" w:color="auto"/>
            </w:tcBorders>
            <w:shd w:val="clear" w:color="auto" w:fill="auto"/>
            <w:vAlign w:val="center"/>
          </w:tcPr>
          <w:p w14:paraId="2DDC0511"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符合规范</w:t>
            </w:r>
          </w:p>
        </w:tc>
      </w:tr>
    </w:tbl>
    <w:p w14:paraId="64968D7F" w14:textId="77777777" w:rsidR="00737EB2" w:rsidRPr="00765F6E" w:rsidRDefault="00737EB2" w:rsidP="00737EB2">
      <w:pPr>
        <w:spacing w:line="240" w:lineRule="auto"/>
      </w:pPr>
    </w:p>
    <w:p w14:paraId="7EBF1F51" w14:textId="77777777" w:rsidR="00737EB2" w:rsidRPr="00765F6E" w:rsidRDefault="00737EB2" w:rsidP="00737EB2">
      <w:pPr>
        <w:pStyle w:val="affe"/>
        <w:spacing w:before="156" w:after="156"/>
      </w:pPr>
      <w:bookmarkStart w:id="1621" w:name="_Toc99792060"/>
      <w:bookmarkStart w:id="1622" w:name="_Toc153291494"/>
      <w:bookmarkStart w:id="1623" w:name="_Toc153210891"/>
      <w:bookmarkStart w:id="1624" w:name="_Toc167895789"/>
      <w:bookmarkStart w:id="1625" w:name="_Toc174538703"/>
      <w:bookmarkStart w:id="1626" w:name="_Toc182476460"/>
      <w:r w:rsidRPr="00765F6E">
        <w:rPr>
          <w:rFonts w:hint="eastAsia"/>
        </w:rPr>
        <w:t>总体布局</w:t>
      </w:r>
      <w:bookmarkEnd w:id="1621"/>
      <w:bookmarkEnd w:id="1622"/>
      <w:bookmarkEnd w:id="1623"/>
      <w:bookmarkEnd w:id="1624"/>
      <w:bookmarkEnd w:id="1625"/>
      <w:bookmarkEnd w:id="1626"/>
    </w:p>
    <w:p w14:paraId="052172FF" w14:textId="77777777" w:rsidR="00737EB2" w:rsidRPr="00765F6E" w:rsidRDefault="00737EB2" w:rsidP="009D0776">
      <w:pPr>
        <w:pStyle w:val="22"/>
      </w:pPr>
      <w:bookmarkStart w:id="1627" w:name="_Toc99792061"/>
      <w:bookmarkStart w:id="1628" w:name="_Toc153291495"/>
      <w:r w:rsidRPr="00765F6E">
        <w:rPr>
          <w:rFonts w:hint="eastAsia"/>
        </w:rPr>
        <w:t>车站形式应根据线路敷设方式、运营要求、周边环境、城市景观和规划条件、车站及区间采用的施工工法等因素确定。</w:t>
      </w:r>
      <w:bookmarkEnd w:id="1627"/>
      <w:bookmarkEnd w:id="1628"/>
    </w:p>
    <w:p w14:paraId="6F454AD2" w14:textId="77777777" w:rsidR="00737EB2" w:rsidRPr="00765F6E" w:rsidRDefault="00737EB2" w:rsidP="009D0776">
      <w:pPr>
        <w:pStyle w:val="22"/>
      </w:pPr>
      <w:bookmarkStart w:id="1629" w:name="_Toc153291496"/>
      <w:bookmarkStart w:id="1630" w:name="_Toc99792062"/>
      <w:r w:rsidRPr="00765F6E">
        <w:rPr>
          <w:rFonts w:hint="eastAsia"/>
        </w:rPr>
        <w:t>地下车站应综合地面及地下限制及规划控制条件合理控制埋深；高架车站应结合区域环境特征、地面景观需求和区间桥梁形式等因素，合理确定车站高度，宜减少层数、控制高度；地面车站应结合周边环境灵活设置，尽量与开发建筑一体化建设。</w:t>
      </w:r>
      <w:bookmarkEnd w:id="1629"/>
      <w:bookmarkEnd w:id="1630"/>
    </w:p>
    <w:p w14:paraId="50543E3E" w14:textId="77777777" w:rsidR="00737EB2" w:rsidRPr="00765F6E" w:rsidRDefault="00737EB2" w:rsidP="009D0776">
      <w:pPr>
        <w:pStyle w:val="22"/>
      </w:pPr>
      <w:bookmarkStart w:id="1631" w:name="_Toc153291497"/>
      <w:bookmarkStart w:id="1632" w:name="_Toc99792063"/>
      <w:r w:rsidRPr="00765F6E">
        <w:rPr>
          <w:rFonts w:hint="eastAsia"/>
        </w:rPr>
        <w:t>换乘车站应根据线网规划、线路敷设方式、周边环境条件、换乘客流量、换乘方向及建设时序等因素，可采用平行换乘、节点换乘和通道换乘等形式。</w:t>
      </w:r>
      <w:bookmarkEnd w:id="1631"/>
      <w:bookmarkEnd w:id="1632"/>
    </w:p>
    <w:p w14:paraId="4AE4B65A" w14:textId="77777777" w:rsidR="00737EB2" w:rsidRPr="00765F6E" w:rsidRDefault="00737EB2" w:rsidP="009D0776">
      <w:pPr>
        <w:pStyle w:val="22"/>
      </w:pPr>
      <w:bookmarkStart w:id="1633" w:name="_Toc99792064"/>
      <w:bookmarkStart w:id="1634" w:name="_Toc153291498"/>
      <w:r w:rsidRPr="00765F6E">
        <w:rPr>
          <w:rFonts w:hint="eastAsia"/>
        </w:rPr>
        <w:t>地下车站宜跨路口设置，高架车站不宜跨路口设置。车站地面建构筑物应结合规划及周边环境布置，并宜结合周边建筑进行一体化设计。出入口位置应利于吸引和疏散客流，并充分考虑与相邻地块内建筑的连接设计。</w:t>
      </w:r>
      <w:bookmarkEnd w:id="1633"/>
      <w:bookmarkEnd w:id="1634"/>
    </w:p>
    <w:p w14:paraId="43346EC4" w14:textId="648E5AEE" w:rsidR="00737EB2" w:rsidRPr="00765F6E" w:rsidRDefault="00FC64C4" w:rsidP="009D0776">
      <w:pPr>
        <w:pStyle w:val="22"/>
      </w:pPr>
      <w:bookmarkStart w:id="1635" w:name="_Toc99792065"/>
      <w:bookmarkStart w:id="1636" w:name="_Toc153291499"/>
      <w:r>
        <w:rPr>
          <w:rFonts w:hint="eastAsia"/>
        </w:rPr>
        <w:t>车站布置</w:t>
      </w:r>
      <w:r w:rsidRPr="00765F6E">
        <w:rPr>
          <w:rFonts w:hint="eastAsia"/>
        </w:rPr>
        <w:t>图型</w:t>
      </w:r>
      <w:r>
        <w:rPr>
          <w:rFonts w:hint="eastAsia"/>
        </w:rPr>
        <w:t>应结合工程实际条件，经比选后确定。</w:t>
      </w:r>
      <w:r w:rsidR="00737EB2" w:rsidRPr="00765F6E">
        <w:rPr>
          <w:rFonts w:hint="eastAsia"/>
        </w:rPr>
        <w:t>无配线中间站，可采用</w:t>
      </w:r>
      <w:r w:rsidR="00737EB2" w:rsidRPr="00623032">
        <w:rPr>
          <w:rFonts w:hint="eastAsia"/>
        </w:rPr>
        <w:t>侧式站台、岛式站</w:t>
      </w:r>
      <w:r w:rsidR="00737EB2" w:rsidRPr="00623032">
        <w:rPr>
          <w:rFonts w:hint="eastAsia"/>
        </w:rPr>
        <w:lastRenderedPageBreak/>
        <w:t>台布置</w:t>
      </w:r>
      <w:r w:rsidR="00737EB2" w:rsidRPr="00765F6E">
        <w:rPr>
          <w:rFonts w:hint="eastAsia"/>
        </w:rPr>
        <w:t>；快慢越行模式下，有配线中间站，可采用侧式、岛式和正线外包岛式布置；起终点车站可采用通过式、尽端式布置。</w:t>
      </w:r>
      <w:bookmarkEnd w:id="1635"/>
      <w:bookmarkEnd w:id="1636"/>
    </w:p>
    <w:p w14:paraId="4D8A2766" w14:textId="77777777" w:rsidR="00737EB2" w:rsidRPr="00765F6E" w:rsidRDefault="00737EB2" w:rsidP="009D0776">
      <w:pPr>
        <w:pStyle w:val="22"/>
      </w:pPr>
      <w:bookmarkStart w:id="1637" w:name="_Toc153291500"/>
      <w:bookmarkStart w:id="1638" w:name="_Toc99792066"/>
      <w:r w:rsidRPr="00765F6E">
        <w:rPr>
          <w:rFonts w:hint="eastAsia"/>
        </w:rPr>
        <w:t>特级和甲级车站出入口前应规划大型人流集散广场，乙级和丙级车站出入口前应规划中小型接驳广场，广场旁应根据车站类别和交通接驳要求设置停车场地，并应做好与公交港湾、出租车停靠站的接驳设计。客流量大的车站应在站前广场预留人流疏导设施的设置空间。</w:t>
      </w:r>
      <w:bookmarkEnd w:id="1637"/>
      <w:bookmarkEnd w:id="1638"/>
    </w:p>
    <w:p w14:paraId="481657DC" w14:textId="77777777" w:rsidR="00737EB2" w:rsidRPr="00765F6E" w:rsidRDefault="00737EB2" w:rsidP="00737EB2">
      <w:pPr>
        <w:pStyle w:val="affe"/>
        <w:spacing w:before="156" w:after="156"/>
      </w:pPr>
      <w:bookmarkStart w:id="1639" w:name="_Toc99792067"/>
      <w:bookmarkStart w:id="1640" w:name="_Toc153291501"/>
      <w:bookmarkStart w:id="1641" w:name="_Toc153210892"/>
      <w:bookmarkStart w:id="1642" w:name="_Toc167895790"/>
      <w:bookmarkStart w:id="1643" w:name="_Toc174538704"/>
      <w:bookmarkStart w:id="1644" w:name="_Toc182476461"/>
      <w:r w:rsidRPr="00765F6E">
        <w:rPr>
          <w:rFonts w:hint="eastAsia"/>
        </w:rPr>
        <w:t>车站平面布局</w:t>
      </w:r>
      <w:bookmarkEnd w:id="1639"/>
      <w:bookmarkEnd w:id="1640"/>
      <w:bookmarkEnd w:id="1641"/>
      <w:bookmarkEnd w:id="1642"/>
      <w:bookmarkEnd w:id="1643"/>
      <w:bookmarkEnd w:id="1644"/>
    </w:p>
    <w:p w14:paraId="1C356AAA" w14:textId="77777777" w:rsidR="00737EB2" w:rsidRPr="00765F6E" w:rsidRDefault="00737EB2" w:rsidP="009D0776">
      <w:pPr>
        <w:pStyle w:val="22"/>
      </w:pPr>
      <w:bookmarkStart w:id="1645" w:name="_Toc99792068"/>
      <w:bookmarkStart w:id="1646" w:name="_Toc153291502"/>
      <w:r w:rsidRPr="00765F6E">
        <w:rPr>
          <w:rFonts w:hint="eastAsia"/>
        </w:rPr>
        <w:t>车站的站台宽度计算应符合GB</w:t>
      </w:r>
      <w:r w:rsidRPr="00765F6E">
        <w:t>/T</w:t>
      </w:r>
      <w:r w:rsidRPr="00765F6E">
        <w:rPr>
          <w:rFonts w:hint="eastAsia"/>
        </w:rPr>
        <w:t xml:space="preserve"> 50157的规定。</w:t>
      </w:r>
      <w:bookmarkEnd w:id="1645"/>
      <w:bookmarkEnd w:id="1646"/>
    </w:p>
    <w:p w14:paraId="4849CA22" w14:textId="77777777" w:rsidR="00737EB2" w:rsidRPr="00765F6E" w:rsidRDefault="00737EB2" w:rsidP="009D0776">
      <w:pPr>
        <w:pStyle w:val="22"/>
      </w:pPr>
      <w:bookmarkStart w:id="1647" w:name="_Toc153291503"/>
      <w:bookmarkStart w:id="1648" w:name="_Toc99792069"/>
      <w:r w:rsidRPr="00765F6E">
        <w:rPr>
          <w:rFonts w:hint="eastAsia"/>
        </w:rPr>
        <w:t>车站站厅公共区的布局形式及规模应根据车站形式、客流流线、售检票方式、安检、楼扶梯以及无障碍电梯等乘客服务设施综合确定，公共区两端非付费区的纵向长度不宜小于16m。</w:t>
      </w:r>
      <w:bookmarkEnd w:id="1647"/>
      <w:bookmarkEnd w:id="1648"/>
    </w:p>
    <w:p w14:paraId="51DC540A" w14:textId="77777777" w:rsidR="00737EB2" w:rsidRPr="00765F6E" w:rsidRDefault="00737EB2" w:rsidP="009D0776">
      <w:pPr>
        <w:pStyle w:val="22"/>
      </w:pPr>
      <w:bookmarkStart w:id="1649" w:name="_Toc99792070"/>
      <w:bookmarkStart w:id="1650" w:name="_Toc153291504"/>
      <w:r w:rsidRPr="00765F6E">
        <w:rPr>
          <w:rFonts w:hint="eastAsia"/>
        </w:rPr>
        <w:t>车站的公共区宜集中设置，乘客进出站流线应简洁、避免交叉。</w:t>
      </w:r>
      <w:bookmarkEnd w:id="1649"/>
      <w:bookmarkEnd w:id="1650"/>
    </w:p>
    <w:p w14:paraId="0C90EDBC" w14:textId="77777777" w:rsidR="00737EB2" w:rsidRPr="00765F6E" w:rsidRDefault="00737EB2" w:rsidP="009D0776">
      <w:pPr>
        <w:pStyle w:val="22"/>
      </w:pPr>
      <w:bookmarkStart w:id="1651" w:name="_Toc99792071"/>
      <w:bookmarkStart w:id="1652" w:name="_Toc153291505"/>
      <w:r w:rsidRPr="00765F6E">
        <w:rPr>
          <w:rFonts w:hint="eastAsia"/>
        </w:rPr>
        <w:t>车站公共区内付费区和非付费区的分隔宜采用不低于1.1m的可透视栏板，并应设置净宽不小于1.1m的平开栅栏门开向疏散方向。</w:t>
      </w:r>
      <w:bookmarkEnd w:id="1651"/>
      <w:bookmarkEnd w:id="1652"/>
    </w:p>
    <w:p w14:paraId="2EFD0091" w14:textId="77777777" w:rsidR="00737EB2" w:rsidRPr="00765F6E" w:rsidRDefault="00737EB2" w:rsidP="009D0776">
      <w:pPr>
        <w:pStyle w:val="22"/>
      </w:pPr>
      <w:bookmarkStart w:id="1653" w:name="_Toc153291506"/>
      <w:bookmarkStart w:id="1654" w:name="_Toc99792072"/>
      <w:r w:rsidRPr="00765F6E">
        <w:rPr>
          <w:rFonts w:hint="eastAsia"/>
        </w:rPr>
        <w:t>站厅公共区连接两端非付费区的联络通道内设进站检票机时，检票机外侧的通道净宽不宜小于4.0m。无售检票设施时，通道最小净宽不宜小于3.3m。</w:t>
      </w:r>
      <w:bookmarkEnd w:id="1653"/>
      <w:bookmarkEnd w:id="1654"/>
    </w:p>
    <w:p w14:paraId="3B0B8827" w14:textId="6FA1E763" w:rsidR="00737EB2" w:rsidRPr="00765F6E" w:rsidRDefault="00737EB2" w:rsidP="009D0776">
      <w:pPr>
        <w:pStyle w:val="22"/>
      </w:pPr>
      <w:bookmarkStart w:id="1655" w:name="_Toc153291507"/>
      <w:bookmarkStart w:id="1656" w:name="_Toc99792073"/>
      <w:r w:rsidRPr="00765F6E">
        <w:rPr>
          <w:rFonts w:hint="eastAsia"/>
        </w:rPr>
        <w:t>站厅自动售检票机应结合出入口通道、楼扶梯、电梯、安检区、服务设施等统一布置。售检票机的布置应符合乘客进出站流线，减少客流交叉；售检票机前应设置购票排队空间，排队空间不应侵入人流通行区。售检票终端至车站各部位的最小净距应符合表</w:t>
      </w:r>
      <w:r w:rsidR="001C1F75">
        <w:t>70</w:t>
      </w:r>
      <w:r w:rsidRPr="00765F6E">
        <w:rPr>
          <w:rFonts w:hint="eastAsia"/>
        </w:rPr>
        <w:t>的规定。</w:t>
      </w:r>
      <w:bookmarkEnd w:id="1655"/>
      <w:bookmarkEnd w:id="1656"/>
    </w:p>
    <w:p w14:paraId="447312F7" w14:textId="77777777" w:rsidR="00737EB2" w:rsidRPr="00765F6E" w:rsidRDefault="00737EB2" w:rsidP="00737EB2">
      <w:pPr>
        <w:pStyle w:val="aff3"/>
        <w:spacing w:before="156" w:after="156"/>
      </w:pPr>
      <w:r w:rsidRPr="00765F6E">
        <w:rPr>
          <w:rFonts w:hint="eastAsia"/>
        </w:rPr>
        <w:t>售检票终端至车站各部位的最小净距</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882"/>
        <w:gridCol w:w="3452"/>
      </w:tblGrid>
      <w:tr w:rsidR="00737EB2" w:rsidRPr="00765F6E" w14:paraId="6A5EDA94" w14:textId="77777777" w:rsidTr="00871D47">
        <w:trPr>
          <w:trHeight w:val="176"/>
        </w:trPr>
        <w:tc>
          <w:tcPr>
            <w:tcW w:w="3151" w:type="pct"/>
            <w:tcBorders>
              <w:top w:val="single" w:sz="8" w:space="0" w:color="auto"/>
              <w:bottom w:val="single" w:sz="8" w:space="0" w:color="auto"/>
            </w:tcBorders>
            <w:shd w:val="clear" w:color="auto" w:fill="auto"/>
            <w:vAlign w:val="center"/>
          </w:tcPr>
          <w:p w14:paraId="0DAB5C8F"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名称</w:t>
            </w:r>
          </w:p>
        </w:tc>
        <w:tc>
          <w:tcPr>
            <w:tcW w:w="1849" w:type="pct"/>
            <w:tcBorders>
              <w:top w:val="single" w:sz="8" w:space="0" w:color="auto"/>
              <w:bottom w:val="single" w:sz="8" w:space="0" w:color="auto"/>
            </w:tcBorders>
            <w:shd w:val="clear" w:color="auto" w:fill="auto"/>
            <w:vAlign w:val="center"/>
          </w:tcPr>
          <w:p w14:paraId="020A90BA"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最小净距/m</w:t>
            </w:r>
          </w:p>
        </w:tc>
      </w:tr>
      <w:tr w:rsidR="00737EB2" w:rsidRPr="00765F6E" w14:paraId="4D101C38" w14:textId="77777777" w:rsidTr="00871D47">
        <w:trPr>
          <w:trHeight w:val="176"/>
        </w:trPr>
        <w:tc>
          <w:tcPr>
            <w:tcW w:w="3151" w:type="pct"/>
            <w:tcBorders>
              <w:top w:val="single" w:sz="8" w:space="0" w:color="auto"/>
            </w:tcBorders>
            <w:shd w:val="clear" w:color="auto" w:fill="auto"/>
            <w:vAlign w:val="center"/>
          </w:tcPr>
          <w:p w14:paraId="53F443A6"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进站自动检票机内侧至楼梯第一级踏步的距离</w:t>
            </w:r>
          </w:p>
        </w:tc>
        <w:tc>
          <w:tcPr>
            <w:tcW w:w="1849" w:type="pct"/>
            <w:tcBorders>
              <w:top w:val="single" w:sz="8" w:space="0" w:color="auto"/>
            </w:tcBorders>
            <w:shd w:val="clear" w:color="auto" w:fill="auto"/>
            <w:vAlign w:val="center"/>
          </w:tcPr>
          <w:p w14:paraId="5CD406A7"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4</w:t>
            </w:r>
          </w:p>
        </w:tc>
      </w:tr>
      <w:tr w:rsidR="00737EB2" w:rsidRPr="00765F6E" w14:paraId="4B86693F" w14:textId="77777777" w:rsidTr="00871D47">
        <w:trPr>
          <w:trHeight w:val="176"/>
        </w:trPr>
        <w:tc>
          <w:tcPr>
            <w:tcW w:w="3151" w:type="pct"/>
            <w:shd w:val="clear" w:color="auto" w:fill="auto"/>
            <w:vAlign w:val="center"/>
          </w:tcPr>
          <w:p w14:paraId="7E176B3A"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进站自动检票机内侧至自动扶梯工作点的距离</w:t>
            </w:r>
          </w:p>
        </w:tc>
        <w:tc>
          <w:tcPr>
            <w:tcW w:w="1849" w:type="pct"/>
            <w:shd w:val="clear" w:color="auto" w:fill="auto"/>
            <w:vAlign w:val="center"/>
          </w:tcPr>
          <w:p w14:paraId="63799CEF"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7</w:t>
            </w:r>
          </w:p>
        </w:tc>
      </w:tr>
      <w:tr w:rsidR="00737EB2" w:rsidRPr="00765F6E" w14:paraId="5B8D6F48" w14:textId="77777777" w:rsidTr="00871D47">
        <w:trPr>
          <w:trHeight w:val="176"/>
        </w:trPr>
        <w:tc>
          <w:tcPr>
            <w:tcW w:w="3151" w:type="pct"/>
            <w:shd w:val="clear" w:color="auto" w:fill="auto"/>
            <w:vAlign w:val="center"/>
          </w:tcPr>
          <w:p w14:paraId="7E80695A"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进站自动检票机外侧至平行设置售票机的距离</w:t>
            </w:r>
          </w:p>
        </w:tc>
        <w:tc>
          <w:tcPr>
            <w:tcW w:w="1849" w:type="pct"/>
            <w:shd w:val="clear" w:color="auto" w:fill="auto"/>
            <w:vAlign w:val="center"/>
          </w:tcPr>
          <w:p w14:paraId="1F56AF3D"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5</w:t>
            </w:r>
          </w:p>
        </w:tc>
      </w:tr>
      <w:tr w:rsidR="00737EB2" w:rsidRPr="00765F6E" w14:paraId="7014155A" w14:textId="77777777" w:rsidTr="00871D47">
        <w:trPr>
          <w:trHeight w:val="176"/>
        </w:trPr>
        <w:tc>
          <w:tcPr>
            <w:tcW w:w="3151" w:type="pct"/>
            <w:shd w:val="clear" w:color="auto" w:fill="auto"/>
            <w:vAlign w:val="center"/>
          </w:tcPr>
          <w:p w14:paraId="5BF2F8DE"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出站自动检票机内侧至楼梯第一级踏步的距离</w:t>
            </w:r>
          </w:p>
        </w:tc>
        <w:tc>
          <w:tcPr>
            <w:tcW w:w="1849" w:type="pct"/>
            <w:shd w:val="clear" w:color="auto" w:fill="auto"/>
            <w:vAlign w:val="center"/>
          </w:tcPr>
          <w:p w14:paraId="13424314"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5</w:t>
            </w:r>
          </w:p>
        </w:tc>
      </w:tr>
      <w:tr w:rsidR="00737EB2" w:rsidRPr="00765F6E" w14:paraId="1CFF4B9D" w14:textId="77777777" w:rsidTr="00871D47">
        <w:trPr>
          <w:trHeight w:val="176"/>
        </w:trPr>
        <w:tc>
          <w:tcPr>
            <w:tcW w:w="3151" w:type="pct"/>
            <w:shd w:val="clear" w:color="auto" w:fill="auto"/>
            <w:vAlign w:val="center"/>
          </w:tcPr>
          <w:p w14:paraId="4D841BA6"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出站自动检票机内侧至自动扶梯工作点的距离</w:t>
            </w:r>
          </w:p>
        </w:tc>
        <w:tc>
          <w:tcPr>
            <w:tcW w:w="1849" w:type="pct"/>
            <w:shd w:val="clear" w:color="auto" w:fill="auto"/>
            <w:vAlign w:val="center"/>
          </w:tcPr>
          <w:p w14:paraId="6025962E"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8</w:t>
            </w:r>
          </w:p>
        </w:tc>
      </w:tr>
      <w:tr w:rsidR="00737EB2" w:rsidRPr="00765F6E" w14:paraId="69998B1C" w14:textId="77777777" w:rsidTr="00871D47">
        <w:trPr>
          <w:trHeight w:val="176"/>
        </w:trPr>
        <w:tc>
          <w:tcPr>
            <w:tcW w:w="3151" w:type="pct"/>
            <w:shd w:val="clear" w:color="auto" w:fill="auto"/>
            <w:vAlign w:val="center"/>
          </w:tcPr>
          <w:p w14:paraId="090484E7"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出站自动检票机外侧至出入口通道边缘的距离</w:t>
            </w:r>
          </w:p>
        </w:tc>
        <w:tc>
          <w:tcPr>
            <w:tcW w:w="1849" w:type="pct"/>
            <w:shd w:val="clear" w:color="auto" w:fill="auto"/>
            <w:vAlign w:val="center"/>
          </w:tcPr>
          <w:p w14:paraId="0D6B549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5</w:t>
            </w:r>
          </w:p>
        </w:tc>
      </w:tr>
      <w:tr w:rsidR="00737EB2" w:rsidRPr="00765F6E" w14:paraId="567E610F" w14:textId="77777777" w:rsidTr="00871D47">
        <w:trPr>
          <w:trHeight w:val="176"/>
        </w:trPr>
        <w:tc>
          <w:tcPr>
            <w:tcW w:w="3151" w:type="pct"/>
            <w:tcBorders>
              <w:bottom w:val="single" w:sz="8" w:space="0" w:color="auto"/>
            </w:tcBorders>
            <w:shd w:val="clear" w:color="auto" w:fill="auto"/>
            <w:vAlign w:val="center"/>
          </w:tcPr>
          <w:p w14:paraId="427A91FB"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相对布置的自动检票机之间的距离</w:t>
            </w:r>
          </w:p>
        </w:tc>
        <w:tc>
          <w:tcPr>
            <w:tcW w:w="1849" w:type="pct"/>
            <w:tcBorders>
              <w:bottom w:val="single" w:sz="8" w:space="0" w:color="auto"/>
            </w:tcBorders>
            <w:shd w:val="clear" w:color="auto" w:fill="auto"/>
            <w:vAlign w:val="center"/>
          </w:tcPr>
          <w:p w14:paraId="733F17BB"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w:t>
            </w:r>
            <w:r w:rsidRPr="00765F6E">
              <w:rPr>
                <w:rFonts w:ascii="宋体" w:hAnsi="宋体"/>
                <w:sz w:val="18"/>
                <w:szCs w:val="18"/>
              </w:rPr>
              <w:t>0</w:t>
            </w:r>
          </w:p>
        </w:tc>
      </w:tr>
    </w:tbl>
    <w:p w14:paraId="495E6DAA" w14:textId="77777777" w:rsidR="00737EB2" w:rsidRPr="00765F6E" w:rsidRDefault="00737EB2" w:rsidP="00737EB2">
      <w:pPr>
        <w:spacing w:line="240" w:lineRule="auto"/>
      </w:pPr>
    </w:p>
    <w:p w14:paraId="46A1FE34" w14:textId="77777777" w:rsidR="00737EB2" w:rsidRPr="00765F6E" w:rsidRDefault="00737EB2" w:rsidP="009D0776">
      <w:pPr>
        <w:pStyle w:val="22"/>
      </w:pPr>
      <w:bookmarkStart w:id="1657" w:name="_Toc99792074"/>
      <w:bookmarkStart w:id="1658" w:name="_Toc153291508"/>
      <w:r w:rsidRPr="00765F6E">
        <w:rPr>
          <w:rFonts w:hint="eastAsia"/>
        </w:rPr>
        <w:t>站内安检设施应根据乘客进站流线布置在非付费区，设施前应留有足够的排队空间，并不应影响出站乘客和过街客流通行；安检设施设置于站厅公共区连接两端付费区的通道内时，安检设施外侧通道净宽不宜小于2.7m。</w:t>
      </w:r>
      <w:bookmarkEnd w:id="1657"/>
      <w:bookmarkEnd w:id="1658"/>
    </w:p>
    <w:p w14:paraId="4FA1FCDD" w14:textId="082B9237" w:rsidR="00737EB2" w:rsidRPr="00765F6E" w:rsidRDefault="00737EB2" w:rsidP="009D0776">
      <w:pPr>
        <w:pStyle w:val="22"/>
      </w:pPr>
      <w:bookmarkStart w:id="1659" w:name="_Toc153291509"/>
      <w:bookmarkStart w:id="1660" w:name="_Toc99792075"/>
      <w:r w:rsidRPr="00765F6E">
        <w:rPr>
          <w:rFonts w:hint="eastAsia"/>
        </w:rPr>
        <w:t>设置在站台层两端的设备与管理用房，可伸入站台计算长度内，</w:t>
      </w:r>
      <w:r w:rsidR="006417E6">
        <w:rPr>
          <w:rFonts w:hint="eastAsia"/>
        </w:rPr>
        <w:t>其</w:t>
      </w:r>
      <w:r w:rsidRPr="003B0FDF">
        <w:rPr>
          <w:rFonts w:hint="eastAsia"/>
        </w:rPr>
        <w:t>侧站台宽度应符合</w:t>
      </w:r>
      <w:r w:rsidRPr="003B0FDF">
        <w:t>16.3.2</w:t>
      </w:r>
      <w:r w:rsidRPr="00765F6E">
        <w:rPr>
          <w:rFonts w:hint="eastAsia"/>
        </w:rPr>
        <w:t>的规定。</w:t>
      </w:r>
      <w:bookmarkEnd w:id="1659"/>
      <w:bookmarkEnd w:id="1660"/>
    </w:p>
    <w:p w14:paraId="146E7A50" w14:textId="01D6D393" w:rsidR="00737EB2" w:rsidRPr="00765F6E" w:rsidRDefault="00737EB2" w:rsidP="006E31F6">
      <w:pPr>
        <w:pStyle w:val="22"/>
      </w:pPr>
      <w:bookmarkStart w:id="1661" w:name="_Toc99792076"/>
      <w:bookmarkStart w:id="1662" w:name="_Toc153291510"/>
      <w:r w:rsidRPr="00765F6E">
        <w:rPr>
          <w:rFonts w:hint="eastAsia"/>
        </w:rPr>
        <w:t>站台上的楼梯和自动扶梯宜纵向均匀布置。每个站台至站厅公共区的楼梯和自动扶梯</w:t>
      </w:r>
      <w:r w:rsidR="006E31F6" w:rsidRPr="006E31F6">
        <w:rPr>
          <w:rFonts w:hint="eastAsia"/>
        </w:rPr>
        <w:t>组数根据车辆编制确定，并不应少于2组</w:t>
      </w:r>
      <w:r w:rsidRPr="00765F6E">
        <w:rPr>
          <w:rFonts w:hint="eastAsia"/>
        </w:rPr>
        <w:t>。</w:t>
      </w:r>
      <w:bookmarkEnd w:id="1661"/>
      <w:bookmarkEnd w:id="1662"/>
    </w:p>
    <w:p w14:paraId="6D57023C" w14:textId="77777777" w:rsidR="00737EB2" w:rsidRPr="00765F6E" w:rsidRDefault="00737EB2" w:rsidP="009D0776">
      <w:pPr>
        <w:pStyle w:val="22"/>
      </w:pPr>
      <w:bookmarkStart w:id="1663" w:name="_Toc99792077"/>
      <w:bookmarkStart w:id="1664" w:name="_Toc153291511"/>
      <w:r w:rsidRPr="00765F6E">
        <w:rPr>
          <w:rFonts w:hint="eastAsia"/>
        </w:rPr>
        <w:t>车站应根据客流特点设置自助售货机、共享雨伞、共享充电、无线网络、医疗急救用品等便民服务设施，设置位置不应影响乘客通行和火灾状况下的救援疏散。</w:t>
      </w:r>
      <w:bookmarkEnd w:id="1663"/>
      <w:bookmarkEnd w:id="1664"/>
    </w:p>
    <w:p w14:paraId="3DFDBA53" w14:textId="77777777" w:rsidR="00737EB2" w:rsidRPr="00765F6E" w:rsidRDefault="00737EB2" w:rsidP="009D0776">
      <w:pPr>
        <w:pStyle w:val="22"/>
      </w:pPr>
      <w:bookmarkStart w:id="1665" w:name="_Toc99792078"/>
      <w:bookmarkStart w:id="1666" w:name="_Toc153291512"/>
      <w:r w:rsidRPr="00765F6E">
        <w:rPr>
          <w:rFonts w:hint="eastAsia"/>
        </w:rPr>
        <w:t>车站应设公共卫生间和无障碍卫生间；全线宜统筹考虑设置母婴室，特级和甲级车站应设置独立的母婴室，乙类和丙类车站宜设置独立的母婴室。</w:t>
      </w:r>
      <w:bookmarkEnd w:id="1665"/>
      <w:bookmarkEnd w:id="1666"/>
    </w:p>
    <w:p w14:paraId="49E1C5D0" w14:textId="77777777" w:rsidR="00737EB2" w:rsidRPr="00765F6E" w:rsidRDefault="00737EB2" w:rsidP="009D0776">
      <w:pPr>
        <w:pStyle w:val="22"/>
      </w:pPr>
      <w:bookmarkStart w:id="1667" w:name="_Toc99792079"/>
      <w:bookmarkStart w:id="1668" w:name="_Toc153291513"/>
      <w:r w:rsidRPr="00765F6E">
        <w:rPr>
          <w:rFonts w:hint="eastAsia"/>
        </w:rPr>
        <w:t>设备管理用房布置应根据各系统工艺和相互接口要求合理布置，主要设备用房宜集中布置在站厅一端。</w:t>
      </w:r>
      <w:bookmarkEnd w:id="1667"/>
      <w:bookmarkEnd w:id="1668"/>
    </w:p>
    <w:p w14:paraId="756E9739" w14:textId="77777777" w:rsidR="00737EB2" w:rsidRPr="00765F6E" w:rsidRDefault="00737EB2" w:rsidP="00737EB2">
      <w:pPr>
        <w:pStyle w:val="affe"/>
        <w:spacing w:before="156" w:after="156"/>
      </w:pPr>
      <w:bookmarkStart w:id="1669" w:name="_Toc99792080"/>
      <w:bookmarkStart w:id="1670" w:name="_Toc153291514"/>
      <w:bookmarkStart w:id="1671" w:name="_Toc153210893"/>
      <w:bookmarkStart w:id="1672" w:name="_Toc167895791"/>
      <w:bookmarkStart w:id="1673" w:name="_Toc174538705"/>
      <w:bookmarkStart w:id="1674" w:name="_Toc182476462"/>
      <w:r w:rsidRPr="00765F6E">
        <w:rPr>
          <w:rFonts w:hint="eastAsia"/>
        </w:rPr>
        <w:t>车站垂直交通设施</w:t>
      </w:r>
      <w:bookmarkEnd w:id="1669"/>
      <w:bookmarkEnd w:id="1670"/>
      <w:bookmarkEnd w:id="1671"/>
      <w:bookmarkEnd w:id="1672"/>
      <w:bookmarkEnd w:id="1673"/>
      <w:bookmarkEnd w:id="1674"/>
    </w:p>
    <w:p w14:paraId="2EAC5DAB" w14:textId="77777777" w:rsidR="00737EB2" w:rsidRPr="00765F6E" w:rsidRDefault="00737EB2" w:rsidP="009D0776">
      <w:pPr>
        <w:pStyle w:val="22"/>
      </w:pPr>
      <w:bookmarkStart w:id="1675" w:name="_Toc99792081"/>
      <w:bookmarkStart w:id="1676" w:name="_Toc153291515"/>
      <w:r w:rsidRPr="00765F6E">
        <w:rPr>
          <w:rFonts w:hint="eastAsia"/>
        </w:rPr>
        <w:t>车站公共区的楼梯符合下列规定：</w:t>
      </w:r>
      <w:bookmarkEnd w:id="1675"/>
      <w:bookmarkEnd w:id="1676"/>
    </w:p>
    <w:p w14:paraId="25923B9E" w14:textId="77777777" w:rsidR="00737EB2" w:rsidRPr="00765F6E" w:rsidRDefault="00737EB2" w:rsidP="003334F3">
      <w:pPr>
        <w:pStyle w:val="af6"/>
        <w:numPr>
          <w:ilvl w:val="0"/>
          <w:numId w:val="133"/>
        </w:numPr>
        <w:tabs>
          <w:tab w:val="left" w:pos="851"/>
        </w:tabs>
        <w:snapToGrid w:val="0"/>
        <w:contextualSpacing/>
      </w:pPr>
      <w:r w:rsidRPr="00765F6E">
        <w:rPr>
          <w:rFonts w:hint="eastAsia"/>
        </w:rPr>
        <w:t>室内楼梯踏步宽度不应小于280mm，高度不应大于160mm；</w:t>
      </w:r>
    </w:p>
    <w:p w14:paraId="7605F5B6" w14:textId="77777777" w:rsidR="00737EB2" w:rsidRPr="00765F6E" w:rsidRDefault="00737EB2" w:rsidP="003334F3">
      <w:pPr>
        <w:pStyle w:val="af6"/>
        <w:numPr>
          <w:ilvl w:val="0"/>
          <w:numId w:val="133"/>
        </w:numPr>
        <w:tabs>
          <w:tab w:val="left" w:pos="851"/>
        </w:tabs>
        <w:snapToGrid w:val="0"/>
        <w:contextualSpacing/>
      </w:pPr>
      <w:r w:rsidRPr="00765F6E">
        <w:rPr>
          <w:rFonts w:hint="eastAsia"/>
        </w:rPr>
        <w:lastRenderedPageBreak/>
        <w:t>楼梯应分段设置，每段楼梯踏步不应小于3级，并不应大于18级，中间休息平台深度宜采用1.5m，困难条件下不应小于1.2m；</w:t>
      </w:r>
    </w:p>
    <w:p w14:paraId="5DB034BC" w14:textId="77777777" w:rsidR="00737EB2" w:rsidRPr="00765F6E" w:rsidRDefault="00737EB2" w:rsidP="003334F3">
      <w:pPr>
        <w:pStyle w:val="af6"/>
        <w:numPr>
          <w:ilvl w:val="0"/>
          <w:numId w:val="133"/>
        </w:numPr>
        <w:tabs>
          <w:tab w:val="left" w:pos="851"/>
        </w:tabs>
        <w:snapToGrid w:val="0"/>
        <w:contextualSpacing/>
      </w:pPr>
      <w:r w:rsidRPr="00765F6E">
        <w:rPr>
          <w:rFonts w:hint="eastAsia"/>
        </w:rPr>
        <w:t>楼梯宽度应符合人流股数、建筑模数，最小净宽应符合</w:t>
      </w:r>
      <w:r w:rsidRPr="003B0FDF">
        <w:rPr>
          <w:rFonts w:hint="eastAsia"/>
        </w:rPr>
        <w:t>1</w:t>
      </w:r>
      <w:r w:rsidRPr="003B0FDF">
        <w:t>6</w:t>
      </w:r>
      <w:r w:rsidRPr="003B0FDF">
        <w:rPr>
          <w:rFonts w:hint="eastAsia"/>
        </w:rPr>
        <w:t>.3.3</w:t>
      </w:r>
      <w:r w:rsidRPr="00765F6E">
        <w:rPr>
          <w:rFonts w:hint="eastAsia"/>
        </w:rPr>
        <w:t>的规定。</w:t>
      </w:r>
    </w:p>
    <w:p w14:paraId="4BE4069C" w14:textId="77777777" w:rsidR="00737EB2" w:rsidRPr="00765F6E" w:rsidRDefault="00737EB2" w:rsidP="009D0776">
      <w:pPr>
        <w:pStyle w:val="22"/>
      </w:pPr>
      <w:bookmarkStart w:id="1677" w:name="_Toc99792082"/>
      <w:bookmarkStart w:id="1678" w:name="_Toc153291516"/>
      <w:r w:rsidRPr="00765F6E">
        <w:rPr>
          <w:rFonts w:hint="eastAsia"/>
        </w:rPr>
        <w:t>车站公共区内的自动扶梯符合下列规定：</w:t>
      </w:r>
      <w:bookmarkEnd w:id="1677"/>
      <w:bookmarkEnd w:id="1678"/>
    </w:p>
    <w:p w14:paraId="05DE613F" w14:textId="77777777" w:rsidR="00737EB2" w:rsidRPr="00765F6E" w:rsidRDefault="00737EB2" w:rsidP="003334F3">
      <w:pPr>
        <w:pStyle w:val="af6"/>
        <w:numPr>
          <w:ilvl w:val="0"/>
          <w:numId w:val="134"/>
        </w:numPr>
        <w:tabs>
          <w:tab w:val="left" w:pos="851"/>
        </w:tabs>
        <w:snapToGrid w:val="0"/>
        <w:contextualSpacing/>
      </w:pPr>
      <w:r w:rsidRPr="00765F6E">
        <w:rPr>
          <w:rFonts w:hint="eastAsia"/>
        </w:rPr>
        <w:t>车站站厅至站台应设置上、下行自动扶梯；</w:t>
      </w:r>
    </w:p>
    <w:p w14:paraId="3F4567CF" w14:textId="77777777" w:rsidR="00737EB2" w:rsidRPr="00765F6E" w:rsidRDefault="00737EB2" w:rsidP="003334F3">
      <w:pPr>
        <w:pStyle w:val="af6"/>
        <w:numPr>
          <w:ilvl w:val="0"/>
          <w:numId w:val="134"/>
        </w:numPr>
        <w:tabs>
          <w:tab w:val="left" w:pos="851"/>
        </w:tabs>
        <w:snapToGrid w:val="0"/>
        <w:contextualSpacing/>
      </w:pPr>
      <w:r w:rsidRPr="00765F6E">
        <w:rPr>
          <w:rFonts w:hint="eastAsia"/>
        </w:rPr>
        <w:t>车站出入口提升高度大于等于6m时，应设置上、下行自动扶梯；若条件受限且提升高度不大于10m时，可仅设置上行自动扶梯；</w:t>
      </w:r>
    </w:p>
    <w:p w14:paraId="64AC3355" w14:textId="77777777" w:rsidR="00737EB2" w:rsidRPr="00765F6E" w:rsidRDefault="00737EB2" w:rsidP="003334F3">
      <w:pPr>
        <w:pStyle w:val="af6"/>
        <w:numPr>
          <w:ilvl w:val="0"/>
          <w:numId w:val="134"/>
        </w:numPr>
        <w:tabs>
          <w:tab w:val="left" w:pos="851"/>
        </w:tabs>
        <w:snapToGrid w:val="0"/>
        <w:contextualSpacing/>
      </w:pPr>
      <w:r w:rsidRPr="00765F6E">
        <w:rPr>
          <w:rFonts w:hint="eastAsia"/>
        </w:rPr>
        <w:t>车站应至少有一处出入口设置上、下行自动扶梯；</w:t>
      </w:r>
    </w:p>
    <w:p w14:paraId="3D3A3A7E" w14:textId="77777777" w:rsidR="00737EB2" w:rsidRPr="00765F6E" w:rsidRDefault="00737EB2" w:rsidP="003334F3">
      <w:pPr>
        <w:pStyle w:val="af6"/>
        <w:numPr>
          <w:ilvl w:val="0"/>
          <w:numId w:val="134"/>
        </w:numPr>
        <w:tabs>
          <w:tab w:val="left" w:pos="851"/>
        </w:tabs>
        <w:snapToGrid w:val="0"/>
        <w:contextualSpacing/>
      </w:pPr>
      <w:r w:rsidRPr="00765F6E">
        <w:rPr>
          <w:rFonts w:hint="eastAsia"/>
        </w:rPr>
        <w:t>自动扶梯工作点距前面障碍物的距离不应小于8.0m，2台相对布置的自动扶梯工作点之间的距离不应小于16.0m，自动扶梯与楼梯相对布置时，自动扶梯工作点距离楼梯第一级踏步的距离不应小于12m。</w:t>
      </w:r>
    </w:p>
    <w:p w14:paraId="7DE2BBDA" w14:textId="77777777" w:rsidR="00737EB2" w:rsidRPr="00765F6E" w:rsidRDefault="00737EB2" w:rsidP="009D0776">
      <w:pPr>
        <w:pStyle w:val="22"/>
      </w:pPr>
      <w:bookmarkStart w:id="1679" w:name="_Toc153291517"/>
      <w:bookmarkStart w:id="1680" w:name="_Toc99792083"/>
      <w:r w:rsidRPr="00765F6E">
        <w:rPr>
          <w:rFonts w:hint="eastAsia"/>
        </w:rPr>
        <w:t>特级和甲级车站的垂直电梯宜根据客流规模增加数量或提高额定载荷标准。</w:t>
      </w:r>
      <w:bookmarkEnd w:id="1679"/>
      <w:bookmarkEnd w:id="1680"/>
    </w:p>
    <w:p w14:paraId="7E4D905B" w14:textId="77777777" w:rsidR="00737EB2" w:rsidRPr="00765F6E" w:rsidRDefault="00737EB2" w:rsidP="009D0776">
      <w:pPr>
        <w:pStyle w:val="22"/>
      </w:pPr>
      <w:bookmarkStart w:id="1681" w:name="_Toc99792084"/>
      <w:bookmarkStart w:id="1682" w:name="_Toc153291518"/>
      <w:r w:rsidRPr="00765F6E">
        <w:rPr>
          <w:rFonts w:hint="eastAsia"/>
        </w:rPr>
        <w:t>地面站和高架站的乘客跨线通道，宜设置自动扶梯、自动步道或垂直电梯。</w:t>
      </w:r>
      <w:bookmarkEnd w:id="1681"/>
      <w:bookmarkEnd w:id="1682"/>
    </w:p>
    <w:p w14:paraId="00A7DE23" w14:textId="77777777" w:rsidR="00737EB2" w:rsidRPr="00765F6E" w:rsidRDefault="00737EB2" w:rsidP="00737EB2">
      <w:pPr>
        <w:pStyle w:val="affe"/>
        <w:spacing w:before="156" w:after="156"/>
      </w:pPr>
      <w:bookmarkStart w:id="1683" w:name="_Toc153291519"/>
      <w:bookmarkStart w:id="1684" w:name="_Toc99792085"/>
      <w:bookmarkStart w:id="1685" w:name="_Toc153210894"/>
      <w:bookmarkStart w:id="1686" w:name="_Toc167895792"/>
      <w:bookmarkStart w:id="1687" w:name="_Toc174538706"/>
      <w:bookmarkStart w:id="1688" w:name="_Toc182476463"/>
      <w:r w:rsidRPr="00765F6E">
        <w:rPr>
          <w:rFonts w:hint="eastAsia"/>
        </w:rPr>
        <w:t>车站附属设施</w:t>
      </w:r>
      <w:bookmarkEnd w:id="1683"/>
      <w:bookmarkEnd w:id="1684"/>
      <w:bookmarkEnd w:id="1685"/>
      <w:bookmarkEnd w:id="1686"/>
      <w:bookmarkEnd w:id="1687"/>
      <w:bookmarkEnd w:id="1688"/>
    </w:p>
    <w:p w14:paraId="4301878F" w14:textId="3136B5EE" w:rsidR="00737EB2" w:rsidRPr="00765F6E" w:rsidRDefault="00737EB2" w:rsidP="009D0776">
      <w:pPr>
        <w:pStyle w:val="22"/>
      </w:pPr>
      <w:bookmarkStart w:id="1689" w:name="_Toc99792086"/>
      <w:bookmarkStart w:id="1690" w:name="_Toc153291520"/>
      <w:r w:rsidRPr="00765F6E">
        <w:rPr>
          <w:rFonts w:hint="eastAsia"/>
        </w:rPr>
        <w:t>车站出入口的数量和位置应根据客流方向设置，出入口宽度应按远期或客流控制期分向设计客流乘以1.1</w:t>
      </w:r>
      <w:r w:rsidR="00396F4E">
        <w:rPr>
          <w:rFonts w:hint="eastAsia"/>
        </w:rPr>
        <w:t>～</w:t>
      </w:r>
      <w:r w:rsidRPr="00765F6E">
        <w:rPr>
          <w:rFonts w:hint="eastAsia"/>
        </w:rPr>
        <w:t>1.25不均匀系数计算确定，宜与邻近市政通道、公共建筑及交通接驳设施统一规划，并宜考虑停运时的隔离管理措施。</w:t>
      </w:r>
      <w:bookmarkEnd w:id="1689"/>
      <w:bookmarkEnd w:id="1690"/>
    </w:p>
    <w:p w14:paraId="2CBA3E30" w14:textId="77777777" w:rsidR="00737EB2" w:rsidRPr="00765F6E" w:rsidRDefault="00737EB2" w:rsidP="009D0776">
      <w:pPr>
        <w:pStyle w:val="22"/>
      </w:pPr>
      <w:bookmarkStart w:id="1691" w:name="_Toc99792087"/>
      <w:bookmarkStart w:id="1692" w:name="_Toc153291521"/>
      <w:r w:rsidRPr="00765F6E">
        <w:rPr>
          <w:rFonts w:hint="eastAsia"/>
        </w:rPr>
        <w:t>高架站天桥应根据区域气候特点设置防晒及防止雨雪飘落的设施，可采用全封闭和半封闭形式。</w:t>
      </w:r>
      <w:bookmarkEnd w:id="1691"/>
      <w:bookmarkEnd w:id="1692"/>
    </w:p>
    <w:p w14:paraId="7FF07014" w14:textId="77777777" w:rsidR="00737EB2" w:rsidRPr="00765F6E" w:rsidRDefault="00737EB2" w:rsidP="009D0776">
      <w:pPr>
        <w:pStyle w:val="22"/>
      </w:pPr>
      <w:bookmarkStart w:id="1693" w:name="_Toc99792088"/>
      <w:bookmarkStart w:id="1694" w:name="_Toc153291522"/>
      <w:r w:rsidRPr="00765F6E">
        <w:rPr>
          <w:rFonts w:hint="eastAsia"/>
        </w:rPr>
        <w:t>设置于道路两侧的出入口退让道路红线的距离应根据规划部门的要求确定。当出入口朝向道路时应有足够的缓冲距离及集散场地，并采取必要的隔离措施。</w:t>
      </w:r>
      <w:bookmarkEnd w:id="1693"/>
      <w:bookmarkEnd w:id="1694"/>
    </w:p>
    <w:p w14:paraId="4608BBC2" w14:textId="77777777" w:rsidR="00737EB2" w:rsidRPr="00765F6E" w:rsidRDefault="00737EB2" w:rsidP="009D0776">
      <w:pPr>
        <w:pStyle w:val="22"/>
      </w:pPr>
      <w:bookmarkStart w:id="1695" w:name="_Toc99792089"/>
      <w:bookmarkStart w:id="1696" w:name="_Toc153291523"/>
      <w:r w:rsidRPr="00765F6E">
        <w:rPr>
          <w:rFonts w:hint="eastAsia"/>
        </w:rPr>
        <w:t>地下车站出入口、无障碍电梯的地面应高出室外地面450mm，并满足当地防洪要求，同时增加防淹措施。</w:t>
      </w:r>
      <w:bookmarkEnd w:id="1695"/>
      <w:bookmarkEnd w:id="1696"/>
    </w:p>
    <w:p w14:paraId="5817CB21" w14:textId="77777777" w:rsidR="00737EB2" w:rsidRPr="00765F6E" w:rsidRDefault="00737EB2" w:rsidP="009D0776">
      <w:pPr>
        <w:pStyle w:val="22"/>
      </w:pPr>
      <w:bookmarkStart w:id="1697" w:name="_Toc153291524"/>
      <w:bookmarkStart w:id="1698" w:name="_Toc99792090"/>
      <w:r w:rsidRPr="00765F6E">
        <w:rPr>
          <w:rFonts w:hint="eastAsia"/>
        </w:rPr>
        <w:t>地下车站出入口通道应方便乘客进出站，通道的弯折不宜超过三处，弯折角度不宜小于90°;地下出入口通道长度不宜超过100m，大于100m时应采取满足消防疏散要求的措施。</w:t>
      </w:r>
      <w:bookmarkEnd w:id="1697"/>
      <w:bookmarkEnd w:id="1698"/>
    </w:p>
    <w:p w14:paraId="23D8A009" w14:textId="77777777" w:rsidR="00737EB2" w:rsidRPr="00765F6E" w:rsidRDefault="00737EB2" w:rsidP="00737EB2">
      <w:pPr>
        <w:pStyle w:val="affe"/>
        <w:spacing w:before="156" w:after="156"/>
      </w:pPr>
      <w:bookmarkStart w:id="1699" w:name="_Toc153291525"/>
      <w:bookmarkStart w:id="1700" w:name="_Toc99792091"/>
      <w:bookmarkStart w:id="1701" w:name="_Toc153210895"/>
      <w:bookmarkStart w:id="1702" w:name="_Toc167895793"/>
      <w:bookmarkStart w:id="1703" w:name="_Toc174538707"/>
      <w:bookmarkStart w:id="1704" w:name="_Toc182476464"/>
      <w:r w:rsidRPr="00765F6E">
        <w:rPr>
          <w:rFonts w:hint="eastAsia"/>
        </w:rPr>
        <w:t>车站环境设计</w:t>
      </w:r>
      <w:bookmarkEnd w:id="1699"/>
      <w:bookmarkEnd w:id="1700"/>
      <w:bookmarkEnd w:id="1701"/>
      <w:bookmarkEnd w:id="1702"/>
      <w:bookmarkEnd w:id="1703"/>
      <w:bookmarkEnd w:id="1704"/>
    </w:p>
    <w:p w14:paraId="48803417" w14:textId="77777777" w:rsidR="00737EB2" w:rsidRPr="00765F6E" w:rsidRDefault="00737EB2" w:rsidP="009D0776">
      <w:pPr>
        <w:pStyle w:val="22"/>
      </w:pPr>
      <w:bookmarkStart w:id="1705" w:name="_Toc99792092"/>
      <w:bookmarkStart w:id="1706" w:name="_Toc153291526"/>
      <w:r w:rsidRPr="00765F6E">
        <w:rPr>
          <w:rFonts w:hint="eastAsia"/>
        </w:rPr>
        <w:t>地下车站根据通风、空调工艺要求设置风亭；在场地条件满足间距要求的情况下，宜采用敞开风亭；在地面有规划或改建工程设施时，宜与地面建筑结合设置。</w:t>
      </w:r>
      <w:bookmarkEnd w:id="1705"/>
      <w:bookmarkEnd w:id="1706"/>
    </w:p>
    <w:p w14:paraId="795B2062" w14:textId="77777777" w:rsidR="00737EB2" w:rsidRPr="00765F6E" w:rsidRDefault="00737EB2" w:rsidP="009D0776">
      <w:pPr>
        <w:pStyle w:val="22"/>
      </w:pPr>
      <w:bookmarkStart w:id="1707" w:name="_Toc99792093"/>
      <w:bookmarkStart w:id="1708" w:name="_Toc153291527"/>
      <w:r w:rsidRPr="00765F6E">
        <w:rPr>
          <w:rFonts w:hint="eastAsia"/>
        </w:rPr>
        <w:t>风亭风口的间距应符合GB 51298的有关规定。</w:t>
      </w:r>
      <w:bookmarkEnd w:id="1707"/>
      <w:bookmarkEnd w:id="1708"/>
    </w:p>
    <w:p w14:paraId="37F63B20" w14:textId="77777777" w:rsidR="00737EB2" w:rsidRPr="00765F6E" w:rsidRDefault="00737EB2" w:rsidP="009D0776">
      <w:pPr>
        <w:pStyle w:val="22"/>
      </w:pPr>
      <w:bookmarkStart w:id="1709" w:name="_Toc99792094"/>
      <w:bookmarkStart w:id="1710" w:name="_Toc153291528"/>
      <w:r w:rsidRPr="00765F6E">
        <w:rPr>
          <w:rFonts w:hint="eastAsia"/>
        </w:rPr>
        <w:t>车站的环境设计应简洁、明快、易于识别、装修适度，且应充分结合人文、古迹、地域特色，减小体量，并宜充分利用结构美。</w:t>
      </w:r>
      <w:bookmarkEnd w:id="1709"/>
      <w:bookmarkEnd w:id="1710"/>
    </w:p>
    <w:p w14:paraId="7C470746" w14:textId="77777777" w:rsidR="00737EB2" w:rsidRPr="00765F6E" w:rsidRDefault="00737EB2" w:rsidP="009D0776">
      <w:pPr>
        <w:pStyle w:val="22"/>
      </w:pPr>
      <w:bookmarkStart w:id="1711" w:name="_Toc99792095"/>
      <w:bookmarkStart w:id="1712" w:name="_Toc153291529"/>
      <w:r w:rsidRPr="00765F6E">
        <w:rPr>
          <w:rFonts w:hint="eastAsia"/>
        </w:rPr>
        <w:t>车站内应设置导向、安全疏散和乘客服务指示标志。</w:t>
      </w:r>
      <w:bookmarkEnd w:id="1711"/>
      <w:bookmarkEnd w:id="1712"/>
    </w:p>
    <w:p w14:paraId="4BEF01AA" w14:textId="77777777" w:rsidR="00737EB2" w:rsidRPr="00765F6E" w:rsidRDefault="00737EB2" w:rsidP="009D0776">
      <w:pPr>
        <w:pStyle w:val="22"/>
      </w:pPr>
      <w:bookmarkStart w:id="1713" w:name="_Toc99792096"/>
      <w:bookmarkStart w:id="1714" w:name="_Toc153291530"/>
      <w:r w:rsidRPr="00765F6E">
        <w:rPr>
          <w:rFonts w:hint="eastAsia"/>
        </w:rPr>
        <w:t>车站公共区可适度设置广告，其位置、色彩不应干扰导向、安全疏散和乘客服务指示标志。</w:t>
      </w:r>
      <w:bookmarkEnd w:id="1713"/>
      <w:bookmarkEnd w:id="1714"/>
    </w:p>
    <w:p w14:paraId="2B1FACB4" w14:textId="77777777" w:rsidR="00737EB2" w:rsidRPr="00765F6E" w:rsidRDefault="00737EB2" w:rsidP="009D0776">
      <w:pPr>
        <w:pStyle w:val="22"/>
      </w:pPr>
      <w:bookmarkStart w:id="1715" w:name="_Toc99792097"/>
      <w:bookmarkStart w:id="1716" w:name="_Toc153291531"/>
      <w:r w:rsidRPr="00765F6E">
        <w:rPr>
          <w:rFonts w:hint="eastAsia"/>
        </w:rPr>
        <w:t>有噪声源的房间，应采取隔声、吸声措施。</w:t>
      </w:r>
      <w:bookmarkEnd w:id="1715"/>
      <w:bookmarkEnd w:id="1716"/>
    </w:p>
    <w:p w14:paraId="793135FA" w14:textId="77777777" w:rsidR="00737EB2" w:rsidRPr="00765F6E" w:rsidRDefault="00737EB2" w:rsidP="00737EB2">
      <w:pPr>
        <w:pStyle w:val="affe"/>
        <w:spacing w:before="156" w:after="156"/>
      </w:pPr>
      <w:bookmarkStart w:id="1717" w:name="_Toc153291532"/>
      <w:bookmarkStart w:id="1718" w:name="_Toc99792098"/>
      <w:bookmarkStart w:id="1719" w:name="_Toc153210896"/>
      <w:bookmarkStart w:id="1720" w:name="_Toc167895794"/>
      <w:bookmarkStart w:id="1721" w:name="_Toc174538708"/>
      <w:bookmarkStart w:id="1722" w:name="_Toc182476465"/>
      <w:r w:rsidRPr="00765F6E">
        <w:rPr>
          <w:rFonts w:hint="eastAsia"/>
        </w:rPr>
        <w:t>车站无障碍设计</w:t>
      </w:r>
      <w:bookmarkEnd w:id="1717"/>
      <w:bookmarkEnd w:id="1718"/>
      <w:bookmarkEnd w:id="1719"/>
      <w:bookmarkEnd w:id="1720"/>
      <w:bookmarkEnd w:id="1721"/>
      <w:bookmarkEnd w:id="1722"/>
    </w:p>
    <w:p w14:paraId="6FF0A7B0" w14:textId="77777777" w:rsidR="00737EB2" w:rsidRPr="00765F6E" w:rsidRDefault="00737EB2" w:rsidP="009D0776">
      <w:pPr>
        <w:pStyle w:val="22"/>
      </w:pPr>
      <w:bookmarkStart w:id="1723" w:name="_Toc153291533"/>
      <w:bookmarkStart w:id="1724" w:name="_Toc99792099"/>
      <w:r w:rsidRPr="00765F6E">
        <w:rPr>
          <w:rFonts w:hint="eastAsia"/>
        </w:rPr>
        <w:t>车站无障碍电梯和无障碍公共卫生间等各类设施应满足无障碍通行要求，并应符合</w:t>
      </w:r>
      <w:r w:rsidRPr="00765F6E">
        <w:t>GB 55019</w:t>
      </w:r>
      <w:r w:rsidRPr="00765F6E">
        <w:rPr>
          <w:rFonts w:hint="eastAsia"/>
        </w:rPr>
        <w:t>和GB 50763的相关规定。</w:t>
      </w:r>
      <w:bookmarkEnd w:id="1723"/>
      <w:bookmarkEnd w:id="1724"/>
    </w:p>
    <w:p w14:paraId="7E5DEC1E" w14:textId="77777777" w:rsidR="00737EB2" w:rsidRPr="00765F6E" w:rsidRDefault="00737EB2" w:rsidP="009D0776">
      <w:pPr>
        <w:pStyle w:val="22"/>
      </w:pPr>
      <w:bookmarkStart w:id="1725" w:name="_Toc99792100"/>
      <w:bookmarkStart w:id="1726" w:name="_Toc153291534"/>
      <w:r w:rsidRPr="00765F6E">
        <w:rPr>
          <w:rFonts w:hint="eastAsia"/>
        </w:rPr>
        <w:t>无障碍电梯门前等候区进深不宜小于1.8m，且不应小于轿厢深度，等候区不应侵占站台计算长度内的侧站台宽度。</w:t>
      </w:r>
      <w:bookmarkEnd w:id="1725"/>
      <w:bookmarkEnd w:id="1726"/>
    </w:p>
    <w:p w14:paraId="74382B5D" w14:textId="77777777" w:rsidR="00737EB2" w:rsidRPr="00765F6E" w:rsidRDefault="00737EB2" w:rsidP="009D0776">
      <w:pPr>
        <w:pStyle w:val="22"/>
      </w:pPr>
      <w:bookmarkStart w:id="1727" w:name="_Toc99792101"/>
      <w:bookmarkStart w:id="1728" w:name="_Toc153291535"/>
      <w:r w:rsidRPr="00765F6E">
        <w:rPr>
          <w:rFonts w:hint="eastAsia"/>
        </w:rPr>
        <w:t>车站无障碍设施应与城市无障碍系统衔接。</w:t>
      </w:r>
      <w:bookmarkEnd w:id="1727"/>
      <w:bookmarkEnd w:id="1728"/>
    </w:p>
    <w:p w14:paraId="29E4815A" w14:textId="77777777" w:rsidR="00737EB2" w:rsidRPr="00765F6E" w:rsidRDefault="00737EB2" w:rsidP="00737EB2">
      <w:pPr>
        <w:pStyle w:val="affe"/>
        <w:spacing w:before="156" w:after="156"/>
      </w:pPr>
      <w:bookmarkStart w:id="1729" w:name="_Toc153291536"/>
      <w:bookmarkStart w:id="1730" w:name="_Toc99792102"/>
      <w:bookmarkStart w:id="1731" w:name="_Toc153210897"/>
      <w:bookmarkStart w:id="1732" w:name="_Toc167895795"/>
      <w:bookmarkStart w:id="1733" w:name="_Toc174538709"/>
      <w:bookmarkStart w:id="1734" w:name="_Toc182476466"/>
      <w:r w:rsidRPr="00765F6E">
        <w:rPr>
          <w:rFonts w:hint="eastAsia"/>
        </w:rPr>
        <w:t>接口设计</w:t>
      </w:r>
      <w:bookmarkEnd w:id="1729"/>
      <w:bookmarkEnd w:id="1730"/>
      <w:bookmarkEnd w:id="1731"/>
      <w:bookmarkEnd w:id="1732"/>
      <w:bookmarkEnd w:id="1733"/>
      <w:bookmarkEnd w:id="1734"/>
    </w:p>
    <w:p w14:paraId="3E432932" w14:textId="77777777" w:rsidR="00737EB2" w:rsidRPr="00765F6E" w:rsidRDefault="00737EB2" w:rsidP="009D0776">
      <w:pPr>
        <w:pStyle w:val="22"/>
      </w:pPr>
      <w:bookmarkStart w:id="1735" w:name="_Toc153291537"/>
      <w:bookmarkStart w:id="1736" w:name="_Toc99792103"/>
      <w:r w:rsidRPr="00765F6E">
        <w:rPr>
          <w:rFonts w:hint="eastAsia"/>
        </w:rPr>
        <w:t>车站设计应满足限界、系统使用功能及施工工艺等要求，并做好与其他各专业之间的接口设计。</w:t>
      </w:r>
      <w:bookmarkEnd w:id="1735"/>
      <w:bookmarkEnd w:id="1736"/>
    </w:p>
    <w:p w14:paraId="3190324A" w14:textId="77777777" w:rsidR="00737EB2" w:rsidRPr="00765F6E" w:rsidRDefault="00737EB2" w:rsidP="009D0776">
      <w:pPr>
        <w:pStyle w:val="22"/>
      </w:pPr>
      <w:bookmarkStart w:id="1737" w:name="_Toc153291538"/>
      <w:bookmarkStart w:id="1738" w:name="_Toc99792104"/>
      <w:r w:rsidRPr="00765F6E">
        <w:rPr>
          <w:rFonts w:hint="eastAsia"/>
        </w:rPr>
        <w:t>车站应满足城市规划、线路规划及环境保护的要求。</w:t>
      </w:r>
      <w:bookmarkEnd w:id="1737"/>
      <w:bookmarkEnd w:id="1738"/>
    </w:p>
    <w:p w14:paraId="03E61388" w14:textId="77777777" w:rsidR="00737EB2" w:rsidRPr="00765F6E" w:rsidRDefault="00737EB2" w:rsidP="009D0776">
      <w:pPr>
        <w:pStyle w:val="22"/>
      </w:pPr>
      <w:bookmarkStart w:id="1739" w:name="_Toc99792105"/>
      <w:bookmarkStart w:id="1740" w:name="_Toc153291539"/>
      <w:r w:rsidRPr="00765F6E">
        <w:rPr>
          <w:rFonts w:hint="eastAsia"/>
        </w:rPr>
        <w:lastRenderedPageBreak/>
        <w:t>车站应做好和其他交通方式的接驳。</w:t>
      </w:r>
      <w:bookmarkEnd w:id="1739"/>
      <w:bookmarkEnd w:id="1740"/>
    </w:p>
    <w:p w14:paraId="2C88094C" w14:textId="77777777" w:rsidR="00737EB2" w:rsidRPr="00765F6E" w:rsidRDefault="00737EB2" w:rsidP="009D0776">
      <w:pPr>
        <w:pStyle w:val="22"/>
      </w:pPr>
      <w:bookmarkStart w:id="1741" w:name="_Toc99792106"/>
      <w:bookmarkStart w:id="1742" w:name="_Toc153291540"/>
      <w:r w:rsidRPr="00765F6E">
        <w:rPr>
          <w:rFonts w:hint="eastAsia"/>
        </w:rPr>
        <w:t>车站宜预留与周边商业综合开发的接口条件。</w:t>
      </w:r>
      <w:bookmarkEnd w:id="1741"/>
      <w:bookmarkEnd w:id="1742"/>
    </w:p>
    <w:p w14:paraId="79D9679F" w14:textId="77777777" w:rsidR="00737EB2" w:rsidRPr="00765F6E" w:rsidRDefault="00737EB2" w:rsidP="009D0776">
      <w:pPr>
        <w:pStyle w:val="22"/>
      </w:pPr>
      <w:bookmarkStart w:id="1743" w:name="_Toc99792107"/>
      <w:bookmarkStart w:id="1744" w:name="_Toc153291541"/>
      <w:r w:rsidRPr="00765F6E">
        <w:rPr>
          <w:rFonts w:hint="eastAsia"/>
        </w:rPr>
        <w:t>车站孔洞及运输通道断面及尺寸应满足设备运输、安装及检修等需要。</w:t>
      </w:r>
      <w:bookmarkEnd w:id="1743"/>
      <w:bookmarkEnd w:id="1744"/>
    </w:p>
    <w:p w14:paraId="246935C0" w14:textId="521A6864" w:rsidR="00737EB2" w:rsidRPr="00765F6E" w:rsidRDefault="00737EB2" w:rsidP="00737EB2">
      <w:pPr>
        <w:pStyle w:val="affd"/>
        <w:spacing w:before="312" w:after="312"/>
      </w:pPr>
      <w:bookmarkStart w:id="1745" w:name="_Toc99792108"/>
      <w:bookmarkStart w:id="1746" w:name="_Toc153210898"/>
      <w:bookmarkStart w:id="1747" w:name="_Toc153291542"/>
      <w:bookmarkStart w:id="1748" w:name="_Toc167895796"/>
      <w:bookmarkStart w:id="1749" w:name="_Toc174538710"/>
      <w:bookmarkStart w:id="1750" w:name="_Toc182476467"/>
      <w:r w:rsidRPr="00765F6E">
        <w:rPr>
          <w:rFonts w:hint="eastAsia"/>
        </w:rPr>
        <w:t>车站结构</w:t>
      </w:r>
      <w:bookmarkEnd w:id="1745"/>
      <w:bookmarkEnd w:id="1746"/>
      <w:bookmarkEnd w:id="1747"/>
      <w:bookmarkEnd w:id="1748"/>
      <w:bookmarkEnd w:id="1749"/>
      <w:bookmarkEnd w:id="1750"/>
    </w:p>
    <w:p w14:paraId="733FCB4E" w14:textId="77777777" w:rsidR="00737EB2" w:rsidRPr="00765F6E" w:rsidRDefault="00737EB2" w:rsidP="00737EB2">
      <w:pPr>
        <w:pStyle w:val="affe"/>
        <w:spacing w:before="156" w:after="156"/>
      </w:pPr>
      <w:bookmarkStart w:id="1751" w:name="_Toc153291543"/>
      <w:bookmarkStart w:id="1752" w:name="_Toc153210899"/>
      <w:bookmarkStart w:id="1753" w:name="_Toc99792109"/>
      <w:bookmarkStart w:id="1754" w:name="_Toc167895797"/>
      <w:bookmarkStart w:id="1755" w:name="_Toc174538711"/>
      <w:bookmarkStart w:id="1756" w:name="_Toc182476468"/>
      <w:r w:rsidRPr="00765F6E">
        <w:rPr>
          <w:rFonts w:hint="eastAsia"/>
        </w:rPr>
        <w:t>一般规定</w:t>
      </w:r>
      <w:bookmarkEnd w:id="1751"/>
      <w:bookmarkEnd w:id="1752"/>
      <w:bookmarkEnd w:id="1753"/>
      <w:bookmarkEnd w:id="1754"/>
      <w:bookmarkEnd w:id="1755"/>
      <w:bookmarkEnd w:id="1756"/>
    </w:p>
    <w:p w14:paraId="71677741" w14:textId="77777777" w:rsidR="00737EB2" w:rsidRPr="00765F6E" w:rsidRDefault="00737EB2" w:rsidP="009D0776">
      <w:pPr>
        <w:pStyle w:val="22"/>
      </w:pPr>
      <w:bookmarkStart w:id="1757" w:name="_Toc99792111"/>
      <w:bookmarkStart w:id="1758" w:name="_Toc153210906"/>
      <w:bookmarkStart w:id="1759" w:name="_Toc153291654"/>
      <w:bookmarkStart w:id="1760" w:name="_Toc99792219"/>
      <w:r w:rsidRPr="00765F6E">
        <w:rPr>
          <w:rFonts w:hint="eastAsia"/>
        </w:rPr>
        <w:t>车站结构的设计，应根据工程沿线车站的建设条件及其所在场地的具体情况，通过技术、经济、工期、环境影响等多方面综合评价，采用技术可靠、安全适用、经济合理的结构形式和施工方法。在含水地层中，应采取可靠的地下水处理和防治措施。</w:t>
      </w:r>
      <w:bookmarkEnd w:id="1757"/>
    </w:p>
    <w:p w14:paraId="2956E5A3" w14:textId="77777777" w:rsidR="00737EB2" w:rsidRPr="00765F6E" w:rsidRDefault="00737EB2" w:rsidP="009D0776">
      <w:pPr>
        <w:pStyle w:val="22"/>
      </w:pPr>
      <w:bookmarkStart w:id="1761" w:name="_Toc99792112"/>
      <w:r w:rsidRPr="00765F6E">
        <w:rPr>
          <w:rFonts w:hint="eastAsia"/>
        </w:rPr>
        <w:t>车站结构设计宜考虑施工和运营对环境的影响，以及城市规划和周围环境变化对车站结构的影响，并应满足运营、建筑、抗震、人防、防水、防火、防雷及施工等要求。应保证结构具有足够的强度、刚度、耐久性、稳定性的要求。</w:t>
      </w:r>
      <w:bookmarkEnd w:id="1761"/>
    </w:p>
    <w:p w14:paraId="05B45CC9" w14:textId="40E49166" w:rsidR="00737EB2" w:rsidRPr="00765F6E" w:rsidRDefault="00737EB2" w:rsidP="009D0776">
      <w:pPr>
        <w:pStyle w:val="22"/>
      </w:pPr>
      <w:bookmarkStart w:id="1762" w:name="_Toc99792113"/>
      <w:r w:rsidRPr="00765F6E">
        <w:rPr>
          <w:rFonts w:hint="eastAsia"/>
        </w:rPr>
        <w:t>车站结构安全等级和抗震设防类别符合下列规定</w:t>
      </w:r>
      <w:bookmarkEnd w:id="1762"/>
      <w:r w:rsidR="00B52E69">
        <w:rPr>
          <w:rFonts w:hint="eastAsia"/>
        </w:rPr>
        <w:t>：</w:t>
      </w:r>
    </w:p>
    <w:p w14:paraId="735831D4" w14:textId="77777777" w:rsidR="00737EB2" w:rsidRPr="00765F6E" w:rsidRDefault="00737EB2" w:rsidP="003334F3">
      <w:pPr>
        <w:pStyle w:val="af6"/>
        <w:numPr>
          <w:ilvl w:val="0"/>
          <w:numId w:val="135"/>
        </w:numPr>
        <w:tabs>
          <w:tab w:val="left" w:pos="851"/>
        </w:tabs>
        <w:snapToGrid w:val="0"/>
        <w:contextualSpacing/>
      </w:pPr>
      <w:r w:rsidRPr="00765F6E">
        <w:rPr>
          <w:rFonts w:hint="eastAsia"/>
        </w:rPr>
        <w:t>地下车站的主体结构和附属结构、高架车站和地面车站中直接承受列车荷载的结构安全等级应为一级，抗震设防类别应为重点设防类；</w:t>
      </w:r>
    </w:p>
    <w:p w14:paraId="197C95AB" w14:textId="77777777" w:rsidR="00737EB2" w:rsidRPr="00765F6E" w:rsidRDefault="00737EB2" w:rsidP="003334F3">
      <w:pPr>
        <w:pStyle w:val="af6"/>
        <w:tabs>
          <w:tab w:val="left" w:pos="851"/>
        </w:tabs>
        <w:snapToGrid w:val="0"/>
        <w:contextualSpacing/>
      </w:pPr>
      <w:r w:rsidRPr="00765F6E">
        <w:rPr>
          <w:rFonts w:hint="eastAsia"/>
        </w:rPr>
        <w:t>车站的供电、通风等重要用房的结构安全等级不应低于二级，抗震设防类别应为重点设防类；</w:t>
      </w:r>
    </w:p>
    <w:p w14:paraId="5B867A24" w14:textId="77777777" w:rsidR="00737EB2" w:rsidRPr="00765F6E" w:rsidRDefault="00737EB2" w:rsidP="003334F3">
      <w:pPr>
        <w:pStyle w:val="af6"/>
        <w:tabs>
          <w:tab w:val="left" w:pos="851"/>
        </w:tabs>
        <w:snapToGrid w:val="0"/>
        <w:contextualSpacing/>
      </w:pPr>
      <w:r w:rsidRPr="00765F6E">
        <w:rPr>
          <w:rFonts w:hint="eastAsia"/>
        </w:rPr>
        <w:t>线间立柱的雨棚和天桥等跨线设施、站台立柱的雨棚、金属屋面等结构的安全等级应为一级;线间立柱的雨棚、天桥等跨线 设施抗震设防类别应为重点设防类，站台立柱的雨棚抗震设防类 别宜为标准设防类；</w:t>
      </w:r>
    </w:p>
    <w:p w14:paraId="510899AF" w14:textId="77777777" w:rsidR="00737EB2" w:rsidRPr="00765F6E" w:rsidRDefault="00737EB2" w:rsidP="003334F3">
      <w:pPr>
        <w:pStyle w:val="af6"/>
        <w:tabs>
          <w:tab w:val="left" w:pos="851"/>
        </w:tabs>
        <w:snapToGrid w:val="0"/>
        <w:contextualSpacing/>
      </w:pPr>
      <w:r w:rsidRPr="00765F6E">
        <w:rPr>
          <w:rFonts w:hint="eastAsia"/>
        </w:rPr>
        <w:t>高架车站和地面车站中不直接承受列车荷载的独立结构、不影响运营的可更换次要结构的安全等级宜为二级，抗震设防类别宜为标准设防类。</w:t>
      </w:r>
    </w:p>
    <w:p w14:paraId="51FCA9E9" w14:textId="77777777" w:rsidR="00737EB2" w:rsidRPr="00765F6E" w:rsidRDefault="00737EB2" w:rsidP="009D0776">
      <w:pPr>
        <w:pStyle w:val="22"/>
      </w:pPr>
      <w:r w:rsidRPr="00765F6E">
        <w:rPr>
          <w:rFonts w:hint="eastAsia"/>
        </w:rPr>
        <w:t>车站主体结构和使用期间不可更换的结构构件的设计使用年限应为100年，使用期间可以更换且不影响运营的次要结构构件使用年限为50年设计，临时结构使用年限不应低于工期要求。</w:t>
      </w:r>
    </w:p>
    <w:p w14:paraId="650F3997" w14:textId="2DDF1793" w:rsidR="00737EB2" w:rsidRPr="00B66CDF" w:rsidRDefault="0099224B" w:rsidP="009D0776">
      <w:pPr>
        <w:pStyle w:val="22"/>
      </w:pPr>
      <w:bookmarkStart w:id="1763" w:name="_Toc99792115"/>
      <w:r w:rsidRPr="00B66CDF">
        <w:rPr>
          <w:rFonts w:hint="eastAsia"/>
        </w:rPr>
        <w:t>车站结构耐久性应根据结构的设计使用年限、所处的环境类别和环境作用等级进行设计，并应满足国家现行有关标准的规定</w:t>
      </w:r>
      <w:r w:rsidR="00737EB2" w:rsidRPr="00B66CDF">
        <w:rPr>
          <w:rFonts w:hint="eastAsia"/>
        </w:rPr>
        <w:t>。</w:t>
      </w:r>
      <w:bookmarkEnd w:id="1763"/>
    </w:p>
    <w:p w14:paraId="14214FEB" w14:textId="77777777" w:rsidR="00737EB2" w:rsidRPr="00765F6E" w:rsidRDefault="00737EB2" w:rsidP="009D0776">
      <w:pPr>
        <w:pStyle w:val="22"/>
      </w:pPr>
      <w:bookmarkStart w:id="1764" w:name="_Toc99792116"/>
      <w:r w:rsidRPr="00765F6E">
        <w:rPr>
          <w:rFonts w:hint="eastAsia"/>
        </w:rPr>
        <w:t>车站结构净空尺寸应满足建筑限界、建筑设计、施工工艺及使用要求，同时应计入施工误差、测量误差、结构变形和后期沉降影响等因素。</w:t>
      </w:r>
      <w:bookmarkEnd w:id="1764"/>
    </w:p>
    <w:p w14:paraId="5D0399B9" w14:textId="77777777" w:rsidR="00737EB2" w:rsidRPr="00765F6E" w:rsidRDefault="00737EB2" w:rsidP="009D0776">
      <w:pPr>
        <w:pStyle w:val="22"/>
      </w:pPr>
      <w:bookmarkStart w:id="1765" w:name="_Toc99792117"/>
      <w:r w:rsidRPr="00765F6E">
        <w:rPr>
          <w:rFonts w:hint="eastAsia"/>
        </w:rPr>
        <w:t>车站结构的设计，应根据施工方法、结构或构件类型、使用条件及荷载特性等，选用与实际工况相符的设计方法。</w:t>
      </w:r>
      <w:bookmarkEnd w:id="1765"/>
    </w:p>
    <w:p w14:paraId="6E2D469D" w14:textId="77777777" w:rsidR="00737EB2" w:rsidRPr="00765F6E" w:rsidRDefault="00737EB2" w:rsidP="009D0776">
      <w:pPr>
        <w:pStyle w:val="22"/>
      </w:pPr>
      <w:bookmarkStart w:id="1766" w:name="_Toc99792118"/>
      <w:r w:rsidRPr="00765F6E">
        <w:rPr>
          <w:rFonts w:hint="eastAsia"/>
        </w:rPr>
        <w:t>车站结构计算，宜考虑使用阶段和施工阶段的工况。</w:t>
      </w:r>
      <w:bookmarkEnd w:id="1766"/>
    </w:p>
    <w:p w14:paraId="08ED6CD2" w14:textId="77777777" w:rsidR="007A43B2" w:rsidRDefault="007A43B2" w:rsidP="007A43B2">
      <w:pPr>
        <w:pStyle w:val="22"/>
      </w:pPr>
      <w:bookmarkStart w:id="1767" w:name="_Toc99792121"/>
      <w:r>
        <w:rPr>
          <w:rFonts w:hint="eastAsia"/>
        </w:rPr>
        <w:t>高架车站结构处于恶劣环境下易受腐蚀或长期承受交变荷载作用的重要构件或者关键节点；地下车站结构处于地质条件复杂或者在高地震烈度区，宜开展结构健康监测。地下车站应结合施工监测进行信息化设计。</w:t>
      </w:r>
    </w:p>
    <w:p w14:paraId="17E1F64F" w14:textId="17747807" w:rsidR="00737EB2" w:rsidRPr="00765F6E" w:rsidRDefault="007A43B2" w:rsidP="007A43B2">
      <w:pPr>
        <w:pStyle w:val="22"/>
      </w:pPr>
      <w:r>
        <w:rPr>
          <w:rFonts w:hint="eastAsia"/>
        </w:rPr>
        <w:t>高架车站结构宜采用钢筋混凝土结构或预应力钢筋混凝土结构，也可采用钢-混组合结构</w:t>
      </w:r>
      <w:r w:rsidR="00737EB2" w:rsidRPr="00765F6E">
        <w:rPr>
          <w:rFonts w:hint="eastAsia"/>
        </w:rPr>
        <w:t>。</w:t>
      </w:r>
    </w:p>
    <w:p w14:paraId="52B2E6D3" w14:textId="77777777" w:rsidR="00737EB2" w:rsidRPr="00765F6E" w:rsidRDefault="00737EB2" w:rsidP="00737EB2">
      <w:pPr>
        <w:pStyle w:val="affe"/>
        <w:spacing w:before="156" w:after="156"/>
      </w:pPr>
      <w:bookmarkStart w:id="1768" w:name="_Toc99792122"/>
      <w:bookmarkStart w:id="1769" w:name="_Toc152659746"/>
      <w:bookmarkStart w:id="1770" w:name="_Toc167895798"/>
      <w:bookmarkStart w:id="1771" w:name="_Toc174538712"/>
      <w:bookmarkStart w:id="1772" w:name="_Toc182476469"/>
      <w:bookmarkEnd w:id="1767"/>
      <w:r w:rsidRPr="00765F6E">
        <w:rPr>
          <w:rFonts w:hint="eastAsia"/>
        </w:rPr>
        <w:t>设计荷载及工程材料</w:t>
      </w:r>
      <w:bookmarkEnd w:id="1768"/>
      <w:bookmarkEnd w:id="1769"/>
      <w:bookmarkEnd w:id="1770"/>
      <w:bookmarkEnd w:id="1771"/>
      <w:bookmarkEnd w:id="1772"/>
    </w:p>
    <w:p w14:paraId="344E1A59" w14:textId="3F44CAE8" w:rsidR="00737EB2" w:rsidRPr="00765F6E" w:rsidRDefault="00737EB2" w:rsidP="009D0776">
      <w:pPr>
        <w:pStyle w:val="22"/>
      </w:pPr>
      <w:bookmarkStart w:id="1773" w:name="_Toc99792123"/>
      <w:r w:rsidRPr="00765F6E">
        <w:rPr>
          <w:rFonts w:hint="eastAsia"/>
        </w:rPr>
        <w:t>高架及地面车站当采用极限状态法设计时,作用在结构上的荷载可按表</w:t>
      </w:r>
      <w:r w:rsidR="001C1F75">
        <w:t>71</w:t>
      </w:r>
      <w:r w:rsidRPr="00765F6E">
        <w:rPr>
          <w:rFonts w:hint="eastAsia"/>
        </w:rPr>
        <w:t>进行分类；</w:t>
      </w:r>
      <w:bookmarkStart w:id="1774" w:name="OLE_LINK9"/>
      <w:r w:rsidRPr="00765F6E">
        <w:rPr>
          <w:rFonts w:hint="eastAsia"/>
        </w:rPr>
        <w:t>地下车站</w:t>
      </w:r>
      <w:bookmarkEnd w:id="1774"/>
      <w:r w:rsidRPr="00765F6E">
        <w:rPr>
          <w:rFonts w:hint="eastAsia"/>
        </w:rPr>
        <w:t>作用在结构上的荷载可按表</w:t>
      </w:r>
      <w:r w:rsidR="001C1F75">
        <w:t>72</w:t>
      </w:r>
      <w:r w:rsidRPr="00765F6E">
        <w:rPr>
          <w:rFonts w:hint="eastAsia"/>
        </w:rPr>
        <w:t>进行分类。荷载值应符合GB 50009的有关规定,荷载代表值应根据施工阶段和使用阶段荷载值可能发生的变化,按不同荷载组合时的最不利情况确定。</w:t>
      </w:r>
    </w:p>
    <w:bookmarkEnd w:id="1773"/>
    <w:p w14:paraId="33559F2D" w14:textId="5CD0E008" w:rsidR="00737EB2" w:rsidRPr="00765F6E" w:rsidRDefault="00B731DB" w:rsidP="00737EB2">
      <w:pPr>
        <w:pStyle w:val="aff3"/>
        <w:spacing w:before="156" w:after="156"/>
      </w:pPr>
      <w:r w:rsidRPr="00765F6E">
        <w:rPr>
          <w:rFonts w:hint="eastAsia"/>
        </w:rPr>
        <w:t>高架及地面</w:t>
      </w:r>
      <w:r w:rsidR="00737EB2" w:rsidRPr="00765F6E">
        <w:rPr>
          <w:rFonts w:hint="eastAsia"/>
        </w:rPr>
        <w:t>车站荷载分类</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2068"/>
        <w:gridCol w:w="1755"/>
        <w:gridCol w:w="5511"/>
      </w:tblGrid>
      <w:tr w:rsidR="00737EB2" w:rsidRPr="00765F6E" w14:paraId="73E33E6C" w14:textId="77777777" w:rsidTr="00871D47">
        <w:trPr>
          <w:trHeight w:val="176"/>
        </w:trPr>
        <w:tc>
          <w:tcPr>
            <w:tcW w:w="2048" w:type="pct"/>
            <w:gridSpan w:val="2"/>
            <w:tcBorders>
              <w:top w:val="single" w:sz="8" w:space="0" w:color="auto"/>
              <w:bottom w:val="single" w:sz="8" w:space="0" w:color="auto"/>
            </w:tcBorders>
            <w:shd w:val="clear" w:color="auto" w:fill="auto"/>
            <w:vAlign w:val="center"/>
          </w:tcPr>
          <w:p w14:paraId="76C848D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荷载分类</w:t>
            </w:r>
          </w:p>
        </w:tc>
        <w:tc>
          <w:tcPr>
            <w:tcW w:w="2952" w:type="pct"/>
            <w:tcBorders>
              <w:top w:val="single" w:sz="8" w:space="0" w:color="auto"/>
              <w:bottom w:val="single" w:sz="8" w:space="0" w:color="auto"/>
            </w:tcBorders>
            <w:shd w:val="clear" w:color="auto" w:fill="auto"/>
            <w:vAlign w:val="center"/>
          </w:tcPr>
          <w:p w14:paraId="7C9ED1CA"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荷载</w:t>
            </w:r>
            <w:r w:rsidRPr="00765F6E">
              <w:rPr>
                <w:rFonts w:ascii="宋体" w:hAnsi="宋体"/>
                <w:sz w:val="18"/>
                <w:szCs w:val="18"/>
              </w:rPr>
              <w:t>名称</w:t>
            </w:r>
          </w:p>
        </w:tc>
      </w:tr>
      <w:tr w:rsidR="00737EB2" w:rsidRPr="00765F6E" w14:paraId="4A273267" w14:textId="77777777" w:rsidTr="00871D47">
        <w:trPr>
          <w:trHeight w:val="176"/>
        </w:trPr>
        <w:tc>
          <w:tcPr>
            <w:tcW w:w="2048" w:type="pct"/>
            <w:gridSpan w:val="2"/>
            <w:vMerge w:val="restart"/>
            <w:tcBorders>
              <w:top w:val="single" w:sz="8" w:space="0" w:color="auto"/>
            </w:tcBorders>
            <w:shd w:val="clear" w:color="auto" w:fill="auto"/>
            <w:vAlign w:val="center"/>
          </w:tcPr>
          <w:p w14:paraId="6FDEA1C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永久</w:t>
            </w:r>
            <w:r w:rsidRPr="00765F6E">
              <w:rPr>
                <w:rFonts w:ascii="宋体" w:hAnsi="宋体"/>
                <w:sz w:val="18"/>
                <w:szCs w:val="18"/>
              </w:rPr>
              <w:t>荷载</w:t>
            </w:r>
          </w:p>
        </w:tc>
        <w:tc>
          <w:tcPr>
            <w:tcW w:w="2952" w:type="pct"/>
            <w:tcBorders>
              <w:top w:val="single" w:sz="8" w:space="0" w:color="auto"/>
            </w:tcBorders>
            <w:shd w:val="clear" w:color="auto" w:fill="auto"/>
            <w:vAlign w:val="center"/>
          </w:tcPr>
          <w:p w14:paraId="4AF23D51"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结构</w:t>
            </w:r>
            <w:r w:rsidRPr="00765F6E">
              <w:rPr>
                <w:rFonts w:ascii="宋体" w:hAnsi="宋体"/>
                <w:sz w:val="18"/>
                <w:szCs w:val="18"/>
              </w:rPr>
              <w:t>自重</w:t>
            </w:r>
          </w:p>
        </w:tc>
      </w:tr>
      <w:tr w:rsidR="00737EB2" w:rsidRPr="00765F6E" w14:paraId="2F2CDBC7" w14:textId="77777777" w:rsidTr="00871D47">
        <w:trPr>
          <w:trHeight w:val="176"/>
        </w:trPr>
        <w:tc>
          <w:tcPr>
            <w:tcW w:w="2048" w:type="pct"/>
            <w:gridSpan w:val="2"/>
            <w:vMerge/>
            <w:shd w:val="clear" w:color="auto" w:fill="auto"/>
            <w:vAlign w:val="center"/>
          </w:tcPr>
          <w:p w14:paraId="5CC57B6C"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1F1CCE8E" w14:textId="77777777" w:rsidR="00737EB2" w:rsidRPr="00765F6E" w:rsidRDefault="00737EB2" w:rsidP="00871D47">
            <w:pPr>
              <w:spacing w:line="240" w:lineRule="exact"/>
              <w:jc w:val="left"/>
              <w:textAlignment w:val="center"/>
              <w:rPr>
                <w:rFonts w:ascii="宋体" w:hAnsi="宋体"/>
                <w:sz w:val="18"/>
                <w:szCs w:val="18"/>
              </w:rPr>
            </w:pPr>
            <w:r w:rsidRPr="00765F6E">
              <w:rPr>
                <w:rFonts w:ascii="宋体" w:hAnsi="宋体" w:hint="eastAsia"/>
                <w:sz w:val="18"/>
                <w:szCs w:val="18"/>
              </w:rPr>
              <w:t>设备、围护结构、面层及装饰、固定隔墙等自重</w:t>
            </w:r>
          </w:p>
        </w:tc>
      </w:tr>
      <w:tr w:rsidR="00737EB2" w:rsidRPr="00765F6E" w14:paraId="2D329DE9" w14:textId="77777777" w:rsidTr="00871D47">
        <w:trPr>
          <w:trHeight w:val="176"/>
        </w:trPr>
        <w:tc>
          <w:tcPr>
            <w:tcW w:w="2048" w:type="pct"/>
            <w:gridSpan w:val="2"/>
            <w:vMerge/>
            <w:shd w:val="clear" w:color="auto" w:fill="auto"/>
            <w:vAlign w:val="center"/>
          </w:tcPr>
          <w:p w14:paraId="66F831FD" w14:textId="77777777" w:rsidR="00737EB2" w:rsidRPr="00765F6E" w:rsidRDefault="00737EB2" w:rsidP="00871D47">
            <w:pPr>
              <w:jc w:val="center"/>
              <w:rPr>
                <w:rFonts w:hAnsi="宋体"/>
                <w:sz w:val="18"/>
                <w:szCs w:val="18"/>
              </w:rPr>
            </w:pPr>
          </w:p>
        </w:tc>
        <w:tc>
          <w:tcPr>
            <w:tcW w:w="2952" w:type="pct"/>
            <w:shd w:val="clear" w:color="auto" w:fill="auto"/>
            <w:vAlign w:val="center"/>
          </w:tcPr>
          <w:p w14:paraId="5AA2A8CD" w14:textId="77777777" w:rsidR="00737EB2" w:rsidRPr="00765F6E" w:rsidRDefault="00737EB2" w:rsidP="00871D47">
            <w:pPr>
              <w:spacing w:line="240" w:lineRule="exact"/>
              <w:jc w:val="center"/>
              <w:textAlignment w:val="center"/>
              <w:rPr>
                <w:rFonts w:hAnsi="宋体"/>
                <w:sz w:val="18"/>
                <w:szCs w:val="18"/>
              </w:rPr>
            </w:pPr>
            <w:r w:rsidRPr="00765F6E">
              <w:rPr>
                <w:rFonts w:ascii="宋体" w:hAnsi="宋体" w:hint="eastAsia"/>
                <w:sz w:val="18"/>
                <w:szCs w:val="18"/>
              </w:rPr>
              <w:t>预加应力</w:t>
            </w:r>
          </w:p>
        </w:tc>
      </w:tr>
      <w:tr w:rsidR="00737EB2" w:rsidRPr="00765F6E" w14:paraId="4EF7C8E5" w14:textId="77777777" w:rsidTr="00871D47">
        <w:trPr>
          <w:trHeight w:val="176"/>
        </w:trPr>
        <w:tc>
          <w:tcPr>
            <w:tcW w:w="2048" w:type="pct"/>
            <w:gridSpan w:val="2"/>
            <w:vMerge/>
            <w:shd w:val="clear" w:color="auto" w:fill="auto"/>
            <w:vAlign w:val="center"/>
          </w:tcPr>
          <w:p w14:paraId="09E0BA88" w14:textId="77777777" w:rsidR="00737EB2" w:rsidRPr="00765F6E" w:rsidRDefault="00737EB2" w:rsidP="00871D47">
            <w:pPr>
              <w:jc w:val="center"/>
              <w:rPr>
                <w:rFonts w:hAnsi="宋体"/>
                <w:sz w:val="18"/>
                <w:szCs w:val="18"/>
              </w:rPr>
            </w:pPr>
          </w:p>
        </w:tc>
        <w:tc>
          <w:tcPr>
            <w:tcW w:w="2952" w:type="pct"/>
            <w:shd w:val="clear" w:color="auto" w:fill="auto"/>
            <w:vAlign w:val="center"/>
          </w:tcPr>
          <w:p w14:paraId="0D60A071"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混凝土收缩及徐变影响</w:t>
            </w:r>
          </w:p>
        </w:tc>
      </w:tr>
      <w:tr w:rsidR="00737EB2" w:rsidRPr="00765F6E" w14:paraId="32992179" w14:textId="77777777" w:rsidTr="00871D47">
        <w:trPr>
          <w:trHeight w:val="176"/>
        </w:trPr>
        <w:tc>
          <w:tcPr>
            <w:tcW w:w="2048" w:type="pct"/>
            <w:gridSpan w:val="2"/>
            <w:vMerge/>
            <w:shd w:val="clear" w:color="auto" w:fill="auto"/>
            <w:vAlign w:val="center"/>
          </w:tcPr>
          <w:p w14:paraId="12E2DBBA" w14:textId="77777777" w:rsidR="00737EB2" w:rsidRPr="00765F6E" w:rsidRDefault="00737EB2" w:rsidP="00871D47">
            <w:pPr>
              <w:jc w:val="center"/>
              <w:rPr>
                <w:rFonts w:hAnsi="宋体"/>
                <w:sz w:val="18"/>
                <w:szCs w:val="18"/>
              </w:rPr>
            </w:pPr>
          </w:p>
        </w:tc>
        <w:tc>
          <w:tcPr>
            <w:tcW w:w="2952" w:type="pct"/>
            <w:shd w:val="clear" w:color="auto" w:fill="auto"/>
            <w:vAlign w:val="center"/>
          </w:tcPr>
          <w:p w14:paraId="24141C9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土压力、结构上部和破坏棱体范围的设施及建筑物压力</w:t>
            </w:r>
          </w:p>
        </w:tc>
      </w:tr>
      <w:tr w:rsidR="00737EB2" w:rsidRPr="00765F6E" w14:paraId="3219848F" w14:textId="77777777" w:rsidTr="00871D47">
        <w:trPr>
          <w:trHeight w:val="176"/>
        </w:trPr>
        <w:tc>
          <w:tcPr>
            <w:tcW w:w="2048" w:type="pct"/>
            <w:gridSpan w:val="2"/>
            <w:vMerge/>
            <w:shd w:val="clear" w:color="auto" w:fill="auto"/>
            <w:vAlign w:val="center"/>
          </w:tcPr>
          <w:p w14:paraId="37A5F247" w14:textId="77777777" w:rsidR="00737EB2" w:rsidRPr="00765F6E" w:rsidRDefault="00737EB2" w:rsidP="00871D47">
            <w:pPr>
              <w:jc w:val="center"/>
              <w:rPr>
                <w:rFonts w:hAnsi="宋体"/>
                <w:sz w:val="18"/>
                <w:szCs w:val="18"/>
              </w:rPr>
            </w:pPr>
          </w:p>
        </w:tc>
        <w:tc>
          <w:tcPr>
            <w:tcW w:w="2952" w:type="pct"/>
            <w:shd w:val="clear" w:color="auto" w:fill="auto"/>
            <w:vAlign w:val="center"/>
          </w:tcPr>
          <w:p w14:paraId="744C6708"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水压力及浮力</w:t>
            </w:r>
          </w:p>
        </w:tc>
      </w:tr>
      <w:tr w:rsidR="00737EB2" w:rsidRPr="00765F6E" w14:paraId="6D2D30C8" w14:textId="77777777" w:rsidTr="00871D47">
        <w:trPr>
          <w:trHeight w:val="176"/>
        </w:trPr>
        <w:tc>
          <w:tcPr>
            <w:tcW w:w="2048" w:type="pct"/>
            <w:gridSpan w:val="2"/>
            <w:vMerge/>
            <w:shd w:val="clear" w:color="auto" w:fill="auto"/>
            <w:vAlign w:val="center"/>
          </w:tcPr>
          <w:p w14:paraId="17FF3619" w14:textId="77777777" w:rsidR="00737EB2" w:rsidRPr="00765F6E" w:rsidRDefault="00737EB2" w:rsidP="00871D47">
            <w:pPr>
              <w:jc w:val="center"/>
              <w:rPr>
                <w:rFonts w:hAnsi="宋体"/>
                <w:sz w:val="18"/>
                <w:szCs w:val="18"/>
              </w:rPr>
            </w:pPr>
          </w:p>
        </w:tc>
        <w:tc>
          <w:tcPr>
            <w:tcW w:w="2952" w:type="pct"/>
            <w:shd w:val="clear" w:color="auto" w:fill="auto"/>
            <w:vAlign w:val="center"/>
          </w:tcPr>
          <w:p w14:paraId="34CB0FE2"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基础变位、地基下沉影响</w:t>
            </w:r>
          </w:p>
        </w:tc>
      </w:tr>
      <w:tr w:rsidR="00737EB2" w:rsidRPr="00765F6E" w14:paraId="621FD31A" w14:textId="77777777" w:rsidTr="00871D47">
        <w:trPr>
          <w:trHeight w:val="176"/>
        </w:trPr>
        <w:tc>
          <w:tcPr>
            <w:tcW w:w="1108" w:type="pct"/>
            <w:vMerge w:val="restart"/>
            <w:shd w:val="clear" w:color="auto" w:fill="auto"/>
            <w:vAlign w:val="center"/>
          </w:tcPr>
          <w:p w14:paraId="79B56722"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可变荷载</w:t>
            </w:r>
          </w:p>
        </w:tc>
        <w:tc>
          <w:tcPr>
            <w:tcW w:w="940" w:type="pct"/>
            <w:vMerge w:val="restart"/>
            <w:shd w:val="clear" w:color="auto" w:fill="auto"/>
            <w:vAlign w:val="center"/>
          </w:tcPr>
          <w:p w14:paraId="3F427492"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基本</w:t>
            </w:r>
            <w:r w:rsidRPr="00765F6E">
              <w:rPr>
                <w:rFonts w:ascii="宋体" w:hAnsi="宋体"/>
                <w:sz w:val="18"/>
                <w:szCs w:val="18"/>
              </w:rPr>
              <w:t>可变荷载</w:t>
            </w:r>
          </w:p>
        </w:tc>
        <w:tc>
          <w:tcPr>
            <w:tcW w:w="2952" w:type="pct"/>
            <w:shd w:val="clear" w:color="auto" w:fill="auto"/>
            <w:vAlign w:val="center"/>
          </w:tcPr>
          <w:p w14:paraId="737ECA32"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地面车辆荷载及其动力作用</w:t>
            </w:r>
          </w:p>
        </w:tc>
      </w:tr>
      <w:tr w:rsidR="00737EB2" w:rsidRPr="00765F6E" w14:paraId="0BC9C547" w14:textId="77777777" w:rsidTr="00871D47">
        <w:trPr>
          <w:trHeight w:val="176"/>
        </w:trPr>
        <w:tc>
          <w:tcPr>
            <w:tcW w:w="1108" w:type="pct"/>
            <w:vMerge/>
            <w:shd w:val="clear" w:color="auto" w:fill="auto"/>
            <w:vAlign w:val="center"/>
          </w:tcPr>
          <w:p w14:paraId="79F27EDC" w14:textId="77777777" w:rsidR="00737EB2" w:rsidRPr="00765F6E" w:rsidRDefault="00737EB2" w:rsidP="00871D47">
            <w:pPr>
              <w:spacing w:line="240" w:lineRule="exact"/>
              <w:jc w:val="center"/>
              <w:textAlignment w:val="center"/>
              <w:rPr>
                <w:rFonts w:ascii="宋体" w:hAnsi="宋体"/>
                <w:sz w:val="18"/>
                <w:szCs w:val="18"/>
              </w:rPr>
            </w:pPr>
          </w:p>
        </w:tc>
        <w:tc>
          <w:tcPr>
            <w:tcW w:w="940" w:type="pct"/>
            <w:vMerge/>
            <w:shd w:val="clear" w:color="auto" w:fill="auto"/>
            <w:vAlign w:val="center"/>
          </w:tcPr>
          <w:p w14:paraId="66F9A5C5"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12596D7B"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地面车辆荷载引起的侧向土压力</w:t>
            </w:r>
          </w:p>
        </w:tc>
      </w:tr>
      <w:tr w:rsidR="00737EB2" w:rsidRPr="00765F6E" w14:paraId="3AC52CFC" w14:textId="77777777" w:rsidTr="00871D47">
        <w:trPr>
          <w:trHeight w:val="176"/>
        </w:trPr>
        <w:tc>
          <w:tcPr>
            <w:tcW w:w="1108" w:type="pct"/>
            <w:vMerge/>
            <w:shd w:val="clear" w:color="auto" w:fill="auto"/>
            <w:vAlign w:val="center"/>
          </w:tcPr>
          <w:p w14:paraId="56A1F41B" w14:textId="77777777" w:rsidR="00737EB2" w:rsidRPr="00765F6E" w:rsidRDefault="00737EB2" w:rsidP="00871D47">
            <w:pPr>
              <w:spacing w:line="240" w:lineRule="exact"/>
              <w:jc w:val="center"/>
              <w:textAlignment w:val="center"/>
              <w:rPr>
                <w:rFonts w:ascii="宋体" w:hAnsi="宋体"/>
                <w:sz w:val="18"/>
                <w:szCs w:val="18"/>
              </w:rPr>
            </w:pPr>
          </w:p>
        </w:tc>
        <w:tc>
          <w:tcPr>
            <w:tcW w:w="940" w:type="pct"/>
            <w:vMerge/>
            <w:shd w:val="clear" w:color="auto" w:fill="auto"/>
            <w:vAlign w:val="center"/>
          </w:tcPr>
          <w:p w14:paraId="1E1E9C4F"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175F36C7"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列车荷载及其动力作用</w:t>
            </w:r>
          </w:p>
        </w:tc>
      </w:tr>
      <w:tr w:rsidR="00737EB2" w:rsidRPr="00765F6E" w14:paraId="6F123FEA" w14:textId="77777777" w:rsidTr="00871D47">
        <w:trPr>
          <w:trHeight w:val="176"/>
        </w:trPr>
        <w:tc>
          <w:tcPr>
            <w:tcW w:w="1108" w:type="pct"/>
            <w:vMerge/>
            <w:shd w:val="clear" w:color="auto" w:fill="auto"/>
            <w:vAlign w:val="center"/>
          </w:tcPr>
          <w:p w14:paraId="395B9E55" w14:textId="77777777" w:rsidR="00737EB2" w:rsidRPr="00765F6E" w:rsidRDefault="00737EB2" w:rsidP="00871D47">
            <w:pPr>
              <w:spacing w:line="240" w:lineRule="exact"/>
              <w:jc w:val="center"/>
              <w:textAlignment w:val="center"/>
              <w:rPr>
                <w:rFonts w:ascii="宋体" w:hAnsi="宋体"/>
                <w:sz w:val="18"/>
                <w:szCs w:val="18"/>
              </w:rPr>
            </w:pPr>
          </w:p>
        </w:tc>
        <w:tc>
          <w:tcPr>
            <w:tcW w:w="940" w:type="pct"/>
            <w:vMerge/>
            <w:shd w:val="clear" w:color="auto" w:fill="auto"/>
            <w:vAlign w:val="center"/>
          </w:tcPr>
          <w:p w14:paraId="0AD5F41B"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4D025F63"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人群荷载</w:t>
            </w:r>
          </w:p>
        </w:tc>
      </w:tr>
      <w:tr w:rsidR="00737EB2" w:rsidRPr="00765F6E" w14:paraId="279A4E58" w14:textId="77777777" w:rsidTr="00871D47">
        <w:trPr>
          <w:trHeight w:val="176"/>
        </w:trPr>
        <w:tc>
          <w:tcPr>
            <w:tcW w:w="1108" w:type="pct"/>
            <w:vMerge/>
            <w:shd w:val="clear" w:color="auto" w:fill="auto"/>
            <w:vAlign w:val="center"/>
          </w:tcPr>
          <w:p w14:paraId="2A2AE3E1" w14:textId="77777777" w:rsidR="00737EB2" w:rsidRPr="00765F6E" w:rsidRDefault="00737EB2" w:rsidP="00871D47">
            <w:pPr>
              <w:spacing w:line="240" w:lineRule="exact"/>
              <w:jc w:val="center"/>
              <w:textAlignment w:val="center"/>
              <w:rPr>
                <w:rFonts w:ascii="宋体" w:hAnsi="宋体"/>
                <w:sz w:val="18"/>
                <w:szCs w:val="18"/>
              </w:rPr>
            </w:pPr>
          </w:p>
        </w:tc>
        <w:tc>
          <w:tcPr>
            <w:tcW w:w="940" w:type="pct"/>
            <w:vMerge/>
            <w:shd w:val="clear" w:color="auto" w:fill="auto"/>
            <w:vAlign w:val="center"/>
          </w:tcPr>
          <w:p w14:paraId="4A74E98F"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0230DCFC"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风荷载</w:t>
            </w:r>
          </w:p>
        </w:tc>
      </w:tr>
      <w:tr w:rsidR="00737EB2" w:rsidRPr="00765F6E" w14:paraId="1FFF5B30" w14:textId="77777777" w:rsidTr="00871D47">
        <w:trPr>
          <w:trHeight w:val="176"/>
        </w:trPr>
        <w:tc>
          <w:tcPr>
            <w:tcW w:w="1108" w:type="pct"/>
            <w:vMerge/>
            <w:shd w:val="clear" w:color="auto" w:fill="auto"/>
            <w:vAlign w:val="center"/>
          </w:tcPr>
          <w:p w14:paraId="65BC528C" w14:textId="77777777" w:rsidR="00737EB2" w:rsidRPr="00765F6E" w:rsidRDefault="00737EB2" w:rsidP="00871D47">
            <w:pPr>
              <w:spacing w:line="240" w:lineRule="exact"/>
              <w:jc w:val="center"/>
              <w:textAlignment w:val="center"/>
              <w:rPr>
                <w:rFonts w:ascii="宋体" w:hAnsi="宋体"/>
                <w:sz w:val="18"/>
                <w:szCs w:val="18"/>
              </w:rPr>
            </w:pPr>
          </w:p>
        </w:tc>
        <w:tc>
          <w:tcPr>
            <w:tcW w:w="940" w:type="pct"/>
            <w:vMerge/>
            <w:shd w:val="clear" w:color="auto" w:fill="auto"/>
            <w:vAlign w:val="center"/>
          </w:tcPr>
          <w:p w14:paraId="04B7A7C5"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14ABDB0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雪荷载</w:t>
            </w:r>
          </w:p>
        </w:tc>
      </w:tr>
      <w:tr w:rsidR="00737EB2" w:rsidRPr="00765F6E" w14:paraId="1680CA7E" w14:textId="77777777" w:rsidTr="00871D47">
        <w:trPr>
          <w:trHeight w:val="176"/>
        </w:trPr>
        <w:tc>
          <w:tcPr>
            <w:tcW w:w="1108" w:type="pct"/>
            <w:vMerge/>
            <w:shd w:val="clear" w:color="auto" w:fill="auto"/>
            <w:vAlign w:val="center"/>
          </w:tcPr>
          <w:p w14:paraId="225A15A2" w14:textId="77777777" w:rsidR="00737EB2" w:rsidRPr="00765F6E" w:rsidRDefault="00737EB2" w:rsidP="00871D47">
            <w:pPr>
              <w:spacing w:line="240" w:lineRule="exact"/>
              <w:jc w:val="center"/>
              <w:textAlignment w:val="center"/>
              <w:rPr>
                <w:rFonts w:ascii="宋体" w:hAnsi="宋体"/>
                <w:sz w:val="18"/>
                <w:szCs w:val="18"/>
              </w:rPr>
            </w:pPr>
          </w:p>
        </w:tc>
        <w:tc>
          <w:tcPr>
            <w:tcW w:w="940" w:type="pct"/>
            <w:vMerge/>
            <w:shd w:val="clear" w:color="auto" w:fill="auto"/>
            <w:vAlign w:val="center"/>
          </w:tcPr>
          <w:p w14:paraId="74FCAF7B"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1CE4F467"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屋面</w:t>
            </w:r>
            <w:r w:rsidRPr="00765F6E">
              <w:rPr>
                <w:rFonts w:ascii="宋体" w:hAnsi="宋体"/>
                <w:sz w:val="18"/>
                <w:szCs w:val="18"/>
              </w:rPr>
              <w:t>荷载</w:t>
            </w:r>
          </w:p>
        </w:tc>
      </w:tr>
      <w:tr w:rsidR="00737EB2" w:rsidRPr="00765F6E" w14:paraId="54C5345E" w14:textId="77777777" w:rsidTr="00871D47">
        <w:trPr>
          <w:trHeight w:val="176"/>
        </w:trPr>
        <w:tc>
          <w:tcPr>
            <w:tcW w:w="1108" w:type="pct"/>
            <w:vMerge/>
            <w:shd w:val="clear" w:color="auto" w:fill="auto"/>
            <w:vAlign w:val="center"/>
          </w:tcPr>
          <w:p w14:paraId="65E50AA7" w14:textId="77777777" w:rsidR="00737EB2" w:rsidRPr="00765F6E" w:rsidRDefault="00737EB2" w:rsidP="00871D47">
            <w:pPr>
              <w:spacing w:line="240" w:lineRule="exact"/>
              <w:jc w:val="center"/>
              <w:textAlignment w:val="center"/>
              <w:rPr>
                <w:rFonts w:ascii="宋体" w:hAnsi="宋体"/>
                <w:sz w:val="18"/>
                <w:szCs w:val="18"/>
              </w:rPr>
            </w:pPr>
          </w:p>
        </w:tc>
        <w:tc>
          <w:tcPr>
            <w:tcW w:w="940" w:type="pct"/>
            <w:vMerge w:val="restart"/>
            <w:shd w:val="clear" w:color="auto" w:fill="auto"/>
            <w:vAlign w:val="center"/>
          </w:tcPr>
          <w:p w14:paraId="1ED6A26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其他可变</w:t>
            </w:r>
            <w:r w:rsidRPr="00765F6E">
              <w:rPr>
                <w:rFonts w:ascii="宋体" w:hAnsi="宋体"/>
                <w:sz w:val="18"/>
                <w:szCs w:val="18"/>
              </w:rPr>
              <w:t>荷载</w:t>
            </w:r>
          </w:p>
        </w:tc>
        <w:tc>
          <w:tcPr>
            <w:tcW w:w="2952" w:type="pct"/>
            <w:shd w:val="clear" w:color="auto" w:fill="auto"/>
            <w:vAlign w:val="center"/>
          </w:tcPr>
          <w:p w14:paraId="2B220FCF"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温度作用</w:t>
            </w:r>
          </w:p>
        </w:tc>
      </w:tr>
      <w:tr w:rsidR="00737EB2" w:rsidRPr="00765F6E" w14:paraId="2EE128BE" w14:textId="77777777" w:rsidTr="00871D47">
        <w:trPr>
          <w:trHeight w:val="176"/>
        </w:trPr>
        <w:tc>
          <w:tcPr>
            <w:tcW w:w="1108" w:type="pct"/>
            <w:vMerge/>
            <w:shd w:val="clear" w:color="auto" w:fill="auto"/>
            <w:vAlign w:val="center"/>
          </w:tcPr>
          <w:p w14:paraId="2C76CE85" w14:textId="77777777" w:rsidR="00737EB2" w:rsidRPr="00765F6E" w:rsidRDefault="00737EB2" w:rsidP="00871D47">
            <w:pPr>
              <w:spacing w:line="240" w:lineRule="exact"/>
              <w:jc w:val="center"/>
              <w:textAlignment w:val="center"/>
              <w:rPr>
                <w:rFonts w:ascii="宋体" w:hAnsi="宋体"/>
                <w:sz w:val="18"/>
                <w:szCs w:val="18"/>
              </w:rPr>
            </w:pPr>
          </w:p>
        </w:tc>
        <w:tc>
          <w:tcPr>
            <w:tcW w:w="940" w:type="pct"/>
            <w:vMerge/>
            <w:shd w:val="clear" w:color="auto" w:fill="auto"/>
            <w:vAlign w:val="center"/>
          </w:tcPr>
          <w:p w14:paraId="64DD8C05"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22519581"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冻胀力</w:t>
            </w:r>
          </w:p>
        </w:tc>
      </w:tr>
      <w:tr w:rsidR="00737EB2" w:rsidRPr="00765F6E" w14:paraId="472254C6" w14:textId="77777777" w:rsidTr="00871D47">
        <w:trPr>
          <w:trHeight w:val="176"/>
        </w:trPr>
        <w:tc>
          <w:tcPr>
            <w:tcW w:w="1108" w:type="pct"/>
            <w:vMerge/>
            <w:shd w:val="clear" w:color="auto" w:fill="auto"/>
            <w:vAlign w:val="center"/>
          </w:tcPr>
          <w:p w14:paraId="0EE4C151" w14:textId="77777777" w:rsidR="00737EB2" w:rsidRPr="00765F6E" w:rsidRDefault="00737EB2" w:rsidP="00871D47">
            <w:pPr>
              <w:spacing w:line="240" w:lineRule="exact"/>
              <w:jc w:val="center"/>
              <w:textAlignment w:val="center"/>
              <w:rPr>
                <w:rFonts w:ascii="宋体" w:hAnsi="宋体"/>
                <w:sz w:val="18"/>
                <w:szCs w:val="18"/>
              </w:rPr>
            </w:pPr>
          </w:p>
        </w:tc>
        <w:tc>
          <w:tcPr>
            <w:tcW w:w="940" w:type="pct"/>
            <w:vMerge/>
            <w:shd w:val="clear" w:color="auto" w:fill="auto"/>
            <w:vAlign w:val="center"/>
          </w:tcPr>
          <w:p w14:paraId="78D8EE0E"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353180A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施工</w:t>
            </w:r>
            <w:r w:rsidRPr="00765F6E">
              <w:rPr>
                <w:rFonts w:ascii="宋体" w:hAnsi="宋体"/>
                <w:sz w:val="18"/>
                <w:szCs w:val="18"/>
              </w:rPr>
              <w:t>荷载</w:t>
            </w:r>
          </w:p>
        </w:tc>
      </w:tr>
      <w:tr w:rsidR="00737EB2" w:rsidRPr="00765F6E" w14:paraId="702D0328" w14:textId="77777777" w:rsidTr="00871D47">
        <w:trPr>
          <w:trHeight w:val="176"/>
        </w:trPr>
        <w:tc>
          <w:tcPr>
            <w:tcW w:w="2048" w:type="pct"/>
            <w:gridSpan w:val="2"/>
            <w:vMerge w:val="restart"/>
            <w:shd w:val="clear" w:color="auto" w:fill="auto"/>
            <w:vAlign w:val="center"/>
          </w:tcPr>
          <w:p w14:paraId="0B1B074D"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偶然</w:t>
            </w:r>
            <w:r w:rsidRPr="00765F6E">
              <w:rPr>
                <w:rFonts w:ascii="宋体" w:hAnsi="宋体"/>
                <w:sz w:val="18"/>
                <w:szCs w:val="18"/>
              </w:rPr>
              <w:t>荷载</w:t>
            </w:r>
          </w:p>
        </w:tc>
        <w:tc>
          <w:tcPr>
            <w:tcW w:w="2952" w:type="pct"/>
            <w:shd w:val="clear" w:color="auto" w:fill="auto"/>
            <w:vAlign w:val="center"/>
          </w:tcPr>
          <w:p w14:paraId="26F3C082"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地震</w:t>
            </w:r>
            <w:r w:rsidRPr="00765F6E">
              <w:rPr>
                <w:rFonts w:ascii="宋体" w:hAnsi="宋体"/>
                <w:sz w:val="18"/>
                <w:szCs w:val="18"/>
              </w:rPr>
              <w:t>作用</w:t>
            </w:r>
          </w:p>
        </w:tc>
      </w:tr>
      <w:tr w:rsidR="00737EB2" w:rsidRPr="00765F6E" w14:paraId="544AEC57" w14:textId="77777777" w:rsidTr="00871D47">
        <w:trPr>
          <w:trHeight w:val="176"/>
        </w:trPr>
        <w:tc>
          <w:tcPr>
            <w:tcW w:w="2048" w:type="pct"/>
            <w:gridSpan w:val="2"/>
            <w:vMerge/>
            <w:shd w:val="clear" w:color="auto" w:fill="auto"/>
            <w:vAlign w:val="center"/>
          </w:tcPr>
          <w:p w14:paraId="09DEFDC3"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4AB9C86D"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断轨力、脱轨荷载</w:t>
            </w:r>
          </w:p>
        </w:tc>
      </w:tr>
      <w:tr w:rsidR="00737EB2" w:rsidRPr="00765F6E" w14:paraId="5D6E595C" w14:textId="77777777" w:rsidTr="00871D47">
        <w:trPr>
          <w:trHeight w:val="176"/>
        </w:trPr>
        <w:tc>
          <w:tcPr>
            <w:tcW w:w="2048" w:type="pct"/>
            <w:gridSpan w:val="2"/>
            <w:vMerge/>
            <w:shd w:val="clear" w:color="auto" w:fill="auto"/>
            <w:vAlign w:val="center"/>
          </w:tcPr>
          <w:p w14:paraId="5959B147"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60F2CB4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sz w:val="18"/>
                <w:szCs w:val="18"/>
              </w:rPr>
              <w:t>撞击力等灾害性荷载</w:t>
            </w:r>
          </w:p>
        </w:tc>
      </w:tr>
      <w:tr w:rsidR="00737EB2" w:rsidRPr="00765F6E" w14:paraId="08579D5A" w14:textId="77777777" w:rsidTr="00871D47">
        <w:trPr>
          <w:trHeight w:val="176"/>
        </w:trPr>
        <w:tc>
          <w:tcPr>
            <w:tcW w:w="5000" w:type="pct"/>
            <w:gridSpan w:val="3"/>
            <w:tcBorders>
              <w:top w:val="single" w:sz="8" w:space="0" w:color="auto"/>
              <w:bottom w:val="single" w:sz="8" w:space="0" w:color="auto"/>
            </w:tcBorders>
            <w:shd w:val="clear" w:color="auto" w:fill="auto"/>
            <w:vAlign w:val="center"/>
          </w:tcPr>
          <w:p w14:paraId="6D66F915" w14:textId="77777777" w:rsidR="00737EB2" w:rsidRPr="00765F6E" w:rsidRDefault="00737EB2" w:rsidP="00871D47">
            <w:pPr>
              <w:pStyle w:val="a6"/>
              <w:numPr>
                <w:ilvl w:val="0"/>
                <w:numId w:val="0"/>
              </w:numPr>
              <w:ind w:firstLineChars="100" w:firstLine="180"/>
              <w:jc w:val="left"/>
              <w:rPr>
                <w:lang w:bidi="ar"/>
              </w:rPr>
            </w:pPr>
            <w:r w:rsidRPr="00765F6E">
              <w:rPr>
                <w:lang w:bidi="ar"/>
              </w:rPr>
              <w:t>设计中要求考虑的其他荷载,可根据其性质分别列入上述三类荷载中。</w:t>
            </w:r>
          </w:p>
          <w:p w14:paraId="226E9297" w14:textId="77777777" w:rsidR="00737EB2" w:rsidRPr="00765F6E" w:rsidRDefault="00737EB2" w:rsidP="00871D47">
            <w:pPr>
              <w:pStyle w:val="a6"/>
              <w:numPr>
                <w:ilvl w:val="0"/>
                <w:numId w:val="0"/>
              </w:numPr>
              <w:ind w:firstLineChars="100" w:firstLine="180"/>
              <w:jc w:val="left"/>
              <w:rPr>
                <w:lang w:bidi="ar"/>
              </w:rPr>
            </w:pPr>
            <w:r w:rsidRPr="00765F6E">
              <w:rPr>
                <w:lang w:bidi="ar"/>
              </w:rPr>
              <w:t>表中所列荷载本节未加说明者,可按国家有关规范或根据实际情况确定。</w:t>
            </w:r>
          </w:p>
          <w:p w14:paraId="06FA7D5B" w14:textId="77777777" w:rsidR="00737EB2" w:rsidRPr="00765F6E" w:rsidRDefault="00737EB2" w:rsidP="00871D47">
            <w:pPr>
              <w:pStyle w:val="a6"/>
              <w:numPr>
                <w:ilvl w:val="0"/>
                <w:numId w:val="0"/>
              </w:numPr>
              <w:ind w:firstLineChars="100" w:firstLine="180"/>
              <w:jc w:val="left"/>
              <w:rPr>
                <w:lang w:bidi="ar"/>
              </w:rPr>
            </w:pPr>
            <w:r w:rsidRPr="00765F6E">
              <w:rPr>
                <w:lang w:bidi="ar"/>
              </w:rPr>
              <w:t>施工荷载包括:设备运输及吊装荷载、施工机具及人群荷载、施工堆载、相邻结构施工的影响等。</w:t>
            </w:r>
          </w:p>
          <w:p w14:paraId="52A7BF02" w14:textId="77777777" w:rsidR="00737EB2" w:rsidRPr="00765F6E" w:rsidRDefault="00737EB2" w:rsidP="00871D47">
            <w:pPr>
              <w:pStyle w:val="a6"/>
              <w:numPr>
                <w:ilvl w:val="0"/>
                <w:numId w:val="0"/>
              </w:numPr>
              <w:ind w:firstLineChars="100" w:firstLine="180"/>
              <w:jc w:val="left"/>
              <w:rPr>
                <w:lang w:bidi="ar"/>
              </w:rPr>
            </w:pPr>
            <w:r w:rsidRPr="00765F6E">
              <w:rPr>
                <w:lang w:bidi="ar"/>
              </w:rPr>
              <w:t>偶然荷载种类可根据车站形式或使用条件取用。</w:t>
            </w:r>
          </w:p>
        </w:tc>
      </w:tr>
    </w:tbl>
    <w:p w14:paraId="243C2F35" w14:textId="542F7E0E" w:rsidR="00737EB2" w:rsidRPr="00765F6E" w:rsidRDefault="00B731DB" w:rsidP="00737EB2">
      <w:pPr>
        <w:pStyle w:val="aff3"/>
        <w:spacing w:beforeLines="100" w:before="312" w:after="156"/>
      </w:pPr>
      <w:bookmarkStart w:id="1775" w:name="_Toc99792124"/>
      <w:r w:rsidRPr="00765F6E">
        <w:rPr>
          <w:rFonts w:hint="eastAsia"/>
        </w:rPr>
        <w:t>地下</w:t>
      </w:r>
      <w:r w:rsidR="00737EB2" w:rsidRPr="00765F6E">
        <w:rPr>
          <w:rFonts w:hint="eastAsia"/>
        </w:rPr>
        <w:t>车站荷载分类</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2068"/>
        <w:gridCol w:w="1755"/>
        <w:gridCol w:w="5511"/>
      </w:tblGrid>
      <w:tr w:rsidR="00737EB2" w:rsidRPr="00765F6E" w14:paraId="10A30E7F" w14:textId="77777777" w:rsidTr="00871D47">
        <w:trPr>
          <w:trHeight w:val="176"/>
        </w:trPr>
        <w:tc>
          <w:tcPr>
            <w:tcW w:w="2048" w:type="pct"/>
            <w:gridSpan w:val="2"/>
            <w:tcBorders>
              <w:top w:val="single" w:sz="8" w:space="0" w:color="auto"/>
              <w:bottom w:val="single" w:sz="8" w:space="0" w:color="auto"/>
            </w:tcBorders>
            <w:shd w:val="clear" w:color="auto" w:fill="auto"/>
            <w:vAlign w:val="center"/>
          </w:tcPr>
          <w:p w14:paraId="33EBCFDC"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荷载分类</w:t>
            </w:r>
          </w:p>
        </w:tc>
        <w:tc>
          <w:tcPr>
            <w:tcW w:w="2952" w:type="pct"/>
            <w:tcBorders>
              <w:top w:val="single" w:sz="8" w:space="0" w:color="auto"/>
              <w:bottom w:val="single" w:sz="8" w:space="0" w:color="auto"/>
            </w:tcBorders>
            <w:shd w:val="clear" w:color="auto" w:fill="auto"/>
            <w:vAlign w:val="center"/>
          </w:tcPr>
          <w:p w14:paraId="7891E8F6"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荷载</w:t>
            </w:r>
            <w:r w:rsidRPr="00765F6E">
              <w:rPr>
                <w:rFonts w:ascii="宋体" w:hAnsi="宋体"/>
                <w:sz w:val="18"/>
                <w:szCs w:val="18"/>
              </w:rPr>
              <w:t>名称</w:t>
            </w:r>
          </w:p>
        </w:tc>
      </w:tr>
      <w:tr w:rsidR="00737EB2" w:rsidRPr="00765F6E" w14:paraId="6482F2E3" w14:textId="77777777" w:rsidTr="00871D47">
        <w:trPr>
          <w:trHeight w:val="176"/>
        </w:trPr>
        <w:tc>
          <w:tcPr>
            <w:tcW w:w="2048" w:type="pct"/>
            <w:gridSpan w:val="2"/>
            <w:vMerge w:val="restart"/>
            <w:tcBorders>
              <w:top w:val="single" w:sz="8" w:space="0" w:color="auto"/>
            </w:tcBorders>
            <w:shd w:val="clear" w:color="auto" w:fill="auto"/>
            <w:vAlign w:val="center"/>
          </w:tcPr>
          <w:p w14:paraId="5A6FCB9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永久</w:t>
            </w:r>
            <w:r w:rsidRPr="00765F6E">
              <w:rPr>
                <w:rFonts w:ascii="宋体" w:hAnsi="宋体"/>
                <w:sz w:val="18"/>
                <w:szCs w:val="18"/>
              </w:rPr>
              <w:t>荷载</w:t>
            </w:r>
          </w:p>
        </w:tc>
        <w:tc>
          <w:tcPr>
            <w:tcW w:w="2952" w:type="pct"/>
            <w:tcBorders>
              <w:top w:val="single" w:sz="8" w:space="0" w:color="auto"/>
            </w:tcBorders>
            <w:shd w:val="clear" w:color="auto" w:fill="auto"/>
            <w:vAlign w:val="center"/>
          </w:tcPr>
          <w:p w14:paraId="0DE3500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结构</w:t>
            </w:r>
            <w:r w:rsidRPr="00765F6E">
              <w:rPr>
                <w:rFonts w:ascii="宋体" w:hAnsi="宋体"/>
                <w:sz w:val="18"/>
                <w:szCs w:val="18"/>
              </w:rPr>
              <w:t>自重</w:t>
            </w:r>
          </w:p>
        </w:tc>
      </w:tr>
      <w:tr w:rsidR="00737EB2" w:rsidRPr="00765F6E" w14:paraId="6A9166D6" w14:textId="77777777" w:rsidTr="00871D47">
        <w:trPr>
          <w:trHeight w:val="176"/>
        </w:trPr>
        <w:tc>
          <w:tcPr>
            <w:tcW w:w="2048" w:type="pct"/>
            <w:gridSpan w:val="2"/>
            <w:vMerge/>
            <w:shd w:val="clear" w:color="auto" w:fill="auto"/>
            <w:vAlign w:val="center"/>
          </w:tcPr>
          <w:p w14:paraId="0EACEB73" w14:textId="77777777" w:rsidR="00737EB2" w:rsidRPr="00765F6E" w:rsidRDefault="00737EB2" w:rsidP="00871D47">
            <w:pPr>
              <w:spacing w:line="240" w:lineRule="exact"/>
              <w:jc w:val="center"/>
              <w:textAlignment w:val="center"/>
              <w:rPr>
                <w:rFonts w:ascii="宋体" w:hAnsi="宋体"/>
                <w:sz w:val="18"/>
                <w:szCs w:val="18"/>
              </w:rPr>
            </w:pPr>
          </w:p>
        </w:tc>
        <w:tc>
          <w:tcPr>
            <w:tcW w:w="2952" w:type="pct"/>
            <w:tcBorders>
              <w:top w:val="single" w:sz="8" w:space="0" w:color="auto"/>
            </w:tcBorders>
            <w:shd w:val="clear" w:color="auto" w:fill="auto"/>
            <w:vAlign w:val="center"/>
          </w:tcPr>
          <w:p w14:paraId="1AD14D5B"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地层压力</w:t>
            </w:r>
          </w:p>
        </w:tc>
      </w:tr>
      <w:tr w:rsidR="00737EB2" w:rsidRPr="00765F6E" w14:paraId="6CC74055" w14:textId="77777777" w:rsidTr="00871D47">
        <w:trPr>
          <w:trHeight w:val="176"/>
        </w:trPr>
        <w:tc>
          <w:tcPr>
            <w:tcW w:w="2048" w:type="pct"/>
            <w:gridSpan w:val="2"/>
            <w:vMerge/>
            <w:shd w:val="clear" w:color="auto" w:fill="auto"/>
            <w:vAlign w:val="center"/>
          </w:tcPr>
          <w:p w14:paraId="67230438"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4565C870"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结构上部和破坏棱体范围的设施及建筑物压力</w:t>
            </w:r>
          </w:p>
        </w:tc>
      </w:tr>
      <w:tr w:rsidR="00737EB2" w:rsidRPr="00765F6E" w14:paraId="290B4C67" w14:textId="77777777" w:rsidTr="00871D47">
        <w:trPr>
          <w:trHeight w:val="176"/>
        </w:trPr>
        <w:tc>
          <w:tcPr>
            <w:tcW w:w="2048" w:type="pct"/>
            <w:gridSpan w:val="2"/>
            <w:vMerge/>
            <w:shd w:val="clear" w:color="auto" w:fill="auto"/>
            <w:vAlign w:val="center"/>
          </w:tcPr>
          <w:p w14:paraId="32FC004E"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08A47AE5"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水压力和浮力</w:t>
            </w:r>
          </w:p>
        </w:tc>
      </w:tr>
      <w:tr w:rsidR="00737EB2" w:rsidRPr="00765F6E" w14:paraId="2E35992A" w14:textId="77777777" w:rsidTr="00871D47">
        <w:trPr>
          <w:trHeight w:val="176"/>
        </w:trPr>
        <w:tc>
          <w:tcPr>
            <w:tcW w:w="2048" w:type="pct"/>
            <w:gridSpan w:val="2"/>
            <w:vMerge/>
            <w:shd w:val="clear" w:color="auto" w:fill="auto"/>
            <w:vAlign w:val="center"/>
          </w:tcPr>
          <w:p w14:paraId="317EE183"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6B9E2D1D"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混凝土收缩及徐变影响</w:t>
            </w:r>
          </w:p>
        </w:tc>
      </w:tr>
      <w:tr w:rsidR="00737EB2" w:rsidRPr="00765F6E" w14:paraId="3F5C03AD" w14:textId="77777777" w:rsidTr="00871D47">
        <w:trPr>
          <w:trHeight w:val="176"/>
        </w:trPr>
        <w:tc>
          <w:tcPr>
            <w:tcW w:w="2048" w:type="pct"/>
            <w:gridSpan w:val="2"/>
            <w:vMerge/>
            <w:shd w:val="clear" w:color="auto" w:fill="auto"/>
            <w:vAlign w:val="center"/>
          </w:tcPr>
          <w:p w14:paraId="59419BD3"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4503D700"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预加应力</w:t>
            </w:r>
          </w:p>
        </w:tc>
      </w:tr>
      <w:tr w:rsidR="00737EB2" w:rsidRPr="00765F6E" w14:paraId="587C03F2" w14:textId="77777777" w:rsidTr="00871D47">
        <w:trPr>
          <w:trHeight w:val="176"/>
        </w:trPr>
        <w:tc>
          <w:tcPr>
            <w:tcW w:w="2048" w:type="pct"/>
            <w:gridSpan w:val="2"/>
            <w:vMerge/>
            <w:shd w:val="clear" w:color="auto" w:fill="auto"/>
            <w:vAlign w:val="center"/>
          </w:tcPr>
          <w:p w14:paraId="4805D42C"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22A96B0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设备重量</w:t>
            </w:r>
          </w:p>
        </w:tc>
      </w:tr>
      <w:tr w:rsidR="00737EB2" w:rsidRPr="00765F6E" w14:paraId="4C7C3FD3" w14:textId="77777777" w:rsidTr="00871D47">
        <w:trPr>
          <w:trHeight w:val="176"/>
        </w:trPr>
        <w:tc>
          <w:tcPr>
            <w:tcW w:w="2048" w:type="pct"/>
            <w:gridSpan w:val="2"/>
            <w:vMerge/>
            <w:shd w:val="clear" w:color="auto" w:fill="auto"/>
            <w:vAlign w:val="center"/>
          </w:tcPr>
          <w:p w14:paraId="28B0464A"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0D854387"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地基下沉影响</w:t>
            </w:r>
          </w:p>
        </w:tc>
      </w:tr>
      <w:tr w:rsidR="00737EB2" w:rsidRPr="00765F6E" w14:paraId="0521A33D" w14:textId="77777777" w:rsidTr="00871D47">
        <w:trPr>
          <w:trHeight w:val="176"/>
        </w:trPr>
        <w:tc>
          <w:tcPr>
            <w:tcW w:w="1108" w:type="pct"/>
            <w:vMerge w:val="restart"/>
            <w:shd w:val="clear" w:color="auto" w:fill="auto"/>
            <w:vAlign w:val="center"/>
          </w:tcPr>
          <w:p w14:paraId="55A95AD1"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可变荷载</w:t>
            </w:r>
          </w:p>
        </w:tc>
        <w:tc>
          <w:tcPr>
            <w:tcW w:w="940" w:type="pct"/>
            <w:vMerge w:val="restart"/>
            <w:shd w:val="clear" w:color="auto" w:fill="auto"/>
            <w:vAlign w:val="center"/>
          </w:tcPr>
          <w:p w14:paraId="5D0DE39C"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基本</w:t>
            </w:r>
            <w:r w:rsidRPr="00765F6E">
              <w:rPr>
                <w:rFonts w:ascii="宋体" w:hAnsi="宋体"/>
                <w:sz w:val="18"/>
                <w:szCs w:val="18"/>
              </w:rPr>
              <w:t>可变荷载</w:t>
            </w:r>
          </w:p>
        </w:tc>
        <w:tc>
          <w:tcPr>
            <w:tcW w:w="2952" w:type="pct"/>
            <w:shd w:val="clear" w:color="auto" w:fill="auto"/>
            <w:vAlign w:val="center"/>
          </w:tcPr>
          <w:p w14:paraId="78E1AFC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地面车辆荷载及其动力作用</w:t>
            </w:r>
          </w:p>
        </w:tc>
      </w:tr>
      <w:tr w:rsidR="00737EB2" w:rsidRPr="00765F6E" w14:paraId="70D58C60" w14:textId="77777777" w:rsidTr="00871D47">
        <w:trPr>
          <w:trHeight w:val="176"/>
        </w:trPr>
        <w:tc>
          <w:tcPr>
            <w:tcW w:w="1108" w:type="pct"/>
            <w:vMerge/>
            <w:shd w:val="clear" w:color="auto" w:fill="auto"/>
            <w:vAlign w:val="center"/>
          </w:tcPr>
          <w:p w14:paraId="76802051" w14:textId="77777777" w:rsidR="00737EB2" w:rsidRPr="00765F6E" w:rsidRDefault="00737EB2" w:rsidP="00871D47">
            <w:pPr>
              <w:spacing w:line="240" w:lineRule="exact"/>
              <w:jc w:val="center"/>
              <w:textAlignment w:val="center"/>
              <w:rPr>
                <w:rFonts w:ascii="宋体" w:hAnsi="宋体"/>
                <w:sz w:val="18"/>
                <w:szCs w:val="18"/>
              </w:rPr>
            </w:pPr>
          </w:p>
        </w:tc>
        <w:tc>
          <w:tcPr>
            <w:tcW w:w="940" w:type="pct"/>
            <w:vMerge/>
            <w:shd w:val="clear" w:color="auto" w:fill="auto"/>
            <w:vAlign w:val="center"/>
          </w:tcPr>
          <w:p w14:paraId="2C64B65E"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2EB5003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地面车辆荷载引起的侧向土压力</w:t>
            </w:r>
          </w:p>
        </w:tc>
      </w:tr>
      <w:tr w:rsidR="00737EB2" w:rsidRPr="00765F6E" w14:paraId="34FC0755" w14:textId="77777777" w:rsidTr="00871D47">
        <w:trPr>
          <w:trHeight w:val="176"/>
        </w:trPr>
        <w:tc>
          <w:tcPr>
            <w:tcW w:w="1108" w:type="pct"/>
            <w:vMerge/>
            <w:shd w:val="clear" w:color="auto" w:fill="auto"/>
            <w:vAlign w:val="center"/>
          </w:tcPr>
          <w:p w14:paraId="4B7735A3" w14:textId="77777777" w:rsidR="00737EB2" w:rsidRPr="00765F6E" w:rsidRDefault="00737EB2" w:rsidP="00871D47">
            <w:pPr>
              <w:spacing w:line="240" w:lineRule="exact"/>
              <w:jc w:val="center"/>
              <w:textAlignment w:val="center"/>
              <w:rPr>
                <w:rFonts w:ascii="宋体" w:hAnsi="宋体"/>
                <w:sz w:val="18"/>
                <w:szCs w:val="18"/>
              </w:rPr>
            </w:pPr>
          </w:p>
        </w:tc>
        <w:tc>
          <w:tcPr>
            <w:tcW w:w="940" w:type="pct"/>
            <w:vMerge/>
            <w:shd w:val="clear" w:color="auto" w:fill="auto"/>
            <w:vAlign w:val="center"/>
          </w:tcPr>
          <w:p w14:paraId="3751844F"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4D4D993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列车荷载及其动力作用</w:t>
            </w:r>
          </w:p>
        </w:tc>
      </w:tr>
      <w:tr w:rsidR="00737EB2" w:rsidRPr="00765F6E" w14:paraId="1E8D29E4" w14:textId="77777777" w:rsidTr="00871D47">
        <w:trPr>
          <w:trHeight w:val="176"/>
        </w:trPr>
        <w:tc>
          <w:tcPr>
            <w:tcW w:w="1108" w:type="pct"/>
            <w:vMerge/>
            <w:shd w:val="clear" w:color="auto" w:fill="auto"/>
            <w:vAlign w:val="center"/>
          </w:tcPr>
          <w:p w14:paraId="43B229BC" w14:textId="77777777" w:rsidR="00737EB2" w:rsidRPr="00765F6E" w:rsidRDefault="00737EB2" w:rsidP="00871D47">
            <w:pPr>
              <w:spacing w:line="240" w:lineRule="exact"/>
              <w:jc w:val="center"/>
              <w:textAlignment w:val="center"/>
              <w:rPr>
                <w:rFonts w:ascii="宋体" w:hAnsi="宋体"/>
                <w:sz w:val="18"/>
                <w:szCs w:val="18"/>
              </w:rPr>
            </w:pPr>
          </w:p>
        </w:tc>
        <w:tc>
          <w:tcPr>
            <w:tcW w:w="940" w:type="pct"/>
            <w:vMerge/>
            <w:shd w:val="clear" w:color="auto" w:fill="auto"/>
            <w:vAlign w:val="center"/>
          </w:tcPr>
          <w:p w14:paraId="24F7F3AE"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574C20A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轨行区气压波荷载</w:t>
            </w:r>
          </w:p>
        </w:tc>
      </w:tr>
      <w:tr w:rsidR="00737EB2" w:rsidRPr="00765F6E" w14:paraId="13820046" w14:textId="77777777" w:rsidTr="00871D47">
        <w:trPr>
          <w:trHeight w:val="176"/>
        </w:trPr>
        <w:tc>
          <w:tcPr>
            <w:tcW w:w="1108" w:type="pct"/>
            <w:vMerge/>
            <w:shd w:val="clear" w:color="auto" w:fill="auto"/>
            <w:vAlign w:val="center"/>
          </w:tcPr>
          <w:p w14:paraId="288CE267" w14:textId="77777777" w:rsidR="00737EB2" w:rsidRPr="00765F6E" w:rsidRDefault="00737EB2" w:rsidP="00871D47">
            <w:pPr>
              <w:spacing w:line="240" w:lineRule="exact"/>
              <w:jc w:val="center"/>
              <w:textAlignment w:val="center"/>
              <w:rPr>
                <w:rFonts w:ascii="宋体" w:hAnsi="宋体"/>
                <w:sz w:val="18"/>
                <w:szCs w:val="18"/>
              </w:rPr>
            </w:pPr>
          </w:p>
        </w:tc>
        <w:tc>
          <w:tcPr>
            <w:tcW w:w="940" w:type="pct"/>
            <w:vMerge/>
            <w:shd w:val="clear" w:color="auto" w:fill="auto"/>
            <w:vAlign w:val="center"/>
          </w:tcPr>
          <w:p w14:paraId="3FD64356"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19E223B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人群荷载</w:t>
            </w:r>
          </w:p>
        </w:tc>
      </w:tr>
      <w:tr w:rsidR="00737EB2" w:rsidRPr="00765F6E" w14:paraId="712D77C3" w14:textId="77777777" w:rsidTr="00871D47">
        <w:trPr>
          <w:trHeight w:val="176"/>
        </w:trPr>
        <w:tc>
          <w:tcPr>
            <w:tcW w:w="1108" w:type="pct"/>
            <w:vMerge/>
            <w:shd w:val="clear" w:color="auto" w:fill="auto"/>
            <w:vAlign w:val="center"/>
          </w:tcPr>
          <w:p w14:paraId="7D514582" w14:textId="77777777" w:rsidR="00737EB2" w:rsidRPr="00765F6E" w:rsidRDefault="00737EB2" w:rsidP="00871D47">
            <w:pPr>
              <w:jc w:val="center"/>
              <w:rPr>
                <w:rFonts w:hAnsi="宋体"/>
              </w:rPr>
            </w:pPr>
          </w:p>
        </w:tc>
        <w:tc>
          <w:tcPr>
            <w:tcW w:w="940" w:type="pct"/>
            <w:vMerge w:val="restart"/>
            <w:shd w:val="clear" w:color="auto" w:fill="auto"/>
            <w:vAlign w:val="center"/>
          </w:tcPr>
          <w:p w14:paraId="31E4826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其他可变</w:t>
            </w:r>
            <w:r w:rsidRPr="00765F6E">
              <w:rPr>
                <w:rFonts w:ascii="宋体" w:hAnsi="宋体"/>
                <w:sz w:val="18"/>
                <w:szCs w:val="18"/>
              </w:rPr>
              <w:t>荷载</w:t>
            </w:r>
          </w:p>
        </w:tc>
        <w:tc>
          <w:tcPr>
            <w:tcW w:w="2952" w:type="pct"/>
            <w:shd w:val="clear" w:color="auto" w:fill="auto"/>
            <w:vAlign w:val="center"/>
          </w:tcPr>
          <w:p w14:paraId="266AFB0A"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温度作用</w:t>
            </w:r>
          </w:p>
        </w:tc>
      </w:tr>
      <w:tr w:rsidR="00737EB2" w:rsidRPr="00765F6E" w14:paraId="24371709" w14:textId="77777777" w:rsidTr="00871D47">
        <w:trPr>
          <w:trHeight w:val="176"/>
        </w:trPr>
        <w:tc>
          <w:tcPr>
            <w:tcW w:w="1108" w:type="pct"/>
            <w:vMerge/>
            <w:shd w:val="clear" w:color="auto" w:fill="auto"/>
            <w:vAlign w:val="center"/>
          </w:tcPr>
          <w:p w14:paraId="78585877" w14:textId="77777777" w:rsidR="00737EB2" w:rsidRPr="00765F6E" w:rsidRDefault="00737EB2" w:rsidP="00871D47">
            <w:pPr>
              <w:jc w:val="center"/>
              <w:rPr>
                <w:rFonts w:hAnsi="宋体"/>
              </w:rPr>
            </w:pPr>
          </w:p>
        </w:tc>
        <w:tc>
          <w:tcPr>
            <w:tcW w:w="940" w:type="pct"/>
            <w:vMerge/>
            <w:shd w:val="clear" w:color="auto" w:fill="auto"/>
            <w:vAlign w:val="center"/>
          </w:tcPr>
          <w:p w14:paraId="7046CB55"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66F370B1"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施工</w:t>
            </w:r>
            <w:r w:rsidRPr="00765F6E">
              <w:rPr>
                <w:rFonts w:ascii="宋体" w:hAnsi="宋体"/>
                <w:sz w:val="18"/>
                <w:szCs w:val="18"/>
              </w:rPr>
              <w:t>荷载</w:t>
            </w:r>
          </w:p>
        </w:tc>
      </w:tr>
      <w:tr w:rsidR="00737EB2" w:rsidRPr="00765F6E" w14:paraId="3CF57F09" w14:textId="77777777" w:rsidTr="00871D47">
        <w:trPr>
          <w:trHeight w:val="176"/>
        </w:trPr>
        <w:tc>
          <w:tcPr>
            <w:tcW w:w="2048" w:type="pct"/>
            <w:gridSpan w:val="2"/>
            <w:vMerge w:val="restart"/>
            <w:shd w:val="clear" w:color="auto" w:fill="auto"/>
            <w:vAlign w:val="center"/>
          </w:tcPr>
          <w:p w14:paraId="707B7AD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偶然</w:t>
            </w:r>
            <w:r w:rsidRPr="00765F6E">
              <w:rPr>
                <w:rFonts w:ascii="宋体" w:hAnsi="宋体"/>
                <w:sz w:val="18"/>
                <w:szCs w:val="18"/>
              </w:rPr>
              <w:t>荷载</w:t>
            </w:r>
          </w:p>
        </w:tc>
        <w:tc>
          <w:tcPr>
            <w:tcW w:w="2952" w:type="pct"/>
            <w:shd w:val="clear" w:color="auto" w:fill="auto"/>
            <w:vAlign w:val="center"/>
          </w:tcPr>
          <w:p w14:paraId="4C24DB1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地震</w:t>
            </w:r>
            <w:r w:rsidRPr="00765F6E">
              <w:rPr>
                <w:rFonts w:ascii="宋体" w:hAnsi="宋体"/>
                <w:sz w:val="18"/>
                <w:szCs w:val="18"/>
              </w:rPr>
              <w:t>作用</w:t>
            </w:r>
          </w:p>
        </w:tc>
      </w:tr>
      <w:tr w:rsidR="00737EB2" w:rsidRPr="00765F6E" w14:paraId="43C63A2D" w14:textId="77777777" w:rsidTr="00871D47">
        <w:trPr>
          <w:trHeight w:val="176"/>
        </w:trPr>
        <w:tc>
          <w:tcPr>
            <w:tcW w:w="2048" w:type="pct"/>
            <w:gridSpan w:val="2"/>
            <w:vMerge/>
            <w:shd w:val="clear" w:color="auto" w:fill="auto"/>
            <w:vAlign w:val="center"/>
          </w:tcPr>
          <w:p w14:paraId="31173DE8"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63AECB9D"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人防荷载</w:t>
            </w:r>
          </w:p>
        </w:tc>
      </w:tr>
      <w:tr w:rsidR="00737EB2" w:rsidRPr="00765F6E" w14:paraId="3D34D226" w14:textId="77777777" w:rsidTr="00871D47">
        <w:trPr>
          <w:trHeight w:val="176"/>
        </w:trPr>
        <w:tc>
          <w:tcPr>
            <w:tcW w:w="2048" w:type="pct"/>
            <w:gridSpan w:val="2"/>
            <w:vMerge/>
            <w:shd w:val="clear" w:color="auto" w:fill="auto"/>
            <w:vAlign w:val="center"/>
          </w:tcPr>
          <w:p w14:paraId="26B298A8" w14:textId="77777777" w:rsidR="00737EB2" w:rsidRPr="00765F6E" w:rsidRDefault="00737EB2" w:rsidP="00871D47">
            <w:pPr>
              <w:spacing w:line="240" w:lineRule="exact"/>
              <w:jc w:val="center"/>
              <w:textAlignment w:val="center"/>
              <w:rPr>
                <w:rFonts w:ascii="宋体" w:hAnsi="宋体"/>
                <w:sz w:val="18"/>
                <w:szCs w:val="18"/>
              </w:rPr>
            </w:pPr>
          </w:p>
        </w:tc>
        <w:tc>
          <w:tcPr>
            <w:tcW w:w="2952" w:type="pct"/>
            <w:shd w:val="clear" w:color="auto" w:fill="auto"/>
            <w:vAlign w:val="center"/>
          </w:tcPr>
          <w:p w14:paraId="2C972360"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sz w:val="18"/>
                <w:szCs w:val="18"/>
              </w:rPr>
              <w:t>撞击力等灾害性荷载</w:t>
            </w:r>
          </w:p>
        </w:tc>
      </w:tr>
      <w:tr w:rsidR="00737EB2" w:rsidRPr="00765F6E" w14:paraId="478502CA" w14:textId="77777777" w:rsidTr="00871D47">
        <w:trPr>
          <w:trHeight w:val="176"/>
        </w:trPr>
        <w:tc>
          <w:tcPr>
            <w:tcW w:w="5000" w:type="pct"/>
            <w:gridSpan w:val="3"/>
            <w:tcBorders>
              <w:top w:val="single" w:sz="8" w:space="0" w:color="auto"/>
              <w:bottom w:val="single" w:sz="8" w:space="0" w:color="auto"/>
            </w:tcBorders>
            <w:shd w:val="clear" w:color="auto" w:fill="auto"/>
            <w:vAlign w:val="center"/>
          </w:tcPr>
          <w:p w14:paraId="2E6EBF17" w14:textId="77777777" w:rsidR="00737EB2" w:rsidRPr="00765F6E" w:rsidRDefault="00737EB2" w:rsidP="00871D47">
            <w:pPr>
              <w:pStyle w:val="a6"/>
              <w:numPr>
                <w:ilvl w:val="0"/>
                <w:numId w:val="0"/>
              </w:numPr>
              <w:ind w:firstLineChars="100" w:firstLine="180"/>
              <w:jc w:val="left"/>
              <w:rPr>
                <w:lang w:bidi="ar"/>
              </w:rPr>
            </w:pPr>
            <w:r w:rsidRPr="00765F6E">
              <w:rPr>
                <w:lang w:bidi="ar"/>
              </w:rPr>
              <w:t>设计中要求考虑的其他荷载,可根据其性质分别列入上述三类荷载中。</w:t>
            </w:r>
          </w:p>
          <w:p w14:paraId="69A5B38A" w14:textId="77777777" w:rsidR="00737EB2" w:rsidRPr="00765F6E" w:rsidRDefault="00737EB2" w:rsidP="00871D47">
            <w:pPr>
              <w:pStyle w:val="a6"/>
              <w:numPr>
                <w:ilvl w:val="0"/>
                <w:numId w:val="0"/>
              </w:numPr>
              <w:ind w:firstLineChars="100" w:firstLine="180"/>
              <w:jc w:val="left"/>
              <w:rPr>
                <w:lang w:bidi="ar"/>
              </w:rPr>
            </w:pPr>
            <w:r w:rsidRPr="00765F6E">
              <w:rPr>
                <w:lang w:bidi="ar"/>
              </w:rPr>
              <w:t>表中所列荷载本节未加说明者,可按国家有关规范或根据实际情况确定。</w:t>
            </w:r>
          </w:p>
          <w:p w14:paraId="14E59B57" w14:textId="77777777" w:rsidR="00737EB2" w:rsidRPr="00765F6E" w:rsidRDefault="00737EB2" w:rsidP="00871D47">
            <w:pPr>
              <w:pStyle w:val="a6"/>
              <w:numPr>
                <w:ilvl w:val="0"/>
                <w:numId w:val="0"/>
              </w:numPr>
              <w:ind w:firstLineChars="100" w:firstLine="180"/>
              <w:jc w:val="left"/>
              <w:rPr>
                <w:lang w:bidi="ar"/>
              </w:rPr>
            </w:pPr>
            <w:r w:rsidRPr="00765F6E">
              <w:rPr>
                <w:lang w:bidi="ar"/>
              </w:rPr>
              <w:t>施工荷载包括:设备运输及吊装荷载、施工机具及人群荷载、施工堆载、相邻隧道施工的影响、盾构法及顶管发的千斤顶顶力及压浆荷载等。</w:t>
            </w:r>
          </w:p>
        </w:tc>
      </w:tr>
    </w:tbl>
    <w:p w14:paraId="54C8E356" w14:textId="77777777" w:rsidR="00737EB2" w:rsidRPr="00CD3267" w:rsidRDefault="00737EB2" w:rsidP="00CD3267"/>
    <w:p w14:paraId="39C63FEC" w14:textId="77777777" w:rsidR="00737EB2" w:rsidRPr="00765F6E" w:rsidRDefault="00737EB2" w:rsidP="009D0776">
      <w:pPr>
        <w:pStyle w:val="22"/>
      </w:pPr>
      <w:r w:rsidRPr="00765F6E">
        <w:rPr>
          <w:rFonts w:hint="eastAsia"/>
        </w:rPr>
        <w:t>车站结构应按永久荷载可变荷载和偶然荷载对结构整体或局部作用可能出现的最不利组合进行设计；高架及地面车站结构直接承受列车荷载的结构设计</w:t>
      </w:r>
      <w:r w:rsidRPr="004F522E">
        <w:rPr>
          <w:rFonts w:hint="eastAsia"/>
        </w:rPr>
        <w:t>应符合第1</w:t>
      </w:r>
      <w:r w:rsidRPr="004F522E">
        <w:t>4</w:t>
      </w:r>
      <w:r w:rsidRPr="004F522E">
        <w:rPr>
          <w:rFonts w:hint="eastAsia"/>
        </w:rPr>
        <w:t>章</w:t>
      </w:r>
      <w:r w:rsidRPr="00765F6E">
        <w:rPr>
          <w:rFonts w:hint="eastAsia"/>
        </w:rPr>
        <w:t>的有关规定。</w:t>
      </w:r>
    </w:p>
    <w:p w14:paraId="058F06DF" w14:textId="77777777" w:rsidR="00737EB2" w:rsidRPr="00765F6E" w:rsidRDefault="00737EB2" w:rsidP="009D0776">
      <w:pPr>
        <w:pStyle w:val="22"/>
      </w:pPr>
      <w:r w:rsidRPr="00765F6E">
        <w:rPr>
          <w:rFonts w:hint="eastAsia"/>
        </w:rPr>
        <w:t>地层压力荷载取值符合下列规定：</w:t>
      </w:r>
    </w:p>
    <w:p w14:paraId="5B074D16" w14:textId="77777777" w:rsidR="00737EB2" w:rsidRPr="00765F6E" w:rsidRDefault="00737EB2" w:rsidP="003334F3">
      <w:pPr>
        <w:pStyle w:val="af6"/>
        <w:numPr>
          <w:ilvl w:val="0"/>
          <w:numId w:val="136"/>
        </w:numPr>
        <w:tabs>
          <w:tab w:val="left" w:pos="851"/>
        </w:tabs>
        <w:snapToGrid w:val="0"/>
        <w:contextualSpacing/>
      </w:pPr>
      <w:r w:rsidRPr="00765F6E">
        <w:rPr>
          <w:rFonts w:hint="eastAsia"/>
        </w:rPr>
        <w:t>竖向压力应按计算截面以上全部土柱重量计算；</w:t>
      </w:r>
    </w:p>
    <w:p w14:paraId="4225280C" w14:textId="77777777" w:rsidR="00737EB2" w:rsidRPr="00765F6E" w:rsidRDefault="00737EB2" w:rsidP="003334F3">
      <w:pPr>
        <w:pStyle w:val="af6"/>
        <w:tabs>
          <w:tab w:val="left" w:pos="851"/>
        </w:tabs>
        <w:snapToGrid w:val="0"/>
        <w:contextualSpacing/>
      </w:pPr>
      <w:r w:rsidRPr="00765F6E">
        <w:rPr>
          <w:rFonts w:hint="eastAsia"/>
        </w:rPr>
        <w:lastRenderedPageBreak/>
        <w:t>水平压力可按朗金公式计算，土的粘聚力标准值、内摩擦角标准值可取直剪固结快剪峰值强度指标的平均值；水压力考虑施工阶段和使用阶段可能发生的最不利水位的静水压力计算；施工阶段，对于黏性土地层可用水土合算，对于砂性土可用水土分算，使用阶段均按水土分算。计算中还应计及地面荷载（视地面车辆荷载和周围建筑物基础的实际情况取值）以及施工机械等引起的附加水平侧压力。</w:t>
      </w:r>
    </w:p>
    <w:p w14:paraId="267E3325" w14:textId="77777777" w:rsidR="00737EB2" w:rsidRPr="00765F6E" w:rsidRDefault="00737EB2" w:rsidP="009D0776">
      <w:pPr>
        <w:pStyle w:val="22"/>
      </w:pPr>
      <w:bookmarkStart w:id="1776" w:name="_Toc99792126"/>
      <w:r w:rsidRPr="00765F6E">
        <w:rPr>
          <w:rFonts w:hint="eastAsia"/>
        </w:rPr>
        <w:t>混凝土收缩及徐变影响可采用假定降低温度的方法计算。</w:t>
      </w:r>
      <w:bookmarkEnd w:id="1776"/>
    </w:p>
    <w:p w14:paraId="527CE3AA" w14:textId="77777777" w:rsidR="00737EB2" w:rsidRPr="00765F6E" w:rsidRDefault="00737EB2" w:rsidP="009D0776">
      <w:pPr>
        <w:pStyle w:val="22"/>
      </w:pPr>
      <w:bookmarkStart w:id="1777" w:name="_Toc99792125"/>
      <w:r w:rsidRPr="00765F6E">
        <w:rPr>
          <w:rFonts w:hint="eastAsia"/>
        </w:rPr>
        <w:t>结构上部和破坏棱体范围的设施及建筑物压力、地面车辆荷载等应根据荷载作用部位及产生荷载的作用特征，按施工及使用两个阶段计算。</w:t>
      </w:r>
      <w:bookmarkEnd w:id="1777"/>
    </w:p>
    <w:p w14:paraId="1C36C6B4" w14:textId="77777777" w:rsidR="00737EB2" w:rsidRPr="00765F6E" w:rsidRDefault="00737EB2" w:rsidP="009D0776">
      <w:pPr>
        <w:pStyle w:val="22"/>
      </w:pPr>
      <w:bookmarkStart w:id="1778" w:name="_Toc99792127"/>
      <w:r w:rsidRPr="00765F6E">
        <w:rPr>
          <w:rFonts w:hint="eastAsia"/>
        </w:rPr>
        <w:t>设备区的计算荷载应根据设备安装、检修和正常使用的实际情况（包括动力效应）确定，可按标准值8.0kPa进行设计，重型设备尚应依据设备的实际重量、动力影响、安装运输途径等确定其荷载大小与范围。</w:t>
      </w:r>
      <w:bookmarkEnd w:id="1778"/>
    </w:p>
    <w:p w14:paraId="7C71A7FA" w14:textId="77777777" w:rsidR="00737EB2" w:rsidRPr="00765F6E" w:rsidRDefault="00737EB2" w:rsidP="009D0776">
      <w:pPr>
        <w:pStyle w:val="22"/>
      </w:pPr>
      <w:bookmarkStart w:id="1779" w:name="_Toc99792128"/>
      <w:r w:rsidRPr="00765F6E">
        <w:rPr>
          <w:rFonts w:hint="eastAsia"/>
        </w:rPr>
        <w:t>在道路下方的车站，应按</w:t>
      </w:r>
      <w:r w:rsidRPr="00765F6E">
        <w:t>JTG D60</w:t>
      </w:r>
      <w:r w:rsidRPr="00765F6E">
        <w:rPr>
          <w:rFonts w:hint="eastAsia"/>
        </w:rPr>
        <w:t>的有关规定确定地面车辆荷载及排列；铁路下方车站的荷载，应按TB 10002的有关规定执行。</w:t>
      </w:r>
      <w:bookmarkEnd w:id="1779"/>
    </w:p>
    <w:p w14:paraId="2F4611B1" w14:textId="77777777" w:rsidR="00737EB2" w:rsidRPr="00765F6E" w:rsidRDefault="00737EB2" w:rsidP="009D0776">
      <w:pPr>
        <w:pStyle w:val="22"/>
      </w:pPr>
      <w:r w:rsidRPr="00765F6E">
        <w:rPr>
          <w:rFonts w:hint="eastAsia"/>
        </w:rPr>
        <w:t>高架及地面车站直接承受列车荷载结构构件的列车竖向荷载动力作用应按竖向静荷载乘以动力系数(1+u)确定,动力系数应符合第1</w:t>
      </w:r>
      <w:r w:rsidRPr="00765F6E">
        <w:t>4</w:t>
      </w:r>
      <w:r w:rsidRPr="00765F6E">
        <w:rPr>
          <w:rFonts w:hint="eastAsia"/>
        </w:rPr>
        <w:t>章的有关规定。</w:t>
      </w:r>
    </w:p>
    <w:p w14:paraId="2E216E1F" w14:textId="77777777" w:rsidR="00737EB2" w:rsidRPr="00765F6E" w:rsidRDefault="00737EB2" w:rsidP="009D0776">
      <w:pPr>
        <w:pStyle w:val="22"/>
      </w:pPr>
      <w:bookmarkStart w:id="1780" w:name="_Toc99792130"/>
      <w:bookmarkEnd w:id="1775"/>
      <w:r w:rsidRPr="00765F6E">
        <w:rPr>
          <w:rFonts w:hint="eastAsia"/>
        </w:rPr>
        <w:t>站台、站厅、楼梯、车站管理人员用房等部位的人群荷载可按4kPa计，并计及消防荷载的作用。</w:t>
      </w:r>
      <w:bookmarkEnd w:id="1780"/>
    </w:p>
    <w:p w14:paraId="538A654A" w14:textId="77777777" w:rsidR="00737EB2" w:rsidRPr="00765F6E" w:rsidRDefault="00737EB2" w:rsidP="009D0776">
      <w:pPr>
        <w:pStyle w:val="22"/>
      </w:pPr>
      <w:bookmarkStart w:id="1781" w:name="_Toc99792132"/>
      <w:r w:rsidRPr="00765F6E">
        <w:rPr>
          <w:rFonts w:hint="eastAsia"/>
        </w:rPr>
        <w:t>风荷载、雪荷载、屋面荷载等依据GB 50009取值。</w:t>
      </w:r>
      <w:bookmarkEnd w:id="1781"/>
    </w:p>
    <w:p w14:paraId="7F5CB367" w14:textId="77777777" w:rsidR="00737EB2" w:rsidRPr="00765F6E" w:rsidRDefault="00737EB2" w:rsidP="009D0776">
      <w:pPr>
        <w:pStyle w:val="22"/>
      </w:pPr>
      <w:bookmarkStart w:id="1782" w:name="_Toc99792131"/>
      <w:r w:rsidRPr="00765F6E">
        <w:rPr>
          <w:rFonts w:hint="eastAsia"/>
        </w:rPr>
        <w:t>线间立柱的雨棚和天桥、站台立柱的雨棚、金属屋面的基本风压和基本雪压重现期应为100年，其他宜为50年。</w:t>
      </w:r>
      <w:bookmarkEnd w:id="1782"/>
    </w:p>
    <w:p w14:paraId="225B695C" w14:textId="77777777" w:rsidR="00737EB2" w:rsidRPr="00765F6E" w:rsidRDefault="00737EB2" w:rsidP="009D0776">
      <w:pPr>
        <w:pStyle w:val="22"/>
      </w:pPr>
      <w:bookmarkStart w:id="1783" w:name="_Toc99792133"/>
      <w:r w:rsidRPr="00765F6E">
        <w:rPr>
          <w:rFonts w:hint="eastAsia"/>
        </w:rPr>
        <w:t>体型复杂的车站宜通过风洞试验确定设计风荷载；轻型金属屋面结构宜进行抗风揭试验。</w:t>
      </w:r>
      <w:bookmarkEnd w:id="1783"/>
    </w:p>
    <w:p w14:paraId="27E5BA7A" w14:textId="77777777" w:rsidR="00737EB2" w:rsidRPr="00765F6E" w:rsidRDefault="00737EB2" w:rsidP="009D0776">
      <w:pPr>
        <w:pStyle w:val="22"/>
      </w:pPr>
      <w:bookmarkStart w:id="1784" w:name="_Toc99792134"/>
      <w:r w:rsidRPr="00765F6E">
        <w:rPr>
          <w:rFonts w:hint="eastAsia"/>
        </w:rPr>
        <w:t>高架、地面车站结构及覆土厚度较浅的地下车站结构宜考虑温度变化的影响，超长混凝土结构应采用防止混凝土开裂和变形的措施。</w:t>
      </w:r>
      <w:bookmarkEnd w:id="1784"/>
    </w:p>
    <w:p w14:paraId="332F9BCF" w14:textId="77777777" w:rsidR="00737EB2" w:rsidRPr="00765F6E" w:rsidRDefault="00737EB2" w:rsidP="009D0776">
      <w:pPr>
        <w:pStyle w:val="22"/>
      </w:pPr>
      <w:bookmarkStart w:id="1785" w:name="_Toc99792135"/>
      <w:r w:rsidRPr="00765F6E">
        <w:rPr>
          <w:rFonts w:hint="eastAsia"/>
        </w:rPr>
        <w:t>施工荷载宜考虑以下荷载及其组合：</w:t>
      </w:r>
      <w:bookmarkEnd w:id="1785"/>
    </w:p>
    <w:p w14:paraId="44792499" w14:textId="77777777" w:rsidR="00737EB2" w:rsidRPr="00765F6E" w:rsidRDefault="00737EB2" w:rsidP="003334F3">
      <w:pPr>
        <w:pStyle w:val="af6"/>
        <w:numPr>
          <w:ilvl w:val="0"/>
          <w:numId w:val="137"/>
        </w:numPr>
        <w:tabs>
          <w:tab w:val="left" w:pos="851"/>
        </w:tabs>
        <w:snapToGrid w:val="0"/>
        <w:contextualSpacing/>
      </w:pPr>
      <w:r w:rsidRPr="00765F6E">
        <w:rPr>
          <w:rFonts w:hint="eastAsia"/>
        </w:rPr>
        <w:t>设备运输及吊装荷载；</w:t>
      </w:r>
    </w:p>
    <w:p w14:paraId="767DD799" w14:textId="77777777" w:rsidR="00737EB2" w:rsidRPr="00765F6E" w:rsidRDefault="00737EB2" w:rsidP="003334F3">
      <w:pPr>
        <w:pStyle w:val="af6"/>
        <w:tabs>
          <w:tab w:val="left" w:pos="851"/>
        </w:tabs>
        <w:snapToGrid w:val="0"/>
        <w:contextualSpacing/>
      </w:pPr>
      <w:r w:rsidRPr="00765F6E">
        <w:rPr>
          <w:rFonts w:hint="eastAsia"/>
        </w:rPr>
        <w:t>施工机具、施工材料荷载；</w:t>
      </w:r>
    </w:p>
    <w:p w14:paraId="54C4F680" w14:textId="77777777" w:rsidR="00737EB2" w:rsidRPr="00765F6E" w:rsidRDefault="00737EB2" w:rsidP="003334F3">
      <w:pPr>
        <w:pStyle w:val="af6"/>
        <w:tabs>
          <w:tab w:val="left" w:pos="851"/>
        </w:tabs>
        <w:snapToGrid w:val="0"/>
        <w:contextualSpacing/>
      </w:pPr>
      <w:r w:rsidRPr="00765F6E">
        <w:rPr>
          <w:rFonts w:hint="eastAsia"/>
        </w:rPr>
        <w:t>地面堆载；</w:t>
      </w:r>
    </w:p>
    <w:p w14:paraId="23317853" w14:textId="77777777" w:rsidR="00737EB2" w:rsidRPr="00765F6E" w:rsidRDefault="00737EB2" w:rsidP="003334F3">
      <w:pPr>
        <w:pStyle w:val="af6"/>
        <w:tabs>
          <w:tab w:val="left" w:pos="851"/>
        </w:tabs>
        <w:snapToGrid w:val="0"/>
        <w:contextualSpacing/>
      </w:pPr>
      <w:r w:rsidRPr="00765F6E">
        <w:rPr>
          <w:rFonts w:hint="eastAsia"/>
        </w:rPr>
        <w:t>注浆所引起的附加荷载；</w:t>
      </w:r>
    </w:p>
    <w:p w14:paraId="3BE1CA3D" w14:textId="77777777" w:rsidR="00737EB2" w:rsidRPr="00765F6E" w:rsidRDefault="00737EB2" w:rsidP="003334F3">
      <w:pPr>
        <w:pStyle w:val="af6"/>
        <w:tabs>
          <w:tab w:val="left" w:pos="851"/>
        </w:tabs>
        <w:snapToGrid w:val="0"/>
        <w:contextualSpacing/>
      </w:pPr>
      <w:r w:rsidRPr="00765F6E">
        <w:rPr>
          <w:rFonts w:hint="eastAsia"/>
        </w:rPr>
        <w:t>临近工程施工荷载。</w:t>
      </w:r>
    </w:p>
    <w:p w14:paraId="601867F1" w14:textId="77777777" w:rsidR="00737EB2" w:rsidRPr="00765F6E" w:rsidRDefault="00737EB2" w:rsidP="009D0776">
      <w:pPr>
        <w:pStyle w:val="22"/>
      </w:pPr>
      <w:bookmarkStart w:id="1786" w:name="_Toc99792136"/>
      <w:r w:rsidRPr="00765F6E">
        <w:rPr>
          <w:rFonts w:hint="eastAsia"/>
        </w:rPr>
        <w:t>抗震设防釆用的地震动参数应符合</w:t>
      </w:r>
      <w:r w:rsidRPr="00765F6E">
        <w:t>GB 18306</w:t>
      </w:r>
      <w:r w:rsidRPr="00765F6E">
        <w:rPr>
          <w:rFonts w:hint="eastAsia"/>
        </w:rPr>
        <w:t>的有关规定，已进行工程场地地震安全性评价的，应按审批结果取值。</w:t>
      </w:r>
      <w:bookmarkEnd w:id="1786"/>
    </w:p>
    <w:p w14:paraId="235863F7" w14:textId="77777777" w:rsidR="00737EB2" w:rsidRPr="00765F6E" w:rsidRDefault="00737EB2" w:rsidP="009D0776">
      <w:pPr>
        <w:pStyle w:val="22"/>
      </w:pPr>
      <w:bookmarkStart w:id="1787" w:name="_Toc99792137"/>
      <w:r w:rsidRPr="00765F6E">
        <w:rPr>
          <w:rFonts w:hint="eastAsia"/>
        </w:rPr>
        <w:t>车站结构柱可能受汽车撞击时,宜设防撞保护设施。无法设置保护设施时，应计入汽车对结构柱的撞击力。</w:t>
      </w:r>
      <w:bookmarkEnd w:id="1787"/>
    </w:p>
    <w:p w14:paraId="10FFC54A" w14:textId="77777777" w:rsidR="00737EB2" w:rsidRPr="00765F6E" w:rsidRDefault="00737EB2" w:rsidP="009D0776">
      <w:pPr>
        <w:pStyle w:val="22"/>
      </w:pPr>
      <w:bookmarkStart w:id="1788" w:name="_Toc99792138"/>
      <w:r w:rsidRPr="00765F6E">
        <w:rPr>
          <w:rFonts w:hint="eastAsia"/>
        </w:rPr>
        <w:t>结构应就其施工和正常使用阶段，进行结构强度、刚度和稳定性计算。对于混凝土结构，应进行抗裂验算或裂缝宽度验算。当计入地震荷载或其他偶然荷载作用时，不需验算结构的裂缝宽度。</w:t>
      </w:r>
      <w:bookmarkEnd w:id="1788"/>
    </w:p>
    <w:p w14:paraId="3F405118" w14:textId="77777777" w:rsidR="00737EB2" w:rsidRPr="00765F6E" w:rsidRDefault="00737EB2" w:rsidP="009D0776">
      <w:pPr>
        <w:pStyle w:val="22"/>
      </w:pPr>
      <w:bookmarkStart w:id="1789" w:name="_Toc99792139"/>
      <w:r w:rsidRPr="00765F6E">
        <w:rPr>
          <w:rFonts w:hint="eastAsia"/>
        </w:rPr>
        <w:t>地下车站结构应按最不利荷载组合及抗浮设防水位进行抗浮稳定验算。施工期抗浮安全系数不应小于1.05，使用期抗浮安全系数不应小于1.10。</w:t>
      </w:r>
      <w:bookmarkEnd w:id="1789"/>
    </w:p>
    <w:p w14:paraId="2173DBD0" w14:textId="77777777" w:rsidR="00737EB2" w:rsidRPr="00765F6E" w:rsidRDefault="00737EB2" w:rsidP="009D0776">
      <w:pPr>
        <w:pStyle w:val="22"/>
      </w:pPr>
      <w:bookmarkStart w:id="1790" w:name="_Toc99792140"/>
      <w:r w:rsidRPr="00765F6E">
        <w:rPr>
          <w:rFonts w:hint="eastAsia"/>
        </w:rPr>
        <w:t>车站结构的工程材料应根据结构类型、受力条件、使用要求和所处环境，以及结合其可靠性、耐久性和经济性选用。主要受力结构可采用钢筋混凝土结构，必要时也可采用预应力钢筋混凝土、钢管混凝土结构、钢骨混凝土结构、型钢混凝土组合结构和金属结构等。</w:t>
      </w:r>
      <w:bookmarkEnd w:id="1790"/>
    </w:p>
    <w:p w14:paraId="483247CE" w14:textId="77777777" w:rsidR="00A7607F" w:rsidRPr="00453DBE" w:rsidRDefault="00A7607F" w:rsidP="00A7607F">
      <w:pPr>
        <w:pStyle w:val="22"/>
      </w:pPr>
      <w:r w:rsidRPr="00453DBE">
        <w:t>高架及地面车站一般环境条件下的混凝土最低强度等级应符合以下规定：</w:t>
      </w:r>
    </w:p>
    <w:p w14:paraId="4BF98925" w14:textId="77777777" w:rsidR="00A7607F" w:rsidRPr="00453DBE" w:rsidRDefault="00A7607F" w:rsidP="003334F3">
      <w:pPr>
        <w:pStyle w:val="af6"/>
        <w:numPr>
          <w:ilvl w:val="0"/>
          <w:numId w:val="344"/>
        </w:numPr>
        <w:snapToGrid w:val="0"/>
        <w:contextualSpacing/>
      </w:pPr>
      <w:r w:rsidRPr="00453DBE">
        <w:rPr>
          <w:rFonts w:hint="eastAsia"/>
        </w:rPr>
        <w:t>非承受列车荷载的结构：钢筋混凝土的板、梁、柱混凝土强度等级不应低于C30；</w:t>
      </w:r>
    </w:p>
    <w:p w14:paraId="3F0F2C14" w14:textId="77777777" w:rsidR="00A7607F" w:rsidRPr="00453DBE" w:rsidRDefault="00A7607F" w:rsidP="00A7607F">
      <w:pPr>
        <w:pStyle w:val="af6"/>
        <w:tabs>
          <w:tab w:val="left" w:pos="851"/>
        </w:tabs>
        <w:snapToGrid w:val="0"/>
        <w:contextualSpacing/>
      </w:pPr>
      <w:r w:rsidRPr="00453DBE">
        <w:rPr>
          <w:rFonts w:hint="eastAsia"/>
        </w:rPr>
        <w:t>承受列车荷载的结构：钢筋混凝土梁、盖梁、立柱、桥台混凝土强度等级不应低于C40；</w:t>
      </w:r>
    </w:p>
    <w:p w14:paraId="441ADAB9" w14:textId="77777777" w:rsidR="00A7607F" w:rsidRPr="00453DBE" w:rsidRDefault="00A7607F" w:rsidP="00A7607F">
      <w:pPr>
        <w:pStyle w:val="af6"/>
        <w:tabs>
          <w:tab w:val="left" w:pos="851"/>
        </w:tabs>
        <w:snapToGrid w:val="0"/>
        <w:contextualSpacing/>
      </w:pPr>
      <w:r w:rsidRPr="00453DBE">
        <w:rPr>
          <w:rFonts w:hint="eastAsia"/>
        </w:rPr>
        <w:t>预应力钢筋混凝土梁强度等级不应低于C40；</w:t>
      </w:r>
    </w:p>
    <w:p w14:paraId="5545D4C8" w14:textId="77777777" w:rsidR="00A7607F" w:rsidRPr="00453DBE" w:rsidRDefault="00A7607F" w:rsidP="00A7607F">
      <w:pPr>
        <w:pStyle w:val="af6"/>
        <w:tabs>
          <w:tab w:val="left" w:pos="851"/>
        </w:tabs>
        <w:snapToGrid w:val="0"/>
        <w:contextualSpacing/>
      </w:pPr>
      <w:r w:rsidRPr="00453DBE">
        <w:rPr>
          <w:rFonts w:hint="eastAsia"/>
        </w:rPr>
        <w:t>地下室钢筋混凝土板、梁强度等级不应低于C35；墙体强度等级宜采用C35；</w:t>
      </w:r>
    </w:p>
    <w:p w14:paraId="7300D3DF" w14:textId="031D5A80" w:rsidR="00A7607F" w:rsidRPr="00B66CDF" w:rsidRDefault="0099224B" w:rsidP="00A7607F">
      <w:pPr>
        <w:pStyle w:val="af6"/>
        <w:tabs>
          <w:tab w:val="left" w:pos="851"/>
        </w:tabs>
        <w:snapToGrid w:val="0"/>
        <w:contextualSpacing/>
      </w:pPr>
      <w:r w:rsidRPr="00B66CDF">
        <w:rPr>
          <w:rFonts w:hint="eastAsia"/>
        </w:rPr>
        <w:t>灌注桩混凝土设计强度等级不应低于C35</w:t>
      </w:r>
      <w:r w:rsidR="00A7607F" w:rsidRPr="00B66CDF">
        <w:rPr>
          <w:rFonts w:hint="eastAsia"/>
        </w:rPr>
        <w:t>。</w:t>
      </w:r>
    </w:p>
    <w:p w14:paraId="667FB659" w14:textId="4730FCC0" w:rsidR="00737EB2" w:rsidRDefault="00A7607F" w:rsidP="00E512B4">
      <w:pPr>
        <w:pStyle w:val="22"/>
      </w:pPr>
      <w:r w:rsidRPr="00453DBE">
        <w:rPr>
          <w:rFonts w:hint="eastAsia"/>
        </w:rPr>
        <w:t>地下车站一般环境（</w:t>
      </w:r>
      <w:r w:rsidRPr="0049668C">
        <w:t>GB/T 50476</w:t>
      </w:r>
      <w:r w:rsidR="0049668C">
        <w:rPr>
          <w:rFonts w:hint="eastAsia"/>
        </w:rPr>
        <w:t>-</w:t>
      </w:r>
      <w:r w:rsidR="0049668C">
        <w:t>2019</w:t>
      </w:r>
      <w:r w:rsidRPr="0049668C">
        <w:t xml:space="preserve"> 环境类别中的I-A、I-B、I-C</w:t>
      </w:r>
      <w:r w:rsidRPr="00453DBE">
        <w:rPr>
          <w:rFonts w:hint="eastAsia"/>
        </w:rPr>
        <w:t>）条件下的混凝土最低强度等级应符合表</w:t>
      </w:r>
      <w:r w:rsidR="001C1F75" w:rsidRPr="00453DBE">
        <w:t>7</w:t>
      </w:r>
      <w:r w:rsidR="001C1F75">
        <w:t>3</w:t>
      </w:r>
      <w:r w:rsidRPr="00453DBE">
        <w:rPr>
          <w:rFonts w:hint="eastAsia"/>
        </w:rPr>
        <w:t>的规定</w:t>
      </w:r>
      <w:r w:rsidR="00E512B4">
        <w:rPr>
          <w:rFonts w:hint="eastAsia"/>
        </w:rPr>
        <w:t>。</w:t>
      </w:r>
    </w:p>
    <w:p w14:paraId="3D5D24B3" w14:textId="77777777" w:rsidR="00FB55CA" w:rsidRPr="00FB55CA" w:rsidRDefault="00FB55CA" w:rsidP="00FB55CA">
      <w:pPr>
        <w:pStyle w:val="affffb"/>
        <w:ind w:firstLine="420"/>
      </w:pPr>
    </w:p>
    <w:p w14:paraId="4C83665F" w14:textId="77777777" w:rsidR="00737EB2" w:rsidRPr="00765F6E" w:rsidRDefault="00737EB2" w:rsidP="00737EB2">
      <w:pPr>
        <w:pStyle w:val="aff3"/>
        <w:spacing w:before="156" w:after="156"/>
      </w:pPr>
      <w:r w:rsidRPr="00765F6E">
        <w:rPr>
          <w:rFonts w:hint="eastAsia"/>
        </w:rPr>
        <w:lastRenderedPageBreak/>
        <w:t>地下车站混凝土的强度等级</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720"/>
        <w:gridCol w:w="3371"/>
        <w:gridCol w:w="2223"/>
        <w:gridCol w:w="2020"/>
      </w:tblGrid>
      <w:tr w:rsidR="000110B6" w14:paraId="2D0A0F13" w14:textId="77777777" w:rsidTr="0099224B">
        <w:trPr>
          <w:trHeight w:val="176"/>
          <w:jc w:val="center"/>
        </w:trPr>
        <w:tc>
          <w:tcPr>
            <w:tcW w:w="921" w:type="pct"/>
            <w:tcBorders>
              <w:top w:val="single" w:sz="8" w:space="0" w:color="auto"/>
              <w:bottom w:val="single" w:sz="8" w:space="0" w:color="auto"/>
            </w:tcBorders>
            <w:shd w:val="clear" w:color="auto" w:fill="auto"/>
            <w:vAlign w:val="center"/>
          </w:tcPr>
          <w:p w14:paraId="124870EB" w14:textId="77777777" w:rsidR="00A7607F" w:rsidRPr="00453DBE" w:rsidRDefault="00A7607F" w:rsidP="006417E6">
            <w:pPr>
              <w:spacing w:line="0" w:lineRule="atLeast"/>
              <w:jc w:val="center"/>
              <w:rPr>
                <w:rFonts w:hAnsi="宋体"/>
                <w:sz w:val="18"/>
                <w:szCs w:val="18"/>
              </w:rPr>
            </w:pPr>
            <w:bookmarkStart w:id="1791" w:name="_Toc99792143"/>
            <w:r w:rsidRPr="00453DBE">
              <w:rPr>
                <w:rFonts w:hAnsi="宋体" w:hint="eastAsia"/>
                <w:sz w:val="18"/>
                <w:szCs w:val="18"/>
              </w:rPr>
              <w:t>施工方法</w:t>
            </w:r>
          </w:p>
        </w:tc>
        <w:tc>
          <w:tcPr>
            <w:tcW w:w="2997" w:type="pct"/>
            <w:gridSpan w:val="2"/>
            <w:tcBorders>
              <w:top w:val="single" w:sz="8" w:space="0" w:color="auto"/>
              <w:bottom w:val="single" w:sz="8" w:space="0" w:color="auto"/>
            </w:tcBorders>
            <w:shd w:val="clear" w:color="auto" w:fill="auto"/>
            <w:vAlign w:val="center"/>
          </w:tcPr>
          <w:p w14:paraId="0020A3FE" w14:textId="77777777" w:rsidR="00A7607F" w:rsidRPr="00453DBE" w:rsidRDefault="00A7607F" w:rsidP="006417E6">
            <w:pPr>
              <w:spacing w:line="0" w:lineRule="atLeast"/>
              <w:jc w:val="center"/>
              <w:rPr>
                <w:rFonts w:hAnsi="宋体"/>
                <w:sz w:val="18"/>
                <w:szCs w:val="18"/>
              </w:rPr>
            </w:pPr>
            <w:r w:rsidRPr="00453DBE">
              <w:rPr>
                <w:rFonts w:hAnsi="宋体" w:hint="eastAsia"/>
                <w:sz w:val="18"/>
                <w:szCs w:val="18"/>
              </w:rPr>
              <w:t>部位</w:t>
            </w:r>
          </w:p>
        </w:tc>
        <w:tc>
          <w:tcPr>
            <w:tcW w:w="1082" w:type="pct"/>
            <w:tcBorders>
              <w:top w:val="single" w:sz="8" w:space="0" w:color="auto"/>
              <w:bottom w:val="single" w:sz="8" w:space="0" w:color="auto"/>
            </w:tcBorders>
            <w:shd w:val="clear" w:color="auto" w:fill="auto"/>
            <w:vAlign w:val="center"/>
          </w:tcPr>
          <w:p w14:paraId="7F3FF8B9" w14:textId="77777777" w:rsidR="00A7607F" w:rsidRPr="00453DBE" w:rsidRDefault="00A7607F" w:rsidP="006417E6">
            <w:pPr>
              <w:spacing w:line="0" w:lineRule="atLeast"/>
              <w:jc w:val="center"/>
              <w:rPr>
                <w:rFonts w:hAnsi="宋体"/>
                <w:sz w:val="18"/>
                <w:szCs w:val="18"/>
              </w:rPr>
            </w:pPr>
            <w:r w:rsidRPr="00453DBE">
              <w:rPr>
                <w:rFonts w:hAnsi="宋体" w:hint="eastAsia"/>
                <w:sz w:val="18"/>
                <w:szCs w:val="18"/>
              </w:rPr>
              <w:t>强度等级</w:t>
            </w:r>
          </w:p>
        </w:tc>
      </w:tr>
      <w:tr w:rsidR="000110B6" w14:paraId="3BACE650" w14:textId="77777777" w:rsidTr="0099224B">
        <w:trPr>
          <w:trHeight w:val="176"/>
          <w:jc w:val="center"/>
        </w:trPr>
        <w:tc>
          <w:tcPr>
            <w:tcW w:w="921" w:type="pct"/>
            <w:vMerge w:val="restart"/>
            <w:tcBorders>
              <w:top w:val="single" w:sz="8" w:space="0" w:color="auto"/>
            </w:tcBorders>
            <w:shd w:val="clear" w:color="auto" w:fill="auto"/>
            <w:vAlign w:val="center"/>
          </w:tcPr>
          <w:p w14:paraId="2F03110A" w14:textId="77777777" w:rsidR="00A7607F" w:rsidRPr="00B66CDF" w:rsidRDefault="00A7607F" w:rsidP="006417E6">
            <w:pPr>
              <w:spacing w:line="0" w:lineRule="atLeast"/>
              <w:jc w:val="center"/>
              <w:rPr>
                <w:rFonts w:hAnsi="宋体"/>
                <w:sz w:val="18"/>
                <w:szCs w:val="18"/>
              </w:rPr>
            </w:pPr>
            <w:r w:rsidRPr="00B66CDF">
              <w:rPr>
                <w:rFonts w:hAnsi="宋体" w:hint="eastAsia"/>
                <w:sz w:val="18"/>
                <w:szCs w:val="18"/>
              </w:rPr>
              <w:t>明挖法</w:t>
            </w:r>
          </w:p>
        </w:tc>
        <w:tc>
          <w:tcPr>
            <w:tcW w:w="1806" w:type="pct"/>
            <w:vMerge w:val="restart"/>
            <w:tcBorders>
              <w:top w:val="single" w:sz="8" w:space="0" w:color="auto"/>
            </w:tcBorders>
            <w:shd w:val="clear" w:color="auto" w:fill="auto"/>
            <w:vAlign w:val="center"/>
          </w:tcPr>
          <w:p w14:paraId="23B172EB" w14:textId="77777777" w:rsidR="00A7607F" w:rsidRPr="00B66CDF" w:rsidRDefault="00A7607F" w:rsidP="006417E6">
            <w:pPr>
              <w:spacing w:line="0" w:lineRule="atLeast"/>
              <w:jc w:val="center"/>
              <w:rPr>
                <w:rFonts w:hAnsi="宋体"/>
                <w:sz w:val="18"/>
                <w:szCs w:val="18"/>
              </w:rPr>
            </w:pPr>
            <w:r w:rsidRPr="00B66CDF">
              <w:rPr>
                <w:rFonts w:hAnsi="宋体" w:hint="eastAsia"/>
                <w:sz w:val="18"/>
                <w:szCs w:val="18"/>
              </w:rPr>
              <w:t>整体式钢筋混凝土结构</w:t>
            </w:r>
          </w:p>
        </w:tc>
        <w:tc>
          <w:tcPr>
            <w:tcW w:w="1191" w:type="pct"/>
            <w:tcBorders>
              <w:top w:val="single" w:sz="8" w:space="0" w:color="auto"/>
            </w:tcBorders>
            <w:shd w:val="clear" w:color="auto" w:fill="auto"/>
            <w:vAlign w:val="center"/>
          </w:tcPr>
          <w:p w14:paraId="69926361" w14:textId="77777777" w:rsidR="00A7607F" w:rsidRPr="00B66CDF" w:rsidRDefault="00A7607F" w:rsidP="006417E6">
            <w:pPr>
              <w:spacing w:line="0" w:lineRule="atLeast"/>
              <w:jc w:val="left"/>
              <w:rPr>
                <w:rFonts w:hAnsi="宋体"/>
                <w:sz w:val="18"/>
                <w:szCs w:val="18"/>
              </w:rPr>
            </w:pPr>
            <w:r w:rsidRPr="00B66CDF">
              <w:rPr>
                <w:rFonts w:hAnsi="宋体" w:hint="eastAsia"/>
                <w:sz w:val="18"/>
                <w:szCs w:val="18"/>
              </w:rPr>
              <w:t>箱体</w:t>
            </w:r>
          </w:p>
        </w:tc>
        <w:tc>
          <w:tcPr>
            <w:tcW w:w="1082" w:type="pct"/>
            <w:tcBorders>
              <w:top w:val="single" w:sz="8" w:space="0" w:color="auto"/>
            </w:tcBorders>
            <w:shd w:val="clear" w:color="auto" w:fill="auto"/>
            <w:vAlign w:val="center"/>
          </w:tcPr>
          <w:p w14:paraId="2FFB816A" w14:textId="77777777" w:rsidR="00A7607F" w:rsidRPr="00453DBE" w:rsidRDefault="00A7607F" w:rsidP="006417E6">
            <w:pPr>
              <w:spacing w:line="0" w:lineRule="atLeast"/>
              <w:jc w:val="center"/>
              <w:rPr>
                <w:rFonts w:hAnsi="宋体"/>
                <w:sz w:val="18"/>
                <w:szCs w:val="18"/>
              </w:rPr>
            </w:pPr>
            <w:r w:rsidRPr="00453DBE">
              <w:rPr>
                <w:rFonts w:hAnsi="宋体"/>
                <w:sz w:val="18"/>
                <w:szCs w:val="18"/>
              </w:rPr>
              <w:t>C35</w:t>
            </w:r>
          </w:p>
        </w:tc>
      </w:tr>
      <w:tr w:rsidR="000110B6" w14:paraId="7A0C16A3" w14:textId="77777777" w:rsidTr="0099224B">
        <w:trPr>
          <w:trHeight w:val="176"/>
          <w:jc w:val="center"/>
        </w:trPr>
        <w:tc>
          <w:tcPr>
            <w:tcW w:w="921" w:type="pct"/>
            <w:vMerge/>
            <w:shd w:val="clear" w:color="auto" w:fill="auto"/>
            <w:vAlign w:val="center"/>
          </w:tcPr>
          <w:p w14:paraId="5302332D" w14:textId="77777777" w:rsidR="00A7607F" w:rsidRPr="00B66CDF" w:rsidRDefault="00A7607F" w:rsidP="006417E6">
            <w:pPr>
              <w:spacing w:line="0" w:lineRule="atLeast"/>
              <w:jc w:val="center"/>
              <w:rPr>
                <w:rFonts w:hAnsi="宋体"/>
                <w:sz w:val="18"/>
                <w:szCs w:val="18"/>
              </w:rPr>
            </w:pPr>
          </w:p>
        </w:tc>
        <w:tc>
          <w:tcPr>
            <w:tcW w:w="1806" w:type="pct"/>
            <w:vMerge/>
            <w:shd w:val="clear" w:color="auto" w:fill="auto"/>
            <w:vAlign w:val="center"/>
          </w:tcPr>
          <w:p w14:paraId="16721872" w14:textId="77777777" w:rsidR="00A7607F" w:rsidRPr="00B66CDF" w:rsidRDefault="00A7607F" w:rsidP="006417E6">
            <w:pPr>
              <w:spacing w:line="0" w:lineRule="atLeast"/>
              <w:jc w:val="left"/>
              <w:rPr>
                <w:rFonts w:hAnsi="宋体"/>
                <w:sz w:val="18"/>
                <w:szCs w:val="18"/>
              </w:rPr>
            </w:pPr>
          </w:p>
        </w:tc>
        <w:tc>
          <w:tcPr>
            <w:tcW w:w="1191" w:type="pct"/>
            <w:shd w:val="clear" w:color="auto" w:fill="auto"/>
            <w:vAlign w:val="center"/>
          </w:tcPr>
          <w:p w14:paraId="322091C0" w14:textId="77777777" w:rsidR="00A7607F" w:rsidRPr="00B66CDF" w:rsidRDefault="00A7607F" w:rsidP="006417E6">
            <w:pPr>
              <w:spacing w:line="0" w:lineRule="atLeast"/>
              <w:jc w:val="left"/>
              <w:rPr>
                <w:rFonts w:hAnsi="宋体"/>
                <w:sz w:val="18"/>
                <w:szCs w:val="18"/>
              </w:rPr>
            </w:pPr>
            <w:r w:rsidRPr="00B66CDF">
              <w:rPr>
                <w:rFonts w:hAnsi="宋体" w:hint="eastAsia"/>
                <w:sz w:val="18"/>
                <w:szCs w:val="18"/>
              </w:rPr>
              <w:t>柱</w:t>
            </w:r>
          </w:p>
        </w:tc>
        <w:tc>
          <w:tcPr>
            <w:tcW w:w="1082" w:type="pct"/>
            <w:shd w:val="clear" w:color="auto" w:fill="auto"/>
            <w:vAlign w:val="center"/>
          </w:tcPr>
          <w:p w14:paraId="26843F67" w14:textId="77777777" w:rsidR="00A7607F" w:rsidRPr="00453DBE" w:rsidRDefault="00A7607F" w:rsidP="006417E6">
            <w:pPr>
              <w:spacing w:line="0" w:lineRule="atLeast"/>
              <w:jc w:val="center"/>
              <w:rPr>
                <w:rFonts w:hAnsi="宋体"/>
                <w:sz w:val="18"/>
                <w:szCs w:val="18"/>
              </w:rPr>
            </w:pPr>
            <w:r w:rsidRPr="00453DBE">
              <w:rPr>
                <w:rFonts w:hAnsi="宋体"/>
                <w:sz w:val="18"/>
                <w:szCs w:val="18"/>
              </w:rPr>
              <w:t>C40</w:t>
            </w:r>
          </w:p>
        </w:tc>
      </w:tr>
      <w:tr w:rsidR="000110B6" w14:paraId="1E8F8B33" w14:textId="77777777" w:rsidTr="0099224B">
        <w:trPr>
          <w:trHeight w:val="176"/>
          <w:jc w:val="center"/>
        </w:trPr>
        <w:tc>
          <w:tcPr>
            <w:tcW w:w="921" w:type="pct"/>
            <w:vMerge/>
            <w:shd w:val="clear" w:color="auto" w:fill="auto"/>
            <w:vAlign w:val="center"/>
          </w:tcPr>
          <w:p w14:paraId="07805DAE" w14:textId="77777777" w:rsidR="00A7607F" w:rsidRPr="00B66CDF" w:rsidRDefault="00A7607F" w:rsidP="006417E6">
            <w:pPr>
              <w:spacing w:line="0" w:lineRule="atLeast"/>
              <w:jc w:val="center"/>
              <w:rPr>
                <w:rFonts w:hAnsi="宋体"/>
                <w:sz w:val="18"/>
                <w:szCs w:val="18"/>
              </w:rPr>
            </w:pPr>
          </w:p>
        </w:tc>
        <w:tc>
          <w:tcPr>
            <w:tcW w:w="1806" w:type="pct"/>
            <w:vMerge/>
            <w:shd w:val="clear" w:color="auto" w:fill="auto"/>
            <w:vAlign w:val="center"/>
          </w:tcPr>
          <w:p w14:paraId="62968EDC" w14:textId="77777777" w:rsidR="00A7607F" w:rsidRPr="00B66CDF" w:rsidRDefault="00A7607F" w:rsidP="006417E6">
            <w:pPr>
              <w:spacing w:line="0" w:lineRule="atLeast"/>
              <w:jc w:val="left"/>
              <w:rPr>
                <w:rFonts w:hAnsi="宋体"/>
                <w:sz w:val="18"/>
                <w:szCs w:val="18"/>
              </w:rPr>
            </w:pPr>
          </w:p>
        </w:tc>
        <w:tc>
          <w:tcPr>
            <w:tcW w:w="1191" w:type="pct"/>
            <w:shd w:val="clear" w:color="auto" w:fill="auto"/>
            <w:vAlign w:val="center"/>
          </w:tcPr>
          <w:p w14:paraId="44F38608" w14:textId="77777777" w:rsidR="00A7607F" w:rsidRPr="00B66CDF" w:rsidRDefault="00A7607F" w:rsidP="006417E6">
            <w:pPr>
              <w:spacing w:line="0" w:lineRule="atLeast"/>
              <w:jc w:val="left"/>
              <w:rPr>
                <w:rFonts w:hAnsi="宋体"/>
                <w:sz w:val="18"/>
                <w:szCs w:val="18"/>
              </w:rPr>
            </w:pPr>
            <w:r w:rsidRPr="00B66CDF">
              <w:rPr>
                <w:rFonts w:hAnsi="宋体" w:hint="eastAsia"/>
                <w:sz w:val="18"/>
                <w:szCs w:val="18"/>
              </w:rPr>
              <w:t>其他内部结构</w:t>
            </w:r>
          </w:p>
        </w:tc>
        <w:tc>
          <w:tcPr>
            <w:tcW w:w="1082" w:type="pct"/>
            <w:shd w:val="clear" w:color="auto" w:fill="auto"/>
            <w:vAlign w:val="center"/>
          </w:tcPr>
          <w:p w14:paraId="4D69C143" w14:textId="77777777" w:rsidR="00A7607F" w:rsidRPr="00453DBE" w:rsidRDefault="00A7607F" w:rsidP="006417E6">
            <w:pPr>
              <w:spacing w:line="0" w:lineRule="atLeast"/>
              <w:jc w:val="center"/>
              <w:rPr>
                <w:rFonts w:hAnsi="宋体"/>
                <w:sz w:val="18"/>
                <w:szCs w:val="18"/>
              </w:rPr>
            </w:pPr>
            <w:r w:rsidRPr="00453DBE">
              <w:rPr>
                <w:rFonts w:hAnsi="宋体"/>
                <w:sz w:val="18"/>
                <w:szCs w:val="18"/>
              </w:rPr>
              <w:t>C35</w:t>
            </w:r>
          </w:p>
        </w:tc>
      </w:tr>
      <w:tr w:rsidR="000110B6" w14:paraId="4F7B4A87" w14:textId="77777777" w:rsidTr="0099224B">
        <w:trPr>
          <w:trHeight w:val="176"/>
          <w:jc w:val="center"/>
        </w:trPr>
        <w:tc>
          <w:tcPr>
            <w:tcW w:w="921" w:type="pct"/>
            <w:vMerge/>
            <w:shd w:val="clear" w:color="auto" w:fill="auto"/>
            <w:vAlign w:val="center"/>
          </w:tcPr>
          <w:p w14:paraId="36262C54" w14:textId="77777777" w:rsidR="00A7607F" w:rsidRPr="00B66CDF" w:rsidRDefault="00A7607F" w:rsidP="006417E6">
            <w:pPr>
              <w:spacing w:line="0" w:lineRule="atLeast"/>
              <w:jc w:val="center"/>
              <w:rPr>
                <w:rFonts w:hAnsi="宋体"/>
                <w:sz w:val="18"/>
                <w:szCs w:val="18"/>
              </w:rPr>
            </w:pPr>
          </w:p>
        </w:tc>
        <w:tc>
          <w:tcPr>
            <w:tcW w:w="2997" w:type="pct"/>
            <w:gridSpan w:val="2"/>
            <w:shd w:val="clear" w:color="auto" w:fill="auto"/>
            <w:vAlign w:val="center"/>
          </w:tcPr>
          <w:p w14:paraId="717F5AF8" w14:textId="77777777" w:rsidR="00A7607F" w:rsidRPr="00B66CDF" w:rsidRDefault="00A7607F" w:rsidP="006417E6">
            <w:pPr>
              <w:spacing w:line="0" w:lineRule="atLeast"/>
              <w:jc w:val="center"/>
              <w:rPr>
                <w:rFonts w:hAnsi="宋体"/>
                <w:sz w:val="18"/>
                <w:szCs w:val="18"/>
              </w:rPr>
            </w:pPr>
            <w:r w:rsidRPr="00B66CDF">
              <w:rPr>
                <w:rFonts w:hAnsi="宋体" w:hint="eastAsia"/>
                <w:sz w:val="18"/>
                <w:szCs w:val="18"/>
              </w:rPr>
              <w:t>作为永久结构的地下连续墙</w:t>
            </w:r>
          </w:p>
        </w:tc>
        <w:tc>
          <w:tcPr>
            <w:tcW w:w="1082" w:type="pct"/>
            <w:shd w:val="clear" w:color="auto" w:fill="auto"/>
            <w:vAlign w:val="center"/>
          </w:tcPr>
          <w:p w14:paraId="3DD1CEBC" w14:textId="73D80137" w:rsidR="00A7607F" w:rsidRPr="007B2A9C" w:rsidRDefault="00A7607F" w:rsidP="006417E6">
            <w:pPr>
              <w:spacing w:line="0" w:lineRule="atLeast"/>
              <w:jc w:val="center"/>
              <w:rPr>
                <w:rFonts w:hAnsi="宋体"/>
                <w:sz w:val="18"/>
                <w:szCs w:val="18"/>
              </w:rPr>
            </w:pPr>
            <w:r w:rsidRPr="007B2A9C">
              <w:rPr>
                <w:rFonts w:hAnsi="宋体"/>
                <w:sz w:val="18"/>
                <w:szCs w:val="18"/>
              </w:rPr>
              <w:t>C35</w:t>
            </w:r>
          </w:p>
        </w:tc>
      </w:tr>
      <w:tr w:rsidR="000110B6" w14:paraId="26DD3B40" w14:textId="77777777" w:rsidTr="0099224B">
        <w:trPr>
          <w:trHeight w:val="176"/>
          <w:jc w:val="center"/>
        </w:trPr>
        <w:tc>
          <w:tcPr>
            <w:tcW w:w="921" w:type="pct"/>
            <w:vMerge/>
            <w:shd w:val="clear" w:color="auto" w:fill="auto"/>
            <w:vAlign w:val="center"/>
          </w:tcPr>
          <w:p w14:paraId="302F8214" w14:textId="77777777" w:rsidR="00A7607F" w:rsidRPr="00B66CDF" w:rsidRDefault="00A7607F" w:rsidP="006417E6">
            <w:pPr>
              <w:spacing w:line="0" w:lineRule="atLeast"/>
              <w:jc w:val="center"/>
              <w:rPr>
                <w:rFonts w:hAnsi="宋体"/>
                <w:sz w:val="18"/>
                <w:szCs w:val="18"/>
              </w:rPr>
            </w:pPr>
          </w:p>
        </w:tc>
        <w:tc>
          <w:tcPr>
            <w:tcW w:w="2997" w:type="pct"/>
            <w:gridSpan w:val="2"/>
            <w:shd w:val="clear" w:color="auto" w:fill="auto"/>
            <w:vAlign w:val="center"/>
          </w:tcPr>
          <w:p w14:paraId="299E082B" w14:textId="77777777" w:rsidR="00A7607F" w:rsidRPr="00B66CDF" w:rsidRDefault="00A7607F" w:rsidP="006417E6">
            <w:pPr>
              <w:spacing w:line="0" w:lineRule="atLeast"/>
              <w:jc w:val="left"/>
              <w:rPr>
                <w:rFonts w:hAnsi="宋体"/>
                <w:sz w:val="18"/>
                <w:szCs w:val="18"/>
              </w:rPr>
            </w:pPr>
            <w:r w:rsidRPr="00B66CDF">
              <w:rPr>
                <w:rFonts w:hAnsi="宋体" w:hint="eastAsia"/>
                <w:sz w:val="18"/>
                <w:szCs w:val="18"/>
              </w:rPr>
              <w:t>作为永久结构的灌注桩</w:t>
            </w:r>
          </w:p>
        </w:tc>
        <w:tc>
          <w:tcPr>
            <w:tcW w:w="1082" w:type="pct"/>
            <w:shd w:val="clear" w:color="auto" w:fill="auto"/>
            <w:vAlign w:val="center"/>
          </w:tcPr>
          <w:p w14:paraId="2EAC175D" w14:textId="40B3812F" w:rsidR="00A7607F" w:rsidRPr="007B2A9C" w:rsidRDefault="00A7607F" w:rsidP="006417E6">
            <w:pPr>
              <w:spacing w:line="0" w:lineRule="atLeast"/>
              <w:jc w:val="center"/>
              <w:rPr>
                <w:rFonts w:hAnsi="宋体"/>
                <w:sz w:val="18"/>
                <w:szCs w:val="18"/>
              </w:rPr>
            </w:pPr>
            <w:r w:rsidRPr="007B2A9C">
              <w:rPr>
                <w:rFonts w:hAnsi="宋体"/>
                <w:sz w:val="18"/>
                <w:szCs w:val="18"/>
              </w:rPr>
              <w:t>C35</w:t>
            </w:r>
          </w:p>
        </w:tc>
      </w:tr>
      <w:tr w:rsidR="000110B6" w14:paraId="74012727" w14:textId="77777777" w:rsidTr="0099224B">
        <w:trPr>
          <w:trHeight w:val="176"/>
          <w:jc w:val="center"/>
        </w:trPr>
        <w:tc>
          <w:tcPr>
            <w:tcW w:w="921" w:type="pct"/>
            <w:vMerge/>
            <w:shd w:val="clear" w:color="auto" w:fill="auto"/>
            <w:vAlign w:val="center"/>
          </w:tcPr>
          <w:p w14:paraId="46EBF586" w14:textId="77777777" w:rsidR="00A7607F" w:rsidRPr="00B66CDF" w:rsidRDefault="00A7607F" w:rsidP="006417E6">
            <w:pPr>
              <w:spacing w:line="0" w:lineRule="atLeast"/>
              <w:jc w:val="center"/>
              <w:rPr>
                <w:rFonts w:hAnsi="宋体"/>
                <w:sz w:val="18"/>
                <w:szCs w:val="18"/>
              </w:rPr>
            </w:pPr>
          </w:p>
        </w:tc>
        <w:tc>
          <w:tcPr>
            <w:tcW w:w="2997" w:type="pct"/>
            <w:gridSpan w:val="2"/>
            <w:shd w:val="clear" w:color="auto" w:fill="auto"/>
            <w:vAlign w:val="center"/>
          </w:tcPr>
          <w:p w14:paraId="6536F0DE" w14:textId="77777777" w:rsidR="00A7607F" w:rsidRPr="00B66CDF" w:rsidRDefault="00A7607F" w:rsidP="006417E6">
            <w:pPr>
              <w:spacing w:line="0" w:lineRule="atLeast"/>
              <w:jc w:val="left"/>
              <w:rPr>
                <w:rFonts w:hAnsi="宋体"/>
                <w:sz w:val="18"/>
                <w:szCs w:val="18"/>
              </w:rPr>
            </w:pPr>
            <w:r w:rsidRPr="00B66CDF">
              <w:rPr>
                <w:rFonts w:hAnsi="宋体" w:hint="eastAsia"/>
                <w:sz w:val="18"/>
                <w:szCs w:val="18"/>
              </w:rPr>
              <w:t>水下灌注的地下连续墙桩</w:t>
            </w:r>
          </w:p>
        </w:tc>
        <w:tc>
          <w:tcPr>
            <w:tcW w:w="1082" w:type="pct"/>
            <w:shd w:val="clear" w:color="auto" w:fill="auto"/>
            <w:vAlign w:val="center"/>
          </w:tcPr>
          <w:p w14:paraId="07C350AA" w14:textId="416FB89F" w:rsidR="00A7607F" w:rsidRPr="007B2A9C" w:rsidRDefault="00A7607F" w:rsidP="006417E6">
            <w:pPr>
              <w:spacing w:line="0" w:lineRule="atLeast"/>
              <w:jc w:val="center"/>
              <w:rPr>
                <w:rFonts w:hAnsi="宋体"/>
                <w:sz w:val="18"/>
                <w:szCs w:val="18"/>
              </w:rPr>
            </w:pPr>
            <w:r w:rsidRPr="007B2A9C">
              <w:rPr>
                <w:rFonts w:hAnsi="宋体"/>
                <w:sz w:val="18"/>
                <w:szCs w:val="18"/>
              </w:rPr>
              <w:t>C35</w:t>
            </w:r>
          </w:p>
        </w:tc>
      </w:tr>
      <w:tr w:rsidR="000110B6" w14:paraId="66BE9F36" w14:textId="77777777" w:rsidTr="0099224B">
        <w:trPr>
          <w:trHeight w:val="176"/>
          <w:jc w:val="center"/>
        </w:trPr>
        <w:tc>
          <w:tcPr>
            <w:tcW w:w="921" w:type="pct"/>
            <w:vMerge/>
            <w:shd w:val="clear" w:color="auto" w:fill="auto"/>
            <w:vAlign w:val="center"/>
          </w:tcPr>
          <w:p w14:paraId="1D5C74DA" w14:textId="77777777" w:rsidR="00A7607F" w:rsidRPr="00B66CDF" w:rsidRDefault="00A7607F" w:rsidP="006417E6">
            <w:pPr>
              <w:spacing w:line="0" w:lineRule="atLeast"/>
              <w:jc w:val="center"/>
              <w:rPr>
                <w:rFonts w:hAnsi="宋体"/>
                <w:sz w:val="18"/>
                <w:szCs w:val="18"/>
              </w:rPr>
            </w:pPr>
          </w:p>
        </w:tc>
        <w:tc>
          <w:tcPr>
            <w:tcW w:w="2997" w:type="pct"/>
            <w:gridSpan w:val="2"/>
            <w:shd w:val="clear" w:color="auto" w:fill="auto"/>
            <w:vAlign w:val="center"/>
          </w:tcPr>
          <w:p w14:paraId="7EFB8211" w14:textId="77777777" w:rsidR="00A7607F" w:rsidRPr="00B66CDF" w:rsidRDefault="00A7607F" w:rsidP="006417E6">
            <w:pPr>
              <w:spacing w:line="0" w:lineRule="atLeast"/>
              <w:jc w:val="left"/>
              <w:rPr>
                <w:rFonts w:hAnsi="宋体"/>
                <w:sz w:val="18"/>
                <w:szCs w:val="18"/>
              </w:rPr>
            </w:pPr>
            <w:r w:rsidRPr="00B66CDF">
              <w:rPr>
                <w:rFonts w:hAnsi="宋体" w:hint="eastAsia"/>
                <w:sz w:val="18"/>
                <w:szCs w:val="18"/>
              </w:rPr>
              <w:t>水下灌注的灌注桩</w:t>
            </w:r>
          </w:p>
        </w:tc>
        <w:tc>
          <w:tcPr>
            <w:tcW w:w="1082" w:type="pct"/>
            <w:shd w:val="clear" w:color="auto" w:fill="auto"/>
            <w:vAlign w:val="center"/>
          </w:tcPr>
          <w:p w14:paraId="11B9D332" w14:textId="760A8FB7" w:rsidR="00A7607F" w:rsidRPr="007B2A9C" w:rsidRDefault="00A7607F" w:rsidP="006417E6">
            <w:pPr>
              <w:spacing w:line="0" w:lineRule="atLeast"/>
              <w:jc w:val="center"/>
              <w:rPr>
                <w:rFonts w:hAnsi="宋体"/>
                <w:sz w:val="18"/>
                <w:szCs w:val="18"/>
              </w:rPr>
            </w:pPr>
            <w:r w:rsidRPr="007B2A9C">
              <w:rPr>
                <w:rFonts w:hAnsi="宋体"/>
                <w:sz w:val="18"/>
                <w:szCs w:val="18"/>
              </w:rPr>
              <w:t>C35</w:t>
            </w:r>
          </w:p>
        </w:tc>
      </w:tr>
      <w:tr w:rsidR="000110B6" w14:paraId="5755CBF3" w14:textId="77777777" w:rsidTr="0099224B">
        <w:trPr>
          <w:trHeight w:val="176"/>
          <w:jc w:val="center"/>
        </w:trPr>
        <w:tc>
          <w:tcPr>
            <w:tcW w:w="921" w:type="pct"/>
            <w:vMerge/>
            <w:shd w:val="clear" w:color="auto" w:fill="auto"/>
            <w:vAlign w:val="center"/>
          </w:tcPr>
          <w:p w14:paraId="78946713" w14:textId="77777777" w:rsidR="00A7607F" w:rsidRPr="00B66CDF" w:rsidRDefault="00A7607F" w:rsidP="006417E6">
            <w:pPr>
              <w:spacing w:line="0" w:lineRule="atLeast"/>
              <w:jc w:val="center"/>
              <w:rPr>
                <w:rFonts w:hAnsi="宋体"/>
                <w:sz w:val="18"/>
                <w:szCs w:val="18"/>
              </w:rPr>
            </w:pPr>
          </w:p>
        </w:tc>
        <w:tc>
          <w:tcPr>
            <w:tcW w:w="2997" w:type="pct"/>
            <w:gridSpan w:val="2"/>
            <w:shd w:val="clear" w:color="auto" w:fill="auto"/>
            <w:vAlign w:val="center"/>
          </w:tcPr>
          <w:p w14:paraId="704349F2" w14:textId="77777777" w:rsidR="00A7607F" w:rsidRPr="00B66CDF" w:rsidRDefault="00A7607F" w:rsidP="006417E6">
            <w:pPr>
              <w:spacing w:line="0" w:lineRule="atLeast"/>
              <w:jc w:val="left"/>
              <w:rPr>
                <w:rFonts w:hAnsi="宋体"/>
                <w:sz w:val="18"/>
                <w:szCs w:val="18"/>
              </w:rPr>
            </w:pPr>
            <w:r w:rsidRPr="00B66CDF">
              <w:rPr>
                <w:rFonts w:hAnsi="宋体" w:hint="eastAsia"/>
                <w:sz w:val="18"/>
                <w:szCs w:val="18"/>
              </w:rPr>
              <w:t>不作为永久结构的地下连续墙</w:t>
            </w:r>
          </w:p>
        </w:tc>
        <w:tc>
          <w:tcPr>
            <w:tcW w:w="1082" w:type="pct"/>
            <w:shd w:val="clear" w:color="auto" w:fill="auto"/>
            <w:vAlign w:val="center"/>
          </w:tcPr>
          <w:p w14:paraId="6078C777" w14:textId="0E384529" w:rsidR="00A7607F" w:rsidRPr="007B2A9C" w:rsidRDefault="00A7607F" w:rsidP="006417E6">
            <w:pPr>
              <w:spacing w:line="0" w:lineRule="atLeast"/>
              <w:jc w:val="center"/>
              <w:rPr>
                <w:rFonts w:hAnsi="宋体"/>
                <w:sz w:val="18"/>
                <w:szCs w:val="18"/>
              </w:rPr>
            </w:pPr>
            <w:r w:rsidRPr="007B2A9C">
              <w:rPr>
                <w:rFonts w:hAnsi="宋体"/>
                <w:sz w:val="18"/>
                <w:szCs w:val="18"/>
              </w:rPr>
              <w:t>C30</w:t>
            </w:r>
          </w:p>
        </w:tc>
      </w:tr>
      <w:tr w:rsidR="000110B6" w14:paraId="7DFE9115" w14:textId="77777777" w:rsidTr="0099224B">
        <w:trPr>
          <w:trHeight w:val="176"/>
          <w:jc w:val="center"/>
        </w:trPr>
        <w:tc>
          <w:tcPr>
            <w:tcW w:w="921" w:type="pct"/>
            <w:vMerge/>
            <w:shd w:val="clear" w:color="auto" w:fill="auto"/>
            <w:vAlign w:val="center"/>
          </w:tcPr>
          <w:p w14:paraId="6A7D61B4" w14:textId="77777777" w:rsidR="00A7607F" w:rsidRPr="00B66CDF" w:rsidRDefault="00A7607F" w:rsidP="006417E6">
            <w:pPr>
              <w:spacing w:line="0" w:lineRule="atLeast"/>
              <w:jc w:val="center"/>
              <w:rPr>
                <w:rFonts w:hAnsi="宋体"/>
                <w:sz w:val="18"/>
                <w:szCs w:val="18"/>
              </w:rPr>
            </w:pPr>
          </w:p>
        </w:tc>
        <w:tc>
          <w:tcPr>
            <w:tcW w:w="2997" w:type="pct"/>
            <w:gridSpan w:val="2"/>
            <w:shd w:val="clear" w:color="auto" w:fill="auto"/>
            <w:vAlign w:val="center"/>
          </w:tcPr>
          <w:p w14:paraId="671A1E9D" w14:textId="77777777" w:rsidR="00A7607F" w:rsidRPr="00B66CDF" w:rsidRDefault="00A7607F" w:rsidP="006417E6">
            <w:pPr>
              <w:spacing w:line="0" w:lineRule="atLeast"/>
              <w:jc w:val="left"/>
              <w:rPr>
                <w:rFonts w:hAnsi="宋体"/>
                <w:sz w:val="18"/>
                <w:szCs w:val="18"/>
              </w:rPr>
            </w:pPr>
            <w:r w:rsidRPr="00B66CDF">
              <w:rPr>
                <w:rFonts w:hAnsi="宋体" w:hint="eastAsia"/>
                <w:sz w:val="18"/>
                <w:szCs w:val="18"/>
              </w:rPr>
              <w:t>不作为永久结构的灌注桩</w:t>
            </w:r>
          </w:p>
        </w:tc>
        <w:tc>
          <w:tcPr>
            <w:tcW w:w="1082" w:type="pct"/>
            <w:shd w:val="clear" w:color="auto" w:fill="auto"/>
            <w:vAlign w:val="center"/>
          </w:tcPr>
          <w:p w14:paraId="70156046" w14:textId="1FC1FC1B" w:rsidR="00A7607F" w:rsidRPr="007B2A9C" w:rsidRDefault="00A7607F" w:rsidP="006417E6">
            <w:pPr>
              <w:spacing w:line="0" w:lineRule="atLeast"/>
              <w:jc w:val="center"/>
              <w:rPr>
                <w:rFonts w:hAnsi="宋体"/>
                <w:sz w:val="18"/>
                <w:szCs w:val="18"/>
              </w:rPr>
            </w:pPr>
            <w:r w:rsidRPr="007B2A9C">
              <w:rPr>
                <w:rFonts w:hAnsi="宋体"/>
                <w:sz w:val="18"/>
                <w:szCs w:val="18"/>
              </w:rPr>
              <w:t>C30</w:t>
            </w:r>
          </w:p>
        </w:tc>
      </w:tr>
      <w:tr w:rsidR="000110B6" w14:paraId="22200E74" w14:textId="77777777" w:rsidTr="0099224B">
        <w:trPr>
          <w:trHeight w:val="176"/>
          <w:jc w:val="center"/>
        </w:trPr>
        <w:tc>
          <w:tcPr>
            <w:tcW w:w="921" w:type="pct"/>
            <w:vMerge/>
            <w:shd w:val="clear" w:color="auto" w:fill="auto"/>
            <w:vAlign w:val="center"/>
          </w:tcPr>
          <w:p w14:paraId="543ACBC2" w14:textId="77777777" w:rsidR="00A7607F" w:rsidRPr="00B66CDF" w:rsidRDefault="00A7607F" w:rsidP="006417E6">
            <w:pPr>
              <w:spacing w:line="0" w:lineRule="atLeast"/>
              <w:jc w:val="center"/>
              <w:rPr>
                <w:rFonts w:hAnsi="宋体"/>
                <w:sz w:val="18"/>
                <w:szCs w:val="18"/>
              </w:rPr>
            </w:pPr>
          </w:p>
        </w:tc>
        <w:tc>
          <w:tcPr>
            <w:tcW w:w="2997" w:type="pct"/>
            <w:gridSpan w:val="2"/>
            <w:shd w:val="clear" w:color="auto" w:fill="auto"/>
            <w:vAlign w:val="center"/>
          </w:tcPr>
          <w:p w14:paraId="6EA7B2A8" w14:textId="77777777" w:rsidR="00A7607F" w:rsidRPr="00B66CDF" w:rsidRDefault="00A7607F" w:rsidP="006417E6">
            <w:pPr>
              <w:spacing w:line="0" w:lineRule="atLeast"/>
              <w:jc w:val="left"/>
              <w:rPr>
                <w:rFonts w:hAnsi="宋体"/>
                <w:sz w:val="18"/>
                <w:szCs w:val="18"/>
              </w:rPr>
            </w:pPr>
            <w:r w:rsidRPr="00B66CDF">
              <w:rPr>
                <w:rFonts w:hAnsi="宋体" w:hint="eastAsia"/>
                <w:sz w:val="18"/>
                <w:szCs w:val="18"/>
              </w:rPr>
              <w:t>装配式钢筋混凝土结构</w:t>
            </w:r>
          </w:p>
        </w:tc>
        <w:tc>
          <w:tcPr>
            <w:tcW w:w="1082" w:type="pct"/>
            <w:shd w:val="clear" w:color="auto" w:fill="auto"/>
            <w:vAlign w:val="center"/>
          </w:tcPr>
          <w:p w14:paraId="327DC76D" w14:textId="77777777" w:rsidR="00A7607F" w:rsidRPr="00453DBE" w:rsidRDefault="00A7607F" w:rsidP="006417E6">
            <w:pPr>
              <w:spacing w:line="0" w:lineRule="atLeast"/>
              <w:jc w:val="center"/>
              <w:rPr>
                <w:rFonts w:hAnsi="宋体"/>
                <w:sz w:val="18"/>
                <w:szCs w:val="18"/>
              </w:rPr>
            </w:pPr>
            <w:r w:rsidRPr="00453DBE">
              <w:rPr>
                <w:rFonts w:hAnsi="宋体"/>
                <w:sz w:val="18"/>
                <w:szCs w:val="18"/>
              </w:rPr>
              <w:t>C35</w:t>
            </w:r>
          </w:p>
        </w:tc>
      </w:tr>
      <w:tr w:rsidR="0099224B" w14:paraId="5F267542" w14:textId="77777777" w:rsidTr="0099224B">
        <w:trPr>
          <w:trHeight w:val="176"/>
          <w:jc w:val="center"/>
        </w:trPr>
        <w:tc>
          <w:tcPr>
            <w:tcW w:w="5000" w:type="pct"/>
            <w:gridSpan w:val="4"/>
            <w:shd w:val="clear" w:color="auto" w:fill="auto"/>
            <w:vAlign w:val="center"/>
          </w:tcPr>
          <w:p w14:paraId="036F47E9" w14:textId="6489F093" w:rsidR="0099224B" w:rsidRPr="00B66CDF" w:rsidRDefault="0099224B" w:rsidP="0099224B">
            <w:pPr>
              <w:spacing w:line="0" w:lineRule="atLeast"/>
              <w:jc w:val="left"/>
              <w:rPr>
                <w:rFonts w:hAnsi="宋体"/>
                <w:sz w:val="18"/>
                <w:szCs w:val="18"/>
              </w:rPr>
            </w:pPr>
            <w:r w:rsidRPr="00B66CDF">
              <w:rPr>
                <w:rFonts w:ascii="宋体" w:hAnsi="Times New Roman" w:hint="eastAsia"/>
                <w:kern w:val="0"/>
                <w:sz w:val="18"/>
                <w:szCs w:val="18"/>
              </w:rPr>
              <w:t>当采用水下或泥浆下灌注混凝土时，施工配合比应提高一级混凝土强度等级。</w:t>
            </w:r>
          </w:p>
        </w:tc>
      </w:tr>
    </w:tbl>
    <w:p w14:paraId="11FCDD0F" w14:textId="77777777" w:rsidR="00737EB2" w:rsidRPr="00A75B0C" w:rsidRDefault="00737EB2" w:rsidP="00453DBE"/>
    <w:p w14:paraId="2CB9364F" w14:textId="77777777" w:rsidR="00737EB2" w:rsidRPr="00765F6E" w:rsidRDefault="00737EB2" w:rsidP="009D0776">
      <w:pPr>
        <w:pStyle w:val="22"/>
      </w:pPr>
      <w:r w:rsidRPr="00765F6E">
        <w:rPr>
          <w:rFonts w:hint="eastAsia"/>
        </w:rPr>
        <w:t>普通钢筋混凝土中的梁、柱纵向受力钢筋应采用HRB400、HRB500、HRBF400、HRBF500、HRB400E、HRB500E、CRB600H级钢筋，其他纵向受力钢筋也可采用HPB300、RRB400级钢筋；箍筋宜采用HRB400、HRBF400、HPB300、HRB500、HRBF500钢筋。预应力混凝土结构中的预应力钢筋，宜采用预应力钢绞线、钢丝、预应力螺纹钢筋。</w:t>
      </w:r>
      <w:bookmarkEnd w:id="1791"/>
    </w:p>
    <w:p w14:paraId="58652E78" w14:textId="4A500871" w:rsidR="00737EB2" w:rsidRPr="00765F6E" w:rsidRDefault="00737EB2" w:rsidP="009D0776">
      <w:pPr>
        <w:pStyle w:val="22"/>
      </w:pPr>
      <w:bookmarkStart w:id="1792" w:name="_Toc99792144"/>
      <w:r w:rsidRPr="00765F6E">
        <w:rPr>
          <w:rFonts w:hint="eastAsia"/>
        </w:rPr>
        <w:t>有抗震要求的框架和斜撑构件中的纵向受力普通钢筋其强度和最大拉力下总伸长率的实测值应符合下列规定：</w:t>
      </w:r>
      <w:bookmarkEnd w:id="1792"/>
    </w:p>
    <w:p w14:paraId="3CB48D28" w14:textId="7B60B143" w:rsidR="00737EB2" w:rsidRPr="00765F6E" w:rsidRDefault="00737EB2" w:rsidP="003334F3">
      <w:pPr>
        <w:pStyle w:val="af6"/>
        <w:numPr>
          <w:ilvl w:val="0"/>
          <w:numId w:val="138"/>
        </w:numPr>
        <w:tabs>
          <w:tab w:val="left" w:pos="851"/>
        </w:tabs>
        <w:snapToGrid w:val="0"/>
        <w:contextualSpacing/>
      </w:pPr>
      <w:r w:rsidRPr="00765F6E">
        <w:rPr>
          <w:rFonts w:hint="eastAsia"/>
        </w:rPr>
        <w:t>钢筋的抗拉强度实测值与屈服强度实测值的比值不应小于1.25</w:t>
      </w:r>
      <w:r w:rsidR="00502369">
        <w:rPr>
          <w:rFonts w:hint="eastAsia"/>
        </w:rPr>
        <w:t>；</w:t>
      </w:r>
    </w:p>
    <w:p w14:paraId="75981005" w14:textId="1D4FD300" w:rsidR="00737EB2" w:rsidRPr="00765F6E" w:rsidRDefault="00737EB2" w:rsidP="003334F3">
      <w:pPr>
        <w:pStyle w:val="af6"/>
        <w:tabs>
          <w:tab w:val="left" w:pos="851"/>
        </w:tabs>
        <w:snapToGrid w:val="0"/>
        <w:contextualSpacing/>
      </w:pPr>
      <w:r w:rsidRPr="00765F6E">
        <w:rPr>
          <w:rFonts w:hint="eastAsia"/>
        </w:rPr>
        <w:t>钢筋的屈服强度实测值与屈服强度标准值的比值不应大于1.3</w:t>
      </w:r>
      <w:r w:rsidR="00B52E69">
        <w:rPr>
          <w:rFonts w:hint="eastAsia"/>
        </w:rPr>
        <w:t>；</w:t>
      </w:r>
    </w:p>
    <w:p w14:paraId="65AB7D82" w14:textId="77777777" w:rsidR="00737EB2" w:rsidRPr="00765F6E" w:rsidRDefault="00737EB2" w:rsidP="003334F3">
      <w:pPr>
        <w:pStyle w:val="af6"/>
        <w:tabs>
          <w:tab w:val="left" w:pos="851"/>
        </w:tabs>
        <w:snapToGrid w:val="0"/>
        <w:contextualSpacing/>
      </w:pPr>
      <w:r w:rsidRPr="00765F6E">
        <w:rPr>
          <w:rFonts w:hint="eastAsia"/>
        </w:rPr>
        <w:t>钢筋最大拉力下的总伸长率实测值不应小于9%。</w:t>
      </w:r>
    </w:p>
    <w:p w14:paraId="7EFAE16E" w14:textId="240128C1" w:rsidR="00737EB2" w:rsidRPr="00765F6E" w:rsidRDefault="00737EB2" w:rsidP="009D0776">
      <w:pPr>
        <w:pStyle w:val="22"/>
      </w:pPr>
      <w:bookmarkStart w:id="1793" w:name="_Toc99792145"/>
      <w:r w:rsidRPr="00765F6E">
        <w:rPr>
          <w:rFonts w:hint="eastAsia"/>
        </w:rPr>
        <w:t>一般环境混凝土水胶比及胶凝材料用量要求应符合TB 10005</w:t>
      </w:r>
      <w:bookmarkEnd w:id="1793"/>
      <w:r w:rsidRPr="00765F6E">
        <w:rPr>
          <w:rFonts w:hint="eastAsia"/>
        </w:rPr>
        <w:t>、GB/T</w:t>
      </w:r>
      <w:r w:rsidRPr="00765F6E">
        <w:t xml:space="preserve"> </w:t>
      </w:r>
      <w:r w:rsidRPr="00765F6E">
        <w:rPr>
          <w:rFonts w:hint="eastAsia"/>
        </w:rPr>
        <w:t>50476</w:t>
      </w:r>
      <w:r w:rsidR="00293BB7">
        <w:t>-2019</w:t>
      </w:r>
      <w:r w:rsidRPr="00765F6E">
        <w:rPr>
          <w:rFonts w:hint="eastAsia"/>
        </w:rPr>
        <w:t>的相关规定。</w:t>
      </w:r>
    </w:p>
    <w:p w14:paraId="79A726CD" w14:textId="77777777" w:rsidR="00737EB2" w:rsidRPr="00765F6E" w:rsidRDefault="00737EB2" w:rsidP="00737EB2">
      <w:pPr>
        <w:pStyle w:val="affe"/>
        <w:spacing w:before="156" w:after="156"/>
      </w:pPr>
      <w:bookmarkStart w:id="1794" w:name="_Toc99792146"/>
      <w:bookmarkStart w:id="1795" w:name="_Toc152659747"/>
      <w:bookmarkStart w:id="1796" w:name="_Toc167895799"/>
      <w:bookmarkStart w:id="1797" w:name="_Toc174538713"/>
      <w:bookmarkStart w:id="1798" w:name="_Toc182476470"/>
      <w:r w:rsidRPr="00765F6E">
        <w:rPr>
          <w:rFonts w:hint="eastAsia"/>
        </w:rPr>
        <w:t>高架及地面车站结构设计</w:t>
      </w:r>
      <w:bookmarkEnd w:id="1794"/>
      <w:bookmarkEnd w:id="1795"/>
      <w:bookmarkEnd w:id="1796"/>
      <w:bookmarkEnd w:id="1797"/>
      <w:bookmarkEnd w:id="1798"/>
    </w:p>
    <w:p w14:paraId="1C8891C4" w14:textId="77777777" w:rsidR="00737EB2" w:rsidRPr="00765F6E" w:rsidRDefault="00737EB2" w:rsidP="009D0776">
      <w:pPr>
        <w:pStyle w:val="22"/>
      </w:pPr>
      <w:bookmarkStart w:id="1799" w:name="_Toc99792147"/>
      <w:r w:rsidRPr="00765F6E">
        <w:rPr>
          <w:rFonts w:hint="eastAsia"/>
        </w:rPr>
        <w:t>高架及地面车站的结构形式和总体布置应满足车站的功能和使用要求，满足列车安全运行与乘客舒适度的要求，结合站位所处的周边环境、城市规划、工程地质和水文地质条件进行综合比选，确保结构安全可靠、经济合理、受力明确，并具有良好的整体性和延性，同时便于施工和养护。</w:t>
      </w:r>
      <w:bookmarkEnd w:id="1799"/>
    </w:p>
    <w:p w14:paraId="3E4CD974" w14:textId="2CD3D56B" w:rsidR="00737EB2" w:rsidRPr="00765F6E" w:rsidRDefault="00737EB2" w:rsidP="009D0776">
      <w:pPr>
        <w:pStyle w:val="22"/>
      </w:pPr>
      <w:bookmarkStart w:id="1800" w:name="_Toc99792148"/>
      <w:r w:rsidRPr="00765F6E">
        <w:rPr>
          <w:rFonts w:hint="eastAsia"/>
        </w:rPr>
        <w:t>当采用“</w:t>
      </w:r>
      <w:r w:rsidR="004B2E6C">
        <w:rPr>
          <w:rFonts w:hint="eastAsia"/>
        </w:rPr>
        <w:t>桥建</w:t>
      </w:r>
      <w:r w:rsidRPr="00765F6E">
        <w:rPr>
          <w:rFonts w:hint="eastAsia"/>
        </w:rPr>
        <w:t>”分离车站结构设计时，轨道梁和支承轨道梁的下部结构设计应同高架区间结构，车站其余部分结构设计采用现行的建筑结构设计规范。</w:t>
      </w:r>
      <w:bookmarkEnd w:id="1800"/>
    </w:p>
    <w:p w14:paraId="253F1B66" w14:textId="55AF40F0" w:rsidR="00737EB2" w:rsidRPr="00765F6E" w:rsidRDefault="00737EB2" w:rsidP="009D0776">
      <w:pPr>
        <w:pStyle w:val="22"/>
      </w:pPr>
      <w:bookmarkStart w:id="1801" w:name="_Toc99792149"/>
      <w:r w:rsidRPr="00765F6E">
        <w:rPr>
          <w:rFonts w:hint="eastAsia"/>
        </w:rPr>
        <w:t>当采用“</w:t>
      </w:r>
      <w:r w:rsidR="004B2E6C">
        <w:rPr>
          <w:rFonts w:hint="eastAsia"/>
        </w:rPr>
        <w:t>桥建</w:t>
      </w:r>
      <w:r w:rsidRPr="00765F6E">
        <w:rPr>
          <w:rFonts w:hint="eastAsia"/>
        </w:rPr>
        <w:t>”合一车站结构设计时，直接承受列车荷载的结构设计应符合桥涵与建筑结构标准的有关规定。</w:t>
      </w:r>
      <w:bookmarkEnd w:id="1801"/>
    </w:p>
    <w:p w14:paraId="010ACCE2" w14:textId="77777777" w:rsidR="00737EB2" w:rsidRPr="00765F6E" w:rsidRDefault="00737EB2" w:rsidP="009D0776">
      <w:pPr>
        <w:pStyle w:val="22"/>
      </w:pPr>
      <w:bookmarkStart w:id="1802" w:name="_Toc99792150"/>
      <w:r w:rsidRPr="00765F6E">
        <w:rPr>
          <w:rFonts w:hint="eastAsia"/>
        </w:rPr>
        <w:t>车站为框架结构形式时，应采用整体模型进行结构内力分析，结构刚度应满足风荷载作用、地震作用、断轨力等水平力作用下的要求，结构的层间位移满足现行建筑结构设计规范的要求。</w:t>
      </w:r>
      <w:bookmarkEnd w:id="1802"/>
    </w:p>
    <w:p w14:paraId="1662AFC1" w14:textId="77777777" w:rsidR="00737EB2" w:rsidRPr="00765F6E" w:rsidRDefault="00737EB2" w:rsidP="009D0776">
      <w:pPr>
        <w:pStyle w:val="22"/>
      </w:pPr>
      <w:bookmarkStart w:id="1803" w:name="_Toc99792151"/>
      <w:r w:rsidRPr="00765F6E">
        <w:rPr>
          <w:rFonts w:hint="eastAsia"/>
        </w:rPr>
        <w:t>高架及地面车站结构混凝土最大裂缝宽度限值</w:t>
      </w:r>
      <w:r w:rsidRPr="00765F6E">
        <w:rPr>
          <w:rFonts w:hint="eastAsia"/>
          <w:i/>
        </w:rPr>
        <w:t>ω</w:t>
      </w:r>
      <w:proofErr w:type="spellStart"/>
      <w:r w:rsidRPr="00765F6E">
        <w:rPr>
          <w:rFonts w:hint="eastAsia"/>
          <w:i/>
          <w:vertAlign w:val="subscript"/>
        </w:rPr>
        <w:t>lim</w:t>
      </w:r>
      <w:proofErr w:type="spellEnd"/>
      <w:r w:rsidRPr="00765F6E">
        <w:rPr>
          <w:rFonts w:hint="eastAsia"/>
        </w:rPr>
        <w:t>应符合以下规定：</w:t>
      </w:r>
      <w:bookmarkEnd w:id="1803"/>
    </w:p>
    <w:p w14:paraId="62FD34B0" w14:textId="77777777" w:rsidR="00737EB2" w:rsidRPr="00765F6E" w:rsidRDefault="00737EB2" w:rsidP="003334F3">
      <w:pPr>
        <w:pStyle w:val="af6"/>
        <w:numPr>
          <w:ilvl w:val="0"/>
          <w:numId w:val="139"/>
        </w:numPr>
        <w:tabs>
          <w:tab w:val="left" w:pos="851"/>
        </w:tabs>
        <w:snapToGrid w:val="0"/>
        <w:contextualSpacing/>
      </w:pPr>
      <w:r w:rsidRPr="00765F6E">
        <w:rPr>
          <w:rFonts w:hint="eastAsia"/>
        </w:rPr>
        <w:t>承受列车荷载的构件符合第1</w:t>
      </w:r>
      <w:r w:rsidRPr="00765F6E">
        <w:t>4</w:t>
      </w:r>
      <w:r w:rsidRPr="00765F6E">
        <w:rPr>
          <w:rFonts w:hint="eastAsia"/>
        </w:rPr>
        <w:t>章相关规定；</w:t>
      </w:r>
    </w:p>
    <w:p w14:paraId="26DB2469" w14:textId="6C79F360" w:rsidR="00737EB2" w:rsidRPr="00765F6E" w:rsidRDefault="00737EB2" w:rsidP="003334F3">
      <w:pPr>
        <w:pStyle w:val="af6"/>
        <w:tabs>
          <w:tab w:val="left" w:pos="851"/>
        </w:tabs>
        <w:snapToGrid w:val="0"/>
        <w:contextualSpacing/>
      </w:pPr>
      <w:r w:rsidRPr="00765F6E">
        <w:rPr>
          <w:rFonts w:hint="eastAsia"/>
        </w:rPr>
        <w:t>预应力混凝土（B类）构件为0.1mm</w:t>
      </w:r>
      <w:r w:rsidR="00B52E69">
        <w:rPr>
          <w:rFonts w:hint="eastAsia"/>
        </w:rPr>
        <w:t>；</w:t>
      </w:r>
    </w:p>
    <w:p w14:paraId="4010917B" w14:textId="77777777" w:rsidR="00737EB2" w:rsidRPr="00765F6E" w:rsidRDefault="00737EB2" w:rsidP="003334F3">
      <w:pPr>
        <w:pStyle w:val="af6"/>
        <w:tabs>
          <w:tab w:val="left" w:pos="851"/>
        </w:tabs>
        <w:snapToGrid w:val="0"/>
        <w:contextualSpacing/>
      </w:pPr>
      <w:r w:rsidRPr="00765F6E">
        <w:rPr>
          <w:rFonts w:hint="eastAsia"/>
        </w:rPr>
        <w:t>其余钢筋混凝土构件应满足GB 50010等相关规范的要求。</w:t>
      </w:r>
    </w:p>
    <w:p w14:paraId="56AA0482" w14:textId="77777777" w:rsidR="00737EB2" w:rsidRPr="00765F6E" w:rsidRDefault="00737EB2" w:rsidP="009D0776">
      <w:pPr>
        <w:pStyle w:val="22"/>
      </w:pPr>
      <w:bookmarkStart w:id="1804" w:name="_Toc99792152"/>
      <w:r w:rsidRPr="00765F6E">
        <w:rPr>
          <w:rFonts w:hint="eastAsia"/>
        </w:rPr>
        <w:t>车站高架结构，宜考虑纵、横向地基不均匀沉陷的影响，包括不均匀沉陷对车站结构的影响和轨道梁桥独立布置时不均匀沉陷对站台标高的影响</w:t>
      </w:r>
      <w:bookmarkEnd w:id="1804"/>
      <w:r w:rsidRPr="00765F6E">
        <w:rPr>
          <w:rFonts w:hint="eastAsia"/>
        </w:rPr>
        <w:t>。</w:t>
      </w:r>
    </w:p>
    <w:p w14:paraId="537BCD7C" w14:textId="1C20BDEB" w:rsidR="00737EB2" w:rsidRPr="00765F6E" w:rsidRDefault="00737EB2" w:rsidP="009D0776">
      <w:pPr>
        <w:pStyle w:val="22"/>
      </w:pPr>
      <w:bookmarkStart w:id="1805" w:name="_Toc99792153"/>
      <w:r w:rsidRPr="00765F6E">
        <w:rPr>
          <w:rFonts w:hint="eastAsia"/>
        </w:rPr>
        <w:t>独柱式带长悬臂</w:t>
      </w:r>
      <w:r w:rsidRPr="00A319B4">
        <w:rPr>
          <w:rFonts w:hint="eastAsia"/>
        </w:rPr>
        <w:t>“桥</w:t>
      </w:r>
      <w:r w:rsidRPr="00A7607F">
        <w:rPr>
          <w:rFonts w:hint="eastAsia"/>
        </w:rPr>
        <w:t>建”</w:t>
      </w:r>
      <w:r w:rsidRPr="00765F6E">
        <w:rPr>
          <w:rFonts w:hint="eastAsia"/>
        </w:rPr>
        <w:t>合一结构体系的车站，在恒载、列车荷载、人群荷载、风荷载及预应力效应等最不利组合作用下，悬臂端计算挠度的限值为L</w:t>
      </w:r>
      <w:r w:rsidRPr="00765F6E">
        <w:rPr>
          <w:rFonts w:hint="eastAsia"/>
          <w:vertAlign w:val="subscript"/>
        </w:rPr>
        <w:t>0</w:t>
      </w:r>
      <w:r w:rsidRPr="00765F6E">
        <w:rPr>
          <w:rFonts w:hint="eastAsia"/>
        </w:rPr>
        <w:t>/600</w:t>
      </w:r>
      <w:r w:rsidR="0030490B" w:rsidRPr="00453DBE">
        <w:rPr>
          <w:rFonts w:hint="eastAsia"/>
        </w:rPr>
        <w:t>（</w:t>
      </w:r>
      <w:r w:rsidR="0030490B" w:rsidRPr="00453DBE">
        <w:t>L</w:t>
      </w:r>
      <w:r w:rsidR="0030490B" w:rsidRPr="00453DBE">
        <w:rPr>
          <w:vertAlign w:val="subscript"/>
        </w:rPr>
        <w:t>0</w:t>
      </w:r>
      <w:r w:rsidR="0030490B" w:rsidRPr="00453DBE">
        <w:rPr>
          <w:rFonts w:hint="eastAsia"/>
        </w:rPr>
        <w:t>为悬臂构件的计算跨度）</w:t>
      </w:r>
      <w:r w:rsidRPr="00765F6E">
        <w:rPr>
          <w:rFonts w:hint="eastAsia"/>
        </w:rPr>
        <w:t>。</w:t>
      </w:r>
      <w:bookmarkEnd w:id="1805"/>
    </w:p>
    <w:p w14:paraId="4F86FB37" w14:textId="2F22AB27" w:rsidR="00737EB2" w:rsidRPr="00765F6E" w:rsidRDefault="00737EB2" w:rsidP="009D0776">
      <w:pPr>
        <w:pStyle w:val="22"/>
      </w:pPr>
      <w:bookmarkStart w:id="1806" w:name="_Toc99792154"/>
      <w:r w:rsidRPr="00765F6E">
        <w:rPr>
          <w:rFonts w:hint="eastAsia"/>
        </w:rPr>
        <w:t>独柱式带长悬臂“桥建”合一结构体系的车站，结构整体振动竖向质量参与系数最大的自振频率不应小于10Hz。不能满足时，应减小独柱纵向间距。</w:t>
      </w:r>
      <w:bookmarkEnd w:id="1806"/>
    </w:p>
    <w:p w14:paraId="08605FC6" w14:textId="600CCC49" w:rsidR="00737EB2" w:rsidRPr="00765F6E" w:rsidRDefault="00737EB2" w:rsidP="009D0776">
      <w:pPr>
        <w:pStyle w:val="22"/>
      </w:pPr>
      <w:bookmarkStart w:id="1807" w:name="_Toc99792155"/>
      <w:r w:rsidRPr="00765F6E">
        <w:rPr>
          <w:rFonts w:hint="eastAsia"/>
        </w:rPr>
        <w:t>岛式车站不宜采用独柱式带长悬臂“桥建”合一结构体系。</w:t>
      </w:r>
      <w:bookmarkStart w:id="1808" w:name="_Toc99792156"/>
      <w:bookmarkEnd w:id="1807"/>
    </w:p>
    <w:p w14:paraId="7446ECE4" w14:textId="77777777" w:rsidR="00737EB2" w:rsidRPr="00765F6E" w:rsidRDefault="00737EB2" w:rsidP="009D0776">
      <w:pPr>
        <w:pStyle w:val="22"/>
      </w:pPr>
      <w:r w:rsidRPr="00765F6E">
        <w:rPr>
          <w:rFonts w:hint="eastAsia"/>
        </w:rPr>
        <w:t>高架及地面车站基础设计宜综合考虑上部结构类型、工程地质、水文地质、环境要求，选择合理的桩基和持力层。</w:t>
      </w:r>
      <w:bookmarkEnd w:id="1808"/>
    </w:p>
    <w:p w14:paraId="5FFAEF59" w14:textId="6605F38B" w:rsidR="00737EB2" w:rsidRPr="00765F6E" w:rsidRDefault="00737EB2" w:rsidP="009D0776">
      <w:pPr>
        <w:pStyle w:val="22"/>
      </w:pPr>
      <w:bookmarkStart w:id="1809" w:name="_Toc99792157"/>
      <w:r w:rsidRPr="00765F6E">
        <w:rPr>
          <w:rFonts w:hint="eastAsia"/>
        </w:rPr>
        <w:t>“桥建”分离型高架车站的框架结构部分总沉降量不应大于50mm，相邻框架柱之间的沉降差</w:t>
      </w:r>
      <w:r w:rsidRPr="00765F6E">
        <w:rPr>
          <w:rFonts w:hint="eastAsia"/>
        </w:rPr>
        <w:lastRenderedPageBreak/>
        <w:t>不应大于20mm，对于柱距较小的车站，其相邻基础不均匀沉降量的容许值应由沉降对结构产生的附加影响来确定。其余形式的车站，其基础沉降控制值符合第1</w:t>
      </w:r>
      <w:r w:rsidRPr="00765F6E">
        <w:t>4</w:t>
      </w:r>
      <w:r w:rsidRPr="00765F6E">
        <w:rPr>
          <w:rFonts w:hint="eastAsia"/>
        </w:rPr>
        <w:t>章相关规定。</w:t>
      </w:r>
      <w:bookmarkEnd w:id="1809"/>
    </w:p>
    <w:p w14:paraId="38BD0160" w14:textId="77777777" w:rsidR="00737EB2" w:rsidRPr="00765F6E" w:rsidRDefault="00737EB2" w:rsidP="009D0776">
      <w:pPr>
        <w:pStyle w:val="22"/>
      </w:pPr>
      <w:bookmarkStart w:id="1810" w:name="_Toc99792158"/>
      <w:r w:rsidRPr="00765F6E">
        <w:rPr>
          <w:rFonts w:hint="eastAsia"/>
        </w:rPr>
        <w:t>高架车站宜充分考虑其与两端高架桥区间的变形协调。</w:t>
      </w:r>
      <w:bookmarkEnd w:id="1810"/>
    </w:p>
    <w:p w14:paraId="45EA83C3" w14:textId="77777777" w:rsidR="00737EB2" w:rsidRPr="00765F6E" w:rsidRDefault="00737EB2" w:rsidP="009D0776">
      <w:pPr>
        <w:pStyle w:val="22"/>
      </w:pPr>
      <w:bookmarkStart w:id="1811" w:name="_Toc99792159"/>
      <w:r w:rsidRPr="00765F6E">
        <w:rPr>
          <w:rFonts w:hint="eastAsia"/>
        </w:rPr>
        <w:t>高架及地面车站顶棚应选择方便维护更换的结构形式，并应设置攀登上人设施。</w:t>
      </w:r>
      <w:bookmarkEnd w:id="1811"/>
    </w:p>
    <w:p w14:paraId="50CD990B" w14:textId="77777777" w:rsidR="00737EB2" w:rsidRPr="00765F6E" w:rsidRDefault="00737EB2" w:rsidP="009D0776">
      <w:pPr>
        <w:pStyle w:val="22"/>
      </w:pPr>
      <w:bookmarkStart w:id="1812" w:name="_Toc99792160"/>
      <w:r w:rsidRPr="00765F6E">
        <w:rPr>
          <w:rFonts w:hint="eastAsia"/>
        </w:rPr>
        <w:t>高架车站结构应进行沉降观测，应沿车站角点、中点及沿周边每隔6m～12m设置沉降观测点，宜按纵横轴线对称布点；沉降观测应按</w:t>
      </w:r>
      <w:r w:rsidRPr="00765F6E">
        <w:t>JGJ 8中</w:t>
      </w:r>
      <w:r w:rsidRPr="00765F6E">
        <w:rPr>
          <w:rFonts w:hint="eastAsia"/>
        </w:rPr>
        <w:t>二等水准测量的规定进行；沉降观测应在浇筑基础时开始，施工期观测至少每施工完一层观测二次，当连续两次测得半年沉降量不超过2mm，可停测。</w:t>
      </w:r>
      <w:bookmarkEnd w:id="1812"/>
    </w:p>
    <w:p w14:paraId="7A752697" w14:textId="469523DD" w:rsidR="00737EB2" w:rsidRPr="00765F6E" w:rsidRDefault="00737EB2" w:rsidP="009D0776">
      <w:pPr>
        <w:pStyle w:val="22"/>
      </w:pPr>
      <w:bookmarkStart w:id="1813" w:name="_Toc99792161"/>
      <w:r w:rsidRPr="00765F6E">
        <w:rPr>
          <w:rFonts w:hint="eastAsia"/>
        </w:rPr>
        <w:t>当采用“桥建”合一车站结构设计时，应按GB 50011进行抗震设计及设防，算时应计入一条线100％竖向静活载和50％站台人群荷载</w:t>
      </w:r>
      <w:bookmarkStart w:id="1814" w:name="_Toc99792162"/>
      <w:bookmarkEnd w:id="1813"/>
      <w:r w:rsidRPr="00765F6E">
        <w:rPr>
          <w:rFonts w:hint="eastAsia"/>
        </w:rPr>
        <w:t>；当采用“桥建”分离车站结构设计时，应按</w:t>
      </w:r>
      <w:r w:rsidRPr="00765F6E">
        <w:t>GB 50</w:t>
      </w:r>
      <w:r>
        <w:t>0</w:t>
      </w:r>
      <w:r w:rsidRPr="00765F6E">
        <w:t>11和GB 50111</w:t>
      </w:r>
      <w:r w:rsidRPr="00765F6E">
        <w:rPr>
          <w:rFonts w:hint="eastAsia"/>
        </w:rPr>
        <w:t>进行抗震设计和设防</w:t>
      </w:r>
      <w:bookmarkEnd w:id="1814"/>
      <w:r w:rsidRPr="00765F6E">
        <w:rPr>
          <w:rFonts w:hint="eastAsia"/>
        </w:rPr>
        <w:t>；车站主体结构抗震设防类别应为重点设防类。</w:t>
      </w:r>
    </w:p>
    <w:p w14:paraId="7B5668C3" w14:textId="77777777" w:rsidR="00737EB2" w:rsidRPr="00765F6E" w:rsidRDefault="00737EB2" w:rsidP="009D0776">
      <w:pPr>
        <w:pStyle w:val="22"/>
      </w:pPr>
      <w:bookmarkStart w:id="1815" w:name="_Toc99792163"/>
      <w:r w:rsidRPr="00765F6E">
        <w:rPr>
          <w:rFonts w:hint="eastAsia"/>
        </w:rPr>
        <w:t>轨道梁与车站结构完全分开布置时，轨道梁桥应按第1</w:t>
      </w:r>
      <w:r w:rsidRPr="00765F6E">
        <w:t>4</w:t>
      </w:r>
      <w:r w:rsidRPr="00765F6E">
        <w:rPr>
          <w:rFonts w:hint="eastAsia"/>
        </w:rPr>
        <w:t>章节的有关规定进行抗震设计，车站结构按GB 50011的有关规定进行抗震设计。</w:t>
      </w:r>
      <w:bookmarkEnd w:id="1815"/>
    </w:p>
    <w:p w14:paraId="3CFDEF0F" w14:textId="77777777" w:rsidR="00737EB2" w:rsidRPr="00765F6E" w:rsidRDefault="00737EB2" w:rsidP="009D0776">
      <w:pPr>
        <w:pStyle w:val="22"/>
      </w:pPr>
      <w:bookmarkStart w:id="1816" w:name="_Toc99792164"/>
      <w:r w:rsidRPr="00765F6E">
        <w:rPr>
          <w:rFonts w:hint="eastAsia"/>
        </w:rPr>
        <w:t>高架车站和地面车站的屋顶宜采用钢筋混凝土结构，屋面采用钢结构时，钢结构应进行防腐蚀、防火设计，防腐蚀设计的使用年限不应小于15年。</w:t>
      </w:r>
      <w:bookmarkEnd w:id="1816"/>
    </w:p>
    <w:p w14:paraId="74C8F3C7" w14:textId="6FF152D9" w:rsidR="00737EB2" w:rsidRPr="00765F6E" w:rsidRDefault="00737EB2" w:rsidP="009D0776">
      <w:pPr>
        <w:pStyle w:val="22"/>
      </w:pPr>
      <w:bookmarkStart w:id="1817" w:name="_Toc99792165"/>
      <w:r w:rsidRPr="00765F6E">
        <w:rPr>
          <w:rFonts w:hint="eastAsia"/>
        </w:rPr>
        <w:t>钢结构表面应做好防腐和防火涂装，在涂装前应根据构件类别做好除锈处理。钢结构柱底与土壤接触处应采用混凝土外包，外包厚度不小于50mm，高出地面或站台面不小于150mm。</w:t>
      </w:r>
      <w:bookmarkEnd w:id="1817"/>
    </w:p>
    <w:p w14:paraId="5C3D179F" w14:textId="77777777" w:rsidR="00737EB2" w:rsidRPr="00765F6E" w:rsidRDefault="00737EB2" w:rsidP="009D0776">
      <w:pPr>
        <w:pStyle w:val="22"/>
      </w:pPr>
      <w:bookmarkStart w:id="1818" w:name="_Toc99792166"/>
      <w:r w:rsidRPr="00765F6E">
        <w:rPr>
          <w:rFonts w:hint="eastAsia"/>
        </w:rPr>
        <w:t>站台有柱雨棚可采用无防火保护的金属构件，无站台柱雨棚应做好防火处理，距轨面12m以上可采用无防火保护的金属构件。</w:t>
      </w:r>
      <w:bookmarkEnd w:id="1818"/>
    </w:p>
    <w:p w14:paraId="2EC01231" w14:textId="77777777" w:rsidR="00737EB2" w:rsidRPr="00765F6E" w:rsidRDefault="00737EB2" w:rsidP="009D0776">
      <w:pPr>
        <w:pStyle w:val="22"/>
      </w:pPr>
      <w:bookmarkStart w:id="1819" w:name="_Toc99792167"/>
      <w:r w:rsidRPr="00765F6E">
        <w:rPr>
          <w:rFonts w:hint="eastAsia"/>
        </w:rPr>
        <w:t>钢筋混凝土结构伸缩缝的最大间距应满足GB 50010的要求，钢结构伸缩缝的最大间距应满足</w:t>
      </w:r>
      <w:r w:rsidRPr="00765F6E">
        <w:t>GB 50017</w:t>
      </w:r>
      <w:r w:rsidRPr="00765F6E">
        <w:rPr>
          <w:rFonts w:hint="eastAsia"/>
        </w:rPr>
        <w:t>的要求。</w:t>
      </w:r>
      <w:bookmarkEnd w:id="1819"/>
    </w:p>
    <w:p w14:paraId="1986BD11" w14:textId="77777777" w:rsidR="00737EB2" w:rsidRPr="00765F6E" w:rsidRDefault="00737EB2" w:rsidP="00737EB2">
      <w:pPr>
        <w:pStyle w:val="affe"/>
        <w:spacing w:before="156" w:after="156"/>
      </w:pPr>
      <w:bookmarkStart w:id="1820" w:name="_Toc99792168"/>
      <w:bookmarkStart w:id="1821" w:name="_Toc152659748"/>
      <w:bookmarkStart w:id="1822" w:name="_Toc167895800"/>
      <w:bookmarkStart w:id="1823" w:name="_Toc174538714"/>
      <w:bookmarkStart w:id="1824" w:name="_Toc182476471"/>
      <w:r w:rsidRPr="00765F6E">
        <w:rPr>
          <w:rFonts w:hint="eastAsia"/>
        </w:rPr>
        <w:t>地下车站结构设计</w:t>
      </w:r>
      <w:bookmarkEnd w:id="1820"/>
      <w:bookmarkEnd w:id="1821"/>
      <w:bookmarkEnd w:id="1822"/>
      <w:bookmarkEnd w:id="1823"/>
      <w:bookmarkEnd w:id="1824"/>
    </w:p>
    <w:p w14:paraId="610FF1CB" w14:textId="3A4E0E0D" w:rsidR="00737EB2" w:rsidRPr="00765F6E" w:rsidRDefault="00737EB2" w:rsidP="009D0776">
      <w:pPr>
        <w:pStyle w:val="22"/>
      </w:pPr>
      <w:bookmarkStart w:id="1825" w:name="_Toc99792169"/>
      <w:r w:rsidRPr="00765F6E">
        <w:rPr>
          <w:rFonts w:hint="eastAsia"/>
        </w:rPr>
        <w:t>采用矿山法、盾构法、顶管法施工的</w:t>
      </w:r>
      <w:r w:rsidRPr="003B0FDF">
        <w:rPr>
          <w:rFonts w:hint="eastAsia"/>
        </w:rPr>
        <w:t>地下车站，按照第</w:t>
      </w:r>
      <w:r w:rsidRPr="003B0FDF">
        <w:t>15章</w:t>
      </w:r>
      <w:r w:rsidRPr="003B0FDF">
        <w:rPr>
          <w:rFonts w:hint="eastAsia"/>
        </w:rPr>
        <w:t>相关内容进行。</w:t>
      </w:r>
      <w:bookmarkStart w:id="1826" w:name="_Toc99792171"/>
      <w:bookmarkEnd w:id="1825"/>
    </w:p>
    <w:p w14:paraId="3BBBD090" w14:textId="77777777" w:rsidR="00737EB2" w:rsidRPr="00765F6E" w:rsidRDefault="00737EB2" w:rsidP="009D0776">
      <w:pPr>
        <w:pStyle w:val="22"/>
      </w:pPr>
      <w:r w:rsidRPr="00765F6E">
        <w:rPr>
          <w:rFonts w:hint="eastAsia"/>
        </w:rPr>
        <w:t>地下结构设计，应减少施工中和建成后对环境造成的不利影响；宜考虑城市规划引起周围环境的改变对结构的作用；对分期建设的车站应根据线网规划，合理确定节点结构形式及预留远期实施条件</w:t>
      </w:r>
      <w:bookmarkStart w:id="1827" w:name="_Toc99792174"/>
      <w:bookmarkEnd w:id="1826"/>
      <w:r w:rsidRPr="00765F6E">
        <w:rPr>
          <w:rFonts w:hint="eastAsia"/>
        </w:rPr>
        <w:t>。</w:t>
      </w:r>
    </w:p>
    <w:p w14:paraId="2F3CF9A8" w14:textId="77777777" w:rsidR="00737EB2" w:rsidRPr="00765F6E" w:rsidRDefault="00737EB2" w:rsidP="009D0776">
      <w:pPr>
        <w:pStyle w:val="22"/>
      </w:pPr>
      <w:r w:rsidRPr="007C2200">
        <w:rPr>
          <w:rFonts w:hint="eastAsia"/>
        </w:rPr>
        <w:t>换乘车站的换乘节点应按空间结构设计，并应符合以下规定：</w:t>
      </w:r>
      <w:bookmarkEnd w:id="1827"/>
    </w:p>
    <w:p w14:paraId="51427799" w14:textId="77777777" w:rsidR="00737EB2" w:rsidRPr="00765F6E" w:rsidRDefault="00737EB2" w:rsidP="003334F3">
      <w:pPr>
        <w:pStyle w:val="af6"/>
        <w:numPr>
          <w:ilvl w:val="0"/>
          <w:numId w:val="140"/>
        </w:numPr>
        <w:tabs>
          <w:tab w:val="left" w:pos="851"/>
        </w:tabs>
        <w:snapToGrid w:val="0"/>
        <w:contextualSpacing/>
      </w:pPr>
      <w:r w:rsidRPr="00765F6E">
        <w:rPr>
          <w:rFonts w:hint="eastAsia"/>
        </w:rPr>
        <w:t>两条线路车站同步建设时，换乘节点按空间结构同时设计；</w:t>
      </w:r>
    </w:p>
    <w:p w14:paraId="7DF3130D" w14:textId="7CA35717" w:rsidR="00737EB2" w:rsidRPr="00765F6E" w:rsidRDefault="00737EB2" w:rsidP="003334F3">
      <w:pPr>
        <w:pStyle w:val="af6"/>
        <w:tabs>
          <w:tab w:val="left" w:pos="851"/>
        </w:tabs>
        <w:snapToGrid w:val="0"/>
        <w:contextualSpacing/>
      </w:pPr>
      <w:r w:rsidRPr="00765F6E">
        <w:rPr>
          <w:rFonts w:hint="eastAsia"/>
        </w:rPr>
        <w:t>两条线路车站分期建设、</w:t>
      </w:r>
      <w:r w:rsidRPr="00B66CDF">
        <w:rPr>
          <w:rFonts w:hint="eastAsia"/>
        </w:rPr>
        <w:t>先建车站在上方时，先施工车站与局部换乘落深段应同步建设并包含两侧后建方向局部连接段</w:t>
      </w:r>
      <w:r w:rsidR="0099224B" w:rsidRPr="00B66CDF">
        <w:rPr>
          <w:rFonts w:hint="eastAsia"/>
        </w:rPr>
        <w:t>（约1/4～1/3跨长）</w:t>
      </w:r>
      <w:r w:rsidRPr="00B66CDF">
        <w:rPr>
          <w:rFonts w:hint="eastAsia"/>
        </w:rPr>
        <w:t>；</w:t>
      </w:r>
    </w:p>
    <w:p w14:paraId="712EDE31" w14:textId="77777777" w:rsidR="00737EB2" w:rsidRPr="00765F6E" w:rsidRDefault="00737EB2" w:rsidP="003334F3">
      <w:pPr>
        <w:pStyle w:val="af6"/>
        <w:tabs>
          <w:tab w:val="left" w:pos="851"/>
        </w:tabs>
        <w:snapToGrid w:val="0"/>
        <w:contextualSpacing/>
      </w:pPr>
      <w:r w:rsidRPr="00765F6E">
        <w:rPr>
          <w:rFonts w:hint="eastAsia"/>
        </w:rPr>
        <w:t>两条线路车站分期建设、先建车站在下方时，换乘段应包含在先建车站内一次完成。</w:t>
      </w:r>
    </w:p>
    <w:p w14:paraId="2E0F0366" w14:textId="77777777" w:rsidR="00737EB2" w:rsidRPr="00765F6E" w:rsidRDefault="00737EB2" w:rsidP="009D0776">
      <w:pPr>
        <w:pStyle w:val="22"/>
      </w:pPr>
      <w:bookmarkStart w:id="1828" w:name="_Toc99792172"/>
      <w:r w:rsidRPr="00765F6E">
        <w:rPr>
          <w:rFonts w:hint="eastAsia"/>
        </w:rPr>
        <w:t>地下结构的设计，应根据工程建筑物的特点及其所在地段的具体情况，通过技术、经济、工期、环境影响等多方面综合评价，选择合理的施工方法和结构型式。在含水地层中，应采取可靠的地下水处理和防治措施。</w:t>
      </w:r>
      <w:bookmarkEnd w:id="1828"/>
    </w:p>
    <w:p w14:paraId="110234CD" w14:textId="77777777" w:rsidR="00737EB2" w:rsidRPr="00765F6E" w:rsidRDefault="00737EB2" w:rsidP="009D0776">
      <w:pPr>
        <w:pStyle w:val="22"/>
      </w:pPr>
      <w:bookmarkStart w:id="1829" w:name="_Toc99792175"/>
      <w:r w:rsidRPr="00765F6E">
        <w:rPr>
          <w:rFonts w:hint="eastAsia"/>
        </w:rPr>
        <w:t>地下车站围护结构形式主要有地下连续墙、钻孔灌注桩、钻孔咬合桩及型钢水泥土搅拌墙（SMW工法）、放坡等，宜结合基坑开挖深度、周边场地条件、环境保护要求等条件确定围护结构形式。</w:t>
      </w:r>
      <w:bookmarkEnd w:id="1829"/>
    </w:p>
    <w:p w14:paraId="1CB060A9" w14:textId="77777777" w:rsidR="00737EB2" w:rsidRPr="00765F6E" w:rsidRDefault="00737EB2" w:rsidP="009D0776">
      <w:pPr>
        <w:pStyle w:val="22"/>
      </w:pPr>
      <w:bookmarkStart w:id="1830" w:name="_Toc99792176"/>
      <w:r w:rsidRPr="00765F6E">
        <w:rPr>
          <w:rFonts w:hint="eastAsia"/>
        </w:rPr>
        <w:t>地下车站侧墙应根据工程地质、水文地质、周围环境保护要求、施工条件、工程造价等综合比较选定双墙或单墙结构。考虑增强车站整体刚度，提高耐久性，宜采用双墙结构，墙体结合方式可选用叠合墙、复合墙。</w:t>
      </w:r>
      <w:bookmarkEnd w:id="1830"/>
    </w:p>
    <w:p w14:paraId="3578F21C" w14:textId="77777777" w:rsidR="00737EB2" w:rsidRPr="00765F6E" w:rsidRDefault="00737EB2" w:rsidP="009D0776">
      <w:pPr>
        <w:pStyle w:val="22"/>
      </w:pPr>
      <w:bookmarkStart w:id="1831" w:name="_Toc99792177"/>
      <w:r w:rsidRPr="00765F6E">
        <w:rPr>
          <w:rFonts w:hint="eastAsia"/>
        </w:rPr>
        <w:t>对于基坑工程，设计应根据周边环境、基坑深度及地质情况，确定基坑安全等级，对地层变形所引起的周围建（构）筑物、地下管线等产生的危害加以预测，并提出安全、经济、技术合理的支护措施，防止过量的地层变形对周围建构筑物和市政管线造成危害。基坑工程设计应遵照JGJ 120进行。</w:t>
      </w:r>
      <w:bookmarkEnd w:id="1831"/>
    </w:p>
    <w:p w14:paraId="7BECF748" w14:textId="77777777" w:rsidR="00737EB2" w:rsidRPr="00765F6E" w:rsidRDefault="00737EB2" w:rsidP="009D0776">
      <w:pPr>
        <w:pStyle w:val="22"/>
      </w:pPr>
      <w:bookmarkStart w:id="1832" w:name="_Toc99792178"/>
      <w:r w:rsidRPr="00765F6E">
        <w:rPr>
          <w:rFonts w:hint="eastAsia"/>
        </w:rPr>
        <w:t>地下结构设计应适用施工方法要求，位于土层中的车站宜优先选用明挖法施工；需要减少施工对地面交通影响时，可采用盖挖法施工，并宜铺设临时路面，采用盖挖顺作法（或半盖挖顺作法）施工；对变形控制要求高或平面尺寸大的地下结构宜采用盖挖逆作法、半顺半逆法施工。</w:t>
      </w:r>
      <w:bookmarkEnd w:id="1832"/>
    </w:p>
    <w:p w14:paraId="4CD78090" w14:textId="77777777" w:rsidR="00737EB2" w:rsidRPr="00765F6E" w:rsidRDefault="00737EB2" w:rsidP="009D0776">
      <w:pPr>
        <w:pStyle w:val="22"/>
      </w:pPr>
      <w:bookmarkStart w:id="1833" w:name="_Toc99792180"/>
      <w:r w:rsidRPr="00765F6E">
        <w:rPr>
          <w:rFonts w:hint="eastAsia"/>
        </w:rPr>
        <w:t>地下车站结构遇到下列情况时，应对其纵向强度和变形进行分析：</w:t>
      </w:r>
      <w:bookmarkEnd w:id="1833"/>
    </w:p>
    <w:p w14:paraId="026BF473" w14:textId="77777777" w:rsidR="00737EB2" w:rsidRPr="00765F6E" w:rsidRDefault="00737EB2" w:rsidP="003334F3">
      <w:pPr>
        <w:pStyle w:val="af6"/>
        <w:numPr>
          <w:ilvl w:val="0"/>
          <w:numId w:val="141"/>
        </w:numPr>
        <w:tabs>
          <w:tab w:val="left" w:pos="851"/>
        </w:tabs>
        <w:snapToGrid w:val="0"/>
        <w:contextualSpacing/>
      </w:pPr>
      <w:r w:rsidRPr="00765F6E">
        <w:rPr>
          <w:rFonts w:hint="eastAsia"/>
        </w:rPr>
        <w:t>覆土荷载沿纵向有较大变化时；</w:t>
      </w:r>
    </w:p>
    <w:p w14:paraId="028D94FB" w14:textId="77777777" w:rsidR="00737EB2" w:rsidRPr="00765F6E" w:rsidRDefault="00737EB2" w:rsidP="003334F3">
      <w:pPr>
        <w:pStyle w:val="af6"/>
        <w:tabs>
          <w:tab w:val="left" w:pos="851"/>
        </w:tabs>
        <w:snapToGrid w:val="0"/>
        <w:contextualSpacing/>
      </w:pPr>
      <w:r w:rsidRPr="00765F6E">
        <w:rPr>
          <w:rFonts w:hint="eastAsia"/>
        </w:rPr>
        <w:t>结构直接承受建（构）筑物较大局部荷载时；</w:t>
      </w:r>
    </w:p>
    <w:p w14:paraId="0C991351" w14:textId="77777777" w:rsidR="00737EB2" w:rsidRPr="00765F6E" w:rsidRDefault="00737EB2" w:rsidP="003334F3">
      <w:pPr>
        <w:pStyle w:val="af6"/>
        <w:tabs>
          <w:tab w:val="left" w:pos="851"/>
        </w:tabs>
        <w:snapToGrid w:val="0"/>
        <w:contextualSpacing/>
      </w:pPr>
      <w:r w:rsidRPr="00765F6E">
        <w:rPr>
          <w:rFonts w:hint="eastAsia"/>
        </w:rPr>
        <w:t>地基或基础有显著差异，结构沿纵向有不均匀沉降时。</w:t>
      </w:r>
    </w:p>
    <w:p w14:paraId="6786C264" w14:textId="0424DC18" w:rsidR="00737EB2" w:rsidRPr="00B66CDF" w:rsidRDefault="0099224B" w:rsidP="009D0776">
      <w:pPr>
        <w:pStyle w:val="22"/>
      </w:pPr>
      <w:bookmarkStart w:id="1834" w:name="_Toc99792181"/>
      <w:r w:rsidRPr="00B66CDF">
        <w:rPr>
          <w:rFonts w:hint="eastAsia"/>
        </w:rPr>
        <w:t>变形缝的设置应符合下列规定</w:t>
      </w:r>
      <w:r w:rsidR="00737EB2" w:rsidRPr="00B66CDF">
        <w:rPr>
          <w:rFonts w:hint="eastAsia"/>
        </w:rPr>
        <w:t>：</w:t>
      </w:r>
      <w:bookmarkEnd w:id="1834"/>
    </w:p>
    <w:p w14:paraId="5E66DDD5" w14:textId="7727DD15" w:rsidR="0099224B" w:rsidRPr="00B66CDF" w:rsidRDefault="0099224B" w:rsidP="003334F3">
      <w:pPr>
        <w:pStyle w:val="af6"/>
        <w:numPr>
          <w:ilvl w:val="0"/>
          <w:numId w:val="294"/>
        </w:numPr>
        <w:tabs>
          <w:tab w:val="left" w:pos="851"/>
        </w:tabs>
        <w:snapToGrid w:val="0"/>
        <w:contextualSpacing/>
      </w:pPr>
      <w:r w:rsidRPr="00B66CDF">
        <w:rPr>
          <w:rFonts w:hint="eastAsia"/>
        </w:rPr>
        <w:lastRenderedPageBreak/>
        <w:t>地下结构的变形缝可分为伸缩缝和沉降缝；</w:t>
      </w:r>
    </w:p>
    <w:p w14:paraId="4F596E7E" w14:textId="3431044C" w:rsidR="0099224B" w:rsidRPr="00B66CDF" w:rsidRDefault="0099224B" w:rsidP="003334F3">
      <w:pPr>
        <w:pStyle w:val="af6"/>
        <w:numPr>
          <w:ilvl w:val="0"/>
          <w:numId w:val="294"/>
        </w:numPr>
        <w:tabs>
          <w:tab w:val="left" w:pos="851"/>
        </w:tabs>
        <w:snapToGrid w:val="0"/>
        <w:contextualSpacing/>
      </w:pPr>
      <w:r w:rsidRPr="00B66CDF">
        <w:rPr>
          <w:rFonts w:hint="eastAsia"/>
        </w:rPr>
        <w:t>伸缩缝的形式和间距可根据围岩条件、施工工艺、使用要求以及运营期间车站内部温度相对于结构施工时的变化等，按类似工程的经验确定；</w:t>
      </w:r>
    </w:p>
    <w:p w14:paraId="0BD1BDC0" w14:textId="10133A99" w:rsidR="0099224B" w:rsidRPr="00B66CDF" w:rsidRDefault="0099224B" w:rsidP="003334F3">
      <w:pPr>
        <w:pStyle w:val="af6"/>
        <w:numPr>
          <w:ilvl w:val="0"/>
          <w:numId w:val="294"/>
        </w:numPr>
        <w:tabs>
          <w:tab w:val="left" w:pos="851"/>
        </w:tabs>
        <w:snapToGrid w:val="0"/>
        <w:contextualSpacing/>
      </w:pPr>
      <w:r w:rsidRPr="00B66CDF">
        <w:rPr>
          <w:rFonts w:hint="eastAsia"/>
        </w:rPr>
        <w:t>为了确保运营时轨道结构具有足够的安全度，地下车站主体结构不设沉降缝。当结构、荷载、地基和基础发生变化，可能引起较大的差异沉降时，宜通过地基处理、结构措施或设置后浇带等方法将结构的纵向沉降曲率和沉降差控制在允许变形范围内</w:t>
      </w:r>
    </w:p>
    <w:p w14:paraId="37DC62D8" w14:textId="44CC8E41" w:rsidR="00737EB2" w:rsidRPr="00B66CDF" w:rsidRDefault="0099224B" w:rsidP="003334F3">
      <w:pPr>
        <w:pStyle w:val="af6"/>
        <w:numPr>
          <w:ilvl w:val="0"/>
          <w:numId w:val="294"/>
        </w:numPr>
        <w:tabs>
          <w:tab w:val="left" w:pos="851"/>
        </w:tabs>
        <w:snapToGrid w:val="0"/>
        <w:contextualSpacing/>
      </w:pPr>
      <w:r w:rsidRPr="00B66CDF">
        <w:rPr>
          <w:rFonts w:hint="eastAsia"/>
        </w:rPr>
        <w:t>在车站结构与出入口通道、风道等附属结构的结合部位宜设置变形缝</w:t>
      </w:r>
      <w:r w:rsidR="00B52E69" w:rsidRPr="00B66CDF">
        <w:rPr>
          <w:rFonts w:hint="eastAsia"/>
        </w:rPr>
        <w:t>；</w:t>
      </w:r>
    </w:p>
    <w:p w14:paraId="1CC8CB0B" w14:textId="779D58FB" w:rsidR="00737EB2" w:rsidRPr="00B66CDF" w:rsidRDefault="0099224B" w:rsidP="003334F3">
      <w:pPr>
        <w:pStyle w:val="af6"/>
        <w:tabs>
          <w:tab w:val="left" w:pos="851"/>
        </w:tabs>
        <w:snapToGrid w:val="0"/>
        <w:contextualSpacing/>
      </w:pPr>
      <w:r w:rsidRPr="00B66CDF">
        <w:rPr>
          <w:rFonts w:hint="eastAsia"/>
        </w:rPr>
        <w:t>应采取可靠的措施，确保变形缝两边的结构不产生影响行车安全和正常使用的差异沉降</w:t>
      </w:r>
      <w:r w:rsidR="00737EB2" w:rsidRPr="00B66CDF">
        <w:rPr>
          <w:rFonts w:hint="eastAsia"/>
        </w:rPr>
        <w:t>。</w:t>
      </w:r>
    </w:p>
    <w:p w14:paraId="5E221EEA" w14:textId="1E4F6B9D" w:rsidR="00737EB2" w:rsidRPr="00B66CDF" w:rsidRDefault="0099224B" w:rsidP="009D0776">
      <w:pPr>
        <w:pStyle w:val="22"/>
      </w:pPr>
      <w:bookmarkStart w:id="1835" w:name="_Toc99792182"/>
      <w:r w:rsidRPr="00B66CDF">
        <w:rPr>
          <w:rFonts w:hint="eastAsia"/>
        </w:rPr>
        <w:t>现浇混凝土及钢筋混凝土结构横向分段浇注的施工缝位置及间距应结合结构形式、受力要求、施工方法、气象条件及变形缝的间距等因素，按类似工程的经验确定</w:t>
      </w:r>
      <w:r w:rsidR="00737EB2" w:rsidRPr="00B66CDF">
        <w:rPr>
          <w:rFonts w:hint="eastAsia"/>
        </w:rPr>
        <w:t>。</w:t>
      </w:r>
      <w:bookmarkEnd w:id="1835"/>
    </w:p>
    <w:p w14:paraId="22613BD4" w14:textId="676BA26A" w:rsidR="0099224B" w:rsidRPr="00B66CDF" w:rsidRDefault="0099224B" w:rsidP="009D0776">
      <w:pPr>
        <w:pStyle w:val="22"/>
      </w:pPr>
      <w:bookmarkStart w:id="1836" w:name="_Toc99792183"/>
      <w:r w:rsidRPr="00B66CDF">
        <w:rPr>
          <w:rFonts w:hint="eastAsia"/>
        </w:rPr>
        <w:t>地下车站结构环境类别与作用等级划分按GB/T</w:t>
      </w:r>
      <w:r w:rsidRPr="00B66CDF">
        <w:t xml:space="preserve"> </w:t>
      </w:r>
      <w:r w:rsidRPr="00B66CDF">
        <w:rPr>
          <w:rFonts w:hint="eastAsia"/>
        </w:rPr>
        <w:t>50476-</w:t>
      </w:r>
      <w:r w:rsidRPr="00B66CDF">
        <w:t>2019</w:t>
      </w:r>
      <w:r w:rsidRPr="00B66CDF">
        <w:rPr>
          <w:rFonts w:hint="eastAsia"/>
        </w:rPr>
        <w:t>的有关规定执行</w:t>
      </w:r>
    </w:p>
    <w:bookmarkEnd w:id="1836"/>
    <w:p w14:paraId="5E08E081" w14:textId="3458C75F" w:rsidR="00737EB2" w:rsidRPr="00B66CDF" w:rsidRDefault="0099224B" w:rsidP="009D0776">
      <w:pPr>
        <w:pStyle w:val="22"/>
      </w:pPr>
      <w:r w:rsidRPr="00B66CDF">
        <w:rPr>
          <w:rFonts w:hint="eastAsia"/>
        </w:rPr>
        <w:t>处于一般环境中的地下车站结构，构件的最大计算裂缝宽度的允许值应根据结构类型、使用要求、所处环境和防水措施等因素确定，并应符合表</w:t>
      </w:r>
      <w:r w:rsidRPr="00B66CDF">
        <w:t>74</w:t>
      </w:r>
      <w:r w:rsidRPr="00B66CDF">
        <w:rPr>
          <w:rFonts w:hint="eastAsia"/>
        </w:rPr>
        <w:t>中的规定。处于冻融环境或侵蚀环境等其他不利条件下的结构，其最大计算裂缝宽度允许值应根据具体情况另行确定</w:t>
      </w:r>
      <w:r w:rsidR="00737EB2" w:rsidRPr="00B66CDF">
        <w:rPr>
          <w:rFonts w:hint="eastAsia"/>
        </w:rPr>
        <w:t>。</w:t>
      </w:r>
    </w:p>
    <w:p w14:paraId="1599AB7A" w14:textId="77777777" w:rsidR="00737EB2" w:rsidRPr="00B66CDF" w:rsidRDefault="00737EB2" w:rsidP="00737EB2">
      <w:pPr>
        <w:pStyle w:val="aff3"/>
        <w:spacing w:before="156" w:after="156"/>
      </w:pPr>
      <w:r w:rsidRPr="00B66CDF">
        <w:rPr>
          <w:rFonts w:hint="eastAsia"/>
        </w:rPr>
        <w:t>钢筋混凝土构件的最大计算裂缝宽度允许值</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108"/>
        <w:gridCol w:w="3110"/>
        <w:gridCol w:w="3116"/>
      </w:tblGrid>
      <w:tr w:rsidR="00737EB2" w:rsidRPr="00B66CDF" w14:paraId="3A7DF2FB" w14:textId="77777777" w:rsidTr="0099224B">
        <w:trPr>
          <w:trHeight w:val="176"/>
        </w:trPr>
        <w:tc>
          <w:tcPr>
            <w:tcW w:w="3331" w:type="pct"/>
            <w:gridSpan w:val="2"/>
            <w:tcBorders>
              <w:top w:val="single" w:sz="8" w:space="0" w:color="auto"/>
              <w:bottom w:val="single" w:sz="4" w:space="0" w:color="auto"/>
            </w:tcBorders>
            <w:shd w:val="clear" w:color="auto" w:fill="auto"/>
            <w:vAlign w:val="center"/>
          </w:tcPr>
          <w:p w14:paraId="43542F67" w14:textId="77777777" w:rsidR="00737EB2" w:rsidRPr="00B66CDF" w:rsidRDefault="00737EB2" w:rsidP="00871D47">
            <w:pPr>
              <w:spacing w:line="240" w:lineRule="exact"/>
              <w:jc w:val="center"/>
              <w:textAlignment w:val="center"/>
              <w:rPr>
                <w:rFonts w:ascii="宋体" w:hAnsi="宋体"/>
                <w:sz w:val="18"/>
                <w:szCs w:val="18"/>
              </w:rPr>
            </w:pPr>
            <w:r w:rsidRPr="00B66CDF">
              <w:rPr>
                <w:rFonts w:ascii="宋体" w:hAnsi="宋体" w:hint="eastAsia"/>
                <w:sz w:val="18"/>
                <w:szCs w:val="18"/>
              </w:rPr>
              <w:t>结构类型</w:t>
            </w:r>
          </w:p>
        </w:tc>
        <w:tc>
          <w:tcPr>
            <w:tcW w:w="1669" w:type="pct"/>
            <w:tcBorders>
              <w:top w:val="single" w:sz="8" w:space="0" w:color="auto"/>
              <w:bottom w:val="single" w:sz="4" w:space="0" w:color="auto"/>
            </w:tcBorders>
            <w:shd w:val="clear" w:color="auto" w:fill="auto"/>
            <w:vAlign w:val="center"/>
          </w:tcPr>
          <w:p w14:paraId="0FAB5238" w14:textId="77777777" w:rsidR="00737EB2" w:rsidRPr="00B66CDF" w:rsidRDefault="00737EB2" w:rsidP="00871D47">
            <w:pPr>
              <w:spacing w:line="240" w:lineRule="exact"/>
              <w:jc w:val="center"/>
              <w:textAlignment w:val="center"/>
              <w:rPr>
                <w:rFonts w:ascii="宋体" w:hAnsi="宋体"/>
                <w:sz w:val="18"/>
                <w:szCs w:val="18"/>
              </w:rPr>
            </w:pPr>
            <w:r w:rsidRPr="00B66CDF">
              <w:rPr>
                <w:rFonts w:ascii="宋体" w:hAnsi="宋体" w:hint="eastAsia"/>
                <w:sz w:val="18"/>
                <w:szCs w:val="18"/>
              </w:rPr>
              <w:t>裂缝</w:t>
            </w:r>
            <w:r w:rsidRPr="00B66CDF">
              <w:rPr>
                <w:rFonts w:ascii="宋体" w:hAnsi="宋体"/>
                <w:sz w:val="18"/>
                <w:szCs w:val="18"/>
              </w:rPr>
              <w:t>宽度</w:t>
            </w:r>
            <w:r w:rsidRPr="00B66CDF">
              <w:rPr>
                <w:rFonts w:ascii="宋体" w:hAnsi="宋体" w:hint="eastAsia"/>
                <w:sz w:val="18"/>
                <w:szCs w:val="18"/>
              </w:rPr>
              <w:t>允许值/</w:t>
            </w:r>
            <w:r w:rsidRPr="00B66CDF">
              <w:rPr>
                <w:rFonts w:ascii="宋体" w:hAnsi="宋体"/>
                <w:sz w:val="18"/>
                <w:szCs w:val="18"/>
              </w:rPr>
              <w:t>mm</w:t>
            </w:r>
          </w:p>
        </w:tc>
      </w:tr>
      <w:tr w:rsidR="007B2A9C" w:rsidRPr="00B66CDF" w14:paraId="3517E152" w14:textId="77777777" w:rsidTr="0099224B">
        <w:trPr>
          <w:trHeight w:val="176"/>
        </w:trPr>
        <w:tc>
          <w:tcPr>
            <w:tcW w:w="3331" w:type="pct"/>
            <w:gridSpan w:val="2"/>
            <w:tcBorders>
              <w:top w:val="single" w:sz="4" w:space="0" w:color="auto"/>
              <w:bottom w:val="single" w:sz="4" w:space="0" w:color="auto"/>
            </w:tcBorders>
            <w:shd w:val="clear" w:color="auto" w:fill="auto"/>
            <w:vAlign w:val="center"/>
          </w:tcPr>
          <w:p w14:paraId="0CDF4959" w14:textId="59B910AB" w:rsidR="00737EB2" w:rsidRPr="00B66CDF" w:rsidRDefault="00737EB2" w:rsidP="00871D47">
            <w:pPr>
              <w:spacing w:line="240" w:lineRule="exact"/>
              <w:jc w:val="center"/>
              <w:textAlignment w:val="center"/>
              <w:rPr>
                <w:rFonts w:ascii="宋体" w:hAnsi="宋体"/>
                <w:sz w:val="18"/>
                <w:szCs w:val="18"/>
              </w:rPr>
            </w:pPr>
            <w:r w:rsidRPr="00B66CDF">
              <w:rPr>
                <w:rFonts w:ascii="宋体" w:hAnsi="宋体" w:hint="eastAsia"/>
                <w:sz w:val="18"/>
                <w:szCs w:val="18"/>
              </w:rPr>
              <w:t>预制拼结构</w:t>
            </w:r>
          </w:p>
        </w:tc>
        <w:tc>
          <w:tcPr>
            <w:tcW w:w="1669" w:type="pct"/>
            <w:tcBorders>
              <w:top w:val="single" w:sz="4" w:space="0" w:color="auto"/>
              <w:bottom w:val="single" w:sz="4" w:space="0" w:color="auto"/>
            </w:tcBorders>
            <w:shd w:val="clear" w:color="auto" w:fill="auto"/>
            <w:vAlign w:val="center"/>
          </w:tcPr>
          <w:p w14:paraId="6D0D9DB7" w14:textId="3455B07A" w:rsidR="00737EB2" w:rsidRPr="00B66CDF" w:rsidRDefault="00737EB2" w:rsidP="00871D47">
            <w:pPr>
              <w:spacing w:line="240" w:lineRule="exact"/>
              <w:jc w:val="center"/>
              <w:textAlignment w:val="center"/>
              <w:rPr>
                <w:rFonts w:ascii="宋体" w:hAnsi="宋体"/>
                <w:sz w:val="18"/>
                <w:szCs w:val="18"/>
              </w:rPr>
            </w:pPr>
            <w:r w:rsidRPr="00B66CDF">
              <w:rPr>
                <w:rFonts w:ascii="宋体" w:hAnsi="宋体" w:hint="eastAsia"/>
                <w:sz w:val="18"/>
                <w:szCs w:val="18"/>
              </w:rPr>
              <w:t>0.2</w:t>
            </w:r>
          </w:p>
        </w:tc>
      </w:tr>
      <w:tr w:rsidR="00737EB2" w:rsidRPr="00B66CDF" w14:paraId="16529E88" w14:textId="77777777" w:rsidTr="0099224B">
        <w:trPr>
          <w:trHeight w:val="176"/>
        </w:trPr>
        <w:tc>
          <w:tcPr>
            <w:tcW w:w="1665" w:type="pct"/>
            <w:vMerge w:val="restart"/>
            <w:tcBorders>
              <w:top w:val="single" w:sz="4" w:space="0" w:color="auto"/>
            </w:tcBorders>
            <w:shd w:val="clear" w:color="auto" w:fill="auto"/>
            <w:vAlign w:val="center"/>
          </w:tcPr>
          <w:p w14:paraId="3245813A" w14:textId="77777777" w:rsidR="00737EB2" w:rsidRPr="00B66CDF" w:rsidRDefault="00737EB2" w:rsidP="00871D47">
            <w:pPr>
              <w:spacing w:line="240" w:lineRule="exact"/>
              <w:jc w:val="center"/>
              <w:textAlignment w:val="center"/>
              <w:rPr>
                <w:rFonts w:ascii="宋体" w:hAnsi="宋体"/>
                <w:sz w:val="18"/>
                <w:szCs w:val="18"/>
              </w:rPr>
            </w:pPr>
            <w:r w:rsidRPr="00B66CDF">
              <w:rPr>
                <w:rFonts w:ascii="宋体" w:hAnsi="宋体" w:hint="eastAsia"/>
                <w:sz w:val="18"/>
                <w:szCs w:val="18"/>
              </w:rPr>
              <w:t>其他结构</w:t>
            </w:r>
          </w:p>
        </w:tc>
        <w:tc>
          <w:tcPr>
            <w:tcW w:w="1666" w:type="pct"/>
            <w:tcBorders>
              <w:top w:val="single" w:sz="4" w:space="0" w:color="auto"/>
            </w:tcBorders>
            <w:shd w:val="clear" w:color="auto" w:fill="auto"/>
            <w:vAlign w:val="center"/>
          </w:tcPr>
          <w:p w14:paraId="2F7B6091" w14:textId="77777777" w:rsidR="00737EB2" w:rsidRPr="00B66CDF" w:rsidRDefault="00737EB2" w:rsidP="00871D47">
            <w:pPr>
              <w:spacing w:line="240" w:lineRule="exact"/>
              <w:jc w:val="center"/>
              <w:textAlignment w:val="center"/>
              <w:rPr>
                <w:rFonts w:ascii="宋体" w:hAnsi="宋体"/>
                <w:sz w:val="18"/>
                <w:szCs w:val="18"/>
              </w:rPr>
            </w:pPr>
            <w:r w:rsidRPr="00B66CDF">
              <w:rPr>
                <w:rFonts w:ascii="宋体" w:hAnsi="宋体" w:hint="eastAsia"/>
                <w:sz w:val="18"/>
                <w:szCs w:val="18"/>
              </w:rPr>
              <w:t>水中环境、土中缺氧环境</w:t>
            </w:r>
          </w:p>
        </w:tc>
        <w:tc>
          <w:tcPr>
            <w:tcW w:w="1669" w:type="pct"/>
            <w:tcBorders>
              <w:top w:val="single" w:sz="4" w:space="0" w:color="auto"/>
            </w:tcBorders>
            <w:shd w:val="clear" w:color="auto" w:fill="auto"/>
            <w:vAlign w:val="center"/>
          </w:tcPr>
          <w:p w14:paraId="2B3473FE" w14:textId="77777777" w:rsidR="00737EB2" w:rsidRPr="00B66CDF" w:rsidRDefault="00737EB2" w:rsidP="00871D47">
            <w:pPr>
              <w:spacing w:line="240" w:lineRule="exact"/>
              <w:jc w:val="center"/>
              <w:textAlignment w:val="center"/>
              <w:rPr>
                <w:rFonts w:ascii="宋体" w:hAnsi="宋体"/>
                <w:sz w:val="18"/>
                <w:szCs w:val="18"/>
              </w:rPr>
            </w:pPr>
            <w:r w:rsidRPr="00B66CDF">
              <w:rPr>
                <w:rFonts w:ascii="宋体" w:hAnsi="宋体" w:hint="eastAsia"/>
                <w:sz w:val="18"/>
                <w:szCs w:val="18"/>
              </w:rPr>
              <w:t>0.3</w:t>
            </w:r>
          </w:p>
        </w:tc>
      </w:tr>
      <w:tr w:rsidR="00737EB2" w:rsidRPr="00B66CDF" w14:paraId="1D6BCEBC" w14:textId="77777777" w:rsidTr="00871D47">
        <w:trPr>
          <w:trHeight w:val="176"/>
        </w:trPr>
        <w:tc>
          <w:tcPr>
            <w:tcW w:w="1665" w:type="pct"/>
            <w:vMerge/>
            <w:shd w:val="clear" w:color="auto" w:fill="auto"/>
            <w:vAlign w:val="center"/>
          </w:tcPr>
          <w:p w14:paraId="7A989747" w14:textId="77777777" w:rsidR="00737EB2" w:rsidRPr="00B66CDF" w:rsidRDefault="00737EB2" w:rsidP="00871D47">
            <w:pPr>
              <w:spacing w:line="240" w:lineRule="exact"/>
              <w:jc w:val="center"/>
              <w:textAlignment w:val="center"/>
              <w:rPr>
                <w:rFonts w:ascii="宋体" w:hAnsi="宋体"/>
                <w:sz w:val="18"/>
                <w:szCs w:val="18"/>
              </w:rPr>
            </w:pPr>
          </w:p>
        </w:tc>
        <w:tc>
          <w:tcPr>
            <w:tcW w:w="1666" w:type="pct"/>
            <w:shd w:val="clear" w:color="auto" w:fill="auto"/>
            <w:vAlign w:val="center"/>
          </w:tcPr>
          <w:p w14:paraId="4AF070C2" w14:textId="77777777" w:rsidR="00737EB2" w:rsidRPr="00B66CDF" w:rsidRDefault="00737EB2" w:rsidP="00871D47">
            <w:pPr>
              <w:spacing w:line="240" w:lineRule="exact"/>
              <w:jc w:val="center"/>
              <w:textAlignment w:val="center"/>
              <w:rPr>
                <w:rFonts w:ascii="宋体" w:hAnsi="宋体"/>
                <w:sz w:val="18"/>
                <w:szCs w:val="18"/>
              </w:rPr>
            </w:pPr>
            <w:r w:rsidRPr="00B66CDF">
              <w:rPr>
                <w:rFonts w:ascii="宋体" w:hAnsi="宋体" w:hint="eastAsia"/>
                <w:sz w:val="18"/>
                <w:szCs w:val="18"/>
              </w:rPr>
              <w:t>洞内干燥环境或洞内潮湿环境</w:t>
            </w:r>
          </w:p>
        </w:tc>
        <w:tc>
          <w:tcPr>
            <w:tcW w:w="1669" w:type="pct"/>
            <w:shd w:val="clear" w:color="auto" w:fill="auto"/>
            <w:vAlign w:val="center"/>
          </w:tcPr>
          <w:p w14:paraId="0522A6F6" w14:textId="77777777" w:rsidR="00737EB2" w:rsidRPr="00B66CDF" w:rsidRDefault="00737EB2" w:rsidP="00871D47">
            <w:pPr>
              <w:spacing w:line="240" w:lineRule="exact"/>
              <w:jc w:val="center"/>
              <w:textAlignment w:val="center"/>
              <w:rPr>
                <w:rFonts w:ascii="宋体" w:hAnsi="宋体"/>
                <w:sz w:val="18"/>
                <w:szCs w:val="18"/>
              </w:rPr>
            </w:pPr>
            <w:r w:rsidRPr="00B66CDF">
              <w:rPr>
                <w:rFonts w:ascii="宋体" w:hAnsi="宋体" w:hint="eastAsia"/>
                <w:sz w:val="18"/>
                <w:szCs w:val="18"/>
              </w:rPr>
              <w:t>0</w:t>
            </w:r>
            <w:r w:rsidRPr="00B66CDF">
              <w:rPr>
                <w:rFonts w:ascii="宋体" w:hAnsi="宋体"/>
                <w:sz w:val="18"/>
                <w:szCs w:val="18"/>
              </w:rPr>
              <w:t>.</w:t>
            </w:r>
            <w:r w:rsidRPr="00B66CDF">
              <w:rPr>
                <w:rFonts w:ascii="宋体" w:hAnsi="宋体" w:hint="eastAsia"/>
                <w:sz w:val="18"/>
                <w:szCs w:val="18"/>
              </w:rPr>
              <w:t>3</w:t>
            </w:r>
          </w:p>
        </w:tc>
      </w:tr>
      <w:tr w:rsidR="00737EB2" w:rsidRPr="00B66CDF" w14:paraId="01F944C9" w14:textId="77777777" w:rsidTr="00871D47">
        <w:trPr>
          <w:trHeight w:val="176"/>
        </w:trPr>
        <w:tc>
          <w:tcPr>
            <w:tcW w:w="1665" w:type="pct"/>
            <w:vMerge/>
            <w:shd w:val="clear" w:color="auto" w:fill="auto"/>
            <w:vAlign w:val="center"/>
          </w:tcPr>
          <w:p w14:paraId="4BE6D1F2" w14:textId="77777777" w:rsidR="00737EB2" w:rsidRPr="00B66CDF" w:rsidRDefault="00737EB2" w:rsidP="00871D47">
            <w:pPr>
              <w:spacing w:line="240" w:lineRule="exact"/>
              <w:jc w:val="center"/>
              <w:textAlignment w:val="center"/>
              <w:rPr>
                <w:rFonts w:ascii="宋体" w:hAnsi="宋体"/>
                <w:sz w:val="18"/>
                <w:szCs w:val="18"/>
              </w:rPr>
            </w:pPr>
          </w:p>
        </w:tc>
        <w:tc>
          <w:tcPr>
            <w:tcW w:w="1666" w:type="pct"/>
            <w:shd w:val="clear" w:color="auto" w:fill="auto"/>
            <w:vAlign w:val="center"/>
          </w:tcPr>
          <w:p w14:paraId="71110DF9" w14:textId="77777777" w:rsidR="00737EB2" w:rsidRPr="00B66CDF" w:rsidRDefault="00737EB2" w:rsidP="00871D47">
            <w:pPr>
              <w:spacing w:line="240" w:lineRule="exact"/>
              <w:jc w:val="center"/>
              <w:textAlignment w:val="center"/>
              <w:rPr>
                <w:rFonts w:ascii="宋体" w:hAnsi="宋体"/>
                <w:sz w:val="18"/>
                <w:szCs w:val="18"/>
              </w:rPr>
            </w:pPr>
            <w:r w:rsidRPr="00B66CDF">
              <w:rPr>
                <w:rFonts w:ascii="宋体" w:hAnsi="宋体" w:hint="eastAsia"/>
                <w:sz w:val="18"/>
                <w:szCs w:val="18"/>
              </w:rPr>
              <w:t>干湿交替环境</w:t>
            </w:r>
          </w:p>
        </w:tc>
        <w:tc>
          <w:tcPr>
            <w:tcW w:w="1669" w:type="pct"/>
            <w:shd w:val="clear" w:color="auto" w:fill="auto"/>
            <w:vAlign w:val="center"/>
          </w:tcPr>
          <w:p w14:paraId="3651FA3A" w14:textId="77777777" w:rsidR="00737EB2" w:rsidRPr="00B66CDF" w:rsidRDefault="00737EB2" w:rsidP="00871D47">
            <w:pPr>
              <w:spacing w:line="240" w:lineRule="exact"/>
              <w:jc w:val="center"/>
              <w:textAlignment w:val="center"/>
              <w:rPr>
                <w:rFonts w:ascii="宋体" w:hAnsi="宋体"/>
                <w:sz w:val="18"/>
                <w:szCs w:val="18"/>
              </w:rPr>
            </w:pPr>
            <w:r w:rsidRPr="00B66CDF">
              <w:rPr>
                <w:rFonts w:ascii="宋体" w:hAnsi="宋体" w:hint="eastAsia"/>
                <w:sz w:val="18"/>
                <w:szCs w:val="18"/>
              </w:rPr>
              <w:t>0</w:t>
            </w:r>
            <w:r w:rsidRPr="00B66CDF">
              <w:rPr>
                <w:rFonts w:ascii="宋体" w:hAnsi="宋体"/>
                <w:sz w:val="18"/>
                <w:szCs w:val="18"/>
              </w:rPr>
              <w:t>.</w:t>
            </w:r>
            <w:r w:rsidRPr="00B66CDF">
              <w:rPr>
                <w:rFonts w:ascii="宋体" w:hAnsi="宋体" w:hint="eastAsia"/>
                <w:sz w:val="18"/>
                <w:szCs w:val="18"/>
              </w:rPr>
              <w:t>2</w:t>
            </w:r>
          </w:p>
        </w:tc>
      </w:tr>
      <w:tr w:rsidR="00737EB2" w:rsidRPr="00B66CDF" w14:paraId="280E7B67" w14:textId="77777777" w:rsidTr="001B759C">
        <w:trPr>
          <w:trHeight w:val="406"/>
        </w:trPr>
        <w:tc>
          <w:tcPr>
            <w:tcW w:w="5000" w:type="pct"/>
            <w:gridSpan w:val="3"/>
            <w:tcBorders>
              <w:top w:val="single" w:sz="8" w:space="0" w:color="auto"/>
              <w:bottom w:val="single" w:sz="8" w:space="0" w:color="auto"/>
            </w:tcBorders>
            <w:shd w:val="clear" w:color="auto" w:fill="auto"/>
            <w:vAlign w:val="center"/>
          </w:tcPr>
          <w:p w14:paraId="52D091F5" w14:textId="621F8528" w:rsidR="00737EB2" w:rsidRPr="00B66CDF" w:rsidRDefault="00910957" w:rsidP="00871D47">
            <w:pPr>
              <w:pStyle w:val="a6"/>
              <w:numPr>
                <w:ilvl w:val="0"/>
                <w:numId w:val="0"/>
              </w:numPr>
              <w:ind w:firstLineChars="100" w:firstLine="180"/>
            </w:pPr>
            <w:r w:rsidRPr="00B66CDF">
              <w:t>当设计采用的最大裂缝宽度的计算式中保护层的实际度超过 30mm 时，可将保护层厚度的计算值取为 30mm</w:t>
            </w:r>
            <w:r w:rsidR="00737EB2" w:rsidRPr="00B66CDF">
              <w:t>。</w:t>
            </w:r>
          </w:p>
          <w:p w14:paraId="267C5407" w14:textId="0AAFD18E" w:rsidR="00737EB2" w:rsidRPr="00B66CDF" w:rsidRDefault="00910957" w:rsidP="00871D47">
            <w:pPr>
              <w:pStyle w:val="a6"/>
              <w:numPr>
                <w:ilvl w:val="0"/>
                <w:numId w:val="0"/>
              </w:numPr>
              <w:ind w:firstLineChars="100" w:firstLine="180"/>
            </w:pPr>
            <w:r w:rsidRPr="00B66CDF">
              <w:t>厚度不小于300mm的钢筋混凝土结构可不计干湿交</w:t>
            </w:r>
            <w:r w:rsidRPr="00B66CDF">
              <w:rPr>
                <w:rFonts w:hint="eastAsia"/>
              </w:rPr>
              <w:t>替</w:t>
            </w:r>
            <w:r w:rsidRPr="00B66CDF">
              <w:t>作用</w:t>
            </w:r>
            <w:r w:rsidR="00737EB2" w:rsidRPr="00B66CDF">
              <w:t>。</w:t>
            </w:r>
          </w:p>
          <w:p w14:paraId="0AB049DE" w14:textId="731AFE37" w:rsidR="00737EB2" w:rsidRPr="00B66CDF" w:rsidRDefault="00910957" w:rsidP="00871D47">
            <w:pPr>
              <w:pStyle w:val="a6"/>
              <w:numPr>
                <w:ilvl w:val="0"/>
                <w:numId w:val="0"/>
              </w:numPr>
              <w:ind w:firstLineChars="100" w:firstLine="180"/>
            </w:pPr>
            <w:r w:rsidRPr="00B66CDF">
              <w:t>洞内潮湿环境指环境相对湿度为 45%</w:t>
            </w:r>
            <w:r w:rsidRPr="00B66CDF">
              <w:rPr>
                <w:rFonts w:hint="eastAsia"/>
              </w:rPr>
              <w:t>～</w:t>
            </w:r>
            <w:r w:rsidRPr="00B66CDF">
              <w:t>80%</w:t>
            </w:r>
            <w:r w:rsidR="00737EB2" w:rsidRPr="00B66CDF">
              <w:t>。</w:t>
            </w:r>
          </w:p>
        </w:tc>
      </w:tr>
    </w:tbl>
    <w:p w14:paraId="4EA0E945" w14:textId="77777777" w:rsidR="00737EB2" w:rsidRPr="00B66CDF" w:rsidRDefault="00737EB2" w:rsidP="00453DBE">
      <w:bookmarkStart w:id="1837" w:name="_Toc99792184"/>
    </w:p>
    <w:p w14:paraId="0E21E784" w14:textId="419706B7" w:rsidR="00737EB2" w:rsidRPr="00B66CDF" w:rsidRDefault="00910957" w:rsidP="009D0776">
      <w:pPr>
        <w:pStyle w:val="22"/>
      </w:pPr>
      <w:r w:rsidRPr="00B66CDF">
        <w:rPr>
          <w:rFonts w:hint="eastAsia"/>
        </w:rPr>
        <w:t>地下车站钢筋的混凝保护层厚度应根据结构类别、环境条件和耐久性要求等确定，一般环境作用下最外层钢筋的混凝土保护层厚度应符合表7</w:t>
      </w:r>
      <w:r w:rsidRPr="00B66CDF">
        <w:t>5</w:t>
      </w:r>
      <w:r w:rsidRPr="00B66CDF">
        <w:rPr>
          <w:rFonts w:hint="eastAsia"/>
        </w:rPr>
        <w:t>的规定</w:t>
      </w:r>
      <w:bookmarkEnd w:id="1837"/>
      <w:r w:rsidR="00B66CDF" w:rsidRPr="00B66CDF">
        <w:rPr>
          <w:rFonts w:hint="eastAsia"/>
        </w:rPr>
        <w:t>：</w:t>
      </w:r>
    </w:p>
    <w:p w14:paraId="45BB7890" w14:textId="77777777" w:rsidR="00737EB2" w:rsidRPr="00765F6E" w:rsidRDefault="00737EB2" w:rsidP="00737EB2">
      <w:pPr>
        <w:pStyle w:val="aff3"/>
        <w:spacing w:before="156" w:after="156"/>
      </w:pPr>
      <w:r w:rsidRPr="00765F6E">
        <w:rPr>
          <w:rFonts w:hint="eastAsia"/>
        </w:rPr>
        <w:t>一般环境条件下最外层钢筋的混凝土保护层最小厚度</w:t>
      </w:r>
    </w:p>
    <w:p w14:paraId="440CFC56" w14:textId="77777777" w:rsidR="00737EB2" w:rsidRPr="00765F6E" w:rsidRDefault="00737EB2" w:rsidP="007D4D5B">
      <w:pPr>
        <w:pStyle w:val="affffb"/>
        <w:snapToGrid w:val="0"/>
        <w:ind w:firstLine="360"/>
        <w:jc w:val="right"/>
        <w:rPr>
          <w:rFonts w:ascii="Calibri" w:hAnsi="宋体"/>
          <w:kern w:val="2"/>
          <w:sz w:val="18"/>
          <w:szCs w:val="18"/>
        </w:rPr>
      </w:pPr>
      <w:r w:rsidRPr="00765F6E">
        <w:rPr>
          <w:rFonts w:ascii="Calibri" w:hAnsi="宋体" w:hint="eastAsia"/>
          <w:kern w:val="2"/>
          <w:sz w:val="18"/>
          <w:szCs w:val="18"/>
        </w:rPr>
        <w:t>单位为毫米</w:t>
      </w:r>
    </w:p>
    <w:tbl>
      <w:tblPr>
        <w:tblW w:w="5004"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747"/>
        <w:gridCol w:w="757"/>
        <w:gridCol w:w="764"/>
        <w:gridCol w:w="768"/>
        <w:gridCol w:w="777"/>
        <w:gridCol w:w="768"/>
        <w:gridCol w:w="768"/>
        <w:gridCol w:w="818"/>
        <w:gridCol w:w="768"/>
        <w:gridCol w:w="773"/>
        <w:gridCol w:w="768"/>
        <w:gridCol w:w="865"/>
      </w:tblGrid>
      <w:tr w:rsidR="00737EB2" w:rsidRPr="00765F6E" w14:paraId="32479DDA" w14:textId="77777777" w:rsidTr="00871D47">
        <w:trPr>
          <w:trHeight w:val="176"/>
        </w:trPr>
        <w:tc>
          <w:tcPr>
            <w:tcW w:w="400" w:type="pct"/>
            <w:vMerge w:val="restart"/>
            <w:tcBorders>
              <w:top w:val="single" w:sz="8" w:space="0" w:color="auto"/>
            </w:tcBorders>
            <w:shd w:val="clear" w:color="auto" w:fill="auto"/>
            <w:vAlign w:val="center"/>
          </w:tcPr>
          <w:p w14:paraId="413948C8"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结构</w:t>
            </w:r>
            <w:r w:rsidRPr="00765F6E">
              <w:rPr>
                <w:rFonts w:ascii="宋体" w:hAnsi="宋体"/>
                <w:sz w:val="18"/>
                <w:szCs w:val="18"/>
              </w:rPr>
              <w:t>类别</w:t>
            </w:r>
          </w:p>
        </w:tc>
        <w:tc>
          <w:tcPr>
            <w:tcW w:w="405" w:type="pct"/>
            <w:vMerge w:val="restart"/>
            <w:tcBorders>
              <w:top w:val="single" w:sz="8" w:space="0" w:color="auto"/>
            </w:tcBorders>
            <w:shd w:val="clear" w:color="auto" w:fill="auto"/>
            <w:vAlign w:val="center"/>
          </w:tcPr>
          <w:p w14:paraId="4DA9FCD1" w14:textId="77777777" w:rsidR="00737EB2" w:rsidRPr="00765F6E" w:rsidRDefault="00737EB2" w:rsidP="00871D47">
            <w:pPr>
              <w:spacing w:line="200" w:lineRule="exact"/>
              <w:jc w:val="center"/>
              <w:textAlignment w:val="center"/>
              <w:rPr>
                <w:rFonts w:hAnsi="宋体"/>
                <w:sz w:val="18"/>
                <w:szCs w:val="18"/>
              </w:rPr>
            </w:pPr>
            <w:r w:rsidRPr="00765F6E">
              <w:rPr>
                <w:rFonts w:hAnsi="宋体" w:hint="eastAsia"/>
                <w:sz w:val="18"/>
                <w:szCs w:val="18"/>
              </w:rPr>
              <w:t>地</w:t>
            </w:r>
          </w:p>
          <w:p w14:paraId="0D54C7CE" w14:textId="77777777" w:rsidR="00737EB2" w:rsidRPr="00765F6E" w:rsidRDefault="00737EB2" w:rsidP="00871D47">
            <w:pPr>
              <w:spacing w:line="200" w:lineRule="exact"/>
              <w:jc w:val="center"/>
              <w:textAlignment w:val="center"/>
              <w:rPr>
                <w:rFonts w:hAnsi="宋体"/>
                <w:sz w:val="18"/>
                <w:szCs w:val="18"/>
              </w:rPr>
            </w:pPr>
            <w:r w:rsidRPr="00765F6E">
              <w:rPr>
                <w:rFonts w:hAnsi="宋体" w:hint="eastAsia"/>
                <w:sz w:val="18"/>
                <w:szCs w:val="18"/>
              </w:rPr>
              <w:t>下</w:t>
            </w:r>
          </w:p>
          <w:p w14:paraId="0881D034" w14:textId="77777777" w:rsidR="00737EB2" w:rsidRPr="00765F6E" w:rsidRDefault="00737EB2" w:rsidP="00871D47">
            <w:pPr>
              <w:spacing w:line="200" w:lineRule="exact"/>
              <w:jc w:val="center"/>
              <w:textAlignment w:val="center"/>
              <w:rPr>
                <w:rFonts w:hAnsi="宋体"/>
                <w:sz w:val="18"/>
                <w:szCs w:val="18"/>
              </w:rPr>
            </w:pPr>
            <w:r w:rsidRPr="00765F6E">
              <w:rPr>
                <w:rFonts w:hAnsi="宋体" w:hint="eastAsia"/>
                <w:sz w:val="18"/>
                <w:szCs w:val="18"/>
              </w:rPr>
              <w:t>连</w:t>
            </w:r>
          </w:p>
          <w:p w14:paraId="771D0E5D" w14:textId="77777777" w:rsidR="00737EB2" w:rsidRPr="00765F6E" w:rsidRDefault="00737EB2" w:rsidP="00871D47">
            <w:pPr>
              <w:spacing w:line="200" w:lineRule="exact"/>
              <w:jc w:val="center"/>
              <w:textAlignment w:val="center"/>
              <w:rPr>
                <w:rFonts w:hAnsi="宋体"/>
                <w:sz w:val="18"/>
                <w:szCs w:val="18"/>
              </w:rPr>
            </w:pPr>
            <w:r w:rsidRPr="00765F6E">
              <w:rPr>
                <w:rFonts w:hAnsi="宋体" w:hint="eastAsia"/>
                <w:sz w:val="18"/>
                <w:szCs w:val="18"/>
              </w:rPr>
              <w:t>续</w:t>
            </w:r>
          </w:p>
          <w:p w14:paraId="30BCFDD2" w14:textId="77777777" w:rsidR="00737EB2" w:rsidRPr="00765F6E" w:rsidRDefault="00737EB2" w:rsidP="00871D47">
            <w:pPr>
              <w:spacing w:line="200" w:lineRule="exact"/>
              <w:jc w:val="center"/>
              <w:textAlignment w:val="center"/>
              <w:rPr>
                <w:rFonts w:hAnsi="宋体"/>
                <w:sz w:val="18"/>
                <w:szCs w:val="18"/>
              </w:rPr>
            </w:pPr>
            <w:r w:rsidRPr="00765F6E">
              <w:rPr>
                <w:rFonts w:hAnsi="宋体" w:hint="eastAsia"/>
                <w:sz w:val="18"/>
                <w:szCs w:val="18"/>
              </w:rPr>
              <w:t>墙</w:t>
            </w:r>
          </w:p>
        </w:tc>
        <w:tc>
          <w:tcPr>
            <w:tcW w:w="409" w:type="pct"/>
            <w:vMerge w:val="restart"/>
            <w:tcBorders>
              <w:top w:val="single" w:sz="8" w:space="0" w:color="auto"/>
            </w:tcBorders>
            <w:shd w:val="clear" w:color="auto" w:fill="auto"/>
            <w:vAlign w:val="center"/>
          </w:tcPr>
          <w:p w14:paraId="5D623AD4" w14:textId="77777777" w:rsidR="00737EB2" w:rsidRPr="00765F6E" w:rsidRDefault="00737EB2" w:rsidP="00871D47">
            <w:pPr>
              <w:spacing w:line="200" w:lineRule="exact"/>
              <w:jc w:val="center"/>
              <w:textAlignment w:val="center"/>
              <w:rPr>
                <w:rFonts w:hAnsi="宋体"/>
                <w:sz w:val="18"/>
                <w:szCs w:val="18"/>
              </w:rPr>
            </w:pPr>
            <w:r w:rsidRPr="00765F6E">
              <w:rPr>
                <w:rFonts w:hAnsi="宋体" w:hint="eastAsia"/>
                <w:sz w:val="18"/>
                <w:szCs w:val="18"/>
              </w:rPr>
              <w:t>钻</w:t>
            </w:r>
          </w:p>
          <w:p w14:paraId="1C77B32E" w14:textId="77777777" w:rsidR="00737EB2" w:rsidRPr="00765F6E" w:rsidRDefault="00737EB2" w:rsidP="00871D47">
            <w:pPr>
              <w:spacing w:line="200" w:lineRule="exact"/>
              <w:jc w:val="center"/>
              <w:textAlignment w:val="center"/>
              <w:rPr>
                <w:rFonts w:hAnsi="宋体"/>
                <w:sz w:val="18"/>
                <w:szCs w:val="18"/>
              </w:rPr>
            </w:pPr>
            <w:r w:rsidRPr="00765F6E">
              <w:rPr>
                <w:rFonts w:hAnsi="宋体" w:hint="eastAsia"/>
                <w:sz w:val="18"/>
                <w:szCs w:val="18"/>
              </w:rPr>
              <w:t>孔</w:t>
            </w:r>
          </w:p>
          <w:p w14:paraId="3721AF39" w14:textId="77777777" w:rsidR="00737EB2" w:rsidRPr="00765F6E" w:rsidRDefault="00737EB2" w:rsidP="00871D47">
            <w:pPr>
              <w:spacing w:line="200" w:lineRule="exact"/>
              <w:jc w:val="center"/>
              <w:textAlignment w:val="center"/>
              <w:rPr>
                <w:rFonts w:hAnsi="宋体"/>
                <w:sz w:val="18"/>
                <w:szCs w:val="18"/>
              </w:rPr>
            </w:pPr>
            <w:r w:rsidRPr="00765F6E">
              <w:rPr>
                <w:rFonts w:hAnsi="宋体"/>
                <w:sz w:val="18"/>
                <w:szCs w:val="18"/>
              </w:rPr>
              <w:t>灌</w:t>
            </w:r>
          </w:p>
          <w:p w14:paraId="224BEA70" w14:textId="77777777" w:rsidR="00737EB2" w:rsidRPr="00765F6E" w:rsidRDefault="00737EB2" w:rsidP="00871D47">
            <w:pPr>
              <w:spacing w:line="200" w:lineRule="exact"/>
              <w:jc w:val="center"/>
              <w:textAlignment w:val="center"/>
              <w:rPr>
                <w:rFonts w:hAnsi="宋体"/>
                <w:sz w:val="18"/>
                <w:szCs w:val="18"/>
              </w:rPr>
            </w:pPr>
            <w:r w:rsidRPr="00765F6E">
              <w:rPr>
                <w:rFonts w:hAnsi="宋体"/>
                <w:sz w:val="18"/>
                <w:szCs w:val="18"/>
              </w:rPr>
              <w:t>注</w:t>
            </w:r>
          </w:p>
          <w:p w14:paraId="556D7E2A" w14:textId="77777777" w:rsidR="00737EB2" w:rsidRPr="00765F6E" w:rsidRDefault="00737EB2" w:rsidP="00871D47">
            <w:pPr>
              <w:spacing w:line="200" w:lineRule="exact"/>
              <w:jc w:val="center"/>
              <w:textAlignment w:val="center"/>
              <w:rPr>
                <w:rFonts w:hAnsi="宋体"/>
                <w:sz w:val="18"/>
                <w:szCs w:val="18"/>
              </w:rPr>
            </w:pPr>
            <w:r w:rsidRPr="00765F6E">
              <w:rPr>
                <w:rFonts w:hAnsi="宋体"/>
                <w:sz w:val="18"/>
                <w:szCs w:val="18"/>
              </w:rPr>
              <w:t>桩</w:t>
            </w:r>
          </w:p>
        </w:tc>
        <w:tc>
          <w:tcPr>
            <w:tcW w:w="3786" w:type="pct"/>
            <w:gridSpan w:val="9"/>
            <w:tcBorders>
              <w:top w:val="single" w:sz="8" w:space="0" w:color="auto"/>
              <w:bottom w:val="single" w:sz="8" w:space="0" w:color="auto"/>
            </w:tcBorders>
            <w:shd w:val="clear" w:color="auto" w:fill="auto"/>
            <w:vAlign w:val="center"/>
          </w:tcPr>
          <w:p w14:paraId="648DE2EE" w14:textId="77777777" w:rsidR="00737EB2" w:rsidRPr="00765F6E" w:rsidRDefault="00737EB2" w:rsidP="00871D47">
            <w:pPr>
              <w:spacing w:line="240" w:lineRule="exact"/>
              <w:jc w:val="center"/>
              <w:textAlignment w:val="center"/>
              <w:rPr>
                <w:rFonts w:hAnsi="宋体"/>
                <w:sz w:val="18"/>
                <w:szCs w:val="18"/>
              </w:rPr>
            </w:pPr>
            <w:r w:rsidRPr="00765F6E">
              <w:rPr>
                <w:rFonts w:ascii="宋体" w:hAnsi="宋体" w:hint="eastAsia"/>
                <w:sz w:val="18"/>
                <w:szCs w:val="18"/>
              </w:rPr>
              <w:t>明挖结构</w:t>
            </w:r>
          </w:p>
        </w:tc>
      </w:tr>
      <w:tr w:rsidR="00737EB2" w:rsidRPr="00765F6E" w14:paraId="6509D62F" w14:textId="77777777" w:rsidTr="00871D47">
        <w:trPr>
          <w:trHeight w:val="176"/>
        </w:trPr>
        <w:tc>
          <w:tcPr>
            <w:tcW w:w="400" w:type="pct"/>
            <w:vMerge/>
            <w:shd w:val="clear" w:color="auto" w:fill="auto"/>
            <w:vAlign w:val="center"/>
          </w:tcPr>
          <w:p w14:paraId="007F826D" w14:textId="77777777" w:rsidR="00737EB2" w:rsidRPr="00765F6E" w:rsidRDefault="00737EB2" w:rsidP="00871D47">
            <w:pPr>
              <w:jc w:val="center"/>
              <w:rPr>
                <w:rFonts w:hAnsi="宋体"/>
                <w:sz w:val="18"/>
                <w:szCs w:val="18"/>
              </w:rPr>
            </w:pPr>
          </w:p>
        </w:tc>
        <w:tc>
          <w:tcPr>
            <w:tcW w:w="405" w:type="pct"/>
            <w:vMerge/>
            <w:shd w:val="clear" w:color="auto" w:fill="auto"/>
            <w:vAlign w:val="center"/>
          </w:tcPr>
          <w:p w14:paraId="36BB34FD" w14:textId="77777777" w:rsidR="00737EB2" w:rsidRPr="00765F6E" w:rsidRDefault="00737EB2" w:rsidP="00871D47">
            <w:pPr>
              <w:jc w:val="center"/>
              <w:rPr>
                <w:rFonts w:hAnsi="宋体"/>
                <w:sz w:val="18"/>
                <w:szCs w:val="18"/>
              </w:rPr>
            </w:pPr>
          </w:p>
        </w:tc>
        <w:tc>
          <w:tcPr>
            <w:tcW w:w="409" w:type="pct"/>
            <w:vMerge/>
            <w:shd w:val="clear" w:color="auto" w:fill="auto"/>
            <w:vAlign w:val="center"/>
          </w:tcPr>
          <w:p w14:paraId="46EC99E3" w14:textId="77777777" w:rsidR="00737EB2" w:rsidRPr="00765F6E" w:rsidRDefault="00737EB2" w:rsidP="00871D47">
            <w:pPr>
              <w:jc w:val="center"/>
              <w:rPr>
                <w:rFonts w:hAnsi="宋体"/>
                <w:sz w:val="18"/>
                <w:szCs w:val="18"/>
              </w:rPr>
            </w:pPr>
          </w:p>
        </w:tc>
        <w:tc>
          <w:tcPr>
            <w:tcW w:w="2087" w:type="pct"/>
            <w:gridSpan w:val="5"/>
            <w:tcBorders>
              <w:top w:val="single" w:sz="8" w:space="0" w:color="auto"/>
            </w:tcBorders>
            <w:shd w:val="clear" w:color="auto" w:fill="auto"/>
            <w:vAlign w:val="center"/>
          </w:tcPr>
          <w:p w14:paraId="7DD885CF"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现浇结构</w:t>
            </w:r>
          </w:p>
        </w:tc>
        <w:tc>
          <w:tcPr>
            <w:tcW w:w="1699" w:type="pct"/>
            <w:gridSpan w:val="4"/>
            <w:tcBorders>
              <w:top w:val="single" w:sz="8" w:space="0" w:color="auto"/>
            </w:tcBorders>
            <w:shd w:val="clear" w:color="auto" w:fill="auto"/>
            <w:vAlign w:val="center"/>
          </w:tcPr>
          <w:p w14:paraId="76924910"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内衬结构</w:t>
            </w:r>
          </w:p>
        </w:tc>
      </w:tr>
      <w:tr w:rsidR="00737EB2" w:rsidRPr="00765F6E" w14:paraId="4F596644" w14:textId="77777777" w:rsidTr="00871D47">
        <w:trPr>
          <w:trHeight w:val="176"/>
        </w:trPr>
        <w:tc>
          <w:tcPr>
            <w:tcW w:w="400" w:type="pct"/>
            <w:vMerge/>
            <w:shd w:val="clear" w:color="auto" w:fill="auto"/>
            <w:vAlign w:val="center"/>
          </w:tcPr>
          <w:p w14:paraId="456AAE27" w14:textId="77777777" w:rsidR="00737EB2" w:rsidRPr="00765F6E" w:rsidRDefault="00737EB2" w:rsidP="00871D47">
            <w:pPr>
              <w:jc w:val="center"/>
              <w:rPr>
                <w:rFonts w:hAnsi="宋体"/>
                <w:sz w:val="18"/>
                <w:szCs w:val="18"/>
              </w:rPr>
            </w:pPr>
          </w:p>
        </w:tc>
        <w:tc>
          <w:tcPr>
            <w:tcW w:w="405" w:type="pct"/>
            <w:vMerge/>
            <w:shd w:val="clear" w:color="auto" w:fill="auto"/>
            <w:vAlign w:val="center"/>
          </w:tcPr>
          <w:p w14:paraId="28A7E948" w14:textId="77777777" w:rsidR="00737EB2" w:rsidRPr="00765F6E" w:rsidRDefault="00737EB2" w:rsidP="00871D47">
            <w:pPr>
              <w:jc w:val="center"/>
              <w:rPr>
                <w:rFonts w:hAnsi="宋体"/>
                <w:sz w:val="18"/>
                <w:szCs w:val="18"/>
              </w:rPr>
            </w:pPr>
          </w:p>
        </w:tc>
        <w:tc>
          <w:tcPr>
            <w:tcW w:w="409" w:type="pct"/>
            <w:vMerge/>
            <w:shd w:val="clear" w:color="auto" w:fill="auto"/>
            <w:vAlign w:val="center"/>
          </w:tcPr>
          <w:p w14:paraId="4CAD4433" w14:textId="77777777" w:rsidR="00737EB2" w:rsidRPr="00765F6E" w:rsidRDefault="00737EB2" w:rsidP="00871D47">
            <w:pPr>
              <w:jc w:val="center"/>
              <w:rPr>
                <w:rFonts w:hAnsi="宋体"/>
                <w:sz w:val="18"/>
                <w:szCs w:val="18"/>
              </w:rPr>
            </w:pPr>
          </w:p>
        </w:tc>
        <w:tc>
          <w:tcPr>
            <w:tcW w:w="827" w:type="pct"/>
            <w:gridSpan w:val="2"/>
            <w:shd w:val="clear" w:color="auto" w:fill="auto"/>
            <w:vAlign w:val="center"/>
          </w:tcPr>
          <w:p w14:paraId="2E1E3896"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顶板</w:t>
            </w:r>
          </w:p>
        </w:tc>
        <w:tc>
          <w:tcPr>
            <w:tcW w:w="411" w:type="pct"/>
            <w:vMerge w:val="restart"/>
            <w:shd w:val="clear" w:color="auto" w:fill="auto"/>
            <w:vAlign w:val="center"/>
          </w:tcPr>
          <w:p w14:paraId="586DA716" w14:textId="77777777" w:rsidR="00737EB2" w:rsidRPr="00765F6E" w:rsidRDefault="00737EB2" w:rsidP="00871D47">
            <w:pPr>
              <w:spacing w:line="240" w:lineRule="auto"/>
              <w:jc w:val="center"/>
              <w:rPr>
                <w:rFonts w:hAnsi="宋体"/>
                <w:sz w:val="18"/>
                <w:szCs w:val="18"/>
              </w:rPr>
            </w:pPr>
            <w:r w:rsidRPr="00765F6E">
              <w:rPr>
                <w:rFonts w:hAnsi="宋体" w:hint="eastAsia"/>
                <w:sz w:val="18"/>
                <w:szCs w:val="18"/>
              </w:rPr>
              <w:t>楼板（内部结构）</w:t>
            </w:r>
          </w:p>
        </w:tc>
        <w:tc>
          <w:tcPr>
            <w:tcW w:w="849" w:type="pct"/>
            <w:gridSpan w:val="2"/>
            <w:shd w:val="clear" w:color="auto" w:fill="auto"/>
            <w:vAlign w:val="center"/>
          </w:tcPr>
          <w:p w14:paraId="01AFD39C"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底板</w:t>
            </w:r>
          </w:p>
        </w:tc>
        <w:tc>
          <w:tcPr>
            <w:tcW w:w="825" w:type="pct"/>
            <w:gridSpan w:val="2"/>
            <w:shd w:val="clear" w:color="auto" w:fill="auto"/>
            <w:vAlign w:val="center"/>
          </w:tcPr>
          <w:p w14:paraId="5155A84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叠合墙</w:t>
            </w:r>
          </w:p>
        </w:tc>
        <w:tc>
          <w:tcPr>
            <w:tcW w:w="874" w:type="pct"/>
            <w:gridSpan w:val="2"/>
            <w:shd w:val="clear" w:color="auto" w:fill="auto"/>
            <w:vAlign w:val="center"/>
          </w:tcPr>
          <w:p w14:paraId="5E251311"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复合墙</w:t>
            </w:r>
          </w:p>
        </w:tc>
      </w:tr>
      <w:tr w:rsidR="00737EB2" w:rsidRPr="00765F6E" w14:paraId="1C69BCA2" w14:textId="77777777" w:rsidTr="00871D47">
        <w:trPr>
          <w:trHeight w:val="176"/>
        </w:trPr>
        <w:tc>
          <w:tcPr>
            <w:tcW w:w="400" w:type="pct"/>
            <w:vMerge/>
            <w:shd w:val="clear" w:color="auto" w:fill="auto"/>
            <w:vAlign w:val="center"/>
          </w:tcPr>
          <w:p w14:paraId="33B5188B" w14:textId="77777777" w:rsidR="00737EB2" w:rsidRPr="00765F6E" w:rsidRDefault="00737EB2" w:rsidP="00871D47">
            <w:pPr>
              <w:jc w:val="center"/>
              <w:rPr>
                <w:rFonts w:hAnsi="宋体"/>
                <w:sz w:val="18"/>
                <w:szCs w:val="18"/>
              </w:rPr>
            </w:pPr>
          </w:p>
        </w:tc>
        <w:tc>
          <w:tcPr>
            <w:tcW w:w="405" w:type="pct"/>
            <w:vMerge/>
            <w:shd w:val="clear" w:color="auto" w:fill="auto"/>
            <w:vAlign w:val="center"/>
          </w:tcPr>
          <w:p w14:paraId="457B5E2B" w14:textId="77777777" w:rsidR="00737EB2" w:rsidRPr="00765F6E" w:rsidRDefault="00737EB2" w:rsidP="00871D47">
            <w:pPr>
              <w:jc w:val="center"/>
              <w:rPr>
                <w:rFonts w:hAnsi="宋体"/>
                <w:sz w:val="18"/>
                <w:szCs w:val="18"/>
              </w:rPr>
            </w:pPr>
          </w:p>
        </w:tc>
        <w:tc>
          <w:tcPr>
            <w:tcW w:w="409" w:type="pct"/>
            <w:vMerge/>
            <w:shd w:val="clear" w:color="auto" w:fill="auto"/>
            <w:vAlign w:val="center"/>
          </w:tcPr>
          <w:p w14:paraId="28D87103" w14:textId="77777777" w:rsidR="00737EB2" w:rsidRPr="00765F6E" w:rsidRDefault="00737EB2" w:rsidP="00871D47">
            <w:pPr>
              <w:jc w:val="center"/>
              <w:rPr>
                <w:rFonts w:hAnsi="宋体"/>
                <w:sz w:val="18"/>
                <w:szCs w:val="18"/>
              </w:rPr>
            </w:pPr>
          </w:p>
        </w:tc>
        <w:tc>
          <w:tcPr>
            <w:tcW w:w="411" w:type="pct"/>
            <w:shd w:val="clear" w:color="auto" w:fill="auto"/>
            <w:vAlign w:val="center"/>
          </w:tcPr>
          <w:p w14:paraId="12744E51"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外侧</w:t>
            </w:r>
          </w:p>
        </w:tc>
        <w:tc>
          <w:tcPr>
            <w:tcW w:w="416" w:type="pct"/>
            <w:shd w:val="clear" w:color="auto" w:fill="auto"/>
            <w:vAlign w:val="center"/>
          </w:tcPr>
          <w:p w14:paraId="12ED452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内侧</w:t>
            </w:r>
          </w:p>
        </w:tc>
        <w:tc>
          <w:tcPr>
            <w:tcW w:w="411" w:type="pct"/>
            <w:vMerge/>
            <w:shd w:val="clear" w:color="auto" w:fill="auto"/>
            <w:vAlign w:val="center"/>
          </w:tcPr>
          <w:p w14:paraId="3383C1B0" w14:textId="77777777" w:rsidR="00737EB2" w:rsidRPr="00765F6E" w:rsidRDefault="00737EB2" w:rsidP="00871D47">
            <w:pPr>
              <w:spacing w:line="240" w:lineRule="exact"/>
              <w:jc w:val="center"/>
              <w:rPr>
                <w:rFonts w:ascii="宋体" w:hAnsi="宋体"/>
                <w:sz w:val="18"/>
                <w:szCs w:val="18"/>
              </w:rPr>
            </w:pPr>
          </w:p>
        </w:tc>
        <w:tc>
          <w:tcPr>
            <w:tcW w:w="411" w:type="pct"/>
            <w:shd w:val="clear" w:color="auto" w:fill="auto"/>
            <w:vAlign w:val="center"/>
          </w:tcPr>
          <w:p w14:paraId="60AA5DD1"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外侧</w:t>
            </w:r>
          </w:p>
        </w:tc>
        <w:tc>
          <w:tcPr>
            <w:tcW w:w="438" w:type="pct"/>
            <w:shd w:val="clear" w:color="auto" w:fill="auto"/>
            <w:vAlign w:val="center"/>
          </w:tcPr>
          <w:p w14:paraId="02DE15D0"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内侧</w:t>
            </w:r>
          </w:p>
        </w:tc>
        <w:tc>
          <w:tcPr>
            <w:tcW w:w="411" w:type="pct"/>
            <w:shd w:val="clear" w:color="auto" w:fill="auto"/>
            <w:vAlign w:val="center"/>
          </w:tcPr>
          <w:p w14:paraId="1CF77BD8"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外侧</w:t>
            </w:r>
          </w:p>
        </w:tc>
        <w:tc>
          <w:tcPr>
            <w:tcW w:w="414" w:type="pct"/>
            <w:shd w:val="clear" w:color="auto" w:fill="auto"/>
            <w:vAlign w:val="center"/>
          </w:tcPr>
          <w:p w14:paraId="5D56D88C"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内侧</w:t>
            </w:r>
          </w:p>
        </w:tc>
        <w:tc>
          <w:tcPr>
            <w:tcW w:w="411" w:type="pct"/>
            <w:shd w:val="clear" w:color="auto" w:fill="auto"/>
            <w:vAlign w:val="center"/>
          </w:tcPr>
          <w:p w14:paraId="67BE63D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外侧</w:t>
            </w:r>
          </w:p>
        </w:tc>
        <w:tc>
          <w:tcPr>
            <w:tcW w:w="463" w:type="pct"/>
            <w:shd w:val="clear" w:color="auto" w:fill="auto"/>
            <w:vAlign w:val="center"/>
          </w:tcPr>
          <w:p w14:paraId="0E0978BE"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内侧</w:t>
            </w:r>
          </w:p>
        </w:tc>
      </w:tr>
      <w:tr w:rsidR="00737EB2" w:rsidRPr="00765F6E" w14:paraId="24E75575" w14:textId="77777777" w:rsidTr="00871D47">
        <w:trPr>
          <w:trHeight w:val="176"/>
        </w:trPr>
        <w:tc>
          <w:tcPr>
            <w:tcW w:w="400" w:type="pct"/>
            <w:shd w:val="clear" w:color="auto" w:fill="auto"/>
            <w:vAlign w:val="center"/>
          </w:tcPr>
          <w:p w14:paraId="1F7661C1" w14:textId="77777777" w:rsidR="00737EB2" w:rsidRPr="00765F6E" w:rsidRDefault="00737EB2" w:rsidP="00871D47">
            <w:pPr>
              <w:pStyle w:val="a6"/>
              <w:numPr>
                <w:ilvl w:val="0"/>
                <w:numId w:val="0"/>
              </w:numPr>
              <w:spacing w:line="200" w:lineRule="exact"/>
              <w:jc w:val="center"/>
              <w:rPr>
                <w:rFonts w:hAnsi="宋体"/>
              </w:rPr>
            </w:pPr>
            <w:r w:rsidRPr="00765F6E">
              <w:rPr>
                <w:rFonts w:hAnsi="宋体" w:cs="宋体" w:hint="eastAsia"/>
                <w:lang w:bidi="ar"/>
              </w:rPr>
              <w:t>保护</w:t>
            </w:r>
            <w:r w:rsidRPr="00765F6E">
              <w:rPr>
                <w:rFonts w:hAnsi="宋体" w:cs="宋体"/>
                <w:lang w:bidi="ar"/>
              </w:rPr>
              <w:t>层厚度</w:t>
            </w:r>
          </w:p>
        </w:tc>
        <w:tc>
          <w:tcPr>
            <w:tcW w:w="405" w:type="pct"/>
            <w:shd w:val="clear" w:color="auto" w:fill="auto"/>
            <w:vAlign w:val="center"/>
          </w:tcPr>
          <w:p w14:paraId="1B90E6DB"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70</w:t>
            </w:r>
          </w:p>
        </w:tc>
        <w:tc>
          <w:tcPr>
            <w:tcW w:w="409" w:type="pct"/>
            <w:shd w:val="clear" w:color="auto" w:fill="auto"/>
            <w:vAlign w:val="center"/>
          </w:tcPr>
          <w:p w14:paraId="20F52CD0"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70</w:t>
            </w:r>
          </w:p>
        </w:tc>
        <w:tc>
          <w:tcPr>
            <w:tcW w:w="411" w:type="pct"/>
            <w:shd w:val="clear" w:color="auto" w:fill="auto"/>
            <w:vAlign w:val="center"/>
          </w:tcPr>
          <w:p w14:paraId="78C4E573"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45</w:t>
            </w:r>
          </w:p>
        </w:tc>
        <w:tc>
          <w:tcPr>
            <w:tcW w:w="416" w:type="pct"/>
            <w:shd w:val="clear" w:color="auto" w:fill="auto"/>
            <w:vAlign w:val="center"/>
          </w:tcPr>
          <w:p w14:paraId="34A36E5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35</w:t>
            </w:r>
          </w:p>
        </w:tc>
        <w:tc>
          <w:tcPr>
            <w:tcW w:w="411" w:type="pct"/>
            <w:shd w:val="clear" w:color="auto" w:fill="auto"/>
            <w:vAlign w:val="center"/>
          </w:tcPr>
          <w:p w14:paraId="7CCC689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30</w:t>
            </w:r>
          </w:p>
        </w:tc>
        <w:tc>
          <w:tcPr>
            <w:tcW w:w="411" w:type="pct"/>
            <w:shd w:val="clear" w:color="auto" w:fill="auto"/>
            <w:vAlign w:val="center"/>
          </w:tcPr>
          <w:p w14:paraId="48D5BEDA"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45</w:t>
            </w:r>
          </w:p>
        </w:tc>
        <w:tc>
          <w:tcPr>
            <w:tcW w:w="438" w:type="pct"/>
            <w:shd w:val="clear" w:color="auto" w:fill="auto"/>
            <w:vAlign w:val="center"/>
          </w:tcPr>
          <w:p w14:paraId="4B07820B"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35</w:t>
            </w:r>
          </w:p>
        </w:tc>
        <w:tc>
          <w:tcPr>
            <w:tcW w:w="411" w:type="pct"/>
            <w:shd w:val="clear" w:color="auto" w:fill="auto"/>
            <w:vAlign w:val="center"/>
          </w:tcPr>
          <w:p w14:paraId="7A14B975"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30</w:t>
            </w:r>
          </w:p>
        </w:tc>
        <w:tc>
          <w:tcPr>
            <w:tcW w:w="414" w:type="pct"/>
            <w:shd w:val="clear" w:color="auto" w:fill="auto"/>
            <w:vAlign w:val="center"/>
          </w:tcPr>
          <w:p w14:paraId="081BB910"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35</w:t>
            </w:r>
          </w:p>
        </w:tc>
        <w:tc>
          <w:tcPr>
            <w:tcW w:w="411" w:type="pct"/>
            <w:shd w:val="clear" w:color="auto" w:fill="auto"/>
            <w:vAlign w:val="center"/>
          </w:tcPr>
          <w:p w14:paraId="2A976285"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40</w:t>
            </w:r>
          </w:p>
        </w:tc>
        <w:tc>
          <w:tcPr>
            <w:tcW w:w="463" w:type="pct"/>
            <w:shd w:val="clear" w:color="auto" w:fill="auto"/>
            <w:vAlign w:val="center"/>
          </w:tcPr>
          <w:p w14:paraId="0CAB5BA4"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35</w:t>
            </w:r>
          </w:p>
        </w:tc>
      </w:tr>
      <w:tr w:rsidR="00737EB2" w:rsidRPr="00B66CDF" w14:paraId="45145840" w14:textId="77777777" w:rsidTr="00871D47">
        <w:trPr>
          <w:trHeight w:val="176"/>
        </w:trPr>
        <w:tc>
          <w:tcPr>
            <w:tcW w:w="5000" w:type="pct"/>
            <w:gridSpan w:val="12"/>
            <w:tcBorders>
              <w:top w:val="single" w:sz="8" w:space="0" w:color="auto"/>
              <w:bottom w:val="single" w:sz="8" w:space="0" w:color="auto"/>
            </w:tcBorders>
            <w:shd w:val="clear" w:color="auto" w:fill="auto"/>
            <w:vAlign w:val="center"/>
          </w:tcPr>
          <w:p w14:paraId="59C629CB" w14:textId="06F6739C" w:rsidR="00737EB2" w:rsidRPr="00B66CDF" w:rsidRDefault="00910957" w:rsidP="00871D47">
            <w:pPr>
              <w:pStyle w:val="a6"/>
              <w:numPr>
                <w:ilvl w:val="0"/>
                <w:numId w:val="0"/>
              </w:numPr>
              <w:ind w:firstLineChars="100" w:firstLine="180"/>
            </w:pPr>
            <w:r w:rsidRPr="00B66CDF">
              <w:t>预制构件的保护层厚度可比表中规定减少5mm；预制构件连接部位采用现浇法时</w:t>
            </w:r>
            <w:r w:rsidRPr="00B66CDF">
              <w:rPr>
                <w:rFonts w:hint="eastAsia"/>
              </w:rPr>
              <w:t>按照</w:t>
            </w:r>
            <w:r w:rsidRPr="00B66CDF">
              <w:t>现浇结构</w:t>
            </w:r>
            <w:r w:rsidR="00737EB2" w:rsidRPr="00B66CDF">
              <w:rPr>
                <w:rFonts w:hint="eastAsia"/>
              </w:rPr>
              <w:t>。</w:t>
            </w:r>
          </w:p>
          <w:p w14:paraId="223E24BE" w14:textId="7292991A" w:rsidR="00737EB2" w:rsidRPr="00B66CDF" w:rsidRDefault="00910957" w:rsidP="00871D47">
            <w:pPr>
              <w:pStyle w:val="a6"/>
              <w:numPr>
                <w:ilvl w:val="0"/>
                <w:numId w:val="0"/>
              </w:numPr>
              <w:ind w:firstLineChars="100" w:firstLine="180"/>
            </w:pPr>
            <w:r w:rsidRPr="00B66CDF">
              <w:t>当地下连续墙与内衬墙组成复合墙时，其内侧钢筋的保护层厚度可采用55mm</w:t>
            </w:r>
            <w:r w:rsidR="00737EB2" w:rsidRPr="00B66CDF">
              <w:t>。</w:t>
            </w:r>
          </w:p>
        </w:tc>
      </w:tr>
    </w:tbl>
    <w:p w14:paraId="388A772D" w14:textId="77777777" w:rsidR="00737EB2" w:rsidRPr="00B66CDF" w:rsidRDefault="00737EB2" w:rsidP="00453DBE">
      <w:bookmarkStart w:id="1838" w:name="_Toc99792185"/>
    </w:p>
    <w:p w14:paraId="330AD0B7" w14:textId="1AFD639D" w:rsidR="00737EB2" w:rsidRPr="00B66CDF" w:rsidRDefault="00910957" w:rsidP="009D0776">
      <w:pPr>
        <w:pStyle w:val="22"/>
      </w:pPr>
      <w:r w:rsidRPr="00B66CDF">
        <w:rPr>
          <w:rFonts w:hint="eastAsia"/>
        </w:rPr>
        <w:t>地下结构中的梁、柱、板、墙等混凝土构件的构造应满足GB 50010的有关规定。当按规定的人防抗力等级设防时，还应满足国家现行相关标准的规定</w:t>
      </w:r>
      <w:r w:rsidR="00737EB2" w:rsidRPr="00B66CDF">
        <w:rPr>
          <w:rFonts w:hint="eastAsia"/>
        </w:rPr>
        <w:t>。</w:t>
      </w:r>
      <w:bookmarkEnd w:id="1838"/>
    </w:p>
    <w:p w14:paraId="40F5CE61" w14:textId="0B5049B9" w:rsidR="00737EB2" w:rsidRPr="00B66CDF" w:rsidRDefault="00910957" w:rsidP="009D0776">
      <w:pPr>
        <w:pStyle w:val="22"/>
      </w:pPr>
      <w:bookmarkStart w:id="1839" w:name="_Toc99792186"/>
      <w:r w:rsidRPr="00B66CDF">
        <w:rPr>
          <w:rFonts w:hint="eastAsia"/>
        </w:rPr>
        <w:t>地下车站主体结构后施工的内部承重墙和隔墙等应与主体结构可靠连接。临近轨行区侧隔墙及轨行区上方风孔周边隔墙应采用钢筋混凝土结构，并应进行列车风荷载和振动荷载作用下结构的疲劳验算和耐久性分析</w:t>
      </w:r>
      <w:r w:rsidR="00737EB2" w:rsidRPr="00B66CDF">
        <w:rPr>
          <w:rFonts w:hint="eastAsia"/>
        </w:rPr>
        <w:t>。</w:t>
      </w:r>
      <w:bookmarkEnd w:id="1839"/>
    </w:p>
    <w:p w14:paraId="30FB272C" w14:textId="13581347" w:rsidR="00737EB2" w:rsidRPr="00B66CDF" w:rsidRDefault="00910957" w:rsidP="009D0776">
      <w:pPr>
        <w:pStyle w:val="22"/>
      </w:pPr>
      <w:bookmarkStart w:id="1840" w:name="_Toc99792187"/>
      <w:r w:rsidRPr="00B66CDF">
        <w:rPr>
          <w:rFonts w:hint="eastAsia"/>
        </w:rPr>
        <w:t>地下车站围护结构与主体之间应设置附加防水层，防水层种类和敷设方式应根据环境条件、结构形式、防水等级、施工方法等确定</w:t>
      </w:r>
      <w:r w:rsidR="00737EB2" w:rsidRPr="00B66CDF">
        <w:rPr>
          <w:rFonts w:hint="eastAsia"/>
        </w:rPr>
        <w:t>。</w:t>
      </w:r>
      <w:bookmarkEnd w:id="1840"/>
    </w:p>
    <w:p w14:paraId="2E1A84D9" w14:textId="795C3528" w:rsidR="00737EB2" w:rsidRPr="00B66CDF" w:rsidRDefault="00910957" w:rsidP="009D0776">
      <w:pPr>
        <w:pStyle w:val="22"/>
      </w:pPr>
      <w:bookmarkStart w:id="1841" w:name="_Toc99792188"/>
      <w:r w:rsidRPr="00B66CDF">
        <w:rPr>
          <w:rFonts w:hint="eastAsia"/>
        </w:rPr>
        <w:lastRenderedPageBreak/>
        <w:t>地下车站结构抗震设计应符合国家现行标准的相关规定。当车站周围土体含有可液化土层时，应根据抗震设防烈度采取相应的措施；当地下车站结构与其他结构合建时，应进行整体抗震验算。施工阶段可不考虑抗震作用</w:t>
      </w:r>
      <w:r w:rsidR="00737EB2" w:rsidRPr="00B66CDF">
        <w:rPr>
          <w:rFonts w:hint="eastAsia"/>
        </w:rPr>
        <w:t>。</w:t>
      </w:r>
      <w:bookmarkEnd w:id="1841"/>
    </w:p>
    <w:p w14:paraId="4A6745B5" w14:textId="1E17946D" w:rsidR="00737EB2" w:rsidRPr="00B66CDF" w:rsidRDefault="00910957" w:rsidP="009D0776">
      <w:pPr>
        <w:pStyle w:val="22"/>
      </w:pPr>
      <w:bookmarkStart w:id="1842" w:name="_Toc99792189"/>
      <w:r w:rsidRPr="00B66CDF">
        <w:rPr>
          <w:rFonts w:hint="eastAsia"/>
        </w:rPr>
        <w:t>地下车站基坑施工中，应按设计要求加强监测和监控，及时掌握基坑围护结构和坑底变形情况、周围地面建（构）筑物、管线沉降及变形资料，确保结构安全并满足环境保护要求，并应结合施工监测的反馈内容逐步实现信息化设计</w:t>
      </w:r>
      <w:r w:rsidR="00737EB2" w:rsidRPr="00B66CDF">
        <w:rPr>
          <w:rFonts w:hint="eastAsia"/>
        </w:rPr>
        <w:t>。</w:t>
      </w:r>
      <w:bookmarkEnd w:id="1842"/>
    </w:p>
    <w:p w14:paraId="76EA1887" w14:textId="77777777" w:rsidR="00737EB2" w:rsidRPr="00765F6E" w:rsidRDefault="00737EB2" w:rsidP="00737EB2">
      <w:pPr>
        <w:pStyle w:val="affe"/>
        <w:spacing w:before="156" w:after="156"/>
      </w:pPr>
      <w:bookmarkStart w:id="1843" w:name="_Toc152659749"/>
      <w:bookmarkStart w:id="1844" w:name="_Toc99792190"/>
      <w:bookmarkStart w:id="1845" w:name="_Toc167895801"/>
      <w:bookmarkStart w:id="1846" w:name="_Toc174538715"/>
      <w:bookmarkStart w:id="1847" w:name="_Toc182476472"/>
      <w:r w:rsidRPr="00765F6E">
        <w:rPr>
          <w:rFonts w:hint="eastAsia"/>
        </w:rPr>
        <w:t>车站结构防水</w:t>
      </w:r>
      <w:bookmarkEnd w:id="1843"/>
      <w:bookmarkEnd w:id="1844"/>
      <w:bookmarkEnd w:id="1845"/>
      <w:bookmarkEnd w:id="1846"/>
      <w:bookmarkEnd w:id="1847"/>
    </w:p>
    <w:p w14:paraId="0DBBE2D7" w14:textId="77777777" w:rsidR="00737EB2" w:rsidRPr="00765F6E" w:rsidRDefault="00737EB2" w:rsidP="009D0776">
      <w:pPr>
        <w:pStyle w:val="22"/>
      </w:pPr>
      <w:bookmarkStart w:id="1848" w:name="_Toc99792191"/>
      <w:r w:rsidRPr="00765F6E">
        <w:rPr>
          <w:rFonts w:hint="eastAsia"/>
        </w:rPr>
        <w:t>地下车站结构应遵循“以防为主，刚柔结合，多道设防，因地制宜，综合治理”的原则，采取与结构形式、施工方法相适应的防水措施，满足结构的安全、耐久性和使用要求，同时宜考虑对地下水资源的保护。</w:t>
      </w:r>
      <w:bookmarkEnd w:id="1848"/>
    </w:p>
    <w:p w14:paraId="7BFA05E1" w14:textId="77777777" w:rsidR="00737EB2" w:rsidRPr="00B66CDF" w:rsidRDefault="00737EB2" w:rsidP="009D0776">
      <w:pPr>
        <w:pStyle w:val="22"/>
      </w:pPr>
      <w:bookmarkStart w:id="1849" w:name="_Toc99792192"/>
      <w:r w:rsidRPr="00765F6E">
        <w:rPr>
          <w:rFonts w:hint="eastAsia"/>
        </w:rPr>
        <w:t>地下车站主体结构、行人通道和机电设备集中区段的防水等级应为一级，不应渗水，结构表面应无湿渍</w:t>
      </w:r>
      <w:r w:rsidRPr="00B66CDF">
        <w:rPr>
          <w:rFonts w:hint="eastAsia"/>
        </w:rPr>
        <w:t>；其余部位可按二级考虑。</w:t>
      </w:r>
      <w:bookmarkStart w:id="1850" w:name="_Toc99792198"/>
      <w:bookmarkEnd w:id="1849"/>
    </w:p>
    <w:p w14:paraId="41C07649" w14:textId="3957B7FB" w:rsidR="00737EB2" w:rsidRPr="00B66CDF" w:rsidRDefault="00910957" w:rsidP="009D0776">
      <w:pPr>
        <w:pStyle w:val="22"/>
      </w:pPr>
      <w:r w:rsidRPr="00B66CDF">
        <w:rPr>
          <w:rFonts w:hint="eastAsia"/>
        </w:rPr>
        <w:t>地面及高架车站的设备用房或站台顶板不允许滴水、渗水，应满足房屋结构防水一级的标准</w:t>
      </w:r>
      <w:r w:rsidR="00737EB2" w:rsidRPr="00B66CDF">
        <w:rPr>
          <w:rFonts w:hint="eastAsia"/>
        </w:rPr>
        <w:t>。</w:t>
      </w:r>
      <w:bookmarkEnd w:id="1850"/>
    </w:p>
    <w:p w14:paraId="0F869794" w14:textId="19428440" w:rsidR="00737EB2" w:rsidRPr="00B66CDF" w:rsidRDefault="00910957" w:rsidP="009D0776">
      <w:pPr>
        <w:pStyle w:val="22"/>
      </w:pPr>
      <w:bookmarkStart w:id="1851" w:name="_Toc99792193"/>
      <w:r w:rsidRPr="00B66CDF">
        <w:rPr>
          <w:rFonts w:hint="eastAsia"/>
        </w:rPr>
        <w:t>明挖法地下工程应以混凝土结构自防水为主，以混凝土结构施工缝、变形缝、诱导缝、后浇带、外部预埋管件防水为重点，并辅以加强防水层，满足结构使用要求。</w:t>
      </w:r>
      <w:r w:rsidRPr="00B66CDF">
        <w:t>装配式地下结构构件的连接接头设计应满足防水及耐久性要求</w:t>
      </w:r>
      <w:r w:rsidRPr="00B66CDF">
        <w:rPr>
          <w:rFonts w:hint="eastAsia"/>
        </w:rPr>
        <w:t>。地下车站防水措施应符合现行国家标准GB 55030的有关规定</w:t>
      </w:r>
      <w:r w:rsidR="004B2E6C" w:rsidRPr="00B66CDF">
        <w:rPr>
          <w:rFonts w:hint="eastAsia"/>
        </w:rPr>
        <w:t>。</w:t>
      </w:r>
    </w:p>
    <w:p w14:paraId="7EB28E5E" w14:textId="77777777" w:rsidR="00737EB2" w:rsidRPr="00B66CDF" w:rsidRDefault="00737EB2" w:rsidP="009D0776">
      <w:pPr>
        <w:pStyle w:val="22"/>
      </w:pPr>
      <w:bookmarkStart w:id="1852" w:name="_Toc99792194"/>
      <w:bookmarkEnd w:id="1851"/>
      <w:r w:rsidRPr="00B66CDF">
        <w:rPr>
          <w:rFonts w:hint="eastAsia"/>
        </w:rPr>
        <w:t>混凝土结构自防水应符合下列要求：</w:t>
      </w:r>
      <w:bookmarkEnd w:id="1852"/>
    </w:p>
    <w:p w14:paraId="230CA6E2" w14:textId="77777777" w:rsidR="00737EB2" w:rsidRPr="00B66CDF" w:rsidRDefault="00737EB2" w:rsidP="003334F3">
      <w:pPr>
        <w:pStyle w:val="af6"/>
        <w:numPr>
          <w:ilvl w:val="0"/>
          <w:numId w:val="142"/>
        </w:numPr>
        <w:tabs>
          <w:tab w:val="left" w:pos="851"/>
        </w:tabs>
        <w:snapToGrid w:val="0"/>
        <w:contextualSpacing/>
      </w:pPr>
      <w:r w:rsidRPr="00B66CDF">
        <w:rPr>
          <w:rFonts w:hint="eastAsia"/>
        </w:rPr>
        <w:t>防水混凝土应满足抗渗等级要求，并应根据地下工程所处的环境条件和工作条件，满足抗压、抗裂和抗侵蚀等耐久性要求；</w:t>
      </w:r>
    </w:p>
    <w:p w14:paraId="376AF3F5" w14:textId="77777777" w:rsidR="00737EB2" w:rsidRPr="00765F6E" w:rsidRDefault="00737EB2" w:rsidP="003334F3">
      <w:pPr>
        <w:pStyle w:val="af6"/>
        <w:tabs>
          <w:tab w:val="left" w:pos="851"/>
        </w:tabs>
        <w:snapToGrid w:val="0"/>
        <w:contextualSpacing/>
      </w:pPr>
      <w:r w:rsidRPr="00765F6E">
        <w:rPr>
          <w:rFonts w:hint="eastAsia"/>
        </w:rPr>
        <w:t>地下车站主体结构防水混凝土厚度不应小于300mm；</w:t>
      </w:r>
    </w:p>
    <w:p w14:paraId="1D1DDF43" w14:textId="63B0D4C8" w:rsidR="00737EB2" w:rsidRPr="00765F6E" w:rsidRDefault="00737EB2" w:rsidP="003334F3">
      <w:pPr>
        <w:pStyle w:val="af6"/>
        <w:tabs>
          <w:tab w:val="left" w:pos="851"/>
        </w:tabs>
        <w:snapToGrid w:val="0"/>
        <w:contextualSpacing/>
      </w:pPr>
      <w:r w:rsidRPr="00765F6E">
        <w:rPr>
          <w:rFonts w:hint="eastAsia"/>
        </w:rPr>
        <w:t>地下车站结构防水混凝土抗渗等级应根据结构埋置深度及防水等级确定，应符合表</w:t>
      </w:r>
      <w:r w:rsidR="001C1F75">
        <w:t>7</w:t>
      </w:r>
      <w:r w:rsidR="00D654D2">
        <w:t>6</w:t>
      </w:r>
      <w:r w:rsidRPr="00765F6E">
        <w:rPr>
          <w:rFonts w:hint="eastAsia"/>
        </w:rPr>
        <w:t>要求</w:t>
      </w:r>
      <w:r w:rsidR="00B52E69">
        <w:rPr>
          <w:rFonts w:hint="eastAsia"/>
        </w:rPr>
        <w:t>。</w:t>
      </w:r>
    </w:p>
    <w:p w14:paraId="220070A5" w14:textId="77777777" w:rsidR="00737EB2" w:rsidRPr="00765F6E" w:rsidRDefault="00737EB2" w:rsidP="00737EB2">
      <w:pPr>
        <w:pStyle w:val="aff3"/>
        <w:spacing w:before="156" w:after="156"/>
      </w:pPr>
      <w:r w:rsidRPr="00765F6E">
        <w:rPr>
          <w:rFonts w:hint="eastAsia"/>
        </w:rPr>
        <w:t>地下车站结构防水混凝土抗渗等级</w:t>
      </w:r>
    </w:p>
    <w:tbl>
      <w:tblPr>
        <w:tblW w:w="5000"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329"/>
        <w:gridCol w:w="3110"/>
        <w:gridCol w:w="2895"/>
      </w:tblGrid>
      <w:tr w:rsidR="004B2E6C" w:rsidRPr="00765F6E" w14:paraId="7E0E6982" w14:textId="77777777" w:rsidTr="004B2E6C">
        <w:trPr>
          <w:trHeight w:val="176"/>
          <w:jc w:val="center"/>
        </w:trPr>
        <w:tc>
          <w:tcPr>
            <w:tcW w:w="1783" w:type="pct"/>
            <w:vMerge w:val="restart"/>
            <w:tcBorders>
              <w:top w:val="single" w:sz="8" w:space="0" w:color="auto"/>
              <w:bottom w:val="single" w:sz="8" w:space="0" w:color="auto"/>
            </w:tcBorders>
            <w:shd w:val="clear" w:color="auto" w:fill="auto"/>
            <w:vAlign w:val="center"/>
          </w:tcPr>
          <w:p w14:paraId="05EE36E6" w14:textId="77777777" w:rsidR="004B2E6C" w:rsidRPr="00765F6E" w:rsidRDefault="004B2E6C" w:rsidP="00871D47">
            <w:pPr>
              <w:spacing w:line="0" w:lineRule="atLeast"/>
              <w:jc w:val="center"/>
              <w:rPr>
                <w:rFonts w:hAnsi="宋体"/>
                <w:sz w:val="18"/>
                <w:szCs w:val="18"/>
              </w:rPr>
            </w:pPr>
            <w:r w:rsidRPr="00765F6E">
              <w:rPr>
                <w:rFonts w:hAnsi="宋体" w:hint="eastAsia"/>
                <w:sz w:val="18"/>
                <w:szCs w:val="18"/>
              </w:rPr>
              <w:t>结构埋置深度</w:t>
            </w:r>
          </w:p>
          <w:p w14:paraId="1EBCB793" w14:textId="77777777" w:rsidR="004B2E6C" w:rsidRPr="00765F6E" w:rsidRDefault="004B2E6C" w:rsidP="00871D47">
            <w:pPr>
              <w:spacing w:line="0" w:lineRule="atLeast"/>
              <w:jc w:val="center"/>
              <w:rPr>
                <w:rFonts w:hAnsi="宋体"/>
                <w:sz w:val="18"/>
                <w:szCs w:val="18"/>
              </w:rPr>
            </w:pPr>
            <w:r w:rsidRPr="00765F6E">
              <w:rPr>
                <w:rFonts w:hAnsi="宋体" w:hint="eastAsia"/>
                <w:sz w:val="18"/>
                <w:szCs w:val="18"/>
              </w:rPr>
              <w:t>H/m</w:t>
            </w:r>
          </w:p>
        </w:tc>
        <w:tc>
          <w:tcPr>
            <w:tcW w:w="3217" w:type="pct"/>
            <w:gridSpan w:val="2"/>
            <w:tcBorders>
              <w:top w:val="single" w:sz="8" w:space="0" w:color="auto"/>
              <w:bottom w:val="single" w:sz="8" w:space="0" w:color="auto"/>
            </w:tcBorders>
            <w:shd w:val="clear" w:color="auto" w:fill="auto"/>
            <w:vAlign w:val="center"/>
          </w:tcPr>
          <w:p w14:paraId="1F5AEBA2" w14:textId="60563726" w:rsidR="004B2E6C" w:rsidRPr="00765F6E" w:rsidRDefault="004B2E6C" w:rsidP="004B2E6C">
            <w:pPr>
              <w:spacing w:line="0" w:lineRule="atLeast"/>
              <w:jc w:val="center"/>
              <w:rPr>
                <w:rFonts w:hAnsi="宋体"/>
                <w:sz w:val="18"/>
                <w:szCs w:val="18"/>
              </w:rPr>
            </w:pPr>
            <w:r w:rsidRPr="00765F6E">
              <w:rPr>
                <w:rFonts w:hAnsi="宋体" w:hint="eastAsia"/>
                <w:sz w:val="18"/>
                <w:szCs w:val="18"/>
              </w:rPr>
              <w:t>抗渗等级</w:t>
            </w:r>
          </w:p>
        </w:tc>
      </w:tr>
      <w:tr w:rsidR="00737EB2" w:rsidRPr="00765F6E" w14:paraId="78BE93C2" w14:textId="77777777" w:rsidTr="00D654D2">
        <w:trPr>
          <w:trHeight w:val="176"/>
          <w:jc w:val="center"/>
        </w:trPr>
        <w:tc>
          <w:tcPr>
            <w:tcW w:w="1783" w:type="pct"/>
            <w:vMerge/>
            <w:tcBorders>
              <w:top w:val="single" w:sz="4" w:space="0" w:color="auto"/>
              <w:bottom w:val="single" w:sz="4" w:space="0" w:color="auto"/>
            </w:tcBorders>
            <w:shd w:val="clear" w:color="auto" w:fill="auto"/>
            <w:vAlign w:val="center"/>
          </w:tcPr>
          <w:p w14:paraId="09F2A142" w14:textId="77777777" w:rsidR="00737EB2" w:rsidRPr="00765F6E" w:rsidRDefault="00737EB2" w:rsidP="00871D47">
            <w:pPr>
              <w:spacing w:line="0" w:lineRule="atLeast"/>
              <w:jc w:val="left"/>
              <w:rPr>
                <w:rFonts w:hAnsi="宋体"/>
                <w:sz w:val="18"/>
                <w:szCs w:val="18"/>
              </w:rPr>
            </w:pPr>
          </w:p>
        </w:tc>
        <w:tc>
          <w:tcPr>
            <w:tcW w:w="1666" w:type="pct"/>
            <w:tcBorders>
              <w:top w:val="single" w:sz="8" w:space="0" w:color="auto"/>
              <w:bottom w:val="single" w:sz="4" w:space="0" w:color="auto"/>
            </w:tcBorders>
            <w:shd w:val="clear" w:color="auto" w:fill="auto"/>
            <w:vAlign w:val="center"/>
          </w:tcPr>
          <w:p w14:paraId="3C210C5C" w14:textId="77777777" w:rsidR="00737EB2" w:rsidRPr="00765F6E" w:rsidRDefault="00737EB2" w:rsidP="00871D47">
            <w:pPr>
              <w:spacing w:line="0" w:lineRule="atLeast"/>
              <w:jc w:val="center"/>
              <w:rPr>
                <w:rFonts w:hAnsi="宋体"/>
                <w:sz w:val="18"/>
                <w:szCs w:val="18"/>
              </w:rPr>
            </w:pPr>
            <w:r w:rsidRPr="00765F6E">
              <w:rPr>
                <w:rFonts w:hAnsi="宋体" w:hint="eastAsia"/>
                <w:sz w:val="18"/>
                <w:szCs w:val="18"/>
              </w:rPr>
              <w:t>现浇混凝土结构</w:t>
            </w:r>
          </w:p>
        </w:tc>
        <w:tc>
          <w:tcPr>
            <w:tcW w:w="1551" w:type="pct"/>
            <w:tcBorders>
              <w:top w:val="single" w:sz="8" w:space="0" w:color="auto"/>
              <w:bottom w:val="single" w:sz="4" w:space="0" w:color="auto"/>
            </w:tcBorders>
            <w:shd w:val="clear" w:color="auto" w:fill="auto"/>
            <w:vAlign w:val="center"/>
          </w:tcPr>
          <w:p w14:paraId="5AE405C7" w14:textId="77777777" w:rsidR="00737EB2" w:rsidRPr="00765F6E" w:rsidRDefault="00737EB2" w:rsidP="00871D47">
            <w:pPr>
              <w:spacing w:line="0" w:lineRule="atLeast"/>
              <w:jc w:val="center"/>
              <w:rPr>
                <w:rFonts w:hAnsi="宋体"/>
                <w:sz w:val="18"/>
                <w:szCs w:val="18"/>
              </w:rPr>
            </w:pPr>
            <w:r w:rsidRPr="00765F6E">
              <w:rPr>
                <w:rFonts w:hAnsi="宋体" w:hint="eastAsia"/>
                <w:sz w:val="18"/>
                <w:szCs w:val="18"/>
              </w:rPr>
              <w:t>装配式钢筋混凝土结构</w:t>
            </w:r>
          </w:p>
        </w:tc>
      </w:tr>
      <w:tr w:rsidR="00737EB2" w:rsidRPr="00765F6E" w14:paraId="0F2F36E5" w14:textId="77777777" w:rsidTr="00D654D2">
        <w:trPr>
          <w:trHeight w:val="176"/>
          <w:jc w:val="center"/>
        </w:trPr>
        <w:tc>
          <w:tcPr>
            <w:tcW w:w="1783" w:type="pct"/>
            <w:tcBorders>
              <w:top w:val="single" w:sz="4" w:space="0" w:color="auto"/>
              <w:bottom w:val="single" w:sz="4" w:space="0" w:color="auto"/>
            </w:tcBorders>
            <w:shd w:val="clear" w:color="auto" w:fill="auto"/>
            <w:vAlign w:val="center"/>
          </w:tcPr>
          <w:p w14:paraId="42376BF8" w14:textId="77777777" w:rsidR="00737EB2" w:rsidRPr="00765F6E" w:rsidRDefault="00737EB2" w:rsidP="00871D47">
            <w:pPr>
              <w:spacing w:line="0" w:lineRule="atLeast"/>
              <w:jc w:val="center"/>
              <w:rPr>
                <w:rFonts w:hAnsi="宋体"/>
                <w:sz w:val="18"/>
                <w:szCs w:val="18"/>
              </w:rPr>
            </w:pPr>
            <w:r w:rsidRPr="00765F6E">
              <w:rPr>
                <w:rFonts w:hAnsi="宋体" w:hint="eastAsia"/>
                <w:sz w:val="18"/>
                <w:szCs w:val="18"/>
              </w:rPr>
              <w:t>H</w:t>
            </w:r>
            <w:r w:rsidRPr="00765F6E">
              <w:rPr>
                <w:rFonts w:hAnsi="宋体" w:hint="eastAsia"/>
                <w:sz w:val="18"/>
                <w:szCs w:val="18"/>
              </w:rPr>
              <w:t>＜</w:t>
            </w:r>
            <w:r w:rsidRPr="00765F6E">
              <w:rPr>
                <w:rFonts w:hAnsi="宋体" w:hint="eastAsia"/>
                <w:sz w:val="18"/>
                <w:szCs w:val="18"/>
              </w:rPr>
              <w:t>20</w:t>
            </w:r>
          </w:p>
        </w:tc>
        <w:tc>
          <w:tcPr>
            <w:tcW w:w="1666" w:type="pct"/>
            <w:tcBorders>
              <w:top w:val="single" w:sz="4" w:space="0" w:color="auto"/>
              <w:bottom w:val="single" w:sz="4" w:space="0" w:color="auto"/>
            </w:tcBorders>
            <w:shd w:val="clear" w:color="auto" w:fill="auto"/>
            <w:vAlign w:val="center"/>
          </w:tcPr>
          <w:p w14:paraId="6335D18C" w14:textId="77777777" w:rsidR="00737EB2" w:rsidRPr="00765F6E" w:rsidRDefault="00737EB2" w:rsidP="00871D47">
            <w:pPr>
              <w:spacing w:line="0" w:lineRule="atLeast"/>
              <w:jc w:val="center"/>
              <w:rPr>
                <w:rFonts w:hAnsi="宋体"/>
                <w:sz w:val="18"/>
                <w:szCs w:val="18"/>
              </w:rPr>
            </w:pPr>
            <w:r w:rsidRPr="00765F6E">
              <w:rPr>
                <w:rFonts w:hAnsi="宋体" w:hint="eastAsia"/>
                <w:sz w:val="18"/>
                <w:szCs w:val="18"/>
              </w:rPr>
              <w:t>P8</w:t>
            </w:r>
          </w:p>
        </w:tc>
        <w:tc>
          <w:tcPr>
            <w:tcW w:w="1551" w:type="pct"/>
            <w:tcBorders>
              <w:top w:val="single" w:sz="4" w:space="0" w:color="auto"/>
              <w:bottom w:val="single" w:sz="4" w:space="0" w:color="auto"/>
            </w:tcBorders>
            <w:shd w:val="clear" w:color="auto" w:fill="auto"/>
            <w:vAlign w:val="center"/>
          </w:tcPr>
          <w:p w14:paraId="22B4DA80" w14:textId="77777777" w:rsidR="00737EB2" w:rsidRPr="00765F6E" w:rsidRDefault="00737EB2" w:rsidP="00871D47">
            <w:pPr>
              <w:spacing w:line="0" w:lineRule="atLeast"/>
              <w:jc w:val="center"/>
              <w:rPr>
                <w:rFonts w:hAnsi="宋体"/>
                <w:sz w:val="18"/>
                <w:szCs w:val="18"/>
              </w:rPr>
            </w:pPr>
            <w:r w:rsidRPr="00765F6E">
              <w:rPr>
                <w:rFonts w:hAnsi="宋体" w:hint="eastAsia"/>
                <w:sz w:val="18"/>
                <w:szCs w:val="18"/>
              </w:rPr>
              <w:t>P10</w:t>
            </w:r>
          </w:p>
        </w:tc>
      </w:tr>
      <w:tr w:rsidR="00737EB2" w:rsidRPr="00765F6E" w14:paraId="73D53DC0" w14:textId="77777777" w:rsidTr="00D654D2">
        <w:trPr>
          <w:trHeight w:val="176"/>
          <w:jc w:val="center"/>
        </w:trPr>
        <w:tc>
          <w:tcPr>
            <w:tcW w:w="1783" w:type="pct"/>
            <w:tcBorders>
              <w:top w:val="single" w:sz="4" w:space="0" w:color="auto"/>
            </w:tcBorders>
            <w:shd w:val="clear" w:color="auto" w:fill="auto"/>
            <w:vAlign w:val="center"/>
          </w:tcPr>
          <w:p w14:paraId="2159B33A" w14:textId="77777777" w:rsidR="00737EB2" w:rsidRPr="00765F6E" w:rsidRDefault="00737EB2" w:rsidP="00871D47">
            <w:pPr>
              <w:spacing w:line="0" w:lineRule="atLeast"/>
              <w:jc w:val="center"/>
              <w:rPr>
                <w:rFonts w:hAnsi="宋体"/>
                <w:sz w:val="18"/>
                <w:szCs w:val="18"/>
              </w:rPr>
            </w:pPr>
            <w:r w:rsidRPr="00765F6E">
              <w:rPr>
                <w:rFonts w:hAnsi="宋体" w:hint="eastAsia"/>
                <w:sz w:val="18"/>
                <w:szCs w:val="18"/>
              </w:rPr>
              <w:t>20</w:t>
            </w:r>
            <w:r w:rsidRPr="00765F6E">
              <w:rPr>
                <w:rFonts w:hAnsi="宋体" w:hint="eastAsia"/>
                <w:sz w:val="18"/>
                <w:szCs w:val="18"/>
              </w:rPr>
              <w:t>≤</w:t>
            </w:r>
            <w:r w:rsidRPr="00765F6E">
              <w:rPr>
                <w:rFonts w:hAnsi="宋体" w:hint="eastAsia"/>
                <w:sz w:val="18"/>
                <w:szCs w:val="18"/>
              </w:rPr>
              <w:t>H</w:t>
            </w:r>
            <w:r w:rsidRPr="00765F6E">
              <w:rPr>
                <w:rFonts w:hAnsi="宋体" w:hint="eastAsia"/>
                <w:sz w:val="18"/>
                <w:szCs w:val="18"/>
              </w:rPr>
              <w:t>＜</w:t>
            </w:r>
            <w:r w:rsidRPr="00765F6E">
              <w:rPr>
                <w:rFonts w:hAnsi="宋体" w:hint="eastAsia"/>
                <w:sz w:val="18"/>
                <w:szCs w:val="18"/>
              </w:rPr>
              <w:t>30</w:t>
            </w:r>
          </w:p>
        </w:tc>
        <w:tc>
          <w:tcPr>
            <w:tcW w:w="1666" w:type="pct"/>
            <w:tcBorders>
              <w:top w:val="single" w:sz="4" w:space="0" w:color="auto"/>
            </w:tcBorders>
            <w:shd w:val="clear" w:color="auto" w:fill="auto"/>
            <w:vAlign w:val="center"/>
          </w:tcPr>
          <w:p w14:paraId="093D8F37" w14:textId="77777777" w:rsidR="00737EB2" w:rsidRPr="00765F6E" w:rsidRDefault="00737EB2" w:rsidP="00871D47">
            <w:pPr>
              <w:spacing w:line="0" w:lineRule="atLeast"/>
              <w:jc w:val="center"/>
              <w:rPr>
                <w:rFonts w:hAnsi="宋体"/>
                <w:sz w:val="18"/>
                <w:szCs w:val="18"/>
              </w:rPr>
            </w:pPr>
            <w:r w:rsidRPr="00765F6E">
              <w:rPr>
                <w:rFonts w:hAnsi="宋体" w:hint="eastAsia"/>
                <w:sz w:val="18"/>
                <w:szCs w:val="18"/>
              </w:rPr>
              <w:t>P10</w:t>
            </w:r>
          </w:p>
        </w:tc>
        <w:tc>
          <w:tcPr>
            <w:tcW w:w="1551" w:type="pct"/>
            <w:tcBorders>
              <w:top w:val="single" w:sz="4" w:space="0" w:color="auto"/>
            </w:tcBorders>
            <w:shd w:val="clear" w:color="auto" w:fill="auto"/>
            <w:vAlign w:val="center"/>
          </w:tcPr>
          <w:p w14:paraId="19ABEDFA" w14:textId="77777777" w:rsidR="00737EB2" w:rsidRPr="00765F6E" w:rsidRDefault="00737EB2" w:rsidP="00871D47">
            <w:pPr>
              <w:spacing w:line="0" w:lineRule="atLeast"/>
              <w:jc w:val="center"/>
              <w:rPr>
                <w:rFonts w:hAnsi="宋体"/>
                <w:sz w:val="18"/>
                <w:szCs w:val="18"/>
              </w:rPr>
            </w:pPr>
            <w:r w:rsidRPr="00765F6E">
              <w:rPr>
                <w:rFonts w:hAnsi="宋体" w:hint="eastAsia"/>
                <w:sz w:val="18"/>
                <w:szCs w:val="18"/>
              </w:rPr>
              <w:t>P10</w:t>
            </w:r>
          </w:p>
        </w:tc>
      </w:tr>
      <w:tr w:rsidR="00737EB2" w:rsidRPr="00765F6E" w14:paraId="44859270" w14:textId="77777777" w:rsidTr="00871D47">
        <w:trPr>
          <w:trHeight w:val="176"/>
          <w:jc w:val="center"/>
        </w:trPr>
        <w:tc>
          <w:tcPr>
            <w:tcW w:w="1783" w:type="pct"/>
            <w:tcBorders>
              <w:bottom w:val="single" w:sz="8" w:space="0" w:color="auto"/>
            </w:tcBorders>
            <w:shd w:val="clear" w:color="auto" w:fill="auto"/>
            <w:vAlign w:val="center"/>
          </w:tcPr>
          <w:p w14:paraId="56AED5DA" w14:textId="77777777" w:rsidR="00737EB2" w:rsidRPr="00765F6E" w:rsidRDefault="00737EB2" w:rsidP="00871D47">
            <w:pPr>
              <w:spacing w:line="0" w:lineRule="atLeast"/>
              <w:jc w:val="center"/>
              <w:rPr>
                <w:rFonts w:hAnsi="宋体"/>
                <w:sz w:val="18"/>
                <w:szCs w:val="18"/>
              </w:rPr>
            </w:pPr>
            <w:r w:rsidRPr="00765F6E">
              <w:rPr>
                <w:rFonts w:hAnsi="宋体" w:hint="eastAsia"/>
                <w:sz w:val="18"/>
                <w:szCs w:val="18"/>
              </w:rPr>
              <w:t>30</w:t>
            </w:r>
            <w:r w:rsidRPr="00765F6E">
              <w:rPr>
                <w:rFonts w:hAnsi="宋体" w:hint="eastAsia"/>
                <w:sz w:val="18"/>
                <w:szCs w:val="18"/>
              </w:rPr>
              <w:t>≤</w:t>
            </w:r>
            <w:r w:rsidRPr="00765F6E">
              <w:rPr>
                <w:rFonts w:hAnsi="宋体" w:hint="eastAsia"/>
                <w:sz w:val="18"/>
                <w:szCs w:val="18"/>
              </w:rPr>
              <w:t>H</w:t>
            </w:r>
            <w:r w:rsidRPr="00765F6E">
              <w:rPr>
                <w:rFonts w:hAnsi="宋体" w:hint="eastAsia"/>
                <w:sz w:val="18"/>
                <w:szCs w:val="18"/>
              </w:rPr>
              <w:t>＜</w:t>
            </w:r>
            <w:r w:rsidRPr="00765F6E">
              <w:rPr>
                <w:rFonts w:hAnsi="宋体" w:hint="eastAsia"/>
                <w:sz w:val="18"/>
                <w:szCs w:val="18"/>
              </w:rPr>
              <w:t>40</w:t>
            </w:r>
          </w:p>
        </w:tc>
        <w:tc>
          <w:tcPr>
            <w:tcW w:w="1666" w:type="pct"/>
            <w:tcBorders>
              <w:bottom w:val="single" w:sz="8" w:space="0" w:color="auto"/>
            </w:tcBorders>
            <w:shd w:val="clear" w:color="auto" w:fill="auto"/>
            <w:vAlign w:val="center"/>
          </w:tcPr>
          <w:p w14:paraId="0C4EE3A4" w14:textId="77777777" w:rsidR="00737EB2" w:rsidRPr="00765F6E" w:rsidRDefault="00737EB2" w:rsidP="00871D47">
            <w:pPr>
              <w:spacing w:line="0" w:lineRule="atLeast"/>
              <w:jc w:val="center"/>
              <w:rPr>
                <w:rFonts w:hAnsi="宋体"/>
                <w:sz w:val="18"/>
                <w:szCs w:val="18"/>
              </w:rPr>
            </w:pPr>
            <w:r w:rsidRPr="00765F6E">
              <w:rPr>
                <w:rFonts w:hAnsi="宋体" w:hint="eastAsia"/>
                <w:sz w:val="18"/>
                <w:szCs w:val="18"/>
              </w:rPr>
              <w:t>P12</w:t>
            </w:r>
          </w:p>
        </w:tc>
        <w:tc>
          <w:tcPr>
            <w:tcW w:w="1551" w:type="pct"/>
            <w:tcBorders>
              <w:bottom w:val="single" w:sz="8" w:space="0" w:color="auto"/>
            </w:tcBorders>
            <w:shd w:val="clear" w:color="auto" w:fill="auto"/>
            <w:vAlign w:val="center"/>
          </w:tcPr>
          <w:p w14:paraId="497FBD14" w14:textId="77777777" w:rsidR="00737EB2" w:rsidRPr="00765F6E" w:rsidRDefault="00737EB2" w:rsidP="00871D47">
            <w:pPr>
              <w:spacing w:line="0" w:lineRule="atLeast"/>
              <w:jc w:val="center"/>
              <w:rPr>
                <w:rFonts w:hAnsi="宋体"/>
                <w:sz w:val="18"/>
                <w:szCs w:val="18"/>
              </w:rPr>
            </w:pPr>
            <w:r w:rsidRPr="00765F6E">
              <w:rPr>
                <w:rFonts w:hAnsi="宋体" w:hint="eastAsia"/>
                <w:sz w:val="18"/>
                <w:szCs w:val="18"/>
              </w:rPr>
              <w:t>P12</w:t>
            </w:r>
          </w:p>
        </w:tc>
      </w:tr>
    </w:tbl>
    <w:p w14:paraId="37013B6C" w14:textId="77777777" w:rsidR="0046076C" w:rsidRPr="0046076C" w:rsidRDefault="0046076C" w:rsidP="0046076C">
      <w:pPr>
        <w:pStyle w:val="22"/>
      </w:pPr>
      <w:bookmarkStart w:id="1853" w:name="_Toc99792196"/>
      <w:bookmarkStart w:id="1854" w:name="_Toc99792201"/>
      <w:r w:rsidRPr="0046076C">
        <w:rPr>
          <w:rFonts w:hint="eastAsia"/>
        </w:rPr>
        <w:t>当围护结构与内衬墙组合形成复合墙结构时，顶、底板及内衬墙迎水面应设置全包防水层。</w:t>
      </w:r>
      <w:bookmarkEnd w:id="1853"/>
    </w:p>
    <w:p w14:paraId="455161F8" w14:textId="68BF4FE3" w:rsidR="0046076C" w:rsidRPr="00B66CDF" w:rsidRDefault="00D654D2" w:rsidP="0046076C">
      <w:pPr>
        <w:pStyle w:val="22"/>
      </w:pPr>
      <w:bookmarkStart w:id="1855" w:name="_Toc99792197"/>
      <w:r>
        <w:rPr>
          <w:rFonts w:hint="eastAsia"/>
        </w:rPr>
        <w:t>地下</w:t>
      </w:r>
      <w:r w:rsidRPr="00B66CDF">
        <w:rPr>
          <w:rFonts w:hint="eastAsia"/>
        </w:rPr>
        <w:t>车站混凝土结构自防水、接缝防水、外包防水层防水</w:t>
      </w:r>
      <w:bookmarkStart w:id="1856" w:name="_Hlk182566877"/>
      <w:r w:rsidRPr="00B66CDF">
        <w:rPr>
          <w:rFonts w:hint="eastAsia"/>
        </w:rPr>
        <w:t>的技术要求应符合现行国家标准</w:t>
      </w:r>
      <w:r w:rsidRPr="00B66CDF">
        <w:t>GB 55030</w:t>
      </w:r>
      <w:r w:rsidRPr="00B66CDF">
        <w:rPr>
          <w:rFonts w:hint="eastAsia"/>
        </w:rPr>
        <w:t>的有关规定</w:t>
      </w:r>
      <w:bookmarkEnd w:id="1856"/>
      <w:r w:rsidR="0046076C" w:rsidRPr="00B66CDF">
        <w:rPr>
          <w:rFonts w:hint="eastAsia"/>
        </w:rPr>
        <w:t>。</w:t>
      </w:r>
      <w:bookmarkEnd w:id="1855"/>
    </w:p>
    <w:p w14:paraId="5E2848B9" w14:textId="3A828F8A" w:rsidR="0046076C" w:rsidRPr="00B66CDF" w:rsidRDefault="0046076C" w:rsidP="0046076C">
      <w:pPr>
        <w:pStyle w:val="22"/>
      </w:pPr>
      <w:bookmarkStart w:id="1857" w:name="_Toc99792199"/>
      <w:r w:rsidRPr="00B66CDF">
        <w:rPr>
          <w:rFonts w:hint="eastAsia"/>
        </w:rPr>
        <w:t>高架桥桥面主体结构混凝土应抗裂、耐久，表面平整。高架桥面应设置连续的、整体密封、耐久的附加防水层</w:t>
      </w:r>
      <w:bookmarkEnd w:id="1857"/>
      <w:r w:rsidRPr="00B66CDF">
        <w:rPr>
          <w:rFonts w:hint="eastAsia"/>
        </w:rPr>
        <w:t>；防水层材料可根据环境条件和不同的工程部位选定。桥面应设置畅通的排水系统，排水设施应便于检查维修。</w:t>
      </w:r>
      <w:r w:rsidR="00D654D2" w:rsidRPr="00B66CDF">
        <w:rPr>
          <w:rFonts w:hint="eastAsia"/>
        </w:rPr>
        <w:t>屋面、外墙防水要求应符合现行国家标准</w:t>
      </w:r>
      <w:r w:rsidR="00D654D2" w:rsidRPr="00B66CDF">
        <w:t>GB 55030</w:t>
      </w:r>
      <w:r w:rsidR="00D654D2" w:rsidRPr="00B66CDF">
        <w:rPr>
          <w:rFonts w:hint="eastAsia"/>
        </w:rPr>
        <w:t>的有关规定</w:t>
      </w:r>
      <w:r w:rsidRPr="00B66CDF">
        <w:rPr>
          <w:rFonts w:hint="eastAsia"/>
        </w:rPr>
        <w:t>。</w:t>
      </w:r>
    </w:p>
    <w:p w14:paraId="4A7AD50C" w14:textId="77777777" w:rsidR="0046076C" w:rsidRPr="0046076C" w:rsidRDefault="0046076C" w:rsidP="0046076C">
      <w:pPr>
        <w:pStyle w:val="22"/>
      </w:pPr>
      <w:r w:rsidRPr="0046076C">
        <w:rPr>
          <w:rFonts w:hint="eastAsia"/>
          <w:lang w:bidi="ar"/>
        </w:rPr>
        <w:t>桥梁设置的伸缩缝应选用能自由伸缩的专用伸缩缝装置，包括耐腐蚀金属预埋件及防水、防老化的后装止水带，并宜嵌填密封材料形成多道防线。</w:t>
      </w:r>
    </w:p>
    <w:p w14:paraId="42454E8E" w14:textId="654C0027" w:rsidR="00737EB2" w:rsidRPr="00765F6E" w:rsidRDefault="0046076C" w:rsidP="0046076C">
      <w:pPr>
        <w:pStyle w:val="22"/>
      </w:pPr>
      <w:r w:rsidRPr="0046076C">
        <w:rPr>
          <w:rFonts w:hint="eastAsia"/>
        </w:rPr>
        <w:t>对地漏、落水管、阻水条等疏排水装置与桥面混凝土结构的接口应加强密封防水，并应便于检查、修复</w:t>
      </w:r>
      <w:r w:rsidR="00737EB2" w:rsidRPr="00453DBE">
        <w:rPr>
          <w:rFonts w:hint="eastAsia"/>
        </w:rPr>
        <w:t>。</w:t>
      </w:r>
      <w:bookmarkEnd w:id="1854"/>
    </w:p>
    <w:p w14:paraId="77E36FDB" w14:textId="77777777" w:rsidR="00737EB2" w:rsidRPr="00765F6E" w:rsidRDefault="00737EB2" w:rsidP="00737EB2">
      <w:pPr>
        <w:pStyle w:val="affe"/>
        <w:spacing w:before="156" w:after="156"/>
      </w:pPr>
      <w:bookmarkStart w:id="1858" w:name="_Toc99792209"/>
      <w:bookmarkStart w:id="1859" w:name="_Toc152659751"/>
      <w:bookmarkStart w:id="1860" w:name="_Toc167895802"/>
      <w:bookmarkStart w:id="1861" w:name="_Toc174538716"/>
      <w:bookmarkStart w:id="1862" w:name="_Toc182476473"/>
      <w:r w:rsidRPr="00765F6E">
        <w:rPr>
          <w:rFonts w:hint="eastAsia"/>
        </w:rPr>
        <w:t>接口设计</w:t>
      </w:r>
      <w:bookmarkEnd w:id="1858"/>
      <w:bookmarkEnd w:id="1859"/>
      <w:bookmarkEnd w:id="1860"/>
      <w:bookmarkEnd w:id="1861"/>
      <w:bookmarkEnd w:id="1862"/>
    </w:p>
    <w:p w14:paraId="6B470F54" w14:textId="77777777" w:rsidR="00737EB2" w:rsidRPr="00765F6E" w:rsidRDefault="00737EB2" w:rsidP="009D0776">
      <w:pPr>
        <w:pStyle w:val="22"/>
      </w:pPr>
      <w:bookmarkStart w:id="1863" w:name="_Toc99792210"/>
      <w:r w:rsidRPr="00765F6E">
        <w:rPr>
          <w:rFonts w:hint="eastAsia"/>
        </w:rPr>
        <w:t>车站结构设计应以结构安全、可靠、经济、合理的原则，满足建筑限界、系统使用功能及施工工艺等要求，并做好与其他各专业之间的接口设计。</w:t>
      </w:r>
      <w:bookmarkEnd w:id="1863"/>
    </w:p>
    <w:p w14:paraId="20240393" w14:textId="77777777" w:rsidR="00737EB2" w:rsidRPr="00765F6E" w:rsidRDefault="00737EB2" w:rsidP="009D0776">
      <w:pPr>
        <w:pStyle w:val="22"/>
      </w:pPr>
      <w:r w:rsidRPr="00765F6E">
        <w:rPr>
          <w:rFonts w:hint="eastAsia"/>
        </w:rPr>
        <w:t>车站宜与市政配套、城市轨道交通等工程协调设计,预留接口条件。</w:t>
      </w:r>
    </w:p>
    <w:p w14:paraId="20A9F433" w14:textId="77777777" w:rsidR="00737EB2" w:rsidRPr="00765F6E" w:rsidRDefault="00737EB2" w:rsidP="009D0776">
      <w:pPr>
        <w:pStyle w:val="22"/>
      </w:pPr>
      <w:bookmarkStart w:id="1864" w:name="_Toc99792212"/>
      <w:r w:rsidRPr="00765F6E">
        <w:rPr>
          <w:rFonts w:hint="eastAsia"/>
        </w:rPr>
        <w:t>车站结构断面及尺寸应满足设备运输、安装及检修等需要。</w:t>
      </w:r>
      <w:bookmarkEnd w:id="1864"/>
    </w:p>
    <w:p w14:paraId="3309FB2E" w14:textId="77777777" w:rsidR="00737EB2" w:rsidRPr="00765F6E" w:rsidRDefault="00737EB2" w:rsidP="009D0776">
      <w:pPr>
        <w:pStyle w:val="22"/>
      </w:pPr>
      <w:bookmarkStart w:id="1865" w:name="_Toc99792213"/>
      <w:r w:rsidRPr="00765F6E">
        <w:rPr>
          <w:rFonts w:hint="eastAsia"/>
        </w:rPr>
        <w:t>车站结构应根据工艺要求预留供暖通风与空调设备的安装条件。</w:t>
      </w:r>
      <w:bookmarkEnd w:id="1865"/>
    </w:p>
    <w:p w14:paraId="20F5E576" w14:textId="77777777" w:rsidR="00737EB2" w:rsidRPr="00765F6E" w:rsidRDefault="00737EB2" w:rsidP="009D0776">
      <w:pPr>
        <w:pStyle w:val="22"/>
      </w:pPr>
      <w:bookmarkStart w:id="1866" w:name="_Toc99792214"/>
      <w:r w:rsidRPr="00765F6E">
        <w:rPr>
          <w:rFonts w:hint="eastAsia"/>
        </w:rPr>
        <w:t>车站结构应满足排水泵房的设置要求。</w:t>
      </w:r>
      <w:bookmarkEnd w:id="1866"/>
    </w:p>
    <w:p w14:paraId="147099DD" w14:textId="77777777" w:rsidR="00737EB2" w:rsidRPr="00765F6E" w:rsidRDefault="00737EB2" w:rsidP="009D0776">
      <w:pPr>
        <w:pStyle w:val="22"/>
      </w:pPr>
      <w:bookmarkStart w:id="1867" w:name="_Toc99792215"/>
      <w:r w:rsidRPr="00765F6E">
        <w:rPr>
          <w:rFonts w:hint="eastAsia"/>
        </w:rPr>
        <w:t>车站结构应满足接触网、电力、通信、信号、综合接地等轨旁设备安装要求。</w:t>
      </w:r>
      <w:bookmarkEnd w:id="1867"/>
    </w:p>
    <w:p w14:paraId="3ECB7D64" w14:textId="77777777" w:rsidR="00737EB2" w:rsidRPr="00765F6E" w:rsidRDefault="00737EB2" w:rsidP="009D0776">
      <w:pPr>
        <w:pStyle w:val="22"/>
      </w:pPr>
      <w:bookmarkStart w:id="1868" w:name="_Toc99792216"/>
      <w:r w:rsidRPr="00765F6E">
        <w:rPr>
          <w:rFonts w:hint="eastAsia"/>
        </w:rPr>
        <w:t>车站结构应满足自动扶梯、垂直电梯及站台门等安装要求。</w:t>
      </w:r>
      <w:bookmarkEnd w:id="1868"/>
    </w:p>
    <w:p w14:paraId="1F963175" w14:textId="77777777" w:rsidR="00737EB2" w:rsidRPr="00765F6E" w:rsidRDefault="00737EB2" w:rsidP="009D0776">
      <w:pPr>
        <w:pStyle w:val="22"/>
      </w:pPr>
      <w:bookmarkStart w:id="1869" w:name="_Toc99792217"/>
      <w:r w:rsidRPr="00765F6E">
        <w:rPr>
          <w:rFonts w:hint="eastAsia"/>
        </w:rPr>
        <w:lastRenderedPageBreak/>
        <w:t>地下车站结构宜与无砟轨道结构结合设计。</w:t>
      </w:r>
      <w:bookmarkEnd w:id="1869"/>
    </w:p>
    <w:p w14:paraId="5FF41DF5" w14:textId="77777777" w:rsidR="00737EB2" w:rsidRPr="00765F6E" w:rsidRDefault="00737EB2" w:rsidP="009D0776">
      <w:pPr>
        <w:pStyle w:val="22"/>
      </w:pPr>
      <w:bookmarkStart w:id="1870" w:name="_Toc99792218"/>
      <w:r w:rsidRPr="00765F6E">
        <w:rPr>
          <w:rFonts w:hint="eastAsia"/>
        </w:rPr>
        <w:t>地下车站结构应满足人防设备的安装要求。</w:t>
      </w:r>
      <w:bookmarkEnd w:id="1870"/>
    </w:p>
    <w:p w14:paraId="332E32A5" w14:textId="281B3C7C" w:rsidR="00737EB2" w:rsidRPr="00453DBE" w:rsidRDefault="00245573" w:rsidP="009D0776">
      <w:pPr>
        <w:pStyle w:val="22"/>
      </w:pPr>
      <w:r w:rsidRPr="00453DBE">
        <w:rPr>
          <w:rFonts w:hint="eastAsia"/>
        </w:rPr>
        <w:t>高架车站应与桥梁结构协调设计。地下车站结构形式应与两端的区间结构施工方法相协调</w:t>
      </w:r>
      <w:r w:rsidR="00737EB2" w:rsidRPr="00453DBE">
        <w:rPr>
          <w:rFonts w:hint="eastAsia"/>
        </w:rPr>
        <w:t>。</w:t>
      </w:r>
    </w:p>
    <w:p w14:paraId="0E59BA56" w14:textId="77777777" w:rsidR="00737EB2" w:rsidRPr="00765F6E" w:rsidRDefault="00737EB2" w:rsidP="00737EB2">
      <w:pPr>
        <w:pStyle w:val="affd"/>
        <w:spacing w:before="312" w:after="312"/>
      </w:pPr>
      <w:bookmarkStart w:id="1871" w:name="_Toc167895803"/>
      <w:bookmarkStart w:id="1872" w:name="_Toc174538717"/>
      <w:bookmarkStart w:id="1873" w:name="_Toc182476474"/>
      <w:r w:rsidRPr="00765F6E">
        <w:rPr>
          <w:rFonts w:hint="eastAsia"/>
        </w:rPr>
        <w:t>牵引供电</w:t>
      </w:r>
      <w:bookmarkEnd w:id="1758"/>
      <w:bookmarkEnd w:id="1759"/>
      <w:bookmarkEnd w:id="1760"/>
      <w:bookmarkEnd w:id="1871"/>
      <w:bookmarkEnd w:id="1872"/>
      <w:bookmarkEnd w:id="1873"/>
    </w:p>
    <w:p w14:paraId="234E3947" w14:textId="77777777" w:rsidR="00737EB2" w:rsidRPr="00765F6E" w:rsidRDefault="00737EB2" w:rsidP="00737EB2">
      <w:pPr>
        <w:pStyle w:val="affe"/>
        <w:spacing w:before="156" w:after="156"/>
      </w:pPr>
      <w:bookmarkStart w:id="1874" w:name="_Toc153291655"/>
      <w:bookmarkStart w:id="1875" w:name="_Toc153210907"/>
      <w:bookmarkStart w:id="1876" w:name="_Toc99792220"/>
      <w:bookmarkStart w:id="1877" w:name="_Toc167895804"/>
      <w:bookmarkStart w:id="1878" w:name="_Toc174538718"/>
      <w:bookmarkStart w:id="1879" w:name="_Toc182476475"/>
      <w:r w:rsidRPr="00765F6E">
        <w:rPr>
          <w:rFonts w:hint="eastAsia"/>
        </w:rPr>
        <w:t>一般规定</w:t>
      </w:r>
      <w:bookmarkEnd w:id="1874"/>
      <w:bookmarkEnd w:id="1875"/>
      <w:bookmarkEnd w:id="1876"/>
      <w:bookmarkEnd w:id="1877"/>
      <w:bookmarkEnd w:id="1878"/>
      <w:bookmarkEnd w:id="1879"/>
    </w:p>
    <w:p w14:paraId="0AF82FF0" w14:textId="77777777" w:rsidR="00737EB2" w:rsidRPr="00765F6E" w:rsidRDefault="00737EB2" w:rsidP="009D0776">
      <w:pPr>
        <w:pStyle w:val="22"/>
      </w:pPr>
      <w:bookmarkStart w:id="1880" w:name="_Toc153291656"/>
      <w:bookmarkStart w:id="1881" w:name="_Toc99792221"/>
      <w:r w:rsidRPr="00765F6E">
        <w:rPr>
          <w:rFonts w:hint="eastAsia"/>
        </w:rPr>
        <w:t>牵引供电系统应安全、可靠、节能、环保、经济、便于</w:t>
      </w:r>
      <w:r w:rsidRPr="008D655B">
        <w:rPr>
          <w:rFonts w:hint="eastAsia"/>
        </w:rPr>
        <w:t>使用</w:t>
      </w:r>
      <w:r w:rsidRPr="00765F6E">
        <w:rPr>
          <w:rFonts w:hint="eastAsia"/>
        </w:rPr>
        <w:t>和维修。</w:t>
      </w:r>
      <w:bookmarkEnd w:id="1880"/>
      <w:bookmarkEnd w:id="1881"/>
    </w:p>
    <w:p w14:paraId="6E53C72D" w14:textId="77777777" w:rsidR="00737EB2" w:rsidRPr="00765F6E" w:rsidRDefault="00737EB2" w:rsidP="009D0776">
      <w:pPr>
        <w:pStyle w:val="22"/>
      </w:pPr>
      <w:bookmarkStart w:id="1882" w:name="_Toc99792222"/>
      <w:bookmarkStart w:id="1883" w:name="_Toc153291657"/>
      <w:r w:rsidRPr="00765F6E">
        <w:rPr>
          <w:rFonts w:hint="eastAsia"/>
        </w:rPr>
        <w:t>牵引供电系统设计宜考虑电力资源共享。</w:t>
      </w:r>
      <w:bookmarkEnd w:id="1882"/>
      <w:bookmarkEnd w:id="1883"/>
    </w:p>
    <w:p w14:paraId="1F0D0402" w14:textId="77777777" w:rsidR="00737EB2" w:rsidRPr="00765F6E" w:rsidRDefault="00737EB2" w:rsidP="009D0776">
      <w:pPr>
        <w:pStyle w:val="22"/>
      </w:pPr>
      <w:bookmarkStart w:id="1884" w:name="_Toc153291658"/>
      <w:bookmarkStart w:id="1885" w:name="_Toc99792223"/>
      <w:r w:rsidRPr="00765F6E">
        <w:rPr>
          <w:rFonts w:hint="eastAsia"/>
        </w:rPr>
        <w:t>牵引供电能力应与线路运营能力及需求相适应，根据远期运营高峰小时行车密度、车辆编组、车辆类型和特性、线路资料等确定。</w:t>
      </w:r>
      <w:bookmarkEnd w:id="1884"/>
      <w:bookmarkEnd w:id="1885"/>
    </w:p>
    <w:p w14:paraId="515F818A" w14:textId="77777777" w:rsidR="00737EB2" w:rsidRPr="00765F6E" w:rsidRDefault="00737EB2" w:rsidP="009D0776">
      <w:pPr>
        <w:pStyle w:val="22"/>
      </w:pPr>
      <w:bookmarkStart w:id="1886" w:name="_Toc153291659"/>
      <w:bookmarkStart w:id="1887" w:name="_Toc99792224"/>
      <w:r w:rsidRPr="00765F6E">
        <w:rPr>
          <w:rFonts w:hint="eastAsia"/>
        </w:rPr>
        <w:t>牵引供电的越区能力应根据运输需求、线路情况、经济性综合确定。</w:t>
      </w:r>
      <w:bookmarkEnd w:id="1886"/>
      <w:bookmarkEnd w:id="1887"/>
    </w:p>
    <w:p w14:paraId="57F9698B" w14:textId="77777777" w:rsidR="00737EB2" w:rsidRPr="00765F6E" w:rsidRDefault="00737EB2" w:rsidP="009D0776">
      <w:pPr>
        <w:pStyle w:val="22"/>
      </w:pPr>
      <w:bookmarkStart w:id="1888" w:name="_Toc153291660"/>
      <w:bookmarkStart w:id="1889" w:name="_Toc99792225"/>
      <w:r w:rsidRPr="00765F6E">
        <w:rPr>
          <w:rFonts w:hint="eastAsia"/>
        </w:rPr>
        <w:t>牵引用电负荷应为一级负荷，采用双电源双回路供电。</w:t>
      </w:r>
      <w:bookmarkEnd w:id="1888"/>
      <w:bookmarkEnd w:id="1889"/>
    </w:p>
    <w:p w14:paraId="1652CE3E" w14:textId="77777777" w:rsidR="00737EB2" w:rsidRPr="00765F6E" w:rsidRDefault="00737EB2" w:rsidP="009D0776">
      <w:pPr>
        <w:pStyle w:val="22"/>
      </w:pPr>
      <w:bookmarkStart w:id="1890" w:name="_Toc153291661"/>
      <w:bookmarkStart w:id="1891" w:name="_Toc99792226"/>
      <w:r w:rsidRPr="00765F6E">
        <w:rPr>
          <w:rFonts w:hint="eastAsia"/>
        </w:rPr>
        <w:t>地下线路使用的主要材料应选用无卤、低烟的阻燃或耐火产品。</w:t>
      </w:r>
      <w:bookmarkEnd w:id="1890"/>
      <w:bookmarkEnd w:id="1891"/>
    </w:p>
    <w:p w14:paraId="01BEE4B6" w14:textId="77777777" w:rsidR="00737EB2" w:rsidRPr="00765F6E" w:rsidRDefault="00737EB2" w:rsidP="009D0776">
      <w:pPr>
        <w:pStyle w:val="22"/>
      </w:pPr>
      <w:bookmarkStart w:id="1892" w:name="_Toc153291662"/>
      <w:bookmarkStart w:id="1893" w:name="_Toc99792227"/>
      <w:r w:rsidRPr="00765F6E">
        <w:rPr>
          <w:rFonts w:hint="eastAsia"/>
        </w:rPr>
        <w:t>牵引供电系统的系统接地、保护接地、雷电保护接地应符合第29章相关要求。</w:t>
      </w:r>
      <w:bookmarkEnd w:id="1892"/>
      <w:bookmarkEnd w:id="1893"/>
    </w:p>
    <w:p w14:paraId="1358D8D6" w14:textId="77777777" w:rsidR="00737EB2" w:rsidRPr="00765F6E" w:rsidRDefault="00737EB2" w:rsidP="009D0776">
      <w:pPr>
        <w:pStyle w:val="22"/>
      </w:pPr>
      <w:bookmarkStart w:id="1894" w:name="_Toc153291663"/>
      <w:bookmarkStart w:id="1895" w:name="_Toc99792228"/>
      <w:r w:rsidRPr="00765F6E">
        <w:rPr>
          <w:rFonts w:hint="eastAsia"/>
        </w:rPr>
        <w:t>牵引供电制式可采用单相工频交流制、直流制和双流制。当采用双流制式牵引供电系统时，交流制和直流制区段设计应分别满足交、直流制的相应要求，同时还符合下列规定：</w:t>
      </w:r>
      <w:bookmarkEnd w:id="1894"/>
      <w:bookmarkEnd w:id="1895"/>
    </w:p>
    <w:p w14:paraId="52833E7E" w14:textId="77777777" w:rsidR="00737EB2" w:rsidRPr="00765F6E" w:rsidRDefault="00737EB2" w:rsidP="003334F3">
      <w:pPr>
        <w:pStyle w:val="af6"/>
        <w:numPr>
          <w:ilvl w:val="0"/>
          <w:numId w:val="143"/>
        </w:numPr>
        <w:tabs>
          <w:tab w:val="left" w:pos="851"/>
        </w:tabs>
        <w:snapToGrid w:val="0"/>
        <w:contextualSpacing/>
      </w:pPr>
      <w:r w:rsidRPr="00765F6E">
        <w:rPr>
          <w:rFonts w:hint="eastAsia"/>
        </w:rPr>
        <w:t>交流制与直流制转换点在满足行车检算要求的前提下，宜靠近直流牵引变电所；</w:t>
      </w:r>
    </w:p>
    <w:p w14:paraId="100153D3" w14:textId="77777777" w:rsidR="00737EB2" w:rsidRPr="00765F6E" w:rsidRDefault="00737EB2" w:rsidP="003334F3">
      <w:pPr>
        <w:pStyle w:val="af6"/>
        <w:numPr>
          <w:ilvl w:val="0"/>
          <w:numId w:val="143"/>
        </w:numPr>
        <w:tabs>
          <w:tab w:val="left" w:pos="851"/>
        </w:tabs>
        <w:snapToGrid w:val="0"/>
        <w:contextualSpacing/>
      </w:pPr>
      <w:r w:rsidRPr="00765F6E">
        <w:rPr>
          <w:rFonts w:hint="eastAsia"/>
        </w:rPr>
        <w:t>交流制与直流制供电系统的接触网、回流轨均应设置绝缘分段；</w:t>
      </w:r>
    </w:p>
    <w:p w14:paraId="1DF97649" w14:textId="77777777" w:rsidR="00737EB2" w:rsidRPr="00765F6E" w:rsidRDefault="00737EB2" w:rsidP="003334F3">
      <w:pPr>
        <w:pStyle w:val="af6"/>
        <w:numPr>
          <w:ilvl w:val="0"/>
          <w:numId w:val="143"/>
        </w:numPr>
        <w:tabs>
          <w:tab w:val="left" w:pos="851"/>
        </w:tabs>
        <w:snapToGrid w:val="0"/>
        <w:contextualSpacing/>
      </w:pPr>
      <w:r w:rsidRPr="00765F6E">
        <w:rPr>
          <w:rFonts w:hint="eastAsia"/>
        </w:rPr>
        <w:t>交流制与直流制的接地系统应在转换点采取电气隔离措施；</w:t>
      </w:r>
    </w:p>
    <w:p w14:paraId="063B7D94" w14:textId="77777777" w:rsidR="00737EB2" w:rsidRPr="00765F6E" w:rsidRDefault="00737EB2" w:rsidP="003334F3">
      <w:pPr>
        <w:pStyle w:val="af6"/>
        <w:numPr>
          <w:ilvl w:val="0"/>
          <w:numId w:val="143"/>
        </w:numPr>
        <w:tabs>
          <w:tab w:val="left" w:pos="851"/>
        </w:tabs>
        <w:snapToGrid w:val="0"/>
        <w:contextualSpacing/>
      </w:pPr>
      <w:r w:rsidRPr="00765F6E">
        <w:rPr>
          <w:rFonts w:hint="eastAsia"/>
        </w:rPr>
        <w:t>交流制与直流制对应的桥、隧、建筑物的结构钢筋间宜采取电气隔离措施；</w:t>
      </w:r>
    </w:p>
    <w:p w14:paraId="334D4CF1" w14:textId="77777777" w:rsidR="00737EB2" w:rsidRPr="00765F6E" w:rsidRDefault="00737EB2" w:rsidP="003334F3">
      <w:pPr>
        <w:pStyle w:val="af6"/>
        <w:numPr>
          <w:ilvl w:val="0"/>
          <w:numId w:val="143"/>
        </w:numPr>
        <w:tabs>
          <w:tab w:val="left" w:pos="851"/>
        </w:tabs>
        <w:snapToGrid w:val="0"/>
        <w:contextualSpacing/>
      </w:pPr>
      <w:r w:rsidRPr="00765F6E">
        <w:rPr>
          <w:rFonts w:hint="eastAsia"/>
        </w:rPr>
        <w:t>贯通全线的非电气金属管线在转换点处应采取电气隔离措施；</w:t>
      </w:r>
    </w:p>
    <w:p w14:paraId="378D798A" w14:textId="77777777" w:rsidR="00737EB2" w:rsidRPr="00765F6E" w:rsidRDefault="00737EB2" w:rsidP="003334F3">
      <w:pPr>
        <w:pStyle w:val="af6"/>
        <w:numPr>
          <w:ilvl w:val="0"/>
          <w:numId w:val="143"/>
        </w:numPr>
        <w:tabs>
          <w:tab w:val="left" w:pos="851"/>
        </w:tabs>
        <w:snapToGrid w:val="0"/>
        <w:contextualSpacing/>
      </w:pPr>
      <w:r w:rsidRPr="00765F6E">
        <w:rPr>
          <w:rFonts w:hint="eastAsia"/>
        </w:rPr>
        <w:t>交流制与直流制供电系统间不应相互越区供电。</w:t>
      </w:r>
    </w:p>
    <w:p w14:paraId="497C819E" w14:textId="77777777" w:rsidR="00737EB2" w:rsidRPr="00765F6E" w:rsidRDefault="00737EB2" w:rsidP="00737EB2">
      <w:pPr>
        <w:pStyle w:val="affe"/>
        <w:spacing w:before="156" w:after="156"/>
      </w:pPr>
      <w:bookmarkStart w:id="1896" w:name="_Toc153210908"/>
      <w:bookmarkStart w:id="1897" w:name="_Toc99792229"/>
      <w:bookmarkStart w:id="1898" w:name="_Toc153291664"/>
      <w:bookmarkStart w:id="1899" w:name="_Toc167895805"/>
      <w:bookmarkStart w:id="1900" w:name="_Toc174538719"/>
      <w:bookmarkStart w:id="1901" w:name="_Toc182476476"/>
      <w:r w:rsidRPr="00765F6E">
        <w:rPr>
          <w:rFonts w:hint="eastAsia"/>
        </w:rPr>
        <w:t>交流牵引供电系统</w:t>
      </w:r>
      <w:bookmarkEnd w:id="1896"/>
      <w:bookmarkEnd w:id="1897"/>
      <w:bookmarkEnd w:id="1898"/>
      <w:bookmarkEnd w:id="1899"/>
      <w:bookmarkEnd w:id="1900"/>
      <w:bookmarkEnd w:id="1901"/>
    </w:p>
    <w:p w14:paraId="4885661C" w14:textId="77777777" w:rsidR="00737EB2" w:rsidRPr="00765F6E" w:rsidRDefault="00737EB2" w:rsidP="009D0776">
      <w:pPr>
        <w:pStyle w:val="22"/>
      </w:pPr>
      <w:bookmarkStart w:id="1902" w:name="_Toc99792230"/>
      <w:bookmarkStart w:id="1903" w:name="_Toc153291665"/>
      <w:r w:rsidRPr="00765F6E">
        <w:rPr>
          <w:rFonts w:hint="eastAsia"/>
        </w:rPr>
        <w:t>牵引变电所分布应经供电计算并综合考虑下列因素确定：</w:t>
      </w:r>
      <w:bookmarkEnd w:id="1902"/>
      <w:bookmarkEnd w:id="1903"/>
    </w:p>
    <w:p w14:paraId="40AB2699" w14:textId="77777777" w:rsidR="00737EB2" w:rsidRPr="00765F6E" w:rsidRDefault="00737EB2" w:rsidP="003334F3">
      <w:pPr>
        <w:pStyle w:val="af6"/>
        <w:numPr>
          <w:ilvl w:val="0"/>
          <w:numId w:val="144"/>
        </w:numPr>
        <w:tabs>
          <w:tab w:val="left" w:pos="851"/>
        </w:tabs>
        <w:snapToGrid w:val="0"/>
        <w:contextualSpacing/>
      </w:pPr>
      <w:r w:rsidRPr="00765F6E">
        <w:rPr>
          <w:rFonts w:hint="eastAsia"/>
        </w:rPr>
        <w:t>满足接触网最低电压水平要求；</w:t>
      </w:r>
    </w:p>
    <w:p w14:paraId="00F4A10A" w14:textId="77777777" w:rsidR="00737EB2" w:rsidRPr="00765F6E" w:rsidRDefault="00737EB2" w:rsidP="003334F3">
      <w:pPr>
        <w:pStyle w:val="af6"/>
        <w:numPr>
          <w:ilvl w:val="0"/>
          <w:numId w:val="144"/>
        </w:numPr>
        <w:tabs>
          <w:tab w:val="left" w:pos="851"/>
        </w:tabs>
        <w:snapToGrid w:val="0"/>
        <w:contextualSpacing/>
      </w:pPr>
      <w:r w:rsidRPr="00765F6E">
        <w:rPr>
          <w:rFonts w:hint="eastAsia"/>
        </w:rPr>
        <w:t>外部电源工程量小；</w:t>
      </w:r>
    </w:p>
    <w:p w14:paraId="43D2ADDC" w14:textId="77777777" w:rsidR="00737EB2" w:rsidRPr="00765F6E" w:rsidRDefault="00737EB2" w:rsidP="003334F3">
      <w:pPr>
        <w:pStyle w:val="af6"/>
        <w:numPr>
          <w:ilvl w:val="0"/>
          <w:numId w:val="144"/>
        </w:numPr>
        <w:tabs>
          <w:tab w:val="left" w:pos="851"/>
        </w:tabs>
        <w:snapToGrid w:val="0"/>
        <w:contextualSpacing/>
      </w:pPr>
      <w:r w:rsidRPr="00765F6E">
        <w:rPr>
          <w:rFonts w:hint="eastAsia"/>
        </w:rPr>
        <w:t>相邻牵引变电所间供电能力的相互支援。</w:t>
      </w:r>
    </w:p>
    <w:p w14:paraId="0464B7BB" w14:textId="77777777" w:rsidR="00737EB2" w:rsidRPr="00765F6E" w:rsidRDefault="00737EB2" w:rsidP="009D0776">
      <w:pPr>
        <w:pStyle w:val="22"/>
      </w:pPr>
      <w:bookmarkStart w:id="1904" w:name="_Toc99792231"/>
      <w:bookmarkStart w:id="1905" w:name="_Toc153291666"/>
      <w:r w:rsidRPr="00765F6E">
        <w:rPr>
          <w:rFonts w:hint="eastAsia"/>
        </w:rPr>
        <w:t>牵引网供电方式宜采用带回流线的直接供电方式。</w:t>
      </w:r>
      <w:bookmarkEnd w:id="1904"/>
      <w:bookmarkEnd w:id="1905"/>
    </w:p>
    <w:p w14:paraId="26E9219B" w14:textId="77777777" w:rsidR="00737EB2" w:rsidRPr="00765F6E" w:rsidRDefault="00737EB2" w:rsidP="009D0776">
      <w:pPr>
        <w:pStyle w:val="22"/>
      </w:pPr>
      <w:bookmarkStart w:id="1906" w:name="_Toc153291667"/>
      <w:bookmarkStart w:id="1907" w:name="_Toc99792232"/>
      <w:r w:rsidRPr="00765F6E">
        <w:rPr>
          <w:rFonts w:hint="eastAsia"/>
        </w:rPr>
        <w:t>接触网的标称电压应为25kV，长期最高电压应为27.5kV，短时（5min）最高电压应为29kV，最低电压应为20kV。</w:t>
      </w:r>
      <w:bookmarkEnd w:id="1906"/>
      <w:bookmarkEnd w:id="1907"/>
    </w:p>
    <w:p w14:paraId="58BAF247" w14:textId="77777777" w:rsidR="00737EB2" w:rsidRPr="00765F6E" w:rsidRDefault="00737EB2" w:rsidP="009D0776">
      <w:pPr>
        <w:pStyle w:val="22"/>
      </w:pPr>
      <w:bookmarkStart w:id="1908" w:name="_Toc99792233"/>
      <w:bookmarkStart w:id="1909" w:name="_Toc153291668"/>
      <w:r w:rsidRPr="00765F6E">
        <w:rPr>
          <w:rFonts w:hint="eastAsia"/>
        </w:rPr>
        <w:t>牵引变压器应采用固定备用方式。牵引变压器结线型式可采用单相结线、三相</w:t>
      </w:r>
      <w:proofErr w:type="spellStart"/>
      <w:r w:rsidRPr="00765F6E">
        <w:rPr>
          <w:rFonts w:hint="eastAsia"/>
        </w:rPr>
        <w:t>V,v</w:t>
      </w:r>
      <w:proofErr w:type="spellEnd"/>
      <w:r w:rsidRPr="00765F6E">
        <w:rPr>
          <w:rFonts w:hint="eastAsia"/>
        </w:rPr>
        <w:t>结线或三相-二相平衡结线等能满足牵引供电及电能质量要求的结线。牵引变压器容量应根据近、远期牵引负荷计算确定，牵引负荷近、远期相差较大时，宜分期实施。</w:t>
      </w:r>
      <w:bookmarkEnd w:id="1908"/>
      <w:bookmarkEnd w:id="1909"/>
    </w:p>
    <w:p w14:paraId="16ED65C3" w14:textId="77777777" w:rsidR="00737EB2" w:rsidRPr="00765F6E" w:rsidRDefault="00737EB2" w:rsidP="009D0776">
      <w:pPr>
        <w:pStyle w:val="22"/>
      </w:pPr>
      <w:bookmarkStart w:id="1910" w:name="_Toc153291669"/>
      <w:bookmarkStart w:id="1911" w:name="_Toc99792234"/>
      <w:r w:rsidRPr="00765F6E">
        <w:rPr>
          <w:rFonts w:hint="eastAsia"/>
        </w:rPr>
        <w:t>接触网应采用同相单边供电，双线区段供电臂末端应设分区所实现上、下行接触网并联供电，并可实现相邻牵引变电所间越区供电。</w:t>
      </w:r>
      <w:bookmarkEnd w:id="1910"/>
      <w:bookmarkEnd w:id="1911"/>
    </w:p>
    <w:p w14:paraId="2C65A6C2" w14:textId="77777777" w:rsidR="00737EB2" w:rsidRPr="00765F6E" w:rsidRDefault="00737EB2" w:rsidP="009D0776">
      <w:pPr>
        <w:pStyle w:val="22"/>
      </w:pPr>
      <w:bookmarkStart w:id="1912" w:name="_Toc99792235"/>
      <w:bookmarkStart w:id="1913" w:name="_Toc153291670"/>
      <w:r w:rsidRPr="00765F6E">
        <w:rPr>
          <w:rFonts w:hint="eastAsia"/>
        </w:rPr>
        <w:t>牵引网各导线截面应满足机械强度和牵引负荷要求。</w:t>
      </w:r>
      <w:bookmarkEnd w:id="1912"/>
      <w:bookmarkEnd w:id="1913"/>
    </w:p>
    <w:p w14:paraId="52BB2DCD" w14:textId="77777777" w:rsidR="00737EB2" w:rsidRPr="00765F6E" w:rsidRDefault="00737EB2" w:rsidP="00737EB2">
      <w:pPr>
        <w:pStyle w:val="affe"/>
        <w:spacing w:before="156" w:after="156"/>
      </w:pPr>
      <w:bookmarkStart w:id="1914" w:name="_Toc153210909"/>
      <w:bookmarkStart w:id="1915" w:name="_Toc153291673"/>
      <w:bookmarkStart w:id="1916" w:name="_Toc99792238"/>
      <w:bookmarkStart w:id="1917" w:name="_Toc167895806"/>
      <w:bookmarkStart w:id="1918" w:name="_Toc174538720"/>
      <w:bookmarkStart w:id="1919" w:name="_Toc182476477"/>
      <w:r w:rsidRPr="00765F6E">
        <w:rPr>
          <w:rFonts w:hint="eastAsia"/>
        </w:rPr>
        <w:t>直流牵引供电系统</w:t>
      </w:r>
      <w:bookmarkEnd w:id="1914"/>
      <w:bookmarkEnd w:id="1915"/>
      <w:bookmarkEnd w:id="1916"/>
      <w:bookmarkEnd w:id="1917"/>
      <w:bookmarkEnd w:id="1918"/>
      <w:bookmarkEnd w:id="1919"/>
    </w:p>
    <w:p w14:paraId="71D8FCB1" w14:textId="77777777" w:rsidR="00737EB2" w:rsidRPr="00765F6E" w:rsidRDefault="00737EB2" w:rsidP="009D0776">
      <w:pPr>
        <w:pStyle w:val="22"/>
      </w:pPr>
      <w:bookmarkStart w:id="1920" w:name="_Toc99792239"/>
      <w:bookmarkStart w:id="1921" w:name="_Toc153291674"/>
      <w:r w:rsidRPr="00765F6E">
        <w:rPr>
          <w:rFonts w:hint="eastAsia"/>
        </w:rPr>
        <w:t>牵引变电所分别应经供电计算并综合考虑下列因素确定：</w:t>
      </w:r>
      <w:bookmarkEnd w:id="1920"/>
      <w:bookmarkEnd w:id="1921"/>
    </w:p>
    <w:p w14:paraId="2C630FBB" w14:textId="77777777" w:rsidR="00737EB2" w:rsidRPr="00765F6E" w:rsidRDefault="00737EB2" w:rsidP="003334F3">
      <w:pPr>
        <w:pStyle w:val="af6"/>
        <w:numPr>
          <w:ilvl w:val="0"/>
          <w:numId w:val="145"/>
        </w:numPr>
        <w:tabs>
          <w:tab w:val="left" w:pos="851"/>
        </w:tabs>
        <w:snapToGrid w:val="0"/>
        <w:contextualSpacing/>
      </w:pPr>
      <w:r w:rsidRPr="00765F6E">
        <w:rPr>
          <w:rFonts w:hint="eastAsia"/>
        </w:rPr>
        <w:t>满足接触网最低电压水平要求；</w:t>
      </w:r>
    </w:p>
    <w:p w14:paraId="6F5F5578" w14:textId="77777777" w:rsidR="00737EB2" w:rsidRPr="00765F6E" w:rsidRDefault="00737EB2" w:rsidP="003334F3">
      <w:pPr>
        <w:pStyle w:val="af6"/>
        <w:numPr>
          <w:ilvl w:val="0"/>
          <w:numId w:val="145"/>
        </w:numPr>
        <w:tabs>
          <w:tab w:val="left" w:pos="851"/>
        </w:tabs>
        <w:snapToGrid w:val="0"/>
        <w:contextualSpacing/>
      </w:pPr>
      <w:r w:rsidRPr="00765F6E">
        <w:rPr>
          <w:rFonts w:hint="eastAsia"/>
        </w:rPr>
        <w:t>外部电源工程量小；</w:t>
      </w:r>
    </w:p>
    <w:p w14:paraId="375EC2F2" w14:textId="77777777" w:rsidR="00737EB2" w:rsidRPr="00765F6E" w:rsidRDefault="00737EB2" w:rsidP="003334F3">
      <w:pPr>
        <w:pStyle w:val="af6"/>
        <w:numPr>
          <w:ilvl w:val="0"/>
          <w:numId w:val="145"/>
        </w:numPr>
        <w:tabs>
          <w:tab w:val="left" w:pos="851"/>
        </w:tabs>
        <w:snapToGrid w:val="0"/>
        <w:contextualSpacing/>
      </w:pPr>
      <w:r w:rsidRPr="00765F6E">
        <w:rPr>
          <w:rFonts w:hint="eastAsia"/>
        </w:rPr>
        <w:t>相邻牵引变电所间供电能力的相互支援。</w:t>
      </w:r>
    </w:p>
    <w:p w14:paraId="49699C8C" w14:textId="77777777" w:rsidR="00737EB2" w:rsidRPr="00765F6E" w:rsidRDefault="00737EB2" w:rsidP="009D0776">
      <w:pPr>
        <w:pStyle w:val="22"/>
      </w:pPr>
      <w:bookmarkStart w:id="1922" w:name="_Toc99792240"/>
      <w:bookmarkStart w:id="1923" w:name="_Toc153291675"/>
      <w:r w:rsidRPr="00765F6E">
        <w:rPr>
          <w:rFonts w:hint="eastAsia"/>
        </w:rPr>
        <w:t>牵引网电压宜采用DC1500V。牵引供电系统的电压及其波动范围应符合GB/T</w:t>
      </w:r>
      <w:r w:rsidRPr="00765F6E">
        <w:t xml:space="preserve"> </w:t>
      </w:r>
      <w:r w:rsidRPr="00765F6E">
        <w:rPr>
          <w:rFonts w:hint="eastAsia"/>
        </w:rPr>
        <w:t>1402的规定。</w:t>
      </w:r>
      <w:bookmarkEnd w:id="1922"/>
      <w:bookmarkEnd w:id="1923"/>
    </w:p>
    <w:p w14:paraId="73A79081" w14:textId="77777777" w:rsidR="00737EB2" w:rsidRPr="00765F6E" w:rsidRDefault="00737EB2" w:rsidP="009D0776">
      <w:pPr>
        <w:pStyle w:val="22"/>
      </w:pPr>
      <w:bookmarkStart w:id="1924" w:name="_Toc99792246"/>
      <w:bookmarkStart w:id="1925" w:name="_Toc153291681"/>
      <w:r w:rsidRPr="00765F6E">
        <w:rPr>
          <w:rFonts w:hint="eastAsia"/>
        </w:rPr>
        <w:t>牵引变电所分布应满足远期牵引负荷的需求，所址宜与车站结合。</w:t>
      </w:r>
      <w:bookmarkEnd w:id="1924"/>
      <w:bookmarkEnd w:id="1925"/>
    </w:p>
    <w:p w14:paraId="7E5FA968" w14:textId="37EC224F" w:rsidR="00737EB2" w:rsidRPr="00765F6E" w:rsidRDefault="004F4A70" w:rsidP="009D0776">
      <w:pPr>
        <w:pStyle w:val="22"/>
      </w:pPr>
      <w:bookmarkStart w:id="1926" w:name="_Toc153291682"/>
      <w:bookmarkStart w:id="1927" w:name="_Toc99792247"/>
      <w:r w:rsidRPr="00453DBE">
        <w:rPr>
          <w:rFonts w:hint="eastAsia"/>
          <w:szCs w:val="22"/>
        </w:rPr>
        <w:t>当牵引供电系统需要采用新型节能技术时，应通过技术经济比选后确定</w:t>
      </w:r>
      <w:r w:rsidR="00737EB2" w:rsidRPr="00765F6E">
        <w:rPr>
          <w:rFonts w:hint="eastAsia"/>
        </w:rPr>
        <w:t>。</w:t>
      </w:r>
      <w:bookmarkEnd w:id="1926"/>
      <w:bookmarkEnd w:id="1927"/>
    </w:p>
    <w:p w14:paraId="36F3076C" w14:textId="77777777" w:rsidR="00737EB2" w:rsidRPr="00765F6E" w:rsidRDefault="00737EB2" w:rsidP="00737EB2">
      <w:pPr>
        <w:pStyle w:val="affe"/>
        <w:spacing w:before="156" w:after="156"/>
      </w:pPr>
      <w:bookmarkStart w:id="1928" w:name="_Toc153291683"/>
      <w:bookmarkStart w:id="1929" w:name="_Toc153210910"/>
      <w:bookmarkStart w:id="1930" w:name="_Toc99792248"/>
      <w:bookmarkStart w:id="1931" w:name="_Toc167895807"/>
      <w:bookmarkStart w:id="1932" w:name="_Toc174538721"/>
      <w:bookmarkStart w:id="1933" w:name="_Toc182476478"/>
      <w:r w:rsidRPr="00765F6E">
        <w:rPr>
          <w:rFonts w:hint="eastAsia"/>
        </w:rPr>
        <w:lastRenderedPageBreak/>
        <w:t>外部电源</w:t>
      </w:r>
      <w:bookmarkEnd w:id="1928"/>
      <w:bookmarkEnd w:id="1929"/>
      <w:bookmarkEnd w:id="1930"/>
      <w:bookmarkEnd w:id="1931"/>
      <w:bookmarkEnd w:id="1932"/>
      <w:bookmarkEnd w:id="1933"/>
    </w:p>
    <w:p w14:paraId="247091D4" w14:textId="77777777" w:rsidR="00737EB2" w:rsidRPr="00765F6E" w:rsidRDefault="00737EB2" w:rsidP="009D0776">
      <w:pPr>
        <w:pStyle w:val="22"/>
      </w:pPr>
      <w:bookmarkStart w:id="1934" w:name="_Toc153291684"/>
      <w:bookmarkStart w:id="1935" w:name="_Toc99792249"/>
      <w:r w:rsidRPr="00765F6E">
        <w:rPr>
          <w:rFonts w:hint="eastAsia"/>
        </w:rPr>
        <w:t>外部电源形式应结合供电制式、沿线电网现状及规划、线网规划、国土空间规划等确定。</w:t>
      </w:r>
      <w:bookmarkEnd w:id="1934"/>
      <w:bookmarkEnd w:id="1935"/>
    </w:p>
    <w:p w14:paraId="0D973275" w14:textId="77777777" w:rsidR="00737EB2" w:rsidRPr="00765F6E" w:rsidRDefault="00737EB2" w:rsidP="009D0776">
      <w:pPr>
        <w:pStyle w:val="22"/>
      </w:pPr>
      <w:bookmarkStart w:id="1936" w:name="_Toc99792250"/>
      <w:bookmarkStart w:id="1937" w:name="_Toc153291685"/>
      <w:r w:rsidRPr="00765F6E">
        <w:rPr>
          <w:rFonts w:hint="eastAsia"/>
        </w:rPr>
        <w:t>交流制式牵引变电所和直流制式主变电所、电源开闭所的两个外部电源可来自上级不同的变电所，也可来自上级同一变电所的不同母线，且至少应有一路专线电源。</w:t>
      </w:r>
      <w:bookmarkEnd w:id="1936"/>
      <w:bookmarkEnd w:id="1937"/>
    </w:p>
    <w:p w14:paraId="7C776E12" w14:textId="78ED128D" w:rsidR="00737EB2" w:rsidRPr="00765F6E" w:rsidRDefault="00737EB2" w:rsidP="009D0776">
      <w:pPr>
        <w:pStyle w:val="22"/>
      </w:pPr>
      <w:bookmarkStart w:id="1938" w:name="_Toc99792252"/>
      <w:bookmarkStart w:id="1939" w:name="_Toc153291687"/>
      <w:r w:rsidRPr="00765F6E">
        <w:rPr>
          <w:rFonts w:hint="eastAsia"/>
        </w:rPr>
        <w:t>交流制牵引变电所的外部电源应采用110kV及以上电压等级；直流主变电所的外部电源宜采用110kV</w:t>
      </w:r>
      <w:r w:rsidR="004F4A70">
        <w:rPr>
          <w:rFonts w:hint="eastAsia"/>
        </w:rPr>
        <w:t>电压</w:t>
      </w:r>
      <w:r w:rsidR="001775FA" w:rsidRPr="00765F6E">
        <w:rPr>
          <w:rFonts w:hint="eastAsia"/>
        </w:rPr>
        <w:t>等级</w:t>
      </w:r>
      <w:r w:rsidRPr="00765F6E">
        <w:rPr>
          <w:rFonts w:hint="eastAsia"/>
        </w:rPr>
        <w:t>。</w:t>
      </w:r>
      <w:bookmarkEnd w:id="1938"/>
      <w:bookmarkEnd w:id="1939"/>
    </w:p>
    <w:p w14:paraId="0CC691E4" w14:textId="77777777" w:rsidR="00737EB2" w:rsidRPr="00765F6E" w:rsidRDefault="00737EB2" w:rsidP="00737EB2">
      <w:pPr>
        <w:pStyle w:val="affe"/>
        <w:spacing w:before="156" w:after="156"/>
        <w:rPr>
          <w:szCs w:val="22"/>
        </w:rPr>
      </w:pPr>
      <w:bookmarkStart w:id="1940" w:name="_Toc167895808"/>
      <w:bookmarkStart w:id="1941" w:name="_Toc174538722"/>
      <w:bookmarkStart w:id="1942" w:name="_Toc182476479"/>
      <w:bookmarkStart w:id="1943" w:name="_Toc153291688"/>
      <w:bookmarkStart w:id="1944" w:name="_Toc99792253"/>
      <w:bookmarkStart w:id="1945" w:name="_Toc153210911"/>
      <w:r w:rsidRPr="00765F6E">
        <w:rPr>
          <w:rFonts w:hint="eastAsia"/>
          <w:szCs w:val="22"/>
        </w:rPr>
        <w:t>主变电所及中压网络</w:t>
      </w:r>
      <w:bookmarkEnd w:id="1940"/>
      <w:bookmarkEnd w:id="1941"/>
      <w:bookmarkEnd w:id="1942"/>
    </w:p>
    <w:p w14:paraId="38D79A4A" w14:textId="77777777" w:rsidR="00737EB2" w:rsidRPr="00765F6E" w:rsidRDefault="00737EB2" w:rsidP="009D0776">
      <w:pPr>
        <w:pStyle w:val="22"/>
      </w:pPr>
      <w:r w:rsidRPr="00765F6E">
        <w:rPr>
          <w:rFonts w:hint="eastAsia"/>
        </w:rPr>
        <w:t>主变压器数量和容量应根据近、远期负荷计算确定，用电负荷近、远期相差较大时，宜分期实施。当一台主变压器退出运行时，其他主变压器应能负担供电范围内的一、二级负荷。</w:t>
      </w:r>
    </w:p>
    <w:p w14:paraId="4246E725" w14:textId="77777777" w:rsidR="00737EB2" w:rsidRPr="00765F6E" w:rsidRDefault="00737EB2" w:rsidP="009D0776">
      <w:pPr>
        <w:pStyle w:val="22"/>
      </w:pPr>
      <w:r w:rsidRPr="00765F6E">
        <w:rPr>
          <w:rFonts w:hint="eastAsia"/>
        </w:rPr>
        <w:t>供电系统中压网络的电压等级可采用35kV、20kV、10kV。对于分散式供电方案，中压网络的电压等级应与当地公共电压相匹配；对于集中式供电方案，中压网络的电压等级应根据用电容量、供电距离、沿线电网现状及规划等因素，经技术经济比选后确定。</w:t>
      </w:r>
    </w:p>
    <w:p w14:paraId="351E3D40" w14:textId="77777777" w:rsidR="00737EB2" w:rsidRPr="00765F6E" w:rsidRDefault="00737EB2" w:rsidP="009D0776">
      <w:pPr>
        <w:pStyle w:val="22"/>
      </w:pPr>
      <w:r w:rsidRPr="00765F6E">
        <w:rPr>
          <w:rFonts w:hint="eastAsia"/>
        </w:rPr>
        <w:t>中压网络应采用牵引动力照明混合网络。</w:t>
      </w:r>
    </w:p>
    <w:p w14:paraId="64208CAD" w14:textId="77777777" w:rsidR="00737EB2" w:rsidRPr="00765F6E" w:rsidRDefault="00737EB2" w:rsidP="009D0776">
      <w:pPr>
        <w:pStyle w:val="22"/>
      </w:pPr>
      <w:r w:rsidRPr="00765F6E">
        <w:rPr>
          <w:rFonts w:hint="eastAsia"/>
        </w:rPr>
        <w:t>主变压器二次侧应采用低电阻接地方式。采用分散供电时，外部电源系统的接地方式应与市域铁路供电系统相匹配，不匹配时应与电力部门协商解决或在电源开闭所设置隔离变压器。</w:t>
      </w:r>
    </w:p>
    <w:p w14:paraId="4FC1AD2D" w14:textId="3C7E4AB5" w:rsidR="00737EB2" w:rsidRPr="00765F6E" w:rsidRDefault="00C271B1" w:rsidP="009D0776">
      <w:pPr>
        <w:pStyle w:val="22"/>
      </w:pPr>
      <w:r w:rsidRPr="0051614F">
        <w:rPr>
          <w:rFonts w:hint="eastAsia"/>
        </w:rPr>
        <w:t>供电系统的中压网络应按列车运行的远期通过能力设计，对互为备用线路，一路退出运行另一路应承担其一、二级负荷的供电，</w:t>
      </w:r>
      <w:r w:rsidRPr="00BF0BA3">
        <w:rPr>
          <w:rFonts w:hint="eastAsia"/>
        </w:rPr>
        <w:t>线路末端电压损失应符合</w:t>
      </w:r>
      <w:r w:rsidRPr="00BF0BA3">
        <w:t>GB∕T 12325</w:t>
      </w:r>
      <w:r w:rsidRPr="00BF0BA3">
        <w:rPr>
          <w:rFonts w:hint="eastAsia"/>
        </w:rPr>
        <w:t>要求</w:t>
      </w:r>
      <w:r w:rsidR="00737EB2" w:rsidRPr="00765F6E">
        <w:rPr>
          <w:rFonts w:hint="eastAsia"/>
        </w:rPr>
        <w:t>。</w:t>
      </w:r>
    </w:p>
    <w:p w14:paraId="541D7981" w14:textId="77777777" w:rsidR="00737EB2" w:rsidRPr="00765F6E" w:rsidRDefault="00737EB2" w:rsidP="00737EB2">
      <w:pPr>
        <w:pStyle w:val="affe"/>
        <w:spacing w:before="156" w:after="156"/>
      </w:pPr>
      <w:bookmarkStart w:id="1946" w:name="_Toc167895809"/>
      <w:bookmarkStart w:id="1947" w:name="_Toc174538723"/>
      <w:bookmarkStart w:id="1948" w:name="_Toc182476480"/>
      <w:r w:rsidRPr="00765F6E">
        <w:rPr>
          <w:rFonts w:hint="eastAsia"/>
        </w:rPr>
        <w:t>牵引变电</w:t>
      </w:r>
      <w:bookmarkEnd w:id="1943"/>
      <w:bookmarkEnd w:id="1944"/>
      <w:bookmarkEnd w:id="1945"/>
      <w:bookmarkEnd w:id="1946"/>
      <w:bookmarkEnd w:id="1947"/>
      <w:bookmarkEnd w:id="1948"/>
    </w:p>
    <w:p w14:paraId="09CB21C2" w14:textId="77777777" w:rsidR="00737EB2" w:rsidRPr="00765F6E" w:rsidRDefault="00737EB2" w:rsidP="009D0776">
      <w:pPr>
        <w:pStyle w:val="22"/>
      </w:pPr>
      <w:bookmarkStart w:id="1949" w:name="_Toc99792254"/>
      <w:bookmarkStart w:id="1950" w:name="_Toc153291689"/>
      <w:r w:rsidRPr="00765F6E">
        <w:rPr>
          <w:rFonts w:hint="eastAsia"/>
        </w:rPr>
        <w:t>交流制牵引变电设施包括牵引变电所、分区所、开闭所、车站/区间接触网开关控制站及其相关配电设备，其中牵引变电所可与电力变电所合建。</w:t>
      </w:r>
    </w:p>
    <w:p w14:paraId="50DAC56D" w14:textId="77777777" w:rsidR="00737EB2" w:rsidRPr="00765F6E" w:rsidRDefault="00737EB2" w:rsidP="009D0776">
      <w:pPr>
        <w:pStyle w:val="22"/>
      </w:pPr>
      <w:r w:rsidRPr="00765F6E">
        <w:rPr>
          <w:rFonts w:hint="eastAsia"/>
        </w:rPr>
        <w:t>直流制牵引变电设施包括主变电所、电源开闭所、牵引变电所及其相关配电设备，其中牵引变电所与降压变电所合建为牵引降压混合变电所。</w:t>
      </w:r>
      <w:bookmarkEnd w:id="1949"/>
      <w:bookmarkEnd w:id="1950"/>
    </w:p>
    <w:p w14:paraId="73D4B80B" w14:textId="77777777" w:rsidR="00737EB2" w:rsidRPr="00765F6E" w:rsidRDefault="00737EB2" w:rsidP="009D0776">
      <w:pPr>
        <w:pStyle w:val="22"/>
      </w:pPr>
      <w:bookmarkStart w:id="1951" w:name="_Toc99792255"/>
      <w:bookmarkStart w:id="1952" w:name="_Toc153291690"/>
      <w:r w:rsidRPr="00765F6E">
        <w:rPr>
          <w:rFonts w:hint="eastAsia"/>
        </w:rPr>
        <w:t>牵引变电各类所亭的所址应根据供电计算确定的布置方案进行选择，并符合下列规定：</w:t>
      </w:r>
      <w:bookmarkEnd w:id="1951"/>
      <w:bookmarkEnd w:id="1952"/>
    </w:p>
    <w:p w14:paraId="42A568D8" w14:textId="5244A63D" w:rsidR="00737EB2" w:rsidRPr="00765F6E" w:rsidRDefault="00737EB2" w:rsidP="003334F3">
      <w:pPr>
        <w:pStyle w:val="af6"/>
        <w:numPr>
          <w:ilvl w:val="0"/>
          <w:numId w:val="146"/>
        </w:numPr>
        <w:tabs>
          <w:tab w:val="left" w:pos="851"/>
        </w:tabs>
        <w:snapToGrid w:val="0"/>
        <w:contextualSpacing/>
        <w:rPr>
          <w:rFonts w:hAnsi="宋体"/>
        </w:rPr>
      </w:pPr>
      <w:r w:rsidRPr="00765F6E">
        <w:rPr>
          <w:rFonts w:hAnsi="宋体" w:hint="eastAsia"/>
        </w:rPr>
        <w:t>应便于架空或电缆线路的引入、引出</w:t>
      </w:r>
      <w:r w:rsidR="00B52E69">
        <w:rPr>
          <w:rFonts w:hAnsi="宋体" w:hint="eastAsia"/>
        </w:rPr>
        <w:t>；</w:t>
      </w:r>
    </w:p>
    <w:p w14:paraId="5EB40135" w14:textId="11F5BF62" w:rsidR="00737EB2" w:rsidRPr="00765F6E" w:rsidRDefault="00737EB2" w:rsidP="003334F3">
      <w:pPr>
        <w:pStyle w:val="af6"/>
        <w:numPr>
          <w:ilvl w:val="0"/>
          <w:numId w:val="146"/>
        </w:numPr>
        <w:tabs>
          <w:tab w:val="left" w:pos="851"/>
        </w:tabs>
        <w:snapToGrid w:val="0"/>
        <w:contextualSpacing/>
        <w:rPr>
          <w:rFonts w:hAnsi="宋体"/>
        </w:rPr>
      </w:pPr>
      <w:r w:rsidRPr="00765F6E">
        <w:rPr>
          <w:rFonts w:hAnsi="宋体" w:hint="eastAsia"/>
        </w:rPr>
        <w:t>应便于设备运输</w:t>
      </w:r>
      <w:r w:rsidR="00B52E69">
        <w:rPr>
          <w:rFonts w:hAnsi="宋体" w:hint="eastAsia"/>
        </w:rPr>
        <w:t>；</w:t>
      </w:r>
    </w:p>
    <w:p w14:paraId="3A9F26D2" w14:textId="77777777" w:rsidR="00737EB2" w:rsidRPr="00765F6E" w:rsidRDefault="00737EB2" w:rsidP="003334F3">
      <w:pPr>
        <w:pStyle w:val="af6"/>
        <w:numPr>
          <w:ilvl w:val="0"/>
          <w:numId w:val="146"/>
        </w:numPr>
        <w:tabs>
          <w:tab w:val="left" w:pos="851"/>
        </w:tabs>
        <w:snapToGrid w:val="0"/>
        <w:contextualSpacing/>
        <w:rPr>
          <w:rFonts w:hAnsi="宋体"/>
        </w:rPr>
      </w:pPr>
      <w:r w:rsidRPr="00765F6E">
        <w:rPr>
          <w:rFonts w:hAnsi="宋体" w:hint="eastAsia"/>
        </w:rPr>
        <w:t>应具有适宜的地质条件及地基承载力，并避开危岩、流砂、滑坡、落石等地质不良地带；应避开对抗震不利或危险场所；不宜设置高土壤电阻率地区；</w:t>
      </w:r>
    </w:p>
    <w:p w14:paraId="06A11498" w14:textId="77777777" w:rsidR="00737EB2" w:rsidRPr="00765F6E" w:rsidRDefault="00737EB2" w:rsidP="003334F3">
      <w:pPr>
        <w:pStyle w:val="af6"/>
        <w:numPr>
          <w:ilvl w:val="0"/>
          <w:numId w:val="146"/>
        </w:numPr>
        <w:tabs>
          <w:tab w:val="left" w:pos="851"/>
        </w:tabs>
        <w:snapToGrid w:val="0"/>
        <w:contextualSpacing/>
        <w:rPr>
          <w:rFonts w:hAnsi="宋体"/>
        </w:rPr>
      </w:pPr>
      <w:r w:rsidRPr="00765F6E">
        <w:rPr>
          <w:rFonts w:hAnsi="宋体" w:hint="eastAsia"/>
        </w:rPr>
        <w:t>应避开高填方、大量拆迁建筑物和地下设施的地区；</w:t>
      </w:r>
    </w:p>
    <w:p w14:paraId="6C9FB793" w14:textId="77777777" w:rsidR="00737EB2" w:rsidRPr="00765F6E" w:rsidRDefault="00737EB2" w:rsidP="003334F3">
      <w:pPr>
        <w:pStyle w:val="af6"/>
        <w:numPr>
          <w:ilvl w:val="0"/>
          <w:numId w:val="146"/>
        </w:numPr>
        <w:tabs>
          <w:tab w:val="left" w:pos="851"/>
        </w:tabs>
        <w:snapToGrid w:val="0"/>
        <w:contextualSpacing/>
        <w:rPr>
          <w:rFonts w:hAnsi="宋体"/>
        </w:rPr>
      </w:pPr>
      <w:r w:rsidRPr="00765F6E">
        <w:rPr>
          <w:rFonts w:hAnsi="宋体" w:hint="eastAsia"/>
        </w:rPr>
        <w:t>不宜设在空气污秽地区；</w:t>
      </w:r>
    </w:p>
    <w:p w14:paraId="4652709F" w14:textId="77777777" w:rsidR="00737EB2" w:rsidRPr="00765F6E" w:rsidRDefault="00737EB2" w:rsidP="003334F3">
      <w:pPr>
        <w:pStyle w:val="af6"/>
        <w:numPr>
          <w:ilvl w:val="0"/>
          <w:numId w:val="146"/>
        </w:numPr>
        <w:tabs>
          <w:tab w:val="left" w:pos="851"/>
        </w:tabs>
        <w:snapToGrid w:val="0"/>
        <w:contextualSpacing/>
        <w:rPr>
          <w:rFonts w:hAnsi="宋体"/>
        </w:rPr>
      </w:pPr>
      <w:r w:rsidRPr="00765F6E">
        <w:rPr>
          <w:rFonts w:hAnsi="宋体" w:hint="eastAsia"/>
        </w:rPr>
        <w:t>牵引变电所的围墙距最近股道的线路中心不宜小于10m；</w:t>
      </w:r>
    </w:p>
    <w:p w14:paraId="63B76517" w14:textId="0E68F986" w:rsidR="00737EB2" w:rsidRPr="00765F6E" w:rsidRDefault="00737EB2" w:rsidP="003334F3">
      <w:pPr>
        <w:pStyle w:val="af6"/>
        <w:numPr>
          <w:ilvl w:val="0"/>
          <w:numId w:val="146"/>
        </w:numPr>
        <w:tabs>
          <w:tab w:val="left" w:pos="851"/>
        </w:tabs>
        <w:snapToGrid w:val="0"/>
        <w:contextualSpacing/>
        <w:rPr>
          <w:rFonts w:hAnsi="宋体"/>
        </w:rPr>
      </w:pPr>
      <w:r w:rsidRPr="00765F6E">
        <w:rPr>
          <w:rFonts w:hAnsi="宋体" w:hint="eastAsia"/>
        </w:rPr>
        <w:t>地面设置的牵引所亭所址高程宜在100年一遇的高水位或最高内涝水位之上；</w:t>
      </w:r>
    </w:p>
    <w:p w14:paraId="0DAE21B0" w14:textId="77777777" w:rsidR="00737EB2" w:rsidRPr="00765F6E" w:rsidRDefault="00737EB2" w:rsidP="003334F3">
      <w:pPr>
        <w:pStyle w:val="af6"/>
        <w:numPr>
          <w:ilvl w:val="0"/>
          <w:numId w:val="146"/>
        </w:numPr>
        <w:tabs>
          <w:tab w:val="left" w:pos="851"/>
        </w:tabs>
        <w:snapToGrid w:val="0"/>
        <w:contextualSpacing/>
        <w:rPr>
          <w:rFonts w:hAnsi="宋体"/>
        </w:rPr>
      </w:pPr>
      <w:r w:rsidRPr="00765F6E">
        <w:rPr>
          <w:rFonts w:hAnsi="宋体" w:hint="eastAsia"/>
        </w:rPr>
        <w:t>与所外的建筑物、易燃易爆等设施之间的防火净距应符合国家现行标准的相关规定；</w:t>
      </w:r>
    </w:p>
    <w:p w14:paraId="6C4F19DA" w14:textId="77777777" w:rsidR="00737EB2" w:rsidRPr="00765F6E" w:rsidRDefault="00737EB2" w:rsidP="003334F3">
      <w:pPr>
        <w:pStyle w:val="af6"/>
        <w:numPr>
          <w:ilvl w:val="0"/>
          <w:numId w:val="146"/>
        </w:numPr>
        <w:tabs>
          <w:tab w:val="left" w:pos="851"/>
        </w:tabs>
        <w:snapToGrid w:val="0"/>
        <w:contextualSpacing/>
        <w:rPr>
          <w:rFonts w:hAnsi="宋体"/>
        </w:rPr>
      </w:pPr>
      <w:r w:rsidRPr="00765F6E">
        <w:rPr>
          <w:rFonts w:hAnsi="宋体" w:hint="eastAsia"/>
        </w:rPr>
        <w:t>与电台、雷达站、机场、弱电线路以及地下管道、电缆、储油设施和周围环境的相互关系应符合现行国家标准的相关规定。</w:t>
      </w:r>
    </w:p>
    <w:p w14:paraId="319FB3E3" w14:textId="77777777" w:rsidR="00737EB2" w:rsidRPr="00765F6E" w:rsidRDefault="00737EB2" w:rsidP="009D0776">
      <w:pPr>
        <w:pStyle w:val="22"/>
      </w:pPr>
      <w:bookmarkStart w:id="1953" w:name="_Toc153291691"/>
      <w:bookmarkStart w:id="1954" w:name="_Toc99792256"/>
      <w:r w:rsidRPr="00765F6E">
        <w:rPr>
          <w:rFonts w:hint="eastAsia"/>
        </w:rPr>
        <w:t>直流制式牵引变电各类所亭的所址应根据供电计算确定的布置方案进行选择，并符合下列规定：</w:t>
      </w:r>
    </w:p>
    <w:p w14:paraId="56C4D053" w14:textId="7411CF42" w:rsidR="00737EB2" w:rsidRPr="00765F6E" w:rsidRDefault="00737EB2" w:rsidP="003334F3">
      <w:pPr>
        <w:pStyle w:val="af6"/>
        <w:numPr>
          <w:ilvl w:val="0"/>
          <w:numId w:val="147"/>
        </w:numPr>
        <w:tabs>
          <w:tab w:val="clear" w:pos="851"/>
          <w:tab w:val="left" w:pos="709"/>
        </w:tabs>
        <w:snapToGrid w:val="0"/>
        <w:contextualSpacing/>
        <w:rPr>
          <w:rFonts w:hAnsi="宋体"/>
        </w:rPr>
      </w:pPr>
      <w:bookmarkStart w:id="1955" w:name="_Hlk153439559"/>
      <w:r w:rsidRPr="00765F6E">
        <w:rPr>
          <w:rFonts w:hAnsi="宋体" w:hint="eastAsia"/>
        </w:rPr>
        <w:t xml:space="preserve"> 应便于电缆线路的引入、引出</w:t>
      </w:r>
      <w:r w:rsidR="00B52E69">
        <w:rPr>
          <w:rFonts w:hAnsi="宋体" w:hint="eastAsia"/>
        </w:rPr>
        <w:t>；</w:t>
      </w:r>
    </w:p>
    <w:p w14:paraId="5778D738" w14:textId="3E1A8C8E" w:rsidR="00737EB2" w:rsidRPr="00765F6E" w:rsidRDefault="00737EB2" w:rsidP="003334F3">
      <w:pPr>
        <w:pStyle w:val="af6"/>
        <w:tabs>
          <w:tab w:val="clear" w:pos="851"/>
          <w:tab w:val="left" w:pos="709"/>
        </w:tabs>
        <w:snapToGrid w:val="0"/>
        <w:ind w:left="850" w:hanging="425"/>
        <w:contextualSpacing/>
        <w:rPr>
          <w:rFonts w:hAnsi="宋体"/>
        </w:rPr>
      </w:pPr>
      <w:r w:rsidRPr="00765F6E">
        <w:rPr>
          <w:rFonts w:hAnsi="宋体" w:hint="eastAsia"/>
        </w:rPr>
        <w:t xml:space="preserve"> 应便于设备运输</w:t>
      </w:r>
      <w:r w:rsidR="00B52E69">
        <w:rPr>
          <w:rFonts w:hAnsi="宋体" w:hint="eastAsia"/>
        </w:rPr>
        <w:t>；</w:t>
      </w:r>
    </w:p>
    <w:p w14:paraId="51E55BBB" w14:textId="77777777" w:rsidR="00737EB2" w:rsidRPr="00765F6E" w:rsidRDefault="00737EB2" w:rsidP="003334F3">
      <w:pPr>
        <w:pStyle w:val="af6"/>
        <w:tabs>
          <w:tab w:val="clear" w:pos="851"/>
          <w:tab w:val="left" w:pos="709"/>
        </w:tabs>
        <w:snapToGrid w:val="0"/>
        <w:ind w:left="850" w:hanging="425"/>
        <w:contextualSpacing/>
        <w:rPr>
          <w:rFonts w:hAnsi="宋体"/>
        </w:rPr>
      </w:pPr>
      <w:r w:rsidRPr="00765F6E">
        <w:rPr>
          <w:rFonts w:hAnsi="宋体" w:hint="eastAsia"/>
        </w:rPr>
        <w:t xml:space="preserve"> 宜设于市域铁路的车站、场段内。当设于车站、场段建筑内时，不应设在冷冻机房等场所的经常积水区的正下方，且不宜与厕所、泵房等场所相贴邻。</w:t>
      </w:r>
    </w:p>
    <w:bookmarkEnd w:id="1955"/>
    <w:p w14:paraId="66FCED59" w14:textId="6E864DE4" w:rsidR="00737EB2" w:rsidRPr="00765F6E" w:rsidRDefault="00C271B1" w:rsidP="009D0776">
      <w:pPr>
        <w:pStyle w:val="22"/>
      </w:pPr>
      <w:r w:rsidRPr="00BF0BA3">
        <w:rPr>
          <w:rFonts w:hint="eastAsia"/>
        </w:rPr>
        <w:t>牵引</w:t>
      </w:r>
      <w:r w:rsidR="00737EB2" w:rsidRPr="00765F6E">
        <w:rPr>
          <w:rFonts w:hint="eastAsia"/>
        </w:rPr>
        <w:t>变电所的主接线应安全、可靠、简单、操作方便和节约投资。</w:t>
      </w:r>
      <w:bookmarkEnd w:id="1953"/>
      <w:bookmarkEnd w:id="1954"/>
    </w:p>
    <w:p w14:paraId="102A5610" w14:textId="77777777" w:rsidR="00737EB2" w:rsidRPr="00765F6E" w:rsidRDefault="00737EB2" w:rsidP="009D0776">
      <w:pPr>
        <w:pStyle w:val="22"/>
      </w:pPr>
      <w:bookmarkStart w:id="1956" w:name="_Toc153291692"/>
      <w:bookmarkStart w:id="1957" w:name="_Toc99792257"/>
      <w:r w:rsidRPr="00765F6E">
        <w:rPr>
          <w:rFonts w:hint="eastAsia"/>
        </w:rPr>
        <w:t>交流制牵引变电所和直流制主变电所电源侧主接线应结合外部电源条件确定，宜采用线路变压器组接线或分支接线；当有穿越功率时，可采用桥形接线。</w:t>
      </w:r>
      <w:bookmarkEnd w:id="1956"/>
      <w:bookmarkEnd w:id="1957"/>
    </w:p>
    <w:p w14:paraId="4334586A" w14:textId="77777777" w:rsidR="00737EB2" w:rsidRPr="00765F6E" w:rsidRDefault="00737EB2" w:rsidP="009D0776">
      <w:pPr>
        <w:pStyle w:val="22"/>
      </w:pPr>
      <w:bookmarkStart w:id="1958" w:name="_Toc153291693"/>
      <w:bookmarkStart w:id="1959" w:name="_Toc99792258"/>
      <w:r w:rsidRPr="00765F6E">
        <w:rPr>
          <w:rFonts w:hint="eastAsia"/>
        </w:rPr>
        <w:t>交流制的牵引变压器应采用无载调压方式，调压开关应纳入远程监视。直流制的主变压器宜采用有载调压方式，电源开闭所设置的隔离变压器宜设置调压抽头，调压开关应纳入远程监视。</w:t>
      </w:r>
      <w:bookmarkEnd w:id="1958"/>
      <w:bookmarkEnd w:id="1959"/>
    </w:p>
    <w:p w14:paraId="4A30A19D" w14:textId="77777777" w:rsidR="00737EB2" w:rsidRPr="00765F6E" w:rsidRDefault="00737EB2" w:rsidP="009D0776">
      <w:pPr>
        <w:pStyle w:val="22"/>
      </w:pPr>
      <w:bookmarkStart w:id="1960" w:name="_Toc99792259"/>
      <w:bookmarkStart w:id="1961" w:name="_Toc153291694"/>
      <w:r w:rsidRPr="00765F6E">
        <w:rPr>
          <w:rFonts w:hint="eastAsia"/>
        </w:rPr>
        <w:t>牵引变电各类所亭的设计应执行国家环境保护和节约用地等有关规定，配电装置宜采用室内</w:t>
      </w:r>
      <w:r w:rsidRPr="00765F6E">
        <w:rPr>
          <w:rFonts w:hint="eastAsia"/>
        </w:rPr>
        <w:lastRenderedPageBreak/>
        <w:t>布置方式。直流制的牵引馈出线及回流线应采用电缆方式，交流制的27.5kV牵引馈出线宜采用电缆方式。</w:t>
      </w:r>
    </w:p>
    <w:p w14:paraId="46B4EC56" w14:textId="7259B0B4" w:rsidR="00737EB2" w:rsidRPr="00765F6E" w:rsidRDefault="00C271B1" w:rsidP="009D0776">
      <w:pPr>
        <w:pStyle w:val="22"/>
      </w:pPr>
      <w:r w:rsidRPr="00BF0BA3">
        <w:rPr>
          <w:rFonts w:hint="eastAsia"/>
        </w:rPr>
        <w:t>牵引</w:t>
      </w:r>
      <w:r w:rsidR="001F3336">
        <w:rPr>
          <w:rFonts w:hint="eastAsia"/>
        </w:rPr>
        <w:t>变电</w:t>
      </w:r>
      <w:r w:rsidR="00737EB2" w:rsidRPr="00765F6E">
        <w:rPr>
          <w:rFonts w:hint="eastAsia"/>
        </w:rPr>
        <w:t>所内道路布置除满足运行、检修、设备安装要求外，还应符合安全、消防、节约用地的有关规定。所内主干道最小宽度不应小于4m。</w:t>
      </w:r>
      <w:bookmarkEnd w:id="1960"/>
      <w:bookmarkEnd w:id="1961"/>
    </w:p>
    <w:p w14:paraId="25DB7317" w14:textId="77777777" w:rsidR="00737EB2" w:rsidRPr="00765F6E" w:rsidRDefault="00737EB2" w:rsidP="009D0776">
      <w:pPr>
        <w:pStyle w:val="22"/>
      </w:pPr>
      <w:bookmarkStart w:id="1962" w:name="_Toc153291695"/>
      <w:bookmarkStart w:id="1963" w:name="_Toc99792260"/>
      <w:r w:rsidRPr="00765F6E">
        <w:rPr>
          <w:rFonts w:hint="eastAsia"/>
        </w:rPr>
        <w:t>配电装置的空间布置和相关要求除应符合GB 50060、GB 50157、DL/T 5352、TB 10009的有关规定外，还应符合下列规定：</w:t>
      </w:r>
      <w:bookmarkEnd w:id="1962"/>
      <w:bookmarkEnd w:id="1963"/>
    </w:p>
    <w:p w14:paraId="6EDAF6A5" w14:textId="39EDB3F8" w:rsidR="00737EB2" w:rsidRPr="00765F6E" w:rsidRDefault="00737EB2" w:rsidP="003334F3">
      <w:pPr>
        <w:pStyle w:val="af6"/>
        <w:numPr>
          <w:ilvl w:val="0"/>
          <w:numId w:val="148"/>
        </w:numPr>
        <w:tabs>
          <w:tab w:val="left" w:pos="851"/>
        </w:tabs>
        <w:snapToGrid w:val="0"/>
        <w:contextualSpacing/>
        <w:rPr>
          <w:rFonts w:hAnsi="宋体"/>
        </w:rPr>
      </w:pPr>
      <w:r w:rsidRPr="00765F6E">
        <w:rPr>
          <w:rFonts w:hAnsi="宋体" w:hint="eastAsia"/>
        </w:rPr>
        <w:t>110kV及以上电压等级配电装置应采用GIS组合电器室内布置方式</w:t>
      </w:r>
      <w:r w:rsidR="00385C84">
        <w:rPr>
          <w:rFonts w:hAnsi="宋体" w:hint="eastAsia"/>
        </w:rPr>
        <w:t>；</w:t>
      </w:r>
    </w:p>
    <w:p w14:paraId="6135081B" w14:textId="6F1DF799" w:rsidR="00737EB2" w:rsidRPr="00765F6E" w:rsidRDefault="00737EB2" w:rsidP="003334F3">
      <w:pPr>
        <w:pStyle w:val="af6"/>
        <w:numPr>
          <w:ilvl w:val="0"/>
          <w:numId w:val="148"/>
        </w:numPr>
        <w:tabs>
          <w:tab w:val="left" w:pos="851"/>
        </w:tabs>
        <w:snapToGrid w:val="0"/>
        <w:contextualSpacing/>
        <w:rPr>
          <w:rFonts w:hAnsi="宋体"/>
        </w:rPr>
      </w:pPr>
      <w:r w:rsidRPr="00765F6E">
        <w:rPr>
          <w:rFonts w:hAnsi="宋体" w:hint="eastAsia"/>
        </w:rPr>
        <w:t>室内油浸变压器应装设置在单独的防爆间内</w:t>
      </w:r>
      <w:r w:rsidR="00385C84">
        <w:rPr>
          <w:rFonts w:hAnsi="宋体" w:hint="eastAsia"/>
        </w:rPr>
        <w:t>；</w:t>
      </w:r>
    </w:p>
    <w:p w14:paraId="4A84F0DD" w14:textId="77777777" w:rsidR="00737EB2" w:rsidRPr="00765F6E" w:rsidRDefault="00737EB2" w:rsidP="003334F3">
      <w:pPr>
        <w:pStyle w:val="af6"/>
        <w:numPr>
          <w:ilvl w:val="0"/>
          <w:numId w:val="148"/>
        </w:numPr>
        <w:tabs>
          <w:tab w:val="left" w:pos="851"/>
        </w:tabs>
        <w:snapToGrid w:val="0"/>
        <w:contextualSpacing/>
        <w:rPr>
          <w:rFonts w:hAnsi="宋体"/>
        </w:rPr>
      </w:pPr>
      <w:r w:rsidRPr="00765F6E">
        <w:rPr>
          <w:rFonts w:hAnsi="宋体" w:hint="eastAsia"/>
        </w:rPr>
        <w:t>27.5kV配电装置应采用GIS开关柜室内布置方式。</w:t>
      </w:r>
    </w:p>
    <w:p w14:paraId="69192E31" w14:textId="77777777" w:rsidR="00737EB2" w:rsidRPr="00765F6E" w:rsidRDefault="00737EB2" w:rsidP="009D0776">
      <w:pPr>
        <w:pStyle w:val="22"/>
      </w:pPr>
      <w:bookmarkStart w:id="1964" w:name="_Toc99792261"/>
      <w:bookmarkStart w:id="1965" w:name="_Toc153291696"/>
      <w:r w:rsidRPr="00765F6E">
        <w:rPr>
          <w:rFonts w:hint="eastAsia"/>
        </w:rPr>
        <w:t>27.5kV GIS开关柜室内布置应符合GB 50060规定</w:t>
      </w:r>
      <w:bookmarkEnd w:id="1964"/>
      <w:bookmarkEnd w:id="1965"/>
      <w:r w:rsidRPr="00765F6E">
        <w:rPr>
          <w:rFonts w:hint="eastAsia"/>
        </w:rPr>
        <w:t>。</w:t>
      </w:r>
    </w:p>
    <w:p w14:paraId="060DFAD3" w14:textId="77777777" w:rsidR="00737EB2" w:rsidRPr="00765F6E" w:rsidRDefault="00737EB2" w:rsidP="009D0776">
      <w:pPr>
        <w:pStyle w:val="22"/>
      </w:pPr>
      <w:bookmarkStart w:id="1966" w:name="_Toc153291697"/>
      <w:bookmarkStart w:id="1967" w:name="_Toc99792262"/>
      <w:r w:rsidRPr="00765F6E">
        <w:rPr>
          <w:rFonts w:hint="eastAsia"/>
        </w:rPr>
        <w:t>110kV及以上GIS组合电器布置符合以下规定：</w:t>
      </w:r>
      <w:bookmarkEnd w:id="1966"/>
      <w:bookmarkEnd w:id="1967"/>
    </w:p>
    <w:p w14:paraId="615C2F24" w14:textId="3E6B4FC1" w:rsidR="00737EB2" w:rsidRPr="00765F6E" w:rsidRDefault="00737EB2" w:rsidP="003334F3">
      <w:pPr>
        <w:pStyle w:val="af6"/>
        <w:numPr>
          <w:ilvl w:val="0"/>
          <w:numId w:val="149"/>
        </w:numPr>
        <w:tabs>
          <w:tab w:val="left" w:pos="851"/>
        </w:tabs>
        <w:snapToGrid w:val="0"/>
        <w:contextualSpacing/>
        <w:rPr>
          <w:rFonts w:hAnsi="宋体"/>
        </w:rPr>
      </w:pPr>
      <w:r w:rsidRPr="00765F6E">
        <w:rPr>
          <w:rFonts w:hAnsi="宋体" w:hint="eastAsia"/>
        </w:rPr>
        <w:t>GIS配电装置间隔宽度、高度，应根据GIS型式、牵引变压器布置、进出线方式、安装、检修所需空间等因素确定</w:t>
      </w:r>
      <w:r w:rsidR="00B52E69">
        <w:rPr>
          <w:rFonts w:hAnsi="宋体" w:hint="eastAsia"/>
        </w:rPr>
        <w:t>；</w:t>
      </w:r>
    </w:p>
    <w:p w14:paraId="288964A7" w14:textId="0DDC50EF" w:rsidR="00737EB2" w:rsidRPr="00765F6E" w:rsidRDefault="00737EB2" w:rsidP="003334F3">
      <w:pPr>
        <w:pStyle w:val="af6"/>
        <w:numPr>
          <w:ilvl w:val="0"/>
          <w:numId w:val="149"/>
        </w:numPr>
        <w:tabs>
          <w:tab w:val="left" w:pos="851"/>
        </w:tabs>
        <w:snapToGrid w:val="0"/>
        <w:contextualSpacing/>
        <w:rPr>
          <w:rFonts w:hAnsi="宋体"/>
        </w:rPr>
      </w:pPr>
      <w:r w:rsidRPr="00765F6E">
        <w:rPr>
          <w:rFonts w:hAnsi="宋体" w:hint="eastAsia"/>
        </w:rPr>
        <w:t>GIS配电装置两侧应设置安装、检修和巡视的通道，主通道宜靠近断路器侧，宽度不宜小于2m；巡视通道宽度不应小于1m</w:t>
      </w:r>
      <w:r w:rsidR="00B52E69">
        <w:rPr>
          <w:rFonts w:hAnsi="宋体" w:hint="eastAsia"/>
        </w:rPr>
        <w:t>；</w:t>
      </w:r>
    </w:p>
    <w:p w14:paraId="39E715B6" w14:textId="6506E1C2" w:rsidR="00737EB2" w:rsidRPr="00765F6E" w:rsidRDefault="00737EB2" w:rsidP="003334F3">
      <w:pPr>
        <w:pStyle w:val="af6"/>
        <w:numPr>
          <w:ilvl w:val="0"/>
          <w:numId w:val="149"/>
        </w:numPr>
        <w:tabs>
          <w:tab w:val="left" w:pos="851"/>
        </w:tabs>
        <w:snapToGrid w:val="0"/>
        <w:contextualSpacing/>
        <w:rPr>
          <w:rFonts w:hAnsi="宋体"/>
        </w:rPr>
      </w:pPr>
      <w:r w:rsidRPr="00765F6E">
        <w:rPr>
          <w:rFonts w:hAnsi="宋体" w:hint="eastAsia"/>
        </w:rPr>
        <w:t>GIS配电装置应划分成若干隔室，断路器应设置单独隔室，与GIS配电装置外连的设备宜进行分隔，并满足间隔元件设备检修时不影响未检修设备的正常运行</w:t>
      </w:r>
      <w:r w:rsidR="00B52E69">
        <w:rPr>
          <w:rFonts w:hAnsi="宋体" w:hint="eastAsia"/>
        </w:rPr>
        <w:t>；</w:t>
      </w:r>
    </w:p>
    <w:p w14:paraId="7138C60C" w14:textId="00FDCF53" w:rsidR="00737EB2" w:rsidRPr="00765F6E" w:rsidRDefault="00737EB2" w:rsidP="003334F3">
      <w:pPr>
        <w:pStyle w:val="af6"/>
        <w:numPr>
          <w:ilvl w:val="0"/>
          <w:numId w:val="149"/>
        </w:numPr>
        <w:tabs>
          <w:tab w:val="left" w:pos="851"/>
        </w:tabs>
        <w:snapToGrid w:val="0"/>
        <w:contextualSpacing/>
        <w:rPr>
          <w:rFonts w:hAnsi="宋体"/>
        </w:rPr>
      </w:pPr>
      <w:r w:rsidRPr="00765F6E">
        <w:rPr>
          <w:rFonts w:hAnsi="宋体" w:hint="eastAsia"/>
        </w:rPr>
        <w:t>屋内GIS配电装置应设置起吊设备，其容量应能满足起吊最大检修单元要求，并满足设备检修要求</w:t>
      </w:r>
      <w:r w:rsidR="00B52E69">
        <w:rPr>
          <w:rFonts w:hAnsi="宋体" w:hint="eastAsia"/>
        </w:rPr>
        <w:t>；</w:t>
      </w:r>
    </w:p>
    <w:p w14:paraId="2A12BFE2" w14:textId="77777777" w:rsidR="00737EB2" w:rsidRPr="00765F6E" w:rsidRDefault="00737EB2" w:rsidP="003334F3">
      <w:pPr>
        <w:pStyle w:val="af6"/>
        <w:numPr>
          <w:ilvl w:val="0"/>
          <w:numId w:val="149"/>
        </w:numPr>
        <w:tabs>
          <w:tab w:val="left" w:pos="851"/>
        </w:tabs>
        <w:snapToGrid w:val="0"/>
        <w:contextualSpacing/>
        <w:rPr>
          <w:rFonts w:hAnsi="宋体"/>
        </w:rPr>
      </w:pPr>
      <w:r w:rsidRPr="00765F6E">
        <w:rPr>
          <w:rFonts w:hAnsi="宋体" w:hint="eastAsia"/>
        </w:rPr>
        <w:t>GIS配电装置宜采用多点接地方式。在GIS配电装置间隔内应设置一条贯穿所有GIS间隔的接地母线或环形接地母线。接地线截面应按通过接地线的最大短路电流进行选择。</w:t>
      </w:r>
    </w:p>
    <w:p w14:paraId="2C580EF4" w14:textId="77777777" w:rsidR="00737EB2" w:rsidRPr="00765F6E" w:rsidRDefault="00737EB2" w:rsidP="009D0776">
      <w:pPr>
        <w:pStyle w:val="22"/>
      </w:pPr>
      <w:bookmarkStart w:id="1968" w:name="_Toc153291698"/>
      <w:bookmarkStart w:id="1969" w:name="_Toc99792263"/>
      <w:r w:rsidRPr="00765F6E">
        <w:rPr>
          <w:rFonts w:hint="eastAsia"/>
        </w:rPr>
        <w:t>GIS室开的孔洞（包括电缆孔洞）及控制室与GIS室间，应采取隔离密封措施。GIS配电装置屋内低位区应配有SF6泄露报警仪及事故排风装置。</w:t>
      </w:r>
      <w:bookmarkEnd w:id="1968"/>
      <w:bookmarkEnd w:id="1969"/>
    </w:p>
    <w:p w14:paraId="494275EA" w14:textId="77777777" w:rsidR="00737EB2" w:rsidRPr="00765F6E" w:rsidRDefault="00737EB2" w:rsidP="009D0776">
      <w:pPr>
        <w:pStyle w:val="22"/>
      </w:pPr>
      <w:bookmarkStart w:id="1970" w:name="_Toc153291699"/>
      <w:bookmarkStart w:id="1971" w:name="_Toc99792264"/>
      <w:r w:rsidRPr="00765F6E">
        <w:rPr>
          <w:rFonts w:hint="eastAsia"/>
        </w:rPr>
        <w:t>牵引所亭应按无人值班设计。交流制牵引变电所宜考虑有人值守条件。</w:t>
      </w:r>
      <w:bookmarkEnd w:id="1970"/>
      <w:bookmarkEnd w:id="1971"/>
    </w:p>
    <w:p w14:paraId="15B27298" w14:textId="77777777" w:rsidR="00737EB2" w:rsidRPr="00765F6E" w:rsidRDefault="00737EB2" w:rsidP="009D0776">
      <w:pPr>
        <w:pStyle w:val="22"/>
      </w:pPr>
      <w:bookmarkStart w:id="1972" w:name="_Toc153291700"/>
      <w:bookmarkStart w:id="1973" w:name="_Toc99792265"/>
      <w:r w:rsidRPr="00765F6E">
        <w:rPr>
          <w:rFonts w:hint="eastAsia"/>
        </w:rPr>
        <w:t>继电保护装置应满足可靠性、选择性、灵敏性和速动性要求，并应符合以下规定：</w:t>
      </w:r>
      <w:bookmarkEnd w:id="1972"/>
      <w:bookmarkEnd w:id="1973"/>
    </w:p>
    <w:p w14:paraId="79E2E9DD" w14:textId="64956E9D" w:rsidR="00737EB2" w:rsidRPr="00765F6E" w:rsidRDefault="00737EB2" w:rsidP="003334F3">
      <w:pPr>
        <w:pStyle w:val="af6"/>
        <w:numPr>
          <w:ilvl w:val="0"/>
          <w:numId w:val="150"/>
        </w:numPr>
        <w:tabs>
          <w:tab w:val="left" w:pos="851"/>
        </w:tabs>
        <w:snapToGrid w:val="0"/>
        <w:contextualSpacing/>
        <w:rPr>
          <w:rFonts w:hAnsi="宋体"/>
        </w:rPr>
      </w:pPr>
      <w:r w:rsidRPr="00765F6E">
        <w:rPr>
          <w:rFonts w:hAnsi="宋体" w:hint="eastAsia"/>
        </w:rPr>
        <w:t>交流制牵引供电系统继电保护应符合</w:t>
      </w:r>
      <w:r w:rsidRPr="00765F6E">
        <w:rPr>
          <w:rFonts w:hAnsi="宋体"/>
        </w:rPr>
        <w:t>Q</w:t>
      </w:r>
      <w:r w:rsidR="001F3336">
        <w:rPr>
          <w:rFonts w:hAnsi="宋体" w:hint="eastAsia"/>
        </w:rPr>
        <w:t>/</w:t>
      </w:r>
      <w:r w:rsidRPr="00765F6E">
        <w:rPr>
          <w:rFonts w:hAnsi="宋体"/>
        </w:rPr>
        <w:t>CR 687</w:t>
      </w:r>
      <w:r w:rsidRPr="00765F6E">
        <w:rPr>
          <w:rFonts w:hAnsi="宋体" w:hint="eastAsia"/>
        </w:rPr>
        <w:t>的相关规定；</w:t>
      </w:r>
    </w:p>
    <w:p w14:paraId="1132A96A" w14:textId="77777777" w:rsidR="00737EB2" w:rsidRPr="00765F6E" w:rsidRDefault="00737EB2" w:rsidP="003334F3">
      <w:pPr>
        <w:pStyle w:val="af6"/>
        <w:numPr>
          <w:ilvl w:val="0"/>
          <w:numId w:val="150"/>
        </w:numPr>
        <w:tabs>
          <w:tab w:val="left" w:pos="851"/>
        </w:tabs>
        <w:snapToGrid w:val="0"/>
        <w:contextualSpacing/>
        <w:rPr>
          <w:rFonts w:hAnsi="宋体"/>
        </w:rPr>
      </w:pPr>
      <w:r w:rsidRPr="00765F6E">
        <w:rPr>
          <w:rFonts w:hAnsi="宋体" w:hint="eastAsia"/>
        </w:rPr>
        <w:t>直流制牵引供电系统牵引整流及直流供电设备的继电保护应符合GB 50157的相关规定；</w:t>
      </w:r>
    </w:p>
    <w:p w14:paraId="5F9A1129" w14:textId="77777777" w:rsidR="00737EB2" w:rsidRPr="00765F6E" w:rsidRDefault="00737EB2" w:rsidP="003334F3">
      <w:pPr>
        <w:pStyle w:val="af6"/>
        <w:numPr>
          <w:ilvl w:val="0"/>
          <w:numId w:val="150"/>
        </w:numPr>
        <w:tabs>
          <w:tab w:val="left" w:pos="851"/>
        </w:tabs>
        <w:snapToGrid w:val="0"/>
        <w:contextualSpacing/>
        <w:rPr>
          <w:rFonts w:hAnsi="宋体"/>
        </w:rPr>
      </w:pPr>
      <w:r w:rsidRPr="00765F6E">
        <w:rPr>
          <w:rFonts w:hAnsi="宋体" w:hint="eastAsia"/>
        </w:rPr>
        <w:t>继电保护设计除满足铁路和地铁特殊要求外，还应符合GB/T 14285和GB/T 50062的规定；</w:t>
      </w:r>
    </w:p>
    <w:p w14:paraId="349140F0" w14:textId="77777777" w:rsidR="00737EB2" w:rsidRPr="00765F6E" w:rsidRDefault="00737EB2" w:rsidP="003334F3">
      <w:pPr>
        <w:pStyle w:val="af6"/>
        <w:numPr>
          <w:ilvl w:val="0"/>
          <w:numId w:val="150"/>
        </w:numPr>
        <w:tabs>
          <w:tab w:val="left" w:pos="851"/>
        </w:tabs>
        <w:snapToGrid w:val="0"/>
        <w:contextualSpacing/>
        <w:rPr>
          <w:rFonts w:hAnsi="宋体"/>
        </w:rPr>
      </w:pPr>
      <w:r w:rsidRPr="00765F6E">
        <w:rPr>
          <w:rFonts w:hAnsi="宋体" w:hint="eastAsia"/>
        </w:rPr>
        <w:t>110kV及以上线路的保护配置应结合电源供电方案，与电力部门协商确定。</w:t>
      </w:r>
    </w:p>
    <w:p w14:paraId="4375185F" w14:textId="77777777" w:rsidR="00737EB2" w:rsidRPr="00765F6E" w:rsidRDefault="00737EB2" w:rsidP="009D0776">
      <w:pPr>
        <w:pStyle w:val="22"/>
      </w:pPr>
      <w:bookmarkStart w:id="1974" w:name="_Toc99792266"/>
      <w:bookmarkStart w:id="1975" w:name="_Toc153291701"/>
      <w:r w:rsidRPr="00765F6E">
        <w:rPr>
          <w:rFonts w:hint="eastAsia"/>
        </w:rPr>
        <w:t>安全自动装置设置应符合以下规定：</w:t>
      </w:r>
      <w:bookmarkEnd w:id="1974"/>
      <w:bookmarkEnd w:id="1975"/>
    </w:p>
    <w:p w14:paraId="7E34BE8A" w14:textId="77777777" w:rsidR="00737EB2" w:rsidRPr="00765F6E" w:rsidRDefault="00737EB2" w:rsidP="003334F3">
      <w:pPr>
        <w:pStyle w:val="af6"/>
        <w:numPr>
          <w:ilvl w:val="0"/>
          <w:numId w:val="151"/>
        </w:numPr>
        <w:tabs>
          <w:tab w:val="left" w:pos="851"/>
        </w:tabs>
        <w:snapToGrid w:val="0"/>
        <w:contextualSpacing/>
        <w:rPr>
          <w:rFonts w:hAnsi="宋体"/>
        </w:rPr>
      </w:pPr>
      <w:r w:rsidRPr="00765F6E">
        <w:rPr>
          <w:rFonts w:hAnsi="宋体" w:hint="eastAsia"/>
        </w:rPr>
        <w:t>安全自动装置设计除满足市域铁路特殊要求外，还应符合GB/T 14285的规定；</w:t>
      </w:r>
    </w:p>
    <w:p w14:paraId="487E9FA8" w14:textId="77777777" w:rsidR="00737EB2" w:rsidRPr="00765F6E" w:rsidRDefault="00737EB2" w:rsidP="003334F3">
      <w:pPr>
        <w:pStyle w:val="af6"/>
        <w:numPr>
          <w:ilvl w:val="0"/>
          <w:numId w:val="151"/>
        </w:numPr>
        <w:tabs>
          <w:tab w:val="left" w:pos="851"/>
        </w:tabs>
        <w:snapToGrid w:val="0"/>
        <w:contextualSpacing/>
        <w:rPr>
          <w:rFonts w:hAnsi="宋体"/>
        </w:rPr>
      </w:pPr>
      <w:r w:rsidRPr="00765F6E">
        <w:rPr>
          <w:rFonts w:hAnsi="宋体" w:hint="eastAsia"/>
        </w:rPr>
        <w:t>交流制牵引变电所、开闭所的进线电源应设备用电源自动投入装置；</w:t>
      </w:r>
    </w:p>
    <w:p w14:paraId="3CBFBCAF" w14:textId="77777777" w:rsidR="00737EB2" w:rsidRPr="00765F6E" w:rsidRDefault="00737EB2" w:rsidP="003334F3">
      <w:pPr>
        <w:pStyle w:val="af6"/>
        <w:numPr>
          <w:ilvl w:val="0"/>
          <w:numId w:val="151"/>
        </w:numPr>
        <w:tabs>
          <w:tab w:val="left" w:pos="851"/>
        </w:tabs>
        <w:snapToGrid w:val="0"/>
        <w:contextualSpacing/>
        <w:rPr>
          <w:rFonts w:hAnsi="宋体"/>
        </w:rPr>
      </w:pPr>
      <w:r w:rsidRPr="00765F6E">
        <w:rPr>
          <w:rFonts w:hAnsi="宋体" w:hint="eastAsia"/>
        </w:rPr>
        <w:t>互为备用的牵引变压器和所用电变压器应设自动投入装置；</w:t>
      </w:r>
    </w:p>
    <w:p w14:paraId="22B65872" w14:textId="77777777" w:rsidR="00737EB2" w:rsidRPr="00765F6E" w:rsidRDefault="00737EB2" w:rsidP="003334F3">
      <w:pPr>
        <w:pStyle w:val="af6"/>
        <w:numPr>
          <w:ilvl w:val="0"/>
          <w:numId w:val="151"/>
        </w:numPr>
        <w:tabs>
          <w:tab w:val="left" w:pos="851"/>
        </w:tabs>
        <w:snapToGrid w:val="0"/>
        <w:contextualSpacing/>
        <w:rPr>
          <w:rFonts w:hAnsi="宋体"/>
        </w:rPr>
      </w:pPr>
      <w:r w:rsidRPr="00765F6E">
        <w:rPr>
          <w:rFonts w:hAnsi="宋体" w:hint="eastAsia"/>
        </w:rPr>
        <w:t>交流制牵引变电所馈线设一次自动重合闸装置；</w:t>
      </w:r>
    </w:p>
    <w:p w14:paraId="486BE335" w14:textId="77777777" w:rsidR="00737EB2" w:rsidRPr="00765F6E" w:rsidRDefault="00737EB2" w:rsidP="003334F3">
      <w:pPr>
        <w:pStyle w:val="af6"/>
        <w:numPr>
          <w:ilvl w:val="0"/>
          <w:numId w:val="151"/>
        </w:numPr>
        <w:tabs>
          <w:tab w:val="left" w:pos="851"/>
        </w:tabs>
        <w:snapToGrid w:val="0"/>
        <w:contextualSpacing/>
        <w:rPr>
          <w:rFonts w:hAnsi="宋体"/>
        </w:rPr>
      </w:pPr>
      <w:r w:rsidRPr="00765F6E">
        <w:rPr>
          <w:rFonts w:hAnsi="宋体" w:hint="eastAsia"/>
        </w:rPr>
        <w:t>分区所馈线设检压合闸装置；</w:t>
      </w:r>
    </w:p>
    <w:p w14:paraId="6DF84144" w14:textId="77777777" w:rsidR="00737EB2" w:rsidRPr="00765F6E" w:rsidRDefault="00737EB2" w:rsidP="003334F3">
      <w:pPr>
        <w:pStyle w:val="af6"/>
        <w:numPr>
          <w:ilvl w:val="0"/>
          <w:numId w:val="151"/>
        </w:numPr>
        <w:tabs>
          <w:tab w:val="left" w:pos="851"/>
        </w:tabs>
        <w:snapToGrid w:val="0"/>
        <w:contextualSpacing/>
        <w:rPr>
          <w:rFonts w:hAnsi="宋体"/>
        </w:rPr>
      </w:pPr>
      <w:r w:rsidRPr="00765F6E">
        <w:rPr>
          <w:rFonts w:hAnsi="宋体" w:hint="eastAsia"/>
        </w:rPr>
        <w:t>交流制牵引变电所馈线设故障测距装置。</w:t>
      </w:r>
    </w:p>
    <w:p w14:paraId="67ECC5D0" w14:textId="77777777" w:rsidR="00737EB2" w:rsidRPr="00765F6E" w:rsidRDefault="00737EB2" w:rsidP="009D0776">
      <w:pPr>
        <w:pStyle w:val="22"/>
      </w:pPr>
      <w:bookmarkStart w:id="1976" w:name="_Toc153291703"/>
      <w:bookmarkStart w:id="1977" w:name="_Toc99792268"/>
      <w:r w:rsidRPr="00765F6E">
        <w:rPr>
          <w:rFonts w:hint="eastAsia"/>
        </w:rPr>
        <w:t>过电压保护设计应符合GB/T</w:t>
      </w:r>
      <w:r w:rsidRPr="00765F6E">
        <w:t xml:space="preserve"> </w:t>
      </w:r>
      <w:r w:rsidRPr="00765F6E">
        <w:rPr>
          <w:rFonts w:hint="eastAsia"/>
        </w:rPr>
        <w:t>50064的规定，并应在下列回路设置电涌保护器（SPD）：</w:t>
      </w:r>
      <w:bookmarkEnd w:id="1976"/>
      <w:bookmarkEnd w:id="1977"/>
    </w:p>
    <w:p w14:paraId="016D9D00" w14:textId="77777777" w:rsidR="00737EB2" w:rsidRPr="00765F6E" w:rsidRDefault="00737EB2" w:rsidP="003334F3">
      <w:pPr>
        <w:pStyle w:val="af6"/>
        <w:numPr>
          <w:ilvl w:val="0"/>
          <w:numId w:val="152"/>
        </w:numPr>
        <w:tabs>
          <w:tab w:val="left" w:pos="851"/>
        </w:tabs>
        <w:snapToGrid w:val="0"/>
        <w:contextualSpacing/>
        <w:rPr>
          <w:rFonts w:hAnsi="宋体"/>
        </w:rPr>
      </w:pPr>
      <w:r w:rsidRPr="00765F6E">
        <w:rPr>
          <w:rFonts w:hAnsi="宋体" w:hint="eastAsia"/>
        </w:rPr>
        <w:t>交流自用电系统进线、直流自用电系统进线和母线；</w:t>
      </w:r>
    </w:p>
    <w:p w14:paraId="652CB3B5" w14:textId="77777777" w:rsidR="00737EB2" w:rsidRPr="00765F6E" w:rsidRDefault="00737EB2" w:rsidP="003334F3">
      <w:pPr>
        <w:pStyle w:val="af6"/>
        <w:numPr>
          <w:ilvl w:val="0"/>
          <w:numId w:val="152"/>
        </w:numPr>
        <w:tabs>
          <w:tab w:val="left" w:pos="851"/>
        </w:tabs>
        <w:snapToGrid w:val="0"/>
        <w:contextualSpacing/>
        <w:rPr>
          <w:rFonts w:hAnsi="宋体"/>
        </w:rPr>
      </w:pPr>
      <w:r w:rsidRPr="00765F6E">
        <w:rPr>
          <w:rFonts w:hAnsi="宋体" w:hint="eastAsia"/>
        </w:rPr>
        <w:t>屋外照明回路；</w:t>
      </w:r>
    </w:p>
    <w:p w14:paraId="7EF7151F" w14:textId="77777777" w:rsidR="00737EB2" w:rsidRPr="00765F6E" w:rsidRDefault="00737EB2" w:rsidP="003334F3">
      <w:pPr>
        <w:pStyle w:val="af6"/>
        <w:numPr>
          <w:ilvl w:val="0"/>
          <w:numId w:val="152"/>
        </w:numPr>
        <w:tabs>
          <w:tab w:val="left" w:pos="851"/>
        </w:tabs>
        <w:snapToGrid w:val="0"/>
        <w:contextualSpacing/>
        <w:rPr>
          <w:rFonts w:hAnsi="宋体"/>
        </w:rPr>
      </w:pPr>
      <w:r w:rsidRPr="00765F6E">
        <w:rPr>
          <w:rFonts w:hAnsi="宋体" w:hint="eastAsia"/>
        </w:rPr>
        <w:t>接触网电动隔离开关的电动操作机构电源回路；</w:t>
      </w:r>
    </w:p>
    <w:p w14:paraId="67F240EB" w14:textId="6536D39A" w:rsidR="00737EB2" w:rsidRPr="00765F6E" w:rsidRDefault="00737EB2" w:rsidP="003334F3">
      <w:pPr>
        <w:pStyle w:val="af6"/>
        <w:numPr>
          <w:ilvl w:val="0"/>
          <w:numId w:val="152"/>
        </w:numPr>
        <w:tabs>
          <w:tab w:val="left" w:pos="851"/>
        </w:tabs>
        <w:snapToGrid w:val="0"/>
        <w:contextualSpacing/>
        <w:rPr>
          <w:rFonts w:hAnsi="宋体"/>
        </w:rPr>
      </w:pPr>
      <w:r w:rsidRPr="00765F6E">
        <w:rPr>
          <w:rFonts w:hAnsi="宋体" w:hint="eastAsia"/>
        </w:rPr>
        <w:t>通信回路、全球定位系统（GPS</w:t>
      </w:r>
      <w:r w:rsidR="001F3336">
        <w:rPr>
          <w:rFonts w:hAnsi="宋体" w:hint="eastAsia"/>
        </w:rPr>
        <w:t>、北斗</w:t>
      </w:r>
      <w:r w:rsidRPr="00765F6E">
        <w:rPr>
          <w:rFonts w:hAnsi="宋体" w:hint="eastAsia"/>
        </w:rPr>
        <w:t>）天线等弱电回路。</w:t>
      </w:r>
    </w:p>
    <w:p w14:paraId="53B15E8C" w14:textId="77777777" w:rsidR="00737EB2" w:rsidRPr="00765F6E" w:rsidRDefault="00737EB2" w:rsidP="009D0776">
      <w:pPr>
        <w:pStyle w:val="22"/>
      </w:pPr>
      <w:bookmarkStart w:id="1978" w:name="_Toc99792269"/>
      <w:r w:rsidRPr="00765F6E">
        <w:rPr>
          <w:rFonts w:hint="eastAsia"/>
        </w:rPr>
        <w:t>接地装置应符合GB/T 50065的规定，并应符合下列规定：</w:t>
      </w:r>
    </w:p>
    <w:p w14:paraId="5684FF45" w14:textId="77777777" w:rsidR="00737EB2" w:rsidRPr="00765F6E" w:rsidRDefault="00737EB2" w:rsidP="003334F3">
      <w:pPr>
        <w:pStyle w:val="af6"/>
        <w:numPr>
          <w:ilvl w:val="0"/>
          <w:numId w:val="153"/>
        </w:numPr>
        <w:tabs>
          <w:tab w:val="clear" w:pos="851"/>
          <w:tab w:val="left" w:pos="709"/>
        </w:tabs>
        <w:snapToGrid w:val="0"/>
        <w:contextualSpacing/>
        <w:rPr>
          <w:rFonts w:hAnsi="宋体"/>
        </w:rPr>
      </w:pPr>
      <w:r w:rsidRPr="00765F6E">
        <w:rPr>
          <w:rFonts w:hAnsi="宋体" w:hint="eastAsia"/>
        </w:rPr>
        <w:t xml:space="preserve"> 独立设置的牵引变电所亭应设置以水平接地体为主的网格式接地装置，其接地装置与综合接地的连接符合第29章的相关规定；</w:t>
      </w:r>
    </w:p>
    <w:p w14:paraId="4741CECF" w14:textId="77777777" w:rsidR="00737EB2" w:rsidRPr="00765F6E" w:rsidRDefault="00737EB2" w:rsidP="003334F3">
      <w:pPr>
        <w:pStyle w:val="af6"/>
        <w:tabs>
          <w:tab w:val="clear" w:pos="851"/>
          <w:tab w:val="left" w:pos="709"/>
        </w:tabs>
        <w:snapToGrid w:val="0"/>
        <w:ind w:left="850" w:hanging="425"/>
        <w:contextualSpacing/>
        <w:rPr>
          <w:rFonts w:hAnsi="宋体"/>
        </w:rPr>
      </w:pPr>
      <w:r w:rsidRPr="00765F6E">
        <w:rPr>
          <w:rFonts w:hAnsi="宋体" w:hint="eastAsia"/>
        </w:rPr>
        <w:t xml:space="preserve"> 接地装置的接地体应采用铜材质。</w:t>
      </w:r>
    </w:p>
    <w:p w14:paraId="42A7C5BF" w14:textId="77777777" w:rsidR="00737EB2" w:rsidRPr="00765F6E" w:rsidRDefault="00737EB2" w:rsidP="009D0776">
      <w:pPr>
        <w:pStyle w:val="22"/>
      </w:pPr>
      <w:r w:rsidRPr="00765F6E">
        <w:rPr>
          <w:rFonts w:hint="eastAsia"/>
        </w:rPr>
        <w:t>牵引回流设置符合以下规定：</w:t>
      </w:r>
    </w:p>
    <w:p w14:paraId="395A1577" w14:textId="77777777" w:rsidR="00737EB2" w:rsidRPr="00765F6E" w:rsidRDefault="00737EB2" w:rsidP="003334F3">
      <w:pPr>
        <w:pStyle w:val="af6"/>
        <w:numPr>
          <w:ilvl w:val="0"/>
          <w:numId w:val="154"/>
        </w:numPr>
        <w:tabs>
          <w:tab w:val="clear" w:pos="851"/>
          <w:tab w:val="left" w:pos="709"/>
        </w:tabs>
        <w:snapToGrid w:val="0"/>
        <w:contextualSpacing/>
        <w:rPr>
          <w:rFonts w:hAnsi="宋体"/>
        </w:rPr>
      </w:pPr>
      <w:r w:rsidRPr="00765F6E">
        <w:rPr>
          <w:rFonts w:hAnsi="宋体" w:hint="eastAsia"/>
        </w:rPr>
        <w:t xml:space="preserve"> 牵引变电所、分区所应设回流导体，分别与接触网架空回流线或信号扼流变压器中性点相连接；</w:t>
      </w:r>
    </w:p>
    <w:p w14:paraId="4FF65158" w14:textId="77777777" w:rsidR="00737EB2" w:rsidRPr="00765F6E" w:rsidRDefault="00737EB2" w:rsidP="003334F3">
      <w:pPr>
        <w:pStyle w:val="af6"/>
        <w:tabs>
          <w:tab w:val="clear" w:pos="851"/>
          <w:tab w:val="left" w:pos="709"/>
        </w:tabs>
        <w:snapToGrid w:val="0"/>
        <w:ind w:left="850" w:hanging="425"/>
        <w:contextualSpacing/>
        <w:rPr>
          <w:rFonts w:hAnsi="宋体"/>
        </w:rPr>
      </w:pPr>
      <w:r w:rsidRPr="00765F6E">
        <w:rPr>
          <w:rFonts w:hAnsi="宋体" w:hint="eastAsia"/>
        </w:rPr>
        <w:t xml:space="preserve"> 牵引变电所、分区所内回流导体宜采用电缆。</w:t>
      </w:r>
    </w:p>
    <w:p w14:paraId="379B7203" w14:textId="77777777" w:rsidR="00737EB2" w:rsidRPr="00765F6E" w:rsidRDefault="00737EB2" w:rsidP="009D0776">
      <w:pPr>
        <w:pStyle w:val="22"/>
      </w:pPr>
      <w:r w:rsidRPr="00765F6E">
        <w:rPr>
          <w:rFonts w:hint="eastAsia"/>
        </w:rPr>
        <w:t>电缆选型及敷设应符合GB 50217、GB 50157和TB</w:t>
      </w:r>
      <w:r w:rsidRPr="00765F6E">
        <w:t xml:space="preserve"> </w:t>
      </w:r>
      <w:r w:rsidRPr="00765F6E">
        <w:rPr>
          <w:rFonts w:hint="eastAsia"/>
        </w:rPr>
        <w:t>10009的有关规定。27.5kV专用电缆选型</w:t>
      </w:r>
      <w:r w:rsidRPr="00765F6E">
        <w:rPr>
          <w:rFonts w:hint="eastAsia"/>
        </w:rPr>
        <w:lastRenderedPageBreak/>
        <w:t>及敷设还符合下列规定：</w:t>
      </w:r>
    </w:p>
    <w:p w14:paraId="6171BD25" w14:textId="77777777" w:rsidR="00737EB2" w:rsidRPr="00765F6E" w:rsidRDefault="00737EB2" w:rsidP="003334F3">
      <w:pPr>
        <w:pStyle w:val="af6"/>
        <w:numPr>
          <w:ilvl w:val="0"/>
          <w:numId w:val="155"/>
        </w:numPr>
        <w:tabs>
          <w:tab w:val="clear" w:pos="851"/>
          <w:tab w:val="left" w:pos="709"/>
        </w:tabs>
        <w:snapToGrid w:val="0"/>
        <w:contextualSpacing/>
        <w:rPr>
          <w:rFonts w:hAnsi="宋体"/>
        </w:rPr>
      </w:pPr>
      <w:r w:rsidRPr="00765F6E">
        <w:rPr>
          <w:rFonts w:hAnsi="宋体" w:hint="eastAsia"/>
        </w:rPr>
        <w:t xml:space="preserve"> 采用交流单芯铜导体交联聚乙烯绝缘电缆；</w:t>
      </w:r>
    </w:p>
    <w:p w14:paraId="63722F66" w14:textId="77777777" w:rsidR="00737EB2" w:rsidRPr="00765F6E" w:rsidRDefault="00737EB2" w:rsidP="003334F3">
      <w:pPr>
        <w:pStyle w:val="af6"/>
        <w:tabs>
          <w:tab w:val="clear" w:pos="851"/>
          <w:tab w:val="left" w:pos="709"/>
        </w:tabs>
        <w:snapToGrid w:val="0"/>
        <w:ind w:left="850" w:hanging="425"/>
        <w:contextualSpacing/>
        <w:rPr>
          <w:rFonts w:hAnsi="宋体"/>
        </w:rPr>
      </w:pPr>
      <w:r w:rsidRPr="00765F6E">
        <w:rPr>
          <w:rFonts w:hAnsi="宋体" w:hint="eastAsia"/>
        </w:rPr>
        <w:t xml:space="preserve"> 外护层应选用非磁性金属铠装层；</w:t>
      </w:r>
    </w:p>
    <w:p w14:paraId="2E9138AB" w14:textId="77777777" w:rsidR="00737EB2" w:rsidRPr="00765F6E" w:rsidRDefault="00737EB2" w:rsidP="003334F3">
      <w:pPr>
        <w:pStyle w:val="af6"/>
        <w:tabs>
          <w:tab w:val="clear" w:pos="851"/>
          <w:tab w:val="left" w:pos="709"/>
        </w:tabs>
        <w:snapToGrid w:val="0"/>
        <w:ind w:left="850" w:hanging="425"/>
        <w:contextualSpacing/>
        <w:rPr>
          <w:rFonts w:hAnsi="宋体"/>
        </w:rPr>
      </w:pPr>
      <w:r w:rsidRPr="00765F6E">
        <w:rPr>
          <w:rFonts w:hAnsi="宋体" w:hint="eastAsia"/>
        </w:rPr>
        <w:t xml:space="preserve"> 牵引变电所27.5kV馈线采用GIS配电装置时，每回路电缆载流量宜满足上下行并联供电要求；</w:t>
      </w:r>
    </w:p>
    <w:p w14:paraId="1437BF15" w14:textId="77777777" w:rsidR="00737EB2" w:rsidRPr="00765F6E" w:rsidRDefault="00737EB2" w:rsidP="003334F3">
      <w:pPr>
        <w:pStyle w:val="af6"/>
        <w:tabs>
          <w:tab w:val="clear" w:pos="851"/>
          <w:tab w:val="left" w:pos="709"/>
        </w:tabs>
        <w:snapToGrid w:val="0"/>
        <w:ind w:left="850" w:hanging="425"/>
        <w:contextualSpacing/>
        <w:rPr>
          <w:rFonts w:hAnsi="宋体"/>
        </w:rPr>
      </w:pPr>
      <w:r w:rsidRPr="00765F6E">
        <w:rPr>
          <w:rFonts w:hAnsi="宋体" w:hint="eastAsia"/>
        </w:rPr>
        <w:t xml:space="preserve"> 所内、所内至铁路路基或桥梁区段27.5kV专用电缆宜采用电缆沟敷设方式。27.5kV专用电缆不同回路应分设在不同层电缆支架上。严寒地区电缆应敷设至冻土层以下；</w:t>
      </w:r>
    </w:p>
    <w:p w14:paraId="39AA3CA1" w14:textId="77777777" w:rsidR="00737EB2" w:rsidRPr="00765F6E" w:rsidRDefault="00737EB2" w:rsidP="003334F3">
      <w:pPr>
        <w:pStyle w:val="af6"/>
        <w:tabs>
          <w:tab w:val="clear" w:pos="851"/>
          <w:tab w:val="left" w:pos="709"/>
        </w:tabs>
        <w:snapToGrid w:val="0"/>
        <w:ind w:left="850" w:hanging="425"/>
        <w:contextualSpacing/>
        <w:rPr>
          <w:rFonts w:hAnsi="宋体"/>
        </w:rPr>
      </w:pPr>
      <w:r w:rsidRPr="00765F6E">
        <w:rPr>
          <w:rFonts w:hAnsi="宋体" w:hint="eastAsia"/>
        </w:rPr>
        <w:t xml:space="preserve"> 所内27.5kV专用电缆与控制电缆宜分沟敷设，同沟时应分层敷设。牵引变电所至路基或桥梁区段27.5kV专用电缆宜按上、下行分沟敷设，分区所至路基或桥梁区段上、下行可同沟敷设；</w:t>
      </w:r>
    </w:p>
    <w:p w14:paraId="52E4C893" w14:textId="77777777" w:rsidR="00737EB2" w:rsidRPr="00765F6E" w:rsidRDefault="00737EB2" w:rsidP="003334F3">
      <w:pPr>
        <w:pStyle w:val="af6"/>
        <w:tabs>
          <w:tab w:val="clear" w:pos="851"/>
          <w:tab w:val="left" w:pos="709"/>
        </w:tabs>
        <w:snapToGrid w:val="0"/>
        <w:ind w:left="850" w:hanging="425"/>
        <w:contextualSpacing/>
        <w:rPr>
          <w:rFonts w:hAnsi="宋体"/>
        </w:rPr>
      </w:pPr>
      <w:r w:rsidRPr="00765F6E">
        <w:rPr>
          <w:rFonts w:hAnsi="宋体"/>
        </w:rPr>
        <w:t xml:space="preserve"> </w:t>
      </w:r>
      <w:r w:rsidRPr="00765F6E">
        <w:rPr>
          <w:rFonts w:hAnsi="宋体" w:hint="eastAsia"/>
        </w:rPr>
        <w:t>27.5kV专用电缆在桥上或路基上局部水平敷设时，可与电力电缆沟同槽敷设，但宜采取隔离措施；</w:t>
      </w:r>
    </w:p>
    <w:p w14:paraId="2DEF924F" w14:textId="77777777" w:rsidR="00737EB2" w:rsidRPr="00765F6E" w:rsidRDefault="00737EB2" w:rsidP="003334F3">
      <w:pPr>
        <w:pStyle w:val="af6"/>
        <w:tabs>
          <w:tab w:val="clear" w:pos="851"/>
          <w:tab w:val="left" w:pos="709"/>
        </w:tabs>
        <w:snapToGrid w:val="0"/>
        <w:ind w:left="850" w:hanging="425"/>
        <w:contextualSpacing/>
        <w:rPr>
          <w:rFonts w:hAnsi="宋体"/>
        </w:rPr>
      </w:pPr>
      <w:r w:rsidRPr="00765F6E">
        <w:rPr>
          <w:rFonts w:hAnsi="宋体"/>
        </w:rPr>
        <w:t xml:space="preserve"> </w:t>
      </w:r>
      <w:r w:rsidRPr="00765F6E">
        <w:rPr>
          <w:rFonts w:hAnsi="宋体" w:hint="eastAsia"/>
        </w:rPr>
        <w:t>27.5kV专用电缆在隧道内敷设时，宜沿隧道壁设置电缆支架或穿管敷设，电缆支架应满足防火防潮防腐要求；</w:t>
      </w:r>
    </w:p>
    <w:p w14:paraId="5ACCB18C" w14:textId="77777777" w:rsidR="00737EB2" w:rsidRPr="00765F6E" w:rsidRDefault="00737EB2" w:rsidP="003334F3">
      <w:pPr>
        <w:pStyle w:val="af6"/>
        <w:tabs>
          <w:tab w:val="clear" w:pos="851"/>
          <w:tab w:val="left" w:pos="709"/>
        </w:tabs>
        <w:snapToGrid w:val="0"/>
        <w:ind w:left="850" w:hanging="425"/>
        <w:contextualSpacing/>
        <w:rPr>
          <w:rFonts w:hAnsi="宋体"/>
        </w:rPr>
      </w:pPr>
      <w:r w:rsidRPr="00765F6E">
        <w:rPr>
          <w:rFonts w:hAnsi="宋体" w:hint="eastAsia"/>
        </w:rPr>
        <w:t xml:space="preserve"> 沿桥墩上、下桥的27.5kV专用电缆应采用非磁性电缆槽敷设。</w:t>
      </w:r>
    </w:p>
    <w:p w14:paraId="79C42152" w14:textId="77777777" w:rsidR="00737EB2" w:rsidRPr="00765F6E" w:rsidRDefault="00737EB2" w:rsidP="009D0776">
      <w:pPr>
        <w:pStyle w:val="22"/>
      </w:pPr>
      <w:r w:rsidRPr="00765F6E">
        <w:rPr>
          <w:rFonts w:hint="eastAsia"/>
        </w:rPr>
        <w:t>27.5kV专用电缆金属屏蔽层与金属保护层应分开接地，接地方式应符合下列规定：</w:t>
      </w:r>
    </w:p>
    <w:p w14:paraId="743F4258" w14:textId="77777777" w:rsidR="00737EB2" w:rsidRPr="00765F6E" w:rsidRDefault="00737EB2" w:rsidP="003334F3">
      <w:pPr>
        <w:pStyle w:val="af6"/>
        <w:numPr>
          <w:ilvl w:val="0"/>
          <w:numId w:val="156"/>
        </w:numPr>
        <w:tabs>
          <w:tab w:val="clear" w:pos="851"/>
          <w:tab w:val="left" w:pos="709"/>
        </w:tabs>
        <w:snapToGrid w:val="0"/>
        <w:contextualSpacing/>
        <w:rPr>
          <w:rFonts w:hAnsi="宋体"/>
        </w:rPr>
      </w:pPr>
      <w:r w:rsidRPr="00765F6E">
        <w:rPr>
          <w:rFonts w:hAnsi="宋体" w:hint="eastAsia"/>
        </w:rPr>
        <w:t xml:space="preserve"> 当线路不长时宜采用单点直接接地方式；线路较长时宜划分适当的区段，且在每个区段应实施电缆金属护层的绝缘分隔，实现线路采用单点直接接地方式；</w:t>
      </w:r>
    </w:p>
    <w:p w14:paraId="39E1180A" w14:textId="77777777" w:rsidR="00737EB2" w:rsidRPr="00765F6E" w:rsidRDefault="00737EB2" w:rsidP="003334F3">
      <w:pPr>
        <w:pStyle w:val="af6"/>
        <w:tabs>
          <w:tab w:val="clear" w:pos="851"/>
          <w:tab w:val="left" w:pos="709"/>
        </w:tabs>
        <w:snapToGrid w:val="0"/>
        <w:ind w:left="850" w:hanging="425"/>
        <w:contextualSpacing/>
        <w:rPr>
          <w:rFonts w:hAnsi="宋体"/>
        </w:rPr>
      </w:pPr>
      <w:r w:rsidRPr="00765F6E">
        <w:rPr>
          <w:rFonts w:hAnsi="宋体" w:hint="eastAsia"/>
        </w:rPr>
        <w:t xml:space="preserve"> 采用单点直接接地方式时，另一端宜设置护层电压限制器；</w:t>
      </w:r>
    </w:p>
    <w:p w14:paraId="0B640B08" w14:textId="77777777" w:rsidR="00737EB2" w:rsidRPr="00765F6E" w:rsidRDefault="00737EB2" w:rsidP="009D0776">
      <w:pPr>
        <w:pStyle w:val="22"/>
      </w:pPr>
      <w:r w:rsidRPr="00765F6E">
        <w:rPr>
          <w:rFonts w:hint="eastAsia"/>
        </w:rPr>
        <w:t>27.5kV专用电缆终端头选择与配置应符合下列规定：</w:t>
      </w:r>
    </w:p>
    <w:p w14:paraId="1807EBC1" w14:textId="77777777" w:rsidR="00737EB2" w:rsidRPr="00765F6E" w:rsidRDefault="00737EB2" w:rsidP="003334F3">
      <w:pPr>
        <w:pStyle w:val="af6"/>
        <w:numPr>
          <w:ilvl w:val="0"/>
          <w:numId w:val="157"/>
        </w:numPr>
        <w:tabs>
          <w:tab w:val="clear" w:pos="851"/>
          <w:tab w:val="left" w:pos="709"/>
        </w:tabs>
        <w:snapToGrid w:val="0"/>
        <w:contextualSpacing/>
        <w:rPr>
          <w:rFonts w:hAnsi="宋体"/>
        </w:rPr>
      </w:pPr>
      <w:r w:rsidRPr="00765F6E">
        <w:rPr>
          <w:rFonts w:hAnsi="宋体" w:hint="eastAsia"/>
        </w:rPr>
        <w:t xml:space="preserve"> 电缆与导体相连时，电缆终端头宜选用预制式电缆终端头，机械强度应符合安装处引线拉力、风力和地震作用力要求；</w:t>
      </w:r>
    </w:p>
    <w:p w14:paraId="02EC0749" w14:textId="77777777" w:rsidR="00737EB2" w:rsidRPr="00765F6E" w:rsidRDefault="00737EB2" w:rsidP="003334F3">
      <w:pPr>
        <w:pStyle w:val="af6"/>
        <w:tabs>
          <w:tab w:val="clear" w:pos="851"/>
          <w:tab w:val="left" w:pos="709"/>
        </w:tabs>
        <w:snapToGrid w:val="0"/>
        <w:ind w:left="850" w:hanging="425"/>
        <w:contextualSpacing/>
        <w:rPr>
          <w:rFonts w:hAnsi="宋体"/>
        </w:rPr>
      </w:pPr>
      <w:r w:rsidRPr="00765F6E">
        <w:rPr>
          <w:rFonts w:hAnsi="宋体" w:hint="eastAsia"/>
        </w:rPr>
        <w:t xml:space="preserve"> 电缆与电器相连且具有整体式插接功能时，电缆终端头应选用可分离式（插接式）电缆终端头。</w:t>
      </w:r>
    </w:p>
    <w:p w14:paraId="33E02987" w14:textId="77777777" w:rsidR="00737EB2" w:rsidRPr="00765F6E" w:rsidRDefault="00737EB2" w:rsidP="009D0776">
      <w:pPr>
        <w:pStyle w:val="22"/>
      </w:pPr>
      <w:bookmarkStart w:id="1979" w:name="_Toc99792274"/>
      <w:bookmarkEnd w:id="1978"/>
      <w:r w:rsidRPr="00765F6E">
        <w:rPr>
          <w:rFonts w:hint="eastAsia"/>
        </w:rPr>
        <w:t>牵引变电所、开闭所进出线采用27.5kV专用电缆时，宜设置电缆温度在线监测系统，并能实现远程监视。</w:t>
      </w:r>
    </w:p>
    <w:bookmarkEnd w:id="1979"/>
    <w:p w14:paraId="39A5E7C1" w14:textId="77777777" w:rsidR="00737EB2" w:rsidRPr="00765F6E" w:rsidRDefault="00737EB2" w:rsidP="009D0776">
      <w:pPr>
        <w:pStyle w:val="22"/>
      </w:pPr>
      <w:r w:rsidRPr="00765F6E">
        <w:rPr>
          <w:rFonts w:hint="eastAsia"/>
        </w:rPr>
        <w:t>防火要求应符合GB 502</w:t>
      </w:r>
      <w:r w:rsidRPr="00765F6E">
        <w:t>2</w:t>
      </w:r>
      <w:r w:rsidRPr="00765F6E">
        <w:rPr>
          <w:rFonts w:hint="eastAsia"/>
        </w:rPr>
        <w:t>9的规定，且变压器室、配电室和电容室的耐火等级不应低于二级。</w:t>
      </w:r>
    </w:p>
    <w:p w14:paraId="2CB89B13" w14:textId="77777777" w:rsidR="00737EB2" w:rsidRPr="00765F6E" w:rsidRDefault="00737EB2" w:rsidP="00737EB2">
      <w:pPr>
        <w:pStyle w:val="affe"/>
        <w:spacing w:before="156" w:after="156"/>
      </w:pPr>
      <w:bookmarkStart w:id="1980" w:name="_Toc153291711"/>
      <w:bookmarkStart w:id="1981" w:name="_Toc153210912"/>
      <w:bookmarkStart w:id="1982" w:name="_Toc99792276"/>
      <w:bookmarkStart w:id="1983" w:name="_Toc167895810"/>
      <w:bookmarkStart w:id="1984" w:name="_Toc174538724"/>
      <w:bookmarkStart w:id="1985" w:name="_Toc182476481"/>
      <w:r w:rsidRPr="00765F6E">
        <w:rPr>
          <w:rFonts w:hint="eastAsia"/>
        </w:rPr>
        <w:t>供电调度</w:t>
      </w:r>
      <w:bookmarkEnd w:id="1980"/>
      <w:bookmarkEnd w:id="1981"/>
      <w:bookmarkEnd w:id="1982"/>
      <w:bookmarkEnd w:id="1983"/>
      <w:bookmarkEnd w:id="1984"/>
      <w:bookmarkEnd w:id="1985"/>
    </w:p>
    <w:p w14:paraId="4121F813" w14:textId="77777777" w:rsidR="00737EB2" w:rsidRPr="00765F6E" w:rsidRDefault="00737EB2" w:rsidP="009D0776">
      <w:pPr>
        <w:pStyle w:val="22"/>
      </w:pPr>
      <w:bookmarkStart w:id="1986" w:name="_Toc99792278"/>
      <w:bookmarkStart w:id="1987" w:name="_Toc153291713"/>
      <w:r w:rsidRPr="00765F6E">
        <w:rPr>
          <w:rFonts w:hint="eastAsia"/>
        </w:rPr>
        <w:t>供电调度应采用牵引供电、电力调度合一的方式。供电调度远动系统应由控制站、被控站、传输通道及复示设备等构成，其结构方式宜采用1对n的集中监控方式。对于被控站较多的远动系统，远动信息的通道宜采用分层或分群。远动监控对象应由遥控、遥信和遥测等组成，具体监控对象应符合运营的需要。</w:t>
      </w:r>
      <w:bookmarkEnd w:id="1986"/>
      <w:bookmarkEnd w:id="1987"/>
    </w:p>
    <w:p w14:paraId="4F36D861" w14:textId="77777777" w:rsidR="00737EB2" w:rsidRPr="00765F6E" w:rsidRDefault="00737EB2" w:rsidP="009D0776">
      <w:pPr>
        <w:pStyle w:val="22"/>
      </w:pPr>
      <w:bookmarkStart w:id="1988" w:name="_Toc99792279"/>
      <w:bookmarkStart w:id="1989" w:name="_Toc153291714"/>
      <w:r w:rsidRPr="00765F6E">
        <w:rPr>
          <w:rFonts w:hint="eastAsia"/>
        </w:rPr>
        <w:t>安全监控系统应包括信息采集、信息传输和信息处理三部分，信息采集可利用所内综合自动化系统，信息传输和信息处理可纳入远动系统。在控制室、高压室、变压器室及屋外设置视频监视装置，视频纳入综合视频监控系统。在运营控制中心、维修基地等设复示终端。</w:t>
      </w:r>
      <w:bookmarkEnd w:id="1988"/>
      <w:bookmarkEnd w:id="1989"/>
    </w:p>
    <w:p w14:paraId="0617D529" w14:textId="77777777" w:rsidR="00737EB2" w:rsidRPr="00765F6E" w:rsidRDefault="00737EB2" w:rsidP="00737EB2">
      <w:pPr>
        <w:pStyle w:val="affe"/>
        <w:spacing w:before="156" w:after="156"/>
      </w:pPr>
      <w:bookmarkStart w:id="1990" w:name="_Toc99792280"/>
      <w:bookmarkStart w:id="1991" w:name="_Toc153291715"/>
      <w:bookmarkStart w:id="1992" w:name="_Toc153210913"/>
      <w:bookmarkStart w:id="1993" w:name="_Toc167895811"/>
      <w:bookmarkStart w:id="1994" w:name="_Toc174538725"/>
      <w:bookmarkStart w:id="1995" w:name="_Toc182476482"/>
      <w:r w:rsidRPr="00765F6E">
        <w:rPr>
          <w:rFonts w:hint="eastAsia"/>
        </w:rPr>
        <w:t>牵引网</w:t>
      </w:r>
      <w:bookmarkEnd w:id="1990"/>
      <w:bookmarkEnd w:id="1991"/>
      <w:bookmarkEnd w:id="1992"/>
      <w:bookmarkEnd w:id="1993"/>
      <w:bookmarkEnd w:id="1994"/>
      <w:bookmarkEnd w:id="1995"/>
    </w:p>
    <w:p w14:paraId="5B594A27" w14:textId="77777777" w:rsidR="00737EB2" w:rsidRPr="00765F6E" w:rsidRDefault="00737EB2" w:rsidP="009D0776">
      <w:pPr>
        <w:pStyle w:val="22"/>
      </w:pPr>
      <w:bookmarkStart w:id="1996" w:name="_Toc99792281"/>
      <w:bookmarkStart w:id="1997" w:name="_Toc153291716"/>
      <w:r w:rsidRPr="00765F6E">
        <w:rPr>
          <w:rFonts w:hint="eastAsia"/>
        </w:rPr>
        <w:t>牵引网系统类型根据车辆受流方式可分为架空接触网与接触轨。牵引网系统类型在满足线路最高设计时速的前提下，应根据路网构成、车辆受流方式、线路条件、景观要求，通过技术经济比选综合确定。</w:t>
      </w:r>
      <w:bookmarkEnd w:id="1996"/>
      <w:bookmarkEnd w:id="1997"/>
    </w:p>
    <w:p w14:paraId="0B7EA638" w14:textId="77777777" w:rsidR="00737EB2" w:rsidRPr="00765F6E" w:rsidRDefault="00737EB2" w:rsidP="009D0776">
      <w:pPr>
        <w:pStyle w:val="22"/>
      </w:pPr>
      <w:bookmarkStart w:id="1998" w:name="_Toc153291717"/>
      <w:bookmarkStart w:id="1999" w:name="_Toc99792282"/>
      <w:r w:rsidRPr="00765F6E">
        <w:rPr>
          <w:rFonts w:hint="eastAsia"/>
        </w:rPr>
        <w:t>牵引网设计基础数据符合下列要求：</w:t>
      </w:r>
      <w:bookmarkEnd w:id="1998"/>
      <w:bookmarkEnd w:id="1999"/>
    </w:p>
    <w:p w14:paraId="14BB62FA" w14:textId="77777777" w:rsidR="00737EB2" w:rsidRPr="00765F6E" w:rsidRDefault="00737EB2" w:rsidP="003334F3">
      <w:pPr>
        <w:pStyle w:val="af6"/>
        <w:numPr>
          <w:ilvl w:val="0"/>
          <w:numId w:val="158"/>
        </w:numPr>
        <w:tabs>
          <w:tab w:val="left" w:pos="851"/>
        </w:tabs>
        <w:snapToGrid w:val="0"/>
        <w:contextualSpacing/>
      </w:pPr>
      <w:r w:rsidRPr="00765F6E">
        <w:rPr>
          <w:rFonts w:hint="eastAsia"/>
        </w:rPr>
        <w:t>接触网设计的气象条件，应根据最近记录年限不少于25年的沿线气象资料计算，并结合既有电气化铁路或高压架空送电线路的运营经验确定；</w:t>
      </w:r>
    </w:p>
    <w:p w14:paraId="73D0BFDF" w14:textId="5404E2C9" w:rsidR="00737EB2" w:rsidRPr="00765F6E" w:rsidRDefault="00737EB2" w:rsidP="003334F3">
      <w:pPr>
        <w:pStyle w:val="af6"/>
        <w:numPr>
          <w:ilvl w:val="0"/>
          <w:numId w:val="158"/>
        </w:numPr>
        <w:tabs>
          <w:tab w:val="left" w:pos="851"/>
        </w:tabs>
        <w:snapToGrid w:val="0"/>
        <w:contextualSpacing/>
      </w:pPr>
      <w:r w:rsidRPr="00765F6E">
        <w:rPr>
          <w:rFonts w:hint="eastAsia"/>
        </w:rPr>
        <w:t>接触网的风偏设计风速，应采用空旷地区、离地面10m高处的 10min自动记录30年发生一次的平均最大值，且不宜大于列车运行最大环境风速；接触网的结构设计风速，应采用空旷地区、离地面 10m高处的10min自动记录50年发生一次的平均最大值。沿海地区还应按有记录以来的最大台风风速对接触网结构进行校核。气象台（站）的记录值不符合</w:t>
      </w:r>
      <w:r w:rsidR="00A56E04">
        <w:rPr>
          <w:rFonts w:hint="eastAsia"/>
        </w:rPr>
        <w:t>上序</w:t>
      </w:r>
      <w:r w:rsidRPr="00765F6E">
        <w:rPr>
          <w:rFonts w:hint="eastAsia"/>
        </w:rPr>
        <w:t>要求时，应按规定进行换算，同时设计风速还应根据地区、地形和高度进行修正；</w:t>
      </w:r>
    </w:p>
    <w:p w14:paraId="2A5DD0EA" w14:textId="77777777" w:rsidR="00737EB2" w:rsidRPr="00765F6E" w:rsidRDefault="00737EB2" w:rsidP="003334F3">
      <w:pPr>
        <w:pStyle w:val="af6"/>
        <w:numPr>
          <w:ilvl w:val="0"/>
          <w:numId w:val="158"/>
        </w:numPr>
        <w:tabs>
          <w:tab w:val="left" w:pos="851"/>
        </w:tabs>
        <w:snapToGrid w:val="0"/>
        <w:contextualSpacing/>
      </w:pPr>
      <w:r w:rsidRPr="00765F6E">
        <w:rPr>
          <w:rFonts w:hint="eastAsia"/>
        </w:rPr>
        <w:t xml:space="preserve">隧道内接触网设计气温应依据隧道长度及该锚段在隧道内的长度确定。当2/3锚段长度及以上位于长度大于2000m的隧道内时，设计气温可按比隧道外设计气温最低值高5℃，最高值低10℃取值，其余情况可与隧道外接触网设计气温一致；  </w:t>
      </w:r>
    </w:p>
    <w:p w14:paraId="6C246112" w14:textId="77777777" w:rsidR="00737EB2" w:rsidRPr="00765F6E" w:rsidRDefault="00737EB2" w:rsidP="003334F3">
      <w:pPr>
        <w:pStyle w:val="af6"/>
        <w:numPr>
          <w:ilvl w:val="0"/>
          <w:numId w:val="158"/>
        </w:numPr>
        <w:tabs>
          <w:tab w:val="left" w:pos="851"/>
        </w:tabs>
        <w:snapToGrid w:val="0"/>
        <w:contextualSpacing/>
      </w:pPr>
      <w:r w:rsidRPr="00765F6E">
        <w:rPr>
          <w:rFonts w:hint="eastAsia"/>
        </w:rPr>
        <w:lastRenderedPageBreak/>
        <w:t>污秽等级应根据接触网所处环境的污湿特性和运行经验，并结合绝缘表面污秽物质的等值附盐密度三个因素综合考虑决定。在无确切污秽资料的条件下，应按重污区要求设计；</w:t>
      </w:r>
    </w:p>
    <w:p w14:paraId="4AACD4FE" w14:textId="77777777" w:rsidR="00737EB2" w:rsidRPr="00765F6E" w:rsidRDefault="00737EB2" w:rsidP="003334F3">
      <w:pPr>
        <w:pStyle w:val="af6"/>
        <w:numPr>
          <w:ilvl w:val="0"/>
          <w:numId w:val="158"/>
        </w:numPr>
        <w:tabs>
          <w:tab w:val="left" w:pos="851"/>
        </w:tabs>
        <w:snapToGrid w:val="0"/>
        <w:contextualSpacing/>
      </w:pPr>
      <w:r w:rsidRPr="00765F6E">
        <w:rPr>
          <w:rFonts w:hint="eastAsia"/>
        </w:rPr>
        <w:t>牵引网设计应满足设备限界的要求；</w:t>
      </w:r>
    </w:p>
    <w:p w14:paraId="6373EC03" w14:textId="77777777" w:rsidR="00737EB2" w:rsidRPr="00765F6E" w:rsidRDefault="00737EB2" w:rsidP="003334F3">
      <w:pPr>
        <w:pStyle w:val="af6"/>
        <w:numPr>
          <w:ilvl w:val="0"/>
          <w:numId w:val="158"/>
        </w:numPr>
        <w:tabs>
          <w:tab w:val="left" w:pos="851"/>
        </w:tabs>
        <w:snapToGrid w:val="0"/>
        <w:contextualSpacing/>
      </w:pPr>
      <w:r w:rsidRPr="00765F6E">
        <w:rPr>
          <w:rFonts w:hint="eastAsia"/>
        </w:rPr>
        <w:t>接触网系统设计使用年限应根据用户要求确定。接触线寿命应根据磨耗确定，不应少于200万弓架次。</w:t>
      </w:r>
    </w:p>
    <w:p w14:paraId="713223D3" w14:textId="77777777" w:rsidR="00737EB2" w:rsidRPr="00765F6E" w:rsidRDefault="00737EB2" w:rsidP="009D0776">
      <w:pPr>
        <w:pStyle w:val="22"/>
      </w:pPr>
      <w:bookmarkStart w:id="2000" w:name="_Toc153291718"/>
      <w:bookmarkStart w:id="2001" w:name="_Toc99792283"/>
      <w:r w:rsidRPr="00765F6E">
        <w:rPr>
          <w:rFonts w:hint="eastAsia"/>
        </w:rPr>
        <w:t>架空接触网设计符合下列规定：</w:t>
      </w:r>
      <w:bookmarkEnd w:id="2000"/>
      <w:bookmarkEnd w:id="2001"/>
    </w:p>
    <w:p w14:paraId="2B9555B5" w14:textId="3E9CEF0E" w:rsidR="00737EB2" w:rsidRPr="00765F6E" w:rsidRDefault="00737EB2" w:rsidP="003334F3">
      <w:pPr>
        <w:pStyle w:val="af6"/>
        <w:numPr>
          <w:ilvl w:val="0"/>
          <w:numId w:val="159"/>
        </w:numPr>
        <w:tabs>
          <w:tab w:val="left" w:pos="851"/>
        </w:tabs>
        <w:snapToGrid w:val="0"/>
        <w:contextualSpacing/>
      </w:pPr>
      <w:r w:rsidRPr="00765F6E">
        <w:rPr>
          <w:rFonts w:hint="eastAsia"/>
        </w:rPr>
        <w:t>接触网应能可靠的向列车馈电并满足最高行车速度的要求。接触网-受电弓间相互作用的动态性能应符合表</w:t>
      </w:r>
      <w:r w:rsidR="001C1F75" w:rsidRPr="00765F6E">
        <w:rPr>
          <w:rFonts w:hint="eastAsia"/>
        </w:rPr>
        <w:t>7</w:t>
      </w:r>
      <w:r w:rsidR="00B66CDF">
        <w:t>7</w:t>
      </w:r>
      <w:r w:rsidRPr="00765F6E">
        <w:rPr>
          <w:rFonts w:hint="eastAsia"/>
        </w:rPr>
        <w:t>的规定</w:t>
      </w:r>
      <w:r w:rsidR="00CB40C5">
        <w:rPr>
          <w:rFonts w:hint="eastAsia"/>
        </w:rPr>
        <w:t>。</w:t>
      </w:r>
    </w:p>
    <w:p w14:paraId="1B05C491" w14:textId="77777777" w:rsidR="00737EB2" w:rsidRPr="00765F6E" w:rsidRDefault="00737EB2" w:rsidP="00737EB2">
      <w:pPr>
        <w:pStyle w:val="aff3"/>
        <w:spacing w:before="156" w:after="156"/>
      </w:pPr>
      <w:r w:rsidRPr="00765F6E">
        <w:rPr>
          <w:rFonts w:hint="eastAsia"/>
        </w:rPr>
        <w:t>接触网-受电弓间相互作用的动态性能指标表</w:t>
      </w:r>
    </w:p>
    <w:tbl>
      <w:tblPr>
        <w:tblW w:w="9344"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248"/>
        <w:gridCol w:w="2824"/>
        <w:gridCol w:w="3272"/>
      </w:tblGrid>
      <w:tr w:rsidR="00737EB2" w:rsidRPr="00765F6E" w14:paraId="4D57964E" w14:textId="77777777" w:rsidTr="00871D47">
        <w:trPr>
          <w:trHeight w:val="176"/>
        </w:trPr>
        <w:tc>
          <w:tcPr>
            <w:tcW w:w="3248" w:type="dxa"/>
            <w:tcBorders>
              <w:top w:val="single" w:sz="8" w:space="0" w:color="auto"/>
              <w:bottom w:val="single" w:sz="8" w:space="0" w:color="auto"/>
            </w:tcBorders>
            <w:shd w:val="clear" w:color="auto" w:fill="auto"/>
            <w:vAlign w:val="center"/>
          </w:tcPr>
          <w:p w14:paraId="4752B0EA"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供电制式</w:t>
            </w:r>
          </w:p>
        </w:tc>
        <w:tc>
          <w:tcPr>
            <w:tcW w:w="2824" w:type="dxa"/>
            <w:tcBorders>
              <w:top w:val="single" w:sz="8" w:space="0" w:color="auto"/>
              <w:bottom w:val="single" w:sz="8" w:space="0" w:color="auto"/>
            </w:tcBorders>
            <w:shd w:val="clear" w:color="auto" w:fill="auto"/>
            <w:vAlign w:val="center"/>
          </w:tcPr>
          <w:p w14:paraId="4A59CA5D"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AC25kV</w:t>
            </w:r>
          </w:p>
        </w:tc>
        <w:tc>
          <w:tcPr>
            <w:tcW w:w="3272" w:type="dxa"/>
            <w:tcBorders>
              <w:top w:val="single" w:sz="8" w:space="0" w:color="auto"/>
              <w:bottom w:val="single" w:sz="8" w:space="0" w:color="auto"/>
            </w:tcBorders>
            <w:shd w:val="clear" w:color="auto" w:fill="auto"/>
            <w:vAlign w:val="center"/>
          </w:tcPr>
          <w:p w14:paraId="71B524F4"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DC1500V</w:t>
            </w:r>
          </w:p>
        </w:tc>
      </w:tr>
      <w:tr w:rsidR="00737EB2" w:rsidRPr="00765F6E" w14:paraId="4C9DE5A9" w14:textId="77777777" w:rsidTr="00871D47">
        <w:trPr>
          <w:trHeight w:val="176"/>
        </w:trPr>
        <w:tc>
          <w:tcPr>
            <w:tcW w:w="3248" w:type="dxa"/>
            <w:tcBorders>
              <w:top w:val="single" w:sz="8" w:space="0" w:color="auto"/>
            </w:tcBorders>
            <w:shd w:val="clear" w:color="auto" w:fill="auto"/>
            <w:vAlign w:val="center"/>
          </w:tcPr>
          <w:p w14:paraId="342E1D4E"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设计时速V</w:t>
            </w:r>
            <w:r>
              <w:rPr>
                <w:rFonts w:ascii="宋体" w:hAnsi="宋体"/>
                <w:sz w:val="18"/>
                <w:szCs w:val="18"/>
              </w:rPr>
              <w:t>/</w:t>
            </w:r>
            <w:r>
              <w:rPr>
                <w:rFonts w:ascii="宋体" w:hAnsi="宋体" w:hint="eastAsia"/>
                <w:sz w:val="18"/>
                <w:szCs w:val="18"/>
              </w:rPr>
              <w:t>（</w:t>
            </w:r>
            <w:r w:rsidRPr="00765F6E">
              <w:rPr>
                <w:rFonts w:ascii="宋体" w:hAnsi="宋体" w:hint="eastAsia"/>
                <w:sz w:val="18"/>
                <w:szCs w:val="18"/>
              </w:rPr>
              <w:t>km/h</w:t>
            </w:r>
            <w:r>
              <w:rPr>
                <w:rFonts w:ascii="宋体" w:hAnsi="宋体" w:hint="eastAsia"/>
                <w:sz w:val="18"/>
                <w:szCs w:val="18"/>
              </w:rPr>
              <w:t>）</w:t>
            </w:r>
          </w:p>
        </w:tc>
        <w:tc>
          <w:tcPr>
            <w:tcW w:w="2824" w:type="dxa"/>
            <w:tcBorders>
              <w:top w:val="single" w:sz="8" w:space="0" w:color="auto"/>
            </w:tcBorders>
            <w:shd w:val="clear" w:color="auto" w:fill="auto"/>
            <w:vAlign w:val="center"/>
          </w:tcPr>
          <w:p w14:paraId="6827138C" w14:textId="7D8B378F" w:rsidR="00737EB2" w:rsidRPr="00765F6E" w:rsidRDefault="00B731DB" w:rsidP="00871D47">
            <w:pPr>
              <w:spacing w:line="240" w:lineRule="auto"/>
              <w:jc w:val="center"/>
              <w:textAlignment w:val="center"/>
              <w:rPr>
                <w:rFonts w:ascii="宋体" w:hAnsi="宋体"/>
                <w:sz w:val="18"/>
                <w:szCs w:val="18"/>
              </w:rPr>
            </w:pPr>
            <w:r w:rsidRPr="00765F6E">
              <w:rPr>
                <w:rFonts w:ascii="宋体" w:hAnsi="宋体" w:hint="eastAsia"/>
                <w:sz w:val="18"/>
                <w:szCs w:val="18"/>
              </w:rPr>
              <w:t>≤</w:t>
            </w:r>
            <w:r>
              <w:rPr>
                <w:rFonts w:ascii="宋体" w:hAnsi="宋体"/>
                <w:sz w:val="18"/>
                <w:szCs w:val="18"/>
              </w:rPr>
              <w:t>160</w:t>
            </w:r>
          </w:p>
        </w:tc>
        <w:tc>
          <w:tcPr>
            <w:tcW w:w="3272" w:type="dxa"/>
            <w:tcBorders>
              <w:top w:val="single" w:sz="8" w:space="0" w:color="auto"/>
            </w:tcBorders>
            <w:shd w:val="clear" w:color="auto" w:fill="auto"/>
            <w:vAlign w:val="center"/>
          </w:tcPr>
          <w:p w14:paraId="3E25D660" w14:textId="77785BFA" w:rsidR="00737EB2" w:rsidRPr="00765F6E" w:rsidRDefault="00B731DB" w:rsidP="00871D47">
            <w:pPr>
              <w:spacing w:line="240" w:lineRule="auto"/>
              <w:jc w:val="center"/>
              <w:textAlignment w:val="center"/>
              <w:rPr>
                <w:rFonts w:ascii="宋体" w:hAnsi="宋体"/>
                <w:sz w:val="18"/>
                <w:szCs w:val="18"/>
              </w:rPr>
            </w:pPr>
            <w:r w:rsidRPr="00765F6E">
              <w:rPr>
                <w:rFonts w:ascii="宋体" w:hAnsi="宋体" w:hint="eastAsia"/>
                <w:sz w:val="18"/>
                <w:szCs w:val="18"/>
              </w:rPr>
              <w:t>≤</w:t>
            </w:r>
            <w:r>
              <w:rPr>
                <w:rFonts w:ascii="宋体" w:hAnsi="宋体"/>
                <w:sz w:val="18"/>
                <w:szCs w:val="18"/>
              </w:rPr>
              <w:t>160</w:t>
            </w:r>
          </w:p>
        </w:tc>
      </w:tr>
      <w:tr w:rsidR="00737EB2" w:rsidRPr="00765F6E" w14:paraId="51013869" w14:textId="77777777" w:rsidTr="00871D47">
        <w:trPr>
          <w:trHeight w:val="176"/>
        </w:trPr>
        <w:tc>
          <w:tcPr>
            <w:tcW w:w="3248" w:type="dxa"/>
            <w:shd w:val="clear" w:color="auto" w:fill="auto"/>
            <w:vAlign w:val="center"/>
          </w:tcPr>
          <w:p w14:paraId="6080547E"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平均接触力Fm</w:t>
            </w:r>
            <w:r>
              <w:rPr>
                <w:rFonts w:ascii="宋体" w:hAnsi="宋体"/>
                <w:sz w:val="18"/>
                <w:szCs w:val="18"/>
              </w:rPr>
              <w:t>/</w:t>
            </w:r>
            <w:r w:rsidRPr="00765F6E">
              <w:rPr>
                <w:rFonts w:ascii="宋体" w:hAnsi="宋体" w:hint="eastAsia"/>
                <w:sz w:val="18"/>
                <w:szCs w:val="18"/>
              </w:rPr>
              <w:t>（N）</w:t>
            </w:r>
          </w:p>
        </w:tc>
        <w:tc>
          <w:tcPr>
            <w:tcW w:w="2824" w:type="dxa"/>
            <w:shd w:val="clear" w:color="auto" w:fill="auto"/>
            <w:vAlign w:val="center"/>
          </w:tcPr>
          <w:p w14:paraId="128B2B6F" w14:textId="15FD0106" w:rsidR="00B731DB" w:rsidRPr="00B731DB" w:rsidRDefault="00B731DB" w:rsidP="00B731DB">
            <w:pPr>
              <w:spacing w:line="240" w:lineRule="auto"/>
              <w:jc w:val="center"/>
              <w:textAlignment w:val="center"/>
              <w:rPr>
                <w:rFonts w:ascii="宋体" w:hAnsi="宋体"/>
                <w:sz w:val="18"/>
                <w:szCs w:val="18"/>
              </w:rPr>
            </w:pPr>
            <w:r w:rsidRPr="00B731DB">
              <w:rPr>
                <w:rFonts w:ascii="宋体" w:hAnsi="宋体"/>
                <w:sz w:val="18"/>
                <w:szCs w:val="18"/>
              </w:rPr>
              <w:t>0.00047</w:t>
            </w:r>
            <w:r>
              <w:rPr>
                <w:rFonts w:ascii="宋体" w:hAnsi="宋体" w:hint="eastAsia"/>
                <w:sz w:val="18"/>
                <w:szCs w:val="18"/>
              </w:rPr>
              <w:t>×</w:t>
            </w:r>
            <w:r>
              <w:rPr>
                <w:rFonts w:ascii="宋体" w:hAnsi="宋体"/>
                <w:sz w:val="18"/>
                <w:szCs w:val="18"/>
              </w:rPr>
              <w:t>v</w:t>
            </w:r>
            <w:r>
              <w:rPr>
                <w:rFonts w:ascii="宋体" w:hAnsi="宋体"/>
                <w:sz w:val="18"/>
                <w:szCs w:val="18"/>
                <w:vertAlign w:val="superscript"/>
              </w:rPr>
              <w:t>2</w:t>
            </w:r>
            <w:r w:rsidRPr="00B731DB">
              <w:rPr>
                <w:rFonts w:ascii="宋体" w:hAnsi="宋体"/>
                <w:sz w:val="18"/>
                <w:szCs w:val="18"/>
              </w:rPr>
              <w:t>+60</w:t>
            </w:r>
            <w:r>
              <w:rPr>
                <w:rFonts w:ascii="宋体" w:hAnsi="宋体" w:hint="eastAsia"/>
                <w:sz w:val="18"/>
                <w:szCs w:val="18"/>
              </w:rPr>
              <w:t>＜</w:t>
            </w:r>
            <w:r w:rsidRPr="00B731DB">
              <w:rPr>
                <w:rFonts w:ascii="宋体" w:hAnsi="宋体"/>
                <w:sz w:val="18"/>
                <w:szCs w:val="18"/>
              </w:rPr>
              <w:t>Fm</w:t>
            </w:r>
            <w:r>
              <w:rPr>
                <w:rFonts w:ascii="宋体" w:hAnsi="宋体" w:hint="eastAsia"/>
                <w:sz w:val="18"/>
                <w:szCs w:val="18"/>
              </w:rPr>
              <w:t>＜</w:t>
            </w:r>
            <w:r w:rsidRPr="00B731DB">
              <w:rPr>
                <w:rFonts w:ascii="宋体" w:hAnsi="宋体"/>
                <w:sz w:val="18"/>
                <w:szCs w:val="18"/>
              </w:rPr>
              <w:t>0.00047</w:t>
            </w:r>
            <w:r>
              <w:rPr>
                <w:rFonts w:ascii="宋体" w:hAnsi="宋体" w:hint="eastAsia"/>
                <w:sz w:val="18"/>
                <w:szCs w:val="18"/>
              </w:rPr>
              <w:t>×</w:t>
            </w:r>
          </w:p>
          <w:p w14:paraId="36364648" w14:textId="59907F88" w:rsidR="00737EB2" w:rsidRPr="00765F6E" w:rsidRDefault="00B731DB" w:rsidP="00B731DB">
            <w:pPr>
              <w:spacing w:line="240" w:lineRule="auto"/>
              <w:jc w:val="center"/>
              <w:textAlignment w:val="center"/>
              <w:rPr>
                <w:rFonts w:ascii="宋体" w:hAnsi="宋体"/>
                <w:sz w:val="18"/>
                <w:szCs w:val="18"/>
              </w:rPr>
            </w:pPr>
            <w:r w:rsidRPr="00B731DB">
              <w:rPr>
                <w:rFonts w:ascii="宋体" w:hAnsi="宋体"/>
                <w:sz w:val="18"/>
                <w:szCs w:val="18"/>
              </w:rPr>
              <w:t>V</w:t>
            </w:r>
            <w:r w:rsidRPr="00453DBE">
              <w:rPr>
                <w:rFonts w:ascii="宋体" w:hAnsi="宋体"/>
                <w:sz w:val="18"/>
                <w:szCs w:val="18"/>
                <w:vertAlign w:val="superscript"/>
              </w:rPr>
              <w:t>2</w:t>
            </w:r>
            <w:r w:rsidRPr="00B731DB">
              <w:rPr>
                <w:rFonts w:ascii="宋体" w:hAnsi="宋体"/>
                <w:sz w:val="18"/>
                <w:szCs w:val="18"/>
              </w:rPr>
              <w:t>+90</w:t>
            </w:r>
          </w:p>
        </w:tc>
        <w:tc>
          <w:tcPr>
            <w:tcW w:w="3272" w:type="dxa"/>
            <w:shd w:val="clear" w:color="auto" w:fill="auto"/>
            <w:vAlign w:val="center"/>
          </w:tcPr>
          <w:p w14:paraId="5B331032" w14:textId="37DAD1B3" w:rsidR="00737EB2" w:rsidRPr="00765F6E" w:rsidRDefault="00B731DB" w:rsidP="00871D47">
            <w:pPr>
              <w:spacing w:line="240" w:lineRule="auto"/>
              <w:jc w:val="center"/>
              <w:textAlignment w:val="center"/>
              <w:rPr>
                <w:rFonts w:ascii="宋体" w:hAnsi="宋体"/>
                <w:sz w:val="18"/>
                <w:szCs w:val="18"/>
              </w:rPr>
            </w:pPr>
            <w:r w:rsidRPr="00B731DB">
              <w:rPr>
                <w:rFonts w:ascii="宋体" w:hAnsi="宋体"/>
                <w:sz w:val="18"/>
                <w:szCs w:val="18"/>
              </w:rPr>
              <w:t>0.00112</w:t>
            </w:r>
            <w:r>
              <w:rPr>
                <w:rFonts w:ascii="宋体" w:hAnsi="宋体" w:hint="eastAsia"/>
                <w:sz w:val="18"/>
                <w:szCs w:val="18"/>
              </w:rPr>
              <w:t>×</w:t>
            </w:r>
            <w:r w:rsidRPr="00B731DB">
              <w:rPr>
                <w:rFonts w:ascii="宋体" w:hAnsi="宋体"/>
                <w:sz w:val="18"/>
                <w:szCs w:val="18"/>
              </w:rPr>
              <w:t>y</w:t>
            </w:r>
            <w:r>
              <w:rPr>
                <w:rFonts w:ascii="宋体" w:hAnsi="宋体"/>
                <w:sz w:val="18"/>
                <w:szCs w:val="18"/>
                <w:vertAlign w:val="superscript"/>
              </w:rPr>
              <w:t>2</w:t>
            </w:r>
            <w:r w:rsidRPr="00B731DB">
              <w:rPr>
                <w:rFonts w:ascii="宋体" w:hAnsi="宋体"/>
                <w:sz w:val="18"/>
                <w:szCs w:val="18"/>
              </w:rPr>
              <w:t>+70</w:t>
            </w:r>
            <w:r>
              <w:rPr>
                <w:rFonts w:ascii="宋体" w:hAnsi="宋体" w:hint="eastAsia"/>
                <w:sz w:val="18"/>
                <w:szCs w:val="18"/>
              </w:rPr>
              <w:t>＜</w:t>
            </w:r>
            <w:r w:rsidRPr="00B731DB">
              <w:rPr>
                <w:rFonts w:ascii="宋体" w:hAnsi="宋体"/>
                <w:sz w:val="18"/>
                <w:szCs w:val="18"/>
              </w:rPr>
              <w:t>Fm</w:t>
            </w:r>
            <w:r>
              <w:rPr>
                <w:rFonts w:ascii="宋体" w:hAnsi="宋体" w:hint="eastAsia"/>
                <w:sz w:val="18"/>
                <w:szCs w:val="18"/>
              </w:rPr>
              <w:t>＜</w:t>
            </w:r>
            <w:r w:rsidRPr="00B731DB">
              <w:rPr>
                <w:rFonts w:ascii="宋体" w:hAnsi="宋体"/>
                <w:sz w:val="18"/>
                <w:szCs w:val="18"/>
              </w:rPr>
              <w:t>0.00097</w:t>
            </w:r>
            <w:r>
              <w:rPr>
                <w:rFonts w:ascii="宋体" w:hAnsi="宋体" w:hint="eastAsia"/>
                <w:sz w:val="18"/>
                <w:szCs w:val="18"/>
              </w:rPr>
              <w:t>×</w:t>
            </w:r>
            <w:r w:rsidRPr="00B731DB">
              <w:rPr>
                <w:rFonts w:ascii="宋体" w:hAnsi="宋体"/>
                <w:sz w:val="18"/>
                <w:szCs w:val="18"/>
              </w:rPr>
              <w:t>y</w:t>
            </w:r>
            <w:r>
              <w:rPr>
                <w:rFonts w:ascii="宋体" w:hAnsi="宋体"/>
                <w:sz w:val="18"/>
                <w:szCs w:val="18"/>
                <w:vertAlign w:val="superscript"/>
              </w:rPr>
              <w:t>2</w:t>
            </w:r>
            <w:r w:rsidRPr="00B731DB">
              <w:rPr>
                <w:rFonts w:ascii="宋体" w:hAnsi="宋体"/>
                <w:sz w:val="18"/>
                <w:szCs w:val="18"/>
              </w:rPr>
              <w:t>+140</w:t>
            </w:r>
          </w:p>
        </w:tc>
      </w:tr>
      <w:tr w:rsidR="00737EB2" w:rsidRPr="00765F6E" w14:paraId="298F6807" w14:textId="77777777" w:rsidTr="00871D47">
        <w:trPr>
          <w:trHeight w:val="176"/>
        </w:trPr>
        <w:tc>
          <w:tcPr>
            <w:tcW w:w="3248" w:type="dxa"/>
            <w:shd w:val="clear" w:color="auto" w:fill="auto"/>
            <w:vAlign w:val="center"/>
          </w:tcPr>
          <w:p w14:paraId="36DE03B7"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接触力最大标准偏差σmax</w:t>
            </w:r>
            <w:r>
              <w:rPr>
                <w:rFonts w:ascii="宋体" w:hAnsi="宋体"/>
                <w:sz w:val="18"/>
                <w:szCs w:val="18"/>
              </w:rPr>
              <w:t>/</w:t>
            </w:r>
            <w:r w:rsidRPr="00765F6E">
              <w:rPr>
                <w:rFonts w:ascii="宋体" w:hAnsi="宋体" w:hint="eastAsia"/>
                <w:sz w:val="18"/>
                <w:szCs w:val="18"/>
              </w:rPr>
              <w:t>（N）</w:t>
            </w:r>
          </w:p>
        </w:tc>
        <w:tc>
          <w:tcPr>
            <w:tcW w:w="6096" w:type="dxa"/>
            <w:gridSpan w:val="2"/>
            <w:shd w:val="clear" w:color="auto" w:fill="auto"/>
            <w:vAlign w:val="center"/>
          </w:tcPr>
          <w:p w14:paraId="7E4148B6"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0.3Fm</w:t>
            </w:r>
          </w:p>
        </w:tc>
      </w:tr>
      <w:tr w:rsidR="00737EB2" w:rsidRPr="00765F6E" w14:paraId="52FC8C36" w14:textId="77777777" w:rsidTr="00871D47">
        <w:trPr>
          <w:trHeight w:val="176"/>
        </w:trPr>
        <w:tc>
          <w:tcPr>
            <w:tcW w:w="3248" w:type="dxa"/>
            <w:shd w:val="clear" w:color="auto" w:fill="auto"/>
            <w:vAlign w:val="center"/>
          </w:tcPr>
          <w:p w14:paraId="7D969C65"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最大接触力</w:t>
            </w:r>
            <w:r>
              <w:rPr>
                <w:rFonts w:ascii="宋体" w:hAnsi="宋体" w:hint="eastAsia"/>
                <w:sz w:val="18"/>
                <w:szCs w:val="18"/>
              </w:rPr>
              <w:t>/</w:t>
            </w:r>
            <w:r w:rsidRPr="00765F6E">
              <w:rPr>
                <w:rFonts w:ascii="宋体" w:hAnsi="宋体" w:hint="eastAsia"/>
                <w:sz w:val="18"/>
                <w:szCs w:val="18"/>
              </w:rPr>
              <w:t>（N）</w:t>
            </w:r>
          </w:p>
        </w:tc>
        <w:tc>
          <w:tcPr>
            <w:tcW w:w="6096" w:type="dxa"/>
            <w:gridSpan w:val="2"/>
            <w:shd w:val="clear" w:color="auto" w:fill="auto"/>
            <w:vAlign w:val="center"/>
          </w:tcPr>
          <w:p w14:paraId="15FAD651" w14:textId="60AB8D80" w:rsidR="00737EB2" w:rsidRPr="00765F6E" w:rsidRDefault="00B731DB" w:rsidP="00871D47">
            <w:pPr>
              <w:spacing w:line="240" w:lineRule="auto"/>
              <w:jc w:val="center"/>
              <w:textAlignment w:val="center"/>
              <w:rPr>
                <w:rFonts w:ascii="宋体" w:hAnsi="宋体"/>
                <w:sz w:val="18"/>
                <w:szCs w:val="18"/>
              </w:rPr>
            </w:pPr>
            <w:r w:rsidRPr="00765F6E">
              <w:rPr>
                <w:rFonts w:ascii="宋体" w:hAnsi="宋体" w:hint="eastAsia"/>
                <w:sz w:val="18"/>
                <w:szCs w:val="18"/>
              </w:rPr>
              <w:t>≤</w:t>
            </w:r>
            <w:r w:rsidR="00737EB2" w:rsidRPr="00765F6E">
              <w:rPr>
                <w:rFonts w:ascii="宋体" w:hAnsi="宋体" w:hint="eastAsia"/>
                <w:sz w:val="18"/>
                <w:szCs w:val="18"/>
              </w:rPr>
              <w:t>300</w:t>
            </w:r>
          </w:p>
        </w:tc>
      </w:tr>
      <w:tr w:rsidR="00737EB2" w:rsidRPr="00765F6E" w14:paraId="37F1397C" w14:textId="77777777" w:rsidTr="00871D47">
        <w:trPr>
          <w:trHeight w:val="176"/>
        </w:trPr>
        <w:tc>
          <w:tcPr>
            <w:tcW w:w="3248" w:type="dxa"/>
            <w:shd w:val="clear" w:color="auto" w:fill="auto"/>
            <w:vAlign w:val="center"/>
          </w:tcPr>
          <w:p w14:paraId="3D9BC298" w14:textId="77777777" w:rsidR="00737EB2" w:rsidRPr="00765F6E" w:rsidRDefault="00737EB2" w:rsidP="00871D47">
            <w:pPr>
              <w:spacing w:line="240" w:lineRule="auto"/>
              <w:jc w:val="center"/>
              <w:rPr>
                <w:rFonts w:ascii="宋体" w:hAnsi="宋体"/>
                <w:sz w:val="18"/>
                <w:szCs w:val="18"/>
              </w:rPr>
            </w:pPr>
            <w:r w:rsidRPr="00765F6E">
              <w:rPr>
                <w:rFonts w:ascii="宋体" w:hAnsi="宋体" w:hint="eastAsia"/>
                <w:sz w:val="18"/>
                <w:szCs w:val="18"/>
              </w:rPr>
              <w:t>接触线自由和不受限制的抬升空间</w:t>
            </w:r>
          </w:p>
        </w:tc>
        <w:tc>
          <w:tcPr>
            <w:tcW w:w="6096" w:type="dxa"/>
            <w:gridSpan w:val="2"/>
            <w:shd w:val="clear" w:color="auto" w:fill="auto"/>
            <w:vAlign w:val="center"/>
          </w:tcPr>
          <w:p w14:paraId="1B8505EE"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采用限位定位器：1.5×S</w:t>
            </w:r>
            <w:r w:rsidRPr="00765F6E">
              <w:rPr>
                <w:rFonts w:ascii="宋体" w:hAnsi="宋体" w:hint="eastAsia"/>
                <w:sz w:val="18"/>
                <w:szCs w:val="18"/>
                <w:vertAlign w:val="subscript"/>
              </w:rPr>
              <w:t>0</w:t>
            </w:r>
          </w:p>
          <w:p w14:paraId="59414497"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采用非限位定位器：2×S</w:t>
            </w:r>
            <w:r w:rsidRPr="00765F6E">
              <w:rPr>
                <w:rFonts w:ascii="宋体" w:hAnsi="宋体" w:hint="eastAsia"/>
                <w:sz w:val="18"/>
                <w:szCs w:val="18"/>
                <w:vertAlign w:val="subscript"/>
              </w:rPr>
              <w:t>0</w:t>
            </w:r>
          </w:p>
        </w:tc>
      </w:tr>
      <w:tr w:rsidR="00737EB2" w:rsidRPr="00765F6E" w14:paraId="0A015247" w14:textId="77777777" w:rsidTr="00871D47">
        <w:trPr>
          <w:trHeight w:val="176"/>
        </w:trPr>
        <w:tc>
          <w:tcPr>
            <w:tcW w:w="3248" w:type="dxa"/>
            <w:shd w:val="clear" w:color="auto" w:fill="auto"/>
            <w:vAlign w:val="center"/>
          </w:tcPr>
          <w:p w14:paraId="3C3721B7" w14:textId="77777777" w:rsidR="00737EB2" w:rsidRPr="00765F6E" w:rsidRDefault="00737EB2" w:rsidP="00871D47">
            <w:pPr>
              <w:spacing w:line="240" w:lineRule="auto"/>
              <w:jc w:val="center"/>
              <w:rPr>
                <w:rFonts w:ascii="宋体" w:hAnsi="宋体"/>
                <w:sz w:val="18"/>
                <w:szCs w:val="18"/>
              </w:rPr>
            </w:pPr>
            <w:r w:rsidRPr="00765F6E">
              <w:rPr>
                <w:rFonts w:ascii="宋体" w:hAnsi="宋体" w:hint="eastAsia"/>
                <w:sz w:val="18"/>
                <w:szCs w:val="18"/>
              </w:rPr>
              <w:t>最高运行速度下的燃弧率NQ（%）（燃弧的最小持续时间5ms）</w:t>
            </w:r>
          </w:p>
        </w:tc>
        <w:tc>
          <w:tcPr>
            <w:tcW w:w="6096" w:type="dxa"/>
            <w:gridSpan w:val="2"/>
            <w:shd w:val="clear" w:color="auto" w:fill="auto"/>
            <w:vAlign w:val="center"/>
          </w:tcPr>
          <w:p w14:paraId="2A1530E4" w14:textId="77777777" w:rsidR="00737EB2" w:rsidRPr="00765F6E" w:rsidRDefault="00737EB2" w:rsidP="00871D47">
            <w:pPr>
              <w:spacing w:line="240" w:lineRule="auto"/>
              <w:jc w:val="center"/>
              <w:rPr>
                <w:rFonts w:ascii="宋体" w:hAnsi="宋体"/>
                <w:sz w:val="18"/>
                <w:szCs w:val="18"/>
              </w:rPr>
            </w:pPr>
            <w:r w:rsidRPr="00765F6E">
              <w:rPr>
                <w:rFonts w:ascii="宋体" w:hAnsi="宋体" w:hint="eastAsia"/>
                <w:sz w:val="18"/>
                <w:szCs w:val="18"/>
              </w:rPr>
              <w:t>≤0.1</w:t>
            </w:r>
          </w:p>
        </w:tc>
      </w:tr>
      <w:tr w:rsidR="00737EB2" w:rsidRPr="00765F6E" w14:paraId="6E708A52" w14:textId="77777777" w:rsidTr="00871D47">
        <w:trPr>
          <w:trHeight w:val="176"/>
        </w:trPr>
        <w:tc>
          <w:tcPr>
            <w:tcW w:w="9344" w:type="dxa"/>
            <w:gridSpan w:val="3"/>
            <w:tcBorders>
              <w:top w:val="single" w:sz="8" w:space="0" w:color="auto"/>
              <w:bottom w:val="single" w:sz="8" w:space="0" w:color="auto"/>
            </w:tcBorders>
            <w:shd w:val="clear" w:color="auto" w:fill="auto"/>
            <w:vAlign w:val="center"/>
          </w:tcPr>
          <w:p w14:paraId="6FBE3127" w14:textId="77777777" w:rsidR="00737EB2" w:rsidRPr="00765F6E" w:rsidRDefault="00737EB2" w:rsidP="00737EB2">
            <w:pPr>
              <w:pStyle w:val="afff2"/>
              <w:ind w:left="584"/>
            </w:pPr>
            <w:r w:rsidRPr="00765F6E">
              <w:t>S</w:t>
            </w:r>
            <w:r w:rsidRPr="00EA7DA3">
              <w:rPr>
                <w:sz w:val="15"/>
                <w:szCs w:val="15"/>
                <w:vertAlign w:val="subscript"/>
              </w:rPr>
              <w:t>0</w:t>
            </w:r>
            <w:r w:rsidRPr="00765F6E">
              <w:t>指在列车正常运行和设计最高行驶速度下，接触线在定位点处抬升量的理论计算值或实际测量值。</w:t>
            </w:r>
          </w:p>
        </w:tc>
      </w:tr>
    </w:tbl>
    <w:p w14:paraId="6E774E04" w14:textId="77777777" w:rsidR="00737EB2" w:rsidRPr="00765F6E" w:rsidRDefault="00737EB2" w:rsidP="00737EB2">
      <w:pPr>
        <w:pStyle w:val="af6"/>
        <w:numPr>
          <w:ilvl w:val="0"/>
          <w:numId w:val="0"/>
        </w:numPr>
        <w:ind w:left="851"/>
      </w:pPr>
    </w:p>
    <w:p w14:paraId="71F8F4BF" w14:textId="27F68138" w:rsidR="00737EB2" w:rsidRPr="00765F6E" w:rsidRDefault="00737EB2" w:rsidP="003334F3">
      <w:pPr>
        <w:pStyle w:val="af6"/>
        <w:numPr>
          <w:ilvl w:val="0"/>
          <w:numId w:val="159"/>
        </w:numPr>
        <w:tabs>
          <w:tab w:val="left" w:pos="851"/>
        </w:tabs>
        <w:snapToGrid w:val="0"/>
        <w:contextualSpacing/>
      </w:pPr>
      <w:r w:rsidRPr="00765F6E">
        <w:rPr>
          <w:rFonts w:hint="eastAsia"/>
        </w:rPr>
        <w:t>架空接触网根据悬挂类型可分为柔性悬挂接触网与刚性悬挂接触网。悬挂类型的选择应根据路网构成、行车速度、牵引负荷、地下区段断面等条件确定。隧道外区段宜采用全补偿简单链形悬挂，场段内及特殊区段也可采用全补偿简单悬挂；隧道内接触悬挂类型应根据隧道设计时速及隧道断面尺寸确定，并宜与隧道外悬挂类型一致。</w:t>
      </w:r>
      <w:r>
        <w:rPr>
          <w:rFonts w:hint="eastAsia"/>
        </w:rPr>
        <w:t>设计</w:t>
      </w:r>
      <w:r w:rsidRPr="00765F6E">
        <w:rPr>
          <w:rFonts w:hint="eastAsia"/>
        </w:rPr>
        <w:t>时速≤160km/h区段经技术经济比选后可采用刚性悬挂</w:t>
      </w:r>
      <w:r w:rsidR="00CB40C5">
        <w:rPr>
          <w:rFonts w:hint="eastAsia"/>
        </w:rPr>
        <w:t>。</w:t>
      </w:r>
    </w:p>
    <w:p w14:paraId="76D248FB" w14:textId="458BB80F" w:rsidR="00737EB2" w:rsidRPr="00765F6E" w:rsidRDefault="00737EB2" w:rsidP="003334F3">
      <w:pPr>
        <w:pStyle w:val="af6"/>
        <w:numPr>
          <w:ilvl w:val="0"/>
          <w:numId w:val="159"/>
        </w:numPr>
        <w:tabs>
          <w:tab w:val="left" w:pos="851"/>
        </w:tabs>
        <w:snapToGrid w:val="0"/>
        <w:contextualSpacing/>
      </w:pPr>
      <w:r w:rsidRPr="00765F6E">
        <w:rPr>
          <w:rFonts w:hint="eastAsia"/>
        </w:rPr>
        <w:t>接触线应采用铜合金材质，同一机车交路的接触线材质宜统一。柔性悬挂接触线的波动传播速度不应小于线路最高行车速度的1.4倍，正线接触线的最小张力应符合表</w:t>
      </w:r>
      <w:r w:rsidR="001C1F75" w:rsidRPr="00765F6E">
        <w:rPr>
          <w:rFonts w:hint="eastAsia"/>
        </w:rPr>
        <w:t>7</w:t>
      </w:r>
      <w:r w:rsidR="00B66CDF">
        <w:t>8</w:t>
      </w:r>
      <w:r w:rsidRPr="00765F6E">
        <w:rPr>
          <w:rFonts w:hint="eastAsia"/>
        </w:rPr>
        <w:t>的规定。链形悬挂接触线弛度不宜大于150mm。简单悬挂的接触线弛度不宜大于250mm，</w:t>
      </w:r>
      <w:r>
        <w:rPr>
          <w:rFonts w:hint="eastAsia"/>
        </w:rPr>
        <w:t>设计</w:t>
      </w:r>
      <w:r w:rsidRPr="00765F6E">
        <w:rPr>
          <w:rFonts w:hint="eastAsia"/>
        </w:rPr>
        <w:t>时速≤45km/h的低速区段不宜大于350mm</w:t>
      </w:r>
      <w:r w:rsidR="00CB40C5">
        <w:rPr>
          <w:rFonts w:hint="eastAsia"/>
        </w:rPr>
        <w:t>。</w:t>
      </w:r>
    </w:p>
    <w:p w14:paraId="7C46C04A" w14:textId="14764B1C" w:rsidR="00737EB2" w:rsidRPr="00765F6E" w:rsidRDefault="00737EB2" w:rsidP="00737EB2">
      <w:pPr>
        <w:pStyle w:val="aff3"/>
        <w:spacing w:before="156" w:after="156"/>
      </w:pPr>
      <w:r w:rsidRPr="00765F6E">
        <w:rPr>
          <w:rFonts w:hint="eastAsia"/>
        </w:rPr>
        <w:t>柔性悬挂正线接触线最小张力</w:t>
      </w:r>
    </w:p>
    <w:tbl>
      <w:tblPr>
        <w:tblW w:w="9344"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4175"/>
        <w:gridCol w:w="2551"/>
        <w:gridCol w:w="2618"/>
      </w:tblGrid>
      <w:tr w:rsidR="00737EB2" w:rsidRPr="00765F6E" w14:paraId="643FCE86" w14:textId="77777777" w:rsidTr="00871D47">
        <w:trPr>
          <w:trHeight w:val="176"/>
        </w:trPr>
        <w:tc>
          <w:tcPr>
            <w:tcW w:w="4175" w:type="dxa"/>
            <w:vMerge w:val="restart"/>
            <w:tcBorders>
              <w:top w:val="single" w:sz="8" w:space="0" w:color="auto"/>
              <w:bottom w:val="single" w:sz="4" w:space="0" w:color="auto"/>
            </w:tcBorders>
            <w:shd w:val="clear" w:color="auto" w:fill="auto"/>
            <w:vAlign w:val="center"/>
          </w:tcPr>
          <w:p w14:paraId="414BC182"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设计时速</w:t>
            </w:r>
          </w:p>
          <w:p w14:paraId="124B5DFD"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km/h</w:t>
            </w:r>
          </w:p>
        </w:tc>
        <w:tc>
          <w:tcPr>
            <w:tcW w:w="5169" w:type="dxa"/>
            <w:gridSpan w:val="2"/>
            <w:tcBorders>
              <w:top w:val="single" w:sz="8" w:space="0" w:color="auto"/>
              <w:bottom w:val="single" w:sz="4" w:space="0" w:color="auto"/>
            </w:tcBorders>
            <w:shd w:val="clear" w:color="auto" w:fill="auto"/>
            <w:vAlign w:val="center"/>
          </w:tcPr>
          <w:p w14:paraId="70616A81"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接触线最小张力/</w:t>
            </w:r>
            <w:proofErr w:type="spellStart"/>
            <w:r w:rsidRPr="00765F6E">
              <w:rPr>
                <w:rFonts w:ascii="宋体" w:hAnsi="宋体" w:hint="eastAsia"/>
                <w:sz w:val="18"/>
                <w:szCs w:val="18"/>
              </w:rPr>
              <w:t>kN</w:t>
            </w:r>
            <w:proofErr w:type="spellEnd"/>
          </w:p>
        </w:tc>
      </w:tr>
      <w:tr w:rsidR="00737EB2" w:rsidRPr="00765F6E" w14:paraId="3A4722B7" w14:textId="77777777" w:rsidTr="00871D47">
        <w:trPr>
          <w:trHeight w:val="176"/>
        </w:trPr>
        <w:tc>
          <w:tcPr>
            <w:tcW w:w="4175" w:type="dxa"/>
            <w:vMerge/>
            <w:tcBorders>
              <w:top w:val="single" w:sz="4" w:space="0" w:color="auto"/>
              <w:bottom w:val="single" w:sz="8" w:space="0" w:color="auto"/>
            </w:tcBorders>
            <w:shd w:val="clear" w:color="auto" w:fill="auto"/>
            <w:vAlign w:val="center"/>
          </w:tcPr>
          <w:p w14:paraId="7EE2C7AA" w14:textId="77777777" w:rsidR="00737EB2" w:rsidRPr="00765F6E" w:rsidRDefault="00737EB2" w:rsidP="00871D47">
            <w:pPr>
              <w:jc w:val="center"/>
              <w:rPr>
                <w:rFonts w:ascii="宋体" w:hAnsi="宋体"/>
                <w:sz w:val="18"/>
                <w:szCs w:val="18"/>
              </w:rPr>
            </w:pPr>
          </w:p>
        </w:tc>
        <w:tc>
          <w:tcPr>
            <w:tcW w:w="2551" w:type="dxa"/>
            <w:tcBorders>
              <w:top w:val="single" w:sz="4" w:space="0" w:color="auto"/>
              <w:bottom w:val="single" w:sz="8" w:space="0" w:color="auto"/>
            </w:tcBorders>
            <w:shd w:val="clear" w:color="auto" w:fill="auto"/>
            <w:vAlign w:val="center"/>
          </w:tcPr>
          <w:p w14:paraId="5D12AE8E" w14:textId="77777777" w:rsidR="00737EB2" w:rsidRPr="00765F6E" w:rsidRDefault="00737EB2" w:rsidP="00871D47">
            <w:pPr>
              <w:jc w:val="center"/>
              <w:textAlignment w:val="center"/>
              <w:rPr>
                <w:rFonts w:ascii="宋体" w:hAnsi="宋体"/>
                <w:sz w:val="18"/>
                <w:szCs w:val="18"/>
              </w:rPr>
            </w:pPr>
            <w:r w:rsidRPr="00765F6E">
              <w:rPr>
                <w:rFonts w:ascii="宋体" w:hAnsi="宋体" w:hint="eastAsia"/>
                <w:sz w:val="18"/>
                <w:szCs w:val="18"/>
              </w:rPr>
              <w:t>120mm</w:t>
            </w:r>
            <w:r w:rsidRPr="00765F6E">
              <w:rPr>
                <w:rFonts w:ascii="宋体" w:hAnsi="宋体" w:hint="eastAsia"/>
                <w:sz w:val="18"/>
                <w:szCs w:val="18"/>
                <w:vertAlign w:val="superscript"/>
              </w:rPr>
              <w:t>2</w:t>
            </w:r>
            <w:r w:rsidRPr="00765F6E">
              <w:rPr>
                <w:rFonts w:ascii="宋体" w:hAnsi="宋体" w:hint="eastAsia"/>
                <w:sz w:val="18"/>
                <w:szCs w:val="18"/>
              </w:rPr>
              <w:t>接触线</w:t>
            </w:r>
          </w:p>
        </w:tc>
        <w:tc>
          <w:tcPr>
            <w:tcW w:w="2618" w:type="dxa"/>
            <w:tcBorders>
              <w:top w:val="single" w:sz="4" w:space="0" w:color="auto"/>
              <w:bottom w:val="single" w:sz="8" w:space="0" w:color="auto"/>
            </w:tcBorders>
            <w:shd w:val="clear" w:color="auto" w:fill="auto"/>
            <w:vAlign w:val="center"/>
          </w:tcPr>
          <w:p w14:paraId="30BF69B5" w14:textId="77777777" w:rsidR="00737EB2" w:rsidRPr="00765F6E" w:rsidRDefault="00737EB2" w:rsidP="00871D47">
            <w:pPr>
              <w:jc w:val="center"/>
              <w:textAlignment w:val="center"/>
              <w:rPr>
                <w:rFonts w:ascii="宋体" w:hAnsi="宋体"/>
                <w:sz w:val="18"/>
                <w:szCs w:val="18"/>
              </w:rPr>
            </w:pPr>
            <w:r w:rsidRPr="00765F6E">
              <w:rPr>
                <w:rFonts w:ascii="宋体" w:hAnsi="宋体" w:hint="eastAsia"/>
                <w:sz w:val="18"/>
                <w:szCs w:val="18"/>
              </w:rPr>
              <w:t>15</w:t>
            </w:r>
            <w:r w:rsidRPr="00765F6E">
              <w:rPr>
                <w:rFonts w:ascii="宋体" w:hAnsi="宋体"/>
                <w:sz w:val="18"/>
                <w:szCs w:val="18"/>
              </w:rPr>
              <w:t>0</w:t>
            </w:r>
            <w:r w:rsidRPr="00765F6E">
              <w:rPr>
                <w:rFonts w:ascii="宋体" w:hAnsi="宋体" w:hint="eastAsia"/>
                <w:sz w:val="18"/>
                <w:szCs w:val="18"/>
              </w:rPr>
              <w:t>mm</w:t>
            </w:r>
            <w:r w:rsidRPr="00765F6E">
              <w:rPr>
                <w:rFonts w:ascii="宋体" w:hAnsi="宋体" w:hint="eastAsia"/>
                <w:sz w:val="18"/>
                <w:szCs w:val="18"/>
                <w:vertAlign w:val="superscript"/>
              </w:rPr>
              <w:t>2</w:t>
            </w:r>
            <w:r w:rsidRPr="00765F6E">
              <w:rPr>
                <w:rFonts w:ascii="宋体" w:hAnsi="宋体" w:hint="eastAsia"/>
                <w:sz w:val="18"/>
                <w:szCs w:val="18"/>
              </w:rPr>
              <w:t>接触线</w:t>
            </w:r>
          </w:p>
        </w:tc>
      </w:tr>
      <w:tr w:rsidR="00737EB2" w:rsidRPr="00765F6E" w14:paraId="1D41B617" w14:textId="77777777" w:rsidTr="00871D47">
        <w:trPr>
          <w:trHeight w:val="176"/>
        </w:trPr>
        <w:tc>
          <w:tcPr>
            <w:tcW w:w="4175" w:type="dxa"/>
            <w:tcBorders>
              <w:top w:val="single" w:sz="8" w:space="0" w:color="auto"/>
            </w:tcBorders>
            <w:shd w:val="clear" w:color="auto" w:fill="auto"/>
            <w:vAlign w:val="center"/>
          </w:tcPr>
          <w:p w14:paraId="560B97C7" w14:textId="4C6A6F21"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sz w:val="18"/>
                <w:szCs w:val="18"/>
              </w:rPr>
              <w:t>100</w:t>
            </w:r>
          </w:p>
        </w:tc>
        <w:tc>
          <w:tcPr>
            <w:tcW w:w="2551" w:type="dxa"/>
            <w:tcBorders>
              <w:top w:val="single" w:sz="8" w:space="0" w:color="auto"/>
            </w:tcBorders>
            <w:shd w:val="clear" w:color="auto" w:fill="auto"/>
            <w:vAlign w:val="center"/>
          </w:tcPr>
          <w:p w14:paraId="15CA8A35"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10</w:t>
            </w:r>
          </w:p>
        </w:tc>
        <w:tc>
          <w:tcPr>
            <w:tcW w:w="2618" w:type="dxa"/>
            <w:tcBorders>
              <w:top w:val="single" w:sz="8" w:space="0" w:color="auto"/>
            </w:tcBorders>
            <w:shd w:val="clear" w:color="auto" w:fill="auto"/>
            <w:vAlign w:val="center"/>
          </w:tcPr>
          <w:p w14:paraId="1624CFB9"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10</w:t>
            </w:r>
          </w:p>
        </w:tc>
      </w:tr>
      <w:tr w:rsidR="00402877" w:rsidRPr="00765F6E" w14:paraId="6DD27917" w14:textId="77777777" w:rsidTr="00871D47">
        <w:trPr>
          <w:trHeight w:val="176"/>
        </w:trPr>
        <w:tc>
          <w:tcPr>
            <w:tcW w:w="4175" w:type="dxa"/>
            <w:tcBorders>
              <w:top w:val="single" w:sz="8" w:space="0" w:color="auto"/>
            </w:tcBorders>
            <w:shd w:val="clear" w:color="auto" w:fill="auto"/>
            <w:vAlign w:val="center"/>
          </w:tcPr>
          <w:p w14:paraId="6C773649" w14:textId="15E8B3C1" w:rsidR="00402877" w:rsidRPr="00765F6E" w:rsidRDefault="00402877" w:rsidP="00402877">
            <w:pPr>
              <w:spacing w:line="240" w:lineRule="exact"/>
              <w:jc w:val="center"/>
              <w:textAlignment w:val="center"/>
              <w:rPr>
                <w:rFonts w:ascii="宋体" w:hAnsi="宋体"/>
                <w:sz w:val="18"/>
                <w:szCs w:val="18"/>
              </w:rPr>
            </w:pPr>
            <w:r w:rsidRPr="00765F6E">
              <w:rPr>
                <w:rFonts w:ascii="宋体" w:hAnsi="宋体" w:hint="eastAsia"/>
                <w:sz w:val="18"/>
                <w:szCs w:val="18"/>
              </w:rPr>
              <w:t>120</w:t>
            </w:r>
          </w:p>
        </w:tc>
        <w:tc>
          <w:tcPr>
            <w:tcW w:w="2551" w:type="dxa"/>
            <w:tcBorders>
              <w:top w:val="single" w:sz="8" w:space="0" w:color="auto"/>
            </w:tcBorders>
            <w:shd w:val="clear" w:color="auto" w:fill="auto"/>
            <w:vAlign w:val="center"/>
          </w:tcPr>
          <w:p w14:paraId="346A7745" w14:textId="30BDD2D4" w:rsidR="00402877" w:rsidRPr="00765F6E" w:rsidRDefault="00402877" w:rsidP="00402877">
            <w:pPr>
              <w:spacing w:line="240" w:lineRule="exact"/>
              <w:jc w:val="center"/>
              <w:textAlignment w:val="center"/>
              <w:rPr>
                <w:rFonts w:ascii="宋体" w:hAnsi="宋体"/>
                <w:sz w:val="18"/>
                <w:szCs w:val="18"/>
              </w:rPr>
            </w:pPr>
            <w:r w:rsidRPr="00765F6E">
              <w:rPr>
                <w:rFonts w:ascii="宋体" w:hAnsi="宋体" w:hint="eastAsia"/>
                <w:sz w:val="18"/>
                <w:szCs w:val="18"/>
              </w:rPr>
              <w:t>10</w:t>
            </w:r>
          </w:p>
        </w:tc>
        <w:tc>
          <w:tcPr>
            <w:tcW w:w="2618" w:type="dxa"/>
            <w:tcBorders>
              <w:top w:val="single" w:sz="8" w:space="0" w:color="auto"/>
            </w:tcBorders>
            <w:shd w:val="clear" w:color="auto" w:fill="auto"/>
            <w:vAlign w:val="center"/>
          </w:tcPr>
          <w:p w14:paraId="736E6981" w14:textId="7D4DDB97" w:rsidR="00402877" w:rsidRPr="00765F6E" w:rsidRDefault="00402877" w:rsidP="00402877">
            <w:pPr>
              <w:spacing w:line="240" w:lineRule="exact"/>
              <w:jc w:val="center"/>
              <w:textAlignment w:val="center"/>
              <w:rPr>
                <w:rFonts w:ascii="宋体" w:hAnsi="宋体"/>
                <w:sz w:val="18"/>
                <w:szCs w:val="18"/>
              </w:rPr>
            </w:pPr>
            <w:r w:rsidRPr="00765F6E">
              <w:rPr>
                <w:rFonts w:ascii="宋体" w:hAnsi="宋体" w:hint="eastAsia"/>
                <w:sz w:val="18"/>
                <w:szCs w:val="18"/>
              </w:rPr>
              <w:t>10</w:t>
            </w:r>
          </w:p>
        </w:tc>
      </w:tr>
      <w:tr w:rsidR="00402877" w:rsidRPr="00765F6E" w14:paraId="29FB325A" w14:textId="77777777" w:rsidTr="00871D47">
        <w:trPr>
          <w:trHeight w:val="176"/>
        </w:trPr>
        <w:tc>
          <w:tcPr>
            <w:tcW w:w="4175" w:type="dxa"/>
            <w:tcBorders>
              <w:top w:val="single" w:sz="8" w:space="0" w:color="auto"/>
            </w:tcBorders>
            <w:shd w:val="clear" w:color="auto" w:fill="auto"/>
            <w:vAlign w:val="center"/>
          </w:tcPr>
          <w:p w14:paraId="30B1A908" w14:textId="076A9210" w:rsidR="00402877" w:rsidRPr="00765F6E" w:rsidRDefault="00402877" w:rsidP="00871D47">
            <w:pPr>
              <w:spacing w:line="240" w:lineRule="exact"/>
              <w:jc w:val="center"/>
              <w:textAlignment w:val="center"/>
              <w:rPr>
                <w:rFonts w:ascii="宋体" w:hAnsi="宋体"/>
                <w:sz w:val="18"/>
                <w:szCs w:val="18"/>
              </w:rPr>
            </w:pPr>
            <w:r>
              <w:rPr>
                <w:rFonts w:ascii="宋体" w:hAnsi="宋体" w:hint="eastAsia"/>
                <w:sz w:val="18"/>
                <w:szCs w:val="18"/>
              </w:rPr>
              <w:t>1</w:t>
            </w:r>
            <w:r>
              <w:rPr>
                <w:rFonts w:ascii="宋体" w:hAnsi="宋体"/>
                <w:sz w:val="18"/>
                <w:szCs w:val="18"/>
              </w:rPr>
              <w:t>40</w:t>
            </w:r>
          </w:p>
        </w:tc>
        <w:tc>
          <w:tcPr>
            <w:tcW w:w="2551" w:type="dxa"/>
            <w:tcBorders>
              <w:top w:val="single" w:sz="8" w:space="0" w:color="auto"/>
            </w:tcBorders>
            <w:shd w:val="clear" w:color="auto" w:fill="auto"/>
            <w:vAlign w:val="center"/>
          </w:tcPr>
          <w:p w14:paraId="2AAE56C6" w14:textId="654039E7" w:rsidR="00402877" w:rsidRPr="00765F6E" w:rsidRDefault="00402877" w:rsidP="00871D47">
            <w:pPr>
              <w:spacing w:line="240" w:lineRule="exact"/>
              <w:jc w:val="center"/>
              <w:textAlignment w:val="center"/>
              <w:rPr>
                <w:rFonts w:ascii="宋体" w:hAnsi="宋体"/>
                <w:sz w:val="18"/>
                <w:szCs w:val="18"/>
              </w:rPr>
            </w:pPr>
            <w:r>
              <w:rPr>
                <w:rFonts w:ascii="宋体" w:hAnsi="宋体" w:hint="eastAsia"/>
                <w:sz w:val="18"/>
                <w:szCs w:val="18"/>
              </w:rPr>
              <w:t>1</w:t>
            </w:r>
            <w:r>
              <w:rPr>
                <w:rFonts w:ascii="宋体" w:hAnsi="宋体"/>
                <w:sz w:val="18"/>
                <w:szCs w:val="18"/>
              </w:rPr>
              <w:t>3</w:t>
            </w:r>
          </w:p>
        </w:tc>
        <w:tc>
          <w:tcPr>
            <w:tcW w:w="2618" w:type="dxa"/>
            <w:tcBorders>
              <w:top w:val="single" w:sz="8" w:space="0" w:color="auto"/>
            </w:tcBorders>
            <w:shd w:val="clear" w:color="auto" w:fill="auto"/>
            <w:vAlign w:val="center"/>
          </w:tcPr>
          <w:p w14:paraId="7D43B81D" w14:textId="71A6CF7E" w:rsidR="00402877" w:rsidRPr="00765F6E" w:rsidRDefault="00402877" w:rsidP="00871D47">
            <w:pPr>
              <w:spacing w:line="240" w:lineRule="exact"/>
              <w:jc w:val="center"/>
              <w:textAlignment w:val="center"/>
              <w:rPr>
                <w:rFonts w:ascii="宋体" w:hAnsi="宋体"/>
                <w:sz w:val="18"/>
                <w:szCs w:val="18"/>
              </w:rPr>
            </w:pPr>
            <w:r>
              <w:rPr>
                <w:rFonts w:ascii="宋体" w:hAnsi="宋体" w:hint="eastAsia"/>
                <w:sz w:val="18"/>
                <w:szCs w:val="18"/>
              </w:rPr>
              <w:t>1</w:t>
            </w:r>
            <w:r>
              <w:rPr>
                <w:rFonts w:ascii="宋体" w:hAnsi="宋体"/>
                <w:sz w:val="18"/>
                <w:szCs w:val="18"/>
              </w:rPr>
              <w:t>3</w:t>
            </w:r>
          </w:p>
        </w:tc>
      </w:tr>
      <w:tr w:rsidR="00737EB2" w:rsidRPr="00765F6E" w14:paraId="5D62A0E6" w14:textId="77777777" w:rsidTr="00871D47">
        <w:trPr>
          <w:trHeight w:val="176"/>
        </w:trPr>
        <w:tc>
          <w:tcPr>
            <w:tcW w:w="4175" w:type="dxa"/>
            <w:shd w:val="clear" w:color="auto" w:fill="auto"/>
            <w:vAlign w:val="center"/>
          </w:tcPr>
          <w:p w14:paraId="7CF34793"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160</w:t>
            </w:r>
          </w:p>
        </w:tc>
        <w:tc>
          <w:tcPr>
            <w:tcW w:w="2551" w:type="dxa"/>
            <w:shd w:val="clear" w:color="auto" w:fill="auto"/>
            <w:vAlign w:val="center"/>
          </w:tcPr>
          <w:p w14:paraId="1C0DCD96"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13</w:t>
            </w:r>
          </w:p>
        </w:tc>
        <w:tc>
          <w:tcPr>
            <w:tcW w:w="2618" w:type="dxa"/>
            <w:shd w:val="clear" w:color="auto" w:fill="auto"/>
            <w:vAlign w:val="center"/>
          </w:tcPr>
          <w:p w14:paraId="5894BEA5"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13</w:t>
            </w:r>
          </w:p>
        </w:tc>
      </w:tr>
    </w:tbl>
    <w:p w14:paraId="5B3B282F" w14:textId="77777777" w:rsidR="006570DB" w:rsidRDefault="006570DB" w:rsidP="006570DB">
      <w:pPr>
        <w:pStyle w:val="af6"/>
        <w:numPr>
          <w:ilvl w:val="0"/>
          <w:numId w:val="0"/>
        </w:numPr>
        <w:snapToGrid w:val="0"/>
        <w:ind w:left="851" w:hanging="426"/>
        <w:contextualSpacing/>
      </w:pPr>
    </w:p>
    <w:p w14:paraId="5901DB73" w14:textId="71B22B7C" w:rsidR="00737EB2" w:rsidRPr="00765F6E" w:rsidRDefault="00737EB2" w:rsidP="003334F3">
      <w:pPr>
        <w:pStyle w:val="af6"/>
        <w:numPr>
          <w:ilvl w:val="0"/>
          <w:numId w:val="159"/>
        </w:numPr>
        <w:tabs>
          <w:tab w:val="left" w:pos="851"/>
        </w:tabs>
        <w:snapToGrid w:val="0"/>
        <w:contextualSpacing/>
      </w:pPr>
      <w:r w:rsidRPr="00765F6E">
        <w:rPr>
          <w:rFonts w:hint="eastAsia"/>
        </w:rPr>
        <w:t>柔性悬挂承力索应采用铜合金绞线，承力索的张力应根据接触网的跨距、结构高度、吊弦形式等因素综合确定</w:t>
      </w:r>
      <w:r w:rsidR="00CB40C5">
        <w:rPr>
          <w:rFonts w:hint="eastAsia"/>
        </w:rPr>
        <w:t>。</w:t>
      </w:r>
    </w:p>
    <w:p w14:paraId="374CAE82" w14:textId="02D47B8A" w:rsidR="00737EB2" w:rsidRPr="00765F6E" w:rsidRDefault="00737EB2" w:rsidP="003334F3">
      <w:pPr>
        <w:pStyle w:val="af6"/>
        <w:numPr>
          <w:ilvl w:val="0"/>
          <w:numId w:val="159"/>
        </w:numPr>
        <w:tabs>
          <w:tab w:val="left" w:pos="851"/>
        </w:tabs>
        <w:snapToGrid w:val="0"/>
        <w:contextualSpacing/>
      </w:pPr>
      <w:r w:rsidRPr="00765F6E">
        <w:rPr>
          <w:rFonts w:hint="eastAsia"/>
        </w:rPr>
        <w:t>刚性悬挂宜采用π型铝合金汇流排夹持接触线</w:t>
      </w:r>
      <w:r w:rsidR="00CB40C5">
        <w:rPr>
          <w:rFonts w:hint="eastAsia"/>
        </w:rPr>
        <w:t>。</w:t>
      </w:r>
    </w:p>
    <w:p w14:paraId="13CF8201" w14:textId="77777777" w:rsidR="00737EB2" w:rsidRPr="00765F6E" w:rsidRDefault="00737EB2" w:rsidP="003334F3">
      <w:pPr>
        <w:pStyle w:val="af6"/>
        <w:numPr>
          <w:ilvl w:val="0"/>
          <w:numId w:val="159"/>
        </w:numPr>
        <w:tabs>
          <w:tab w:val="left" w:pos="851"/>
        </w:tabs>
        <w:snapToGrid w:val="0"/>
        <w:contextualSpacing/>
      </w:pPr>
      <w:r w:rsidRPr="00765F6E">
        <w:rPr>
          <w:rFonts w:hint="eastAsia"/>
        </w:rPr>
        <w:t>接触线工作支悬挂点高度应根据车辆限界、空气绝缘距离、冰荷载及温度变化、工务维修、施工误差和受电弓工作范围等因素确定；</w:t>
      </w:r>
    </w:p>
    <w:p w14:paraId="1ABB0C80" w14:textId="1AACE0C3" w:rsidR="00737EB2" w:rsidRPr="00765F6E" w:rsidRDefault="00737EB2" w:rsidP="00D12EC7">
      <w:pPr>
        <w:pStyle w:val="af7"/>
        <w:tabs>
          <w:tab w:val="left" w:pos="851"/>
          <w:tab w:val="left" w:pos="1276"/>
        </w:tabs>
      </w:pPr>
      <w:r w:rsidRPr="00765F6E">
        <w:rPr>
          <w:rFonts w:hint="eastAsia"/>
        </w:rPr>
        <w:t>柔性悬挂接触线高度变化的最大坡度及坡度变化率应满足表</w:t>
      </w:r>
      <w:r w:rsidR="00B66CDF">
        <w:t>79</w:t>
      </w:r>
      <w:r w:rsidRPr="00765F6E">
        <w:rPr>
          <w:rFonts w:hint="eastAsia"/>
        </w:rPr>
        <w:t>的要求；</w:t>
      </w:r>
    </w:p>
    <w:p w14:paraId="14DB3D74" w14:textId="67BD6AA5" w:rsidR="00737EB2" w:rsidRPr="00765F6E" w:rsidRDefault="00737EB2" w:rsidP="00737EB2">
      <w:pPr>
        <w:pStyle w:val="aff3"/>
        <w:spacing w:before="156" w:after="156"/>
      </w:pPr>
      <w:r w:rsidRPr="00765F6E">
        <w:rPr>
          <w:rFonts w:hint="eastAsia"/>
        </w:rPr>
        <w:lastRenderedPageBreak/>
        <w:t>柔性悬挂接触线最大坡度及坡度变化表</w:t>
      </w:r>
    </w:p>
    <w:tbl>
      <w:tblPr>
        <w:tblW w:w="9344"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68"/>
        <w:gridCol w:w="2742"/>
        <w:gridCol w:w="4134"/>
      </w:tblGrid>
      <w:tr w:rsidR="00737EB2" w:rsidRPr="00765F6E" w14:paraId="5B1B9A37" w14:textId="77777777" w:rsidTr="00871D47">
        <w:trPr>
          <w:trHeight w:val="176"/>
        </w:trPr>
        <w:tc>
          <w:tcPr>
            <w:tcW w:w="2468" w:type="dxa"/>
            <w:tcBorders>
              <w:top w:val="single" w:sz="8" w:space="0" w:color="auto"/>
              <w:bottom w:val="single" w:sz="8" w:space="0" w:color="auto"/>
            </w:tcBorders>
            <w:shd w:val="clear" w:color="auto" w:fill="auto"/>
            <w:vAlign w:val="center"/>
          </w:tcPr>
          <w:p w14:paraId="39D15266" w14:textId="77777777" w:rsidR="00737EB2" w:rsidRPr="00765F6E" w:rsidRDefault="00737EB2" w:rsidP="00871D47">
            <w:pPr>
              <w:spacing w:line="240" w:lineRule="exact"/>
              <w:jc w:val="center"/>
              <w:textAlignment w:val="center"/>
              <w:rPr>
                <w:rFonts w:ascii="宋体" w:hAnsi="宋体"/>
                <w:sz w:val="18"/>
                <w:szCs w:val="18"/>
              </w:rPr>
            </w:pPr>
            <w:r w:rsidRPr="00765F6E">
              <w:rPr>
                <w:rFonts w:ascii="宋体" w:hAnsi="宋体" w:hint="eastAsia"/>
                <w:sz w:val="18"/>
                <w:szCs w:val="18"/>
              </w:rPr>
              <w:t>时速/（km/h）</w:t>
            </w:r>
          </w:p>
        </w:tc>
        <w:tc>
          <w:tcPr>
            <w:tcW w:w="2742" w:type="dxa"/>
            <w:tcBorders>
              <w:top w:val="single" w:sz="8" w:space="0" w:color="auto"/>
              <w:bottom w:val="single" w:sz="8" w:space="0" w:color="auto"/>
            </w:tcBorders>
            <w:shd w:val="clear" w:color="auto" w:fill="auto"/>
            <w:vAlign w:val="center"/>
          </w:tcPr>
          <w:p w14:paraId="2E52E2EE"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最大坡度/‰</w:t>
            </w:r>
          </w:p>
        </w:tc>
        <w:tc>
          <w:tcPr>
            <w:tcW w:w="4134" w:type="dxa"/>
            <w:tcBorders>
              <w:top w:val="single" w:sz="8" w:space="0" w:color="auto"/>
              <w:bottom w:val="single" w:sz="8" w:space="0" w:color="auto"/>
            </w:tcBorders>
            <w:shd w:val="clear" w:color="auto" w:fill="auto"/>
            <w:vAlign w:val="center"/>
          </w:tcPr>
          <w:p w14:paraId="3CD89010"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坡度变化最大值/‰</w:t>
            </w:r>
          </w:p>
        </w:tc>
      </w:tr>
      <w:tr w:rsidR="00737EB2" w:rsidRPr="00765F6E" w14:paraId="2F976611" w14:textId="77777777" w:rsidTr="00871D47">
        <w:trPr>
          <w:trHeight w:val="176"/>
        </w:trPr>
        <w:tc>
          <w:tcPr>
            <w:tcW w:w="2468" w:type="dxa"/>
            <w:tcBorders>
              <w:top w:val="single" w:sz="8" w:space="0" w:color="auto"/>
            </w:tcBorders>
            <w:shd w:val="clear" w:color="auto" w:fill="auto"/>
            <w:vAlign w:val="center"/>
          </w:tcPr>
          <w:p w14:paraId="4CF8191B"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50</w:t>
            </w:r>
          </w:p>
        </w:tc>
        <w:tc>
          <w:tcPr>
            <w:tcW w:w="2742" w:type="dxa"/>
            <w:tcBorders>
              <w:top w:val="single" w:sz="8" w:space="0" w:color="auto"/>
            </w:tcBorders>
            <w:shd w:val="clear" w:color="auto" w:fill="auto"/>
            <w:vAlign w:val="center"/>
          </w:tcPr>
          <w:p w14:paraId="64E7F494"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25</w:t>
            </w:r>
          </w:p>
        </w:tc>
        <w:tc>
          <w:tcPr>
            <w:tcW w:w="4134" w:type="dxa"/>
            <w:tcBorders>
              <w:top w:val="single" w:sz="8" w:space="0" w:color="auto"/>
            </w:tcBorders>
            <w:shd w:val="clear" w:color="auto" w:fill="auto"/>
            <w:vAlign w:val="center"/>
          </w:tcPr>
          <w:p w14:paraId="319EAE74"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25</w:t>
            </w:r>
          </w:p>
        </w:tc>
      </w:tr>
      <w:tr w:rsidR="00737EB2" w:rsidRPr="00765F6E" w14:paraId="10CE9606" w14:textId="77777777" w:rsidTr="00871D47">
        <w:trPr>
          <w:trHeight w:val="176"/>
        </w:trPr>
        <w:tc>
          <w:tcPr>
            <w:tcW w:w="2468" w:type="dxa"/>
            <w:shd w:val="clear" w:color="auto" w:fill="auto"/>
            <w:vAlign w:val="center"/>
          </w:tcPr>
          <w:p w14:paraId="5E33706B"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60</w:t>
            </w:r>
          </w:p>
        </w:tc>
        <w:tc>
          <w:tcPr>
            <w:tcW w:w="2742" w:type="dxa"/>
            <w:shd w:val="clear" w:color="auto" w:fill="auto"/>
            <w:vAlign w:val="center"/>
          </w:tcPr>
          <w:p w14:paraId="766C9554"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20</w:t>
            </w:r>
          </w:p>
        </w:tc>
        <w:tc>
          <w:tcPr>
            <w:tcW w:w="4134" w:type="dxa"/>
            <w:shd w:val="clear" w:color="auto" w:fill="auto"/>
            <w:vAlign w:val="center"/>
          </w:tcPr>
          <w:p w14:paraId="3EA9BD43"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10</w:t>
            </w:r>
          </w:p>
        </w:tc>
      </w:tr>
      <w:tr w:rsidR="00737EB2" w:rsidRPr="00765F6E" w14:paraId="0EA658CC" w14:textId="77777777" w:rsidTr="00871D47">
        <w:trPr>
          <w:trHeight w:val="176"/>
        </w:trPr>
        <w:tc>
          <w:tcPr>
            <w:tcW w:w="2468" w:type="dxa"/>
            <w:shd w:val="clear" w:color="auto" w:fill="auto"/>
            <w:vAlign w:val="center"/>
          </w:tcPr>
          <w:p w14:paraId="605E201F"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100</w:t>
            </w:r>
          </w:p>
        </w:tc>
        <w:tc>
          <w:tcPr>
            <w:tcW w:w="2742" w:type="dxa"/>
            <w:shd w:val="clear" w:color="auto" w:fill="auto"/>
            <w:vAlign w:val="center"/>
          </w:tcPr>
          <w:p w14:paraId="16032B18"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6</w:t>
            </w:r>
          </w:p>
        </w:tc>
        <w:tc>
          <w:tcPr>
            <w:tcW w:w="4134" w:type="dxa"/>
            <w:shd w:val="clear" w:color="auto" w:fill="auto"/>
            <w:vAlign w:val="center"/>
          </w:tcPr>
          <w:p w14:paraId="1298E56E"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3</w:t>
            </w:r>
          </w:p>
        </w:tc>
      </w:tr>
      <w:tr w:rsidR="00737EB2" w:rsidRPr="00765F6E" w14:paraId="28E04A80" w14:textId="77777777" w:rsidTr="00871D47">
        <w:trPr>
          <w:trHeight w:val="176"/>
        </w:trPr>
        <w:tc>
          <w:tcPr>
            <w:tcW w:w="2468" w:type="dxa"/>
            <w:shd w:val="clear" w:color="auto" w:fill="auto"/>
            <w:vAlign w:val="center"/>
          </w:tcPr>
          <w:p w14:paraId="1EA9478E"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120</w:t>
            </w:r>
          </w:p>
        </w:tc>
        <w:tc>
          <w:tcPr>
            <w:tcW w:w="2742" w:type="dxa"/>
            <w:shd w:val="clear" w:color="auto" w:fill="auto"/>
            <w:vAlign w:val="center"/>
          </w:tcPr>
          <w:p w14:paraId="5F2AC3F6"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4</w:t>
            </w:r>
          </w:p>
        </w:tc>
        <w:tc>
          <w:tcPr>
            <w:tcW w:w="4134" w:type="dxa"/>
            <w:shd w:val="clear" w:color="auto" w:fill="auto"/>
            <w:vAlign w:val="center"/>
          </w:tcPr>
          <w:p w14:paraId="06ACA91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w:t>
            </w:r>
          </w:p>
        </w:tc>
      </w:tr>
      <w:tr w:rsidR="00402877" w:rsidRPr="00765F6E" w14:paraId="4C8631B1" w14:textId="77777777" w:rsidTr="00871D47">
        <w:trPr>
          <w:trHeight w:val="176"/>
        </w:trPr>
        <w:tc>
          <w:tcPr>
            <w:tcW w:w="2468" w:type="dxa"/>
            <w:shd w:val="clear" w:color="auto" w:fill="auto"/>
            <w:vAlign w:val="center"/>
          </w:tcPr>
          <w:p w14:paraId="07030931" w14:textId="1A1F2B68" w:rsidR="00402877" w:rsidRPr="00765F6E" w:rsidRDefault="00402877" w:rsidP="00402877">
            <w:pPr>
              <w:spacing w:line="240" w:lineRule="auto"/>
              <w:jc w:val="center"/>
              <w:textAlignment w:val="center"/>
              <w:rPr>
                <w:rFonts w:ascii="宋体" w:hAnsi="宋体"/>
                <w:sz w:val="18"/>
                <w:szCs w:val="18"/>
              </w:rPr>
            </w:pPr>
            <w:r>
              <w:rPr>
                <w:rFonts w:ascii="宋体" w:hAnsi="宋体" w:hint="eastAsia"/>
                <w:sz w:val="18"/>
                <w:szCs w:val="18"/>
              </w:rPr>
              <w:t>1</w:t>
            </w:r>
            <w:r>
              <w:rPr>
                <w:rFonts w:ascii="宋体" w:hAnsi="宋体"/>
                <w:sz w:val="18"/>
                <w:szCs w:val="18"/>
              </w:rPr>
              <w:t>40</w:t>
            </w:r>
          </w:p>
        </w:tc>
        <w:tc>
          <w:tcPr>
            <w:tcW w:w="2742" w:type="dxa"/>
            <w:shd w:val="clear" w:color="auto" w:fill="auto"/>
            <w:vAlign w:val="center"/>
          </w:tcPr>
          <w:p w14:paraId="1A844544" w14:textId="7F609117" w:rsidR="00402877" w:rsidRPr="00402877" w:rsidRDefault="00402877" w:rsidP="00402877">
            <w:pPr>
              <w:spacing w:line="240" w:lineRule="auto"/>
              <w:jc w:val="center"/>
              <w:textAlignment w:val="center"/>
              <w:rPr>
                <w:rFonts w:ascii="宋体" w:hAnsi="宋体"/>
                <w:sz w:val="18"/>
                <w:szCs w:val="18"/>
              </w:rPr>
            </w:pPr>
            <w:r w:rsidRPr="00453DBE">
              <w:rPr>
                <w:rFonts w:ascii="宋体" w:hAnsi="宋体"/>
                <w:sz w:val="18"/>
                <w:szCs w:val="18"/>
              </w:rPr>
              <w:t>3.3</w:t>
            </w:r>
          </w:p>
        </w:tc>
        <w:tc>
          <w:tcPr>
            <w:tcW w:w="4134" w:type="dxa"/>
            <w:shd w:val="clear" w:color="auto" w:fill="auto"/>
            <w:vAlign w:val="center"/>
          </w:tcPr>
          <w:p w14:paraId="5F61F879" w14:textId="36AB11C6" w:rsidR="00402877" w:rsidRPr="00402877" w:rsidRDefault="00402877" w:rsidP="00402877">
            <w:pPr>
              <w:spacing w:line="240" w:lineRule="auto"/>
              <w:jc w:val="center"/>
              <w:textAlignment w:val="center"/>
              <w:rPr>
                <w:rFonts w:ascii="宋体" w:hAnsi="宋体"/>
                <w:sz w:val="18"/>
                <w:szCs w:val="18"/>
              </w:rPr>
            </w:pPr>
            <w:r w:rsidRPr="00453DBE">
              <w:rPr>
                <w:rFonts w:ascii="宋体" w:hAnsi="宋体"/>
                <w:sz w:val="18"/>
                <w:szCs w:val="18"/>
              </w:rPr>
              <w:t>1.7</w:t>
            </w:r>
          </w:p>
        </w:tc>
      </w:tr>
      <w:tr w:rsidR="00737EB2" w:rsidRPr="00765F6E" w14:paraId="67F85B7B" w14:textId="77777777" w:rsidTr="00871D47">
        <w:trPr>
          <w:trHeight w:val="176"/>
        </w:trPr>
        <w:tc>
          <w:tcPr>
            <w:tcW w:w="2468" w:type="dxa"/>
            <w:shd w:val="clear" w:color="auto" w:fill="auto"/>
            <w:vAlign w:val="center"/>
          </w:tcPr>
          <w:p w14:paraId="3F96D43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160</w:t>
            </w:r>
          </w:p>
        </w:tc>
        <w:tc>
          <w:tcPr>
            <w:tcW w:w="2742" w:type="dxa"/>
            <w:shd w:val="clear" w:color="auto" w:fill="auto"/>
            <w:vAlign w:val="center"/>
          </w:tcPr>
          <w:p w14:paraId="1858E36E"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3.3</w:t>
            </w:r>
          </w:p>
        </w:tc>
        <w:tc>
          <w:tcPr>
            <w:tcW w:w="4134" w:type="dxa"/>
            <w:shd w:val="clear" w:color="auto" w:fill="auto"/>
            <w:vAlign w:val="center"/>
          </w:tcPr>
          <w:p w14:paraId="2519C070"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1.7</w:t>
            </w:r>
          </w:p>
        </w:tc>
      </w:tr>
    </w:tbl>
    <w:p w14:paraId="2FDFCA3F" w14:textId="77777777" w:rsidR="00737EB2" w:rsidRPr="00765F6E" w:rsidRDefault="00737EB2" w:rsidP="00737EB2">
      <w:pPr>
        <w:spacing w:line="240" w:lineRule="auto"/>
      </w:pPr>
    </w:p>
    <w:p w14:paraId="375E9520" w14:textId="6C94F36F" w:rsidR="00737EB2" w:rsidRPr="00765F6E" w:rsidRDefault="00737EB2" w:rsidP="00D12EC7">
      <w:pPr>
        <w:pStyle w:val="af7"/>
        <w:tabs>
          <w:tab w:val="left" w:pos="851"/>
          <w:tab w:val="left" w:pos="1276"/>
        </w:tabs>
      </w:pPr>
      <w:r w:rsidRPr="00765F6E">
        <w:rPr>
          <w:rFonts w:hAnsi="宋体" w:hint="eastAsia"/>
          <w:szCs w:val="21"/>
        </w:rPr>
        <w:t>柔性悬挂最短吊弦长度应满足表</w:t>
      </w:r>
      <w:r w:rsidR="001C1F75">
        <w:rPr>
          <w:rFonts w:hAnsi="宋体"/>
          <w:szCs w:val="21"/>
        </w:rPr>
        <w:t>8</w:t>
      </w:r>
      <w:r w:rsidR="00B66CDF">
        <w:rPr>
          <w:rFonts w:hAnsi="宋体"/>
          <w:szCs w:val="21"/>
        </w:rPr>
        <w:t>0</w:t>
      </w:r>
      <w:r w:rsidRPr="00765F6E">
        <w:rPr>
          <w:rFonts w:hAnsi="宋体" w:hint="eastAsia"/>
          <w:szCs w:val="21"/>
        </w:rPr>
        <w:t>的要求；</w:t>
      </w:r>
    </w:p>
    <w:p w14:paraId="428BB5FB" w14:textId="222ACBDD" w:rsidR="00737EB2" w:rsidRPr="00765F6E" w:rsidRDefault="00737EB2" w:rsidP="00737EB2">
      <w:pPr>
        <w:pStyle w:val="aff3"/>
        <w:spacing w:before="156" w:after="156"/>
      </w:pPr>
      <w:r w:rsidRPr="00765F6E">
        <w:rPr>
          <w:rFonts w:hint="eastAsia"/>
        </w:rPr>
        <w:t>柔性悬挂接触线</w:t>
      </w:r>
      <w:r w:rsidR="007601A8" w:rsidRPr="007601A8">
        <w:rPr>
          <w:rFonts w:hint="eastAsia"/>
        </w:rPr>
        <w:t>最短吊弦长度</w:t>
      </w:r>
      <w:r w:rsidRPr="00765F6E">
        <w:rPr>
          <w:rFonts w:hint="eastAsia"/>
        </w:rPr>
        <w:t>表</w:t>
      </w:r>
    </w:p>
    <w:tbl>
      <w:tblPr>
        <w:tblW w:w="9344"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427"/>
        <w:gridCol w:w="4917"/>
      </w:tblGrid>
      <w:tr w:rsidR="00737EB2" w:rsidRPr="00765F6E" w14:paraId="28752751" w14:textId="77777777" w:rsidTr="00871D47">
        <w:trPr>
          <w:trHeight w:val="176"/>
        </w:trPr>
        <w:tc>
          <w:tcPr>
            <w:tcW w:w="4427" w:type="dxa"/>
            <w:tcBorders>
              <w:top w:val="single" w:sz="8" w:space="0" w:color="auto"/>
              <w:bottom w:val="single" w:sz="8" w:space="0" w:color="auto"/>
            </w:tcBorders>
            <w:shd w:val="clear" w:color="auto" w:fill="auto"/>
            <w:vAlign w:val="center"/>
          </w:tcPr>
          <w:p w14:paraId="04D1315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时速/（km/h）</w:t>
            </w:r>
          </w:p>
        </w:tc>
        <w:tc>
          <w:tcPr>
            <w:tcW w:w="4917" w:type="dxa"/>
            <w:tcBorders>
              <w:top w:val="single" w:sz="8" w:space="0" w:color="auto"/>
              <w:bottom w:val="single" w:sz="8" w:space="0" w:color="auto"/>
            </w:tcBorders>
            <w:shd w:val="clear" w:color="auto" w:fill="auto"/>
            <w:vAlign w:val="center"/>
          </w:tcPr>
          <w:p w14:paraId="685F3B5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最短吊弦长度</w:t>
            </w:r>
          </w:p>
        </w:tc>
      </w:tr>
      <w:tr w:rsidR="00737EB2" w:rsidRPr="00765F6E" w14:paraId="66B7F7E2" w14:textId="77777777" w:rsidTr="00871D47">
        <w:trPr>
          <w:trHeight w:val="176"/>
        </w:trPr>
        <w:tc>
          <w:tcPr>
            <w:tcW w:w="4427" w:type="dxa"/>
            <w:tcBorders>
              <w:top w:val="single" w:sz="8" w:space="0" w:color="auto"/>
            </w:tcBorders>
            <w:shd w:val="clear" w:color="auto" w:fill="auto"/>
            <w:vAlign w:val="center"/>
          </w:tcPr>
          <w:p w14:paraId="317221A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100</w:t>
            </w:r>
          </w:p>
        </w:tc>
        <w:tc>
          <w:tcPr>
            <w:tcW w:w="4917" w:type="dxa"/>
            <w:tcBorders>
              <w:top w:val="single" w:sz="8" w:space="0" w:color="auto"/>
            </w:tcBorders>
            <w:shd w:val="clear" w:color="auto" w:fill="auto"/>
            <w:vAlign w:val="center"/>
          </w:tcPr>
          <w:p w14:paraId="028295C2"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300</w:t>
            </w:r>
          </w:p>
        </w:tc>
      </w:tr>
      <w:tr w:rsidR="00737EB2" w:rsidRPr="00765F6E" w14:paraId="3C20A47D" w14:textId="77777777" w:rsidTr="00871D47">
        <w:trPr>
          <w:trHeight w:val="176"/>
        </w:trPr>
        <w:tc>
          <w:tcPr>
            <w:tcW w:w="4427" w:type="dxa"/>
            <w:shd w:val="clear" w:color="auto" w:fill="auto"/>
            <w:vAlign w:val="center"/>
          </w:tcPr>
          <w:p w14:paraId="3AAD9316"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120</w:t>
            </w:r>
          </w:p>
        </w:tc>
        <w:tc>
          <w:tcPr>
            <w:tcW w:w="4917" w:type="dxa"/>
            <w:shd w:val="clear" w:color="auto" w:fill="auto"/>
            <w:vAlign w:val="center"/>
          </w:tcPr>
          <w:p w14:paraId="2FF098BF"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300</w:t>
            </w:r>
          </w:p>
        </w:tc>
      </w:tr>
      <w:tr w:rsidR="009218D2" w:rsidRPr="00765F6E" w14:paraId="6E40CF4F" w14:textId="77777777" w:rsidTr="00871D47">
        <w:trPr>
          <w:trHeight w:val="176"/>
        </w:trPr>
        <w:tc>
          <w:tcPr>
            <w:tcW w:w="4427" w:type="dxa"/>
            <w:shd w:val="clear" w:color="auto" w:fill="auto"/>
            <w:vAlign w:val="center"/>
          </w:tcPr>
          <w:p w14:paraId="3875ECB8" w14:textId="43C993B3" w:rsidR="009218D2" w:rsidRPr="00765F6E" w:rsidRDefault="009218D2" w:rsidP="009218D2">
            <w:pPr>
              <w:spacing w:line="240" w:lineRule="auto"/>
              <w:jc w:val="center"/>
              <w:textAlignment w:val="center"/>
              <w:rPr>
                <w:rFonts w:ascii="宋体" w:hAnsi="宋体"/>
                <w:sz w:val="18"/>
                <w:szCs w:val="18"/>
              </w:rPr>
            </w:pPr>
            <w:r w:rsidRPr="00453DBE">
              <w:rPr>
                <w:rFonts w:ascii="宋体" w:hAnsi="宋体"/>
                <w:sz w:val="18"/>
                <w:szCs w:val="18"/>
              </w:rPr>
              <w:t>140</w:t>
            </w:r>
          </w:p>
        </w:tc>
        <w:tc>
          <w:tcPr>
            <w:tcW w:w="4917" w:type="dxa"/>
            <w:shd w:val="clear" w:color="auto" w:fill="auto"/>
            <w:vAlign w:val="center"/>
          </w:tcPr>
          <w:p w14:paraId="1F07186D" w14:textId="27340748" w:rsidR="009218D2" w:rsidRPr="00765F6E" w:rsidRDefault="009218D2" w:rsidP="009218D2">
            <w:pPr>
              <w:spacing w:line="240" w:lineRule="auto"/>
              <w:jc w:val="center"/>
              <w:textAlignment w:val="center"/>
              <w:rPr>
                <w:rFonts w:ascii="宋体" w:hAnsi="宋体"/>
                <w:sz w:val="18"/>
                <w:szCs w:val="18"/>
              </w:rPr>
            </w:pPr>
            <w:r w:rsidRPr="00453DBE">
              <w:rPr>
                <w:rFonts w:ascii="宋体" w:hAnsi="宋体"/>
                <w:sz w:val="18"/>
                <w:szCs w:val="18"/>
              </w:rPr>
              <w:t>400</w:t>
            </w:r>
          </w:p>
        </w:tc>
      </w:tr>
      <w:tr w:rsidR="009218D2" w:rsidRPr="00765F6E" w14:paraId="2766BF44" w14:textId="77777777" w:rsidTr="00871D47">
        <w:trPr>
          <w:trHeight w:val="176"/>
        </w:trPr>
        <w:tc>
          <w:tcPr>
            <w:tcW w:w="4427" w:type="dxa"/>
            <w:shd w:val="clear" w:color="auto" w:fill="auto"/>
            <w:vAlign w:val="center"/>
          </w:tcPr>
          <w:p w14:paraId="4B5325BA" w14:textId="77777777" w:rsidR="009218D2" w:rsidRPr="00765F6E" w:rsidRDefault="009218D2" w:rsidP="009218D2">
            <w:pPr>
              <w:spacing w:line="240" w:lineRule="auto"/>
              <w:jc w:val="center"/>
              <w:textAlignment w:val="center"/>
              <w:rPr>
                <w:rFonts w:ascii="宋体" w:hAnsi="宋体"/>
                <w:sz w:val="18"/>
                <w:szCs w:val="18"/>
              </w:rPr>
            </w:pPr>
            <w:r w:rsidRPr="00765F6E">
              <w:rPr>
                <w:rFonts w:ascii="宋体" w:hAnsi="宋体" w:hint="eastAsia"/>
                <w:sz w:val="18"/>
                <w:szCs w:val="18"/>
              </w:rPr>
              <w:t>160</w:t>
            </w:r>
          </w:p>
        </w:tc>
        <w:tc>
          <w:tcPr>
            <w:tcW w:w="4917" w:type="dxa"/>
            <w:shd w:val="clear" w:color="auto" w:fill="auto"/>
            <w:vAlign w:val="center"/>
          </w:tcPr>
          <w:p w14:paraId="4FDB3400" w14:textId="77777777" w:rsidR="009218D2" w:rsidRPr="00765F6E" w:rsidRDefault="009218D2" w:rsidP="009218D2">
            <w:pPr>
              <w:spacing w:line="240" w:lineRule="auto"/>
              <w:jc w:val="center"/>
              <w:textAlignment w:val="center"/>
              <w:rPr>
                <w:rFonts w:ascii="宋体" w:hAnsi="宋体"/>
                <w:sz w:val="18"/>
                <w:szCs w:val="18"/>
              </w:rPr>
            </w:pPr>
            <w:r w:rsidRPr="00765F6E">
              <w:rPr>
                <w:rFonts w:ascii="宋体" w:hAnsi="宋体" w:hint="eastAsia"/>
                <w:sz w:val="18"/>
                <w:szCs w:val="18"/>
              </w:rPr>
              <w:t>400</w:t>
            </w:r>
          </w:p>
        </w:tc>
      </w:tr>
      <w:tr w:rsidR="009218D2" w:rsidRPr="00765F6E" w14:paraId="499C9045" w14:textId="77777777" w:rsidTr="00871D47">
        <w:trPr>
          <w:trHeight w:val="176"/>
        </w:trPr>
        <w:tc>
          <w:tcPr>
            <w:tcW w:w="9344" w:type="dxa"/>
            <w:gridSpan w:val="2"/>
            <w:tcBorders>
              <w:top w:val="single" w:sz="8" w:space="0" w:color="auto"/>
              <w:bottom w:val="single" w:sz="8" w:space="0" w:color="auto"/>
            </w:tcBorders>
            <w:shd w:val="clear" w:color="auto" w:fill="auto"/>
            <w:vAlign w:val="center"/>
          </w:tcPr>
          <w:p w14:paraId="6DE6C83C" w14:textId="77777777" w:rsidR="009218D2" w:rsidRPr="00765F6E" w:rsidRDefault="009218D2" w:rsidP="009218D2">
            <w:pPr>
              <w:pStyle w:val="afff2"/>
              <w:ind w:left="584"/>
            </w:pPr>
            <w:r w:rsidRPr="00765F6E">
              <w:t>隧道内及跨线建筑物下最短吊弦长度可根据净空情况酌情减小。</w:t>
            </w:r>
          </w:p>
        </w:tc>
      </w:tr>
    </w:tbl>
    <w:p w14:paraId="16578541" w14:textId="77777777" w:rsidR="00737EB2" w:rsidRPr="00765F6E" w:rsidRDefault="00737EB2" w:rsidP="00737EB2">
      <w:pPr>
        <w:spacing w:line="240" w:lineRule="auto"/>
      </w:pPr>
    </w:p>
    <w:p w14:paraId="369FCE74" w14:textId="0148C33B" w:rsidR="00737EB2" w:rsidRPr="00765F6E" w:rsidRDefault="00737EB2" w:rsidP="00D12EC7">
      <w:pPr>
        <w:pStyle w:val="af7"/>
        <w:tabs>
          <w:tab w:val="left" w:pos="851"/>
          <w:tab w:val="left" w:pos="1276"/>
        </w:tabs>
      </w:pPr>
      <w:r w:rsidRPr="00765F6E">
        <w:rPr>
          <w:rFonts w:hAnsi="宋体" w:hint="eastAsia"/>
          <w:szCs w:val="21"/>
        </w:rPr>
        <w:t>刚性悬挂接触线高度变化的最大坡度及坡度变化率应满足下表</w:t>
      </w:r>
      <w:r w:rsidR="001C1F75">
        <w:rPr>
          <w:rFonts w:hAnsi="宋体"/>
          <w:szCs w:val="21"/>
        </w:rPr>
        <w:t>8</w:t>
      </w:r>
      <w:r w:rsidR="00B66CDF">
        <w:rPr>
          <w:rFonts w:hAnsi="宋体"/>
          <w:szCs w:val="21"/>
        </w:rPr>
        <w:t>1</w:t>
      </w:r>
      <w:r w:rsidRPr="00765F6E">
        <w:rPr>
          <w:rFonts w:hAnsi="宋体" w:hint="eastAsia"/>
          <w:szCs w:val="21"/>
        </w:rPr>
        <w:t>的要求；</w:t>
      </w:r>
    </w:p>
    <w:p w14:paraId="2BC008B1" w14:textId="77777777" w:rsidR="00737EB2" w:rsidRPr="00765F6E" w:rsidRDefault="00737EB2" w:rsidP="00737EB2">
      <w:pPr>
        <w:pStyle w:val="aff3"/>
        <w:spacing w:before="156" w:after="156"/>
      </w:pPr>
      <w:r w:rsidRPr="00765F6E">
        <w:rPr>
          <w:rFonts w:hint="eastAsia"/>
        </w:rPr>
        <w:t>刚性悬挂接触线最大坡度及坡度变化表</w:t>
      </w:r>
    </w:p>
    <w:tbl>
      <w:tblPr>
        <w:tblW w:w="9344"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113"/>
        <w:gridCol w:w="3116"/>
        <w:gridCol w:w="3115"/>
      </w:tblGrid>
      <w:tr w:rsidR="00737EB2" w:rsidRPr="00765F6E" w14:paraId="2E56B353" w14:textId="77777777" w:rsidTr="00871D47">
        <w:trPr>
          <w:trHeight w:val="176"/>
        </w:trPr>
        <w:tc>
          <w:tcPr>
            <w:tcW w:w="3113" w:type="dxa"/>
            <w:tcBorders>
              <w:top w:val="single" w:sz="8" w:space="0" w:color="auto"/>
              <w:bottom w:val="single" w:sz="8" w:space="0" w:color="auto"/>
            </w:tcBorders>
            <w:shd w:val="clear" w:color="auto" w:fill="auto"/>
            <w:vAlign w:val="center"/>
          </w:tcPr>
          <w:p w14:paraId="011A2BE5"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时速/（km/h）</w:t>
            </w:r>
          </w:p>
        </w:tc>
        <w:tc>
          <w:tcPr>
            <w:tcW w:w="3116" w:type="dxa"/>
            <w:tcBorders>
              <w:top w:val="single" w:sz="8" w:space="0" w:color="auto"/>
              <w:bottom w:val="single" w:sz="8" w:space="0" w:color="auto"/>
            </w:tcBorders>
            <w:shd w:val="clear" w:color="auto" w:fill="auto"/>
            <w:vAlign w:val="center"/>
          </w:tcPr>
          <w:p w14:paraId="6412AF81"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最大坡度/‰</w:t>
            </w:r>
          </w:p>
        </w:tc>
        <w:tc>
          <w:tcPr>
            <w:tcW w:w="3115" w:type="dxa"/>
            <w:tcBorders>
              <w:top w:val="single" w:sz="8" w:space="0" w:color="auto"/>
              <w:bottom w:val="single" w:sz="8" w:space="0" w:color="auto"/>
            </w:tcBorders>
            <w:shd w:val="clear" w:color="auto" w:fill="auto"/>
            <w:vAlign w:val="center"/>
          </w:tcPr>
          <w:p w14:paraId="3BE3D45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坡度变化最大值/‰</w:t>
            </w:r>
          </w:p>
        </w:tc>
      </w:tr>
      <w:tr w:rsidR="00737EB2" w:rsidRPr="00765F6E" w14:paraId="4F6643CE" w14:textId="77777777" w:rsidTr="00871D47">
        <w:trPr>
          <w:trHeight w:val="176"/>
        </w:trPr>
        <w:tc>
          <w:tcPr>
            <w:tcW w:w="3113" w:type="dxa"/>
            <w:tcBorders>
              <w:top w:val="single" w:sz="8" w:space="0" w:color="auto"/>
            </w:tcBorders>
            <w:shd w:val="clear" w:color="auto" w:fill="auto"/>
            <w:vAlign w:val="center"/>
          </w:tcPr>
          <w:p w14:paraId="4F2A5231"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≤120</w:t>
            </w:r>
          </w:p>
        </w:tc>
        <w:tc>
          <w:tcPr>
            <w:tcW w:w="3116" w:type="dxa"/>
            <w:tcBorders>
              <w:top w:val="single" w:sz="8" w:space="0" w:color="auto"/>
            </w:tcBorders>
            <w:shd w:val="clear" w:color="auto" w:fill="auto"/>
            <w:vAlign w:val="center"/>
          </w:tcPr>
          <w:p w14:paraId="259FEFE1"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w:t>
            </w:r>
          </w:p>
        </w:tc>
        <w:tc>
          <w:tcPr>
            <w:tcW w:w="3115" w:type="dxa"/>
            <w:tcBorders>
              <w:top w:val="single" w:sz="8" w:space="0" w:color="auto"/>
            </w:tcBorders>
            <w:shd w:val="clear" w:color="auto" w:fill="auto"/>
            <w:vAlign w:val="center"/>
          </w:tcPr>
          <w:p w14:paraId="03C2488F"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0.5</w:t>
            </w:r>
          </w:p>
        </w:tc>
      </w:tr>
      <w:tr w:rsidR="00737EB2" w:rsidRPr="00765F6E" w14:paraId="45620303" w14:textId="77777777" w:rsidTr="00871D47">
        <w:trPr>
          <w:trHeight w:val="176"/>
        </w:trPr>
        <w:tc>
          <w:tcPr>
            <w:tcW w:w="3113" w:type="dxa"/>
            <w:tcBorders>
              <w:bottom w:val="single" w:sz="8" w:space="0" w:color="auto"/>
            </w:tcBorders>
            <w:shd w:val="clear" w:color="auto" w:fill="auto"/>
            <w:vAlign w:val="center"/>
          </w:tcPr>
          <w:p w14:paraId="214415F9"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＞120</w:t>
            </w:r>
          </w:p>
        </w:tc>
        <w:tc>
          <w:tcPr>
            <w:tcW w:w="3116" w:type="dxa"/>
            <w:tcBorders>
              <w:bottom w:val="single" w:sz="8" w:space="0" w:color="auto"/>
            </w:tcBorders>
            <w:shd w:val="clear" w:color="auto" w:fill="auto"/>
            <w:vAlign w:val="center"/>
          </w:tcPr>
          <w:p w14:paraId="4C0BA6A8"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0.5</w:t>
            </w:r>
          </w:p>
        </w:tc>
        <w:tc>
          <w:tcPr>
            <w:tcW w:w="3115" w:type="dxa"/>
            <w:tcBorders>
              <w:bottom w:val="single" w:sz="8" w:space="0" w:color="auto"/>
            </w:tcBorders>
            <w:shd w:val="clear" w:color="auto" w:fill="auto"/>
            <w:vAlign w:val="center"/>
          </w:tcPr>
          <w:p w14:paraId="76055385"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0.25</w:t>
            </w:r>
          </w:p>
        </w:tc>
      </w:tr>
    </w:tbl>
    <w:p w14:paraId="5C1A60EE" w14:textId="77777777" w:rsidR="00737EB2" w:rsidRPr="00765F6E" w:rsidRDefault="00737EB2" w:rsidP="00737EB2">
      <w:pPr>
        <w:spacing w:line="240" w:lineRule="auto"/>
      </w:pPr>
    </w:p>
    <w:p w14:paraId="7B05784D" w14:textId="4090B231" w:rsidR="00737EB2" w:rsidRPr="00765F6E" w:rsidRDefault="00737EB2" w:rsidP="003334F3">
      <w:pPr>
        <w:pStyle w:val="af6"/>
        <w:numPr>
          <w:ilvl w:val="0"/>
          <w:numId w:val="159"/>
        </w:numPr>
        <w:tabs>
          <w:tab w:val="left" w:pos="851"/>
        </w:tabs>
        <w:snapToGrid w:val="0"/>
        <w:contextualSpacing/>
      </w:pPr>
      <w:r w:rsidRPr="00765F6E">
        <w:rPr>
          <w:rFonts w:hint="eastAsia"/>
        </w:rPr>
        <w:t>牵引网设计的强度安全系数应符合TB 10009中相关规定</w:t>
      </w:r>
      <w:r w:rsidR="00CB40C5">
        <w:rPr>
          <w:rFonts w:hint="eastAsia"/>
        </w:rPr>
        <w:t>。</w:t>
      </w:r>
    </w:p>
    <w:p w14:paraId="1BE52D1E" w14:textId="77777777" w:rsidR="00737EB2" w:rsidRPr="00765F6E" w:rsidRDefault="00737EB2" w:rsidP="003334F3">
      <w:pPr>
        <w:pStyle w:val="af6"/>
        <w:numPr>
          <w:ilvl w:val="0"/>
          <w:numId w:val="159"/>
        </w:numPr>
        <w:tabs>
          <w:tab w:val="left" w:pos="851"/>
        </w:tabs>
        <w:snapToGrid w:val="0"/>
        <w:contextualSpacing/>
      </w:pPr>
      <w:r w:rsidRPr="00765F6E">
        <w:rPr>
          <w:rFonts w:hint="eastAsia"/>
        </w:rPr>
        <w:t>架空牵引网跨距符合下列规定：</w:t>
      </w:r>
    </w:p>
    <w:p w14:paraId="42009737" w14:textId="77777777" w:rsidR="00737EB2" w:rsidRPr="00765F6E" w:rsidRDefault="00737EB2" w:rsidP="00D12EC7">
      <w:pPr>
        <w:pStyle w:val="af7"/>
        <w:tabs>
          <w:tab w:val="left" w:pos="851"/>
          <w:tab w:val="left" w:pos="1276"/>
        </w:tabs>
      </w:pPr>
      <w:r w:rsidRPr="00765F6E">
        <w:rPr>
          <w:rFonts w:hint="eastAsia"/>
        </w:rPr>
        <w:t>柔性悬挂接触网跨距应根据悬挂类型、曲线半径、导线最大风偏和运营条件综合确定。简单链形悬挂最大跨距不应大于65m；</w:t>
      </w:r>
    </w:p>
    <w:p w14:paraId="2BB5DF1D" w14:textId="7554278B" w:rsidR="00737EB2" w:rsidRPr="00765F6E" w:rsidRDefault="00737EB2" w:rsidP="00D12EC7">
      <w:pPr>
        <w:pStyle w:val="af7"/>
        <w:tabs>
          <w:tab w:val="left" w:pos="851"/>
          <w:tab w:val="left" w:pos="1276"/>
        </w:tabs>
      </w:pPr>
      <w:r w:rsidRPr="00765F6E">
        <w:rPr>
          <w:rFonts w:hint="eastAsia"/>
        </w:rPr>
        <w:t>刚性悬挂接触网的悬挂点间距应满足汇流排的弛度要求。正线跨距不宜大于10m，曲线区段应根据线路情况适当缩小</w:t>
      </w:r>
      <w:r w:rsidR="00E35D7F">
        <w:rPr>
          <w:rFonts w:hint="eastAsia"/>
        </w:rPr>
        <w:t>。</w:t>
      </w:r>
    </w:p>
    <w:p w14:paraId="7B3D35F8" w14:textId="77777777" w:rsidR="00737EB2" w:rsidRPr="00765F6E" w:rsidRDefault="00737EB2" w:rsidP="003334F3">
      <w:pPr>
        <w:pStyle w:val="af6"/>
        <w:numPr>
          <w:ilvl w:val="0"/>
          <w:numId w:val="159"/>
        </w:numPr>
        <w:tabs>
          <w:tab w:val="left" w:pos="851"/>
        </w:tabs>
        <w:snapToGrid w:val="0"/>
        <w:contextualSpacing/>
      </w:pPr>
      <w:r w:rsidRPr="00765F6E">
        <w:rPr>
          <w:rFonts w:hint="eastAsia"/>
        </w:rPr>
        <w:t>架空接触网的拉出值设计应在运营最大风速及受电弓动态晃动作用下保证接触线始终位于受电弓有效工作范围，并使受电弓磨耗均匀；</w:t>
      </w:r>
    </w:p>
    <w:p w14:paraId="764C7482" w14:textId="77777777" w:rsidR="00737EB2" w:rsidRPr="00765F6E" w:rsidRDefault="00737EB2" w:rsidP="00D12EC7">
      <w:pPr>
        <w:pStyle w:val="af7"/>
        <w:tabs>
          <w:tab w:val="left" w:pos="851"/>
          <w:tab w:val="left" w:pos="1276"/>
        </w:tabs>
      </w:pPr>
      <w:r w:rsidRPr="00765F6E">
        <w:rPr>
          <w:rFonts w:hint="eastAsia"/>
        </w:rPr>
        <w:t>柔性悬挂直线区段宜采用“之”字形布置，有条件时拉出值宜采用±300mm以增加受电弓工作范围，延缓受电弓碳滑板磨耗。小半径曲线区段接触线一般由受电弓中心向外侧拉，并宜使接触线与受电弓中心点的轨迹相割；</w:t>
      </w:r>
    </w:p>
    <w:p w14:paraId="6E1EA486" w14:textId="40E7155C" w:rsidR="00737EB2" w:rsidRPr="00481B19" w:rsidRDefault="00737EB2" w:rsidP="00D12EC7">
      <w:pPr>
        <w:pStyle w:val="af7"/>
        <w:tabs>
          <w:tab w:val="left" w:pos="851"/>
          <w:tab w:val="left" w:pos="1276"/>
        </w:tabs>
      </w:pPr>
      <w:r w:rsidRPr="00481B19">
        <w:rPr>
          <w:rFonts w:hint="eastAsia"/>
        </w:rPr>
        <w:t>刚性悬挂接触网根据线路参数宜采用</w:t>
      </w:r>
      <w:r w:rsidR="00C271B1">
        <w:rPr>
          <w:rFonts w:hint="eastAsia"/>
        </w:rPr>
        <w:t>折线</w:t>
      </w:r>
      <w:r w:rsidRPr="00481B19">
        <w:rPr>
          <w:rFonts w:hint="eastAsia"/>
        </w:rPr>
        <w:t>布置方式。同一锚段内拉出值变化范围宜为0</w:t>
      </w:r>
      <w:r w:rsidR="00396F4E">
        <w:rPr>
          <w:rFonts w:hAnsi="宋体" w:hint="eastAsia"/>
        </w:rPr>
        <w:t>～</w:t>
      </w:r>
      <w:r w:rsidRPr="00481B19">
        <w:rPr>
          <w:rFonts w:hint="eastAsia"/>
        </w:rPr>
        <w:t>±300mm</w:t>
      </w:r>
      <w:r w:rsidR="00E35D7F">
        <w:rPr>
          <w:rFonts w:hint="eastAsia"/>
        </w:rPr>
        <w:t>。</w:t>
      </w:r>
    </w:p>
    <w:p w14:paraId="289A87EA" w14:textId="77777777" w:rsidR="00737EB2" w:rsidRPr="00765F6E" w:rsidRDefault="00737EB2" w:rsidP="003334F3">
      <w:pPr>
        <w:pStyle w:val="af6"/>
        <w:numPr>
          <w:ilvl w:val="0"/>
          <w:numId w:val="159"/>
        </w:numPr>
        <w:tabs>
          <w:tab w:val="left" w:pos="851"/>
        </w:tabs>
        <w:snapToGrid w:val="0"/>
        <w:contextualSpacing/>
      </w:pPr>
      <w:r w:rsidRPr="00765F6E">
        <w:rPr>
          <w:rFonts w:hint="eastAsia"/>
        </w:rPr>
        <w:t>架空接触网锚段长度符合下列规定：</w:t>
      </w:r>
    </w:p>
    <w:p w14:paraId="4B5CF0C0" w14:textId="77777777" w:rsidR="00737EB2" w:rsidRPr="00765F6E" w:rsidRDefault="00737EB2" w:rsidP="00D12EC7">
      <w:pPr>
        <w:pStyle w:val="af7"/>
        <w:tabs>
          <w:tab w:val="left" w:pos="851"/>
          <w:tab w:val="left" w:pos="1276"/>
        </w:tabs>
      </w:pPr>
      <w:r w:rsidRPr="00765F6E">
        <w:rPr>
          <w:rFonts w:hint="eastAsia"/>
        </w:rPr>
        <w:t>柔性悬挂锚段长度应根据补偿的线索张力差、补偿装置的形式及行程等因素确定，接触线及承力索的张力差不应大于其额定张力的10%。接触网锚段关节宜采用四跨形式；</w:t>
      </w:r>
    </w:p>
    <w:p w14:paraId="478CE04C" w14:textId="77777777" w:rsidR="00737EB2" w:rsidRPr="00765F6E" w:rsidRDefault="00737EB2" w:rsidP="00D12EC7">
      <w:pPr>
        <w:pStyle w:val="af7"/>
        <w:tabs>
          <w:tab w:val="left" w:pos="851"/>
          <w:tab w:val="left" w:pos="1276"/>
        </w:tabs>
      </w:pPr>
      <w:r w:rsidRPr="00765F6E">
        <w:rPr>
          <w:rFonts w:hint="eastAsia"/>
        </w:rPr>
        <w:lastRenderedPageBreak/>
        <w:t>刚性悬挂锚段长度应根据环境温度、载流温升、材料线膨胀系数、伸缩要求综合确定。</w:t>
      </w:r>
    </w:p>
    <w:p w14:paraId="0285A8B1" w14:textId="77777777" w:rsidR="00737EB2" w:rsidRPr="00765F6E" w:rsidRDefault="00737EB2" w:rsidP="003334F3">
      <w:pPr>
        <w:pStyle w:val="af6"/>
        <w:numPr>
          <w:ilvl w:val="0"/>
          <w:numId w:val="159"/>
        </w:numPr>
        <w:tabs>
          <w:tab w:val="left" w:pos="851"/>
        </w:tabs>
        <w:snapToGrid w:val="0"/>
        <w:contextualSpacing/>
      </w:pPr>
      <w:r w:rsidRPr="00765F6E">
        <w:rPr>
          <w:rFonts w:hint="eastAsia"/>
        </w:rPr>
        <w:t>架空接触网道岔布置符合下列规定：</w:t>
      </w:r>
    </w:p>
    <w:p w14:paraId="5CA5430D" w14:textId="77777777" w:rsidR="00737EB2" w:rsidRPr="00765F6E" w:rsidRDefault="00737EB2" w:rsidP="00D12EC7">
      <w:pPr>
        <w:pStyle w:val="af7"/>
        <w:tabs>
          <w:tab w:val="left" w:pos="851"/>
          <w:tab w:val="left" w:pos="1276"/>
        </w:tabs>
      </w:pPr>
      <w:r w:rsidRPr="00765F6E">
        <w:rPr>
          <w:rFonts w:hint="eastAsia"/>
        </w:rPr>
        <w:t>柔性接触网道岔处接触线宜采用交叉布置方式。在始触区范围内不应设计除吊弦线夹外的其他线夹或设备零件；</w:t>
      </w:r>
    </w:p>
    <w:p w14:paraId="4B0A1EC5" w14:textId="77777777" w:rsidR="00737EB2" w:rsidRPr="00765F6E" w:rsidRDefault="00737EB2" w:rsidP="00D12EC7">
      <w:pPr>
        <w:pStyle w:val="af7"/>
        <w:tabs>
          <w:tab w:val="left" w:pos="851"/>
          <w:tab w:val="left" w:pos="1276"/>
        </w:tabs>
      </w:pPr>
      <w:r w:rsidRPr="00765F6E">
        <w:rPr>
          <w:rFonts w:hint="eastAsia"/>
        </w:rPr>
        <w:t>刚性悬挂道岔处宜采用机械预弯汇流排。</w:t>
      </w:r>
    </w:p>
    <w:p w14:paraId="5E4B3C43" w14:textId="7C2B30A0" w:rsidR="00737EB2" w:rsidRPr="00765F6E" w:rsidRDefault="00737EB2" w:rsidP="003334F3">
      <w:pPr>
        <w:pStyle w:val="af6"/>
        <w:numPr>
          <w:ilvl w:val="0"/>
          <w:numId w:val="159"/>
        </w:numPr>
        <w:tabs>
          <w:tab w:val="left" w:pos="851"/>
        </w:tabs>
        <w:snapToGrid w:val="0"/>
        <w:contextualSpacing/>
      </w:pPr>
      <w:r w:rsidRPr="00765F6E">
        <w:rPr>
          <w:rFonts w:hint="eastAsia"/>
        </w:rPr>
        <w:t>架空接触网柔性悬挂与刚性悬挂的衔接处应设置刚柔过渡段，形式宜采用切槽式。刚柔过渡段有条件时避免设置在曲线段和变坡点</w:t>
      </w:r>
      <w:r w:rsidR="00CB40C5">
        <w:rPr>
          <w:rFonts w:hint="eastAsia"/>
        </w:rPr>
        <w:t>。</w:t>
      </w:r>
    </w:p>
    <w:p w14:paraId="0753C83C" w14:textId="1FF571E6" w:rsidR="00737EB2" w:rsidRPr="00765F6E" w:rsidRDefault="00737EB2" w:rsidP="003334F3">
      <w:pPr>
        <w:pStyle w:val="af6"/>
        <w:numPr>
          <w:ilvl w:val="0"/>
          <w:numId w:val="159"/>
        </w:numPr>
        <w:tabs>
          <w:tab w:val="left" w:pos="851"/>
        </w:tabs>
        <w:snapToGrid w:val="0"/>
        <w:contextualSpacing/>
      </w:pPr>
      <w:r w:rsidRPr="00765F6E">
        <w:rPr>
          <w:rFonts w:hint="eastAsia"/>
        </w:rPr>
        <w:t>接触网支柱的侧面限界应根据设备限界、线路养护条件、施工误差、结构变形以及接触网支持结构的安装条件等因素由限界专业综合确定。接触网设备除与受电弓直接接触的部件外，均不应侵入设备限界和受电弓动态包络线范围</w:t>
      </w:r>
      <w:r w:rsidR="00CB40C5">
        <w:rPr>
          <w:rFonts w:hint="eastAsia"/>
        </w:rPr>
        <w:t>。</w:t>
      </w:r>
    </w:p>
    <w:p w14:paraId="34355CDF" w14:textId="77777777" w:rsidR="00737EB2" w:rsidRPr="00765F6E" w:rsidRDefault="00737EB2" w:rsidP="003334F3">
      <w:pPr>
        <w:pStyle w:val="af6"/>
        <w:numPr>
          <w:ilvl w:val="0"/>
          <w:numId w:val="159"/>
        </w:numPr>
        <w:tabs>
          <w:tab w:val="left" w:pos="851"/>
        </w:tabs>
        <w:snapToGrid w:val="0"/>
        <w:contextualSpacing/>
      </w:pPr>
      <w:r w:rsidRPr="00765F6E">
        <w:rPr>
          <w:rFonts w:hint="eastAsia"/>
        </w:rPr>
        <w:t>对车站和临近自然景区及城市的线路，接触网支柱及支持结构设计应结合人文、地域等特点，综合考虑与环境协调的景观需求。正线接触网宜采用单腕臂柱形式，站台区宜选用线间立柱、与雨棚柱合架、高架站房吊柱形式，尽量避免在站台上立柱，咽喉区可采用轻型硬横跨或软横跨形式。腕臂柱宜采用H型钢柱、圆柱、锥形柱等形式。</w:t>
      </w:r>
    </w:p>
    <w:p w14:paraId="7E389DE4" w14:textId="77777777" w:rsidR="00737EB2" w:rsidRPr="00765F6E" w:rsidRDefault="00737EB2" w:rsidP="009D0776">
      <w:pPr>
        <w:pStyle w:val="22"/>
      </w:pPr>
      <w:bookmarkStart w:id="2002" w:name="_Toc99792284"/>
      <w:bookmarkStart w:id="2003" w:name="_Toc153291719"/>
      <w:r w:rsidRPr="00765F6E">
        <w:rPr>
          <w:rFonts w:hint="eastAsia"/>
        </w:rPr>
        <w:t>接触轨设计符合下列规定：</w:t>
      </w:r>
      <w:bookmarkEnd w:id="2002"/>
      <w:bookmarkEnd w:id="2003"/>
    </w:p>
    <w:p w14:paraId="5D0E2D96" w14:textId="77777777" w:rsidR="00737EB2" w:rsidRPr="00765F6E" w:rsidRDefault="00737EB2" w:rsidP="003334F3">
      <w:pPr>
        <w:pStyle w:val="af6"/>
        <w:numPr>
          <w:ilvl w:val="0"/>
          <w:numId w:val="160"/>
        </w:numPr>
        <w:tabs>
          <w:tab w:val="left" w:pos="851"/>
        </w:tabs>
        <w:snapToGrid w:val="0"/>
        <w:contextualSpacing/>
      </w:pPr>
      <w:r w:rsidRPr="00765F6E">
        <w:rPr>
          <w:rFonts w:hint="eastAsia"/>
        </w:rPr>
        <w:t xml:space="preserve">接触轨材料及截面的选型应根据远期高峰小时牵引所故障运行模式下载流量及牵引网最低电压要求确定，DC1500V接触轨额定载流量不宜小于3000 A； </w:t>
      </w:r>
    </w:p>
    <w:p w14:paraId="03F7B3C7" w14:textId="30777379" w:rsidR="00737EB2" w:rsidRPr="00765F6E" w:rsidRDefault="00737EB2" w:rsidP="003334F3">
      <w:pPr>
        <w:pStyle w:val="af6"/>
        <w:numPr>
          <w:ilvl w:val="0"/>
          <w:numId w:val="160"/>
        </w:numPr>
        <w:tabs>
          <w:tab w:val="left" w:pos="851"/>
        </w:tabs>
        <w:snapToGrid w:val="0"/>
        <w:contextualSpacing/>
      </w:pPr>
      <w:r w:rsidRPr="00765F6E">
        <w:rPr>
          <w:rFonts w:hint="eastAsia"/>
        </w:rPr>
        <w:t>受流匹配应根据接触轨惯性矩、弹性模量、刚度、受流器静态接触力等进行计算或仿真确定</w:t>
      </w:r>
      <w:r w:rsidR="00E35D7F">
        <w:rPr>
          <w:rFonts w:hint="eastAsia"/>
        </w:rPr>
        <w:t>；</w:t>
      </w:r>
      <w:r w:rsidRPr="00765F6E">
        <w:rPr>
          <w:rFonts w:hint="eastAsia"/>
        </w:rPr>
        <w:t>接触轨的安装位置及安装误差，应根据车辆受流器与接触轨在行车过程中的可靠接触确定；</w:t>
      </w:r>
    </w:p>
    <w:p w14:paraId="50B89C6E" w14:textId="77777777" w:rsidR="00737EB2" w:rsidRPr="00765F6E" w:rsidRDefault="00737EB2" w:rsidP="003334F3">
      <w:pPr>
        <w:pStyle w:val="af6"/>
        <w:numPr>
          <w:ilvl w:val="0"/>
          <w:numId w:val="160"/>
        </w:numPr>
        <w:tabs>
          <w:tab w:val="left" w:pos="851"/>
        </w:tabs>
        <w:snapToGrid w:val="0"/>
        <w:contextualSpacing/>
      </w:pPr>
      <w:r w:rsidRPr="00765F6E">
        <w:rPr>
          <w:rFonts w:hint="eastAsia"/>
        </w:rPr>
        <w:t>接触轨支架间距直接影响接触轨的挠度，应根据行车速度、支持结构形式等综合因素确定。接触轨系统跨距不宜大于5m；</w:t>
      </w:r>
    </w:p>
    <w:p w14:paraId="5555F835" w14:textId="77777777" w:rsidR="00737EB2" w:rsidRPr="00765F6E" w:rsidRDefault="00737EB2" w:rsidP="003334F3">
      <w:pPr>
        <w:pStyle w:val="af6"/>
        <w:numPr>
          <w:ilvl w:val="0"/>
          <w:numId w:val="160"/>
        </w:numPr>
        <w:tabs>
          <w:tab w:val="left" w:pos="851"/>
        </w:tabs>
        <w:snapToGrid w:val="0"/>
        <w:contextualSpacing/>
      </w:pPr>
      <w:r w:rsidRPr="00765F6E">
        <w:rPr>
          <w:rFonts w:hint="eastAsia"/>
        </w:rPr>
        <w:t>接触轨锚段长度应根据环境温度范围、接触轨温升、膨胀接头的补偿范围等计算确定；</w:t>
      </w:r>
    </w:p>
    <w:p w14:paraId="5E1FF7B2" w14:textId="77777777" w:rsidR="00737EB2" w:rsidRPr="00765F6E" w:rsidRDefault="00737EB2" w:rsidP="003334F3">
      <w:pPr>
        <w:pStyle w:val="af6"/>
        <w:numPr>
          <w:ilvl w:val="0"/>
          <w:numId w:val="160"/>
        </w:numPr>
        <w:tabs>
          <w:tab w:val="left" w:pos="851"/>
        </w:tabs>
        <w:snapToGrid w:val="0"/>
        <w:contextualSpacing/>
      </w:pPr>
      <w:r w:rsidRPr="00765F6E">
        <w:rPr>
          <w:rFonts w:hint="eastAsia"/>
        </w:rPr>
        <w:t>在每段长轨的中部接触轨应设置防爬器；</w:t>
      </w:r>
    </w:p>
    <w:p w14:paraId="0B6E5DD4" w14:textId="77777777" w:rsidR="00737EB2" w:rsidRPr="00765F6E" w:rsidRDefault="00737EB2" w:rsidP="003334F3">
      <w:pPr>
        <w:pStyle w:val="af6"/>
        <w:numPr>
          <w:ilvl w:val="0"/>
          <w:numId w:val="160"/>
        </w:numPr>
        <w:tabs>
          <w:tab w:val="left" w:pos="851"/>
        </w:tabs>
        <w:snapToGrid w:val="0"/>
        <w:contextualSpacing/>
      </w:pPr>
      <w:r w:rsidRPr="00765F6E">
        <w:rPr>
          <w:rFonts w:hint="eastAsia"/>
        </w:rPr>
        <w:t xml:space="preserve">道岔处为避免车辆通过时受流器与接触轨相撞，接触轨需断轨。断轨长度根据受流器位置与接触轨相撞的临界点、接触轨热胀冷缩变化量、施工误差、轨旁信号设备位置等因素综合确定； </w:t>
      </w:r>
    </w:p>
    <w:p w14:paraId="241252A7" w14:textId="77777777" w:rsidR="00737EB2" w:rsidRPr="00765F6E" w:rsidRDefault="00737EB2" w:rsidP="003334F3">
      <w:pPr>
        <w:pStyle w:val="af6"/>
        <w:numPr>
          <w:ilvl w:val="0"/>
          <w:numId w:val="160"/>
        </w:numPr>
        <w:tabs>
          <w:tab w:val="left" w:pos="851"/>
        </w:tabs>
        <w:snapToGrid w:val="0"/>
        <w:contextualSpacing/>
      </w:pPr>
      <w:r w:rsidRPr="00765F6E">
        <w:rPr>
          <w:rFonts w:hint="eastAsia"/>
        </w:rPr>
        <w:t>接触轨应设置防护罩。车站范围接触轨宜安装在站台对侧。</w:t>
      </w:r>
    </w:p>
    <w:p w14:paraId="6DF992D4" w14:textId="261F3D21" w:rsidR="00737EB2" w:rsidRPr="00765F6E" w:rsidRDefault="00737EB2" w:rsidP="009D0776">
      <w:pPr>
        <w:pStyle w:val="22"/>
      </w:pPr>
      <w:r w:rsidRPr="00765F6E">
        <w:rPr>
          <w:rFonts w:hint="eastAsia"/>
        </w:rPr>
        <w:t>牵引网供电分段的设置在满足正常行车的前提下，宜考虑维修、抢修的安全及工艺要求，以及故障状态下行车组织的需求。供电分段设置符合下列规定</w:t>
      </w:r>
      <w:r w:rsidR="00CB40C5">
        <w:rPr>
          <w:rFonts w:hint="eastAsia"/>
        </w:rPr>
        <w:t>。</w:t>
      </w:r>
    </w:p>
    <w:p w14:paraId="1A82B7C5" w14:textId="77777777" w:rsidR="00737EB2" w:rsidRPr="00765F6E" w:rsidRDefault="00737EB2" w:rsidP="003334F3">
      <w:pPr>
        <w:pStyle w:val="af6"/>
        <w:numPr>
          <w:ilvl w:val="0"/>
          <w:numId w:val="161"/>
        </w:numPr>
        <w:tabs>
          <w:tab w:val="left" w:pos="851"/>
        </w:tabs>
        <w:snapToGrid w:val="0"/>
        <w:contextualSpacing/>
      </w:pPr>
      <w:r w:rsidRPr="00765F6E">
        <w:rPr>
          <w:rFonts w:hint="eastAsia"/>
        </w:rPr>
        <w:t>电分相设置符合下列要求：</w:t>
      </w:r>
    </w:p>
    <w:p w14:paraId="23D0B1A6" w14:textId="77777777" w:rsidR="00737EB2" w:rsidRPr="00765F6E" w:rsidRDefault="00737EB2" w:rsidP="00D12EC7">
      <w:pPr>
        <w:pStyle w:val="af7"/>
        <w:tabs>
          <w:tab w:val="left" w:pos="851"/>
          <w:tab w:val="left" w:pos="1276"/>
        </w:tabs>
      </w:pPr>
      <w:r w:rsidRPr="00765F6E">
        <w:rPr>
          <w:rFonts w:hint="eastAsia"/>
        </w:rPr>
        <w:t>电分相设置宜考虑牵引供电方案、行车要求、车辆编组、信号布点的因素综合确定，电分相位置应进行行车检算；</w:t>
      </w:r>
    </w:p>
    <w:p w14:paraId="183BDFCF" w14:textId="77777777" w:rsidR="00737EB2" w:rsidRPr="00765F6E" w:rsidRDefault="00737EB2" w:rsidP="00D12EC7">
      <w:pPr>
        <w:pStyle w:val="af7"/>
        <w:tabs>
          <w:tab w:val="left" w:pos="851"/>
          <w:tab w:val="left" w:pos="1276"/>
        </w:tabs>
      </w:pPr>
      <w:r w:rsidRPr="00765F6E">
        <w:rPr>
          <w:rFonts w:hint="eastAsia"/>
        </w:rPr>
        <w:t>电分相宜采用带中性段的锚段关节式电分相，</w:t>
      </w:r>
      <w:r>
        <w:rPr>
          <w:rFonts w:hint="eastAsia"/>
        </w:rPr>
        <w:t>设计</w:t>
      </w:r>
      <w:r w:rsidRPr="00765F6E">
        <w:rPr>
          <w:rFonts w:hint="eastAsia"/>
        </w:rPr>
        <w:t>时速≤120km/h的区段也可采用器件式电分相。在电分相行车方向的远端设置电动隔离开关，并纳入供电调度系统控制；</w:t>
      </w:r>
    </w:p>
    <w:p w14:paraId="4C05CC02" w14:textId="77777777" w:rsidR="00737EB2" w:rsidRPr="00765F6E" w:rsidRDefault="00737EB2" w:rsidP="00D12EC7">
      <w:pPr>
        <w:pStyle w:val="af7"/>
        <w:tabs>
          <w:tab w:val="left" w:pos="851"/>
          <w:tab w:val="left" w:pos="1276"/>
        </w:tabs>
      </w:pPr>
      <w:r w:rsidRPr="00765F6E">
        <w:rPr>
          <w:rFonts w:hint="eastAsia"/>
        </w:rPr>
        <w:t>采用断电过分相时，电分相与受电弓应满足GB/T</w:t>
      </w:r>
      <w:r w:rsidRPr="00765F6E">
        <w:t xml:space="preserve"> </w:t>
      </w:r>
      <w:r w:rsidRPr="00765F6E">
        <w:rPr>
          <w:rFonts w:hint="eastAsia"/>
        </w:rPr>
        <w:t>36981。</w:t>
      </w:r>
    </w:p>
    <w:p w14:paraId="15705154" w14:textId="77777777" w:rsidR="00737EB2" w:rsidRPr="00765F6E" w:rsidRDefault="00737EB2" w:rsidP="003334F3">
      <w:pPr>
        <w:pStyle w:val="af6"/>
        <w:numPr>
          <w:ilvl w:val="0"/>
          <w:numId w:val="161"/>
        </w:numPr>
        <w:tabs>
          <w:tab w:val="left" w:pos="851"/>
        </w:tabs>
        <w:snapToGrid w:val="0"/>
        <w:contextualSpacing/>
      </w:pPr>
      <w:r w:rsidRPr="00765F6E">
        <w:rPr>
          <w:rFonts w:hint="eastAsia"/>
        </w:rPr>
        <w:t>电分段设置符合下列要求：</w:t>
      </w:r>
    </w:p>
    <w:p w14:paraId="10ECCCE0" w14:textId="77777777" w:rsidR="00737EB2" w:rsidRPr="00765F6E" w:rsidRDefault="00737EB2" w:rsidP="00D12EC7">
      <w:pPr>
        <w:pStyle w:val="af7"/>
        <w:tabs>
          <w:tab w:val="left" w:pos="851"/>
          <w:tab w:val="left" w:pos="1276"/>
        </w:tabs>
      </w:pPr>
      <w:r w:rsidRPr="00765F6E">
        <w:rPr>
          <w:rFonts w:hint="eastAsia"/>
        </w:rPr>
        <w:t>交流制式在有渡线的车站两端宜设置绝缘关节及电动隔离开关，并纳入供电调度系统控制；</w:t>
      </w:r>
    </w:p>
    <w:p w14:paraId="677C5A2E" w14:textId="77777777" w:rsidR="00737EB2" w:rsidRPr="00765F6E" w:rsidRDefault="00737EB2" w:rsidP="00D12EC7">
      <w:pPr>
        <w:pStyle w:val="af7"/>
        <w:tabs>
          <w:tab w:val="left" w:pos="851"/>
          <w:tab w:val="left" w:pos="1276"/>
        </w:tabs>
      </w:pPr>
      <w:r w:rsidRPr="00765F6E">
        <w:rPr>
          <w:rFonts w:hint="eastAsia"/>
        </w:rPr>
        <w:t>直流制式接触网电分段宜设置在车站牵引变电所的列车进站端及区间牵引变电所直流电缆出口处；</w:t>
      </w:r>
    </w:p>
    <w:p w14:paraId="289C8861" w14:textId="77777777" w:rsidR="00737EB2" w:rsidRPr="00765F6E" w:rsidRDefault="00737EB2" w:rsidP="00D12EC7">
      <w:pPr>
        <w:pStyle w:val="af7"/>
        <w:tabs>
          <w:tab w:val="left" w:pos="851"/>
          <w:tab w:val="left" w:pos="1276"/>
        </w:tabs>
      </w:pPr>
      <w:r w:rsidRPr="00765F6E">
        <w:rPr>
          <w:rFonts w:hint="eastAsia"/>
        </w:rPr>
        <w:t>正线间渡线、停车线、折返线及出入线等位置处应设置电分段。直流制式车辆基地与正线间设置的电分段宜与轨道绝缘节对应；</w:t>
      </w:r>
    </w:p>
    <w:p w14:paraId="1828B9C6" w14:textId="77777777" w:rsidR="00737EB2" w:rsidRPr="00765F6E" w:rsidRDefault="00737EB2" w:rsidP="00D12EC7">
      <w:pPr>
        <w:pStyle w:val="af7"/>
        <w:tabs>
          <w:tab w:val="left" w:pos="851"/>
          <w:tab w:val="left" w:pos="1276"/>
        </w:tabs>
      </w:pPr>
      <w:r w:rsidRPr="00765F6E">
        <w:rPr>
          <w:rFonts w:hint="eastAsia"/>
        </w:rPr>
        <w:t xml:space="preserve">除上下行渡线间分段外，其他电分段处应设置隔离开关。具有改变分区供电运行方式功能的隔离开关应采用电动隔离开关，并纳入供电调度系统控制。 </w:t>
      </w:r>
    </w:p>
    <w:p w14:paraId="6D6B8DCF" w14:textId="77777777" w:rsidR="00737EB2" w:rsidRPr="00765F6E" w:rsidRDefault="00737EB2" w:rsidP="003334F3">
      <w:pPr>
        <w:pStyle w:val="af6"/>
        <w:numPr>
          <w:ilvl w:val="0"/>
          <w:numId w:val="161"/>
        </w:numPr>
        <w:tabs>
          <w:tab w:val="left" w:pos="851"/>
        </w:tabs>
        <w:snapToGrid w:val="0"/>
        <w:contextualSpacing/>
      </w:pPr>
      <w:r w:rsidRPr="00765F6E">
        <w:rPr>
          <w:rFonts w:hint="eastAsia"/>
        </w:rPr>
        <w:t>双制式的牵引网供电分段设置符合下列要求：</w:t>
      </w:r>
    </w:p>
    <w:p w14:paraId="522C36D5" w14:textId="77777777" w:rsidR="00737EB2" w:rsidRPr="00765F6E" w:rsidRDefault="00737EB2" w:rsidP="00D12EC7">
      <w:pPr>
        <w:pStyle w:val="af7"/>
        <w:tabs>
          <w:tab w:val="left" w:pos="851"/>
          <w:tab w:val="left" w:pos="1276"/>
        </w:tabs>
      </w:pPr>
      <w:r w:rsidRPr="00765F6E">
        <w:rPr>
          <w:rFonts w:hint="eastAsia"/>
        </w:rPr>
        <w:t>在制式切换处应设置无电区的过渡区段。过渡区段的设置应根据车辆切换、车辆编组、集电器位置、信号设置及行车要求综合确定；</w:t>
      </w:r>
    </w:p>
    <w:p w14:paraId="0540744E" w14:textId="77777777" w:rsidR="00737EB2" w:rsidRPr="00765F6E" w:rsidRDefault="00737EB2" w:rsidP="00D12EC7">
      <w:pPr>
        <w:pStyle w:val="af7"/>
        <w:tabs>
          <w:tab w:val="left" w:pos="851"/>
          <w:tab w:val="left" w:pos="1276"/>
        </w:tabs>
      </w:pPr>
      <w:r w:rsidRPr="00765F6E">
        <w:rPr>
          <w:rFonts w:hint="eastAsia"/>
        </w:rPr>
        <w:lastRenderedPageBreak/>
        <w:t>当采用停车切换方式时，过渡区段宜设置在车站区段；当采用不停车切换方式时，过渡区段不宜设置在大坡道、小半径曲线段或低速区段。</w:t>
      </w:r>
    </w:p>
    <w:p w14:paraId="14BA8F88" w14:textId="77777777" w:rsidR="00737EB2" w:rsidRPr="00765F6E" w:rsidRDefault="00737EB2" w:rsidP="003334F3">
      <w:pPr>
        <w:pStyle w:val="af6"/>
        <w:numPr>
          <w:ilvl w:val="0"/>
          <w:numId w:val="161"/>
        </w:numPr>
        <w:tabs>
          <w:tab w:val="left" w:pos="851"/>
        </w:tabs>
        <w:snapToGrid w:val="0"/>
        <w:contextualSpacing/>
      </w:pPr>
      <w:r w:rsidRPr="00765F6E">
        <w:rPr>
          <w:rFonts w:hint="eastAsia"/>
        </w:rPr>
        <w:t>车辆基地内根据工艺要求设置电分段。不同供电单元间应设置联络开关并纳入供电调度系统控制，与供电单元划分无关的隔离开关宜采用当地电动或纳入场段内的综合控制系统。</w:t>
      </w:r>
    </w:p>
    <w:p w14:paraId="54211AEA" w14:textId="77777777" w:rsidR="00737EB2" w:rsidRPr="00765F6E" w:rsidRDefault="00737EB2" w:rsidP="009D0776">
      <w:pPr>
        <w:pStyle w:val="22"/>
      </w:pPr>
      <w:bookmarkStart w:id="2004" w:name="_Toc153291721"/>
      <w:bookmarkStart w:id="2005" w:name="_Toc99792286"/>
      <w:r w:rsidRPr="00765F6E">
        <w:rPr>
          <w:rFonts w:hint="eastAsia"/>
        </w:rPr>
        <w:t>牵引网绝缘应符合下列规定：</w:t>
      </w:r>
      <w:bookmarkEnd w:id="2004"/>
      <w:bookmarkEnd w:id="2005"/>
    </w:p>
    <w:p w14:paraId="151259ED" w14:textId="1D6CE887" w:rsidR="00737EB2" w:rsidRPr="00765F6E" w:rsidRDefault="00737EB2" w:rsidP="003334F3">
      <w:pPr>
        <w:pStyle w:val="af6"/>
        <w:numPr>
          <w:ilvl w:val="0"/>
          <w:numId w:val="162"/>
        </w:numPr>
        <w:tabs>
          <w:tab w:val="left" w:pos="851"/>
        </w:tabs>
        <w:snapToGrid w:val="0"/>
        <w:contextualSpacing/>
      </w:pPr>
      <w:r w:rsidRPr="00765F6E">
        <w:rPr>
          <w:rFonts w:hint="eastAsia"/>
        </w:rPr>
        <w:t>AC27.5kV制式绝缘爬距不应小于1400mm。双线区段上、下行接触网带电体间距离正常情况下不应小于2000mm，困难情况下不小于1600mm</w:t>
      </w:r>
      <w:r w:rsidR="00E35D7F">
        <w:rPr>
          <w:rFonts w:hint="eastAsia"/>
        </w:rPr>
        <w:t>；</w:t>
      </w:r>
    </w:p>
    <w:p w14:paraId="7C10A78B" w14:textId="46EE415C" w:rsidR="00737EB2" w:rsidRPr="00765F6E" w:rsidRDefault="00737EB2" w:rsidP="003334F3">
      <w:pPr>
        <w:pStyle w:val="af6"/>
        <w:numPr>
          <w:ilvl w:val="0"/>
          <w:numId w:val="162"/>
        </w:numPr>
        <w:tabs>
          <w:tab w:val="left" w:pos="851"/>
        </w:tabs>
        <w:snapToGrid w:val="0"/>
        <w:contextualSpacing/>
      </w:pPr>
      <w:r w:rsidRPr="00765F6E">
        <w:rPr>
          <w:rFonts w:hint="eastAsia"/>
        </w:rPr>
        <w:t>DC1500V制式绝缘爬距不应小于250mm</w:t>
      </w:r>
      <w:r w:rsidR="00E35D7F">
        <w:rPr>
          <w:rFonts w:hint="eastAsia"/>
        </w:rPr>
        <w:t>；</w:t>
      </w:r>
    </w:p>
    <w:p w14:paraId="25F88685" w14:textId="03554B29" w:rsidR="00737EB2" w:rsidRPr="00765F6E" w:rsidRDefault="00737EB2" w:rsidP="003334F3">
      <w:pPr>
        <w:pStyle w:val="af6"/>
        <w:numPr>
          <w:ilvl w:val="0"/>
          <w:numId w:val="162"/>
        </w:numPr>
        <w:tabs>
          <w:tab w:val="left" w:pos="851"/>
        </w:tabs>
        <w:snapToGrid w:val="0"/>
        <w:contextualSpacing/>
      </w:pPr>
      <w:r w:rsidRPr="00765F6E">
        <w:rPr>
          <w:rFonts w:hint="eastAsia"/>
        </w:rPr>
        <w:t>牵引网空气绝缘距离应按表</w:t>
      </w:r>
      <w:r w:rsidR="001C1F75" w:rsidRPr="00765F6E">
        <w:t>8</w:t>
      </w:r>
      <w:r w:rsidR="00B66CDF">
        <w:t>2</w:t>
      </w:r>
      <w:r w:rsidRPr="00765F6E">
        <w:rPr>
          <w:rFonts w:hint="eastAsia"/>
        </w:rPr>
        <w:t>、表</w:t>
      </w:r>
      <w:r w:rsidR="001C1F75" w:rsidRPr="00765F6E">
        <w:t>8</w:t>
      </w:r>
      <w:r w:rsidR="00B66CDF">
        <w:t>3</w:t>
      </w:r>
      <w:r w:rsidRPr="00765F6E">
        <w:rPr>
          <w:rFonts w:hint="eastAsia"/>
        </w:rPr>
        <w:t>、表</w:t>
      </w:r>
      <w:r w:rsidR="001C1F75" w:rsidRPr="00765F6E">
        <w:t>8</w:t>
      </w:r>
      <w:r w:rsidR="00B66CDF">
        <w:t>4</w:t>
      </w:r>
      <w:r w:rsidRPr="00765F6E">
        <w:rPr>
          <w:rFonts w:hint="eastAsia"/>
        </w:rPr>
        <w:t>要求执行</w:t>
      </w:r>
      <w:r w:rsidR="00E35D7F">
        <w:rPr>
          <w:rFonts w:hint="eastAsia"/>
        </w:rPr>
        <w:t>；</w:t>
      </w:r>
    </w:p>
    <w:p w14:paraId="4A4D5C15" w14:textId="77777777" w:rsidR="00737EB2" w:rsidRPr="00765F6E" w:rsidRDefault="00737EB2" w:rsidP="00737EB2">
      <w:pPr>
        <w:pStyle w:val="aff3"/>
        <w:spacing w:before="156" w:after="156"/>
        <w:rPr>
          <w:rFonts w:hAnsi="黑体" w:cs="宋体"/>
          <w:szCs w:val="21"/>
        </w:rPr>
      </w:pPr>
      <w:r w:rsidRPr="00765F6E">
        <w:rPr>
          <w:rFonts w:hAnsi="黑体" w:cs="宋体" w:hint="eastAsia"/>
          <w:szCs w:val="21"/>
        </w:rPr>
        <w:t>AC27.5kV制式最小空气绝缘间隙</w:t>
      </w:r>
    </w:p>
    <w:p w14:paraId="14D25B36" w14:textId="77777777" w:rsidR="00737EB2" w:rsidRPr="00765F6E" w:rsidRDefault="00737EB2" w:rsidP="00737EB2">
      <w:pPr>
        <w:spacing w:line="220" w:lineRule="exact"/>
        <w:jc w:val="right"/>
        <w:rPr>
          <w:rFonts w:ascii="宋体" w:hAnsi="宋体"/>
          <w:sz w:val="18"/>
          <w:szCs w:val="18"/>
        </w:rPr>
      </w:pPr>
      <w:r w:rsidRPr="00765F6E">
        <w:rPr>
          <w:rFonts w:ascii="宋体" w:hAnsi="宋体" w:hint="eastAsia"/>
          <w:sz w:val="18"/>
          <w:szCs w:val="18"/>
        </w:rPr>
        <w:t>单位为毫米</w:t>
      </w:r>
    </w:p>
    <w:tbl>
      <w:tblPr>
        <w:tblW w:w="934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807"/>
        <w:gridCol w:w="3194"/>
        <w:gridCol w:w="1063"/>
        <w:gridCol w:w="2132"/>
        <w:gridCol w:w="1075"/>
        <w:gridCol w:w="1073"/>
      </w:tblGrid>
      <w:tr w:rsidR="00737EB2" w:rsidRPr="00765F6E" w14:paraId="4FF6DC66" w14:textId="77777777" w:rsidTr="00871D47">
        <w:trPr>
          <w:trHeight w:val="176"/>
          <w:tblHeader/>
          <w:jc w:val="center"/>
        </w:trPr>
        <w:tc>
          <w:tcPr>
            <w:tcW w:w="807" w:type="dxa"/>
            <w:tcBorders>
              <w:top w:val="single" w:sz="8" w:space="0" w:color="auto"/>
              <w:bottom w:val="single" w:sz="8" w:space="0" w:color="auto"/>
            </w:tcBorders>
            <w:shd w:val="clear" w:color="auto" w:fill="auto"/>
            <w:vAlign w:val="center"/>
          </w:tcPr>
          <w:p w14:paraId="6501E854"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序号</w:t>
            </w:r>
          </w:p>
        </w:tc>
        <w:tc>
          <w:tcPr>
            <w:tcW w:w="6389" w:type="dxa"/>
            <w:gridSpan w:val="3"/>
            <w:tcBorders>
              <w:top w:val="single" w:sz="8" w:space="0" w:color="auto"/>
              <w:bottom w:val="single" w:sz="8" w:space="0" w:color="auto"/>
            </w:tcBorders>
            <w:shd w:val="clear" w:color="auto" w:fill="auto"/>
            <w:vAlign w:val="center"/>
          </w:tcPr>
          <w:p w14:paraId="153AC3D2"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有关情况</w:t>
            </w:r>
          </w:p>
        </w:tc>
        <w:tc>
          <w:tcPr>
            <w:tcW w:w="1075" w:type="dxa"/>
            <w:tcBorders>
              <w:top w:val="single" w:sz="8" w:space="0" w:color="auto"/>
              <w:bottom w:val="single" w:sz="8" w:space="0" w:color="auto"/>
            </w:tcBorders>
            <w:shd w:val="clear" w:color="auto" w:fill="auto"/>
            <w:vAlign w:val="center"/>
          </w:tcPr>
          <w:p w14:paraId="0A7718F2"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正常值</w:t>
            </w:r>
          </w:p>
        </w:tc>
        <w:tc>
          <w:tcPr>
            <w:tcW w:w="1073" w:type="dxa"/>
            <w:tcBorders>
              <w:top w:val="single" w:sz="8" w:space="0" w:color="auto"/>
              <w:bottom w:val="single" w:sz="8" w:space="0" w:color="auto"/>
            </w:tcBorders>
            <w:shd w:val="clear" w:color="auto" w:fill="auto"/>
            <w:vAlign w:val="center"/>
          </w:tcPr>
          <w:p w14:paraId="1604C499"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困难值</w:t>
            </w:r>
          </w:p>
        </w:tc>
      </w:tr>
      <w:tr w:rsidR="00737EB2" w:rsidRPr="00765F6E" w14:paraId="7FADD4B8" w14:textId="77777777" w:rsidTr="00871D47">
        <w:trPr>
          <w:trHeight w:val="176"/>
          <w:jc w:val="center"/>
        </w:trPr>
        <w:tc>
          <w:tcPr>
            <w:tcW w:w="807" w:type="dxa"/>
            <w:tcBorders>
              <w:top w:val="single" w:sz="8" w:space="0" w:color="auto"/>
            </w:tcBorders>
            <w:shd w:val="clear" w:color="auto" w:fill="auto"/>
            <w:vAlign w:val="center"/>
          </w:tcPr>
          <w:p w14:paraId="4C722572"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1</w:t>
            </w:r>
          </w:p>
        </w:tc>
        <w:tc>
          <w:tcPr>
            <w:tcW w:w="6389" w:type="dxa"/>
            <w:gridSpan w:val="3"/>
            <w:tcBorders>
              <w:top w:val="single" w:sz="8" w:space="0" w:color="auto"/>
            </w:tcBorders>
            <w:shd w:val="clear" w:color="auto" w:fill="auto"/>
            <w:vAlign w:val="center"/>
          </w:tcPr>
          <w:p w14:paraId="521371EF"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25kV绝缘锚段关节两悬挂点间隙</w:t>
            </w:r>
            <w:r w:rsidRPr="00765F6E">
              <w:rPr>
                <w:rFonts w:ascii="宋体" w:hAnsi="宋体" w:hint="eastAsia"/>
                <w:sz w:val="18"/>
                <w:szCs w:val="18"/>
              </w:rPr>
              <w:t>（同相位，适用于任何高程）</w:t>
            </w:r>
          </w:p>
        </w:tc>
        <w:tc>
          <w:tcPr>
            <w:tcW w:w="1075" w:type="dxa"/>
            <w:tcBorders>
              <w:top w:val="single" w:sz="8" w:space="0" w:color="auto"/>
            </w:tcBorders>
            <w:shd w:val="clear" w:color="auto" w:fill="auto"/>
            <w:vAlign w:val="center"/>
          </w:tcPr>
          <w:p w14:paraId="4F06D0C3"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450</w:t>
            </w:r>
          </w:p>
        </w:tc>
        <w:tc>
          <w:tcPr>
            <w:tcW w:w="1073" w:type="dxa"/>
            <w:tcBorders>
              <w:top w:val="single" w:sz="8" w:space="0" w:color="auto"/>
            </w:tcBorders>
            <w:shd w:val="clear" w:color="auto" w:fill="auto"/>
            <w:vAlign w:val="center"/>
          </w:tcPr>
          <w:p w14:paraId="5383BB1B" w14:textId="58F42CE8" w:rsidR="00737EB2" w:rsidRPr="00765F6E" w:rsidRDefault="00C90275" w:rsidP="00871D47">
            <w:pPr>
              <w:spacing w:line="220" w:lineRule="exact"/>
              <w:jc w:val="center"/>
              <w:rPr>
                <w:rFonts w:ascii="宋体" w:hAnsi="宋体"/>
                <w:sz w:val="18"/>
                <w:szCs w:val="18"/>
              </w:rPr>
            </w:pPr>
            <w:r>
              <w:rPr>
                <w:rFonts w:ascii="宋体" w:hAnsi="宋体"/>
                <w:sz w:val="18"/>
                <w:szCs w:val="18"/>
              </w:rPr>
              <w:t>-</w:t>
            </w:r>
          </w:p>
        </w:tc>
      </w:tr>
      <w:tr w:rsidR="00737EB2" w:rsidRPr="00765F6E" w14:paraId="33FA4DCB" w14:textId="77777777" w:rsidTr="00871D47">
        <w:trPr>
          <w:trHeight w:val="176"/>
          <w:jc w:val="center"/>
        </w:trPr>
        <w:tc>
          <w:tcPr>
            <w:tcW w:w="807" w:type="dxa"/>
            <w:shd w:val="clear" w:color="auto" w:fill="auto"/>
            <w:vAlign w:val="center"/>
          </w:tcPr>
          <w:p w14:paraId="4AC695D9"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2</w:t>
            </w:r>
          </w:p>
        </w:tc>
        <w:tc>
          <w:tcPr>
            <w:tcW w:w="6389" w:type="dxa"/>
            <w:gridSpan w:val="3"/>
            <w:shd w:val="clear" w:color="auto" w:fill="auto"/>
            <w:vAlign w:val="center"/>
          </w:tcPr>
          <w:p w14:paraId="3F6F7B2D"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25kV带电体距固定接地体间隙</w:t>
            </w:r>
          </w:p>
        </w:tc>
        <w:tc>
          <w:tcPr>
            <w:tcW w:w="1075" w:type="dxa"/>
            <w:shd w:val="clear" w:color="auto" w:fill="auto"/>
            <w:vAlign w:val="center"/>
          </w:tcPr>
          <w:p w14:paraId="32D542EB"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300</w:t>
            </w:r>
          </w:p>
        </w:tc>
        <w:tc>
          <w:tcPr>
            <w:tcW w:w="1073" w:type="dxa"/>
            <w:shd w:val="clear" w:color="auto" w:fill="auto"/>
            <w:vAlign w:val="center"/>
          </w:tcPr>
          <w:p w14:paraId="3A74F57B" w14:textId="77777777" w:rsidR="00737EB2" w:rsidRPr="00765F6E" w:rsidRDefault="00737EB2" w:rsidP="00871D47">
            <w:pPr>
              <w:spacing w:line="220" w:lineRule="exact"/>
              <w:jc w:val="center"/>
              <w:rPr>
                <w:rFonts w:ascii="宋体" w:hAnsi="宋体"/>
                <w:sz w:val="18"/>
                <w:szCs w:val="18"/>
              </w:rPr>
            </w:pPr>
            <w:r w:rsidRPr="00765F6E">
              <w:rPr>
                <w:rFonts w:ascii="宋体" w:hAnsi="宋体" w:hint="eastAsia"/>
                <w:sz w:val="18"/>
                <w:szCs w:val="18"/>
              </w:rPr>
              <w:t>240</w:t>
            </w:r>
          </w:p>
        </w:tc>
      </w:tr>
      <w:tr w:rsidR="00737EB2" w:rsidRPr="00765F6E" w14:paraId="67EC3399" w14:textId="77777777" w:rsidTr="00871D47">
        <w:trPr>
          <w:trHeight w:val="176"/>
          <w:jc w:val="center"/>
        </w:trPr>
        <w:tc>
          <w:tcPr>
            <w:tcW w:w="807" w:type="dxa"/>
            <w:shd w:val="clear" w:color="auto" w:fill="auto"/>
            <w:vAlign w:val="center"/>
          </w:tcPr>
          <w:p w14:paraId="248743FB"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3</w:t>
            </w:r>
          </w:p>
        </w:tc>
        <w:tc>
          <w:tcPr>
            <w:tcW w:w="6389" w:type="dxa"/>
            <w:gridSpan w:val="3"/>
            <w:shd w:val="clear" w:color="auto" w:fill="auto"/>
            <w:vAlign w:val="center"/>
          </w:tcPr>
          <w:p w14:paraId="7447C8DA"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25kV带电体距机车车辆或装载货物间隙</w:t>
            </w:r>
          </w:p>
        </w:tc>
        <w:tc>
          <w:tcPr>
            <w:tcW w:w="1075" w:type="dxa"/>
            <w:shd w:val="clear" w:color="auto" w:fill="auto"/>
            <w:vAlign w:val="center"/>
          </w:tcPr>
          <w:p w14:paraId="00F136C7"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350</w:t>
            </w:r>
          </w:p>
        </w:tc>
        <w:tc>
          <w:tcPr>
            <w:tcW w:w="1073" w:type="dxa"/>
            <w:shd w:val="clear" w:color="auto" w:fill="auto"/>
            <w:vAlign w:val="center"/>
          </w:tcPr>
          <w:p w14:paraId="40CF3334" w14:textId="2A6BABA8" w:rsidR="00737EB2" w:rsidRPr="00765F6E" w:rsidRDefault="00C90275" w:rsidP="00871D47">
            <w:pPr>
              <w:spacing w:line="220" w:lineRule="exact"/>
              <w:jc w:val="center"/>
              <w:rPr>
                <w:rFonts w:ascii="宋体" w:hAnsi="宋体"/>
                <w:sz w:val="18"/>
                <w:szCs w:val="18"/>
              </w:rPr>
            </w:pPr>
            <w:r>
              <w:rPr>
                <w:rFonts w:ascii="宋体" w:hAnsi="宋体"/>
                <w:sz w:val="18"/>
                <w:szCs w:val="18"/>
              </w:rPr>
              <w:t>-</w:t>
            </w:r>
          </w:p>
        </w:tc>
      </w:tr>
      <w:tr w:rsidR="00737EB2" w:rsidRPr="00765F6E" w14:paraId="4D9057CC" w14:textId="77777777" w:rsidTr="00871D47">
        <w:trPr>
          <w:trHeight w:val="176"/>
          <w:jc w:val="center"/>
        </w:trPr>
        <w:tc>
          <w:tcPr>
            <w:tcW w:w="807" w:type="dxa"/>
            <w:shd w:val="clear" w:color="auto" w:fill="auto"/>
            <w:vAlign w:val="center"/>
          </w:tcPr>
          <w:p w14:paraId="6B84547D"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4</w:t>
            </w:r>
          </w:p>
        </w:tc>
        <w:tc>
          <w:tcPr>
            <w:tcW w:w="6389" w:type="dxa"/>
            <w:gridSpan w:val="3"/>
            <w:shd w:val="clear" w:color="auto" w:fill="auto"/>
            <w:vAlign w:val="center"/>
          </w:tcPr>
          <w:p w14:paraId="4EAA2C6E" w14:textId="77777777" w:rsidR="00737EB2" w:rsidRPr="00765F6E" w:rsidRDefault="00737EB2" w:rsidP="00871D47">
            <w:pPr>
              <w:spacing w:line="220" w:lineRule="exact"/>
              <w:rPr>
                <w:rFonts w:ascii="宋体" w:hAnsi="宋体"/>
                <w:sz w:val="18"/>
                <w:szCs w:val="18"/>
              </w:rPr>
            </w:pPr>
            <w:r w:rsidRPr="00765F6E">
              <w:rPr>
                <w:rFonts w:ascii="宋体" w:hAnsi="宋体"/>
                <w:sz w:val="18"/>
                <w:szCs w:val="18"/>
              </w:rPr>
              <w:t>25kV受电弓振动至极限位置和接触线被抬起的最高位置距接地体的瞬时间隙</w:t>
            </w:r>
          </w:p>
        </w:tc>
        <w:tc>
          <w:tcPr>
            <w:tcW w:w="1075" w:type="dxa"/>
            <w:shd w:val="clear" w:color="auto" w:fill="auto"/>
            <w:vAlign w:val="center"/>
          </w:tcPr>
          <w:p w14:paraId="71775CE3"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200</w:t>
            </w:r>
          </w:p>
        </w:tc>
        <w:tc>
          <w:tcPr>
            <w:tcW w:w="1073" w:type="dxa"/>
            <w:shd w:val="clear" w:color="auto" w:fill="auto"/>
            <w:vAlign w:val="center"/>
          </w:tcPr>
          <w:p w14:paraId="0B336402"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160</w:t>
            </w:r>
          </w:p>
        </w:tc>
      </w:tr>
      <w:tr w:rsidR="00737EB2" w:rsidRPr="00765F6E" w14:paraId="2C54A4A8" w14:textId="77777777" w:rsidTr="00871D47">
        <w:trPr>
          <w:trHeight w:val="176"/>
          <w:jc w:val="center"/>
        </w:trPr>
        <w:tc>
          <w:tcPr>
            <w:tcW w:w="807" w:type="dxa"/>
            <w:shd w:val="clear" w:color="auto" w:fill="auto"/>
            <w:vAlign w:val="center"/>
          </w:tcPr>
          <w:p w14:paraId="35851A5B"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5</w:t>
            </w:r>
          </w:p>
        </w:tc>
        <w:tc>
          <w:tcPr>
            <w:tcW w:w="6389" w:type="dxa"/>
            <w:gridSpan w:val="3"/>
            <w:shd w:val="clear" w:color="auto" w:fill="auto"/>
            <w:vAlign w:val="center"/>
          </w:tcPr>
          <w:p w14:paraId="4E50E874" w14:textId="77777777" w:rsidR="00737EB2" w:rsidRPr="00765F6E" w:rsidRDefault="00737EB2" w:rsidP="00871D47">
            <w:pPr>
              <w:spacing w:line="220" w:lineRule="exact"/>
              <w:rPr>
                <w:rFonts w:ascii="宋体" w:hAnsi="宋体"/>
                <w:sz w:val="18"/>
                <w:szCs w:val="18"/>
              </w:rPr>
            </w:pPr>
            <w:r w:rsidRPr="00765F6E">
              <w:rPr>
                <w:rFonts w:ascii="宋体" w:hAnsi="宋体" w:hint="eastAsia"/>
                <w:sz w:val="18"/>
                <w:szCs w:val="18"/>
              </w:rPr>
              <w:t>同回路自耦变压器供电线带电体距接触悬挂或供电线带电体间隙（适用于任何高程）</w:t>
            </w:r>
          </w:p>
        </w:tc>
        <w:tc>
          <w:tcPr>
            <w:tcW w:w="1075" w:type="dxa"/>
            <w:shd w:val="clear" w:color="auto" w:fill="auto"/>
            <w:vAlign w:val="center"/>
          </w:tcPr>
          <w:p w14:paraId="10F28A5A" w14:textId="77777777" w:rsidR="00737EB2" w:rsidRPr="00765F6E" w:rsidRDefault="00737EB2" w:rsidP="00871D47">
            <w:pPr>
              <w:spacing w:line="220" w:lineRule="exact"/>
              <w:jc w:val="center"/>
              <w:rPr>
                <w:rFonts w:ascii="宋体" w:hAnsi="宋体"/>
                <w:sz w:val="18"/>
                <w:szCs w:val="18"/>
              </w:rPr>
            </w:pPr>
            <w:r w:rsidRPr="00765F6E">
              <w:rPr>
                <w:rFonts w:ascii="宋体" w:hAnsi="宋体" w:hint="eastAsia"/>
                <w:sz w:val="18"/>
                <w:szCs w:val="18"/>
              </w:rPr>
              <w:t>540</w:t>
            </w:r>
          </w:p>
        </w:tc>
        <w:tc>
          <w:tcPr>
            <w:tcW w:w="1073" w:type="dxa"/>
            <w:shd w:val="clear" w:color="auto" w:fill="auto"/>
            <w:vAlign w:val="center"/>
          </w:tcPr>
          <w:p w14:paraId="43B25ADD" w14:textId="7FA50AAB" w:rsidR="00737EB2" w:rsidRPr="00765F6E" w:rsidRDefault="00C90275" w:rsidP="00871D47">
            <w:pPr>
              <w:spacing w:line="220" w:lineRule="exact"/>
              <w:jc w:val="center"/>
              <w:rPr>
                <w:rFonts w:ascii="宋体" w:hAnsi="宋体"/>
                <w:sz w:val="18"/>
                <w:szCs w:val="18"/>
              </w:rPr>
            </w:pPr>
            <w:r>
              <w:rPr>
                <w:rFonts w:ascii="宋体" w:hAnsi="宋体"/>
                <w:sz w:val="18"/>
                <w:szCs w:val="18"/>
              </w:rPr>
              <w:t>-</w:t>
            </w:r>
          </w:p>
        </w:tc>
      </w:tr>
      <w:tr w:rsidR="00737EB2" w:rsidRPr="00765F6E" w14:paraId="1406DA19" w14:textId="77777777" w:rsidTr="00871D47">
        <w:trPr>
          <w:trHeight w:val="176"/>
          <w:jc w:val="center"/>
        </w:trPr>
        <w:tc>
          <w:tcPr>
            <w:tcW w:w="807" w:type="dxa"/>
            <w:vMerge w:val="restart"/>
            <w:shd w:val="clear" w:color="auto" w:fill="auto"/>
            <w:vAlign w:val="center"/>
          </w:tcPr>
          <w:p w14:paraId="463D88BD"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6</w:t>
            </w:r>
          </w:p>
        </w:tc>
        <w:tc>
          <w:tcPr>
            <w:tcW w:w="4257" w:type="dxa"/>
            <w:gridSpan w:val="2"/>
            <w:vMerge w:val="restart"/>
            <w:shd w:val="clear" w:color="auto" w:fill="auto"/>
            <w:vAlign w:val="center"/>
          </w:tcPr>
          <w:p w14:paraId="41B38DFB" w14:textId="77777777" w:rsidR="00737EB2" w:rsidRPr="00765F6E" w:rsidRDefault="00737EB2" w:rsidP="00871D47">
            <w:pPr>
              <w:spacing w:line="220" w:lineRule="exact"/>
              <w:jc w:val="left"/>
              <w:rPr>
                <w:rFonts w:ascii="宋体" w:hAnsi="宋体"/>
                <w:sz w:val="18"/>
                <w:szCs w:val="18"/>
              </w:rPr>
            </w:pPr>
            <w:r w:rsidRPr="00765F6E">
              <w:rPr>
                <w:rFonts w:ascii="宋体" w:hAnsi="宋体" w:hint="eastAsia"/>
                <w:sz w:val="18"/>
                <w:szCs w:val="18"/>
              </w:rPr>
              <w:t>25kV带电绝缘子接地侧裙边距接地体间隙（适用于任何高程）</w:t>
            </w:r>
          </w:p>
        </w:tc>
        <w:tc>
          <w:tcPr>
            <w:tcW w:w="2132" w:type="dxa"/>
            <w:shd w:val="clear" w:color="auto" w:fill="auto"/>
            <w:vAlign w:val="center"/>
          </w:tcPr>
          <w:p w14:paraId="205AAF6D"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瓷</w:t>
            </w:r>
            <w:r w:rsidRPr="00765F6E">
              <w:rPr>
                <w:rFonts w:ascii="宋体" w:hAnsi="宋体" w:hint="eastAsia"/>
                <w:sz w:val="18"/>
                <w:szCs w:val="18"/>
              </w:rPr>
              <w:t>及玻璃钢</w:t>
            </w:r>
            <w:r w:rsidRPr="00765F6E">
              <w:rPr>
                <w:rFonts w:ascii="宋体" w:hAnsi="宋体"/>
                <w:sz w:val="18"/>
                <w:szCs w:val="18"/>
              </w:rPr>
              <w:t>绝缘子</w:t>
            </w:r>
          </w:p>
        </w:tc>
        <w:tc>
          <w:tcPr>
            <w:tcW w:w="1075" w:type="dxa"/>
            <w:shd w:val="clear" w:color="auto" w:fill="auto"/>
            <w:vAlign w:val="center"/>
          </w:tcPr>
          <w:p w14:paraId="5208A8E3"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100</w:t>
            </w:r>
          </w:p>
        </w:tc>
        <w:tc>
          <w:tcPr>
            <w:tcW w:w="1073" w:type="dxa"/>
            <w:shd w:val="clear" w:color="auto" w:fill="auto"/>
            <w:vAlign w:val="center"/>
          </w:tcPr>
          <w:p w14:paraId="3143E076"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75</w:t>
            </w:r>
          </w:p>
        </w:tc>
      </w:tr>
      <w:tr w:rsidR="00737EB2" w:rsidRPr="00765F6E" w14:paraId="1ECD73CE" w14:textId="77777777" w:rsidTr="00871D47">
        <w:trPr>
          <w:trHeight w:val="176"/>
          <w:jc w:val="center"/>
        </w:trPr>
        <w:tc>
          <w:tcPr>
            <w:tcW w:w="807" w:type="dxa"/>
            <w:vMerge/>
            <w:shd w:val="clear" w:color="auto" w:fill="auto"/>
            <w:vAlign w:val="center"/>
          </w:tcPr>
          <w:p w14:paraId="65E9B2A4" w14:textId="77777777" w:rsidR="00737EB2" w:rsidRPr="00765F6E" w:rsidRDefault="00737EB2" w:rsidP="00871D47">
            <w:pPr>
              <w:spacing w:line="220" w:lineRule="exact"/>
              <w:jc w:val="center"/>
              <w:rPr>
                <w:rFonts w:ascii="宋体" w:hAnsi="宋体"/>
                <w:sz w:val="18"/>
                <w:szCs w:val="18"/>
              </w:rPr>
            </w:pPr>
          </w:p>
        </w:tc>
        <w:tc>
          <w:tcPr>
            <w:tcW w:w="4257" w:type="dxa"/>
            <w:gridSpan w:val="2"/>
            <w:vMerge/>
            <w:shd w:val="clear" w:color="auto" w:fill="auto"/>
            <w:vAlign w:val="center"/>
          </w:tcPr>
          <w:p w14:paraId="51773B4F" w14:textId="77777777" w:rsidR="00737EB2" w:rsidRPr="00765F6E" w:rsidRDefault="00737EB2" w:rsidP="00871D47">
            <w:pPr>
              <w:spacing w:line="220" w:lineRule="exact"/>
              <w:jc w:val="center"/>
              <w:rPr>
                <w:rFonts w:ascii="宋体" w:hAnsi="宋体"/>
                <w:sz w:val="18"/>
                <w:szCs w:val="18"/>
              </w:rPr>
            </w:pPr>
          </w:p>
        </w:tc>
        <w:tc>
          <w:tcPr>
            <w:tcW w:w="2132" w:type="dxa"/>
            <w:shd w:val="clear" w:color="auto" w:fill="auto"/>
            <w:vAlign w:val="center"/>
          </w:tcPr>
          <w:p w14:paraId="662B1798"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合成材料绝缘子</w:t>
            </w:r>
          </w:p>
        </w:tc>
        <w:tc>
          <w:tcPr>
            <w:tcW w:w="1075" w:type="dxa"/>
            <w:shd w:val="clear" w:color="auto" w:fill="auto"/>
            <w:vAlign w:val="center"/>
          </w:tcPr>
          <w:p w14:paraId="1E351084"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50</w:t>
            </w:r>
          </w:p>
        </w:tc>
        <w:tc>
          <w:tcPr>
            <w:tcW w:w="1073" w:type="dxa"/>
            <w:shd w:val="clear" w:color="auto" w:fill="auto"/>
            <w:vAlign w:val="center"/>
          </w:tcPr>
          <w:p w14:paraId="74C759D0" w14:textId="79973CA0" w:rsidR="00737EB2" w:rsidRPr="00765F6E" w:rsidRDefault="00C90275" w:rsidP="00871D47">
            <w:pPr>
              <w:spacing w:line="220" w:lineRule="exact"/>
              <w:jc w:val="center"/>
              <w:rPr>
                <w:rFonts w:ascii="宋体" w:hAnsi="宋体"/>
                <w:sz w:val="18"/>
                <w:szCs w:val="18"/>
              </w:rPr>
            </w:pPr>
            <w:r>
              <w:rPr>
                <w:rFonts w:ascii="宋体" w:hAnsi="宋体"/>
                <w:sz w:val="18"/>
                <w:szCs w:val="18"/>
              </w:rPr>
              <w:t>-</w:t>
            </w:r>
          </w:p>
        </w:tc>
      </w:tr>
      <w:tr w:rsidR="00737EB2" w:rsidRPr="00765F6E" w14:paraId="358A9262" w14:textId="77777777" w:rsidTr="00871D47">
        <w:trPr>
          <w:trHeight w:val="176"/>
          <w:jc w:val="center"/>
        </w:trPr>
        <w:tc>
          <w:tcPr>
            <w:tcW w:w="807" w:type="dxa"/>
            <w:shd w:val="clear" w:color="auto" w:fill="auto"/>
            <w:vAlign w:val="center"/>
          </w:tcPr>
          <w:p w14:paraId="4AE06766"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7</w:t>
            </w:r>
          </w:p>
        </w:tc>
        <w:tc>
          <w:tcPr>
            <w:tcW w:w="6389" w:type="dxa"/>
            <w:gridSpan w:val="3"/>
            <w:shd w:val="clear" w:color="auto" w:fill="auto"/>
            <w:vAlign w:val="center"/>
          </w:tcPr>
          <w:p w14:paraId="1DEB8B6C"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25kV带电体距跨线建筑物底部的静态间隙</w:t>
            </w:r>
          </w:p>
        </w:tc>
        <w:tc>
          <w:tcPr>
            <w:tcW w:w="1075" w:type="dxa"/>
            <w:shd w:val="clear" w:color="auto" w:fill="auto"/>
            <w:vAlign w:val="center"/>
          </w:tcPr>
          <w:p w14:paraId="70508021"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500</w:t>
            </w:r>
          </w:p>
        </w:tc>
        <w:tc>
          <w:tcPr>
            <w:tcW w:w="1073" w:type="dxa"/>
            <w:shd w:val="clear" w:color="auto" w:fill="auto"/>
            <w:vAlign w:val="center"/>
          </w:tcPr>
          <w:p w14:paraId="5B506048"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300</w:t>
            </w:r>
          </w:p>
        </w:tc>
      </w:tr>
      <w:tr w:rsidR="00737EB2" w:rsidRPr="00765F6E" w14:paraId="08A439F5" w14:textId="77777777" w:rsidTr="00871D47">
        <w:trPr>
          <w:trHeight w:val="176"/>
          <w:jc w:val="center"/>
        </w:trPr>
        <w:tc>
          <w:tcPr>
            <w:tcW w:w="807" w:type="dxa"/>
            <w:vMerge w:val="restart"/>
            <w:shd w:val="clear" w:color="auto" w:fill="auto"/>
            <w:vAlign w:val="center"/>
          </w:tcPr>
          <w:p w14:paraId="201E867B"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8</w:t>
            </w:r>
          </w:p>
        </w:tc>
        <w:tc>
          <w:tcPr>
            <w:tcW w:w="3194" w:type="dxa"/>
            <w:vMerge w:val="restart"/>
            <w:shd w:val="clear" w:color="auto" w:fill="auto"/>
            <w:vAlign w:val="center"/>
          </w:tcPr>
          <w:p w14:paraId="4E19DE18" w14:textId="77777777" w:rsidR="00737EB2" w:rsidRPr="00765F6E" w:rsidRDefault="00737EB2" w:rsidP="00871D47">
            <w:pPr>
              <w:spacing w:line="220" w:lineRule="exact"/>
              <w:jc w:val="center"/>
              <w:rPr>
                <w:rFonts w:ascii="宋体" w:hAnsi="宋体"/>
                <w:sz w:val="18"/>
                <w:szCs w:val="18"/>
              </w:rPr>
            </w:pPr>
            <w:r w:rsidRPr="00765F6E">
              <w:rPr>
                <w:rFonts w:ascii="宋体" w:hAnsi="宋体" w:hint="eastAsia"/>
                <w:sz w:val="18"/>
                <w:szCs w:val="18"/>
              </w:rPr>
              <w:t>分相锚段关节两接触悬挂间的间隙（适用于任何高程）</w:t>
            </w:r>
          </w:p>
        </w:tc>
        <w:tc>
          <w:tcPr>
            <w:tcW w:w="3195" w:type="dxa"/>
            <w:gridSpan w:val="2"/>
            <w:shd w:val="clear" w:color="auto" w:fill="auto"/>
            <w:vAlign w:val="center"/>
          </w:tcPr>
          <w:p w14:paraId="516A2E83" w14:textId="77777777" w:rsidR="00737EB2" w:rsidRPr="00765F6E" w:rsidRDefault="00737EB2" w:rsidP="00871D47">
            <w:pPr>
              <w:spacing w:line="220" w:lineRule="exact"/>
              <w:jc w:val="center"/>
              <w:rPr>
                <w:rFonts w:ascii="宋体" w:hAnsi="宋体"/>
                <w:sz w:val="18"/>
                <w:szCs w:val="18"/>
              </w:rPr>
            </w:pPr>
            <w:r w:rsidRPr="00765F6E">
              <w:rPr>
                <w:rFonts w:ascii="宋体" w:hAnsi="宋体" w:hint="eastAsia"/>
                <w:sz w:val="18"/>
                <w:szCs w:val="18"/>
              </w:rPr>
              <w:t>120°相位，相间电压43.3kV</w:t>
            </w:r>
          </w:p>
        </w:tc>
        <w:tc>
          <w:tcPr>
            <w:tcW w:w="1075" w:type="dxa"/>
            <w:shd w:val="clear" w:color="auto" w:fill="auto"/>
            <w:vAlign w:val="center"/>
          </w:tcPr>
          <w:p w14:paraId="718731BA" w14:textId="77777777" w:rsidR="00737EB2" w:rsidRPr="00765F6E" w:rsidRDefault="00737EB2" w:rsidP="00871D47">
            <w:pPr>
              <w:spacing w:line="220" w:lineRule="exact"/>
              <w:jc w:val="center"/>
              <w:rPr>
                <w:rFonts w:ascii="宋体" w:hAnsi="宋体"/>
                <w:sz w:val="18"/>
                <w:szCs w:val="18"/>
              </w:rPr>
            </w:pPr>
            <w:r w:rsidRPr="00765F6E">
              <w:rPr>
                <w:rFonts w:ascii="宋体" w:hAnsi="宋体" w:hint="eastAsia"/>
                <w:sz w:val="18"/>
                <w:szCs w:val="18"/>
              </w:rPr>
              <w:t>400</w:t>
            </w:r>
          </w:p>
        </w:tc>
        <w:tc>
          <w:tcPr>
            <w:tcW w:w="1073" w:type="dxa"/>
            <w:shd w:val="clear" w:color="auto" w:fill="auto"/>
            <w:vAlign w:val="center"/>
          </w:tcPr>
          <w:p w14:paraId="6A8B9A1D" w14:textId="39FDC5BB" w:rsidR="00737EB2" w:rsidRPr="00765F6E" w:rsidRDefault="00C90275" w:rsidP="00871D47">
            <w:pPr>
              <w:spacing w:line="220" w:lineRule="exact"/>
              <w:jc w:val="center"/>
              <w:rPr>
                <w:rFonts w:ascii="宋体" w:hAnsi="宋体"/>
                <w:sz w:val="18"/>
                <w:szCs w:val="18"/>
              </w:rPr>
            </w:pPr>
            <w:r>
              <w:rPr>
                <w:rFonts w:ascii="宋体" w:hAnsi="宋体"/>
                <w:sz w:val="18"/>
                <w:szCs w:val="18"/>
              </w:rPr>
              <w:t>-</w:t>
            </w:r>
          </w:p>
        </w:tc>
      </w:tr>
      <w:tr w:rsidR="00737EB2" w:rsidRPr="00765F6E" w14:paraId="3EA3A1FA" w14:textId="77777777" w:rsidTr="00871D47">
        <w:trPr>
          <w:trHeight w:val="176"/>
          <w:jc w:val="center"/>
        </w:trPr>
        <w:tc>
          <w:tcPr>
            <w:tcW w:w="807" w:type="dxa"/>
            <w:vMerge/>
            <w:tcBorders>
              <w:bottom w:val="single" w:sz="8" w:space="0" w:color="auto"/>
            </w:tcBorders>
            <w:shd w:val="clear" w:color="auto" w:fill="auto"/>
            <w:vAlign w:val="center"/>
          </w:tcPr>
          <w:p w14:paraId="1F50234E" w14:textId="77777777" w:rsidR="00737EB2" w:rsidRPr="00765F6E" w:rsidRDefault="00737EB2" w:rsidP="00871D47">
            <w:pPr>
              <w:spacing w:line="220" w:lineRule="exact"/>
              <w:jc w:val="center"/>
              <w:rPr>
                <w:rFonts w:ascii="宋体" w:hAnsi="宋体"/>
                <w:sz w:val="18"/>
                <w:szCs w:val="18"/>
              </w:rPr>
            </w:pPr>
          </w:p>
        </w:tc>
        <w:tc>
          <w:tcPr>
            <w:tcW w:w="3194" w:type="dxa"/>
            <w:vMerge/>
            <w:tcBorders>
              <w:bottom w:val="single" w:sz="8" w:space="0" w:color="auto"/>
            </w:tcBorders>
            <w:shd w:val="clear" w:color="auto" w:fill="auto"/>
            <w:vAlign w:val="center"/>
          </w:tcPr>
          <w:p w14:paraId="60671CC2" w14:textId="77777777" w:rsidR="00737EB2" w:rsidRPr="00765F6E" w:rsidRDefault="00737EB2" w:rsidP="00871D47">
            <w:pPr>
              <w:spacing w:line="220" w:lineRule="exact"/>
              <w:jc w:val="center"/>
              <w:rPr>
                <w:rFonts w:ascii="宋体" w:hAnsi="宋体"/>
                <w:sz w:val="18"/>
                <w:szCs w:val="18"/>
              </w:rPr>
            </w:pPr>
          </w:p>
        </w:tc>
        <w:tc>
          <w:tcPr>
            <w:tcW w:w="3195" w:type="dxa"/>
            <w:gridSpan w:val="2"/>
            <w:tcBorders>
              <w:bottom w:val="single" w:sz="8" w:space="0" w:color="auto"/>
            </w:tcBorders>
            <w:shd w:val="clear" w:color="auto" w:fill="auto"/>
            <w:vAlign w:val="center"/>
          </w:tcPr>
          <w:p w14:paraId="6EC72BDF" w14:textId="77777777" w:rsidR="00737EB2" w:rsidRPr="00765F6E" w:rsidRDefault="00737EB2" w:rsidP="00871D47">
            <w:pPr>
              <w:spacing w:line="220" w:lineRule="exact"/>
              <w:jc w:val="center"/>
              <w:rPr>
                <w:rFonts w:ascii="宋体" w:hAnsi="宋体"/>
                <w:sz w:val="18"/>
                <w:szCs w:val="18"/>
              </w:rPr>
            </w:pPr>
            <w:r w:rsidRPr="00765F6E">
              <w:rPr>
                <w:rFonts w:ascii="宋体" w:hAnsi="宋体" w:hint="eastAsia"/>
                <w:sz w:val="18"/>
                <w:szCs w:val="18"/>
              </w:rPr>
              <w:t>180°相位，相间电压50kV</w:t>
            </w:r>
          </w:p>
        </w:tc>
        <w:tc>
          <w:tcPr>
            <w:tcW w:w="1075" w:type="dxa"/>
            <w:tcBorders>
              <w:bottom w:val="single" w:sz="8" w:space="0" w:color="auto"/>
            </w:tcBorders>
            <w:shd w:val="clear" w:color="auto" w:fill="auto"/>
            <w:vAlign w:val="center"/>
          </w:tcPr>
          <w:p w14:paraId="69EAEB57" w14:textId="77777777" w:rsidR="00737EB2" w:rsidRPr="00765F6E" w:rsidRDefault="00737EB2" w:rsidP="00871D47">
            <w:pPr>
              <w:spacing w:line="220" w:lineRule="exact"/>
              <w:jc w:val="center"/>
              <w:rPr>
                <w:rFonts w:ascii="宋体" w:hAnsi="宋体"/>
                <w:sz w:val="18"/>
                <w:szCs w:val="18"/>
              </w:rPr>
            </w:pPr>
            <w:r w:rsidRPr="00765F6E">
              <w:rPr>
                <w:rFonts w:ascii="宋体" w:hAnsi="宋体" w:hint="eastAsia"/>
                <w:sz w:val="18"/>
                <w:szCs w:val="18"/>
              </w:rPr>
              <w:t>540</w:t>
            </w:r>
          </w:p>
        </w:tc>
        <w:tc>
          <w:tcPr>
            <w:tcW w:w="1073" w:type="dxa"/>
            <w:tcBorders>
              <w:bottom w:val="single" w:sz="8" w:space="0" w:color="auto"/>
            </w:tcBorders>
            <w:shd w:val="clear" w:color="auto" w:fill="auto"/>
            <w:vAlign w:val="center"/>
          </w:tcPr>
          <w:p w14:paraId="74536702" w14:textId="5797574C" w:rsidR="00737EB2" w:rsidRPr="00765F6E" w:rsidRDefault="00C90275" w:rsidP="00871D47">
            <w:pPr>
              <w:spacing w:line="220" w:lineRule="exact"/>
              <w:jc w:val="center"/>
              <w:rPr>
                <w:rFonts w:ascii="宋体" w:hAnsi="宋体"/>
                <w:sz w:val="18"/>
                <w:szCs w:val="18"/>
              </w:rPr>
            </w:pPr>
            <w:r>
              <w:rPr>
                <w:rFonts w:ascii="宋体" w:hAnsi="宋体"/>
                <w:sz w:val="18"/>
                <w:szCs w:val="18"/>
              </w:rPr>
              <w:t>-</w:t>
            </w:r>
          </w:p>
        </w:tc>
      </w:tr>
    </w:tbl>
    <w:p w14:paraId="0D2B3A86" w14:textId="77777777" w:rsidR="00737EB2" w:rsidRPr="00765F6E" w:rsidRDefault="00737EB2" w:rsidP="00737EB2">
      <w:pPr>
        <w:pStyle w:val="aff3"/>
        <w:spacing w:before="156" w:after="156"/>
      </w:pPr>
      <w:r w:rsidRPr="00765F6E">
        <w:rPr>
          <w:rFonts w:hint="eastAsia"/>
        </w:rPr>
        <w:t>AC27.5kV制式附加导线对地面及相互间最小距离</w:t>
      </w:r>
    </w:p>
    <w:p w14:paraId="4E70CB9E" w14:textId="77777777" w:rsidR="00737EB2" w:rsidRPr="00765F6E" w:rsidRDefault="00737EB2" w:rsidP="00737EB2">
      <w:pPr>
        <w:spacing w:line="220" w:lineRule="exact"/>
        <w:jc w:val="right"/>
        <w:rPr>
          <w:rFonts w:ascii="宋体" w:hAnsi="宋体"/>
          <w:sz w:val="18"/>
          <w:szCs w:val="18"/>
        </w:rPr>
      </w:pPr>
      <w:r w:rsidRPr="00765F6E">
        <w:rPr>
          <w:rFonts w:ascii="宋体" w:hAnsi="宋体" w:hint="eastAsia"/>
          <w:sz w:val="18"/>
          <w:szCs w:val="18"/>
        </w:rPr>
        <w:t>单位为毫米</w:t>
      </w:r>
    </w:p>
    <w:tbl>
      <w:tblPr>
        <w:tblW w:w="9344"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551"/>
        <w:gridCol w:w="1854"/>
        <w:gridCol w:w="4838"/>
        <w:gridCol w:w="1058"/>
        <w:gridCol w:w="1043"/>
      </w:tblGrid>
      <w:tr w:rsidR="00737EB2" w:rsidRPr="00765F6E" w14:paraId="36A35FAE" w14:textId="77777777" w:rsidTr="00871D47">
        <w:trPr>
          <w:cantSplit/>
          <w:trHeight w:val="176"/>
          <w:tblHeader/>
        </w:trPr>
        <w:tc>
          <w:tcPr>
            <w:tcW w:w="551" w:type="dxa"/>
            <w:tcBorders>
              <w:top w:val="single" w:sz="8" w:space="0" w:color="auto"/>
              <w:bottom w:val="single" w:sz="8" w:space="0" w:color="auto"/>
            </w:tcBorders>
            <w:shd w:val="clear" w:color="auto" w:fill="auto"/>
            <w:tcMar>
              <w:left w:w="28" w:type="dxa"/>
              <w:right w:w="28" w:type="dxa"/>
            </w:tcMar>
            <w:vAlign w:val="center"/>
          </w:tcPr>
          <w:p w14:paraId="58405B4B"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序号</w:t>
            </w:r>
          </w:p>
        </w:tc>
        <w:tc>
          <w:tcPr>
            <w:tcW w:w="6692" w:type="dxa"/>
            <w:gridSpan w:val="2"/>
            <w:tcBorders>
              <w:top w:val="single" w:sz="8" w:space="0" w:color="auto"/>
              <w:bottom w:val="single" w:sz="8" w:space="0" w:color="auto"/>
            </w:tcBorders>
            <w:shd w:val="clear" w:color="auto" w:fill="auto"/>
            <w:tcMar>
              <w:left w:w="28" w:type="dxa"/>
              <w:right w:w="28" w:type="dxa"/>
            </w:tcMar>
            <w:vAlign w:val="center"/>
          </w:tcPr>
          <w:p w14:paraId="37FB1F7E"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有关情况</w:t>
            </w:r>
          </w:p>
        </w:tc>
        <w:tc>
          <w:tcPr>
            <w:tcW w:w="1058" w:type="dxa"/>
            <w:tcBorders>
              <w:top w:val="single" w:sz="8" w:space="0" w:color="auto"/>
              <w:bottom w:val="single" w:sz="8" w:space="0" w:color="auto"/>
            </w:tcBorders>
            <w:shd w:val="clear" w:color="auto" w:fill="auto"/>
            <w:tcMar>
              <w:left w:w="28" w:type="dxa"/>
              <w:right w:w="28" w:type="dxa"/>
            </w:tcMar>
            <w:vAlign w:val="center"/>
          </w:tcPr>
          <w:p w14:paraId="37F3F70C"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供电线</w:t>
            </w:r>
            <w:r w:rsidRPr="00765F6E">
              <w:rPr>
                <w:rFonts w:ascii="宋体" w:hAnsi="宋体" w:hint="eastAsia"/>
                <w:sz w:val="18"/>
                <w:szCs w:val="18"/>
              </w:rPr>
              <w:t>、</w:t>
            </w:r>
          </w:p>
          <w:p w14:paraId="25594BC5" w14:textId="77777777" w:rsidR="00737EB2" w:rsidRPr="00765F6E" w:rsidRDefault="00737EB2" w:rsidP="00871D47">
            <w:pPr>
              <w:spacing w:line="220" w:lineRule="exact"/>
              <w:jc w:val="center"/>
              <w:rPr>
                <w:rFonts w:ascii="宋体" w:hAnsi="宋体"/>
                <w:sz w:val="18"/>
                <w:szCs w:val="18"/>
              </w:rPr>
            </w:pPr>
            <w:r w:rsidRPr="00765F6E">
              <w:rPr>
                <w:rFonts w:ascii="宋体" w:hAnsi="宋体" w:hint="eastAsia"/>
                <w:sz w:val="18"/>
                <w:szCs w:val="18"/>
              </w:rPr>
              <w:t>加强线</w:t>
            </w:r>
          </w:p>
        </w:tc>
        <w:tc>
          <w:tcPr>
            <w:tcW w:w="1043" w:type="dxa"/>
            <w:tcBorders>
              <w:top w:val="single" w:sz="8" w:space="0" w:color="auto"/>
              <w:bottom w:val="single" w:sz="8" w:space="0" w:color="auto"/>
            </w:tcBorders>
            <w:shd w:val="clear" w:color="auto" w:fill="auto"/>
            <w:tcMar>
              <w:left w:w="28" w:type="dxa"/>
              <w:right w:w="28" w:type="dxa"/>
            </w:tcMar>
            <w:vAlign w:val="center"/>
          </w:tcPr>
          <w:p w14:paraId="6DBC982F"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回流线、</w:t>
            </w:r>
          </w:p>
          <w:p w14:paraId="7727382F"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架空地线</w:t>
            </w:r>
          </w:p>
        </w:tc>
      </w:tr>
      <w:tr w:rsidR="00737EB2" w:rsidRPr="00765F6E" w14:paraId="2BA16EF3" w14:textId="77777777" w:rsidTr="00871D47">
        <w:trPr>
          <w:cantSplit/>
          <w:trHeight w:val="176"/>
        </w:trPr>
        <w:tc>
          <w:tcPr>
            <w:tcW w:w="551" w:type="dxa"/>
            <w:vMerge w:val="restart"/>
            <w:tcBorders>
              <w:top w:val="single" w:sz="8" w:space="0" w:color="auto"/>
            </w:tcBorders>
            <w:shd w:val="clear" w:color="auto" w:fill="auto"/>
            <w:tcMar>
              <w:left w:w="28" w:type="dxa"/>
              <w:right w:w="28" w:type="dxa"/>
            </w:tcMar>
            <w:vAlign w:val="center"/>
          </w:tcPr>
          <w:p w14:paraId="349A72C0"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1</w:t>
            </w:r>
          </w:p>
        </w:tc>
        <w:tc>
          <w:tcPr>
            <w:tcW w:w="1854" w:type="dxa"/>
            <w:vMerge w:val="restart"/>
            <w:tcBorders>
              <w:top w:val="single" w:sz="8" w:space="0" w:color="auto"/>
            </w:tcBorders>
            <w:shd w:val="clear" w:color="auto" w:fill="auto"/>
            <w:tcMar>
              <w:left w:w="28" w:type="dxa"/>
              <w:right w:w="28" w:type="dxa"/>
            </w:tcMar>
            <w:vAlign w:val="center"/>
          </w:tcPr>
          <w:p w14:paraId="2430EFBE"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导线在最大弛度</w:t>
            </w:r>
          </w:p>
          <w:p w14:paraId="046A0426"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时距地面的高度</w:t>
            </w:r>
          </w:p>
        </w:tc>
        <w:tc>
          <w:tcPr>
            <w:tcW w:w="4838" w:type="dxa"/>
            <w:tcBorders>
              <w:top w:val="single" w:sz="8" w:space="0" w:color="auto"/>
            </w:tcBorders>
            <w:shd w:val="clear" w:color="auto" w:fill="auto"/>
            <w:tcMar>
              <w:left w:w="28" w:type="dxa"/>
              <w:right w:w="28" w:type="dxa"/>
            </w:tcMar>
            <w:vAlign w:val="center"/>
          </w:tcPr>
          <w:p w14:paraId="722DDB27"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居民区及车站站台处</w:t>
            </w:r>
          </w:p>
        </w:tc>
        <w:tc>
          <w:tcPr>
            <w:tcW w:w="1058" w:type="dxa"/>
            <w:tcBorders>
              <w:top w:val="single" w:sz="8" w:space="0" w:color="auto"/>
            </w:tcBorders>
            <w:shd w:val="clear" w:color="auto" w:fill="auto"/>
            <w:tcMar>
              <w:left w:w="28" w:type="dxa"/>
              <w:right w:w="28" w:type="dxa"/>
            </w:tcMar>
            <w:vAlign w:val="center"/>
          </w:tcPr>
          <w:p w14:paraId="643D4D98"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7000</w:t>
            </w:r>
          </w:p>
        </w:tc>
        <w:tc>
          <w:tcPr>
            <w:tcW w:w="1043" w:type="dxa"/>
            <w:tcBorders>
              <w:top w:val="single" w:sz="8" w:space="0" w:color="auto"/>
            </w:tcBorders>
            <w:shd w:val="clear" w:color="auto" w:fill="auto"/>
            <w:tcMar>
              <w:left w:w="28" w:type="dxa"/>
              <w:right w:w="28" w:type="dxa"/>
            </w:tcMar>
            <w:vAlign w:val="center"/>
          </w:tcPr>
          <w:p w14:paraId="1ED6A5C0"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6000</w:t>
            </w:r>
          </w:p>
        </w:tc>
      </w:tr>
      <w:tr w:rsidR="00737EB2" w:rsidRPr="00765F6E" w14:paraId="4722D1A4" w14:textId="77777777" w:rsidTr="00871D47">
        <w:trPr>
          <w:cantSplit/>
          <w:trHeight w:val="176"/>
        </w:trPr>
        <w:tc>
          <w:tcPr>
            <w:tcW w:w="551" w:type="dxa"/>
            <w:vMerge/>
            <w:shd w:val="clear" w:color="auto" w:fill="auto"/>
            <w:tcMar>
              <w:left w:w="28" w:type="dxa"/>
              <w:right w:w="28" w:type="dxa"/>
            </w:tcMar>
            <w:vAlign w:val="center"/>
          </w:tcPr>
          <w:p w14:paraId="6B2A1C98" w14:textId="77777777" w:rsidR="00737EB2" w:rsidRPr="00765F6E" w:rsidRDefault="00737EB2" w:rsidP="00871D47">
            <w:pPr>
              <w:spacing w:line="220" w:lineRule="exact"/>
              <w:jc w:val="center"/>
              <w:rPr>
                <w:rFonts w:ascii="宋体" w:hAnsi="宋体"/>
                <w:sz w:val="18"/>
                <w:szCs w:val="18"/>
              </w:rPr>
            </w:pPr>
          </w:p>
        </w:tc>
        <w:tc>
          <w:tcPr>
            <w:tcW w:w="1854" w:type="dxa"/>
            <w:vMerge/>
            <w:shd w:val="clear" w:color="auto" w:fill="auto"/>
            <w:tcMar>
              <w:left w:w="28" w:type="dxa"/>
              <w:right w:w="28" w:type="dxa"/>
            </w:tcMar>
            <w:vAlign w:val="center"/>
          </w:tcPr>
          <w:p w14:paraId="4997D586" w14:textId="77777777" w:rsidR="00737EB2" w:rsidRPr="00765F6E" w:rsidRDefault="00737EB2" w:rsidP="00871D47">
            <w:pPr>
              <w:spacing w:line="220" w:lineRule="exact"/>
              <w:jc w:val="center"/>
              <w:rPr>
                <w:rFonts w:ascii="宋体" w:hAnsi="宋体"/>
                <w:sz w:val="18"/>
                <w:szCs w:val="18"/>
              </w:rPr>
            </w:pPr>
          </w:p>
        </w:tc>
        <w:tc>
          <w:tcPr>
            <w:tcW w:w="4838" w:type="dxa"/>
            <w:shd w:val="clear" w:color="auto" w:fill="auto"/>
            <w:tcMar>
              <w:left w:w="28" w:type="dxa"/>
              <w:right w:w="28" w:type="dxa"/>
            </w:tcMar>
            <w:vAlign w:val="center"/>
          </w:tcPr>
          <w:p w14:paraId="60E75B81"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非居民区</w:t>
            </w:r>
          </w:p>
        </w:tc>
        <w:tc>
          <w:tcPr>
            <w:tcW w:w="1058" w:type="dxa"/>
            <w:shd w:val="clear" w:color="auto" w:fill="auto"/>
            <w:tcMar>
              <w:left w:w="28" w:type="dxa"/>
              <w:right w:w="28" w:type="dxa"/>
            </w:tcMar>
            <w:vAlign w:val="center"/>
          </w:tcPr>
          <w:p w14:paraId="26AE5E4C"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6000</w:t>
            </w:r>
          </w:p>
        </w:tc>
        <w:tc>
          <w:tcPr>
            <w:tcW w:w="1043" w:type="dxa"/>
            <w:shd w:val="clear" w:color="auto" w:fill="auto"/>
            <w:tcMar>
              <w:left w:w="28" w:type="dxa"/>
              <w:right w:w="28" w:type="dxa"/>
            </w:tcMar>
            <w:vAlign w:val="center"/>
          </w:tcPr>
          <w:p w14:paraId="0A645BCF"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5000</w:t>
            </w:r>
          </w:p>
        </w:tc>
      </w:tr>
      <w:tr w:rsidR="00737EB2" w:rsidRPr="00765F6E" w14:paraId="6E9064FA" w14:textId="77777777" w:rsidTr="00871D47">
        <w:trPr>
          <w:cantSplit/>
          <w:trHeight w:val="176"/>
        </w:trPr>
        <w:tc>
          <w:tcPr>
            <w:tcW w:w="551" w:type="dxa"/>
            <w:vMerge/>
            <w:shd w:val="clear" w:color="auto" w:fill="auto"/>
            <w:tcMar>
              <w:left w:w="28" w:type="dxa"/>
              <w:right w:w="28" w:type="dxa"/>
            </w:tcMar>
            <w:vAlign w:val="center"/>
          </w:tcPr>
          <w:p w14:paraId="1DD15852" w14:textId="77777777" w:rsidR="00737EB2" w:rsidRPr="00765F6E" w:rsidRDefault="00737EB2" w:rsidP="00871D47">
            <w:pPr>
              <w:spacing w:line="220" w:lineRule="exact"/>
              <w:jc w:val="center"/>
              <w:rPr>
                <w:rFonts w:ascii="宋体" w:hAnsi="宋体"/>
                <w:sz w:val="18"/>
                <w:szCs w:val="18"/>
              </w:rPr>
            </w:pPr>
          </w:p>
        </w:tc>
        <w:tc>
          <w:tcPr>
            <w:tcW w:w="1854" w:type="dxa"/>
            <w:vMerge/>
            <w:shd w:val="clear" w:color="auto" w:fill="auto"/>
            <w:tcMar>
              <w:left w:w="28" w:type="dxa"/>
              <w:right w:w="28" w:type="dxa"/>
            </w:tcMar>
            <w:vAlign w:val="center"/>
          </w:tcPr>
          <w:p w14:paraId="0336102B" w14:textId="77777777" w:rsidR="00737EB2" w:rsidRPr="00765F6E" w:rsidRDefault="00737EB2" w:rsidP="00871D47">
            <w:pPr>
              <w:spacing w:line="220" w:lineRule="exact"/>
              <w:jc w:val="center"/>
              <w:rPr>
                <w:rFonts w:ascii="宋体" w:hAnsi="宋体"/>
                <w:sz w:val="18"/>
                <w:szCs w:val="18"/>
              </w:rPr>
            </w:pPr>
          </w:p>
        </w:tc>
        <w:tc>
          <w:tcPr>
            <w:tcW w:w="4838" w:type="dxa"/>
            <w:shd w:val="clear" w:color="auto" w:fill="auto"/>
            <w:tcMar>
              <w:left w:w="28" w:type="dxa"/>
              <w:right w:w="28" w:type="dxa"/>
            </w:tcMar>
            <w:vAlign w:val="center"/>
          </w:tcPr>
          <w:p w14:paraId="4C16F4F2"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车辆、农用机械不能到达的山坡峭壁、挡土墙和岩石</w:t>
            </w:r>
          </w:p>
        </w:tc>
        <w:tc>
          <w:tcPr>
            <w:tcW w:w="1058" w:type="dxa"/>
            <w:shd w:val="clear" w:color="auto" w:fill="auto"/>
            <w:tcMar>
              <w:left w:w="28" w:type="dxa"/>
              <w:right w:w="28" w:type="dxa"/>
            </w:tcMar>
            <w:vAlign w:val="center"/>
          </w:tcPr>
          <w:p w14:paraId="27BFD204"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5000</w:t>
            </w:r>
          </w:p>
        </w:tc>
        <w:tc>
          <w:tcPr>
            <w:tcW w:w="1043" w:type="dxa"/>
            <w:shd w:val="clear" w:color="auto" w:fill="auto"/>
            <w:tcMar>
              <w:left w:w="28" w:type="dxa"/>
              <w:right w:w="28" w:type="dxa"/>
            </w:tcMar>
            <w:vAlign w:val="center"/>
          </w:tcPr>
          <w:p w14:paraId="04E8B5BA"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4000</w:t>
            </w:r>
          </w:p>
        </w:tc>
      </w:tr>
      <w:tr w:rsidR="00737EB2" w:rsidRPr="00765F6E" w14:paraId="206F592E" w14:textId="77777777" w:rsidTr="00871D47">
        <w:trPr>
          <w:cantSplit/>
          <w:trHeight w:val="176"/>
        </w:trPr>
        <w:tc>
          <w:tcPr>
            <w:tcW w:w="551" w:type="dxa"/>
            <w:vMerge w:val="restart"/>
            <w:shd w:val="clear" w:color="auto" w:fill="auto"/>
            <w:tcMar>
              <w:left w:w="28" w:type="dxa"/>
              <w:right w:w="28" w:type="dxa"/>
            </w:tcMar>
            <w:vAlign w:val="center"/>
          </w:tcPr>
          <w:p w14:paraId="347EC4CE"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2</w:t>
            </w:r>
          </w:p>
        </w:tc>
        <w:tc>
          <w:tcPr>
            <w:tcW w:w="1854" w:type="dxa"/>
            <w:vMerge w:val="restart"/>
            <w:shd w:val="clear" w:color="auto" w:fill="auto"/>
            <w:tcMar>
              <w:left w:w="28" w:type="dxa"/>
              <w:right w:w="28" w:type="dxa"/>
            </w:tcMar>
            <w:vAlign w:val="center"/>
          </w:tcPr>
          <w:p w14:paraId="7E50E195"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导线距离峭壁、</w:t>
            </w:r>
          </w:p>
          <w:p w14:paraId="7FEB0DA8"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挡土墙和岩石</w:t>
            </w:r>
          </w:p>
        </w:tc>
        <w:tc>
          <w:tcPr>
            <w:tcW w:w="4838" w:type="dxa"/>
            <w:shd w:val="clear" w:color="auto" w:fill="auto"/>
            <w:tcMar>
              <w:left w:w="28" w:type="dxa"/>
              <w:right w:w="28" w:type="dxa"/>
            </w:tcMar>
            <w:vAlign w:val="center"/>
          </w:tcPr>
          <w:p w14:paraId="7777E209"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无风时</w:t>
            </w:r>
          </w:p>
        </w:tc>
        <w:tc>
          <w:tcPr>
            <w:tcW w:w="1058" w:type="dxa"/>
            <w:shd w:val="clear" w:color="auto" w:fill="auto"/>
            <w:tcMar>
              <w:left w:w="28" w:type="dxa"/>
              <w:right w:w="28" w:type="dxa"/>
            </w:tcMar>
            <w:vAlign w:val="center"/>
          </w:tcPr>
          <w:p w14:paraId="4D2764C9"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1000</w:t>
            </w:r>
          </w:p>
        </w:tc>
        <w:tc>
          <w:tcPr>
            <w:tcW w:w="1043" w:type="dxa"/>
            <w:shd w:val="clear" w:color="auto" w:fill="auto"/>
            <w:tcMar>
              <w:left w:w="28" w:type="dxa"/>
              <w:right w:w="28" w:type="dxa"/>
            </w:tcMar>
            <w:vAlign w:val="center"/>
          </w:tcPr>
          <w:p w14:paraId="7B52540C"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500</w:t>
            </w:r>
          </w:p>
        </w:tc>
      </w:tr>
      <w:tr w:rsidR="00737EB2" w:rsidRPr="00765F6E" w14:paraId="2C5F07A5" w14:textId="77777777" w:rsidTr="00871D47">
        <w:trPr>
          <w:cantSplit/>
          <w:trHeight w:val="176"/>
        </w:trPr>
        <w:tc>
          <w:tcPr>
            <w:tcW w:w="551" w:type="dxa"/>
            <w:vMerge/>
            <w:shd w:val="clear" w:color="auto" w:fill="auto"/>
            <w:tcMar>
              <w:left w:w="28" w:type="dxa"/>
              <w:right w:w="28" w:type="dxa"/>
            </w:tcMar>
            <w:vAlign w:val="center"/>
          </w:tcPr>
          <w:p w14:paraId="6ABD0742" w14:textId="77777777" w:rsidR="00737EB2" w:rsidRPr="00765F6E" w:rsidRDefault="00737EB2" w:rsidP="00871D47">
            <w:pPr>
              <w:spacing w:line="220" w:lineRule="exact"/>
              <w:jc w:val="center"/>
              <w:rPr>
                <w:rFonts w:ascii="宋体" w:hAnsi="宋体"/>
                <w:sz w:val="18"/>
                <w:szCs w:val="18"/>
              </w:rPr>
            </w:pPr>
          </w:p>
        </w:tc>
        <w:tc>
          <w:tcPr>
            <w:tcW w:w="1854" w:type="dxa"/>
            <w:vMerge/>
            <w:shd w:val="clear" w:color="auto" w:fill="auto"/>
            <w:tcMar>
              <w:left w:w="28" w:type="dxa"/>
              <w:right w:w="28" w:type="dxa"/>
            </w:tcMar>
            <w:vAlign w:val="center"/>
          </w:tcPr>
          <w:p w14:paraId="70CC6F1A" w14:textId="77777777" w:rsidR="00737EB2" w:rsidRPr="00765F6E" w:rsidRDefault="00737EB2" w:rsidP="00871D47">
            <w:pPr>
              <w:spacing w:line="220" w:lineRule="exact"/>
              <w:jc w:val="center"/>
              <w:rPr>
                <w:rFonts w:ascii="宋体" w:hAnsi="宋体"/>
                <w:sz w:val="18"/>
                <w:szCs w:val="18"/>
              </w:rPr>
            </w:pPr>
          </w:p>
        </w:tc>
        <w:tc>
          <w:tcPr>
            <w:tcW w:w="4838" w:type="dxa"/>
            <w:shd w:val="clear" w:color="auto" w:fill="auto"/>
            <w:tcMar>
              <w:left w:w="28" w:type="dxa"/>
              <w:right w:w="28" w:type="dxa"/>
            </w:tcMar>
            <w:vAlign w:val="center"/>
          </w:tcPr>
          <w:p w14:paraId="6DCF2982"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计算最大风偏时</w:t>
            </w:r>
          </w:p>
        </w:tc>
        <w:tc>
          <w:tcPr>
            <w:tcW w:w="1058" w:type="dxa"/>
            <w:shd w:val="clear" w:color="auto" w:fill="auto"/>
            <w:tcMar>
              <w:left w:w="28" w:type="dxa"/>
              <w:right w:w="28" w:type="dxa"/>
            </w:tcMar>
            <w:vAlign w:val="center"/>
          </w:tcPr>
          <w:p w14:paraId="3F78642D"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300</w:t>
            </w:r>
          </w:p>
        </w:tc>
        <w:tc>
          <w:tcPr>
            <w:tcW w:w="1043" w:type="dxa"/>
            <w:shd w:val="clear" w:color="auto" w:fill="auto"/>
            <w:tcMar>
              <w:left w:w="28" w:type="dxa"/>
              <w:right w:w="28" w:type="dxa"/>
            </w:tcMar>
            <w:vAlign w:val="center"/>
          </w:tcPr>
          <w:p w14:paraId="08A7E73F"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75</w:t>
            </w:r>
          </w:p>
        </w:tc>
      </w:tr>
      <w:tr w:rsidR="00737EB2" w:rsidRPr="00765F6E" w14:paraId="4F8EC86B" w14:textId="77777777" w:rsidTr="00871D47">
        <w:trPr>
          <w:cantSplit/>
          <w:trHeight w:val="176"/>
        </w:trPr>
        <w:tc>
          <w:tcPr>
            <w:tcW w:w="551" w:type="dxa"/>
            <w:vMerge w:val="restart"/>
            <w:shd w:val="clear" w:color="auto" w:fill="auto"/>
            <w:tcMar>
              <w:left w:w="28" w:type="dxa"/>
              <w:right w:w="28" w:type="dxa"/>
            </w:tcMar>
            <w:vAlign w:val="center"/>
          </w:tcPr>
          <w:p w14:paraId="54B521C7"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3</w:t>
            </w:r>
          </w:p>
        </w:tc>
        <w:tc>
          <w:tcPr>
            <w:tcW w:w="1854" w:type="dxa"/>
            <w:vMerge w:val="restart"/>
            <w:shd w:val="clear" w:color="auto" w:fill="auto"/>
            <w:tcMar>
              <w:left w:w="28" w:type="dxa"/>
              <w:right w:w="28" w:type="dxa"/>
            </w:tcMar>
            <w:vAlign w:val="center"/>
          </w:tcPr>
          <w:p w14:paraId="43DDAB28"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导线跨越铁路时</w:t>
            </w:r>
          </w:p>
        </w:tc>
        <w:tc>
          <w:tcPr>
            <w:tcW w:w="4838" w:type="dxa"/>
            <w:shd w:val="clear" w:color="auto" w:fill="auto"/>
            <w:tcMar>
              <w:left w:w="28" w:type="dxa"/>
              <w:right w:w="28" w:type="dxa"/>
            </w:tcMar>
            <w:vAlign w:val="center"/>
          </w:tcPr>
          <w:p w14:paraId="29FBEB89"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跨越非电气化股道时（距轨面）</w:t>
            </w:r>
          </w:p>
        </w:tc>
        <w:tc>
          <w:tcPr>
            <w:tcW w:w="1058" w:type="dxa"/>
            <w:shd w:val="clear" w:color="auto" w:fill="auto"/>
            <w:tcMar>
              <w:left w:w="28" w:type="dxa"/>
              <w:right w:w="28" w:type="dxa"/>
            </w:tcMar>
            <w:vAlign w:val="center"/>
          </w:tcPr>
          <w:p w14:paraId="40879D9E"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7500</w:t>
            </w:r>
          </w:p>
        </w:tc>
        <w:tc>
          <w:tcPr>
            <w:tcW w:w="1043" w:type="dxa"/>
            <w:shd w:val="clear" w:color="auto" w:fill="auto"/>
            <w:tcMar>
              <w:left w:w="28" w:type="dxa"/>
              <w:right w:w="28" w:type="dxa"/>
            </w:tcMar>
            <w:vAlign w:val="center"/>
          </w:tcPr>
          <w:p w14:paraId="2DB68EBE"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7500</w:t>
            </w:r>
          </w:p>
        </w:tc>
      </w:tr>
      <w:tr w:rsidR="00737EB2" w:rsidRPr="00765F6E" w14:paraId="76B352F2" w14:textId="77777777" w:rsidTr="00871D47">
        <w:trPr>
          <w:cantSplit/>
          <w:trHeight w:val="176"/>
        </w:trPr>
        <w:tc>
          <w:tcPr>
            <w:tcW w:w="551" w:type="dxa"/>
            <w:vMerge/>
            <w:shd w:val="clear" w:color="auto" w:fill="auto"/>
            <w:tcMar>
              <w:left w:w="28" w:type="dxa"/>
              <w:right w:w="28" w:type="dxa"/>
            </w:tcMar>
            <w:vAlign w:val="center"/>
          </w:tcPr>
          <w:p w14:paraId="33AB8FF5" w14:textId="77777777" w:rsidR="00737EB2" w:rsidRPr="00765F6E" w:rsidRDefault="00737EB2" w:rsidP="00871D47">
            <w:pPr>
              <w:spacing w:line="220" w:lineRule="exact"/>
              <w:jc w:val="center"/>
              <w:rPr>
                <w:rFonts w:ascii="宋体" w:hAnsi="宋体"/>
                <w:sz w:val="18"/>
                <w:szCs w:val="18"/>
              </w:rPr>
            </w:pPr>
          </w:p>
        </w:tc>
        <w:tc>
          <w:tcPr>
            <w:tcW w:w="1854" w:type="dxa"/>
            <w:vMerge/>
            <w:shd w:val="clear" w:color="auto" w:fill="auto"/>
            <w:tcMar>
              <w:left w:w="28" w:type="dxa"/>
              <w:right w:w="28" w:type="dxa"/>
            </w:tcMar>
            <w:vAlign w:val="center"/>
          </w:tcPr>
          <w:p w14:paraId="57BE70BC" w14:textId="77777777" w:rsidR="00737EB2" w:rsidRPr="00765F6E" w:rsidRDefault="00737EB2" w:rsidP="00871D47">
            <w:pPr>
              <w:spacing w:line="220" w:lineRule="exact"/>
              <w:jc w:val="center"/>
              <w:rPr>
                <w:rFonts w:ascii="宋体" w:hAnsi="宋体"/>
                <w:sz w:val="18"/>
                <w:szCs w:val="18"/>
              </w:rPr>
            </w:pPr>
          </w:p>
        </w:tc>
        <w:tc>
          <w:tcPr>
            <w:tcW w:w="4838" w:type="dxa"/>
            <w:shd w:val="clear" w:color="auto" w:fill="auto"/>
            <w:tcMar>
              <w:left w:w="28" w:type="dxa"/>
              <w:right w:w="28" w:type="dxa"/>
            </w:tcMar>
            <w:vAlign w:val="center"/>
          </w:tcPr>
          <w:p w14:paraId="3FF7C81E" w14:textId="77777777" w:rsidR="00737EB2" w:rsidRPr="00765F6E" w:rsidRDefault="00737EB2" w:rsidP="00871D47">
            <w:pPr>
              <w:spacing w:line="220" w:lineRule="exact"/>
              <w:jc w:val="center"/>
              <w:rPr>
                <w:rFonts w:ascii="宋体" w:hAnsi="宋体"/>
                <w:sz w:val="18"/>
                <w:szCs w:val="18"/>
              </w:rPr>
            </w:pPr>
            <w:r w:rsidRPr="00765F6E">
              <w:rPr>
                <w:rFonts w:ascii="宋体" w:hAnsi="宋体" w:hint="eastAsia"/>
                <w:sz w:val="18"/>
                <w:szCs w:val="18"/>
              </w:rPr>
              <w:t>跨不同回路电气化股道（对承力索或无承力索时对接触线）</w:t>
            </w:r>
          </w:p>
        </w:tc>
        <w:tc>
          <w:tcPr>
            <w:tcW w:w="1058" w:type="dxa"/>
            <w:shd w:val="clear" w:color="auto" w:fill="auto"/>
            <w:tcMar>
              <w:left w:w="28" w:type="dxa"/>
              <w:right w:w="28" w:type="dxa"/>
            </w:tcMar>
            <w:vAlign w:val="center"/>
          </w:tcPr>
          <w:p w14:paraId="1FC50F5A" w14:textId="77777777" w:rsidR="00737EB2" w:rsidRPr="00765F6E" w:rsidRDefault="00737EB2" w:rsidP="00871D47">
            <w:pPr>
              <w:spacing w:line="220" w:lineRule="exact"/>
              <w:jc w:val="center"/>
              <w:rPr>
                <w:rFonts w:ascii="宋体" w:hAnsi="宋体"/>
                <w:sz w:val="18"/>
                <w:szCs w:val="18"/>
              </w:rPr>
            </w:pPr>
            <w:r w:rsidRPr="00765F6E">
              <w:rPr>
                <w:rFonts w:ascii="宋体" w:hAnsi="宋体" w:hint="eastAsia"/>
                <w:sz w:val="18"/>
                <w:szCs w:val="18"/>
              </w:rPr>
              <w:t>3000</w:t>
            </w:r>
          </w:p>
        </w:tc>
        <w:tc>
          <w:tcPr>
            <w:tcW w:w="1043" w:type="dxa"/>
            <w:shd w:val="clear" w:color="auto" w:fill="auto"/>
            <w:tcMar>
              <w:left w:w="28" w:type="dxa"/>
              <w:right w:w="28" w:type="dxa"/>
            </w:tcMar>
            <w:vAlign w:val="center"/>
          </w:tcPr>
          <w:p w14:paraId="65EAAB1D" w14:textId="77777777" w:rsidR="00737EB2" w:rsidRPr="00765F6E" w:rsidRDefault="00737EB2" w:rsidP="00871D47">
            <w:pPr>
              <w:spacing w:line="220" w:lineRule="exact"/>
              <w:jc w:val="center"/>
              <w:rPr>
                <w:rFonts w:ascii="宋体" w:hAnsi="宋体"/>
                <w:sz w:val="18"/>
                <w:szCs w:val="18"/>
              </w:rPr>
            </w:pPr>
            <w:r w:rsidRPr="00765F6E">
              <w:rPr>
                <w:rFonts w:ascii="宋体" w:hAnsi="宋体" w:hint="eastAsia"/>
                <w:sz w:val="18"/>
                <w:szCs w:val="18"/>
              </w:rPr>
              <w:t>2000</w:t>
            </w:r>
          </w:p>
        </w:tc>
      </w:tr>
      <w:tr w:rsidR="00737EB2" w:rsidRPr="00765F6E" w14:paraId="6D71EC92" w14:textId="77777777" w:rsidTr="00871D47">
        <w:trPr>
          <w:cantSplit/>
          <w:trHeight w:val="176"/>
        </w:trPr>
        <w:tc>
          <w:tcPr>
            <w:tcW w:w="551" w:type="dxa"/>
            <w:vMerge w:val="restart"/>
            <w:shd w:val="clear" w:color="auto" w:fill="auto"/>
            <w:tcMar>
              <w:left w:w="28" w:type="dxa"/>
              <w:right w:w="28" w:type="dxa"/>
            </w:tcMar>
            <w:vAlign w:val="center"/>
          </w:tcPr>
          <w:p w14:paraId="5881FED4"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4</w:t>
            </w:r>
          </w:p>
        </w:tc>
        <w:tc>
          <w:tcPr>
            <w:tcW w:w="1854" w:type="dxa"/>
            <w:vMerge w:val="restart"/>
            <w:shd w:val="clear" w:color="auto" w:fill="auto"/>
            <w:tcMar>
              <w:left w:w="28" w:type="dxa"/>
              <w:right w:w="28" w:type="dxa"/>
            </w:tcMar>
            <w:vAlign w:val="center"/>
          </w:tcPr>
          <w:p w14:paraId="0E1A0108"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不同相或不同分段</w:t>
            </w:r>
          </w:p>
          <w:p w14:paraId="16A6469B" w14:textId="77777777" w:rsidR="00737EB2" w:rsidRPr="00765F6E" w:rsidRDefault="00737EB2" w:rsidP="00871D47">
            <w:pPr>
              <w:spacing w:line="220" w:lineRule="exact"/>
              <w:jc w:val="center"/>
              <w:rPr>
                <w:rFonts w:ascii="宋体" w:hAnsi="宋体"/>
                <w:sz w:val="18"/>
                <w:szCs w:val="18"/>
              </w:rPr>
            </w:pPr>
            <w:r w:rsidRPr="00765F6E">
              <w:rPr>
                <w:rFonts w:ascii="宋体" w:hAnsi="宋体"/>
                <w:sz w:val="18"/>
                <w:szCs w:val="18"/>
              </w:rPr>
              <w:t>两导线悬挂点间距离</w:t>
            </w:r>
          </w:p>
        </w:tc>
        <w:tc>
          <w:tcPr>
            <w:tcW w:w="4838" w:type="dxa"/>
            <w:shd w:val="clear" w:color="auto" w:fill="auto"/>
            <w:tcMar>
              <w:left w:w="28" w:type="dxa"/>
              <w:right w:w="28" w:type="dxa"/>
            </w:tcMar>
            <w:vAlign w:val="center"/>
          </w:tcPr>
          <w:p w14:paraId="03EF72B7"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sz w:val="18"/>
                <w:szCs w:val="18"/>
              </w:rPr>
              <w:t>水平排列</w:t>
            </w:r>
          </w:p>
        </w:tc>
        <w:tc>
          <w:tcPr>
            <w:tcW w:w="1058" w:type="dxa"/>
            <w:shd w:val="clear" w:color="auto" w:fill="auto"/>
            <w:tcMar>
              <w:left w:w="28" w:type="dxa"/>
              <w:right w:w="28" w:type="dxa"/>
            </w:tcMar>
            <w:vAlign w:val="center"/>
          </w:tcPr>
          <w:p w14:paraId="1410981F" w14:textId="77777777" w:rsidR="00737EB2" w:rsidRPr="00765F6E" w:rsidRDefault="00737EB2" w:rsidP="00871D47">
            <w:pPr>
              <w:spacing w:line="240" w:lineRule="auto"/>
              <w:jc w:val="center"/>
              <w:rPr>
                <w:rFonts w:ascii="宋体" w:hAnsi="宋体"/>
                <w:sz w:val="18"/>
                <w:szCs w:val="18"/>
              </w:rPr>
            </w:pPr>
            <w:r w:rsidRPr="00765F6E">
              <w:rPr>
                <w:rFonts w:ascii="宋体" w:hAnsi="宋体"/>
                <w:sz w:val="18"/>
                <w:szCs w:val="18"/>
              </w:rPr>
              <w:t>2400</w:t>
            </w:r>
          </w:p>
        </w:tc>
        <w:tc>
          <w:tcPr>
            <w:tcW w:w="1043" w:type="dxa"/>
            <w:shd w:val="clear" w:color="auto" w:fill="auto"/>
            <w:tcMar>
              <w:left w:w="28" w:type="dxa"/>
              <w:right w:w="28" w:type="dxa"/>
            </w:tcMar>
            <w:vAlign w:val="center"/>
          </w:tcPr>
          <w:p w14:paraId="5BA8953B" w14:textId="77777777" w:rsidR="00737EB2" w:rsidRPr="00765F6E" w:rsidRDefault="00737EB2" w:rsidP="00871D47">
            <w:pPr>
              <w:spacing w:line="240" w:lineRule="auto"/>
              <w:jc w:val="center"/>
              <w:rPr>
                <w:rFonts w:ascii="宋体" w:hAnsi="宋体"/>
                <w:sz w:val="18"/>
                <w:szCs w:val="18"/>
              </w:rPr>
            </w:pPr>
            <w:r w:rsidRPr="00765F6E">
              <w:rPr>
                <w:rFonts w:ascii="宋体" w:hAnsi="宋体"/>
                <w:sz w:val="18"/>
                <w:szCs w:val="18"/>
              </w:rPr>
              <w:t>-</w:t>
            </w:r>
          </w:p>
        </w:tc>
      </w:tr>
      <w:tr w:rsidR="00737EB2" w:rsidRPr="00765F6E" w14:paraId="253BD5AB" w14:textId="77777777" w:rsidTr="00871D47">
        <w:trPr>
          <w:cantSplit/>
          <w:trHeight w:val="176"/>
        </w:trPr>
        <w:tc>
          <w:tcPr>
            <w:tcW w:w="551" w:type="dxa"/>
            <w:vMerge/>
            <w:shd w:val="clear" w:color="auto" w:fill="auto"/>
            <w:tcMar>
              <w:left w:w="28" w:type="dxa"/>
              <w:right w:w="28" w:type="dxa"/>
            </w:tcMar>
            <w:vAlign w:val="center"/>
          </w:tcPr>
          <w:p w14:paraId="468D8BB5" w14:textId="77777777" w:rsidR="00737EB2" w:rsidRPr="00765F6E" w:rsidRDefault="00737EB2" w:rsidP="00871D47">
            <w:pPr>
              <w:jc w:val="center"/>
              <w:rPr>
                <w:rFonts w:ascii="宋体" w:hAnsi="宋体"/>
                <w:sz w:val="18"/>
                <w:szCs w:val="18"/>
              </w:rPr>
            </w:pPr>
          </w:p>
        </w:tc>
        <w:tc>
          <w:tcPr>
            <w:tcW w:w="1854" w:type="dxa"/>
            <w:vMerge/>
            <w:shd w:val="clear" w:color="auto" w:fill="auto"/>
            <w:tcMar>
              <w:left w:w="28" w:type="dxa"/>
              <w:right w:w="28" w:type="dxa"/>
            </w:tcMar>
            <w:vAlign w:val="center"/>
          </w:tcPr>
          <w:p w14:paraId="3F358388" w14:textId="77777777" w:rsidR="00737EB2" w:rsidRPr="00765F6E" w:rsidRDefault="00737EB2" w:rsidP="00871D47">
            <w:pPr>
              <w:jc w:val="center"/>
              <w:rPr>
                <w:rFonts w:ascii="宋体" w:hAnsi="宋体"/>
                <w:sz w:val="18"/>
                <w:szCs w:val="18"/>
              </w:rPr>
            </w:pPr>
          </w:p>
        </w:tc>
        <w:tc>
          <w:tcPr>
            <w:tcW w:w="4838" w:type="dxa"/>
            <w:shd w:val="clear" w:color="auto" w:fill="auto"/>
            <w:tcMar>
              <w:left w:w="28" w:type="dxa"/>
              <w:right w:w="28" w:type="dxa"/>
            </w:tcMar>
            <w:vAlign w:val="center"/>
          </w:tcPr>
          <w:p w14:paraId="0303DE03"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sz w:val="18"/>
                <w:szCs w:val="18"/>
              </w:rPr>
              <w:t>垂直排列</w:t>
            </w:r>
          </w:p>
        </w:tc>
        <w:tc>
          <w:tcPr>
            <w:tcW w:w="1058" w:type="dxa"/>
            <w:shd w:val="clear" w:color="auto" w:fill="auto"/>
            <w:tcMar>
              <w:left w:w="28" w:type="dxa"/>
              <w:right w:w="28" w:type="dxa"/>
            </w:tcMar>
            <w:vAlign w:val="center"/>
          </w:tcPr>
          <w:p w14:paraId="4668D841" w14:textId="77777777" w:rsidR="00737EB2" w:rsidRPr="00765F6E" w:rsidRDefault="00737EB2" w:rsidP="00871D47">
            <w:pPr>
              <w:spacing w:line="240" w:lineRule="auto"/>
              <w:jc w:val="center"/>
              <w:rPr>
                <w:rFonts w:ascii="宋体" w:hAnsi="宋体"/>
                <w:sz w:val="18"/>
                <w:szCs w:val="18"/>
              </w:rPr>
            </w:pPr>
            <w:r w:rsidRPr="00765F6E">
              <w:rPr>
                <w:rFonts w:ascii="宋体" w:hAnsi="宋体"/>
                <w:sz w:val="18"/>
                <w:szCs w:val="18"/>
              </w:rPr>
              <w:t>2000</w:t>
            </w:r>
          </w:p>
        </w:tc>
        <w:tc>
          <w:tcPr>
            <w:tcW w:w="1043" w:type="dxa"/>
            <w:shd w:val="clear" w:color="auto" w:fill="auto"/>
            <w:tcMar>
              <w:left w:w="28" w:type="dxa"/>
              <w:right w:w="28" w:type="dxa"/>
            </w:tcMar>
            <w:vAlign w:val="center"/>
          </w:tcPr>
          <w:p w14:paraId="3F3D142D" w14:textId="77777777" w:rsidR="00737EB2" w:rsidRPr="00765F6E" w:rsidRDefault="00737EB2" w:rsidP="00871D47">
            <w:pPr>
              <w:spacing w:line="240" w:lineRule="auto"/>
              <w:jc w:val="center"/>
              <w:rPr>
                <w:rFonts w:ascii="宋体" w:hAnsi="宋体"/>
                <w:sz w:val="18"/>
                <w:szCs w:val="18"/>
              </w:rPr>
            </w:pPr>
            <w:r w:rsidRPr="00765F6E">
              <w:rPr>
                <w:rFonts w:ascii="宋体" w:hAnsi="宋体"/>
                <w:sz w:val="18"/>
                <w:szCs w:val="18"/>
              </w:rPr>
              <w:t>-</w:t>
            </w:r>
          </w:p>
        </w:tc>
      </w:tr>
      <w:tr w:rsidR="00737EB2" w:rsidRPr="00765F6E" w14:paraId="442FE7A7" w14:textId="77777777" w:rsidTr="00871D47">
        <w:trPr>
          <w:cantSplit/>
          <w:trHeight w:val="176"/>
        </w:trPr>
        <w:tc>
          <w:tcPr>
            <w:tcW w:w="551" w:type="dxa"/>
            <w:vMerge w:val="restart"/>
            <w:shd w:val="clear" w:color="auto" w:fill="auto"/>
            <w:tcMar>
              <w:left w:w="28" w:type="dxa"/>
              <w:right w:w="28" w:type="dxa"/>
            </w:tcMar>
            <w:vAlign w:val="center"/>
          </w:tcPr>
          <w:p w14:paraId="0380DA5D" w14:textId="77777777" w:rsidR="00737EB2" w:rsidRPr="00765F6E" w:rsidRDefault="00737EB2" w:rsidP="00871D47">
            <w:pPr>
              <w:jc w:val="center"/>
              <w:rPr>
                <w:rFonts w:ascii="宋体" w:hAnsi="宋体"/>
                <w:sz w:val="18"/>
                <w:szCs w:val="18"/>
              </w:rPr>
            </w:pPr>
            <w:r w:rsidRPr="00765F6E">
              <w:rPr>
                <w:rFonts w:ascii="宋体" w:hAnsi="宋体"/>
                <w:sz w:val="18"/>
                <w:szCs w:val="18"/>
              </w:rPr>
              <w:t>5</w:t>
            </w:r>
          </w:p>
        </w:tc>
        <w:tc>
          <w:tcPr>
            <w:tcW w:w="1854" w:type="dxa"/>
            <w:vMerge w:val="restart"/>
            <w:shd w:val="clear" w:color="auto" w:fill="auto"/>
            <w:tcMar>
              <w:left w:w="28" w:type="dxa"/>
              <w:right w:w="28" w:type="dxa"/>
            </w:tcMar>
            <w:vAlign w:val="center"/>
          </w:tcPr>
          <w:p w14:paraId="0145E214"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sz w:val="18"/>
                <w:szCs w:val="18"/>
              </w:rPr>
              <w:t>与建筑物间最小距离</w:t>
            </w:r>
          </w:p>
        </w:tc>
        <w:tc>
          <w:tcPr>
            <w:tcW w:w="4838" w:type="dxa"/>
            <w:shd w:val="clear" w:color="auto" w:fill="auto"/>
            <w:tcMar>
              <w:left w:w="28" w:type="dxa"/>
              <w:right w:w="28" w:type="dxa"/>
            </w:tcMar>
            <w:vAlign w:val="center"/>
          </w:tcPr>
          <w:p w14:paraId="70FEC6E5"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sz w:val="18"/>
                <w:szCs w:val="18"/>
              </w:rPr>
              <w:t>导线与建筑物间最小垂直距离（最大驰度）</w:t>
            </w:r>
          </w:p>
        </w:tc>
        <w:tc>
          <w:tcPr>
            <w:tcW w:w="1058" w:type="dxa"/>
            <w:shd w:val="clear" w:color="auto" w:fill="auto"/>
            <w:tcMar>
              <w:left w:w="28" w:type="dxa"/>
              <w:right w:w="28" w:type="dxa"/>
            </w:tcMar>
            <w:vAlign w:val="center"/>
          </w:tcPr>
          <w:p w14:paraId="792130C8"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sz w:val="18"/>
                <w:szCs w:val="18"/>
              </w:rPr>
              <w:t>4000</w:t>
            </w:r>
          </w:p>
        </w:tc>
        <w:tc>
          <w:tcPr>
            <w:tcW w:w="1043" w:type="dxa"/>
            <w:shd w:val="clear" w:color="auto" w:fill="auto"/>
            <w:tcMar>
              <w:left w:w="28" w:type="dxa"/>
              <w:right w:w="28" w:type="dxa"/>
            </w:tcMar>
            <w:vAlign w:val="center"/>
          </w:tcPr>
          <w:p w14:paraId="09595C20"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sz w:val="18"/>
                <w:szCs w:val="18"/>
              </w:rPr>
              <w:t>2500</w:t>
            </w:r>
          </w:p>
        </w:tc>
      </w:tr>
      <w:tr w:rsidR="00737EB2" w:rsidRPr="00765F6E" w14:paraId="0599F25A" w14:textId="77777777" w:rsidTr="00871D47">
        <w:trPr>
          <w:cantSplit/>
          <w:trHeight w:val="176"/>
        </w:trPr>
        <w:tc>
          <w:tcPr>
            <w:tcW w:w="551" w:type="dxa"/>
            <w:vMerge/>
            <w:shd w:val="clear" w:color="auto" w:fill="auto"/>
            <w:tcMar>
              <w:left w:w="28" w:type="dxa"/>
              <w:right w:w="28" w:type="dxa"/>
            </w:tcMar>
            <w:vAlign w:val="center"/>
          </w:tcPr>
          <w:p w14:paraId="7CD6DC10" w14:textId="77777777" w:rsidR="00737EB2" w:rsidRPr="00765F6E" w:rsidRDefault="00737EB2" w:rsidP="00871D47">
            <w:pPr>
              <w:jc w:val="center"/>
              <w:rPr>
                <w:rFonts w:ascii="宋体" w:hAnsi="宋体"/>
                <w:sz w:val="18"/>
                <w:szCs w:val="18"/>
              </w:rPr>
            </w:pPr>
          </w:p>
        </w:tc>
        <w:tc>
          <w:tcPr>
            <w:tcW w:w="1854" w:type="dxa"/>
            <w:vMerge/>
            <w:shd w:val="clear" w:color="auto" w:fill="auto"/>
            <w:tcMar>
              <w:left w:w="28" w:type="dxa"/>
              <w:right w:w="28" w:type="dxa"/>
            </w:tcMar>
            <w:vAlign w:val="center"/>
          </w:tcPr>
          <w:p w14:paraId="59C54F51" w14:textId="77777777" w:rsidR="00737EB2" w:rsidRPr="00765F6E" w:rsidRDefault="00737EB2" w:rsidP="00871D47">
            <w:pPr>
              <w:spacing w:line="240" w:lineRule="auto"/>
              <w:jc w:val="center"/>
              <w:textAlignment w:val="center"/>
              <w:rPr>
                <w:rFonts w:ascii="宋体" w:hAnsi="宋体"/>
                <w:sz w:val="18"/>
                <w:szCs w:val="18"/>
              </w:rPr>
            </w:pPr>
          </w:p>
        </w:tc>
        <w:tc>
          <w:tcPr>
            <w:tcW w:w="4838" w:type="dxa"/>
            <w:shd w:val="clear" w:color="auto" w:fill="auto"/>
            <w:tcMar>
              <w:left w:w="28" w:type="dxa"/>
              <w:right w:w="28" w:type="dxa"/>
            </w:tcMar>
            <w:vAlign w:val="center"/>
          </w:tcPr>
          <w:p w14:paraId="0180B9D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sz w:val="18"/>
                <w:szCs w:val="18"/>
              </w:rPr>
              <w:t>导线对建筑物最小水平距离（最大风偏）</w:t>
            </w:r>
          </w:p>
        </w:tc>
        <w:tc>
          <w:tcPr>
            <w:tcW w:w="1058" w:type="dxa"/>
            <w:shd w:val="clear" w:color="auto" w:fill="auto"/>
            <w:tcMar>
              <w:left w:w="28" w:type="dxa"/>
              <w:right w:w="28" w:type="dxa"/>
            </w:tcMar>
            <w:vAlign w:val="center"/>
          </w:tcPr>
          <w:p w14:paraId="4266E1D2"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sz w:val="18"/>
                <w:szCs w:val="18"/>
              </w:rPr>
              <w:t>3000</w:t>
            </w:r>
          </w:p>
        </w:tc>
        <w:tc>
          <w:tcPr>
            <w:tcW w:w="1043" w:type="dxa"/>
            <w:shd w:val="clear" w:color="auto" w:fill="auto"/>
            <w:tcMar>
              <w:left w:w="28" w:type="dxa"/>
              <w:right w:w="28" w:type="dxa"/>
            </w:tcMar>
            <w:vAlign w:val="center"/>
          </w:tcPr>
          <w:p w14:paraId="7FF21844"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sz w:val="18"/>
                <w:szCs w:val="18"/>
              </w:rPr>
              <w:t>1000</w:t>
            </w:r>
          </w:p>
        </w:tc>
      </w:tr>
      <w:tr w:rsidR="00737EB2" w:rsidRPr="00765F6E" w14:paraId="70828728" w14:textId="77777777" w:rsidTr="00871D47">
        <w:trPr>
          <w:cantSplit/>
          <w:trHeight w:val="176"/>
        </w:trPr>
        <w:tc>
          <w:tcPr>
            <w:tcW w:w="551" w:type="dxa"/>
            <w:vMerge w:val="restart"/>
            <w:shd w:val="clear" w:color="auto" w:fill="auto"/>
            <w:tcMar>
              <w:left w:w="28" w:type="dxa"/>
              <w:right w:w="28" w:type="dxa"/>
            </w:tcMar>
            <w:vAlign w:val="center"/>
          </w:tcPr>
          <w:p w14:paraId="7DF30DBB" w14:textId="77777777" w:rsidR="00737EB2" w:rsidRPr="00765F6E" w:rsidRDefault="00737EB2" w:rsidP="00871D47">
            <w:pPr>
              <w:jc w:val="center"/>
              <w:rPr>
                <w:rFonts w:ascii="宋体" w:hAnsi="宋体"/>
                <w:sz w:val="18"/>
                <w:szCs w:val="18"/>
              </w:rPr>
            </w:pPr>
            <w:r w:rsidRPr="00765F6E">
              <w:rPr>
                <w:rFonts w:ascii="宋体" w:hAnsi="宋体" w:hint="eastAsia"/>
                <w:sz w:val="18"/>
                <w:szCs w:val="18"/>
              </w:rPr>
              <w:t>6</w:t>
            </w:r>
          </w:p>
        </w:tc>
        <w:tc>
          <w:tcPr>
            <w:tcW w:w="1854" w:type="dxa"/>
            <w:vMerge w:val="restart"/>
            <w:shd w:val="clear" w:color="auto" w:fill="auto"/>
            <w:tcMar>
              <w:left w:w="28" w:type="dxa"/>
              <w:right w:w="28" w:type="dxa"/>
            </w:tcMar>
            <w:vAlign w:val="center"/>
          </w:tcPr>
          <w:p w14:paraId="7062B11F"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与信号机的最小距离</w:t>
            </w:r>
          </w:p>
        </w:tc>
        <w:tc>
          <w:tcPr>
            <w:tcW w:w="4838" w:type="dxa"/>
            <w:shd w:val="clear" w:color="auto" w:fill="auto"/>
            <w:tcMar>
              <w:left w:w="28" w:type="dxa"/>
              <w:right w:w="28" w:type="dxa"/>
            </w:tcMar>
            <w:vAlign w:val="center"/>
          </w:tcPr>
          <w:p w14:paraId="1531EB93"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导线与信号机的净空距离（不设防护时）</w:t>
            </w:r>
          </w:p>
        </w:tc>
        <w:tc>
          <w:tcPr>
            <w:tcW w:w="1058" w:type="dxa"/>
            <w:shd w:val="clear" w:color="auto" w:fill="auto"/>
            <w:tcMar>
              <w:left w:w="28" w:type="dxa"/>
              <w:right w:w="28" w:type="dxa"/>
            </w:tcMar>
            <w:vAlign w:val="center"/>
          </w:tcPr>
          <w:p w14:paraId="37271CE0"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2000</w:t>
            </w:r>
          </w:p>
        </w:tc>
        <w:tc>
          <w:tcPr>
            <w:tcW w:w="1043" w:type="dxa"/>
            <w:shd w:val="clear" w:color="auto" w:fill="auto"/>
            <w:tcMar>
              <w:left w:w="28" w:type="dxa"/>
              <w:right w:w="28" w:type="dxa"/>
            </w:tcMar>
            <w:vAlign w:val="center"/>
          </w:tcPr>
          <w:p w14:paraId="728B993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2000</w:t>
            </w:r>
          </w:p>
        </w:tc>
      </w:tr>
      <w:tr w:rsidR="00737EB2" w:rsidRPr="00765F6E" w14:paraId="773BE51D" w14:textId="77777777" w:rsidTr="00871D47">
        <w:trPr>
          <w:cantSplit/>
          <w:trHeight w:val="176"/>
        </w:trPr>
        <w:tc>
          <w:tcPr>
            <w:tcW w:w="551" w:type="dxa"/>
            <w:vMerge/>
            <w:shd w:val="clear" w:color="auto" w:fill="auto"/>
            <w:tcMar>
              <w:left w:w="28" w:type="dxa"/>
              <w:right w:w="28" w:type="dxa"/>
            </w:tcMar>
            <w:vAlign w:val="center"/>
          </w:tcPr>
          <w:p w14:paraId="5A880D2E" w14:textId="77777777" w:rsidR="00737EB2" w:rsidRPr="00765F6E" w:rsidRDefault="00737EB2" w:rsidP="00871D47">
            <w:pPr>
              <w:jc w:val="center"/>
              <w:rPr>
                <w:rFonts w:ascii="宋体" w:hAnsi="宋体"/>
                <w:sz w:val="18"/>
                <w:szCs w:val="18"/>
              </w:rPr>
            </w:pPr>
          </w:p>
        </w:tc>
        <w:tc>
          <w:tcPr>
            <w:tcW w:w="1854" w:type="dxa"/>
            <w:vMerge/>
            <w:shd w:val="clear" w:color="auto" w:fill="auto"/>
            <w:tcMar>
              <w:left w:w="28" w:type="dxa"/>
              <w:right w:w="28" w:type="dxa"/>
            </w:tcMar>
            <w:vAlign w:val="center"/>
          </w:tcPr>
          <w:p w14:paraId="306E7D19" w14:textId="77777777" w:rsidR="00737EB2" w:rsidRPr="00765F6E" w:rsidRDefault="00737EB2" w:rsidP="00871D47">
            <w:pPr>
              <w:spacing w:line="240" w:lineRule="auto"/>
              <w:jc w:val="center"/>
              <w:textAlignment w:val="center"/>
              <w:rPr>
                <w:rFonts w:ascii="宋体" w:hAnsi="宋体"/>
                <w:sz w:val="18"/>
                <w:szCs w:val="18"/>
              </w:rPr>
            </w:pPr>
          </w:p>
        </w:tc>
        <w:tc>
          <w:tcPr>
            <w:tcW w:w="4838" w:type="dxa"/>
            <w:shd w:val="clear" w:color="auto" w:fill="auto"/>
            <w:tcMar>
              <w:left w:w="28" w:type="dxa"/>
              <w:right w:w="28" w:type="dxa"/>
            </w:tcMar>
            <w:vAlign w:val="center"/>
          </w:tcPr>
          <w:p w14:paraId="19C1E454"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导线与信号机的净空距离（设防护时）</w:t>
            </w:r>
          </w:p>
        </w:tc>
        <w:tc>
          <w:tcPr>
            <w:tcW w:w="1058" w:type="dxa"/>
            <w:shd w:val="clear" w:color="auto" w:fill="auto"/>
            <w:tcMar>
              <w:left w:w="28" w:type="dxa"/>
              <w:right w:w="28" w:type="dxa"/>
            </w:tcMar>
            <w:vAlign w:val="center"/>
          </w:tcPr>
          <w:p w14:paraId="3E611F7E"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1000</w:t>
            </w:r>
          </w:p>
        </w:tc>
        <w:tc>
          <w:tcPr>
            <w:tcW w:w="1043" w:type="dxa"/>
            <w:shd w:val="clear" w:color="auto" w:fill="auto"/>
            <w:tcMar>
              <w:left w:w="28" w:type="dxa"/>
              <w:right w:w="28" w:type="dxa"/>
            </w:tcMar>
            <w:vAlign w:val="center"/>
          </w:tcPr>
          <w:p w14:paraId="2F01E85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1000</w:t>
            </w:r>
          </w:p>
        </w:tc>
      </w:tr>
      <w:tr w:rsidR="00737EB2" w:rsidRPr="00765F6E" w14:paraId="30FFC4FF" w14:textId="77777777" w:rsidTr="00871D47">
        <w:trPr>
          <w:cantSplit/>
          <w:trHeight w:val="176"/>
        </w:trPr>
        <w:tc>
          <w:tcPr>
            <w:tcW w:w="551" w:type="dxa"/>
            <w:shd w:val="clear" w:color="auto" w:fill="auto"/>
            <w:tcMar>
              <w:left w:w="28" w:type="dxa"/>
              <w:right w:w="28" w:type="dxa"/>
            </w:tcMar>
            <w:vAlign w:val="center"/>
          </w:tcPr>
          <w:p w14:paraId="4FD1859E" w14:textId="77777777" w:rsidR="00737EB2" w:rsidRPr="00765F6E" w:rsidRDefault="00737EB2" w:rsidP="00871D47">
            <w:pPr>
              <w:jc w:val="center"/>
              <w:textAlignment w:val="center"/>
              <w:rPr>
                <w:rFonts w:ascii="宋体" w:hAnsi="宋体"/>
                <w:sz w:val="18"/>
                <w:szCs w:val="18"/>
              </w:rPr>
            </w:pPr>
            <w:r w:rsidRPr="00765F6E">
              <w:rPr>
                <w:rFonts w:ascii="宋体" w:hAnsi="宋体" w:hint="eastAsia"/>
                <w:sz w:val="18"/>
                <w:szCs w:val="18"/>
              </w:rPr>
              <w:t>7</w:t>
            </w:r>
          </w:p>
        </w:tc>
        <w:tc>
          <w:tcPr>
            <w:tcW w:w="1854" w:type="dxa"/>
            <w:shd w:val="clear" w:color="auto" w:fill="auto"/>
            <w:tcMar>
              <w:left w:w="28" w:type="dxa"/>
              <w:right w:w="28" w:type="dxa"/>
            </w:tcMar>
            <w:vAlign w:val="center"/>
          </w:tcPr>
          <w:p w14:paraId="33FFD072"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与树木间的最小距离</w:t>
            </w:r>
          </w:p>
        </w:tc>
        <w:tc>
          <w:tcPr>
            <w:tcW w:w="4838" w:type="dxa"/>
            <w:shd w:val="clear" w:color="auto" w:fill="auto"/>
            <w:tcMar>
              <w:left w:w="28" w:type="dxa"/>
              <w:right w:w="28" w:type="dxa"/>
            </w:tcMar>
            <w:vAlign w:val="center"/>
          </w:tcPr>
          <w:p w14:paraId="77EC7B47"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与铁路沿线树木之间的最小水平距离</w:t>
            </w:r>
          </w:p>
        </w:tc>
        <w:tc>
          <w:tcPr>
            <w:tcW w:w="1058" w:type="dxa"/>
            <w:shd w:val="clear" w:color="auto" w:fill="auto"/>
            <w:tcMar>
              <w:left w:w="28" w:type="dxa"/>
              <w:right w:w="28" w:type="dxa"/>
            </w:tcMar>
            <w:vAlign w:val="center"/>
          </w:tcPr>
          <w:p w14:paraId="46425924"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3500</w:t>
            </w:r>
          </w:p>
        </w:tc>
        <w:tc>
          <w:tcPr>
            <w:tcW w:w="1043" w:type="dxa"/>
            <w:shd w:val="clear" w:color="auto" w:fill="auto"/>
            <w:tcMar>
              <w:left w:w="28" w:type="dxa"/>
              <w:right w:w="28" w:type="dxa"/>
            </w:tcMar>
            <w:vAlign w:val="center"/>
          </w:tcPr>
          <w:p w14:paraId="7A6287C7"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3000</w:t>
            </w:r>
          </w:p>
        </w:tc>
      </w:tr>
      <w:tr w:rsidR="00737EB2" w:rsidRPr="00765F6E" w14:paraId="160FF658" w14:textId="77777777" w:rsidTr="00871D47">
        <w:trPr>
          <w:cantSplit/>
          <w:trHeight w:val="176"/>
        </w:trPr>
        <w:tc>
          <w:tcPr>
            <w:tcW w:w="9344" w:type="dxa"/>
            <w:gridSpan w:val="5"/>
            <w:tcBorders>
              <w:top w:val="single" w:sz="8" w:space="0" w:color="auto"/>
              <w:bottom w:val="single" w:sz="8" w:space="0" w:color="auto"/>
            </w:tcBorders>
            <w:shd w:val="clear" w:color="auto" w:fill="auto"/>
            <w:tcMar>
              <w:left w:w="28" w:type="dxa"/>
              <w:right w:w="28" w:type="dxa"/>
            </w:tcMar>
            <w:vAlign w:val="center"/>
          </w:tcPr>
          <w:p w14:paraId="5F352D19" w14:textId="77777777" w:rsidR="00737EB2" w:rsidRPr="00765F6E" w:rsidRDefault="00737EB2" w:rsidP="00871D47">
            <w:pPr>
              <w:pStyle w:val="afff2"/>
              <w:numPr>
                <w:ilvl w:val="0"/>
                <w:numId w:val="0"/>
              </w:numPr>
              <w:ind w:firstLineChars="100" w:firstLine="180"/>
            </w:pPr>
            <w:r w:rsidRPr="00765F6E">
              <w:t>附加导线不应跨越屋顶为燃烧材料做成的建筑物。</w:t>
            </w:r>
          </w:p>
        </w:tc>
      </w:tr>
    </w:tbl>
    <w:p w14:paraId="734322B8" w14:textId="77777777" w:rsidR="00737EB2" w:rsidRPr="00765F6E" w:rsidRDefault="00737EB2" w:rsidP="00737EB2">
      <w:pPr>
        <w:pStyle w:val="aff3"/>
        <w:spacing w:before="156" w:after="156"/>
      </w:pPr>
      <w:r w:rsidRPr="00765F6E">
        <w:rPr>
          <w:rFonts w:hint="eastAsia"/>
        </w:rPr>
        <w:t>DC1500V制式最小空气绝缘间隙</w:t>
      </w:r>
    </w:p>
    <w:p w14:paraId="7197D12C" w14:textId="77777777" w:rsidR="00737EB2" w:rsidRPr="00765F6E" w:rsidRDefault="00737EB2" w:rsidP="008C7BDB">
      <w:pPr>
        <w:snapToGrid w:val="0"/>
        <w:spacing w:line="240" w:lineRule="auto"/>
        <w:jc w:val="right"/>
        <w:textAlignment w:val="center"/>
        <w:rPr>
          <w:rFonts w:ascii="宋体" w:hAnsi="宋体"/>
          <w:sz w:val="18"/>
          <w:szCs w:val="18"/>
        </w:rPr>
      </w:pPr>
      <w:r w:rsidRPr="00765F6E">
        <w:rPr>
          <w:rFonts w:ascii="宋体" w:hAnsi="宋体" w:hint="eastAsia"/>
          <w:sz w:val="18"/>
          <w:szCs w:val="18"/>
        </w:rPr>
        <w:t>单位为毫米</w:t>
      </w:r>
    </w:p>
    <w:tbl>
      <w:tblPr>
        <w:tblW w:w="9344" w:type="dxa"/>
        <w:tblBorders>
          <w:top w:val="single" w:sz="8" w:space="0" w:color="auto"/>
          <w:left w:val="single" w:sz="8" w:space="0" w:color="auto"/>
          <w:bottom w:val="single" w:sz="8" w:space="0" w:color="auto"/>
          <w:right w:val="single" w:sz="8" w:space="0" w:color="auto"/>
          <w:insideH w:val="single" w:sz="8" w:space="0" w:color="auto"/>
          <w:insideV w:val="single" w:sz="4" w:space="0" w:color="auto"/>
        </w:tblBorders>
        <w:tblLayout w:type="fixed"/>
        <w:tblCellMar>
          <w:left w:w="0" w:type="dxa"/>
          <w:right w:w="0" w:type="dxa"/>
        </w:tblCellMar>
        <w:tblLook w:val="04A0" w:firstRow="1" w:lastRow="0" w:firstColumn="1" w:lastColumn="0" w:noHBand="0" w:noVBand="1"/>
      </w:tblPr>
      <w:tblGrid>
        <w:gridCol w:w="3111"/>
        <w:gridCol w:w="3118"/>
        <w:gridCol w:w="3115"/>
      </w:tblGrid>
      <w:tr w:rsidR="00737EB2" w:rsidRPr="00765F6E" w14:paraId="15166E53" w14:textId="77777777" w:rsidTr="00871D47">
        <w:trPr>
          <w:trHeight w:val="176"/>
        </w:trPr>
        <w:tc>
          <w:tcPr>
            <w:tcW w:w="3111" w:type="dxa"/>
            <w:shd w:val="clear" w:color="auto" w:fill="auto"/>
            <w:vAlign w:val="center"/>
          </w:tcPr>
          <w:p w14:paraId="68406737"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静态</w:t>
            </w:r>
          </w:p>
        </w:tc>
        <w:tc>
          <w:tcPr>
            <w:tcW w:w="3118" w:type="dxa"/>
            <w:shd w:val="clear" w:color="auto" w:fill="auto"/>
            <w:vAlign w:val="center"/>
          </w:tcPr>
          <w:p w14:paraId="09C487EB"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动态</w:t>
            </w:r>
          </w:p>
        </w:tc>
        <w:tc>
          <w:tcPr>
            <w:tcW w:w="3115" w:type="dxa"/>
            <w:shd w:val="clear" w:color="auto" w:fill="auto"/>
            <w:vAlign w:val="center"/>
          </w:tcPr>
          <w:p w14:paraId="539EFB2A"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最小动态</w:t>
            </w:r>
          </w:p>
        </w:tc>
      </w:tr>
      <w:tr w:rsidR="00737EB2" w:rsidRPr="00765F6E" w14:paraId="4AEB7942" w14:textId="77777777" w:rsidTr="00871D47">
        <w:trPr>
          <w:trHeight w:val="176"/>
        </w:trPr>
        <w:tc>
          <w:tcPr>
            <w:tcW w:w="3111" w:type="dxa"/>
            <w:shd w:val="clear" w:color="auto" w:fill="auto"/>
            <w:vAlign w:val="center"/>
          </w:tcPr>
          <w:p w14:paraId="1893277E"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150</w:t>
            </w:r>
          </w:p>
        </w:tc>
        <w:tc>
          <w:tcPr>
            <w:tcW w:w="3118" w:type="dxa"/>
            <w:shd w:val="clear" w:color="auto" w:fill="auto"/>
            <w:vAlign w:val="center"/>
          </w:tcPr>
          <w:p w14:paraId="605ECF3C"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100</w:t>
            </w:r>
          </w:p>
        </w:tc>
        <w:tc>
          <w:tcPr>
            <w:tcW w:w="3115" w:type="dxa"/>
            <w:shd w:val="clear" w:color="auto" w:fill="auto"/>
            <w:vAlign w:val="center"/>
          </w:tcPr>
          <w:p w14:paraId="30410F0F"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60</w:t>
            </w:r>
          </w:p>
        </w:tc>
      </w:tr>
    </w:tbl>
    <w:p w14:paraId="4697A567" w14:textId="77777777" w:rsidR="00737EB2" w:rsidRPr="00765F6E" w:rsidRDefault="00737EB2" w:rsidP="00737EB2">
      <w:pPr>
        <w:spacing w:line="240" w:lineRule="auto"/>
      </w:pPr>
    </w:p>
    <w:p w14:paraId="42B144BF" w14:textId="77777777" w:rsidR="00737EB2" w:rsidRPr="00765F6E" w:rsidRDefault="00737EB2" w:rsidP="003334F3">
      <w:pPr>
        <w:pStyle w:val="af6"/>
        <w:numPr>
          <w:ilvl w:val="0"/>
          <w:numId w:val="162"/>
        </w:numPr>
        <w:tabs>
          <w:tab w:val="left" w:pos="851"/>
        </w:tabs>
        <w:snapToGrid w:val="0"/>
        <w:contextualSpacing/>
      </w:pPr>
      <w:r w:rsidRPr="00765F6E">
        <w:rPr>
          <w:rFonts w:hint="eastAsia"/>
        </w:rPr>
        <w:t>双制式过渡区段的牵引网设计应避免绝缘子或交直流系统之间出现闪络。</w:t>
      </w:r>
    </w:p>
    <w:p w14:paraId="25A7358B" w14:textId="77777777" w:rsidR="00737EB2" w:rsidRPr="00765F6E" w:rsidRDefault="00737EB2" w:rsidP="009D0776">
      <w:pPr>
        <w:pStyle w:val="22"/>
      </w:pPr>
      <w:bookmarkStart w:id="2006" w:name="_Toc153291722"/>
      <w:bookmarkStart w:id="2007" w:name="_Toc99792287"/>
      <w:r w:rsidRPr="00765F6E">
        <w:rPr>
          <w:rFonts w:hint="eastAsia"/>
        </w:rPr>
        <w:t>牵引网主要设备零部件选型符合下列规定：</w:t>
      </w:r>
      <w:bookmarkEnd w:id="2006"/>
      <w:bookmarkEnd w:id="2007"/>
    </w:p>
    <w:p w14:paraId="1ABDED64" w14:textId="77777777" w:rsidR="00737EB2" w:rsidRPr="00765F6E" w:rsidRDefault="00737EB2" w:rsidP="003334F3">
      <w:pPr>
        <w:pStyle w:val="af6"/>
        <w:numPr>
          <w:ilvl w:val="0"/>
          <w:numId w:val="163"/>
        </w:numPr>
        <w:tabs>
          <w:tab w:val="left" w:pos="851"/>
        </w:tabs>
        <w:snapToGrid w:val="0"/>
        <w:contextualSpacing/>
      </w:pPr>
      <w:r w:rsidRPr="00765F6E">
        <w:rPr>
          <w:rFonts w:hint="eastAsia"/>
        </w:rPr>
        <w:t>接触网关键受力件及其架构的联结应满足弓网接触振动特性要求。紧固件应有可靠的防松措施。接触网零部件应具备防水、防锈蚀、防金属过渡电腐蚀、防应力腐蚀等性能；</w:t>
      </w:r>
    </w:p>
    <w:p w14:paraId="0348CB48" w14:textId="77777777" w:rsidR="00737EB2" w:rsidRPr="00765F6E" w:rsidRDefault="00737EB2" w:rsidP="003334F3">
      <w:pPr>
        <w:pStyle w:val="af6"/>
        <w:numPr>
          <w:ilvl w:val="0"/>
          <w:numId w:val="163"/>
        </w:numPr>
        <w:tabs>
          <w:tab w:val="left" w:pos="851"/>
        </w:tabs>
        <w:snapToGrid w:val="0"/>
        <w:contextualSpacing/>
      </w:pPr>
      <w:r w:rsidRPr="00765F6E">
        <w:rPr>
          <w:rFonts w:hint="eastAsia"/>
        </w:rPr>
        <w:t>柔性接触网腕臂宜采用耐腐蚀能力强的镀锌钢材质或铝合金材质，正线定位器宜采用铝合金定位器；</w:t>
      </w:r>
    </w:p>
    <w:p w14:paraId="1AAB343E" w14:textId="77777777" w:rsidR="00737EB2" w:rsidRPr="00765F6E" w:rsidRDefault="00737EB2" w:rsidP="003334F3">
      <w:pPr>
        <w:pStyle w:val="af6"/>
        <w:numPr>
          <w:ilvl w:val="0"/>
          <w:numId w:val="163"/>
        </w:numPr>
        <w:tabs>
          <w:tab w:val="left" w:pos="851"/>
        </w:tabs>
        <w:snapToGrid w:val="0"/>
        <w:contextualSpacing/>
      </w:pPr>
      <w:r w:rsidRPr="00765F6E">
        <w:rPr>
          <w:rFonts w:hint="eastAsia"/>
        </w:rPr>
        <w:t>腕臂用棒形绝缘子可采用瓷绝缘子或复合绝缘子，下锚绝缘子宜采用复合绝缘子；</w:t>
      </w:r>
    </w:p>
    <w:p w14:paraId="34FFF303" w14:textId="77777777" w:rsidR="00737EB2" w:rsidRPr="00765F6E" w:rsidRDefault="00737EB2" w:rsidP="003334F3">
      <w:pPr>
        <w:pStyle w:val="af6"/>
        <w:numPr>
          <w:ilvl w:val="0"/>
          <w:numId w:val="163"/>
        </w:numPr>
        <w:tabs>
          <w:tab w:val="left" w:pos="851"/>
        </w:tabs>
        <w:snapToGrid w:val="0"/>
        <w:contextualSpacing/>
      </w:pPr>
      <w:r w:rsidRPr="00765F6E">
        <w:rPr>
          <w:rFonts w:hint="eastAsia"/>
        </w:rPr>
        <w:t>吊弦宜采用铜合金整体吊弦；</w:t>
      </w:r>
    </w:p>
    <w:p w14:paraId="5A1A8551" w14:textId="77777777" w:rsidR="00737EB2" w:rsidRPr="00765F6E" w:rsidRDefault="00737EB2" w:rsidP="003334F3">
      <w:pPr>
        <w:pStyle w:val="af6"/>
        <w:numPr>
          <w:ilvl w:val="0"/>
          <w:numId w:val="163"/>
        </w:numPr>
        <w:tabs>
          <w:tab w:val="left" w:pos="851"/>
        </w:tabs>
        <w:snapToGrid w:val="0"/>
        <w:contextualSpacing/>
      </w:pPr>
      <w:r w:rsidRPr="00765F6E">
        <w:rPr>
          <w:rFonts w:hint="eastAsia"/>
        </w:rPr>
        <w:t>柔性接触网正线宜采用具有断线制动功能的补偿装置，受条件限制时可采用其他补偿方式。正线中心锚结应采用防断式结构。下锚坠砣宜采用铁坠砣；</w:t>
      </w:r>
    </w:p>
    <w:p w14:paraId="46795C5A" w14:textId="77777777" w:rsidR="00737EB2" w:rsidRPr="00765F6E" w:rsidRDefault="00737EB2" w:rsidP="003334F3">
      <w:pPr>
        <w:pStyle w:val="af6"/>
        <w:numPr>
          <w:ilvl w:val="0"/>
          <w:numId w:val="163"/>
        </w:numPr>
        <w:tabs>
          <w:tab w:val="left" w:pos="851"/>
        </w:tabs>
        <w:snapToGrid w:val="0"/>
        <w:contextualSpacing/>
      </w:pPr>
      <w:r w:rsidRPr="00765F6E">
        <w:rPr>
          <w:rFonts w:hint="eastAsia"/>
        </w:rPr>
        <w:t>分段绝缘器应具有消弧功能，并满足线路最高设计时速要求；</w:t>
      </w:r>
    </w:p>
    <w:p w14:paraId="38D8C010" w14:textId="77777777" w:rsidR="00737EB2" w:rsidRPr="00765F6E" w:rsidRDefault="00737EB2" w:rsidP="003334F3">
      <w:pPr>
        <w:pStyle w:val="af6"/>
        <w:numPr>
          <w:ilvl w:val="0"/>
          <w:numId w:val="163"/>
        </w:numPr>
        <w:tabs>
          <w:tab w:val="left" w:pos="851"/>
        </w:tabs>
        <w:snapToGrid w:val="0"/>
        <w:contextualSpacing/>
      </w:pPr>
      <w:r w:rsidRPr="00765F6E">
        <w:rPr>
          <w:rFonts w:hint="eastAsia"/>
        </w:rPr>
        <w:t xml:space="preserve">刚性悬挂接触网汇流排宜采用铝合金材质； </w:t>
      </w:r>
    </w:p>
    <w:p w14:paraId="6E4CF7B5" w14:textId="77777777" w:rsidR="00737EB2" w:rsidRPr="00765F6E" w:rsidRDefault="00737EB2" w:rsidP="003334F3">
      <w:pPr>
        <w:pStyle w:val="af6"/>
        <w:numPr>
          <w:ilvl w:val="0"/>
          <w:numId w:val="163"/>
        </w:numPr>
        <w:tabs>
          <w:tab w:val="left" w:pos="851"/>
        </w:tabs>
        <w:snapToGrid w:val="0"/>
        <w:contextualSpacing/>
      </w:pPr>
      <w:r w:rsidRPr="00765F6E">
        <w:rPr>
          <w:rFonts w:hint="eastAsia"/>
        </w:rPr>
        <w:t>接触轨支座宜采用绝缘复合材料。</w:t>
      </w:r>
    </w:p>
    <w:p w14:paraId="19C7C90D" w14:textId="77777777" w:rsidR="00737EB2" w:rsidRPr="00765F6E" w:rsidRDefault="00737EB2" w:rsidP="009D0776">
      <w:pPr>
        <w:pStyle w:val="22"/>
      </w:pPr>
      <w:bookmarkStart w:id="2008" w:name="_Toc99792288"/>
      <w:bookmarkStart w:id="2009" w:name="_Toc153291723"/>
      <w:r w:rsidRPr="00765F6E">
        <w:rPr>
          <w:rFonts w:hint="eastAsia"/>
        </w:rPr>
        <w:t>牵引网结构设计符合下列规定：</w:t>
      </w:r>
      <w:bookmarkEnd w:id="2008"/>
      <w:bookmarkEnd w:id="2009"/>
    </w:p>
    <w:p w14:paraId="2078B996" w14:textId="77777777" w:rsidR="00737EB2" w:rsidRPr="00765F6E" w:rsidRDefault="00737EB2" w:rsidP="003334F3">
      <w:pPr>
        <w:pStyle w:val="af6"/>
        <w:numPr>
          <w:ilvl w:val="0"/>
          <w:numId w:val="164"/>
        </w:numPr>
        <w:tabs>
          <w:tab w:val="left" w:pos="851"/>
        </w:tabs>
        <w:snapToGrid w:val="0"/>
        <w:contextualSpacing/>
      </w:pPr>
      <w:r w:rsidRPr="00765F6E">
        <w:rPr>
          <w:rFonts w:hint="eastAsia"/>
        </w:rPr>
        <w:t>牵引网结构设计应按照</w:t>
      </w:r>
      <w:r w:rsidRPr="00765F6E">
        <w:t>GB 50009</w:t>
      </w:r>
      <w:r w:rsidRPr="00765F6E">
        <w:rPr>
          <w:rFonts w:hint="eastAsia"/>
        </w:rPr>
        <w:t>进行荷载分析，并应符合系统设计寿命；</w:t>
      </w:r>
    </w:p>
    <w:p w14:paraId="52747C5E" w14:textId="77777777" w:rsidR="00737EB2" w:rsidRPr="00765F6E" w:rsidRDefault="00737EB2" w:rsidP="003334F3">
      <w:pPr>
        <w:pStyle w:val="af6"/>
        <w:numPr>
          <w:ilvl w:val="0"/>
          <w:numId w:val="164"/>
        </w:numPr>
        <w:tabs>
          <w:tab w:val="left" w:pos="851"/>
        </w:tabs>
        <w:snapToGrid w:val="0"/>
        <w:contextualSpacing/>
      </w:pPr>
      <w:r w:rsidRPr="00765F6E">
        <w:rPr>
          <w:rFonts w:hint="eastAsia"/>
        </w:rPr>
        <w:t>牵引网结构设计宜考虑永久荷载、可变荷载和偶然荷载效应，并应符合荷载效应组合的正常使用极限状态和承载能力极限状态要求；</w:t>
      </w:r>
    </w:p>
    <w:p w14:paraId="59D409EC" w14:textId="77777777" w:rsidR="00737EB2" w:rsidRPr="00765F6E" w:rsidRDefault="00737EB2" w:rsidP="003334F3">
      <w:pPr>
        <w:pStyle w:val="af6"/>
        <w:numPr>
          <w:ilvl w:val="0"/>
          <w:numId w:val="164"/>
        </w:numPr>
        <w:tabs>
          <w:tab w:val="left" w:pos="851"/>
        </w:tabs>
        <w:snapToGrid w:val="0"/>
        <w:contextualSpacing/>
      </w:pPr>
      <w:r w:rsidRPr="00765F6E">
        <w:rPr>
          <w:rFonts w:hint="eastAsia"/>
        </w:rPr>
        <w:t>基础及支柱限界的设计宜考虑支持结构扰度和斜率的影响。在设计运行风速的作用下，接触线悬挂点高度处的支柱支柱扰度不应大于50mm；</w:t>
      </w:r>
    </w:p>
    <w:p w14:paraId="368D9287" w14:textId="77777777" w:rsidR="00737EB2" w:rsidRPr="00765F6E" w:rsidRDefault="00737EB2" w:rsidP="003334F3">
      <w:pPr>
        <w:pStyle w:val="af6"/>
        <w:numPr>
          <w:ilvl w:val="0"/>
          <w:numId w:val="164"/>
        </w:numPr>
        <w:tabs>
          <w:tab w:val="left" w:pos="851"/>
        </w:tabs>
        <w:snapToGrid w:val="0"/>
        <w:contextualSpacing/>
      </w:pPr>
      <w:r w:rsidRPr="00765F6E">
        <w:rPr>
          <w:rFonts w:hint="eastAsia"/>
        </w:rPr>
        <w:t>牵引网结构设计的各类荷载及荷载工况类型按</w:t>
      </w:r>
      <w:r w:rsidRPr="00765F6E">
        <w:t>GB/T 32578</w:t>
      </w:r>
      <w:r w:rsidRPr="00765F6E">
        <w:rPr>
          <w:rFonts w:hint="eastAsia"/>
        </w:rPr>
        <w:t>及TB 10009中相关规定执行；</w:t>
      </w:r>
    </w:p>
    <w:p w14:paraId="703B1F2E" w14:textId="77777777" w:rsidR="00737EB2" w:rsidRPr="00765F6E" w:rsidRDefault="00737EB2" w:rsidP="003334F3">
      <w:pPr>
        <w:pStyle w:val="af6"/>
        <w:numPr>
          <w:ilvl w:val="0"/>
          <w:numId w:val="164"/>
        </w:numPr>
        <w:tabs>
          <w:tab w:val="left" w:pos="851"/>
        </w:tabs>
        <w:snapToGrid w:val="0"/>
        <w:contextualSpacing/>
      </w:pPr>
      <w:r w:rsidRPr="00765F6E">
        <w:rPr>
          <w:rFonts w:hint="eastAsia"/>
        </w:rPr>
        <w:t>双制式过渡区段的接触网结构设计应使带交流电导线跌落在带直流电导线上或带直流电导线跌落在带交流电导线上的可能性最小。</w:t>
      </w:r>
    </w:p>
    <w:p w14:paraId="27281542" w14:textId="77777777" w:rsidR="00737EB2" w:rsidRPr="00765F6E" w:rsidRDefault="00737EB2" w:rsidP="009D0776">
      <w:pPr>
        <w:pStyle w:val="22"/>
      </w:pPr>
      <w:bookmarkStart w:id="2010" w:name="_Toc99792289"/>
      <w:bookmarkStart w:id="2011" w:name="_Toc153291724"/>
      <w:r w:rsidRPr="00765F6E">
        <w:rPr>
          <w:rFonts w:hint="eastAsia"/>
        </w:rPr>
        <w:t>附加导线设计符合下列规定：</w:t>
      </w:r>
      <w:bookmarkEnd w:id="2010"/>
      <w:bookmarkEnd w:id="2011"/>
    </w:p>
    <w:p w14:paraId="47C44E08" w14:textId="77777777" w:rsidR="00737EB2" w:rsidRPr="00765F6E" w:rsidRDefault="00737EB2" w:rsidP="003334F3">
      <w:pPr>
        <w:pStyle w:val="af6"/>
        <w:numPr>
          <w:ilvl w:val="0"/>
          <w:numId w:val="165"/>
        </w:numPr>
        <w:tabs>
          <w:tab w:val="left" w:pos="851"/>
        </w:tabs>
        <w:snapToGrid w:val="0"/>
        <w:contextualSpacing/>
      </w:pPr>
      <w:r w:rsidRPr="00765F6E">
        <w:rPr>
          <w:rFonts w:hint="eastAsia"/>
        </w:rPr>
        <w:t>供电线、加强线、回流线、架空地线等接触网附加导线有条件时宜采用铝包钢芯铝绞线。单独架空架设的附加导线应符合</w:t>
      </w:r>
      <w:r w:rsidRPr="00765F6E">
        <w:t>GB 50061</w:t>
      </w:r>
      <w:r w:rsidRPr="00765F6E">
        <w:rPr>
          <w:rFonts w:hint="eastAsia"/>
        </w:rPr>
        <w:t>的相关要求；</w:t>
      </w:r>
    </w:p>
    <w:p w14:paraId="50F26691" w14:textId="77777777" w:rsidR="00737EB2" w:rsidRPr="00765F6E" w:rsidRDefault="00737EB2" w:rsidP="003334F3">
      <w:pPr>
        <w:pStyle w:val="af6"/>
        <w:numPr>
          <w:ilvl w:val="0"/>
          <w:numId w:val="165"/>
        </w:numPr>
        <w:tabs>
          <w:tab w:val="left" w:pos="851"/>
        </w:tabs>
        <w:snapToGrid w:val="0"/>
        <w:contextualSpacing/>
      </w:pPr>
      <w:r w:rsidRPr="00765F6E">
        <w:rPr>
          <w:rFonts w:hint="eastAsia"/>
        </w:rPr>
        <w:t>附加导线锚段长度不宜大于2000m，在小半径曲线区段及高度相差悬殊地区可适当减小；</w:t>
      </w:r>
    </w:p>
    <w:p w14:paraId="7E55A476" w14:textId="11D4A137" w:rsidR="00737EB2" w:rsidRPr="00765F6E" w:rsidRDefault="009218D2" w:rsidP="003334F3">
      <w:pPr>
        <w:pStyle w:val="af6"/>
        <w:numPr>
          <w:ilvl w:val="0"/>
          <w:numId w:val="165"/>
        </w:numPr>
        <w:tabs>
          <w:tab w:val="left" w:pos="851"/>
        </w:tabs>
        <w:snapToGrid w:val="0"/>
        <w:contextualSpacing/>
      </w:pPr>
      <w:r w:rsidRPr="00453DBE">
        <w:rPr>
          <w:rFonts w:hint="eastAsia"/>
        </w:rPr>
        <w:t>供电线采用电缆时，地下区段应采用低烟无卤阻燃电缆，电缆敷设应符合GB</w:t>
      </w:r>
      <w:r w:rsidRPr="00453DBE">
        <w:t xml:space="preserve"> 50217</w:t>
      </w:r>
      <w:r w:rsidR="00737EB2" w:rsidRPr="00765F6E">
        <w:rPr>
          <w:rFonts w:hint="eastAsia"/>
        </w:rPr>
        <w:t>。</w:t>
      </w:r>
    </w:p>
    <w:p w14:paraId="36933043" w14:textId="77777777" w:rsidR="00737EB2" w:rsidRPr="00765F6E" w:rsidRDefault="00737EB2" w:rsidP="009D0776">
      <w:pPr>
        <w:pStyle w:val="22"/>
      </w:pPr>
      <w:bookmarkStart w:id="2012" w:name="_Toc153291725"/>
      <w:bookmarkStart w:id="2013" w:name="_Toc99792290"/>
      <w:r w:rsidRPr="00765F6E">
        <w:rPr>
          <w:rFonts w:hint="eastAsia"/>
        </w:rPr>
        <w:t>牵引网的回流设计符合下列规定：</w:t>
      </w:r>
      <w:bookmarkEnd w:id="2012"/>
      <w:bookmarkEnd w:id="2013"/>
    </w:p>
    <w:p w14:paraId="47AF5BAC" w14:textId="77777777" w:rsidR="00737EB2" w:rsidRPr="00765F6E" w:rsidRDefault="00737EB2" w:rsidP="003334F3">
      <w:pPr>
        <w:pStyle w:val="af6"/>
        <w:numPr>
          <w:ilvl w:val="0"/>
          <w:numId w:val="166"/>
        </w:numPr>
        <w:tabs>
          <w:tab w:val="left" w:pos="851"/>
        </w:tabs>
        <w:snapToGrid w:val="0"/>
        <w:contextualSpacing/>
      </w:pPr>
      <w:r w:rsidRPr="00765F6E">
        <w:rPr>
          <w:rFonts w:hint="eastAsia"/>
        </w:rPr>
        <w:t>交流制式牵引网应设置回流线作为钢轨回流的并联通道。设有贯通地线的区段，回流线宜采用非绝缘安装并纳入综合接地系统，兼做闪络保护及安全接地。信号轨道回路区段回流线应间隔一定距离与信号扼流变中性点连接。未设置回流线的接触网支柱应采用架空地线集中接地或单独设置接地极；</w:t>
      </w:r>
    </w:p>
    <w:p w14:paraId="2D5CAD74" w14:textId="77777777" w:rsidR="00737EB2" w:rsidRPr="00765F6E" w:rsidRDefault="00737EB2" w:rsidP="003334F3">
      <w:pPr>
        <w:pStyle w:val="af6"/>
        <w:numPr>
          <w:ilvl w:val="0"/>
          <w:numId w:val="166"/>
        </w:numPr>
        <w:tabs>
          <w:tab w:val="left" w:pos="851"/>
        </w:tabs>
        <w:snapToGrid w:val="0"/>
        <w:contextualSpacing/>
      </w:pPr>
      <w:r w:rsidRPr="00765F6E">
        <w:rPr>
          <w:rFonts w:hint="eastAsia"/>
        </w:rPr>
        <w:t>直流制式牵引网可利用走行轨回流或设置专用回流通道，当采用走行轨回流时，杂散电流的防护设计需满足</w:t>
      </w:r>
      <w:bookmarkStart w:id="2014" w:name="OLE_LINK19"/>
      <w:bookmarkStart w:id="2015" w:name="OLE_LINK20"/>
      <w:r w:rsidRPr="00765F6E">
        <w:rPr>
          <w:rFonts w:hint="eastAsia"/>
        </w:rPr>
        <w:t>CJJ/T</w:t>
      </w:r>
      <w:bookmarkEnd w:id="2014"/>
      <w:r w:rsidRPr="00765F6E">
        <w:rPr>
          <w:rFonts w:hint="eastAsia"/>
        </w:rPr>
        <w:t xml:space="preserve"> 49</w:t>
      </w:r>
      <w:bookmarkEnd w:id="2015"/>
      <w:r w:rsidRPr="00765F6E">
        <w:t>-2020</w:t>
      </w:r>
      <w:r w:rsidRPr="00765F6E">
        <w:rPr>
          <w:rFonts w:hint="eastAsia"/>
        </w:rPr>
        <w:t>及GB</w:t>
      </w:r>
      <w:r w:rsidRPr="00765F6E">
        <w:t>/</w:t>
      </w:r>
      <w:r w:rsidRPr="00765F6E">
        <w:rPr>
          <w:rFonts w:hint="eastAsia"/>
        </w:rPr>
        <w:t>T 28026.2。接触网非带电部分的金属结构应通过架空地线或贯通地线连接至牵引变电所接地网；</w:t>
      </w:r>
    </w:p>
    <w:p w14:paraId="5776F80E" w14:textId="77777777" w:rsidR="00737EB2" w:rsidRPr="00765F6E" w:rsidRDefault="00737EB2" w:rsidP="003334F3">
      <w:pPr>
        <w:pStyle w:val="af6"/>
        <w:numPr>
          <w:ilvl w:val="0"/>
          <w:numId w:val="166"/>
        </w:numPr>
        <w:tabs>
          <w:tab w:val="left" w:pos="851"/>
        </w:tabs>
        <w:snapToGrid w:val="0"/>
        <w:contextualSpacing/>
      </w:pPr>
      <w:r w:rsidRPr="00765F6E">
        <w:rPr>
          <w:rFonts w:hint="eastAsia"/>
        </w:rPr>
        <w:t>双制式牵引网过渡区段的回流设计应确保在所有操作及故障状态下交流与直流的回流通畅，并确保轨电位处于安全范围内。</w:t>
      </w:r>
    </w:p>
    <w:p w14:paraId="0A1724C7" w14:textId="23374AC3" w:rsidR="00737EB2" w:rsidRPr="00765F6E" w:rsidRDefault="00737EB2" w:rsidP="009D0776">
      <w:pPr>
        <w:pStyle w:val="22"/>
      </w:pPr>
      <w:bookmarkStart w:id="2016" w:name="_Toc99792291"/>
      <w:bookmarkStart w:id="2017" w:name="_Toc153291726"/>
      <w:r w:rsidRPr="00765F6E">
        <w:rPr>
          <w:rFonts w:hint="eastAsia"/>
        </w:rPr>
        <w:t>牵引网的防雷设计符合下列规定</w:t>
      </w:r>
      <w:bookmarkEnd w:id="2016"/>
      <w:bookmarkEnd w:id="2017"/>
      <w:r w:rsidR="00E35D7F">
        <w:rPr>
          <w:rFonts w:hint="eastAsia"/>
        </w:rPr>
        <w:t>：</w:t>
      </w:r>
    </w:p>
    <w:p w14:paraId="34EAAB27" w14:textId="77777777" w:rsidR="00737EB2" w:rsidRPr="00765F6E" w:rsidRDefault="00737EB2" w:rsidP="003334F3">
      <w:pPr>
        <w:pStyle w:val="af6"/>
        <w:numPr>
          <w:ilvl w:val="0"/>
          <w:numId w:val="167"/>
        </w:numPr>
        <w:tabs>
          <w:tab w:val="left" w:pos="851"/>
        </w:tabs>
        <w:snapToGrid w:val="0"/>
        <w:contextualSpacing/>
      </w:pPr>
      <w:r w:rsidRPr="00765F6E">
        <w:rPr>
          <w:rFonts w:hint="eastAsia"/>
        </w:rPr>
        <w:t>牵引网应在绝缘锚段关节及交流制式的电分相处、馈线上网处、长度大于2000m及以上的隧道出入口处、架空供电线转电缆处、需重点防护的设备处设置避雷器；</w:t>
      </w:r>
    </w:p>
    <w:p w14:paraId="29B4CE3D" w14:textId="77777777" w:rsidR="00737EB2" w:rsidRPr="00765F6E" w:rsidRDefault="00737EB2" w:rsidP="003334F3">
      <w:pPr>
        <w:pStyle w:val="af6"/>
        <w:numPr>
          <w:ilvl w:val="0"/>
          <w:numId w:val="167"/>
        </w:numPr>
        <w:tabs>
          <w:tab w:val="left" w:pos="851"/>
        </w:tabs>
        <w:snapToGrid w:val="0"/>
        <w:contextualSpacing/>
      </w:pPr>
      <w:r w:rsidRPr="00765F6E">
        <w:rPr>
          <w:rFonts w:hint="eastAsia"/>
        </w:rPr>
        <w:t>年均雷暴日≥40d或地闪密度＞2.78次/km²·a地面区段的架空接触网宜设置避雷线，也可将回流线或架空地线适当抬高兼起防雷功能。</w:t>
      </w:r>
    </w:p>
    <w:p w14:paraId="1858B030" w14:textId="77777777" w:rsidR="00737EB2" w:rsidRPr="00765F6E" w:rsidRDefault="00737EB2" w:rsidP="009D0776">
      <w:pPr>
        <w:pStyle w:val="22"/>
      </w:pPr>
      <w:bookmarkStart w:id="2018" w:name="_Toc153291727"/>
      <w:bookmarkStart w:id="2019" w:name="_Toc99792292"/>
      <w:r w:rsidRPr="00765F6E">
        <w:rPr>
          <w:rFonts w:hint="eastAsia"/>
        </w:rPr>
        <w:t>牵引网的防护及可靠性设计符合下列规定：</w:t>
      </w:r>
      <w:bookmarkEnd w:id="2018"/>
      <w:bookmarkEnd w:id="2019"/>
    </w:p>
    <w:p w14:paraId="1D6BD37E" w14:textId="5A601043" w:rsidR="00737EB2" w:rsidRPr="00765F6E" w:rsidRDefault="00737EB2" w:rsidP="003334F3">
      <w:pPr>
        <w:pStyle w:val="af6"/>
        <w:numPr>
          <w:ilvl w:val="0"/>
          <w:numId w:val="168"/>
        </w:numPr>
        <w:tabs>
          <w:tab w:val="left" w:pos="851"/>
        </w:tabs>
        <w:snapToGrid w:val="0"/>
        <w:contextualSpacing/>
      </w:pPr>
      <w:r w:rsidRPr="00765F6E">
        <w:rPr>
          <w:rFonts w:hint="eastAsia"/>
        </w:rPr>
        <w:t>柔性悬挂在上跨建筑物下方的承力索及附加导线应设置防护措施</w:t>
      </w:r>
      <w:r w:rsidR="00E35D7F">
        <w:rPr>
          <w:rFonts w:hint="eastAsia"/>
        </w:rPr>
        <w:t>：</w:t>
      </w:r>
    </w:p>
    <w:p w14:paraId="4C9D4923" w14:textId="77777777" w:rsidR="00737EB2" w:rsidRPr="00765F6E" w:rsidRDefault="00737EB2" w:rsidP="003334F3">
      <w:pPr>
        <w:pStyle w:val="af6"/>
        <w:numPr>
          <w:ilvl w:val="0"/>
          <w:numId w:val="168"/>
        </w:numPr>
        <w:tabs>
          <w:tab w:val="left" w:pos="851"/>
        </w:tabs>
        <w:snapToGrid w:val="0"/>
        <w:contextualSpacing/>
      </w:pPr>
      <w:r w:rsidRPr="00765F6E">
        <w:rPr>
          <w:rFonts w:hint="eastAsia"/>
        </w:rPr>
        <w:t>接触网应根据需求设置各类标识牌；</w:t>
      </w:r>
    </w:p>
    <w:p w14:paraId="490B9EAD" w14:textId="63FCD992" w:rsidR="00737EB2" w:rsidRPr="00765F6E" w:rsidRDefault="00737EB2" w:rsidP="003334F3">
      <w:pPr>
        <w:pStyle w:val="af6"/>
        <w:numPr>
          <w:ilvl w:val="0"/>
          <w:numId w:val="168"/>
        </w:numPr>
        <w:tabs>
          <w:tab w:val="left" w:pos="851"/>
        </w:tabs>
        <w:snapToGrid w:val="0"/>
        <w:contextualSpacing/>
      </w:pPr>
      <w:r w:rsidRPr="00765F6E">
        <w:rPr>
          <w:rFonts w:hint="eastAsia"/>
        </w:rPr>
        <w:t>车辆基地有检修作业的股道上方</w:t>
      </w:r>
      <w:r w:rsidR="0092720E">
        <w:rPr>
          <w:rFonts w:hint="eastAsia"/>
        </w:rPr>
        <w:t>应</w:t>
      </w:r>
      <w:r w:rsidRPr="00765F6E">
        <w:rPr>
          <w:rFonts w:hint="eastAsia"/>
        </w:rPr>
        <w:t>设置带电显示装置；</w:t>
      </w:r>
    </w:p>
    <w:p w14:paraId="5DD34051" w14:textId="77777777" w:rsidR="00737EB2" w:rsidRPr="00765F6E" w:rsidRDefault="00737EB2" w:rsidP="003334F3">
      <w:pPr>
        <w:pStyle w:val="af6"/>
        <w:numPr>
          <w:ilvl w:val="0"/>
          <w:numId w:val="168"/>
        </w:numPr>
        <w:tabs>
          <w:tab w:val="left" w:pos="851"/>
        </w:tabs>
        <w:snapToGrid w:val="0"/>
        <w:contextualSpacing/>
      </w:pPr>
      <w:r w:rsidRPr="00765F6E">
        <w:rPr>
          <w:rFonts w:hint="eastAsia"/>
        </w:rPr>
        <w:t>架空牵引网在平交道口应设置限界门；</w:t>
      </w:r>
    </w:p>
    <w:p w14:paraId="0C574BBB" w14:textId="77777777" w:rsidR="00737EB2" w:rsidRPr="00765F6E" w:rsidRDefault="00737EB2" w:rsidP="003334F3">
      <w:pPr>
        <w:pStyle w:val="af6"/>
        <w:numPr>
          <w:ilvl w:val="0"/>
          <w:numId w:val="168"/>
        </w:numPr>
        <w:tabs>
          <w:tab w:val="left" w:pos="851"/>
        </w:tabs>
        <w:snapToGrid w:val="0"/>
        <w:contextualSpacing/>
      </w:pPr>
      <w:r w:rsidRPr="00765F6E">
        <w:rPr>
          <w:rFonts w:hint="eastAsia"/>
        </w:rPr>
        <w:t>牵引网支柱及拉线位于车辆易到达的路边时，应设置可靠的防撞设施；</w:t>
      </w:r>
    </w:p>
    <w:p w14:paraId="0C00F26B" w14:textId="77777777" w:rsidR="00737EB2" w:rsidRPr="00765F6E" w:rsidRDefault="00737EB2" w:rsidP="003334F3">
      <w:pPr>
        <w:pStyle w:val="af6"/>
        <w:numPr>
          <w:ilvl w:val="0"/>
          <w:numId w:val="168"/>
        </w:numPr>
        <w:tabs>
          <w:tab w:val="left" w:pos="851"/>
        </w:tabs>
        <w:snapToGrid w:val="0"/>
        <w:contextualSpacing/>
      </w:pPr>
      <w:r w:rsidRPr="00765F6E">
        <w:rPr>
          <w:rFonts w:hint="eastAsia"/>
        </w:rPr>
        <w:lastRenderedPageBreak/>
        <w:t>牵引网设计宜考虑防鸟措施，在鸟类易筑巢活动的位置设置驱鸟、防鸟措施；</w:t>
      </w:r>
    </w:p>
    <w:p w14:paraId="1B60B02A" w14:textId="77777777" w:rsidR="00737EB2" w:rsidRPr="00765F6E" w:rsidRDefault="00737EB2" w:rsidP="003334F3">
      <w:pPr>
        <w:pStyle w:val="af6"/>
        <w:numPr>
          <w:ilvl w:val="0"/>
          <w:numId w:val="168"/>
        </w:numPr>
        <w:tabs>
          <w:tab w:val="left" w:pos="851"/>
        </w:tabs>
        <w:snapToGrid w:val="0"/>
        <w:contextualSpacing/>
      </w:pPr>
      <w:r w:rsidRPr="00765F6E">
        <w:rPr>
          <w:rFonts w:hint="eastAsia"/>
        </w:rPr>
        <w:t>牵引网宜设置视频监控、传感器检测等系统设备，对接触网电分相（交流制式）、线岔区、电缆上网点等位置的关键设备状态进行安全监测和故障预判，并纳入铁路供电维修监视；</w:t>
      </w:r>
    </w:p>
    <w:p w14:paraId="6753050F" w14:textId="7633A382" w:rsidR="00737EB2" w:rsidRPr="00765F6E" w:rsidRDefault="00737EB2" w:rsidP="003334F3">
      <w:pPr>
        <w:pStyle w:val="af6"/>
        <w:numPr>
          <w:ilvl w:val="0"/>
          <w:numId w:val="168"/>
        </w:numPr>
        <w:tabs>
          <w:tab w:val="left" w:pos="851"/>
        </w:tabs>
        <w:snapToGrid w:val="0"/>
        <w:contextualSpacing/>
      </w:pPr>
      <w:r w:rsidRPr="00765F6E">
        <w:rPr>
          <w:rFonts w:hint="eastAsia"/>
        </w:rPr>
        <w:t>牵引网设计应符合可靠性、可用性、可维修性和安全</w:t>
      </w:r>
      <w:r w:rsidR="00C32D7D">
        <w:rPr>
          <w:rFonts w:hint="eastAsia"/>
        </w:rPr>
        <w:t>性</w:t>
      </w:r>
      <w:r w:rsidRPr="00765F6E">
        <w:rPr>
          <w:rFonts w:hint="eastAsia"/>
        </w:rPr>
        <w:t>（RAMS）的要求，进行可靠性的系统分配设计，确定各部分合理的、可控的、可量化的可靠性指标。</w:t>
      </w:r>
    </w:p>
    <w:p w14:paraId="76F60D6D" w14:textId="77777777" w:rsidR="00737EB2" w:rsidRPr="00765F6E" w:rsidRDefault="00737EB2" w:rsidP="00737EB2">
      <w:pPr>
        <w:pStyle w:val="affe"/>
        <w:spacing w:before="156" w:after="156"/>
      </w:pPr>
      <w:bookmarkStart w:id="2020" w:name="_Toc99792293"/>
      <w:bookmarkStart w:id="2021" w:name="_Toc153210914"/>
      <w:bookmarkStart w:id="2022" w:name="_Toc153291728"/>
      <w:bookmarkStart w:id="2023" w:name="_Toc167895812"/>
      <w:bookmarkStart w:id="2024" w:name="_Toc174538726"/>
      <w:bookmarkStart w:id="2025" w:name="_Toc182476483"/>
      <w:r w:rsidRPr="00765F6E">
        <w:rPr>
          <w:rFonts w:hint="eastAsia"/>
        </w:rPr>
        <w:t>电磁干扰防护</w:t>
      </w:r>
      <w:bookmarkEnd w:id="2020"/>
      <w:bookmarkEnd w:id="2021"/>
      <w:bookmarkEnd w:id="2022"/>
      <w:bookmarkEnd w:id="2023"/>
      <w:bookmarkEnd w:id="2024"/>
      <w:bookmarkEnd w:id="2025"/>
    </w:p>
    <w:p w14:paraId="586E0DE6" w14:textId="77777777" w:rsidR="00737EB2" w:rsidRPr="00765F6E" w:rsidRDefault="00737EB2" w:rsidP="009D0776">
      <w:pPr>
        <w:pStyle w:val="22"/>
      </w:pPr>
      <w:bookmarkStart w:id="2026" w:name="_Toc99792294"/>
      <w:bookmarkStart w:id="2027" w:name="_Toc153291729"/>
      <w:r w:rsidRPr="00765F6E">
        <w:rPr>
          <w:rFonts w:hint="eastAsia"/>
        </w:rPr>
        <w:t>市域铁路牵引供电系统对有线通信设施的危险影响、杂音干扰影响计算方法及容许值，应符合GB 6830等标准的有关规定。杂音干扰影响的计算还宜考虑列车产生的谐波特性。</w:t>
      </w:r>
      <w:bookmarkEnd w:id="2026"/>
      <w:bookmarkEnd w:id="2027"/>
    </w:p>
    <w:p w14:paraId="111821C6" w14:textId="77777777" w:rsidR="00737EB2" w:rsidRPr="00765F6E" w:rsidRDefault="00737EB2" w:rsidP="009D0776">
      <w:pPr>
        <w:pStyle w:val="22"/>
      </w:pPr>
      <w:bookmarkStart w:id="2028" w:name="_Toc153291730"/>
      <w:bookmarkStart w:id="2029" w:name="_Toc99792295"/>
      <w:r w:rsidRPr="00765F6E">
        <w:rPr>
          <w:rFonts w:hint="eastAsia"/>
        </w:rPr>
        <w:t>市域铁路与机场、雷达站、地震台等无线电台站之间的净空距离、性噪比或干扰电压等，应符合GB 6364、GB 13618、GB/T</w:t>
      </w:r>
      <w:r w:rsidRPr="00765F6E">
        <w:t xml:space="preserve"> </w:t>
      </w:r>
      <w:r w:rsidRPr="00765F6E">
        <w:rPr>
          <w:rFonts w:hint="eastAsia"/>
        </w:rPr>
        <w:t>19531及GB 24338.2的相关规定，计算分析时宜考虑列车不同运行速度时的电磁辐射强度。</w:t>
      </w:r>
      <w:bookmarkEnd w:id="2028"/>
      <w:bookmarkEnd w:id="2029"/>
    </w:p>
    <w:p w14:paraId="65D46E03" w14:textId="77777777" w:rsidR="00737EB2" w:rsidRPr="00765F6E" w:rsidRDefault="00737EB2" w:rsidP="009D0776">
      <w:pPr>
        <w:pStyle w:val="22"/>
      </w:pPr>
      <w:bookmarkStart w:id="2030" w:name="_Toc153291731"/>
      <w:bookmarkStart w:id="2031" w:name="_Toc99792296"/>
      <w:r w:rsidRPr="00765F6E">
        <w:rPr>
          <w:rFonts w:hint="eastAsia"/>
        </w:rPr>
        <w:t>市域铁路牵引供电系统对城镇燃气管道的电磁影响应符合GB/T</w:t>
      </w:r>
      <w:r w:rsidRPr="00765F6E">
        <w:t xml:space="preserve"> </w:t>
      </w:r>
      <w:r w:rsidRPr="00765F6E">
        <w:rPr>
          <w:rFonts w:hint="eastAsia"/>
        </w:rPr>
        <w:t>50698、GB 50991等标准规定要求；铁路与城镇燃气管道交叉或平行要求，与油库、液化气库等易燃易爆品库之间距离应符合TB 10063、GB 50028等标准规定要求；铁路与长距离输油、输气管道的电磁影响及交叉、平行防护要求应符合国能</w:t>
      </w:r>
      <w:r w:rsidRPr="00765F6E">
        <w:t>392号文</w:t>
      </w:r>
      <w:r w:rsidRPr="00765F6E">
        <w:rPr>
          <w:rFonts w:hint="eastAsia"/>
        </w:rPr>
        <w:t>规定要求。</w:t>
      </w:r>
      <w:bookmarkEnd w:id="2030"/>
      <w:bookmarkEnd w:id="2031"/>
    </w:p>
    <w:p w14:paraId="218D5510" w14:textId="77777777" w:rsidR="00737EB2" w:rsidRPr="00765F6E" w:rsidRDefault="00737EB2" w:rsidP="009D0776">
      <w:pPr>
        <w:pStyle w:val="22"/>
      </w:pPr>
      <w:bookmarkStart w:id="2032" w:name="_Toc153291732"/>
      <w:bookmarkStart w:id="2033" w:name="_Toc99792297"/>
      <w:r w:rsidRPr="00765F6E">
        <w:rPr>
          <w:rFonts w:hint="eastAsia"/>
        </w:rPr>
        <w:t>分析计算电磁干扰的影响，宜考虑高架桥梁、城市环境、隧道等屏蔽效果。</w:t>
      </w:r>
      <w:bookmarkEnd w:id="2032"/>
      <w:bookmarkEnd w:id="2033"/>
    </w:p>
    <w:p w14:paraId="460516D6" w14:textId="77777777" w:rsidR="00737EB2" w:rsidRPr="00765F6E" w:rsidRDefault="00737EB2" w:rsidP="009D0776">
      <w:pPr>
        <w:pStyle w:val="22"/>
      </w:pPr>
      <w:bookmarkStart w:id="2034" w:name="_Toc99792298"/>
      <w:bookmarkStart w:id="2035" w:name="_Toc153291733"/>
      <w:r w:rsidRPr="00765F6E">
        <w:rPr>
          <w:rFonts w:hint="eastAsia"/>
        </w:rPr>
        <w:t>电磁干扰防护措施不应影响行车安全，不应改变、降低系统或设施的原功能及性能。</w:t>
      </w:r>
      <w:bookmarkEnd w:id="2034"/>
      <w:bookmarkEnd w:id="2035"/>
    </w:p>
    <w:p w14:paraId="4C49E948" w14:textId="77777777" w:rsidR="00737EB2" w:rsidRPr="00765F6E" w:rsidRDefault="00737EB2" w:rsidP="009D0776">
      <w:pPr>
        <w:pStyle w:val="22"/>
      </w:pPr>
      <w:bookmarkStart w:id="2036" w:name="_Toc153291734"/>
      <w:bookmarkStart w:id="2037" w:name="_Toc99792299"/>
      <w:r w:rsidRPr="00765F6E">
        <w:rPr>
          <w:rFonts w:hint="eastAsia"/>
        </w:rPr>
        <w:t>无法避绕、被干扰的电磁敏感设施，应采取相应技术措施进行电磁干扰防护，或经技术经济比选后，对其进行整体或部分搬迁。</w:t>
      </w:r>
      <w:bookmarkEnd w:id="2036"/>
      <w:bookmarkEnd w:id="2037"/>
    </w:p>
    <w:p w14:paraId="4A874B51" w14:textId="77777777" w:rsidR="00737EB2" w:rsidRPr="00765F6E" w:rsidRDefault="00737EB2" w:rsidP="00737EB2">
      <w:pPr>
        <w:pStyle w:val="affe"/>
        <w:spacing w:before="156" w:after="156"/>
      </w:pPr>
      <w:bookmarkStart w:id="2038" w:name="_Toc153210915"/>
      <w:bookmarkStart w:id="2039" w:name="_Toc153291735"/>
      <w:bookmarkStart w:id="2040" w:name="_Toc99792300"/>
      <w:bookmarkStart w:id="2041" w:name="_Toc167895813"/>
      <w:bookmarkStart w:id="2042" w:name="_Toc174538727"/>
      <w:bookmarkStart w:id="2043" w:name="_Toc182476484"/>
      <w:r w:rsidRPr="00765F6E">
        <w:rPr>
          <w:rFonts w:hint="eastAsia"/>
        </w:rPr>
        <w:t>杂散电流</w:t>
      </w:r>
      <w:bookmarkEnd w:id="2038"/>
      <w:bookmarkEnd w:id="2039"/>
      <w:bookmarkEnd w:id="2040"/>
      <w:bookmarkEnd w:id="2041"/>
      <w:bookmarkEnd w:id="2042"/>
      <w:bookmarkEnd w:id="2043"/>
    </w:p>
    <w:p w14:paraId="43614C4D" w14:textId="77777777" w:rsidR="00737EB2" w:rsidRPr="00765F6E" w:rsidRDefault="00737EB2" w:rsidP="009D0776">
      <w:pPr>
        <w:pStyle w:val="22"/>
      </w:pPr>
      <w:bookmarkStart w:id="2044" w:name="_Toc99792301"/>
      <w:bookmarkStart w:id="2045" w:name="_Toc153291736"/>
      <w:r w:rsidRPr="00765F6E">
        <w:rPr>
          <w:rFonts w:hint="eastAsia"/>
        </w:rPr>
        <w:t>直流制式的牵引供电系统宜考虑杂散电流防护工程，其基本要求应符合下列规定：</w:t>
      </w:r>
      <w:bookmarkEnd w:id="2044"/>
      <w:bookmarkEnd w:id="2045"/>
    </w:p>
    <w:p w14:paraId="06B8F2B4" w14:textId="77777777" w:rsidR="00737EB2" w:rsidRPr="00765F6E" w:rsidRDefault="00737EB2" w:rsidP="003334F3">
      <w:pPr>
        <w:pStyle w:val="af6"/>
        <w:numPr>
          <w:ilvl w:val="0"/>
          <w:numId w:val="169"/>
        </w:numPr>
        <w:tabs>
          <w:tab w:val="left" w:pos="851"/>
        </w:tabs>
        <w:snapToGrid w:val="0"/>
        <w:contextualSpacing/>
      </w:pPr>
      <w:r w:rsidRPr="00765F6E">
        <w:rPr>
          <w:rFonts w:hint="eastAsia"/>
        </w:rPr>
        <w:t>应将预防与治理直流牵引系统回流电流的泄漏作为防护工程的根本，并使其产生的杂散电流减少至最低限度；</w:t>
      </w:r>
    </w:p>
    <w:p w14:paraId="004396DF" w14:textId="77777777" w:rsidR="00737EB2" w:rsidRPr="00765F6E" w:rsidRDefault="00737EB2" w:rsidP="003334F3">
      <w:pPr>
        <w:pStyle w:val="af6"/>
        <w:numPr>
          <w:ilvl w:val="0"/>
          <w:numId w:val="169"/>
        </w:numPr>
        <w:tabs>
          <w:tab w:val="left" w:pos="851"/>
        </w:tabs>
        <w:snapToGrid w:val="0"/>
        <w:contextualSpacing/>
      </w:pPr>
      <w:r w:rsidRPr="00765F6E">
        <w:rPr>
          <w:rFonts w:hint="eastAsia"/>
        </w:rPr>
        <w:t>应限制杂散电流向市域铁路外部扩散；</w:t>
      </w:r>
    </w:p>
    <w:p w14:paraId="3BFF9452" w14:textId="7F9BCF53" w:rsidR="00737EB2" w:rsidRPr="00765F6E" w:rsidRDefault="00737EB2" w:rsidP="003334F3">
      <w:pPr>
        <w:pStyle w:val="af6"/>
        <w:numPr>
          <w:ilvl w:val="0"/>
          <w:numId w:val="169"/>
        </w:numPr>
        <w:tabs>
          <w:tab w:val="left" w:pos="851"/>
        </w:tabs>
        <w:snapToGrid w:val="0"/>
        <w:contextualSpacing/>
      </w:pPr>
      <w:r w:rsidRPr="00765F6E">
        <w:rPr>
          <w:rFonts w:hint="eastAsia"/>
        </w:rPr>
        <w:t>沿线所有的埋地金属结构及管线，应单独采取有效的防护措施；</w:t>
      </w:r>
    </w:p>
    <w:p w14:paraId="56E9E72E" w14:textId="77777777" w:rsidR="00737EB2" w:rsidRPr="00765F6E" w:rsidRDefault="00737EB2" w:rsidP="003334F3">
      <w:pPr>
        <w:pStyle w:val="af6"/>
        <w:numPr>
          <w:ilvl w:val="0"/>
          <w:numId w:val="169"/>
        </w:numPr>
        <w:tabs>
          <w:tab w:val="left" w:pos="851"/>
        </w:tabs>
        <w:snapToGrid w:val="0"/>
        <w:contextualSpacing/>
      </w:pPr>
      <w:r w:rsidRPr="00765F6E">
        <w:rPr>
          <w:rFonts w:hint="eastAsia"/>
        </w:rPr>
        <w:t>应统筹兼顾、综合协调、配套设计，并与受杂散电流影响的相关方共同进行防护措施的评估；</w:t>
      </w:r>
    </w:p>
    <w:p w14:paraId="6656AC52" w14:textId="77777777" w:rsidR="00737EB2" w:rsidRPr="00765F6E" w:rsidRDefault="00737EB2" w:rsidP="003334F3">
      <w:pPr>
        <w:pStyle w:val="af6"/>
        <w:numPr>
          <w:ilvl w:val="0"/>
          <w:numId w:val="169"/>
        </w:numPr>
        <w:tabs>
          <w:tab w:val="left" w:pos="851"/>
        </w:tabs>
        <w:snapToGrid w:val="0"/>
        <w:contextualSpacing/>
      </w:pPr>
      <w:r w:rsidRPr="00765F6E">
        <w:rPr>
          <w:rFonts w:hint="eastAsia"/>
        </w:rPr>
        <w:t>应做到安全可靠，技术先进、经济适用；</w:t>
      </w:r>
    </w:p>
    <w:p w14:paraId="261DB31D" w14:textId="77777777" w:rsidR="00737EB2" w:rsidRPr="00765F6E" w:rsidRDefault="00737EB2" w:rsidP="003334F3">
      <w:pPr>
        <w:pStyle w:val="af6"/>
        <w:numPr>
          <w:ilvl w:val="0"/>
          <w:numId w:val="169"/>
        </w:numPr>
        <w:tabs>
          <w:tab w:val="left" w:pos="851"/>
        </w:tabs>
        <w:snapToGrid w:val="0"/>
        <w:contextualSpacing/>
      </w:pPr>
      <w:r w:rsidRPr="00765F6E">
        <w:rPr>
          <w:rFonts w:hint="eastAsia"/>
        </w:rPr>
        <w:t>既有线路大修或沿既有线路新敷设的金属管结构及管线等设施，应采取杂散电流防护措施。</w:t>
      </w:r>
    </w:p>
    <w:p w14:paraId="5C6D1389" w14:textId="36149A87" w:rsidR="00737EB2" w:rsidRPr="00765F6E" w:rsidRDefault="00737EB2" w:rsidP="009D0776">
      <w:pPr>
        <w:pStyle w:val="22"/>
      </w:pPr>
      <w:bookmarkStart w:id="2046" w:name="_Toc99792302"/>
      <w:bookmarkStart w:id="2047" w:name="_Toc153291737"/>
      <w:r w:rsidRPr="00765F6E">
        <w:rPr>
          <w:rFonts w:hint="eastAsia"/>
        </w:rPr>
        <w:t>防护指标</w:t>
      </w:r>
      <w:bookmarkEnd w:id="2046"/>
      <w:bookmarkEnd w:id="2047"/>
      <w:r w:rsidRPr="00765F6E">
        <w:rPr>
          <w:rFonts w:hint="eastAsia"/>
        </w:rPr>
        <w:t>符合下列规定</w:t>
      </w:r>
      <w:r w:rsidR="00776C9A">
        <w:rPr>
          <w:rFonts w:hint="eastAsia"/>
        </w:rPr>
        <w:t>。</w:t>
      </w:r>
    </w:p>
    <w:p w14:paraId="5F934ADB" w14:textId="4F7900E3" w:rsidR="00737EB2" w:rsidRPr="00765F6E" w:rsidRDefault="00737EB2" w:rsidP="003334F3">
      <w:pPr>
        <w:pStyle w:val="af6"/>
        <w:numPr>
          <w:ilvl w:val="0"/>
          <w:numId w:val="170"/>
        </w:numPr>
        <w:tabs>
          <w:tab w:val="left" w:pos="851"/>
        </w:tabs>
        <w:snapToGrid w:val="0"/>
        <w:contextualSpacing/>
      </w:pPr>
      <w:r w:rsidRPr="00765F6E">
        <w:rPr>
          <w:rFonts w:hint="eastAsia"/>
        </w:rPr>
        <w:t>铁路金属结构受杂散电流腐蚀影响程度，宜通过检测回流走行轨对地、回流走行轨对结构钢筋、结构钢筋对地的过渡电阻及结构钢筋对地电位等参数进行分析和评估，具体可按CJJ/T</w:t>
      </w:r>
      <w:r w:rsidRPr="00765F6E">
        <w:t xml:space="preserve"> 49-2020</w:t>
      </w:r>
      <w:r w:rsidRPr="00765F6E">
        <w:rPr>
          <w:rFonts w:hint="eastAsia"/>
        </w:rPr>
        <w:t>中附录A的规定计算</w:t>
      </w:r>
      <w:r w:rsidR="00776C9A">
        <w:rPr>
          <w:rFonts w:hint="eastAsia"/>
        </w:rPr>
        <w:t>。</w:t>
      </w:r>
    </w:p>
    <w:p w14:paraId="30AB9677" w14:textId="7023E81E" w:rsidR="00737EB2" w:rsidRPr="00765F6E" w:rsidRDefault="00737EB2" w:rsidP="003334F3">
      <w:pPr>
        <w:pStyle w:val="af6"/>
        <w:numPr>
          <w:ilvl w:val="0"/>
          <w:numId w:val="170"/>
        </w:numPr>
        <w:tabs>
          <w:tab w:val="left" w:pos="851"/>
        </w:tabs>
        <w:snapToGrid w:val="0"/>
        <w:contextualSpacing/>
      </w:pPr>
      <w:r w:rsidRPr="00765F6E">
        <w:rPr>
          <w:rFonts w:hint="eastAsia"/>
        </w:rPr>
        <w:t>判定金属结构受到杂散电流腐蚀影响的检测数值，可取列车运行高峰时间内的小时平均值或1h内10%峰值的平均值</w:t>
      </w:r>
      <w:r w:rsidR="00776C9A">
        <w:rPr>
          <w:rFonts w:hint="eastAsia"/>
        </w:rPr>
        <w:t>。</w:t>
      </w:r>
    </w:p>
    <w:p w14:paraId="41B82414" w14:textId="2C8CB711" w:rsidR="00737EB2" w:rsidRPr="00765F6E" w:rsidRDefault="00737EB2" w:rsidP="003334F3">
      <w:pPr>
        <w:pStyle w:val="af6"/>
        <w:numPr>
          <w:ilvl w:val="0"/>
          <w:numId w:val="170"/>
        </w:numPr>
        <w:tabs>
          <w:tab w:val="left" w:pos="851"/>
        </w:tabs>
        <w:snapToGrid w:val="0"/>
        <w:contextualSpacing/>
      </w:pPr>
      <w:r w:rsidRPr="00765F6E">
        <w:rPr>
          <w:rFonts w:hint="eastAsia"/>
        </w:rPr>
        <w:t>钢筋混凝土结构极化电位正向偏移平均值应小于0.5V</w:t>
      </w:r>
      <w:r w:rsidR="00776C9A">
        <w:rPr>
          <w:rFonts w:hint="eastAsia"/>
        </w:rPr>
        <w:t>。</w:t>
      </w:r>
    </w:p>
    <w:p w14:paraId="504CECBB" w14:textId="77777777" w:rsidR="00737EB2" w:rsidRPr="00765F6E" w:rsidRDefault="00737EB2" w:rsidP="003334F3">
      <w:pPr>
        <w:pStyle w:val="af6"/>
        <w:numPr>
          <w:ilvl w:val="0"/>
          <w:numId w:val="170"/>
        </w:numPr>
        <w:tabs>
          <w:tab w:val="left" w:pos="851"/>
        </w:tabs>
        <w:snapToGrid w:val="0"/>
        <w:contextualSpacing/>
      </w:pPr>
      <w:r w:rsidRPr="00765F6E">
        <w:rPr>
          <w:rFonts w:hint="eastAsia"/>
        </w:rPr>
        <w:t>金属结构表面受杂散电流腐蚀的允许电位，可按CJJ/T</w:t>
      </w:r>
      <w:r w:rsidRPr="00765F6E">
        <w:t xml:space="preserve"> 49-2020</w:t>
      </w:r>
      <w:r w:rsidRPr="00765F6E">
        <w:rPr>
          <w:rFonts w:hint="eastAsia"/>
        </w:rPr>
        <w:t>中附录A的规定计算，防护指标符合下列规定：</w:t>
      </w:r>
    </w:p>
    <w:p w14:paraId="32229721" w14:textId="77777777" w:rsidR="00737EB2" w:rsidRPr="00765F6E" w:rsidRDefault="00737EB2" w:rsidP="00D12EC7">
      <w:pPr>
        <w:pStyle w:val="af7"/>
        <w:tabs>
          <w:tab w:val="left" w:pos="851"/>
          <w:tab w:val="left" w:pos="1276"/>
        </w:tabs>
      </w:pPr>
      <w:r w:rsidRPr="00765F6E">
        <w:rPr>
          <w:rFonts w:hint="eastAsia"/>
        </w:rPr>
        <w:t>结构钢筋对地电位高峰小时正向偏移平均值应取0.1V，或1h内10%峰值的正向偏移平均值应取0.5V；</w:t>
      </w:r>
    </w:p>
    <w:p w14:paraId="740C949E" w14:textId="77777777" w:rsidR="00737EB2" w:rsidRPr="00765F6E" w:rsidRDefault="00737EB2" w:rsidP="00D12EC7">
      <w:pPr>
        <w:pStyle w:val="af7"/>
        <w:tabs>
          <w:tab w:val="left" w:pos="851"/>
          <w:tab w:val="left" w:pos="1276"/>
        </w:tabs>
      </w:pPr>
      <w:r w:rsidRPr="00765F6E">
        <w:rPr>
          <w:rFonts w:hint="eastAsia"/>
        </w:rPr>
        <w:t>对铁路及周围的金属结构与管线未采取阴极防护的区域，结构钢筋对地电位高峰小时正向偏移平均值宜取0.2V。</w:t>
      </w:r>
    </w:p>
    <w:p w14:paraId="21AE641E" w14:textId="77777777" w:rsidR="00737EB2" w:rsidRPr="00765F6E" w:rsidRDefault="00737EB2" w:rsidP="003334F3">
      <w:pPr>
        <w:pStyle w:val="af6"/>
        <w:numPr>
          <w:ilvl w:val="0"/>
          <w:numId w:val="170"/>
        </w:numPr>
        <w:tabs>
          <w:tab w:val="left" w:pos="851"/>
        </w:tabs>
        <w:snapToGrid w:val="0"/>
        <w:contextualSpacing/>
      </w:pPr>
      <w:r w:rsidRPr="00765F6E">
        <w:rPr>
          <w:rFonts w:hint="eastAsia"/>
        </w:rPr>
        <w:t>当采取保护电位防护时，铁路主体建筑结构和金属管线结构对地的保护电位值范围应取-1.5V至﹢0.5V。</w:t>
      </w:r>
    </w:p>
    <w:p w14:paraId="3A4389F9" w14:textId="3B3892E9" w:rsidR="00737EB2" w:rsidRPr="00765F6E" w:rsidRDefault="00737EB2" w:rsidP="009D0776">
      <w:pPr>
        <w:pStyle w:val="22"/>
      </w:pPr>
      <w:r w:rsidRPr="00765F6E">
        <w:rPr>
          <w:rFonts w:hint="eastAsia"/>
        </w:rPr>
        <w:t>杂散电流防护工程方案通常由如下三种。同一条铁路应采用一种防护工程方案，在不同线路实施的两种防护工程方案之间，应采取表</w:t>
      </w:r>
      <w:r w:rsidR="001C1F75" w:rsidRPr="00765F6E">
        <w:rPr>
          <w:rFonts w:hint="eastAsia"/>
        </w:rPr>
        <w:t>8</w:t>
      </w:r>
      <w:r w:rsidR="00DC77F2">
        <w:t>5</w:t>
      </w:r>
      <w:r w:rsidRPr="00765F6E">
        <w:rPr>
          <w:rFonts w:hint="eastAsia"/>
        </w:rPr>
        <w:t>中的隔离措施。</w:t>
      </w:r>
    </w:p>
    <w:p w14:paraId="4C10DC57" w14:textId="77777777" w:rsidR="00737EB2" w:rsidRPr="00765F6E" w:rsidRDefault="00737EB2" w:rsidP="00737EB2">
      <w:pPr>
        <w:pStyle w:val="aff3"/>
        <w:spacing w:before="156" w:after="156"/>
      </w:pPr>
      <w:bookmarkStart w:id="2048" w:name="_Hlk180568536"/>
      <w:r w:rsidRPr="00765F6E">
        <w:rPr>
          <w:rFonts w:hint="eastAsia"/>
        </w:rPr>
        <w:lastRenderedPageBreak/>
        <w:t>杂散电流防护工程方案</w:t>
      </w:r>
    </w:p>
    <w:tbl>
      <w:tblPr>
        <w:tblW w:w="9559"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46"/>
        <w:gridCol w:w="1178"/>
        <w:gridCol w:w="1530"/>
        <w:gridCol w:w="1488"/>
        <w:gridCol w:w="4617"/>
      </w:tblGrid>
      <w:tr w:rsidR="00737EB2" w:rsidRPr="00765F6E" w14:paraId="1AE23F98" w14:textId="77777777" w:rsidTr="00871D47">
        <w:trPr>
          <w:trHeight w:val="176"/>
        </w:trPr>
        <w:tc>
          <w:tcPr>
            <w:tcW w:w="746" w:type="dxa"/>
            <w:tcBorders>
              <w:top w:val="single" w:sz="8" w:space="0" w:color="auto"/>
              <w:bottom w:val="single" w:sz="8" w:space="0" w:color="auto"/>
            </w:tcBorders>
            <w:shd w:val="clear" w:color="auto" w:fill="auto"/>
            <w:vAlign w:val="center"/>
          </w:tcPr>
          <w:bookmarkEnd w:id="2048"/>
          <w:p w14:paraId="3DE1C900"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方案</w:t>
            </w:r>
          </w:p>
        </w:tc>
        <w:tc>
          <w:tcPr>
            <w:tcW w:w="1178" w:type="dxa"/>
            <w:tcBorders>
              <w:top w:val="single" w:sz="8" w:space="0" w:color="auto"/>
              <w:bottom w:val="single" w:sz="8" w:space="0" w:color="auto"/>
            </w:tcBorders>
            <w:shd w:val="clear" w:color="auto" w:fill="auto"/>
            <w:vAlign w:val="center"/>
          </w:tcPr>
          <w:p w14:paraId="19E8E536"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回流导体</w:t>
            </w:r>
          </w:p>
        </w:tc>
        <w:tc>
          <w:tcPr>
            <w:tcW w:w="1530" w:type="dxa"/>
            <w:tcBorders>
              <w:top w:val="single" w:sz="8" w:space="0" w:color="auto"/>
              <w:bottom w:val="single" w:sz="8" w:space="0" w:color="auto"/>
            </w:tcBorders>
            <w:shd w:val="clear" w:color="auto" w:fill="auto"/>
            <w:vAlign w:val="center"/>
          </w:tcPr>
          <w:p w14:paraId="16AE04CA"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回流网</w:t>
            </w:r>
          </w:p>
        </w:tc>
        <w:tc>
          <w:tcPr>
            <w:tcW w:w="1488" w:type="dxa"/>
            <w:tcBorders>
              <w:top w:val="single" w:sz="8" w:space="0" w:color="auto"/>
              <w:bottom w:val="single" w:sz="8" w:space="0" w:color="auto"/>
            </w:tcBorders>
            <w:shd w:val="clear" w:color="auto" w:fill="auto"/>
            <w:vAlign w:val="center"/>
          </w:tcPr>
          <w:p w14:paraId="2CFA6764"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防护类型</w:t>
            </w:r>
          </w:p>
        </w:tc>
        <w:tc>
          <w:tcPr>
            <w:tcW w:w="4617" w:type="dxa"/>
            <w:tcBorders>
              <w:top w:val="single" w:sz="8" w:space="0" w:color="auto"/>
              <w:bottom w:val="single" w:sz="8" w:space="0" w:color="auto"/>
            </w:tcBorders>
            <w:shd w:val="clear" w:color="auto" w:fill="auto"/>
            <w:vAlign w:val="center"/>
          </w:tcPr>
          <w:p w14:paraId="1D5D2F09"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技术要求特征</w:t>
            </w:r>
          </w:p>
        </w:tc>
      </w:tr>
      <w:tr w:rsidR="00737EB2" w:rsidRPr="00765F6E" w14:paraId="13F9F3F3" w14:textId="77777777" w:rsidTr="00871D47">
        <w:trPr>
          <w:trHeight w:val="176"/>
        </w:trPr>
        <w:tc>
          <w:tcPr>
            <w:tcW w:w="746" w:type="dxa"/>
            <w:tcBorders>
              <w:top w:val="single" w:sz="8" w:space="0" w:color="auto"/>
            </w:tcBorders>
            <w:shd w:val="clear" w:color="auto" w:fill="auto"/>
            <w:vAlign w:val="center"/>
          </w:tcPr>
          <w:p w14:paraId="74AE5D18"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1</w:t>
            </w:r>
          </w:p>
        </w:tc>
        <w:tc>
          <w:tcPr>
            <w:tcW w:w="1178" w:type="dxa"/>
            <w:tcBorders>
              <w:top w:val="single" w:sz="8" w:space="0" w:color="auto"/>
            </w:tcBorders>
            <w:shd w:val="clear" w:color="auto" w:fill="auto"/>
            <w:vAlign w:val="center"/>
          </w:tcPr>
          <w:p w14:paraId="6036485E"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专用轨</w:t>
            </w:r>
          </w:p>
        </w:tc>
        <w:tc>
          <w:tcPr>
            <w:tcW w:w="1530" w:type="dxa"/>
            <w:tcBorders>
              <w:top w:val="single" w:sz="8" w:space="0" w:color="auto"/>
            </w:tcBorders>
            <w:shd w:val="clear" w:color="auto" w:fill="auto"/>
            <w:vAlign w:val="center"/>
          </w:tcPr>
          <w:p w14:paraId="1D8338A9"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绝缘回流系统</w:t>
            </w:r>
          </w:p>
        </w:tc>
        <w:tc>
          <w:tcPr>
            <w:tcW w:w="1488" w:type="dxa"/>
            <w:tcBorders>
              <w:top w:val="single" w:sz="8" w:space="0" w:color="auto"/>
            </w:tcBorders>
            <w:shd w:val="clear" w:color="auto" w:fill="auto"/>
            <w:vAlign w:val="center"/>
          </w:tcPr>
          <w:p w14:paraId="4E215E32"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系统性绝缘</w:t>
            </w:r>
          </w:p>
        </w:tc>
        <w:tc>
          <w:tcPr>
            <w:tcW w:w="4617" w:type="dxa"/>
            <w:tcBorders>
              <w:top w:val="single" w:sz="8" w:space="0" w:color="auto"/>
            </w:tcBorders>
            <w:shd w:val="clear" w:color="auto" w:fill="auto"/>
            <w:vAlign w:val="center"/>
          </w:tcPr>
          <w:p w14:paraId="712783D8"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绝缘要求与牵引网相同</w:t>
            </w:r>
          </w:p>
        </w:tc>
      </w:tr>
      <w:tr w:rsidR="00737EB2" w:rsidRPr="00765F6E" w14:paraId="60EF22E5" w14:textId="77777777" w:rsidTr="00871D47">
        <w:trPr>
          <w:trHeight w:val="176"/>
        </w:trPr>
        <w:tc>
          <w:tcPr>
            <w:tcW w:w="746" w:type="dxa"/>
            <w:shd w:val="clear" w:color="auto" w:fill="auto"/>
            <w:vAlign w:val="center"/>
          </w:tcPr>
          <w:p w14:paraId="77107C21"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2</w:t>
            </w:r>
          </w:p>
        </w:tc>
        <w:tc>
          <w:tcPr>
            <w:tcW w:w="1178" w:type="dxa"/>
            <w:shd w:val="clear" w:color="auto" w:fill="auto"/>
            <w:vAlign w:val="center"/>
          </w:tcPr>
          <w:p w14:paraId="4E76E96F"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走行轨</w:t>
            </w:r>
          </w:p>
        </w:tc>
        <w:tc>
          <w:tcPr>
            <w:tcW w:w="1530" w:type="dxa"/>
            <w:shd w:val="clear" w:color="auto" w:fill="auto"/>
            <w:vAlign w:val="center"/>
          </w:tcPr>
          <w:p w14:paraId="42E63372"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轨道回流系统</w:t>
            </w:r>
          </w:p>
        </w:tc>
        <w:tc>
          <w:tcPr>
            <w:tcW w:w="1488" w:type="dxa"/>
            <w:shd w:val="clear" w:color="auto" w:fill="auto"/>
            <w:vAlign w:val="center"/>
          </w:tcPr>
          <w:p w14:paraId="14507A61"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加强绝缘+检测</w:t>
            </w:r>
          </w:p>
        </w:tc>
        <w:tc>
          <w:tcPr>
            <w:tcW w:w="4617" w:type="dxa"/>
            <w:shd w:val="clear" w:color="auto" w:fill="auto"/>
            <w:vAlign w:val="center"/>
          </w:tcPr>
          <w:p w14:paraId="6E73862B"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杂散电流引起的铁路结构电位偏离应小于自然电位</w:t>
            </w:r>
          </w:p>
        </w:tc>
      </w:tr>
      <w:tr w:rsidR="00737EB2" w:rsidRPr="00765F6E" w14:paraId="536CD27B" w14:textId="77777777" w:rsidTr="00871D47">
        <w:trPr>
          <w:trHeight w:val="176"/>
        </w:trPr>
        <w:tc>
          <w:tcPr>
            <w:tcW w:w="746" w:type="dxa"/>
            <w:tcBorders>
              <w:bottom w:val="single" w:sz="8" w:space="0" w:color="auto"/>
            </w:tcBorders>
            <w:shd w:val="clear" w:color="auto" w:fill="auto"/>
            <w:vAlign w:val="center"/>
          </w:tcPr>
          <w:p w14:paraId="511A8E05"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3</w:t>
            </w:r>
          </w:p>
        </w:tc>
        <w:tc>
          <w:tcPr>
            <w:tcW w:w="1178" w:type="dxa"/>
            <w:tcBorders>
              <w:bottom w:val="single" w:sz="8" w:space="0" w:color="auto"/>
            </w:tcBorders>
            <w:shd w:val="clear" w:color="auto" w:fill="auto"/>
            <w:vAlign w:val="center"/>
          </w:tcPr>
          <w:p w14:paraId="02C74610"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走行轨</w:t>
            </w:r>
          </w:p>
        </w:tc>
        <w:tc>
          <w:tcPr>
            <w:tcW w:w="1530" w:type="dxa"/>
            <w:tcBorders>
              <w:bottom w:val="single" w:sz="8" w:space="0" w:color="auto"/>
            </w:tcBorders>
            <w:shd w:val="clear" w:color="auto" w:fill="auto"/>
            <w:vAlign w:val="center"/>
          </w:tcPr>
          <w:p w14:paraId="31D78B09"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轨道回流系统</w:t>
            </w:r>
          </w:p>
        </w:tc>
        <w:tc>
          <w:tcPr>
            <w:tcW w:w="1488" w:type="dxa"/>
            <w:tcBorders>
              <w:bottom w:val="single" w:sz="8" w:space="0" w:color="auto"/>
            </w:tcBorders>
            <w:shd w:val="clear" w:color="auto" w:fill="auto"/>
            <w:vAlign w:val="center"/>
          </w:tcPr>
          <w:p w14:paraId="34FDAD17" w14:textId="77777777" w:rsidR="00737EB2" w:rsidRPr="00765F6E" w:rsidRDefault="00737EB2" w:rsidP="00871D47">
            <w:pPr>
              <w:spacing w:line="240" w:lineRule="auto"/>
              <w:jc w:val="center"/>
              <w:textAlignment w:val="center"/>
              <w:rPr>
                <w:rFonts w:ascii="宋体" w:hAnsi="宋体"/>
                <w:sz w:val="18"/>
                <w:szCs w:val="18"/>
              </w:rPr>
            </w:pPr>
            <w:r w:rsidRPr="00765F6E">
              <w:rPr>
                <w:rFonts w:ascii="宋体" w:hAnsi="宋体" w:hint="eastAsia"/>
                <w:sz w:val="18"/>
                <w:szCs w:val="18"/>
              </w:rPr>
              <w:t>绝缘+检测+排流</w:t>
            </w:r>
          </w:p>
        </w:tc>
        <w:tc>
          <w:tcPr>
            <w:tcW w:w="4617" w:type="dxa"/>
            <w:tcBorders>
              <w:bottom w:val="single" w:sz="8" w:space="0" w:color="auto"/>
            </w:tcBorders>
            <w:shd w:val="clear" w:color="auto" w:fill="auto"/>
            <w:vAlign w:val="center"/>
          </w:tcPr>
          <w:p w14:paraId="02E62D84" w14:textId="77777777" w:rsidR="00737EB2" w:rsidRPr="00765F6E" w:rsidRDefault="00737EB2" w:rsidP="00871D47">
            <w:pPr>
              <w:spacing w:line="240" w:lineRule="auto"/>
              <w:jc w:val="center"/>
              <w:rPr>
                <w:rFonts w:ascii="宋体" w:hAnsi="宋体"/>
                <w:sz w:val="18"/>
                <w:szCs w:val="18"/>
              </w:rPr>
            </w:pPr>
            <w:r w:rsidRPr="00765F6E">
              <w:rPr>
                <w:rFonts w:ascii="宋体" w:hAnsi="宋体" w:hint="eastAsia"/>
                <w:sz w:val="18"/>
                <w:szCs w:val="18"/>
              </w:rPr>
              <w:t>杂散电流引起的铁路结构电位偏离应小于危险电位，使铁路结构处于保护电位</w:t>
            </w:r>
          </w:p>
        </w:tc>
      </w:tr>
    </w:tbl>
    <w:p w14:paraId="10D39500" w14:textId="77777777" w:rsidR="00737EB2" w:rsidRPr="00765F6E" w:rsidRDefault="00737EB2" w:rsidP="00737EB2">
      <w:pPr>
        <w:spacing w:line="240" w:lineRule="auto"/>
      </w:pPr>
    </w:p>
    <w:p w14:paraId="2007E317" w14:textId="77777777" w:rsidR="00737EB2" w:rsidRPr="00765F6E" w:rsidRDefault="00737EB2" w:rsidP="009D0776">
      <w:pPr>
        <w:pStyle w:val="22"/>
      </w:pPr>
      <w:bookmarkStart w:id="2049" w:name="_Toc153291739"/>
      <w:bookmarkStart w:id="2050" w:name="_Toc99792304"/>
      <w:r w:rsidRPr="00765F6E">
        <w:rPr>
          <w:rFonts w:hint="eastAsia"/>
        </w:rPr>
        <w:t>防护设计</w:t>
      </w:r>
      <w:bookmarkEnd w:id="2049"/>
      <w:bookmarkEnd w:id="2050"/>
      <w:r w:rsidRPr="00765F6E">
        <w:rPr>
          <w:rFonts w:hint="eastAsia"/>
        </w:rPr>
        <w:t>符合下列规定：</w:t>
      </w:r>
    </w:p>
    <w:p w14:paraId="699FA4C5" w14:textId="77777777" w:rsidR="00737EB2" w:rsidRPr="00765F6E" w:rsidRDefault="00737EB2" w:rsidP="003334F3">
      <w:pPr>
        <w:pStyle w:val="af6"/>
        <w:numPr>
          <w:ilvl w:val="0"/>
          <w:numId w:val="171"/>
        </w:numPr>
        <w:tabs>
          <w:tab w:val="left" w:pos="851"/>
        </w:tabs>
        <w:snapToGrid w:val="0"/>
        <w:contextualSpacing/>
      </w:pPr>
      <w:r w:rsidRPr="00765F6E">
        <w:rPr>
          <w:rFonts w:hint="eastAsia"/>
        </w:rPr>
        <w:t xml:space="preserve">杂散电流防护设计应按选定的防护方案及线路、轨道、主体建筑结构、供电系统、车辆基地等专业分别进行设计。受杂散电流影响设施的相关单位应共同进行防护评估，并由各方分别执行相应内容；  </w:t>
      </w:r>
    </w:p>
    <w:p w14:paraId="2C811B58" w14:textId="77777777" w:rsidR="00737EB2" w:rsidRPr="00765F6E" w:rsidRDefault="00737EB2" w:rsidP="003334F3">
      <w:pPr>
        <w:pStyle w:val="af6"/>
        <w:numPr>
          <w:ilvl w:val="0"/>
          <w:numId w:val="171"/>
        </w:numPr>
        <w:tabs>
          <w:tab w:val="left" w:pos="851"/>
        </w:tabs>
        <w:snapToGrid w:val="0"/>
        <w:contextualSpacing/>
      </w:pPr>
      <w:r w:rsidRPr="00765F6E">
        <w:rPr>
          <w:rFonts w:hint="eastAsia"/>
        </w:rPr>
        <w:t>杂散电流防护工程应与电气安全、接地安全等相关的防护设计相协调，并同时进行系统设计；</w:t>
      </w:r>
    </w:p>
    <w:p w14:paraId="7002C985" w14:textId="648919FD" w:rsidR="00737EB2" w:rsidRPr="00765F6E" w:rsidRDefault="00737EB2" w:rsidP="003334F3">
      <w:pPr>
        <w:pStyle w:val="af6"/>
        <w:numPr>
          <w:ilvl w:val="0"/>
          <w:numId w:val="171"/>
        </w:numPr>
        <w:tabs>
          <w:tab w:val="left" w:pos="851"/>
        </w:tabs>
        <w:snapToGrid w:val="0"/>
        <w:contextualSpacing/>
      </w:pPr>
      <w:r w:rsidRPr="00765F6E">
        <w:rPr>
          <w:rFonts w:hint="eastAsia"/>
        </w:rPr>
        <w:t>防护设计应结合线路周边环境条件，对杂散电流相关参数、产生原因、影响范围，及相邻系统的防护方案等进行综合分析，提出预防性技术措施</w:t>
      </w:r>
      <w:r w:rsidR="00E35D7F">
        <w:rPr>
          <w:rFonts w:hint="eastAsia"/>
        </w:rPr>
        <w:t>；</w:t>
      </w:r>
    </w:p>
    <w:p w14:paraId="35F9E941" w14:textId="77777777" w:rsidR="00737EB2" w:rsidRPr="00765F6E" w:rsidRDefault="00737EB2" w:rsidP="003334F3">
      <w:pPr>
        <w:pStyle w:val="af6"/>
        <w:numPr>
          <w:ilvl w:val="0"/>
          <w:numId w:val="171"/>
        </w:numPr>
        <w:tabs>
          <w:tab w:val="left" w:pos="851"/>
        </w:tabs>
        <w:snapToGrid w:val="0"/>
        <w:contextualSpacing/>
      </w:pPr>
      <w:r w:rsidRPr="00765F6E">
        <w:rPr>
          <w:rFonts w:hint="eastAsia"/>
        </w:rPr>
        <w:t>防护设计中所采取的技术措施，应根据杂散电流相关重要参数进行计算、分析、评估后确定。</w:t>
      </w:r>
    </w:p>
    <w:p w14:paraId="4F7638DB" w14:textId="77777777" w:rsidR="00737EB2" w:rsidRPr="00765F6E" w:rsidRDefault="00737EB2" w:rsidP="009D0776">
      <w:pPr>
        <w:pStyle w:val="22"/>
      </w:pPr>
      <w:bookmarkStart w:id="2051" w:name="_Toc99792305"/>
      <w:bookmarkStart w:id="2052" w:name="_Toc153291740"/>
      <w:r w:rsidRPr="00765F6E">
        <w:rPr>
          <w:rFonts w:hint="eastAsia"/>
        </w:rPr>
        <w:t>防护监控</w:t>
      </w:r>
      <w:bookmarkEnd w:id="2051"/>
      <w:bookmarkEnd w:id="2052"/>
      <w:r w:rsidRPr="00765F6E">
        <w:rPr>
          <w:rFonts w:hint="eastAsia"/>
        </w:rPr>
        <w:t>符合下列规定：</w:t>
      </w:r>
    </w:p>
    <w:p w14:paraId="05700606" w14:textId="77777777" w:rsidR="00737EB2" w:rsidRPr="00765F6E" w:rsidRDefault="00737EB2" w:rsidP="003334F3">
      <w:pPr>
        <w:pStyle w:val="af6"/>
        <w:numPr>
          <w:ilvl w:val="0"/>
          <w:numId w:val="172"/>
        </w:numPr>
        <w:tabs>
          <w:tab w:val="left" w:pos="851"/>
        </w:tabs>
        <w:snapToGrid w:val="0"/>
        <w:contextualSpacing/>
      </w:pPr>
      <w:r w:rsidRPr="00765F6E">
        <w:rPr>
          <w:rFonts w:hint="eastAsia"/>
        </w:rPr>
        <w:t xml:space="preserve">杂散电流防护监控系统包含防护监测系统及排流控制系统； </w:t>
      </w:r>
    </w:p>
    <w:p w14:paraId="35A3CD33" w14:textId="77777777" w:rsidR="00737EB2" w:rsidRPr="00765F6E" w:rsidRDefault="00737EB2" w:rsidP="003334F3">
      <w:pPr>
        <w:pStyle w:val="af6"/>
        <w:numPr>
          <w:ilvl w:val="0"/>
          <w:numId w:val="172"/>
        </w:numPr>
        <w:tabs>
          <w:tab w:val="left" w:pos="851"/>
        </w:tabs>
        <w:snapToGrid w:val="0"/>
        <w:contextualSpacing/>
      </w:pPr>
      <w:r w:rsidRPr="00765F6E">
        <w:rPr>
          <w:rFonts w:hint="eastAsia"/>
        </w:rPr>
        <w:t>防护监测系统由变电所监测装置、轨道电位监测点设备、道床和主体结构的测试与防护连接端子、连接线缆组成。监测系统应能实现实时监测；</w:t>
      </w:r>
    </w:p>
    <w:p w14:paraId="68040021" w14:textId="77777777" w:rsidR="00737EB2" w:rsidRPr="00765F6E" w:rsidRDefault="00737EB2" w:rsidP="003334F3">
      <w:pPr>
        <w:pStyle w:val="af6"/>
        <w:numPr>
          <w:ilvl w:val="0"/>
          <w:numId w:val="172"/>
        </w:numPr>
        <w:tabs>
          <w:tab w:val="left" w:pos="851"/>
        </w:tabs>
        <w:snapToGrid w:val="0"/>
        <w:contextualSpacing/>
      </w:pPr>
      <w:r w:rsidRPr="00765F6E">
        <w:rPr>
          <w:rFonts w:hint="eastAsia"/>
        </w:rPr>
        <w:t>排流控制系统由检测装置和排流控制装置组成，并宜具备自动或人工启动和退出的功能；</w:t>
      </w:r>
    </w:p>
    <w:p w14:paraId="7C85F3B0" w14:textId="77777777" w:rsidR="00737EB2" w:rsidRPr="00765F6E" w:rsidRDefault="00737EB2" w:rsidP="003334F3">
      <w:pPr>
        <w:pStyle w:val="af6"/>
        <w:numPr>
          <w:ilvl w:val="0"/>
          <w:numId w:val="172"/>
        </w:numPr>
        <w:tabs>
          <w:tab w:val="left" w:pos="851"/>
        </w:tabs>
        <w:snapToGrid w:val="0"/>
        <w:contextualSpacing/>
      </w:pPr>
      <w:r w:rsidRPr="00765F6E">
        <w:rPr>
          <w:rFonts w:hint="eastAsia"/>
        </w:rPr>
        <w:t>杂散电流参数测量、试验、检测及监控的测试设备应符合</w:t>
      </w:r>
      <w:r w:rsidRPr="00765F6E">
        <w:t>CJJ/T 49-2020</w:t>
      </w:r>
      <w:r w:rsidRPr="00765F6E">
        <w:rPr>
          <w:rFonts w:hint="eastAsia"/>
        </w:rPr>
        <w:t>附录B的规定。</w:t>
      </w:r>
    </w:p>
    <w:p w14:paraId="39E290E3" w14:textId="77777777" w:rsidR="00737EB2" w:rsidRPr="00765F6E" w:rsidRDefault="00737EB2" w:rsidP="009D0776">
      <w:pPr>
        <w:pStyle w:val="22"/>
      </w:pPr>
      <w:bookmarkStart w:id="2053" w:name="_Toc153291741"/>
      <w:bookmarkStart w:id="2054" w:name="_Toc99792306"/>
      <w:r w:rsidRPr="00765F6E">
        <w:rPr>
          <w:rFonts w:hint="eastAsia"/>
        </w:rPr>
        <w:t>检测和试验</w:t>
      </w:r>
      <w:bookmarkEnd w:id="2053"/>
      <w:bookmarkEnd w:id="2054"/>
      <w:r w:rsidRPr="00765F6E">
        <w:rPr>
          <w:rFonts w:hint="eastAsia"/>
        </w:rPr>
        <w:t>符合下列规定：</w:t>
      </w:r>
    </w:p>
    <w:p w14:paraId="43DD284F" w14:textId="77777777" w:rsidR="00737EB2" w:rsidRPr="00765F6E" w:rsidRDefault="00737EB2" w:rsidP="003334F3">
      <w:pPr>
        <w:pStyle w:val="af6"/>
        <w:numPr>
          <w:ilvl w:val="0"/>
          <w:numId w:val="173"/>
        </w:numPr>
        <w:tabs>
          <w:tab w:val="left" w:pos="851"/>
        </w:tabs>
        <w:snapToGrid w:val="0"/>
        <w:contextualSpacing/>
      </w:pPr>
      <w:r w:rsidRPr="00765F6E">
        <w:rPr>
          <w:rFonts w:hint="eastAsia"/>
        </w:rPr>
        <w:t>杂散电流防护工程在各阶段工程交付前应进行检验。内容包括工程施工过程检验、工程竣工验收检验、试运营和运营后检验等。检验内容可按</w:t>
      </w:r>
      <w:r w:rsidRPr="00765F6E">
        <w:t xml:space="preserve"> CJJ/T 49-2020</w:t>
      </w:r>
      <w:r w:rsidRPr="00765F6E">
        <w:rPr>
          <w:rFonts w:hint="eastAsia"/>
        </w:rPr>
        <w:t>中相关要求执行；</w:t>
      </w:r>
    </w:p>
    <w:p w14:paraId="1660425B" w14:textId="77777777" w:rsidR="00737EB2" w:rsidRPr="00765F6E" w:rsidRDefault="00737EB2" w:rsidP="003334F3">
      <w:pPr>
        <w:pStyle w:val="af6"/>
        <w:numPr>
          <w:ilvl w:val="0"/>
          <w:numId w:val="173"/>
        </w:numPr>
        <w:tabs>
          <w:tab w:val="left" w:pos="851"/>
        </w:tabs>
        <w:snapToGrid w:val="0"/>
        <w:contextualSpacing/>
      </w:pPr>
      <w:r w:rsidRPr="00765F6E">
        <w:rPr>
          <w:rFonts w:hint="eastAsia"/>
        </w:rPr>
        <w:t>杂散电流防护工程检验项目应采用GB/T 28026.2及</w:t>
      </w:r>
      <w:r w:rsidRPr="00765F6E">
        <w:t>CJJ/T49-2020</w:t>
      </w:r>
      <w:r w:rsidRPr="00765F6E">
        <w:rPr>
          <w:rFonts w:hint="eastAsia"/>
        </w:rPr>
        <w:t>中相关要求执行。</w:t>
      </w:r>
    </w:p>
    <w:p w14:paraId="05DE66DE" w14:textId="77777777" w:rsidR="00737EB2" w:rsidRPr="00765F6E" w:rsidRDefault="00737EB2" w:rsidP="00737EB2">
      <w:pPr>
        <w:pStyle w:val="affe"/>
        <w:spacing w:before="156" w:after="156"/>
      </w:pPr>
      <w:bookmarkStart w:id="2055" w:name="_Toc99792307"/>
      <w:bookmarkStart w:id="2056" w:name="_Toc153291742"/>
      <w:bookmarkStart w:id="2057" w:name="_Toc153210916"/>
      <w:bookmarkStart w:id="2058" w:name="_Toc167895814"/>
      <w:bookmarkStart w:id="2059" w:name="_Toc174538728"/>
      <w:bookmarkStart w:id="2060" w:name="_Toc182476485"/>
      <w:r w:rsidRPr="00765F6E">
        <w:rPr>
          <w:rFonts w:hint="eastAsia"/>
        </w:rPr>
        <w:t>接口设计</w:t>
      </w:r>
      <w:bookmarkEnd w:id="2055"/>
      <w:bookmarkEnd w:id="2056"/>
      <w:bookmarkEnd w:id="2057"/>
      <w:bookmarkEnd w:id="2058"/>
      <w:bookmarkEnd w:id="2059"/>
      <w:bookmarkEnd w:id="2060"/>
    </w:p>
    <w:p w14:paraId="401D02E7" w14:textId="77777777" w:rsidR="00737EB2" w:rsidRPr="00765F6E" w:rsidRDefault="00737EB2" w:rsidP="009D0776">
      <w:pPr>
        <w:pStyle w:val="22"/>
      </w:pPr>
      <w:bookmarkStart w:id="2061" w:name="_Toc153291743"/>
      <w:bookmarkStart w:id="2062" w:name="_Toc99792308"/>
      <w:r w:rsidRPr="00765F6E">
        <w:rPr>
          <w:rFonts w:hint="eastAsia"/>
        </w:rPr>
        <w:t>牵引供电提供电力部门所需牵引负荷、牵引变压器安装容量、年用电量等资料。电力部门提供外部电源线路参数、系统短路容量等资料。</w:t>
      </w:r>
      <w:bookmarkEnd w:id="2061"/>
      <w:bookmarkEnd w:id="2062"/>
    </w:p>
    <w:p w14:paraId="340530DC" w14:textId="6CB84977" w:rsidR="00737EB2" w:rsidRPr="00765F6E" w:rsidRDefault="00737EB2" w:rsidP="009D0776">
      <w:pPr>
        <w:pStyle w:val="22"/>
      </w:pPr>
      <w:bookmarkStart w:id="2063" w:name="_Toc99792309"/>
      <w:bookmarkStart w:id="2064" w:name="_Toc153291744"/>
      <w:r w:rsidRPr="00765F6E">
        <w:rPr>
          <w:rFonts w:hint="eastAsia"/>
        </w:rPr>
        <w:t>牵引变电应与线路、站场、隧道、</w:t>
      </w:r>
      <w:r w:rsidR="00471F7D">
        <w:rPr>
          <w:rFonts w:hint="eastAsia"/>
        </w:rPr>
        <w:t>桥涵</w:t>
      </w:r>
      <w:r w:rsidRPr="00765F6E">
        <w:rPr>
          <w:rFonts w:hint="eastAsia"/>
        </w:rPr>
        <w:t>、路基、建筑、结构、</w:t>
      </w:r>
      <w:r w:rsidR="00471F7D" w:rsidRPr="00BF0BA3">
        <w:rPr>
          <w:rFonts w:hint="eastAsia"/>
        </w:rPr>
        <w:t>通风与空调</w:t>
      </w:r>
      <w:r w:rsidRPr="00471F7D">
        <w:rPr>
          <w:rFonts w:hint="eastAsia"/>
        </w:rPr>
        <w:t>、</w:t>
      </w:r>
      <w:r w:rsidR="00471F7D" w:rsidRPr="00BF0BA3">
        <w:rPr>
          <w:rFonts w:hint="eastAsia"/>
        </w:rPr>
        <w:t>给水与排水、防灾</w:t>
      </w:r>
      <w:r w:rsidRPr="00765F6E">
        <w:rPr>
          <w:rFonts w:hint="eastAsia"/>
        </w:rPr>
        <w:t>等专业协调确定下列接口内容：</w:t>
      </w:r>
      <w:bookmarkEnd w:id="2063"/>
      <w:bookmarkEnd w:id="2064"/>
    </w:p>
    <w:p w14:paraId="463032B3" w14:textId="77777777" w:rsidR="00737EB2" w:rsidRPr="00765F6E" w:rsidRDefault="00737EB2" w:rsidP="003334F3">
      <w:pPr>
        <w:pStyle w:val="af6"/>
        <w:numPr>
          <w:ilvl w:val="0"/>
          <w:numId w:val="174"/>
        </w:numPr>
        <w:tabs>
          <w:tab w:val="left" w:pos="851"/>
        </w:tabs>
        <w:snapToGrid w:val="0"/>
        <w:contextualSpacing/>
      </w:pPr>
      <w:r w:rsidRPr="00765F6E">
        <w:rPr>
          <w:rFonts w:hint="eastAsia"/>
        </w:rPr>
        <w:t>各所场坪、通过道路、设备房屋、设备支架基础、电缆路径、电缆夹层、电缆沟槽、预埋管及预留孔洞等；</w:t>
      </w:r>
    </w:p>
    <w:p w14:paraId="4215E182" w14:textId="77777777" w:rsidR="00737EB2" w:rsidRPr="00765F6E" w:rsidRDefault="00737EB2" w:rsidP="003334F3">
      <w:pPr>
        <w:pStyle w:val="af6"/>
        <w:numPr>
          <w:ilvl w:val="0"/>
          <w:numId w:val="174"/>
        </w:numPr>
        <w:tabs>
          <w:tab w:val="left" w:pos="851"/>
        </w:tabs>
        <w:snapToGrid w:val="0"/>
        <w:contextualSpacing/>
      </w:pPr>
      <w:r w:rsidRPr="00765F6E">
        <w:rPr>
          <w:rFonts w:hint="eastAsia"/>
        </w:rPr>
        <w:t>各所场地排水、消防和事故排风设施。</w:t>
      </w:r>
    </w:p>
    <w:p w14:paraId="5C7901F4" w14:textId="77777777" w:rsidR="00737EB2" w:rsidRPr="00765F6E" w:rsidRDefault="00737EB2" w:rsidP="009D0776">
      <w:pPr>
        <w:pStyle w:val="22"/>
      </w:pPr>
      <w:bookmarkStart w:id="2065" w:name="_Toc153291745"/>
      <w:bookmarkStart w:id="2066" w:name="_Toc99792310"/>
      <w:r w:rsidRPr="00765F6E">
        <w:rPr>
          <w:rFonts w:hint="eastAsia"/>
        </w:rPr>
        <w:t>供电调度应与地区电力调度、通信、综合监控等专业协调确定下列接口内容：</w:t>
      </w:r>
      <w:bookmarkEnd w:id="2065"/>
      <w:bookmarkEnd w:id="2066"/>
    </w:p>
    <w:p w14:paraId="294CE3A8" w14:textId="77777777" w:rsidR="00737EB2" w:rsidRPr="00765F6E" w:rsidRDefault="00737EB2" w:rsidP="003334F3">
      <w:pPr>
        <w:pStyle w:val="af6"/>
        <w:numPr>
          <w:ilvl w:val="0"/>
          <w:numId w:val="175"/>
        </w:numPr>
        <w:tabs>
          <w:tab w:val="left" w:pos="851"/>
        </w:tabs>
        <w:snapToGrid w:val="0"/>
        <w:contextualSpacing/>
      </w:pPr>
      <w:r w:rsidRPr="00765F6E">
        <w:rPr>
          <w:rFonts w:hint="eastAsia"/>
        </w:rPr>
        <w:t>与地方电力调度的接口界面、接口形式、监控范围及内容等；</w:t>
      </w:r>
    </w:p>
    <w:p w14:paraId="05C65ABC" w14:textId="77777777" w:rsidR="00737EB2" w:rsidRPr="00765F6E" w:rsidRDefault="00737EB2" w:rsidP="003334F3">
      <w:pPr>
        <w:pStyle w:val="af6"/>
        <w:numPr>
          <w:ilvl w:val="0"/>
          <w:numId w:val="175"/>
        </w:numPr>
        <w:tabs>
          <w:tab w:val="left" w:pos="851"/>
        </w:tabs>
        <w:snapToGrid w:val="0"/>
        <w:contextualSpacing/>
      </w:pPr>
      <w:r w:rsidRPr="00765F6E">
        <w:rPr>
          <w:rFonts w:hint="eastAsia"/>
        </w:rPr>
        <w:t>各子站通信通道、对时、视频监控系统的设置等。</w:t>
      </w:r>
    </w:p>
    <w:p w14:paraId="25938257" w14:textId="77777777" w:rsidR="00737EB2" w:rsidRPr="00765F6E" w:rsidRDefault="00737EB2" w:rsidP="009D0776">
      <w:pPr>
        <w:pStyle w:val="22"/>
      </w:pPr>
      <w:bookmarkStart w:id="2067" w:name="_Toc99792311"/>
      <w:bookmarkStart w:id="2068" w:name="_Toc153291746"/>
      <w:r w:rsidRPr="00765F6E">
        <w:rPr>
          <w:rFonts w:hint="eastAsia"/>
        </w:rPr>
        <w:t>牵引网接口设计符合下列规定：</w:t>
      </w:r>
      <w:bookmarkEnd w:id="2067"/>
      <w:bookmarkEnd w:id="2068"/>
    </w:p>
    <w:p w14:paraId="26FC053F" w14:textId="77777777" w:rsidR="00737EB2" w:rsidRPr="00765F6E" w:rsidRDefault="00737EB2" w:rsidP="003334F3">
      <w:pPr>
        <w:pStyle w:val="af6"/>
        <w:numPr>
          <w:ilvl w:val="0"/>
          <w:numId w:val="176"/>
        </w:numPr>
        <w:tabs>
          <w:tab w:val="left" w:pos="851"/>
        </w:tabs>
        <w:snapToGrid w:val="0"/>
        <w:contextualSpacing/>
      </w:pPr>
      <w:r w:rsidRPr="00765F6E">
        <w:rPr>
          <w:rFonts w:hint="eastAsia"/>
        </w:rPr>
        <w:t>牵引网应配合桥梁完成桥支柱基础、下锚拉线基础预留、 桥梁综合接地（电力牵引供电部分）设置与预埋、跨线建筑物净空要求、牵引网特殊桥支柱、沟槽管洞预留的接口设计；应配合桥梁、环评完成避车台、声屏障、桥上电缆构架等的接口设计；</w:t>
      </w:r>
    </w:p>
    <w:p w14:paraId="2D61F9DC" w14:textId="77777777" w:rsidR="00737EB2" w:rsidRPr="00765F6E" w:rsidRDefault="00737EB2" w:rsidP="003334F3">
      <w:pPr>
        <w:pStyle w:val="af6"/>
        <w:numPr>
          <w:ilvl w:val="0"/>
          <w:numId w:val="176"/>
        </w:numPr>
        <w:tabs>
          <w:tab w:val="left" w:pos="851"/>
        </w:tabs>
        <w:snapToGrid w:val="0"/>
        <w:contextualSpacing/>
      </w:pPr>
      <w:r w:rsidRPr="00765F6E">
        <w:rPr>
          <w:rFonts w:hint="eastAsia"/>
        </w:rPr>
        <w:t>牵引网应配合隧道专业完成隧道内牵引网安装埋入件及其布置、 隧道内综合接地（电力牵引供电部分）设置与预留、隧道内锚段关节及关节洞、下锚洞设置与预留、隧道内牵引网设备安装洞预留、沟槽管洞预留的接口设计；</w:t>
      </w:r>
    </w:p>
    <w:p w14:paraId="22BB3AB3" w14:textId="77777777" w:rsidR="00737EB2" w:rsidRPr="00765F6E" w:rsidRDefault="00737EB2" w:rsidP="003334F3">
      <w:pPr>
        <w:pStyle w:val="af6"/>
        <w:numPr>
          <w:ilvl w:val="0"/>
          <w:numId w:val="176"/>
        </w:numPr>
        <w:tabs>
          <w:tab w:val="left" w:pos="851"/>
        </w:tabs>
        <w:snapToGrid w:val="0"/>
        <w:contextualSpacing/>
      </w:pPr>
      <w:r w:rsidRPr="00765F6E">
        <w:rPr>
          <w:rFonts w:hint="eastAsia"/>
        </w:rPr>
        <w:t>牵引网应配合路基、结构完成牵引网预留基础对路基的影响、预留基础位置尺寸与电缆沟槽间的关系配合、牵引网预留基础及其平面布置、沟槽管洞预留、综合接地在路基上设置与预埋的接口设计；</w:t>
      </w:r>
    </w:p>
    <w:p w14:paraId="03C7AD56" w14:textId="77777777" w:rsidR="00737EB2" w:rsidRPr="00765F6E" w:rsidRDefault="00737EB2" w:rsidP="003334F3">
      <w:pPr>
        <w:pStyle w:val="af6"/>
        <w:numPr>
          <w:ilvl w:val="0"/>
          <w:numId w:val="176"/>
        </w:numPr>
        <w:tabs>
          <w:tab w:val="left" w:pos="851"/>
        </w:tabs>
        <w:snapToGrid w:val="0"/>
        <w:contextualSpacing/>
      </w:pPr>
      <w:r w:rsidRPr="00765F6E">
        <w:rPr>
          <w:rFonts w:hint="eastAsia"/>
        </w:rPr>
        <w:lastRenderedPageBreak/>
        <w:t>牵引网应配合站场、房屋建筑完成牵引网立柱对线间距要求、预留基础及其平面布置、站台雨棚合架、雨棚及高架站房的综合接地（电力牵引供电部分）设置与预埋、反向行车的要求等接口设计；</w:t>
      </w:r>
    </w:p>
    <w:p w14:paraId="1E517A96" w14:textId="77777777" w:rsidR="00737EB2" w:rsidRPr="00765F6E" w:rsidRDefault="00737EB2" w:rsidP="003334F3">
      <w:pPr>
        <w:pStyle w:val="af6"/>
        <w:numPr>
          <w:ilvl w:val="0"/>
          <w:numId w:val="176"/>
        </w:numPr>
        <w:tabs>
          <w:tab w:val="left" w:pos="851"/>
        </w:tabs>
        <w:snapToGrid w:val="0"/>
        <w:contextualSpacing/>
      </w:pPr>
      <w:r w:rsidRPr="00765F6E">
        <w:rPr>
          <w:rFonts w:hint="eastAsia"/>
        </w:rPr>
        <w:t>结构应负责完成牵引网特殊硬横梁、吊柱、支柱设计要求、跨线建筑物下安装预埋件、牵引网支柱基础、拉线基础等的接口设计；</w:t>
      </w:r>
    </w:p>
    <w:p w14:paraId="36D884C4" w14:textId="77777777" w:rsidR="00737EB2" w:rsidRPr="00765F6E" w:rsidRDefault="00737EB2" w:rsidP="003334F3">
      <w:pPr>
        <w:pStyle w:val="af6"/>
        <w:numPr>
          <w:ilvl w:val="0"/>
          <w:numId w:val="176"/>
        </w:numPr>
        <w:tabs>
          <w:tab w:val="left" w:pos="851"/>
        </w:tabs>
        <w:snapToGrid w:val="0"/>
        <w:contextualSpacing/>
      </w:pPr>
      <w:r w:rsidRPr="00765F6E">
        <w:rPr>
          <w:rFonts w:hint="eastAsia"/>
        </w:rPr>
        <w:t>牵引网应配合沿线桥梁、路基、跨线构筑物、无碴轨道、站房、站台、雨棚、牵引网预留基础等建构筑物，完成闪络保护等电位的接口设计。配合综合接地设计的牵头专业，完成综合接地的接口设计，车站站台应采取保障人员生命安全的综合接地措施；</w:t>
      </w:r>
    </w:p>
    <w:p w14:paraId="2B6A167E" w14:textId="77777777" w:rsidR="00737EB2" w:rsidRPr="00765F6E" w:rsidRDefault="00737EB2" w:rsidP="003334F3">
      <w:pPr>
        <w:pStyle w:val="af6"/>
        <w:numPr>
          <w:ilvl w:val="0"/>
          <w:numId w:val="176"/>
        </w:numPr>
        <w:tabs>
          <w:tab w:val="left" w:pos="851"/>
        </w:tabs>
        <w:snapToGrid w:val="0"/>
        <w:contextualSpacing/>
      </w:pPr>
      <w:r w:rsidRPr="00765F6E">
        <w:rPr>
          <w:rFonts w:hint="eastAsia"/>
        </w:rPr>
        <w:t>牵引网应与相关专业确认市域车辆组受电弓型号规格及间距， 对受电弓配备的具体要求，车辆基地（所、存车场）内牵引网运行的接口设计；</w:t>
      </w:r>
    </w:p>
    <w:p w14:paraId="1FED9799" w14:textId="77777777" w:rsidR="00737EB2" w:rsidRPr="00765F6E" w:rsidRDefault="00737EB2" w:rsidP="003334F3">
      <w:pPr>
        <w:pStyle w:val="af6"/>
        <w:numPr>
          <w:ilvl w:val="0"/>
          <w:numId w:val="176"/>
        </w:numPr>
        <w:tabs>
          <w:tab w:val="left" w:pos="851"/>
        </w:tabs>
        <w:snapToGrid w:val="0"/>
        <w:contextualSpacing/>
      </w:pPr>
      <w:r w:rsidRPr="00765F6E">
        <w:rPr>
          <w:rFonts w:hint="eastAsia"/>
        </w:rPr>
        <w:t>牵引网应与信号专业配合确定牵引网关节位置对信号机设置的要求、 电分相布置的接收信号设备及列控信息配置、钢轨回流连接设置的接口设计；</w:t>
      </w:r>
    </w:p>
    <w:p w14:paraId="78DD886B" w14:textId="74E73BB6" w:rsidR="00737EB2" w:rsidRPr="00765F6E" w:rsidRDefault="00737EB2" w:rsidP="003334F3">
      <w:pPr>
        <w:pStyle w:val="af6"/>
        <w:numPr>
          <w:ilvl w:val="0"/>
          <w:numId w:val="176"/>
        </w:numPr>
        <w:tabs>
          <w:tab w:val="left" w:pos="851"/>
        </w:tabs>
        <w:snapToGrid w:val="0"/>
        <w:contextualSpacing/>
      </w:pPr>
      <w:r w:rsidRPr="00765F6E">
        <w:rPr>
          <w:rFonts w:hint="eastAsia"/>
        </w:rPr>
        <w:t>牵引网应配合</w:t>
      </w:r>
      <w:r w:rsidR="00471F7D">
        <w:rPr>
          <w:rFonts w:hint="eastAsia"/>
        </w:rPr>
        <w:t>防灾</w:t>
      </w:r>
      <w:r w:rsidRPr="00765F6E">
        <w:rPr>
          <w:rFonts w:hint="eastAsia"/>
        </w:rPr>
        <w:t>专业完成防灾减灾措施、 防灾监控设施与牵引网合架的接口设计；应配合通信等专业完成漏缆与牵引网并行架设的接口设计；应结合精测网设置情况完成精测设备与牵引网合架的接口设计；</w:t>
      </w:r>
    </w:p>
    <w:p w14:paraId="65C767C8" w14:textId="77777777" w:rsidR="00737EB2" w:rsidRPr="00765F6E" w:rsidRDefault="00737EB2" w:rsidP="003334F3">
      <w:pPr>
        <w:pStyle w:val="af6"/>
        <w:numPr>
          <w:ilvl w:val="0"/>
          <w:numId w:val="176"/>
        </w:numPr>
        <w:tabs>
          <w:tab w:val="left" w:pos="851"/>
        </w:tabs>
        <w:snapToGrid w:val="0"/>
        <w:contextualSpacing/>
      </w:pPr>
      <w:r w:rsidRPr="00765F6E">
        <w:rPr>
          <w:rFonts w:hint="eastAsia"/>
        </w:rPr>
        <w:t>牵引网在各相关专业的接口设计中，应明确本专业控制误差要求，便于接口专业施工采用合理的施工工艺。</w:t>
      </w:r>
    </w:p>
    <w:p w14:paraId="583B012A" w14:textId="77777777" w:rsidR="00737EB2" w:rsidRPr="00765F6E" w:rsidRDefault="00737EB2" w:rsidP="00737EB2">
      <w:pPr>
        <w:pStyle w:val="affd"/>
        <w:spacing w:before="312" w:after="312"/>
      </w:pPr>
      <w:bookmarkStart w:id="2069" w:name="_Toc153291794"/>
      <w:bookmarkStart w:id="2070" w:name="_Toc99792359"/>
      <w:bookmarkStart w:id="2071" w:name="_Toc153210925"/>
      <w:bookmarkStart w:id="2072" w:name="_Toc167895823"/>
      <w:bookmarkStart w:id="2073" w:name="_Toc174538737"/>
      <w:bookmarkStart w:id="2074" w:name="_Toc182476486"/>
      <w:r w:rsidRPr="00765F6E">
        <w:rPr>
          <w:rFonts w:hint="eastAsia"/>
        </w:rPr>
        <w:t>通信</w:t>
      </w:r>
      <w:bookmarkEnd w:id="2069"/>
      <w:bookmarkEnd w:id="2070"/>
      <w:bookmarkEnd w:id="2071"/>
      <w:bookmarkEnd w:id="2072"/>
      <w:bookmarkEnd w:id="2073"/>
      <w:bookmarkEnd w:id="2074"/>
    </w:p>
    <w:p w14:paraId="6AA89042" w14:textId="77777777" w:rsidR="00737EB2" w:rsidRPr="00765F6E" w:rsidRDefault="00737EB2" w:rsidP="00737EB2">
      <w:pPr>
        <w:pStyle w:val="affe"/>
        <w:spacing w:before="156" w:after="156"/>
      </w:pPr>
      <w:bookmarkStart w:id="2075" w:name="_Toc99792360"/>
      <w:bookmarkStart w:id="2076" w:name="_Toc153210926"/>
      <w:bookmarkStart w:id="2077" w:name="_Toc153291795"/>
      <w:bookmarkStart w:id="2078" w:name="_Toc167895824"/>
      <w:bookmarkStart w:id="2079" w:name="_Toc174538738"/>
      <w:bookmarkStart w:id="2080" w:name="_Toc182476487"/>
      <w:r w:rsidRPr="00765F6E">
        <w:rPr>
          <w:rFonts w:hint="eastAsia"/>
        </w:rPr>
        <w:t>一般规定</w:t>
      </w:r>
      <w:bookmarkEnd w:id="2075"/>
      <w:bookmarkEnd w:id="2076"/>
      <w:bookmarkEnd w:id="2077"/>
      <w:bookmarkEnd w:id="2078"/>
      <w:bookmarkEnd w:id="2079"/>
      <w:bookmarkEnd w:id="2080"/>
    </w:p>
    <w:p w14:paraId="5FB3124F" w14:textId="77777777" w:rsidR="00737EB2" w:rsidRPr="00765F6E" w:rsidRDefault="00737EB2" w:rsidP="009D0776">
      <w:pPr>
        <w:pStyle w:val="22"/>
      </w:pPr>
      <w:bookmarkStart w:id="2081" w:name="_Toc153291796"/>
      <w:bookmarkStart w:id="2082" w:name="_Toc99792361"/>
      <w:r w:rsidRPr="00765F6E">
        <w:rPr>
          <w:rFonts w:hint="eastAsia"/>
        </w:rPr>
        <w:t>通信系统应满足提高运输效率、保证行车安全、提高现代化管理水平的要求，提供语音、数据、图像等通信业务，通信系统应稳定可靠、功能合理、设备成熟、技术先进、经济实用。</w:t>
      </w:r>
      <w:bookmarkEnd w:id="2081"/>
      <w:bookmarkEnd w:id="2082"/>
    </w:p>
    <w:p w14:paraId="73D254D6" w14:textId="77777777" w:rsidR="00737EB2" w:rsidRPr="00765F6E" w:rsidRDefault="00737EB2" w:rsidP="009D0776">
      <w:pPr>
        <w:pStyle w:val="22"/>
      </w:pPr>
      <w:bookmarkStart w:id="2083" w:name="_Toc99792362"/>
      <w:bookmarkStart w:id="2084" w:name="_Toc153291797"/>
      <w:r w:rsidRPr="00765F6E">
        <w:rPr>
          <w:rFonts w:hint="eastAsia"/>
        </w:rPr>
        <w:t>通信系统设计应采用先进成熟技术，符合数字化、宽带化、智能化、综合化要求。</w:t>
      </w:r>
      <w:bookmarkEnd w:id="2083"/>
      <w:bookmarkEnd w:id="2084"/>
    </w:p>
    <w:p w14:paraId="670D8469" w14:textId="77777777" w:rsidR="00737EB2" w:rsidRPr="00765F6E" w:rsidRDefault="00737EB2" w:rsidP="009D0776">
      <w:pPr>
        <w:pStyle w:val="22"/>
      </w:pPr>
      <w:bookmarkStart w:id="2085" w:name="_Toc153291798"/>
      <w:bookmarkStart w:id="2086" w:name="_Toc99792363"/>
      <w:r w:rsidRPr="00765F6E">
        <w:rPr>
          <w:rFonts w:hint="eastAsia"/>
        </w:rPr>
        <w:t>通信系统宜由传输系统、公务电话系统、有线调度通信系统、移动通信系统、会议电视系统、综合视频监控系统、时钟同步及时间同步系统、电源及接地系统、电源及设备环境监控系统和通信线路等专用通信系统、公安通信系统及民用通信引入系统组成。新建线路时应统一设计，并宜考虑三部分通信业务在传输及通信线路、电源、设备用房等方面的资源共享。通信系统满足以下要求：</w:t>
      </w:r>
      <w:bookmarkEnd w:id="2085"/>
      <w:bookmarkEnd w:id="2086"/>
    </w:p>
    <w:p w14:paraId="0C9D94ED" w14:textId="77777777" w:rsidR="00737EB2" w:rsidRPr="00765F6E" w:rsidRDefault="00737EB2" w:rsidP="003334F3">
      <w:pPr>
        <w:pStyle w:val="af6"/>
        <w:numPr>
          <w:ilvl w:val="0"/>
          <w:numId w:val="189"/>
        </w:numPr>
        <w:tabs>
          <w:tab w:val="left" w:pos="851"/>
        </w:tabs>
        <w:snapToGrid w:val="0"/>
        <w:contextualSpacing/>
      </w:pPr>
      <w:r w:rsidRPr="00765F6E">
        <w:rPr>
          <w:rFonts w:hint="eastAsia"/>
        </w:rPr>
        <w:t>专用通信系统应满足正常运营方式和灾害运营方式的通信需求。在正常运营方式时，应为运营管理提供信息；在灾害运行方式时，应为防灾、救援和事故处理的指挥提供保证；</w:t>
      </w:r>
    </w:p>
    <w:p w14:paraId="14670757" w14:textId="77777777" w:rsidR="00737EB2" w:rsidRPr="00765F6E" w:rsidRDefault="00737EB2" w:rsidP="003334F3">
      <w:pPr>
        <w:pStyle w:val="af6"/>
        <w:numPr>
          <w:ilvl w:val="0"/>
          <w:numId w:val="189"/>
        </w:numPr>
        <w:tabs>
          <w:tab w:val="left" w:pos="851"/>
        </w:tabs>
        <w:snapToGrid w:val="0"/>
        <w:contextualSpacing/>
      </w:pPr>
      <w:r w:rsidRPr="00765F6E">
        <w:rPr>
          <w:rFonts w:hint="eastAsia"/>
        </w:rPr>
        <w:t>公安通信系统应满足公安部门在市域铁路范围内的通信需求，并应在突发事件发生时，为公安、消防部门在市域铁路内的应急调度指挥提供保证；</w:t>
      </w:r>
    </w:p>
    <w:p w14:paraId="4F9153C5" w14:textId="77777777" w:rsidR="00737EB2" w:rsidRPr="00765F6E" w:rsidRDefault="00737EB2" w:rsidP="003334F3">
      <w:pPr>
        <w:pStyle w:val="af6"/>
        <w:numPr>
          <w:ilvl w:val="0"/>
          <w:numId w:val="189"/>
        </w:numPr>
        <w:tabs>
          <w:tab w:val="left" w:pos="851"/>
        </w:tabs>
        <w:snapToGrid w:val="0"/>
        <w:contextualSpacing/>
      </w:pPr>
      <w:r w:rsidRPr="00765F6E">
        <w:rPr>
          <w:rFonts w:hint="eastAsia"/>
        </w:rPr>
        <w:t>民用通信引入系统应满足市域铁路公众通信服务，宜将公共移动通信系统覆盖至市域铁路地下空间。</w:t>
      </w:r>
    </w:p>
    <w:p w14:paraId="15478B21" w14:textId="77777777" w:rsidR="00737EB2" w:rsidRPr="00765F6E" w:rsidRDefault="00737EB2" w:rsidP="009D0776">
      <w:pPr>
        <w:pStyle w:val="22"/>
      </w:pPr>
      <w:bookmarkStart w:id="2087" w:name="_Toc153291799"/>
      <w:bookmarkStart w:id="2088" w:name="_Toc99792364"/>
      <w:r w:rsidRPr="00765F6E">
        <w:rPr>
          <w:rFonts w:hint="eastAsia"/>
        </w:rPr>
        <w:t>通信系统设备应采用模块化设计，易于扩展和平滑升级，系统设计应符合可靠性、可用性、可维护性及安全性的要求。</w:t>
      </w:r>
      <w:bookmarkEnd w:id="2087"/>
      <w:bookmarkEnd w:id="2088"/>
    </w:p>
    <w:p w14:paraId="74B12D4D" w14:textId="77777777" w:rsidR="00737EB2" w:rsidRPr="00765F6E" w:rsidRDefault="00737EB2" w:rsidP="009D0776">
      <w:pPr>
        <w:pStyle w:val="22"/>
      </w:pPr>
      <w:bookmarkStart w:id="2089" w:name="_Toc99792365"/>
      <w:bookmarkStart w:id="2090" w:name="_Toc153291800"/>
      <w:r w:rsidRPr="00765F6E">
        <w:rPr>
          <w:rFonts w:hint="eastAsia"/>
        </w:rPr>
        <w:t>市域铁路开行跨线列车时，通信系统设计应符合跨线运行线路的有关标准规定。</w:t>
      </w:r>
      <w:bookmarkEnd w:id="2089"/>
      <w:bookmarkEnd w:id="2090"/>
    </w:p>
    <w:p w14:paraId="4C23EBA4" w14:textId="77777777" w:rsidR="00737EB2" w:rsidRPr="00765F6E" w:rsidRDefault="00737EB2" w:rsidP="009D0776">
      <w:pPr>
        <w:pStyle w:val="22"/>
      </w:pPr>
      <w:bookmarkStart w:id="2091" w:name="_Toc153291801"/>
      <w:bookmarkStart w:id="2092" w:name="_Toc99792366"/>
      <w:r w:rsidRPr="00765F6E">
        <w:rPr>
          <w:rFonts w:hint="eastAsia"/>
        </w:rPr>
        <w:t>利用或改造既有铁路开行市域铁路列车时，通信系统应充分利用既有设备和设施，根据新增通信需求进行相应的改造和调整。</w:t>
      </w:r>
      <w:bookmarkEnd w:id="2091"/>
      <w:bookmarkEnd w:id="2092"/>
    </w:p>
    <w:p w14:paraId="1913D869" w14:textId="2AC11D98" w:rsidR="00737EB2" w:rsidRPr="00765F6E" w:rsidRDefault="00737EB2" w:rsidP="009D0776">
      <w:pPr>
        <w:pStyle w:val="22"/>
      </w:pPr>
      <w:bookmarkStart w:id="2093" w:name="_Toc99792367"/>
      <w:bookmarkStart w:id="2094" w:name="_Toc153291802"/>
      <w:r w:rsidRPr="00765F6E">
        <w:rPr>
          <w:rFonts w:hint="eastAsia"/>
        </w:rPr>
        <w:t>通信设备、设施设置位置及方式应符合市域铁路</w:t>
      </w:r>
      <w:r w:rsidR="003E4AF7" w:rsidRPr="00453DBE">
        <w:rPr>
          <w:rFonts w:hint="eastAsia"/>
        </w:rPr>
        <w:t>设备</w:t>
      </w:r>
      <w:r w:rsidRPr="00A319B4">
        <w:rPr>
          <w:rFonts w:hint="eastAsia"/>
        </w:rPr>
        <w:t>限界</w:t>
      </w:r>
      <w:r w:rsidRPr="00765F6E">
        <w:rPr>
          <w:rFonts w:hint="eastAsia"/>
        </w:rPr>
        <w:t>的要求。</w:t>
      </w:r>
      <w:bookmarkEnd w:id="2093"/>
      <w:bookmarkEnd w:id="2094"/>
    </w:p>
    <w:p w14:paraId="2961E1DA" w14:textId="77777777" w:rsidR="00737EB2" w:rsidRPr="00765F6E" w:rsidRDefault="00737EB2" w:rsidP="009D0776">
      <w:pPr>
        <w:pStyle w:val="22"/>
      </w:pPr>
      <w:bookmarkStart w:id="2095" w:name="_Toc153291803"/>
      <w:bookmarkStart w:id="2096" w:name="_Toc99792368"/>
      <w:r w:rsidRPr="00765F6E">
        <w:rPr>
          <w:rFonts w:hint="eastAsia"/>
        </w:rPr>
        <w:t>通信系统的无线通信频率使用应符合国家和地方无线电管理的有关规定。</w:t>
      </w:r>
      <w:bookmarkEnd w:id="2095"/>
      <w:bookmarkEnd w:id="2096"/>
    </w:p>
    <w:p w14:paraId="2B223A65" w14:textId="77777777" w:rsidR="00737EB2" w:rsidRPr="00765F6E" w:rsidRDefault="00737EB2" w:rsidP="009D0776">
      <w:pPr>
        <w:pStyle w:val="22"/>
      </w:pPr>
      <w:bookmarkStart w:id="2097" w:name="_Toc99792369"/>
      <w:bookmarkStart w:id="2098" w:name="_Toc153291804"/>
      <w:r w:rsidRPr="00765F6E">
        <w:rPr>
          <w:rFonts w:hint="eastAsia"/>
        </w:rPr>
        <w:t>通信系统设备的电磁兼容性应符合现行国家标准。</w:t>
      </w:r>
      <w:bookmarkEnd w:id="2097"/>
      <w:bookmarkEnd w:id="2098"/>
    </w:p>
    <w:p w14:paraId="5B26F222" w14:textId="77777777" w:rsidR="00737EB2" w:rsidRPr="00765F6E" w:rsidRDefault="00737EB2" w:rsidP="009D0776">
      <w:pPr>
        <w:pStyle w:val="22"/>
      </w:pPr>
      <w:bookmarkStart w:id="2099" w:name="_Toc99792370"/>
      <w:bookmarkStart w:id="2100" w:name="_Toc153291805"/>
      <w:r w:rsidRPr="00765F6E">
        <w:rPr>
          <w:rFonts w:hint="eastAsia"/>
        </w:rPr>
        <w:t>通信系统的网络设置应符合现行国家网络安全法律、行政法规、国家及行业标准等。</w:t>
      </w:r>
      <w:bookmarkEnd w:id="2099"/>
      <w:bookmarkEnd w:id="2100"/>
    </w:p>
    <w:p w14:paraId="0023DA19" w14:textId="77777777" w:rsidR="00737EB2" w:rsidRPr="00765F6E" w:rsidRDefault="00737EB2" w:rsidP="00737EB2">
      <w:pPr>
        <w:pStyle w:val="affe"/>
        <w:spacing w:before="156" w:after="156"/>
      </w:pPr>
      <w:bookmarkStart w:id="2101" w:name="_Toc153210927"/>
      <w:bookmarkStart w:id="2102" w:name="_Toc99792371"/>
      <w:bookmarkStart w:id="2103" w:name="_Toc153291806"/>
      <w:bookmarkStart w:id="2104" w:name="_Toc167895825"/>
      <w:bookmarkStart w:id="2105" w:name="_Toc174538739"/>
      <w:bookmarkStart w:id="2106" w:name="_Toc182476488"/>
      <w:r w:rsidRPr="00765F6E">
        <w:rPr>
          <w:rFonts w:hint="eastAsia"/>
        </w:rPr>
        <w:t>通信线路</w:t>
      </w:r>
      <w:bookmarkEnd w:id="2101"/>
      <w:bookmarkEnd w:id="2102"/>
      <w:bookmarkEnd w:id="2103"/>
      <w:bookmarkEnd w:id="2104"/>
      <w:bookmarkEnd w:id="2105"/>
      <w:bookmarkEnd w:id="2106"/>
    </w:p>
    <w:p w14:paraId="7A729917" w14:textId="77777777" w:rsidR="00737EB2" w:rsidRPr="00765F6E" w:rsidRDefault="00737EB2" w:rsidP="009D0776">
      <w:pPr>
        <w:pStyle w:val="22"/>
      </w:pPr>
      <w:bookmarkStart w:id="2107" w:name="_Toc153291807"/>
      <w:bookmarkStart w:id="2108" w:name="_Toc99792372"/>
      <w:r w:rsidRPr="00765F6E">
        <w:rPr>
          <w:rFonts w:hint="eastAsia"/>
        </w:rPr>
        <w:t>市域铁路应为专用通信、公安通信、民用通信引入设置通信线路。</w:t>
      </w:r>
      <w:bookmarkEnd w:id="2107"/>
      <w:bookmarkEnd w:id="2108"/>
    </w:p>
    <w:p w14:paraId="19680769" w14:textId="77777777" w:rsidR="00737EB2" w:rsidRPr="00765F6E" w:rsidRDefault="00737EB2" w:rsidP="009D0776">
      <w:pPr>
        <w:pStyle w:val="22"/>
      </w:pPr>
      <w:bookmarkStart w:id="2109" w:name="_Toc99792373"/>
      <w:bookmarkStart w:id="2110" w:name="_Toc153291808"/>
      <w:r w:rsidRPr="00765F6E">
        <w:rPr>
          <w:rFonts w:hint="eastAsia"/>
        </w:rPr>
        <w:t>干线通信光缆和电缆的类型、容量、条数、敷设方式应符合业务需求和网络可靠性要求，并宜预留50％的余量。</w:t>
      </w:r>
      <w:bookmarkEnd w:id="2109"/>
      <w:bookmarkEnd w:id="2110"/>
    </w:p>
    <w:p w14:paraId="46F11957" w14:textId="77777777" w:rsidR="00737EB2" w:rsidRPr="00765F6E" w:rsidRDefault="00737EB2" w:rsidP="009D0776">
      <w:pPr>
        <w:pStyle w:val="22"/>
      </w:pPr>
      <w:bookmarkStart w:id="2111" w:name="_Toc153291809"/>
      <w:bookmarkStart w:id="2112" w:name="_Toc99792374"/>
      <w:r w:rsidRPr="00765F6E">
        <w:rPr>
          <w:rFonts w:hint="eastAsia"/>
        </w:rPr>
        <w:lastRenderedPageBreak/>
        <w:t>通信线路的防火性能应符合TB 10063等有关规定。</w:t>
      </w:r>
      <w:bookmarkEnd w:id="2111"/>
      <w:bookmarkEnd w:id="2112"/>
    </w:p>
    <w:p w14:paraId="2A660269" w14:textId="77777777" w:rsidR="00737EB2" w:rsidRPr="00765F6E" w:rsidRDefault="00737EB2" w:rsidP="009D0776">
      <w:pPr>
        <w:pStyle w:val="22"/>
      </w:pPr>
      <w:bookmarkStart w:id="2113" w:name="_Toc153291810"/>
      <w:bookmarkStart w:id="2114" w:name="_Toc99792375"/>
      <w:r w:rsidRPr="00765F6E">
        <w:rPr>
          <w:rFonts w:hint="eastAsia"/>
        </w:rPr>
        <w:t>干线通信光缆宜采用不同的物理径路引入通信机房。</w:t>
      </w:r>
      <w:bookmarkEnd w:id="2113"/>
      <w:bookmarkEnd w:id="2114"/>
    </w:p>
    <w:p w14:paraId="26774DE3" w14:textId="65EA9B18" w:rsidR="00737EB2" w:rsidRPr="00765F6E" w:rsidRDefault="004A2852" w:rsidP="009D0776">
      <w:pPr>
        <w:pStyle w:val="22"/>
      </w:pPr>
      <w:bookmarkStart w:id="2115" w:name="_Toc99792376"/>
      <w:bookmarkStart w:id="2116" w:name="_Toc153291811"/>
      <w:r w:rsidRPr="00BF0BA3">
        <w:rPr>
          <w:rFonts w:hint="eastAsia"/>
        </w:rPr>
        <w:t>区间短段光缆设计宜综合考虑区间节点的业务需求，宜与长途光缆分缆设置</w:t>
      </w:r>
      <w:bookmarkEnd w:id="2115"/>
      <w:bookmarkEnd w:id="2116"/>
      <w:r>
        <w:rPr>
          <w:rFonts w:hint="eastAsia"/>
        </w:rPr>
        <w:t>。</w:t>
      </w:r>
    </w:p>
    <w:p w14:paraId="49F3CBD7" w14:textId="77777777" w:rsidR="00737EB2" w:rsidRPr="00765F6E" w:rsidRDefault="00737EB2" w:rsidP="009D0776">
      <w:pPr>
        <w:pStyle w:val="22"/>
      </w:pPr>
      <w:bookmarkStart w:id="2117" w:name="_Toc99792377"/>
      <w:bookmarkStart w:id="2118" w:name="_Toc153291812"/>
      <w:r w:rsidRPr="00765F6E">
        <w:rPr>
          <w:rFonts w:hint="eastAsia"/>
        </w:rPr>
        <w:t>综合视频监控和光纤直放站等设备所需区间光缆应与干线通信光缆统筹设计，并宜分缆敷设。</w:t>
      </w:r>
      <w:bookmarkEnd w:id="2117"/>
      <w:bookmarkEnd w:id="2118"/>
    </w:p>
    <w:p w14:paraId="28DFD0CC" w14:textId="77777777" w:rsidR="00737EB2" w:rsidRPr="00765F6E" w:rsidRDefault="00737EB2" w:rsidP="009D0776">
      <w:pPr>
        <w:pStyle w:val="22"/>
      </w:pPr>
      <w:bookmarkStart w:id="2119" w:name="_Toc153291813"/>
      <w:bookmarkStart w:id="2120" w:name="_Toc99792378"/>
      <w:r w:rsidRPr="00765F6E">
        <w:rPr>
          <w:rFonts w:hint="eastAsia"/>
        </w:rPr>
        <w:t>通信电缆、光缆在区间宜敷设通信槽道内或托板托架上，在车站宜采用隐蔽敷设方式；地面电缆、光缆的敷设宜采用管道或槽道敷设方式。</w:t>
      </w:r>
      <w:bookmarkEnd w:id="2119"/>
      <w:bookmarkEnd w:id="2120"/>
    </w:p>
    <w:p w14:paraId="2D59E5D9" w14:textId="32B316FB" w:rsidR="00737EB2" w:rsidRPr="00765F6E" w:rsidRDefault="00726C68" w:rsidP="009D0776">
      <w:pPr>
        <w:pStyle w:val="22"/>
      </w:pPr>
      <w:bookmarkStart w:id="2121" w:name="_Toc153291814"/>
      <w:bookmarkStart w:id="2122" w:name="_Toc99792379"/>
      <w:r w:rsidRPr="00726C68">
        <w:rPr>
          <w:rFonts w:hint="eastAsia"/>
        </w:rPr>
        <w:t>通信线路设计应符合GB 51158等有关技术标准的规定</w:t>
      </w:r>
      <w:bookmarkEnd w:id="2121"/>
      <w:bookmarkEnd w:id="2122"/>
      <w:r>
        <w:rPr>
          <w:rFonts w:hint="eastAsia"/>
        </w:rPr>
        <w:t>。</w:t>
      </w:r>
    </w:p>
    <w:p w14:paraId="6CD37119" w14:textId="77777777" w:rsidR="00737EB2" w:rsidRPr="00765F6E" w:rsidRDefault="00737EB2" w:rsidP="009D0776">
      <w:pPr>
        <w:pStyle w:val="22"/>
      </w:pPr>
      <w:bookmarkStart w:id="2123" w:name="_Toc153291815"/>
      <w:bookmarkStart w:id="2124" w:name="_Toc99792380"/>
      <w:r w:rsidRPr="00765F6E">
        <w:rPr>
          <w:rFonts w:hint="eastAsia"/>
        </w:rPr>
        <w:t>通信电缆、光缆应与强电电缆分开敷设。</w:t>
      </w:r>
      <w:bookmarkEnd w:id="2123"/>
      <w:bookmarkEnd w:id="2124"/>
    </w:p>
    <w:p w14:paraId="06A6BFED" w14:textId="77777777" w:rsidR="00737EB2" w:rsidRPr="00765F6E" w:rsidRDefault="00737EB2" w:rsidP="009D0776">
      <w:pPr>
        <w:pStyle w:val="22"/>
      </w:pPr>
      <w:bookmarkStart w:id="2125" w:name="_Toc153291816"/>
      <w:bookmarkStart w:id="2126" w:name="_Toc99792381"/>
      <w:r w:rsidRPr="00765F6E">
        <w:rPr>
          <w:rFonts w:hint="eastAsia"/>
        </w:rPr>
        <w:t>通信光、电缆应采用无卤、低烟的阻燃材料，并应具有抗电气化干扰的防护层。地上区间的通信电缆、光缆还应具有抗阳光辐射能力。</w:t>
      </w:r>
      <w:bookmarkEnd w:id="2125"/>
      <w:bookmarkEnd w:id="2126"/>
    </w:p>
    <w:p w14:paraId="461D93AE" w14:textId="77777777" w:rsidR="00737EB2" w:rsidRPr="00765F6E" w:rsidRDefault="00737EB2" w:rsidP="009D0776">
      <w:pPr>
        <w:pStyle w:val="22"/>
      </w:pPr>
      <w:bookmarkStart w:id="2127" w:name="_Toc153291817"/>
      <w:bookmarkStart w:id="2128" w:name="_Toc99792382"/>
      <w:r w:rsidRPr="00765F6E">
        <w:rPr>
          <w:rFonts w:hint="eastAsia"/>
        </w:rPr>
        <w:t>市域铁路敷设光缆不设屏蔽地线，接头两侧的金属护套及金属加强件应相互绝缘，光缆引入机房之前应做绝缘。</w:t>
      </w:r>
      <w:bookmarkEnd w:id="2127"/>
      <w:bookmarkEnd w:id="2128"/>
    </w:p>
    <w:p w14:paraId="4F90635A" w14:textId="77777777" w:rsidR="00737EB2" w:rsidRPr="00765F6E" w:rsidRDefault="00737EB2" w:rsidP="00737EB2">
      <w:pPr>
        <w:pStyle w:val="affe"/>
        <w:spacing w:before="156" w:after="156"/>
      </w:pPr>
      <w:bookmarkStart w:id="2129" w:name="_Toc99792384"/>
      <w:bookmarkStart w:id="2130" w:name="_Toc153291819"/>
      <w:bookmarkStart w:id="2131" w:name="_Toc153210928"/>
      <w:bookmarkStart w:id="2132" w:name="_Toc167895826"/>
      <w:bookmarkStart w:id="2133" w:name="_Toc174538740"/>
      <w:bookmarkStart w:id="2134" w:name="_Toc182476489"/>
      <w:r w:rsidRPr="00765F6E">
        <w:rPr>
          <w:rFonts w:hint="eastAsia"/>
        </w:rPr>
        <w:t>传输系统</w:t>
      </w:r>
      <w:bookmarkEnd w:id="2129"/>
      <w:bookmarkEnd w:id="2130"/>
      <w:bookmarkEnd w:id="2131"/>
      <w:bookmarkEnd w:id="2132"/>
      <w:bookmarkEnd w:id="2133"/>
      <w:bookmarkEnd w:id="2134"/>
    </w:p>
    <w:p w14:paraId="714045E4" w14:textId="77777777" w:rsidR="00737EB2" w:rsidRPr="00765F6E" w:rsidRDefault="00737EB2" w:rsidP="009D0776">
      <w:pPr>
        <w:pStyle w:val="22"/>
      </w:pPr>
      <w:bookmarkStart w:id="2135" w:name="_Toc153291820"/>
      <w:bookmarkStart w:id="2136" w:name="_Toc99792385"/>
      <w:r w:rsidRPr="00765F6E">
        <w:rPr>
          <w:rFonts w:hint="eastAsia"/>
        </w:rPr>
        <w:t>传输系统应独立设置，综合承载市域铁路运营、管理及维护的各类信息，包括语音、数据、视频图像等。为通信子系统以及信号、信息、综合监控、电力监控等其他弱电系统的信息交互提供统一的传输通道和服务。</w:t>
      </w:r>
      <w:bookmarkEnd w:id="2135"/>
      <w:bookmarkEnd w:id="2136"/>
    </w:p>
    <w:p w14:paraId="49C61FA2" w14:textId="2A754FD3" w:rsidR="00737EB2" w:rsidRPr="00765F6E" w:rsidRDefault="00737EB2" w:rsidP="009D0776">
      <w:pPr>
        <w:pStyle w:val="22"/>
      </w:pPr>
      <w:bookmarkStart w:id="2137" w:name="_Toc99792386"/>
      <w:bookmarkStart w:id="2138" w:name="_Toc153291821"/>
      <w:r w:rsidRPr="00765F6E">
        <w:rPr>
          <w:rFonts w:hint="eastAsia"/>
        </w:rPr>
        <w:t>传输系统应基于光纤数字通信系统，宜采用SDH、PTN、OTN或</w:t>
      </w:r>
      <w:r w:rsidRPr="00012495">
        <w:t>SPN</w:t>
      </w:r>
      <w:r w:rsidRPr="00765F6E">
        <w:rPr>
          <w:rFonts w:hint="eastAsia"/>
        </w:rPr>
        <w:t>等技术体制。</w:t>
      </w:r>
      <w:bookmarkEnd w:id="2137"/>
      <w:bookmarkEnd w:id="2138"/>
    </w:p>
    <w:p w14:paraId="50B86198" w14:textId="77777777" w:rsidR="00737EB2" w:rsidRPr="00765F6E" w:rsidRDefault="00737EB2" w:rsidP="009D0776">
      <w:pPr>
        <w:pStyle w:val="22"/>
      </w:pPr>
      <w:bookmarkStart w:id="2139" w:name="_Toc99792387"/>
      <w:bookmarkStart w:id="2140" w:name="_Toc153291822"/>
      <w:r w:rsidRPr="00765F6E">
        <w:rPr>
          <w:rFonts w:hint="eastAsia"/>
        </w:rPr>
        <w:t>传输系统宜分层组网，网络结构设计符合下列规定：</w:t>
      </w:r>
      <w:bookmarkEnd w:id="2139"/>
      <w:bookmarkEnd w:id="2140"/>
    </w:p>
    <w:p w14:paraId="4C84D298" w14:textId="77777777" w:rsidR="00737EB2" w:rsidRPr="00765F6E" w:rsidRDefault="00737EB2" w:rsidP="003334F3">
      <w:pPr>
        <w:pStyle w:val="af6"/>
        <w:numPr>
          <w:ilvl w:val="0"/>
          <w:numId w:val="190"/>
        </w:numPr>
        <w:tabs>
          <w:tab w:val="left" w:pos="851"/>
        </w:tabs>
        <w:snapToGrid w:val="0"/>
        <w:contextualSpacing/>
      </w:pPr>
      <w:r w:rsidRPr="00765F6E">
        <w:rPr>
          <w:rFonts w:hint="eastAsia"/>
        </w:rPr>
        <w:t>利用在线路两侧的光缆组网；</w:t>
      </w:r>
    </w:p>
    <w:p w14:paraId="1E8FEAE9" w14:textId="77777777" w:rsidR="00737EB2" w:rsidRPr="00765F6E" w:rsidRDefault="00737EB2" w:rsidP="003334F3">
      <w:pPr>
        <w:pStyle w:val="af6"/>
        <w:numPr>
          <w:ilvl w:val="0"/>
          <w:numId w:val="190"/>
        </w:numPr>
        <w:tabs>
          <w:tab w:val="left" w:pos="851"/>
        </w:tabs>
        <w:snapToGrid w:val="0"/>
        <w:contextualSpacing/>
      </w:pPr>
      <w:r w:rsidRPr="00765F6E">
        <w:rPr>
          <w:rFonts w:hint="eastAsia"/>
        </w:rPr>
        <w:t>系统容量应根据承载业务的需求确定，并应留有余量；</w:t>
      </w:r>
    </w:p>
    <w:p w14:paraId="1233B062" w14:textId="77777777" w:rsidR="00737EB2" w:rsidRPr="00765F6E" w:rsidRDefault="00737EB2" w:rsidP="003334F3">
      <w:pPr>
        <w:pStyle w:val="af6"/>
        <w:numPr>
          <w:ilvl w:val="0"/>
          <w:numId w:val="190"/>
        </w:numPr>
        <w:tabs>
          <w:tab w:val="left" w:pos="851"/>
        </w:tabs>
        <w:snapToGrid w:val="0"/>
        <w:contextualSpacing/>
      </w:pPr>
      <w:r w:rsidRPr="00765F6E">
        <w:rPr>
          <w:rFonts w:hint="eastAsia"/>
        </w:rPr>
        <w:t>径路条件具备时宜优先采用环形结构。</w:t>
      </w:r>
    </w:p>
    <w:p w14:paraId="64025ADE" w14:textId="77777777" w:rsidR="00737EB2" w:rsidRPr="00765F6E" w:rsidRDefault="00737EB2" w:rsidP="009D0776">
      <w:pPr>
        <w:pStyle w:val="22"/>
      </w:pPr>
      <w:bookmarkStart w:id="2141" w:name="_Toc99792388"/>
      <w:bookmarkStart w:id="2142" w:name="_Toc153291823"/>
      <w:r w:rsidRPr="00765F6E">
        <w:rPr>
          <w:rFonts w:hint="eastAsia"/>
        </w:rPr>
        <w:t>传输系统的保护符合下列规定：</w:t>
      </w:r>
      <w:bookmarkEnd w:id="2141"/>
      <w:bookmarkEnd w:id="2142"/>
    </w:p>
    <w:p w14:paraId="4964EA7D" w14:textId="77777777" w:rsidR="00737EB2" w:rsidRPr="00765F6E" w:rsidRDefault="00737EB2" w:rsidP="003334F3">
      <w:pPr>
        <w:pStyle w:val="af6"/>
        <w:numPr>
          <w:ilvl w:val="0"/>
          <w:numId w:val="191"/>
        </w:numPr>
        <w:tabs>
          <w:tab w:val="left" w:pos="851"/>
        </w:tabs>
        <w:snapToGrid w:val="0"/>
        <w:contextualSpacing/>
      </w:pPr>
      <w:r w:rsidRPr="00765F6E">
        <w:rPr>
          <w:rFonts w:hint="eastAsia"/>
        </w:rPr>
        <w:t>网络保护方式应根据传输系统技术体制、网络结构进行选择和配置；</w:t>
      </w:r>
    </w:p>
    <w:p w14:paraId="3F849035" w14:textId="77777777" w:rsidR="00737EB2" w:rsidRPr="00765F6E" w:rsidRDefault="00737EB2" w:rsidP="003334F3">
      <w:pPr>
        <w:pStyle w:val="af6"/>
        <w:numPr>
          <w:ilvl w:val="0"/>
          <w:numId w:val="191"/>
        </w:numPr>
        <w:tabs>
          <w:tab w:val="left" w:pos="851"/>
        </w:tabs>
        <w:snapToGrid w:val="0"/>
        <w:contextualSpacing/>
      </w:pPr>
      <w:r w:rsidRPr="00765F6E">
        <w:rPr>
          <w:rFonts w:hint="eastAsia"/>
        </w:rPr>
        <w:t>传输设备应根据网络和业务的安全需要设置冗余措施。</w:t>
      </w:r>
    </w:p>
    <w:p w14:paraId="5B9D1014" w14:textId="77777777" w:rsidR="00737EB2" w:rsidRPr="00765F6E" w:rsidRDefault="00737EB2" w:rsidP="009D0776">
      <w:pPr>
        <w:pStyle w:val="22"/>
      </w:pPr>
      <w:bookmarkStart w:id="2143" w:name="_Toc153291824"/>
      <w:bookmarkStart w:id="2144" w:name="_Toc99792389"/>
      <w:r w:rsidRPr="00765F6E">
        <w:rPr>
          <w:rFonts w:hint="eastAsia"/>
        </w:rPr>
        <w:t>采用基于光同步数字传输制式的传输系统宜利用网同步设备作为外同步时钟源，采用主从同步方式实现系统同步。</w:t>
      </w:r>
      <w:bookmarkEnd w:id="2143"/>
      <w:bookmarkEnd w:id="2144"/>
    </w:p>
    <w:p w14:paraId="337EAC67" w14:textId="77777777" w:rsidR="00737EB2" w:rsidRPr="00765F6E" w:rsidRDefault="00737EB2" w:rsidP="009D0776">
      <w:pPr>
        <w:pStyle w:val="22"/>
      </w:pPr>
      <w:bookmarkStart w:id="2145" w:name="_Toc153291825"/>
      <w:bookmarkStart w:id="2146" w:name="_Toc99792390"/>
      <w:r w:rsidRPr="00765F6E">
        <w:rPr>
          <w:rFonts w:hint="eastAsia"/>
        </w:rPr>
        <w:t>传输系统设备的主要配置符合下列规定：</w:t>
      </w:r>
      <w:bookmarkEnd w:id="2145"/>
      <w:bookmarkEnd w:id="2146"/>
    </w:p>
    <w:p w14:paraId="1DA8BCCB" w14:textId="77777777" w:rsidR="00737EB2" w:rsidRPr="00765F6E" w:rsidRDefault="00737EB2" w:rsidP="003334F3">
      <w:pPr>
        <w:pStyle w:val="af6"/>
        <w:numPr>
          <w:ilvl w:val="0"/>
          <w:numId w:val="192"/>
        </w:numPr>
        <w:tabs>
          <w:tab w:val="left" w:pos="851"/>
        </w:tabs>
        <w:snapToGrid w:val="0"/>
        <w:contextualSpacing/>
      </w:pPr>
      <w:r w:rsidRPr="00765F6E">
        <w:rPr>
          <w:rFonts w:hint="eastAsia"/>
        </w:rPr>
        <w:t>主控板（单元）、交叉板、时钟板、电源板等关键板卡应冗余保护；</w:t>
      </w:r>
    </w:p>
    <w:p w14:paraId="6D5F7543" w14:textId="77777777" w:rsidR="00737EB2" w:rsidRPr="00765F6E" w:rsidRDefault="00737EB2" w:rsidP="003334F3">
      <w:pPr>
        <w:pStyle w:val="af6"/>
        <w:numPr>
          <w:ilvl w:val="0"/>
          <w:numId w:val="192"/>
        </w:numPr>
        <w:tabs>
          <w:tab w:val="left" w:pos="851"/>
        </w:tabs>
        <w:snapToGrid w:val="0"/>
        <w:contextualSpacing/>
      </w:pPr>
      <w:r w:rsidRPr="00765F6E">
        <w:rPr>
          <w:rFonts w:hint="eastAsia"/>
        </w:rPr>
        <w:t>每个传输系统的不同方向干线光线路接口宜分布在不同板卡上；</w:t>
      </w:r>
    </w:p>
    <w:p w14:paraId="02226A0E" w14:textId="77777777" w:rsidR="00737EB2" w:rsidRPr="00765F6E" w:rsidRDefault="00737EB2" w:rsidP="003334F3">
      <w:pPr>
        <w:pStyle w:val="af6"/>
        <w:numPr>
          <w:ilvl w:val="0"/>
          <w:numId w:val="192"/>
        </w:numPr>
        <w:tabs>
          <w:tab w:val="left" w:pos="851"/>
        </w:tabs>
        <w:snapToGrid w:val="0"/>
        <w:contextualSpacing/>
      </w:pPr>
      <w:r w:rsidRPr="00765F6E">
        <w:rPr>
          <w:rFonts w:hint="eastAsia"/>
        </w:rPr>
        <w:t>业务接口板件应根据接口类型及用途配置，并预留不少于30%。</w:t>
      </w:r>
    </w:p>
    <w:p w14:paraId="7D4B3EF9" w14:textId="77777777" w:rsidR="00737EB2" w:rsidRPr="00765F6E" w:rsidRDefault="00737EB2" w:rsidP="009D0776">
      <w:pPr>
        <w:pStyle w:val="22"/>
      </w:pPr>
      <w:bookmarkStart w:id="2147" w:name="_Toc99792391"/>
      <w:bookmarkStart w:id="2148" w:name="_Toc153291826"/>
      <w:r w:rsidRPr="00765F6E">
        <w:rPr>
          <w:rFonts w:hint="eastAsia"/>
        </w:rPr>
        <w:t>根据承载业务的需求，可独立设置数据通信网统一承载数据和视频图像信息。</w:t>
      </w:r>
      <w:bookmarkEnd w:id="2147"/>
      <w:bookmarkEnd w:id="2148"/>
    </w:p>
    <w:p w14:paraId="4ABBD6E3" w14:textId="77777777" w:rsidR="00737EB2" w:rsidRPr="00765F6E" w:rsidRDefault="00737EB2" w:rsidP="009D0776">
      <w:pPr>
        <w:pStyle w:val="22"/>
      </w:pPr>
      <w:bookmarkStart w:id="2149" w:name="_Toc153291827"/>
      <w:bookmarkStart w:id="2150" w:name="_Toc99792392"/>
      <w:r w:rsidRPr="00765F6E">
        <w:rPr>
          <w:rFonts w:hint="eastAsia"/>
        </w:rPr>
        <w:t>数据通信网应采用TCP/IP协议，宜采用MPLS VPN技术，并符合业务系统QoS和安全性要求。</w:t>
      </w:r>
      <w:bookmarkEnd w:id="2149"/>
      <w:bookmarkEnd w:id="2150"/>
    </w:p>
    <w:p w14:paraId="232F99C2" w14:textId="77777777" w:rsidR="00737EB2" w:rsidRPr="00765F6E" w:rsidRDefault="00737EB2" w:rsidP="009D0776">
      <w:pPr>
        <w:pStyle w:val="22"/>
      </w:pPr>
      <w:bookmarkStart w:id="2151" w:name="_Toc153291828"/>
      <w:bookmarkStart w:id="2152" w:name="_Toc99792393"/>
      <w:r w:rsidRPr="00765F6E">
        <w:rPr>
          <w:rFonts w:hint="eastAsia"/>
        </w:rPr>
        <w:t>运营控制中心宜设置核心节点，车站、车辆基地等地点宜设置接入节点，可根据需要设置汇聚节点。</w:t>
      </w:r>
      <w:bookmarkEnd w:id="2151"/>
      <w:bookmarkEnd w:id="2152"/>
    </w:p>
    <w:p w14:paraId="742A7267" w14:textId="77777777" w:rsidR="00737EB2" w:rsidRPr="00765F6E" w:rsidRDefault="00737EB2" w:rsidP="009D0776">
      <w:pPr>
        <w:pStyle w:val="22"/>
      </w:pPr>
      <w:bookmarkStart w:id="2153" w:name="_Toc153291829"/>
      <w:bookmarkStart w:id="2154" w:name="_Toc99792394"/>
      <w:r w:rsidRPr="00765F6E">
        <w:rPr>
          <w:rFonts w:hint="eastAsia"/>
        </w:rPr>
        <w:t>根据组网需要，部分接入节点至核心节点宜采用2条及以上链路互联，相邻接入节点间宜利用分设在线路两侧的光缆组网，采用不小于1000Mbit/s单模光口直联。</w:t>
      </w:r>
      <w:bookmarkEnd w:id="2153"/>
      <w:bookmarkEnd w:id="2154"/>
    </w:p>
    <w:p w14:paraId="1B73CBD6" w14:textId="77777777" w:rsidR="00737EB2" w:rsidRPr="00765F6E" w:rsidRDefault="00737EB2" w:rsidP="009D0776">
      <w:pPr>
        <w:pStyle w:val="22"/>
      </w:pPr>
      <w:bookmarkStart w:id="2155" w:name="_Toc99792395"/>
      <w:bookmarkStart w:id="2156" w:name="_Toc153291830"/>
      <w:r w:rsidRPr="00765F6E">
        <w:rPr>
          <w:rFonts w:hint="eastAsia"/>
        </w:rPr>
        <w:t>数据通信网的容量应根据各系统对数据通道的需求确定，并应留有余量。</w:t>
      </w:r>
      <w:bookmarkEnd w:id="2155"/>
      <w:bookmarkEnd w:id="2156"/>
    </w:p>
    <w:p w14:paraId="445F924E" w14:textId="77777777" w:rsidR="00737EB2" w:rsidRPr="00765F6E" w:rsidRDefault="00737EB2" w:rsidP="00737EB2">
      <w:pPr>
        <w:pStyle w:val="affe"/>
        <w:spacing w:before="156" w:after="156"/>
      </w:pPr>
      <w:bookmarkStart w:id="2157" w:name="_Toc99792396"/>
      <w:bookmarkStart w:id="2158" w:name="_Toc153210929"/>
      <w:bookmarkStart w:id="2159" w:name="_Toc153291831"/>
      <w:bookmarkStart w:id="2160" w:name="_Toc167895827"/>
      <w:bookmarkStart w:id="2161" w:name="_Toc174538741"/>
      <w:bookmarkStart w:id="2162" w:name="_Toc182476490"/>
      <w:r w:rsidRPr="00765F6E">
        <w:rPr>
          <w:rFonts w:hint="eastAsia"/>
        </w:rPr>
        <w:t>公务电话系统</w:t>
      </w:r>
      <w:bookmarkEnd w:id="2157"/>
      <w:bookmarkEnd w:id="2158"/>
      <w:bookmarkEnd w:id="2159"/>
      <w:bookmarkEnd w:id="2160"/>
      <w:bookmarkEnd w:id="2161"/>
      <w:bookmarkEnd w:id="2162"/>
    </w:p>
    <w:p w14:paraId="217C91B4" w14:textId="77777777" w:rsidR="00737EB2" w:rsidRPr="00765F6E" w:rsidRDefault="00737EB2" w:rsidP="009D0776">
      <w:pPr>
        <w:pStyle w:val="22"/>
      </w:pPr>
      <w:bookmarkStart w:id="2163" w:name="_Toc99792397"/>
      <w:bookmarkStart w:id="2164" w:name="_Toc153291832"/>
      <w:r w:rsidRPr="00765F6E">
        <w:rPr>
          <w:rFonts w:hint="eastAsia"/>
        </w:rPr>
        <w:t>公务电话系统应为市域铁路运营、管理、维修等工作人员提供日常工作联系的固定电话业务。</w:t>
      </w:r>
      <w:bookmarkEnd w:id="2163"/>
      <w:bookmarkEnd w:id="2164"/>
    </w:p>
    <w:p w14:paraId="42EE784A" w14:textId="77777777" w:rsidR="00737EB2" w:rsidRPr="00765F6E" w:rsidRDefault="00737EB2" w:rsidP="009D0776">
      <w:pPr>
        <w:pStyle w:val="22"/>
      </w:pPr>
      <w:bookmarkStart w:id="2165" w:name="_Toc99792398"/>
      <w:bookmarkStart w:id="2166" w:name="_Toc153291833"/>
      <w:r w:rsidRPr="00765F6E">
        <w:rPr>
          <w:rFonts w:hint="eastAsia"/>
        </w:rPr>
        <w:t>公务电话系统应由公务电话交换设备、自动电话及其附属设备组成。系统交换设备宜设置在负荷集中、便于管理的地点。公务电话系统宜采用软交换技术。</w:t>
      </w:r>
      <w:bookmarkEnd w:id="2165"/>
      <w:bookmarkEnd w:id="2166"/>
    </w:p>
    <w:p w14:paraId="518976D0" w14:textId="77777777" w:rsidR="00737EB2" w:rsidRPr="00765F6E" w:rsidRDefault="00737EB2" w:rsidP="009D0776">
      <w:pPr>
        <w:pStyle w:val="22"/>
      </w:pPr>
      <w:bookmarkStart w:id="2167" w:name="_Toc153291834"/>
      <w:bookmarkStart w:id="2168" w:name="_Toc99792399"/>
      <w:r w:rsidRPr="00765F6E">
        <w:rPr>
          <w:rFonts w:hint="eastAsia"/>
        </w:rPr>
        <w:t>市域铁路公务电话系统网络应统一规划、分期实施。</w:t>
      </w:r>
      <w:bookmarkEnd w:id="2167"/>
      <w:bookmarkEnd w:id="2168"/>
    </w:p>
    <w:p w14:paraId="219FF1CA" w14:textId="77777777" w:rsidR="00737EB2" w:rsidRPr="00765F6E" w:rsidRDefault="00737EB2" w:rsidP="009D0776">
      <w:pPr>
        <w:pStyle w:val="22"/>
      </w:pPr>
      <w:bookmarkStart w:id="2169" w:name="_Toc153291835"/>
      <w:bookmarkStart w:id="2170" w:name="_Toc99792400"/>
      <w:r w:rsidRPr="00765F6E">
        <w:rPr>
          <w:rFonts w:hint="eastAsia"/>
        </w:rPr>
        <w:t>公务电话系统与公用网本地电话局的连接方式宜采用全自动呼出、呼入中继方式，并应纳入本地公用网的统一编号。中继线的数量，应根据话务量大小和国家的有关规定确定。</w:t>
      </w:r>
      <w:bookmarkEnd w:id="2169"/>
      <w:bookmarkEnd w:id="2170"/>
    </w:p>
    <w:p w14:paraId="100B9F43" w14:textId="77777777" w:rsidR="00737EB2" w:rsidRPr="00765F6E" w:rsidRDefault="00737EB2" w:rsidP="009D0776">
      <w:pPr>
        <w:pStyle w:val="22"/>
      </w:pPr>
      <w:bookmarkStart w:id="2171" w:name="_Toc153291836"/>
      <w:bookmarkStart w:id="2172" w:name="_Toc99792402"/>
      <w:r w:rsidRPr="00765F6E">
        <w:rPr>
          <w:rFonts w:hint="eastAsia"/>
        </w:rPr>
        <w:t>公务电话系统宜设置计费管理系统。</w:t>
      </w:r>
      <w:bookmarkEnd w:id="2171"/>
      <w:bookmarkEnd w:id="2172"/>
    </w:p>
    <w:p w14:paraId="28E98EC1" w14:textId="77777777" w:rsidR="00737EB2" w:rsidRPr="00765F6E" w:rsidRDefault="00737EB2" w:rsidP="009D0776">
      <w:pPr>
        <w:pStyle w:val="22"/>
      </w:pPr>
      <w:bookmarkStart w:id="2173" w:name="_Toc153291837"/>
      <w:bookmarkStart w:id="2174" w:name="_Toc99792403"/>
      <w:r w:rsidRPr="00765F6E">
        <w:rPr>
          <w:rFonts w:hint="eastAsia"/>
        </w:rPr>
        <w:t>公务电话系统交换设备的容量应根据机构设置、新增定员、通信业务等因素确定，并应为发展预留余量。</w:t>
      </w:r>
      <w:bookmarkEnd w:id="2173"/>
      <w:bookmarkEnd w:id="2174"/>
    </w:p>
    <w:p w14:paraId="23164B8C" w14:textId="77777777" w:rsidR="00737EB2" w:rsidRPr="00765F6E" w:rsidRDefault="00737EB2" w:rsidP="009D0776">
      <w:pPr>
        <w:pStyle w:val="22"/>
      </w:pPr>
      <w:bookmarkStart w:id="2175" w:name="_Toc153291838"/>
      <w:bookmarkStart w:id="2176" w:name="_Toc99792404"/>
      <w:r w:rsidRPr="00765F6E">
        <w:rPr>
          <w:rFonts w:hint="eastAsia"/>
        </w:rPr>
        <w:lastRenderedPageBreak/>
        <w:t>公务电话系统交换机至所管辖范围内的地区用户线传输衰耗不应大于7dB。</w:t>
      </w:r>
      <w:bookmarkEnd w:id="2175"/>
      <w:bookmarkEnd w:id="2176"/>
    </w:p>
    <w:p w14:paraId="295CEDA3" w14:textId="77777777" w:rsidR="00737EB2" w:rsidRPr="00765F6E" w:rsidRDefault="00737EB2" w:rsidP="009D0776">
      <w:pPr>
        <w:pStyle w:val="22"/>
      </w:pPr>
      <w:bookmarkStart w:id="2177" w:name="_Toc99792405"/>
      <w:bookmarkStart w:id="2178" w:name="_Toc153291839"/>
      <w:r w:rsidRPr="00765F6E">
        <w:rPr>
          <w:rFonts w:hint="eastAsia"/>
        </w:rPr>
        <w:t>公务电话系统应采用统一用户编号。电话交换网编号方案应符合</w:t>
      </w:r>
      <w:r w:rsidRPr="00765F6E">
        <w:t>YD</w:t>
      </w:r>
      <w:r>
        <w:t xml:space="preserve"> </w:t>
      </w:r>
      <w:r w:rsidRPr="00765F6E">
        <w:t>5076</w:t>
      </w:r>
      <w:r w:rsidRPr="00765F6E">
        <w:rPr>
          <w:rFonts w:hint="eastAsia"/>
        </w:rPr>
        <w:t>等有关技术标准的规定。</w:t>
      </w:r>
      <w:bookmarkEnd w:id="2177"/>
      <w:bookmarkEnd w:id="2178"/>
    </w:p>
    <w:p w14:paraId="6D154D65" w14:textId="77777777" w:rsidR="00737EB2" w:rsidRPr="00765F6E" w:rsidRDefault="00737EB2" w:rsidP="00737EB2">
      <w:pPr>
        <w:pStyle w:val="affe"/>
        <w:spacing w:before="156" w:after="156"/>
      </w:pPr>
      <w:bookmarkStart w:id="2179" w:name="_Toc153291840"/>
      <w:bookmarkStart w:id="2180" w:name="_Toc153210930"/>
      <w:bookmarkStart w:id="2181" w:name="_Toc99792406"/>
      <w:bookmarkStart w:id="2182" w:name="_Toc167895828"/>
      <w:bookmarkStart w:id="2183" w:name="_Toc174538742"/>
      <w:bookmarkStart w:id="2184" w:name="_Toc182476491"/>
      <w:r w:rsidRPr="00765F6E">
        <w:rPr>
          <w:rFonts w:hint="eastAsia"/>
        </w:rPr>
        <w:t>有线调度通信系统</w:t>
      </w:r>
      <w:bookmarkEnd w:id="2179"/>
      <w:bookmarkEnd w:id="2180"/>
      <w:bookmarkEnd w:id="2181"/>
      <w:bookmarkEnd w:id="2182"/>
      <w:bookmarkEnd w:id="2183"/>
      <w:bookmarkEnd w:id="2184"/>
    </w:p>
    <w:p w14:paraId="65470AF5" w14:textId="77777777" w:rsidR="00737EB2" w:rsidRPr="00765F6E" w:rsidRDefault="00737EB2" w:rsidP="009D0776">
      <w:pPr>
        <w:pStyle w:val="22"/>
      </w:pPr>
      <w:bookmarkStart w:id="2185" w:name="_Toc153291841"/>
      <w:bookmarkStart w:id="2186" w:name="_Toc99792407"/>
      <w:r w:rsidRPr="00765F6E">
        <w:rPr>
          <w:rFonts w:hint="eastAsia"/>
        </w:rPr>
        <w:t>有线调度通信系统应为中心调度员、车站、车辆基地的值班员组织指挥行车、运营管理及确保行车安全而设置的专用电话系统设备。应提供各类调度电话、车站（场）电话、站间行车电话以及其他专用电话业务。</w:t>
      </w:r>
      <w:bookmarkEnd w:id="2185"/>
      <w:bookmarkEnd w:id="2186"/>
    </w:p>
    <w:p w14:paraId="717C4F2A" w14:textId="77777777" w:rsidR="00737EB2" w:rsidRPr="00765F6E" w:rsidRDefault="00737EB2" w:rsidP="009D0776">
      <w:pPr>
        <w:pStyle w:val="22"/>
      </w:pPr>
      <w:bookmarkStart w:id="2187" w:name="_Toc99792408"/>
      <w:bookmarkStart w:id="2188" w:name="_Toc153291842"/>
      <w:r w:rsidRPr="00765F6E">
        <w:rPr>
          <w:rFonts w:hint="eastAsia"/>
        </w:rPr>
        <w:t>有线调度通信系统应包括中心调度交换机、车站（场）调度交换机，调度台、值班台、电话分机等固定终端，录音设备及网络管理等设备。</w:t>
      </w:r>
      <w:bookmarkEnd w:id="2187"/>
      <w:bookmarkEnd w:id="2188"/>
    </w:p>
    <w:p w14:paraId="48F5E941" w14:textId="77777777" w:rsidR="00737EB2" w:rsidRPr="00765F6E" w:rsidRDefault="00737EB2" w:rsidP="009D0776">
      <w:pPr>
        <w:pStyle w:val="22"/>
      </w:pPr>
      <w:bookmarkStart w:id="2189" w:name="_Toc99792409"/>
      <w:bookmarkStart w:id="2190" w:name="_Toc153291843"/>
      <w:r w:rsidRPr="00765F6E">
        <w:rPr>
          <w:rFonts w:hint="eastAsia"/>
        </w:rPr>
        <w:t>运营控制中心至站段间网络宜采用环型或星型结构，设置迂回保护中继链路，并按调度管界组网。</w:t>
      </w:r>
      <w:bookmarkEnd w:id="2189"/>
      <w:bookmarkEnd w:id="2190"/>
    </w:p>
    <w:p w14:paraId="1D024B24" w14:textId="77777777" w:rsidR="00737EB2" w:rsidRPr="00765F6E" w:rsidRDefault="00737EB2" w:rsidP="009D0776">
      <w:pPr>
        <w:pStyle w:val="22"/>
      </w:pPr>
      <w:bookmarkStart w:id="2191" w:name="_Toc153291844"/>
      <w:bookmarkStart w:id="2192" w:name="_Toc99792410"/>
      <w:r w:rsidRPr="00765F6E">
        <w:rPr>
          <w:rFonts w:hint="eastAsia"/>
        </w:rPr>
        <w:t>运营控制中心的调度交换机应与移动通信系统的核心网互联。</w:t>
      </w:r>
      <w:bookmarkEnd w:id="2191"/>
      <w:bookmarkEnd w:id="2192"/>
    </w:p>
    <w:p w14:paraId="7C096676" w14:textId="77777777" w:rsidR="00737EB2" w:rsidRPr="00765F6E" w:rsidRDefault="00737EB2" w:rsidP="009D0776">
      <w:pPr>
        <w:pStyle w:val="22"/>
      </w:pPr>
      <w:bookmarkStart w:id="2193" w:name="_Toc99792411"/>
      <w:bookmarkStart w:id="2194" w:name="_Toc153291845"/>
      <w:r w:rsidRPr="00765F6E">
        <w:rPr>
          <w:rFonts w:hint="eastAsia"/>
        </w:rPr>
        <w:t>有线调度用户编号应符合移动通信系统编号有关技术标准。</w:t>
      </w:r>
      <w:bookmarkEnd w:id="2193"/>
      <w:bookmarkEnd w:id="2194"/>
    </w:p>
    <w:p w14:paraId="0FACBA86" w14:textId="77777777" w:rsidR="00737EB2" w:rsidRPr="00765F6E" w:rsidRDefault="00737EB2" w:rsidP="009D0776">
      <w:pPr>
        <w:pStyle w:val="22"/>
      </w:pPr>
      <w:bookmarkStart w:id="2195" w:name="_Toc153291846"/>
      <w:bookmarkStart w:id="2196" w:name="_Toc99792412"/>
      <w:r w:rsidRPr="00765F6E">
        <w:rPr>
          <w:rFonts w:hint="eastAsia"/>
        </w:rPr>
        <w:t>在条件具备时，运营控制中心调度交换机宜按同城异地容灾备份设计。</w:t>
      </w:r>
      <w:bookmarkEnd w:id="2195"/>
      <w:bookmarkEnd w:id="2196"/>
    </w:p>
    <w:p w14:paraId="707C71AE" w14:textId="77777777" w:rsidR="00737EB2" w:rsidRPr="00765F6E" w:rsidRDefault="00737EB2" w:rsidP="009D0776">
      <w:pPr>
        <w:pStyle w:val="22"/>
      </w:pPr>
      <w:bookmarkStart w:id="2197" w:name="_Toc153291847"/>
      <w:bookmarkStart w:id="2198" w:name="_Toc99792413"/>
      <w:r w:rsidRPr="00765F6E">
        <w:rPr>
          <w:rFonts w:hint="eastAsia"/>
        </w:rPr>
        <w:t>调度电话应为中心调度员与各车站（场）值班员，以及办理行车业务直接有关的工作人员提供调度通信。根据需要可包括行车调度、电力调度、防灾环控调度等用户。</w:t>
      </w:r>
      <w:bookmarkEnd w:id="2197"/>
      <w:bookmarkEnd w:id="2198"/>
    </w:p>
    <w:p w14:paraId="71221998" w14:textId="77777777" w:rsidR="00737EB2" w:rsidRPr="00765F6E" w:rsidRDefault="00737EB2" w:rsidP="009D0776">
      <w:pPr>
        <w:pStyle w:val="22"/>
      </w:pPr>
      <w:bookmarkStart w:id="2199" w:name="_Toc99792414"/>
      <w:bookmarkStart w:id="2200" w:name="_Toc153291848"/>
      <w:r w:rsidRPr="00765F6E">
        <w:rPr>
          <w:rFonts w:hint="eastAsia"/>
        </w:rPr>
        <w:t>车站专用电话应提供行车值班员或站长与本站内以及站区管辖内运营业务有关人员进行通话联系。车场专用电话可根据作业需要设置行车指挥电话、乘务运转电话、段内调度指挥电话、车辆检修电话等。</w:t>
      </w:r>
      <w:bookmarkEnd w:id="2199"/>
      <w:bookmarkEnd w:id="2200"/>
    </w:p>
    <w:p w14:paraId="443CBFF3" w14:textId="77777777" w:rsidR="00737EB2" w:rsidRPr="00765F6E" w:rsidRDefault="00737EB2" w:rsidP="009D0776">
      <w:pPr>
        <w:pStyle w:val="22"/>
      </w:pPr>
      <w:bookmarkStart w:id="2201" w:name="_Toc153291849"/>
      <w:bookmarkStart w:id="2202" w:name="_Toc99792415"/>
      <w:r w:rsidRPr="00765F6E">
        <w:rPr>
          <w:rFonts w:hint="eastAsia"/>
        </w:rPr>
        <w:t>站间行车电话应提供相邻车站值班员间办理有关行车业务联系。站间行车电话终端应设在车站值班员所在的处所。</w:t>
      </w:r>
      <w:bookmarkEnd w:id="2201"/>
      <w:bookmarkEnd w:id="2202"/>
    </w:p>
    <w:p w14:paraId="699C9E1F" w14:textId="77777777" w:rsidR="00737EB2" w:rsidRPr="00765F6E" w:rsidRDefault="00737EB2" w:rsidP="009D0776">
      <w:pPr>
        <w:pStyle w:val="22"/>
      </w:pPr>
      <w:bookmarkStart w:id="2203" w:name="_Toc153291850"/>
      <w:bookmarkStart w:id="2204" w:name="_Toc99792416"/>
      <w:r w:rsidRPr="00765F6E">
        <w:rPr>
          <w:rFonts w:hint="eastAsia"/>
        </w:rPr>
        <w:t>有线调度系统的设置及设备配置符合下列规定：</w:t>
      </w:r>
      <w:bookmarkEnd w:id="2203"/>
      <w:bookmarkEnd w:id="2204"/>
    </w:p>
    <w:p w14:paraId="386B0B17" w14:textId="77777777" w:rsidR="00737EB2" w:rsidRPr="00765F6E" w:rsidRDefault="00737EB2" w:rsidP="003334F3">
      <w:pPr>
        <w:pStyle w:val="af6"/>
        <w:numPr>
          <w:ilvl w:val="0"/>
          <w:numId w:val="193"/>
        </w:numPr>
        <w:tabs>
          <w:tab w:val="left" w:pos="851"/>
        </w:tabs>
        <w:snapToGrid w:val="0"/>
        <w:contextualSpacing/>
      </w:pPr>
      <w:r w:rsidRPr="00765F6E">
        <w:rPr>
          <w:rFonts w:hint="eastAsia"/>
        </w:rPr>
        <w:t>运营控制中心应设置运营控制中心调度交换机；</w:t>
      </w:r>
    </w:p>
    <w:p w14:paraId="7D95468C" w14:textId="77777777" w:rsidR="00737EB2" w:rsidRPr="00765F6E" w:rsidRDefault="00737EB2" w:rsidP="003334F3">
      <w:pPr>
        <w:pStyle w:val="af6"/>
        <w:numPr>
          <w:ilvl w:val="0"/>
          <w:numId w:val="193"/>
        </w:numPr>
        <w:tabs>
          <w:tab w:val="left" w:pos="851"/>
        </w:tabs>
        <w:snapToGrid w:val="0"/>
        <w:contextualSpacing/>
      </w:pPr>
      <w:r w:rsidRPr="00765F6E">
        <w:rPr>
          <w:rFonts w:hint="eastAsia"/>
        </w:rPr>
        <w:t>车站、车辆基地等处应设置车站（场）调度交换机；</w:t>
      </w:r>
    </w:p>
    <w:p w14:paraId="62C056DA" w14:textId="77777777" w:rsidR="00737EB2" w:rsidRPr="00765F6E" w:rsidRDefault="00737EB2" w:rsidP="003334F3">
      <w:pPr>
        <w:pStyle w:val="af6"/>
        <w:numPr>
          <w:ilvl w:val="0"/>
          <w:numId w:val="193"/>
        </w:numPr>
        <w:tabs>
          <w:tab w:val="left" w:pos="851"/>
        </w:tabs>
        <w:snapToGrid w:val="0"/>
        <w:contextualSpacing/>
      </w:pPr>
      <w:r w:rsidRPr="00765F6E">
        <w:rPr>
          <w:rFonts w:hint="eastAsia"/>
        </w:rPr>
        <w:t>运营控制中心应设置调度台，站段设置值班台，根据需要设置调度电话分机；</w:t>
      </w:r>
      <w:r w:rsidRPr="00765F6E">
        <w:t xml:space="preserve"> </w:t>
      </w:r>
    </w:p>
    <w:p w14:paraId="07D0DBEA" w14:textId="77777777" w:rsidR="00737EB2" w:rsidRPr="00765F6E" w:rsidRDefault="00737EB2" w:rsidP="003334F3">
      <w:pPr>
        <w:pStyle w:val="af6"/>
        <w:numPr>
          <w:ilvl w:val="0"/>
          <w:numId w:val="193"/>
        </w:numPr>
        <w:tabs>
          <w:tab w:val="left" w:pos="851"/>
        </w:tabs>
        <w:snapToGrid w:val="0"/>
        <w:contextualSpacing/>
      </w:pPr>
      <w:r w:rsidRPr="00765F6E">
        <w:rPr>
          <w:rFonts w:hint="eastAsia"/>
        </w:rPr>
        <w:t>调度交换机可通过数字接口外置集中式录音设备；</w:t>
      </w:r>
    </w:p>
    <w:p w14:paraId="72915701" w14:textId="77777777" w:rsidR="00737EB2" w:rsidRPr="00765F6E" w:rsidRDefault="00737EB2" w:rsidP="003334F3">
      <w:pPr>
        <w:pStyle w:val="af6"/>
        <w:numPr>
          <w:ilvl w:val="0"/>
          <w:numId w:val="193"/>
        </w:numPr>
        <w:tabs>
          <w:tab w:val="left" w:pos="851"/>
        </w:tabs>
        <w:snapToGrid w:val="0"/>
        <w:contextualSpacing/>
      </w:pPr>
      <w:r w:rsidRPr="00765F6E">
        <w:rPr>
          <w:rFonts w:hint="eastAsia"/>
        </w:rPr>
        <w:t>运营控制中心交换机的容量配置宜考虑多条市域铁路线路的接入需求，在条件具备时宜具有主、备用系统自动切换的功能；</w:t>
      </w:r>
    </w:p>
    <w:p w14:paraId="4CC3A7A4" w14:textId="77777777" w:rsidR="00737EB2" w:rsidRPr="00765F6E" w:rsidRDefault="00737EB2" w:rsidP="003334F3">
      <w:pPr>
        <w:pStyle w:val="af6"/>
        <w:numPr>
          <w:ilvl w:val="0"/>
          <w:numId w:val="193"/>
        </w:numPr>
        <w:tabs>
          <w:tab w:val="left" w:pos="851"/>
        </w:tabs>
        <w:snapToGrid w:val="0"/>
        <w:contextualSpacing/>
      </w:pPr>
      <w:r w:rsidRPr="00765F6E">
        <w:rPr>
          <w:rFonts w:hint="eastAsia"/>
        </w:rPr>
        <w:t>运营控制中心调度交换机和车站调度交换机的重要电路盘（板）宜冗余保护。业务接口板件应根据接口类型及用途配置，并应留有余量。</w:t>
      </w:r>
    </w:p>
    <w:p w14:paraId="0903162C" w14:textId="77777777" w:rsidR="00737EB2" w:rsidRPr="00765F6E" w:rsidRDefault="00737EB2" w:rsidP="009D0776">
      <w:pPr>
        <w:pStyle w:val="22"/>
      </w:pPr>
      <w:bookmarkStart w:id="2205" w:name="_Toc153291851"/>
      <w:bookmarkStart w:id="2206" w:name="_Toc99792417"/>
      <w:r w:rsidRPr="00765F6E">
        <w:rPr>
          <w:rFonts w:hint="eastAsia"/>
        </w:rPr>
        <w:t>时钟同步应采用主从同步方式，运营控制中心调度交换机宜接外部同步信号，宜从BITS设备或传输设备提取，车站调度交换机始终应从运营控制中心交换机相连的2 Mbit/s接口中提取。</w:t>
      </w:r>
      <w:bookmarkEnd w:id="2205"/>
      <w:bookmarkEnd w:id="2206"/>
    </w:p>
    <w:p w14:paraId="5676566C" w14:textId="77777777" w:rsidR="00737EB2" w:rsidRPr="00765F6E" w:rsidRDefault="00737EB2" w:rsidP="00737EB2">
      <w:pPr>
        <w:pStyle w:val="affe"/>
        <w:spacing w:before="156" w:after="156"/>
      </w:pPr>
      <w:bookmarkStart w:id="2207" w:name="_Toc153291852"/>
      <w:bookmarkStart w:id="2208" w:name="_Toc99792418"/>
      <w:bookmarkStart w:id="2209" w:name="_Toc153210931"/>
      <w:bookmarkStart w:id="2210" w:name="_Toc167895829"/>
      <w:bookmarkStart w:id="2211" w:name="_Toc174538743"/>
      <w:bookmarkStart w:id="2212" w:name="_Toc182476492"/>
      <w:r w:rsidRPr="00765F6E">
        <w:rPr>
          <w:rFonts w:hint="eastAsia"/>
        </w:rPr>
        <w:t>移动通信系统</w:t>
      </w:r>
      <w:bookmarkEnd w:id="2207"/>
      <w:bookmarkEnd w:id="2208"/>
      <w:bookmarkEnd w:id="2209"/>
      <w:bookmarkEnd w:id="2210"/>
      <w:bookmarkEnd w:id="2211"/>
      <w:bookmarkEnd w:id="2212"/>
    </w:p>
    <w:p w14:paraId="14DE4F2B" w14:textId="77777777" w:rsidR="00737EB2" w:rsidRPr="00765F6E" w:rsidRDefault="00737EB2" w:rsidP="009D0776">
      <w:pPr>
        <w:pStyle w:val="22"/>
      </w:pPr>
      <w:bookmarkStart w:id="2213" w:name="_Toc153291853"/>
      <w:bookmarkStart w:id="2214" w:name="_Toc99792419"/>
      <w:r w:rsidRPr="00765F6E">
        <w:rPr>
          <w:rFonts w:hint="eastAsia"/>
        </w:rPr>
        <w:t>移动通信系统应提供市域铁路运营控制中心调度员、车辆基地调度员、车站值班员等固定用户与列车司机、防灾、维修等移动用户之间的通信手段。还应根据运输管理和列控系统的需求，提供相应的车地信息传送业务。</w:t>
      </w:r>
      <w:bookmarkEnd w:id="2213"/>
      <w:bookmarkEnd w:id="2214"/>
    </w:p>
    <w:p w14:paraId="2F8FE79C" w14:textId="77777777" w:rsidR="00737EB2" w:rsidRPr="00765F6E" w:rsidRDefault="00737EB2" w:rsidP="009D0776">
      <w:pPr>
        <w:pStyle w:val="22"/>
      </w:pPr>
      <w:bookmarkStart w:id="2215" w:name="_Toc153291854"/>
      <w:bookmarkStart w:id="2216" w:name="_Toc99792420"/>
      <w:r w:rsidRPr="00765F6E">
        <w:rPr>
          <w:rFonts w:hint="eastAsia"/>
        </w:rPr>
        <w:t>市域铁路线网移动通信系统应统一规划、分期实施，宜实现网络互联互通及网络资源共享。与国家铁路、城市轨道交通跨线运行时，应符合跨线业务互联互通的需求。</w:t>
      </w:r>
      <w:bookmarkEnd w:id="2215"/>
      <w:bookmarkEnd w:id="2216"/>
    </w:p>
    <w:p w14:paraId="3EB50DFC" w14:textId="77777777" w:rsidR="00737EB2" w:rsidRPr="00765F6E" w:rsidRDefault="00737EB2" w:rsidP="009D0776">
      <w:pPr>
        <w:pStyle w:val="22"/>
      </w:pPr>
      <w:bookmarkStart w:id="2217" w:name="_Toc153291855"/>
      <w:bookmarkStart w:id="2218" w:name="_Toc99792421"/>
      <w:r w:rsidRPr="00765F6E">
        <w:rPr>
          <w:rFonts w:hint="eastAsia"/>
        </w:rPr>
        <w:t>移动通信系统制式应符合国家有关技术标准，宜采用GSM-R、LTE、5G等移动通信技术制式，并满足互通运营的需求。</w:t>
      </w:r>
      <w:bookmarkEnd w:id="2217"/>
      <w:bookmarkEnd w:id="2218"/>
    </w:p>
    <w:p w14:paraId="42E64CDF" w14:textId="77777777" w:rsidR="00737EB2" w:rsidRPr="00765F6E" w:rsidRDefault="00737EB2" w:rsidP="009D0776">
      <w:pPr>
        <w:pStyle w:val="22"/>
      </w:pPr>
      <w:bookmarkStart w:id="2219" w:name="_Toc99792422"/>
      <w:bookmarkStart w:id="2220" w:name="_Toc153291856"/>
      <w:r w:rsidRPr="00765F6E">
        <w:rPr>
          <w:rFonts w:hint="eastAsia"/>
        </w:rPr>
        <w:t>工作频率应符合国家无线电管理部门的政策管理和频率规划，采用的工作频段及频点应由无线电管理部门批准。</w:t>
      </w:r>
      <w:bookmarkEnd w:id="2219"/>
      <w:bookmarkEnd w:id="2220"/>
    </w:p>
    <w:p w14:paraId="181FD610" w14:textId="77777777" w:rsidR="00737EB2" w:rsidRPr="00765F6E" w:rsidRDefault="00737EB2" w:rsidP="009D0776">
      <w:pPr>
        <w:pStyle w:val="22"/>
      </w:pPr>
      <w:bookmarkStart w:id="2221" w:name="_Toc99792423"/>
      <w:bookmarkStart w:id="2222" w:name="_Toc153291857"/>
      <w:r w:rsidRPr="00765F6E">
        <w:rPr>
          <w:rFonts w:hint="eastAsia"/>
        </w:rPr>
        <w:t>移动通信系统应包括核心网、无线网和终端设备等，其设计应符合相关标准的规定。</w:t>
      </w:r>
      <w:bookmarkEnd w:id="2221"/>
      <w:bookmarkEnd w:id="2222"/>
    </w:p>
    <w:p w14:paraId="1863EF7E" w14:textId="77777777" w:rsidR="00737EB2" w:rsidRPr="00765F6E" w:rsidRDefault="00737EB2" w:rsidP="009D0776">
      <w:pPr>
        <w:pStyle w:val="22"/>
      </w:pPr>
      <w:bookmarkStart w:id="2223" w:name="_Toc99792424"/>
      <w:bookmarkStart w:id="2224" w:name="_Toc153291858"/>
      <w:r w:rsidRPr="00765F6E">
        <w:rPr>
          <w:rFonts w:hint="eastAsia"/>
        </w:rPr>
        <w:t>核心网宜统一规划无线交换子系统，并满足以下要求：</w:t>
      </w:r>
      <w:bookmarkEnd w:id="2223"/>
      <w:bookmarkEnd w:id="2224"/>
    </w:p>
    <w:p w14:paraId="4CE779C8" w14:textId="77777777" w:rsidR="00737EB2" w:rsidRPr="00765F6E" w:rsidRDefault="00737EB2" w:rsidP="003334F3">
      <w:pPr>
        <w:pStyle w:val="af6"/>
        <w:numPr>
          <w:ilvl w:val="0"/>
          <w:numId w:val="194"/>
        </w:numPr>
        <w:tabs>
          <w:tab w:val="left" w:pos="851"/>
        </w:tabs>
        <w:snapToGrid w:val="0"/>
        <w:contextualSpacing/>
      </w:pPr>
      <w:r w:rsidRPr="00765F6E">
        <w:rPr>
          <w:rFonts w:hint="eastAsia"/>
        </w:rPr>
        <w:t>系统应统一各线路组网原则，并共享无线交换资源；</w:t>
      </w:r>
    </w:p>
    <w:p w14:paraId="6737D2A8" w14:textId="77777777" w:rsidR="00737EB2" w:rsidRPr="00765F6E" w:rsidRDefault="00737EB2" w:rsidP="003334F3">
      <w:pPr>
        <w:pStyle w:val="af6"/>
        <w:numPr>
          <w:ilvl w:val="0"/>
          <w:numId w:val="194"/>
        </w:numPr>
        <w:tabs>
          <w:tab w:val="left" w:pos="851"/>
        </w:tabs>
        <w:snapToGrid w:val="0"/>
        <w:contextualSpacing/>
      </w:pPr>
      <w:r w:rsidRPr="00765F6E">
        <w:rPr>
          <w:rFonts w:hint="eastAsia"/>
        </w:rPr>
        <w:t>应具有主备冗余、主要功能自动切换功能；</w:t>
      </w:r>
    </w:p>
    <w:p w14:paraId="6399718A" w14:textId="77777777" w:rsidR="00737EB2" w:rsidRPr="00765F6E" w:rsidRDefault="00737EB2" w:rsidP="003334F3">
      <w:pPr>
        <w:pStyle w:val="af6"/>
        <w:numPr>
          <w:ilvl w:val="0"/>
          <w:numId w:val="194"/>
        </w:numPr>
        <w:tabs>
          <w:tab w:val="left" w:pos="851"/>
        </w:tabs>
        <w:snapToGrid w:val="0"/>
        <w:contextualSpacing/>
      </w:pPr>
      <w:r w:rsidRPr="00765F6E">
        <w:rPr>
          <w:rFonts w:hint="eastAsia"/>
        </w:rPr>
        <w:lastRenderedPageBreak/>
        <w:t>系统应统一频率配置原则及编号原则等，并根据网络规划对各线的基站布置、频率配置等进行统一规划；</w:t>
      </w:r>
    </w:p>
    <w:p w14:paraId="10A5944D" w14:textId="77777777" w:rsidR="00737EB2" w:rsidRPr="00765F6E" w:rsidRDefault="00737EB2" w:rsidP="003334F3">
      <w:pPr>
        <w:pStyle w:val="af6"/>
        <w:numPr>
          <w:ilvl w:val="0"/>
          <w:numId w:val="194"/>
        </w:numPr>
        <w:tabs>
          <w:tab w:val="left" w:pos="851"/>
        </w:tabs>
        <w:snapToGrid w:val="0"/>
        <w:contextualSpacing/>
      </w:pPr>
      <w:r w:rsidRPr="00765F6E">
        <w:rPr>
          <w:rFonts w:hint="eastAsia"/>
        </w:rPr>
        <w:t>当跨线运行线路采用不同的无线交换网络时，应实现核心网交换的互联互通。</w:t>
      </w:r>
    </w:p>
    <w:p w14:paraId="3B37074B" w14:textId="77777777" w:rsidR="00737EB2" w:rsidRPr="00765F6E" w:rsidRDefault="00737EB2" w:rsidP="009D0776">
      <w:pPr>
        <w:pStyle w:val="22"/>
      </w:pPr>
      <w:bookmarkStart w:id="2225" w:name="_Toc99792425"/>
      <w:bookmarkStart w:id="2226" w:name="_Toc153291859"/>
      <w:r w:rsidRPr="00765F6E">
        <w:rPr>
          <w:rFonts w:hint="eastAsia"/>
        </w:rPr>
        <w:t>无线网可采用基站、光纤直放站/RRU等设备加天线或漏泄同轴电缆的方式实现无线覆盖。</w:t>
      </w:r>
      <w:bookmarkEnd w:id="2225"/>
      <w:bookmarkEnd w:id="2226"/>
    </w:p>
    <w:p w14:paraId="491FA05D" w14:textId="77777777" w:rsidR="00737EB2" w:rsidRPr="00765F6E" w:rsidRDefault="00737EB2" w:rsidP="009D0776">
      <w:pPr>
        <w:pStyle w:val="22"/>
      </w:pPr>
      <w:bookmarkStart w:id="2227" w:name="_Toc153291860"/>
      <w:bookmarkStart w:id="2228" w:name="_Toc99792426"/>
      <w:r w:rsidRPr="00765F6E">
        <w:rPr>
          <w:rFonts w:hint="eastAsia"/>
        </w:rPr>
        <w:t>无线场强覆盖符合下列规定：</w:t>
      </w:r>
      <w:bookmarkEnd w:id="2227"/>
      <w:bookmarkEnd w:id="2228"/>
    </w:p>
    <w:p w14:paraId="5D57DAA3" w14:textId="77777777" w:rsidR="00737EB2" w:rsidRPr="00765F6E" w:rsidRDefault="00737EB2" w:rsidP="003334F3">
      <w:pPr>
        <w:pStyle w:val="af6"/>
        <w:numPr>
          <w:ilvl w:val="0"/>
          <w:numId w:val="195"/>
        </w:numPr>
        <w:tabs>
          <w:tab w:val="left" w:pos="851"/>
        </w:tabs>
        <w:snapToGrid w:val="0"/>
        <w:contextualSpacing/>
      </w:pPr>
      <w:r w:rsidRPr="00765F6E">
        <w:rPr>
          <w:rFonts w:hint="eastAsia"/>
        </w:rPr>
        <w:t>无线覆盖范围、场强、同频干扰保护比和邻频干扰保护比等应符合系统业务需求和相关标准的规定。综合考虑电波传播特性和服务质量要求，合理布设基站，避免频繁的小区切换；</w:t>
      </w:r>
    </w:p>
    <w:p w14:paraId="0E6B8AAA" w14:textId="77777777" w:rsidR="00737EB2" w:rsidRPr="00765F6E" w:rsidRDefault="00737EB2" w:rsidP="003334F3">
      <w:pPr>
        <w:pStyle w:val="af6"/>
        <w:numPr>
          <w:ilvl w:val="0"/>
          <w:numId w:val="195"/>
        </w:numPr>
        <w:tabs>
          <w:tab w:val="left" w:pos="851"/>
        </w:tabs>
        <w:snapToGrid w:val="0"/>
        <w:contextualSpacing/>
      </w:pPr>
      <w:r w:rsidRPr="00765F6E">
        <w:rPr>
          <w:rFonts w:hint="eastAsia"/>
        </w:rPr>
        <w:t>无线覆盖重叠区长度应符合车载无线通信设备能够完成2次越区切换的需要。越区切换位置宜设置在传播条件较好地段；</w:t>
      </w:r>
    </w:p>
    <w:p w14:paraId="4EB3615E" w14:textId="77777777" w:rsidR="00737EB2" w:rsidRPr="00765F6E" w:rsidRDefault="00737EB2" w:rsidP="003334F3">
      <w:pPr>
        <w:pStyle w:val="af6"/>
        <w:numPr>
          <w:ilvl w:val="0"/>
          <w:numId w:val="195"/>
        </w:numPr>
        <w:tabs>
          <w:tab w:val="left" w:pos="851"/>
        </w:tabs>
        <w:snapToGrid w:val="0"/>
        <w:contextualSpacing/>
      </w:pPr>
      <w:r w:rsidRPr="00765F6E">
        <w:rPr>
          <w:rFonts w:hint="eastAsia"/>
        </w:rPr>
        <w:t>移动通信系统承载列控信息时，列控信息传送区段宜采取冗余无线覆盖等措施；</w:t>
      </w:r>
    </w:p>
    <w:p w14:paraId="52AB232C" w14:textId="77777777" w:rsidR="00737EB2" w:rsidRPr="00765F6E" w:rsidRDefault="00737EB2" w:rsidP="003334F3">
      <w:pPr>
        <w:pStyle w:val="af6"/>
        <w:numPr>
          <w:ilvl w:val="0"/>
          <w:numId w:val="195"/>
        </w:numPr>
        <w:tabs>
          <w:tab w:val="left" w:pos="851"/>
        </w:tabs>
        <w:snapToGrid w:val="0"/>
        <w:contextualSpacing/>
      </w:pPr>
      <w:r w:rsidRPr="00765F6E">
        <w:rPr>
          <w:rFonts w:hint="eastAsia"/>
        </w:rPr>
        <w:t>枢纽地区、相邻线路无线覆盖和频率配置宜统筹考虑，优先考虑列控业务需求。</w:t>
      </w:r>
    </w:p>
    <w:p w14:paraId="0A712887" w14:textId="77777777" w:rsidR="00737EB2" w:rsidRPr="00765F6E" w:rsidRDefault="00737EB2" w:rsidP="009D0776">
      <w:pPr>
        <w:pStyle w:val="22"/>
      </w:pPr>
      <w:bookmarkStart w:id="2229" w:name="_Toc99792427"/>
      <w:bookmarkStart w:id="2230" w:name="_Toc153291861"/>
      <w:r w:rsidRPr="00765F6E">
        <w:rPr>
          <w:rFonts w:hint="eastAsia"/>
        </w:rPr>
        <w:t>系统话音质量应大于3.0，辐射电波覆盖的时间地点概率不宜小于95%,覆盖范围内场强不宜小于-95dBm。</w:t>
      </w:r>
      <w:bookmarkEnd w:id="2229"/>
      <w:bookmarkEnd w:id="2230"/>
    </w:p>
    <w:p w14:paraId="322C78D8" w14:textId="77777777" w:rsidR="00737EB2" w:rsidRPr="00765F6E" w:rsidRDefault="00737EB2" w:rsidP="009D0776">
      <w:pPr>
        <w:pStyle w:val="22"/>
      </w:pPr>
      <w:bookmarkStart w:id="2231" w:name="_Toc153291862"/>
      <w:bookmarkStart w:id="2232" w:name="_Toc99792428"/>
      <w:r w:rsidRPr="00765F6E">
        <w:rPr>
          <w:rFonts w:hint="eastAsia"/>
        </w:rPr>
        <w:t>移动通信系统应具有选呼、组呼和全呼、呼叫优先级等调度通信功能，并应具有语音录音功能。</w:t>
      </w:r>
      <w:bookmarkEnd w:id="2231"/>
      <w:bookmarkEnd w:id="2232"/>
    </w:p>
    <w:p w14:paraId="6F24B9FA" w14:textId="77777777" w:rsidR="00737EB2" w:rsidRPr="00765F6E" w:rsidRDefault="00737EB2" w:rsidP="009D0776">
      <w:pPr>
        <w:pStyle w:val="22"/>
      </w:pPr>
      <w:bookmarkStart w:id="2233" w:name="_Toc99792429"/>
      <w:bookmarkStart w:id="2234" w:name="_Toc153291863"/>
      <w:r w:rsidRPr="00765F6E">
        <w:rPr>
          <w:rFonts w:hint="eastAsia"/>
        </w:rPr>
        <w:t>移动通信系统主要设备配置应符合下列规定：</w:t>
      </w:r>
      <w:bookmarkEnd w:id="2233"/>
      <w:bookmarkEnd w:id="2234"/>
    </w:p>
    <w:p w14:paraId="6EFF9EE8" w14:textId="77777777" w:rsidR="00737EB2" w:rsidRPr="00765F6E" w:rsidRDefault="00737EB2" w:rsidP="003334F3">
      <w:pPr>
        <w:pStyle w:val="af6"/>
        <w:numPr>
          <w:ilvl w:val="0"/>
          <w:numId w:val="196"/>
        </w:numPr>
        <w:tabs>
          <w:tab w:val="left" w:pos="851"/>
        </w:tabs>
        <w:snapToGrid w:val="0"/>
        <w:contextualSpacing/>
      </w:pPr>
      <w:r w:rsidRPr="00765F6E">
        <w:rPr>
          <w:rFonts w:hint="eastAsia"/>
        </w:rPr>
        <w:t>核心网设备容量应符合近期各相关线路的接入需求。无线网的设备容量需符合其覆盖区域内各类移动用户通信的话务量需求；</w:t>
      </w:r>
    </w:p>
    <w:p w14:paraId="5F802A7B" w14:textId="77777777" w:rsidR="00737EB2" w:rsidRPr="00765F6E" w:rsidRDefault="00737EB2" w:rsidP="003334F3">
      <w:pPr>
        <w:pStyle w:val="af6"/>
        <w:numPr>
          <w:ilvl w:val="0"/>
          <w:numId w:val="196"/>
        </w:numPr>
        <w:tabs>
          <w:tab w:val="left" w:pos="851"/>
        </w:tabs>
        <w:snapToGrid w:val="0"/>
        <w:contextualSpacing/>
      </w:pPr>
      <w:r w:rsidRPr="00765F6E">
        <w:rPr>
          <w:rFonts w:hint="eastAsia"/>
        </w:rPr>
        <w:t>移动通信系统设备的主控、时钟、电源、载频等关键板件或模块应按热备用工作模式冗余配置。</w:t>
      </w:r>
    </w:p>
    <w:p w14:paraId="52EAA8CB" w14:textId="77777777" w:rsidR="00737EB2" w:rsidRPr="00765F6E" w:rsidRDefault="00737EB2" w:rsidP="00737EB2">
      <w:pPr>
        <w:pStyle w:val="affe"/>
        <w:spacing w:before="156" w:after="156"/>
      </w:pPr>
      <w:bookmarkStart w:id="2235" w:name="_Toc153291864"/>
      <w:bookmarkStart w:id="2236" w:name="_Toc99792430"/>
      <w:bookmarkStart w:id="2237" w:name="_Toc153210932"/>
      <w:bookmarkStart w:id="2238" w:name="_Toc167895830"/>
      <w:bookmarkStart w:id="2239" w:name="_Toc174538744"/>
      <w:bookmarkStart w:id="2240" w:name="_Toc182476493"/>
      <w:r w:rsidRPr="00765F6E">
        <w:rPr>
          <w:rFonts w:hint="eastAsia"/>
        </w:rPr>
        <w:t>会议电视系统</w:t>
      </w:r>
      <w:bookmarkEnd w:id="2235"/>
      <w:bookmarkEnd w:id="2236"/>
      <w:bookmarkEnd w:id="2237"/>
      <w:bookmarkEnd w:id="2238"/>
      <w:bookmarkEnd w:id="2239"/>
      <w:bookmarkEnd w:id="2240"/>
    </w:p>
    <w:p w14:paraId="0F5A541B" w14:textId="77777777" w:rsidR="00737EB2" w:rsidRPr="00765F6E" w:rsidRDefault="00737EB2" w:rsidP="009D0776">
      <w:pPr>
        <w:pStyle w:val="22"/>
      </w:pPr>
      <w:bookmarkStart w:id="2241" w:name="_Toc153291865"/>
      <w:bookmarkStart w:id="2242" w:name="_Toc99792431"/>
      <w:r w:rsidRPr="00765F6E">
        <w:rPr>
          <w:rFonts w:hint="eastAsia"/>
        </w:rPr>
        <w:t>会议电视系统应能提供双向语音、活动图像、静止图文和数据双流等业务。</w:t>
      </w:r>
      <w:bookmarkEnd w:id="2241"/>
      <w:bookmarkEnd w:id="2242"/>
    </w:p>
    <w:p w14:paraId="175959EA" w14:textId="77777777" w:rsidR="00737EB2" w:rsidRPr="00765F6E" w:rsidRDefault="00737EB2" w:rsidP="009D0776">
      <w:pPr>
        <w:pStyle w:val="22"/>
      </w:pPr>
      <w:bookmarkStart w:id="2243" w:name="_Toc153291866"/>
      <w:bookmarkStart w:id="2244" w:name="_Toc99792432"/>
      <w:r w:rsidRPr="00765F6E">
        <w:rPr>
          <w:rFonts w:hint="eastAsia"/>
        </w:rPr>
        <w:t>会议电视系统宜采用H.323协议。</w:t>
      </w:r>
      <w:bookmarkEnd w:id="2243"/>
      <w:bookmarkEnd w:id="2244"/>
    </w:p>
    <w:p w14:paraId="59DB3222" w14:textId="77777777" w:rsidR="00737EB2" w:rsidRPr="00765F6E" w:rsidRDefault="00737EB2" w:rsidP="009D0776">
      <w:pPr>
        <w:pStyle w:val="22"/>
      </w:pPr>
      <w:bookmarkStart w:id="2245" w:name="_Toc99792433"/>
      <w:bookmarkStart w:id="2246" w:name="_Toc153291867"/>
      <w:r w:rsidRPr="00765F6E">
        <w:rPr>
          <w:rFonts w:hint="eastAsia"/>
        </w:rPr>
        <w:t>会议电视系统应设置多点控制单元（MCU），会场设备、网络管理设备等。</w:t>
      </w:r>
      <w:bookmarkEnd w:id="2245"/>
      <w:bookmarkEnd w:id="2246"/>
    </w:p>
    <w:p w14:paraId="491F312C" w14:textId="77777777" w:rsidR="00737EB2" w:rsidRPr="00765F6E" w:rsidRDefault="00737EB2" w:rsidP="009D0776">
      <w:pPr>
        <w:pStyle w:val="22"/>
      </w:pPr>
      <w:bookmarkStart w:id="2247" w:name="_Toc153291868"/>
      <w:bookmarkStart w:id="2248" w:name="_Toc99792434"/>
      <w:r w:rsidRPr="00765F6E">
        <w:rPr>
          <w:rFonts w:hint="eastAsia"/>
        </w:rPr>
        <w:t>会议电视系统可与视频监控系统互联。</w:t>
      </w:r>
      <w:bookmarkEnd w:id="2247"/>
      <w:bookmarkEnd w:id="2248"/>
    </w:p>
    <w:p w14:paraId="4CAE3143" w14:textId="77777777" w:rsidR="00737EB2" w:rsidRPr="00765F6E" w:rsidRDefault="00737EB2" w:rsidP="009D0776">
      <w:pPr>
        <w:pStyle w:val="22"/>
      </w:pPr>
      <w:bookmarkStart w:id="2249" w:name="_Toc99792435"/>
      <w:bookmarkStart w:id="2250" w:name="_Toc153291869"/>
      <w:r w:rsidRPr="00765F6E">
        <w:rPr>
          <w:rFonts w:hint="eastAsia"/>
        </w:rPr>
        <w:t>不同制式会议电视系统互通可采用网管或音视频模拟转接方式。</w:t>
      </w:r>
      <w:bookmarkEnd w:id="2249"/>
      <w:bookmarkEnd w:id="2250"/>
    </w:p>
    <w:p w14:paraId="51A4ADBB" w14:textId="77777777" w:rsidR="00737EB2" w:rsidRPr="00765F6E" w:rsidRDefault="00737EB2" w:rsidP="009D0776">
      <w:pPr>
        <w:pStyle w:val="22"/>
      </w:pPr>
      <w:bookmarkStart w:id="2251" w:name="_Toc153291870"/>
      <w:bookmarkStart w:id="2252" w:name="_Toc99792436"/>
      <w:r w:rsidRPr="00765F6E">
        <w:rPr>
          <w:rFonts w:hint="eastAsia"/>
        </w:rPr>
        <w:t>设备设置符合以下规定：</w:t>
      </w:r>
      <w:bookmarkEnd w:id="2251"/>
      <w:bookmarkEnd w:id="2252"/>
    </w:p>
    <w:p w14:paraId="35A9C955" w14:textId="77777777" w:rsidR="00737EB2" w:rsidRPr="00765F6E" w:rsidRDefault="00737EB2" w:rsidP="003334F3">
      <w:pPr>
        <w:pStyle w:val="af6"/>
        <w:numPr>
          <w:ilvl w:val="0"/>
          <w:numId w:val="197"/>
        </w:numPr>
        <w:tabs>
          <w:tab w:val="left" w:pos="851"/>
        </w:tabs>
        <w:snapToGrid w:val="0"/>
        <w:contextualSpacing/>
      </w:pPr>
      <w:r w:rsidRPr="00765F6E">
        <w:rPr>
          <w:rFonts w:hint="eastAsia"/>
        </w:rPr>
        <w:t>宜设置在便于会议组织、便于维护管理的住所；</w:t>
      </w:r>
    </w:p>
    <w:p w14:paraId="4D9D9905" w14:textId="77777777" w:rsidR="00737EB2" w:rsidRPr="00765F6E" w:rsidRDefault="00737EB2" w:rsidP="003334F3">
      <w:pPr>
        <w:pStyle w:val="af6"/>
        <w:numPr>
          <w:ilvl w:val="0"/>
          <w:numId w:val="197"/>
        </w:numPr>
        <w:tabs>
          <w:tab w:val="left" w:pos="851"/>
        </w:tabs>
        <w:snapToGrid w:val="0"/>
        <w:contextualSpacing/>
      </w:pPr>
      <w:r w:rsidRPr="00765F6E">
        <w:rPr>
          <w:rFonts w:hint="eastAsia"/>
        </w:rPr>
        <w:t>MCU宜采用1+1冗余设置，也可采用资源动态分配方式实现热备；</w:t>
      </w:r>
    </w:p>
    <w:p w14:paraId="3204382C" w14:textId="77777777" w:rsidR="00737EB2" w:rsidRPr="00765F6E" w:rsidRDefault="00737EB2" w:rsidP="003334F3">
      <w:pPr>
        <w:pStyle w:val="af6"/>
        <w:numPr>
          <w:ilvl w:val="0"/>
          <w:numId w:val="197"/>
        </w:numPr>
        <w:tabs>
          <w:tab w:val="left" w:pos="851"/>
        </w:tabs>
        <w:snapToGrid w:val="0"/>
        <w:contextualSpacing/>
      </w:pPr>
      <w:r w:rsidRPr="00765F6E">
        <w:rPr>
          <w:rFonts w:hint="eastAsia"/>
        </w:rPr>
        <w:t>根据需要，可在站段及有关管理部门设置会场；</w:t>
      </w:r>
    </w:p>
    <w:p w14:paraId="66EBC447" w14:textId="77777777" w:rsidR="00737EB2" w:rsidRPr="00765F6E" w:rsidRDefault="00737EB2" w:rsidP="003334F3">
      <w:pPr>
        <w:pStyle w:val="af6"/>
        <w:numPr>
          <w:ilvl w:val="0"/>
          <w:numId w:val="197"/>
        </w:numPr>
        <w:tabs>
          <w:tab w:val="left" w:pos="851"/>
        </w:tabs>
        <w:snapToGrid w:val="0"/>
        <w:contextualSpacing/>
      </w:pPr>
      <w:r w:rsidRPr="00765F6E">
        <w:rPr>
          <w:rFonts w:hint="eastAsia"/>
        </w:rPr>
        <w:t>每个会场应设置1台会议电视终端设备，重要会场宜备用1台；</w:t>
      </w:r>
    </w:p>
    <w:p w14:paraId="7DD5BEE4" w14:textId="77777777" w:rsidR="00737EB2" w:rsidRPr="00765F6E" w:rsidRDefault="00737EB2" w:rsidP="003334F3">
      <w:pPr>
        <w:pStyle w:val="af6"/>
        <w:numPr>
          <w:ilvl w:val="0"/>
          <w:numId w:val="197"/>
        </w:numPr>
        <w:tabs>
          <w:tab w:val="left" w:pos="851"/>
        </w:tabs>
        <w:snapToGrid w:val="0"/>
        <w:contextualSpacing/>
      </w:pPr>
      <w:r w:rsidRPr="00765F6E">
        <w:rPr>
          <w:rFonts w:hint="eastAsia"/>
        </w:rPr>
        <w:t>每个会场应至少设置一台带云台的摄像机，面积较大的会议室，可根据需要增加辅助摄像机。</w:t>
      </w:r>
    </w:p>
    <w:p w14:paraId="0C092EA3" w14:textId="77777777" w:rsidR="00737EB2" w:rsidRPr="00765F6E" w:rsidRDefault="00737EB2" w:rsidP="00737EB2">
      <w:pPr>
        <w:pStyle w:val="affe"/>
        <w:spacing w:before="156" w:after="156"/>
      </w:pPr>
      <w:bookmarkStart w:id="2253" w:name="_Toc99792437"/>
      <w:bookmarkStart w:id="2254" w:name="_Toc153210933"/>
      <w:bookmarkStart w:id="2255" w:name="_Toc153291871"/>
      <w:bookmarkStart w:id="2256" w:name="_Toc167895831"/>
      <w:bookmarkStart w:id="2257" w:name="_Toc174538745"/>
      <w:bookmarkStart w:id="2258" w:name="_Toc182476494"/>
      <w:r w:rsidRPr="00765F6E">
        <w:rPr>
          <w:rFonts w:hint="eastAsia"/>
        </w:rPr>
        <w:t>综合视频监控系统</w:t>
      </w:r>
      <w:bookmarkEnd w:id="2253"/>
      <w:bookmarkEnd w:id="2254"/>
      <w:bookmarkEnd w:id="2255"/>
      <w:bookmarkEnd w:id="2256"/>
      <w:bookmarkEnd w:id="2257"/>
      <w:bookmarkEnd w:id="2258"/>
    </w:p>
    <w:p w14:paraId="574ED5CA" w14:textId="77777777" w:rsidR="00737EB2" w:rsidRPr="00765F6E" w:rsidRDefault="00737EB2" w:rsidP="009D0776">
      <w:pPr>
        <w:pStyle w:val="22"/>
      </w:pPr>
      <w:bookmarkStart w:id="2259" w:name="_Toc99792438"/>
      <w:bookmarkStart w:id="2260" w:name="_Toc153291872"/>
      <w:r w:rsidRPr="00765F6E">
        <w:rPr>
          <w:rFonts w:hint="eastAsia"/>
        </w:rPr>
        <w:t>综合视频监控系统应根据运输调度、旅客服务、维护管理等业务部门视频监控需求，为中心调度员、各车站（场）值班员、列车司机等提供有关列车运行、防灾、救灾及乘客疏导视觉信息。</w:t>
      </w:r>
      <w:bookmarkEnd w:id="2259"/>
      <w:bookmarkEnd w:id="2260"/>
    </w:p>
    <w:p w14:paraId="066C9787" w14:textId="77777777" w:rsidR="00737EB2" w:rsidRPr="00765F6E" w:rsidRDefault="00737EB2" w:rsidP="009D0776">
      <w:pPr>
        <w:pStyle w:val="22"/>
      </w:pPr>
      <w:bookmarkStart w:id="2261" w:name="_Toc99792439"/>
      <w:bookmarkStart w:id="2262" w:name="_Toc153291873"/>
      <w:r w:rsidRPr="00765F6E">
        <w:rPr>
          <w:rFonts w:hint="eastAsia"/>
        </w:rPr>
        <w:t>综合视频监控系统宜由中心节点、站段节点、视频采集点、视频网络和监控终端等部分组成。</w:t>
      </w:r>
      <w:bookmarkEnd w:id="2261"/>
      <w:bookmarkEnd w:id="2262"/>
    </w:p>
    <w:p w14:paraId="0EFDD429" w14:textId="77777777" w:rsidR="00737EB2" w:rsidRPr="00765F6E" w:rsidRDefault="00737EB2" w:rsidP="009D0776">
      <w:pPr>
        <w:pStyle w:val="22"/>
      </w:pPr>
      <w:bookmarkStart w:id="2263" w:name="_Toc99792440"/>
      <w:bookmarkStart w:id="2264" w:name="_Toc153291874"/>
      <w:r w:rsidRPr="00765F6E">
        <w:rPr>
          <w:rFonts w:hint="eastAsia"/>
        </w:rPr>
        <w:t>中心节点宜设置视频分发/转发服务器、存储设备及网管系统设备；车站节点宜设置视频分发/转发服务器、存储设备。</w:t>
      </w:r>
      <w:bookmarkEnd w:id="2263"/>
      <w:bookmarkEnd w:id="2264"/>
    </w:p>
    <w:p w14:paraId="3AC0F2A0" w14:textId="77777777" w:rsidR="00737EB2" w:rsidRPr="00765F6E" w:rsidRDefault="00737EB2" w:rsidP="009D0776">
      <w:pPr>
        <w:pStyle w:val="22"/>
      </w:pPr>
      <w:bookmarkStart w:id="2265" w:name="_Toc153291875"/>
      <w:bookmarkStart w:id="2266" w:name="_Toc99792441"/>
      <w:r w:rsidRPr="00765F6E">
        <w:rPr>
          <w:rFonts w:hint="eastAsia"/>
        </w:rPr>
        <w:t>综合视频监控系统存储方式宜采用云储存，视频信息的存储时间和质量应符合国家及江苏省的相关规范和规定。</w:t>
      </w:r>
      <w:bookmarkEnd w:id="2265"/>
    </w:p>
    <w:p w14:paraId="1728B3C7" w14:textId="77777777" w:rsidR="00737EB2" w:rsidRPr="00765F6E" w:rsidRDefault="00737EB2" w:rsidP="009D0776">
      <w:pPr>
        <w:pStyle w:val="22"/>
      </w:pPr>
      <w:bookmarkStart w:id="2267" w:name="_Toc153291876"/>
      <w:r w:rsidRPr="00765F6E">
        <w:rPr>
          <w:rFonts w:hint="eastAsia"/>
        </w:rPr>
        <w:t>综合视频监控系统应采用数字高清网络视频监控技术，图像分辨率不低于1080P，采用标准通用的数字编码格式，并符合相关标准的规定。</w:t>
      </w:r>
      <w:bookmarkEnd w:id="2266"/>
      <w:bookmarkEnd w:id="2267"/>
    </w:p>
    <w:p w14:paraId="0F858FFE" w14:textId="77777777" w:rsidR="00737EB2" w:rsidRPr="00765F6E" w:rsidRDefault="00737EB2" w:rsidP="009D0776">
      <w:pPr>
        <w:pStyle w:val="22"/>
      </w:pPr>
      <w:bookmarkStart w:id="2268" w:name="_Toc99792442"/>
      <w:bookmarkStart w:id="2269" w:name="_Toc153291877"/>
      <w:r w:rsidRPr="00765F6E">
        <w:rPr>
          <w:rFonts w:hint="eastAsia"/>
        </w:rPr>
        <w:t>综合视频监控系统宜采用高清网络摄像机，重点监视目标处，宜具有图像内容分析和报警功能。</w:t>
      </w:r>
      <w:bookmarkEnd w:id="2268"/>
      <w:bookmarkEnd w:id="2269"/>
    </w:p>
    <w:p w14:paraId="11F1CDAE" w14:textId="77777777" w:rsidR="00737EB2" w:rsidRPr="00765F6E" w:rsidRDefault="00737EB2" w:rsidP="009D0776">
      <w:pPr>
        <w:pStyle w:val="22"/>
      </w:pPr>
      <w:bookmarkStart w:id="2270" w:name="_Toc99792443"/>
      <w:bookmarkStart w:id="2271" w:name="_Toc153291878"/>
      <w:r w:rsidRPr="00765F6E">
        <w:rPr>
          <w:rFonts w:hint="eastAsia"/>
        </w:rPr>
        <w:t>综合视频监控系统应根据运输调度、旅客服务、维护管理等业务部门视频监控需求，具有视频图像的实时监视、存储、回放、云镜控制、图像诊断、视频分发/转发、系统间的互联和联动、多级管理等功能。</w:t>
      </w:r>
      <w:bookmarkEnd w:id="2270"/>
      <w:bookmarkEnd w:id="2271"/>
    </w:p>
    <w:p w14:paraId="046C4DDA" w14:textId="77777777" w:rsidR="00737EB2" w:rsidRPr="00765F6E" w:rsidRDefault="00737EB2" w:rsidP="009D0776">
      <w:pPr>
        <w:pStyle w:val="22"/>
      </w:pPr>
      <w:bookmarkStart w:id="2272" w:name="_Toc99792444"/>
      <w:bookmarkStart w:id="2273" w:name="_Toc153291879"/>
      <w:r w:rsidRPr="00765F6E">
        <w:rPr>
          <w:rFonts w:hint="eastAsia"/>
        </w:rPr>
        <w:t>视频采集的数量、位置及设备功能应根据工程的实际情况，统筹考虑、合理确定，并符合下列规定：</w:t>
      </w:r>
      <w:bookmarkEnd w:id="2272"/>
      <w:bookmarkEnd w:id="2273"/>
    </w:p>
    <w:p w14:paraId="49F35C2B" w14:textId="77777777" w:rsidR="00737EB2" w:rsidRPr="00765F6E" w:rsidRDefault="00737EB2" w:rsidP="003334F3">
      <w:pPr>
        <w:pStyle w:val="af6"/>
        <w:numPr>
          <w:ilvl w:val="0"/>
          <w:numId w:val="198"/>
        </w:numPr>
        <w:tabs>
          <w:tab w:val="left" w:pos="851"/>
        </w:tabs>
        <w:snapToGrid w:val="0"/>
        <w:contextualSpacing/>
      </w:pPr>
      <w:r w:rsidRPr="00765F6E">
        <w:rPr>
          <w:rFonts w:hint="eastAsia"/>
        </w:rPr>
        <w:lastRenderedPageBreak/>
        <w:t>同一区域不应重复设置视频摄取设备；</w:t>
      </w:r>
    </w:p>
    <w:p w14:paraId="1823AB66" w14:textId="77777777" w:rsidR="00737EB2" w:rsidRPr="00765F6E" w:rsidRDefault="00737EB2" w:rsidP="003334F3">
      <w:pPr>
        <w:pStyle w:val="af6"/>
        <w:numPr>
          <w:ilvl w:val="0"/>
          <w:numId w:val="198"/>
        </w:numPr>
        <w:tabs>
          <w:tab w:val="left" w:pos="851"/>
        </w:tabs>
        <w:snapToGrid w:val="0"/>
        <w:contextualSpacing/>
      </w:pPr>
      <w:r w:rsidRPr="00765F6E">
        <w:rPr>
          <w:rFonts w:hint="eastAsia"/>
        </w:rPr>
        <w:t>根据使用需求及现场环境照度等条件，选择支持低照度、宽动态功能的摄像机；</w:t>
      </w:r>
    </w:p>
    <w:p w14:paraId="2B73305D" w14:textId="77777777" w:rsidR="00737EB2" w:rsidRPr="00765F6E" w:rsidRDefault="00737EB2" w:rsidP="003334F3">
      <w:pPr>
        <w:pStyle w:val="af6"/>
        <w:numPr>
          <w:ilvl w:val="0"/>
          <w:numId w:val="198"/>
        </w:numPr>
        <w:tabs>
          <w:tab w:val="left" w:pos="851"/>
        </w:tabs>
        <w:snapToGrid w:val="0"/>
        <w:contextualSpacing/>
      </w:pPr>
      <w:r w:rsidRPr="00765F6E">
        <w:rPr>
          <w:rFonts w:hint="eastAsia"/>
        </w:rPr>
        <w:t>公跨铁地点、隧道洞口以及车站咽喉区等重点监视处所，选择具有昼夜监视功能的摄像机。</w:t>
      </w:r>
    </w:p>
    <w:p w14:paraId="7D131E1F" w14:textId="77777777" w:rsidR="00737EB2" w:rsidRPr="00765F6E" w:rsidRDefault="00737EB2" w:rsidP="009D0776">
      <w:pPr>
        <w:pStyle w:val="22"/>
      </w:pPr>
      <w:bookmarkStart w:id="2274" w:name="_Toc153291880"/>
      <w:bookmarkStart w:id="2275" w:name="_Toc99792445"/>
      <w:r w:rsidRPr="00765F6E">
        <w:rPr>
          <w:rFonts w:hint="eastAsia"/>
        </w:rPr>
        <w:t>视频采集点宜设置在下列处所：</w:t>
      </w:r>
      <w:bookmarkEnd w:id="2274"/>
      <w:bookmarkEnd w:id="2275"/>
    </w:p>
    <w:p w14:paraId="61779042" w14:textId="77777777" w:rsidR="00737EB2" w:rsidRPr="00765F6E" w:rsidRDefault="00737EB2" w:rsidP="003334F3">
      <w:pPr>
        <w:pStyle w:val="af6"/>
        <w:numPr>
          <w:ilvl w:val="0"/>
          <w:numId w:val="199"/>
        </w:numPr>
        <w:tabs>
          <w:tab w:val="left" w:pos="851"/>
        </w:tabs>
        <w:snapToGrid w:val="0"/>
        <w:contextualSpacing/>
      </w:pPr>
      <w:r w:rsidRPr="00765F6E">
        <w:rPr>
          <w:rFonts w:hint="eastAsia"/>
        </w:rPr>
        <w:t>车站站厅、站台、进出站通道、换乘通道、自动扶梯、垂直电梯、安检区域等公共区域；</w:t>
      </w:r>
    </w:p>
    <w:p w14:paraId="42E61DB3" w14:textId="77777777" w:rsidR="00737EB2" w:rsidRPr="00765F6E" w:rsidRDefault="00737EB2" w:rsidP="003334F3">
      <w:pPr>
        <w:pStyle w:val="af6"/>
        <w:numPr>
          <w:ilvl w:val="0"/>
          <w:numId w:val="199"/>
        </w:numPr>
        <w:tabs>
          <w:tab w:val="left" w:pos="851"/>
        </w:tabs>
        <w:snapToGrid w:val="0"/>
        <w:contextualSpacing/>
      </w:pPr>
      <w:r w:rsidRPr="00765F6E">
        <w:rPr>
          <w:rFonts w:hint="eastAsia"/>
        </w:rPr>
        <w:t>车控室、票务室及售票区域；</w:t>
      </w:r>
    </w:p>
    <w:p w14:paraId="110E412F" w14:textId="77777777" w:rsidR="00737EB2" w:rsidRPr="00765F6E" w:rsidRDefault="00737EB2" w:rsidP="003334F3">
      <w:pPr>
        <w:pStyle w:val="af6"/>
        <w:numPr>
          <w:ilvl w:val="0"/>
          <w:numId w:val="199"/>
        </w:numPr>
        <w:tabs>
          <w:tab w:val="left" w:pos="851"/>
        </w:tabs>
        <w:snapToGrid w:val="0"/>
        <w:contextualSpacing/>
      </w:pPr>
      <w:r w:rsidRPr="00765F6E">
        <w:rPr>
          <w:rFonts w:hint="eastAsia"/>
        </w:rPr>
        <w:t>设备机房、公跨铁地点、隧道洞口、场段等需要监控的区域。</w:t>
      </w:r>
    </w:p>
    <w:p w14:paraId="6AE763CA" w14:textId="77777777" w:rsidR="00737EB2" w:rsidRPr="00765F6E" w:rsidRDefault="00737EB2" w:rsidP="009D0776">
      <w:pPr>
        <w:pStyle w:val="22"/>
      </w:pPr>
      <w:bookmarkStart w:id="2276" w:name="_Toc153291881"/>
      <w:bookmarkStart w:id="2277" w:name="_Toc99792446"/>
      <w:r w:rsidRPr="00765F6E">
        <w:rPr>
          <w:rFonts w:hint="eastAsia"/>
        </w:rPr>
        <w:t>监控终端可根据需要为调度、车站值班、旅客服务、设备维管等岗位设置。</w:t>
      </w:r>
      <w:bookmarkEnd w:id="2276"/>
      <w:bookmarkEnd w:id="2277"/>
    </w:p>
    <w:p w14:paraId="49EC33AB" w14:textId="77777777" w:rsidR="00737EB2" w:rsidRPr="00765F6E" w:rsidRDefault="00737EB2" w:rsidP="009D0776">
      <w:pPr>
        <w:pStyle w:val="22"/>
      </w:pPr>
      <w:bookmarkStart w:id="2278" w:name="_Toc99792447"/>
      <w:bookmarkStart w:id="2279" w:name="_Toc153291882"/>
      <w:r w:rsidRPr="00765F6E">
        <w:rPr>
          <w:rFonts w:hint="eastAsia"/>
        </w:rPr>
        <w:t>综合视频监控系统宜设置与公共安全视频监控系统的接口，可预留与干线铁路、城际铁路、城市轨道交通相关系统的接口。</w:t>
      </w:r>
      <w:bookmarkEnd w:id="2278"/>
      <w:bookmarkEnd w:id="2279"/>
    </w:p>
    <w:p w14:paraId="0587078F" w14:textId="77777777" w:rsidR="00737EB2" w:rsidRPr="00765F6E" w:rsidRDefault="00737EB2" w:rsidP="009D0776">
      <w:pPr>
        <w:pStyle w:val="22"/>
      </w:pPr>
      <w:bookmarkStart w:id="2280" w:name="_Toc153291883"/>
      <w:bookmarkStart w:id="2281" w:name="_Toc99792449"/>
      <w:r w:rsidRPr="00765F6E">
        <w:rPr>
          <w:rFonts w:hint="eastAsia"/>
        </w:rPr>
        <w:t>综合视频系统与有关系统联动采用前端接入方式时，响应时间不应大于500ms。</w:t>
      </w:r>
      <w:bookmarkEnd w:id="2280"/>
      <w:bookmarkEnd w:id="2281"/>
    </w:p>
    <w:p w14:paraId="2839A3A9" w14:textId="77777777" w:rsidR="00737EB2" w:rsidRPr="00765F6E" w:rsidRDefault="00737EB2" w:rsidP="00737EB2">
      <w:pPr>
        <w:pStyle w:val="affe"/>
        <w:spacing w:before="156" w:after="156"/>
      </w:pPr>
      <w:bookmarkStart w:id="2282" w:name="_Toc153291884"/>
      <w:bookmarkStart w:id="2283" w:name="_Toc99792450"/>
      <w:bookmarkStart w:id="2284" w:name="_Toc153210934"/>
      <w:bookmarkStart w:id="2285" w:name="_Toc167895832"/>
      <w:bookmarkStart w:id="2286" w:name="_Toc174538746"/>
      <w:bookmarkStart w:id="2287" w:name="_Toc182476495"/>
      <w:r w:rsidRPr="00765F6E">
        <w:rPr>
          <w:rFonts w:hint="eastAsia"/>
        </w:rPr>
        <w:t>时钟同步及时间同步系统</w:t>
      </w:r>
      <w:bookmarkEnd w:id="2282"/>
      <w:bookmarkEnd w:id="2283"/>
      <w:bookmarkEnd w:id="2284"/>
      <w:bookmarkEnd w:id="2285"/>
      <w:bookmarkEnd w:id="2286"/>
      <w:bookmarkEnd w:id="2287"/>
    </w:p>
    <w:p w14:paraId="46485267" w14:textId="77777777" w:rsidR="00737EB2" w:rsidRPr="00765F6E" w:rsidRDefault="00737EB2" w:rsidP="009D0776">
      <w:pPr>
        <w:pStyle w:val="22"/>
      </w:pPr>
      <w:bookmarkStart w:id="2288" w:name="_Toc153291885"/>
      <w:bookmarkStart w:id="2289" w:name="_Toc99792451"/>
      <w:r w:rsidRPr="00765F6E">
        <w:rPr>
          <w:rFonts w:hint="eastAsia"/>
        </w:rPr>
        <w:t>时钟同步系统应为传输、电话、移动通信等系统提供基准频率同步信号。</w:t>
      </w:r>
      <w:bookmarkEnd w:id="2288"/>
      <w:bookmarkEnd w:id="2289"/>
    </w:p>
    <w:p w14:paraId="5F8E023F" w14:textId="77777777" w:rsidR="00737EB2" w:rsidRPr="00765F6E" w:rsidRDefault="00737EB2" w:rsidP="009D0776">
      <w:pPr>
        <w:pStyle w:val="22"/>
      </w:pPr>
      <w:bookmarkStart w:id="2290" w:name="_Toc153291886"/>
      <w:bookmarkStart w:id="2291" w:name="_Toc99792452"/>
      <w:r w:rsidRPr="00765F6E">
        <w:rPr>
          <w:rFonts w:hint="eastAsia"/>
        </w:rPr>
        <w:t>时钟同步系统应包括基准时钟、大楼综合定时供给设备（BITS）及时钟同步信息传输链路构成。系统采用主从同步的方式，采用传输系统链路逐级传送。</w:t>
      </w:r>
      <w:bookmarkEnd w:id="2290"/>
      <w:bookmarkEnd w:id="2291"/>
    </w:p>
    <w:p w14:paraId="65F91A01" w14:textId="77777777" w:rsidR="00737EB2" w:rsidRPr="00765F6E" w:rsidRDefault="00737EB2" w:rsidP="009D0776">
      <w:pPr>
        <w:pStyle w:val="22"/>
      </w:pPr>
      <w:bookmarkStart w:id="2292" w:name="_Toc99792453"/>
      <w:bookmarkStart w:id="2293" w:name="_Toc153291887"/>
      <w:r w:rsidRPr="00765F6E">
        <w:rPr>
          <w:rFonts w:hint="eastAsia"/>
        </w:rPr>
        <w:t>时钟同步系统的功能、性能应符合</w:t>
      </w:r>
      <w:r w:rsidRPr="00765F6E">
        <w:t>YD/T</w:t>
      </w:r>
      <w:r>
        <w:t xml:space="preserve"> </w:t>
      </w:r>
      <w:r w:rsidRPr="00765F6E">
        <w:t>5089、YD/T</w:t>
      </w:r>
      <w:r>
        <w:t xml:space="preserve"> </w:t>
      </w:r>
      <w:r w:rsidRPr="00765F6E">
        <w:t>1012</w:t>
      </w:r>
      <w:r w:rsidRPr="00765F6E">
        <w:rPr>
          <w:rFonts w:hint="eastAsia"/>
        </w:rPr>
        <w:t>等规定。</w:t>
      </w:r>
      <w:bookmarkEnd w:id="2292"/>
      <w:bookmarkEnd w:id="2293"/>
    </w:p>
    <w:p w14:paraId="20678084" w14:textId="77777777" w:rsidR="00737EB2" w:rsidRPr="00765F6E" w:rsidRDefault="00737EB2" w:rsidP="009D0776">
      <w:pPr>
        <w:pStyle w:val="22"/>
      </w:pPr>
      <w:bookmarkStart w:id="2294" w:name="_Toc99792454"/>
      <w:bookmarkStart w:id="2295" w:name="_Toc153291888"/>
      <w:r w:rsidRPr="00765F6E">
        <w:rPr>
          <w:rFonts w:hint="eastAsia"/>
        </w:rPr>
        <w:t>时间同步系统应为市域铁路通信系统、信息系统以及其他相关专业的业务系统提供统一的标准时间信号。</w:t>
      </w:r>
      <w:bookmarkEnd w:id="2294"/>
      <w:bookmarkEnd w:id="2295"/>
    </w:p>
    <w:p w14:paraId="3DBA0DDD" w14:textId="40E68E65" w:rsidR="00737EB2" w:rsidRPr="00765F6E" w:rsidRDefault="004A2852" w:rsidP="009D0776">
      <w:pPr>
        <w:pStyle w:val="22"/>
      </w:pPr>
      <w:bookmarkStart w:id="2296" w:name="_Toc153291889"/>
      <w:bookmarkStart w:id="2297" w:name="_Toc99792455"/>
      <w:r w:rsidRPr="00BF0BA3">
        <w:rPr>
          <w:rFonts w:hint="eastAsia"/>
        </w:rPr>
        <w:t>时间同步系统应按二级组网，由中心母钟（一级母钟）、车站（场）母钟（二级母钟）、时间显示单元（子钟）组成，采用主从同步方式</w:t>
      </w:r>
      <w:r w:rsidR="00737EB2" w:rsidRPr="00765F6E">
        <w:rPr>
          <w:rFonts w:hint="eastAsia"/>
        </w:rPr>
        <w:t>。</w:t>
      </w:r>
      <w:bookmarkEnd w:id="2296"/>
      <w:bookmarkEnd w:id="2297"/>
    </w:p>
    <w:p w14:paraId="25B29CD2" w14:textId="77777777" w:rsidR="00737EB2" w:rsidRPr="00765F6E" w:rsidRDefault="00737EB2" w:rsidP="009D0776">
      <w:pPr>
        <w:pStyle w:val="22"/>
      </w:pPr>
      <w:bookmarkStart w:id="2298" w:name="_Toc153291890"/>
      <w:bookmarkStart w:id="2299" w:name="_Toc99792456"/>
      <w:r w:rsidRPr="00765F6E">
        <w:rPr>
          <w:rFonts w:hint="eastAsia"/>
        </w:rPr>
        <w:t>时间同步系统设备配置应符合下列规定：</w:t>
      </w:r>
      <w:bookmarkEnd w:id="2298"/>
      <w:bookmarkEnd w:id="2299"/>
    </w:p>
    <w:p w14:paraId="5036ED58" w14:textId="77777777" w:rsidR="00737EB2" w:rsidRPr="00765F6E" w:rsidRDefault="00737EB2" w:rsidP="003334F3">
      <w:pPr>
        <w:pStyle w:val="af6"/>
        <w:numPr>
          <w:ilvl w:val="0"/>
          <w:numId w:val="200"/>
        </w:numPr>
        <w:tabs>
          <w:tab w:val="left" w:pos="851"/>
        </w:tabs>
        <w:snapToGrid w:val="0"/>
        <w:contextualSpacing/>
      </w:pPr>
      <w:r w:rsidRPr="00765F6E">
        <w:rPr>
          <w:rFonts w:hint="eastAsia"/>
        </w:rPr>
        <w:t>运营控制中心时间同步设备包括卫星接收设备、母钟设备、时间显示设备、网管设备等；</w:t>
      </w:r>
    </w:p>
    <w:p w14:paraId="663C26A1" w14:textId="77777777" w:rsidR="00737EB2" w:rsidRPr="00765F6E" w:rsidRDefault="00737EB2" w:rsidP="003334F3">
      <w:pPr>
        <w:pStyle w:val="af6"/>
        <w:numPr>
          <w:ilvl w:val="0"/>
          <w:numId w:val="200"/>
        </w:numPr>
        <w:tabs>
          <w:tab w:val="left" w:pos="851"/>
        </w:tabs>
        <w:snapToGrid w:val="0"/>
        <w:contextualSpacing/>
      </w:pPr>
      <w:r w:rsidRPr="00765F6E">
        <w:rPr>
          <w:rFonts w:hint="eastAsia"/>
        </w:rPr>
        <w:t>车站时间同步设备包括母钟设备、时间显示设备、网管设备等。</w:t>
      </w:r>
    </w:p>
    <w:p w14:paraId="2CA2CA47" w14:textId="77777777" w:rsidR="00737EB2" w:rsidRPr="00765F6E" w:rsidRDefault="00737EB2" w:rsidP="00737EB2">
      <w:pPr>
        <w:pStyle w:val="affe"/>
        <w:spacing w:before="156" w:after="156"/>
      </w:pPr>
      <w:bookmarkStart w:id="2300" w:name="_Toc153210935"/>
      <w:bookmarkStart w:id="2301" w:name="_Toc99792457"/>
      <w:bookmarkStart w:id="2302" w:name="_Toc153291891"/>
      <w:bookmarkStart w:id="2303" w:name="_Toc167895833"/>
      <w:bookmarkStart w:id="2304" w:name="_Toc174538747"/>
      <w:bookmarkStart w:id="2305" w:name="_Toc182476496"/>
      <w:r w:rsidRPr="00765F6E">
        <w:rPr>
          <w:rFonts w:hint="eastAsia"/>
        </w:rPr>
        <w:t>电源及接地系统</w:t>
      </w:r>
      <w:bookmarkEnd w:id="2300"/>
      <w:bookmarkEnd w:id="2301"/>
      <w:bookmarkEnd w:id="2302"/>
      <w:bookmarkEnd w:id="2303"/>
      <w:bookmarkEnd w:id="2304"/>
      <w:bookmarkEnd w:id="2305"/>
    </w:p>
    <w:p w14:paraId="7C36CCD2" w14:textId="77777777" w:rsidR="00737EB2" w:rsidRPr="00765F6E" w:rsidRDefault="00737EB2" w:rsidP="009D0776">
      <w:pPr>
        <w:pStyle w:val="22"/>
      </w:pPr>
      <w:bookmarkStart w:id="2306" w:name="_Toc99792458"/>
      <w:bookmarkStart w:id="2307" w:name="_Toc153291892"/>
      <w:r w:rsidRPr="00765F6E">
        <w:rPr>
          <w:rFonts w:hint="eastAsia"/>
        </w:rPr>
        <w:t>通信电源系统可按独立的电源设备设置，也可纳入综合电源系统，应具有集中监控管理功能，应保证对通信设备不间断、无瞬变地供电。</w:t>
      </w:r>
      <w:bookmarkEnd w:id="2306"/>
      <w:bookmarkEnd w:id="2307"/>
    </w:p>
    <w:p w14:paraId="5D5C9BFC" w14:textId="77777777" w:rsidR="00737EB2" w:rsidRPr="00765F6E" w:rsidRDefault="00737EB2" w:rsidP="009D0776">
      <w:pPr>
        <w:pStyle w:val="22"/>
      </w:pPr>
      <w:bookmarkStart w:id="2308" w:name="_Toc153291893"/>
      <w:bookmarkStart w:id="2309" w:name="_Toc99792459"/>
      <w:r w:rsidRPr="00765F6E">
        <w:rPr>
          <w:rFonts w:hint="eastAsia"/>
        </w:rPr>
        <w:t>通信设备应按一级负荷供电。</w:t>
      </w:r>
      <w:bookmarkEnd w:id="2308"/>
      <w:bookmarkEnd w:id="2309"/>
    </w:p>
    <w:p w14:paraId="44D8EA96" w14:textId="77777777" w:rsidR="00737EB2" w:rsidRPr="00765F6E" w:rsidRDefault="00737EB2" w:rsidP="009D0776">
      <w:pPr>
        <w:pStyle w:val="22"/>
      </w:pPr>
      <w:bookmarkStart w:id="2310" w:name="_Toc99792460"/>
      <w:bookmarkStart w:id="2311" w:name="_Toc153291894"/>
      <w:r w:rsidRPr="00765F6E">
        <w:rPr>
          <w:rFonts w:hint="eastAsia"/>
        </w:rPr>
        <w:t>对要求直流供电的通信设备，宜采用高频开关电源集中方式供电，并符合下列规定：</w:t>
      </w:r>
      <w:bookmarkEnd w:id="2310"/>
      <w:bookmarkEnd w:id="2311"/>
    </w:p>
    <w:p w14:paraId="50AC66BD" w14:textId="77777777" w:rsidR="00737EB2" w:rsidRPr="00765F6E" w:rsidRDefault="00737EB2" w:rsidP="003334F3">
      <w:pPr>
        <w:pStyle w:val="af6"/>
        <w:numPr>
          <w:ilvl w:val="0"/>
          <w:numId w:val="201"/>
        </w:numPr>
        <w:tabs>
          <w:tab w:val="left" w:pos="851"/>
        </w:tabs>
        <w:snapToGrid w:val="0"/>
        <w:contextualSpacing/>
      </w:pPr>
      <w:r w:rsidRPr="00765F6E">
        <w:rPr>
          <w:rFonts w:hint="eastAsia"/>
        </w:rPr>
        <w:t>直流电源基础电压应为-48V，其他种类的直流电源电压应通过直流变换器供电；</w:t>
      </w:r>
    </w:p>
    <w:p w14:paraId="00EE503C" w14:textId="77777777" w:rsidR="00737EB2" w:rsidRPr="00765F6E" w:rsidRDefault="00737EB2" w:rsidP="003334F3">
      <w:pPr>
        <w:pStyle w:val="af6"/>
        <w:numPr>
          <w:ilvl w:val="0"/>
          <w:numId w:val="201"/>
        </w:numPr>
        <w:tabs>
          <w:tab w:val="left" w:pos="851"/>
        </w:tabs>
        <w:snapToGrid w:val="0"/>
        <w:contextualSpacing/>
      </w:pPr>
      <w:r w:rsidRPr="00765F6E">
        <w:rPr>
          <w:rFonts w:hint="eastAsia"/>
        </w:rPr>
        <w:t>高频开关电源设备整流模块采用N+1备份。直流电源蓄电池容量应按近期负荷配置，并应保证连续供电不少于2h，宜设置两组并联，每组容量应为总容量的1/2。</w:t>
      </w:r>
    </w:p>
    <w:p w14:paraId="5188ACAB" w14:textId="77777777" w:rsidR="00737EB2" w:rsidRPr="00765F6E" w:rsidRDefault="00737EB2" w:rsidP="009D0776">
      <w:pPr>
        <w:pStyle w:val="22"/>
      </w:pPr>
      <w:bookmarkStart w:id="2312" w:name="_Toc99792461"/>
      <w:bookmarkStart w:id="2313" w:name="_Toc153291895"/>
      <w:r w:rsidRPr="00765F6E">
        <w:rPr>
          <w:rFonts w:hint="eastAsia"/>
        </w:rPr>
        <w:t>对要求交流供电的通信设备，宜采用交流(UPS)方式集中供电，并符合下列规定：</w:t>
      </w:r>
      <w:bookmarkEnd w:id="2312"/>
      <w:bookmarkEnd w:id="2313"/>
    </w:p>
    <w:p w14:paraId="0354EFAC" w14:textId="77777777" w:rsidR="00737EB2" w:rsidRPr="00765F6E" w:rsidRDefault="00737EB2" w:rsidP="003334F3">
      <w:pPr>
        <w:pStyle w:val="af6"/>
        <w:numPr>
          <w:ilvl w:val="0"/>
          <w:numId w:val="202"/>
        </w:numPr>
        <w:tabs>
          <w:tab w:val="left" w:pos="851"/>
        </w:tabs>
        <w:snapToGrid w:val="0"/>
        <w:contextualSpacing/>
      </w:pPr>
      <w:r w:rsidRPr="00765F6E">
        <w:rPr>
          <w:rFonts w:hint="eastAsia"/>
        </w:rPr>
        <w:t>交流不间断电源应采用在线式；</w:t>
      </w:r>
    </w:p>
    <w:p w14:paraId="6C7B465D" w14:textId="77777777" w:rsidR="00737EB2" w:rsidRPr="00765F6E" w:rsidRDefault="00737EB2" w:rsidP="003334F3">
      <w:pPr>
        <w:pStyle w:val="af6"/>
        <w:numPr>
          <w:ilvl w:val="0"/>
          <w:numId w:val="202"/>
        </w:numPr>
        <w:tabs>
          <w:tab w:val="left" w:pos="851"/>
        </w:tabs>
        <w:snapToGrid w:val="0"/>
        <w:contextualSpacing/>
      </w:pPr>
      <w:r w:rsidRPr="00765F6E">
        <w:rPr>
          <w:rFonts w:hint="eastAsia"/>
        </w:rPr>
        <w:t>交流不间断电源蓄电池按1组设置，交流电源蓄电池容量应按近期负荷配置，并应保证连续供电不少于2h。</w:t>
      </w:r>
    </w:p>
    <w:p w14:paraId="5047566C" w14:textId="77777777" w:rsidR="00737EB2" w:rsidRPr="00765F6E" w:rsidRDefault="00737EB2" w:rsidP="009D0776">
      <w:pPr>
        <w:pStyle w:val="22"/>
      </w:pPr>
      <w:bookmarkStart w:id="2314" w:name="_Toc99792462"/>
      <w:bookmarkStart w:id="2315" w:name="_Toc153291896"/>
      <w:r w:rsidRPr="00765F6E">
        <w:rPr>
          <w:rFonts w:hint="eastAsia"/>
        </w:rPr>
        <w:t>牵引变电所、配电所等处所的通信设备可利用其供电条件。</w:t>
      </w:r>
      <w:bookmarkEnd w:id="2314"/>
      <w:bookmarkEnd w:id="2315"/>
    </w:p>
    <w:p w14:paraId="5BCB48B8" w14:textId="77777777" w:rsidR="00737EB2" w:rsidRPr="00765F6E" w:rsidRDefault="00737EB2" w:rsidP="009D0776">
      <w:pPr>
        <w:pStyle w:val="22"/>
      </w:pPr>
      <w:bookmarkStart w:id="2316" w:name="_Toc99792463"/>
      <w:bookmarkStart w:id="2317" w:name="_Toc153291897"/>
      <w:r w:rsidRPr="00765F6E">
        <w:rPr>
          <w:rFonts w:hint="eastAsia"/>
        </w:rPr>
        <w:t>通信设备的接地系统设计，应满足人身安全要求和通信设备的正常运行。</w:t>
      </w:r>
      <w:bookmarkEnd w:id="2316"/>
      <w:bookmarkEnd w:id="2317"/>
    </w:p>
    <w:p w14:paraId="20B1B2BB" w14:textId="77777777" w:rsidR="00737EB2" w:rsidRPr="00765F6E" w:rsidRDefault="00737EB2" w:rsidP="009D0776">
      <w:pPr>
        <w:pStyle w:val="22"/>
      </w:pPr>
      <w:bookmarkStart w:id="2318" w:name="_Toc153291898"/>
      <w:bookmarkStart w:id="2319" w:name="_Toc99792464"/>
      <w:r w:rsidRPr="00765F6E">
        <w:rPr>
          <w:rFonts w:hint="eastAsia"/>
        </w:rPr>
        <w:t>通信设备宜采用综合接地，接地电阻不应大于1Ω。车辆基地也可采用分设接地方式，按分设接地方式设置的不同接地体间的距离均应大于20m。</w:t>
      </w:r>
      <w:bookmarkEnd w:id="2318"/>
      <w:bookmarkEnd w:id="2319"/>
    </w:p>
    <w:p w14:paraId="5C227B63" w14:textId="77777777" w:rsidR="00737EB2" w:rsidRPr="00765F6E" w:rsidRDefault="00737EB2" w:rsidP="00737EB2">
      <w:pPr>
        <w:pStyle w:val="affe"/>
        <w:spacing w:before="156" w:after="156"/>
      </w:pPr>
      <w:bookmarkStart w:id="2320" w:name="_Toc153210936"/>
      <w:bookmarkStart w:id="2321" w:name="_Toc153291899"/>
      <w:bookmarkStart w:id="2322" w:name="_Toc99792465"/>
      <w:bookmarkStart w:id="2323" w:name="_Toc167895834"/>
      <w:bookmarkStart w:id="2324" w:name="_Toc174538748"/>
      <w:bookmarkStart w:id="2325" w:name="_Toc182476497"/>
      <w:r w:rsidRPr="00765F6E">
        <w:rPr>
          <w:rFonts w:hint="eastAsia"/>
        </w:rPr>
        <w:t>电源及设备环境监控系统</w:t>
      </w:r>
      <w:bookmarkEnd w:id="2320"/>
      <w:bookmarkEnd w:id="2321"/>
      <w:bookmarkEnd w:id="2322"/>
      <w:bookmarkEnd w:id="2323"/>
      <w:bookmarkEnd w:id="2324"/>
      <w:bookmarkEnd w:id="2325"/>
    </w:p>
    <w:p w14:paraId="31E45B6F" w14:textId="77777777" w:rsidR="00737EB2" w:rsidRPr="00765F6E" w:rsidRDefault="00737EB2" w:rsidP="009D0776">
      <w:pPr>
        <w:pStyle w:val="22"/>
      </w:pPr>
      <w:bookmarkStart w:id="2326" w:name="_Toc99792466"/>
      <w:bookmarkStart w:id="2327" w:name="_Toc153291900"/>
      <w:r w:rsidRPr="00765F6E">
        <w:rPr>
          <w:rFonts w:hint="eastAsia"/>
        </w:rPr>
        <w:t>电源及设备房屋环境监控系统的接入不应改变监控设备的功能及性能、影响被监控设备的正常运行。</w:t>
      </w:r>
      <w:bookmarkEnd w:id="2326"/>
      <w:bookmarkEnd w:id="2327"/>
    </w:p>
    <w:p w14:paraId="20947C54" w14:textId="77777777" w:rsidR="00737EB2" w:rsidRPr="00765F6E" w:rsidRDefault="00737EB2" w:rsidP="009D0776">
      <w:pPr>
        <w:pStyle w:val="22"/>
      </w:pPr>
      <w:bookmarkStart w:id="2328" w:name="_Toc99792467"/>
      <w:bookmarkStart w:id="2329" w:name="_Toc153291901"/>
      <w:r w:rsidRPr="00765F6E">
        <w:rPr>
          <w:rFonts w:hint="eastAsia"/>
        </w:rPr>
        <w:t>监控系统设计应符合维护管理要求。</w:t>
      </w:r>
      <w:bookmarkEnd w:id="2328"/>
      <w:bookmarkEnd w:id="2329"/>
    </w:p>
    <w:p w14:paraId="7B727588" w14:textId="77777777" w:rsidR="00737EB2" w:rsidRPr="00765F6E" w:rsidRDefault="00737EB2" w:rsidP="009D0776">
      <w:pPr>
        <w:pStyle w:val="22"/>
      </w:pPr>
      <w:bookmarkStart w:id="2330" w:name="_Toc153291902"/>
      <w:bookmarkStart w:id="2331" w:name="_Toc99792468"/>
      <w:r w:rsidRPr="00765F6E">
        <w:rPr>
          <w:rFonts w:hint="eastAsia"/>
        </w:rPr>
        <w:t>通信机房宜设置电源及环境监控系统，对通信机房及通信电源机房或弱电综合机房及弱电综合电源机房等进行环境监控，监控内容应符合</w:t>
      </w:r>
      <w:r w:rsidRPr="00765F6E">
        <w:t>TB 10006</w:t>
      </w:r>
      <w:r w:rsidRPr="00765F6E">
        <w:rPr>
          <w:rFonts w:hint="eastAsia"/>
        </w:rPr>
        <w:t>等有关技术标准的规定，可与其他相关系统合</w:t>
      </w:r>
      <w:r w:rsidRPr="00765F6E">
        <w:rPr>
          <w:rFonts w:hint="eastAsia"/>
        </w:rPr>
        <w:lastRenderedPageBreak/>
        <w:t>并设置。</w:t>
      </w:r>
      <w:bookmarkEnd w:id="2330"/>
      <w:bookmarkEnd w:id="2331"/>
    </w:p>
    <w:p w14:paraId="7113EC7F" w14:textId="77777777" w:rsidR="00737EB2" w:rsidRPr="00765F6E" w:rsidRDefault="00737EB2" w:rsidP="009D0776">
      <w:pPr>
        <w:pStyle w:val="22"/>
      </w:pPr>
      <w:bookmarkStart w:id="2332" w:name="_Toc153291903"/>
      <w:bookmarkStart w:id="2333" w:name="_Toc99792469"/>
      <w:r w:rsidRPr="00765F6E">
        <w:rPr>
          <w:rFonts w:hint="eastAsia"/>
        </w:rPr>
        <w:t>监控系统应设置监控中心设备、监控站设备、监控终端等。</w:t>
      </w:r>
      <w:bookmarkEnd w:id="2332"/>
      <w:bookmarkEnd w:id="2333"/>
    </w:p>
    <w:p w14:paraId="2464BB5A" w14:textId="77777777" w:rsidR="00737EB2" w:rsidRPr="00765F6E" w:rsidRDefault="00737EB2" w:rsidP="009D0776">
      <w:pPr>
        <w:pStyle w:val="22"/>
      </w:pPr>
      <w:bookmarkStart w:id="2334" w:name="_Toc153291904"/>
      <w:bookmarkStart w:id="2335" w:name="_Toc99792470"/>
      <w:r w:rsidRPr="00765F6E">
        <w:rPr>
          <w:rFonts w:hint="eastAsia"/>
        </w:rPr>
        <w:t>监控中心应设置时同步接口，采用NTP协议。监控站应与监控中心时间同步。</w:t>
      </w:r>
      <w:bookmarkEnd w:id="2334"/>
      <w:bookmarkEnd w:id="2335"/>
    </w:p>
    <w:p w14:paraId="47741EDF" w14:textId="77777777" w:rsidR="00737EB2" w:rsidRPr="00765F6E" w:rsidRDefault="00737EB2" w:rsidP="009D0776">
      <w:pPr>
        <w:pStyle w:val="22"/>
      </w:pPr>
      <w:bookmarkStart w:id="2336" w:name="_Toc99792471"/>
      <w:bookmarkStart w:id="2337" w:name="_Toc153291905"/>
      <w:r w:rsidRPr="00765F6E">
        <w:rPr>
          <w:rFonts w:hint="eastAsia"/>
        </w:rPr>
        <w:t>监控系统应具备监视系统设备的工作状态，记录、存储告警数据、操作数据和监测数据，监控站与监控中心间通信终端是能连续保存数据等功能。</w:t>
      </w:r>
      <w:bookmarkEnd w:id="2336"/>
      <w:bookmarkEnd w:id="2337"/>
    </w:p>
    <w:p w14:paraId="4CD12D2C" w14:textId="77777777" w:rsidR="00737EB2" w:rsidRPr="00765F6E" w:rsidRDefault="00737EB2" w:rsidP="009D0776">
      <w:pPr>
        <w:pStyle w:val="22"/>
      </w:pPr>
      <w:bookmarkStart w:id="2338" w:name="_Toc99792472"/>
      <w:bookmarkStart w:id="2339" w:name="_Toc153291906"/>
      <w:r w:rsidRPr="00765F6E">
        <w:rPr>
          <w:rFonts w:hint="eastAsia"/>
        </w:rPr>
        <w:t>从告警时间发生到监控中心显示告警信息的时间不应大于4s。</w:t>
      </w:r>
      <w:bookmarkEnd w:id="2338"/>
      <w:bookmarkEnd w:id="2339"/>
    </w:p>
    <w:p w14:paraId="0FBEDADC" w14:textId="77777777" w:rsidR="00737EB2" w:rsidRPr="00765F6E" w:rsidRDefault="00737EB2" w:rsidP="00737EB2">
      <w:pPr>
        <w:pStyle w:val="affe"/>
        <w:spacing w:before="156" w:after="156"/>
      </w:pPr>
      <w:bookmarkStart w:id="2340" w:name="_Toc153291907"/>
      <w:bookmarkStart w:id="2341" w:name="_Toc153210937"/>
      <w:bookmarkStart w:id="2342" w:name="_Toc167895835"/>
      <w:bookmarkStart w:id="2343" w:name="_Toc174538749"/>
      <w:bookmarkStart w:id="2344" w:name="_Toc182476498"/>
      <w:bookmarkStart w:id="2345" w:name="_Toc99792473"/>
      <w:r w:rsidRPr="00765F6E">
        <w:rPr>
          <w:rFonts w:hint="eastAsia"/>
        </w:rPr>
        <w:t>通信安全防护</w:t>
      </w:r>
      <w:bookmarkEnd w:id="2340"/>
      <w:bookmarkEnd w:id="2341"/>
      <w:bookmarkEnd w:id="2342"/>
      <w:bookmarkEnd w:id="2343"/>
      <w:bookmarkEnd w:id="2344"/>
    </w:p>
    <w:p w14:paraId="27DEF6A6" w14:textId="77777777" w:rsidR="00737EB2" w:rsidRPr="00765F6E" w:rsidRDefault="00737EB2" w:rsidP="009D0776">
      <w:pPr>
        <w:pStyle w:val="22"/>
      </w:pPr>
      <w:bookmarkStart w:id="2346" w:name="_Toc153291908"/>
      <w:r w:rsidRPr="00765F6E">
        <w:rPr>
          <w:rFonts w:hint="eastAsia"/>
        </w:rPr>
        <w:t>通信系统应按国家有关信息系统安全等级划分标准进行安全设计。</w:t>
      </w:r>
      <w:bookmarkEnd w:id="2346"/>
    </w:p>
    <w:p w14:paraId="2FA91825" w14:textId="77777777" w:rsidR="00737EB2" w:rsidRPr="00765F6E" w:rsidRDefault="00737EB2" w:rsidP="009D0776">
      <w:pPr>
        <w:pStyle w:val="22"/>
      </w:pPr>
      <w:bookmarkStart w:id="2347" w:name="_Toc153291909"/>
      <w:r w:rsidRPr="00765F6E">
        <w:rPr>
          <w:rFonts w:hint="eastAsia"/>
        </w:rPr>
        <w:t>通信系统安全设计应包括环境安全、数据安全、网络与系统安全。</w:t>
      </w:r>
      <w:bookmarkEnd w:id="2347"/>
    </w:p>
    <w:p w14:paraId="0510151E" w14:textId="77777777" w:rsidR="00737EB2" w:rsidRPr="00765F6E" w:rsidRDefault="00737EB2" w:rsidP="009D0776">
      <w:pPr>
        <w:pStyle w:val="22"/>
      </w:pPr>
      <w:bookmarkStart w:id="2348" w:name="_Toc153291910"/>
      <w:r w:rsidRPr="00765F6E">
        <w:rPr>
          <w:rFonts w:hint="eastAsia"/>
        </w:rPr>
        <w:t>通过网络边界安全、数据传输及存储安全、应用安全及异地数据备份等措施保障系统数据安全。</w:t>
      </w:r>
      <w:bookmarkEnd w:id="2348"/>
    </w:p>
    <w:p w14:paraId="5506D2EC" w14:textId="77777777" w:rsidR="00737EB2" w:rsidRPr="00765F6E" w:rsidRDefault="00737EB2" w:rsidP="00737EB2">
      <w:pPr>
        <w:pStyle w:val="affe"/>
        <w:spacing w:before="156" w:after="156"/>
      </w:pPr>
      <w:bookmarkStart w:id="2349" w:name="_Toc153291911"/>
      <w:bookmarkStart w:id="2350" w:name="_Toc153210938"/>
      <w:bookmarkStart w:id="2351" w:name="_Toc167895836"/>
      <w:bookmarkStart w:id="2352" w:name="_Toc174538750"/>
      <w:bookmarkStart w:id="2353" w:name="_Toc182476499"/>
      <w:r w:rsidRPr="00765F6E">
        <w:rPr>
          <w:rFonts w:hint="eastAsia"/>
        </w:rPr>
        <w:t>公安通信系统</w:t>
      </w:r>
      <w:bookmarkEnd w:id="2345"/>
      <w:bookmarkEnd w:id="2349"/>
      <w:bookmarkEnd w:id="2350"/>
      <w:bookmarkEnd w:id="2351"/>
      <w:bookmarkEnd w:id="2352"/>
      <w:bookmarkEnd w:id="2353"/>
    </w:p>
    <w:p w14:paraId="01D69C54" w14:textId="77777777" w:rsidR="00737EB2" w:rsidRPr="00765F6E" w:rsidRDefault="00737EB2" w:rsidP="009D0776">
      <w:pPr>
        <w:pStyle w:val="22"/>
      </w:pPr>
      <w:bookmarkStart w:id="2354" w:name="_Toc153291912"/>
      <w:bookmarkStart w:id="2355" w:name="_Toc99792474"/>
      <w:r w:rsidRPr="00765F6E">
        <w:rPr>
          <w:rFonts w:hint="eastAsia"/>
        </w:rPr>
        <w:t>公安通信系统宜由公安视频监视系统、公安/消防无线通信引入系统、公安数据网络、公安电源系统等组成，宜与专用通信系统共享设置。</w:t>
      </w:r>
      <w:bookmarkEnd w:id="2354"/>
      <w:bookmarkEnd w:id="2355"/>
    </w:p>
    <w:p w14:paraId="2137E7E8" w14:textId="77777777" w:rsidR="00737EB2" w:rsidRPr="00765F6E" w:rsidRDefault="00737EB2" w:rsidP="009D0776">
      <w:pPr>
        <w:pStyle w:val="22"/>
      </w:pPr>
      <w:bookmarkStart w:id="2356" w:name="_Toc99792475"/>
      <w:bookmarkStart w:id="2357" w:name="_Toc153291913"/>
      <w:r w:rsidRPr="00765F6E">
        <w:rPr>
          <w:rFonts w:hint="eastAsia"/>
        </w:rPr>
        <w:t>公安视频监视系统应满足公安部门对车站范围监视的需要，可在相关的公安分局、派出所及车站警务室进行监视。公安视频监视系统宜与综合视频监控系统合设。</w:t>
      </w:r>
      <w:bookmarkEnd w:id="2356"/>
      <w:bookmarkEnd w:id="2357"/>
    </w:p>
    <w:p w14:paraId="78C87B42" w14:textId="77777777" w:rsidR="00737EB2" w:rsidRPr="00765F6E" w:rsidRDefault="00737EB2" w:rsidP="009D0776">
      <w:pPr>
        <w:pStyle w:val="22"/>
      </w:pPr>
      <w:bookmarkStart w:id="2358" w:name="_Toc99792476"/>
      <w:bookmarkStart w:id="2359" w:name="_Toc153291914"/>
      <w:r w:rsidRPr="00765F6E">
        <w:rPr>
          <w:rFonts w:hint="eastAsia"/>
        </w:rPr>
        <w:t>公安/消防无线通信引入系统应覆盖市域铁路范围内地下车站及隧道空间。</w:t>
      </w:r>
      <w:bookmarkEnd w:id="2358"/>
      <w:bookmarkEnd w:id="2359"/>
    </w:p>
    <w:p w14:paraId="3E2D8ADD" w14:textId="77777777" w:rsidR="00737EB2" w:rsidRPr="00765F6E" w:rsidRDefault="00737EB2" w:rsidP="009D0776">
      <w:pPr>
        <w:pStyle w:val="22"/>
      </w:pPr>
      <w:bookmarkStart w:id="2360" w:name="_Toc99792477"/>
      <w:bookmarkStart w:id="2361" w:name="_Toc153291915"/>
      <w:r w:rsidRPr="00765F6E">
        <w:rPr>
          <w:rFonts w:hint="eastAsia"/>
        </w:rPr>
        <w:t>公安/消防无线通信引入系统应实现与既有城市公安/消防无线通信系统的兼容及互连互通。</w:t>
      </w:r>
      <w:bookmarkEnd w:id="2360"/>
      <w:bookmarkEnd w:id="2361"/>
    </w:p>
    <w:p w14:paraId="74350BBC" w14:textId="77777777" w:rsidR="00737EB2" w:rsidRPr="00765F6E" w:rsidRDefault="00737EB2" w:rsidP="009D0776">
      <w:pPr>
        <w:pStyle w:val="22"/>
      </w:pPr>
      <w:bookmarkStart w:id="2362" w:name="_Toc153291916"/>
      <w:bookmarkStart w:id="2363" w:name="_Toc99792478"/>
      <w:r w:rsidRPr="00765F6E">
        <w:rPr>
          <w:rFonts w:hint="eastAsia"/>
        </w:rPr>
        <w:t>公安数据网络应能满足相关公安分局、派出所及车站警务室间的数据传输需求，并可接入城市公安数据网络。</w:t>
      </w:r>
      <w:bookmarkEnd w:id="2362"/>
      <w:bookmarkEnd w:id="2363"/>
    </w:p>
    <w:p w14:paraId="32102821" w14:textId="77777777" w:rsidR="00737EB2" w:rsidRPr="00765F6E" w:rsidRDefault="00737EB2" w:rsidP="009D0776">
      <w:pPr>
        <w:pStyle w:val="22"/>
      </w:pPr>
      <w:bookmarkStart w:id="2364" w:name="_Toc153291917"/>
      <w:bookmarkStart w:id="2365" w:name="_Toc99792479"/>
      <w:r w:rsidRPr="00765F6E">
        <w:rPr>
          <w:rFonts w:hint="eastAsia"/>
        </w:rPr>
        <w:t>公安电源系统应满足公安视频监视系统、公安无线通信引入系统、公安数据网络等设备的供电需求，宜与专用通信电源系统综合设置。</w:t>
      </w:r>
      <w:bookmarkEnd w:id="2364"/>
      <w:bookmarkEnd w:id="2365"/>
    </w:p>
    <w:p w14:paraId="30E04525" w14:textId="77777777" w:rsidR="00737EB2" w:rsidRPr="00765F6E" w:rsidRDefault="00737EB2" w:rsidP="009D0776">
      <w:pPr>
        <w:pStyle w:val="22"/>
      </w:pPr>
      <w:bookmarkStart w:id="2366" w:name="_Toc153291918"/>
      <w:bookmarkStart w:id="2367" w:name="_Toc99792480"/>
      <w:r w:rsidRPr="00765F6E">
        <w:rPr>
          <w:rFonts w:hint="eastAsia"/>
        </w:rPr>
        <w:t>公安通信系统可利用专用通信传输系统提供数据传输通道。</w:t>
      </w:r>
      <w:bookmarkEnd w:id="2366"/>
      <w:bookmarkEnd w:id="2367"/>
    </w:p>
    <w:p w14:paraId="26C9570A" w14:textId="77777777" w:rsidR="00737EB2" w:rsidRPr="00765F6E" w:rsidRDefault="00737EB2" w:rsidP="00737EB2">
      <w:pPr>
        <w:pStyle w:val="affe"/>
        <w:spacing w:before="156" w:after="156"/>
      </w:pPr>
      <w:bookmarkStart w:id="2368" w:name="_Toc153210939"/>
      <w:bookmarkStart w:id="2369" w:name="_Toc153291919"/>
      <w:bookmarkStart w:id="2370" w:name="_Toc99792481"/>
      <w:bookmarkStart w:id="2371" w:name="_Toc167895837"/>
      <w:bookmarkStart w:id="2372" w:name="_Toc174538751"/>
      <w:bookmarkStart w:id="2373" w:name="_Toc182476500"/>
      <w:r w:rsidRPr="00765F6E">
        <w:rPr>
          <w:rFonts w:hint="eastAsia"/>
        </w:rPr>
        <w:t>民用通信引入系统</w:t>
      </w:r>
      <w:bookmarkEnd w:id="2368"/>
      <w:bookmarkEnd w:id="2369"/>
      <w:bookmarkEnd w:id="2370"/>
      <w:bookmarkEnd w:id="2371"/>
      <w:bookmarkEnd w:id="2372"/>
      <w:bookmarkEnd w:id="2373"/>
    </w:p>
    <w:p w14:paraId="151CCFC3" w14:textId="718415E9" w:rsidR="00737EB2" w:rsidRPr="00765F6E" w:rsidRDefault="00737EB2" w:rsidP="009D0776">
      <w:pPr>
        <w:pStyle w:val="22"/>
      </w:pPr>
      <w:bookmarkStart w:id="2374" w:name="_Toc99792482"/>
      <w:bookmarkStart w:id="2375" w:name="_Toc153291920"/>
      <w:r w:rsidRPr="00765F6E">
        <w:rPr>
          <w:rFonts w:hint="eastAsia"/>
        </w:rPr>
        <w:t>民用通信引入系统宜由民用传输系统、移动通信引入系统、民用电源系统</w:t>
      </w:r>
      <w:r w:rsidR="00D91F96">
        <w:rPr>
          <w:rFonts w:hint="eastAsia"/>
        </w:rPr>
        <w:t>、</w:t>
      </w:r>
      <w:r w:rsidR="00D91F96" w:rsidRPr="00453DBE">
        <w:rPr>
          <w:rFonts w:hint="eastAsia"/>
        </w:rPr>
        <w:t>集中监测告警</w:t>
      </w:r>
      <w:r w:rsidRPr="00765F6E">
        <w:rPr>
          <w:rFonts w:hint="eastAsia"/>
        </w:rPr>
        <w:t>等组成。</w:t>
      </w:r>
      <w:bookmarkEnd w:id="2374"/>
      <w:bookmarkEnd w:id="2375"/>
    </w:p>
    <w:p w14:paraId="0D5B1701" w14:textId="061D230D" w:rsidR="00737EB2" w:rsidRPr="00765F6E" w:rsidRDefault="00737EB2" w:rsidP="009D0776">
      <w:pPr>
        <w:pStyle w:val="22"/>
      </w:pPr>
      <w:bookmarkStart w:id="2376" w:name="_Toc153291921"/>
      <w:bookmarkStart w:id="2377" w:name="_Toc99792483"/>
      <w:r w:rsidRPr="00765F6E">
        <w:rPr>
          <w:rFonts w:hint="eastAsia"/>
        </w:rPr>
        <w:t>民用传输系统应为移动通信引入、</w:t>
      </w:r>
      <w:r w:rsidRPr="008F50FE">
        <w:rPr>
          <w:rFonts w:hint="eastAsia"/>
        </w:rPr>
        <w:t>集中监测告警系统</w:t>
      </w:r>
      <w:r w:rsidRPr="00765F6E">
        <w:rPr>
          <w:rFonts w:hint="eastAsia"/>
        </w:rPr>
        <w:t>提供传输通道。</w:t>
      </w:r>
      <w:bookmarkEnd w:id="2376"/>
      <w:bookmarkEnd w:id="2377"/>
    </w:p>
    <w:p w14:paraId="7A8E2673" w14:textId="77777777" w:rsidR="00737EB2" w:rsidRPr="00765F6E" w:rsidRDefault="00737EB2" w:rsidP="009D0776">
      <w:pPr>
        <w:pStyle w:val="22"/>
      </w:pPr>
      <w:bookmarkStart w:id="2378" w:name="_Toc99792484"/>
      <w:bookmarkStart w:id="2379" w:name="_Toc153291922"/>
      <w:r w:rsidRPr="00765F6E">
        <w:rPr>
          <w:rFonts w:hint="eastAsia"/>
        </w:rPr>
        <w:t>移动通信引入系统应为多种民用无线信号合路及分配网络，宜采用集中引入方式，引入的民用通信无线信号不应干扰专用移动通信系统、公安/消防无线通信系统的无线信号。</w:t>
      </w:r>
      <w:bookmarkEnd w:id="2378"/>
      <w:bookmarkEnd w:id="2379"/>
    </w:p>
    <w:p w14:paraId="3A66069C" w14:textId="734977B0" w:rsidR="00737EB2" w:rsidRPr="00765F6E" w:rsidRDefault="00726C68" w:rsidP="009D0776">
      <w:pPr>
        <w:pStyle w:val="22"/>
      </w:pPr>
      <w:bookmarkStart w:id="2380" w:name="_Toc153291923"/>
      <w:bookmarkStart w:id="2381" w:name="_Toc99792485"/>
      <w:r w:rsidRPr="00726C68">
        <w:rPr>
          <w:rFonts w:hint="eastAsia"/>
        </w:rPr>
        <w:t>民用电源系统应满足民用传输系统、移动通信引入系统、集中监测告警等设备的供电需求</w:t>
      </w:r>
      <w:r w:rsidR="00737EB2" w:rsidRPr="00765F6E">
        <w:rPr>
          <w:rFonts w:hint="eastAsia"/>
        </w:rPr>
        <w:t>。</w:t>
      </w:r>
      <w:bookmarkEnd w:id="2380"/>
      <w:bookmarkEnd w:id="2381"/>
    </w:p>
    <w:p w14:paraId="771859D2" w14:textId="77777777" w:rsidR="00737EB2" w:rsidRPr="00765F6E" w:rsidRDefault="00737EB2" w:rsidP="009D0776">
      <w:pPr>
        <w:pStyle w:val="22"/>
      </w:pPr>
      <w:bookmarkStart w:id="2382" w:name="_Toc153291924"/>
      <w:bookmarkStart w:id="2383" w:name="_Toc99792486"/>
      <w:r w:rsidRPr="00765F6E">
        <w:rPr>
          <w:rFonts w:hint="eastAsia"/>
        </w:rPr>
        <w:t>市域铁路应为民用通信系统预留站外光电缆引入到站内机房的条件，并应预留站内线缆和设备的布设条件。</w:t>
      </w:r>
      <w:bookmarkEnd w:id="2382"/>
      <w:bookmarkEnd w:id="2383"/>
    </w:p>
    <w:p w14:paraId="7C3AD49B" w14:textId="77777777" w:rsidR="00737EB2" w:rsidRPr="00765F6E" w:rsidRDefault="00737EB2" w:rsidP="00737EB2">
      <w:pPr>
        <w:pStyle w:val="affe"/>
        <w:spacing w:before="156" w:after="156"/>
      </w:pPr>
      <w:bookmarkStart w:id="2384" w:name="_Toc153210940"/>
      <w:bookmarkStart w:id="2385" w:name="_Toc153291925"/>
      <w:bookmarkStart w:id="2386" w:name="_Toc99792487"/>
      <w:bookmarkStart w:id="2387" w:name="_Toc167895838"/>
      <w:bookmarkStart w:id="2388" w:name="_Toc174538752"/>
      <w:bookmarkStart w:id="2389" w:name="_Toc182476501"/>
      <w:r w:rsidRPr="00765F6E">
        <w:rPr>
          <w:rFonts w:hint="eastAsia"/>
        </w:rPr>
        <w:t>通信设备运行环境</w:t>
      </w:r>
      <w:bookmarkEnd w:id="2384"/>
      <w:bookmarkEnd w:id="2385"/>
      <w:bookmarkEnd w:id="2386"/>
      <w:bookmarkEnd w:id="2387"/>
      <w:bookmarkEnd w:id="2388"/>
      <w:bookmarkEnd w:id="2389"/>
    </w:p>
    <w:p w14:paraId="77FB404E" w14:textId="77777777" w:rsidR="00737EB2" w:rsidRPr="00765F6E" w:rsidRDefault="00737EB2" w:rsidP="009D0776">
      <w:pPr>
        <w:pStyle w:val="22"/>
      </w:pPr>
      <w:bookmarkStart w:id="2390" w:name="_Toc99792488"/>
      <w:bookmarkStart w:id="2391" w:name="_Toc153291926"/>
      <w:r w:rsidRPr="00765F6E">
        <w:rPr>
          <w:rFonts w:hint="eastAsia"/>
        </w:rPr>
        <w:t>通信设备房屋及生产辅助用房的设置应符合设备布置、安全运行和维护要求，房屋面积按远期容量确定。</w:t>
      </w:r>
      <w:bookmarkEnd w:id="2390"/>
      <w:bookmarkEnd w:id="2391"/>
    </w:p>
    <w:p w14:paraId="7CDEF63B" w14:textId="77777777" w:rsidR="00737EB2" w:rsidRPr="00765F6E" w:rsidRDefault="00737EB2" w:rsidP="009D0776">
      <w:pPr>
        <w:pStyle w:val="22"/>
      </w:pPr>
      <w:bookmarkStart w:id="2392" w:name="_Toc99792489"/>
      <w:bookmarkStart w:id="2393" w:name="_Toc153291927"/>
      <w:r w:rsidRPr="00765F6E">
        <w:rPr>
          <w:rFonts w:hint="eastAsia"/>
        </w:rPr>
        <w:t>通信设备房屋的地面均布净高、荷载、装修、门窗、温度、相对湿度、照度、布置间距等可按</w:t>
      </w:r>
      <w:r w:rsidRPr="00765F6E">
        <w:t>GB 50174、TB 10006</w:t>
      </w:r>
      <w:r w:rsidRPr="00765F6E">
        <w:rPr>
          <w:rFonts w:hint="eastAsia"/>
        </w:rPr>
        <w:t>等有关标准设计。</w:t>
      </w:r>
      <w:bookmarkEnd w:id="2392"/>
      <w:bookmarkEnd w:id="2393"/>
    </w:p>
    <w:p w14:paraId="5E559ADC" w14:textId="77777777" w:rsidR="00737EB2" w:rsidRPr="00765F6E" w:rsidRDefault="00737EB2" w:rsidP="009D0776">
      <w:pPr>
        <w:pStyle w:val="22"/>
      </w:pPr>
      <w:bookmarkStart w:id="2394" w:name="_Toc99792491"/>
      <w:bookmarkStart w:id="2395" w:name="_Toc153291929"/>
      <w:r w:rsidRPr="00765F6E">
        <w:rPr>
          <w:rFonts w:hint="eastAsia"/>
        </w:rPr>
        <w:t>通信设备及设备房屋防雷及接地设计应符合</w:t>
      </w:r>
      <w:r w:rsidRPr="00765F6E">
        <w:t>GB 50057</w:t>
      </w:r>
      <w:r w:rsidRPr="00765F6E">
        <w:rPr>
          <w:rFonts w:hint="eastAsia"/>
        </w:rPr>
        <w:t>的相关要求。</w:t>
      </w:r>
      <w:bookmarkEnd w:id="2394"/>
      <w:bookmarkEnd w:id="2395"/>
    </w:p>
    <w:p w14:paraId="1522D778" w14:textId="77777777" w:rsidR="00737EB2" w:rsidRPr="00765F6E" w:rsidRDefault="00737EB2" w:rsidP="00737EB2">
      <w:pPr>
        <w:pStyle w:val="affe"/>
        <w:spacing w:before="156" w:after="156"/>
      </w:pPr>
      <w:bookmarkStart w:id="2396" w:name="_Toc153291930"/>
      <w:bookmarkStart w:id="2397" w:name="_Toc153210941"/>
      <w:bookmarkStart w:id="2398" w:name="_Toc99792492"/>
      <w:bookmarkStart w:id="2399" w:name="_Toc167895839"/>
      <w:bookmarkStart w:id="2400" w:name="_Toc174538753"/>
      <w:bookmarkStart w:id="2401" w:name="_Toc182476502"/>
      <w:r w:rsidRPr="00765F6E">
        <w:rPr>
          <w:rFonts w:hint="eastAsia"/>
        </w:rPr>
        <w:t>接口设计</w:t>
      </w:r>
      <w:bookmarkEnd w:id="2396"/>
      <w:bookmarkEnd w:id="2397"/>
      <w:bookmarkEnd w:id="2398"/>
      <w:bookmarkEnd w:id="2399"/>
      <w:bookmarkEnd w:id="2400"/>
      <w:bookmarkEnd w:id="2401"/>
    </w:p>
    <w:p w14:paraId="74B0DF7F" w14:textId="77777777" w:rsidR="00737EB2" w:rsidRPr="00765F6E" w:rsidRDefault="00737EB2" w:rsidP="009D0776">
      <w:pPr>
        <w:pStyle w:val="22"/>
      </w:pPr>
      <w:bookmarkStart w:id="2402" w:name="_Toc153291931"/>
      <w:bookmarkStart w:id="2403" w:name="_Toc99792493"/>
      <w:r w:rsidRPr="00765F6E">
        <w:rPr>
          <w:rFonts w:hint="eastAsia"/>
        </w:rPr>
        <w:t>通信专业为相关专业系统提供光纤、通道的接口界面符合下列规定：</w:t>
      </w:r>
      <w:bookmarkEnd w:id="2402"/>
      <w:bookmarkEnd w:id="2403"/>
    </w:p>
    <w:p w14:paraId="407B0139" w14:textId="77777777" w:rsidR="00737EB2" w:rsidRPr="00765F6E" w:rsidRDefault="00737EB2" w:rsidP="003334F3">
      <w:pPr>
        <w:pStyle w:val="af6"/>
        <w:numPr>
          <w:ilvl w:val="0"/>
          <w:numId w:val="203"/>
        </w:numPr>
        <w:tabs>
          <w:tab w:val="left" w:pos="851"/>
        </w:tabs>
        <w:snapToGrid w:val="0"/>
        <w:contextualSpacing/>
      </w:pPr>
      <w:r w:rsidRPr="00765F6E">
        <w:rPr>
          <w:rFonts w:hint="eastAsia"/>
        </w:rPr>
        <w:t>通信光缆成端在通信机房的光纤分配架，为相关专业提供专用光纤时，接口界面可设置在通信机房光纤分配架的用户侧；也可将光缆自通信机房延伸至相关专业机房，工程界面设置在相关专业机房光纤分配架/终端盒外线侧；</w:t>
      </w:r>
    </w:p>
    <w:p w14:paraId="49EACBBC" w14:textId="77777777" w:rsidR="00737EB2" w:rsidRPr="00765F6E" w:rsidRDefault="00737EB2" w:rsidP="003334F3">
      <w:pPr>
        <w:pStyle w:val="af6"/>
        <w:numPr>
          <w:ilvl w:val="0"/>
          <w:numId w:val="203"/>
        </w:numPr>
        <w:tabs>
          <w:tab w:val="left" w:pos="851"/>
        </w:tabs>
        <w:snapToGrid w:val="0"/>
        <w:contextualSpacing/>
      </w:pPr>
      <w:r w:rsidRPr="00765F6E">
        <w:rPr>
          <w:rFonts w:hint="eastAsia"/>
        </w:rPr>
        <w:lastRenderedPageBreak/>
        <w:t>为各应用系统提供2Mbit/s、10/100 Mbit/s通道的接口界面宜设在通信机房的数字配线架用户侧、RJ-45配线架用户侧；</w:t>
      </w:r>
    </w:p>
    <w:p w14:paraId="4F96D7F1" w14:textId="77777777" w:rsidR="00737EB2" w:rsidRPr="00765F6E" w:rsidRDefault="00737EB2" w:rsidP="003334F3">
      <w:pPr>
        <w:pStyle w:val="af6"/>
        <w:numPr>
          <w:ilvl w:val="0"/>
          <w:numId w:val="203"/>
        </w:numPr>
        <w:tabs>
          <w:tab w:val="left" w:pos="851"/>
        </w:tabs>
        <w:snapToGrid w:val="0"/>
        <w:contextualSpacing/>
      </w:pPr>
      <w:r w:rsidRPr="00765F6E">
        <w:rPr>
          <w:rFonts w:hint="eastAsia"/>
        </w:rPr>
        <w:t>为各应用系统提供音频通道的接口界面宜设在通信机房语音配线架用户侧。</w:t>
      </w:r>
    </w:p>
    <w:p w14:paraId="68E720EC" w14:textId="77777777" w:rsidR="00737EB2" w:rsidRPr="00765F6E" w:rsidRDefault="00737EB2" w:rsidP="009D0776">
      <w:pPr>
        <w:pStyle w:val="22"/>
      </w:pPr>
      <w:bookmarkStart w:id="2404" w:name="_Toc99792494"/>
      <w:bookmarkStart w:id="2405" w:name="_Toc153291932"/>
      <w:r w:rsidRPr="00765F6E">
        <w:rPr>
          <w:rFonts w:hint="eastAsia"/>
        </w:rPr>
        <w:t>通信与路基专业接口设计应符合下列规定：</w:t>
      </w:r>
      <w:bookmarkEnd w:id="2404"/>
      <w:bookmarkEnd w:id="2405"/>
    </w:p>
    <w:p w14:paraId="05E6FEEA" w14:textId="77777777" w:rsidR="00737EB2" w:rsidRPr="00765F6E" w:rsidRDefault="00737EB2" w:rsidP="003334F3">
      <w:pPr>
        <w:pStyle w:val="af6"/>
        <w:numPr>
          <w:ilvl w:val="0"/>
          <w:numId w:val="204"/>
        </w:numPr>
        <w:tabs>
          <w:tab w:val="left" w:pos="851"/>
        </w:tabs>
        <w:snapToGrid w:val="0"/>
        <w:contextualSpacing/>
      </w:pPr>
      <w:r w:rsidRPr="00765F6E">
        <w:rPr>
          <w:rFonts w:hint="eastAsia"/>
        </w:rPr>
        <w:t>地面区段路基两侧路肩根据需要设置通信电缆槽（含盖板）；</w:t>
      </w:r>
    </w:p>
    <w:p w14:paraId="09CE102F" w14:textId="77777777" w:rsidR="00737EB2" w:rsidRPr="00765F6E" w:rsidRDefault="00737EB2" w:rsidP="003334F3">
      <w:pPr>
        <w:pStyle w:val="af6"/>
        <w:numPr>
          <w:ilvl w:val="0"/>
          <w:numId w:val="204"/>
        </w:numPr>
        <w:tabs>
          <w:tab w:val="left" w:pos="851"/>
        </w:tabs>
        <w:snapToGrid w:val="0"/>
        <w:contextualSpacing/>
      </w:pPr>
      <w:r w:rsidRPr="00765F6E">
        <w:rPr>
          <w:rFonts w:hint="eastAsia"/>
        </w:rPr>
        <w:t>根据通信电缆过轨要求预埋光电缆过轨管材，并在通信光电缆过轨处路基两侧设置光电缆手孔，手孔符合通信光电缆弯曲半径要求；</w:t>
      </w:r>
    </w:p>
    <w:p w14:paraId="414F7EE4" w14:textId="77777777" w:rsidR="00737EB2" w:rsidRPr="00765F6E" w:rsidRDefault="00737EB2" w:rsidP="003334F3">
      <w:pPr>
        <w:pStyle w:val="af6"/>
        <w:numPr>
          <w:ilvl w:val="0"/>
          <w:numId w:val="204"/>
        </w:numPr>
        <w:tabs>
          <w:tab w:val="left" w:pos="851"/>
        </w:tabs>
        <w:snapToGrid w:val="0"/>
        <w:contextualSpacing/>
      </w:pPr>
      <w:r w:rsidRPr="00765F6E">
        <w:rPr>
          <w:rFonts w:hint="eastAsia"/>
        </w:rPr>
        <w:t>通信光电缆需要从路肩电缆槽引下时应预设通信光电缆引下槽道。</w:t>
      </w:r>
    </w:p>
    <w:p w14:paraId="21C3C3ED" w14:textId="77777777" w:rsidR="00737EB2" w:rsidRPr="00765F6E" w:rsidRDefault="00737EB2" w:rsidP="009D0776">
      <w:pPr>
        <w:pStyle w:val="22"/>
      </w:pPr>
      <w:bookmarkStart w:id="2406" w:name="_Toc153291933"/>
      <w:bookmarkStart w:id="2407" w:name="_Toc99792495"/>
      <w:r w:rsidRPr="00765F6E">
        <w:rPr>
          <w:rFonts w:hint="eastAsia"/>
        </w:rPr>
        <w:t>通信与隧道专业接口设计应符合下列规定：</w:t>
      </w:r>
      <w:bookmarkEnd w:id="2406"/>
      <w:bookmarkEnd w:id="2407"/>
    </w:p>
    <w:p w14:paraId="6E401F6E" w14:textId="77777777" w:rsidR="00737EB2" w:rsidRPr="00765F6E" w:rsidRDefault="00737EB2" w:rsidP="003334F3">
      <w:pPr>
        <w:pStyle w:val="af6"/>
        <w:numPr>
          <w:ilvl w:val="0"/>
          <w:numId w:val="205"/>
        </w:numPr>
        <w:tabs>
          <w:tab w:val="left" w:pos="851"/>
        </w:tabs>
        <w:snapToGrid w:val="0"/>
        <w:contextualSpacing/>
      </w:pPr>
      <w:r w:rsidRPr="00765F6E">
        <w:rPr>
          <w:rFonts w:hint="eastAsia"/>
        </w:rPr>
        <w:t>隧道两侧应设置通信电缆支架或通信电缆槽（含盖板）；</w:t>
      </w:r>
    </w:p>
    <w:p w14:paraId="2D02B1FA" w14:textId="77777777" w:rsidR="00737EB2" w:rsidRPr="00765F6E" w:rsidRDefault="00737EB2" w:rsidP="003334F3">
      <w:pPr>
        <w:pStyle w:val="af6"/>
        <w:numPr>
          <w:ilvl w:val="0"/>
          <w:numId w:val="205"/>
        </w:numPr>
        <w:tabs>
          <w:tab w:val="left" w:pos="851"/>
        </w:tabs>
        <w:snapToGrid w:val="0"/>
        <w:contextualSpacing/>
      </w:pPr>
      <w:r>
        <w:rPr>
          <w:rFonts w:hint="eastAsia"/>
        </w:rPr>
        <w:t>根</w:t>
      </w:r>
      <w:r w:rsidRPr="00765F6E">
        <w:rPr>
          <w:rFonts w:hint="eastAsia"/>
        </w:rPr>
        <w:t>据设备安装的要求设置设备安装位置、光电缆过轨管材，并符合通信光电缆敷设弯曲半径要求。</w:t>
      </w:r>
    </w:p>
    <w:p w14:paraId="5B7296C4" w14:textId="77777777" w:rsidR="00737EB2" w:rsidRPr="00765F6E" w:rsidRDefault="00737EB2" w:rsidP="009D0776">
      <w:pPr>
        <w:pStyle w:val="22"/>
      </w:pPr>
      <w:bookmarkStart w:id="2408" w:name="_Toc99792496"/>
      <w:bookmarkStart w:id="2409" w:name="_Toc153291934"/>
      <w:r w:rsidRPr="00765F6E">
        <w:rPr>
          <w:rFonts w:hint="eastAsia"/>
        </w:rPr>
        <w:t>通信与桥梁专业接口设计应符合下列规定：</w:t>
      </w:r>
      <w:bookmarkEnd w:id="2408"/>
      <w:bookmarkEnd w:id="2409"/>
    </w:p>
    <w:p w14:paraId="560EB9F7" w14:textId="77777777" w:rsidR="00737EB2" w:rsidRPr="00765F6E" w:rsidRDefault="00737EB2" w:rsidP="003334F3">
      <w:pPr>
        <w:pStyle w:val="af6"/>
        <w:numPr>
          <w:ilvl w:val="0"/>
          <w:numId w:val="206"/>
        </w:numPr>
        <w:tabs>
          <w:tab w:val="left" w:pos="851"/>
        </w:tabs>
        <w:snapToGrid w:val="0"/>
        <w:contextualSpacing/>
      </w:pPr>
      <w:r w:rsidRPr="00765F6E">
        <w:rPr>
          <w:rFonts w:hint="eastAsia"/>
        </w:rPr>
        <w:t>桥梁两侧应设置通信电缆支架或通信电缆槽（含盖板）；</w:t>
      </w:r>
    </w:p>
    <w:p w14:paraId="0E010DA1" w14:textId="77777777" w:rsidR="00737EB2" w:rsidRPr="00765F6E" w:rsidRDefault="00737EB2" w:rsidP="003334F3">
      <w:pPr>
        <w:pStyle w:val="af6"/>
        <w:numPr>
          <w:ilvl w:val="0"/>
          <w:numId w:val="206"/>
        </w:numPr>
        <w:tabs>
          <w:tab w:val="left" w:pos="851"/>
        </w:tabs>
        <w:snapToGrid w:val="0"/>
        <w:contextualSpacing/>
      </w:pPr>
      <w:r w:rsidRPr="00765F6E">
        <w:rPr>
          <w:rFonts w:hint="eastAsia"/>
        </w:rPr>
        <w:t>应预留通信光电缆从桥梁上引下时电缆安装条件。</w:t>
      </w:r>
    </w:p>
    <w:p w14:paraId="5974853F" w14:textId="77777777" w:rsidR="00737EB2" w:rsidRPr="00765F6E" w:rsidRDefault="00737EB2" w:rsidP="009D0776">
      <w:pPr>
        <w:pStyle w:val="22"/>
      </w:pPr>
      <w:bookmarkStart w:id="2410" w:name="_Toc99792497"/>
      <w:bookmarkStart w:id="2411" w:name="_Toc153291935"/>
      <w:r w:rsidRPr="00765F6E">
        <w:rPr>
          <w:rFonts w:hint="eastAsia"/>
        </w:rPr>
        <w:t>站场、站台两侧应设置通信电缆槽，站场至站台的电缆槽间应平滑连接。</w:t>
      </w:r>
      <w:bookmarkEnd w:id="2410"/>
      <w:bookmarkEnd w:id="2411"/>
    </w:p>
    <w:p w14:paraId="66289EB9" w14:textId="77777777" w:rsidR="00737EB2" w:rsidRPr="00765F6E" w:rsidRDefault="00737EB2" w:rsidP="009D0776">
      <w:pPr>
        <w:pStyle w:val="22"/>
      </w:pPr>
      <w:bookmarkStart w:id="2412" w:name="_Toc99792498"/>
      <w:bookmarkStart w:id="2413" w:name="_Toc153291936"/>
      <w:r w:rsidRPr="00765F6E">
        <w:rPr>
          <w:rFonts w:hint="eastAsia"/>
        </w:rPr>
        <w:t>在设有声屏障或风屏障的地段，通信电缆槽应设于声屏障或风屏障内侧。</w:t>
      </w:r>
      <w:bookmarkEnd w:id="2412"/>
      <w:bookmarkEnd w:id="2413"/>
    </w:p>
    <w:p w14:paraId="3F5DFB12" w14:textId="5A527248" w:rsidR="00737EB2" w:rsidRPr="00765F6E" w:rsidRDefault="00043390" w:rsidP="009D0776">
      <w:pPr>
        <w:pStyle w:val="22"/>
      </w:pPr>
      <w:bookmarkStart w:id="2414" w:name="_Toc99792499"/>
      <w:bookmarkStart w:id="2415" w:name="_Toc153291937"/>
      <w:r w:rsidRPr="00453DBE">
        <w:rPr>
          <w:rFonts w:hint="eastAsia"/>
        </w:rPr>
        <w:t>漏泄同轴电缆与接触网同杆架设时，</w:t>
      </w:r>
      <w:r w:rsidRPr="00453DBE">
        <w:t>结合漏泄同轴电缆的挂高、负荷等条件，由接触网统筹考虑杆路设计</w:t>
      </w:r>
      <w:r w:rsidR="00737EB2" w:rsidRPr="00765F6E">
        <w:rPr>
          <w:rFonts w:hint="eastAsia"/>
        </w:rPr>
        <w:t>。</w:t>
      </w:r>
      <w:bookmarkEnd w:id="2414"/>
      <w:bookmarkEnd w:id="2415"/>
    </w:p>
    <w:p w14:paraId="1375AF8B" w14:textId="1A27882C" w:rsidR="00737EB2" w:rsidRDefault="00737EB2" w:rsidP="009D0776">
      <w:pPr>
        <w:pStyle w:val="22"/>
      </w:pPr>
      <w:bookmarkStart w:id="2416" w:name="_Toc153291938"/>
      <w:bookmarkStart w:id="2417" w:name="_Toc99792500"/>
      <w:r w:rsidRPr="00765F6E">
        <w:rPr>
          <w:rFonts w:hint="eastAsia"/>
        </w:rPr>
        <w:t>相关专业应按通信系统要求设置机房、通风、空调、消防及电力设施。</w:t>
      </w:r>
      <w:bookmarkEnd w:id="2416"/>
      <w:bookmarkEnd w:id="2417"/>
    </w:p>
    <w:p w14:paraId="5E27D6C1" w14:textId="77777777" w:rsidR="00043390" w:rsidRPr="00043390" w:rsidRDefault="00043390" w:rsidP="00043390">
      <w:pPr>
        <w:pStyle w:val="affd"/>
        <w:spacing w:before="312" w:after="312"/>
      </w:pPr>
      <w:bookmarkStart w:id="2418" w:name="_Toc182476503"/>
      <w:r w:rsidRPr="00043390">
        <w:rPr>
          <w:rFonts w:hint="eastAsia"/>
        </w:rPr>
        <w:t>电力</w:t>
      </w:r>
      <w:bookmarkEnd w:id="2418"/>
    </w:p>
    <w:p w14:paraId="3966921D" w14:textId="77777777" w:rsidR="00043390" w:rsidRPr="00765F6E" w:rsidRDefault="00043390" w:rsidP="00043390">
      <w:pPr>
        <w:pStyle w:val="affe"/>
        <w:spacing w:before="156" w:after="156"/>
      </w:pPr>
      <w:bookmarkStart w:id="2419" w:name="_Toc182476504"/>
      <w:r w:rsidRPr="00765F6E">
        <w:rPr>
          <w:rFonts w:hint="eastAsia"/>
        </w:rPr>
        <w:t>一般规定</w:t>
      </w:r>
      <w:bookmarkEnd w:id="2419"/>
    </w:p>
    <w:p w14:paraId="18A06673" w14:textId="77777777" w:rsidR="00C1698F" w:rsidRDefault="00C1698F" w:rsidP="00C1698F">
      <w:pPr>
        <w:pStyle w:val="22"/>
      </w:pPr>
      <w:r>
        <w:rPr>
          <w:rFonts w:hint="eastAsia"/>
          <w:szCs w:val="22"/>
        </w:rPr>
        <w:t>市域铁路电力工程设计应保证供电安全、可靠、技术先进、节能、环保和经济合理。</w:t>
      </w:r>
    </w:p>
    <w:p w14:paraId="5C870066" w14:textId="77777777" w:rsidR="00C1698F" w:rsidRDefault="00C1698F" w:rsidP="00C1698F">
      <w:pPr>
        <w:pStyle w:val="22"/>
      </w:pPr>
      <w:r>
        <w:rPr>
          <w:rFonts w:hint="eastAsia"/>
          <w:szCs w:val="22"/>
        </w:rPr>
        <w:t>电力供配电系统应遵循现行国家和行业标准，采用符合现行国家有关标准的高效节能、环保、安全、性能先进的电气产品。</w:t>
      </w:r>
    </w:p>
    <w:p w14:paraId="422732DB" w14:textId="143C37BE" w:rsidR="00C1698F" w:rsidRDefault="00C1698F" w:rsidP="00C1698F">
      <w:pPr>
        <w:pStyle w:val="22"/>
      </w:pPr>
      <w:r>
        <w:rPr>
          <w:rFonts w:hint="eastAsia"/>
          <w:szCs w:val="22"/>
        </w:rPr>
        <w:t>电力供配电系统应能满足不同负荷的供电要求，并应具备一定的</w:t>
      </w:r>
      <w:r w:rsidR="001B5BEA">
        <w:rPr>
          <w:rFonts w:hint="eastAsia"/>
          <w:szCs w:val="22"/>
        </w:rPr>
        <w:t>抗震</w:t>
      </w:r>
      <w:r>
        <w:rPr>
          <w:rFonts w:hint="eastAsia"/>
          <w:szCs w:val="22"/>
        </w:rPr>
        <w:t>、风、雨、雪、冰等自然灾害的能力。</w:t>
      </w:r>
    </w:p>
    <w:p w14:paraId="2DB7A5B1" w14:textId="15F460C3" w:rsidR="00043390" w:rsidRPr="00765F6E" w:rsidRDefault="00C1698F" w:rsidP="00C1698F">
      <w:pPr>
        <w:pStyle w:val="22"/>
      </w:pPr>
      <w:r>
        <w:rPr>
          <w:rFonts w:hint="eastAsia"/>
        </w:rPr>
        <w:t>市域铁路电力工程设计应满足工程建设和运营管理需求，尽可能利用既有供电资源。供配电系统的供电能力应适度超前，供电主干线路和关键配电设施宜按近期规划一次建成，并为远期规划做适当预留。适当考虑沿线商业配套的用电需求。</w:t>
      </w:r>
    </w:p>
    <w:p w14:paraId="795C35A3" w14:textId="77777777" w:rsidR="00043390" w:rsidRPr="00765F6E" w:rsidRDefault="00043390" w:rsidP="00043390">
      <w:pPr>
        <w:pStyle w:val="affe"/>
        <w:spacing w:before="156" w:after="156"/>
      </w:pPr>
      <w:bookmarkStart w:id="2420" w:name="_Toc182476505"/>
      <w:r w:rsidRPr="00765F6E">
        <w:rPr>
          <w:rFonts w:hint="eastAsia"/>
        </w:rPr>
        <w:t>供配电系统</w:t>
      </w:r>
      <w:bookmarkEnd w:id="2420"/>
    </w:p>
    <w:p w14:paraId="6182B336" w14:textId="5F1318E2" w:rsidR="00043390" w:rsidRPr="00765F6E" w:rsidRDefault="00C1698F" w:rsidP="00043390">
      <w:pPr>
        <w:pStyle w:val="22"/>
      </w:pPr>
      <w:r>
        <w:rPr>
          <w:rFonts w:hint="eastAsia"/>
          <w:szCs w:val="22"/>
        </w:rPr>
        <w:t>市域铁路用</w:t>
      </w:r>
      <w:r>
        <w:rPr>
          <w:rFonts w:hint="eastAsia"/>
        </w:rPr>
        <w:t>电负荷应根据对供电可靠性的要求及中断供电对人身安全、经济损失或影响程度进行分级，负荷分级原则及各负荷等级的供电要求应满足GB</w:t>
      </w:r>
      <w:r>
        <w:t xml:space="preserve"> </w:t>
      </w:r>
      <w:r>
        <w:rPr>
          <w:rFonts w:hint="eastAsia"/>
        </w:rPr>
        <w:t>50052及TB</w:t>
      </w:r>
      <w:r>
        <w:t xml:space="preserve"> </w:t>
      </w:r>
      <w:r>
        <w:rPr>
          <w:rFonts w:hint="eastAsia"/>
        </w:rPr>
        <w:t>10008的要求</w:t>
      </w:r>
      <w:r w:rsidR="00043390" w:rsidRPr="00765F6E">
        <w:rPr>
          <w:rFonts w:hint="eastAsia"/>
        </w:rPr>
        <w:t>。</w:t>
      </w:r>
    </w:p>
    <w:p w14:paraId="6E220857" w14:textId="52133884" w:rsidR="00043390" w:rsidRPr="00765F6E" w:rsidRDefault="00C1698F" w:rsidP="00043390">
      <w:pPr>
        <w:pStyle w:val="22"/>
      </w:pPr>
      <w:r>
        <w:rPr>
          <w:rFonts w:hint="eastAsia"/>
        </w:rPr>
        <w:t>根据市域铁路的特性，相关用电负荷的分级还应符合下列规定</w:t>
      </w:r>
      <w:r w:rsidR="00043390" w:rsidRPr="00765F6E">
        <w:rPr>
          <w:rFonts w:hint="eastAsia"/>
        </w:rPr>
        <w:t>：</w:t>
      </w:r>
    </w:p>
    <w:p w14:paraId="2AA6D6C3" w14:textId="399295D7" w:rsidR="00043390" w:rsidRPr="00765F6E" w:rsidRDefault="00C1698F" w:rsidP="003334F3">
      <w:pPr>
        <w:pStyle w:val="af6"/>
        <w:numPr>
          <w:ilvl w:val="0"/>
          <w:numId w:val="177"/>
        </w:numPr>
        <w:tabs>
          <w:tab w:val="left" w:pos="851"/>
        </w:tabs>
        <w:snapToGrid w:val="0"/>
        <w:contextualSpacing/>
      </w:pPr>
      <w:r>
        <w:rPr>
          <w:rFonts w:hint="eastAsia"/>
        </w:rPr>
        <w:t>一级负荷应包括：与行车相关的通信、信号、信息系统；综合监控系统、火灾自动报警系统、机电设备监控系统、供电调度系统、变电所操作电源、广播系统、门禁系统；人防门、防淹门、站台门；应急照明、地下站公共区照明、地下区间照明；消防水泵、地下车站或区间主要排水泵、消防电梯、事故疏散用自动扶梯及其他灾害时仍需使用的用电设备等</w:t>
      </w:r>
      <w:r w:rsidR="00043390" w:rsidRPr="00765F6E">
        <w:rPr>
          <w:rFonts w:hint="eastAsia"/>
        </w:rPr>
        <w:t>；</w:t>
      </w:r>
    </w:p>
    <w:p w14:paraId="5D89B2B5" w14:textId="4550A121" w:rsidR="00043390" w:rsidRPr="00765F6E" w:rsidRDefault="00C1698F" w:rsidP="003334F3">
      <w:pPr>
        <w:pStyle w:val="af6"/>
        <w:numPr>
          <w:ilvl w:val="0"/>
          <w:numId w:val="177"/>
        </w:numPr>
        <w:tabs>
          <w:tab w:val="left" w:pos="851"/>
        </w:tabs>
        <w:snapToGrid w:val="0"/>
        <w:contextualSpacing/>
      </w:pPr>
      <w:r>
        <w:rPr>
          <w:rFonts w:hint="eastAsia"/>
        </w:rPr>
        <w:t>二级负荷应包括：高架及地面站公共区照明、车站附属房间照明；普通风机及相关阀门、排污泵、普通电梯、非消防疏散用自动扶梯；为通信、信号主要设备用房配置的专用空调；接触网远动开关操作电源；车辆基地（所、存车场）车辆检修设备、综合检测与维修、工务机械、给排水设施等</w:t>
      </w:r>
      <w:r w:rsidR="00043390" w:rsidRPr="00765F6E">
        <w:rPr>
          <w:rFonts w:hint="eastAsia"/>
        </w:rPr>
        <w:t>；</w:t>
      </w:r>
    </w:p>
    <w:p w14:paraId="0699A89E" w14:textId="7ECEE0FA" w:rsidR="00043390" w:rsidRPr="00765F6E" w:rsidRDefault="00C1698F" w:rsidP="003334F3">
      <w:pPr>
        <w:pStyle w:val="af6"/>
        <w:numPr>
          <w:ilvl w:val="0"/>
          <w:numId w:val="177"/>
        </w:numPr>
        <w:tabs>
          <w:tab w:val="left" w:pos="851"/>
        </w:tabs>
        <w:snapToGrid w:val="0"/>
        <w:contextualSpacing/>
      </w:pPr>
      <w:r>
        <w:rPr>
          <w:rFonts w:hint="eastAsia"/>
        </w:rPr>
        <w:t>三级负荷应包括：车站广告照明、空调制冷及水系统、电热设备及附属房间的电源插座，区间检修设备等不属于一级和二级的负荷</w:t>
      </w:r>
      <w:r w:rsidR="00043390" w:rsidRPr="00765F6E">
        <w:rPr>
          <w:rFonts w:hint="eastAsia"/>
        </w:rPr>
        <w:t>；</w:t>
      </w:r>
    </w:p>
    <w:p w14:paraId="4FE6673A" w14:textId="152AEEAA" w:rsidR="00043390" w:rsidRPr="00765F6E" w:rsidRDefault="00C1698F" w:rsidP="003334F3">
      <w:pPr>
        <w:pStyle w:val="af6"/>
        <w:numPr>
          <w:ilvl w:val="0"/>
          <w:numId w:val="177"/>
        </w:numPr>
        <w:tabs>
          <w:tab w:val="left" w:pos="851"/>
        </w:tabs>
        <w:snapToGrid w:val="0"/>
        <w:contextualSpacing/>
      </w:pPr>
      <w:r>
        <w:rPr>
          <w:rFonts w:hint="eastAsia"/>
        </w:rPr>
        <w:lastRenderedPageBreak/>
        <w:t>运营控制中心大楼、车辆基地（所、存车场）等各建筑物内其他建筑电气设备的负荷分级，应符合</w:t>
      </w:r>
      <w:r>
        <w:t>GB 51348</w:t>
      </w:r>
      <w:r>
        <w:rPr>
          <w:rFonts w:hint="eastAsia"/>
        </w:rPr>
        <w:t>的规定</w:t>
      </w:r>
      <w:r w:rsidR="00043390" w:rsidRPr="00765F6E">
        <w:rPr>
          <w:rFonts w:hint="eastAsia"/>
        </w:rPr>
        <w:t>；</w:t>
      </w:r>
    </w:p>
    <w:p w14:paraId="5512EDE4" w14:textId="1B5C2727" w:rsidR="00043390" w:rsidRPr="00765F6E" w:rsidRDefault="00C1698F" w:rsidP="003334F3">
      <w:pPr>
        <w:pStyle w:val="af6"/>
        <w:numPr>
          <w:ilvl w:val="0"/>
          <w:numId w:val="177"/>
        </w:numPr>
        <w:tabs>
          <w:tab w:val="left" w:pos="851"/>
        </w:tabs>
        <w:snapToGrid w:val="0"/>
        <w:contextualSpacing/>
      </w:pPr>
      <w:r>
        <w:rPr>
          <w:rFonts w:hint="eastAsia"/>
        </w:rPr>
        <w:t>消防用电设备负荷等级应按</w:t>
      </w:r>
      <w:r>
        <w:t>GB 5</w:t>
      </w:r>
      <w:r>
        <w:rPr>
          <w:rFonts w:hint="eastAsia"/>
        </w:rPr>
        <w:t>5037、</w:t>
      </w:r>
      <w:r>
        <w:t>GB 5</w:t>
      </w:r>
      <w:r>
        <w:rPr>
          <w:rFonts w:hint="eastAsia"/>
        </w:rPr>
        <w:t>0016及其他现行相关标准确定</w:t>
      </w:r>
      <w:r w:rsidR="00043390" w:rsidRPr="00765F6E">
        <w:rPr>
          <w:rFonts w:hint="eastAsia"/>
        </w:rPr>
        <w:t>；</w:t>
      </w:r>
    </w:p>
    <w:p w14:paraId="523D2B27" w14:textId="099457BD" w:rsidR="00043390" w:rsidRPr="00765F6E" w:rsidRDefault="00C1698F" w:rsidP="003334F3">
      <w:pPr>
        <w:pStyle w:val="af6"/>
        <w:numPr>
          <w:ilvl w:val="0"/>
          <w:numId w:val="177"/>
        </w:numPr>
        <w:tabs>
          <w:tab w:val="left" w:pos="851"/>
        </w:tabs>
        <w:snapToGrid w:val="0"/>
        <w:contextualSpacing/>
      </w:pPr>
      <w:r>
        <w:rPr>
          <w:rFonts w:hint="eastAsia"/>
        </w:rPr>
        <w:t>雨水泵站的用电负荷应根据工程规模、重要性因素合理确定负荷等级</w:t>
      </w:r>
      <w:r w:rsidR="00043390" w:rsidRPr="00765F6E">
        <w:rPr>
          <w:rFonts w:hint="eastAsia"/>
        </w:rPr>
        <w:t>。</w:t>
      </w:r>
    </w:p>
    <w:p w14:paraId="0FAD6384" w14:textId="6B20CBC8" w:rsidR="00043390" w:rsidRPr="00765F6E" w:rsidRDefault="00C1698F" w:rsidP="00043390">
      <w:pPr>
        <w:pStyle w:val="22"/>
      </w:pPr>
      <w:r>
        <w:rPr>
          <w:rFonts w:hint="eastAsia"/>
        </w:rPr>
        <w:t>电力供电方案应根据负荷等级、用电容量、牵引变电所设置情况和地区供电条件等确定，并符合下列规定</w:t>
      </w:r>
      <w:r w:rsidR="00043390" w:rsidRPr="00765F6E">
        <w:rPr>
          <w:rFonts w:hint="eastAsia"/>
        </w:rPr>
        <w:t>：</w:t>
      </w:r>
    </w:p>
    <w:p w14:paraId="09CF8B75" w14:textId="5FBF608C" w:rsidR="00043390" w:rsidRPr="00765F6E" w:rsidRDefault="00C1698F" w:rsidP="003334F3">
      <w:pPr>
        <w:pStyle w:val="af6"/>
        <w:numPr>
          <w:ilvl w:val="0"/>
          <w:numId w:val="178"/>
        </w:numPr>
        <w:tabs>
          <w:tab w:val="left" w:pos="851"/>
        </w:tabs>
        <w:snapToGrid w:val="0"/>
        <w:contextualSpacing/>
      </w:pPr>
      <w:r>
        <w:rPr>
          <w:rFonts w:hint="eastAsia"/>
        </w:rPr>
        <w:t>宜采用集中供电方式设置电力变配电所，供电电压及电能质量应满足GB</w:t>
      </w:r>
      <w:r>
        <w:t xml:space="preserve"> </w:t>
      </w:r>
      <w:r>
        <w:rPr>
          <w:rFonts w:hint="eastAsia"/>
        </w:rPr>
        <w:t>50052的规定</w:t>
      </w:r>
      <w:r w:rsidR="00043390" w:rsidRPr="00765F6E">
        <w:rPr>
          <w:rFonts w:hint="eastAsia"/>
        </w:rPr>
        <w:t>；</w:t>
      </w:r>
    </w:p>
    <w:p w14:paraId="7A25CC6F" w14:textId="642E0E14" w:rsidR="00043390" w:rsidRPr="00765F6E" w:rsidRDefault="00C1698F" w:rsidP="003334F3">
      <w:pPr>
        <w:pStyle w:val="af6"/>
        <w:numPr>
          <w:ilvl w:val="0"/>
          <w:numId w:val="178"/>
        </w:numPr>
        <w:tabs>
          <w:tab w:val="left" w:pos="851"/>
        </w:tabs>
        <w:snapToGrid w:val="0"/>
        <w:contextualSpacing/>
      </w:pPr>
      <w:r>
        <w:rPr>
          <w:rFonts w:hint="eastAsia"/>
        </w:rPr>
        <w:t>电力变配电所宜由</w:t>
      </w:r>
      <w:r w:rsidR="001B5BEA">
        <w:rPr>
          <w:rFonts w:hint="eastAsia"/>
        </w:rPr>
        <w:t>双重</w:t>
      </w:r>
      <w:r>
        <w:rPr>
          <w:rFonts w:hint="eastAsia"/>
        </w:rPr>
        <w:t>电源供电，其中至少一路电源为专盘专线，技术经济合理时，电力变配电所宜与牵引变电所共用外部电源</w:t>
      </w:r>
      <w:r w:rsidR="00043390" w:rsidRPr="00765F6E">
        <w:rPr>
          <w:rFonts w:hint="eastAsia"/>
        </w:rPr>
        <w:t>；</w:t>
      </w:r>
    </w:p>
    <w:p w14:paraId="1720C2BA" w14:textId="29D8B282" w:rsidR="00043390" w:rsidRPr="00765F6E" w:rsidRDefault="00C1698F" w:rsidP="003334F3">
      <w:pPr>
        <w:pStyle w:val="af6"/>
        <w:numPr>
          <w:ilvl w:val="0"/>
          <w:numId w:val="178"/>
        </w:numPr>
        <w:tabs>
          <w:tab w:val="left" w:pos="851"/>
        </w:tabs>
        <w:snapToGrid w:val="0"/>
        <w:contextualSpacing/>
      </w:pPr>
      <w:r>
        <w:rPr>
          <w:rFonts w:hint="eastAsia"/>
        </w:rPr>
        <w:t>中压配电网络宜采用双环网或双回电力贯通线路供电方式，电压等级可分为10kV、20kV、35kV，应根据技术经济比较后确定。相邻变配电所宜具备越区供电能力</w:t>
      </w:r>
      <w:r w:rsidR="00043390" w:rsidRPr="00765F6E">
        <w:rPr>
          <w:rFonts w:hint="eastAsia"/>
        </w:rPr>
        <w:t>；</w:t>
      </w:r>
    </w:p>
    <w:p w14:paraId="5EDB0B8C" w14:textId="0E07C157" w:rsidR="00043390" w:rsidRPr="00765F6E" w:rsidRDefault="00C1698F" w:rsidP="003334F3">
      <w:pPr>
        <w:pStyle w:val="af6"/>
        <w:numPr>
          <w:ilvl w:val="0"/>
          <w:numId w:val="178"/>
        </w:numPr>
        <w:tabs>
          <w:tab w:val="left" w:pos="851"/>
        </w:tabs>
        <w:snapToGrid w:val="0"/>
        <w:contextualSpacing/>
      </w:pPr>
      <w:r>
        <w:rPr>
          <w:rFonts w:hint="eastAsia"/>
        </w:rPr>
        <w:t>车站、运营控制中心、车辆基地（所、存车场）等宜由变配电所或中压配电网络集中供电，提供两路相对独立的可靠电源；当其用电负荷较大或较远时，可另外接引两路外部电源供电，其中车站、运营控制中心至少一路电源为专盘专线，车辆基地（所、存车场）两路电源宜为专线</w:t>
      </w:r>
      <w:r w:rsidR="00043390" w:rsidRPr="00765F6E">
        <w:rPr>
          <w:rFonts w:hint="eastAsia"/>
        </w:rPr>
        <w:t>；</w:t>
      </w:r>
    </w:p>
    <w:p w14:paraId="1456D99F" w14:textId="353C9278" w:rsidR="00043390" w:rsidRDefault="00C1698F" w:rsidP="003334F3">
      <w:pPr>
        <w:pStyle w:val="af6"/>
        <w:numPr>
          <w:ilvl w:val="0"/>
          <w:numId w:val="178"/>
        </w:numPr>
        <w:tabs>
          <w:tab w:val="left" w:pos="851"/>
        </w:tabs>
        <w:snapToGrid w:val="0"/>
        <w:contextualSpacing/>
      </w:pPr>
      <w:r>
        <w:rPr>
          <w:rFonts w:hint="eastAsia"/>
        </w:rPr>
        <w:t>区间负荷用电（如区间雨水泵、废水泵、通风设备等），原则上均从邻近车站引接。当区间负荷离车站距离较远，且负荷较大，由车站引接不合理时，</w:t>
      </w:r>
      <w:r w:rsidR="001B5BEA" w:rsidRPr="001B5BEA">
        <w:rPr>
          <w:rFonts w:hint="eastAsia"/>
        </w:rPr>
        <w:t>应采用单独设置变电所供电</w:t>
      </w:r>
      <w:r>
        <w:rPr>
          <w:rFonts w:hint="eastAsia"/>
        </w:rPr>
        <w:t>；</w:t>
      </w:r>
    </w:p>
    <w:p w14:paraId="078F2EC3" w14:textId="677F0698" w:rsidR="00C1698F" w:rsidRPr="00765F6E" w:rsidRDefault="00C1698F" w:rsidP="003334F3">
      <w:pPr>
        <w:pStyle w:val="af6"/>
        <w:numPr>
          <w:ilvl w:val="0"/>
          <w:numId w:val="178"/>
        </w:numPr>
        <w:tabs>
          <w:tab w:val="left" w:pos="851"/>
        </w:tabs>
        <w:snapToGrid w:val="0"/>
        <w:contextualSpacing/>
      </w:pPr>
      <w:r>
        <w:rPr>
          <w:rFonts w:hint="eastAsia"/>
        </w:rPr>
        <w:t>对于既有改造线路，应尽可能利用既有电力供电资源。</w:t>
      </w:r>
    </w:p>
    <w:p w14:paraId="62E7617B" w14:textId="4EFC0227" w:rsidR="00043390" w:rsidRPr="00765F6E" w:rsidRDefault="00C1698F" w:rsidP="00043390">
      <w:pPr>
        <w:pStyle w:val="22"/>
      </w:pPr>
      <w:r>
        <w:rPr>
          <w:rFonts w:hint="eastAsia"/>
        </w:rPr>
        <w:t>中压配电网络应按满足市域铁路远期用电负荷要求设计，对互为备用的线路，一路退出运行另一路应承担其一、二级负荷的供电，并应符合下列规定</w:t>
      </w:r>
      <w:r w:rsidR="00043390" w:rsidRPr="00765F6E">
        <w:rPr>
          <w:rFonts w:hint="eastAsia"/>
        </w:rPr>
        <w:t>：</w:t>
      </w:r>
    </w:p>
    <w:p w14:paraId="619398C7" w14:textId="169B2455" w:rsidR="00043390" w:rsidRPr="00765F6E" w:rsidRDefault="00C1698F" w:rsidP="003334F3">
      <w:pPr>
        <w:pStyle w:val="af6"/>
        <w:numPr>
          <w:ilvl w:val="0"/>
          <w:numId w:val="179"/>
        </w:numPr>
        <w:tabs>
          <w:tab w:val="left" w:pos="851"/>
        </w:tabs>
        <w:snapToGrid w:val="0"/>
        <w:contextualSpacing/>
      </w:pPr>
      <w:r>
        <w:rPr>
          <w:rFonts w:hint="eastAsia"/>
        </w:rPr>
        <w:t xml:space="preserve">正常运行时，35kV 线路供电电压正负偏差绝对值之和不超过额定值的 </w:t>
      </w:r>
      <w:r w:rsidRPr="00D56CF9">
        <w:t>10%</w:t>
      </w:r>
      <w:r>
        <w:rPr>
          <w:rFonts w:hint="eastAsia"/>
        </w:rPr>
        <w:t>；20kV、10kV 线路供电电压偏差不超过额定值的±7%</w:t>
      </w:r>
      <w:r w:rsidR="00E35D7F">
        <w:rPr>
          <w:rFonts w:hint="eastAsia"/>
        </w:rPr>
        <w:t>；</w:t>
      </w:r>
    </w:p>
    <w:p w14:paraId="7658F61D" w14:textId="4EA99F53" w:rsidR="00043390" w:rsidRPr="00765F6E" w:rsidRDefault="00C1698F" w:rsidP="003334F3">
      <w:pPr>
        <w:pStyle w:val="af6"/>
        <w:numPr>
          <w:ilvl w:val="0"/>
          <w:numId w:val="179"/>
        </w:numPr>
        <w:tabs>
          <w:tab w:val="left" w:pos="851"/>
        </w:tabs>
        <w:snapToGrid w:val="0"/>
        <w:contextualSpacing/>
      </w:pPr>
      <w:r>
        <w:rPr>
          <w:rFonts w:hint="eastAsia"/>
        </w:rPr>
        <w:t>非正常情况下，电压最大偏差允许值可为±10%</w:t>
      </w:r>
      <w:r w:rsidR="00043390" w:rsidRPr="00765F6E">
        <w:rPr>
          <w:rFonts w:hint="eastAsia"/>
        </w:rPr>
        <w:t>。</w:t>
      </w:r>
    </w:p>
    <w:p w14:paraId="4DE69EFC" w14:textId="736C00AF" w:rsidR="00043390" w:rsidRPr="00765F6E" w:rsidRDefault="00C1698F" w:rsidP="00043390">
      <w:pPr>
        <w:pStyle w:val="22"/>
      </w:pPr>
      <w:r>
        <w:rPr>
          <w:rFonts w:hint="eastAsia"/>
        </w:rPr>
        <w:t>低压配电系统应满足GB 50054、GB 50055、</w:t>
      </w:r>
      <w:r>
        <w:t>GB 51348</w:t>
      </w:r>
      <w:r>
        <w:rPr>
          <w:rFonts w:hint="eastAsia"/>
        </w:rPr>
        <w:t>和TB 10008的要求，并符合下列规定</w:t>
      </w:r>
      <w:r w:rsidR="00043390" w:rsidRPr="00765F6E">
        <w:rPr>
          <w:rFonts w:hint="eastAsia"/>
        </w:rPr>
        <w:t>：</w:t>
      </w:r>
    </w:p>
    <w:p w14:paraId="236E0B7B" w14:textId="65433ECB" w:rsidR="00043390" w:rsidRDefault="00C1698F" w:rsidP="003334F3">
      <w:pPr>
        <w:pStyle w:val="af6"/>
        <w:numPr>
          <w:ilvl w:val="0"/>
          <w:numId w:val="180"/>
        </w:numPr>
        <w:tabs>
          <w:tab w:val="left" w:pos="851"/>
        </w:tabs>
        <w:snapToGrid w:val="0"/>
        <w:contextualSpacing/>
      </w:pPr>
      <w:r>
        <w:rPr>
          <w:rFonts w:hint="eastAsia"/>
        </w:rPr>
        <w:t>一级负荷应由两路相互独立的380/220V电源供至用电设备或经双电源切换箱自动切换后供电，其中具有一级负荷的公共区照明可采用两路电源交叉供电</w:t>
      </w:r>
      <w:r w:rsidR="00043390" w:rsidRPr="00765F6E">
        <w:rPr>
          <w:rFonts w:hint="eastAsia"/>
        </w:rPr>
        <w:t>；</w:t>
      </w:r>
    </w:p>
    <w:p w14:paraId="326E7B71" w14:textId="539C14A9" w:rsidR="00C06C2E" w:rsidRPr="00765F6E" w:rsidRDefault="00C1698F" w:rsidP="003334F3">
      <w:pPr>
        <w:pStyle w:val="af6"/>
        <w:numPr>
          <w:ilvl w:val="0"/>
          <w:numId w:val="180"/>
        </w:numPr>
        <w:tabs>
          <w:tab w:val="left" w:pos="851"/>
        </w:tabs>
        <w:snapToGrid w:val="0"/>
        <w:contextualSpacing/>
      </w:pPr>
      <w:r>
        <w:rPr>
          <w:rFonts w:hint="eastAsia"/>
        </w:rPr>
        <w:t>车站通信信号专用空调宜由车站降压变电所提供两路电源；区间通信信号基站的空调设备可由通信信号基站室内配电箱提供两路电源</w:t>
      </w:r>
      <w:r w:rsidRPr="009A58C7">
        <w:rPr>
          <w:rFonts w:hint="eastAsia"/>
        </w:rPr>
        <w:t>。</w:t>
      </w:r>
    </w:p>
    <w:p w14:paraId="4CC37A6F" w14:textId="6C038313" w:rsidR="00043390" w:rsidRPr="00765F6E" w:rsidRDefault="00C1698F" w:rsidP="00043390">
      <w:pPr>
        <w:pStyle w:val="22"/>
      </w:pPr>
      <w:r>
        <w:rPr>
          <w:rFonts w:hint="eastAsia"/>
        </w:rPr>
        <w:t>电力供配电系统无功补偿应符合GB 50227的规定，并符合下列规定</w:t>
      </w:r>
      <w:r w:rsidR="00043390" w:rsidRPr="00765F6E">
        <w:rPr>
          <w:rFonts w:hint="eastAsia"/>
        </w:rPr>
        <w:t>：</w:t>
      </w:r>
    </w:p>
    <w:p w14:paraId="023CC361" w14:textId="1AF890F6" w:rsidR="00043390" w:rsidRPr="00765F6E" w:rsidRDefault="00C1698F" w:rsidP="003334F3">
      <w:pPr>
        <w:pStyle w:val="af6"/>
        <w:numPr>
          <w:ilvl w:val="0"/>
          <w:numId w:val="181"/>
        </w:numPr>
        <w:tabs>
          <w:tab w:val="left" w:pos="851"/>
        </w:tabs>
        <w:snapToGrid w:val="0"/>
        <w:contextualSpacing/>
      </w:pPr>
      <w:r>
        <w:rPr>
          <w:rFonts w:hint="eastAsia"/>
        </w:rPr>
        <w:t>全线无功补偿应遵循分层分区补偿、就地平衡的原则</w:t>
      </w:r>
      <w:r w:rsidR="00043390" w:rsidRPr="00765F6E">
        <w:rPr>
          <w:rFonts w:hint="eastAsia"/>
        </w:rPr>
        <w:t>；</w:t>
      </w:r>
    </w:p>
    <w:p w14:paraId="7020058D" w14:textId="1D948E73" w:rsidR="00043390" w:rsidRPr="00765F6E" w:rsidRDefault="00C1698F" w:rsidP="003334F3">
      <w:pPr>
        <w:pStyle w:val="af6"/>
        <w:numPr>
          <w:ilvl w:val="0"/>
          <w:numId w:val="181"/>
        </w:numPr>
        <w:tabs>
          <w:tab w:val="left" w:pos="851"/>
        </w:tabs>
        <w:snapToGrid w:val="0"/>
        <w:contextualSpacing/>
      </w:pPr>
      <w:r>
        <w:rPr>
          <w:rFonts w:hint="eastAsia"/>
        </w:rPr>
        <w:t>变配电所无功补偿应以末端降压变压器低压侧集中补偿为主、高压补偿为辅的方式，补偿后变压器高压侧平均功率因数不宜低于0.90</w:t>
      </w:r>
      <w:r w:rsidR="00043390" w:rsidRPr="00765F6E">
        <w:rPr>
          <w:rFonts w:hint="eastAsia"/>
        </w:rPr>
        <w:t>；</w:t>
      </w:r>
    </w:p>
    <w:p w14:paraId="1781DD9A" w14:textId="2689258A" w:rsidR="00043390" w:rsidRPr="00765F6E" w:rsidRDefault="00C1698F" w:rsidP="003334F3">
      <w:pPr>
        <w:pStyle w:val="af6"/>
        <w:numPr>
          <w:ilvl w:val="0"/>
          <w:numId w:val="181"/>
        </w:numPr>
        <w:tabs>
          <w:tab w:val="left" w:pos="851"/>
        </w:tabs>
        <w:snapToGrid w:val="0"/>
        <w:contextualSpacing/>
      </w:pPr>
      <w:r>
        <w:rPr>
          <w:rFonts w:hint="eastAsia"/>
        </w:rPr>
        <w:t>长距离电缆线路无功补偿宜采用分散设置固定电抗器补偿和在配电所集中自动补偿相结合的补偿方式；用于无功补偿的电抗器宜采用中性点不接地（Y）接线形式</w:t>
      </w:r>
      <w:r w:rsidR="00043390" w:rsidRPr="00765F6E">
        <w:rPr>
          <w:rFonts w:hint="eastAsia"/>
        </w:rPr>
        <w:t>。</w:t>
      </w:r>
    </w:p>
    <w:p w14:paraId="6C1F0C39" w14:textId="03F9BE1A" w:rsidR="00043390" w:rsidRPr="00765F6E" w:rsidRDefault="00C1698F" w:rsidP="00043390">
      <w:pPr>
        <w:pStyle w:val="22"/>
      </w:pPr>
      <w:r>
        <w:rPr>
          <w:rFonts w:hint="eastAsia"/>
        </w:rPr>
        <w:t>中压配电网络中性点接地方式符合下列规定</w:t>
      </w:r>
      <w:r w:rsidR="00043390" w:rsidRPr="00765F6E">
        <w:rPr>
          <w:rFonts w:hint="eastAsia"/>
        </w:rPr>
        <w:t>：</w:t>
      </w:r>
    </w:p>
    <w:p w14:paraId="7E24D825" w14:textId="1F065630" w:rsidR="00043390" w:rsidRPr="00765F6E" w:rsidRDefault="00C1698F" w:rsidP="003334F3">
      <w:pPr>
        <w:pStyle w:val="af6"/>
        <w:numPr>
          <w:ilvl w:val="0"/>
          <w:numId w:val="182"/>
        </w:numPr>
        <w:tabs>
          <w:tab w:val="left" w:pos="851"/>
        </w:tabs>
        <w:snapToGrid w:val="0"/>
        <w:contextualSpacing/>
      </w:pPr>
      <w:r>
        <w:rPr>
          <w:rFonts w:hint="eastAsia"/>
        </w:rPr>
        <w:t>单相接地故障电容电流不大于10A时，应采用不接地方式</w:t>
      </w:r>
      <w:r w:rsidR="00043390" w:rsidRPr="00765F6E">
        <w:rPr>
          <w:rFonts w:hint="eastAsia"/>
        </w:rPr>
        <w:t>；</w:t>
      </w:r>
    </w:p>
    <w:p w14:paraId="668503F1" w14:textId="77777777" w:rsidR="00043390" w:rsidRPr="00765F6E" w:rsidRDefault="00043390" w:rsidP="003334F3">
      <w:pPr>
        <w:pStyle w:val="af6"/>
        <w:numPr>
          <w:ilvl w:val="0"/>
          <w:numId w:val="182"/>
        </w:numPr>
        <w:tabs>
          <w:tab w:val="left" w:pos="851"/>
        </w:tabs>
        <w:snapToGrid w:val="0"/>
        <w:contextualSpacing/>
      </w:pPr>
      <w:r w:rsidRPr="00765F6E">
        <w:rPr>
          <w:rFonts w:hint="eastAsia"/>
        </w:rPr>
        <w:t>单相接地故障电容电流不大于150A时，可采用低电阻接地方式或经消弧线圈接地方式；当单相接地故障电容电流大于150A时，宜采用低电阻接地方式；</w:t>
      </w:r>
    </w:p>
    <w:p w14:paraId="17F5222C" w14:textId="77777777" w:rsidR="00043390" w:rsidRPr="00765F6E" w:rsidRDefault="00043390" w:rsidP="003334F3">
      <w:pPr>
        <w:pStyle w:val="af6"/>
        <w:numPr>
          <w:ilvl w:val="0"/>
          <w:numId w:val="182"/>
        </w:numPr>
        <w:tabs>
          <w:tab w:val="left" w:pos="851"/>
        </w:tabs>
        <w:snapToGrid w:val="0"/>
        <w:contextualSpacing/>
      </w:pPr>
      <w:r w:rsidRPr="00765F6E">
        <w:rPr>
          <w:rFonts w:hint="eastAsia"/>
        </w:rPr>
        <w:t>全电缆线路宜采用低电阻接地方式；</w:t>
      </w:r>
    </w:p>
    <w:p w14:paraId="322CC1DC" w14:textId="77777777" w:rsidR="00043390" w:rsidRPr="00765F6E" w:rsidRDefault="00043390" w:rsidP="003334F3">
      <w:pPr>
        <w:pStyle w:val="af6"/>
        <w:numPr>
          <w:ilvl w:val="0"/>
          <w:numId w:val="182"/>
        </w:numPr>
        <w:tabs>
          <w:tab w:val="left" w:pos="851"/>
        </w:tabs>
        <w:snapToGrid w:val="0"/>
        <w:contextualSpacing/>
      </w:pPr>
      <w:r w:rsidRPr="00765F6E">
        <w:rPr>
          <w:rFonts w:hint="eastAsia"/>
        </w:rPr>
        <w:t>低电阻接地方式的接地电阻宜按单相接地电流400A、接地故障瞬时跳闸方式选择。</w:t>
      </w:r>
    </w:p>
    <w:p w14:paraId="7A15E085" w14:textId="2F4F8CB5" w:rsidR="00043390" w:rsidRPr="00765F6E" w:rsidRDefault="00C1698F" w:rsidP="00043390">
      <w:pPr>
        <w:pStyle w:val="22"/>
      </w:pPr>
      <w:r>
        <w:rPr>
          <w:rFonts w:hint="eastAsia"/>
        </w:rPr>
        <w:t>中压配电网络中性点经消弧线圈接地时，宜采用接地变压器构成中性点；中压配电网络中性点经低电阻接地时，可采用变压器副边中性点引出经电阻接地</w:t>
      </w:r>
      <w:r w:rsidR="00043390" w:rsidRPr="00765F6E">
        <w:rPr>
          <w:rFonts w:hint="eastAsia"/>
        </w:rPr>
        <w:t>。</w:t>
      </w:r>
    </w:p>
    <w:p w14:paraId="34535916" w14:textId="77777777" w:rsidR="00043390" w:rsidRPr="00765F6E" w:rsidRDefault="00043390" w:rsidP="00043390">
      <w:pPr>
        <w:pStyle w:val="affe"/>
        <w:spacing w:before="156" w:after="156"/>
      </w:pPr>
      <w:bookmarkStart w:id="2421" w:name="_Toc182476506"/>
      <w:r w:rsidRPr="00765F6E">
        <w:rPr>
          <w:rFonts w:hint="eastAsia"/>
        </w:rPr>
        <w:t>变、配电所</w:t>
      </w:r>
      <w:bookmarkEnd w:id="2421"/>
    </w:p>
    <w:p w14:paraId="6333D7E9" w14:textId="77777777" w:rsidR="00C1698F" w:rsidRDefault="00C1698F" w:rsidP="00C1698F">
      <w:pPr>
        <w:pStyle w:val="22"/>
      </w:pPr>
      <w:r>
        <w:rPr>
          <w:rFonts w:hint="eastAsia"/>
        </w:rPr>
        <w:t>电力变配电所与牵引变电所共用电源时，电力变压器应独立设置。</w:t>
      </w:r>
    </w:p>
    <w:p w14:paraId="56EEFFA0" w14:textId="77777777" w:rsidR="00C1698F" w:rsidRDefault="00C1698F" w:rsidP="00C1698F">
      <w:pPr>
        <w:pStyle w:val="22"/>
      </w:pPr>
      <w:r>
        <w:rPr>
          <w:rFonts w:hint="eastAsia"/>
        </w:rPr>
        <w:t>具有两路电源供电的35（20，10）kV变配电所应采用单母线分段接线。</w:t>
      </w:r>
    </w:p>
    <w:p w14:paraId="29D1923D" w14:textId="77777777" w:rsidR="00C1698F" w:rsidRDefault="00C1698F" w:rsidP="00C1698F">
      <w:pPr>
        <w:pStyle w:val="22"/>
      </w:pPr>
      <w:r>
        <w:rPr>
          <w:rFonts w:hAnsi="Times New Roman" w:cs="Times New Roman" w:hint="eastAsia"/>
          <w:szCs w:val="22"/>
        </w:rPr>
        <w:t>当中压配电网络采用电力贯通线路供电方式时，两端配电所出线开关应采用断路器；当中压配电网络采用双环网供电方式时，各环网</w:t>
      </w:r>
      <w:r>
        <w:rPr>
          <w:rFonts w:cs="Times New Roman" w:hint="eastAsia"/>
          <w:szCs w:val="22"/>
        </w:rPr>
        <w:t>进线及</w:t>
      </w:r>
      <w:r>
        <w:rPr>
          <w:rFonts w:hAnsi="Times New Roman" w:cs="Times New Roman" w:hint="eastAsia"/>
          <w:szCs w:val="22"/>
        </w:rPr>
        <w:t>分段开关</w:t>
      </w:r>
      <w:r>
        <w:rPr>
          <w:rFonts w:cs="Times New Roman" w:hint="eastAsia"/>
          <w:szCs w:val="22"/>
        </w:rPr>
        <w:t>处应</w:t>
      </w:r>
      <w:r>
        <w:rPr>
          <w:rFonts w:hAnsi="Times New Roman" w:cs="Times New Roman" w:hint="eastAsia"/>
          <w:szCs w:val="22"/>
        </w:rPr>
        <w:t>采用断路器</w:t>
      </w:r>
      <w:r>
        <w:rPr>
          <w:rFonts w:hint="eastAsia"/>
        </w:rPr>
        <w:t>。</w:t>
      </w:r>
    </w:p>
    <w:p w14:paraId="67E40453" w14:textId="77777777" w:rsidR="00C1698F" w:rsidRDefault="00C1698F" w:rsidP="00C1698F">
      <w:pPr>
        <w:pStyle w:val="22"/>
      </w:pPr>
      <w:r>
        <w:rPr>
          <w:rFonts w:hint="eastAsia"/>
        </w:rPr>
        <w:t>变配电所宜采用少维护、少维修设备。</w:t>
      </w:r>
    </w:p>
    <w:p w14:paraId="5C6AFFB9" w14:textId="3186E003" w:rsidR="00043390" w:rsidRPr="00765F6E" w:rsidRDefault="00C1698F" w:rsidP="00C1698F">
      <w:pPr>
        <w:pStyle w:val="22"/>
      </w:pPr>
      <w:r>
        <w:rPr>
          <w:rFonts w:hint="eastAsia"/>
        </w:rPr>
        <w:t>车站、运营控制中心、车辆基地（所、存车场）等宜优先考虑设置室内变电所配电，区间负荷</w:t>
      </w:r>
      <w:r>
        <w:rPr>
          <w:rFonts w:hint="eastAsia"/>
        </w:rPr>
        <w:lastRenderedPageBreak/>
        <w:t>在经过经济技术比选后可以考虑设置箱式变电所配电。箱式变电所符合下列规定</w:t>
      </w:r>
      <w:r w:rsidR="00043390" w:rsidRPr="00765F6E">
        <w:rPr>
          <w:rFonts w:hint="eastAsia"/>
        </w:rPr>
        <w:t>：</w:t>
      </w:r>
    </w:p>
    <w:p w14:paraId="0FE1396C" w14:textId="7740F60C" w:rsidR="00043390" w:rsidRPr="00765F6E" w:rsidRDefault="00C1698F" w:rsidP="003334F3">
      <w:pPr>
        <w:pStyle w:val="af6"/>
        <w:numPr>
          <w:ilvl w:val="0"/>
          <w:numId w:val="183"/>
        </w:numPr>
        <w:tabs>
          <w:tab w:val="left" w:pos="851"/>
        </w:tabs>
        <w:snapToGrid w:val="0"/>
        <w:contextualSpacing/>
      </w:pPr>
      <w:r>
        <w:rPr>
          <w:rFonts w:hint="eastAsia"/>
        </w:rPr>
        <w:t>出线回路较少、受场地限制，建设室内变电所困难的场所宜采用箱式变电所</w:t>
      </w:r>
      <w:r w:rsidR="00043390" w:rsidRPr="00765F6E">
        <w:rPr>
          <w:rFonts w:hint="eastAsia"/>
        </w:rPr>
        <w:t>；</w:t>
      </w:r>
    </w:p>
    <w:p w14:paraId="4E649636" w14:textId="2B269E8D" w:rsidR="00043390" w:rsidRPr="00765F6E" w:rsidRDefault="00C1698F" w:rsidP="003334F3">
      <w:pPr>
        <w:pStyle w:val="af6"/>
        <w:numPr>
          <w:ilvl w:val="0"/>
          <w:numId w:val="183"/>
        </w:numPr>
        <w:tabs>
          <w:tab w:val="left" w:pos="851"/>
        </w:tabs>
        <w:snapToGrid w:val="0"/>
        <w:contextualSpacing/>
      </w:pPr>
      <w:r>
        <w:rPr>
          <w:rFonts w:hint="eastAsia"/>
        </w:rPr>
        <w:t>当一座箱式变电所设有两台变压器时，若一台变压器供电单元发生故障，不应影响另一台变压器供电</w:t>
      </w:r>
      <w:r w:rsidR="00043390" w:rsidRPr="00765F6E">
        <w:rPr>
          <w:rFonts w:hint="eastAsia"/>
        </w:rPr>
        <w:t>；</w:t>
      </w:r>
    </w:p>
    <w:p w14:paraId="03E37561" w14:textId="1A6A3BAA" w:rsidR="00043390" w:rsidRPr="00765F6E" w:rsidRDefault="00C1698F" w:rsidP="003334F3">
      <w:pPr>
        <w:pStyle w:val="af6"/>
        <w:numPr>
          <w:ilvl w:val="0"/>
          <w:numId w:val="183"/>
        </w:numPr>
        <w:tabs>
          <w:tab w:val="left" w:pos="851"/>
        </w:tabs>
        <w:snapToGrid w:val="0"/>
        <w:contextualSpacing/>
      </w:pPr>
      <w:r>
        <w:rPr>
          <w:rFonts w:hint="eastAsia"/>
        </w:rPr>
        <w:t>与行车密切相关的通信信号箱式变电所、分支箱、箱式电抗器等箱式设备基础标高宜位于100年一遇高水位上，其余箱式设备不应设在地势低洼和可能积水的场所。箱式变电所基础通风口标高应高于室外场坪标高</w:t>
      </w:r>
      <w:r w:rsidR="00043390" w:rsidRPr="00765F6E">
        <w:rPr>
          <w:rFonts w:hint="eastAsia"/>
        </w:rPr>
        <w:t>；</w:t>
      </w:r>
    </w:p>
    <w:p w14:paraId="481AC2F5" w14:textId="77777777" w:rsidR="00043390" w:rsidRPr="00765F6E" w:rsidRDefault="00043390" w:rsidP="003334F3">
      <w:pPr>
        <w:pStyle w:val="af6"/>
        <w:numPr>
          <w:ilvl w:val="0"/>
          <w:numId w:val="183"/>
        </w:numPr>
        <w:tabs>
          <w:tab w:val="left" w:pos="851"/>
        </w:tabs>
        <w:snapToGrid w:val="0"/>
        <w:contextualSpacing/>
      </w:pPr>
      <w:r w:rsidRPr="00765F6E">
        <w:rPr>
          <w:rFonts w:hint="eastAsia"/>
        </w:rPr>
        <w:t>隧道内箱式变电所设备应有适应隧道环境特点的防护措施。</w:t>
      </w:r>
    </w:p>
    <w:p w14:paraId="45B61E19" w14:textId="77777777" w:rsidR="00043390" w:rsidRPr="00765F6E" w:rsidRDefault="00043390" w:rsidP="00043390">
      <w:pPr>
        <w:pStyle w:val="affe"/>
        <w:spacing w:before="156" w:after="156"/>
      </w:pPr>
      <w:bookmarkStart w:id="2422" w:name="_Toc182476507"/>
      <w:r w:rsidRPr="00765F6E">
        <w:rPr>
          <w:rFonts w:hint="eastAsia"/>
        </w:rPr>
        <w:t>电力线路</w:t>
      </w:r>
      <w:bookmarkEnd w:id="2422"/>
    </w:p>
    <w:p w14:paraId="1124B97D" w14:textId="77777777" w:rsidR="00C1698F" w:rsidRDefault="00C1698F" w:rsidP="00C1698F">
      <w:pPr>
        <w:pStyle w:val="22"/>
      </w:pPr>
      <w:r>
        <w:rPr>
          <w:rFonts w:hint="eastAsia"/>
        </w:rPr>
        <w:t>中压配电网络线路和站场电力线路宜采用电缆线路。</w:t>
      </w:r>
    </w:p>
    <w:p w14:paraId="48ECA097" w14:textId="77777777" w:rsidR="00C1698F" w:rsidRDefault="00C1698F" w:rsidP="00C1698F">
      <w:pPr>
        <w:pStyle w:val="22"/>
      </w:pPr>
      <w:r>
        <w:rPr>
          <w:rFonts w:hint="eastAsia"/>
        </w:rPr>
        <w:t>变配电所电源电缆线路长度大于3km时宜增加中间电缆开关箱，宜在其所内进线及上级变电站出线位置装设隔离开关装置。</w:t>
      </w:r>
    </w:p>
    <w:p w14:paraId="38D992D4" w14:textId="77777777" w:rsidR="00C1698F" w:rsidRDefault="00C1698F" w:rsidP="00C1698F">
      <w:pPr>
        <w:pStyle w:val="22"/>
      </w:pPr>
      <w:r>
        <w:rPr>
          <w:rFonts w:hint="eastAsia"/>
        </w:rPr>
        <w:t>交流系统单芯电缆应采用非磁性金属铠装层，不应采用未经非磁性有效处理的钢制电缆。交流单芯电缆以单根穿管时，不应采用未分隔磁路的钢管。</w:t>
      </w:r>
    </w:p>
    <w:p w14:paraId="0DE29DEB" w14:textId="77777777" w:rsidR="00C1698F" w:rsidRDefault="00C1698F" w:rsidP="00C1698F">
      <w:pPr>
        <w:pStyle w:val="22"/>
      </w:pPr>
      <w:r>
        <w:rPr>
          <w:rFonts w:hint="eastAsia"/>
        </w:rPr>
        <w:t>交流单芯电力电缆宜采用“品”字形敷设或三相全换位敷设方式。</w:t>
      </w:r>
    </w:p>
    <w:p w14:paraId="49D0FE1D" w14:textId="77777777" w:rsidR="00C1698F" w:rsidRDefault="00C1698F" w:rsidP="00C1698F">
      <w:pPr>
        <w:pStyle w:val="22"/>
      </w:pPr>
      <w:r>
        <w:rPr>
          <w:rFonts w:hint="eastAsia"/>
        </w:rPr>
        <w:t>交流单芯电力电缆金属套上应至少在一端直接接地，在任一非直接接地端的正常感应电势最大值，未采取能有效防止人员任意接触金属套的安全措施时，不得大于50V。</w:t>
      </w:r>
    </w:p>
    <w:p w14:paraId="71B16BC9" w14:textId="77777777" w:rsidR="00C1698F" w:rsidRDefault="00C1698F" w:rsidP="00C1698F">
      <w:pPr>
        <w:pStyle w:val="22"/>
      </w:pPr>
      <w:r>
        <w:rPr>
          <w:rFonts w:hint="eastAsia"/>
        </w:rPr>
        <w:t>电力电缆不宜与通信、信号等其他种类的电缆同沟槽敷设，并尽可能减少交叉。当没有避让条件，电力电缆与通信电缆、信号电缆同沟敷设时，应以防火阻燃材料采取隔离措施，其平行间距不应小于0.1m，交叉间距不应小于0.25m。</w:t>
      </w:r>
    </w:p>
    <w:p w14:paraId="2A55897C" w14:textId="3E80E246" w:rsidR="00043390" w:rsidRPr="00765F6E" w:rsidRDefault="00C1698F" w:rsidP="00C1698F">
      <w:pPr>
        <w:pStyle w:val="22"/>
      </w:pPr>
      <w:r>
        <w:rPr>
          <w:rFonts w:hint="eastAsia"/>
        </w:rPr>
        <w:t>对一级负荷供电的双电源电缆不宜敷设在同一径路或沟、槽内，当受条件限制设于同一沟、槽内时，应采取防止火灾蔓延的阻燃或分隔措施，并应根据其供电可靠性要求采取下列一种或数种措施</w:t>
      </w:r>
      <w:r w:rsidR="00043390" w:rsidRPr="00765F6E">
        <w:rPr>
          <w:rFonts w:hint="eastAsia"/>
        </w:rPr>
        <w:t>：</w:t>
      </w:r>
    </w:p>
    <w:p w14:paraId="2E88110C" w14:textId="77777777" w:rsidR="00043390" w:rsidRPr="00765F6E" w:rsidRDefault="00043390" w:rsidP="003334F3">
      <w:pPr>
        <w:pStyle w:val="af6"/>
        <w:numPr>
          <w:ilvl w:val="0"/>
          <w:numId w:val="184"/>
        </w:numPr>
        <w:tabs>
          <w:tab w:val="left" w:pos="851"/>
        </w:tabs>
        <w:snapToGrid w:val="0"/>
        <w:contextualSpacing/>
      </w:pPr>
      <w:r w:rsidRPr="00765F6E">
        <w:rPr>
          <w:rFonts w:hint="eastAsia"/>
        </w:rPr>
        <w:t>采用不燃性隔板、墙、保护管等分隔措施；</w:t>
      </w:r>
    </w:p>
    <w:p w14:paraId="3502B946" w14:textId="77777777" w:rsidR="00043390" w:rsidRPr="00765F6E" w:rsidRDefault="00043390" w:rsidP="003334F3">
      <w:pPr>
        <w:pStyle w:val="af6"/>
        <w:numPr>
          <w:ilvl w:val="0"/>
          <w:numId w:val="184"/>
        </w:numPr>
        <w:tabs>
          <w:tab w:val="left" w:pos="851"/>
        </w:tabs>
        <w:snapToGrid w:val="0"/>
        <w:contextualSpacing/>
      </w:pPr>
      <w:r w:rsidRPr="00765F6E">
        <w:rPr>
          <w:rFonts w:hint="eastAsia"/>
        </w:rPr>
        <w:t>电缆涂防火涂料；</w:t>
      </w:r>
    </w:p>
    <w:p w14:paraId="448A89F2" w14:textId="77777777" w:rsidR="00043390" w:rsidRPr="00765F6E" w:rsidRDefault="00043390" w:rsidP="003334F3">
      <w:pPr>
        <w:pStyle w:val="af6"/>
        <w:numPr>
          <w:ilvl w:val="0"/>
          <w:numId w:val="184"/>
        </w:numPr>
        <w:tabs>
          <w:tab w:val="left" w:pos="851"/>
        </w:tabs>
        <w:snapToGrid w:val="0"/>
        <w:contextualSpacing/>
      </w:pPr>
      <w:r w:rsidRPr="00765F6E">
        <w:rPr>
          <w:rFonts w:hint="eastAsia"/>
        </w:rPr>
        <w:t>一级负荷供电的双回电缆中的一回电缆采用耐火电缆；</w:t>
      </w:r>
    </w:p>
    <w:p w14:paraId="11DAE8C0" w14:textId="77777777" w:rsidR="00043390" w:rsidRPr="00765F6E" w:rsidRDefault="00043390" w:rsidP="003334F3">
      <w:pPr>
        <w:pStyle w:val="af6"/>
        <w:numPr>
          <w:ilvl w:val="0"/>
          <w:numId w:val="184"/>
        </w:numPr>
        <w:tabs>
          <w:tab w:val="left" w:pos="851"/>
        </w:tabs>
        <w:snapToGrid w:val="0"/>
        <w:contextualSpacing/>
      </w:pPr>
      <w:r w:rsidRPr="00765F6E">
        <w:rPr>
          <w:rFonts w:hint="eastAsia"/>
        </w:rPr>
        <w:t>分别设置在电缆沟的两侧支架上。</w:t>
      </w:r>
    </w:p>
    <w:p w14:paraId="161FCD71" w14:textId="3A2EC97D" w:rsidR="00043390" w:rsidRPr="00765F6E" w:rsidRDefault="00C1698F" w:rsidP="00043390">
      <w:pPr>
        <w:pStyle w:val="22"/>
      </w:pPr>
      <w:r>
        <w:rPr>
          <w:rFonts w:hint="eastAsia"/>
        </w:rPr>
        <w:t>市域铁路电线电缆与控制电缆的选择符合下列规定</w:t>
      </w:r>
      <w:r w:rsidR="00043390" w:rsidRPr="00765F6E">
        <w:rPr>
          <w:rFonts w:hint="eastAsia"/>
        </w:rPr>
        <w:t>：</w:t>
      </w:r>
    </w:p>
    <w:p w14:paraId="5D192AA9" w14:textId="77777777" w:rsidR="00043390" w:rsidRPr="00765F6E" w:rsidRDefault="00043390" w:rsidP="003334F3">
      <w:pPr>
        <w:pStyle w:val="af6"/>
        <w:numPr>
          <w:ilvl w:val="0"/>
          <w:numId w:val="185"/>
        </w:numPr>
        <w:tabs>
          <w:tab w:val="left" w:pos="851"/>
        </w:tabs>
        <w:snapToGrid w:val="0"/>
        <w:contextualSpacing/>
      </w:pPr>
      <w:r w:rsidRPr="00765F6E">
        <w:rPr>
          <w:rFonts w:hint="eastAsia"/>
        </w:rPr>
        <w:t>在车站、运营控制中心、地下区间敷设时应采用低烟、无卤、阻燃铜芯电线电缆。火灾时需要保证供电的消防设备供电干线及分支干线，应采用矿物绝缘类不燃性电缆，支线应采用低烟、无卤、阻燃、耐火铜芯电线电缆；</w:t>
      </w:r>
    </w:p>
    <w:p w14:paraId="29868198" w14:textId="177553AD" w:rsidR="00043390" w:rsidRPr="00765F6E" w:rsidRDefault="00043390" w:rsidP="003334F3">
      <w:pPr>
        <w:pStyle w:val="af6"/>
        <w:numPr>
          <w:ilvl w:val="0"/>
          <w:numId w:val="185"/>
        </w:numPr>
        <w:tabs>
          <w:tab w:val="left" w:pos="851"/>
        </w:tabs>
        <w:snapToGrid w:val="0"/>
        <w:contextualSpacing/>
      </w:pPr>
      <w:r w:rsidRPr="00765F6E">
        <w:rPr>
          <w:rFonts w:hint="eastAsia"/>
        </w:rPr>
        <w:t>在地上区间敷设时</w:t>
      </w:r>
      <w:r w:rsidR="001B5BEA" w:rsidRPr="001B5BEA">
        <w:rPr>
          <w:rFonts w:hint="eastAsia"/>
        </w:rPr>
        <w:t>宜采用防辐照电缆或采取防辐照措施</w:t>
      </w:r>
      <w:r w:rsidRPr="00765F6E">
        <w:rPr>
          <w:rFonts w:hint="eastAsia"/>
        </w:rPr>
        <w:t>。火灾时需要保证供电的消防设备供电干线及分支干线，宜采用矿物绝缘类不燃性电缆，支线宜采用低烟、无卤、阻燃、耐火铜芯电线电缆；</w:t>
      </w:r>
    </w:p>
    <w:p w14:paraId="282662C9" w14:textId="77777777" w:rsidR="00043390" w:rsidRPr="00765F6E" w:rsidRDefault="00043390" w:rsidP="003334F3">
      <w:pPr>
        <w:pStyle w:val="af6"/>
        <w:numPr>
          <w:ilvl w:val="0"/>
          <w:numId w:val="185"/>
        </w:numPr>
        <w:tabs>
          <w:tab w:val="left" w:pos="851"/>
        </w:tabs>
        <w:snapToGrid w:val="0"/>
        <w:contextualSpacing/>
      </w:pPr>
      <w:r w:rsidRPr="00765F6E">
        <w:rPr>
          <w:rFonts w:hint="eastAsia"/>
        </w:rPr>
        <w:t>在车辆基地（所、存车场）等各建筑物内敷设时，通信、信息、信号设备用房及电力变配电所等用房内、进出线路应采用阻燃铜芯电线电缆，火灾时需要保证供电的配电线路选择应符合</w:t>
      </w:r>
      <w:r w:rsidRPr="00765F6E">
        <w:t>GB 51348</w:t>
      </w:r>
      <w:r w:rsidRPr="00765F6E">
        <w:rPr>
          <w:rFonts w:hint="eastAsia"/>
        </w:rPr>
        <w:t>的有关规定。</w:t>
      </w:r>
    </w:p>
    <w:p w14:paraId="63A88632" w14:textId="79D68783" w:rsidR="00043390" w:rsidRPr="00765F6E" w:rsidRDefault="00043390" w:rsidP="00043390">
      <w:pPr>
        <w:pStyle w:val="22"/>
      </w:pPr>
      <w:r w:rsidRPr="00765F6E">
        <w:rPr>
          <w:rFonts w:hint="eastAsia"/>
        </w:rPr>
        <w:t>沿桥墩上、下桥的电力电缆应采用钢槽（管）敷设，钢槽（管）在地面以下埋深不应小于0.7m，在距离地面以上2m范围内钢槽（管）应采取砖砌围桩防护，当单芯电缆采用穿钢管敷设时，应满足</w:t>
      </w:r>
      <w:r w:rsidR="000D5DCB" w:rsidRPr="00453DBE">
        <w:t>20</w:t>
      </w:r>
      <w:r w:rsidRPr="000D5DCB">
        <w:t>.4.3</w:t>
      </w:r>
      <w:r w:rsidRPr="00C06C2E">
        <w:rPr>
          <w:rFonts w:hint="eastAsia"/>
        </w:rPr>
        <w:t>的有关要求</w:t>
      </w:r>
      <w:r w:rsidRPr="00765F6E">
        <w:rPr>
          <w:rFonts w:hint="eastAsia"/>
        </w:rPr>
        <w:t>。</w:t>
      </w:r>
    </w:p>
    <w:p w14:paraId="53310973" w14:textId="77777777" w:rsidR="00043390" w:rsidRPr="00765F6E" w:rsidRDefault="00043390" w:rsidP="00043390">
      <w:pPr>
        <w:pStyle w:val="affe"/>
        <w:spacing w:before="156" w:after="156"/>
      </w:pPr>
      <w:bookmarkStart w:id="2423" w:name="_Toc182476508"/>
      <w:r w:rsidRPr="00765F6E">
        <w:rPr>
          <w:rFonts w:hint="eastAsia"/>
        </w:rPr>
        <w:t>电力远动</w:t>
      </w:r>
      <w:bookmarkEnd w:id="2423"/>
    </w:p>
    <w:p w14:paraId="57329F31" w14:textId="77777777" w:rsidR="00C1698F" w:rsidRDefault="00C1698F" w:rsidP="00C1698F">
      <w:pPr>
        <w:pStyle w:val="22"/>
      </w:pPr>
      <w:r>
        <w:rPr>
          <w:rFonts w:hint="eastAsia"/>
        </w:rPr>
        <w:t>电力远动应作为市域铁路供电调度系统的一部分，应具有对市域铁路电力供电系统运行设备进行遥控、遥测、遥信及调度管理等主要功能。</w:t>
      </w:r>
    </w:p>
    <w:p w14:paraId="292707A2" w14:textId="4C1205DF" w:rsidR="00043390" w:rsidRPr="00765F6E" w:rsidRDefault="00C1698F" w:rsidP="00C1698F">
      <w:pPr>
        <w:pStyle w:val="22"/>
      </w:pPr>
      <w:r>
        <w:rPr>
          <w:rFonts w:hint="eastAsia"/>
        </w:rPr>
        <w:t>电力远动应对市域铁路变配电所的高压电气设备、交直流操作电源，降压变电所的高、低压电气设备及中压配电环网分段开关等进行监控，监控设备一并纳入电力监控系统管理</w:t>
      </w:r>
      <w:r w:rsidR="00043390" w:rsidRPr="00765F6E">
        <w:rPr>
          <w:rFonts w:hint="eastAsia"/>
        </w:rPr>
        <w:t>。</w:t>
      </w:r>
    </w:p>
    <w:p w14:paraId="595C8AF2" w14:textId="77777777" w:rsidR="00043390" w:rsidRPr="00765F6E" w:rsidRDefault="00043390" w:rsidP="00043390">
      <w:pPr>
        <w:pStyle w:val="affe"/>
        <w:spacing w:before="156" w:after="156"/>
      </w:pPr>
      <w:bookmarkStart w:id="2424" w:name="_Toc182476509"/>
      <w:r w:rsidRPr="00765F6E">
        <w:rPr>
          <w:rFonts w:hint="eastAsia"/>
        </w:rPr>
        <w:t>动力照明</w:t>
      </w:r>
      <w:bookmarkEnd w:id="2424"/>
    </w:p>
    <w:p w14:paraId="4E4B4F7D" w14:textId="77777777" w:rsidR="00043390" w:rsidRPr="00765F6E" w:rsidRDefault="00043390" w:rsidP="00043390">
      <w:pPr>
        <w:pStyle w:val="22"/>
      </w:pPr>
      <w:r w:rsidRPr="00765F6E">
        <w:rPr>
          <w:rFonts w:hint="eastAsia"/>
        </w:rPr>
        <w:lastRenderedPageBreak/>
        <w:t>动力照明配电应符合下列规定：</w:t>
      </w:r>
    </w:p>
    <w:p w14:paraId="3A3545A1" w14:textId="568B3718" w:rsidR="00043390" w:rsidRPr="00765F6E" w:rsidRDefault="00C1698F" w:rsidP="003334F3">
      <w:pPr>
        <w:pStyle w:val="af6"/>
        <w:numPr>
          <w:ilvl w:val="0"/>
          <w:numId w:val="186"/>
        </w:numPr>
        <w:tabs>
          <w:tab w:val="left" w:pos="851"/>
        </w:tabs>
        <w:snapToGrid w:val="0"/>
        <w:contextualSpacing/>
      </w:pPr>
      <w:r>
        <w:rPr>
          <w:rFonts w:hint="eastAsia"/>
        </w:rPr>
        <w:t>负荷性质重要或用电负荷容量较大的集中设备应采用放射式配电</w:t>
      </w:r>
      <w:r w:rsidR="00043390" w:rsidRPr="00765F6E">
        <w:rPr>
          <w:rFonts w:hint="eastAsia"/>
        </w:rPr>
        <w:t>；</w:t>
      </w:r>
    </w:p>
    <w:p w14:paraId="28BCF573" w14:textId="77777777" w:rsidR="00043390" w:rsidRPr="00765F6E" w:rsidRDefault="00043390" w:rsidP="003334F3">
      <w:pPr>
        <w:pStyle w:val="af6"/>
        <w:numPr>
          <w:ilvl w:val="0"/>
          <w:numId w:val="186"/>
        </w:numPr>
        <w:tabs>
          <w:tab w:val="left" w:pos="851"/>
        </w:tabs>
        <w:snapToGrid w:val="0"/>
        <w:contextualSpacing/>
      </w:pPr>
      <w:r w:rsidRPr="00765F6E">
        <w:rPr>
          <w:rFonts w:hint="eastAsia"/>
        </w:rPr>
        <w:t>中小容量动力设备宜采用树干式配电。用电点集中且容量较小的次要用电设备可采用链式配电，链接的设备不宜超过5台，其总容量不应超过10kW。</w:t>
      </w:r>
    </w:p>
    <w:p w14:paraId="74210CF3" w14:textId="0E52DE79" w:rsidR="00043390" w:rsidRPr="00765F6E" w:rsidRDefault="00043390" w:rsidP="00043390">
      <w:pPr>
        <w:pStyle w:val="22"/>
      </w:pPr>
      <w:r w:rsidRPr="00765F6E">
        <w:rPr>
          <w:rFonts w:hint="eastAsia"/>
        </w:rPr>
        <w:t>市域铁路室内场所照明应分为正常照明和应急照明，各场所的照明照度值应符合GB/T 16275和GB 50034的规定，</w:t>
      </w:r>
      <w:r w:rsidR="00C91DD1">
        <w:rPr>
          <w:rFonts w:hint="eastAsia"/>
        </w:rPr>
        <w:t>并</w:t>
      </w:r>
      <w:r w:rsidR="001B5BEA">
        <w:rPr>
          <w:rFonts w:hint="eastAsia"/>
        </w:rPr>
        <w:t>参考</w:t>
      </w:r>
      <w:r w:rsidRPr="00453DBE">
        <w:t>TB 10089的</w:t>
      </w:r>
      <w:r w:rsidR="00C91DD1">
        <w:rPr>
          <w:rFonts w:hint="eastAsia"/>
        </w:rPr>
        <w:t>要求</w:t>
      </w:r>
      <w:r w:rsidRPr="00765F6E">
        <w:rPr>
          <w:rFonts w:hint="eastAsia"/>
        </w:rPr>
        <w:t>。</w:t>
      </w:r>
    </w:p>
    <w:p w14:paraId="32FAADC1" w14:textId="77777777" w:rsidR="00043390" w:rsidRPr="00765F6E" w:rsidRDefault="00043390" w:rsidP="00043390">
      <w:pPr>
        <w:pStyle w:val="22"/>
      </w:pPr>
      <w:r w:rsidRPr="00765F6E">
        <w:rPr>
          <w:rFonts w:hint="eastAsia"/>
        </w:rPr>
        <w:t>应急照明包括疏散照明和备用照明，应符合下列规定：</w:t>
      </w:r>
    </w:p>
    <w:p w14:paraId="55E8991B" w14:textId="369CC467" w:rsidR="00043390" w:rsidRPr="00765F6E" w:rsidRDefault="00C1698F" w:rsidP="003334F3">
      <w:pPr>
        <w:pStyle w:val="af6"/>
        <w:numPr>
          <w:ilvl w:val="0"/>
          <w:numId w:val="187"/>
        </w:numPr>
        <w:tabs>
          <w:tab w:val="left" w:pos="851"/>
        </w:tabs>
        <w:snapToGrid w:val="0"/>
        <w:contextualSpacing/>
      </w:pPr>
      <w:r>
        <w:rPr>
          <w:rFonts w:hint="eastAsia"/>
        </w:rPr>
        <w:t>备用照明应设置于运营控制中心的调度大厅、综控室、售票室、通信机房、信号机房、信息机房、变配电所的控制室、高压开关柜室、变电所、配电间、自备电源室、消防控制室、消防泵房、防排烟机房等重要场所以及火灾时仍需要坚持工作的其他场所</w:t>
      </w:r>
      <w:r w:rsidR="00E35D7F">
        <w:rPr>
          <w:rFonts w:hint="eastAsia"/>
        </w:rPr>
        <w:t>；</w:t>
      </w:r>
    </w:p>
    <w:p w14:paraId="57469266" w14:textId="3DDCB5DA" w:rsidR="00043390" w:rsidRPr="00765F6E" w:rsidRDefault="00C1698F" w:rsidP="003334F3">
      <w:pPr>
        <w:pStyle w:val="af6"/>
        <w:numPr>
          <w:ilvl w:val="0"/>
          <w:numId w:val="187"/>
        </w:numPr>
        <w:tabs>
          <w:tab w:val="left" w:pos="851"/>
        </w:tabs>
        <w:snapToGrid w:val="0"/>
        <w:contextualSpacing/>
      </w:pPr>
      <w:r>
        <w:rPr>
          <w:rFonts w:hint="eastAsia"/>
        </w:rPr>
        <w:t>变配电所的控制室、高压开关柜室，消防控制室，变电所，自备电源室，消防泵房，防排烟机房以及火灾时仍需要坚持工作的消防设备房，其备用照明照度值不应低于该场所正常照明的照度值；运营控制中心的调度大厅，综控室，通信机房、信号机房、信息机房等，其备用照明照度值不应低于该场所正常照明的照度值的50%；其他场所的备用照明照度值除另有规定外，不应低于正常照明照度值的10%</w:t>
      </w:r>
      <w:r w:rsidR="00043390" w:rsidRPr="00765F6E">
        <w:rPr>
          <w:rFonts w:hint="eastAsia"/>
        </w:rPr>
        <w:t>；</w:t>
      </w:r>
    </w:p>
    <w:p w14:paraId="496B3AFB" w14:textId="42870C81" w:rsidR="00043390" w:rsidRPr="00765F6E" w:rsidRDefault="00B91FF8" w:rsidP="003334F3">
      <w:pPr>
        <w:pStyle w:val="af6"/>
        <w:numPr>
          <w:ilvl w:val="0"/>
          <w:numId w:val="187"/>
        </w:numPr>
        <w:tabs>
          <w:tab w:val="left" w:pos="851"/>
        </w:tabs>
        <w:snapToGrid w:val="0"/>
        <w:contextualSpacing/>
      </w:pPr>
      <w:r w:rsidRPr="00B91FF8">
        <w:rPr>
          <w:rFonts w:hint="eastAsia"/>
        </w:rPr>
        <w:t>疏散照明应设置于区间隧道，车站站厅、站台、自动扶梯、楼梯、出入口通道、附属用房区的内走道及安全出口等，运营控制中心及车辆基地（所、存车场）等单体建筑的疏散通道、疏散楼梯间、消防电梯间、安全出口等</w:t>
      </w:r>
      <w:r w:rsidR="00043390" w:rsidRPr="00765F6E">
        <w:rPr>
          <w:rFonts w:hint="eastAsia"/>
        </w:rPr>
        <w:t>；</w:t>
      </w:r>
    </w:p>
    <w:p w14:paraId="31C2868D" w14:textId="5C797312" w:rsidR="00043390" w:rsidRPr="00765F6E" w:rsidRDefault="00C1698F" w:rsidP="003334F3">
      <w:pPr>
        <w:pStyle w:val="af6"/>
        <w:numPr>
          <w:ilvl w:val="0"/>
          <w:numId w:val="187"/>
        </w:numPr>
        <w:tabs>
          <w:tab w:val="left" w:pos="851"/>
        </w:tabs>
        <w:snapToGrid w:val="0"/>
        <w:contextualSpacing/>
      </w:pPr>
      <w:r>
        <w:rPr>
          <w:rFonts w:hint="eastAsia"/>
        </w:rPr>
        <w:t>车站站厅、站台、出入口通道、楼梯间等公共场所应设置夜间值班照明，其照度值不应低于正常照明照度标准值的 10%</w:t>
      </w:r>
      <w:r w:rsidR="00043390" w:rsidRPr="00765F6E">
        <w:rPr>
          <w:rFonts w:hint="eastAsia"/>
        </w:rPr>
        <w:t>；</w:t>
      </w:r>
    </w:p>
    <w:p w14:paraId="0EB0A11F" w14:textId="089A4D78" w:rsidR="00043390" w:rsidRPr="00765F6E" w:rsidRDefault="00C1698F" w:rsidP="003334F3">
      <w:pPr>
        <w:pStyle w:val="af6"/>
        <w:numPr>
          <w:ilvl w:val="0"/>
          <w:numId w:val="187"/>
        </w:numPr>
        <w:tabs>
          <w:tab w:val="left" w:pos="851"/>
        </w:tabs>
        <w:snapToGrid w:val="0"/>
        <w:contextualSpacing/>
      </w:pPr>
      <w:r>
        <w:rPr>
          <w:rFonts w:hint="eastAsia"/>
        </w:rPr>
        <w:t>备用照明持续供电时间及疏散照明照度值应满足</w:t>
      </w:r>
      <w:r>
        <w:t>GB 50016</w:t>
      </w:r>
      <w:r w:rsidR="00B91FF8">
        <w:rPr>
          <w:rFonts w:hint="eastAsia"/>
        </w:rPr>
        <w:t>、</w:t>
      </w:r>
      <w:r w:rsidR="00B91FF8" w:rsidRPr="00B91FF8">
        <w:rPr>
          <w:rFonts w:hint="eastAsia"/>
        </w:rPr>
        <w:t>GB 51309</w:t>
      </w:r>
      <w:r>
        <w:rPr>
          <w:rFonts w:hint="eastAsia"/>
        </w:rPr>
        <w:t>的规定，</w:t>
      </w:r>
      <w:r w:rsidR="00C91DD1">
        <w:rPr>
          <w:rFonts w:hint="eastAsia"/>
        </w:rPr>
        <w:t>并</w:t>
      </w:r>
      <w:r w:rsidR="00B91FF8">
        <w:rPr>
          <w:rFonts w:hint="eastAsia"/>
        </w:rPr>
        <w:t>参考</w:t>
      </w:r>
      <w:r>
        <w:rPr>
          <w:rFonts w:hint="eastAsia"/>
        </w:rPr>
        <w:t xml:space="preserve">GB/T </w:t>
      </w:r>
      <w:bookmarkStart w:id="2425" w:name="OLE_LINK25"/>
      <w:r>
        <w:rPr>
          <w:rFonts w:hint="eastAsia"/>
        </w:rPr>
        <w:t>16275</w:t>
      </w:r>
      <w:bookmarkEnd w:id="2425"/>
      <w:r>
        <w:rPr>
          <w:rFonts w:hint="eastAsia"/>
        </w:rPr>
        <w:t>等的要求。其中,楼梯间、前室、避难走道的疏散照明照度不应低于5.0Ix；车站站厅、站台等人员密集场所的疏散照明照度不应低于3.0lx；疏散走道不应低于1.0lx</w:t>
      </w:r>
      <w:r w:rsidR="00043390" w:rsidRPr="00765F6E">
        <w:rPr>
          <w:rFonts w:hint="eastAsia"/>
        </w:rPr>
        <w:t>。</w:t>
      </w:r>
    </w:p>
    <w:p w14:paraId="2921EA32" w14:textId="77777777" w:rsidR="00043390" w:rsidRPr="00765F6E" w:rsidRDefault="00043390" w:rsidP="00043390">
      <w:pPr>
        <w:pStyle w:val="22"/>
      </w:pPr>
      <w:r w:rsidRPr="00765F6E">
        <w:rPr>
          <w:rFonts w:hint="eastAsia"/>
        </w:rPr>
        <w:t>室内各场所及地下区间应急照明持续供电时间应满足GB 50016及GB/T</w:t>
      </w:r>
      <w:r w:rsidRPr="00765F6E">
        <w:t xml:space="preserve"> </w:t>
      </w:r>
      <w:r w:rsidRPr="00765F6E">
        <w:rPr>
          <w:rFonts w:hint="eastAsia"/>
        </w:rPr>
        <w:t>16275等的要求。</w:t>
      </w:r>
    </w:p>
    <w:p w14:paraId="15224207" w14:textId="77777777" w:rsidR="00043390" w:rsidRPr="00765F6E" w:rsidRDefault="00043390" w:rsidP="00043390">
      <w:pPr>
        <w:pStyle w:val="22"/>
      </w:pPr>
      <w:r w:rsidRPr="00765F6E">
        <w:rPr>
          <w:rFonts w:hint="eastAsia"/>
        </w:rPr>
        <w:t>区间隧道动力照明设计符合下列规定：</w:t>
      </w:r>
    </w:p>
    <w:p w14:paraId="5E4BD36B" w14:textId="6711F500" w:rsidR="00043390" w:rsidRPr="00765F6E" w:rsidRDefault="00043390" w:rsidP="003334F3">
      <w:pPr>
        <w:pStyle w:val="af6"/>
        <w:numPr>
          <w:ilvl w:val="0"/>
          <w:numId w:val="188"/>
        </w:numPr>
        <w:tabs>
          <w:tab w:val="left" w:pos="851"/>
        </w:tabs>
        <w:snapToGrid w:val="0"/>
        <w:contextualSpacing/>
      </w:pPr>
      <w:r w:rsidRPr="00765F6E">
        <w:rPr>
          <w:rFonts w:hint="eastAsia"/>
        </w:rPr>
        <w:t>地下区间应设置一般照明、应急照明及检修电源</w:t>
      </w:r>
      <w:r w:rsidR="00550008">
        <w:rPr>
          <w:rFonts w:hint="eastAsia"/>
        </w:rPr>
        <w:t>；</w:t>
      </w:r>
    </w:p>
    <w:p w14:paraId="1DFA97A6" w14:textId="55A8D876" w:rsidR="00043390" w:rsidRPr="00765F6E" w:rsidRDefault="00C1698F" w:rsidP="003334F3">
      <w:pPr>
        <w:pStyle w:val="af6"/>
        <w:numPr>
          <w:ilvl w:val="0"/>
          <w:numId w:val="188"/>
        </w:numPr>
        <w:tabs>
          <w:tab w:val="left" w:pos="851"/>
        </w:tabs>
        <w:snapToGrid w:val="0"/>
        <w:contextualSpacing/>
      </w:pPr>
      <w:r>
        <w:rPr>
          <w:rFonts w:hint="eastAsia"/>
        </w:rPr>
        <w:t>地下区间风机、水泵等动力用电负荷及照明负荷宜以区间中心为界，分别由两端相邻车站变电所供电，</w:t>
      </w:r>
      <w:r w:rsidR="00B91FF8" w:rsidRPr="00B91FF8">
        <w:rPr>
          <w:rFonts w:hint="eastAsia"/>
        </w:rPr>
        <w:t>或经技术经济比较后设置变电所供电</w:t>
      </w:r>
      <w:r w:rsidR="00043390" w:rsidRPr="00765F6E">
        <w:rPr>
          <w:rFonts w:hint="eastAsia"/>
        </w:rPr>
        <w:t>；</w:t>
      </w:r>
    </w:p>
    <w:p w14:paraId="4328FA70" w14:textId="33357D57" w:rsidR="00043390" w:rsidRPr="00765F6E" w:rsidRDefault="00C1698F" w:rsidP="003334F3">
      <w:pPr>
        <w:pStyle w:val="af6"/>
        <w:numPr>
          <w:ilvl w:val="0"/>
          <w:numId w:val="188"/>
        </w:numPr>
        <w:tabs>
          <w:tab w:val="left" w:pos="851"/>
        </w:tabs>
        <w:snapToGrid w:val="0"/>
        <w:contextualSpacing/>
      </w:pPr>
      <w:r>
        <w:rPr>
          <w:rFonts w:hint="eastAsia"/>
        </w:rPr>
        <w:t>照明灯具及配电线路应具有防潮、防风压、防腐蚀、防震动等功能；其灯具的外壳防护等级不宜低于 IP65</w:t>
      </w:r>
      <w:r w:rsidR="00043390" w:rsidRPr="00765F6E">
        <w:rPr>
          <w:rFonts w:hint="eastAsia"/>
        </w:rPr>
        <w:t>。</w:t>
      </w:r>
    </w:p>
    <w:p w14:paraId="161C61DF" w14:textId="77777777" w:rsidR="00043390" w:rsidRPr="00765F6E" w:rsidRDefault="00043390" w:rsidP="00043390">
      <w:pPr>
        <w:pStyle w:val="22"/>
      </w:pPr>
      <w:r w:rsidRPr="00765F6E">
        <w:rPr>
          <w:rFonts w:hint="eastAsia"/>
        </w:rPr>
        <w:t>消防疏散指示标志和消防应急照明灯具应符合</w:t>
      </w:r>
      <w:r w:rsidRPr="00765F6E">
        <w:t>GB 13495、GB 17945</w:t>
      </w:r>
      <w:r w:rsidRPr="00765F6E">
        <w:rPr>
          <w:rFonts w:hint="eastAsia"/>
        </w:rPr>
        <w:t>和</w:t>
      </w:r>
      <w:r w:rsidRPr="00765F6E">
        <w:t>GB 51309</w:t>
      </w:r>
      <w:r w:rsidRPr="00765F6E">
        <w:rPr>
          <w:rFonts w:hint="eastAsia"/>
        </w:rPr>
        <w:t>的规定。</w:t>
      </w:r>
    </w:p>
    <w:p w14:paraId="59E370EA" w14:textId="77777777" w:rsidR="00043390" w:rsidRPr="00765F6E" w:rsidRDefault="00043390" w:rsidP="00043390">
      <w:pPr>
        <w:pStyle w:val="22"/>
      </w:pPr>
      <w:r w:rsidRPr="00765F6E">
        <w:rPr>
          <w:rFonts w:hint="eastAsia"/>
        </w:rPr>
        <w:t>动力照明的其他设计要求应符合GB 50054、GB 50055和</w:t>
      </w:r>
      <w:r w:rsidRPr="00765F6E">
        <w:t>GB 51348</w:t>
      </w:r>
      <w:r w:rsidRPr="00765F6E">
        <w:rPr>
          <w:rFonts w:hint="eastAsia"/>
        </w:rPr>
        <w:t>等的规定。</w:t>
      </w:r>
    </w:p>
    <w:p w14:paraId="056FB719" w14:textId="77777777" w:rsidR="00043390" w:rsidRPr="00765F6E" w:rsidRDefault="00043390" w:rsidP="00043390">
      <w:pPr>
        <w:pStyle w:val="affe"/>
        <w:spacing w:before="156" w:after="156"/>
      </w:pPr>
      <w:bookmarkStart w:id="2426" w:name="_Toc182476510"/>
      <w:r w:rsidRPr="00765F6E">
        <w:rPr>
          <w:rFonts w:hint="eastAsia"/>
        </w:rPr>
        <w:t>接口设计</w:t>
      </w:r>
      <w:bookmarkEnd w:id="2426"/>
    </w:p>
    <w:p w14:paraId="29CFF7C0" w14:textId="2F1A3539" w:rsidR="00043390" w:rsidRPr="00765F6E" w:rsidRDefault="00C1698F" w:rsidP="00043390">
      <w:pPr>
        <w:pStyle w:val="22"/>
      </w:pPr>
      <w:r>
        <w:rPr>
          <w:rFonts w:hint="eastAsia"/>
        </w:rPr>
        <w:t>电力供电系统考虑外部电源引接时，应与电力部门、规划部门协调确定外部电源方案和电源线规划路径等工作，并明确接口界面</w:t>
      </w:r>
      <w:r w:rsidR="00043390" w:rsidRPr="00765F6E">
        <w:rPr>
          <w:rFonts w:hint="eastAsia"/>
        </w:rPr>
        <w:t>。</w:t>
      </w:r>
    </w:p>
    <w:p w14:paraId="01D571AC" w14:textId="1D9A7632" w:rsidR="00043390" w:rsidRPr="00765F6E" w:rsidRDefault="00C1698F" w:rsidP="00453DBE">
      <w:pPr>
        <w:pStyle w:val="22"/>
      </w:pPr>
      <w:r>
        <w:rPr>
          <w:rFonts w:hint="eastAsia"/>
        </w:rPr>
        <w:t>市域铁路电力工程应充分考虑与土建工程、外部设施和相关系统的接口，做到经济合理，便于运行及维护。</w:t>
      </w:r>
    </w:p>
    <w:p w14:paraId="0350FEF2" w14:textId="493E8F99" w:rsidR="00043390" w:rsidRPr="00765F6E" w:rsidRDefault="00C1698F" w:rsidP="00453DBE">
      <w:pPr>
        <w:pStyle w:val="22"/>
      </w:pPr>
      <w:r>
        <w:rPr>
          <w:rFonts w:hint="eastAsia"/>
        </w:rPr>
        <w:t>市域铁路电力工程应考虑技术对接与兼容、产权划分、管理界面、施工工序和工艺等方面的需求，合理确定接口形式的界面</w:t>
      </w:r>
      <w:r w:rsidR="00043390" w:rsidRPr="00765F6E">
        <w:rPr>
          <w:rFonts w:hint="eastAsia"/>
        </w:rPr>
        <w:t>。</w:t>
      </w:r>
    </w:p>
    <w:p w14:paraId="55513453" w14:textId="73EAA923" w:rsidR="00043390" w:rsidRPr="00765F6E" w:rsidRDefault="00C1698F" w:rsidP="00043390">
      <w:pPr>
        <w:pStyle w:val="22"/>
      </w:pPr>
      <w:r>
        <w:rPr>
          <w:rFonts w:hint="eastAsia"/>
        </w:rPr>
        <w:t>区间及站场范围内电力电缆的敷设应与路基、隧道、桥梁、站场等进行协同设计，电力电缆沟、槽及支架的设置应满足电缆敷设需求</w:t>
      </w:r>
      <w:r w:rsidR="00043390" w:rsidRPr="00765F6E">
        <w:rPr>
          <w:rFonts w:hint="eastAsia"/>
        </w:rPr>
        <w:t>。</w:t>
      </w:r>
    </w:p>
    <w:p w14:paraId="27513226" w14:textId="4375ECFF" w:rsidR="00043390" w:rsidRPr="00765F6E" w:rsidRDefault="00C1698F" w:rsidP="00043390">
      <w:pPr>
        <w:pStyle w:val="22"/>
      </w:pPr>
      <w:r>
        <w:rPr>
          <w:rFonts w:hint="eastAsia"/>
        </w:rPr>
        <w:t>电力供配电系统用房设计时应与相关专业进行协同设计，应统筹考虑房屋的面积、设置位置等</w:t>
      </w:r>
      <w:r w:rsidR="00043390" w:rsidRPr="00765F6E">
        <w:rPr>
          <w:rFonts w:hint="eastAsia"/>
        </w:rPr>
        <w:t>。</w:t>
      </w:r>
    </w:p>
    <w:p w14:paraId="24DC1E58" w14:textId="27F71245" w:rsidR="00737EB2" w:rsidRPr="00765F6E" w:rsidRDefault="00737EB2" w:rsidP="00737EB2">
      <w:pPr>
        <w:pStyle w:val="affd"/>
        <w:spacing w:before="312" w:after="312"/>
      </w:pPr>
      <w:bookmarkStart w:id="2427" w:name="_Toc99792501"/>
      <w:bookmarkStart w:id="2428" w:name="_Toc153291939"/>
      <w:bookmarkStart w:id="2429" w:name="_Toc153210942"/>
      <w:bookmarkStart w:id="2430" w:name="_Toc167895840"/>
      <w:bookmarkStart w:id="2431" w:name="_Toc174538754"/>
      <w:bookmarkStart w:id="2432" w:name="_Toc182476511"/>
      <w:r w:rsidRPr="00765F6E">
        <w:rPr>
          <w:rFonts w:hint="eastAsia"/>
        </w:rPr>
        <w:t>信号</w:t>
      </w:r>
      <w:bookmarkEnd w:id="2427"/>
      <w:bookmarkEnd w:id="2428"/>
      <w:bookmarkEnd w:id="2429"/>
      <w:bookmarkEnd w:id="2430"/>
      <w:bookmarkEnd w:id="2431"/>
      <w:bookmarkEnd w:id="2432"/>
    </w:p>
    <w:p w14:paraId="2B84EE50" w14:textId="77777777" w:rsidR="00737EB2" w:rsidRPr="00765F6E" w:rsidRDefault="00737EB2" w:rsidP="00737EB2">
      <w:pPr>
        <w:pStyle w:val="affe"/>
        <w:spacing w:before="156" w:after="156"/>
      </w:pPr>
      <w:bookmarkStart w:id="2433" w:name="_Toc153210943"/>
      <w:bookmarkStart w:id="2434" w:name="_Toc153291940"/>
      <w:bookmarkStart w:id="2435" w:name="_Toc99792502"/>
      <w:bookmarkStart w:id="2436" w:name="_Toc167895841"/>
      <w:bookmarkStart w:id="2437" w:name="_Toc174538755"/>
      <w:bookmarkStart w:id="2438" w:name="_Toc182476512"/>
      <w:r w:rsidRPr="00765F6E">
        <w:rPr>
          <w:rFonts w:hint="eastAsia"/>
        </w:rPr>
        <w:t>一般规定</w:t>
      </w:r>
      <w:bookmarkEnd w:id="2433"/>
      <w:bookmarkEnd w:id="2434"/>
      <w:bookmarkEnd w:id="2435"/>
      <w:bookmarkEnd w:id="2436"/>
      <w:bookmarkEnd w:id="2437"/>
      <w:bookmarkEnd w:id="2438"/>
    </w:p>
    <w:p w14:paraId="3E6CCD1B" w14:textId="77777777" w:rsidR="00F00EA5" w:rsidRPr="00453DBE" w:rsidRDefault="00F00EA5" w:rsidP="00F00EA5">
      <w:pPr>
        <w:pStyle w:val="22"/>
      </w:pPr>
      <w:bookmarkStart w:id="2439" w:name="_Toc153291941"/>
      <w:bookmarkStart w:id="2440" w:name="_Toc99792503"/>
      <w:r w:rsidRPr="00453DBE">
        <w:rPr>
          <w:rFonts w:hint="eastAsia"/>
        </w:rPr>
        <w:t>信号系统设计应满足江苏省市域铁路路网规划、行车组织和运营管理的需要，应符合网络化和</w:t>
      </w:r>
      <w:r w:rsidRPr="00453DBE">
        <w:rPr>
          <w:rFonts w:hint="eastAsia"/>
        </w:rPr>
        <w:lastRenderedPageBreak/>
        <w:t>公交化运营组织的要求，实现资源共享和互联互通。</w:t>
      </w:r>
    </w:p>
    <w:p w14:paraId="6F055FEB" w14:textId="77777777" w:rsidR="00F00EA5" w:rsidRPr="00453DBE" w:rsidRDefault="00F00EA5" w:rsidP="00F00EA5">
      <w:pPr>
        <w:pStyle w:val="22"/>
      </w:pPr>
      <w:r w:rsidRPr="00453DBE">
        <w:rPr>
          <w:rFonts w:hint="eastAsia"/>
        </w:rPr>
        <w:t>信号系统应具有高可靠性、高可用性和高安全性；涉及行车安全的系统、设备及电路应符合“故障—安全”原则。</w:t>
      </w:r>
    </w:p>
    <w:p w14:paraId="3C3DB5C7" w14:textId="7F5684EF" w:rsidR="00F00EA5" w:rsidRDefault="00F00EA5" w:rsidP="00F00EA5">
      <w:pPr>
        <w:pStyle w:val="22"/>
      </w:pPr>
      <w:r w:rsidRPr="00453DBE">
        <w:rPr>
          <w:rFonts w:hint="eastAsia"/>
        </w:rPr>
        <w:t>信号系统设计应符合双线、双方向运行要求。</w:t>
      </w:r>
    </w:p>
    <w:p w14:paraId="764EFF68" w14:textId="4DA21D94" w:rsidR="000F6E0A" w:rsidRPr="00453DBE" w:rsidRDefault="000F6E0A" w:rsidP="000F6E0A">
      <w:pPr>
        <w:pStyle w:val="22"/>
      </w:pPr>
      <w:r>
        <w:rPr>
          <w:rFonts w:hint="eastAsia"/>
        </w:rPr>
        <w:t>信号系统应满足线路系统运输能力及跨线运营需求，可选择</w:t>
      </w:r>
      <w:r>
        <w:t xml:space="preserve"> CTCS制式、CBTC制式或兼容CTCS制式和CBTC制式的列车运行控制系统</w:t>
      </w:r>
      <w:r w:rsidRPr="00453DBE">
        <w:rPr>
          <w:rFonts w:hint="eastAsia"/>
        </w:rPr>
        <w:t>。</w:t>
      </w:r>
    </w:p>
    <w:p w14:paraId="5CDC63D8" w14:textId="51431A51" w:rsidR="000F6E0A" w:rsidRPr="00FB1D1F" w:rsidRDefault="000F6E0A" w:rsidP="000F6E0A">
      <w:pPr>
        <w:pStyle w:val="22"/>
      </w:pPr>
      <w:r w:rsidRPr="00BF0BA3">
        <w:rPr>
          <w:rFonts w:hint="eastAsia"/>
        </w:rPr>
        <w:t>信号系统制式选择应符合下列规定</w:t>
      </w:r>
      <w:r w:rsidRPr="00FB1D1F">
        <w:rPr>
          <w:rFonts w:hint="eastAsia"/>
        </w:rPr>
        <w:t>：</w:t>
      </w:r>
    </w:p>
    <w:p w14:paraId="165563E1" w14:textId="3AF42C73" w:rsidR="000F6E0A" w:rsidRPr="00FB1D1F" w:rsidRDefault="000F6E0A" w:rsidP="000F6E0A">
      <w:pPr>
        <w:pStyle w:val="af6"/>
        <w:numPr>
          <w:ilvl w:val="0"/>
          <w:numId w:val="355"/>
        </w:numPr>
      </w:pPr>
      <w:r w:rsidRPr="00BF0BA3">
        <w:rPr>
          <w:rFonts w:hint="eastAsia"/>
        </w:rPr>
        <w:t>独立运行的市域（郊）铁路信号系统可采用</w:t>
      </w:r>
      <w:r w:rsidRPr="00BF0BA3">
        <w:t> </w:t>
      </w:r>
      <w:r w:rsidRPr="00BF0BA3">
        <w:t>CTCS</w:t>
      </w:r>
      <w:r w:rsidRPr="00BF0BA3">
        <w:t> </w:t>
      </w:r>
      <w:r w:rsidRPr="00BF0BA3">
        <w:rPr>
          <w:rFonts w:hint="eastAsia"/>
        </w:rPr>
        <w:t>制式或</w:t>
      </w:r>
      <w:r w:rsidRPr="00BF0BA3">
        <w:t> </w:t>
      </w:r>
      <w:r w:rsidRPr="00BF0BA3">
        <w:t>ATC</w:t>
      </w:r>
      <w:r w:rsidRPr="00BF0BA3">
        <w:t> </w:t>
      </w:r>
      <w:r w:rsidRPr="00BF0BA3">
        <w:rPr>
          <w:rFonts w:hint="eastAsia"/>
        </w:rPr>
        <w:t>制式；</w:t>
      </w:r>
    </w:p>
    <w:p w14:paraId="445A0AF3" w14:textId="1CCC6631" w:rsidR="000F6E0A" w:rsidRPr="000F6E0A" w:rsidRDefault="000F6E0A" w:rsidP="00BF0BA3">
      <w:pPr>
        <w:pStyle w:val="af6"/>
        <w:numPr>
          <w:ilvl w:val="0"/>
          <w:numId w:val="355"/>
        </w:numPr>
      </w:pPr>
      <w:r w:rsidRPr="00BF0BA3">
        <w:rPr>
          <w:rFonts w:hint="eastAsia"/>
        </w:rPr>
        <w:t>与干线铁路、城际铁路跨线运行的市域（郊）铁路信号系统应采用</w:t>
      </w:r>
      <w:r w:rsidRPr="00BF0BA3">
        <w:rPr>
          <w:rFonts w:hint="eastAsia"/>
        </w:rPr>
        <w:t> </w:t>
      </w:r>
      <w:r w:rsidRPr="00BF0BA3">
        <w:t>CTCS</w:t>
      </w:r>
      <w:r w:rsidRPr="00BF0BA3">
        <w:rPr>
          <w:rFonts w:hint="eastAsia"/>
        </w:rPr>
        <w:t> </w:t>
      </w:r>
      <w:r w:rsidRPr="00BF0BA3">
        <w:rPr>
          <w:rFonts w:hint="eastAsia"/>
        </w:rPr>
        <w:t>制式</w:t>
      </w:r>
      <w:r w:rsidR="00FB1D1F" w:rsidRPr="00BF0BA3">
        <w:rPr>
          <w:rFonts w:hint="eastAsia"/>
        </w:rPr>
        <w:t>。</w:t>
      </w:r>
    </w:p>
    <w:p w14:paraId="361FF829" w14:textId="77777777" w:rsidR="00F00EA5" w:rsidRPr="00453DBE" w:rsidRDefault="00F00EA5" w:rsidP="00F00EA5">
      <w:pPr>
        <w:pStyle w:val="22"/>
      </w:pPr>
      <w:r w:rsidRPr="00453DBE">
        <w:rPr>
          <w:rFonts w:hint="eastAsia"/>
        </w:rPr>
        <w:t>信号系统应具有良好的电磁兼容性，能适应牵引供电、车辆及雷电等电磁干扰环境。</w:t>
      </w:r>
    </w:p>
    <w:p w14:paraId="03801564" w14:textId="77777777" w:rsidR="00F00EA5" w:rsidRPr="00453DBE" w:rsidRDefault="00F00EA5" w:rsidP="00F00EA5">
      <w:pPr>
        <w:pStyle w:val="22"/>
      </w:pPr>
      <w:r w:rsidRPr="00453DBE">
        <w:rPr>
          <w:rFonts w:hint="eastAsia"/>
        </w:rPr>
        <w:t>信号系统地面设备应采用统一的时间信息，车载设备和地面设备宜采用统一的时间信息。</w:t>
      </w:r>
    </w:p>
    <w:p w14:paraId="231F37ED" w14:textId="77777777" w:rsidR="00737EB2" w:rsidRPr="00A7607F" w:rsidRDefault="00737EB2" w:rsidP="00737EB2">
      <w:pPr>
        <w:pStyle w:val="affe"/>
        <w:spacing w:before="156" w:after="156"/>
      </w:pPr>
      <w:bookmarkStart w:id="2441" w:name="_Toc99792509"/>
      <w:bookmarkStart w:id="2442" w:name="_Toc153210944"/>
      <w:bookmarkStart w:id="2443" w:name="_Toc153291947"/>
      <w:bookmarkStart w:id="2444" w:name="_Toc167895842"/>
      <w:bookmarkStart w:id="2445" w:name="_Toc174538756"/>
      <w:bookmarkStart w:id="2446" w:name="_Toc182476513"/>
      <w:bookmarkEnd w:id="2439"/>
      <w:bookmarkEnd w:id="2440"/>
      <w:r w:rsidRPr="00A7607F">
        <w:rPr>
          <w:rFonts w:hint="eastAsia"/>
        </w:rPr>
        <w:t>系统要求</w:t>
      </w:r>
      <w:bookmarkEnd w:id="2441"/>
      <w:bookmarkEnd w:id="2442"/>
      <w:bookmarkEnd w:id="2443"/>
      <w:bookmarkEnd w:id="2444"/>
      <w:bookmarkEnd w:id="2445"/>
      <w:bookmarkEnd w:id="2446"/>
    </w:p>
    <w:p w14:paraId="0DB2F562" w14:textId="60B2EA19" w:rsidR="00F00EA5" w:rsidRPr="00453DBE" w:rsidRDefault="00F00EA5" w:rsidP="00F00EA5">
      <w:pPr>
        <w:pStyle w:val="22"/>
      </w:pPr>
      <w:bookmarkStart w:id="2447" w:name="_Toc99792510"/>
      <w:bookmarkStart w:id="2448" w:name="_Toc153291948"/>
      <w:r w:rsidRPr="00453DBE">
        <w:rPr>
          <w:rFonts w:hint="eastAsia"/>
        </w:rPr>
        <w:t>信号系统应具有行车调度指挥</w:t>
      </w:r>
      <w:r w:rsidR="00FB1D1F">
        <w:t>/</w:t>
      </w:r>
      <w:r w:rsidRPr="00453DBE">
        <w:rPr>
          <w:rFonts w:hint="eastAsia"/>
        </w:rPr>
        <w:t>列车运行监视</w:t>
      </w:r>
      <w:r w:rsidR="00FB1D1F">
        <w:rPr>
          <w:rFonts w:hint="eastAsia"/>
        </w:rPr>
        <w:t>、</w:t>
      </w:r>
      <w:r w:rsidRPr="00453DBE">
        <w:rPr>
          <w:rFonts w:hint="eastAsia"/>
        </w:rPr>
        <w:t>控制和安全防护功能，具有降级运用的能力，应配置行车调度指挥系统、列车自动防护系统（</w:t>
      </w:r>
      <w:r w:rsidRPr="00453DBE">
        <w:t>ATP）</w:t>
      </w:r>
      <w:r w:rsidRPr="00453DBE">
        <w:rPr>
          <w:rFonts w:hint="eastAsia"/>
        </w:rPr>
        <w:t>、列车自动运行系统（</w:t>
      </w:r>
      <w:r w:rsidRPr="00453DBE">
        <w:t>ATO）</w:t>
      </w:r>
      <w:r w:rsidRPr="00453DBE">
        <w:rPr>
          <w:rFonts w:hint="eastAsia"/>
        </w:rPr>
        <w:t>、车站联锁系统，并应设置维护</w:t>
      </w:r>
      <w:r w:rsidR="00167951">
        <w:rPr>
          <w:rFonts w:hint="eastAsia"/>
        </w:rPr>
        <w:t>监测</w:t>
      </w:r>
      <w:r w:rsidRPr="00453DBE">
        <w:rPr>
          <w:rFonts w:hint="eastAsia"/>
        </w:rPr>
        <w:t>设备。</w:t>
      </w:r>
    </w:p>
    <w:p w14:paraId="257C576B" w14:textId="6E594393" w:rsidR="00F00EA5" w:rsidRPr="00453DBE" w:rsidRDefault="00F00EA5" w:rsidP="00F00EA5">
      <w:pPr>
        <w:pStyle w:val="22"/>
      </w:pPr>
      <w:r w:rsidRPr="00453DBE">
        <w:rPr>
          <w:rFonts w:hint="eastAsia"/>
        </w:rPr>
        <w:t>信号系统应包括正线和车辆基地信号系统</w:t>
      </w:r>
      <w:r w:rsidR="00550008">
        <w:rPr>
          <w:rFonts w:hint="eastAsia"/>
        </w:rPr>
        <w:t>：</w:t>
      </w:r>
    </w:p>
    <w:p w14:paraId="2E325ACC" w14:textId="77777777" w:rsidR="00F00EA5" w:rsidRPr="00453DBE" w:rsidRDefault="00F00EA5" w:rsidP="003334F3">
      <w:pPr>
        <w:pStyle w:val="af6"/>
        <w:numPr>
          <w:ilvl w:val="0"/>
          <w:numId w:val="303"/>
        </w:numPr>
        <w:snapToGrid w:val="0"/>
        <w:contextualSpacing/>
      </w:pPr>
      <w:r w:rsidRPr="00453DBE">
        <w:rPr>
          <w:rFonts w:hint="eastAsia"/>
        </w:rPr>
        <w:t>正线信号系统车载设备应采用目标距离连续速度控制模式，应以车载信号显示作为行车凭证，按双方向运行设计，宜采用移动闭塞，反向运行时可具备列车自动防护功能。区间地面可根据需要设置通过信号机或标志牌；</w:t>
      </w:r>
    </w:p>
    <w:p w14:paraId="5CD1FD0E" w14:textId="77777777" w:rsidR="00F00EA5" w:rsidRPr="00453DBE" w:rsidRDefault="00F00EA5" w:rsidP="003334F3">
      <w:pPr>
        <w:pStyle w:val="af6"/>
        <w:tabs>
          <w:tab w:val="left" w:pos="851"/>
        </w:tabs>
        <w:snapToGrid w:val="0"/>
        <w:contextualSpacing/>
      </w:pPr>
      <w:r w:rsidRPr="00453DBE">
        <w:rPr>
          <w:rFonts w:hint="eastAsia"/>
        </w:rPr>
        <w:t>车辆基地应纳入信号系统的监视范围，宜采用与正线一致的信号系统；</w:t>
      </w:r>
    </w:p>
    <w:p w14:paraId="7EE5DDB8" w14:textId="77777777" w:rsidR="00F00EA5" w:rsidRPr="00453DBE" w:rsidRDefault="00F00EA5" w:rsidP="003334F3">
      <w:pPr>
        <w:pStyle w:val="af6"/>
        <w:tabs>
          <w:tab w:val="left" w:pos="851"/>
        </w:tabs>
        <w:snapToGrid w:val="0"/>
        <w:contextualSpacing/>
      </w:pPr>
      <w:r w:rsidRPr="00453DBE">
        <w:rPr>
          <w:rFonts w:hint="eastAsia"/>
        </w:rPr>
        <w:t>车辆基地信号系统、设备的配置应满足列车进、出车辆基地和在车辆基地内进行列车作业或调车作业的需求。</w:t>
      </w:r>
    </w:p>
    <w:p w14:paraId="5377E1AA" w14:textId="4ACBB033" w:rsidR="00F00EA5" w:rsidRPr="00453DBE" w:rsidRDefault="00F00EA5" w:rsidP="00F00EA5">
      <w:pPr>
        <w:pStyle w:val="22"/>
      </w:pPr>
      <w:r w:rsidRPr="00453DBE">
        <w:rPr>
          <w:rFonts w:hint="eastAsia"/>
        </w:rPr>
        <w:t>信号系统应根据行车组织需要，满足线路跨线运营的要求以及公交化运营组织的要求，</w:t>
      </w:r>
      <w:r w:rsidR="00FB1D1F" w:rsidRPr="00BF0BA3">
        <w:rPr>
          <w:rFonts w:hint="eastAsia"/>
        </w:rPr>
        <w:t>满足线路不同车辆编组混跑的运营模式要求</w:t>
      </w:r>
      <w:r w:rsidRPr="00453DBE">
        <w:rPr>
          <w:rFonts w:hint="eastAsia"/>
        </w:rPr>
        <w:t>。</w:t>
      </w:r>
    </w:p>
    <w:p w14:paraId="3919207B" w14:textId="77777777" w:rsidR="00F00EA5" w:rsidRPr="00453DBE" w:rsidRDefault="00F00EA5" w:rsidP="00F00EA5">
      <w:pPr>
        <w:pStyle w:val="22"/>
      </w:pPr>
      <w:r w:rsidRPr="00453DBE">
        <w:rPr>
          <w:rFonts w:hint="eastAsia"/>
        </w:rPr>
        <w:t>跨线运营线路应采用统一或兼容的信号制式，以实现列车不停车跨线运营，并能够满足线网统一行车调度指挥需求。</w:t>
      </w:r>
    </w:p>
    <w:p w14:paraId="13FFF3D7" w14:textId="77777777" w:rsidR="00F00EA5" w:rsidRPr="00453DBE" w:rsidRDefault="00F00EA5" w:rsidP="00F00EA5">
      <w:pPr>
        <w:pStyle w:val="22"/>
      </w:pPr>
      <w:r w:rsidRPr="00453DBE">
        <w:rPr>
          <w:rFonts w:hint="eastAsia"/>
        </w:rPr>
        <w:t>系统中涉及与行车安全功能相关的设备应采用多重冗余结构。冗余设备的切换不应影响设备的连续工作。</w:t>
      </w:r>
    </w:p>
    <w:p w14:paraId="5D3A3AD2" w14:textId="77777777" w:rsidR="00F00EA5" w:rsidRPr="00453DBE" w:rsidRDefault="00F00EA5" w:rsidP="00F00EA5">
      <w:pPr>
        <w:pStyle w:val="22"/>
      </w:pPr>
      <w:r w:rsidRPr="00453DBE">
        <w:rPr>
          <w:rFonts w:hint="eastAsia"/>
        </w:rPr>
        <w:t>涉及行车安全的设备之间信息传输处理应符合“故障—安全”原则。</w:t>
      </w:r>
    </w:p>
    <w:p w14:paraId="1DEF8194" w14:textId="77777777" w:rsidR="00F00EA5" w:rsidRPr="00453DBE" w:rsidRDefault="00F00EA5" w:rsidP="00F00EA5">
      <w:pPr>
        <w:pStyle w:val="22"/>
      </w:pPr>
      <w:r w:rsidRPr="00453DBE">
        <w:rPr>
          <w:rFonts w:hint="eastAsia"/>
        </w:rPr>
        <w:t>信号系统应能降级运用，并具有一定的故障复原能力。</w:t>
      </w:r>
    </w:p>
    <w:p w14:paraId="084AC4D7" w14:textId="77777777" w:rsidR="00F00EA5" w:rsidRPr="00453DBE" w:rsidRDefault="00F00EA5" w:rsidP="00F00EA5">
      <w:pPr>
        <w:pStyle w:val="22"/>
      </w:pPr>
      <w:r w:rsidRPr="00453DBE">
        <w:rPr>
          <w:rFonts w:hint="eastAsia"/>
        </w:rPr>
        <w:t>行车调度指挥系统应具备中心和车站两级控制。系统控制应包括控制（调度）中心自动控制、控制（调度）中心人工控制、车站自动控制及车站人工控制，应遵循人工控制优先于自动控制，车站控制优先于控制（调度）中心控制的原则。中心与车站控制权转换过程中，不应影响列车运行。</w:t>
      </w:r>
    </w:p>
    <w:p w14:paraId="376E16D1" w14:textId="6942E51E" w:rsidR="00F00EA5" w:rsidRPr="00453DBE" w:rsidRDefault="00F00EA5" w:rsidP="00F00EA5">
      <w:pPr>
        <w:pStyle w:val="22"/>
      </w:pPr>
      <w:r w:rsidRPr="00453DBE">
        <w:rPr>
          <w:rFonts w:hint="eastAsia"/>
        </w:rPr>
        <w:t>列车驾驶模式应包括自动驾驶模式、列车自动防护下的人工驾驶模式、非限制人工驾驶模式</w:t>
      </w:r>
      <w:r w:rsidR="00D54326">
        <w:rPr>
          <w:rFonts w:hint="eastAsia"/>
        </w:rPr>
        <w:t>、限制人工驾驶模式</w:t>
      </w:r>
      <w:r w:rsidRPr="00453DBE">
        <w:rPr>
          <w:rFonts w:hint="eastAsia"/>
        </w:rPr>
        <w:t>等。列车应能够根据需要实现自动折返功能，列车折返作业宜采用</w:t>
      </w:r>
      <w:r w:rsidRPr="00453DBE">
        <w:t>ATO模式，折返过程中应保持列车定位和驾驶模式处理功能的完整性。</w:t>
      </w:r>
    </w:p>
    <w:p w14:paraId="156E17EF" w14:textId="69D1C12A" w:rsidR="00F00EA5" w:rsidRPr="00453DBE" w:rsidRDefault="00F00EA5" w:rsidP="00F00EA5">
      <w:pPr>
        <w:pStyle w:val="22"/>
      </w:pPr>
      <w:r w:rsidRPr="00453DBE">
        <w:rPr>
          <w:rFonts w:hint="eastAsia"/>
        </w:rPr>
        <w:t>信号系统能力应与线路规模、列车最小运行间隔相适应。折返站的折返能力、出入车辆基地能力应与正线列车最小运行间隔相适应并留有不小于</w:t>
      </w:r>
      <w:r w:rsidRPr="00453DBE">
        <w:t>10%的余量。信号系统监控和管理的列车数量应按最小追踪间隔能力所需的列车数量设计，并应留有不小于30%的余量。</w:t>
      </w:r>
    </w:p>
    <w:p w14:paraId="3B98F4A8" w14:textId="77777777" w:rsidR="00F00EA5" w:rsidRPr="00453DBE" w:rsidRDefault="00F00EA5" w:rsidP="00F00EA5">
      <w:pPr>
        <w:pStyle w:val="22"/>
      </w:pPr>
      <w:r w:rsidRPr="00453DBE">
        <w:rPr>
          <w:rFonts w:hint="eastAsia"/>
        </w:rPr>
        <w:t>信号系统应能与通信、信息、综合监控、站台门、灾害监测等系统接口。</w:t>
      </w:r>
    </w:p>
    <w:p w14:paraId="75EE99C9" w14:textId="5586F17D" w:rsidR="00F00EA5" w:rsidRPr="00453DBE" w:rsidRDefault="00F00EA5" w:rsidP="00F00EA5">
      <w:pPr>
        <w:pStyle w:val="22"/>
      </w:pPr>
      <w:r w:rsidRPr="00453DBE">
        <w:rPr>
          <w:rFonts w:hint="eastAsia"/>
        </w:rPr>
        <w:t>信号系统中涉及行车安全的设备安全完整性等级应符合表</w:t>
      </w:r>
      <w:r w:rsidR="001C1F75" w:rsidRPr="00453DBE">
        <w:t>8</w:t>
      </w:r>
      <w:r w:rsidR="00DC77F2">
        <w:t>6</w:t>
      </w:r>
      <w:r w:rsidRPr="00453DBE">
        <w:rPr>
          <w:rFonts w:hint="eastAsia"/>
        </w:rPr>
        <w:t>的规定：</w:t>
      </w:r>
    </w:p>
    <w:bookmarkEnd w:id="2447"/>
    <w:bookmarkEnd w:id="2448"/>
    <w:p w14:paraId="344122F1" w14:textId="0C846EB4" w:rsidR="00737EB2" w:rsidRPr="00A7607F" w:rsidRDefault="00737EB2" w:rsidP="00737EB2">
      <w:pPr>
        <w:pStyle w:val="aff3"/>
        <w:spacing w:before="156" w:after="156"/>
      </w:pPr>
      <w:r w:rsidRPr="00A7607F">
        <w:rPr>
          <w:rFonts w:hint="eastAsia"/>
        </w:rPr>
        <w:t>安全完整性等级</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737EB2" w:rsidRPr="00A7607F" w14:paraId="0E379E7D" w14:textId="77777777" w:rsidTr="00871D47">
        <w:trPr>
          <w:trHeight w:val="176"/>
        </w:trPr>
        <w:tc>
          <w:tcPr>
            <w:tcW w:w="2500" w:type="pct"/>
            <w:tcBorders>
              <w:top w:val="single" w:sz="8" w:space="0" w:color="auto"/>
              <w:bottom w:val="single" w:sz="8" w:space="0" w:color="auto"/>
            </w:tcBorders>
            <w:shd w:val="clear" w:color="auto" w:fill="auto"/>
            <w:vAlign w:val="center"/>
          </w:tcPr>
          <w:p w14:paraId="41E65570" w14:textId="77777777" w:rsidR="00737EB2" w:rsidRPr="00A7607F" w:rsidRDefault="00737EB2" w:rsidP="00871D47">
            <w:pPr>
              <w:spacing w:line="240" w:lineRule="auto"/>
              <w:jc w:val="center"/>
              <w:textAlignment w:val="center"/>
              <w:rPr>
                <w:rFonts w:hAnsi="宋体"/>
                <w:sz w:val="18"/>
                <w:szCs w:val="18"/>
              </w:rPr>
            </w:pPr>
            <w:r w:rsidRPr="00A7607F">
              <w:rPr>
                <w:rFonts w:hAnsi="宋体" w:hint="eastAsia"/>
                <w:sz w:val="18"/>
                <w:szCs w:val="18"/>
              </w:rPr>
              <w:t>子系统或设备</w:t>
            </w:r>
            <w:r w:rsidRPr="00A7607F">
              <w:rPr>
                <w:rFonts w:hAnsi="宋体" w:hint="eastAsia"/>
                <w:sz w:val="18"/>
                <w:szCs w:val="18"/>
              </w:rPr>
              <w:t xml:space="preserve">  </w:t>
            </w:r>
          </w:p>
        </w:tc>
        <w:tc>
          <w:tcPr>
            <w:tcW w:w="2500" w:type="pct"/>
            <w:tcBorders>
              <w:top w:val="single" w:sz="8" w:space="0" w:color="auto"/>
              <w:bottom w:val="single" w:sz="8" w:space="0" w:color="auto"/>
            </w:tcBorders>
            <w:shd w:val="clear" w:color="auto" w:fill="auto"/>
            <w:vAlign w:val="center"/>
          </w:tcPr>
          <w:p w14:paraId="3C687404" w14:textId="77777777" w:rsidR="00737EB2" w:rsidRPr="00A7607F" w:rsidRDefault="00737EB2" w:rsidP="00871D47">
            <w:pPr>
              <w:spacing w:line="240" w:lineRule="auto"/>
              <w:jc w:val="center"/>
              <w:textAlignment w:val="center"/>
              <w:rPr>
                <w:rFonts w:hAnsi="宋体"/>
                <w:sz w:val="18"/>
                <w:szCs w:val="18"/>
              </w:rPr>
            </w:pPr>
            <w:r w:rsidRPr="00A7607F">
              <w:rPr>
                <w:rFonts w:hAnsi="宋体" w:hint="eastAsia"/>
                <w:sz w:val="18"/>
                <w:szCs w:val="18"/>
              </w:rPr>
              <w:t>安全完整性等级</w:t>
            </w:r>
          </w:p>
        </w:tc>
      </w:tr>
      <w:tr w:rsidR="00737EB2" w:rsidRPr="00A7607F" w14:paraId="7EE4DB87" w14:textId="77777777" w:rsidTr="00871D47">
        <w:trPr>
          <w:trHeight w:val="176"/>
        </w:trPr>
        <w:tc>
          <w:tcPr>
            <w:tcW w:w="2500" w:type="pct"/>
            <w:tcBorders>
              <w:top w:val="single" w:sz="8" w:space="0" w:color="auto"/>
            </w:tcBorders>
            <w:shd w:val="clear" w:color="auto" w:fill="auto"/>
            <w:vAlign w:val="center"/>
          </w:tcPr>
          <w:p w14:paraId="06C7DD82" w14:textId="3CCD5CE2" w:rsidR="00737EB2" w:rsidRPr="00A7607F" w:rsidRDefault="00737EB2" w:rsidP="00871D47">
            <w:pPr>
              <w:spacing w:line="240" w:lineRule="auto"/>
              <w:jc w:val="center"/>
              <w:textAlignment w:val="center"/>
              <w:rPr>
                <w:rFonts w:hAnsi="宋体"/>
                <w:sz w:val="18"/>
                <w:szCs w:val="18"/>
              </w:rPr>
            </w:pPr>
            <w:r w:rsidRPr="00A7607F">
              <w:rPr>
                <w:rFonts w:hAnsi="宋体" w:hint="eastAsia"/>
                <w:sz w:val="18"/>
                <w:szCs w:val="18"/>
              </w:rPr>
              <w:t>列车自动防护系统</w:t>
            </w:r>
          </w:p>
        </w:tc>
        <w:tc>
          <w:tcPr>
            <w:tcW w:w="2500" w:type="pct"/>
            <w:tcBorders>
              <w:top w:val="single" w:sz="8" w:space="0" w:color="auto"/>
            </w:tcBorders>
            <w:shd w:val="clear" w:color="auto" w:fill="auto"/>
            <w:vAlign w:val="center"/>
          </w:tcPr>
          <w:p w14:paraId="3C896B44" w14:textId="77777777" w:rsidR="00737EB2" w:rsidRPr="00A7607F" w:rsidRDefault="00737EB2" w:rsidP="00871D47">
            <w:pPr>
              <w:spacing w:line="240" w:lineRule="auto"/>
              <w:jc w:val="center"/>
              <w:textAlignment w:val="center"/>
              <w:rPr>
                <w:rFonts w:hAnsi="宋体"/>
                <w:sz w:val="18"/>
                <w:szCs w:val="18"/>
              </w:rPr>
            </w:pPr>
            <w:r w:rsidRPr="00A7607F">
              <w:rPr>
                <w:rFonts w:hAnsi="宋体" w:hint="eastAsia"/>
                <w:sz w:val="18"/>
                <w:szCs w:val="18"/>
              </w:rPr>
              <w:t xml:space="preserve">4 </w:t>
            </w:r>
            <w:r w:rsidRPr="00A7607F">
              <w:rPr>
                <w:rFonts w:hAnsi="宋体" w:hint="eastAsia"/>
                <w:sz w:val="18"/>
                <w:szCs w:val="18"/>
              </w:rPr>
              <w:t>级</w:t>
            </w:r>
          </w:p>
        </w:tc>
      </w:tr>
      <w:tr w:rsidR="00737EB2" w:rsidRPr="00A7607F" w14:paraId="3FEFAD45" w14:textId="77777777" w:rsidTr="00871D47">
        <w:trPr>
          <w:trHeight w:val="176"/>
        </w:trPr>
        <w:tc>
          <w:tcPr>
            <w:tcW w:w="2500" w:type="pct"/>
            <w:shd w:val="clear" w:color="auto" w:fill="auto"/>
            <w:vAlign w:val="center"/>
          </w:tcPr>
          <w:p w14:paraId="2CC6C35A" w14:textId="77777777" w:rsidR="00737EB2" w:rsidRPr="00A7607F" w:rsidRDefault="00737EB2" w:rsidP="00871D47">
            <w:pPr>
              <w:spacing w:line="240" w:lineRule="auto"/>
              <w:jc w:val="center"/>
              <w:textAlignment w:val="center"/>
              <w:rPr>
                <w:rFonts w:hAnsi="宋体"/>
                <w:sz w:val="18"/>
                <w:szCs w:val="18"/>
              </w:rPr>
            </w:pPr>
            <w:r w:rsidRPr="00A7607F">
              <w:rPr>
                <w:rFonts w:hAnsi="宋体" w:hint="eastAsia"/>
                <w:sz w:val="18"/>
                <w:szCs w:val="18"/>
              </w:rPr>
              <w:t>列车自动运行系统</w:t>
            </w:r>
            <w:r w:rsidRPr="00A7607F">
              <w:rPr>
                <w:rFonts w:hAnsi="宋体" w:hint="eastAsia"/>
                <w:sz w:val="18"/>
                <w:szCs w:val="18"/>
              </w:rPr>
              <w:t xml:space="preserve"> </w:t>
            </w:r>
          </w:p>
        </w:tc>
        <w:tc>
          <w:tcPr>
            <w:tcW w:w="2500" w:type="pct"/>
            <w:shd w:val="clear" w:color="auto" w:fill="auto"/>
            <w:vAlign w:val="center"/>
          </w:tcPr>
          <w:p w14:paraId="60413088" w14:textId="77777777" w:rsidR="00737EB2" w:rsidRPr="00A7607F" w:rsidRDefault="00737EB2" w:rsidP="00871D47">
            <w:pPr>
              <w:spacing w:line="240" w:lineRule="auto"/>
              <w:jc w:val="center"/>
              <w:textAlignment w:val="center"/>
              <w:rPr>
                <w:rFonts w:hAnsi="宋体"/>
                <w:sz w:val="18"/>
                <w:szCs w:val="18"/>
              </w:rPr>
            </w:pPr>
            <w:r w:rsidRPr="00A7607F">
              <w:rPr>
                <w:rFonts w:hAnsi="宋体" w:hint="eastAsia"/>
                <w:sz w:val="18"/>
                <w:szCs w:val="18"/>
              </w:rPr>
              <w:t xml:space="preserve">2 </w:t>
            </w:r>
            <w:r w:rsidRPr="00A7607F">
              <w:rPr>
                <w:rFonts w:hAnsi="宋体" w:hint="eastAsia"/>
                <w:sz w:val="18"/>
                <w:szCs w:val="18"/>
              </w:rPr>
              <w:t>级</w:t>
            </w:r>
          </w:p>
        </w:tc>
      </w:tr>
      <w:tr w:rsidR="00737EB2" w:rsidRPr="00A7607F" w14:paraId="459E414E" w14:textId="77777777" w:rsidTr="00871D47">
        <w:trPr>
          <w:trHeight w:val="176"/>
        </w:trPr>
        <w:tc>
          <w:tcPr>
            <w:tcW w:w="2500" w:type="pct"/>
            <w:shd w:val="clear" w:color="auto" w:fill="auto"/>
            <w:vAlign w:val="center"/>
          </w:tcPr>
          <w:p w14:paraId="68D6FE11" w14:textId="77777777" w:rsidR="00737EB2" w:rsidRPr="00A7607F" w:rsidRDefault="00737EB2" w:rsidP="00871D47">
            <w:pPr>
              <w:spacing w:line="240" w:lineRule="auto"/>
              <w:jc w:val="center"/>
              <w:textAlignment w:val="center"/>
              <w:rPr>
                <w:rFonts w:hAnsi="宋体"/>
                <w:sz w:val="18"/>
                <w:szCs w:val="18"/>
              </w:rPr>
            </w:pPr>
            <w:r w:rsidRPr="00A7607F">
              <w:rPr>
                <w:rFonts w:hAnsi="宋体" w:hint="eastAsia"/>
                <w:sz w:val="18"/>
                <w:szCs w:val="18"/>
              </w:rPr>
              <w:lastRenderedPageBreak/>
              <w:t>车站联锁系统（</w:t>
            </w:r>
            <w:r w:rsidRPr="00A7607F">
              <w:rPr>
                <w:rFonts w:hAnsi="宋体" w:hint="eastAsia"/>
                <w:sz w:val="18"/>
                <w:szCs w:val="18"/>
              </w:rPr>
              <w:t>CI</w:t>
            </w:r>
            <w:r w:rsidRPr="00A7607F">
              <w:rPr>
                <w:rFonts w:hAnsi="宋体" w:hint="eastAsia"/>
                <w:sz w:val="18"/>
                <w:szCs w:val="18"/>
              </w:rPr>
              <w:t>）</w:t>
            </w:r>
          </w:p>
        </w:tc>
        <w:tc>
          <w:tcPr>
            <w:tcW w:w="2500" w:type="pct"/>
            <w:shd w:val="clear" w:color="auto" w:fill="auto"/>
            <w:vAlign w:val="center"/>
          </w:tcPr>
          <w:p w14:paraId="1ADDAF64" w14:textId="77777777" w:rsidR="00737EB2" w:rsidRPr="00A7607F" w:rsidRDefault="00737EB2" w:rsidP="00871D47">
            <w:pPr>
              <w:spacing w:line="240" w:lineRule="auto"/>
              <w:jc w:val="center"/>
              <w:textAlignment w:val="center"/>
              <w:rPr>
                <w:rFonts w:hAnsi="宋体"/>
                <w:sz w:val="18"/>
                <w:szCs w:val="18"/>
              </w:rPr>
            </w:pPr>
            <w:r w:rsidRPr="00A7607F">
              <w:rPr>
                <w:rFonts w:hAnsi="宋体" w:hint="eastAsia"/>
                <w:sz w:val="18"/>
                <w:szCs w:val="18"/>
              </w:rPr>
              <w:t xml:space="preserve">4 </w:t>
            </w:r>
            <w:r w:rsidRPr="00A7607F">
              <w:rPr>
                <w:rFonts w:hAnsi="宋体" w:hint="eastAsia"/>
                <w:sz w:val="18"/>
                <w:szCs w:val="18"/>
              </w:rPr>
              <w:t>级</w:t>
            </w:r>
          </w:p>
        </w:tc>
      </w:tr>
      <w:tr w:rsidR="00737EB2" w:rsidRPr="00A7607F" w14:paraId="4C493591" w14:textId="77777777" w:rsidTr="00833E63">
        <w:trPr>
          <w:trHeight w:val="176"/>
        </w:trPr>
        <w:tc>
          <w:tcPr>
            <w:tcW w:w="2500" w:type="pct"/>
            <w:tcBorders>
              <w:bottom w:val="single" w:sz="4" w:space="0" w:color="auto"/>
            </w:tcBorders>
            <w:shd w:val="clear" w:color="auto" w:fill="auto"/>
            <w:vAlign w:val="center"/>
          </w:tcPr>
          <w:p w14:paraId="633C2D18" w14:textId="77777777" w:rsidR="00737EB2" w:rsidRPr="00A7607F" w:rsidRDefault="00737EB2" w:rsidP="00871D47">
            <w:pPr>
              <w:spacing w:line="240" w:lineRule="auto"/>
              <w:jc w:val="center"/>
              <w:textAlignment w:val="center"/>
              <w:rPr>
                <w:rFonts w:hAnsi="宋体"/>
                <w:sz w:val="18"/>
                <w:szCs w:val="18"/>
              </w:rPr>
            </w:pPr>
            <w:r w:rsidRPr="00A7607F">
              <w:rPr>
                <w:rFonts w:hAnsi="宋体" w:hint="eastAsia"/>
                <w:sz w:val="18"/>
                <w:szCs w:val="18"/>
              </w:rPr>
              <w:t>行车调度指挥系统</w:t>
            </w:r>
          </w:p>
        </w:tc>
        <w:tc>
          <w:tcPr>
            <w:tcW w:w="2500" w:type="pct"/>
            <w:tcBorders>
              <w:bottom w:val="single" w:sz="4" w:space="0" w:color="auto"/>
            </w:tcBorders>
            <w:shd w:val="clear" w:color="auto" w:fill="auto"/>
            <w:vAlign w:val="center"/>
          </w:tcPr>
          <w:p w14:paraId="169AD0CE" w14:textId="77777777" w:rsidR="00737EB2" w:rsidRPr="00A7607F" w:rsidRDefault="00737EB2" w:rsidP="00871D47">
            <w:pPr>
              <w:spacing w:line="240" w:lineRule="auto"/>
              <w:jc w:val="center"/>
              <w:textAlignment w:val="center"/>
              <w:rPr>
                <w:rFonts w:hAnsi="宋体"/>
                <w:sz w:val="18"/>
                <w:szCs w:val="18"/>
              </w:rPr>
            </w:pPr>
            <w:r w:rsidRPr="00A7607F">
              <w:rPr>
                <w:rFonts w:hAnsi="宋体" w:hint="eastAsia"/>
                <w:sz w:val="18"/>
                <w:szCs w:val="18"/>
              </w:rPr>
              <w:t xml:space="preserve">2 </w:t>
            </w:r>
            <w:r w:rsidRPr="00A7607F">
              <w:rPr>
                <w:rFonts w:hAnsi="宋体" w:hint="eastAsia"/>
                <w:sz w:val="18"/>
                <w:szCs w:val="18"/>
              </w:rPr>
              <w:t>级</w:t>
            </w:r>
          </w:p>
        </w:tc>
      </w:tr>
      <w:tr w:rsidR="00D54326" w:rsidRPr="00A7607F" w14:paraId="20894172" w14:textId="77777777" w:rsidTr="00833E63">
        <w:trPr>
          <w:trHeight w:val="176"/>
        </w:trPr>
        <w:tc>
          <w:tcPr>
            <w:tcW w:w="2500" w:type="pct"/>
            <w:tcBorders>
              <w:top w:val="single" w:sz="4" w:space="0" w:color="auto"/>
              <w:bottom w:val="single" w:sz="4" w:space="0" w:color="auto"/>
            </w:tcBorders>
            <w:shd w:val="clear" w:color="auto" w:fill="auto"/>
            <w:vAlign w:val="center"/>
          </w:tcPr>
          <w:p w14:paraId="516D737A" w14:textId="75A23B9B" w:rsidR="00D54326" w:rsidRPr="00A7607F" w:rsidRDefault="00D54326" w:rsidP="00D54326">
            <w:pPr>
              <w:spacing w:line="240" w:lineRule="auto"/>
              <w:jc w:val="center"/>
              <w:textAlignment w:val="center"/>
              <w:rPr>
                <w:rFonts w:hAnsi="宋体"/>
                <w:sz w:val="18"/>
                <w:szCs w:val="18"/>
              </w:rPr>
            </w:pPr>
            <w:r>
              <w:rPr>
                <w:rFonts w:hAnsi="宋体" w:hint="eastAsia"/>
                <w:sz w:val="18"/>
                <w:szCs w:val="18"/>
              </w:rPr>
              <w:t>计轴</w:t>
            </w:r>
          </w:p>
        </w:tc>
        <w:tc>
          <w:tcPr>
            <w:tcW w:w="2500" w:type="pct"/>
            <w:tcBorders>
              <w:top w:val="single" w:sz="4" w:space="0" w:color="auto"/>
              <w:bottom w:val="single" w:sz="4" w:space="0" w:color="auto"/>
            </w:tcBorders>
            <w:shd w:val="clear" w:color="auto" w:fill="auto"/>
            <w:vAlign w:val="center"/>
          </w:tcPr>
          <w:p w14:paraId="6EF3F84B" w14:textId="6BD594AE" w:rsidR="00D54326" w:rsidRPr="00A7607F" w:rsidRDefault="00D54326" w:rsidP="00D54326">
            <w:pPr>
              <w:spacing w:line="240" w:lineRule="auto"/>
              <w:jc w:val="center"/>
              <w:textAlignment w:val="center"/>
              <w:rPr>
                <w:rFonts w:hAnsi="宋体"/>
                <w:sz w:val="18"/>
                <w:szCs w:val="18"/>
              </w:rPr>
            </w:pPr>
            <w:r>
              <w:rPr>
                <w:rFonts w:hAnsi="宋体" w:hint="eastAsia"/>
                <w:sz w:val="18"/>
                <w:szCs w:val="18"/>
              </w:rPr>
              <w:t xml:space="preserve">4 </w:t>
            </w:r>
            <w:r>
              <w:rPr>
                <w:rFonts w:hAnsi="宋体" w:hint="eastAsia"/>
                <w:sz w:val="18"/>
                <w:szCs w:val="18"/>
              </w:rPr>
              <w:t>级</w:t>
            </w:r>
          </w:p>
        </w:tc>
      </w:tr>
      <w:tr w:rsidR="00D54326" w:rsidRPr="00A7607F" w14:paraId="2D1E3842" w14:textId="77777777" w:rsidTr="00833E63">
        <w:trPr>
          <w:trHeight w:val="176"/>
        </w:trPr>
        <w:tc>
          <w:tcPr>
            <w:tcW w:w="2500" w:type="pct"/>
            <w:tcBorders>
              <w:top w:val="single" w:sz="4" w:space="0" w:color="auto"/>
              <w:bottom w:val="single" w:sz="8" w:space="0" w:color="auto"/>
            </w:tcBorders>
            <w:shd w:val="clear" w:color="auto" w:fill="auto"/>
            <w:vAlign w:val="center"/>
          </w:tcPr>
          <w:p w14:paraId="36524ABC" w14:textId="7BB5BC49" w:rsidR="00D54326" w:rsidRPr="00A7607F" w:rsidRDefault="00D54326" w:rsidP="00D54326">
            <w:pPr>
              <w:spacing w:line="240" w:lineRule="auto"/>
              <w:jc w:val="center"/>
              <w:textAlignment w:val="center"/>
              <w:rPr>
                <w:rFonts w:hAnsi="宋体"/>
                <w:sz w:val="18"/>
                <w:szCs w:val="18"/>
              </w:rPr>
            </w:pPr>
            <w:r>
              <w:rPr>
                <w:rFonts w:hAnsi="宋体" w:hint="eastAsia"/>
                <w:sz w:val="18"/>
                <w:szCs w:val="18"/>
              </w:rPr>
              <w:t>轨道电路</w:t>
            </w:r>
          </w:p>
        </w:tc>
        <w:tc>
          <w:tcPr>
            <w:tcW w:w="2500" w:type="pct"/>
            <w:tcBorders>
              <w:top w:val="single" w:sz="4" w:space="0" w:color="auto"/>
              <w:bottom w:val="single" w:sz="8" w:space="0" w:color="auto"/>
            </w:tcBorders>
            <w:shd w:val="clear" w:color="auto" w:fill="auto"/>
            <w:vAlign w:val="center"/>
          </w:tcPr>
          <w:p w14:paraId="0E09E837" w14:textId="06053E13" w:rsidR="00D54326" w:rsidRPr="00A7607F" w:rsidRDefault="00D54326" w:rsidP="00D54326">
            <w:pPr>
              <w:spacing w:line="240" w:lineRule="auto"/>
              <w:jc w:val="center"/>
              <w:textAlignment w:val="center"/>
              <w:rPr>
                <w:rFonts w:hAnsi="宋体"/>
                <w:sz w:val="18"/>
                <w:szCs w:val="18"/>
              </w:rPr>
            </w:pPr>
            <w:r>
              <w:rPr>
                <w:rFonts w:hAnsi="宋体" w:hint="eastAsia"/>
                <w:sz w:val="18"/>
                <w:szCs w:val="18"/>
              </w:rPr>
              <w:t xml:space="preserve">4 </w:t>
            </w:r>
            <w:r>
              <w:rPr>
                <w:rFonts w:hAnsi="宋体" w:hint="eastAsia"/>
                <w:sz w:val="18"/>
                <w:szCs w:val="18"/>
              </w:rPr>
              <w:t>级</w:t>
            </w:r>
          </w:p>
        </w:tc>
      </w:tr>
    </w:tbl>
    <w:p w14:paraId="2F98E780" w14:textId="77777777" w:rsidR="00737EB2" w:rsidRPr="00A7607F" w:rsidRDefault="00737EB2" w:rsidP="00737EB2">
      <w:pPr>
        <w:spacing w:line="240" w:lineRule="auto"/>
      </w:pPr>
    </w:p>
    <w:p w14:paraId="17F5DB97" w14:textId="77777777" w:rsidR="00737EB2" w:rsidRPr="00A7607F" w:rsidRDefault="00737EB2" w:rsidP="009D0776">
      <w:pPr>
        <w:pStyle w:val="22"/>
      </w:pPr>
      <w:bookmarkStart w:id="2449" w:name="_Toc99792522"/>
      <w:bookmarkStart w:id="2450" w:name="_Toc153291960"/>
      <w:r w:rsidRPr="00A7607F">
        <w:rPr>
          <w:rFonts w:hint="eastAsia"/>
        </w:rPr>
        <w:t>列车在车站站台的停车精度为±0.3m时，应保证列车在停车精度范围内的概率为99.99%。列车在车站站台的停车精度为±0.5m 时，应保证列车在停车精度范围内的概率为99.998%。</w:t>
      </w:r>
      <w:bookmarkEnd w:id="2449"/>
      <w:bookmarkEnd w:id="2450"/>
    </w:p>
    <w:p w14:paraId="4DF5EB46" w14:textId="77777777" w:rsidR="00737EB2" w:rsidRPr="00A7607F" w:rsidRDefault="00737EB2" w:rsidP="00737EB2">
      <w:pPr>
        <w:pStyle w:val="affe"/>
        <w:spacing w:before="156" w:after="156"/>
      </w:pPr>
      <w:bookmarkStart w:id="2451" w:name="_Toc153210945"/>
      <w:bookmarkStart w:id="2452" w:name="_Toc153291961"/>
      <w:bookmarkStart w:id="2453" w:name="_Toc99792523"/>
      <w:bookmarkStart w:id="2454" w:name="_Toc167895843"/>
      <w:bookmarkStart w:id="2455" w:name="_Toc174538757"/>
      <w:bookmarkStart w:id="2456" w:name="_Toc182476514"/>
      <w:r w:rsidRPr="00A7607F">
        <w:rPr>
          <w:rFonts w:hint="eastAsia"/>
        </w:rPr>
        <w:t>行车调度指挥系统</w:t>
      </w:r>
      <w:bookmarkEnd w:id="2451"/>
      <w:bookmarkEnd w:id="2452"/>
      <w:bookmarkEnd w:id="2453"/>
      <w:bookmarkEnd w:id="2454"/>
      <w:bookmarkEnd w:id="2455"/>
      <w:bookmarkEnd w:id="2456"/>
    </w:p>
    <w:p w14:paraId="6E93AAD0" w14:textId="77777777" w:rsidR="00F00EA5" w:rsidRPr="00453DBE" w:rsidRDefault="00F00EA5" w:rsidP="00F00EA5">
      <w:pPr>
        <w:pStyle w:val="22"/>
      </w:pPr>
      <w:bookmarkStart w:id="2457" w:name="_Toc99792524"/>
      <w:bookmarkStart w:id="2458" w:name="_Toc153291962"/>
      <w:r w:rsidRPr="00453DBE">
        <w:rPr>
          <w:rFonts w:hint="eastAsia"/>
        </w:rPr>
        <w:t>控制（调度）中心、车站和车辆基地应设置行车调度指挥系统及相应设备。</w:t>
      </w:r>
    </w:p>
    <w:p w14:paraId="320CD3FE" w14:textId="4D5ABB2D" w:rsidR="00F00EA5" w:rsidRPr="00453DBE" w:rsidRDefault="00F00EA5" w:rsidP="00F00EA5">
      <w:pPr>
        <w:pStyle w:val="22"/>
      </w:pPr>
      <w:r w:rsidRPr="00453DBE">
        <w:rPr>
          <w:rFonts w:hint="eastAsia"/>
        </w:rPr>
        <w:t>主要服务器采用双机热备方式；主备机切换应确保系统功能完整、各种显示连续、正确；某一车站</w:t>
      </w:r>
      <w:r w:rsidR="00D54326">
        <w:rPr>
          <w:rFonts w:hint="eastAsia"/>
        </w:rPr>
        <w:t>、</w:t>
      </w:r>
      <w:r w:rsidRPr="00453DBE">
        <w:rPr>
          <w:rFonts w:hint="eastAsia"/>
        </w:rPr>
        <w:t>车辆基地</w:t>
      </w:r>
      <w:r w:rsidR="00D54326">
        <w:rPr>
          <w:rFonts w:hint="eastAsia"/>
        </w:rPr>
        <w:t>或控制中心</w:t>
      </w:r>
      <w:r w:rsidRPr="00453DBE">
        <w:rPr>
          <w:rFonts w:hint="eastAsia"/>
        </w:rPr>
        <w:t>的行车调度指挥设备发生故障，不应影响整个系统的工作。</w:t>
      </w:r>
    </w:p>
    <w:p w14:paraId="312D7670" w14:textId="77777777" w:rsidR="00F00EA5" w:rsidRPr="00453DBE" w:rsidRDefault="00F00EA5" w:rsidP="00F00EA5">
      <w:pPr>
        <w:pStyle w:val="22"/>
      </w:pPr>
      <w:r w:rsidRPr="00453DBE">
        <w:rPr>
          <w:rFonts w:hint="eastAsia"/>
        </w:rPr>
        <w:t>行车调度指挥系统应具备下列主要功能：</w:t>
      </w:r>
    </w:p>
    <w:p w14:paraId="3825853F" w14:textId="77777777" w:rsidR="00F00EA5" w:rsidRPr="00453DBE" w:rsidRDefault="00F00EA5" w:rsidP="003334F3">
      <w:pPr>
        <w:pStyle w:val="af6"/>
        <w:numPr>
          <w:ilvl w:val="0"/>
          <w:numId w:val="304"/>
        </w:numPr>
        <w:snapToGrid w:val="0"/>
        <w:contextualSpacing/>
      </w:pPr>
      <w:r w:rsidRPr="00453DBE">
        <w:rPr>
          <w:rFonts w:hint="eastAsia"/>
        </w:rPr>
        <w:t>列车自动识别、跟踪、车次号显示；</w:t>
      </w:r>
    </w:p>
    <w:p w14:paraId="1275A492" w14:textId="77777777" w:rsidR="00F00EA5" w:rsidRPr="00453DBE" w:rsidRDefault="00F00EA5" w:rsidP="003334F3">
      <w:pPr>
        <w:pStyle w:val="af6"/>
        <w:tabs>
          <w:tab w:val="left" w:pos="851"/>
        </w:tabs>
        <w:snapToGrid w:val="0"/>
        <w:contextualSpacing/>
      </w:pPr>
      <w:r w:rsidRPr="00453DBE">
        <w:rPr>
          <w:rFonts w:hint="eastAsia"/>
        </w:rPr>
        <w:t>时刻表编制及管理；</w:t>
      </w:r>
    </w:p>
    <w:p w14:paraId="463730FB" w14:textId="77777777" w:rsidR="00F00EA5" w:rsidRPr="00453DBE" w:rsidRDefault="00F00EA5" w:rsidP="003334F3">
      <w:pPr>
        <w:pStyle w:val="af6"/>
        <w:tabs>
          <w:tab w:val="left" w:pos="851"/>
        </w:tabs>
        <w:snapToGrid w:val="0"/>
        <w:contextualSpacing/>
      </w:pPr>
      <w:r w:rsidRPr="00453DBE">
        <w:rPr>
          <w:rFonts w:hint="eastAsia"/>
        </w:rPr>
        <w:t>进路自动/人工控制；</w:t>
      </w:r>
    </w:p>
    <w:p w14:paraId="4E5EF303" w14:textId="77777777" w:rsidR="00F00EA5" w:rsidRPr="00453DBE" w:rsidRDefault="00F00EA5" w:rsidP="003334F3">
      <w:pPr>
        <w:pStyle w:val="af6"/>
        <w:tabs>
          <w:tab w:val="left" w:pos="851"/>
        </w:tabs>
        <w:snapToGrid w:val="0"/>
        <w:contextualSpacing/>
      </w:pPr>
      <w:r w:rsidRPr="00453DBE">
        <w:rPr>
          <w:rFonts w:hint="eastAsia"/>
        </w:rPr>
        <w:t>列车运行自动调整；</w:t>
      </w:r>
    </w:p>
    <w:p w14:paraId="2B9D8E29" w14:textId="77777777" w:rsidR="00F00EA5" w:rsidRPr="00453DBE" w:rsidRDefault="00F00EA5" w:rsidP="003334F3">
      <w:pPr>
        <w:pStyle w:val="af6"/>
        <w:tabs>
          <w:tab w:val="left" w:pos="851"/>
        </w:tabs>
        <w:snapToGrid w:val="0"/>
        <w:contextualSpacing/>
      </w:pPr>
      <w:r w:rsidRPr="00453DBE">
        <w:rPr>
          <w:rFonts w:hint="eastAsia"/>
        </w:rPr>
        <w:t>列车自动折返功能匹配；</w:t>
      </w:r>
    </w:p>
    <w:p w14:paraId="56638D17" w14:textId="77777777" w:rsidR="00F00EA5" w:rsidRPr="00453DBE" w:rsidRDefault="00F00EA5" w:rsidP="003334F3">
      <w:pPr>
        <w:pStyle w:val="af6"/>
        <w:tabs>
          <w:tab w:val="left" w:pos="851"/>
        </w:tabs>
        <w:snapToGrid w:val="0"/>
        <w:contextualSpacing/>
      </w:pPr>
      <w:r w:rsidRPr="00453DBE">
        <w:rPr>
          <w:rFonts w:hint="eastAsia"/>
        </w:rPr>
        <w:t>列车运行和设备状态自动监视；</w:t>
      </w:r>
    </w:p>
    <w:p w14:paraId="44288F29" w14:textId="77777777" w:rsidR="00F00EA5" w:rsidRPr="00453DBE" w:rsidRDefault="00F00EA5" w:rsidP="003334F3">
      <w:pPr>
        <w:pStyle w:val="af6"/>
        <w:tabs>
          <w:tab w:val="left" w:pos="851"/>
        </w:tabs>
        <w:snapToGrid w:val="0"/>
        <w:contextualSpacing/>
      </w:pPr>
      <w:r w:rsidRPr="00453DBE">
        <w:rPr>
          <w:rFonts w:hint="eastAsia"/>
        </w:rPr>
        <w:t>操作与数据记录、回放、输出及统计处理；</w:t>
      </w:r>
    </w:p>
    <w:p w14:paraId="6308EFA2" w14:textId="77777777" w:rsidR="00F00EA5" w:rsidRPr="00453DBE" w:rsidRDefault="00F00EA5" w:rsidP="003334F3">
      <w:pPr>
        <w:pStyle w:val="af6"/>
        <w:tabs>
          <w:tab w:val="left" w:pos="851"/>
        </w:tabs>
        <w:snapToGrid w:val="0"/>
        <w:contextualSpacing/>
      </w:pPr>
      <w:r w:rsidRPr="00453DBE">
        <w:rPr>
          <w:rFonts w:hint="eastAsia"/>
        </w:rPr>
        <w:t>系统故障复原处理；</w:t>
      </w:r>
    </w:p>
    <w:p w14:paraId="68DE0E96" w14:textId="14110EBD" w:rsidR="00F00EA5" w:rsidRPr="00453DBE" w:rsidRDefault="00F00EA5" w:rsidP="003334F3">
      <w:pPr>
        <w:pStyle w:val="af6"/>
        <w:tabs>
          <w:tab w:val="left" w:pos="851"/>
        </w:tabs>
        <w:snapToGrid w:val="0"/>
        <w:contextualSpacing/>
      </w:pPr>
      <w:r w:rsidRPr="00453DBE">
        <w:rPr>
          <w:rFonts w:hint="eastAsia"/>
        </w:rPr>
        <w:t>列车运行模拟及培训</w:t>
      </w:r>
      <w:r w:rsidR="00550008">
        <w:rPr>
          <w:rFonts w:hint="eastAsia"/>
        </w:rPr>
        <w:t>；</w:t>
      </w:r>
    </w:p>
    <w:p w14:paraId="29E2908C" w14:textId="77777777" w:rsidR="00F00EA5" w:rsidRPr="00453DBE" w:rsidRDefault="00F00EA5" w:rsidP="003334F3">
      <w:pPr>
        <w:pStyle w:val="af6"/>
        <w:tabs>
          <w:tab w:val="left" w:pos="851"/>
        </w:tabs>
        <w:snapToGrid w:val="0"/>
        <w:contextualSpacing/>
      </w:pPr>
      <w:r w:rsidRPr="00453DBE">
        <w:rPr>
          <w:rFonts w:hint="eastAsia"/>
        </w:rPr>
        <w:t>满足单一编组运行模式或不同编组混合运行模式。</w:t>
      </w:r>
    </w:p>
    <w:p w14:paraId="73D00E97" w14:textId="77777777" w:rsidR="00F00EA5" w:rsidRPr="00453DBE" w:rsidRDefault="00F00EA5" w:rsidP="00F00EA5">
      <w:pPr>
        <w:pStyle w:val="22"/>
      </w:pPr>
      <w:r w:rsidRPr="00453DBE">
        <w:rPr>
          <w:rFonts w:hint="eastAsia"/>
        </w:rPr>
        <w:t>行车调度指挥系统满足市域铁路网统一进行行车调度指挥的要求：</w:t>
      </w:r>
    </w:p>
    <w:p w14:paraId="0FCCBEDB" w14:textId="77777777" w:rsidR="00F00EA5" w:rsidRPr="00453DBE" w:rsidRDefault="00F00EA5" w:rsidP="003334F3">
      <w:pPr>
        <w:pStyle w:val="af6"/>
        <w:numPr>
          <w:ilvl w:val="0"/>
          <w:numId w:val="305"/>
        </w:numPr>
        <w:snapToGrid w:val="0"/>
        <w:contextualSpacing/>
      </w:pPr>
      <w:r w:rsidRPr="00453DBE">
        <w:rPr>
          <w:rFonts w:hint="eastAsia"/>
        </w:rPr>
        <w:t>应遵循统一的车次号定义、统一的列车运行计划、统一人机界面风格；</w:t>
      </w:r>
    </w:p>
    <w:p w14:paraId="3CC27EBF" w14:textId="77777777" w:rsidR="00F00EA5" w:rsidRPr="00453DBE" w:rsidRDefault="00F00EA5" w:rsidP="003334F3">
      <w:pPr>
        <w:pStyle w:val="af6"/>
        <w:tabs>
          <w:tab w:val="left" w:pos="851"/>
        </w:tabs>
        <w:snapToGrid w:val="0"/>
        <w:contextualSpacing/>
      </w:pPr>
      <w:r w:rsidRPr="00453DBE">
        <w:rPr>
          <w:rFonts w:hint="eastAsia"/>
        </w:rPr>
        <w:t>应实现与统一运行图编制软件接口的功能；</w:t>
      </w:r>
    </w:p>
    <w:p w14:paraId="0C853F27" w14:textId="77777777" w:rsidR="00F00EA5" w:rsidRPr="00453DBE" w:rsidRDefault="00F00EA5" w:rsidP="003334F3">
      <w:pPr>
        <w:pStyle w:val="af6"/>
        <w:tabs>
          <w:tab w:val="left" w:pos="851"/>
        </w:tabs>
        <w:snapToGrid w:val="0"/>
        <w:contextualSpacing/>
      </w:pPr>
      <w:r w:rsidRPr="00453DBE">
        <w:rPr>
          <w:rFonts w:hint="eastAsia"/>
        </w:rPr>
        <w:t>应具备对跨线运营列车的实时监控功能。具有跨线列车的进路自动办理、接入交出预告、计划及调整信息交互、跨线运营列车标识等功能；</w:t>
      </w:r>
    </w:p>
    <w:p w14:paraId="6ED485DE" w14:textId="77777777" w:rsidR="00F00EA5" w:rsidRPr="00453DBE" w:rsidRDefault="00F00EA5" w:rsidP="003334F3">
      <w:pPr>
        <w:pStyle w:val="af6"/>
        <w:tabs>
          <w:tab w:val="left" w:pos="851"/>
        </w:tabs>
        <w:snapToGrid w:val="0"/>
        <w:contextualSpacing/>
      </w:pPr>
      <w:r w:rsidRPr="00453DBE">
        <w:rPr>
          <w:rFonts w:hint="eastAsia"/>
        </w:rPr>
        <w:t>当需要与城际铁路实现跨线运营时，市域铁路控制（调度）中心应能实现与城际铁路控制（调度）中心间行车调度指挥所需的信息透明；</w:t>
      </w:r>
    </w:p>
    <w:p w14:paraId="6A209985" w14:textId="77777777" w:rsidR="00F00EA5" w:rsidRPr="00453DBE" w:rsidRDefault="00F00EA5" w:rsidP="003334F3">
      <w:pPr>
        <w:pStyle w:val="af6"/>
        <w:tabs>
          <w:tab w:val="left" w:pos="851"/>
        </w:tabs>
        <w:snapToGrid w:val="0"/>
        <w:contextualSpacing/>
      </w:pPr>
      <w:r w:rsidRPr="00453DBE">
        <w:rPr>
          <w:rFonts w:hint="eastAsia"/>
        </w:rPr>
        <w:t>当需要与城市轨道交通线路实现跨线运营时，市域铁路控制（调度）中心应能实现与城市轨道交通控制中心及线网中心间行车调度指挥所需的信息透明。</w:t>
      </w:r>
    </w:p>
    <w:p w14:paraId="7FAE7787" w14:textId="77777777" w:rsidR="00F00EA5" w:rsidRPr="00453DBE" w:rsidRDefault="00F00EA5" w:rsidP="00F00EA5">
      <w:pPr>
        <w:pStyle w:val="22"/>
      </w:pPr>
      <w:r w:rsidRPr="00453DBE">
        <w:rPr>
          <w:rFonts w:hint="eastAsia"/>
        </w:rPr>
        <w:t>行车调度指挥系统接口满足下列要求：</w:t>
      </w:r>
    </w:p>
    <w:p w14:paraId="632C6BAE" w14:textId="6BF33141" w:rsidR="00F00EA5" w:rsidRPr="00453DBE" w:rsidRDefault="00F00EA5" w:rsidP="003334F3">
      <w:pPr>
        <w:pStyle w:val="af6"/>
        <w:numPr>
          <w:ilvl w:val="0"/>
          <w:numId w:val="306"/>
        </w:numPr>
        <w:snapToGrid w:val="0"/>
        <w:contextualSpacing/>
      </w:pPr>
      <w:r w:rsidRPr="00453DBE">
        <w:rPr>
          <w:rFonts w:hint="eastAsia"/>
        </w:rPr>
        <w:t>应与</w:t>
      </w:r>
      <w:r w:rsidRPr="00481B19">
        <w:rPr>
          <w:rFonts w:hint="eastAsia"/>
        </w:rPr>
        <w:t>联锁系统、</w:t>
      </w:r>
      <w:r w:rsidR="00497E85" w:rsidRPr="00481B19">
        <w:rPr>
          <w:rFonts w:hint="eastAsia"/>
        </w:rPr>
        <w:t>A</w:t>
      </w:r>
      <w:r w:rsidR="00497E85" w:rsidRPr="00481B19">
        <w:t>TP</w:t>
      </w:r>
      <w:r w:rsidRPr="00481B19">
        <w:rPr>
          <w:rFonts w:hint="eastAsia"/>
        </w:rPr>
        <w:t>、</w:t>
      </w:r>
      <w:r w:rsidR="00497E85" w:rsidRPr="00481B19">
        <w:rPr>
          <w:rFonts w:hint="eastAsia"/>
        </w:rPr>
        <w:t>A</w:t>
      </w:r>
      <w:r w:rsidR="00497E85" w:rsidRPr="00481B19">
        <w:t>TO</w:t>
      </w:r>
      <w:r w:rsidRPr="00481B19">
        <w:rPr>
          <w:rFonts w:hint="eastAsia"/>
        </w:rPr>
        <w:t>、信号集中监测系统</w:t>
      </w:r>
      <w:r w:rsidRPr="00453DBE">
        <w:rPr>
          <w:rFonts w:hint="eastAsia"/>
        </w:rPr>
        <w:t>等接口，实现信号系统的完整功能；</w:t>
      </w:r>
    </w:p>
    <w:p w14:paraId="3A2BD2F2" w14:textId="2CCB87B6" w:rsidR="00F00EA5" w:rsidRPr="00453DBE" w:rsidRDefault="00F00EA5" w:rsidP="003334F3">
      <w:pPr>
        <w:pStyle w:val="af6"/>
        <w:tabs>
          <w:tab w:val="left" w:pos="851"/>
        </w:tabs>
        <w:snapToGrid w:val="0"/>
        <w:contextualSpacing/>
      </w:pPr>
      <w:r w:rsidRPr="00453DBE">
        <w:rPr>
          <w:rFonts w:hint="eastAsia"/>
        </w:rPr>
        <w:t>应具有与无线通信、广播、</w:t>
      </w:r>
      <w:r w:rsidR="00411BDE">
        <w:rPr>
          <w:rFonts w:hint="eastAsia"/>
        </w:rPr>
        <w:t>旅</w:t>
      </w:r>
      <w:r w:rsidR="00D54326">
        <w:rPr>
          <w:rFonts w:hint="eastAsia"/>
        </w:rPr>
        <w:t>服</w:t>
      </w:r>
      <w:r w:rsidRPr="00453DBE">
        <w:rPr>
          <w:rFonts w:hint="eastAsia"/>
        </w:rPr>
        <w:t>信息、时钟、综合监控（含电力监控、火灾报警、环境监控等）、灾害监测等系统的接口，实现信息交换；</w:t>
      </w:r>
    </w:p>
    <w:p w14:paraId="3E48547F" w14:textId="77777777" w:rsidR="00F00EA5" w:rsidRPr="00453DBE" w:rsidRDefault="00F00EA5" w:rsidP="003334F3">
      <w:pPr>
        <w:pStyle w:val="af6"/>
        <w:tabs>
          <w:tab w:val="left" w:pos="851"/>
        </w:tabs>
        <w:snapToGrid w:val="0"/>
        <w:contextualSpacing/>
      </w:pPr>
      <w:r w:rsidRPr="00453DBE">
        <w:rPr>
          <w:rFonts w:hint="eastAsia"/>
        </w:rPr>
        <w:t>行车调度指挥系统应便于向运营控制（调度）中心信息共享平台提供数据，宜具备支持与多专业数据共享云平台接口的能力；</w:t>
      </w:r>
    </w:p>
    <w:p w14:paraId="77DE6A05" w14:textId="77777777" w:rsidR="00F00EA5" w:rsidRPr="00453DBE" w:rsidRDefault="00F00EA5" w:rsidP="003334F3">
      <w:pPr>
        <w:pStyle w:val="af6"/>
        <w:tabs>
          <w:tab w:val="left" w:pos="851"/>
        </w:tabs>
        <w:snapToGrid w:val="0"/>
        <w:contextualSpacing/>
      </w:pPr>
      <w:r w:rsidRPr="00453DBE">
        <w:rPr>
          <w:rFonts w:hint="eastAsia"/>
        </w:rPr>
        <w:t>与相关系统的接口应有可靠的隔离措施，满足数据安全以及信息安全等级保护相关要求。</w:t>
      </w:r>
    </w:p>
    <w:p w14:paraId="317F18C0" w14:textId="77777777" w:rsidR="00737EB2" w:rsidRPr="00A7607F" w:rsidRDefault="00737EB2" w:rsidP="00737EB2">
      <w:pPr>
        <w:pStyle w:val="affe"/>
        <w:spacing w:before="156" w:after="156"/>
      </w:pPr>
      <w:bookmarkStart w:id="2459" w:name="_Toc153210946"/>
      <w:bookmarkStart w:id="2460" w:name="_Toc99792529"/>
      <w:bookmarkStart w:id="2461" w:name="_Toc153291967"/>
      <w:bookmarkStart w:id="2462" w:name="_Toc167895844"/>
      <w:bookmarkStart w:id="2463" w:name="_Toc174538758"/>
      <w:bookmarkStart w:id="2464" w:name="_Toc182476515"/>
      <w:bookmarkEnd w:id="2457"/>
      <w:bookmarkEnd w:id="2458"/>
      <w:r w:rsidRPr="00A7607F">
        <w:rPr>
          <w:rFonts w:hint="eastAsia"/>
        </w:rPr>
        <w:t>列车自动防护系统</w:t>
      </w:r>
      <w:bookmarkEnd w:id="2459"/>
      <w:bookmarkEnd w:id="2460"/>
      <w:bookmarkEnd w:id="2461"/>
      <w:bookmarkEnd w:id="2462"/>
      <w:bookmarkEnd w:id="2463"/>
      <w:bookmarkEnd w:id="2464"/>
    </w:p>
    <w:p w14:paraId="765244DC" w14:textId="77777777" w:rsidR="00F00EA5" w:rsidRPr="00453DBE" w:rsidRDefault="00F00EA5" w:rsidP="00F00EA5">
      <w:pPr>
        <w:pStyle w:val="22"/>
      </w:pPr>
      <w:bookmarkStart w:id="2465" w:name="_Toc99792530"/>
      <w:bookmarkStart w:id="2466" w:name="_Toc153291968"/>
      <w:r w:rsidRPr="00453DBE">
        <w:rPr>
          <w:rFonts w:hint="eastAsia"/>
        </w:rPr>
        <w:t>列车自动防护系统符合下列基本要求：</w:t>
      </w:r>
    </w:p>
    <w:p w14:paraId="4D28A4A2" w14:textId="77777777" w:rsidR="00F00EA5" w:rsidRPr="00453DBE" w:rsidRDefault="00F00EA5" w:rsidP="003334F3">
      <w:pPr>
        <w:pStyle w:val="af6"/>
        <w:numPr>
          <w:ilvl w:val="0"/>
          <w:numId w:val="307"/>
        </w:numPr>
        <w:snapToGrid w:val="0"/>
        <w:contextualSpacing/>
      </w:pPr>
      <w:r w:rsidRPr="00453DBE">
        <w:rPr>
          <w:rFonts w:hint="eastAsia"/>
        </w:rPr>
        <w:t>列车自动防护系统应由地面设备和车载设备组成；</w:t>
      </w:r>
    </w:p>
    <w:p w14:paraId="2B40A64E" w14:textId="77777777" w:rsidR="00F00EA5" w:rsidRPr="00453DBE" w:rsidRDefault="00F00EA5" w:rsidP="003334F3">
      <w:pPr>
        <w:pStyle w:val="af6"/>
        <w:tabs>
          <w:tab w:val="left" w:pos="851"/>
        </w:tabs>
        <w:snapToGrid w:val="0"/>
        <w:contextualSpacing/>
      </w:pPr>
      <w:r w:rsidRPr="00453DBE">
        <w:rPr>
          <w:rFonts w:hint="eastAsia"/>
        </w:rPr>
        <w:t>列车自动防护系统硬件配置、软件设计及相关参数设置等应与线路最高运行速度相匹配并可靠工作；</w:t>
      </w:r>
    </w:p>
    <w:p w14:paraId="6A38D4CD" w14:textId="77777777" w:rsidR="00F00EA5" w:rsidRPr="00453DBE" w:rsidRDefault="00F00EA5" w:rsidP="003334F3">
      <w:pPr>
        <w:pStyle w:val="af6"/>
        <w:tabs>
          <w:tab w:val="left" w:pos="851"/>
        </w:tabs>
        <w:snapToGrid w:val="0"/>
        <w:contextualSpacing/>
      </w:pPr>
      <w:r w:rsidRPr="00453DBE">
        <w:rPr>
          <w:rFonts w:hint="eastAsia"/>
        </w:rPr>
        <w:t>地面列车自动防护系统设备应采用硬件安全冗余结构；</w:t>
      </w:r>
    </w:p>
    <w:p w14:paraId="2148ADD7" w14:textId="77777777" w:rsidR="00F00EA5" w:rsidRPr="00453DBE" w:rsidRDefault="00F00EA5" w:rsidP="003334F3">
      <w:pPr>
        <w:pStyle w:val="af6"/>
        <w:tabs>
          <w:tab w:val="left" w:pos="851"/>
        </w:tabs>
        <w:snapToGrid w:val="0"/>
        <w:contextualSpacing/>
      </w:pPr>
      <w:r w:rsidRPr="00453DBE">
        <w:rPr>
          <w:rFonts w:hint="eastAsia"/>
        </w:rPr>
        <w:t>列车自动防护系统设备的站间通道及安全信息的传输通道，应采用独立的冗余通信通道；</w:t>
      </w:r>
    </w:p>
    <w:p w14:paraId="7C41E41F" w14:textId="77777777" w:rsidR="00F00EA5" w:rsidRPr="00453DBE" w:rsidRDefault="00F00EA5" w:rsidP="003334F3">
      <w:pPr>
        <w:pStyle w:val="af6"/>
        <w:tabs>
          <w:tab w:val="left" w:pos="851"/>
        </w:tabs>
        <w:snapToGrid w:val="0"/>
        <w:contextualSpacing/>
      </w:pPr>
      <w:r w:rsidRPr="00453DBE">
        <w:rPr>
          <w:rFonts w:hint="eastAsia"/>
        </w:rPr>
        <w:t>列车首尾两端宜各设一套列车自动防护系统车载设备，两端车载设备宜自成系统；</w:t>
      </w:r>
    </w:p>
    <w:p w14:paraId="06D9835C" w14:textId="77777777" w:rsidR="00F00EA5" w:rsidRPr="00453DBE" w:rsidRDefault="00F00EA5" w:rsidP="003334F3">
      <w:pPr>
        <w:pStyle w:val="af6"/>
        <w:tabs>
          <w:tab w:val="left" w:pos="851"/>
        </w:tabs>
        <w:snapToGrid w:val="0"/>
        <w:contextualSpacing/>
      </w:pPr>
      <w:r w:rsidRPr="00453DBE">
        <w:rPr>
          <w:rFonts w:hint="eastAsia"/>
        </w:rPr>
        <w:lastRenderedPageBreak/>
        <w:t>列车首尾两端车载设备应采用硬件安全冗余结构，并满足冗余配置的要求；</w:t>
      </w:r>
    </w:p>
    <w:p w14:paraId="61910AE8" w14:textId="77777777" w:rsidR="00F00EA5" w:rsidRPr="00453DBE" w:rsidRDefault="00F00EA5" w:rsidP="003334F3">
      <w:pPr>
        <w:pStyle w:val="af6"/>
        <w:tabs>
          <w:tab w:val="left" w:pos="851"/>
        </w:tabs>
        <w:snapToGrid w:val="0"/>
        <w:contextualSpacing/>
      </w:pPr>
      <w:r w:rsidRPr="00453DBE">
        <w:rPr>
          <w:rFonts w:hint="eastAsia"/>
        </w:rPr>
        <w:t>列车自动防护系统宜具有多种列车位置检测能力。车载测速设备应采用冗余方式，速度信息的输出应相互校验，并进行断路检查；车载列车定位信息宜具备头尾冗余；</w:t>
      </w:r>
    </w:p>
    <w:p w14:paraId="145C3FC0" w14:textId="77777777" w:rsidR="00F00EA5" w:rsidRPr="00453DBE" w:rsidRDefault="00F00EA5" w:rsidP="003334F3">
      <w:pPr>
        <w:pStyle w:val="af6"/>
        <w:tabs>
          <w:tab w:val="left" w:pos="851"/>
        </w:tabs>
        <w:snapToGrid w:val="0"/>
        <w:contextualSpacing/>
      </w:pPr>
      <w:r w:rsidRPr="00453DBE">
        <w:rPr>
          <w:rFonts w:hint="eastAsia"/>
        </w:rPr>
        <w:t>采用交流供电制式的线路，信号系统应与自动过分相要求相匹配。</w:t>
      </w:r>
    </w:p>
    <w:p w14:paraId="32065795" w14:textId="77777777" w:rsidR="00F00EA5" w:rsidRPr="00453DBE" w:rsidRDefault="00F00EA5" w:rsidP="00F00EA5">
      <w:pPr>
        <w:pStyle w:val="22"/>
      </w:pPr>
      <w:r w:rsidRPr="00453DBE">
        <w:rPr>
          <w:rFonts w:hint="eastAsia"/>
        </w:rPr>
        <w:t>列车自动防护系统应具备下列主要功能：</w:t>
      </w:r>
    </w:p>
    <w:p w14:paraId="385AB6C3" w14:textId="77777777" w:rsidR="00F00EA5" w:rsidRPr="00453DBE" w:rsidRDefault="00F00EA5" w:rsidP="003334F3">
      <w:pPr>
        <w:pStyle w:val="af6"/>
        <w:numPr>
          <w:ilvl w:val="0"/>
          <w:numId w:val="308"/>
        </w:numPr>
        <w:snapToGrid w:val="0"/>
        <w:contextualSpacing/>
      </w:pPr>
      <w:r w:rsidRPr="00453DBE">
        <w:rPr>
          <w:rFonts w:hint="eastAsia"/>
        </w:rPr>
        <w:t>检测列车位置，实现列车管理和列车间隔控制；</w:t>
      </w:r>
    </w:p>
    <w:p w14:paraId="0B222332" w14:textId="77777777" w:rsidR="00F00EA5" w:rsidRPr="00453DBE" w:rsidRDefault="00F00EA5" w:rsidP="003334F3">
      <w:pPr>
        <w:pStyle w:val="af6"/>
        <w:tabs>
          <w:tab w:val="left" w:pos="851"/>
        </w:tabs>
        <w:snapToGrid w:val="0"/>
        <w:contextualSpacing/>
      </w:pPr>
      <w:r w:rsidRPr="00453DBE">
        <w:rPr>
          <w:rFonts w:hint="eastAsia"/>
        </w:rPr>
        <w:t>监督列车运行速度，实现列车超速防护控制；</w:t>
      </w:r>
    </w:p>
    <w:p w14:paraId="37ACEC2A" w14:textId="77777777" w:rsidR="00F00EA5" w:rsidRPr="00453DBE" w:rsidRDefault="00F00EA5" w:rsidP="003334F3">
      <w:pPr>
        <w:pStyle w:val="af6"/>
        <w:tabs>
          <w:tab w:val="left" w:pos="851"/>
        </w:tabs>
        <w:snapToGrid w:val="0"/>
        <w:contextualSpacing/>
      </w:pPr>
      <w:r w:rsidRPr="00453DBE">
        <w:rPr>
          <w:rFonts w:hint="eastAsia"/>
        </w:rPr>
        <w:t>防止列车等非预期的移动；</w:t>
      </w:r>
    </w:p>
    <w:p w14:paraId="7FECC72B" w14:textId="77777777" w:rsidR="00F00EA5" w:rsidRPr="00453DBE" w:rsidRDefault="00F00EA5" w:rsidP="003334F3">
      <w:pPr>
        <w:pStyle w:val="af6"/>
        <w:tabs>
          <w:tab w:val="left" w:pos="851"/>
        </w:tabs>
        <w:snapToGrid w:val="0"/>
        <w:contextualSpacing/>
      </w:pPr>
      <w:r w:rsidRPr="00453DBE">
        <w:rPr>
          <w:rFonts w:hint="eastAsia"/>
        </w:rPr>
        <w:t>为列车车门、站台门的开闭提供安全监控信息；</w:t>
      </w:r>
    </w:p>
    <w:p w14:paraId="39A1BA80" w14:textId="77777777" w:rsidR="00F00EA5" w:rsidRPr="00453DBE" w:rsidRDefault="00F00EA5" w:rsidP="003334F3">
      <w:pPr>
        <w:pStyle w:val="af6"/>
        <w:tabs>
          <w:tab w:val="left" w:pos="851"/>
        </w:tabs>
        <w:snapToGrid w:val="0"/>
        <w:contextualSpacing/>
      </w:pPr>
      <w:r w:rsidRPr="00453DBE">
        <w:rPr>
          <w:rFonts w:hint="eastAsia"/>
        </w:rPr>
        <w:t>实现列车车载设备自检；</w:t>
      </w:r>
    </w:p>
    <w:p w14:paraId="0C7CA056" w14:textId="77777777" w:rsidR="00F00EA5" w:rsidRPr="00453DBE" w:rsidRDefault="00F00EA5" w:rsidP="003334F3">
      <w:pPr>
        <w:pStyle w:val="af6"/>
        <w:tabs>
          <w:tab w:val="left" w:pos="851"/>
        </w:tabs>
        <w:snapToGrid w:val="0"/>
        <w:contextualSpacing/>
      </w:pPr>
      <w:r w:rsidRPr="00453DBE">
        <w:rPr>
          <w:rFonts w:hint="eastAsia"/>
        </w:rPr>
        <w:t>记录司机操作和设备运行状况。</w:t>
      </w:r>
    </w:p>
    <w:p w14:paraId="241FC2EF" w14:textId="77777777" w:rsidR="00F00EA5" w:rsidRPr="00453DBE" w:rsidRDefault="00F00EA5" w:rsidP="00F00EA5">
      <w:pPr>
        <w:pStyle w:val="22"/>
      </w:pPr>
      <w:r w:rsidRPr="00453DBE">
        <w:rPr>
          <w:rFonts w:hint="eastAsia"/>
        </w:rPr>
        <w:t>为保证行车安全，在运营停车点的适当位置应设安全防护距离，安全防护距离应通过计算确定。</w:t>
      </w:r>
    </w:p>
    <w:p w14:paraId="71860D6F" w14:textId="77777777" w:rsidR="00F00EA5" w:rsidRPr="00453DBE" w:rsidRDefault="00F00EA5" w:rsidP="00F00EA5">
      <w:pPr>
        <w:pStyle w:val="22"/>
      </w:pPr>
      <w:r w:rsidRPr="00453DBE">
        <w:rPr>
          <w:rFonts w:hint="eastAsia"/>
        </w:rPr>
        <w:t>列车定位及信息传递符合下列规定：</w:t>
      </w:r>
    </w:p>
    <w:p w14:paraId="3EBE4785" w14:textId="77777777" w:rsidR="00F00EA5" w:rsidRPr="00453DBE" w:rsidRDefault="00F00EA5" w:rsidP="003334F3">
      <w:pPr>
        <w:pStyle w:val="af6"/>
        <w:numPr>
          <w:ilvl w:val="0"/>
          <w:numId w:val="309"/>
        </w:numPr>
        <w:snapToGrid w:val="0"/>
        <w:contextualSpacing/>
      </w:pPr>
      <w:r w:rsidRPr="00453DBE">
        <w:rPr>
          <w:rFonts w:hint="eastAsia"/>
        </w:rPr>
        <w:t>车地信息传递可采用应答器、无线通信、轨道电路等传输方式，各传输方式设备应按照其相应技术条件布置；</w:t>
      </w:r>
    </w:p>
    <w:p w14:paraId="24CA9E3F" w14:textId="77777777" w:rsidR="00F00EA5" w:rsidRPr="00453DBE" w:rsidRDefault="00F00EA5" w:rsidP="003334F3">
      <w:pPr>
        <w:pStyle w:val="af6"/>
        <w:tabs>
          <w:tab w:val="left" w:pos="851"/>
        </w:tabs>
        <w:snapToGrid w:val="0"/>
        <w:contextualSpacing/>
      </w:pPr>
      <w:r w:rsidRPr="00453DBE">
        <w:rPr>
          <w:rFonts w:hint="eastAsia"/>
        </w:rPr>
        <w:t>信号系统宜通过多种技术实现列车的精确定位；</w:t>
      </w:r>
    </w:p>
    <w:p w14:paraId="0C25A411" w14:textId="77777777" w:rsidR="00F00EA5" w:rsidRPr="00453DBE" w:rsidRDefault="00F00EA5" w:rsidP="003334F3">
      <w:pPr>
        <w:pStyle w:val="af6"/>
        <w:tabs>
          <w:tab w:val="left" w:pos="851"/>
        </w:tabs>
        <w:snapToGrid w:val="0"/>
        <w:contextualSpacing/>
      </w:pPr>
      <w:r w:rsidRPr="00453DBE">
        <w:rPr>
          <w:rFonts w:hint="eastAsia"/>
        </w:rPr>
        <w:t>根据列车运行方向要求，正线车站站台范围、正线（含车辆基地出入段线、转换轨、侧线）、区间、正线车站停车线、折返轨等处设置无源应答器组；</w:t>
      </w:r>
    </w:p>
    <w:p w14:paraId="1B13D71A" w14:textId="77777777" w:rsidR="00F00EA5" w:rsidRPr="00453DBE" w:rsidRDefault="00F00EA5" w:rsidP="003334F3">
      <w:pPr>
        <w:pStyle w:val="af6"/>
        <w:tabs>
          <w:tab w:val="left" w:pos="851"/>
        </w:tabs>
        <w:snapToGrid w:val="0"/>
        <w:contextualSpacing/>
      </w:pPr>
      <w:r w:rsidRPr="00453DBE">
        <w:rPr>
          <w:rFonts w:hint="eastAsia"/>
        </w:rPr>
        <w:t>根据列车控制系统要求，可设置有源应答器组；</w:t>
      </w:r>
    </w:p>
    <w:p w14:paraId="632FB964" w14:textId="77777777" w:rsidR="00F00EA5" w:rsidRPr="00453DBE" w:rsidRDefault="00F00EA5" w:rsidP="003334F3">
      <w:pPr>
        <w:pStyle w:val="af6"/>
        <w:tabs>
          <w:tab w:val="left" w:pos="851"/>
        </w:tabs>
        <w:snapToGrid w:val="0"/>
        <w:contextualSpacing/>
      </w:pPr>
      <w:r w:rsidRPr="00453DBE">
        <w:rPr>
          <w:rFonts w:hint="eastAsia"/>
        </w:rPr>
        <w:t>根据需要在适当地点设置过分相预告应答器组。</w:t>
      </w:r>
    </w:p>
    <w:p w14:paraId="38E80CF7" w14:textId="17222D35" w:rsidR="00F00EA5" w:rsidRPr="00453DBE" w:rsidRDefault="006204A3" w:rsidP="00F00EA5">
      <w:pPr>
        <w:pStyle w:val="22"/>
      </w:pPr>
      <w:r w:rsidRPr="00BF0BA3">
        <w:rPr>
          <w:rFonts w:hAnsi="Times New Roman" w:cs="Times New Roman" w:hint="eastAsia"/>
        </w:rPr>
        <w:t>列车自动防护系统在车地连续通信中断（超过车载设备与地面设备最大允许通信中断时间）</w:t>
      </w:r>
      <w:r w:rsidR="00F00EA5" w:rsidRPr="00453DBE">
        <w:rPr>
          <w:rFonts w:hint="eastAsia"/>
        </w:rPr>
        <w:t>、列车完整性电路断路、列车超速、列车的非预期移动、车载设备重要故障等情况下均应采取强迫性制动。</w:t>
      </w:r>
    </w:p>
    <w:p w14:paraId="39463F31" w14:textId="77777777" w:rsidR="00F00EA5" w:rsidRPr="00453DBE" w:rsidRDefault="00F00EA5" w:rsidP="00F00EA5">
      <w:pPr>
        <w:pStyle w:val="22"/>
      </w:pPr>
      <w:r w:rsidRPr="00453DBE">
        <w:rPr>
          <w:rFonts w:hint="eastAsia"/>
        </w:rPr>
        <w:t>列车自动防护系统执行强迫停车控制时，应切断列车牵引，列车停车过程不应中途缓解。</w:t>
      </w:r>
    </w:p>
    <w:p w14:paraId="717DCD5B" w14:textId="0C24DCD6" w:rsidR="00737EB2" w:rsidRPr="00A7607F" w:rsidRDefault="00F00EA5" w:rsidP="009D0776">
      <w:pPr>
        <w:pStyle w:val="22"/>
      </w:pPr>
      <w:r w:rsidRPr="00453DBE">
        <w:rPr>
          <w:rFonts w:hint="eastAsia"/>
        </w:rPr>
        <w:t>车载信号设备与车辆接口电路的布线应与其主回路等环节的高压布线分开敷设并实施防护，与车辆电器的接口应有隔离措施</w:t>
      </w:r>
      <w:bookmarkStart w:id="2467" w:name="_Toc153291974"/>
      <w:bookmarkStart w:id="2468" w:name="_Toc99792536"/>
      <w:bookmarkEnd w:id="2465"/>
      <w:bookmarkEnd w:id="2466"/>
      <w:r w:rsidR="00737EB2" w:rsidRPr="00A7607F">
        <w:rPr>
          <w:rFonts w:hint="eastAsia"/>
        </w:rPr>
        <w:t>。</w:t>
      </w:r>
      <w:bookmarkEnd w:id="2467"/>
      <w:bookmarkEnd w:id="2468"/>
    </w:p>
    <w:p w14:paraId="023C0902" w14:textId="77777777" w:rsidR="00737EB2" w:rsidRPr="00A7607F" w:rsidRDefault="00737EB2" w:rsidP="00737EB2">
      <w:pPr>
        <w:pStyle w:val="affe"/>
        <w:spacing w:before="156" w:after="156"/>
      </w:pPr>
      <w:bookmarkStart w:id="2469" w:name="_Toc99792537"/>
      <w:bookmarkStart w:id="2470" w:name="_Toc153291975"/>
      <w:bookmarkStart w:id="2471" w:name="_Toc153210947"/>
      <w:bookmarkStart w:id="2472" w:name="_Toc167895845"/>
      <w:bookmarkStart w:id="2473" w:name="_Toc174538759"/>
      <w:bookmarkStart w:id="2474" w:name="_Toc182476516"/>
      <w:r w:rsidRPr="00A7607F">
        <w:rPr>
          <w:rFonts w:hint="eastAsia"/>
        </w:rPr>
        <w:t>列车自动运行系统</w:t>
      </w:r>
      <w:bookmarkEnd w:id="2469"/>
      <w:bookmarkEnd w:id="2470"/>
      <w:bookmarkEnd w:id="2471"/>
      <w:bookmarkEnd w:id="2472"/>
      <w:bookmarkEnd w:id="2473"/>
      <w:bookmarkEnd w:id="2474"/>
    </w:p>
    <w:p w14:paraId="56E4B851" w14:textId="77777777" w:rsidR="00F00EA5" w:rsidRPr="00453DBE" w:rsidRDefault="00F00EA5" w:rsidP="00F00EA5">
      <w:pPr>
        <w:pStyle w:val="22"/>
      </w:pPr>
      <w:bookmarkStart w:id="2475" w:name="_Toc99792538"/>
      <w:bookmarkStart w:id="2476" w:name="_Toc153291976"/>
      <w:r w:rsidRPr="00453DBE">
        <w:rPr>
          <w:rFonts w:hint="eastAsia"/>
        </w:rPr>
        <w:t>列车自动运行系统可利用行车调度指挥、列车自动防护等系统的轨旁设备，但不应影响其他系统的安全性。</w:t>
      </w:r>
    </w:p>
    <w:p w14:paraId="1F7FE1DB" w14:textId="77777777" w:rsidR="00F00EA5" w:rsidRPr="00453DBE" w:rsidRDefault="00F00EA5" w:rsidP="00F00EA5">
      <w:pPr>
        <w:pStyle w:val="22"/>
      </w:pPr>
      <w:r w:rsidRPr="00453DBE">
        <w:rPr>
          <w:rFonts w:hint="eastAsia"/>
        </w:rPr>
        <w:t>列车自动运行系统车载设备应主要包括车载计算机及相关接口等设备。</w:t>
      </w:r>
    </w:p>
    <w:p w14:paraId="08084DA7" w14:textId="77777777" w:rsidR="00F00EA5" w:rsidRPr="00453DBE" w:rsidRDefault="00F00EA5" w:rsidP="00F00EA5">
      <w:pPr>
        <w:pStyle w:val="22"/>
      </w:pPr>
      <w:r w:rsidRPr="00453DBE">
        <w:rPr>
          <w:rFonts w:hint="eastAsia"/>
        </w:rPr>
        <w:t>列车自动运行系统应具有下列主要功能：</w:t>
      </w:r>
    </w:p>
    <w:p w14:paraId="4197B0E5" w14:textId="77777777" w:rsidR="00F00EA5" w:rsidRPr="00453DBE" w:rsidRDefault="00F00EA5" w:rsidP="003334F3">
      <w:pPr>
        <w:pStyle w:val="af6"/>
        <w:numPr>
          <w:ilvl w:val="0"/>
          <w:numId w:val="310"/>
        </w:numPr>
        <w:snapToGrid w:val="0"/>
        <w:contextualSpacing/>
      </w:pPr>
      <w:r w:rsidRPr="00453DBE">
        <w:rPr>
          <w:rFonts w:hint="eastAsia"/>
        </w:rPr>
        <w:t>站间自动运行；</w:t>
      </w:r>
    </w:p>
    <w:p w14:paraId="736A27FD" w14:textId="77777777" w:rsidR="00F00EA5" w:rsidRPr="00453DBE" w:rsidRDefault="00F00EA5" w:rsidP="003334F3">
      <w:pPr>
        <w:pStyle w:val="af6"/>
        <w:tabs>
          <w:tab w:val="left" w:pos="851"/>
        </w:tabs>
        <w:snapToGrid w:val="0"/>
        <w:contextualSpacing/>
      </w:pPr>
      <w:r w:rsidRPr="00453DBE">
        <w:rPr>
          <w:rFonts w:hint="eastAsia"/>
        </w:rPr>
        <w:t>列车运行自动调整；</w:t>
      </w:r>
    </w:p>
    <w:p w14:paraId="4A8D1D34" w14:textId="77777777" w:rsidR="00F00EA5" w:rsidRPr="00453DBE" w:rsidRDefault="00F00EA5" w:rsidP="003334F3">
      <w:pPr>
        <w:pStyle w:val="af6"/>
        <w:tabs>
          <w:tab w:val="left" w:pos="851"/>
        </w:tabs>
        <w:snapToGrid w:val="0"/>
        <w:contextualSpacing/>
      </w:pPr>
      <w:r w:rsidRPr="00453DBE">
        <w:rPr>
          <w:rFonts w:hint="eastAsia"/>
        </w:rPr>
        <w:t>车站定点停车；</w:t>
      </w:r>
    </w:p>
    <w:p w14:paraId="22A63D51" w14:textId="77777777" w:rsidR="00F00EA5" w:rsidRPr="00453DBE" w:rsidRDefault="00F00EA5" w:rsidP="003334F3">
      <w:pPr>
        <w:pStyle w:val="af6"/>
        <w:tabs>
          <w:tab w:val="left" w:pos="851"/>
        </w:tabs>
        <w:snapToGrid w:val="0"/>
        <w:contextualSpacing/>
      </w:pPr>
      <w:r w:rsidRPr="00453DBE">
        <w:rPr>
          <w:rFonts w:hint="eastAsia"/>
        </w:rPr>
        <w:t>有司机或无司机监督的自动折返；</w:t>
      </w:r>
    </w:p>
    <w:p w14:paraId="5E8B15B4" w14:textId="77777777" w:rsidR="00F00EA5" w:rsidRPr="00453DBE" w:rsidRDefault="00F00EA5" w:rsidP="003334F3">
      <w:pPr>
        <w:pStyle w:val="af6"/>
        <w:tabs>
          <w:tab w:val="left" w:pos="851"/>
        </w:tabs>
        <w:snapToGrid w:val="0"/>
        <w:contextualSpacing/>
      </w:pPr>
      <w:r w:rsidRPr="00453DBE">
        <w:rPr>
          <w:rFonts w:hint="eastAsia"/>
        </w:rPr>
        <w:t>列车车门、站台门自动控制；</w:t>
      </w:r>
    </w:p>
    <w:p w14:paraId="18CC8CF5" w14:textId="77777777" w:rsidR="00F00EA5" w:rsidRPr="00453DBE" w:rsidRDefault="00F00EA5" w:rsidP="003334F3">
      <w:pPr>
        <w:pStyle w:val="af6"/>
        <w:tabs>
          <w:tab w:val="left" w:pos="851"/>
        </w:tabs>
        <w:snapToGrid w:val="0"/>
        <w:contextualSpacing/>
      </w:pPr>
      <w:r w:rsidRPr="00453DBE">
        <w:rPr>
          <w:rFonts w:hint="eastAsia"/>
        </w:rPr>
        <w:t>列车节能控制。</w:t>
      </w:r>
    </w:p>
    <w:p w14:paraId="7A48626D" w14:textId="77777777" w:rsidR="00F00EA5" w:rsidRPr="00453DBE" w:rsidRDefault="00F00EA5" w:rsidP="00F00EA5">
      <w:pPr>
        <w:pStyle w:val="22"/>
      </w:pPr>
      <w:r w:rsidRPr="00453DBE">
        <w:rPr>
          <w:rFonts w:hint="eastAsia"/>
        </w:rPr>
        <w:t>列车自动运行系统符合下列要求：</w:t>
      </w:r>
    </w:p>
    <w:p w14:paraId="45F4DE1E" w14:textId="77777777" w:rsidR="00F00EA5" w:rsidRPr="00453DBE" w:rsidRDefault="00F00EA5" w:rsidP="003334F3">
      <w:pPr>
        <w:pStyle w:val="af6"/>
        <w:numPr>
          <w:ilvl w:val="0"/>
          <w:numId w:val="311"/>
        </w:numPr>
        <w:snapToGrid w:val="0"/>
        <w:contextualSpacing/>
      </w:pPr>
      <w:r w:rsidRPr="00453DBE">
        <w:rPr>
          <w:rFonts w:hint="eastAsia"/>
        </w:rPr>
        <w:t>应能提供多种区间运行模式，适应列车运行调整的需要，满足行车间隔控制的要求；</w:t>
      </w:r>
    </w:p>
    <w:p w14:paraId="5A3B6F81" w14:textId="77777777" w:rsidR="00F00EA5" w:rsidRPr="00453DBE" w:rsidRDefault="00F00EA5" w:rsidP="003334F3">
      <w:pPr>
        <w:pStyle w:val="af6"/>
        <w:tabs>
          <w:tab w:val="left" w:pos="851"/>
        </w:tabs>
        <w:snapToGrid w:val="0"/>
        <w:contextualSpacing/>
      </w:pPr>
      <w:r w:rsidRPr="00453DBE">
        <w:rPr>
          <w:rFonts w:hint="eastAsia"/>
        </w:rPr>
        <w:t>应满足舒适度、快捷及正点要求；</w:t>
      </w:r>
    </w:p>
    <w:p w14:paraId="35318CA5" w14:textId="77777777" w:rsidR="00F00EA5" w:rsidRPr="00453DBE" w:rsidRDefault="00F00EA5" w:rsidP="003334F3">
      <w:pPr>
        <w:pStyle w:val="af6"/>
        <w:tabs>
          <w:tab w:val="left" w:pos="851"/>
        </w:tabs>
        <w:snapToGrid w:val="0"/>
        <w:contextualSpacing/>
      </w:pPr>
      <w:r w:rsidRPr="00453DBE">
        <w:rPr>
          <w:rFonts w:hint="eastAsia"/>
        </w:rPr>
        <w:t>应能控制列车实现车站越行作业；</w:t>
      </w:r>
    </w:p>
    <w:p w14:paraId="48ED552E" w14:textId="77777777" w:rsidR="00F00EA5" w:rsidRPr="00453DBE" w:rsidRDefault="00F00EA5" w:rsidP="003334F3">
      <w:pPr>
        <w:pStyle w:val="af6"/>
        <w:tabs>
          <w:tab w:val="left" w:pos="851"/>
        </w:tabs>
        <w:snapToGrid w:val="0"/>
        <w:contextualSpacing/>
      </w:pPr>
      <w:r w:rsidRPr="00453DBE">
        <w:rPr>
          <w:rFonts w:hint="eastAsia"/>
        </w:rPr>
        <w:t>应根据行车调度指挥、列车自动防护等系统提供的线路条件、道岔状态、列车位置等信息及速度调整指令，实现列车的速度控制；</w:t>
      </w:r>
    </w:p>
    <w:p w14:paraId="53E9AB3D" w14:textId="77777777" w:rsidR="00F00EA5" w:rsidRPr="00453DBE" w:rsidRDefault="00F00EA5" w:rsidP="003334F3">
      <w:pPr>
        <w:pStyle w:val="af6"/>
        <w:tabs>
          <w:tab w:val="left" w:pos="851"/>
        </w:tabs>
        <w:snapToGrid w:val="0"/>
        <w:contextualSpacing/>
      </w:pPr>
      <w:r w:rsidRPr="00453DBE">
        <w:rPr>
          <w:rFonts w:hint="eastAsia"/>
        </w:rPr>
        <w:t>列车在区间停车后，在允许信号开放且信号设备正常的前提下，列车宜自动启动；</w:t>
      </w:r>
    </w:p>
    <w:p w14:paraId="465B21B8" w14:textId="77777777" w:rsidR="00F00EA5" w:rsidRPr="00453DBE" w:rsidRDefault="00F00EA5" w:rsidP="003334F3">
      <w:pPr>
        <w:pStyle w:val="af6"/>
        <w:tabs>
          <w:tab w:val="left" w:pos="851"/>
        </w:tabs>
        <w:snapToGrid w:val="0"/>
        <w:contextualSpacing/>
      </w:pPr>
      <w:r w:rsidRPr="00453DBE">
        <w:rPr>
          <w:rFonts w:hint="eastAsia"/>
        </w:rPr>
        <w:t>系统发生故障时，应能转为司机控制；</w:t>
      </w:r>
    </w:p>
    <w:p w14:paraId="31297287" w14:textId="77777777" w:rsidR="00F00EA5" w:rsidRPr="00453DBE" w:rsidRDefault="00F00EA5" w:rsidP="003334F3">
      <w:pPr>
        <w:pStyle w:val="af6"/>
        <w:tabs>
          <w:tab w:val="left" w:pos="851"/>
        </w:tabs>
        <w:snapToGrid w:val="0"/>
        <w:contextualSpacing/>
      </w:pPr>
      <w:r w:rsidRPr="00453DBE">
        <w:rPr>
          <w:rFonts w:hint="eastAsia"/>
        </w:rPr>
        <w:t>信号车载设备应能将故障诊断与报警信息实时传送至行车调度指挥系统；</w:t>
      </w:r>
    </w:p>
    <w:p w14:paraId="452F249A" w14:textId="45489CB8" w:rsidR="009A3906" w:rsidRPr="00453DBE" w:rsidRDefault="009A3906" w:rsidP="009A3906">
      <w:pPr>
        <w:pStyle w:val="af6"/>
      </w:pPr>
      <w:r w:rsidRPr="00453DBE">
        <w:rPr>
          <w:rFonts w:hint="eastAsia"/>
        </w:rPr>
        <w:t>应能实现人工控制优先于设备控制。</w:t>
      </w:r>
    </w:p>
    <w:p w14:paraId="12F05C0B" w14:textId="77777777" w:rsidR="00737EB2" w:rsidRPr="00765F6E" w:rsidRDefault="00737EB2" w:rsidP="00737EB2">
      <w:pPr>
        <w:pStyle w:val="affe"/>
        <w:spacing w:before="156" w:after="156"/>
      </w:pPr>
      <w:bookmarkStart w:id="2477" w:name="_Toc153210948"/>
      <w:bookmarkStart w:id="2478" w:name="_Toc99792543"/>
      <w:bookmarkStart w:id="2479" w:name="_Toc153291981"/>
      <w:bookmarkStart w:id="2480" w:name="_Toc167895846"/>
      <w:bookmarkStart w:id="2481" w:name="_Toc174538760"/>
      <w:bookmarkStart w:id="2482" w:name="_Toc182476517"/>
      <w:bookmarkEnd w:id="2475"/>
      <w:bookmarkEnd w:id="2476"/>
      <w:r w:rsidRPr="00765F6E">
        <w:rPr>
          <w:rFonts w:hint="eastAsia"/>
        </w:rPr>
        <w:t>车站联锁系统</w:t>
      </w:r>
      <w:bookmarkEnd w:id="2477"/>
      <w:bookmarkEnd w:id="2478"/>
      <w:bookmarkEnd w:id="2479"/>
      <w:bookmarkEnd w:id="2480"/>
      <w:bookmarkEnd w:id="2481"/>
      <w:bookmarkEnd w:id="2482"/>
    </w:p>
    <w:p w14:paraId="2A07D9C7" w14:textId="77777777" w:rsidR="00737EB2" w:rsidRPr="00765F6E" w:rsidRDefault="00737EB2" w:rsidP="009D0776">
      <w:pPr>
        <w:pStyle w:val="22"/>
      </w:pPr>
      <w:bookmarkStart w:id="2483" w:name="_Toc99792544"/>
      <w:bookmarkStart w:id="2484" w:name="_Toc153291982"/>
      <w:r w:rsidRPr="00765F6E">
        <w:rPr>
          <w:rFonts w:hint="eastAsia"/>
        </w:rPr>
        <w:lastRenderedPageBreak/>
        <w:t>有岔站、车辆基地应设置车站联锁系统。无岔车站其联锁逻辑关系宜由邻近的车站联锁系统控制。</w:t>
      </w:r>
      <w:bookmarkEnd w:id="2483"/>
      <w:bookmarkEnd w:id="2484"/>
    </w:p>
    <w:p w14:paraId="0A3A8196" w14:textId="77777777" w:rsidR="00737EB2" w:rsidRPr="00765F6E" w:rsidRDefault="00737EB2" w:rsidP="009D0776">
      <w:pPr>
        <w:pStyle w:val="22"/>
      </w:pPr>
      <w:bookmarkStart w:id="2485" w:name="_Toc99792545"/>
      <w:bookmarkStart w:id="2486" w:name="_Toc153291983"/>
      <w:r w:rsidRPr="00765F6E">
        <w:rPr>
          <w:rFonts w:hint="eastAsia"/>
        </w:rPr>
        <w:t>车站联锁设备应采用硬件安全冗余结构，执行单元宜采用全电子联锁设备。</w:t>
      </w:r>
      <w:bookmarkEnd w:id="2485"/>
      <w:bookmarkEnd w:id="2486"/>
    </w:p>
    <w:p w14:paraId="018A0640" w14:textId="77777777" w:rsidR="00737EB2" w:rsidRPr="00765F6E" w:rsidRDefault="00737EB2" w:rsidP="009D0776">
      <w:pPr>
        <w:pStyle w:val="22"/>
      </w:pPr>
      <w:bookmarkStart w:id="2487" w:name="_Toc99792546"/>
      <w:bookmarkStart w:id="2488" w:name="_Toc153291984"/>
      <w:r w:rsidRPr="00765F6E">
        <w:rPr>
          <w:rFonts w:hint="eastAsia"/>
        </w:rPr>
        <w:t>当采用继电接口时，联锁对继电器的物理驱动宜采用双断方式，即所有由电子电路驱动的继电器不应存在公共的驱动回线。驱动继电器宜采用分线圈驱动。</w:t>
      </w:r>
      <w:bookmarkEnd w:id="2487"/>
      <w:bookmarkEnd w:id="2488"/>
    </w:p>
    <w:p w14:paraId="271E85EA" w14:textId="77777777" w:rsidR="00737EB2" w:rsidRPr="00765F6E" w:rsidRDefault="00737EB2" w:rsidP="009D0776">
      <w:pPr>
        <w:pStyle w:val="22"/>
      </w:pPr>
      <w:bookmarkStart w:id="2489" w:name="_Toc153291985"/>
      <w:bookmarkStart w:id="2490" w:name="_Toc99792547"/>
      <w:r w:rsidRPr="00765F6E">
        <w:rPr>
          <w:rFonts w:hint="eastAsia"/>
        </w:rPr>
        <w:t>车站联锁系统应具有下列主要功能：</w:t>
      </w:r>
      <w:bookmarkEnd w:id="2489"/>
      <w:bookmarkEnd w:id="2490"/>
    </w:p>
    <w:p w14:paraId="5904327B" w14:textId="77777777" w:rsidR="00737EB2" w:rsidRPr="00765F6E" w:rsidRDefault="00737EB2" w:rsidP="003334F3">
      <w:pPr>
        <w:pStyle w:val="af6"/>
        <w:numPr>
          <w:ilvl w:val="0"/>
          <w:numId w:val="207"/>
        </w:numPr>
        <w:tabs>
          <w:tab w:val="left" w:pos="851"/>
        </w:tabs>
        <w:snapToGrid w:val="0"/>
        <w:contextualSpacing/>
      </w:pPr>
      <w:r w:rsidRPr="00765F6E">
        <w:rPr>
          <w:rFonts w:hint="eastAsia"/>
        </w:rPr>
        <w:t>确保进路上的道岔、信号机和区段的联锁，当联锁条件不符时，禁止进路开通，敌对进路应相互照查，不应同时开通；</w:t>
      </w:r>
    </w:p>
    <w:p w14:paraId="1111812D" w14:textId="77777777" w:rsidR="00737EB2" w:rsidRPr="00765F6E" w:rsidRDefault="00737EB2" w:rsidP="003334F3">
      <w:pPr>
        <w:pStyle w:val="af6"/>
        <w:numPr>
          <w:ilvl w:val="0"/>
          <w:numId w:val="207"/>
        </w:numPr>
        <w:tabs>
          <w:tab w:val="left" w:pos="851"/>
        </w:tabs>
        <w:snapToGrid w:val="0"/>
        <w:contextualSpacing/>
      </w:pPr>
      <w:r w:rsidRPr="00765F6E">
        <w:rPr>
          <w:rFonts w:hint="eastAsia"/>
        </w:rPr>
        <w:t>根据需要可自动选出带保护区段的进路并锁闭。可自动排列通过进路及折返进路；</w:t>
      </w:r>
    </w:p>
    <w:p w14:paraId="6795471B" w14:textId="77777777" w:rsidR="00737EB2" w:rsidRPr="00765F6E" w:rsidRDefault="00737EB2" w:rsidP="003334F3">
      <w:pPr>
        <w:pStyle w:val="af6"/>
        <w:numPr>
          <w:ilvl w:val="0"/>
          <w:numId w:val="207"/>
        </w:numPr>
        <w:tabs>
          <w:tab w:val="left" w:pos="851"/>
        </w:tabs>
        <w:snapToGrid w:val="0"/>
        <w:contextualSpacing/>
      </w:pPr>
      <w:r w:rsidRPr="00765F6E">
        <w:rPr>
          <w:rFonts w:hint="eastAsia"/>
        </w:rPr>
        <w:t>道岔具有进路操纵及锁闭功能，也能单独操纵、单独锁闭；</w:t>
      </w:r>
    </w:p>
    <w:p w14:paraId="64D5B3A5" w14:textId="77777777" w:rsidR="00737EB2" w:rsidRPr="00765F6E" w:rsidRDefault="00737EB2" w:rsidP="003334F3">
      <w:pPr>
        <w:pStyle w:val="af6"/>
        <w:numPr>
          <w:ilvl w:val="0"/>
          <w:numId w:val="207"/>
        </w:numPr>
        <w:tabs>
          <w:tab w:val="left" w:pos="851"/>
        </w:tabs>
        <w:snapToGrid w:val="0"/>
        <w:contextualSpacing/>
      </w:pPr>
      <w:r w:rsidRPr="00765F6E">
        <w:rPr>
          <w:rFonts w:hint="eastAsia"/>
        </w:rPr>
        <w:t>具有进路式开放引导信号的功能；</w:t>
      </w:r>
    </w:p>
    <w:p w14:paraId="75599CCD" w14:textId="77777777" w:rsidR="00737EB2" w:rsidRPr="00765F6E" w:rsidRDefault="00737EB2" w:rsidP="003334F3">
      <w:pPr>
        <w:pStyle w:val="af6"/>
        <w:numPr>
          <w:ilvl w:val="0"/>
          <w:numId w:val="207"/>
        </w:numPr>
        <w:tabs>
          <w:tab w:val="left" w:pos="851"/>
        </w:tabs>
        <w:snapToGrid w:val="0"/>
        <w:contextualSpacing/>
      </w:pPr>
      <w:r w:rsidRPr="00765F6E">
        <w:rPr>
          <w:rFonts w:hint="eastAsia"/>
        </w:rPr>
        <w:t>车站可根据运营作业特殊需要设置信号机封锁、道岔封锁、站台紧急关闭（每个车站设置）等功能，各项功能应有相应的状态表示。</w:t>
      </w:r>
    </w:p>
    <w:p w14:paraId="092E1932" w14:textId="77777777" w:rsidR="009A3906" w:rsidRPr="00453DBE" w:rsidRDefault="009A3906" w:rsidP="009A3906">
      <w:pPr>
        <w:pStyle w:val="22"/>
      </w:pPr>
      <w:bookmarkStart w:id="2491" w:name="_Toc99792548"/>
      <w:bookmarkStart w:id="2492" w:name="_Toc153291986"/>
      <w:r w:rsidRPr="00453DBE">
        <w:rPr>
          <w:rFonts w:hint="eastAsia"/>
        </w:rPr>
        <w:t>进路的接近锁闭区段长度和延时解锁时间应结合线路条件和列车最高运行速度计算确定，宜考虑列车接收制动命令的信息传输时间、设备动作时间等最不利因素。</w:t>
      </w:r>
    </w:p>
    <w:p w14:paraId="48893FBF" w14:textId="77777777" w:rsidR="009A3906" w:rsidRPr="00453DBE" w:rsidRDefault="009A3906" w:rsidP="009A3906">
      <w:pPr>
        <w:pStyle w:val="22"/>
      </w:pPr>
      <w:r w:rsidRPr="00453DBE">
        <w:rPr>
          <w:rFonts w:hint="eastAsia"/>
        </w:rPr>
        <w:t>接车进路的过走防护距离及非预期发车防护长度应结合线路条件及车辆相关参数以及车载信号设备计算确定，过走防护距离宜设置于信号机内方，并可根据列车停准、停稳信息中断延时立即解锁。</w:t>
      </w:r>
    </w:p>
    <w:p w14:paraId="545F5F26" w14:textId="77777777" w:rsidR="009A3906" w:rsidRPr="00453DBE" w:rsidRDefault="009A3906" w:rsidP="009A3906">
      <w:pPr>
        <w:pStyle w:val="22"/>
      </w:pPr>
      <w:r w:rsidRPr="00453DBE">
        <w:rPr>
          <w:rFonts w:hint="eastAsia"/>
        </w:rPr>
        <w:t>轨道占用检查装置可采用计轴设备或轨道电路设备。轨道区段的设计应满足最高运行速度下联锁设备正常解锁的最小长度要求、降级模式下的追踪间隔要求以及轨道电路自身设备响应时间的要求、车载信号可靠接收地面低频信息的要求等。</w:t>
      </w:r>
    </w:p>
    <w:p w14:paraId="69D209B2" w14:textId="77777777" w:rsidR="009A3906" w:rsidRPr="00453DBE" w:rsidRDefault="009A3906" w:rsidP="009A3906">
      <w:pPr>
        <w:pStyle w:val="22"/>
      </w:pPr>
      <w:r w:rsidRPr="00453DBE">
        <w:rPr>
          <w:rFonts w:hint="eastAsia"/>
        </w:rPr>
        <w:t>车站站台及车站控制室应设站台紧急关闭按钮，并应纳入联锁及列车自动运行系统控制。站台紧急关闭按钮电路应符合故障</w:t>
      </w:r>
      <w:r w:rsidRPr="00453DBE">
        <w:t>-安全原则。</w:t>
      </w:r>
    </w:p>
    <w:p w14:paraId="487A4DF6" w14:textId="77777777" w:rsidR="00662058" w:rsidRPr="00453DBE" w:rsidRDefault="00662058" w:rsidP="00662058">
      <w:pPr>
        <w:pStyle w:val="22"/>
      </w:pPr>
      <w:bookmarkStart w:id="2493" w:name="_Toc99792552"/>
      <w:bookmarkStart w:id="2494" w:name="_Toc153291990"/>
      <w:bookmarkEnd w:id="2491"/>
      <w:bookmarkEnd w:id="2492"/>
      <w:r w:rsidRPr="00453DBE">
        <w:rPr>
          <w:rFonts w:hint="eastAsia"/>
        </w:rPr>
        <w:t>地面信号机的设置和显示满足下列要求：</w:t>
      </w:r>
    </w:p>
    <w:p w14:paraId="170DAC76" w14:textId="77777777" w:rsidR="00662058" w:rsidRPr="00453DBE" w:rsidRDefault="00662058" w:rsidP="003334F3">
      <w:pPr>
        <w:pStyle w:val="af6"/>
        <w:numPr>
          <w:ilvl w:val="0"/>
          <w:numId w:val="312"/>
        </w:numPr>
        <w:snapToGrid w:val="0"/>
        <w:contextualSpacing/>
      </w:pPr>
      <w:r w:rsidRPr="00453DBE">
        <w:rPr>
          <w:rFonts w:hint="eastAsia"/>
        </w:rPr>
        <w:t>正线线路上应设进、出站信号机和道岔防护信号机，根据运营需要可设置其他类型的信号机。信号机的设置应与行车方向匹配，设置于其他位置时，需经运营主管部门批准；</w:t>
      </w:r>
    </w:p>
    <w:p w14:paraId="029DF965" w14:textId="77777777" w:rsidR="00662058" w:rsidRPr="00453DBE" w:rsidRDefault="00662058" w:rsidP="003334F3">
      <w:pPr>
        <w:pStyle w:val="af6"/>
        <w:numPr>
          <w:ilvl w:val="0"/>
          <w:numId w:val="33"/>
        </w:numPr>
        <w:tabs>
          <w:tab w:val="left" w:pos="851"/>
        </w:tabs>
        <w:snapToGrid w:val="0"/>
        <w:contextualSpacing/>
      </w:pPr>
      <w:r w:rsidRPr="00453DBE">
        <w:rPr>
          <w:rFonts w:hint="eastAsia"/>
        </w:rPr>
        <w:t>区间根据需要可设置地面通过信号机；</w:t>
      </w:r>
    </w:p>
    <w:p w14:paraId="017558F5" w14:textId="77777777" w:rsidR="00662058" w:rsidRPr="00453DBE" w:rsidRDefault="00662058" w:rsidP="003334F3">
      <w:pPr>
        <w:pStyle w:val="af6"/>
        <w:numPr>
          <w:ilvl w:val="0"/>
          <w:numId w:val="33"/>
        </w:numPr>
        <w:tabs>
          <w:tab w:val="left" w:pos="851"/>
        </w:tabs>
        <w:snapToGrid w:val="0"/>
        <w:contextualSpacing/>
      </w:pPr>
      <w:r w:rsidRPr="00453DBE">
        <w:rPr>
          <w:rFonts w:hint="eastAsia"/>
        </w:rPr>
        <w:t>车辆基地调车信号机应常态点灯；</w:t>
      </w:r>
    </w:p>
    <w:p w14:paraId="0DE26A81" w14:textId="77777777" w:rsidR="00662058" w:rsidRPr="00453DBE" w:rsidRDefault="00662058" w:rsidP="003334F3">
      <w:pPr>
        <w:pStyle w:val="af6"/>
        <w:numPr>
          <w:ilvl w:val="0"/>
          <w:numId w:val="33"/>
        </w:numPr>
        <w:tabs>
          <w:tab w:val="left" w:pos="851"/>
        </w:tabs>
        <w:snapToGrid w:val="0"/>
        <w:contextualSpacing/>
      </w:pPr>
      <w:r w:rsidRPr="00453DBE">
        <w:rPr>
          <w:rFonts w:hint="eastAsia"/>
        </w:rPr>
        <w:t>信号机与分相区的设置位置应满足列车运行需要。</w:t>
      </w:r>
    </w:p>
    <w:p w14:paraId="421C8384" w14:textId="77777777" w:rsidR="00662058" w:rsidRPr="00453DBE" w:rsidRDefault="00662058" w:rsidP="00662058">
      <w:pPr>
        <w:pStyle w:val="22"/>
      </w:pPr>
      <w:r w:rsidRPr="00453DBE">
        <w:rPr>
          <w:rFonts w:hint="eastAsia"/>
        </w:rPr>
        <w:t>信号机宜采用</w:t>
      </w:r>
      <w:r w:rsidRPr="00453DBE">
        <w:t>LED光源的色灯信号机，具备LED故障报警和防止干扰误触发点亮功能。当列车信号机采用灯泡方式时，应具备主灯丝断丝报警功能，常态灭灯的信号机应具备冷丝检测功能。</w:t>
      </w:r>
    </w:p>
    <w:p w14:paraId="5AEE2F8E" w14:textId="77777777" w:rsidR="00662058" w:rsidRPr="00453DBE" w:rsidRDefault="00662058" w:rsidP="00662058">
      <w:pPr>
        <w:pStyle w:val="22"/>
      </w:pPr>
      <w:r w:rsidRPr="00453DBE">
        <w:rPr>
          <w:rFonts w:hint="eastAsia"/>
        </w:rPr>
        <w:t>采用</w:t>
      </w:r>
      <w:r w:rsidRPr="00453DBE">
        <w:t>CTCS制式或者兼容CTCS制式和CBTC制式的列车运行控制系统时，信号机显示方式应符合TB 10007的有关规定；采用CBTC制式时，信号机显示方式应符合GB/T 12758的有关规定。</w:t>
      </w:r>
    </w:p>
    <w:p w14:paraId="7EA34D5F" w14:textId="77777777" w:rsidR="00662058" w:rsidRPr="00453DBE" w:rsidRDefault="00662058" w:rsidP="00662058">
      <w:pPr>
        <w:pStyle w:val="22"/>
      </w:pPr>
      <w:r w:rsidRPr="00453DBE">
        <w:rPr>
          <w:rFonts w:hint="eastAsia"/>
        </w:rPr>
        <w:t>道岔转辙设备设置符合下列规定：</w:t>
      </w:r>
    </w:p>
    <w:p w14:paraId="59DC4034" w14:textId="766F65D2" w:rsidR="00662058" w:rsidRPr="00453DBE" w:rsidRDefault="00662058" w:rsidP="003334F3">
      <w:pPr>
        <w:pStyle w:val="af6"/>
        <w:numPr>
          <w:ilvl w:val="0"/>
          <w:numId w:val="313"/>
        </w:numPr>
        <w:snapToGrid w:val="0"/>
        <w:contextualSpacing/>
      </w:pPr>
      <w:r w:rsidRPr="00453DBE">
        <w:rPr>
          <w:rFonts w:hint="eastAsia"/>
        </w:rPr>
        <w:t>直向通过速度160km/h的道岔尖轨密贴段牵引点间应设置密贴检查器并将接点纳入联锁进路检查条件</w:t>
      </w:r>
      <w:r w:rsidR="00550008">
        <w:rPr>
          <w:rFonts w:hint="eastAsia"/>
        </w:rPr>
        <w:t>；</w:t>
      </w:r>
    </w:p>
    <w:p w14:paraId="7197ED1E" w14:textId="77777777" w:rsidR="00662058" w:rsidRPr="00453DBE" w:rsidRDefault="00662058" w:rsidP="003334F3">
      <w:pPr>
        <w:pStyle w:val="af6"/>
        <w:numPr>
          <w:ilvl w:val="0"/>
          <w:numId w:val="33"/>
        </w:numPr>
        <w:tabs>
          <w:tab w:val="left" w:pos="851"/>
        </w:tabs>
        <w:snapToGrid w:val="0"/>
        <w:contextualSpacing/>
      </w:pPr>
      <w:r w:rsidRPr="00453DBE">
        <w:rPr>
          <w:rFonts w:hint="eastAsia"/>
        </w:rPr>
        <w:t>车站联锁系统选排进路可分时分组转换道岔；采用多机牵引、分线分动控制的方式；</w:t>
      </w:r>
    </w:p>
    <w:p w14:paraId="6C709D1E" w14:textId="77777777" w:rsidR="00662058" w:rsidRPr="00453DBE" w:rsidRDefault="00662058" w:rsidP="003334F3">
      <w:pPr>
        <w:pStyle w:val="af6"/>
        <w:numPr>
          <w:ilvl w:val="0"/>
          <w:numId w:val="33"/>
        </w:numPr>
        <w:tabs>
          <w:tab w:val="left" w:pos="851"/>
        </w:tabs>
        <w:snapToGrid w:val="0"/>
        <w:contextualSpacing/>
      </w:pPr>
      <w:r w:rsidRPr="00453DBE">
        <w:rPr>
          <w:rFonts w:hint="eastAsia"/>
        </w:rPr>
        <w:t>道岔转辙设备控制电路应具有动作超时保护措施；</w:t>
      </w:r>
    </w:p>
    <w:p w14:paraId="3748869A" w14:textId="77777777" w:rsidR="00662058" w:rsidRPr="00453DBE" w:rsidRDefault="00662058" w:rsidP="003334F3">
      <w:pPr>
        <w:pStyle w:val="af6"/>
        <w:numPr>
          <w:ilvl w:val="0"/>
          <w:numId w:val="33"/>
        </w:numPr>
        <w:tabs>
          <w:tab w:val="left" w:pos="851"/>
        </w:tabs>
        <w:snapToGrid w:val="0"/>
        <w:contextualSpacing/>
      </w:pPr>
      <w:r w:rsidRPr="00453DBE">
        <w:rPr>
          <w:rFonts w:hint="eastAsia"/>
        </w:rPr>
        <w:t>交流转辙设备控制电路应具有断相保护措施。</w:t>
      </w:r>
    </w:p>
    <w:p w14:paraId="7390A956" w14:textId="152D06CD" w:rsidR="00737EB2" w:rsidRPr="00A7607F" w:rsidRDefault="00737EB2" w:rsidP="00737EB2">
      <w:pPr>
        <w:pStyle w:val="affe"/>
        <w:spacing w:before="156" w:after="156"/>
      </w:pPr>
      <w:bookmarkStart w:id="2495" w:name="_Toc153210949"/>
      <w:bookmarkStart w:id="2496" w:name="_Toc99792556"/>
      <w:bookmarkStart w:id="2497" w:name="_Toc153291994"/>
      <w:bookmarkStart w:id="2498" w:name="_Toc167895847"/>
      <w:bookmarkStart w:id="2499" w:name="_Toc174538761"/>
      <w:bookmarkStart w:id="2500" w:name="_Toc182476518"/>
      <w:bookmarkEnd w:id="2493"/>
      <w:bookmarkEnd w:id="2494"/>
      <w:r w:rsidRPr="00A7607F">
        <w:rPr>
          <w:rFonts w:hint="eastAsia"/>
        </w:rPr>
        <w:t>信号集中监测</w:t>
      </w:r>
      <w:bookmarkEnd w:id="2495"/>
      <w:bookmarkEnd w:id="2496"/>
      <w:bookmarkEnd w:id="2497"/>
      <w:bookmarkEnd w:id="2498"/>
      <w:bookmarkEnd w:id="2499"/>
      <w:bookmarkEnd w:id="2500"/>
    </w:p>
    <w:p w14:paraId="5210518D" w14:textId="77777777" w:rsidR="00662058" w:rsidRPr="00453DBE" w:rsidRDefault="00662058" w:rsidP="00662058">
      <w:pPr>
        <w:pStyle w:val="22"/>
      </w:pPr>
      <w:bookmarkStart w:id="2501" w:name="_Toc99792557"/>
      <w:bookmarkStart w:id="2502" w:name="_Toc153291995"/>
      <w:r w:rsidRPr="00453DBE">
        <w:rPr>
          <w:rFonts w:hint="eastAsia"/>
        </w:rPr>
        <w:t>信号各子系统均应具有自诊断、检测、报警、信息储存、状态再现等信号检测功能。</w:t>
      </w:r>
    </w:p>
    <w:p w14:paraId="57156E5B" w14:textId="77777777" w:rsidR="00662058" w:rsidRPr="00453DBE" w:rsidRDefault="00662058" w:rsidP="00662058">
      <w:pPr>
        <w:pStyle w:val="22"/>
      </w:pPr>
      <w:r w:rsidRPr="00453DBE">
        <w:rPr>
          <w:rFonts w:hint="eastAsia"/>
        </w:rPr>
        <w:t>市域铁路应设置信号集中监测系统。该系统应能对行车调度指挥系统、列车自动防护系统、列车自动运行系统、车站联锁系统、轨道电路</w:t>
      </w:r>
      <w:r w:rsidRPr="00453DBE">
        <w:t>/计轴、电源屏、蓄电池、站台门/防淹门（如有）状态、灯丝断丝报警单元、转辙机、道岔缺口、防雷及接地、电缆、紧急关闭按钮等设备进行监测。</w:t>
      </w:r>
    </w:p>
    <w:p w14:paraId="6C37749E" w14:textId="77777777" w:rsidR="00662058" w:rsidRPr="00453DBE" w:rsidRDefault="00662058" w:rsidP="00662058">
      <w:pPr>
        <w:pStyle w:val="22"/>
      </w:pPr>
      <w:r w:rsidRPr="00453DBE">
        <w:rPr>
          <w:rFonts w:hint="eastAsia"/>
        </w:rPr>
        <w:t>信号集中监测系统应符合铁路信号集中监测系统有关技术标准的规定。</w:t>
      </w:r>
    </w:p>
    <w:p w14:paraId="2681D041" w14:textId="77777777" w:rsidR="00662058" w:rsidRPr="00453DBE" w:rsidRDefault="00662058" w:rsidP="00662058">
      <w:pPr>
        <w:pStyle w:val="22"/>
      </w:pPr>
      <w:r w:rsidRPr="00453DBE">
        <w:rPr>
          <w:rFonts w:hint="eastAsia"/>
        </w:rPr>
        <w:t>信号集中监测系统在线采集信息时严禁影响被监测设备的正常工作。</w:t>
      </w:r>
    </w:p>
    <w:p w14:paraId="5D1F1505" w14:textId="77777777" w:rsidR="00662058" w:rsidRPr="00453DBE" w:rsidRDefault="00662058" w:rsidP="00662058">
      <w:pPr>
        <w:pStyle w:val="22"/>
      </w:pPr>
      <w:r w:rsidRPr="00453DBE">
        <w:rPr>
          <w:rFonts w:hint="eastAsia"/>
        </w:rPr>
        <w:t>信号集中监测系统宜设置中心级设备和车站级设备，监测终端设备应根据需要设置在相关信号设备维护单位。</w:t>
      </w:r>
    </w:p>
    <w:p w14:paraId="0C763EA1" w14:textId="77777777" w:rsidR="00662058" w:rsidRPr="00453DBE" w:rsidRDefault="00662058" w:rsidP="00662058">
      <w:pPr>
        <w:pStyle w:val="22"/>
      </w:pPr>
      <w:r w:rsidRPr="00453DBE">
        <w:rPr>
          <w:rFonts w:hint="eastAsia"/>
        </w:rPr>
        <w:t>信号集中监测系统中心级设备应具备管辖多条运营线路的能力并应统筹设置。</w:t>
      </w:r>
    </w:p>
    <w:p w14:paraId="2F4D69DA" w14:textId="77777777" w:rsidR="00662058" w:rsidRPr="00453DBE" w:rsidRDefault="00662058" w:rsidP="00662058">
      <w:pPr>
        <w:pStyle w:val="22"/>
      </w:pPr>
      <w:r w:rsidRPr="00453DBE">
        <w:rPr>
          <w:rFonts w:hint="eastAsia"/>
        </w:rPr>
        <w:lastRenderedPageBreak/>
        <w:t>信号集中监测系统应满足市域铁路的发展要求，应满足长大站间距的运营维护要求，便于远程维护，宜采用新技术手段实现智能运维功能，并预留与综合智能运维平台的接口。</w:t>
      </w:r>
    </w:p>
    <w:p w14:paraId="5C81EDF7" w14:textId="77777777" w:rsidR="00737EB2" w:rsidRPr="00A7607F" w:rsidRDefault="00737EB2" w:rsidP="00737EB2">
      <w:pPr>
        <w:pStyle w:val="affe"/>
        <w:spacing w:before="156" w:after="156"/>
      </w:pPr>
      <w:bookmarkStart w:id="2503" w:name="_Toc99792564"/>
      <w:bookmarkStart w:id="2504" w:name="_Toc153292002"/>
      <w:bookmarkStart w:id="2505" w:name="_Toc153210950"/>
      <w:bookmarkStart w:id="2506" w:name="_Toc167895848"/>
      <w:bookmarkStart w:id="2507" w:name="_Toc174538762"/>
      <w:bookmarkStart w:id="2508" w:name="_Toc182476519"/>
      <w:bookmarkEnd w:id="2501"/>
      <w:bookmarkEnd w:id="2502"/>
      <w:r w:rsidRPr="00A7607F">
        <w:rPr>
          <w:rFonts w:hint="eastAsia"/>
        </w:rPr>
        <w:t>数据传输网络</w:t>
      </w:r>
      <w:bookmarkEnd w:id="2503"/>
      <w:bookmarkEnd w:id="2504"/>
      <w:bookmarkEnd w:id="2505"/>
      <w:bookmarkEnd w:id="2506"/>
      <w:bookmarkEnd w:id="2507"/>
      <w:bookmarkEnd w:id="2508"/>
    </w:p>
    <w:p w14:paraId="6531675F" w14:textId="2BDF8628" w:rsidR="00662058" w:rsidRPr="00453DBE" w:rsidRDefault="00662058" w:rsidP="003334F3">
      <w:pPr>
        <w:pStyle w:val="22"/>
        <w:numPr>
          <w:ilvl w:val="3"/>
          <w:numId w:val="314"/>
        </w:numPr>
        <w:ind w:left="0"/>
      </w:pPr>
      <w:bookmarkStart w:id="2509" w:name="_Toc99792565"/>
      <w:bookmarkStart w:id="2510" w:name="_Toc153292003"/>
      <w:r w:rsidRPr="00453DBE">
        <w:rPr>
          <w:rFonts w:hint="eastAsia"/>
        </w:rPr>
        <w:t>信号系统数据传输网络应包含有线通信网络和无线通信网络</w:t>
      </w:r>
      <w:r w:rsidR="00AC50AB">
        <w:rPr>
          <w:rFonts w:hint="eastAsia"/>
        </w:rPr>
        <w:t>，应具有网络管理、维护功能</w:t>
      </w:r>
      <w:r w:rsidRPr="00453DBE">
        <w:rPr>
          <w:rFonts w:hint="eastAsia"/>
        </w:rPr>
        <w:t>。</w:t>
      </w:r>
    </w:p>
    <w:p w14:paraId="335789E5" w14:textId="77777777" w:rsidR="00662058" w:rsidRPr="00453DBE" w:rsidRDefault="00662058" w:rsidP="003334F3">
      <w:pPr>
        <w:pStyle w:val="22"/>
        <w:numPr>
          <w:ilvl w:val="3"/>
          <w:numId w:val="314"/>
        </w:numPr>
        <w:ind w:left="0"/>
      </w:pPr>
      <w:r w:rsidRPr="00453DBE">
        <w:rPr>
          <w:rFonts w:hint="eastAsia"/>
        </w:rPr>
        <w:t>有线通信应设置信号安全数据网，列车自动防护系统、列车自动运行系统、车站联锁系统利用信号安全数据网传输数据。信号安全数据网设置符合下列规定：</w:t>
      </w:r>
    </w:p>
    <w:p w14:paraId="4051DCA0" w14:textId="77777777" w:rsidR="00662058" w:rsidRPr="00453DBE" w:rsidRDefault="00662058" w:rsidP="003334F3">
      <w:pPr>
        <w:pStyle w:val="af6"/>
        <w:numPr>
          <w:ilvl w:val="0"/>
          <w:numId w:val="315"/>
        </w:numPr>
        <w:snapToGrid w:val="0"/>
      </w:pPr>
      <w:r w:rsidRPr="00453DBE">
        <w:rPr>
          <w:rFonts w:hint="eastAsia"/>
        </w:rPr>
        <w:t>安全控制命令有线通信网络应采用工业以太网网络设备构成冗余双环网，网络设备间采用专用单模光纤连接；</w:t>
      </w:r>
    </w:p>
    <w:p w14:paraId="1F89B613" w14:textId="77777777" w:rsidR="00662058" w:rsidRPr="00453DBE" w:rsidRDefault="00662058" w:rsidP="003334F3">
      <w:pPr>
        <w:pStyle w:val="af6"/>
        <w:numPr>
          <w:ilvl w:val="0"/>
          <w:numId w:val="34"/>
        </w:numPr>
        <w:tabs>
          <w:tab w:val="left" w:pos="851"/>
        </w:tabs>
        <w:snapToGrid w:val="0"/>
      </w:pPr>
      <w:r w:rsidRPr="00453DBE">
        <w:rPr>
          <w:rFonts w:hint="eastAsia"/>
        </w:rPr>
        <w:t>传输维护信息的有线通信网络可采用单网；</w:t>
      </w:r>
    </w:p>
    <w:p w14:paraId="011AC97A" w14:textId="77777777" w:rsidR="00662058" w:rsidRPr="00453DBE" w:rsidRDefault="00662058" w:rsidP="003334F3">
      <w:pPr>
        <w:pStyle w:val="af6"/>
        <w:numPr>
          <w:ilvl w:val="0"/>
          <w:numId w:val="34"/>
        </w:numPr>
        <w:tabs>
          <w:tab w:val="left" w:pos="851"/>
        </w:tabs>
        <w:snapToGrid w:val="0"/>
      </w:pPr>
      <w:r w:rsidRPr="00453DBE">
        <w:rPr>
          <w:rFonts w:hint="eastAsia"/>
        </w:rPr>
        <w:t>两个环网设备间互联光纤采用不同物理路径；同一环网中设备间互联光纤与迂回通道使用的光纤采用不同物理路径；</w:t>
      </w:r>
    </w:p>
    <w:p w14:paraId="7BB0073D" w14:textId="77777777" w:rsidR="00662058" w:rsidRPr="00453DBE" w:rsidRDefault="00662058" w:rsidP="003334F3">
      <w:pPr>
        <w:pStyle w:val="af6"/>
        <w:numPr>
          <w:ilvl w:val="0"/>
          <w:numId w:val="34"/>
        </w:numPr>
        <w:tabs>
          <w:tab w:val="left" w:pos="851"/>
        </w:tabs>
        <w:snapToGrid w:val="0"/>
      </w:pPr>
      <w:r w:rsidRPr="00453DBE">
        <w:rPr>
          <w:rFonts w:hint="eastAsia"/>
        </w:rPr>
        <w:t>有线通信网络中承载的安全信息与非安全信息应采用技术手段实现隔离；</w:t>
      </w:r>
    </w:p>
    <w:p w14:paraId="2B1298A9" w14:textId="77777777" w:rsidR="00662058" w:rsidRPr="00453DBE" w:rsidRDefault="00662058" w:rsidP="003334F3">
      <w:pPr>
        <w:pStyle w:val="af6"/>
        <w:numPr>
          <w:ilvl w:val="0"/>
          <w:numId w:val="34"/>
        </w:numPr>
        <w:tabs>
          <w:tab w:val="left" w:pos="851"/>
        </w:tabs>
        <w:snapToGrid w:val="0"/>
      </w:pPr>
      <w:r w:rsidRPr="00453DBE">
        <w:rPr>
          <w:rFonts w:hint="eastAsia"/>
        </w:rPr>
        <w:t>安全数据网应具有网络管理、维护功能。</w:t>
      </w:r>
    </w:p>
    <w:p w14:paraId="03776730" w14:textId="77777777" w:rsidR="00662058" w:rsidRPr="00453DBE" w:rsidRDefault="00662058" w:rsidP="003334F3">
      <w:pPr>
        <w:pStyle w:val="22"/>
        <w:numPr>
          <w:ilvl w:val="3"/>
          <w:numId w:val="314"/>
        </w:numPr>
        <w:ind w:left="0"/>
      </w:pPr>
      <w:r w:rsidRPr="00453DBE">
        <w:rPr>
          <w:rFonts w:hint="eastAsia"/>
        </w:rPr>
        <w:t>行车调度指挥系统应独立组网，运营控制中心及车站行车调度指挥网络应采用双网结构，广域网设置符合下列规定：</w:t>
      </w:r>
    </w:p>
    <w:p w14:paraId="16BE3D1C" w14:textId="77777777" w:rsidR="00662058" w:rsidRPr="00453DBE" w:rsidRDefault="00662058" w:rsidP="003334F3">
      <w:pPr>
        <w:pStyle w:val="af6"/>
        <w:numPr>
          <w:ilvl w:val="0"/>
          <w:numId w:val="316"/>
        </w:numPr>
        <w:snapToGrid w:val="0"/>
      </w:pPr>
      <w:r w:rsidRPr="00453DBE">
        <w:rPr>
          <w:rFonts w:hint="eastAsia"/>
        </w:rPr>
        <w:t>运营控制中心与车站子系统之间的广域网应采用双通道组网方式，宜采用不同物理路径；</w:t>
      </w:r>
    </w:p>
    <w:p w14:paraId="1B3B1625" w14:textId="77777777" w:rsidR="00662058" w:rsidRPr="00453DBE" w:rsidRDefault="00662058" w:rsidP="003334F3">
      <w:pPr>
        <w:pStyle w:val="af6"/>
        <w:numPr>
          <w:ilvl w:val="0"/>
          <w:numId w:val="34"/>
        </w:numPr>
        <w:tabs>
          <w:tab w:val="left" w:pos="851"/>
        </w:tabs>
        <w:snapToGrid w:val="0"/>
      </w:pPr>
      <w:r w:rsidRPr="00453DBE">
        <w:rPr>
          <w:rFonts w:hint="eastAsia"/>
        </w:rPr>
        <w:t>根据现场实际情况可采用星形、环形或星形与环形相结合的结构。采用环形结构时，宜每隔</w:t>
      </w:r>
      <w:r w:rsidRPr="00453DBE">
        <w:t xml:space="preserve"> </w:t>
      </w:r>
      <w:r w:rsidRPr="00453DBE">
        <w:rPr>
          <w:rFonts w:hint="eastAsia"/>
        </w:rPr>
        <w:t>5个～10个信源点增加</w:t>
      </w:r>
      <w:r w:rsidRPr="00453DBE">
        <w:t xml:space="preserve"> 1 </w:t>
      </w:r>
      <w:r w:rsidRPr="00453DBE">
        <w:rPr>
          <w:rFonts w:hint="eastAsia"/>
        </w:rPr>
        <w:t>条迂回通道与运营控制中心相连；</w:t>
      </w:r>
    </w:p>
    <w:p w14:paraId="44CD3B0B" w14:textId="7B6A90F4" w:rsidR="00662058" w:rsidRPr="00453DBE" w:rsidRDefault="00256CEF" w:rsidP="003334F3">
      <w:pPr>
        <w:pStyle w:val="af6"/>
        <w:numPr>
          <w:ilvl w:val="0"/>
          <w:numId w:val="34"/>
        </w:numPr>
        <w:tabs>
          <w:tab w:val="left" w:pos="851"/>
        </w:tabs>
        <w:snapToGrid w:val="0"/>
      </w:pPr>
      <w:r w:rsidRPr="00571152">
        <w:rPr>
          <w:rFonts w:hint="eastAsia"/>
        </w:rPr>
        <w:t>单链路带宽系统依据业务需求计算确定</w:t>
      </w:r>
      <w:r w:rsidR="00662058" w:rsidRPr="00453DBE">
        <w:rPr>
          <w:rFonts w:hint="eastAsia"/>
        </w:rPr>
        <w:t>。</w:t>
      </w:r>
    </w:p>
    <w:p w14:paraId="105EF848" w14:textId="77777777" w:rsidR="00662058" w:rsidRPr="00453DBE" w:rsidRDefault="00662058" w:rsidP="003334F3">
      <w:pPr>
        <w:pStyle w:val="22"/>
        <w:numPr>
          <w:ilvl w:val="3"/>
          <w:numId w:val="314"/>
        </w:numPr>
        <w:ind w:left="0"/>
      </w:pPr>
      <w:r w:rsidRPr="00453DBE">
        <w:rPr>
          <w:rFonts w:hint="eastAsia"/>
        </w:rPr>
        <w:t>信号集中监测系统广域网设置符合下列规定：</w:t>
      </w:r>
    </w:p>
    <w:p w14:paraId="2667891F" w14:textId="4247E078" w:rsidR="00662058" w:rsidRPr="00453DBE" w:rsidRDefault="00662058" w:rsidP="003334F3">
      <w:pPr>
        <w:pStyle w:val="af6"/>
        <w:numPr>
          <w:ilvl w:val="0"/>
          <w:numId w:val="317"/>
        </w:numPr>
        <w:snapToGrid w:val="0"/>
      </w:pPr>
      <w:r w:rsidRPr="00453DBE">
        <w:rPr>
          <w:rFonts w:hint="eastAsia"/>
        </w:rPr>
        <w:t>广域网宜采用专用数据传输链路，单链路带宽</w:t>
      </w:r>
      <w:r w:rsidR="00411BDE">
        <w:rPr>
          <w:rFonts w:hint="eastAsia"/>
        </w:rPr>
        <w:t>依</w:t>
      </w:r>
      <w:r w:rsidRPr="00453DBE">
        <w:rPr>
          <w:rFonts w:hint="eastAsia"/>
        </w:rPr>
        <w:t>据系统业务需求计算确定；</w:t>
      </w:r>
    </w:p>
    <w:p w14:paraId="6D042F1E" w14:textId="77777777" w:rsidR="00662058" w:rsidRPr="00453DBE" w:rsidRDefault="00662058" w:rsidP="003334F3">
      <w:pPr>
        <w:pStyle w:val="af6"/>
        <w:numPr>
          <w:ilvl w:val="0"/>
          <w:numId w:val="34"/>
        </w:numPr>
        <w:tabs>
          <w:tab w:val="left" w:pos="851"/>
        </w:tabs>
        <w:snapToGrid w:val="0"/>
      </w:pPr>
      <w:r w:rsidRPr="00453DBE">
        <w:rPr>
          <w:rFonts w:hint="eastAsia"/>
        </w:rPr>
        <w:t>广域网宜采用环形结构，每隔</w:t>
      </w:r>
      <w:r w:rsidRPr="00453DBE">
        <w:t xml:space="preserve"> 5 </w:t>
      </w:r>
      <w:r w:rsidRPr="00453DBE">
        <w:rPr>
          <w:rFonts w:hint="eastAsia"/>
        </w:rPr>
        <w:t>个～12</w:t>
      </w:r>
      <w:r w:rsidRPr="00453DBE">
        <w:t xml:space="preserve"> </w:t>
      </w:r>
      <w:r w:rsidRPr="00453DBE">
        <w:rPr>
          <w:rFonts w:hint="eastAsia"/>
        </w:rPr>
        <w:t>个信源点增加</w:t>
      </w:r>
      <w:r w:rsidRPr="00453DBE">
        <w:t xml:space="preserve"> 1 </w:t>
      </w:r>
      <w:r w:rsidRPr="00453DBE">
        <w:rPr>
          <w:rFonts w:hint="eastAsia"/>
        </w:rPr>
        <w:t>条迂回通道与监测服务器相连。</w:t>
      </w:r>
    </w:p>
    <w:p w14:paraId="5D52C249" w14:textId="57ED8E5C" w:rsidR="00737EB2" w:rsidRPr="00A7607F" w:rsidRDefault="00662058" w:rsidP="009D0776">
      <w:pPr>
        <w:pStyle w:val="22"/>
      </w:pPr>
      <w:r w:rsidRPr="00453DBE">
        <w:rPr>
          <w:rFonts w:hint="eastAsia"/>
        </w:rPr>
        <w:t>车地信息传输可采用轨旁电缆环线、应答器、无线通信等传输方式，车</w:t>
      </w:r>
      <w:r w:rsidRPr="00453DBE">
        <w:t>-</w:t>
      </w:r>
      <w:r w:rsidRPr="00453DBE">
        <w:rPr>
          <w:rFonts w:hint="eastAsia"/>
        </w:rPr>
        <w:t>地通信系统应满足</w:t>
      </w:r>
      <w:r w:rsidRPr="00453DBE">
        <w:t>160km/h</w:t>
      </w:r>
      <w:r w:rsidRPr="00453DBE">
        <w:rPr>
          <w:rFonts w:hint="eastAsia"/>
        </w:rPr>
        <w:t>速度下稳定、可靠的信息传输</w:t>
      </w:r>
      <w:bookmarkStart w:id="2511" w:name="_Toc153292007"/>
      <w:bookmarkStart w:id="2512" w:name="_Toc99792569"/>
      <w:bookmarkEnd w:id="2509"/>
      <w:bookmarkEnd w:id="2510"/>
      <w:r w:rsidR="00737EB2" w:rsidRPr="00A7607F">
        <w:rPr>
          <w:rFonts w:hint="eastAsia"/>
        </w:rPr>
        <w:t>。</w:t>
      </w:r>
      <w:bookmarkEnd w:id="2511"/>
      <w:bookmarkEnd w:id="2512"/>
    </w:p>
    <w:p w14:paraId="4AF4500C" w14:textId="77777777" w:rsidR="00737EB2" w:rsidRPr="00A7607F" w:rsidRDefault="00737EB2" w:rsidP="00737EB2">
      <w:pPr>
        <w:pStyle w:val="affe"/>
        <w:spacing w:before="156" w:after="156"/>
      </w:pPr>
      <w:bookmarkStart w:id="2513" w:name="_Toc153210951"/>
      <w:bookmarkStart w:id="2514" w:name="_Toc99792570"/>
      <w:bookmarkStart w:id="2515" w:name="_Toc153292008"/>
      <w:bookmarkStart w:id="2516" w:name="_Toc167895849"/>
      <w:bookmarkStart w:id="2517" w:name="_Toc174538763"/>
      <w:bookmarkStart w:id="2518" w:name="_Toc182476520"/>
      <w:r w:rsidRPr="00A7607F">
        <w:rPr>
          <w:rFonts w:hint="eastAsia"/>
        </w:rPr>
        <w:t>信号电源</w:t>
      </w:r>
      <w:bookmarkEnd w:id="2513"/>
      <w:bookmarkEnd w:id="2514"/>
      <w:bookmarkEnd w:id="2515"/>
      <w:bookmarkEnd w:id="2516"/>
      <w:bookmarkEnd w:id="2517"/>
      <w:bookmarkEnd w:id="2518"/>
    </w:p>
    <w:p w14:paraId="7EAD2712" w14:textId="77777777" w:rsidR="00662058" w:rsidRPr="00453DBE" w:rsidRDefault="00662058" w:rsidP="00662058">
      <w:pPr>
        <w:pStyle w:val="22"/>
      </w:pPr>
      <w:bookmarkStart w:id="2519" w:name="_Toc153292009"/>
      <w:bookmarkStart w:id="2520" w:name="_Toc99792571"/>
      <w:r w:rsidRPr="00453DBE">
        <w:rPr>
          <w:rFonts w:hint="eastAsia"/>
        </w:rPr>
        <w:t>信号系统应采用信号智能电源屏。</w:t>
      </w:r>
    </w:p>
    <w:p w14:paraId="53C0E2E9" w14:textId="77777777" w:rsidR="00662058" w:rsidRPr="00453DBE" w:rsidRDefault="00662058" w:rsidP="00662058">
      <w:pPr>
        <w:pStyle w:val="22"/>
      </w:pPr>
      <w:r w:rsidRPr="00453DBE">
        <w:rPr>
          <w:rFonts w:hint="eastAsia"/>
        </w:rPr>
        <w:t>行车调度指挥系统、列车自动防护系统、车站联锁系统和安全数据网系统的相关设备应由电源屏提供不同模块输出的双回路电源。</w:t>
      </w:r>
    </w:p>
    <w:p w14:paraId="29CDEAC6" w14:textId="77777777" w:rsidR="00662058" w:rsidRPr="00453DBE" w:rsidRDefault="00662058" w:rsidP="00662058">
      <w:pPr>
        <w:pStyle w:val="22"/>
      </w:pPr>
      <w:r w:rsidRPr="00453DBE">
        <w:rPr>
          <w:rFonts w:hint="eastAsia"/>
        </w:rPr>
        <w:t>电源屏应采用模块化、双总线冗余结构并具有自检功能。电源屏应能提供信号集中监测系统所需的自诊断检测信息。</w:t>
      </w:r>
    </w:p>
    <w:p w14:paraId="5BB47782" w14:textId="5A7B30F0" w:rsidR="00662058" w:rsidRPr="00453DBE" w:rsidRDefault="00662058" w:rsidP="00662058">
      <w:pPr>
        <w:pStyle w:val="22"/>
      </w:pPr>
      <w:r w:rsidRPr="00453DBE">
        <w:t>UPS设置符合下列规定</w:t>
      </w:r>
      <w:r w:rsidR="00776C9A">
        <w:rPr>
          <w:rFonts w:hint="eastAsia"/>
        </w:rPr>
        <w:t>。</w:t>
      </w:r>
    </w:p>
    <w:p w14:paraId="35599E4E" w14:textId="43113CC1" w:rsidR="00662058" w:rsidRPr="00453DBE" w:rsidRDefault="00662058" w:rsidP="003334F3">
      <w:pPr>
        <w:pStyle w:val="af6"/>
        <w:numPr>
          <w:ilvl w:val="0"/>
          <w:numId w:val="318"/>
        </w:numPr>
        <w:snapToGrid w:val="0"/>
        <w:contextualSpacing/>
      </w:pPr>
      <w:r w:rsidRPr="00453DBE">
        <w:rPr>
          <w:rFonts w:hint="eastAsia"/>
        </w:rPr>
        <w:t>运营控制中心、车站、车辆基地等处应设置双套在线式</w:t>
      </w:r>
      <w:r w:rsidRPr="00453DBE">
        <w:t xml:space="preserve"> </w:t>
      </w:r>
      <w:r w:rsidRPr="00453DBE">
        <w:rPr>
          <w:rFonts w:hint="eastAsia"/>
        </w:rPr>
        <w:t>UPS</w:t>
      </w:r>
      <w:r w:rsidR="00776C9A">
        <w:rPr>
          <w:rFonts w:hint="eastAsia"/>
        </w:rPr>
        <w:t>。</w:t>
      </w:r>
    </w:p>
    <w:p w14:paraId="4A1AD547" w14:textId="0754A297" w:rsidR="00662058" w:rsidRPr="00453DBE" w:rsidRDefault="00662058" w:rsidP="003334F3">
      <w:pPr>
        <w:pStyle w:val="af6"/>
        <w:numPr>
          <w:ilvl w:val="0"/>
          <w:numId w:val="34"/>
        </w:numPr>
        <w:tabs>
          <w:tab w:val="left" w:pos="851"/>
        </w:tabs>
        <w:snapToGrid w:val="0"/>
        <w:contextualSpacing/>
      </w:pPr>
      <w:r w:rsidRPr="00453DBE">
        <w:rPr>
          <w:rFonts w:hint="eastAsia"/>
        </w:rPr>
        <w:t>信号集中监测中心及终端设备可设置单套在线式</w:t>
      </w:r>
      <w:r w:rsidRPr="00453DBE">
        <w:t xml:space="preserve"> </w:t>
      </w:r>
      <w:r w:rsidRPr="00453DBE">
        <w:rPr>
          <w:rFonts w:hint="eastAsia"/>
        </w:rPr>
        <w:t>UPS</w:t>
      </w:r>
      <w:r w:rsidR="00776C9A">
        <w:rPr>
          <w:rFonts w:hint="eastAsia"/>
        </w:rPr>
        <w:t>。</w:t>
      </w:r>
    </w:p>
    <w:p w14:paraId="0274CE74" w14:textId="54EE329A" w:rsidR="00662058" w:rsidRPr="00453DBE" w:rsidRDefault="00662058" w:rsidP="003334F3">
      <w:pPr>
        <w:pStyle w:val="af6"/>
        <w:numPr>
          <w:ilvl w:val="0"/>
          <w:numId w:val="34"/>
        </w:numPr>
        <w:tabs>
          <w:tab w:val="left" w:pos="851"/>
        </w:tabs>
        <w:snapToGrid w:val="0"/>
        <w:contextualSpacing/>
      </w:pPr>
      <w:r w:rsidRPr="00453DBE">
        <w:t xml:space="preserve">UPS </w:t>
      </w:r>
      <w:r w:rsidRPr="00453DBE">
        <w:rPr>
          <w:rFonts w:hint="eastAsia"/>
        </w:rPr>
        <w:t>容量应按照含转辙机在内的所有信号设备负荷用电量计算</w:t>
      </w:r>
      <w:r w:rsidR="00776C9A">
        <w:rPr>
          <w:rFonts w:hint="eastAsia"/>
        </w:rPr>
        <w:t>。</w:t>
      </w:r>
    </w:p>
    <w:p w14:paraId="5620DA75" w14:textId="77777777" w:rsidR="00662058" w:rsidRPr="00453DBE" w:rsidRDefault="00662058" w:rsidP="003334F3">
      <w:pPr>
        <w:pStyle w:val="af6"/>
        <w:numPr>
          <w:ilvl w:val="0"/>
          <w:numId w:val="34"/>
        </w:numPr>
        <w:tabs>
          <w:tab w:val="left" w:pos="851"/>
        </w:tabs>
        <w:snapToGrid w:val="0"/>
        <w:contextualSpacing/>
      </w:pPr>
      <w:r w:rsidRPr="00453DBE">
        <w:t xml:space="preserve">UPS </w:t>
      </w:r>
      <w:r w:rsidRPr="00453DBE">
        <w:rPr>
          <w:rFonts w:hint="eastAsia"/>
        </w:rPr>
        <w:t>蓄电池时间满足下列要求：</w:t>
      </w:r>
    </w:p>
    <w:p w14:paraId="45699BB0" w14:textId="77777777" w:rsidR="00662058" w:rsidRPr="00453DBE" w:rsidRDefault="00662058" w:rsidP="003334F3">
      <w:pPr>
        <w:pStyle w:val="af7"/>
        <w:numPr>
          <w:ilvl w:val="1"/>
          <w:numId w:val="34"/>
        </w:numPr>
        <w:tabs>
          <w:tab w:val="left" w:pos="851"/>
          <w:tab w:val="left" w:pos="1276"/>
        </w:tabs>
      </w:pPr>
      <w:r w:rsidRPr="00453DBE">
        <w:rPr>
          <w:rFonts w:hint="eastAsia"/>
        </w:rPr>
        <w:t>信号集中监测中心及终端设备蓄电池供电时间不应小于30min；</w:t>
      </w:r>
    </w:p>
    <w:p w14:paraId="2678A14B" w14:textId="3047127F" w:rsidR="00662058" w:rsidRPr="00453DBE" w:rsidRDefault="00662058" w:rsidP="00662058">
      <w:pPr>
        <w:pStyle w:val="af7"/>
      </w:pPr>
      <w:r w:rsidRPr="00453DBE">
        <w:rPr>
          <w:rFonts w:hint="eastAsia"/>
        </w:rPr>
        <w:t>其他有维护人员值守处所蓄电池供电时间不应小于</w:t>
      </w:r>
      <w:r w:rsidRPr="00453DBE">
        <w:t xml:space="preserve"> </w:t>
      </w:r>
      <w:r w:rsidRPr="00453DBE">
        <w:rPr>
          <w:rFonts w:hint="eastAsia"/>
        </w:rPr>
        <w:t>30min，无维护人员值守处所蓄电池供电时间不宜小于2h。</w:t>
      </w:r>
    </w:p>
    <w:p w14:paraId="095EDBF5" w14:textId="77777777" w:rsidR="00737EB2" w:rsidRPr="00A7607F" w:rsidRDefault="00737EB2" w:rsidP="00737EB2">
      <w:pPr>
        <w:pStyle w:val="affe"/>
        <w:spacing w:before="156" w:after="156"/>
      </w:pPr>
      <w:bookmarkStart w:id="2521" w:name="_Toc153292013"/>
      <w:bookmarkStart w:id="2522" w:name="_Toc153210952"/>
      <w:bookmarkStart w:id="2523" w:name="_Toc99792575"/>
      <w:bookmarkStart w:id="2524" w:name="_Toc167895850"/>
      <w:bookmarkStart w:id="2525" w:name="_Toc174538764"/>
      <w:bookmarkStart w:id="2526" w:name="_Toc182476521"/>
      <w:bookmarkEnd w:id="2519"/>
      <w:bookmarkEnd w:id="2520"/>
      <w:r w:rsidRPr="00A7607F">
        <w:rPr>
          <w:rFonts w:hint="eastAsia"/>
        </w:rPr>
        <w:t>光电缆线路与防护</w:t>
      </w:r>
      <w:bookmarkEnd w:id="2521"/>
      <w:bookmarkEnd w:id="2522"/>
      <w:bookmarkEnd w:id="2523"/>
      <w:bookmarkEnd w:id="2524"/>
      <w:bookmarkEnd w:id="2525"/>
      <w:bookmarkEnd w:id="2526"/>
    </w:p>
    <w:p w14:paraId="60E9661E" w14:textId="77777777" w:rsidR="00662058" w:rsidRPr="00453DBE" w:rsidRDefault="00662058" w:rsidP="00662058">
      <w:pPr>
        <w:pStyle w:val="22"/>
      </w:pPr>
      <w:bookmarkStart w:id="2527" w:name="_Toc153292014"/>
      <w:bookmarkStart w:id="2528" w:name="_Toc99792576"/>
      <w:r w:rsidRPr="00453DBE">
        <w:rPr>
          <w:rFonts w:hint="eastAsia"/>
        </w:rPr>
        <w:t>信号传输线路应采用与使用环境及设备需求相适应的电缆或光缆。</w:t>
      </w:r>
    </w:p>
    <w:p w14:paraId="74FF7C2A" w14:textId="77777777" w:rsidR="00662058" w:rsidRPr="00453DBE" w:rsidRDefault="00662058" w:rsidP="00662058">
      <w:pPr>
        <w:pStyle w:val="22"/>
      </w:pPr>
      <w:r w:rsidRPr="00453DBE">
        <w:rPr>
          <w:rFonts w:hint="eastAsia"/>
        </w:rPr>
        <w:t>室外信号电缆芯线备用量应符合</w:t>
      </w:r>
      <w:r w:rsidRPr="00453DBE">
        <w:t>TB 10007</w:t>
      </w:r>
      <w:r w:rsidRPr="00453DBE">
        <w:rPr>
          <w:rFonts w:hint="eastAsia"/>
        </w:rPr>
        <w:t>的相关规定。</w:t>
      </w:r>
    </w:p>
    <w:p w14:paraId="084B4D59" w14:textId="77777777" w:rsidR="00662058" w:rsidRPr="00453DBE" w:rsidRDefault="00662058" w:rsidP="00662058">
      <w:pPr>
        <w:pStyle w:val="22"/>
      </w:pPr>
      <w:r w:rsidRPr="00453DBE">
        <w:rPr>
          <w:rFonts w:hint="eastAsia"/>
        </w:rPr>
        <w:t>信号光电缆的防火性能应符合</w:t>
      </w:r>
      <w:r w:rsidRPr="00453DBE">
        <w:t xml:space="preserve">TB 10063 </w:t>
      </w:r>
      <w:r w:rsidRPr="00453DBE">
        <w:rPr>
          <w:rFonts w:hint="eastAsia"/>
        </w:rPr>
        <w:t>、</w:t>
      </w:r>
      <w:r w:rsidRPr="00453DBE">
        <w:t>GB 51298等有关规定。</w:t>
      </w:r>
    </w:p>
    <w:p w14:paraId="4BE30CFF" w14:textId="77777777" w:rsidR="00662058" w:rsidRPr="00453DBE" w:rsidRDefault="00662058" w:rsidP="00662058">
      <w:pPr>
        <w:pStyle w:val="22"/>
      </w:pPr>
      <w:r w:rsidRPr="00453DBE">
        <w:rPr>
          <w:rFonts w:hint="eastAsia"/>
        </w:rPr>
        <w:t>信号光电缆敷设符合下列规定：</w:t>
      </w:r>
    </w:p>
    <w:p w14:paraId="60767F48" w14:textId="77777777" w:rsidR="00662058" w:rsidRPr="00453DBE" w:rsidRDefault="00662058" w:rsidP="003334F3">
      <w:pPr>
        <w:pStyle w:val="af6"/>
        <w:numPr>
          <w:ilvl w:val="0"/>
          <w:numId w:val="319"/>
        </w:numPr>
        <w:snapToGrid w:val="0"/>
        <w:contextualSpacing/>
      </w:pPr>
      <w:r w:rsidRPr="00453DBE">
        <w:rPr>
          <w:rFonts w:hint="eastAsia"/>
        </w:rPr>
        <w:t>地面路基区段光电缆应采用直埋、电缆槽等方式敷设；</w:t>
      </w:r>
    </w:p>
    <w:p w14:paraId="3CFDD588" w14:textId="77777777" w:rsidR="00662058" w:rsidRPr="00453DBE" w:rsidRDefault="00662058" w:rsidP="003334F3">
      <w:pPr>
        <w:pStyle w:val="af6"/>
        <w:numPr>
          <w:ilvl w:val="0"/>
          <w:numId w:val="34"/>
        </w:numPr>
        <w:tabs>
          <w:tab w:val="left" w:pos="851"/>
        </w:tabs>
        <w:snapToGrid w:val="0"/>
        <w:contextualSpacing/>
      </w:pPr>
      <w:r w:rsidRPr="00453DBE">
        <w:rPr>
          <w:rFonts w:hint="eastAsia"/>
        </w:rPr>
        <w:lastRenderedPageBreak/>
        <w:t>桥梁和隧道区段光电缆宜敷设在电缆槽中；受桥梁、隧道断面影响或其他特殊情况，可采用支架明敷、套管防护等其他方式；</w:t>
      </w:r>
    </w:p>
    <w:p w14:paraId="70F59D37" w14:textId="77777777" w:rsidR="00662058" w:rsidRPr="00453DBE" w:rsidRDefault="00662058" w:rsidP="003334F3">
      <w:pPr>
        <w:pStyle w:val="af6"/>
        <w:numPr>
          <w:ilvl w:val="0"/>
          <w:numId w:val="34"/>
        </w:numPr>
        <w:tabs>
          <w:tab w:val="left" w:pos="851"/>
        </w:tabs>
        <w:snapToGrid w:val="0"/>
        <w:contextualSpacing/>
      </w:pPr>
      <w:r w:rsidRPr="00453DBE">
        <w:rPr>
          <w:rFonts w:hint="eastAsia"/>
        </w:rPr>
        <w:t>有景观需求地段的光电缆应隐蔽敷设。</w:t>
      </w:r>
    </w:p>
    <w:p w14:paraId="199D4CE1" w14:textId="77777777" w:rsidR="00662058" w:rsidRPr="00453DBE" w:rsidRDefault="00662058" w:rsidP="00662058">
      <w:pPr>
        <w:pStyle w:val="22"/>
      </w:pPr>
      <w:r w:rsidRPr="00453DBE">
        <w:rPr>
          <w:rFonts w:hint="eastAsia"/>
        </w:rPr>
        <w:t>信号光电缆与通信光电缆宜同槽敷设。</w:t>
      </w:r>
    </w:p>
    <w:p w14:paraId="429B1DFE" w14:textId="77777777" w:rsidR="00662058" w:rsidRPr="00453DBE" w:rsidRDefault="00662058" w:rsidP="00662058">
      <w:pPr>
        <w:pStyle w:val="22"/>
      </w:pPr>
      <w:r w:rsidRPr="00453DBE">
        <w:rPr>
          <w:rFonts w:hint="eastAsia"/>
        </w:rPr>
        <w:t>信号光电缆与电力电缆并行敷设时的防护距离应符合</w:t>
      </w:r>
      <w:r w:rsidRPr="00453DBE">
        <w:t>GB 51158及TB 10008的规定。</w:t>
      </w:r>
    </w:p>
    <w:p w14:paraId="53DA7356" w14:textId="77777777" w:rsidR="00662058" w:rsidRPr="00453DBE" w:rsidRDefault="00662058" w:rsidP="00662058">
      <w:pPr>
        <w:pStyle w:val="22"/>
      </w:pPr>
      <w:r w:rsidRPr="00453DBE">
        <w:rPr>
          <w:rFonts w:hint="eastAsia"/>
        </w:rPr>
        <w:t>电缆过轨应符合下列规定：</w:t>
      </w:r>
    </w:p>
    <w:p w14:paraId="7E8790D1" w14:textId="77777777" w:rsidR="00662058" w:rsidRPr="00453DBE" w:rsidRDefault="00662058" w:rsidP="003334F3">
      <w:pPr>
        <w:pStyle w:val="af6"/>
        <w:numPr>
          <w:ilvl w:val="0"/>
          <w:numId w:val="320"/>
        </w:numPr>
        <w:snapToGrid w:val="0"/>
        <w:contextualSpacing/>
      </w:pPr>
      <w:r w:rsidRPr="00453DBE">
        <w:rPr>
          <w:rFonts w:hint="eastAsia"/>
        </w:rPr>
        <w:t>电缆过轨采用预埋管道方式并集中防护；</w:t>
      </w:r>
    </w:p>
    <w:p w14:paraId="31CB9551" w14:textId="77777777" w:rsidR="00662058" w:rsidRPr="00453DBE" w:rsidRDefault="00662058" w:rsidP="003334F3">
      <w:pPr>
        <w:pStyle w:val="af6"/>
        <w:numPr>
          <w:ilvl w:val="0"/>
          <w:numId w:val="34"/>
        </w:numPr>
        <w:tabs>
          <w:tab w:val="left" w:pos="851"/>
        </w:tabs>
        <w:snapToGrid w:val="0"/>
        <w:contextualSpacing/>
      </w:pPr>
      <w:r w:rsidRPr="00453DBE">
        <w:rPr>
          <w:rFonts w:hint="eastAsia"/>
        </w:rPr>
        <w:t>根据需要设置电缆井或电缆孔，具体根据站场及车站建筑形式设置；</w:t>
      </w:r>
    </w:p>
    <w:p w14:paraId="6A2C13C6" w14:textId="77777777" w:rsidR="00662058" w:rsidRPr="00453DBE" w:rsidRDefault="00662058" w:rsidP="003334F3">
      <w:pPr>
        <w:pStyle w:val="af6"/>
        <w:numPr>
          <w:ilvl w:val="0"/>
          <w:numId w:val="34"/>
        </w:numPr>
        <w:tabs>
          <w:tab w:val="left" w:pos="851"/>
        </w:tabs>
        <w:snapToGrid w:val="0"/>
        <w:contextualSpacing/>
      </w:pPr>
      <w:r w:rsidRPr="00453DBE">
        <w:rPr>
          <w:rFonts w:hint="eastAsia"/>
        </w:rPr>
        <w:t>室内光电缆线路应设置防护管槽。</w:t>
      </w:r>
    </w:p>
    <w:p w14:paraId="37FF7A7B" w14:textId="77777777" w:rsidR="00662058" w:rsidRPr="00453DBE" w:rsidRDefault="00662058" w:rsidP="00662058">
      <w:pPr>
        <w:pStyle w:val="22"/>
      </w:pPr>
      <w:r w:rsidRPr="00453DBE">
        <w:rPr>
          <w:rFonts w:hint="eastAsia"/>
        </w:rPr>
        <w:t>信号光电缆的防火设计符合下列规定：</w:t>
      </w:r>
    </w:p>
    <w:p w14:paraId="5F0A9B92" w14:textId="77777777" w:rsidR="00662058" w:rsidRPr="00453DBE" w:rsidRDefault="00662058" w:rsidP="003334F3">
      <w:pPr>
        <w:pStyle w:val="af6"/>
        <w:numPr>
          <w:ilvl w:val="0"/>
          <w:numId w:val="321"/>
        </w:numPr>
        <w:snapToGrid w:val="0"/>
        <w:contextualSpacing/>
      </w:pPr>
      <w:r w:rsidRPr="00453DBE">
        <w:rPr>
          <w:rFonts w:hint="eastAsia"/>
        </w:rPr>
        <w:t>室内应采用阻燃型电缆；</w:t>
      </w:r>
    </w:p>
    <w:p w14:paraId="34FF168B" w14:textId="68568EC3" w:rsidR="00662058" w:rsidRPr="00453DBE" w:rsidRDefault="00662058" w:rsidP="003334F3">
      <w:pPr>
        <w:pStyle w:val="af6"/>
        <w:numPr>
          <w:ilvl w:val="0"/>
          <w:numId w:val="34"/>
        </w:numPr>
        <w:tabs>
          <w:tab w:val="left" w:pos="851"/>
        </w:tabs>
        <w:snapToGrid w:val="0"/>
        <w:contextualSpacing/>
      </w:pPr>
      <w:r w:rsidRPr="00453DBE">
        <w:rPr>
          <w:rFonts w:hint="eastAsia"/>
        </w:rPr>
        <w:t>地下区段应采用无卤、阻燃、低烟、防腐蚀型光电缆，地面及高架区段无电缆槽或遮阳罩等防护措施时，宜采用低卤、阻燃、低烟、防紫外线、抗老化型光电缆</w:t>
      </w:r>
      <w:r w:rsidR="00550008">
        <w:rPr>
          <w:rFonts w:hint="eastAsia"/>
        </w:rPr>
        <w:t>；</w:t>
      </w:r>
    </w:p>
    <w:p w14:paraId="36E6616E" w14:textId="062664FF" w:rsidR="00737EB2" w:rsidRPr="00A7607F" w:rsidRDefault="00662058" w:rsidP="003334F3">
      <w:pPr>
        <w:pStyle w:val="af6"/>
        <w:numPr>
          <w:ilvl w:val="0"/>
          <w:numId w:val="39"/>
        </w:numPr>
      </w:pPr>
      <w:r w:rsidRPr="00453DBE">
        <w:rPr>
          <w:rFonts w:hint="eastAsia"/>
        </w:rPr>
        <w:t>贯穿隔墙、楼板的孔洞处均应实施阻火封堵</w:t>
      </w:r>
      <w:bookmarkEnd w:id="2527"/>
      <w:bookmarkEnd w:id="2528"/>
      <w:r w:rsidR="00737EB2" w:rsidRPr="00A7607F">
        <w:rPr>
          <w:rFonts w:hint="eastAsia"/>
        </w:rPr>
        <w:t>。</w:t>
      </w:r>
    </w:p>
    <w:p w14:paraId="3F3485D6" w14:textId="77777777" w:rsidR="00737EB2" w:rsidRPr="00A7607F" w:rsidRDefault="00737EB2" w:rsidP="00737EB2">
      <w:pPr>
        <w:pStyle w:val="affe"/>
        <w:spacing w:before="156" w:after="156"/>
      </w:pPr>
      <w:bookmarkStart w:id="2529" w:name="_Toc153292022"/>
      <w:bookmarkStart w:id="2530" w:name="_Toc99792584"/>
      <w:bookmarkStart w:id="2531" w:name="_Toc153210953"/>
      <w:bookmarkStart w:id="2532" w:name="_Toc167895851"/>
      <w:bookmarkStart w:id="2533" w:name="_Toc174538765"/>
      <w:bookmarkStart w:id="2534" w:name="_Toc182476522"/>
      <w:r w:rsidRPr="00A7607F">
        <w:rPr>
          <w:rFonts w:hint="eastAsia"/>
        </w:rPr>
        <w:t>防雷及接地</w:t>
      </w:r>
      <w:bookmarkEnd w:id="2529"/>
      <w:bookmarkEnd w:id="2530"/>
      <w:bookmarkEnd w:id="2531"/>
      <w:bookmarkEnd w:id="2532"/>
      <w:bookmarkEnd w:id="2533"/>
      <w:bookmarkEnd w:id="2534"/>
    </w:p>
    <w:p w14:paraId="7607F330" w14:textId="51181D2E" w:rsidR="00006488" w:rsidRPr="00453DBE" w:rsidRDefault="00006488" w:rsidP="00006488">
      <w:pPr>
        <w:pStyle w:val="22"/>
      </w:pPr>
      <w:bookmarkStart w:id="2535" w:name="_Toc99792585"/>
      <w:bookmarkStart w:id="2536" w:name="_Toc153292023"/>
      <w:r w:rsidRPr="00453DBE">
        <w:rPr>
          <w:rFonts w:hint="eastAsia"/>
        </w:rPr>
        <w:t>电力牵引区段，设置</w:t>
      </w:r>
      <w:r w:rsidRPr="00453DBE">
        <w:t xml:space="preserve">ZPW-2000 </w:t>
      </w:r>
      <w:r w:rsidRPr="00453DBE">
        <w:rPr>
          <w:rFonts w:hint="eastAsia"/>
        </w:rPr>
        <w:t>系列轨道电路时，符合下列要求</w:t>
      </w:r>
      <w:r w:rsidR="00684276">
        <w:rPr>
          <w:rFonts w:hint="eastAsia"/>
        </w:rPr>
        <w:t>。</w:t>
      </w:r>
    </w:p>
    <w:p w14:paraId="2A096276" w14:textId="25244262" w:rsidR="00006488" w:rsidRPr="00453DBE" w:rsidRDefault="00006488" w:rsidP="003334F3">
      <w:pPr>
        <w:pStyle w:val="af6"/>
        <w:numPr>
          <w:ilvl w:val="0"/>
          <w:numId w:val="322"/>
        </w:numPr>
        <w:snapToGrid w:val="0"/>
        <w:contextualSpacing/>
      </w:pPr>
      <w:r w:rsidRPr="00453DBE">
        <w:rPr>
          <w:rFonts w:hint="eastAsia"/>
        </w:rPr>
        <w:t>电力牵引区段，轨道电路的扼流变压器设置、牵引回流、等电位连接或接地等，应符合轨道电路实现占用检查功能的要求</w:t>
      </w:r>
      <w:r w:rsidR="00684276">
        <w:rPr>
          <w:rFonts w:hint="eastAsia"/>
        </w:rPr>
        <w:t>。</w:t>
      </w:r>
    </w:p>
    <w:p w14:paraId="4513239B" w14:textId="77777777" w:rsidR="00006488" w:rsidRPr="00453DBE" w:rsidRDefault="00006488" w:rsidP="003334F3">
      <w:pPr>
        <w:pStyle w:val="af6"/>
        <w:numPr>
          <w:ilvl w:val="0"/>
          <w:numId w:val="35"/>
        </w:numPr>
        <w:tabs>
          <w:tab w:val="left" w:pos="851"/>
        </w:tabs>
        <w:snapToGrid w:val="0"/>
        <w:contextualSpacing/>
      </w:pPr>
      <w:r w:rsidRPr="00453DBE">
        <w:rPr>
          <w:rFonts w:hint="eastAsia"/>
        </w:rPr>
        <w:t>电力牵引区段，轨道电路的机械绝缘节处扼流变压器的连接应符合下列规定：</w:t>
      </w:r>
    </w:p>
    <w:p w14:paraId="0A49C9E1" w14:textId="77777777" w:rsidR="00006488" w:rsidRPr="00453DBE" w:rsidRDefault="00006488" w:rsidP="003334F3">
      <w:pPr>
        <w:pStyle w:val="af7"/>
        <w:numPr>
          <w:ilvl w:val="1"/>
          <w:numId w:val="35"/>
        </w:numPr>
        <w:tabs>
          <w:tab w:val="left" w:pos="851"/>
          <w:tab w:val="left" w:pos="1276"/>
        </w:tabs>
      </w:pPr>
      <w:r w:rsidRPr="00453DBE">
        <w:rPr>
          <w:rFonts w:hint="eastAsia"/>
        </w:rPr>
        <w:t>牵引电流应通过机械绝缘节处的扼流变压器中点回流；</w:t>
      </w:r>
    </w:p>
    <w:p w14:paraId="4BD264AD" w14:textId="77777777" w:rsidR="00006488" w:rsidRPr="00453DBE" w:rsidRDefault="00006488" w:rsidP="003334F3">
      <w:pPr>
        <w:pStyle w:val="af7"/>
        <w:numPr>
          <w:ilvl w:val="1"/>
          <w:numId w:val="35"/>
        </w:numPr>
        <w:tabs>
          <w:tab w:val="left" w:pos="851"/>
          <w:tab w:val="left" w:pos="1276"/>
        </w:tabs>
      </w:pPr>
      <w:r w:rsidRPr="00453DBE">
        <w:rPr>
          <w:rFonts w:hint="eastAsia"/>
        </w:rPr>
        <w:t>扼流变压器连至两条钢轨的钢轨引接线均采用双线连接，钢轨引接线宜采用塞钉式；</w:t>
      </w:r>
    </w:p>
    <w:p w14:paraId="616D1391" w14:textId="77777777" w:rsidR="00006488" w:rsidRPr="00453DBE" w:rsidRDefault="00006488" w:rsidP="003334F3">
      <w:pPr>
        <w:pStyle w:val="af7"/>
        <w:numPr>
          <w:ilvl w:val="1"/>
          <w:numId w:val="35"/>
        </w:numPr>
        <w:tabs>
          <w:tab w:val="left" w:pos="851"/>
          <w:tab w:val="left" w:pos="1276"/>
        </w:tabs>
      </w:pPr>
      <w:r w:rsidRPr="00453DBE">
        <w:rPr>
          <w:rFonts w:hint="eastAsia"/>
        </w:rPr>
        <w:t>绝缘节两侧分设扼流变压器并通过牵引电流时，两个扼流变压器的中点之间采用中点连接板或中点连接线相连，仅采用中点连接线连接时采用双线；</w:t>
      </w:r>
    </w:p>
    <w:p w14:paraId="30948FE6" w14:textId="77777777" w:rsidR="00006488" w:rsidRPr="00453DBE" w:rsidRDefault="00006488" w:rsidP="003334F3">
      <w:pPr>
        <w:pStyle w:val="af7"/>
        <w:numPr>
          <w:ilvl w:val="1"/>
          <w:numId w:val="35"/>
        </w:numPr>
        <w:tabs>
          <w:tab w:val="left" w:pos="851"/>
          <w:tab w:val="left" w:pos="1276"/>
        </w:tabs>
      </w:pPr>
      <w:r w:rsidRPr="00453DBE">
        <w:rPr>
          <w:rFonts w:hint="eastAsia"/>
        </w:rPr>
        <w:t>扼流变压器钢轨引接线、中点连接线、中点连接板应符合</w:t>
      </w:r>
      <w:r w:rsidRPr="00453DBE">
        <w:t>TB/T 3205</w:t>
      </w:r>
      <w:r w:rsidRPr="00453DBE">
        <w:rPr>
          <w:rFonts w:hint="eastAsia"/>
        </w:rPr>
        <w:t>的有关规定。</w:t>
      </w:r>
    </w:p>
    <w:p w14:paraId="4E612573" w14:textId="7B1366D1" w:rsidR="00006488" w:rsidRPr="00453DBE" w:rsidRDefault="00006488" w:rsidP="003334F3">
      <w:pPr>
        <w:pStyle w:val="af6"/>
        <w:numPr>
          <w:ilvl w:val="0"/>
          <w:numId w:val="35"/>
        </w:numPr>
        <w:tabs>
          <w:tab w:val="left" w:pos="851"/>
        </w:tabs>
        <w:snapToGrid w:val="0"/>
        <w:contextualSpacing/>
      </w:pPr>
      <w:r w:rsidRPr="00453DBE">
        <w:rPr>
          <w:rFonts w:hint="eastAsia"/>
        </w:rPr>
        <w:t>电力牵引区段，交叉渡线道岔的直股通过牵引电流时，应在渡线增设钢轨绝缘</w:t>
      </w:r>
      <w:r w:rsidR="00684276">
        <w:rPr>
          <w:rFonts w:hint="eastAsia"/>
        </w:rPr>
        <w:t>。</w:t>
      </w:r>
    </w:p>
    <w:p w14:paraId="7FE67DC5" w14:textId="77777777" w:rsidR="00006488" w:rsidRPr="00453DBE" w:rsidRDefault="00006488" w:rsidP="003334F3">
      <w:pPr>
        <w:pStyle w:val="af6"/>
        <w:numPr>
          <w:ilvl w:val="0"/>
          <w:numId w:val="35"/>
        </w:numPr>
        <w:tabs>
          <w:tab w:val="left" w:pos="851"/>
        </w:tabs>
        <w:snapToGrid w:val="0"/>
        <w:contextualSpacing/>
      </w:pPr>
      <w:r w:rsidRPr="00453DBE">
        <w:rPr>
          <w:rFonts w:hint="eastAsia"/>
        </w:rPr>
        <w:t>电力牵引区段，轨道电路的钢轨、扼流变压器与电力牵引供电设备、建筑物地线的连接符合下列规定：</w:t>
      </w:r>
    </w:p>
    <w:p w14:paraId="4873FC55" w14:textId="77777777" w:rsidR="00006488" w:rsidRPr="00453DBE" w:rsidRDefault="00006488" w:rsidP="003334F3">
      <w:pPr>
        <w:pStyle w:val="af7"/>
        <w:numPr>
          <w:ilvl w:val="1"/>
          <w:numId w:val="35"/>
        </w:numPr>
        <w:tabs>
          <w:tab w:val="left" w:pos="851"/>
          <w:tab w:val="left" w:pos="1276"/>
        </w:tabs>
      </w:pPr>
      <w:r w:rsidRPr="00453DBE">
        <w:rPr>
          <w:rFonts w:hint="eastAsia"/>
        </w:rPr>
        <w:t>接触网支柱的地线、桥梁等建筑物的地线，不应与扼流变压器中点或钢轨相连；</w:t>
      </w:r>
    </w:p>
    <w:p w14:paraId="24A415D5" w14:textId="77777777" w:rsidR="00006488" w:rsidRPr="00453DBE" w:rsidRDefault="00006488" w:rsidP="003334F3">
      <w:pPr>
        <w:pStyle w:val="af7"/>
        <w:numPr>
          <w:ilvl w:val="1"/>
          <w:numId w:val="35"/>
        </w:numPr>
        <w:tabs>
          <w:tab w:val="left" w:pos="851"/>
          <w:tab w:val="left" w:pos="1276"/>
        </w:tabs>
      </w:pPr>
      <w:r w:rsidRPr="00453DBE">
        <w:rPr>
          <w:rFonts w:hint="eastAsia"/>
        </w:rPr>
        <w:t>由接触网供电作为车站电源</w:t>
      </w:r>
      <w:r w:rsidRPr="00453DBE">
        <w:t xml:space="preserve"> 25kV </w:t>
      </w:r>
      <w:r w:rsidRPr="00453DBE">
        <w:rPr>
          <w:rFonts w:hint="eastAsia"/>
        </w:rPr>
        <w:t>变压器接地端回流不应与钢轨相连；</w:t>
      </w:r>
    </w:p>
    <w:p w14:paraId="45E654C2" w14:textId="77777777" w:rsidR="00006488" w:rsidRPr="00453DBE" w:rsidRDefault="00006488" w:rsidP="003334F3">
      <w:pPr>
        <w:pStyle w:val="af7"/>
        <w:numPr>
          <w:ilvl w:val="1"/>
          <w:numId w:val="35"/>
        </w:numPr>
        <w:tabs>
          <w:tab w:val="left" w:pos="851"/>
          <w:tab w:val="left" w:pos="1276"/>
        </w:tabs>
      </w:pPr>
      <w:r w:rsidRPr="00453DBE">
        <w:rPr>
          <w:rFonts w:hint="eastAsia"/>
        </w:rPr>
        <w:t>吸上线或保护线（PW</w:t>
      </w:r>
      <w:r w:rsidRPr="00453DBE">
        <w:t xml:space="preserve"> </w:t>
      </w:r>
      <w:r w:rsidRPr="00453DBE">
        <w:rPr>
          <w:rFonts w:hint="eastAsia"/>
        </w:rPr>
        <w:t>线）应接至扼流变压器中点；ZPW-2000</w:t>
      </w:r>
      <w:r w:rsidRPr="00453DBE">
        <w:t xml:space="preserve"> </w:t>
      </w:r>
      <w:r w:rsidRPr="00453DBE">
        <w:rPr>
          <w:rFonts w:hint="eastAsia"/>
        </w:rPr>
        <w:t>系列轨道电路区段，牵引电流符合空芯线圈容量要求时，可接至空芯线圈中点；</w:t>
      </w:r>
    </w:p>
    <w:p w14:paraId="304E8226" w14:textId="3F2B406D" w:rsidR="00006488" w:rsidRPr="00453DBE" w:rsidRDefault="00006488" w:rsidP="003334F3">
      <w:pPr>
        <w:pStyle w:val="af7"/>
        <w:numPr>
          <w:ilvl w:val="1"/>
          <w:numId w:val="35"/>
        </w:numPr>
        <w:tabs>
          <w:tab w:val="left" w:pos="851"/>
          <w:tab w:val="left" w:pos="1276"/>
        </w:tabs>
      </w:pPr>
      <w:r w:rsidRPr="00453DBE">
        <w:rPr>
          <w:rFonts w:hint="eastAsia"/>
        </w:rPr>
        <w:t>相邻吸上线的设置间距不应小于轨道电路规定的间距要求</w:t>
      </w:r>
      <w:r w:rsidR="00550008">
        <w:rPr>
          <w:rFonts w:hint="eastAsia"/>
        </w:rPr>
        <w:t>。</w:t>
      </w:r>
    </w:p>
    <w:p w14:paraId="4EE3C651" w14:textId="77777777" w:rsidR="00006488" w:rsidRPr="00453DBE" w:rsidRDefault="00006488" w:rsidP="003334F3">
      <w:pPr>
        <w:pStyle w:val="af6"/>
        <w:numPr>
          <w:ilvl w:val="0"/>
          <w:numId w:val="35"/>
        </w:numPr>
        <w:tabs>
          <w:tab w:val="left" w:pos="851"/>
        </w:tabs>
        <w:snapToGrid w:val="0"/>
        <w:contextualSpacing/>
      </w:pPr>
      <w:r w:rsidRPr="00453DBE">
        <w:rPr>
          <w:rFonts w:hint="eastAsia"/>
        </w:rPr>
        <w:t>电力牵引区段经由轨道电路返回牵引变电所的总回流点应通过扼流变压器中点接地。</w:t>
      </w:r>
    </w:p>
    <w:p w14:paraId="133BFB74" w14:textId="77777777" w:rsidR="00006488" w:rsidRPr="00453DBE" w:rsidRDefault="00006488" w:rsidP="00006488">
      <w:pPr>
        <w:pStyle w:val="22"/>
      </w:pPr>
      <w:r w:rsidRPr="00453DBE">
        <w:rPr>
          <w:rFonts w:hint="eastAsia"/>
        </w:rPr>
        <w:t>电力牵引区段，信号电缆受接触网危险影响的防护应符合下列规定：</w:t>
      </w:r>
    </w:p>
    <w:p w14:paraId="7F2A4570" w14:textId="77777777" w:rsidR="00006488" w:rsidRPr="00453DBE" w:rsidRDefault="00006488" w:rsidP="003334F3">
      <w:pPr>
        <w:pStyle w:val="af6"/>
        <w:numPr>
          <w:ilvl w:val="0"/>
          <w:numId w:val="323"/>
        </w:numPr>
        <w:snapToGrid w:val="0"/>
        <w:contextualSpacing/>
      </w:pPr>
      <w:r w:rsidRPr="00453DBE">
        <w:rPr>
          <w:rFonts w:hint="eastAsia"/>
        </w:rPr>
        <w:t>接触网正常供电时，信号电缆同一芯线上任意两点间的感应纵电动势有效值不应大于</w:t>
      </w:r>
      <w:r w:rsidRPr="00453DBE">
        <w:t xml:space="preserve"> </w:t>
      </w:r>
      <w:r w:rsidRPr="00453DBE">
        <w:rPr>
          <w:rFonts w:hint="eastAsia"/>
        </w:rPr>
        <w:t>60V；</w:t>
      </w:r>
    </w:p>
    <w:p w14:paraId="13B6D1A7" w14:textId="77777777" w:rsidR="00006488" w:rsidRPr="00453DBE" w:rsidRDefault="00006488" w:rsidP="003334F3">
      <w:pPr>
        <w:pStyle w:val="af6"/>
        <w:numPr>
          <w:ilvl w:val="0"/>
          <w:numId w:val="35"/>
        </w:numPr>
        <w:tabs>
          <w:tab w:val="left" w:pos="851"/>
        </w:tabs>
        <w:snapToGrid w:val="0"/>
        <w:contextualSpacing/>
      </w:pPr>
      <w:r w:rsidRPr="00453DBE">
        <w:rPr>
          <w:rFonts w:hint="eastAsia"/>
        </w:rPr>
        <w:t>接触网故障状态时，信号电缆同一芯线上任意两点间的感应纵电动势有效值不应大于电缆直流耐压试验的</w:t>
      </w:r>
      <w:r w:rsidRPr="00453DBE">
        <w:t xml:space="preserve"> </w:t>
      </w:r>
      <w:r w:rsidRPr="00453DBE">
        <w:rPr>
          <w:rFonts w:hint="eastAsia"/>
        </w:rPr>
        <w:t>60%或交流耐压试验的</w:t>
      </w:r>
      <w:r w:rsidRPr="00453DBE">
        <w:t xml:space="preserve"> </w:t>
      </w:r>
      <w:r w:rsidRPr="00453DBE">
        <w:rPr>
          <w:rFonts w:hint="eastAsia"/>
        </w:rPr>
        <w:t>85%；</w:t>
      </w:r>
    </w:p>
    <w:p w14:paraId="67959FCC" w14:textId="77777777" w:rsidR="00006488" w:rsidRPr="00453DBE" w:rsidRDefault="00006488" w:rsidP="003334F3">
      <w:pPr>
        <w:pStyle w:val="af6"/>
        <w:numPr>
          <w:ilvl w:val="0"/>
          <w:numId w:val="35"/>
        </w:numPr>
        <w:tabs>
          <w:tab w:val="left" w:pos="851"/>
        </w:tabs>
        <w:snapToGrid w:val="0"/>
        <w:contextualSpacing/>
      </w:pPr>
      <w:r w:rsidRPr="00453DBE">
        <w:rPr>
          <w:rFonts w:hint="eastAsia"/>
        </w:rPr>
        <w:t>超过规定的允许标准时，采用铝护套电缆或其他防护措施。</w:t>
      </w:r>
    </w:p>
    <w:p w14:paraId="722054C9" w14:textId="77777777" w:rsidR="00006488" w:rsidRPr="00453DBE" w:rsidRDefault="00006488" w:rsidP="00006488">
      <w:pPr>
        <w:pStyle w:val="22"/>
      </w:pPr>
      <w:r w:rsidRPr="00453DBE">
        <w:rPr>
          <w:rFonts w:hint="eastAsia"/>
        </w:rPr>
        <w:t>涉及行车安全的信号设备受雷电干扰时不应产生非安全输出。</w:t>
      </w:r>
    </w:p>
    <w:p w14:paraId="5D6190A3" w14:textId="77777777" w:rsidR="00006488" w:rsidRPr="00453DBE" w:rsidRDefault="00006488" w:rsidP="00006488">
      <w:pPr>
        <w:pStyle w:val="22"/>
      </w:pPr>
      <w:r w:rsidRPr="00453DBE">
        <w:rPr>
          <w:rFonts w:hint="eastAsia"/>
        </w:rPr>
        <w:t>信号系统设置的防雷装置不应改变系统的功能和性能；不应借用并联型防雷设备的端子连接其他设备。</w:t>
      </w:r>
    </w:p>
    <w:p w14:paraId="02F6B388" w14:textId="77777777" w:rsidR="00006488" w:rsidRPr="00453DBE" w:rsidRDefault="00006488" w:rsidP="00006488">
      <w:pPr>
        <w:pStyle w:val="22"/>
      </w:pPr>
      <w:r w:rsidRPr="00453DBE">
        <w:rPr>
          <w:rFonts w:hint="eastAsia"/>
        </w:rPr>
        <w:t>地面及高架信号设备计算机室宜设置室内屏蔽网，并应符合</w:t>
      </w:r>
      <w:r w:rsidRPr="00453DBE">
        <w:t xml:space="preserve">TB 10180 </w:t>
      </w:r>
      <w:r w:rsidRPr="00453DBE">
        <w:rPr>
          <w:rFonts w:hint="eastAsia"/>
        </w:rPr>
        <w:t>的有关规定。</w:t>
      </w:r>
    </w:p>
    <w:p w14:paraId="4D52149D" w14:textId="77777777" w:rsidR="00006488" w:rsidRPr="00453DBE" w:rsidRDefault="00006488" w:rsidP="00006488">
      <w:pPr>
        <w:pStyle w:val="22"/>
      </w:pPr>
      <w:r w:rsidRPr="00453DBE">
        <w:rPr>
          <w:rFonts w:hint="eastAsia"/>
        </w:rPr>
        <w:t>由室外引入室内的电缆防雷符合下列规定：</w:t>
      </w:r>
    </w:p>
    <w:p w14:paraId="60EDAB52" w14:textId="77777777" w:rsidR="00006488" w:rsidRPr="00453DBE" w:rsidRDefault="00006488" w:rsidP="003334F3">
      <w:pPr>
        <w:pStyle w:val="af6"/>
        <w:numPr>
          <w:ilvl w:val="0"/>
          <w:numId w:val="324"/>
        </w:numPr>
        <w:snapToGrid w:val="0"/>
        <w:contextualSpacing/>
      </w:pPr>
      <w:r w:rsidRPr="00453DBE">
        <w:rPr>
          <w:rFonts w:hint="eastAsia"/>
        </w:rPr>
        <w:t>电源屏电源线引入处、信号电子设备电源线引入处设置浪涌保护器；</w:t>
      </w:r>
    </w:p>
    <w:p w14:paraId="18D242EE" w14:textId="77777777" w:rsidR="00006488" w:rsidRPr="00453DBE" w:rsidRDefault="00006488" w:rsidP="003334F3">
      <w:pPr>
        <w:pStyle w:val="af6"/>
        <w:numPr>
          <w:ilvl w:val="0"/>
          <w:numId w:val="35"/>
        </w:numPr>
        <w:tabs>
          <w:tab w:val="left" w:pos="851"/>
        </w:tabs>
        <w:snapToGrid w:val="0"/>
        <w:contextualSpacing/>
      </w:pPr>
      <w:r w:rsidRPr="00453DBE">
        <w:rPr>
          <w:rFonts w:hint="eastAsia"/>
        </w:rPr>
        <w:t>除道岔控制电路外，由室外引入室内的电缆宜设置浪涌保护器，并宜集中设置于室内防雷分线盘或防雷分线柜；</w:t>
      </w:r>
    </w:p>
    <w:p w14:paraId="555E6BA4" w14:textId="77777777" w:rsidR="00006488" w:rsidRPr="00453DBE" w:rsidRDefault="00006488" w:rsidP="003334F3">
      <w:pPr>
        <w:pStyle w:val="af6"/>
        <w:numPr>
          <w:ilvl w:val="0"/>
          <w:numId w:val="35"/>
        </w:numPr>
        <w:tabs>
          <w:tab w:val="left" w:pos="851"/>
        </w:tabs>
        <w:snapToGrid w:val="0"/>
        <w:contextualSpacing/>
      </w:pPr>
      <w:r w:rsidRPr="00453DBE">
        <w:rPr>
          <w:rFonts w:hint="eastAsia"/>
        </w:rPr>
        <w:lastRenderedPageBreak/>
        <w:t>信号设备房屋电力线引入处单独设置信号电源防雷箱。</w:t>
      </w:r>
    </w:p>
    <w:p w14:paraId="225461D9" w14:textId="77777777" w:rsidR="00006488" w:rsidRPr="00453DBE" w:rsidRDefault="00006488" w:rsidP="00006488">
      <w:pPr>
        <w:pStyle w:val="22"/>
      </w:pPr>
      <w:r w:rsidRPr="00453DBE">
        <w:rPr>
          <w:rFonts w:hint="eastAsia"/>
        </w:rPr>
        <w:t>室外信号设备外缘距接触网带电部分的距离不应小于</w:t>
      </w:r>
      <w:r w:rsidRPr="00453DBE">
        <w:t xml:space="preserve"> 2m；距接触网带电部分 5m范围内的信号设备的金属结构件必须接地。</w:t>
      </w:r>
    </w:p>
    <w:p w14:paraId="1A3A918F" w14:textId="77777777" w:rsidR="00006488" w:rsidRPr="00453DBE" w:rsidRDefault="00006488" w:rsidP="00006488">
      <w:pPr>
        <w:pStyle w:val="22"/>
      </w:pPr>
      <w:r w:rsidRPr="00453DBE">
        <w:rPr>
          <w:rFonts w:hint="eastAsia"/>
        </w:rPr>
        <w:t>电力牵引区段，室外信号电缆的接地及屏蔽连接符合下列规定：</w:t>
      </w:r>
    </w:p>
    <w:p w14:paraId="53EED89D" w14:textId="77777777" w:rsidR="00006488" w:rsidRPr="00453DBE" w:rsidRDefault="00006488" w:rsidP="003334F3">
      <w:pPr>
        <w:pStyle w:val="af6"/>
        <w:numPr>
          <w:ilvl w:val="0"/>
          <w:numId w:val="325"/>
        </w:numPr>
        <w:snapToGrid w:val="0"/>
        <w:contextualSpacing/>
      </w:pPr>
      <w:r w:rsidRPr="00453DBE">
        <w:rPr>
          <w:rFonts w:hint="eastAsia"/>
        </w:rPr>
        <w:t>金属护套应接地；</w:t>
      </w:r>
    </w:p>
    <w:p w14:paraId="0CF8EBAF" w14:textId="325C4920" w:rsidR="00006488" w:rsidRPr="00453DBE" w:rsidRDefault="00331E9D" w:rsidP="003334F3">
      <w:pPr>
        <w:pStyle w:val="af6"/>
        <w:numPr>
          <w:ilvl w:val="0"/>
          <w:numId w:val="35"/>
        </w:numPr>
        <w:tabs>
          <w:tab w:val="left" w:pos="851"/>
        </w:tabs>
        <w:snapToGrid w:val="0"/>
        <w:contextualSpacing/>
      </w:pPr>
      <w:r w:rsidRPr="00BF0BA3">
        <w:rPr>
          <w:rFonts w:hint="eastAsia"/>
        </w:rPr>
        <w:t>同沟或同槽敷设的多根电缆的护套之间应进行屏蔽连接</w:t>
      </w:r>
      <w:r w:rsidR="00006488" w:rsidRPr="00453DBE">
        <w:rPr>
          <w:rFonts w:hint="eastAsia"/>
        </w:rPr>
        <w:t>；</w:t>
      </w:r>
    </w:p>
    <w:p w14:paraId="44765A96" w14:textId="77777777" w:rsidR="00006488" w:rsidRPr="00453DBE" w:rsidRDefault="00006488" w:rsidP="003334F3">
      <w:pPr>
        <w:pStyle w:val="af6"/>
        <w:numPr>
          <w:ilvl w:val="0"/>
          <w:numId w:val="35"/>
        </w:numPr>
        <w:tabs>
          <w:tab w:val="left" w:pos="851"/>
        </w:tabs>
        <w:snapToGrid w:val="0"/>
        <w:contextualSpacing/>
      </w:pPr>
      <w:r w:rsidRPr="00453DBE">
        <w:rPr>
          <w:rFonts w:hint="eastAsia"/>
        </w:rPr>
        <w:t>铝护套、钢带以及内屏蔽护套应分段单端接地。</w:t>
      </w:r>
    </w:p>
    <w:p w14:paraId="0B7E074F" w14:textId="77777777" w:rsidR="00006488" w:rsidRPr="00453DBE" w:rsidRDefault="00006488" w:rsidP="00006488">
      <w:pPr>
        <w:pStyle w:val="22"/>
      </w:pPr>
      <w:r w:rsidRPr="00453DBE">
        <w:rPr>
          <w:rFonts w:hint="eastAsia"/>
        </w:rPr>
        <w:t>轨旁信号设备的接地符合下列规定：</w:t>
      </w:r>
    </w:p>
    <w:p w14:paraId="7CEB1ADE" w14:textId="77777777" w:rsidR="00006488" w:rsidRPr="00453DBE" w:rsidRDefault="00006488" w:rsidP="003334F3">
      <w:pPr>
        <w:pStyle w:val="af6"/>
        <w:numPr>
          <w:ilvl w:val="0"/>
          <w:numId w:val="326"/>
        </w:numPr>
        <w:snapToGrid w:val="0"/>
        <w:contextualSpacing/>
      </w:pPr>
      <w:r w:rsidRPr="00453DBE">
        <w:rPr>
          <w:rFonts w:hint="eastAsia"/>
        </w:rPr>
        <w:t>进出箱盒的电源线或信号线宜采用屏蔽电缆或非屏蔽电缆穿钢管埋地敷设，屏蔽电缆的金属屏蔽层或钢管应接地；</w:t>
      </w:r>
    </w:p>
    <w:p w14:paraId="6272A730" w14:textId="77777777" w:rsidR="00006488" w:rsidRPr="00453DBE" w:rsidRDefault="00006488" w:rsidP="003334F3">
      <w:pPr>
        <w:pStyle w:val="af6"/>
        <w:numPr>
          <w:ilvl w:val="0"/>
          <w:numId w:val="35"/>
        </w:numPr>
        <w:tabs>
          <w:tab w:val="left" w:pos="851"/>
        </w:tabs>
        <w:snapToGrid w:val="0"/>
        <w:contextualSpacing/>
      </w:pPr>
      <w:r w:rsidRPr="00453DBE">
        <w:rPr>
          <w:rFonts w:hint="eastAsia"/>
        </w:rPr>
        <w:t>轨道电路区段，不应用钢轨代替地线。</w:t>
      </w:r>
    </w:p>
    <w:p w14:paraId="6384D60B" w14:textId="77777777" w:rsidR="00006488" w:rsidRPr="00453DBE" w:rsidRDefault="00006488" w:rsidP="00006488">
      <w:pPr>
        <w:pStyle w:val="22"/>
      </w:pPr>
      <w:r w:rsidRPr="00453DBE">
        <w:rPr>
          <w:rFonts w:hint="eastAsia"/>
        </w:rPr>
        <w:t>正线轨旁设备应采用综合接地系统，接地电阻不大于</w:t>
      </w:r>
      <w:r w:rsidRPr="00453DBE">
        <w:t xml:space="preserve">1Ω </w:t>
      </w:r>
      <w:r w:rsidRPr="00453DBE">
        <w:rPr>
          <w:rFonts w:hint="eastAsia"/>
        </w:rPr>
        <w:t>，若采用</w:t>
      </w:r>
      <w:r w:rsidRPr="00453DBE">
        <w:t>AC25kV交流牵引系统宜与牵引供电系统共用综合接地贯通线。</w:t>
      </w:r>
    </w:p>
    <w:p w14:paraId="3075F7D5" w14:textId="49040C52" w:rsidR="00737EB2" w:rsidRPr="00A7607F" w:rsidRDefault="00006488" w:rsidP="009D0776">
      <w:pPr>
        <w:pStyle w:val="22"/>
      </w:pPr>
      <w:r w:rsidRPr="00453DBE">
        <w:rPr>
          <w:rFonts w:hint="eastAsia"/>
        </w:rPr>
        <w:t>信号工程设计中，防雷及接地设计除符合本规范外，尚应符合</w:t>
      </w:r>
      <w:r w:rsidRPr="00453DBE">
        <w:t>TB 10180的有关规定</w:t>
      </w:r>
      <w:bookmarkStart w:id="2537" w:name="_Toc99792595"/>
      <w:bookmarkStart w:id="2538" w:name="_Toc153292033"/>
      <w:bookmarkEnd w:id="2535"/>
      <w:bookmarkEnd w:id="2536"/>
      <w:r w:rsidR="00737EB2" w:rsidRPr="00A7607F">
        <w:rPr>
          <w:rFonts w:hint="eastAsia"/>
        </w:rPr>
        <w:t>。</w:t>
      </w:r>
      <w:bookmarkEnd w:id="2537"/>
      <w:bookmarkEnd w:id="2538"/>
    </w:p>
    <w:p w14:paraId="38B182D7" w14:textId="77777777" w:rsidR="00737EB2" w:rsidRPr="00A7607F" w:rsidRDefault="00737EB2" w:rsidP="00737EB2">
      <w:pPr>
        <w:pStyle w:val="affe"/>
        <w:spacing w:before="156" w:after="156"/>
      </w:pPr>
      <w:bookmarkStart w:id="2539" w:name="_Toc99792596"/>
      <w:bookmarkStart w:id="2540" w:name="_Toc153210954"/>
      <w:bookmarkStart w:id="2541" w:name="_Toc153292034"/>
      <w:bookmarkStart w:id="2542" w:name="_Toc167895852"/>
      <w:bookmarkStart w:id="2543" w:name="_Toc174538766"/>
      <w:bookmarkStart w:id="2544" w:name="_Toc182476523"/>
      <w:r w:rsidRPr="00A7607F">
        <w:rPr>
          <w:rFonts w:hint="eastAsia"/>
        </w:rPr>
        <w:t>信号房屋</w:t>
      </w:r>
      <w:bookmarkEnd w:id="2539"/>
      <w:bookmarkEnd w:id="2540"/>
      <w:bookmarkEnd w:id="2541"/>
      <w:bookmarkEnd w:id="2542"/>
      <w:bookmarkEnd w:id="2543"/>
      <w:bookmarkEnd w:id="2544"/>
    </w:p>
    <w:p w14:paraId="32E9DCA1" w14:textId="196E2B5E" w:rsidR="00006488" w:rsidRPr="00453DBE" w:rsidRDefault="00006488" w:rsidP="00006488">
      <w:pPr>
        <w:pStyle w:val="22"/>
      </w:pPr>
      <w:bookmarkStart w:id="2545" w:name="_Toc99792597"/>
      <w:bookmarkStart w:id="2546" w:name="_Toc153292035"/>
      <w:r w:rsidRPr="00453DBE">
        <w:rPr>
          <w:rFonts w:hint="eastAsia"/>
        </w:rPr>
        <w:t>信号生产房屋应包括信号设备房屋和信号检修房屋，其设置符合下列规定</w:t>
      </w:r>
      <w:r w:rsidR="00684276">
        <w:rPr>
          <w:rFonts w:hint="eastAsia"/>
        </w:rPr>
        <w:t>。</w:t>
      </w:r>
    </w:p>
    <w:p w14:paraId="50C1EC79" w14:textId="306C42F1" w:rsidR="00006488" w:rsidRPr="00453DBE" w:rsidRDefault="00006488" w:rsidP="003334F3">
      <w:pPr>
        <w:pStyle w:val="af6"/>
        <w:numPr>
          <w:ilvl w:val="0"/>
          <w:numId w:val="327"/>
        </w:numPr>
        <w:snapToGrid w:val="0"/>
        <w:contextualSpacing/>
      </w:pPr>
      <w:r w:rsidRPr="00453DBE">
        <w:rPr>
          <w:rFonts w:hint="eastAsia"/>
        </w:rPr>
        <w:t>信号设备房屋符合下列规定</w:t>
      </w:r>
      <w:r w:rsidR="00550008">
        <w:rPr>
          <w:rFonts w:hint="eastAsia"/>
        </w:rPr>
        <w:t>：</w:t>
      </w:r>
    </w:p>
    <w:p w14:paraId="3A99AB95" w14:textId="77777777" w:rsidR="00006488" w:rsidRPr="00453DBE" w:rsidRDefault="00006488" w:rsidP="00006488">
      <w:pPr>
        <w:pStyle w:val="af6"/>
        <w:numPr>
          <w:ilvl w:val="0"/>
          <w:numId w:val="0"/>
        </w:numPr>
        <w:ind w:left="851"/>
      </w:pPr>
      <w:r w:rsidRPr="00453DBE">
        <w:rPr>
          <w:rFonts w:hint="eastAsia"/>
        </w:rPr>
        <w:t>1）车站、车辆基地应设置信号设备房屋、电缆引入室；</w:t>
      </w:r>
    </w:p>
    <w:p w14:paraId="345853DD" w14:textId="77777777" w:rsidR="00006488" w:rsidRPr="00453DBE" w:rsidRDefault="00006488" w:rsidP="00006488">
      <w:pPr>
        <w:pStyle w:val="af6"/>
        <w:numPr>
          <w:ilvl w:val="0"/>
          <w:numId w:val="0"/>
        </w:numPr>
        <w:ind w:left="851"/>
      </w:pPr>
      <w:r w:rsidRPr="00453DBE">
        <w:rPr>
          <w:rFonts w:hint="eastAsia"/>
        </w:rPr>
        <w:t>2）运营控制中心应设置信号设备室、设备监控室。</w:t>
      </w:r>
    </w:p>
    <w:p w14:paraId="3B960BDE" w14:textId="3282675A" w:rsidR="00006488" w:rsidRPr="00453DBE" w:rsidRDefault="00006488" w:rsidP="003334F3">
      <w:pPr>
        <w:pStyle w:val="af6"/>
        <w:numPr>
          <w:ilvl w:val="0"/>
          <w:numId w:val="36"/>
        </w:numPr>
        <w:tabs>
          <w:tab w:val="left" w:pos="851"/>
        </w:tabs>
        <w:snapToGrid w:val="0"/>
        <w:contextualSpacing/>
      </w:pPr>
      <w:r w:rsidRPr="00453DBE">
        <w:rPr>
          <w:rFonts w:hint="eastAsia"/>
        </w:rPr>
        <w:t>根据需要设置相应的信号检修房屋</w:t>
      </w:r>
      <w:r w:rsidR="00684276">
        <w:rPr>
          <w:rFonts w:hint="eastAsia"/>
        </w:rPr>
        <w:t>。</w:t>
      </w:r>
    </w:p>
    <w:p w14:paraId="0652218A" w14:textId="77777777" w:rsidR="00006488" w:rsidRPr="00453DBE" w:rsidRDefault="00006488" w:rsidP="003334F3">
      <w:pPr>
        <w:pStyle w:val="af6"/>
        <w:numPr>
          <w:ilvl w:val="0"/>
          <w:numId w:val="36"/>
        </w:numPr>
        <w:tabs>
          <w:tab w:val="left" w:pos="851"/>
        </w:tabs>
        <w:snapToGrid w:val="0"/>
        <w:contextualSpacing/>
      </w:pPr>
      <w:r w:rsidRPr="00453DBE">
        <w:rPr>
          <w:rFonts w:hint="eastAsia"/>
        </w:rPr>
        <w:t>信号设备房屋的位置应尽量远离变电所、环控机房设置，应有利于区间及站台电缆引入和敷设，宜与车控室同端、相近设置。</w:t>
      </w:r>
    </w:p>
    <w:p w14:paraId="17DD4F1A" w14:textId="77777777" w:rsidR="00006488" w:rsidRPr="00453DBE" w:rsidRDefault="00006488" w:rsidP="00006488">
      <w:pPr>
        <w:pStyle w:val="22"/>
      </w:pPr>
      <w:r w:rsidRPr="00453DBE">
        <w:rPr>
          <w:rFonts w:hint="eastAsia"/>
        </w:rPr>
        <w:t>信号设备房屋面积的确定应符合下列规定：</w:t>
      </w:r>
    </w:p>
    <w:p w14:paraId="2030531E" w14:textId="77777777" w:rsidR="00006488" w:rsidRPr="00453DBE" w:rsidRDefault="00006488" w:rsidP="003334F3">
      <w:pPr>
        <w:pStyle w:val="af6"/>
        <w:numPr>
          <w:ilvl w:val="0"/>
          <w:numId w:val="328"/>
        </w:numPr>
        <w:snapToGrid w:val="0"/>
        <w:contextualSpacing/>
      </w:pPr>
      <w:r w:rsidRPr="00453DBE">
        <w:rPr>
          <w:rFonts w:hint="eastAsia"/>
        </w:rPr>
        <w:t>适应车站及车辆基地规模；</w:t>
      </w:r>
    </w:p>
    <w:p w14:paraId="78F161FD" w14:textId="77777777" w:rsidR="00006488" w:rsidRPr="00453DBE" w:rsidRDefault="00006488" w:rsidP="003334F3">
      <w:pPr>
        <w:pStyle w:val="af6"/>
        <w:numPr>
          <w:ilvl w:val="0"/>
          <w:numId w:val="36"/>
        </w:numPr>
        <w:tabs>
          <w:tab w:val="left" w:pos="851"/>
        </w:tabs>
        <w:snapToGrid w:val="0"/>
        <w:contextualSpacing/>
      </w:pPr>
      <w:r w:rsidRPr="00453DBE">
        <w:rPr>
          <w:rFonts w:hint="eastAsia"/>
        </w:rPr>
        <w:t>符合信号系统设备制式的要求；</w:t>
      </w:r>
    </w:p>
    <w:p w14:paraId="5F491AAC" w14:textId="77777777" w:rsidR="00006488" w:rsidRPr="00453DBE" w:rsidRDefault="00006488" w:rsidP="003334F3">
      <w:pPr>
        <w:pStyle w:val="af6"/>
        <w:numPr>
          <w:ilvl w:val="0"/>
          <w:numId w:val="36"/>
        </w:numPr>
        <w:tabs>
          <w:tab w:val="left" w:pos="851"/>
        </w:tabs>
        <w:snapToGrid w:val="0"/>
        <w:contextualSpacing/>
      </w:pPr>
      <w:r w:rsidRPr="00453DBE">
        <w:rPr>
          <w:rFonts w:hint="eastAsia"/>
        </w:rPr>
        <w:t>符合信号设备设置要求及使用要求；</w:t>
      </w:r>
    </w:p>
    <w:p w14:paraId="12912AC1" w14:textId="77777777" w:rsidR="00006488" w:rsidRPr="00453DBE" w:rsidRDefault="00006488" w:rsidP="003334F3">
      <w:pPr>
        <w:pStyle w:val="af6"/>
        <w:numPr>
          <w:ilvl w:val="0"/>
          <w:numId w:val="36"/>
        </w:numPr>
        <w:tabs>
          <w:tab w:val="left" w:pos="851"/>
        </w:tabs>
        <w:snapToGrid w:val="0"/>
        <w:contextualSpacing/>
      </w:pPr>
      <w:r w:rsidRPr="00453DBE">
        <w:rPr>
          <w:rFonts w:hint="eastAsia"/>
        </w:rPr>
        <w:t>符合区域远期发展要求；</w:t>
      </w:r>
    </w:p>
    <w:p w14:paraId="6621E1A9" w14:textId="77777777" w:rsidR="00006488" w:rsidRPr="00453DBE" w:rsidRDefault="00006488" w:rsidP="003334F3">
      <w:pPr>
        <w:pStyle w:val="af6"/>
        <w:numPr>
          <w:ilvl w:val="0"/>
          <w:numId w:val="36"/>
        </w:numPr>
        <w:tabs>
          <w:tab w:val="left" w:pos="851"/>
        </w:tabs>
        <w:snapToGrid w:val="0"/>
        <w:contextualSpacing/>
      </w:pPr>
      <w:r w:rsidRPr="00453DBE">
        <w:rPr>
          <w:rFonts w:hint="eastAsia"/>
        </w:rPr>
        <w:t>有设备维修倒替要求时，符合倒替条件要求。</w:t>
      </w:r>
    </w:p>
    <w:p w14:paraId="3CDB0F66" w14:textId="77777777" w:rsidR="00006488" w:rsidRPr="00453DBE" w:rsidRDefault="00006488" w:rsidP="00006488">
      <w:pPr>
        <w:pStyle w:val="22"/>
      </w:pPr>
      <w:r w:rsidRPr="00453DBE">
        <w:rPr>
          <w:rFonts w:hint="eastAsia"/>
        </w:rPr>
        <w:t>信号设备房屋的内部净高及设备布置间距应符合设备安装及正常维护的需要，并符合</w:t>
      </w:r>
      <w:r w:rsidRPr="00453DBE">
        <w:t>GB 50174的有关规定。</w:t>
      </w:r>
    </w:p>
    <w:p w14:paraId="3AEA9153" w14:textId="77777777" w:rsidR="00006488" w:rsidRPr="00453DBE" w:rsidRDefault="00006488" w:rsidP="00006488">
      <w:pPr>
        <w:pStyle w:val="22"/>
      </w:pPr>
      <w:r w:rsidRPr="00453DBE">
        <w:rPr>
          <w:rFonts w:hint="eastAsia"/>
        </w:rPr>
        <w:t>信号设备房屋的环境、防雷及接地、电磁兼容应符合</w:t>
      </w:r>
      <w:r w:rsidRPr="00453DBE">
        <w:t xml:space="preserve">GB 50174、GB 50343、TB 10180 </w:t>
      </w:r>
      <w:r w:rsidRPr="00453DBE">
        <w:rPr>
          <w:rFonts w:hint="eastAsia"/>
        </w:rPr>
        <w:t>以及铁路房屋建筑设计标准等有关技术标准的规定。</w:t>
      </w:r>
    </w:p>
    <w:p w14:paraId="53D5EBC0" w14:textId="41517D96" w:rsidR="00006488" w:rsidRPr="00453DBE" w:rsidRDefault="00006488" w:rsidP="00006488">
      <w:pPr>
        <w:pStyle w:val="22"/>
      </w:pPr>
      <w:r w:rsidRPr="00453DBE">
        <w:rPr>
          <w:rFonts w:hint="eastAsia"/>
        </w:rPr>
        <w:t>中心级、区域级信号机房应符合</w:t>
      </w:r>
      <w:r w:rsidRPr="00453DBE">
        <w:t xml:space="preserve">GB 50174 </w:t>
      </w:r>
      <w:r w:rsidRPr="00453DBE">
        <w:rPr>
          <w:rFonts w:hint="eastAsia"/>
        </w:rPr>
        <w:t>规定的</w:t>
      </w:r>
      <w:r w:rsidRPr="00453DBE">
        <w:t>标准。</w:t>
      </w:r>
    </w:p>
    <w:p w14:paraId="53EC0F6E" w14:textId="552A625B" w:rsidR="00737EB2" w:rsidRPr="00A7607F" w:rsidRDefault="00006488" w:rsidP="009D0776">
      <w:pPr>
        <w:pStyle w:val="22"/>
      </w:pPr>
      <w:r w:rsidRPr="00453DBE">
        <w:rPr>
          <w:rFonts w:hint="eastAsia"/>
        </w:rPr>
        <w:t>当城际铁路牵引变电所与车站或其他建筑贴临建设时，宜满足与信号设备房屋不小于</w:t>
      </w:r>
      <w:r w:rsidRPr="00453DBE">
        <w:t>200m的距离要求，困难情况下应满足GB/T 50719</w:t>
      </w:r>
      <w:r w:rsidRPr="00453DBE">
        <w:rPr>
          <w:rFonts w:hint="eastAsia"/>
        </w:rPr>
        <w:t>中</w:t>
      </w:r>
      <w:r w:rsidRPr="00453DBE">
        <w:t>规定的距离要求</w:t>
      </w:r>
      <w:bookmarkStart w:id="2547" w:name="_Toc99792602"/>
      <w:bookmarkStart w:id="2548" w:name="_Toc153292040"/>
      <w:bookmarkEnd w:id="2545"/>
      <w:bookmarkEnd w:id="2546"/>
      <w:r w:rsidR="00737EB2" w:rsidRPr="00A7607F">
        <w:rPr>
          <w:rFonts w:hint="eastAsia"/>
        </w:rPr>
        <w:t>。</w:t>
      </w:r>
      <w:bookmarkEnd w:id="2547"/>
      <w:bookmarkEnd w:id="2548"/>
    </w:p>
    <w:p w14:paraId="2218D0D2" w14:textId="77777777" w:rsidR="00737EB2" w:rsidRPr="00A7607F" w:rsidRDefault="00737EB2" w:rsidP="00737EB2">
      <w:pPr>
        <w:pStyle w:val="affe"/>
        <w:spacing w:before="156" w:after="156"/>
      </w:pPr>
      <w:bookmarkStart w:id="2549" w:name="_Toc153210955"/>
      <w:bookmarkStart w:id="2550" w:name="_Toc99792603"/>
      <w:bookmarkStart w:id="2551" w:name="_Toc153292041"/>
      <w:bookmarkStart w:id="2552" w:name="_Toc167895853"/>
      <w:bookmarkStart w:id="2553" w:name="_Toc174538767"/>
      <w:bookmarkStart w:id="2554" w:name="_Toc182476524"/>
      <w:r w:rsidRPr="00A7607F">
        <w:rPr>
          <w:rFonts w:hint="eastAsia"/>
        </w:rPr>
        <w:t>接口设计</w:t>
      </w:r>
      <w:bookmarkEnd w:id="2549"/>
      <w:bookmarkEnd w:id="2550"/>
      <w:bookmarkEnd w:id="2551"/>
      <w:bookmarkEnd w:id="2552"/>
      <w:bookmarkEnd w:id="2553"/>
      <w:bookmarkEnd w:id="2554"/>
    </w:p>
    <w:p w14:paraId="555B8CE1" w14:textId="77777777" w:rsidR="00006488" w:rsidRPr="00BF0BA3" w:rsidRDefault="00006488" w:rsidP="00006488">
      <w:pPr>
        <w:pStyle w:val="22"/>
      </w:pPr>
      <w:bookmarkStart w:id="2555" w:name="_Toc153292042"/>
      <w:bookmarkStart w:id="2556" w:name="_Toc99792604"/>
      <w:r w:rsidRPr="00453DBE">
        <w:rPr>
          <w:rFonts w:hint="eastAsia"/>
        </w:rPr>
        <w:t>信</w:t>
      </w:r>
      <w:r w:rsidRPr="00BF0BA3">
        <w:rPr>
          <w:rFonts w:hint="eastAsia"/>
        </w:rPr>
        <w:t>号与线路专业接口设计符合下列规定：</w:t>
      </w:r>
    </w:p>
    <w:p w14:paraId="34387359" w14:textId="4FC3B5FF" w:rsidR="00006488" w:rsidRPr="00BF0BA3" w:rsidRDefault="00BE29F2" w:rsidP="003334F3">
      <w:pPr>
        <w:pStyle w:val="af6"/>
        <w:numPr>
          <w:ilvl w:val="0"/>
          <w:numId w:val="329"/>
        </w:numPr>
        <w:snapToGrid w:val="0"/>
        <w:contextualSpacing/>
      </w:pPr>
      <w:r w:rsidRPr="00D56CF9">
        <w:rPr>
          <w:rFonts w:hint="eastAsia"/>
        </w:rPr>
        <w:t>接收上序</w:t>
      </w:r>
      <w:r w:rsidR="00006488" w:rsidRPr="00BF0BA3">
        <w:rPr>
          <w:rFonts w:hint="eastAsia"/>
        </w:rPr>
        <w:t>线路线别、线路里程资料；</w:t>
      </w:r>
    </w:p>
    <w:p w14:paraId="74ADEE7A" w14:textId="2229CA5C" w:rsidR="00006488" w:rsidRPr="00453DBE" w:rsidRDefault="00BE29F2" w:rsidP="00006488">
      <w:pPr>
        <w:pStyle w:val="af6"/>
        <w:tabs>
          <w:tab w:val="left" w:pos="851"/>
        </w:tabs>
        <w:snapToGrid w:val="0"/>
        <w:contextualSpacing/>
      </w:pPr>
      <w:r w:rsidRPr="00BF0BA3">
        <w:rPr>
          <w:rFonts w:hint="eastAsia"/>
        </w:rPr>
        <w:t>接收上序</w:t>
      </w:r>
      <w:r w:rsidR="00006488" w:rsidRPr="00453DBE">
        <w:rPr>
          <w:rFonts w:hint="eastAsia"/>
        </w:rPr>
        <w:t>线路设计速度、线路曲线、线路坡度等资料。</w:t>
      </w:r>
    </w:p>
    <w:p w14:paraId="4FA2B3A8" w14:textId="77777777" w:rsidR="00006488" w:rsidRPr="00453DBE" w:rsidRDefault="00006488" w:rsidP="00006488">
      <w:pPr>
        <w:pStyle w:val="22"/>
      </w:pPr>
      <w:r w:rsidRPr="00453DBE">
        <w:rPr>
          <w:rFonts w:hint="eastAsia"/>
        </w:rPr>
        <w:t>信号与站场专业接口设计符合下列规定：</w:t>
      </w:r>
    </w:p>
    <w:p w14:paraId="2FD31F41" w14:textId="77777777" w:rsidR="00006488" w:rsidRPr="00453DBE" w:rsidRDefault="00006488" w:rsidP="003334F3">
      <w:pPr>
        <w:pStyle w:val="af6"/>
        <w:numPr>
          <w:ilvl w:val="0"/>
          <w:numId w:val="345"/>
        </w:numPr>
        <w:snapToGrid w:val="0"/>
        <w:contextualSpacing/>
      </w:pPr>
      <w:r w:rsidRPr="00453DBE">
        <w:rPr>
          <w:rFonts w:hint="eastAsia"/>
        </w:rPr>
        <w:t xml:space="preserve">提出道岔转辙装置及信号机的安装空间要求，信号电缆槽、电缆井、电缆手孔、过轨防护管槽及电缆防护设施等设计要求，电缆手孔符合信号电缆弯曲半径要求； </w:t>
      </w:r>
    </w:p>
    <w:p w14:paraId="5162D7AE" w14:textId="77777777" w:rsidR="00006488" w:rsidRPr="00453DBE" w:rsidRDefault="00006488" w:rsidP="00006488">
      <w:pPr>
        <w:pStyle w:val="af6"/>
        <w:tabs>
          <w:tab w:val="left" w:pos="851"/>
        </w:tabs>
        <w:snapToGrid w:val="0"/>
        <w:contextualSpacing/>
      </w:pPr>
      <w:r w:rsidRPr="00453DBE">
        <w:rPr>
          <w:rFonts w:hint="eastAsia"/>
        </w:rPr>
        <w:t xml:space="preserve">获取车站、车辆基地的站场资料，提出对车站、车辆基地股道有效长和站台位置等设计要求； </w:t>
      </w:r>
    </w:p>
    <w:p w14:paraId="57F90A99" w14:textId="77777777" w:rsidR="00006488" w:rsidRPr="00453DBE" w:rsidRDefault="00006488" w:rsidP="00006488">
      <w:pPr>
        <w:pStyle w:val="af6"/>
        <w:tabs>
          <w:tab w:val="left" w:pos="851"/>
        </w:tabs>
        <w:snapToGrid w:val="0"/>
        <w:contextualSpacing/>
      </w:pPr>
      <w:r w:rsidRPr="00453DBE">
        <w:rPr>
          <w:rFonts w:hint="eastAsia"/>
        </w:rPr>
        <w:t>共同确定信号集中控制范围、轨道电路专用轨枕、绝缘轨距杆等设置要求。</w:t>
      </w:r>
    </w:p>
    <w:p w14:paraId="08186800" w14:textId="77777777" w:rsidR="00006488" w:rsidRPr="00453DBE" w:rsidRDefault="00006488" w:rsidP="00006488">
      <w:pPr>
        <w:pStyle w:val="22"/>
      </w:pPr>
      <w:r w:rsidRPr="00453DBE">
        <w:rPr>
          <w:rFonts w:hint="eastAsia"/>
        </w:rPr>
        <w:t>信号专业与轨道专业接口设计符合下列规定：</w:t>
      </w:r>
    </w:p>
    <w:p w14:paraId="2B5A885D" w14:textId="77777777" w:rsidR="00006488" w:rsidRPr="00453DBE" w:rsidRDefault="00006488" w:rsidP="003334F3">
      <w:pPr>
        <w:pStyle w:val="af6"/>
        <w:numPr>
          <w:ilvl w:val="0"/>
          <w:numId w:val="330"/>
        </w:numPr>
        <w:snapToGrid w:val="0"/>
        <w:contextualSpacing/>
      </w:pPr>
      <w:r w:rsidRPr="00453DBE">
        <w:rPr>
          <w:rFonts w:hint="eastAsia"/>
        </w:rPr>
        <w:lastRenderedPageBreak/>
        <w:t>提出站内绝缘节、轨道电路补偿电容的设置位置要求、轨距杆的绝缘要求、无砟轨道区段的轨道钢筋绝缘处理要求、无砟轨道板出道岔转辙设备安装及接地要求等；</w:t>
      </w:r>
    </w:p>
    <w:p w14:paraId="4B2E32BF" w14:textId="77777777" w:rsidR="00006488" w:rsidRPr="00453DBE" w:rsidRDefault="00006488" w:rsidP="00006488">
      <w:pPr>
        <w:pStyle w:val="af6"/>
        <w:tabs>
          <w:tab w:val="left" w:pos="851"/>
        </w:tabs>
        <w:snapToGrid w:val="0"/>
        <w:contextualSpacing/>
      </w:pPr>
      <w:r w:rsidRPr="00453DBE">
        <w:rPr>
          <w:rFonts w:hint="eastAsia"/>
        </w:rPr>
        <w:t>获取钢轨配轨、胶结绝缘等设计资料；</w:t>
      </w:r>
    </w:p>
    <w:p w14:paraId="465DB6DB" w14:textId="1BD71EA3" w:rsidR="00006488" w:rsidRDefault="00006488" w:rsidP="00006488">
      <w:pPr>
        <w:pStyle w:val="af6"/>
        <w:tabs>
          <w:tab w:val="left" w:pos="851"/>
        </w:tabs>
        <w:snapToGrid w:val="0"/>
        <w:contextualSpacing/>
      </w:pPr>
      <w:r w:rsidRPr="00453DBE">
        <w:rPr>
          <w:rFonts w:hint="eastAsia"/>
        </w:rPr>
        <w:t>共同确定钢轨伸缩器、轨道电路专用轨枕等的设置要求，以及护轨区段应答器、计轴器的设置。</w:t>
      </w:r>
    </w:p>
    <w:p w14:paraId="26BF08DE" w14:textId="59033153" w:rsidR="001C7E32" w:rsidRPr="00453DBE" w:rsidRDefault="001C7E32" w:rsidP="00006488">
      <w:pPr>
        <w:pStyle w:val="af6"/>
        <w:tabs>
          <w:tab w:val="left" w:pos="851"/>
        </w:tabs>
        <w:snapToGrid w:val="0"/>
        <w:contextualSpacing/>
      </w:pPr>
      <w:r>
        <w:rPr>
          <w:rFonts w:hint="eastAsia"/>
        </w:rPr>
        <w:t>获取轨道超高限速资料、警冲标位置。</w:t>
      </w:r>
    </w:p>
    <w:p w14:paraId="143CD7DD" w14:textId="77777777" w:rsidR="00006488" w:rsidRPr="00453DBE" w:rsidRDefault="00006488" w:rsidP="00006488">
      <w:pPr>
        <w:pStyle w:val="22"/>
      </w:pPr>
      <w:r w:rsidRPr="00453DBE">
        <w:rPr>
          <w:rFonts w:hint="eastAsia"/>
        </w:rPr>
        <w:t>信号专业应向路基专业提出信号电缆槽、电缆井、电缆手孔、过轨防护管槽及电缆防护设施等设计要求，以及信号设备设施的接地工程等设计要求。</w:t>
      </w:r>
    </w:p>
    <w:p w14:paraId="7D31E6C3" w14:textId="77777777" w:rsidR="00006488" w:rsidRPr="00453DBE" w:rsidRDefault="00006488" w:rsidP="00006488">
      <w:pPr>
        <w:pStyle w:val="22"/>
      </w:pPr>
      <w:r w:rsidRPr="00453DBE">
        <w:rPr>
          <w:rFonts w:hint="eastAsia"/>
        </w:rPr>
        <w:t>信号专业与隧道专业接口设计符合下列规定：</w:t>
      </w:r>
    </w:p>
    <w:p w14:paraId="7E6ED0DB" w14:textId="77777777" w:rsidR="00006488" w:rsidRPr="00453DBE" w:rsidRDefault="00006488" w:rsidP="003334F3">
      <w:pPr>
        <w:pStyle w:val="af6"/>
        <w:numPr>
          <w:ilvl w:val="0"/>
          <w:numId w:val="331"/>
        </w:numPr>
        <w:snapToGrid w:val="0"/>
        <w:contextualSpacing/>
      </w:pPr>
      <w:r w:rsidRPr="00453DBE">
        <w:rPr>
          <w:rFonts w:hint="eastAsia"/>
        </w:rPr>
        <w:t>提出信号电缆槽/电缆支架、电缆手孔、过轨防护管槽及电缆防护设施等设计要求，信号设备设施的接地工程，隧道内信号设备安装防护等设计要求；</w:t>
      </w:r>
    </w:p>
    <w:p w14:paraId="7C4F51DF" w14:textId="77777777" w:rsidR="00006488" w:rsidRPr="00453DBE" w:rsidRDefault="00006488" w:rsidP="00006488">
      <w:pPr>
        <w:pStyle w:val="af6"/>
        <w:tabs>
          <w:tab w:val="left" w:pos="851"/>
        </w:tabs>
        <w:snapToGrid w:val="0"/>
        <w:contextualSpacing/>
      </w:pPr>
      <w:r w:rsidRPr="00453DBE">
        <w:rPr>
          <w:rFonts w:hint="eastAsia"/>
        </w:rPr>
        <w:t>共同确定道岔转辙装置的设置要求。</w:t>
      </w:r>
    </w:p>
    <w:p w14:paraId="0A04E302" w14:textId="77777777" w:rsidR="00006488" w:rsidRPr="00453DBE" w:rsidRDefault="00006488" w:rsidP="00006488">
      <w:pPr>
        <w:pStyle w:val="22"/>
      </w:pPr>
      <w:r w:rsidRPr="00453DBE">
        <w:rPr>
          <w:rFonts w:hint="eastAsia"/>
        </w:rPr>
        <w:t>信号专业与桥梁专业接口设计符合下列规定：</w:t>
      </w:r>
      <w:r w:rsidRPr="00453DBE">
        <w:t xml:space="preserve"> </w:t>
      </w:r>
    </w:p>
    <w:p w14:paraId="7885751A" w14:textId="3844F347" w:rsidR="00006488" w:rsidRPr="00453DBE" w:rsidRDefault="00006488" w:rsidP="003334F3">
      <w:pPr>
        <w:pStyle w:val="af6"/>
        <w:numPr>
          <w:ilvl w:val="0"/>
          <w:numId w:val="332"/>
        </w:numPr>
        <w:snapToGrid w:val="0"/>
        <w:contextualSpacing/>
      </w:pPr>
      <w:r w:rsidRPr="00453DBE">
        <w:rPr>
          <w:rFonts w:hint="eastAsia"/>
        </w:rPr>
        <w:t>提出信号电缆槽/电缆支架、电缆手孔、过轨防护管槽及电缆防护设施等设计要求，信号设备设施的接地工程，</w:t>
      </w:r>
      <w:r w:rsidR="001C7E32" w:rsidRPr="00BF0BA3">
        <w:rPr>
          <w:rFonts w:hint="eastAsia"/>
        </w:rPr>
        <w:t>桥梁上</w:t>
      </w:r>
      <w:r w:rsidRPr="00453DBE">
        <w:rPr>
          <w:rFonts w:hint="eastAsia"/>
        </w:rPr>
        <w:t>信号设备安装防护等设计要求；</w:t>
      </w:r>
    </w:p>
    <w:p w14:paraId="32EA5B2F" w14:textId="77777777" w:rsidR="00006488" w:rsidRPr="00453DBE" w:rsidRDefault="00006488" w:rsidP="00006488">
      <w:pPr>
        <w:pStyle w:val="af6"/>
        <w:tabs>
          <w:tab w:val="left" w:pos="851"/>
        </w:tabs>
        <w:snapToGrid w:val="0"/>
        <w:contextualSpacing/>
      </w:pPr>
      <w:r w:rsidRPr="00453DBE">
        <w:rPr>
          <w:rFonts w:hint="eastAsia"/>
        </w:rPr>
        <w:t>共同确定道岔转辙装置的设置要求，设有护轮轨的桥梁应预留安装应答器、计轴等设备的条件；</w:t>
      </w:r>
    </w:p>
    <w:p w14:paraId="63B8F3E9" w14:textId="77777777" w:rsidR="00006488" w:rsidRPr="00453DBE" w:rsidRDefault="00006488" w:rsidP="00006488">
      <w:pPr>
        <w:pStyle w:val="af6"/>
        <w:tabs>
          <w:tab w:val="left" w:pos="851"/>
        </w:tabs>
        <w:snapToGrid w:val="0"/>
        <w:contextualSpacing/>
      </w:pPr>
      <w:r w:rsidRPr="00453DBE">
        <w:rPr>
          <w:rFonts w:hint="eastAsia"/>
        </w:rPr>
        <w:t>设有声屏障或风屏障的地段，信号电缆槽/电缆支架应设于声屏障或风屏障内侧。</w:t>
      </w:r>
    </w:p>
    <w:p w14:paraId="497229AE" w14:textId="77777777" w:rsidR="00006488" w:rsidRPr="00453DBE" w:rsidRDefault="00006488" w:rsidP="00006488">
      <w:pPr>
        <w:pStyle w:val="22"/>
      </w:pPr>
      <w:r w:rsidRPr="00453DBE">
        <w:rPr>
          <w:rFonts w:hint="eastAsia"/>
        </w:rPr>
        <w:t>信号专业与建筑专业接口设计符合下列规定：</w:t>
      </w:r>
    </w:p>
    <w:p w14:paraId="3BB5D19A" w14:textId="77777777" w:rsidR="00006488" w:rsidRPr="00453DBE" w:rsidRDefault="00006488" w:rsidP="003334F3">
      <w:pPr>
        <w:pStyle w:val="af6"/>
        <w:numPr>
          <w:ilvl w:val="0"/>
          <w:numId w:val="333"/>
        </w:numPr>
        <w:snapToGrid w:val="0"/>
        <w:contextualSpacing/>
      </w:pPr>
      <w:r w:rsidRPr="00453DBE">
        <w:rPr>
          <w:rFonts w:hint="eastAsia"/>
        </w:rPr>
        <w:t>信号设备房屋的面积、净空等；</w:t>
      </w:r>
    </w:p>
    <w:p w14:paraId="4936CF2C" w14:textId="77777777" w:rsidR="00006488" w:rsidRPr="00453DBE" w:rsidRDefault="00006488" w:rsidP="00006488">
      <w:pPr>
        <w:pStyle w:val="af6"/>
        <w:tabs>
          <w:tab w:val="left" w:pos="851"/>
        </w:tabs>
        <w:snapToGrid w:val="0"/>
        <w:contextualSpacing/>
      </w:pPr>
      <w:r w:rsidRPr="00453DBE">
        <w:rPr>
          <w:rFonts w:hint="eastAsia"/>
        </w:rPr>
        <w:t>室内信号设备布置及设备重量；</w:t>
      </w:r>
    </w:p>
    <w:p w14:paraId="56B696BC" w14:textId="77777777" w:rsidR="00006488" w:rsidRPr="00453DBE" w:rsidRDefault="00006488" w:rsidP="00006488">
      <w:pPr>
        <w:pStyle w:val="af6"/>
        <w:tabs>
          <w:tab w:val="left" w:pos="851"/>
        </w:tabs>
        <w:snapToGrid w:val="0"/>
        <w:contextualSpacing/>
      </w:pPr>
      <w:r w:rsidRPr="00453DBE">
        <w:rPr>
          <w:rFonts w:hint="eastAsia"/>
        </w:rPr>
        <w:t>信号电缆槽、电缆井、电缆手孔、过轨防护管槽及电缆防护设施等；</w:t>
      </w:r>
    </w:p>
    <w:p w14:paraId="35C19CA3" w14:textId="77777777" w:rsidR="00006488" w:rsidRPr="00453DBE" w:rsidRDefault="00006488" w:rsidP="00006488">
      <w:pPr>
        <w:pStyle w:val="af6"/>
        <w:tabs>
          <w:tab w:val="left" w:pos="851"/>
        </w:tabs>
        <w:snapToGrid w:val="0"/>
        <w:contextualSpacing/>
      </w:pPr>
      <w:r w:rsidRPr="00453DBE">
        <w:rPr>
          <w:rFonts w:hint="eastAsia"/>
        </w:rPr>
        <w:t>信号设备设施的综合防雷、接地工程等设计。</w:t>
      </w:r>
    </w:p>
    <w:p w14:paraId="5FA2FA18" w14:textId="77777777" w:rsidR="00006488" w:rsidRPr="00453DBE" w:rsidRDefault="00006488" w:rsidP="00006488">
      <w:pPr>
        <w:pStyle w:val="22"/>
      </w:pPr>
      <w:r w:rsidRPr="00453DBE">
        <w:rPr>
          <w:rFonts w:hint="eastAsia"/>
        </w:rPr>
        <w:t>信号专业应向通风与空调专业提出信号设备运行发热量、通风与空调防护的设计要求。</w:t>
      </w:r>
    </w:p>
    <w:p w14:paraId="0A61659B" w14:textId="77777777" w:rsidR="00006488" w:rsidRPr="00453DBE" w:rsidRDefault="00006488" w:rsidP="00006488">
      <w:pPr>
        <w:pStyle w:val="22"/>
      </w:pPr>
      <w:r w:rsidRPr="00453DBE">
        <w:rPr>
          <w:rFonts w:hint="eastAsia"/>
        </w:rPr>
        <w:t>信号专业应向给排水专业提出信号设备运行的消防防护设计要求。</w:t>
      </w:r>
    </w:p>
    <w:p w14:paraId="55839A96" w14:textId="77777777" w:rsidR="00006488" w:rsidRPr="00453DBE" w:rsidRDefault="00006488" w:rsidP="00006488">
      <w:pPr>
        <w:pStyle w:val="22"/>
      </w:pPr>
      <w:r w:rsidRPr="00453DBE">
        <w:rPr>
          <w:rFonts w:hint="eastAsia"/>
        </w:rPr>
        <w:t>信号专业应向电力专业提出信号设备的用电负荷等级及负荷容量等要求，并与电力专业共同确认接口处断路器设置等相关参数。</w:t>
      </w:r>
    </w:p>
    <w:p w14:paraId="34CE5DEF" w14:textId="77777777" w:rsidR="00006488" w:rsidRPr="00453DBE" w:rsidRDefault="00006488" w:rsidP="00006488">
      <w:pPr>
        <w:pStyle w:val="22"/>
      </w:pPr>
      <w:r w:rsidRPr="00453DBE">
        <w:rPr>
          <w:rFonts w:hint="eastAsia"/>
        </w:rPr>
        <w:t>信号专业应按需向通信专业提出信号专用光纤、数据传输链路，以及信号无线网络等设计要求。</w:t>
      </w:r>
    </w:p>
    <w:p w14:paraId="6BF673D0" w14:textId="77777777" w:rsidR="00006488" w:rsidRPr="00453DBE" w:rsidRDefault="00006488" w:rsidP="00006488">
      <w:pPr>
        <w:pStyle w:val="22"/>
      </w:pPr>
      <w:r w:rsidRPr="00453DBE">
        <w:rPr>
          <w:rFonts w:hint="eastAsia"/>
        </w:rPr>
        <w:t>信号与电力牵引供电、行车专业接口设计符合下列规定：</w:t>
      </w:r>
    </w:p>
    <w:p w14:paraId="68C5D22B" w14:textId="77777777" w:rsidR="00006488" w:rsidRPr="00453DBE" w:rsidRDefault="00006488" w:rsidP="003334F3">
      <w:pPr>
        <w:pStyle w:val="af6"/>
        <w:numPr>
          <w:ilvl w:val="0"/>
          <w:numId w:val="334"/>
        </w:numPr>
        <w:snapToGrid w:val="0"/>
        <w:contextualSpacing/>
      </w:pPr>
      <w:r w:rsidRPr="00453DBE">
        <w:rPr>
          <w:rFonts w:hint="eastAsia"/>
        </w:rPr>
        <w:t>提出轨道电路扼流变压器的设计原则；</w:t>
      </w:r>
    </w:p>
    <w:p w14:paraId="081CB323" w14:textId="77777777" w:rsidR="00006488" w:rsidRPr="00453DBE" w:rsidRDefault="00006488" w:rsidP="00006488">
      <w:pPr>
        <w:pStyle w:val="af6"/>
        <w:tabs>
          <w:tab w:val="left" w:pos="851"/>
        </w:tabs>
        <w:snapToGrid w:val="0"/>
        <w:contextualSpacing/>
      </w:pPr>
      <w:r w:rsidRPr="00453DBE">
        <w:rPr>
          <w:rFonts w:hint="eastAsia"/>
        </w:rPr>
        <w:t>获取牵引供电方式、牵引电流参数等；</w:t>
      </w:r>
    </w:p>
    <w:p w14:paraId="5010EE53" w14:textId="77777777" w:rsidR="00006488" w:rsidRPr="00453DBE" w:rsidRDefault="00006488" w:rsidP="00006488">
      <w:pPr>
        <w:pStyle w:val="af6"/>
        <w:tabs>
          <w:tab w:val="left" w:pos="851"/>
        </w:tabs>
        <w:snapToGrid w:val="0"/>
        <w:contextualSpacing/>
      </w:pPr>
      <w:r w:rsidRPr="00453DBE">
        <w:rPr>
          <w:rFonts w:hint="eastAsia"/>
        </w:rPr>
        <w:t>共同确定高柱信号机、吸上线及轨道电路横向连接线的设置位置，采用应答器提供接触网/轨电分相过分相信息或锚段关节时分相区的设置位置，以及室外信号设备外缘距离接触网带电部分的距离、转辙机与接触轨的距离等；</w:t>
      </w:r>
    </w:p>
    <w:p w14:paraId="3493D13A" w14:textId="2BA18226" w:rsidR="00006488" w:rsidRPr="00453DBE" w:rsidRDefault="00006488" w:rsidP="00006488">
      <w:pPr>
        <w:pStyle w:val="af6"/>
        <w:tabs>
          <w:tab w:val="left" w:pos="851"/>
        </w:tabs>
        <w:snapToGrid w:val="0"/>
        <w:contextualSpacing/>
      </w:pPr>
      <w:r w:rsidRPr="00453DBE">
        <w:rPr>
          <w:rFonts w:hint="eastAsia"/>
        </w:rPr>
        <w:t>桥梁及路基地段的区间信号标志牌应结合接触网支柱里程统筹设置</w:t>
      </w:r>
      <w:r w:rsidR="00ED46EC">
        <w:rPr>
          <w:rFonts w:hint="eastAsia"/>
        </w:rPr>
        <w:t>；</w:t>
      </w:r>
    </w:p>
    <w:p w14:paraId="11A0B8C1" w14:textId="6F604C6B" w:rsidR="00125F6C" w:rsidRPr="00453DBE" w:rsidRDefault="00125F6C" w:rsidP="00006488">
      <w:pPr>
        <w:pStyle w:val="af6"/>
        <w:tabs>
          <w:tab w:val="left" w:pos="851"/>
        </w:tabs>
        <w:snapToGrid w:val="0"/>
        <w:contextualSpacing/>
      </w:pPr>
      <w:r w:rsidRPr="00453DBE">
        <w:rPr>
          <w:rFonts w:hint="eastAsia"/>
        </w:rPr>
        <w:t>获取列车运行交路等资料</w:t>
      </w:r>
      <w:r w:rsidR="00ED46EC">
        <w:rPr>
          <w:rFonts w:hint="eastAsia"/>
        </w:rPr>
        <w:t>。</w:t>
      </w:r>
    </w:p>
    <w:p w14:paraId="7B980607" w14:textId="77777777" w:rsidR="00737EB2" w:rsidRPr="00A7607F" w:rsidRDefault="00737EB2" w:rsidP="00737EB2">
      <w:pPr>
        <w:pStyle w:val="affd"/>
        <w:spacing w:before="312" w:after="312"/>
      </w:pPr>
      <w:bookmarkStart w:id="2557" w:name="_Toc153292055"/>
      <w:bookmarkStart w:id="2558" w:name="_Toc153210956"/>
      <w:bookmarkStart w:id="2559" w:name="_Toc99792617"/>
      <w:bookmarkStart w:id="2560" w:name="_Toc167895854"/>
      <w:bookmarkStart w:id="2561" w:name="_Toc174538768"/>
      <w:bookmarkStart w:id="2562" w:name="_Toc182476525"/>
      <w:bookmarkEnd w:id="2555"/>
      <w:bookmarkEnd w:id="2556"/>
      <w:r w:rsidRPr="00A7607F">
        <w:rPr>
          <w:rFonts w:hint="eastAsia"/>
        </w:rPr>
        <w:t>安全防护与监控</w:t>
      </w:r>
      <w:bookmarkEnd w:id="2557"/>
      <w:bookmarkEnd w:id="2558"/>
      <w:bookmarkEnd w:id="2559"/>
      <w:bookmarkEnd w:id="2560"/>
      <w:bookmarkEnd w:id="2561"/>
      <w:bookmarkEnd w:id="2562"/>
    </w:p>
    <w:p w14:paraId="122C3461" w14:textId="60A5E5C4" w:rsidR="00737EB2" w:rsidRPr="00A7607F" w:rsidRDefault="00737EB2" w:rsidP="00737EB2">
      <w:pPr>
        <w:pStyle w:val="affe"/>
        <w:spacing w:before="156" w:after="156"/>
      </w:pPr>
      <w:bookmarkStart w:id="2563" w:name="_Toc99792618"/>
      <w:bookmarkStart w:id="2564" w:name="_Toc153292056"/>
      <w:bookmarkStart w:id="2565" w:name="_Toc153210957"/>
      <w:bookmarkStart w:id="2566" w:name="_Toc167895855"/>
      <w:bookmarkStart w:id="2567" w:name="_Toc174538769"/>
      <w:bookmarkStart w:id="2568" w:name="_Toc182476526"/>
      <w:r w:rsidRPr="00A7607F">
        <w:rPr>
          <w:rFonts w:hint="eastAsia"/>
        </w:rPr>
        <w:t>火灾自动报警系统</w:t>
      </w:r>
      <w:bookmarkEnd w:id="2563"/>
      <w:bookmarkEnd w:id="2564"/>
      <w:bookmarkEnd w:id="2565"/>
      <w:bookmarkEnd w:id="2566"/>
      <w:bookmarkEnd w:id="2567"/>
      <w:bookmarkEnd w:id="2568"/>
    </w:p>
    <w:p w14:paraId="40CADF78" w14:textId="77777777" w:rsidR="00F6204B" w:rsidRDefault="00F6204B" w:rsidP="00F6204B">
      <w:pPr>
        <w:pStyle w:val="22"/>
      </w:pPr>
      <w:bookmarkStart w:id="2569" w:name="_Toc153292057"/>
      <w:bookmarkStart w:id="2570" w:name="_Toc99792619"/>
      <w:r>
        <w:rPr>
          <w:rFonts w:hint="eastAsia"/>
        </w:rPr>
        <w:t>市域铁路全封闭运行的车站、地下区间、牵引变电所、主变电所、车辆基地（所、存车场）、运营控制中心等建筑物应根据</w:t>
      </w:r>
      <w:r>
        <w:t>GB 50116及有关防火标准的规定设置FAS</w:t>
      </w:r>
      <w:r>
        <w:rPr>
          <w:rFonts w:hint="eastAsia"/>
        </w:rPr>
        <w:t>。</w:t>
      </w:r>
    </w:p>
    <w:p w14:paraId="41EBC5C7" w14:textId="77777777" w:rsidR="00F6204B" w:rsidRDefault="00F6204B" w:rsidP="00F6204B">
      <w:pPr>
        <w:pStyle w:val="22"/>
      </w:pPr>
      <w:r>
        <w:rPr>
          <w:rFonts w:hint="eastAsia"/>
        </w:rPr>
        <w:t>火灾自动报警系统宜由中央级监控管理系统、车站级监控管理系统、现场级设备及通信网络等构成。</w:t>
      </w:r>
    </w:p>
    <w:p w14:paraId="0D0F2C34" w14:textId="77777777" w:rsidR="00F6204B" w:rsidRDefault="00F6204B" w:rsidP="00F6204B">
      <w:pPr>
        <w:pStyle w:val="22"/>
      </w:pPr>
      <w:r>
        <w:rPr>
          <w:rFonts w:hint="eastAsia"/>
        </w:rPr>
        <w:t>火灾自动报警系统中央级与车站级之间的信息传输宜利用通信系统提供的光纤独立组成全线光纤环网，火灾自动报警系统车站级网络应独立配置。</w:t>
      </w:r>
    </w:p>
    <w:p w14:paraId="1A1F7041" w14:textId="77777777" w:rsidR="00F6204B" w:rsidRDefault="00F6204B" w:rsidP="00F6204B">
      <w:pPr>
        <w:pStyle w:val="22"/>
      </w:pPr>
      <w:r>
        <w:rPr>
          <w:rFonts w:hint="eastAsia"/>
        </w:rPr>
        <w:t>换乘站火灾自动报警系统应设置与已开通线路及预留与拟建其他线路火灾自动报警系统的接口。按线路设置的火灾自动报警系统之间应能相互传输并显示状态信息。</w:t>
      </w:r>
    </w:p>
    <w:p w14:paraId="0E973C9D" w14:textId="43222B48" w:rsidR="008B3900" w:rsidRPr="00453DBE" w:rsidRDefault="00F6204B" w:rsidP="00F6204B">
      <w:pPr>
        <w:pStyle w:val="22"/>
      </w:pPr>
      <w:r>
        <w:rPr>
          <w:rFonts w:hint="eastAsia"/>
        </w:rPr>
        <w:t>火灾自动报警系统现场设备设置应符合下列规定</w:t>
      </w:r>
      <w:r w:rsidR="008B3900" w:rsidRPr="00453DBE">
        <w:rPr>
          <w:rFonts w:hint="eastAsia"/>
        </w:rPr>
        <w:t>：</w:t>
      </w:r>
    </w:p>
    <w:p w14:paraId="5AFD0755" w14:textId="3BD3D169" w:rsidR="008B3900" w:rsidRPr="00453DBE" w:rsidRDefault="00F6204B" w:rsidP="003334F3">
      <w:pPr>
        <w:pStyle w:val="af6"/>
        <w:numPr>
          <w:ilvl w:val="0"/>
          <w:numId w:val="335"/>
        </w:numPr>
        <w:snapToGrid w:val="0"/>
        <w:contextualSpacing/>
      </w:pPr>
      <w:r>
        <w:rPr>
          <w:rFonts w:hint="eastAsia"/>
        </w:rPr>
        <w:lastRenderedPageBreak/>
        <w:t>地下车站的站厅、站台、各种设备机房、库房、值班室、办公室、走道、配电室、电缆隧道或夹层、电梯井道上部、长度超过60m的出入口通道和地下连通道应设火灾探测器</w:t>
      </w:r>
      <w:r w:rsidR="008B3900" w:rsidRPr="00453DBE">
        <w:rPr>
          <w:rFonts w:hint="eastAsia"/>
        </w:rPr>
        <w:t>；</w:t>
      </w:r>
    </w:p>
    <w:p w14:paraId="380F3FD7" w14:textId="53A71F9A" w:rsidR="008B3900" w:rsidRPr="00453DBE" w:rsidRDefault="00F6204B" w:rsidP="008B3900">
      <w:pPr>
        <w:pStyle w:val="af6"/>
        <w:tabs>
          <w:tab w:val="left" w:pos="851"/>
        </w:tabs>
        <w:snapToGrid w:val="0"/>
        <w:contextualSpacing/>
      </w:pPr>
      <w:r>
        <w:rPr>
          <w:rFonts w:hint="eastAsia"/>
        </w:rPr>
        <w:t>地面及高架车站封闭式的站厅、站台、各类设备机房、管理用房、配电室、电缆隧道或夹层应设火灾探测器</w:t>
      </w:r>
      <w:r w:rsidR="008B3900" w:rsidRPr="00453DBE">
        <w:rPr>
          <w:rFonts w:hint="eastAsia"/>
        </w:rPr>
        <w:t>；</w:t>
      </w:r>
    </w:p>
    <w:p w14:paraId="3C10ED87" w14:textId="281F2CBD" w:rsidR="008B3900" w:rsidRPr="00453DBE" w:rsidRDefault="00F6204B" w:rsidP="008B3900">
      <w:pPr>
        <w:pStyle w:val="af6"/>
        <w:tabs>
          <w:tab w:val="left" w:pos="851"/>
        </w:tabs>
        <w:snapToGrid w:val="0"/>
        <w:contextualSpacing/>
      </w:pPr>
      <w:r>
        <w:rPr>
          <w:rFonts w:hint="eastAsia"/>
        </w:rPr>
        <w:t>运营控制中心、车辆基地（所、存车场）的检修库、重要设备机房、可燃物品仓库、变配电室以及火灾危险性较大的场所应设火灾探测器，其中大空间场所宜采用吸气式感烟火灾探测器、线型光束感烟火灾探测器等</w:t>
      </w:r>
      <w:r w:rsidR="008B3900" w:rsidRPr="00453DBE">
        <w:rPr>
          <w:rFonts w:hint="eastAsia"/>
        </w:rPr>
        <w:t>；</w:t>
      </w:r>
    </w:p>
    <w:p w14:paraId="70752663" w14:textId="134F6964" w:rsidR="008B3900" w:rsidRPr="00453DBE" w:rsidRDefault="00F6204B" w:rsidP="008B3900">
      <w:pPr>
        <w:pStyle w:val="af6"/>
        <w:tabs>
          <w:tab w:val="left" w:pos="851"/>
        </w:tabs>
        <w:snapToGrid w:val="0"/>
        <w:contextualSpacing/>
      </w:pPr>
      <w:r>
        <w:rPr>
          <w:rFonts w:hint="eastAsia"/>
        </w:rPr>
        <w:t>非独立隧道、长度超过30m的出入口通道及地下连通道应设手动报警按钮；设有应急疏散平台的区间或隧道，应急疏散平台侧应设置手动报警按钮及电话插孔，同时应结合消火栓安装位置设置消火栓按钮及电话插孔</w:t>
      </w:r>
      <w:r w:rsidR="008B3900" w:rsidRPr="00453DBE">
        <w:rPr>
          <w:rFonts w:hint="eastAsia"/>
        </w:rPr>
        <w:t>。</w:t>
      </w:r>
    </w:p>
    <w:p w14:paraId="26E7635E" w14:textId="77777777" w:rsidR="00F6204B" w:rsidRDefault="00F6204B" w:rsidP="00F6204B">
      <w:pPr>
        <w:pStyle w:val="22"/>
      </w:pPr>
      <w:r>
        <w:rPr>
          <w:rFonts w:hint="eastAsia"/>
        </w:rPr>
        <w:t>车站消防控制室宜与车站控制室等结合设置，车辆基地（所、存车场）宜在综合楼或大型检修库设消防控制室，在重要库房或办公区域内设置区域火灾报警控制器。</w:t>
      </w:r>
    </w:p>
    <w:p w14:paraId="7A9DBB9A" w14:textId="6ABDECB9" w:rsidR="00737EB2" w:rsidRPr="00A7607F" w:rsidRDefault="00F6204B" w:rsidP="009D0776">
      <w:pPr>
        <w:pStyle w:val="22"/>
      </w:pPr>
      <w:r>
        <w:rPr>
          <w:rFonts w:hint="eastAsia"/>
        </w:rPr>
        <w:t>火灾自动报警系统的负荷等级应为一级负荷，宜采用UPS供电，供电后备时间应不低于</w:t>
      </w:r>
      <w:r w:rsidRPr="00453DBE">
        <w:t>3h</w:t>
      </w:r>
      <w:bookmarkStart w:id="2571" w:name="_Toc99792624"/>
      <w:bookmarkStart w:id="2572" w:name="_Toc153292062"/>
      <w:bookmarkEnd w:id="2569"/>
      <w:bookmarkEnd w:id="2570"/>
      <w:r w:rsidR="00737EB2" w:rsidRPr="00A7607F">
        <w:rPr>
          <w:rFonts w:hint="eastAsia"/>
        </w:rPr>
        <w:t>。</w:t>
      </w:r>
      <w:bookmarkEnd w:id="2571"/>
      <w:bookmarkEnd w:id="2572"/>
    </w:p>
    <w:p w14:paraId="10330001" w14:textId="4835CC0D" w:rsidR="00737EB2" w:rsidRPr="00A7607F" w:rsidRDefault="00C65132" w:rsidP="00737EB2">
      <w:pPr>
        <w:pStyle w:val="affe"/>
        <w:spacing w:before="156" w:after="156"/>
      </w:pPr>
      <w:bookmarkStart w:id="2573" w:name="_Toc153210958"/>
      <w:bookmarkStart w:id="2574" w:name="_Toc99792625"/>
      <w:bookmarkStart w:id="2575" w:name="_Toc153292063"/>
      <w:bookmarkStart w:id="2576" w:name="_Toc167895856"/>
      <w:bookmarkStart w:id="2577" w:name="_Toc174538770"/>
      <w:bookmarkStart w:id="2578" w:name="_Toc182476527"/>
      <w:r>
        <w:rPr>
          <w:rFonts w:hint="eastAsia"/>
        </w:rPr>
        <w:t>环境设备监控系</w:t>
      </w:r>
      <w:r w:rsidR="00737EB2" w:rsidRPr="00A7607F">
        <w:rPr>
          <w:rFonts w:hint="eastAsia"/>
        </w:rPr>
        <w:t>统</w:t>
      </w:r>
      <w:bookmarkEnd w:id="2573"/>
      <w:bookmarkEnd w:id="2574"/>
      <w:bookmarkEnd w:id="2575"/>
      <w:bookmarkEnd w:id="2576"/>
      <w:bookmarkEnd w:id="2577"/>
      <w:bookmarkEnd w:id="2578"/>
    </w:p>
    <w:p w14:paraId="71CFAF89" w14:textId="77777777" w:rsidR="00F6204B" w:rsidRDefault="00F6204B" w:rsidP="00F6204B">
      <w:pPr>
        <w:pStyle w:val="22"/>
      </w:pPr>
      <w:r>
        <w:rPr>
          <w:rFonts w:hint="eastAsia"/>
        </w:rPr>
        <w:t>市域铁路地下车站及隧道、地面及高架车站的防灾救援设施应设置</w:t>
      </w:r>
      <w:r>
        <w:t>BAS。车辆基地（所、存车场）、运营控制中心等重要建（构）筑物宜设</w:t>
      </w:r>
      <w:r>
        <w:rPr>
          <w:rFonts w:hint="eastAsia"/>
        </w:rPr>
        <w:t>置</w:t>
      </w:r>
      <w:r>
        <w:t>BAS</w:t>
      </w:r>
      <w:r>
        <w:rPr>
          <w:rFonts w:hint="eastAsia"/>
        </w:rPr>
        <w:t>。</w:t>
      </w:r>
    </w:p>
    <w:p w14:paraId="478E1115" w14:textId="77777777" w:rsidR="00F6204B" w:rsidRDefault="00F6204B" w:rsidP="00F6204B">
      <w:pPr>
        <w:pStyle w:val="22"/>
      </w:pPr>
      <w:r>
        <w:rPr>
          <w:rFonts w:hint="eastAsia"/>
        </w:rPr>
        <w:t>机电设备监控系统宜由中央管理级、车站监控级、现场控制级及相关通信网络等构成。</w:t>
      </w:r>
    </w:p>
    <w:p w14:paraId="30322547" w14:textId="77777777" w:rsidR="00F6204B" w:rsidRDefault="00F6204B" w:rsidP="00F6204B">
      <w:pPr>
        <w:pStyle w:val="22"/>
      </w:pPr>
      <w:r>
        <w:rPr>
          <w:rFonts w:hint="eastAsia"/>
        </w:rPr>
        <w:t>机电设备监控系统中央级与车站级之间的信息传输宜采用综合监控系统传输网络的通道。</w:t>
      </w:r>
    </w:p>
    <w:p w14:paraId="0ECCD5AF" w14:textId="77777777" w:rsidR="00F6204B" w:rsidRDefault="00F6204B" w:rsidP="00F6204B">
      <w:pPr>
        <w:pStyle w:val="22"/>
      </w:pPr>
      <w:r>
        <w:rPr>
          <w:rFonts w:hint="eastAsia"/>
        </w:rPr>
        <w:t>机电设备监控系统应在车站级由综合监控系统集成，车站及中央级功能应由综合监控系统实现。</w:t>
      </w:r>
    </w:p>
    <w:p w14:paraId="632E5996" w14:textId="77777777" w:rsidR="00F6204B" w:rsidRDefault="00F6204B" w:rsidP="00F6204B">
      <w:pPr>
        <w:pStyle w:val="22"/>
      </w:pPr>
      <w:r>
        <w:rPr>
          <w:rFonts w:hint="eastAsia"/>
        </w:rPr>
        <w:t>机电设备监控系统应具有对车站空调通风设备、隧道通风设备、照明系统、电扶梯、给排水设备、站台门及防淹门等进行监控的功能，并宜具备能源管理功能。</w:t>
      </w:r>
    </w:p>
    <w:p w14:paraId="042FC67B" w14:textId="77777777" w:rsidR="00F6204B" w:rsidRDefault="00F6204B" w:rsidP="00F6204B">
      <w:pPr>
        <w:pStyle w:val="22"/>
      </w:pPr>
      <w:r>
        <w:rPr>
          <w:rFonts w:hint="eastAsia"/>
        </w:rPr>
        <w:t>正常运行工况需控制的设备，应由机电设备监控系统直接监控；火灾工况专用的设备，应由火灾自动报警系统直接监控；正常运行与火灾工况均需控制的设备，平时可由机电设备监控系统直接监控，火灾时机电设备监控系统应能接收火灾自动报警系统指令，并优先执行火灾自动报警系统确认的火灾工况。</w:t>
      </w:r>
    </w:p>
    <w:p w14:paraId="37DE213E" w14:textId="77777777" w:rsidR="00F6204B" w:rsidRDefault="00F6204B" w:rsidP="00F6204B">
      <w:pPr>
        <w:pStyle w:val="22"/>
      </w:pPr>
      <w:r>
        <w:rPr>
          <w:rFonts w:hint="eastAsia"/>
        </w:rPr>
        <w:t>换乘站机电设备监控系统应设置与已开通线路及预留与拟建其他线路机电设备监控系统的接口。</w:t>
      </w:r>
    </w:p>
    <w:p w14:paraId="26CFC8BD" w14:textId="65196D2B" w:rsidR="00737EB2" w:rsidRPr="00A7607F" w:rsidRDefault="00F6204B" w:rsidP="009D0776">
      <w:pPr>
        <w:pStyle w:val="22"/>
      </w:pPr>
      <w:r>
        <w:rPr>
          <w:rFonts w:hint="eastAsia"/>
        </w:rPr>
        <w:t>车站机电设备监控系统主机宜设在车站控制室；车辆基地（所、存车场）宜设在综合楼或大型检修库消防控制室</w:t>
      </w:r>
      <w:bookmarkStart w:id="2579" w:name="_Toc99792633"/>
      <w:bookmarkStart w:id="2580" w:name="_Toc153292071"/>
      <w:r w:rsidR="00737EB2" w:rsidRPr="00A7607F">
        <w:rPr>
          <w:rFonts w:hint="eastAsia"/>
        </w:rPr>
        <w:t>。</w:t>
      </w:r>
      <w:bookmarkEnd w:id="2579"/>
      <w:bookmarkEnd w:id="2580"/>
    </w:p>
    <w:p w14:paraId="0C54C811" w14:textId="77777777" w:rsidR="00737EB2" w:rsidRPr="00A7607F" w:rsidRDefault="00737EB2" w:rsidP="00737EB2">
      <w:pPr>
        <w:pStyle w:val="affe"/>
        <w:spacing w:before="156" w:after="156"/>
      </w:pPr>
      <w:bookmarkStart w:id="2581" w:name="_Toc99792634"/>
      <w:bookmarkStart w:id="2582" w:name="_Toc153292072"/>
      <w:bookmarkStart w:id="2583" w:name="_Toc153210959"/>
      <w:bookmarkStart w:id="2584" w:name="_Toc167895857"/>
      <w:bookmarkStart w:id="2585" w:name="_Toc174538771"/>
      <w:bookmarkStart w:id="2586" w:name="_Toc182476528"/>
      <w:r w:rsidRPr="00A7607F">
        <w:rPr>
          <w:rFonts w:hint="eastAsia"/>
        </w:rPr>
        <w:t>门禁系统</w:t>
      </w:r>
      <w:bookmarkEnd w:id="2581"/>
      <w:bookmarkEnd w:id="2582"/>
      <w:bookmarkEnd w:id="2583"/>
      <w:bookmarkEnd w:id="2584"/>
      <w:bookmarkEnd w:id="2585"/>
      <w:bookmarkEnd w:id="2586"/>
    </w:p>
    <w:p w14:paraId="38AFCF8A" w14:textId="77777777" w:rsidR="00F6204B" w:rsidRDefault="00F6204B" w:rsidP="00F6204B">
      <w:pPr>
        <w:pStyle w:val="22"/>
      </w:pPr>
      <w:bookmarkStart w:id="2587" w:name="_Toc99792635"/>
      <w:bookmarkStart w:id="2588" w:name="_Toc153292073"/>
      <w:r>
        <w:rPr>
          <w:rFonts w:hint="eastAsia"/>
        </w:rPr>
        <w:t>涉及重要设施的通道门、系统和设备用房门及管理用房门应设置设门禁。</w:t>
      </w:r>
    </w:p>
    <w:p w14:paraId="4BB9A997" w14:textId="77777777" w:rsidR="00F6204B" w:rsidRDefault="00F6204B" w:rsidP="00F6204B">
      <w:pPr>
        <w:pStyle w:val="22"/>
      </w:pPr>
      <w:r>
        <w:rPr>
          <w:rFonts w:hint="eastAsia"/>
        </w:rPr>
        <w:t>设有门禁装置的通道门、设备及管理用房门的电子锁，应满足防冲撞和消防疏散的要求。</w:t>
      </w:r>
    </w:p>
    <w:p w14:paraId="2CABD222" w14:textId="77777777" w:rsidR="00F6204B" w:rsidRDefault="00F6204B" w:rsidP="00F6204B">
      <w:pPr>
        <w:pStyle w:val="22"/>
      </w:pPr>
      <w:r>
        <w:rPr>
          <w:rFonts w:hint="eastAsia"/>
        </w:rPr>
        <w:t>市域铁路线网范围内门禁系统宜采用统一授权管理和统一的技术标准。</w:t>
      </w:r>
    </w:p>
    <w:p w14:paraId="56A938BE" w14:textId="77777777" w:rsidR="00F6204B" w:rsidRDefault="00F6204B" w:rsidP="00F6204B">
      <w:pPr>
        <w:pStyle w:val="22"/>
      </w:pPr>
      <w:r>
        <w:rPr>
          <w:rFonts w:hint="eastAsia"/>
        </w:rPr>
        <w:t>门禁系统应实现与火灾自动报警系统联动。应急工况下，门禁装置应按照消防疏散指令完成自动开放。</w:t>
      </w:r>
    </w:p>
    <w:p w14:paraId="34F2BB6C" w14:textId="77777777" w:rsidR="00F6204B" w:rsidRDefault="00F6204B" w:rsidP="00F6204B">
      <w:pPr>
        <w:pStyle w:val="22"/>
      </w:pPr>
      <w:r>
        <w:rPr>
          <w:rFonts w:hint="eastAsia"/>
        </w:rPr>
        <w:t>车站控制室综合后备盘上应设门禁紧急释放控制按钮。</w:t>
      </w:r>
    </w:p>
    <w:p w14:paraId="158F0AFF" w14:textId="5F0CF560" w:rsidR="008B3900" w:rsidRPr="00453DBE" w:rsidRDefault="00F6204B" w:rsidP="00F6204B">
      <w:pPr>
        <w:pStyle w:val="22"/>
      </w:pPr>
      <w:r>
        <w:rPr>
          <w:rFonts w:hint="eastAsia"/>
        </w:rPr>
        <w:t>门禁系统安全等级宜分为四级，系统配置符合下列规定</w:t>
      </w:r>
      <w:r w:rsidR="008B3900" w:rsidRPr="00453DBE">
        <w:rPr>
          <w:rFonts w:hint="eastAsia"/>
        </w:rPr>
        <w:t>：</w:t>
      </w:r>
    </w:p>
    <w:p w14:paraId="2BA599FA" w14:textId="5AAC5722" w:rsidR="008B3900" w:rsidRPr="00453DBE" w:rsidRDefault="00F6204B" w:rsidP="003334F3">
      <w:pPr>
        <w:pStyle w:val="af6"/>
        <w:numPr>
          <w:ilvl w:val="0"/>
          <w:numId w:val="336"/>
        </w:numPr>
        <w:snapToGrid w:val="0"/>
        <w:contextualSpacing/>
      </w:pPr>
      <w:r>
        <w:rPr>
          <w:rFonts w:hint="eastAsia"/>
        </w:rPr>
        <w:t>一级应设双向读卡器，进门侧设密码键盘或其他识别装置，并与视频监视系统相互配合，实现安全联动监控</w:t>
      </w:r>
      <w:r w:rsidR="008B3900" w:rsidRPr="00453DBE">
        <w:rPr>
          <w:rFonts w:hint="eastAsia"/>
        </w:rPr>
        <w:t>；</w:t>
      </w:r>
    </w:p>
    <w:p w14:paraId="0B10CE49" w14:textId="2E0D03D5" w:rsidR="008B3900" w:rsidRPr="00453DBE" w:rsidRDefault="00F6204B" w:rsidP="008B3900">
      <w:pPr>
        <w:pStyle w:val="af6"/>
        <w:tabs>
          <w:tab w:val="left" w:pos="851"/>
        </w:tabs>
        <w:snapToGrid w:val="0"/>
        <w:contextualSpacing/>
      </w:pPr>
      <w:r>
        <w:rPr>
          <w:rFonts w:hint="eastAsia"/>
        </w:rPr>
        <w:t>二级应设双向读卡器，进门侧设密码键盘或其他识别装置</w:t>
      </w:r>
      <w:r w:rsidR="008B3900" w:rsidRPr="00453DBE">
        <w:rPr>
          <w:rFonts w:hint="eastAsia"/>
        </w:rPr>
        <w:t>；</w:t>
      </w:r>
    </w:p>
    <w:p w14:paraId="1EC67E6B" w14:textId="77777777" w:rsidR="008B3900" w:rsidRPr="00453DBE" w:rsidRDefault="008B3900" w:rsidP="008B3900">
      <w:pPr>
        <w:pStyle w:val="af6"/>
        <w:tabs>
          <w:tab w:val="left" w:pos="851"/>
        </w:tabs>
        <w:snapToGrid w:val="0"/>
        <w:contextualSpacing/>
      </w:pPr>
      <w:r w:rsidRPr="00453DBE">
        <w:rPr>
          <w:rFonts w:hint="eastAsia"/>
        </w:rPr>
        <w:t>三级应设双向读卡器；</w:t>
      </w:r>
    </w:p>
    <w:p w14:paraId="3FEC95AE" w14:textId="77777777" w:rsidR="008B3900" w:rsidRPr="00453DBE" w:rsidRDefault="008B3900" w:rsidP="008B3900">
      <w:pPr>
        <w:pStyle w:val="af6"/>
        <w:tabs>
          <w:tab w:val="left" w:pos="851"/>
        </w:tabs>
        <w:snapToGrid w:val="0"/>
        <w:contextualSpacing/>
      </w:pPr>
      <w:r w:rsidRPr="00453DBE">
        <w:rPr>
          <w:rFonts w:hint="eastAsia"/>
        </w:rPr>
        <w:t>四级应设单向读卡器。</w:t>
      </w:r>
    </w:p>
    <w:p w14:paraId="723700A3" w14:textId="77777777" w:rsidR="008B3900" w:rsidRPr="00453DBE" w:rsidRDefault="008B3900" w:rsidP="008B3900">
      <w:pPr>
        <w:pStyle w:val="22"/>
      </w:pPr>
      <w:r w:rsidRPr="00453DBE">
        <w:rPr>
          <w:rFonts w:hint="eastAsia"/>
        </w:rPr>
        <w:t>门禁系统的监控对象安全等级符合下列规定：</w:t>
      </w:r>
    </w:p>
    <w:p w14:paraId="4320518B" w14:textId="486D5CC8" w:rsidR="008B3900" w:rsidRPr="00453DBE" w:rsidRDefault="00F6204B" w:rsidP="003334F3">
      <w:pPr>
        <w:pStyle w:val="af6"/>
        <w:numPr>
          <w:ilvl w:val="0"/>
          <w:numId w:val="337"/>
        </w:numPr>
        <w:snapToGrid w:val="0"/>
        <w:contextualSpacing/>
      </w:pPr>
      <w:r>
        <w:rPr>
          <w:rFonts w:hAnsi="宋体" w:hint="eastAsia"/>
        </w:rPr>
        <w:t>应根据</w:t>
      </w:r>
      <w:r>
        <w:rPr>
          <w:rFonts w:hAnsi="宋体"/>
        </w:rPr>
        <w:t>GB 50157</w:t>
      </w:r>
      <w:r>
        <w:rPr>
          <w:rFonts w:hAnsi="宋体" w:hint="eastAsia"/>
        </w:rPr>
        <w:t>及有关标准的规定设置门禁系统的监控对象安全等级</w:t>
      </w:r>
      <w:r w:rsidR="008B3900" w:rsidRPr="00453DBE">
        <w:rPr>
          <w:rFonts w:hAnsi="宋体" w:hint="eastAsia"/>
        </w:rPr>
        <w:t>；</w:t>
      </w:r>
    </w:p>
    <w:p w14:paraId="49E523BA" w14:textId="6DCEC243" w:rsidR="008B3900" w:rsidRPr="00453DBE" w:rsidRDefault="00F6204B" w:rsidP="008B3900">
      <w:pPr>
        <w:pStyle w:val="af6"/>
        <w:tabs>
          <w:tab w:val="left" w:pos="851"/>
        </w:tabs>
        <w:snapToGrid w:val="0"/>
        <w:contextualSpacing/>
      </w:pPr>
      <w:r>
        <w:rPr>
          <w:rFonts w:hint="eastAsia"/>
        </w:rPr>
        <w:t>运营控制中心进入中央控制室的通道门应设置一级安全等级的门禁；重要设备机房应设置二级安全等级的门禁</w:t>
      </w:r>
      <w:r w:rsidR="008B3900" w:rsidRPr="00453DBE">
        <w:rPr>
          <w:rFonts w:hint="eastAsia"/>
        </w:rPr>
        <w:t>；</w:t>
      </w:r>
    </w:p>
    <w:p w14:paraId="7698756D" w14:textId="569CB87C" w:rsidR="008B3900" w:rsidRPr="00453DBE" w:rsidRDefault="00F6204B" w:rsidP="008B3900">
      <w:pPr>
        <w:pStyle w:val="af6"/>
        <w:tabs>
          <w:tab w:val="left" w:pos="851"/>
        </w:tabs>
        <w:snapToGrid w:val="0"/>
        <w:contextualSpacing/>
      </w:pPr>
      <w:r>
        <w:rPr>
          <w:rFonts w:hint="eastAsia"/>
        </w:rPr>
        <w:lastRenderedPageBreak/>
        <w:t>无人值班的主变电所、牵引变电所通道门宜设置一级安全等级的门禁</w:t>
      </w:r>
      <w:r w:rsidR="008B3900" w:rsidRPr="00453DBE">
        <w:rPr>
          <w:rFonts w:hint="eastAsia"/>
        </w:rPr>
        <w:t>；</w:t>
      </w:r>
    </w:p>
    <w:p w14:paraId="51DDD527" w14:textId="7145D53B" w:rsidR="008B3900" w:rsidRPr="00453DBE" w:rsidRDefault="00F6204B" w:rsidP="008B3900">
      <w:pPr>
        <w:pStyle w:val="af6"/>
        <w:tabs>
          <w:tab w:val="left" w:pos="851"/>
        </w:tabs>
        <w:snapToGrid w:val="0"/>
        <w:contextualSpacing/>
      </w:pPr>
      <w:r>
        <w:rPr>
          <w:rFonts w:hint="eastAsia"/>
        </w:rPr>
        <w:t>车站票务管理室宜设置二级及以上安全等级的门禁；车站综合控制室宜设置三级及以上安全等级的门禁</w:t>
      </w:r>
      <w:r w:rsidR="008B3900" w:rsidRPr="00453DBE">
        <w:rPr>
          <w:rFonts w:hint="eastAsia"/>
        </w:rPr>
        <w:t>。</w:t>
      </w:r>
    </w:p>
    <w:p w14:paraId="4820DE91" w14:textId="38D7AF12" w:rsidR="00737EB2" w:rsidRPr="00A7607F" w:rsidRDefault="00F6204B" w:rsidP="009D0776">
      <w:pPr>
        <w:pStyle w:val="22"/>
      </w:pPr>
      <w:r>
        <w:rPr>
          <w:rFonts w:hint="eastAsia"/>
        </w:rPr>
        <w:t>门禁系统的负荷等级应为一级负荷，宜采用UPS供电，供电后备时间应不低于1h</w:t>
      </w:r>
      <w:bookmarkStart w:id="2589" w:name="_Toc99792642"/>
      <w:bookmarkStart w:id="2590" w:name="_Toc153292080"/>
      <w:bookmarkEnd w:id="2587"/>
      <w:bookmarkEnd w:id="2588"/>
      <w:r w:rsidR="00737EB2" w:rsidRPr="00A7607F">
        <w:rPr>
          <w:rFonts w:hint="eastAsia"/>
        </w:rPr>
        <w:t>。</w:t>
      </w:r>
      <w:bookmarkEnd w:id="2589"/>
      <w:bookmarkEnd w:id="2590"/>
    </w:p>
    <w:p w14:paraId="30073C17" w14:textId="77777777" w:rsidR="00737EB2" w:rsidRPr="00A7607F" w:rsidRDefault="00737EB2" w:rsidP="00737EB2">
      <w:pPr>
        <w:pStyle w:val="affe"/>
        <w:spacing w:before="156" w:after="156"/>
      </w:pPr>
      <w:bookmarkStart w:id="2591" w:name="_Toc153210960"/>
      <w:bookmarkStart w:id="2592" w:name="_Toc153292081"/>
      <w:bookmarkStart w:id="2593" w:name="_Toc99792643"/>
      <w:bookmarkStart w:id="2594" w:name="_Toc167895858"/>
      <w:bookmarkStart w:id="2595" w:name="_Toc174538772"/>
      <w:bookmarkStart w:id="2596" w:name="_Toc182476529"/>
      <w:r w:rsidRPr="00A7607F">
        <w:rPr>
          <w:rFonts w:hint="eastAsia"/>
        </w:rPr>
        <w:t>综合监控系统</w:t>
      </w:r>
      <w:bookmarkEnd w:id="2591"/>
      <w:bookmarkEnd w:id="2592"/>
      <w:bookmarkEnd w:id="2593"/>
      <w:bookmarkEnd w:id="2594"/>
      <w:bookmarkEnd w:id="2595"/>
      <w:bookmarkEnd w:id="2596"/>
    </w:p>
    <w:p w14:paraId="209908E9" w14:textId="77777777" w:rsidR="00737EB2" w:rsidRPr="00765F6E" w:rsidRDefault="00737EB2" w:rsidP="009D0776">
      <w:pPr>
        <w:pStyle w:val="22"/>
      </w:pPr>
      <w:bookmarkStart w:id="2597" w:name="_Toc153292082"/>
      <w:bookmarkStart w:id="2598" w:name="_Toc99792644"/>
      <w:r w:rsidRPr="00765F6E">
        <w:rPr>
          <w:rFonts w:hint="eastAsia"/>
        </w:rPr>
        <w:t>市域铁路宜设置综合监控系统，应满足运营管理的整体需求，并与行车指挥、机电设备监控和管理、旅客服务等运营管理要求相适应。</w:t>
      </w:r>
      <w:bookmarkEnd w:id="2597"/>
      <w:bookmarkEnd w:id="2598"/>
    </w:p>
    <w:p w14:paraId="29F7A238" w14:textId="77777777" w:rsidR="00737EB2" w:rsidRPr="00765F6E" w:rsidRDefault="00737EB2" w:rsidP="009D0776">
      <w:pPr>
        <w:pStyle w:val="22"/>
      </w:pPr>
      <w:bookmarkStart w:id="2599" w:name="_Toc153292083"/>
      <w:bookmarkStart w:id="2600" w:name="_Toc99792645"/>
      <w:r w:rsidRPr="00765F6E">
        <w:rPr>
          <w:rFonts w:hint="eastAsia"/>
        </w:rPr>
        <w:t>综合监控系统的构成应采用集成和互联方式，宜集成机电设备监控、门禁、站台门等系统；宜互联客票、广播、综合显示、视频监控、时钟等系统；可根据需要集成或互联信号系统、火灾自动报警、电力监控等系统。</w:t>
      </w:r>
      <w:bookmarkEnd w:id="2599"/>
      <w:bookmarkEnd w:id="2600"/>
    </w:p>
    <w:p w14:paraId="1C171470" w14:textId="77777777" w:rsidR="00737EB2" w:rsidRPr="00765F6E" w:rsidRDefault="00737EB2" w:rsidP="009D0776">
      <w:pPr>
        <w:pStyle w:val="22"/>
      </w:pPr>
      <w:bookmarkStart w:id="2601" w:name="_Toc153292084"/>
      <w:bookmarkStart w:id="2602" w:name="_Toc99792646"/>
      <w:r w:rsidRPr="00765F6E">
        <w:rPr>
          <w:rFonts w:hint="eastAsia"/>
        </w:rPr>
        <w:t>综合监控系统宜由中心级系统、车站级系统和主干网络等组成，采用中心和车站两级管理架构，中心级系统宜具备路网管理功能，可跨线管理车站级系统。当中心级系统故障时，车站级系统应能独立运行。</w:t>
      </w:r>
      <w:bookmarkEnd w:id="2601"/>
      <w:bookmarkEnd w:id="2602"/>
    </w:p>
    <w:p w14:paraId="3C77DB37" w14:textId="77777777" w:rsidR="00737EB2" w:rsidRPr="00765F6E" w:rsidRDefault="00737EB2" w:rsidP="009D0776">
      <w:pPr>
        <w:pStyle w:val="22"/>
      </w:pPr>
      <w:bookmarkStart w:id="2603" w:name="_Toc99792647"/>
      <w:bookmarkStart w:id="2604" w:name="_Toc153292085"/>
      <w:r w:rsidRPr="00765F6E">
        <w:rPr>
          <w:rFonts w:hint="eastAsia"/>
        </w:rPr>
        <w:t>中心级综合监控系统宜由实时服务器、历史服务器、相关存储设备、各类调度员工作站、前端通信处理器、打印机、网络及安全设备等组成。</w:t>
      </w:r>
      <w:bookmarkEnd w:id="2603"/>
      <w:bookmarkEnd w:id="2604"/>
    </w:p>
    <w:p w14:paraId="5D218E3E" w14:textId="77777777" w:rsidR="00737EB2" w:rsidRPr="00765F6E" w:rsidRDefault="00737EB2" w:rsidP="009D0776">
      <w:pPr>
        <w:pStyle w:val="22"/>
      </w:pPr>
      <w:bookmarkStart w:id="2605" w:name="_Toc99792648"/>
      <w:bookmarkStart w:id="2606" w:name="_Toc153292086"/>
      <w:r w:rsidRPr="00765F6E">
        <w:rPr>
          <w:rFonts w:hint="eastAsia"/>
        </w:rPr>
        <w:t>车站级综合监控系统宜由实时服务器、操作员工作站、前端通信处理器、综合后备盘（IBP）、打印机、网络及安全设备等组成。</w:t>
      </w:r>
      <w:bookmarkEnd w:id="2605"/>
      <w:bookmarkEnd w:id="2606"/>
    </w:p>
    <w:p w14:paraId="6B5AC261" w14:textId="77777777" w:rsidR="00737EB2" w:rsidRPr="00765F6E" w:rsidRDefault="00737EB2" w:rsidP="009D0776">
      <w:pPr>
        <w:pStyle w:val="22"/>
      </w:pPr>
      <w:bookmarkStart w:id="2607" w:name="_Toc99792649"/>
      <w:bookmarkStart w:id="2608" w:name="_Toc153292087"/>
      <w:r w:rsidRPr="00765F6E">
        <w:rPr>
          <w:rFonts w:hint="eastAsia"/>
        </w:rPr>
        <w:t>综合监控系统的服务器、调度员工作站、前端通信处理器、网络设备等关键设备宜采用冗余配置。</w:t>
      </w:r>
      <w:bookmarkEnd w:id="2607"/>
      <w:bookmarkEnd w:id="2608"/>
    </w:p>
    <w:p w14:paraId="13DFE59F" w14:textId="77777777" w:rsidR="00737EB2" w:rsidRPr="00765F6E" w:rsidRDefault="00737EB2" w:rsidP="009D0776">
      <w:pPr>
        <w:pStyle w:val="22"/>
      </w:pPr>
      <w:bookmarkStart w:id="2609" w:name="_Toc99792650"/>
      <w:bookmarkStart w:id="2610" w:name="_Toc153292088"/>
      <w:r w:rsidRPr="00765F6E">
        <w:rPr>
          <w:rFonts w:hint="eastAsia"/>
        </w:rPr>
        <w:t>综合监控系统主干网络宜采用通信专业传输系统承载或组建独立传输网络。当独立组网时，宜采用冗余环形工业以太网，并为线路延伸预留扩展条件。</w:t>
      </w:r>
      <w:bookmarkEnd w:id="2609"/>
      <w:bookmarkEnd w:id="2610"/>
    </w:p>
    <w:p w14:paraId="0F78CB46" w14:textId="77777777" w:rsidR="00737EB2" w:rsidRPr="00765F6E" w:rsidRDefault="00737EB2" w:rsidP="009D0776">
      <w:pPr>
        <w:pStyle w:val="22"/>
      </w:pPr>
      <w:bookmarkStart w:id="2611" w:name="_Toc99792651"/>
      <w:bookmarkStart w:id="2612" w:name="_Toc153292089"/>
      <w:r w:rsidRPr="00765F6E">
        <w:rPr>
          <w:rFonts w:hint="eastAsia"/>
        </w:rPr>
        <w:t>综合监控系统具备下列功能：</w:t>
      </w:r>
      <w:bookmarkEnd w:id="2611"/>
      <w:bookmarkEnd w:id="2612"/>
    </w:p>
    <w:p w14:paraId="281AECFC" w14:textId="77777777" w:rsidR="00737EB2" w:rsidRPr="00765F6E" w:rsidRDefault="00737EB2" w:rsidP="003334F3">
      <w:pPr>
        <w:pStyle w:val="af6"/>
        <w:numPr>
          <w:ilvl w:val="0"/>
          <w:numId w:val="208"/>
        </w:numPr>
        <w:tabs>
          <w:tab w:val="left" w:pos="851"/>
        </w:tabs>
        <w:snapToGrid w:val="0"/>
        <w:contextualSpacing/>
      </w:pPr>
      <w:r w:rsidRPr="00765F6E">
        <w:rPr>
          <w:rFonts w:hint="eastAsia"/>
        </w:rPr>
        <w:t>应实时收集及处理集成和互联系统的运行状态、参数数据；</w:t>
      </w:r>
    </w:p>
    <w:p w14:paraId="2C024E00" w14:textId="77777777" w:rsidR="00737EB2" w:rsidRPr="00765F6E" w:rsidRDefault="00737EB2" w:rsidP="003334F3">
      <w:pPr>
        <w:pStyle w:val="af6"/>
        <w:numPr>
          <w:ilvl w:val="0"/>
          <w:numId w:val="208"/>
        </w:numPr>
        <w:tabs>
          <w:tab w:val="left" w:pos="851"/>
        </w:tabs>
        <w:snapToGrid w:val="0"/>
        <w:contextualSpacing/>
      </w:pPr>
      <w:r w:rsidRPr="00765F6E">
        <w:rPr>
          <w:rFonts w:hint="eastAsia"/>
        </w:rPr>
        <w:t>对被集成系统应具备监控和管理功能，对互联系统应具备监视和控制功能；</w:t>
      </w:r>
    </w:p>
    <w:p w14:paraId="6F77104B" w14:textId="77777777" w:rsidR="00737EB2" w:rsidRPr="00765F6E" w:rsidRDefault="00737EB2" w:rsidP="003334F3">
      <w:pPr>
        <w:pStyle w:val="af6"/>
        <w:numPr>
          <w:ilvl w:val="0"/>
          <w:numId w:val="208"/>
        </w:numPr>
        <w:tabs>
          <w:tab w:val="left" w:pos="851"/>
        </w:tabs>
        <w:snapToGrid w:val="0"/>
        <w:contextualSpacing/>
      </w:pPr>
      <w:r w:rsidRPr="00765F6E">
        <w:rPr>
          <w:rFonts w:hint="eastAsia"/>
        </w:rPr>
        <w:t>应具备联动控制、群组控制、模式控制以及点动控制等功能；</w:t>
      </w:r>
    </w:p>
    <w:p w14:paraId="45B8F339" w14:textId="77777777" w:rsidR="00737EB2" w:rsidRPr="00765F6E" w:rsidRDefault="00737EB2" w:rsidP="003334F3">
      <w:pPr>
        <w:pStyle w:val="af6"/>
        <w:numPr>
          <w:ilvl w:val="0"/>
          <w:numId w:val="208"/>
        </w:numPr>
        <w:tabs>
          <w:tab w:val="left" w:pos="851"/>
        </w:tabs>
        <w:snapToGrid w:val="0"/>
        <w:contextualSpacing/>
      </w:pPr>
      <w:r w:rsidRPr="00765F6E">
        <w:rPr>
          <w:rFonts w:hint="eastAsia"/>
        </w:rPr>
        <w:t>应具备网络、维修、培训及仿真等管理功能；</w:t>
      </w:r>
    </w:p>
    <w:p w14:paraId="6357B3C9" w14:textId="77777777" w:rsidR="00737EB2" w:rsidRPr="00765F6E" w:rsidRDefault="00737EB2" w:rsidP="003334F3">
      <w:pPr>
        <w:pStyle w:val="af6"/>
        <w:numPr>
          <w:ilvl w:val="0"/>
          <w:numId w:val="208"/>
        </w:numPr>
        <w:tabs>
          <w:tab w:val="left" w:pos="851"/>
        </w:tabs>
        <w:snapToGrid w:val="0"/>
        <w:contextualSpacing/>
      </w:pPr>
      <w:r w:rsidRPr="00765F6E">
        <w:rPr>
          <w:rFonts w:hint="eastAsia"/>
        </w:rPr>
        <w:t>车站综合后备盘（IBP）宜具有站台紧急停车、自动检票机释放、站台门控制、专用消防设备控制、门禁释放和紧急模式控制等手动控制功能。</w:t>
      </w:r>
    </w:p>
    <w:p w14:paraId="36991D4E" w14:textId="77777777" w:rsidR="00737EB2" w:rsidRPr="00765F6E" w:rsidRDefault="00737EB2" w:rsidP="009D0776">
      <w:pPr>
        <w:pStyle w:val="22"/>
      </w:pPr>
      <w:bookmarkStart w:id="2613" w:name="_Toc153292090"/>
      <w:bookmarkStart w:id="2614" w:name="_Toc99792652"/>
      <w:r w:rsidRPr="00765F6E">
        <w:rPr>
          <w:rFonts w:hint="eastAsia"/>
        </w:rPr>
        <w:t>综合监控系统应具备在正常、灾害、阻塞和故障等工况下与相关系统的联动控制功能。</w:t>
      </w:r>
      <w:bookmarkEnd w:id="2613"/>
      <w:bookmarkEnd w:id="2614"/>
    </w:p>
    <w:p w14:paraId="2B0619C5" w14:textId="77777777" w:rsidR="00737EB2" w:rsidRPr="00765F6E" w:rsidRDefault="00737EB2" w:rsidP="009D0776">
      <w:pPr>
        <w:pStyle w:val="22"/>
      </w:pPr>
      <w:bookmarkStart w:id="2615" w:name="_Toc153292091"/>
      <w:bookmarkStart w:id="2616" w:name="_Toc99792653"/>
      <w:r w:rsidRPr="00765F6E">
        <w:rPr>
          <w:rFonts w:hint="eastAsia"/>
        </w:rPr>
        <w:t>综合监控系统线缆应采用低烟、无卤、阻燃电缆，线缆应敷设在管槽、桥架或走线架内。</w:t>
      </w:r>
      <w:bookmarkEnd w:id="2615"/>
      <w:bookmarkEnd w:id="2616"/>
      <w:r w:rsidRPr="00765F6E">
        <w:rPr>
          <w:rFonts w:hint="eastAsia"/>
        </w:rPr>
        <w:t xml:space="preserve">  </w:t>
      </w:r>
    </w:p>
    <w:p w14:paraId="24176BA4" w14:textId="77777777" w:rsidR="00737EB2" w:rsidRPr="00765F6E" w:rsidRDefault="00737EB2" w:rsidP="009D0776">
      <w:pPr>
        <w:pStyle w:val="22"/>
      </w:pPr>
      <w:bookmarkStart w:id="2617" w:name="_Toc99792654"/>
      <w:bookmarkStart w:id="2618" w:name="_Toc153292092"/>
      <w:r w:rsidRPr="00765F6E">
        <w:rPr>
          <w:rFonts w:hint="eastAsia"/>
        </w:rPr>
        <w:t>综合监控系统供电负荷等级应为一级负荷，可与市域铁路其他一级负荷合用一套电源设备，应急电源后备时间不小于1小时。</w:t>
      </w:r>
      <w:bookmarkEnd w:id="2617"/>
      <w:bookmarkEnd w:id="2618"/>
    </w:p>
    <w:p w14:paraId="31893A96" w14:textId="77777777" w:rsidR="00737EB2" w:rsidRPr="00765F6E" w:rsidRDefault="00737EB2" w:rsidP="009D0776">
      <w:pPr>
        <w:pStyle w:val="22"/>
      </w:pPr>
      <w:bookmarkStart w:id="2619" w:name="_Toc153292093"/>
      <w:bookmarkStart w:id="2620" w:name="_Toc99792655"/>
      <w:r w:rsidRPr="00765F6E">
        <w:rPr>
          <w:rFonts w:hint="eastAsia"/>
        </w:rPr>
        <w:t>综合监控系统设备应采用建筑物共用接地方式，接地电阻不应大于1Ω。</w:t>
      </w:r>
      <w:bookmarkEnd w:id="2619"/>
      <w:bookmarkEnd w:id="2620"/>
    </w:p>
    <w:p w14:paraId="78995552" w14:textId="77777777" w:rsidR="00737EB2" w:rsidRPr="00765F6E" w:rsidRDefault="00737EB2" w:rsidP="009D0776">
      <w:pPr>
        <w:pStyle w:val="22"/>
      </w:pPr>
      <w:bookmarkStart w:id="2621" w:name="_Toc153292094"/>
      <w:bookmarkStart w:id="2622" w:name="_Toc99792656"/>
      <w:r w:rsidRPr="00765F6E">
        <w:rPr>
          <w:rFonts w:hint="eastAsia"/>
        </w:rPr>
        <w:t>综合监控系统可作为智能运维的平台基础，利用平台采集信号、通信、信息、电力、环控、给排水等系统的相关状态信息，借助智能化技术，协助实现运营、管理、维护智能化。</w:t>
      </w:r>
      <w:bookmarkEnd w:id="2621"/>
      <w:bookmarkEnd w:id="2622"/>
    </w:p>
    <w:p w14:paraId="2D6B19E9" w14:textId="77777777" w:rsidR="00737EB2" w:rsidRPr="00765F6E" w:rsidRDefault="00737EB2" w:rsidP="009D0776">
      <w:pPr>
        <w:pStyle w:val="22"/>
      </w:pPr>
      <w:bookmarkStart w:id="2623" w:name="_Toc153292095"/>
      <w:bookmarkStart w:id="2624" w:name="_Toc99792657"/>
      <w:r w:rsidRPr="00765F6E">
        <w:rPr>
          <w:rFonts w:hint="eastAsia"/>
        </w:rPr>
        <w:t>当综合监控系统部署在云计算平台时，由云计算平台提供综合监控系统所需的计算、存储、网络和安全资源。</w:t>
      </w:r>
      <w:bookmarkEnd w:id="2623"/>
      <w:bookmarkEnd w:id="2624"/>
    </w:p>
    <w:p w14:paraId="00CDC183" w14:textId="69CBDC33" w:rsidR="00737EB2" w:rsidRPr="00765F6E" w:rsidRDefault="008B3900" w:rsidP="009D0776">
      <w:pPr>
        <w:pStyle w:val="22"/>
      </w:pPr>
      <w:bookmarkStart w:id="2625" w:name="_Toc99792658"/>
      <w:bookmarkStart w:id="2626" w:name="_Toc153292096"/>
      <w:r w:rsidRPr="008B3900">
        <w:rPr>
          <w:rFonts w:hint="eastAsia"/>
        </w:rPr>
        <w:t>综合监控系统的信息安全防护应符合现行国家、行业相关标准，宜进行信息系统安全等级保护设计</w:t>
      </w:r>
      <w:r w:rsidR="00737EB2" w:rsidRPr="00765F6E">
        <w:rPr>
          <w:rFonts w:hint="eastAsia"/>
        </w:rPr>
        <w:t>。</w:t>
      </w:r>
      <w:bookmarkEnd w:id="2625"/>
      <w:bookmarkEnd w:id="2626"/>
    </w:p>
    <w:p w14:paraId="7085651A" w14:textId="77777777" w:rsidR="00737EB2" w:rsidRPr="00765F6E" w:rsidRDefault="00737EB2" w:rsidP="00737EB2">
      <w:pPr>
        <w:pStyle w:val="affe"/>
        <w:spacing w:before="156" w:after="156"/>
      </w:pPr>
      <w:bookmarkStart w:id="2627" w:name="_Toc153210961"/>
      <w:bookmarkStart w:id="2628" w:name="_Toc153292097"/>
      <w:bookmarkStart w:id="2629" w:name="_Toc99792659"/>
      <w:bookmarkStart w:id="2630" w:name="_Toc167895859"/>
      <w:bookmarkStart w:id="2631" w:name="_Toc174538773"/>
      <w:bookmarkStart w:id="2632" w:name="_Toc182476530"/>
      <w:r w:rsidRPr="00765F6E">
        <w:rPr>
          <w:rFonts w:hint="eastAsia"/>
        </w:rPr>
        <w:t>安防系统</w:t>
      </w:r>
      <w:bookmarkEnd w:id="2627"/>
      <w:bookmarkEnd w:id="2628"/>
      <w:bookmarkEnd w:id="2629"/>
      <w:bookmarkEnd w:id="2630"/>
      <w:bookmarkEnd w:id="2631"/>
      <w:bookmarkEnd w:id="2632"/>
    </w:p>
    <w:p w14:paraId="48847E39" w14:textId="77777777" w:rsidR="00737EB2" w:rsidRPr="00765F6E" w:rsidRDefault="00737EB2" w:rsidP="009D0776">
      <w:pPr>
        <w:pStyle w:val="22"/>
      </w:pPr>
      <w:bookmarkStart w:id="2633" w:name="_Toc153292098"/>
      <w:bookmarkStart w:id="2634" w:name="_Toc99792660"/>
      <w:r w:rsidRPr="00765F6E">
        <w:rPr>
          <w:rFonts w:hint="eastAsia"/>
        </w:rPr>
        <w:t>市域铁路可根据需要设置安防集成平台。安防集成平台应集成管理安检系统、入侵报警系统、电子巡更系统，与综合视频监控系统、门禁系统互联。</w:t>
      </w:r>
      <w:r w:rsidRPr="00765F6E">
        <w:t xml:space="preserve"> </w:t>
      </w:r>
      <w:r w:rsidRPr="00765F6E">
        <w:rPr>
          <w:rFonts w:hint="eastAsia"/>
        </w:rPr>
        <w:t>安防集成平台应能对安防各子系统进行统一管理。</w:t>
      </w:r>
    </w:p>
    <w:p w14:paraId="1DEB25C1" w14:textId="77777777" w:rsidR="00737EB2" w:rsidRPr="00765F6E" w:rsidRDefault="00737EB2" w:rsidP="009D0776">
      <w:pPr>
        <w:pStyle w:val="22"/>
      </w:pPr>
      <w:r w:rsidRPr="00765F6E">
        <w:rPr>
          <w:rFonts w:hint="eastAsia"/>
        </w:rPr>
        <w:t>根据运营管理需求，安防集成平台可按中心级系统、站段级系统设计。</w:t>
      </w:r>
    </w:p>
    <w:p w14:paraId="611416CE" w14:textId="77777777" w:rsidR="00737EB2" w:rsidRPr="00765F6E" w:rsidRDefault="00737EB2" w:rsidP="009D0776">
      <w:pPr>
        <w:pStyle w:val="22"/>
      </w:pPr>
      <w:r w:rsidRPr="00765F6E">
        <w:rPr>
          <w:rFonts w:hint="eastAsia"/>
        </w:rPr>
        <w:t>安检设施宜设置在车站检票区域。</w:t>
      </w:r>
      <w:bookmarkEnd w:id="2633"/>
      <w:bookmarkEnd w:id="2634"/>
    </w:p>
    <w:p w14:paraId="5ABBD7CB" w14:textId="77777777" w:rsidR="00737EB2" w:rsidRPr="00765F6E" w:rsidRDefault="00737EB2" w:rsidP="009D0776">
      <w:pPr>
        <w:pStyle w:val="22"/>
      </w:pPr>
      <w:bookmarkStart w:id="2635" w:name="_Toc153292099"/>
      <w:bookmarkStart w:id="2636" w:name="_Toc99792661"/>
      <w:r w:rsidRPr="00765F6E">
        <w:rPr>
          <w:rFonts w:hint="eastAsia"/>
        </w:rPr>
        <w:t>安检设施宜包括固定式X光安全检查仪器、手持安全检查仪器、防爆罐及防爆毯等。</w:t>
      </w:r>
      <w:bookmarkEnd w:id="2635"/>
      <w:bookmarkEnd w:id="2636"/>
    </w:p>
    <w:p w14:paraId="7352635B" w14:textId="77777777" w:rsidR="00737EB2" w:rsidRPr="00765F6E" w:rsidRDefault="00737EB2" w:rsidP="009D0776">
      <w:pPr>
        <w:pStyle w:val="22"/>
      </w:pPr>
      <w:bookmarkStart w:id="2637" w:name="_Toc99792662"/>
      <w:bookmarkStart w:id="2638" w:name="_Toc153292100"/>
      <w:r w:rsidRPr="00765F6E">
        <w:rPr>
          <w:rFonts w:hint="eastAsia"/>
        </w:rPr>
        <w:t>车站宜设置安全门，可设置爆炸物探测仪、液体探测仪等安检设施。</w:t>
      </w:r>
      <w:bookmarkEnd w:id="2637"/>
      <w:bookmarkEnd w:id="2638"/>
    </w:p>
    <w:p w14:paraId="3ABA8761" w14:textId="77777777" w:rsidR="00737EB2" w:rsidRPr="00765F6E" w:rsidRDefault="00737EB2" w:rsidP="009D0776">
      <w:pPr>
        <w:pStyle w:val="22"/>
      </w:pPr>
      <w:bookmarkStart w:id="2639" w:name="_Toc99792663"/>
      <w:bookmarkStart w:id="2640" w:name="_Toc153292101"/>
      <w:r w:rsidRPr="00765F6E">
        <w:rPr>
          <w:rFonts w:hint="eastAsia"/>
        </w:rPr>
        <w:lastRenderedPageBreak/>
        <w:t>安检仪和安全门的设置位置及数量应根据安检区布置、乘客超高峰小时发送量、各乘客入口客流比例等因素综合确定。</w:t>
      </w:r>
      <w:bookmarkEnd w:id="2639"/>
      <w:bookmarkEnd w:id="2640"/>
    </w:p>
    <w:p w14:paraId="20E86EAE" w14:textId="77777777" w:rsidR="00737EB2" w:rsidRPr="00765F6E" w:rsidRDefault="00737EB2" w:rsidP="009D0776">
      <w:pPr>
        <w:pStyle w:val="22"/>
      </w:pPr>
      <w:bookmarkStart w:id="2641" w:name="_Toc153292102"/>
      <w:bookmarkStart w:id="2642" w:name="_Toc99792664"/>
      <w:r w:rsidRPr="00765F6E">
        <w:rPr>
          <w:rFonts w:hint="eastAsia"/>
        </w:rPr>
        <w:t>车站控制室、票务管理室、客服中心、出地面过渡段、车辆基地、主变电所、区间风井等区域宜设置入侵报警系统。</w:t>
      </w:r>
      <w:bookmarkEnd w:id="2641"/>
      <w:bookmarkEnd w:id="2642"/>
    </w:p>
    <w:p w14:paraId="0FEAC5E8" w14:textId="77777777" w:rsidR="00737EB2" w:rsidRPr="00765F6E" w:rsidRDefault="00737EB2" w:rsidP="009D0776">
      <w:pPr>
        <w:pStyle w:val="22"/>
      </w:pPr>
      <w:bookmarkStart w:id="2643" w:name="_Toc99792665"/>
      <w:bookmarkStart w:id="2644" w:name="_Toc153292103"/>
      <w:r w:rsidRPr="00765F6E">
        <w:rPr>
          <w:rFonts w:hint="eastAsia"/>
        </w:rPr>
        <w:t>入侵报警系统宜包括控制设备、探测设备、报警设备、紧急报警按钮等。车站紧急报警按钮宜设置在客服中心及票务管理室等处。</w:t>
      </w:r>
      <w:bookmarkEnd w:id="2643"/>
      <w:bookmarkEnd w:id="2644"/>
    </w:p>
    <w:p w14:paraId="3CB70DB4" w14:textId="77777777" w:rsidR="00737EB2" w:rsidRPr="00765F6E" w:rsidRDefault="00737EB2" w:rsidP="009D0776">
      <w:pPr>
        <w:pStyle w:val="22"/>
      </w:pPr>
      <w:bookmarkStart w:id="2645" w:name="_Toc99792666"/>
      <w:bookmarkStart w:id="2646" w:name="_Toc153292104"/>
      <w:r w:rsidRPr="00765F6E">
        <w:rPr>
          <w:rFonts w:hint="eastAsia"/>
        </w:rPr>
        <w:t>入侵报警系统宜与视频监控系统实现联动。</w:t>
      </w:r>
    </w:p>
    <w:p w14:paraId="5595839D" w14:textId="77777777" w:rsidR="00737EB2" w:rsidRPr="00765F6E" w:rsidRDefault="00737EB2" w:rsidP="009D0776">
      <w:pPr>
        <w:pStyle w:val="22"/>
      </w:pPr>
      <w:r w:rsidRPr="00765F6E">
        <w:rPr>
          <w:rFonts w:hint="eastAsia"/>
          <w:lang w:bidi="ar"/>
        </w:rPr>
        <w:t>入侵报警系统应对设防区域的非法入侵行为进行有效的探测和报警，并应符合</w:t>
      </w:r>
      <w:r w:rsidRPr="00765F6E">
        <w:rPr>
          <w:lang w:bidi="ar"/>
        </w:rPr>
        <w:t>GB 50394</w:t>
      </w:r>
      <w:r w:rsidRPr="00765F6E">
        <w:rPr>
          <w:rFonts w:hint="eastAsia"/>
          <w:lang w:bidi="ar"/>
        </w:rPr>
        <w:t>等标准的规定。</w:t>
      </w:r>
    </w:p>
    <w:p w14:paraId="63E6F3FA" w14:textId="77777777" w:rsidR="00737EB2" w:rsidRPr="00765F6E" w:rsidRDefault="00737EB2" w:rsidP="009D0776">
      <w:pPr>
        <w:pStyle w:val="22"/>
      </w:pPr>
      <w:r w:rsidRPr="00765F6E">
        <w:rPr>
          <w:rFonts w:hint="eastAsia"/>
        </w:rPr>
        <w:t>市域铁路可根据需要设置</w:t>
      </w:r>
      <w:r w:rsidRPr="00765F6E">
        <w:rPr>
          <w:rFonts w:hint="eastAsia"/>
          <w:lang w:bidi="ar"/>
        </w:rPr>
        <w:t>电子巡查系统。电子巡查系统应具有有线或无线传输功能，应能将数据、告警信号和方位、设备状态等信息传输至安防集成平台</w:t>
      </w:r>
      <w:r w:rsidRPr="00765F6E">
        <w:rPr>
          <w:rFonts w:hint="eastAsia"/>
        </w:rPr>
        <w:t>。</w:t>
      </w:r>
      <w:bookmarkEnd w:id="2645"/>
      <w:bookmarkEnd w:id="2646"/>
    </w:p>
    <w:p w14:paraId="2E2AA4C6" w14:textId="77777777" w:rsidR="00737EB2" w:rsidRPr="00765F6E" w:rsidRDefault="00737EB2" w:rsidP="00737EB2">
      <w:pPr>
        <w:pStyle w:val="affd"/>
        <w:spacing w:before="312" w:after="312"/>
      </w:pPr>
      <w:bookmarkStart w:id="2647" w:name="_Toc153292105"/>
      <w:bookmarkStart w:id="2648" w:name="_Toc153210962"/>
      <w:bookmarkStart w:id="2649" w:name="_Toc99792667"/>
      <w:bookmarkStart w:id="2650" w:name="_Toc167895860"/>
      <w:bookmarkStart w:id="2651" w:name="_Toc174538774"/>
      <w:bookmarkStart w:id="2652" w:name="_Toc182476531"/>
      <w:r w:rsidRPr="00765F6E">
        <w:rPr>
          <w:rFonts w:hint="eastAsia"/>
        </w:rPr>
        <w:t>信息</w:t>
      </w:r>
      <w:bookmarkEnd w:id="2647"/>
      <w:bookmarkEnd w:id="2648"/>
      <w:bookmarkEnd w:id="2649"/>
      <w:bookmarkEnd w:id="2650"/>
      <w:bookmarkEnd w:id="2651"/>
      <w:bookmarkEnd w:id="2652"/>
    </w:p>
    <w:p w14:paraId="3500096F" w14:textId="77777777" w:rsidR="00737EB2" w:rsidRPr="00765F6E" w:rsidRDefault="00737EB2" w:rsidP="00737EB2">
      <w:pPr>
        <w:pStyle w:val="affe"/>
        <w:spacing w:before="156" w:after="156"/>
      </w:pPr>
      <w:bookmarkStart w:id="2653" w:name="_Toc153292106"/>
      <w:bookmarkStart w:id="2654" w:name="_Toc99792668"/>
      <w:bookmarkStart w:id="2655" w:name="_Toc153210963"/>
      <w:bookmarkStart w:id="2656" w:name="_Toc167895861"/>
      <w:bookmarkStart w:id="2657" w:name="_Toc174538775"/>
      <w:bookmarkStart w:id="2658" w:name="_Toc182476532"/>
      <w:r w:rsidRPr="00765F6E">
        <w:rPr>
          <w:rFonts w:hint="eastAsia"/>
        </w:rPr>
        <w:t>一般规定</w:t>
      </w:r>
      <w:bookmarkEnd w:id="2653"/>
      <w:bookmarkEnd w:id="2654"/>
      <w:bookmarkEnd w:id="2655"/>
      <w:bookmarkEnd w:id="2656"/>
      <w:bookmarkEnd w:id="2657"/>
      <w:bookmarkEnd w:id="2658"/>
    </w:p>
    <w:p w14:paraId="5D76C86E" w14:textId="77777777" w:rsidR="00737EB2" w:rsidRPr="00765F6E" w:rsidRDefault="00737EB2" w:rsidP="009D0776">
      <w:pPr>
        <w:pStyle w:val="22"/>
      </w:pPr>
      <w:bookmarkStart w:id="2659" w:name="_Toc153292107"/>
      <w:bookmarkStart w:id="2660" w:name="_Toc99792669"/>
      <w:r w:rsidRPr="00765F6E">
        <w:rPr>
          <w:rFonts w:hint="eastAsia"/>
        </w:rPr>
        <w:t>信息系统设计应遵循统一规划、统一标准、资源共享的原则，应符合安全、可靠、先进、可扩展的要求。</w:t>
      </w:r>
      <w:bookmarkEnd w:id="2659"/>
      <w:bookmarkEnd w:id="2660"/>
    </w:p>
    <w:p w14:paraId="30F40D63" w14:textId="77777777" w:rsidR="00737EB2" w:rsidRPr="00765F6E" w:rsidRDefault="00737EB2" w:rsidP="009D0776">
      <w:pPr>
        <w:pStyle w:val="22"/>
      </w:pPr>
      <w:bookmarkStart w:id="2661" w:name="_Toc153292108"/>
      <w:bookmarkStart w:id="2662" w:name="_Toc99792670"/>
      <w:r w:rsidRPr="00765F6E">
        <w:rPr>
          <w:rFonts w:hint="eastAsia"/>
        </w:rPr>
        <w:t>信息系统技术方案应与市域铁路线网规划及运营管理模式相适应。</w:t>
      </w:r>
      <w:bookmarkEnd w:id="2661"/>
      <w:bookmarkEnd w:id="2662"/>
    </w:p>
    <w:p w14:paraId="1DB2583F" w14:textId="77777777" w:rsidR="00737EB2" w:rsidRPr="00765F6E" w:rsidRDefault="00737EB2" w:rsidP="009D0776">
      <w:pPr>
        <w:pStyle w:val="22"/>
      </w:pPr>
      <w:bookmarkStart w:id="2663" w:name="_Toc153292109"/>
      <w:bookmarkStart w:id="2664" w:name="_Toc99792671"/>
      <w:r w:rsidRPr="00765F6E">
        <w:rPr>
          <w:rFonts w:hint="eastAsia"/>
        </w:rPr>
        <w:t>市域铁路信息系统设计宜考虑与相关外部系统的衔接。</w:t>
      </w:r>
      <w:bookmarkEnd w:id="2663"/>
      <w:bookmarkEnd w:id="2664"/>
    </w:p>
    <w:p w14:paraId="5DF03516" w14:textId="77777777" w:rsidR="00737EB2" w:rsidRPr="00765F6E" w:rsidRDefault="00737EB2" w:rsidP="009D0776">
      <w:pPr>
        <w:pStyle w:val="22"/>
      </w:pPr>
      <w:bookmarkStart w:id="2665" w:name="_Toc153292110"/>
      <w:bookmarkStart w:id="2666" w:name="_Toc99792672"/>
      <w:r w:rsidRPr="00765F6E">
        <w:rPr>
          <w:rFonts w:hint="eastAsia"/>
        </w:rPr>
        <w:t>信息系统应包括客票系统、旅客服务信息系统、办公信息系统</w:t>
      </w:r>
      <w:r>
        <w:rPr>
          <w:rFonts w:hint="eastAsia"/>
        </w:rPr>
        <w:t>、市域动车组管理信息系统</w:t>
      </w:r>
      <w:r w:rsidRPr="00765F6E">
        <w:rPr>
          <w:rFonts w:hint="eastAsia"/>
        </w:rPr>
        <w:t>以及计算机网络与信息安全设施等。</w:t>
      </w:r>
      <w:bookmarkEnd w:id="2665"/>
      <w:bookmarkEnd w:id="2666"/>
    </w:p>
    <w:p w14:paraId="633182C7" w14:textId="77777777" w:rsidR="00737EB2" w:rsidRPr="00765F6E" w:rsidRDefault="00737EB2" w:rsidP="009D0776">
      <w:pPr>
        <w:pStyle w:val="22"/>
      </w:pPr>
      <w:bookmarkStart w:id="2667" w:name="_Toc99792673"/>
      <w:bookmarkStart w:id="2668" w:name="_Toc153292111"/>
      <w:r w:rsidRPr="00765F6E">
        <w:rPr>
          <w:rFonts w:hint="eastAsia"/>
        </w:rPr>
        <w:t>信息系统可采用云技术架构，当信息系统部署在集中统一设置的云架构平台时，由云架构平台提供信息系统所需的计算、存储、网络和安全资源。</w:t>
      </w:r>
      <w:bookmarkEnd w:id="2667"/>
      <w:bookmarkEnd w:id="2668"/>
    </w:p>
    <w:p w14:paraId="7D72FACF" w14:textId="77777777" w:rsidR="00737EB2" w:rsidRPr="00765F6E" w:rsidRDefault="00737EB2" w:rsidP="009D0776">
      <w:pPr>
        <w:pStyle w:val="22"/>
      </w:pPr>
      <w:bookmarkStart w:id="2669" w:name="_Toc99792674"/>
      <w:bookmarkStart w:id="2670" w:name="_Toc153292112"/>
      <w:r w:rsidRPr="00765F6E">
        <w:rPr>
          <w:rFonts w:hint="eastAsia"/>
        </w:rPr>
        <w:t>信息系统线缆应采用低烟、无卤、阻燃材料，线缆应敷设在管槽、桥架或走线架内。</w:t>
      </w:r>
      <w:bookmarkEnd w:id="2669"/>
      <w:bookmarkEnd w:id="2670"/>
    </w:p>
    <w:p w14:paraId="3F0CD454" w14:textId="77777777" w:rsidR="00737EB2" w:rsidRPr="00765F6E" w:rsidRDefault="00737EB2" w:rsidP="00737EB2">
      <w:pPr>
        <w:pStyle w:val="affe"/>
        <w:spacing w:before="156" w:after="156"/>
      </w:pPr>
      <w:bookmarkStart w:id="2671" w:name="_Toc99792675"/>
      <w:bookmarkStart w:id="2672" w:name="_Toc153292113"/>
      <w:bookmarkStart w:id="2673" w:name="_Toc153210964"/>
      <w:bookmarkStart w:id="2674" w:name="_Toc167895862"/>
      <w:bookmarkStart w:id="2675" w:name="_Toc174538776"/>
      <w:bookmarkStart w:id="2676" w:name="_Toc182476533"/>
      <w:r w:rsidRPr="00765F6E">
        <w:rPr>
          <w:rFonts w:hint="eastAsia"/>
        </w:rPr>
        <w:t>客票系统</w:t>
      </w:r>
      <w:bookmarkEnd w:id="2671"/>
      <w:bookmarkEnd w:id="2672"/>
      <w:bookmarkEnd w:id="2673"/>
      <w:bookmarkEnd w:id="2674"/>
      <w:bookmarkEnd w:id="2675"/>
      <w:bookmarkEnd w:id="2676"/>
    </w:p>
    <w:p w14:paraId="6A3A818A" w14:textId="77777777" w:rsidR="00737EB2" w:rsidRPr="00765F6E" w:rsidRDefault="00737EB2" w:rsidP="009D0776">
      <w:pPr>
        <w:pStyle w:val="22"/>
      </w:pPr>
      <w:bookmarkStart w:id="2677" w:name="_Toc99792676"/>
      <w:bookmarkStart w:id="2678" w:name="_Toc153292114"/>
      <w:r w:rsidRPr="00765F6E">
        <w:rPr>
          <w:rFonts w:hint="eastAsia"/>
        </w:rPr>
        <w:t>市域铁路客票系统应实现售票、检票、计费、收费、统计、清分、结算全过程的自动化管理。</w:t>
      </w:r>
      <w:bookmarkEnd w:id="2677"/>
      <w:bookmarkEnd w:id="2678"/>
    </w:p>
    <w:p w14:paraId="618881F8" w14:textId="77777777" w:rsidR="00737EB2" w:rsidRPr="00765F6E" w:rsidRDefault="00737EB2" w:rsidP="009D0776">
      <w:pPr>
        <w:pStyle w:val="22"/>
      </w:pPr>
      <w:bookmarkStart w:id="2679" w:name="_Toc99792677"/>
      <w:bookmarkStart w:id="2680" w:name="_Toc153292115"/>
      <w:r w:rsidRPr="00765F6E">
        <w:rPr>
          <w:rFonts w:hint="eastAsia"/>
        </w:rPr>
        <w:t>市域铁路客票系统应选用方便快捷、经济适用的票制；预留路网成规模后增加其他计费方式的条件，对跨城市运营的线路应执行统一的票价优惠标准。</w:t>
      </w:r>
      <w:bookmarkEnd w:id="2679"/>
      <w:bookmarkEnd w:id="2680"/>
    </w:p>
    <w:p w14:paraId="4CEEE414" w14:textId="77777777" w:rsidR="00737EB2" w:rsidRPr="00765F6E" w:rsidRDefault="00737EB2" w:rsidP="009D0776">
      <w:pPr>
        <w:pStyle w:val="22"/>
      </w:pPr>
      <w:bookmarkStart w:id="2681" w:name="_Toc99792678"/>
      <w:bookmarkStart w:id="2682" w:name="_Toc153292116"/>
      <w:r w:rsidRPr="00765F6E">
        <w:rPr>
          <w:rFonts w:hint="eastAsia"/>
        </w:rPr>
        <w:t>市域铁路客票系统应结合运输组织及运营管理模式，根据需要实现与相邻交通客票系统的互联或延伸覆盖。</w:t>
      </w:r>
      <w:bookmarkEnd w:id="2681"/>
      <w:bookmarkEnd w:id="2682"/>
      <w:r w:rsidRPr="00765F6E">
        <w:rPr>
          <w:rFonts w:hint="eastAsia"/>
        </w:rPr>
        <w:t xml:space="preserve"> </w:t>
      </w:r>
    </w:p>
    <w:p w14:paraId="03B0BD12" w14:textId="77777777" w:rsidR="00737EB2" w:rsidRPr="00765F6E" w:rsidRDefault="00737EB2" w:rsidP="009D0776">
      <w:pPr>
        <w:pStyle w:val="22"/>
      </w:pPr>
      <w:bookmarkStart w:id="2683" w:name="_Toc99792679"/>
      <w:bookmarkStart w:id="2684" w:name="_Toc153292117"/>
      <w:r w:rsidRPr="00765F6E">
        <w:rPr>
          <w:rFonts w:hint="eastAsia"/>
        </w:rPr>
        <w:t>车票种类宜包括单程车票、储值车票等，可根据运营需要设置其他票种。</w:t>
      </w:r>
      <w:bookmarkEnd w:id="2683"/>
      <w:bookmarkEnd w:id="2684"/>
    </w:p>
    <w:p w14:paraId="2E51FAEF" w14:textId="77777777" w:rsidR="00737EB2" w:rsidRPr="00765F6E" w:rsidRDefault="00737EB2" w:rsidP="009D0776">
      <w:pPr>
        <w:pStyle w:val="22"/>
      </w:pPr>
      <w:bookmarkStart w:id="2685" w:name="_Toc153292118"/>
      <w:bookmarkStart w:id="2686" w:name="_Toc99792680"/>
      <w:r w:rsidRPr="00765F6E">
        <w:rPr>
          <w:rFonts w:hint="eastAsia"/>
        </w:rPr>
        <w:t>车票可采用非接触式IC卡、打印车票、电子车票、生物特征票、身份证等介质。</w:t>
      </w:r>
      <w:bookmarkEnd w:id="2685"/>
      <w:bookmarkEnd w:id="2686"/>
    </w:p>
    <w:p w14:paraId="1A1480C9" w14:textId="77777777" w:rsidR="00737EB2" w:rsidRPr="00765F6E" w:rsidRDefault="00737EB2" w:rsidP="009D0776">
      <w:pPr>
        <w:pStyle w:val="22"/>
      </w:pPr>
      <w:bookmarkStart w:id="2687" w:name="_Toc99792681"/>
      <w:bookmarkStart w:id="2688" w:name="_Toc153292119"/>
      <w:r w:rsidRPr="00765F6E">
        <w:rPr>
          <w:rFonts w:hint="eastAsia"/>
        </w:rPr>
        <w:t>客票系统宜由清分、中心级客票和车站级客票等子系统构成。客票系统宜采用清分、中心及车站三级组网，清分系统和中心级客票系统可合并设置。</w:t>
      </w:r>
      <w:bookmarkEnd w:id="2687"/>
      <w:bookmarkEnd w:id="2688"/>
    </w:p>
    <w:p w14:paraId="1F9D7052" w14:textId="77777777" w:rsidR="00737EB2" w:rsidRPr="00765F6E" w:rsidRDefault="00737EB2" w:rsidP="009D0776">
      <w:pPr>
        <w:pStyle w:val="22"/>
      </w:pPr>
      <w:bookmarkStart w:id="2689" w:name="_Toc99792682"/>
      <w:bookmarkStart w:id="2690" w:name="_Toc153292120"/>
      <w:r w:rsidRPr="00765F6E">
        <w:rPr>
          <w:rFonts w:hint="eastAsia"/>
        </w:rPr>
        <w:t>清分系统宜具备客流统计、收益清分、运营管理、密钥管理等功能。系统外部接口应采用标准开放的通信协议。</w:t>
      </w:r>
      <w:bookmarkEnd w:id="2689"/>
      <w:bookmarkEnd w:id="2690"/>
    </w:p>
    <w:p w14:paraId="75EAB055" w14:textId="77777777" w:rsidR="00737EB2" w:rsidRPr="00765F6E" w:rsidRDefault="00737EB2" w:rsidP="009D0776">
      <w:pPr>
        <w:pStyle w:val="22"/>
      </w:pPr>
      <w:bookmarkStart w:id="2691" w:name="_Toc99792683"/>
      <w:bookmarkStart w:id="2692" w:name="_Toc153292121"/>
      <w:r w:rsidRPr="00765F6E">
        <w:rPr>
          <w:rFonts w:hint="eastAsia"/>
        </w:rPr>
        <w:t>中心级客票系统宜具备票务管理、售票交易管理、互联网售票、卡务管理、业务管理监控等功能。</w:t>
      </w:r>
      <w:bookmarkEnd w:id="2691"/>
      <w:bookmarkEnd w:id="2692"/>
    </w:p>
    <w:p w14:paraId="477BB613" w14:textId="77777777" w:rsidR="00737EB2" w:rsidRPr="00765F6E" w:rsidRDefault="00737EB2" w:rsidP="009D0776">
      <w:pPr>
        <w:pStyle w:val="22"/>
      </w:pPr>
      <w:bookmarkStart w:id="2693" w:name="_Toc153292122"/>
      <w:bookmarkStart w:id="2694" w:name="_Toc99792684"/>
      <w:r w:rsidRPr="00765F6E">
        <w:rPr>
          <w:rFonts w:hint="eastAsia"/>
        </w:rPr>
        <w:t>清分系统、中心级客票系统宜设置数据库服务器、应用服务器、存储设备、网络设备、网络安全及维护管理等设备。</w:t>
      </w:r>
      <w:bookmarkEnd w:id="2693"/>
      <w:bookmarkEnd w:id="2694"/>
    </w:p>
    <w:p w14:paraId="7004C0DB" w14:textId="77777777" w:rsidR="00737EB2" w:rsidRPr="00765F6E" w:rsidRDefault="00737EB2" w:rsidP="009D0776">
      <w:pPr>
        <w:pStyle w:val="22"/>
      </w:pPr>
      <w:bookmarkStart w:id="2695" w:name="_Toc153292123"/>
      <w:bookmarkStart w:id="2696" w:name="_Toc99792685"/>
      <w:r w:rsidRPr="00765F6E">
        <w:rPr>
          <w:rFonts w:hint="eastAsia"/>
        </w:rPr>
        <w:t>车站级客票系统宜具有售票、检票、补票、退票、取票、充值等功能。</w:t>
      </w:r>
      <w:bookmarkEnd w:id="2695"/>
      <w:bookmarkEnd w:id="2696"/>
    </w:p>
    <w:p w14:paraId="0167761E" w14:textId="77777777" w:rsidR="00737EB2" w:rsidRPr="00765F6E" w:rsidRDefault="00737EB2" w:rsidP="009D0776">
      <w:pPr>
        <w:pStyle w:val="22"/>
      </w:pPr>
      <w:bookmarkStart w:id="2697" w:name="_Toc153292124"/>
      <w:bookmarkStart w:id="2698" w:name="_Toc99792686"/>
      <w:r w:rsidRPr="00765F6E">
        <w:rPr>
          <w:rFonts w:hint="eastAsia"/>
        </w:rPr>
        <w:t>车站客票系统可设置自助售（取）票机、窗口售票、自动检票、补票、便携式检票等终端，宜配套设置管理终端、服务器、存储、网络等设备。</w:t>
      </w:r>
      <w:bookmarkEnd w:id="2697"/>
      <w:bookmarkEnd w:id="2698"/>
    </w:p>
    <w:p w14:paraId="792B0761" w14:textId="77777777" w:rsidR="00737EB2" w:rsidRPr="00765F6E" w:rsidRDefault="00737EB2" w:rsidP="009D0776">
      <w:pPr>
        <w:pStyle w:val="22"/>
      </w:pPr>
      <w:bookmarkStart w:id="2699" w:name="_Toc153292125"/>
      <w:bookmarkStart w:id="2700" w:name="_Toc99792687"/>
      <w:r w:rsidRPr="00765F6E">
        <w:rPr>
          <w:rFonts w:hint="eastAsia"/>
        </w:rPr>
        <w:t>车站客票终端设备配置符合下列规定：</w:t>
      </w:r>
      <w:bookmarkEnd w:id="2699"/>
      <w:bookmarkEnd w:id="2700"/>
    </w:p>
    <w:p w14:paraId="02C71412" w14:textId="77777777" w:rsidR="00737EB2" w:rsidRPr="00765F6E" w:rsidRDefault="00737EB2" w:rsidP="003334F3">
      <w:pPr>
        <w:pStyle w:val="af6"/>
        <w:numPr>
          <w:ilvl w:val="0"/>
          <w:numId w:val="209"/>
        </w:numPr>
        <w:tabs>
          <w:tab w:val="left" w:pos="851"/>
        </w:tabs>
        <w:snapToGrid w:val="0"/>
        <w:contextualSpacing/>
      </w:pPr>
      <w:r w:rsidRPr="00765F6E">
        <w:rPr>
          <w:rFonts w:hint="eastAsia"/>
        </w:rPr>
        <w:t>车站售检票终端数量宜综合考虑旅客日发送量、近期高峰小时客流量、设备处理能力、各种方式的售票比例、建筑空间布局等因素确定；</w:t>
      </w:r>
    </w:p>
    <w:p w14:paraId="2A59B0E9" w14:textId="77777777" w:rsidR="00737EB2" w:rsidRPr="00765F6E" w:rsidRDefault="00737EB2" w:rsidP="003334F3">
      <w:pPr>
        <w:pStyle w:val="af6"/>
        <w:numPr>
          <w:ilvl w:val="0"/>
          <w:numId w:val="209"/>
        </w:numPr>
        <w:tabs>
          <w:tab w:val="left" w:pos="851"/>
        </w:tabs>
        <w:snapToGrid w:val="0"/>
        <w:contextualSpacing/>
      </w:pPr>
      <w:r w:rsidRPr="00765F6E">
        <w:rPr>
          <w:rFonts w:hint="eastAsia"/>
        </w:rPr>
        <w:t>每组自动售（取）票机的配置数量不宜少于2台；</w:t>
      </w:r>
    </w:p>
    <w:p w14:paraId="4DE4A13B" w14:textId="77777777" w:rsidR="00737EB2" w:rsidRPr="00765F6E" w:rsidRDefault="00737EB2" w:rsidP="003334F3">
      <w:pPr>
        <w:pStyle w:val="af6"/>
        <w:numPr>
          <w:ilvl w:val="0"/>
          <w:numId w:val="209"/>
        </w:numPr>
        <w:tabs>
          <w:tab w:val="left" w:pos="851"/>
        </w:tabs>
        <w:snapToGrid w:val="0"/>
        <w:contextualSpacing/>
      </w:pPr>
      <w:r w:rsidRPr="00765F6E">
        <w:rPr>
          <w:rFonts w:hint="eastAsia"/>
        </w:rPr>
        <w:lastRenderedPageBreak/>
        <w:t>每组进、出站处的自动检票机数量不宜少于3通道；</w:t>
      </w:r>
    </w:p>
    <w:p w14:paraId="570A22F5" w14:textId="52E1DFB8" w:rsidR="00737EB2" w:rsidRPr="00765F6E" w:rsidRDefault="00737EB2" w:rsidP="003334F3">
      <w:pPr>
        <w:pStyle w:val="af6"/>
        <w:numPr>
          <w:ilvl w:val="0"/>
          <w:numId w:val="209"/>
        </w:numPr>
        <w:tabs>
          <w:tab w:val="left" w:pos="851"/>
        </w:tabs>
        <w:snapToGrid w:val="0"/>
        <w:contextualSpacing/>
      </w:pPr>
      <w:r w:rsidRPr="00765F6E">
        <w:rPr>
          <w:rFonts w:hint="eastAsia"/>
        </w:rPr>
        <w:t>每组进、出站处检票机组宜设置宽通道双向检票机，宽通道净距宜不小于900mm；</w:t>
      </w:r>
    </w:p>
    <w:p w14:paraId="3AEBF8A1" w14:textId="77777777" w:rsidR="00737EB2" w:rsidRPr="00765F6E" w:rsidRDefault="00737EB2" w:rsidP="003334F3">
      <w:pPr>
        <w:pStyle w:val="af6"/>
        <w:numPr>
          <w:ilvl w:val="0"/>
          <w:numId w:val="209"/>
        </w:numPr>
        <w:tabs>
          <w:tab w:val="left" w:pos="851"/>
        </w:tabs>
        <w:snapToGrid w:val="0"/>
        <w:contextualSpacing/>
      </w:pPr>
      <w:r w:rsidRPr="00765F6E">
        <w:rPr>
          <w:rFonts w:hint="eastAsia"/>
        </w:rPr>
        <w:t>潮汐客流明显的车站可设置双向自动检票机；</w:t>
      </w:r>
    </w:p>
    <w:p w14:paraId="09AE1A59" w14:textId="77777777" w:rsidR="00737EB2" w:rsidRPr="00765F6E" w:rsidRDefault="00737EB2" w:rsidP="003334F3">
      <w:pPr>
        <w:pStyle w:val="af6"/>
        <w:numPr>
          <w:ilvl w:val="0"/>
          <w:numId w:val="209"/>
        </w:numPr>
        <w:tabs>
          <w:tab w:val="left" w:pos="851"/>
        </w:tabs>
        <w:snapToGrid w:val="0"/>
        <w:contextualSpacing/>
      </w:pPr>
      <w:r w:rsidRPr="00765F6E">
        <w:rPr>
          <w:rFonts w:hint="eastAsia"/>
        </w:rPr>
        <w:t>每个车站宜配置2台便携式检票机。</w:t>
      </w:r>
    </w:p>
    <w:p w14:paraId="77358459" w14:textId="77777777" w:rsidR="00737EB2" w:rsidRPr="00765F6E" w:rsidRDefault="00737EB2" w:rsidP="009D0776">
      <w:pPr>
        <w:pStyle w:val="22"/>
      </w:pPr>
      <w:bookmarkStart w:id="2701" w:name="_Toc99792688"/>
      <w:bookmarkStart w:id="2702" w:name="_Toc153292126"/>
      <w:r w:rsidRPr="00765F6E">
        <w:rPr>
          <w:rFonts w:hint="eastAsia"/>
        </w:rPr>
        <w:t>车站客票终端设备的所有金属外壳应进行电气连接，并应可靠接地，以保证运营人员、维修人员及乘客的使用安全。</w:t>
      </w:r>
      <w:bookmarkEnd w:id="2701"/>
      <w:bookmarkEnd w:id="2702"/>
    </w:p>
    <w:p w14:paraId="5B233720" w14:textId="77777777" w:rsidR="00737EB2" w:rsidRPr="00765F6E" w:rsidRDefault="00737EB2" w:rsidP="009D0776">
      <w:pPr>
        <w:pStyle w:val="22"/>
      </w:pPr>
      <w:bookmarkStart w:id="2703" w:name="_Toc99792689"/>
      <w:bookmarkStart w:id="2704" w:name="_Toc153292127"/>
      <w:r w:rsidRPr="00765F6E">
        <w:rPr>
          <w:rFonts w:hint="eastAsia"/>
        </w:rPr>
        <w:t>检票终端设备应具有通道断电释放、手动释放等紧急疏散功能。</w:t>
      </w:r>
      <w:bookmarkEnd w:id="2703"/>
      <w:bookmarkEnd w:id="2704"/>
    </w:p>
    <w:p w14:paraId="7106BCEF" w14:textId="77777777" w:rsidR="00737EB2" w:rsidRPr="00765F6E" w:rsidRDefault="00737EB2" w:rsidP="009D0776">
      <w:pPr>
        <w:pStyle w:val="22"/>
      </w:pPr>
      <w:bookmarkStart w:id="2705" w:name="_Toc99792690"/>
      <w:bookmarkStart w:id="2706" w:name="_Toc153292128"/>
      <w:r w:rsidRPr="00765F6E">
        <w:rPr>
          <w:rFonts w:hint="eastAsia"/>
        </w:rPr>
        <w:t>客票系统宜提供车站人工/自助购票、互联网购票等多种售票方式。</w:t>
      </w:r>
      <w:bookmarkEnd w:id="2705"/>
      <w:bookmarkEnd w:id="2706"/>
    </w:p>
    <w:p w14:paraId="2A8B15C3" w14:textId="77777777" w:rsidR="00737EB2" w:rsidRPr="00765F6E" w:rsidRDefault="00737EB2" w:rsidP="00737EB2">
      <w:pPr>
        <w:pStyle w:val="affe"/>
        <w:spacing w:before="156" w:after="156"/>
      </w:pPr>
      <w:bookmarkStart w:id="2707" w:name="_Toc153292129"/>
      <w:bookmarkStart w:id="2708" w:name="_Toc99792691"/>
      <w:bookmarkStart w:id="2709" w:name="_Toc153210965"/>
      <w:bookmarkStart w:id="2710" w:name="_Toc167895863"/>
      <w:bookmarkStart w:id="2711" w:name="_Toc174538777"/>
      <w:bookmarkStart w:id="2712" w:name="_Toc182476534"/>
      <w:r w:rsidRPr="00765F6E">
        <w:rPr>
          <w:rFonts w:hint="eastAsia"/>
        </w:rPr>
        <w:t>旅客服务信息系统</w:t>
      </w:r>
      <w:bookmarkEnd w:id="2707"/>
      <w:bookmarkEnd w:id="2708"/>
      <w:bookmarkEnd w:id="2709"/>
      <w:bookmarkEnd w:id="2710"/>
      <w:bookmarkEnd w:id="2711"/>
      <w:bookmarkEnd w:id="2712"/>
    </w:p>
    <w:p w14:paraId="34CE93E9" w14:textId="77777777" w:rsidR="00737EB2" w:rsidRPr="00765F6E" w:rsidRDefault="00737EB2" w:rsidP="009D0776">
      <w:pPr>
        <w:pStyle w:val="22"/>
      </w:pPr>
      <w:bookmarkStart w:id="2713" w:name="_Toc99792692"/>
      <w:bookmarkStart w:id="2714" w:name="_Toc153292130"/>
      <w:r w:rsidRPr="00765F6E">
        <w:rPr>
          <w:rFonts w:hint="eastAsia"/>
        </w:rPr>
        <w:t>旅客服务信息系统宜包括中心级系统和车站级系统。</w:t>
      </w:r>
      <w:bookmarkEnd w:id="2713"/>
      <w:bookmarkEnd w:id="2714"/>
    </w:p>
    <w:p w14:paraId="740D22B7" w14:textId="77777777" w:rsidR="00737EB2" w:rsidRPr="00765F6E" w:rsidRDefault="00737EB2" w:rsidP="009D0776">
      <w:pPr>
        <w:pStyle w:val="22"/>
      </w:pPr>
      <w:bookmarkStart w:id="2715" w:name="_Toc99792693"/>
      <w:bookmarkStart w:id="2716" w:name="_Toc153292131"/>
      <w:r w:rsidRPr="00765F6E">
        <w:rPr>
          <w:rFonts w:hint="eastAsia"/>
        </w:rPr>
        <w:t>中心级旅客服务信息系统应实现管辖范围内车站旅客服务信息系统的统一接入、数据集中处理与共享、业务的集中监控，具备车站基础数据维护、客运组织、旅客服务、生产管理、系统管理、安全管理等功能。</w:t>
      </w:r>
      <w:bookmarkEnd w:id="2715"/>
      <w:bookmarkEnd w:id="2716"/>
    </w:p>
    <w:p w14:paraId="36F9B4DA" w14:textId="77777777" w:rsidR="00737EB2" w:rsidRPr="00765F6E" w:rsidRDefault="00737EB2" w:rsidP="009D0776">
      <w:pPr>
        <w:pStyle w:val="22"/>
      </w:pPr>
      <w:bookmarkStart w:id="2717" w:name="_Toc153292132"/>
      <w:bookmarkStart w:id="2718" w:name="_Toc99792694"/>
      <w:r w:rsidRPr="00765F6E">
        <w:rPr>
          <w:rFonts w:hint="eastAsia"/>
        </w:rPr>
        <w:t>中心级系统宜包括数据库服务器、应用服务器、存储设备、接口服务器、网络设备、网络安全设备、业务及维护管理终端等。</w:t>
      </w:r>
      <w:bookmarkEnd w:id="2717"/>
      <w:bookmarkEnd w:id="2718"/>
    </w:p>
    <w:p w14:paraId="249BD81A" w14:textId="77777777" w:rsidR="00737EB2" w:rsidRPr="00765F6E" w:rsidRDefault="00737EB2" w:rsidP="009D0776">
      <w:pPr>
        <w:pStyle w:val="22"/>
      </w:pPr>
      <w:bookmarkStart w:id="2719" w:name="_Toc99792695"/>
      <w:bookmarkStart w:id="2720" w:name="_Toc153292133"/>
      <w:r w:rsidRPr="00765F6E">
        <w:rPr>
          <w:rFonts w:hint="eastAsia"/>
        </w:rPr>
        <w:t>车站级系统宜包括车站级集成管理平台，根据车站规模及运营管理需求，宜设置乘客信息、广播及时钟等子系统。</w:t>
      </w:r>
      <w:bookmarkEnd w:id="2719"/>
      <w:bookmarkEnd w:id="2720"/>
    </w:p>
    <w:p w14:paraId="09BE2D2C" w14:textId="77777777" w:rsidR="00737EB2" w:rsidRPr="00765F6E" w:rsidRDefault="00737EB2" w:rsidP="009D0776">
      <w:pPr>
        <w:pStyle w:val="22"/>
      </w:pPr>
      <w:bookmarkStart w:id="2721" w:name="_Toc153292134"/>
      <w:bookmarkStart w:id="2722" w:name="_Toc99792696"/>
      <w:r w:rsidRPr="00765F6E">
        <w:rPr>
          <w:rFonts w:hint="eastAsia"/>
        </w:rPr>
        <w:t>车站集成管理平台应包括正常工作和应急工作等模式，在正常工作模式下应实现与中心级系统的数据同步与信息交互；应急工作模式下应实现本站旅客服务信息系统应急管理功能。</w:t>
      </w:r>
      <w:bookmarkEnd w:id="2721"/>
      <w:bookmarkEnd w:id="2722"/>
    </w:p>
    <w:p w14:paraId="5FD7AEA6" w14:textId="77777777" w:rsidR="00737EB2" w:rsidRPr="00765F6E" w:rsidRDefault="00737EB2" w:rsidP="009D0776">
      <w:pPr>
        <w:pStyle w:val="22"/>
      </w:pPr>
      <w:bookmarkStart w:id="2723" w:name="_Toc99792697"/>
      <w:bookmarkStart w:id="2724" w:name="_Toc153292135"/>
      <w:r w:rsidRPr="00765F6E">
        <w:rPr>
          <w:rFonts w:hint="eastAsia"/>
        </w:rPr>
        <w:t>车站集成管理平台宜包括应急服务器、接口服务器、业务及维护管理终端、网络及网络安全等设备。</w:t>
      </w:r>
      <w:bookmarkEnd w:id="2723"/>
      <w:bookmarkEnd w:id="2724"/>
    </w:p>
    <w:p w14:paraId="705402F3" w14:textId="77777777" w:rsidR="00737EB2" w:rsidRPr="00765F6E" w:rsidRDefault="00737EB2" w:rsidP="009D0776">
      <w:pPr>
        <w:pStyle w:val="22"/>
      </w:pPr>
      <w:bookmarkStart w:id="2725" w:name="_Toc153292136"/>
      <w:bookmarkStart w:id="2726" w:name="_Toc99792698"/>
      <w:r w:rsidRPr="00765F6E">
        <w:rPr>
          <w:rFonts w:hint="eastAsia"/>
        </w:rPr>
        <w:t>乘客信息系统设计符合下列规定：</w:t>
      </w:r>
      <w:bookmarkEnd w:id="2725"/>
      <w:bookmarkEnd w:id="2726"/>
    </w:p>
    <w:p w14:paraId="62020CA7" w14:textId="77777777" w:rsidR="00737EB2" w:rsidRPr="00765F6E" w:rsidRDefault="00737EB2" w:rsidP="003334F3">
      <w:pPr>
        <w:pStyle w:val="af6"/>
        <w:numPr>
          <w:ilvl w:val="0"/>
          <w:numId w:val="210"/>
        </w:numPr>
        <w:tabs>
          <w:tab w:val="left" w:pos="851"/>
        </w:tabs>
        <w:snapToGrid w:val="0"/>
        <w:contextualSpacing/>
      </w:pPr>
      <w:r w:rsidRPr="00765F6E">
        <w:rPr>
          <w:rFonts w:hint="eastAsia"/>
        </w:rPr>
        <w:t>乘客信息系统应为旅客在购票、检票、候车、乘车等环节提供引导及资讯信息，为客运生产人员提供客运作业信息；</w:t>
      </w:r>
    </w:p>
    <w:p w14:paraId="03AC3D8F" w14:textId="77777777" w:rsidR="00737EB2" w:rsidRPr="00765F6E" w:rsidRDefault="00737EB2" w:rsidP="003334F3">
      <w:pPr>
        <w:pStyle w:val="af6"/>
        <w:numPr>
          <w:ilvl w:val="0"/>
          <w:numId w:val="210"/>
        </w:numPr>
        <w:tabs>
          <w:tab w:val="left" w:pos="851"/>
        </w:tabs>
        <w:snapToGrid w:val="0"/>
        <w:contextualSpacing/>
      </w:pPr>
      <w:r w:rsidRPr="00765F6E">
        <w:rPr>
          <w:rFonts w:hint="eastAsia"/>
        </w:rPr>
        <w:t>乘客信息系统应包括常态和辅助救灾两种运行模式，辅助救灾模式应向乘客和其他人员提供有序、快速撤离车站等相关信息；</w:t>
      </w:r>
    </w:p>
    <w:p w14:paraId="01C25718" w14:textId="77777777" w:rsidR="00737EB2" w:rsidRPr="00765F6E" w:rsidRDefault="00737EB2" w:rsidP="003334F3">
      <w:pPr>
        <w:pStyle w:val="af6"/>
        <w:numPr>
          <w:ilvl w:val="0"/>
          <w:numId w:val="210"/>
        </w:numPr>
        <w:tabs>
          <w:tab w:val="left" w:pos="851"/>
        </w:tabs>
        <w:snapToGrid w:val="0"/>
        <w:contextualSpacing/>
      </w:pPr>
      <w:r w:rsidRPr="00765F6E">
        <w:rPr>
          <w:rFonts w:hint="eastAsia"/>
        </w:rPr>
        <w:t>乘客信息系统宜包括控制器、显示终端等设备；</w:t>
      </w:r>
    </w:p>
    <w:p w14:paraId="1793D36B" w14:textId="77777777" w:rsidR="00737EB2" w:rsidRPr="00765F6E" w:rsidRDefault="00737EB2" w:rsidP="003334F3">
      <w:pPr>
        <w:pStyle w:val="af6"/>
        <w:numPr>
          <w:ilvl w:val="0"/>
          <w:numId w:val="210"/>
        </w:numPr>
        <w:tabs>
          <w:tab w:val="left" w:pos="851"/>
        </w:tabs>
        <w:snapToGrid w:val="0"/>
        <w:contextualSpacing/>
      </w:pPr>
      <w:r w:rsidRPr="00765F6E">
        <w:rPr>
          <w:rFonts w:hint="eastAsia"/>
        </w:rPr>
        <w:t>车站乘客信息系统宜在上、下行站台、售票区域、检票区域、出入口及换乘通道设置显示终端设备；</w:t>
      </w:r>
    </w:p>
    <w:p w14:paraId="1D225CFC" w14:textId="3E507D3F" w:rsidR="00737EB2" w:rsidRPr="00765F6E" w:rsidRDefault="00737EB2" w:rsidP="003334F3">
      <w:pPr>
        <w:pStyle w:val="af6"/>
        <w:numPr>
          <w:ilvl w:val="0"/>
          <w:numId w:val="210"/>
        </w:numPr>
        <w:tabs>
          <w:tab w:val="left" w:pos="851"/>
        </w:tabs>
        <w:snapToGrid w:val="0"/>
        <w:contextualSpacing/>
      </w:pPr>
      <w:r w:rsidRPr="00765F6E">
        <w:rPr>
          <w:rFonts w:hint="eastAsia"/>
        </w:rPr>
        <w:t>乘客信息系统可包</w:t>
      </w:r>
      <w:r w:rsidRPr="00BF0BA3">
        <w:rPr>
          <w:rFonts w:hint="eastAsia"/>
        </w:rPr>
        <w:t>括</w:t>
      </w:r>
      <w:r w:rsidR="00F61D45" w:rsidRPr="00D56CF9">
        <w:rPr>
          <w:rFonts w:hint="eastAsia"/>
        </w:rPr>
        <w:t>车载</w:t>
      </w:r>
      <w:r w:rsidR="00BA0790" w:rsidRPr="00D56CF9">
        <w:rPr>
          <w:rFonts w:hint="eastAsia"/>
        </w:rPr>
        <w:t>子</w:t>
      </w:r>
      <w:r w:rsidRPr="00765F6E">
        <w:rPr>
          <w:rFonts w:hint="eastAsia"/>
        </w:rPr>
        <w:t>系统，在列车设置媒体播放控制、组网等设备，与列车媒体播放系统连接，实现实时信息显示。车地数据交互通过移动通信系统进行传输。</w:t>
      </w:r>
    </w:p>
    <w:p w14:paraId="4A55E100" w14:textId="77777777" w:rsidR="00737EB2" w:rsidRPr="00765F6E" w:rsidRDefault="00737EB2" w:rsidP="009D0776">
      <w:pPr>
        <w:pStyle w:val="22"/>
      </w:pPr>
      <w:bookmarkStart w:id="2727" w:name="_Toc153292137"/>
      <w:bookmarkStart w:id="2728" w:name="_Toc99792699"/>
      <w:r w:rsidRPr="00765F6E">
        <w:rPr>
          <w:rFonts w:hint="eastAsia"/>
        </w:rPr>
        <w:t>广播系统设计符合下列规定：</w:t>
      </w:r>
      <w:bookmarkEnd w:id="2727"/>
      <w:bookmarkEnd w:id="2728"/>
    </w:p>
    <w:p w14:paraId="5BA59258" w14:textId="77777777" w:rsidR="00737EB2" w:rsidRPr="00765F6E" w:rsidRDefault="00737EB2" w:rsidP="003334F3">
      <w:pPr>
        <w:pStyle w:val="af6"/>
        <w:numPr>
          <w:ilvl w:val="0"/>
          <w:numId w:val="211"/>
        </w:numPr>
        <w:tabs>
          <w:tab w:val="left" w:pos="851"/>
        </w:tabs>
        <w:snapToGrid w:val="0"/>
        <w:contextualSpacing/>
      </w:pPr>
      <w:r w:rsidRPr="00765F6E">
        <w:rPr>
          <w:rFonts w:hint="eastAsia"/>
        </w:rPr>
        <w:t>广播系统应保证中心调度员和车站值班员向旅客通告列车运行及安全、向导、防灾等服务信息，并应向工作人员发布作业命令和通知，发生灾害时可兼做救灾广播；</w:t>
      </w:r>
    </w:p>
    <w:p w14:paraId="79EC0F89" w14:textId="77777777" w:rsidR="00737EB2" w:rsidRPr="00765F6E" w:rsidRDefault="00737EB2" w:rsidP="003334F3">
      <w:pPr>
        <w:pStyle w:val="af6"/>
        <w:numPr>
          <w:ilvl w:val="0"/>
          <w:numId w:val="211"/>
        </w:numPr>
        <w:tabs>
          <w:tab w:val="left" w:pos="851"/>
        </w:tabs>
        <w:snapToGrid w:val="0"/>
        <w:contextualSpacing/>
      </w:pPr>
      <w:r w:rsidRPr="00765F6E">
        <w:rPr>
          <w:rFonts w:hint="eastAsia"/>
        </w:rPr>
        <w:t>广播系统宜采用数字制式系统；</w:t>
      </w:r>
    </w:p>
    <w:p w14:paraId="701CE53D" w14:textId="77777777" w:rsidR="00737EB2" w:rsidRPr="00765F6E" w:rsidRDefault="00737EB2" w:rsidP="003334F3">
      <w:pPr>
        <w:pStyle w:val="af6"/>
        <w:numPr>
          <w:ilvl w:val="0"/>
          <w:numId w:val="211"/>
        </w:numPr>
        <w:tabs>
          <w:tab w:val="left" w:pos="851"/>
        </w:tabs>
        <w:snapToGrid w:val="0"/>
        <w:contextualSpacing/>
      </w:pPr>
      <w:r w:rsidRPr="00765F6E">
        <w:rPr>
          <w:rFonts w:hint="eastAsia"/>
        </w:rPr>
        <w:t>广播系统应具备分区广播、临时插播、应急广播等功能；</w:t>
      </w:r>
    </w:p>
    <w:p w14:paraId="1F9359B6" w14:textId="77777777" w:rsidR="00737EB2" w:rsidRPr="00765F6E" w:rsidRDefault="00737EB2" w:rsidP="003334F3">
      <w:pPr>
        <w:pStyle w:val="af6"/>
        <w:numPr>
          <w:ilvl w:val="0"/>
          <w:numId w:val="211"/>
        </w:numPr>
        <w:tabs>
          <w:tab w:val="left" w:pos="851"/>
        </w:tabs>
        <w:snapToGrid w:val="0"/>
        <w:contextualSpacing/>
      </w:pPr>
      <w:r w:rsidRPr="00765F6E">
        <w:rPr>
          <w:rFonts w:hint="eastAsia"/>
        </w:rPr>
        <w:t>广播系统应在车站站厅、站台、出入口等区域进行广播，宜在车辆基地停车列检库、运用库等进行广播；</w:t>
      </w:r>
    </w:p>
    <w:p w14:paraId="72E55B07" w14:textId="77777777" w:rsidR="00737EB2" w:rsidRPr="00765F6E" w:rsidRDefault="00737EB2" w:rsidP="003334F3">
      <w:pPr>
        <w:pStyle w:val="af6"/>
        <w:numPr>
          <w:ilvl w:val="0"/>
          <w:numId w:val="211"/>
        </w:numPr>
        <w:tabs>
          <w:tab w:val="left" w:pos="851"/>
        </w:tabs>
        <w:snapToGrid w:val="0"/>
        <w:contextualSpacing/>
      </w:pPr>
      <w:r w:rsidRPr="00765F6E">
        <w:rPr>
          <w:rFonts w:hint="eastAsia"/>
        </w:rPr>
        <w:t>广播系统应与火灾自动报警系统联动，发生火灾等灾害时应符合应急联动相关要求；</w:t>
      </w:r>
    </w:p>
    <w:p w14:paraId="63E2196C" w14:textId="77777777" w:rsidR="00737EB2" w:rsidRPr="00765F6E" w:rsidRDefault="00737EB2" w:rsidP="003334F3">
      <w:pPr>
        <w:pStyle w:val="af6"/>
        <w:numPr>
          <w:ilvl w:val="0"/>
          <w:numId w:val="211"/>
        </w:numPr>
        <w:tabs>
          <w:tab w:val="left" w:pos="851"/>
        </w:tabs>
        <w:snapToGrid w:val="0"/>
        <w:contextualSpacing/>
      </w:pPr>
      <w:r w:rsidRPr="00765F6E">
        <w:rPr>
          <w:rFonts w:hint="eastAsia"/>
        </w:rPr>
        <w:t>广播系统宜包括广播主机、信源、功放、扬声器等设备。</w:t>
      </w:r>
    </w:p>
    <w:p w14:paraId="73F62411" w14:textId="77777777" w:rsidR="00737EB2" w:rsidRPr="00765F6E" w:rsidRDefault="00737EB2" w:rsidP="009D0776">
      <w:pPr>
        <w:pStyle w:val="22"/>
      </w:pPr>
      <w:bookmarkStart w:id="2729" w:name="_Toc153292138"/>
      <w:bookmarkStart w:id="2730" w:name="_Toc99792700"/>
      <w:r w:rsidRPr="00765F6E">
        <w:rPr>
          <w:rFonts w:hint="eastAsia"/>
        </w:rPr>
        <w:t>时钟系统设计符合下列规定：</w:t>
      </w:r>
      <w:bookmarkEnd w:id="2729"/>
      <w:bookmarkEnd w:id="2730"/>
    </w:p>
    <w:p w14:paraId="44D2863A" w14:textId="77777777" w:rsidR="00737EB2" w:rsidRPr="00765F6E" w:rsidRDefault="00737EB2" w:rsidP="003334F3">
      <w:pPr>
        <w:pStyle w:val="af6"/>
        <w:numPr>
          <w:ilvl w:val="0"/>
          <w:numId w:val="212"/>
        </w:numPr>
        <w:tabs>
          <w:tab w:val="left" w:pos="851"/>
        </w:tabs>
        <w:snapToGrid w:val="0"/>
        <w:contextualSpacing/>
      </w:pPr>
      <w:r w:rsidRPr="00765F6E">
        <w:rPr>
          <w:rFonts w:hint="eastAsia"/>
        </w:rPr>
        <w:t>时钟系统为旅客、工作人员及信息系统提供统一标准的时间信息；</w:t>
      </w:r>
    </w:p>
    <w:p w14:paraId="5B744831" w14:textId="30E1A6D7" w:rsidR="00737EB2" w:rsidRPr="00765F6E" w:rsidRDefault="00AD3883" w:rsidP="003334F3">
      <w:pPr>
        <w:pStyle w:val="af6"/>
        <w:numPr>
          <w:ilvl w:val="0"/>
          <w:numId w:val="212"/>
        </w:numPr>
        <w:tabs>
          <w:tab w:val="left" w:pos="851"/>
        </w:tabs>
        <w:snapToGrid w:val="0"/>
        <w:contextualSpacing/>
      </w:pPr>
      <w:r w:rsidRPr="00BF0BA3">
        <w:rPr>
          <w:rFonts w:hint="eastAsia"/>
        </w:rPr>
        <w:t>时钟系统宜在售票、候车、站台、办公管理用房等区域设置子钟</w:t>
      </w:r>
      <w:r w:rsidR="00737EB2" w:rsidRPr="00765F6E">
        <w:rPr>
          <w:rFonts w:hint="eastAsia"/>
        </w:rPr>
        <w:t>。</w:t>
      </w:r>
    </w:p>
    <w:p w14:paraId="170279F0" w14:textId="77777777" w:rsidR="00737EB2" w:rsidRPr="00765F6E" w:rsidRDefault="00737EB2" w:rsidP="00737EB2">
      <w:pPr>
        <w:pStyle w:val="affe"/>
        <w:spacing w:before="156" w:after="156"/>
      </w:pPr>
      <w:bookmarkStart w:id="2731" w:name="_Toc153210966"/>
      <w:bookmarkStart w:id="2732" w:name="_Toc99792701"/>
      <w:bookmarkStart w:id="2733" w:name="_Toc153292139"/>
      <w:bookmarkStart w:id="2734" w:name="_Toc167895864"/>
      <w:bookmarkStart w:id="2735" w:name="_Toc174538778"/>
      <w:bookmarkStart w:id="2736" w:name="_Toc182476535"/>
      <w:r w:rsidRPr="00765F6E">
        <w:rPr>
          <w:rFonts w:hint="eastAsia"/>
        </w:rPr>
        <w:t>办公信息系统</w:t>
      </w:r>
      <w:bookmarkEnd w:id="2731"/>
      <w:bookmarkEnd w:id="2732"/>
      <w:bookmarkEnd w:id="2733"/>
      <w:bookmarkEnd w:id="2734"/>
      <w:bookmarkEnd w:id="2735"/>
      <w:bookmarkEnd w:id="2736"/>
    </w:p>
    <w:p w14:paraId="550CA282" w14:textId="77777777" w:rsidR="00737EB2" w:rsidRPr="00765F6E" w:rsidRDefault="00737EB2" w:rsidP="009D0776">
      <w:pPr>
        <w:pStyle w:val="22"/>
      </w:pPr>
      <w:bookmarkStart w:id="2737" w:name="_Toc99792702"/>
      <w:bookmarkStart w:id="2738" w:name="_Toc153292140"/>
      <w:r w:rsidRPr="00765F6E">
        <w:rPr>
          <w:rFonts w:hint="eastAsia"/>
        </w:rPr>
        <w:t>办公信息系统宜具备电子办公、信息发布、资源管理等功能，办公自动化软件平台建设宜统一规划和实施。</w:t>
      </w:r>
      <w:bookmarkEnd w:id="2737"/>
      <w:bookmarkEnd w:id="2738"/>
    </w:p>
    <w:p w14:paraId="60C34983" w14:textId="77777777" w:rsidR="00737EB2" w:rsidRPr="00765F6E" w:rsidRDefault="00737EB2" w:rsidP="009D0776">
      <w:pPr>
        <w:pStyle w:val="22"/>
      </w:pPr>
      <w:bookmarkStart w:id="2739" w:name="_Toc153292141"/>
      <w:bookmarkStart w:id="2740" w:name="_Toc99792703"/>
      <w:r w:rsidRPr="00765F6E">
        <w:rPr>
          <w:rFonts w:hint="eastAsia"/>
        </w:rPr>
        <w:t>办公信息系统宜在中心和站段设置数据网络设备，层级间可采用通信传输系统。</w:t>
      </w:r>
      <w:bookmarkEnd w:id="2739"/>
      <w:bookmarkEnd w:id="2740"/>
    </w:p>
    <w:p w14:paraId="3EE82332" w14:textId="77777777" w:rsidR="00737EB2" w:rsidRPr="00765F6E" w:rsidRDefault="00737EB2" w:rsidP="009D0776">
      <w:pPr>
        <w:pStyle w:val="22"/>
      </w:pPr>
      <w:bookmarkStart w:id="2741" w:name="_Toc153292142"/>
      <w:bookmarkStart w:id="2742" w:name="_Toc99792704"/>
      <w:r w:rsidRPr="00765F6E">
        <w:rPr>
          <w:rFonts w:hint="eastAsia"/>
        </w:rPr>
        <w:lastRenderedPageBreak/>
        <w:t>系统IP地址资源应按网络信息资源规划的相关规定统一制定、统一分配。</w:t>
      </w:r>
      <w:bookmarkEnd w:id="2741"/>
      <w:bookmarkEnd w:id="2742"/>
    </w:p>
    <w:p w14:paraId="6A9B11A0" w14:textId="77777777" w:rsidR="00737EB2" w:rsidRPr="00765F6E" w:rsidRDefault="00737EB2" w:rsidP="009D0776">
      <w:pPr>
        <w:pStyle w:val="22"/>
      </w:pPr>
      <w:bookmarkStart w:id="2743" w:name="_Toc99792705"/>
      <w:bookmarkStart w:id="2744" w:name="_Toc153292143"/>
      <w:r w:rsidRPr="00765F6E">
        <w:rPr>
          <w:rFonts w:hint="eastAsia"/>
        </w:rPr>
        <w:t>办公信息系统应设置完善的网络安全措施。</w:t>
      </w:r>
      <w:bookmarkEnd w:id="2743"/>
      <w:bookmarkEnd w:id="2744"/>
    </w:p>
    <w:p w14:paraId="5A000682" w14:textId="77777777" w:rsidR="00737EB2" w:rsidRPr="00765F6E" w:rsidRDefault="00737EB2" w:rsidP="00737EB2">
      <w:pPr>
        <w:pStyle w:val="affe"/>
        <w:spacing w:before="156" w:after="156"/>
      </w:pPr>
      <w:bookmarkStart w:id="2745" w:name="_Toc153292144"/>
      <w:bookmarkStart w:id="2746" w:name="_Toc153210967"/>
      <w:bookmarkStart w:id="2747" w:name="_Toc167895865"/>
      <w:bookmarkStart w:id="2748" w:name="_Toc174538779"/>
      <w:bookmarkStart w:id="2749" w:name="_Toc182476536"/>
      <w:r w:rsidRPr="00765F6E">
        <w:rPr>
          <w:rFonts w:hint="eastAsia"/>
        </w:rPr>
        <w:t>市域动车组管理信息系统</w:t>
      </w:r>
      <w:bookmarkEnd w:id="2745"/>
      <w:bookmarkEnd w:id="2746"/>
      <w:bookmarkEnd w:id="2747"/>
      <w:bookmarkEnd w:id="2748"/>
      <w:bookmarkEnd w:id="2749"/>
    </w:p>
    <w:p w14:paraId="4E068BD5" w14:textId="77777777" w:rsidR="00737EB2" w:rsidRPr="00765F6E" w:rsidRDefault="00737EB2" w:rsidP="009D0776">
      <w:pPr>
        <w:pStyle w:val="22"/>
      </w:pPr>
      <w:bookmarkStart w:id="2750" w:name="_Toc153292145"/>
      <w:r w:rsidRPr="00765F6E">
        <w:rPr>
          <w:rFonts w:hint="eastAsia"/>
        </w:rPr>
        <w:t>车辆基地（所、存车场）应设置动车组管理信息系统。</w:t>
      </w:r>
      <w:bookmarkEnd w:id="2750"/>
    </w:p>
    <w:p w14:paraId="6C2F45B7" w14:textId="77777777" w:rsidR="00737EB2" w:rsidRPr="00765F6E" w:rsidRDefault="00737EB2" w:rsidP="009D0776">
      <w:pPr>
        <w:pStyle w:val="22"/>
      </w:pPr>
      <w:bookmarkStart w:id="2751" w:name="_Toc153292146"/>
      <w:r w:rsidRPr="00765F6E">
        <w:rPr>
          <w:rFonts w:hint="eastAsia"/>
        </w:rPr>
        <w:t>动车组管理信息系统应具有动车组运用管理、维修管理、技术管理、配件物流管理、设备管理、安全质量管理、成本管理、统计与分析等功能。</w:t>
      </w:r>
      <w:bookmarkEnd w:id="2751"/>
    </w:p>
    <w:p w14:paraId="6C92676D" w14:textId="77777777" w:rsidR="00737EB2" w:rsidRPr="00765F6E" w:rsidRDefault="00737EB2" w:rsidP="009D0776">
      <w:pPr>
        <w:pStyle w:val="22"/>
      </w:pPr>
      <w:bookmarkStart w:id="2752" w:name="_Toc153292147"/>
      <w:r w:rsidRPr="00765F6E">
        <w:rPr>
          <w:rFonts w:hint="eastAsia"/>
        </w:rPr>
        <w:t>动车组管理信息系统宜设置数据库服务器、应用服务器、存储设备、业务及维护管理终端等设备。</w:t>
      </w:r>
      <w:bookmarkEnd w:id="2752"/>
    </w:p>
    <w:p w14:paraId="4796BACE" w14:textId="77777777" w:rsidR="00737EB2" w:rsidRPr="00765F6E" w:rsidRDefault="00737EB2" w:rsidP="009D0776">
      <w:pPr>
        <w:pStyle w:val="22"/>
      </w:pPr>
      <w:bookmarkStart w:id="2753" w:name="_Toc153292148"/>
      <w:r w:rsidRPr="00765F6E">
        <w:rPr>
          <w:rFonts w:hint="eastAsia"/>
        </w:rPr>
        <w:t>运用检修设施库房宜设置工位终端设备，并具有人工录入现场数据和接收运用检修计划的功能。</w:t>
      </w:r>
      <w:bookmarkEnd w:id="2753"/>
    </w:p>
    <w:p w14:paraId="7C895490" w14:textId="71C020A6" w:rsidR="00737EB2" w:rsidRPr="00765F6E" w:rsidRDefault="00737EB2" w:rsidP="009D0776">
      <w:pPr>
        <w:pStyle w:val="22"/>
      </w:pPr>
      <w:bookmarkStart w:id="2754" w:name="_Toc153292149"/>
      <w:r w:rsidRPr="00765F6E">
        <w:rPr>
          <w:rFonts w:hint="eastAsia"/>
        </w:rPr>
        <w:t>检查库、检修库等大跨度空间可设置无线局域网，检修人员配置无线手持终端。无线局域网的工作频率等应符合国家无线电管理有关规定。</w:t>
      </w:r>
      <w:bookmarkEnd w:id="2754"/>
    </w:p>
    <w:p w14:paraId="3B7E0F73" w14:textId="77777777" w:rsidR="00737EB2" w:rsidRPr="00765F6E" w:rsidRDefault="00737EB2" w:rsidP="009D0776">
      <w:pPr>
        <w:pStyle w:val="22"/>
      </w:pPr>
      <w:bookmarkStart w:id="2755" w:name="_Toc153292150"/>
      <w:r w:rsidRPr="00765F6E">
        <w:rPr>
          <w:rFonts w:hint="eastAsia"/>
        </w:rPr>
        <w:t>车辆基地（所、存车场）应配置车载检测数据读取设备。</w:t>
      </w:r>
      <w:bookmarkEnd w:id="2755"/>
    </w:p>
    <w:p w14:paraId="6E23816C" w14:textId="77777777" w:rsidR="00737EB2" w:rsidRPr="00765F6E" w:rsidRDefault="00737EB2" w:rsidP="00737EB2">
      <w:pPr>
        <w:pStyle w:val="affe"/>
        <w:spacing w:before="156" w:after="156"/>
      </w:pPr>
      <w:bookmarkStart w:id="2756" w:name="_Toc99792706"/>
      <w:bookmarkStart w:id="2757" w:name="_Toc153292151"/>
      <w:bookmarkStart w:id="2758" w:name="_Toc153210968"/>
      <w:bookmarkStart w:id="2759" w:name="_Toc167895866"/>
      <w:bookmarkStart w:id="2760" w:name="_Toc174538780"/>
      <w:bookmarkStart w:id="2761" w:name="_Toc182476537"/>
      <w:r w:rsidRPr="00765F6E">
        <w:rPr>
          <w:rFonts w:hint="eastAsia"/>
        </w:rPr>
        <w:t>计算机网络</w:t>
      </w:r>
      <w:bookmarkEnd w:id="2756"/>
      <w:bookmarkEnd w:id="2757"/>
      <w:bookmarkEnd w:id="2758"/>
      <w:bookmarkEnd w:id="2759"/>
      <w:bookmarkEnd w:id="2760"/>
      <w:bookmarkEnd w:id="2761"/>
    </w:p>
    <w:p w14:paraId="6328F37C" w14:textId="77777777" w:rsidR="00737EB2" w:rsidRPr="00765F6E" w:rsidRDefault="00737EB2" w:rsidP="009D0776">
      <w:pPr>
        <w:pStyle w:val="22"/>
      </w:pPr>
      <w:bookmarkStart w:id="2762" w:name="_Toc99792707"/>
      <w:bookmarkStart w:id="2763" w:name="_Toc153292152"/>
      <w:r w:rsidRPr="00765F6E">
        <w:rPr>
          <w:rFonts w:hint="eastAsia"/>
        </w:rPr>
        <w:t>计算机网络包括层级间网络和局域网。网络带宽及服务质量应符合信息传送的要求。</w:t>
      </w:r>
      <w:bookmarkEnd w:id="2762"/>
      <w:bookmarkEnd w:id="2763"/>
    </w:p>
    <w:p w14:paraId="3511C193" w14:textId="77777777" w:rsidR="00737EB2" w:rsidRPr="00765F6E" w:rsidRDefault="00737EB2" w:rsidP="009D0776">
      <w:pPr>
        <w:pStyle w:val="22"/>
      </w:pPr>
      <w:bookmarkStart w:id="2764" w:name="_Toc99792708"/>
      <w:bookmarkStart w:id="2765" w:name="_Toc153292153"/>
      <w:r w:rsidRPr="00765F6E">
        <w:rPr>
          <w:rFonts w:hint="eastAsia"/>
        </w:rPr>
        <w:t>层级间网络设计，信息系统层级间互联宜采用通信传输系统承载。</w:t>
      </w:r>
      <w:bookmarkEnd w:id="2764"/>
      <w:bookmarkEnd w:id="2765"/>
    </w:p>
    <w:p w14:paraId="053C02F7" w14:textId="77777777" w:rsidR="00737EB2" w:rsidRPr="00765F6E" w:rsidRDefault="00737EB2" w:rsidP="009D0776">
      <w:pPr>
        <w:pStyle w:val="22"/>
      </w:pPr>
      <w:bookmarkStart w:id="2766" w:name="_Toc153292154"/>
      <w:bookmarkStart w:id="2767" w:name="_Toc99792709"/>
      <w:r w:rsidRPr="00765F6E">
        <w:rPr>
          <w:rFonts w:hint="eastAsia"/>
        </w:rPr>
        <w:t>局域网设计，各信息系统局域网根据各自规模及特点宜分别组网。</w:t>
      </w:r>
      <w:bookmarkEnd w:id="2766"/>
      <w:bookmarkEnd w:id="2767"/>
    </w:p>
    <w:p w14:paraId="6A4A7A0C" w14:textId="77777777" w:rsidR="00737EB2" w:rsidRPr="00765F6E" w:rsidRDefault="00737EB2" w:rsidP="00737EB2">
      <w:pPr>
        <w:pStyle w:val="affe"/>
        <w:spacing w:before="156" w:after="156"/>
      </w:pPr>
      <w:bookmarkStart w:id="2768" w:name="_Toc153292155"/>
      <w:bookmarkStart w:id="2769" w:name="_Toc153210969"/>
      <w:bookmarkStart w:id="2770" w:name="_Toc99792710"/>
      <w:bookmarkStart w:id="2771" w:name="_Toc167895867"/>
      <w:bookmarkStart w:id="2772" w:name="_Toc174538781"/>
      <w:bookmarkStart w:id="2773" w:name="_Toc182476538"/>
      <w:r w:rsidRPr="00765F6E">
        <w:rPr>
          <w:rFonts w:hint="eastAsia"/>
        </w:rPr>
        <w:t>信息安全</w:t>
      </w:r>
      <w:bookmarkEnd w:id="2768"/>
      <w:bookmarkEnd w:id="2769"/>
      <w:bookmarkEnd w:id="2770"/>
      <w:bookmarkEnd w:id="2771"/>
      <w:bookmarkEnd w:id="2772"/>
      <w:bookmarkEnd w:id="2773"/>
    </w:p>
    <w:p w14:paraId="463900AA" w14:textId="77777777" w:rsidR="00737EB2" w:rsidRPr="00765F6E" w:rsidRDefault="00737EB2" w:rsidP="009D0776">
      <w:pPr>
        <w:pStyle w:val="22"/>
      </w:pPr>
      <w:bookmarkStart w:id="2774" w:name="_Toc99792711"/>
      <w:bookmarkStart w:id="2775" w:name="_Toc153292156"/>
      <w:r w:rsidRPr="00765F6E">
        <w:rPr>
          <w:rFonts w:hint="eastAsia"/>
        </w:rPr>
        <w:t>信息系统应按国家有关信息系统安全等级划分标准进行安全设计。</w:t>
      </w:r>
      <w:bookmarkEnd w:id="2774"/>
      <w:bookmarkEnd w:id="2775"/>
    </w:p>
    <w:p w14:paraId="13DB5F97" w14:textId="77777777" w:rsidR="00737EB2" w:rsidRPr="00765F6E" w:rsidRDefault="00737EB2" w:rsidP="009D0776">
      <w:pPr>
        <w:pStyle w:val="22"/>
      </w:pPr>
      <w:bookmarkStart w:id="2776" w:name="_Toc153292157"/>
      <w:bookmarkStart w:id="2777" w:name="_Toc99792712"/>
      <w:r w:rsidRPr="00765F6E">
        <w:rPr>
          <w:rFonts w:hint="eastAsia"/>
        </w:rPr>
        <w:t>信息系统安全设计应包括环境安全、数据安全、网络与系统安全。</w:t>
      </w:r>
      <w:bookmarkEnd w:id="2776"/>
      <w:bookmarkEnd w:id="2777"/>
    </w:p>
    <w:p w14:paraId="61EED18F" w14:textId="77777777" w:rsidR="00737EB2" w:rsidRPr="00765F6E" w:rsidRDefault="00737EB2" w:rsidP="009D0776">
      <w:pPr>
        <w:pStyle w:val="22"/>
      </w:pPr>
      <w:bookmarkStart w:id="2778" w:name="_Toc99792713"/>
      <w:bookmarkStart w:id="2779" w:name="_Toc153292158"/>
      <w:r w:rsidRPr="00765F6E">
        <w:rPr>
          <w:rFonts w:hint="eastAsia"/>
        </w:rPr>
        <w:t>通过数据存储、本地数据备份或异地数据备份等措施保障系统数据安全。</w:t>
      </w:r>
      <w:bookmarkEnd w:id="2778"/>
      <w:bookmarkEnd w:id="2779"/>
    </w:p>
    <w:p w14:paraId="21EA5383" w14:textId="77777777" w:rsidR="00737EB2" w:rsidRPr="00765F6E" w:rsidRDefault="00737EB2" w:rsidP="009D0776">
      <w:pPr>
        <w:pStyle w:val="22"/>
      </w:pPr>
      <w:bookmarkStart w:id="2780" w:name="_Toc99792714"/>
      <w:bookmarkStart w:id="2781" w:name="_Toc153292159"/>
      <w:r w:rsidRPr="00765F6E">
        <w:rPr>
          <w:rFonts w:hint="eastAsia"/>
        </w:rPr>
        <w:t>信息系统安全宜采取下列措施：</w:t>
      </w:r>
      <w:bookmarkEnd w:id="2780"/>
      <w:bookmarkEnd w:id="2781"/>
    </w:p>
    <w:p w14:paraId="35928608" w14:textId="77777777" w:rsidR="00737EB2" w:rsidRPr="00765F6E" w:rsidRDefault="00737EB2" w:rsidP="003334F3">
      <w:pPr>
        <w:pStyle w:val="af6"/>
        <w:numPr>
          <w:ilvl w:val="0"/>
          <w:numId w:val="213"/>
        </w:numPr>
        <w:tabs>
          <w:tab w:val="left" w:pos="851"/>
        </w:tabs>
        <w:snapToGrid w:val="0"/>
        <w:contextualSpacing/>
      </w:pPr>
      <w:r w:rsidRPr="00765F6E">
        <w:rPr>
          <w:rFonts w:hint="eastAsia"/>
        </w:rPr>
        <w:t>通过身份认证和访问控制技术，实行分等级、分权限的访问控制，并部署病毒防护、入侵监测、内容过滤和日志审计等多种安全防范措施；</w:t>
      </w:r>
    </w:p>
    <w:p w14:paraId="512CB8A6" w14:textId="77777777" w:rsidR="00737EB2" w:rsidRPr="00765F6E" w:rsidRDefault="00737EB2" w:rsidP="003334F3">
      <w:pPr>
        <w:pStyle w:val="af6"/>
        <w:numPr>
          <w:ilvl w:val="0"/>
          <w:numId w:val="213"/>
        </w:numPr>
        <w:tabs>
          <w:tab w:val="left" w:pos="851"/>
        </w:tabs>
        <w:snapToGrid w:val="0"/>
        <w:contextualSpacing/>
      </w:pPr>
      <w:r w:rsidRPr="00765F6E">
        <w:rPr>
          <w:rFonts w:hint="eastAsia"/>
        </w:rPr>
        <w:t>不同安全域信息系统之间采用防火墙和虚拟专网等技术实施隔离和保护；</w:t>
      </w:r>
    </w:p>
    <w:p w14:paraId="3BB486AE" w14:textId="77777777" w:rsidR="00737EB2" w:rsidRPr="00765F6E" w:rsidRDefault="00737EB2" w:rsidP="003334F3">
      <w:pPr>
        <w:pStyle w:val="af6"/>
        <w:numPr>
          <w:ilvl w:val="0"/>
          <w:numId w:val="213"/>
        </w:numPr>
        <w:tabs>
          <w:tab w:val="left" w:pos="851"/>
        </w:tabs>
        <w:snapToGrid w:val="0"/>
        <w:contextualSpacing/>
      </w:pPr>
      <w:r w:rsidRPr="00765F6E">
        <w:rPr>
          <w:rFonts w:hint="eastAsia"/>
        </w:rPr>
        <w:t>内网信息系统与外网互联采用安全隔离和访问代理机制实施隔离。</w:t>
      </w:r>
    </w:p>
    <w:p w14:paraId="179F9AE7" w14:textId="77777777" w:rsidR="00737EB2" w:rsidRPr="00765F6E" w:rsidRDefault="00737EB2" w:rsidP="00737EB2">
      <w:pPr>
        <w:pStyle w:val="affe"/>
        <w:spacing w:before="156" w:after="156"/>
      </w:pPr>
      <w:bookmarkStart w:id="2782" w:name="_Toc153292160"/>
      <w:bookmarkStart w:id="2783" w:name="_Toc153210970"/>
      <w:bookmarkStart w:id="2784" w:name="_Toc99792715"/>
      <w:bookmarkStart w:id="2785" w:name="_Toc167895868"/>
      <w:bookmarkStart w:id="2786" w:name="_Toc174538782"/>
      <w:bookmarkStart w:id="2787" w:name="_Toc182476539"/>
      <w:r w:rsidRPr="00765F6E">
        <w:rPr>
          <w:rFonts w:hint="eastAsia"/>
        </w:rPr>
        <w:t>运行环境</w:t>
      </w:r>
      <w:bookmarkEnd w:id="2782"/>
      <w:bookmarkEnd w:id="2783"/>
      <w:bookmarkEnd w:id="2784"/>
      <w:bookmarkEnd w:id="2785"/>
      <w:bookmarkEnd w:id="2786"/>
      <w:bookmarkEnd w:id="2787"/>
    </w:p>
    <w:p w14:paraId="610653A7" w14:textId="77777777" w:rsidR="00737EB2" w:rsidRPr="00765F6E" w:rsidRDefault="00737EB2" w:rsidP="009D0776">
      <w:pPr>
        <w:pStyle w:val="22"/>
      </w:pPr>
      <w:bookmarkStart w:id="2788" w:name="_Toc153292161"/>
      <w:bookmarkStart w:id="2789" w:name="_Toc99792716"/>
      <w:r w:rsidRPr="00765F6E">
        <w:rPr>
          <w:rFonts w:hint="eastAsia"/>
        </w:rPr>
        <w:t>信息系统设备机房标准应符合GB 50174等相关技术标准。</w:t>
      </w:r>
      <w:bookmarkEnd w:id="2788"/>
      <w:bookmarkEnd w:id="2789"/>
    </w:p>
    <w:p w14:paraId="4AC40F4D" w14:textId="77777777" w:rsidR="00737EB2" w:rsidRPr="00765F6E" w:rsidRDefault="00737EB2" w:rsidP="009D0776">
      <w:pPr>
        <w:pStyle w:val="22"/>
      </w:pPr>
      <w:bookmarkStart w:id="2790" w:name="_Toc99792717"/>
      <w:bookmarkStart w:id="2791" w:name="_Toc153292162"/>
      <w:r w:rsidRPr="00765F6E">
        <w:rPr>
          <w:rFonts w:hint="eastAsia"/>
        </w:rPr>
        <w:t>信息系统机房应根据维护要求配置相应的维护用房。</w:t>
      </w:r>
      <w:bookmarkEnd w:id="2790"/>
      <w:bookmarkEnd w:id="2791"/>
    </w:p>
    <w:p w14:paraId="5E8BCA72" w14:textId="77777777" w:rsidR="00737EB2" w:rsidRPr="00765F6E" w:rsidRDefault="00737EB2" w:rsidP="009D0776">
      <w:pPr>
        <w:pStyle w:val="22"/>
      </w:pPr>
      <w:bookmarkStart w:id="2792" w:name="_Toc153292163"/>
      <w:bookmarkStart w:id="2793" w:name="_Toc99792718"/>
      <w:r w:rsidRPr="00765F6E">
        <w:rPr>
          <w:rFonts w:hint="eastAsia"/>
        </w:rPr>
        <w:t>条件具备时，机房装修、空调、电源、监控、管线等配套设施可采用集成化设计。</w:t>
      </w:r>
      <w:bookmarkEnd w:id="2792"/>
      <w:bookmarkEnd w:id="2793"/>
    </w:p>
    <w:p w14:paraId="33E27093" w14:textId="77777777" w:rsidR="00737EB2" w:rsidRPr="00765F6E" w:rsidRDefault="00737EB2" w:rsidP="009D0776">
      <w:pPr>
        <w:pStyle w:val="22"/>
      </w:pPr>
      <w:bookmarkStart w:id="2794" w:name="_Toc153292164"/>
      <w:bookmarkStart w:id="2795" w:name="_Toc99792719"/>
      <w:r w:rsidRPr="00765F6E">
        <w:rPr>
          <w:rFonts w:hint="eastAsia"/>
        </w:rPr>
        <w:t>信息系统电源设置符合下列规定：</w:t>
      </w:r>
      <w:bookmarkEnd w:id="2794"/>
      <w:bookmarkEnd w:id="2795"/>
    </w:p>
    <w:p w14:paraId="1105863B" w14:textId="77777777" w:rsidR="00737EB2" w:rsidRPr="00765F6E" w:rsidRDefault="00737EB2" w:rsidP="003334F3">
      <w:pPr>
        <w:pStyle w:val="af6"/>
        <w:numPr>
          <w:ilvl w:val="0"/>
          <w:numId w:val="214"/>
        </w:numPr>
        <w:tabs>
          <w:tab w:val="left" w:pos="851"/>
        </w:tabs>
        <w:snapToGrid w:val="0"/>
        <w:contextualSpacing/>
      </w:pPr>
      <w:r w:rsidRPr="00765F6E">
        <w:rPr>
          <w:rFonts w:hint="eastAsia"/>
        </w:rPr>
        <w:t>调度中心、车站、车辆基地的信息机房等处所应设置信息电源设备；</w:t>
      </w:r>
    </w:p>
    <w:p w14:paraId="1BFB3C35" w14:textId="77777777" w:rsidR="00737EB2" w:rsidRPr="00765F6E" w:rsidRDefault="00737EB2" w:rsidP="003334F3">
      <w:pPr>
        <w:pStyle w:val="af6"/>
        <w:numPr>
          <w:ilvl w:val="0"/>
          <w:numId w:val="214"/>
        </w:numPr>
        <w:tabs>
          <w:tab w:val="left" w:pos="851"/>
        </w:tabs>
        <w:snapToGrid w:val="0"/>
        <w:contextualSpacing/>
      </w:pPr>
      <w:r w:rsidRPr="00765F6E">
        <w:rPr>
          <w:rFonts w:hint="eastAsia"/>
        </w:rPr>
        <w:t>信息系统的调度中心系统、车站系统和车辆基地系统及相应终端设备的用电负荷应为一级负荷，培训、维修及测试系统的用电负荷宜为二级负荷；</w:t>
      </w:r>
    </w:p>
    <w:p w14:paraId="10418EA1" w14:textId="77777777" w:rsidR="00737EB2" w:rsidRPr="00765F6E" w:rsidRDefault="00737EB2" w:rsidP="003334F3">
      <w:pPr>
        <w:pStyle w:val="af6"/>
        <w:numPr>
          <w:ilvl w:val="0"/>
          <w:numId w:val="214"/>
        </w:numPr>
        <w:tabs>
          <w:tab w:val="left" w:pos="851"/>
        </w:tabs>
        <w:snapToGrid w:val="0"/>
        <w:contextualSpacing/>
      </w:pPr>
      <w:r w:rsidRPr="00765F6E">
        <w:rPr>
          <w:rFonts w:hint="eastAsia"/>
        </w:rPr>
        <w:t>信息系统宜设置在线式UPS，UPS可与相关专业合并设置；</w:t>
      </w:r>
    </w:p>
    <w:p w14:paraId="3E097401" w14:textId="77777777" w:rsidR="00737EB2" w:rsidRPr="00765F6E" w:rsidRDefault="00737EB2" w:rsidP="003334F3">
      <w:pPr>
        <w:pStyle w:val="af6"/>
        <w:numPr>
          <w:ilvl w:val="0"/>
          <w:numId w:val="214"/>
        </w:numPr>
        <w:tabs>
          <w:tab w:val="left" w:pos="851"/>
        </w:tabs>
        <w:snapToGrid w:val="0"/>
        <w:contextualSpacing/>
      </w:pPr>
      <w:r w:rsidRPr="00765F6E">
        <w:rPr>
          <w:rFonts w:hint="eastAsia"/>
        </w:rPr>
        <w:t>UPS供电范围宜包括各信息系统服务器、网络设备、安全设备和重要终端设备；</w:t>
      </w:r>
    </w:p>
    <w:p w14:paraId="0BB42913" w14:textId="77777777" w:rsidR="00737EB2" w:rsidRPr="00765F6E" w:rsidRDefault="00737EB2" w:rsidP="003334F3">
      <w:pPr>
        <w:pStyle w:val="af6"/>
        <w:numPr>
          <w:ilvl w:val="0"/>
          <w:numId w:val="214"/>
        </w:numPr>
        <w:tabs>
          <w:tab w:val="left" w:pos="851"/>
        </w:tabs>
        <w:snapToGrid w:val="0"/>
        <w:contextualSpacing/>
      </w:pPr>
      <w:r w:rsidRPr="00765F6E">
        <w:rPr>
          <w:rFonts w:hint="eastAsia"/>
        </w:rPr>
        <w:t>蓄电池后备时间不宜小于1h。</w:t>
      </w:r>
    </w:p>
    <w:p w14:paraId="19988829" w14:textId="77777777" w:rsidR="00737EB2" w:rsidRPr="00765F6E" w:rsidRDefault="00737EB2" w:rsidP="009D0776">
      <w:pPr>
        <w:pStyle w:val="22"/>
      </w:pPr>
      <w:bookmarkStart w:id="2796" w:name="_Toc153292165"/>
      <w:bookmarkStart w:id="2797" w:name="_Toc99792720"/>
      <w:r w:rsidRPr="00765F6E">
        <w:rPr>
          <w:rFonts w:hint="eastAsia"/>
        </w:rPr>
        <w:t>信息系统机房、设备的防雷及接地设计应符合现行有关技术标准的规定。</w:t>
      </w:r>
      <w:bookmarkEnd w:id="2796"/>
      <w:bookmarkEnd w:id="2797"/>
    </w:p>
    <w:p w14:paraId="0BAC4099" w14:textId="77777777" w:rsidR="00737EB2" w:rsidRPr="00765F6E" w:rsidRDefault="00737EB2" w:rsidP="009D0776">
      <w:pPr>
        <w:pStyle w:val="22"/>
      </w:pPr>
      <w:bookmarkStart w:id="2798" w:name="_Toc153292166"/>
      <w:bookmarkStart w:id="2799" w:name="_Toc99792721"/>
      <w:r w:rsidRPr="00765F6E">
        <w:rPr>
          <w:rFonts w:hint="eastAsia"/>
        </w:rPr>
        <w:t>信息机房宜设置电源及环境监控系统，对信息电源和信息机柜微环境进行监控。</w:t>
      </w:r>
      <w:bookmarkEnd w:id="2798"/>
      <w:bookmarkEnd w:id="2799"/>
    </w:p>
    <w:p w14:paraId="6A36EDCB" w14:textId="77777777" w:rsidR="00737EB2" w:rsidRPr="00765F6E" w:rsidRDefault="00737EB2" w:rsidP="00737EB2">
      <w:pPr>
        <w:pStyle w:val="affe"/>
        <w:spacing w:before="156" w:after="156"/>
      </w:pPr>
      <w:bookmarkStart w:id="2800" w:name="_Toc153210971"/>
      <w:bookmarkStart w:id="2801" w:name="_Toc99792722"/>
      <w:bookmarkStart w:id="2802" w:name="_Toc153292167"/>
      <w:bookmarkStart w:id="2803" w:name="_Toc167895869"/>
      <w:bookmarkStart w:id="2804" w:name="_Toc174538783"/>
      <w:bookmarkStart w:id="2805" w:name="_Toc182476540"/>
      <w:r w:rsidRPr="00765F6E">
        <w:rPr>
          <w:rFonts w:hint="eastAsia"/>
        </w:rPr>
        <w:t>接口设计</w:t>
      </w:r>
      <w:bookmarkEnd w:id="2800"/>
      <w:bookmarkEnd w:id="2801"/>
      <w:bookmarkEnd w:id="2802"/>
      <w:bookmarkEnd w:id="2803"/>
      <w:bookmarkEnd w:id="2804"/>
      <w:bookmarkEnd w:id="2805"/>
    </w:p>
    <w:p w14:paraId="584D7822" w14:textId="77777777" w:rsidR="00737EB2" w:rsidRPr="00765F6E" w:rsidRDefault="00737EB2" w:rsidP="009D0776">
      <w:pPr>
        <w:pStyle w:val="22"/>
      </w:pPr>
      <w:bookmarkStart w:id="2806" w:name="_Toc99792723"/>
      <w:bookmarkStart w:id="2807" w:name="_Toc153292168"/>
      <w:r w:rsidRPr="00765F6E">
        <w:rPr>
          <w:rFonts w:hint="eastAsia"/>
        </w:rPr>
        <w:t>相关系统专业应按信息系统要求设计设备用房、通风、空调、照明、消防及电力配套措施。</w:t>
      </w:r>
      <w:bookmarkEnd w:id="2806"/>
      <w:bookmarkEnd w:id="2807"/>
    </w:p>
    <w:p w14:paraId="2F06A611" w14:textId="77777777" w:rsidR="00737EB2" w:rsidRPr="00765F6E" w:rsidRDefault="00737EB2" w:rsidP="009D0776">
      <w:pPr>
        <w:pStyle w:val="22"/>
      </w:pPr>
      <w:bookmarkStart w:id="2808" w:name="_Toc153292169"/>
      <w:bookmarkStart w:id="2809" w:name="_Toc99792724"/>
      <w:r w:rsidRPr="00765F6E">
        <w:rPr>
          <w:rFonts w:hint="eastAsia"/>
        </w:rPr>
        <w:t>通信系统应按信息系统要求提供传输系统和移动通信系统通道。</w:t>
      </w:r>
      <w:bookmarkEnd w:id="2808"/>
      <w:bookmarkEnd w:id="2809"/>
    </w:p>
    <w:p w14:paraId="2D1D9B5D" w14:textId="77777777" w:rsidR="00737EB2" w:rsidRPr="00765F6E" w:rsidRDefault="00737EB2" w:rsidP="009D0776">
      <w:pPr>
        <w:pStyle w:val="22"/>
      </w:pPr>
      <w:bookmarkStart w:id="2810" w:name="_Toc99792725"/>
      <w:bookmarkStart w:id="2811" w:name="_Toc153292170"/>
      <w:r w:rsidRPr="00765F6E">
        <w:rPr>
          <w:rFonts w:hint="eastAsia"/>
        </w:rPr>
        <w:t>旅客服务信息系统应获取行车实时运营时刻信息，宜在中心级与信号系统互联。</w:t>
      </w:r>
      <w:bookmarkEnd w:id="2810"/>
      <w:bookmarkEnd w:id="2811"/>
    </w:p>
    <w:p w14:paraId="63DE19AC" w14:textId="77777777" w:rsidR="00737EB2" w:rsidRPr="00765F6E" w:rsidRDefault="00737EB2" w:rsidP="009D0776">
      <w:pPr>
        <w:pStyle w:val="22"/>
      </w:pPr>
      <w:bookmarkStart w:id="2812" w:name="_Toc153292171"/>
      <w:bookmarkStart w:id="2813" w:name="_Toc99792726"/>
      <w:r w:rsidRPr="00765F6E">
        <w:rPr>
          <w:rFonts w:hint="eastAsia"/>
        </w:rPr>
        <w:lastRenderedPageBreak/>
        <w:t>客票系统应实现与火灾自动报警系统联动，自动检票机通道应能实现自动释放和手动释放。</w:t>
      </w:r>
      <w:bookmarkEnd w:id="2812"/>
      <w:bookmarkEnd w:id="2813"/>
    </w:p>
    <w:p w14:paraId="5A8BC1FC" w14:textId="77777777" w:rsidR="00737EB2" w:rsidRPr="00765F6E" w:rsidRDefault="00737EB2" w:rsidP="009D0776">
      <w:pPr>
        <w:pStyle w:val="22"/>
      </w:pPr>
      <w:bookmarkStart w:id="2814" w:name="_Toc99792727"/>
      <w:bookmarkStart w:id="2815" w:name="_Toc153292172"/>
      <w:r w:rsidRPr="00765F6E">
        <w:rPr>
          <w:rFonts w:hint="eastAsia"/>
        </w:rPr>
        <w:t>车站控制室综合后备盘上应设检票机紧急释放控制按钮。</w:t>
      </w:r>
      <w:bookmarkEnd w:id="2814"/>
      <w:bookmarkEnd w:id="2815"/>
    </w:p>
    <w:p w14:paraId="3E9DCCF8" w14:textId="77777777" w:rsidR="00737EB2" w:rsidRPr="00765F6E" w:rsidRDefault="00737EB2" w:rsidP="009D0776">
      <w:pPr>
        <w:pStyle w:val="22"/>
      </w:pPr>
      <w:bookmarkStart w:id="2816" w:name="_Toc99792728"/>
      <w:bookmarkStart w:id="2817" w:name="_Toc153292173"/>
      <w:r w:rsidRPr="00765F6E">
        <w:rPr>
          <w:rFonts w:hint="eastAsia"/>
        </w:rPr>
        <w:t>广播系统兼做消防广播时，广播系统应设置负载切换控制设备。</w:t>
      </w:r>
      <w:bookmarkEnd w:id="2816"/>
      <w:bookmarkEnd w:id="2817"/>
    </w:p>
    <w:p w14:paraId="46CD1990" w14:textId="5F524BD1" w:rsidR="00737EB2" w:rsidRDefault="00737EB2" w:rsidP="00737EB2">
      <w:pPr>
        <w:pStyle w:val="affd"/>
        <w:spacing w:before="312" w:after="312"/>
      </w:pPr>
      <w:bookmarkStart w:id="2818" w:name="_Toc99792729"/>
      <w:bookmarkStart w:id="2819" w:name="_Toc153292174"/>
      <w:bookmarkStart w:id="2820" w:name="_Toc153210972"/>
      <w:bookmarkStart w:id="2821" w:name="_Toc167895870"/>
      <w:bookmarkStart w:id="2822" w:name="_Toc174538784"/>
      <w:bookmarkStart w:id="2823" w:name="_Toc182476541"/>
      <w:r w:rsidRPr="00765F6E">
        <w:rPr>
          <w:rFonts w:hint="eastAsia"/>
        </w:rPr>
        <w:t>车站机械设备</w:t>
      </w:r>
      <w:bookmarkEnd w:id="2818"/>
      <w:bookmarkEnd w:id="2819"/>
      <w:bookmarkEnd w:id="2820"/>
      <w:bookmarkEnd w:id="2821"/>
      <w:bookmarkEnd w:id="2822"/>
      <w:bookmarkEnd w:id="2823"/>
    </w:p>
    <w:p w14:paraId="354D052C" w14:textId="1DE8B712" w:rsidR="00DE0C56" w:rsidRPr="00765F6E" w:rsidRDefault="00DE0C56" w:rsidP="00DE0C56">
      <w:pPr>
        <w:pStyle w:val="affe"/>
        <w:spacing w:before="156" w:after="156"/>
      </w:pPr>
      <w:bookmarkStart w:id="2824" w:name="_Toc182476542"/>
      <w:r>
        <w:rPr>
          <w:rFonts w:hint="eastAsia"/>
        </w:rPr>
        <w:t>一般规定</w:t>
      </w:r>
      <w:bookmarkEnd w:id="2824"/>
    </w:p>
    <w:p w14:paraId="56E863C3" w14:textId="61EC1B8A" w:rsidR="00DE0C56" w:rsidRPr="00DE0C56" w:rsidRDefault="00DE0C56" w:rsidP="00453DBE">
      <w:pPr>
        <w:pStyle w:val="22"/>
        <w:rPr>
          <w:noProof/>
        </w:rPr>
      </w:pPr>
      <w:r w:rsidRPr="00DE0C56">
        <w:rPr>
          <w:rFonts w:hint="eastAsia"/>
          <w:noProof/>
        </w:rPr>
        <w:t>站台门设计应遵循模块化和冗余设计的原则。满足安全、可靠、可维护、可扩展的技术要求。</w:t>
      </w:r>
    </w:p>
    <w:p w14:paraId="2C480B2E" w14:textId="43E40015" w:rsidR="00DE0C56" w:rsidRPr="00DE0C56" w:rsidRDefault="00DE0C56" w:rsidP="00453DBE">
      <w:pPr>
        <w:pStyle w:val="22"/>
        <w:rPr>
          <w:noProof/>
        </w:rPr>
      </w:pPr>
      <w:r w:rsidRPr="00DE0C56">
        <w:rPr>
          <w:rFonts w:hint="eastAsia"/>
          <w:noProof/>
        </w:rPr>
        <w:t>站台门的工作环境应满足所在地区车站站台及轨行区温度、湿度及抗震设防的要求。</w:t>
      </w:r>
    </w:p>
    <w:p w14:paraId="62E1A74B" w14:textId="445E9B5E" w:rsidR="00DE0C56" w:rsidRPr="00DE0C56" w:rsidRDefault="00DE0C56" w:rsidP="00453DBE">
      <w:pPr>
        <w:pStyle w:val="22"/>
        <w:rPr>
          <w:noProof/>
        </w:rPr>
      </w:pPr>
      <w:r w:rsidRPr="00DE0C56">
        <w:rPr>
          <w:rFonts w:hint="eastAsia"/>
          <w:noProof/>
        </w:rPr>
        <w:t>站台门的类型应结合气候及环境条件、线路特点、车站建筑形式、站台防护需求、通风与空调制式、服务标准、车站条件、动车组类型等因素综合选定。地下车站宜采用高站台门，地面、高架车站宜采用低站台门。</w:t>
      </w:r>
    </w:p>
    <w:p w14:paraId="05DBE24F" w14:textId="01DE2705" w:rsidR="00DE0C56" w:rsidRPr="00DE0C56" w:rsidRDefault="00DE0C56" w:rsidP="00453DBE">
      <w:pPr>
        <w:pStyle w:val="22"/>
        <w:rPr>
          <w:noProof/>
        </w:rPr>
      </w:pPr>
      <w:r w:rsidRPr="00DE0C56">
        <w:rPr>
          <w:rFonts w:hint="eastAsia"/>
          <w:noProof/>
        </w:rPr>
        <w:t>自动扶梯和自动人行道应适应项目所在地区的自然环境和车站工作环境条件。</w:t>
      </w:r>
    </w:p>
    <w:p w14:paraId="5F85A00D" w14:textId="3C3C22DD" w:rsidR="00DE0C56" w:rsidRPr="00DE0C56" w:rsidRDefault="00DE0C56" w:rsidP="00453DBE">
      <w:pPr>
        <w:pStyle w:val="22"/>
        <w:rPr>
          <w:noProof/>
        </w:rPr>
      </w:pPr>
      <w:r w:rsidRPr="00DE0C56">
        <w:rPr>
          <w:rFonts w:hint="eastAsia"/>
          <w:noProof/>
        </w:rPr>
        <w:t>自动扶梯和自动人行道应采用重载公共交通型设备。</w:t>
      </w:r>
    </w:p>
    <w:p w14:paraId="245A0B22" w14:textId="308F5D7A" w:rsidR="00DE0C56" w:rsidRPr="00DE0C56" w:rsidRDefault="00DE0C56" w:rsidP="00453DBE">
      <w:pPr>
        <w:pStyle w:val="22"/>
        <w:rPr>
          <w:noProof/>
        </w:rPr>
      </w:pPr>
      <w:r w:rsidRPr="00DE0C56">
        <w:rPr>
          <w:rFonts w:hint="eastAsia"/>
          <w:noProof/>
        </w:rPr>
        <w:t>自动扶梯和自动人行道的设计、制造应符合GB 16899要求。应配置附加制动器，附加制动器应满足在安全回路断开、急停按钮动作、钥匙开关停梯后延时动作的要求。</w:t>
      </w:r>
    </w:p>
    <w:p w14:paraId="76AD4F21" w14:textId="4CCB70A9" w:rsidR="00DE0C56" w:rsidRPr="00DE0C56" w:rsidRDefault="00DE0C56" w:rsidP="00453DBE">
      <w:pPr>
        <w:pStyle w:val="22"/>
      </w:pPr>
      <w:r w:rsidRPr="00DE0C56">
        <w:rPr>
          <w:rFonts w:hint="eastAsia"/>
          <w:noProof/>
        </w:rPr>
        <w:t>设置在车站的电梯宜选用无机房电梯；设置在车辆基地、停车场变电所和控制中心的电梯应根据功能需求确定。</w:t>
      </w:r>
    </w:p>
    <w:p w14:paraId="455A907D" w14:textId="77777777" w:rsidR="00737EB2" w:rsidRPr="00765F6E" w:rsidRDefault="00737EB2" w:rsidP="00DE0C56">
      <w:pPr>
        <w:pStyle w:val="affe"/>
        <w:spacing w:before="156" w:after="156"/>
      </w:pPr>
      <w:bookmarkStart w:id="2825" w:name="_Toc99792730"/>
      <w:bookmarkStart w:id="2826" w:name="_Toc153292175"/>
      <w:bookmarkStart w:id="2827" w:name="_Toc153210973"/>
      <w:bookmarkStart w:id="2828" w:name="_Toc167895871"/>
      <w:bookmarkStart w:id="2829" w:name="_Toc174538785"/>
      <w:bookmarkStart w:id="2830" w:name="_Toc182476543"/>
      <w:r w:rsidRPr="00765F6E">
        <w:rPr>
          <w:rFonts w:hint="eastAsia"/>
        </w:rPr>
        <w:t>自动扶梯和自动人行道</w:t>
      </w:r>
      <w:bookmarkEnd w:id="2825"/>
      <w:bookmarkEnd w:id="2826"/>
      <w:bookmarkEnd w:id="2827"/>
      <w:bookmarkEnd w:id="2828"/>
      <w:bookmarkEnd w:id="2829"/>
      <w:bookmarkEnd w:id="2830"/>
    </w:p>
    <w:p w14:paraId="3E65E9D2" w14:textId="77777777" w:rsidR="00737EB2" w:rsidRPr="00765F6E" w:rsidRDefault="00737EB2" w:rsidP="009D0776">
      <w:pPr>
        <w:pStyle w:val="22"/>
      </w:pPr>
      <w:bookmarkStart w:id="2831" w:name="_Toc99792731"/>
      <w:bookmarkStart w:id="2832" w:name="_Toc153292176"/>
      <w:r w:rsidRPr="00765F6E">
        <w:rPr>
          <w:rFonts w:hint="eastAsia"/>
        </w:rPr>
        <w:t>自动扶梯、自动人行道应适应所在地区的自然条件。</w:t>
      </w:r>
      <w:bookmarkEnd w:id="2831"/>
      <w:bookmarkEnd w:id="2832"/>
    </w:p>
    <w:p w14:paraId="66C7F208" w14:textId="77777777" w:rsidR="00737EB2" w:rsidRPr="00765F6E" w:rsidRDefault="00737EB2" w:rsidP="009D0776">
      <w:pPr>
        <w:pStyle w:val="22"/>
      </w:pPr>
      <w:bookmarkStart w:id="2833" w:name="_Toc99792732"/>
      <w:bookmarkStart w:id="2834" w:name="_Toc153292177"/>
      <w:r w:rsidRPr="00765F6E">
        <w:rPr>
          <w:rFonts w:hint="eastAsia"/>
        </w:rPr>
        <w:t>自动扶梯和自动人行道应采用</w:t>
      </w:r>
      <w:bookmarkEnd w:id="2833"/>
      <w:r w:rsidRPr="00765F6E">
        <w:rPr>
          <w:rFonts w:hint="eastAsia"/>
        </w:rPr>
        <w:t>公共交通重载型，设备应能满足大客流情况下高强度使用；全年每天连续运行时间不应少于20h。</w:t>
      </w:r>
      <w:bookmarkEnd w:id="2834"/>
    </w:p>
    <w:p w14:paraId="1F9D0775" w14:textId="77777777" w:rsidR="00737EB2" w:rsidRPr="00765F6E" w:rsidRDefault="00737EB2" w:rsidP="009D0776">
      <w:pPr>
        <w:pStyle w:val="22"/>
      </w:pPr>
      <w:bookmarkStart w:id="2835" w:name="_Toc153292178"/>
      <w:bookmarkStart w:id="2836" w:name="_Toc99792733"/>
      <w:r w:rsidRPr="00765F6E">
        <w:rPr>
          <w:rFonts w:hint="eastAsia"/>
        </w:rPr>
        <w:t>自动扶梯的倾斜角度不应大于30°，自动人行道的倾斜角度不应大于12°。梯级净宽度不宜小于1m。</w:t>
      </w:r>
      <w:bookmarkEnd w:id="2835"/>
      <w:bookmarkEnd w:id="2836"/>
    </w:p>
    <w:p w14:paraId="6633D238" w14:textId="28B259E9" w:rsidR="00737EB2" w:rsidRPr="00765F6E" w:rsidRDefault="00B64416" w:rsidP="009D0776">
      <w:pPr>
        <w:pStyle w:val="22"/>
      </w:pPr>
      <w:bookmarkStart w:id="2837" w:name="_Toc99792734"/>
      <w:bookmarkStart w:id="2838" w:name="_Toc153292179"/>
      <w:r w:rsidRPr="00B64416">
        <w:rPr>
          <w:rFonts w:hint="eastAsia"/>
        </w:rPr>
        <w:t>自动扶梯提升高度不宜大于13m，超过13m 时宜采用分段提升；自动人行道使用区长度不宜大于80m</w:t>
      </w:r>
      <w:r w:rsidR="00737EB2" w:rsidRPr="00765F6E">
        <w:rPr>
          <w:rFonts w:hint="eastAsia"/>
        </w:rPr>
        <w:t>。</w:t>
      </w:r>
      <w:bookmarkEnd w:id="2837"/>
      <w:bookmarkEnd w:id="2838"/>
    </w:p>
    <w:p w14:paraId="6D148974" w14:textId="77777777" w:rsidR="00737EB2" w:rsidRPr="00765F6E" w:rsidRDefault="00737EB2" w:rsidP="009D0776">
      <w:pPr>
        <w:pStyle w:val="22"/>
      </w:pPr>
      <w:bookmarkStart w:id="2839" w:name="_Toc153292180"/>
      <w:bookmarkStart w:id="2840" w:name="_Toc99792735"/>
      <w:r w:rsidRPr="00765F6E">
        <w:rPr>
          <w:rFonts w:hint="eastAsia"/>
        </w:rPr>
        <w:t>自动扶梯和自动人行道应采用就地控制方式，宜设车站级控制。</w:t>
      </w:r>
      <w:bookmarkEnd w:id="2839"/>
      <w:bookmarkEnd w:id="2840"/>
    </w:p>
    <w:p w14:paraId="47EA228C" w14:textId="77777777" w:rsidR="00737EB2" w:rsidRPr="00765F6E" w:rsidRDefault="00737EB2" w:rsidP="009D0776">
      <w:pPr>
        <w:pStyle w:val="22"/>
      </w:pPr>
      <w:bookmarkStart w:id="2841" w:name="_Toc153292181"/>
      <w:bookmarkStart w:id="2842" w:name="_Toc99792736"/>
      <w:r w:rsidRPr="00765F6E">
        <w:rPr>
          <w:rFonts w:hint="eastAsia"/>
        </w:rPr>
        <w:t>自动扶梯、自动人行道应接受BAS监视。设备布置处应设置视频监视装置。</w:t>
      </w:r>
      <w:bookmarkEnd w:id="2841"/>
      <w:bookmarkEnd w:id="2842"/>
    </w:p>
    <w:p w14:paraId="7C3C34FD" w14:textId="77777777" w:rsidR="00737EB2" w:rsidRPr="00765F6E" w:rsidRDefault="00737EB2" w:rsidP="009D0776">
      <w:pPr>
        <w:pStyle w:val="22"/>
      </w:pPr>
      <w:bookmarkStart w:id="2843" w:name="_Toc99792737"/>
      <w:bookmarkStart w:id="2844" w:name="_Toc153292182"/>
      <w:r w:rsidRPr="00765F6E">
        <w:rPr>
          <w:rFonts w:hint="eastAsia"/>
        </w:rPr>
        <w:t>自动扶梯、自动人行道宜具有故障预测与健康管理功能，其可靠度应大于或等于9</w:t>
      </w:r>
      <w:r w:rsidRPr="00765F6E">
        <w:t>8.5</w:t>
      </w:r>
      <w:r w:rsidRPr="00765F6E">
        <w:rPr>
          <w:rFonts w:hint="eastAsia"/>
        </w:rPr>
        <w:t>%。</w:t>
      </w:r>
      <w:bookmarkEnd w:id="2843"/>
      <w:bookmarkEnd w:id="2844"/>
    </w:p>
    <w:p w14:paraId="55371D62" w14:textId="77777777" w:rsidR="00737EB2" w:rsidRPr="00765F6E" w:rsidRDefault="00737EB2" w:rsidP="009D0776">
      <w:pPr>
        <w:pStyle w:val="22"/>
      </w:pPr>
      <w:bookmarkStart w:id="2845" w:name="_Toc153292184"/>
      <w:bookmarkStart w:id="2846" w:name="_Toc99792739"/>
      <w:r w:rsidRPr="00765F6E">
        <w:rPr>
          <w:rFonts w:hint="eastAsia"/>
        </w:rPr>
        <w:t>自动扶梯、自动人行道设计应根据安装要求设置预埋件，并预留吊装条件。</w:t>
      </w:r>
      <w:bookmarkEnd w:id="2845"/>
      <w:bookmarkEnd w:id="2846"/>
    </w:p>
    <w:p w14:paraId="3E6F0DDF" w14:textId="77777777" w:rsidR="00737EB2" w:rsidRPr="00765F6E" w:rsidRDefault="00737EB2" w:rsidP="009D0776">
      <w:pPr>
        <w:pStyle w:val="22"/>
      </w:pPr>
      <w:bookmarkStart w:id="2847" w:name="_Toc153292185"/>
      <w:bookmarkStart w:id="2848" w:name="_Toc99792740"/>
      <w:r w:rsidRPr="00765F6E">
        <w:rPr>
          <w:rFonts w:hint="eastAsia"/>
        </w:rPr>
        <w:t>自动扶梯及自动人行道应符合GB 16899的有关规定，附加制动器还应满足在安全回路断开、急停按钮动作、钥匙开关停梯后延时动作的要求。</w:t>
      </w:r>
      <w:bookmarkEnd w:id="2847"/>
      <w:bookmarkEnd w:id="2848"/>
    </w:p>
    <w:p w14:paraId="4573F29D" w14:textId="7B31D6B7" w:rsidR="00737EB2" w:rsidRPr="00765F6E" w:rsidRDefault="00737EB2" w:rsidP="009D0776">
      <w:pPr>
        <w:pStyle w:val="22"/>
      </w:pPr>
      <w:bookmarkStart w:id="2849" w:name="_Toc153292186"/>
      <w:bookmarkStart w:id="2850" w:name="_Toc99792741"/>
      <w:r w:rsidRPr="00765F6E">
        <w:rPr>
          <w:rFonts w:hint="eastAsia"/>
        </w:rPr>
        <w:t>自动扶梯和自动人行道的额定速度不应小于0.5m/s，宜选用0.65m/s，并具备变频调速的功能。自动扶梯额定速度为0.5m/s时，上、下出入口导向段梯级水平移动距离不应小于12</w:t>
      </w:r>
      <w:r w:rsidRPr="00765F6E">
        <w:t>0</w:t>
      </w:r>
      <w:r w:rsidRPr="00765F6E">
        <w:rPr>
          <w:rFonts w:hint="eastAsia"/>
        </w:rPr>
        <w:t>0mm，上、下水平梯级数量不应少于3 块；自动扶梯额定速度为0.65m/s 时，上、下出入口导向段梯级水平移动距离不应小于1600mm，上、下水平梯级数量不应少于4块。</w:t>
      </w:r>
      <w:bookmarkEnd w:id="2849"/>
      <w:bookmarkEnd w:id="2850"/>
    </w:p>
    <w:p w14:paraId="0C2F3945" w14:textId="77777777" w:rsidR="00737EB2" w:rsidRPr="00765F6E" w:rsidRDefault="00737EB2" w:rsidP="009D0776">
      <w:pPr>
        <w:pStyle w:val="22"/>
      </w:pPr>
      <w:bookmarkStart w:id="2851" w:name="_Toc153292187"/>
      <w:bookmarkStart w:id="2852" w:name="_Toc99792742"/>
      <w:r w:rsidRPr="00765F6E">
        <w:rPr>
          <w:rFonts w:hint="eastAsia"/>
        </w:rPr>
        <w:t>自动扶梯提升高度不大于</w:t>
      </w:r>
      <w:r w:rsidRPr="00765F6E">
        <w:t>10m时，上导轨曲率半径不应小于2600mm；提升高度大于10m，上导轨曲率半径不应小于3600mm。自动扶梯下导轨曲率半径不应小于2000mm</w:t>
      </w:r>
      <w:r w:rsidRPr="00765F6E">
        <w:rPr>
          <w:rFonts w:hint="eastAsia"/>
        </w:rPr>
        <w:t>。</w:t>
      </w:r>
      <w:bookmarkEnd w:id="2851"/>
      <w:bookmarkEnd w:id="2852"/>
    </w:p>
    <w:p w14:paraId="0AB4C371" w14:textId="77777777" w:rsidR="00737EB2" w:rsidRPr="00765F6E" w:rsidRDefault="00737EB2" w:rsidP="009D0776">
      <w:pPr>
        <w:pStyle w:val="22"/>
      </w:pPr>
      <w:bookmarkStart w:id="2853" w:name="_Toc153292188"/>
      <w:bookmarkStart w:id="2854" w:name="_Toc99792743"/>
      <w:r w:rsidRPr="00765F6E">
        <w:rPr>
          <w:rFonts w:hint="eastAsia"/>
        </w:rPr>
        <w:t>自动扶梯、自动人行道在5000N/m</w:t>
      </w:r>
      <w:r w:rsidRPr="00765F6E">
        <w:rPr>
          <w:rFonts w:hint="eastAsia"/>
          <w:vertAlign w:val="superscript"/>
        </w:rPr>
        <w:t>2</w:t>
      </w:r>
      <w:r w:rsidRPr="00765F6E">
        <w:rPr>
          <w:rFonts w:hint="eastAsia"/>
        </w:rPr>
        <w:t>的载荷作用下，计算或实测的桁架最大挠度不应大于支承距离的1/1500。</w:t>
      </w:r>
      <w:bookmarkEnd w:id="2853"/>
      <w:bookmarkEnd w:id="2854"/>
    </w:p>
    <w:p w14:paraId="53BA8271" w14:textId="77777777" w:rsidR="00737EB2" w:rsidRPr="00765F6E" w:rsidRDefault="00737EB2" w:rsidP="009D0776">
      <w:pPr>
        <w:pStyle w:val="22"/>
      </w:pPr>
      <w:bookmarkStart w:id="2855" w:name="_Toc153292189"/>
      <w:bookmarkStart w:id="2856" w:name="_Toc99792744"/>
      <w:r w:rsidRPr="00765F6E">
        <w:rPr>
          <w:rFonts w:hint="eastAsia"/>
        </w:rPr>
        <w:t>出入口自动扶梯上下盖板应设有开启报警功能，当盖板被打开时，自动扶梯应停止运行并报警。</w:t>
      </w:r>
      <w:bookmarkEnd w:id="2855"/>
      <w:bookmarkEnd w:id="2856"/>
    </w:p>
    <w:p w14:paraId="352B1253" w14:textId="77777777" w:rsidR="00737EB2" w:rsidRPr="00765F6E" w:rsidRDefault="00737EB2" w:rsidP="009D0776">
      <w:pPr>
        <w:pStyle w:val="22"/>
      </w:pPr>
      <w:bookmarkStart w:id="2857" w:name="_Toc99792745"/>
      <w:bookmarkStart w:id="2858" w:name="_Toc153292190"/>
      <w:r w:rsidRPr="00765F6E">
        <w:rPr>
          <w:rFonts w:hint="eastAsia"/>
        </w:rPr>
        <w:t>自动扶梯和自动人行道内的电线、电缆及柔性套管应采用低烟、无卤、阻燃型。</w:t>
      </w:r>
      <w:bookmarkEnd w:id="2857"/>
      <w:bookmarkEnd w:id="2858"/>
    </w:p>
    <w:p w14:paraId="506ADBDC" w14:textId="77777777" w:rsidR="00737EB2" w:rsidRPr="00765F6E" w:rsidRDefault="00737EB2" w:rsidP="009D0776">
      <w:pPr>
        <w:pStyle w:val="22"/>
      </w:pPr>
      <w:bookmarkStart w:id="2859" w:name="_Toc153292191"/>
      <w:bookmarkStart w:id="2860" w:name="_Toc99792746"/>
      <w:r w:rsidRPr="00765F6E">
        <w:rPr>
          <w:rFonts w:hint="eastAsia"/>
        </w:rPr>
        <w:t>事故疏散用自动扶梯，应按一级负荷供电。</w:t>
      </w:r>
      <w:bookmarkEnd w:id="2859"/>
      <w:bookmarkEnd w:id="2860"/>
    </w:p>
    <w:p w14:paraId="2E815B5E" w14:textId="77777777" w:rsidR="00737EB2" w:rsidRPr="00765F6E" w:rsidRDefault="00737EB2" w:rsidP="009D0776">
      <w:pPr>
        <w:pStyle w:val="22"/>
      </w:pPr>
      <w:bookmarkStart w:id="2861" w:name="_Toc99792747"/>
      <w:bookmarkStart w:id="2862" w:name="_Toc153292192"/>
      <w:r w:rsidRPr="00765F6E">
        <w:rPr>
          <w:rFonts w:hint="eastAsia"/>
        </w:rPr>
        <w:t>自动扶梯及自动人行道机坑内应优先采用重力流排水，并考虑防漏水、渗水设计。无重力流排水条件时，应在机坑外设集水坑和配备排水设施。室外型自动扶梯还应配置油水分离设备。</w:t>
      </w:r>
      <w:bookmarkEnd w:id="2861"/>
      <w:bookmarkEnd w:id="2862"/>
    </w:p>
    <w:p w14:paraId="339AF3D3" w14:textId="77777777" w:rsidR="00737EB2" w:rsidRPr="00765F6E" w:rsidRDefault="00737EB2" w:rsidP="00737EB2">
      <w:pPr>
        <w:pStyle w:val="affe"/>
        <w:spacing w:before="156" w:after="156"/>
      </w:pPr>
      <w:bookmarkStart w:id="2863" w:name="_Toc153210974"/>
      <w:bookmarkStart w:id="2864" w:name="_Toc99792748"/>
      <w:bookmarkStart w:id="2865" w:name="_Toc153292193"/>
      <w:bookmarkStart w:id="2866" w:name="_Toc167895872"/>
      <w:bookmarkStart w:id="2867" w:name="_Toc174538786"/>
      <w:bookmarkStart w:id="2868" w:name="_Toc182476544"/>
      <w:r w:rsidRPr="00765F6E">
        <w:rPr>
          <w:rFonts w:hint="eastAsia"/>
        </w:rPr>
        <w:lastRenderedPageBreak/>
        <w:t>电梯</w:t>
      </w:r>
      <w:bookmarkEnd w:id="2863"/>
      <w:bookmarkEnd w:id="2864"/>
      <w:bookmarkEnd w:id="2865"/>
      <w:bookmarkEnd w:id="2866"/>
      <w:bookmarkEnd w:id="2867"/>
      <w:bookmarkEnd w:id="2868"/>
    </w:p>
    <w:p w14:paraId="5A88B4DA" w14:textId="5D2FFBA9" w:rsidR="00737EB2" w:rsidRPr="00765F6E" w:rsidRDefault="00737EB2" w:rsidP="009D0776">
      <w:pPr>
        <w:pStyle w:val="22"/>
      </w:pPr>
      <w:bookmarkStart w:id="2869" w:name="_Toc153292194"/>
      <w:bookmarkStart w:id="2870" w:name="_Toc99792749"/>
      <w:r w:rsidRPr="00765F6E">
        <w:rPr>
          <w:rFonts w:hint="eastAsia"/>
        </w:rPr>
        <w:t>车站</w:t>
      </w:r>
      <w:r w:rsidR="007C76C0">
        <w:rPr>
          <w:rFonts w:hint="eastAsia"/>
        </w:rPr>
        <w:t>应</w:t>
      </w:r>
      <w:r w:rsidRPr="00765F6E">
        <w:rPr>
          <w:rFonts w:hint="eastAsia"/>
        </w:rPr>
        <w:t>选用无机房电梯，当无法满足无机房电梯布置要求时，宜选用轮椅升降机。</w:t>
      </w:r>
      <w:bookmarkEnd w:id="2869"/>
      <w:bookmarkEnd w:id="2870"/>
    </w:p>
    <w:p w14:paraId="498EE8CF" w14:textId="77777777" w:rsidR="00737EB2" w:rsidRPr="00765F6E" w:rsidRDefault="00737EB2" w:rsidP="009D0776">
      <w:pPr>
        <w:pStyle w:val="22"/>
      </w:pPr>
      <w:bookmarkStart w:id="2871" w:name="_Toc99792750"/>
      <w:bookmarkStart w:id="2872" w:name="_Toc153292195"/>
      <w:r w:rsidRPr="00765F6E">
        <w:rPr>
          <w:rFonts w:hint="eastAsia"/>
        </w:rPr>
        <w:t>电梯应接受BAS的监视。</w:t>
      </w:r>
      <w:bookmarkEnd w:id="2871"/>
      <w:bookmarkEnd w:id="2872"/>
    </w:p>
    <w:p w14:paraId="0A863055" w14:textId="77777777" w:rsidR="00737EB2" w:rsidRPr="00765F6E" w:rsidRDefault="00737EB2" w:rsidP="009D0776">
      <w:pPr>
        <w:pStyle w:val="22"/>
      </w:pPr>
      <w:bookmarkStart w:id="2873" w:name="_Toc99792751"/>
      <w:bookmarkStart w:id="2874" w:name="_Toc153292196"/>
      <w:r w:rsidRPr="00765F6E">
        <w:rPr>
          <w:rFonts w:hint="eastAsia"/>
        </w:rPr>
        <w:t>电梯内部应设置视频监视装置。</w:t>
      </w:r>
      <w:bookmarkEnd w:id="2873"/>
      <w:bookmarkEnd w:id="2874"/>
    </w:p>
    <w:p w14:paraId="58F8EC44" w14:textId="77777777" w:rsidR="00737EB2" w:rsidRPr="00765F6E" w:rsidRDefault="00737EB2" w:rsidP="009D0776">
      <w:pPr>
        <w:pStyle w:val="22"/>
      </w:pPr>
      <w:bookmarkStart w:id="2875" w:name="_Toc153292197"/>
      <w:bookmarkStart w:id="2876" w:name="_Toc99792752"/>
      <w:r w:rsidRPr="00765F6E">
        <w:rPr>
          <w:rFonts w:hint="eastAsia"/>
        </w:rPr>
        <w:t>当车站出现紧急情况时，电梯应接受FAS的紧急指令，实现车站级控制。</w:t>
      </w:r>
      <w:bookmarkEnd w:id="2875"/>
      <w:bookmarkEnd w:id="2876"/>
    </w:p>
    <w:p w14:paraId="608CE02A" w14:textId="77777777" w:rsidR="00737EB2" w:rsidRPr="00765F6E" w:rsidRDefault="00737EB2" w:rsidP="009D0776">
      <w:pPr>
        <w:pStyle w:val="22"/>
      </w:pPr>
      <w:bookmarkStart w:id="2877" w:name="_Toc153292198"/>
      <w:bookmarkStart w:id="2878" w:name="_Toc99792753"/>
      <w:r w:rsidRPr="00765F6E">
        <w:rPr>
          <w:rFonts w:hint="eastAsia"/>
        </w:rPr>
        <w:t>电梯应具备厢内、轿顶、井道底坑、控制柜和车站控制室之间的五方通话功能。</w:t>
      </w:r>
      <w:bookmarkEnd w:id="2877"/>
      <w:bookmarkEnd w:id="2878"/>
    </w:p>
    <w:p w14:paraId="1780A7F1" w14:textId="77777777" w:rsidR="00737EB2" w:rsidRPr="00765F6E" w:rsidRDefault="00737EB2" w:rsidP="009D0776">
      <w:pPr>
        <w:pStyle w:val="22"/>
      </w:pPr>
      <w:bookmarkStart w:id="2879" w:name="_Toc99792754"/>
      <w:bookmarkStart w:id="2880" w:name="_Toc153292199"/>
      <w:r w:rsidRPr="00765F6E">
        <w:rPr>
          <w:rFonts w:hint="eastAsia"/>
        </w:rPr>
        <w:t>电梯宜具备故障预测与健康管理功能，其可靠度应大于或等于9</w:t>
      </w:r>
      <w:r w:rsidRPr="00765F6E">
        <w:t>9</w:t>
      </w:r>
      <w:r w:rsidRPr="00765F6E">
        <w:rPr>
          <w:rFonts w:hint="eastAsia"/>
        </w:rPr>
        <w:t>%。</w:t>
      </w:r>
      <w:bookmarkEnd w:id="2879"/>
      <w:bookmarkEnd w:id="2880"/>
    </w:p>
    <w:p w14:paraId="3DB7859E" w14:textId="77777777" w:rsidR="00737EB2" w:rsidRPr="00765F6E" w:rsidRDefault="00737EB2" w:rsidP="009D0776">
      <w:pPr>
        <w:pStyle w:val="22"/>
      </w:pPr>
      <w:bookmarkStart w:id="2881" w:name="_Toc153292200"/>
      <w:bookmarkStart w:id="2882" w:name="_Toc99792755"/>
      <w:r w:rsidRPr="00765F6E">
        <w:rPr>
          <w:rFonts w:hint="eastAsia"/>
        </w:rPr>
        <w:t>电梯不应设置在土建结构的诱导缝和变形缝处。</w:t>
      </w:r>
      <w:bookmarkEnd w:id="2881"/>
      <w:bookmarkEnd w:id="2882"/>
    </w:p>
    <w:p w14:paraId="448DD9A9" w14:textId="77777777" w:rsidR="00737EB2" w:rsidRPr="00765F6E" w:rsidRDefault="00737EB2" w:rsidP="009D0776">
      <w:pPr>
        <w:pStyle w:val="22"/>
      </w:pPr>
      <w:bookmarkStart w:id="2883" w:name="_Toc153292201"/>
      <w:bookmarkStart w:id="2884" w:name="_Toc99792756"/>
      <w:r w:rsidRPr="00765F6E">
        <w:rPr>
          <w:rFonts w:hint="eastAsia"/>
        </w:rPr>
        <w:t>兼做消防梯的电梯应采用一级负荷供电。</w:t>
      </w:r>
      <w:bookmarkEnd w:id="2883"/>
      <w:bookmarkEnd w:id="2884"/>
    </w:p>
    <w:p w14:paraId="10E40B61" w14:textId="77777777" w:rsidR="00737EB2" w:rsidRPr="00765F6E" w:rsidRDefault="00737EB2" w:rsidP="009D0776">
      <w:pPr>
        <w:pStyle w:val="22"/>
      </w:pPr>
      <w:bookmarkStart w:id="2885" w:name="_Toc99792757"/>
      <w:bookmarkStart w:id="2886" w:name="_Toc153292202"/>
      <w:r w:rsidRPr="00765F6E">
        <w:rPr>
          <w:rFonts w:hint="eastAsia"/>
        </w:rPr>
        <w:t>电梯各项配置应符合无障碍电梯设置标准。</w:t>
      </w:r>
      <w:bookmarkEnd w:id="2885"/>
      <w:bookmarkEnd w:id="2886"/>
    </w:p>
    <w:p w14:paraId="179539B2" w14:textId="77777777" w:rsidR="00737EB2" w:rsidRPr="00765F6E" w:rsidRDefault="00737EB2" w:rsidP="009D0776">
      <w:pPr>
        <w:pStyle w:val="22"/>
      </w:pPr>
      <w:bookmarkStart w:id="2887" w:name="_Toc99792758"/>
      <w:bookmarkStart w:id="2888" w:name="_Toc153292203"/>
      <w:r w:rsidRPr="00765F6E">
        <w:rPr>
          <w:rFonts w:hint="eastAsia"/>
        </w:rPr>
        <w:t>电梯的额定载重不应小于1000kg，额定速度不宜小于1m/s。</w:t>
      </w:r>
      <w:bookmarkEnd w:id="2887"/>
      <w:bookmarkEnd w:id="2888"/>
    </w:p>
    <w:p w14:paraId="52D310A5" w14:textId="77777777" w:rsidR="00737EB2" w:rsidRPr="00765F6E" w:rsidRDefault="00737EB2" w:rsidP="009D0776">
      <w:pPr>
        <w:pStyle w:val="22"/>
      </w:pPr>
      <w:bookmarkStart w:id="2889" w:name="_Toc153292204"/>
      <w:bookmarkStart w:id="2890" w:name="_Toc99792759"/>
      <w:r w:rsidRPr="00765F6E">
        <w:rPr>
          <w:rFonts w:hint="eastAsia"/>
        </w:rPr>
        <w:t>电梯的开门宽度不宜小于1m，并宜选用双扇中分门。</w:t>
      </w:r>
      <w:bookmarkEnd w:id="2889"/>
      <w:bookmarkEnd w:id="2890"/>
    </w:p>
    <w:p w14:paraId="06325F83" w14:textId="77777777" w:rsidR="00737EB2" w:rsidRPr="00765F6E" w:rsidRDefault="00737EB2" w:rsidP="009D0776">
      <w:pPr>
        <w:pStyle w:val="22"/>
      </w:pPr>
      <w:bookmarkStart w:id="2891" w:name="_Toc153292205"/>
      <w:bookmarkStart w:id="2892" w:name="_Toc99792760"/>
      <w:r w:rsidRPr="00765F6E">
        <w:rPr>
          <w:rFonts w:hint="eastAsia"/>
        </w:rPr>
        <w:t>电梯的电线、电缆应采用低烟、无卤、阻燃型。</w:t>
      </w:r>
      <w:bookmarkEnd w:id="2891"/>
      <w:bookmarkEnd w:id="2892"/>
    </w:p>
    <w:p w14:paraId="5586E8B3" w14:textId="77777777" w:rsidR="00737EB2" w:rsidRPr="00765F6E" w:rsidRDefault="00737EB2" w:rsidP="009D0776">
      <w:pPr>
        <w:pStyle w:val="22"/>
      </w:pPr>
      <w:bookmarkStart w:id="2893" w:name="_Toc153292206"/>
      <w:bookmarkStart w:id="2894" w:name="_Toc99792761"/>
      <w:r w:rsidRPr="00765F6E">
        <w:rPr>
          <w:rFonts w:hint="eastAsia"/>
        </w:rPr>
        <w:t>电梯的井道可采用钢筋混凝土结构或采用其他结构类型，并宜考虑井道的通风、散热条件。</w:t>
      </w:r>
      <w:bookmarkEnd w:id="2893"/>
    </w:p>
    <w:p w14:paraId="3399F923" w14:textId="77777777" w:rsidR="00737EB2" w:rsidRPr="00765F6E" w:rsidRDefault="00737EB2" w:rsidP="009D0776">
      <w:pPr>
        <w:pStyle w:val="22"/>
      </w:pPr>
      <w:bookmarkStart w:id="2895" w:name="_Toc153292207"/>
      <w:bookmarkEnd w:id="2894"/>
      <w:r w:rsidRPr="00765F6E">
        <w:rPr>
          <w:rFonts w:hint="eastAsia"/>
        </w:rPr>
        <w:t>电梯的底坑内应设置排水设施,并不应漏水、渗水。</w:t>
      </w:r>
      <w:bookmarkEnd w:id="2895"/>
    </w:p>
    <w:p w14:paraId="34F792F3" w14:textId="77777777" w:rsidR="00737EB2" w:rsidRPr="00765F6E" w:rsidRDefault="00737EB2" w:rsidP="00737EB2">
      <w:pPr>
        <w:pStyle w:val="affe"/>
        <w:spacing w:before="156" w:after="156"/>
      </w:pPr>
      <w:bookmarkStart w:id="2896" w:name="_Toc153210975"/>
      <w:bookmarkStart w:id="2897" w:name="_Toc153292208"/>
      <w:bookmarkStart w:id="2898" w:name="_Toc99792762"/>
      <w:bookmarkStart w:id="2899" w:name="_Toc167895873"/>
      <w:bookmarkStart w:id="2900" w:name="_Toc174538787"/>
      <w:bookmarkStart w:id="2901" w:name="_Toc182476545"/>
      <w:r w:rsidRPr="00765F6E">
        <w:rPr>
          <w:rFonts w:hint="eastAsia"/>
        </w:rPr>
        <w:t>轮椅升降机</w:t>
      </w:r>
      <w:bookmarkEnd w:id="2896"/>
      <w:bookmarkEnd w:id="2897"/>
      <w:bookmarkEnd w:id="2898"/>
      <w:bookmarkEnd w:id="2899"/>
      <w:bookmarkEnd w:id="2900"/>
      <w:bookmarkEnd w:id="2901"/>
    </w:p>
    <w:p w14:paraId="18CD48F3" w14:textId="77777777" w:rsidR="00737EB2" w:rsidRPr="00765F6E" w:rsidRDefault="00737EB2" w:rsidP="009D0776">
      <w:pPr>
        <w:pStyle w:val="22"/>
      </w:pPr>
      <w:bookmarkStart w:id="2902" w:name="_Toc153292209"/>
      <w:bookmarkStart w:id="2903" w:name="_Toc99792763"/>
      <w:r w:rsidRPr="00765F6E">
        <w:rPr>
          <w:rFonts w:hint="eastAsia"/>
        </w:rPr>
        <w:t>轮椅升降机应适应所在地区的自然气候条件。</w:t>
      </w:r>
      <w:bookmarkEnd w:id="2902"/>
      <w:bookmarkEnd w:id="2903"/>
    </w:p>
    <w:p w14:paraId="16744F7F" w14:textId="77777777" w:rsidR="00737EB2" w:rsidRPr="00765F6E" w:rsidRDefault="00737EB2" w:rsidP="009D0776">
      <w:pPr>
        <w:pStyle w:val="22"/>
      </w:pPr>
      <w:bookmarkStart w:id="2904" w:name="_Toc99792764"/>
      <w:bookmarkStart w:id="2905" w:name="_Toc153292210"/>
      <w:r w:rsidRPr="00765F6E">
        <w:rPr>
          <w:rFonts w:hint="eastAsia"/>
        </w:rPr>
        <w:t>轮椅升降机运行中应具备声光报警功能。</w:t>
      </w:r>
      <w:bookmarkEnd w:id="2904"/>
      <w:bookmarkEnd w:id="2905"/>
    </w:p>
    <w:p w14:paraId="071A7DFA" w14:textId="77777777" w:rsidR="00737EB2" w:rsidRPr="00765F6E" w:rsidRDefault="00737EB2" w:rsidP="009D0776">
      <w:pPr>
        <w:pStyle w:val="22"/>
      </w:pPr>
      <w:bookmarkStart w:id="2906" w:name="_Toc99792765"/>
      <w:bookmarkStart w:id="2907" w:name="_Toc153292211"/>
      <w:r w:rsidRPr="00765F6E">
        <w:rPr>
          <w:rFonts w:hint="eastAsia"/>
        </w:rPr>
        <w:t>轮椅升降机应接受BAS的监视，设备布置处应设置视频监视装置。轮椅升降机应设置与车站控制室的可视对讲装置。</w:t>
      </w:r>
      <w:bookmarkEnd w:id="2906"/>
      <w:bookmarkEnd w:id="2907"/>
    </w:p>
    <w:p w14:paraId="1E5F9433" w14:textId="77777777" w:rsidR="00737EB2" w:rsidRPr="00765F6E" w:rsidRDefault="00737EB2" w:rsidP="009D0776">
      <w:pPr>
        <w:pStyle w:val="22"/>
      </w:pPr>
      <w:bookmarkStart w:id="2908" w:name="_Toc153292212"/>
      <w:bookmarkStart w:id="2909" w:name="_Toc99792766"/>
      <w:r w:rsidRPr="00765F6E">
        <w:rPr>
          <w:rFonts w:hint="eastAsia"/>
        </w:rPr>
        <w:t>轮椅升降机的额定载重不应小于250kg，额定速度宜为0.15m/s。供电宜采用二级负荷。</w:t>
      </w:r>
      <w:bookmarkEnd w:id="2908"/>
      <w:bookmarkEnd w:id="2909"/>
    </w:p>
    <w:p w14:paraId="53C51ABA" w14:textId="77777777" w:rsidR="00737EB2" w:rsidRPr="00765F6E" w:rsidRDefault="00737EB2" w:rsidP="009D0776">
      <w:pPr>
        <w:pStyle w:val="22"/>
      </w:pPr>
      <w:bookmarkStart w:id="2910" w:name="_Toc99792767"/>
      <w:bookmarkStart w:id="2911" w:name="_Toc153292213"/>
      <w:r w:rsidRPr="00765F6E">
        <w:rPr>
          <w:rFonts w:hint="eastAsia"/>
        </w:rPr>
        <w:t>轮椅升降平台应采用防滑材料，平台四周应设护栏。</w:t>
      </w:r>
      <w:bookmarkEnd w:id="2910"/>
      <w:bookmarkEnd w:id="2911"/>
    </w:p>
    <w:p w14:paraId="4B9F463C" w14:textId="77777777" w:rsidR="00737EB2" w:rsidRPr="00765F6E" w:rsidRDefault="00737EB2" w:rsidP="009D0776">
      <w:pPr>
        <w:pStyle w:val="22"/>
      </w:pPr>
      <w:bookmarkStart w:id="2912" w:name="_Toc153292214"/>
      <w:bookmarkStart w:id="2913" w:name="_Toc99792768"/>
      <w:r w:rsidRPr="00765F6E">
        <w:rPr>
          <w:rFonts w:hint="eastAsia"/>
        </w:rPr>
        <w:t>轮椅升降机运行时所占用宽度不宜大于1.2m。</w:t>
      </w:r>
      <w:bookmarkEnd w:id="2912"/>
      <w:bookmarkEnd w:id="2913"/>
    </w:p>
    <w:p w14:paraId="38563E85" w14:textId="77777777" w:rsidR="00737EB2" w:rsidRPr="00765F6E" w:rsidRDefault="00737EB2" w:rsidP="009D0776">
      <w:pPr>
        <w:pStyle w:val="22"/>
      </w:pPr>
      <w:bookmarkStart w:id="2914" w:name="_Toc153292215"/>
      <w:bookmarkStart w:id="2915" w:name="_Toc99792769"/>
      <w:r w:rsidRPr="00765F6E">
        <w:rPr>
          <w:rFonts w:hint="eastAsia"/>
        </w:rPr>
        <w:t>轮椅升降机的电线、电缆应采用低烟、无卤、阻燃型。</w:t>
      </w:r>
      <w:bookmarkEnd w:id="2914"/>
      <w:bookmarkEnd w:id="2915"/>
    </w:p>
    <w:p w14:paraId="5FA93C2C" w14:textId="0F0E5931" w:rsidR="00737EB2" w:rsidRPr="00765F6E" w:rsidRDefault="00737EB2" w:rsidP="00737EB2">
      <w:pPr>
        <w:pStyle w:val="affe"/>
        <w:spacing w:before="156" w:after="156"/>
      </w:pPr>
      <w:bookmarkStart w:id="2916" w:name="_Toc153210976"/>
      <w:bookmarkStart w:id="2917" w:name="_Toc153292216"/>
      <w:bookmarkStart w:id="2918" w:name="_Toc99792770"/>
      <w:bookmarkStart w:id="2919" w:name="_Toc167895874"/>
      <w:bookmarkStart w:id="2920" w:name="_Toc174538788"/>
      <w:bookmarkStart w:id="2921" w:name="_Toc182476546"/>
      <w:r w:rsidRPr="00765F6E">
        <w:rPr>
          <w:rFonts w:hint="eastAsia"/>
        </w:rPr>
        <w:t>站台门</w:t>
      </w:r>
      <w:bookmarkEnd w:id="2916"/>
      <w:bookmarkEnd w:id="2917"/>
      <w:bookmarkEnd w:id="2918"/>
      <w:bookmarkEnd w:id="2919"/>
      <w:bookmarkEnd w:id="2920"/>
      <w:bookmarkEnd w:id="2921"/>
    </w:p>
    <w:p w14:paraId="7A76453D" w14:textId="01747AC1" w:rsidR="00737EB2" w:rsidRPr="00765F6E" w:rsidRDefault="00737EB2" w:rsidP="009D0776">
      <w:pPr>
        <w:pStyle w:val="22"/>
      </w:pPr>
      <w:bookmarkStart w:id="2922" w:name="_Toc153292217"/>
      <w:bookmarkStart w:id="2923" w:name="_Toc99792771"/>
      <w:r w:rsidRPr="00765F6E">
        <w:rPr>
          <w:rFonts w:hint="eastAsia"/>
        </w:rPr>
        <w:t>站台门的设置方式应根据气候条件、车站建筑形式、通风与空调系统制式和服务水平等因素确定。地下车站宜采用</w:t>
      </w:r>
      <w:r w:rsidR="00D57AC3">
        <w:rPr>
          <w:rFonts w:hint="eastAsia"/>
        </w:rPr>
        <w:t>全高</w:t>
      </w:r>
      <w:r w:rsidRPr="00765F6E">
        <w:rPr>
          <w:rFonts w:hint="eastAsia"/>
        </w:rPr>
        <w:t>站台门，地面、高架车站宜采用</w:t>
      </w:r>
      <w:r w:rsidR="00D57AC3">
        <w:rPr>
          <w:rFonts w:hint="eastAsia"/>
        </w:rPr>
        <w:t>半高</w:t>
      </w:r>
      <w:r w:rsidRPr="00765F6E">
        <w:rPr>
          <w:rFonts w:hint="eastAsia"/>
        </w:rPr>
        <w:t>站台门。</w:t>
      </w:r>
      <w:bookmarkEnd w:id="2922"/>
      <w:bookmarkEnd w:id="2923"/>
    </w:p>
    <w:p w14:paraId="264B2C86" w14:textId="77777777" w:rsidR="00737EB2" w:rsidRPr="00765F6E" w:rsidRDefault="00737EB2" w:rsidP="009D0776">
      <w:pPr>
        <w:pStyle w:val="22"/>
      </w:pPr>
      <w:bookmarkStart w:id="2924" w:name="_Toc153292218"/>
      <w:bookmarkStart w:id="2925" w:name="_Toc99792772"/>
      <w:r w:rsidRPr="00765F6E">
        <w:rPr>
          <w:rFonts w:hint="eastAsia"/>
        </w:rPr>
        <w:t>站台门开启净宽度不宜小于列车门宽度加停车精度，且在正常的列车停车精度范围内，站台门在开、关门状态下不应影响列车司机出入。</w:t>
      </w:r>
      <w:bookmarkEnd w:id="2924"/>
      <w:bookmarkEnd w:id="2925"/>
    </w:p>
    <w:p w14:paraId="2CF7D1CB" w14:textId="77777777" w:rsidR="00737EB2" w:rsidRPr="00765F6E" w:rsidRDefault="00737EB2" w:rsidP="009D0776">
      <w:pPr>
        <w:pStyle w:val="22"/>
      </w:pPr>
      <w:bookmarkStart w:id="2926" w:name="_Toc99792773"/>
      <w:bookmarkStart w:id="2927" w:name="_Toc153292219"/>
      <w:r w:rsidRPr="00765F6E">
        <w:rPr>
          <w:rFonts w:hint="eastAsia"/>
        </w:rPr>
        <w:t>站台门应满足车站站台及轨行区的温度、湿度及所在地区抗震设防的要求。</w:t>
      </w:r>
      <w:bookmarkEnd w:id="2926"/>
      <w:bookmarkEnd w:id="2927"/>
    </w:p>
    <w:p w14:paraId="18166062" w14:textId="77777777" w:rsidR="00737EB2" w:rsidRPr="00765F6E" w:rsidRDefault="00737EB2" w:rsidP="009D0776">
      <w:pPr>
        <w:pStyle w:val="22"/>
      </w:pPr>
      <w:bookmarkStart w:id="2928" w:name="_Toc153292221"/>
      <w:bookmarkStart w:id="2929" w:name="_Toc99792775"/>
      <w:r w:rsidRPr="00765F6E">
        <w:rPr>
          <w:rFonts w:hint="eastAsia"/>
        </w:rPr>
        <w:t>站台门系统应具备障碍物、站台门与列车车体间的异物探测功能。</w:t>
      </w:r>
      <w:bookmarkEnd w:id="2928"/>
      <w:bookmarkEnd w:id="2929"/>
    </w:p>
    <w:p w14:paraId="2D7C5549" w14:textId="77777777" w:rsidR="00737EB2" w:rsidRPr="00765F6E" w:rsidRDefault="00737EB2" w:rsidP="009D0776">
      <w:pPr>
        <w:pStyle w:val="22"/>
      </w:pPr>
      <w:bookmarkStart w:id="2930" w:name="_Toc99792776"/>
      <w:bookmarkStart w:id="2931" w:name="_Toc153292222"/>
      <w:r w:rsidRPr="00765F6E">
        <w:rPr>
          <w:rFonts w:hint="eastAsia"/>
        </w:rPr>
        <w:t>站台门的配置及控制模式应与车站其他系统相结合，并应满足各种运营模式的要求。</w:t>
      </w:r>
      <w:bookmarkEnd w:id="2930"/>
      <w:bookmarkEnd w:id="2931"/>
    </w:p>
    <w:p w14:paraId="15E0A884" w14:textId="77777777" w:rsidR="00737EB2" w:rsidRPr="00765F6E" w:rsidRDefault="00737EB2" w:rsidP="009D0776">
      <w:pPr>
        <w:pStyle w:val="22"/>
      </w:pPr>
      <w:bookmarkStart w:id="2932" w:name="_Toc153292223"/>
      <w:bookmarkStart w:id="2933" w:name="_Toc99792777"/>
      <w:r w:rsidRPr="00765F6E">
        <w:rPr>
          <w:rFonts w:hint="eastAsia"/>
        </w:rPr>
        <w:t>站台门电气控制设备的防护等级应与环境条件适应，站台门的门体结构和电气控制设备结合车站条件采取必要的防水、防雪、防尘等措施。</w:t>
      </w:r>
      <w:bookmarkEnd w:id="2932"/>
      <w:bookmarkEnd w:id="2933"/>
    </w:p>
    <w:p w14:paraId="66AD7F02" w14:textId="77777777" w:rsidR="00737EB2" w:rsidRPr="00765F6E" w:rsidRDefault="00737EB2" w:rsidP="009D0776">
      <w:pPr>
        <w:pStyle w:val="22"/>
      </w:pPr>
      <w:bookmarkStart w:id="2934" w:name="_Toc153292224"/>
      <w:bookmarkStart w:id="2935" w:name="_Toc99792778"/>
      <w:r w:rsidRPr="00765F6E">
        <w:rPr>
          <w:rFonts w:hint="eastAsia"/>
        </w:rPr>
        <w:t>站台门的整体钢结构使用寿命不应少于</w:t>
      </w:r>
      <w:r w:rsidRPr="00765F6E">
        <w:t>30年</w:t>
      </w:r>
      <w:r w:rsidRPr="00765F6E">
        <w:rPr>
          <w:rFonts w:hint="eastAsia"/>
        </w:rPr>
        <w:t>，其故障率应小于或等于0</w:t>
      </w:r>
      <w:r w:rsidRPr="00765F6E">
        <w:t>.8</w:t>
      </w:r>
      <w:r w:rsidRPr="00765F6E">
        <w:rPr>
          <w:rFonts w:hint="eastAsia"/>
        </w:rPr>
        <w:t>次每万次。</w:t>
      </w:r>
      <w:bookmarkEnd w:id="2934"/>
    </w:p>
    <w:p w14:paraId="28EE4C44" w14:textId="77777777" w:rsidR="00737EB2" w:rsidRPr="00765F6E" w:rsidRDefault="00737EB2" w:rsidP="009D0776">
      <w:pPr>
        <w:pStyle w:val="22"/>
      </w:pPr>
      <w:bookmarkStart w:id="2936" w:name="_Toc153292225"/>
      <w:r w:rsidRPr="00765F6E">
        <w:rPr>
          <w:rFonts w:hint="eastAsia"/>
        </w:rPr>
        <w:t>站台门应满足电磁兼容性要求。</w:t>
      </w:r>
      <w:bookmarkEnd w:id="2935"/>
      <w:bookmarkEnd w:id="2936"/>
    </w:p>
    <w:p w14:paraId="58F08CB1" w14:textId="77777777" w:rsidR="00737EB2" w:rsidRPr="00765F6E" w:rsidRDefault="00737EB2" w:rsidP="009D0776">
      <w:pPr>
        <w:pStyle w:val="22"/>
      </w:pPr>
      <w:bookmarkStart w:id="2937" w:name="_Toc99792779"/>
      <w:bookmarkStart w:id="2938" w:name="_Toc153292226"/>
      <w:r w:rsidRPr="00765F6E">
        <w:rPr>
          <w:rFonts w:hint="eastAsia"/>
        </w:rPr>
        <w:t>站台门应垂直于站台面设置。站台门设置区域不宜有变形缝；站台门跨变形缝时，其门体结构应采取相应的构造措施。</w:t>
      </w:r>
      <w:bookmarkEnd w:id="2937"/>
      <w:bookmarkEnd w:id="2938"/>
    </w:p>
    <w:p w14:paraId="1F5240CA" w14:textId="77777777" w:rsidR="00737EB2" w:rsidRPr="00765F6E" w:rsidRDefault="00737EB2" w:rsidP="009D0776">
      <w:pPr>
        <w:pStyle w:val="22"/>
      </w:pPr>
      <w:bookmarkStart w:id="2939" w:name="_Toc153292227"/>
      <w:bookmarkStart w:id="2940" w:name="_Toc99792780"/>
      <w:r w:rsidRPr="00765F6E">
        <w:t>系统的平均无故障运行周期不应小于60万个周期</w:t>
      </w:r>
      <w:r w:rsidRPr="00765F6E">
        <w:rPr>
          <w:rFonts w:hint="eastAsia"/>
        </w:rPr>
        <w:t>。</w:t>
      </w:r>
      <w:bookmarkEnd w:id="2939"/>
    </w:p>
    <w:p w14:paraId="318C3ABC" w14:textId="77777777" w:rsidR="00737EB2" w:rsidRPr="00765F6E" w:rsidRDefault="00737EB2" w:rsidP="009D0776">
      <w:pPr>
        <w:pStyle w:val="22"/>
      </w:pPr>
      <w:bookmarkStart w:id="2941" w:name="_Toc153292228"/>
      <w:r w:rsidRPr="00765F6E">
        <w:rPr>
          <w:rFonts w:hint="eastAsia"/>
        </w:rPr>
        <w:t>站台门的运行强度应满足每天运行18h、每1</w:t>
      </w:r>
      <w:r w:rsidRPr="00765F6E">
        <w:t>20</w:t>
      </w:r>
      <w:r w:rsidRPr="00765F6E">
        <w:rPr>
          <w:rFonts w:hint="eastAsia"/>
        </w:rPr>
        <w:t>s开关1次、常年连续运行的要求。</w:t>
      </w:r>
      <w:bookmarkEnd w:id="2940"/>
      <w:bookmarkEnd w:id="2941"/>
    </w:p>
    <w:p w14:paraId="6BB5FE5C" w14:textId="77777777" w:rsidR="00737EB2" w:rsidRPr="00765F6E" w:rsidRDefault="00737EB2" w:rsidP="009D0776">
      <w:pPr>
        <w:pStyle w:val="22"/>
      </w:pPr>
      <w:bookmarkStart w:id="2942" w:name="_Toc153292229"/>
      <w:bookmarkStart w:id="2943" w:name="_Toc99792781"/>
      <w:r w:rsidRPr="00765F6E">
        <w:rPr>
          <w:rFonts w:hint="eastAsia"/>
        </w:rPr>
        <w:t>滑动门开、关过程时间应与列车门的开关过程时间相匹配，且在一定范围内可调节，重复精度不应大于0.1s。</w:t>
      </w:r>
      <w:bookmarkEnd w:id="2942"/>
      <w:bookmarkEnd w:id="2943"/>
    </w:p>
    <w:p w14:paraId="3FEBF4E0" w14:textId="4E4B2C13" w:rsidR="00737EB2" w:rsidRPr="00765F6E" w:rsidRDefault="00B64416" w:rsidP="009D0776">
      <w:pPr>
        <w:pStyle w:val="22"/>
      </w:pPr>
      <w:bookmarkStart w:id="2944" w:name="_Toc153292230"/>
      <w:bookmarkStart w:id="2945" w:name="_Toc99792782"/>
      <w:r w:rsidRPr="00B64416">
        <w:rPr>
          <w:rFonts w:hint="eastAsia"/>
        </w:rPr>
        <w:t>站台门应满足负载强度、气密性等要求。站台门门体结构在最不利荷载效应组合情况下，门体弹性变形应满足工程要求，且结构不应出现永久变形。各种荷载的取值符合</w:t>
      </w:r>
      <w:r w:rsidR="00737EB2" w:rsidRPr="00765F6E">
        <w:rPr>
          <w:rFonts w:hint="eastAsia"/>
        </w:rPr>
        <w:t>下列规定：</w:t>
      </w:r>
      <w:bookmarkEnd w:id="2944"/>
      <w:bookmarkEnd w:id="2945"/>
    </w:p>
    <w:p w14:paraId="5A1E0D1D" w14:textId="77777777" w:rsidR="00737EB2" w:rsidRPr="00765F6E" w:rsidRDefault="00737EB2" w:rsidP="003334F3">
      <w:pPr>
        <w:pStyle w:val="af6"/>
        <w:numPr>
          <w:ilvl w:val="0"/>
          <w:numId w:val="215"/>
        </w:numPr>
        <w:tabs>
          <w:tab w:val="left" w:pos="851"/>
        </w:tabs>
        <w:snapToGrid w:val="0"/>
        <w:contextualSpacing/>
      </w:pPr>
      <w:r w:rsidRPr="00765F6E">
        <w:rPr>
          <w:rFonts w:hint="eastAsia"/>
        </w:rPr>
        <w:t>站台门站台设备自重应按实际重量取值；</w:t>
      </w:r>
    </w:p>
    <w:p w14:paraId="4DEA0646" w14:textId="34E6A3A7" w:rsidR="00737EB2" w:rsidRPr="00765F6E" w:rsidRDefault="00737EB2" w:rsidP="003334F3">
      <w:pPr>
        <w:pStyle w:val="af6"/>
        <w:numPr>
          <w:ilvl w:val="0"/>
          <w:numId w:val="215"/>
        </w:numPr>
        <w:tabs>
          <w:tab w:val="left" w:pos="851"/>
        </w:tabs>
        <w:snapToGrid w:val="0"/>
        <w:contextualSpacing/>
      </w:pPr>
      <w:r w:rsidRPr="00765F6E">
        <w:rPr>
          <w:rFonts w:hint="eastAsia"/>
        </w:rPr>
        <w:lastRenderedPageBreak/>
        <w:t>地面车站</w:t>
      </w:r>
      <w:r w:rsidR="00F821C8">
        <w:rPr>
          <w:rFonts w:hint="eastAsia"/>
        </w:rPr>
        <w:t>的全高站台门</w:t>
      </w:r>
      <w:r w:rsidRPr="00765F6E">
        <w:rPr>
          <w:rFonts w:hint="eastAsia"/>
        </w:rPr>
        <w:t>或高架车站的站台门，所承受风荷载应按工程所在地风荷载标准值计算；地下车站的站台门风荷载应根据</w:t>
      </w:r>
      <w:r w:rsidRPr="00746F79">
        <w:rPr>
          <w:rFonts w:hint="eastAsia"/>
        </w:rPr>
        <w:t>工程设计荷载取值</w:t>
      </w:r>
      <w:r w:rsidR="00746F79" w:rsidRPr="00453DBE">
        <w:rPr>
          <w:rFonts w:hint="eastAsia"/>
        </w:rPr>
        <w:t>，应能承受行列车活塞风压载荷</w:t>
      </w:r>
      <w:r w:rsidRPr="00765F6E">
        <w:rPr>
          <w:rFonts w:hint="eastAsia"/>
        </w:rPr>
        <w:t>；</w:t>
      </w:r>
    </w:p>
    <w:p w14:paraId="25FF851F" w14:textId="77777777" w:rsidR="00737EB2" w:rsidRPr="00765F6E" w:rsidRDefault="00737EB2" w:rsidP="003334F3">
      <w:pPr>
        <w:pStyle w:val="af6"/>
        <w:numPr>
          <w:ilvl w:val="0"/>
          <w:numId w:val="215"/>
        </w:numPr>
        <w:tabs>
          <w:tab w:val="left" w:pos="851"/>
        </w:tabs>
        <w:snapToGrid w:val="0"/>
        <w:contextualSpacing/>
      </w:pPr>
      <w:r w:rsidRPr="00765F6E">
        <w:rPr>
          <w:rFonts w:hint="eastAsia"/>
        </w:rPr>
        <w:t>站台门人群挤压力应按在其1.1m～1.2m高度处，垂直施加于门体结构1000N/m的挤压力取值；</w:t>
      </w:r>
    </w:p>
    <w:p w14:paraId="56A2B9FF" w14:textId="77777777" w:rsidR="00737EB2" w:rsidRPr="00765F6E" w:rsidRDefault="00737EB2" w:rsidP="003334F3">
      <w:pPr>
        <w:pStyle w:val="af6"/>
        <w:numPr>
          <w:ilvl w:val="0"/>
          <w:numId w:val="215"/>
        </w:numPr>
        <w:tabs>
          <w:tab w:val="left" w:pos="851"/>
        </w:tabs>
        <w:snapToGrid w:val="0"/>
        <w:contextualSpacing/>
      </w:pPr>
      <w:r w:rsidRPr="00765F6E">
        <w:rPr>
          <w:rFonts w:hint="eastAsia"/>
        </w:rPr>
        <w:t>站台门门体应进行冲击力测试，</w:t>
      </w:r>
      <w:bookmarkStart w:id="2946" w:name="OLE_LINK2"/>
      <w:bookmarkStart w:id="2947" w:name="OLE_LINK1"/>
      <w:r w:rsidRPr="00765F6E">
        <w:rPr>
          <w:rFonts w:hint="eastAsia"/>
        </w:rPr>
        <w:t>宜按</w:t>
      </w:r>
      <w:r w:rsidRPr="00765F6E">
        <w:t>GB 15763.2</w:t>
      </w:r>
      <w:r w:rsidRPr="00765F6E">
        <w:rPr>
          <w:rFonts w:hint="eastAsia"/>
        </w:rPr>
        <w:t>的有关规定执行</w:t>
      </w:r>
      <w:bookmarkEnd w:id="2946"/>
      <w:bookmarkEnd w:id="2947"/>
      <w:r w:rsidRPr="00765F6E">
        <w:rPr>
          <w:rFonts w:hint="eastAsia"/>
        </w:rPr>
        <w:t>；</w:t>
      </w:r>
    </w:p>
    <w:p w14:paraId="3BC64D45" w14:textId="77777777" w:rsidR="00737EB2" w:rsidRPr="00765F6E" w:rsidRDefault="00737EB2" w:rsidP="003334F3">
      <w:pPr>
        <w:pStyle w:val="af6"/>
        <w:numPr>
          <w:ilvl w:val="0"/>
          <w:numId w:val="215"/>
        </w:numPr>
        <w:tabs>
          <w:tab w:val="left" w:pos="851"/>
        </w:tabs>
        <w:snapToGrid w:val="0"/>
        <w:contextualSpacing/>
      </w:pPr>
      <w:r w:rsidRPr="00765F6E">
        <w:rPr>
          <w:rFonts w:hint="eastAsia"/>
        </w:rPr>
        <w:t>地震作用的烈度应按当地抗震设防烈度取值。</w:t>
      </w:r>
    </w:p>
    <w:p w14:paraId="418F1D8B" w14:textId="77777777" w:rsidR="00737EB2" w:rsidRPr="00765F6E" w:rsidRDefault="00737EB2" w:rsidP="009D0776">
      <w:pPr>
        <w:pStyle w:val="22"/>
      </w:pPr>
      <w:bookmarkStart w:id="2948" w:name="_Toc153292231"/>
      <w:bookmarkStart w:id="2949" w:name="_Toc99792783"/>
      <w:r w:rsidRPr="00765F6E">
        <w:rPr>
          <w:rFonts w:hint="eastAsia"/>
        </w:rPr>
        <w:t>站台门设置的位置应根据列车停车位确定，滑动门设置应与列车门在位置、数量上相对应。</w:t>
      </w:r>
      <w:bookmarkEnd w:id="2948"/>
      <w:bookmarkEnd w:id="2949"/>
    </w:p>
    <w:p w14:paraId="2A6D304B" w14:textId="77777777" w:rsidR="00737EB2" w:rsidRPr="00765F6E" w:rsidRDefault="00737EB2" w:rsidP="009D0776">
      <w:pPr>
        <w:pStyle w:val="22"/>
      </w:pPr>
      <w:bookmarkStart w:id="2950" w:name="_Toc99792784"/>
      <w:bookmarkStart w:id="2951" w:name="_Toc153292232"/>
      <w:r w:rsidRPr="00765F6E">
        <w:rPr>
          <w:rFonts w:hint="eastAsia"/>
        </w:rPr>
        <w:t>站台门门体距站台边缘的距离应结合列车运行模式、信号制式、列车运行速度、限界要求、风荷载、噪音以及乘客乘降安全等因素确定。</w:t>
      </w:r>
      <w:bookmarkEnd w:id="2950"/>
      <w:bookmarkEnd w:id="2951"/>
    </w:p>
    <w:p w14:paraId="39E27C12" w14:textId="77777777" w:rsidR="00737EB2" w:rsidRPr="00765F6E" w:rsidRDefault="00737EB2" w:rsidP="009D0776">
      <w:pPr>
        <w:pStyle w:val="22"/>
      </w:pPr>
      <w:bookmarkStart w:id="2952" w:name="_Toc153292233"/>
      <w:bookmarkStart w:id="2953" w:name="_Toc99792785"/>
      <w:r w:rsidRPr="00765F6E">
        <w:rPr>
          <w:rFonts w:hint="eastAsia"/>
        </w:rPr>
        <w:t>站台端部应设向站台侧开启的端门，端门宽度不应小于1.10m。</w:t>
      </w:r>
      <w:bookmarkEnd w:id="2952"/>
      <w:bookmarkEnd w:id="2953"/>
    </w:p>
    <w:p w14:paraId="40BE9BAD" w14:textId="77777777" w:rsidR="00737EB2" w:rsidRPr="00765F6E" w:rsidRDefault="00737EB2" w:rsidP="009D0776">
      <w:pPr>
        <w:pStyle w:val="22"/>
      </w:pPr>
      <w:bookmarkStart w:id="2954" w:name="_Toc153292234"/>
      <w:bookmarkStart w:id="2955" w:name="_Toc99792786"/>
      <w:r w:rsidRPr="00765F6E">
        <w:rPr>
          <w:rFonts w:hint="eastAsia"/>
        </w:rPr>
        <w:t>沿站台长度方向宜设向站台侧开启的应急门，应急门的数量及位置应满足应急疏散要求。</w:t>
      </w:r>
      <w:bookmarkEnd w:id="2954"/>
      <w:bookmarkEnd w:id="2955"/>
    </w:p>
    <w:p w14:paraId="6B670D38" w14:textId="77777777" w:rsidR="00737EB2" w:rsidRPr="00765F6E" w:rsidRDefault="00737EB2" w:rsidP="009D0776">
      <w:pPr>
        <w:pStyle w:val="22"/>
      </w:pPr>
      <w:bookmarkStart w:id="2956" w:name="_Toc99792787"/>
      <w:bookmarkStart w:id="2957" w:name="_Toc153292235"/>
      <w:r w:rsidRPr="00765F6E">
        <w:rPr>
          <w:rFonts w:hint="eastAsia"/>
        </w:rPr>
        <w:t>滑动门、应急门、端门应能可靠锁闭，在站台侧可用专用钥匙开启，在轨道侧应能手动开启。</w:t>
      </w:r>
      <w:bookmarkEnd w:id="2956"/>
      <w:bookmarkEnd w:id="2957"/>
    </w:p>
    <w:p w14:paraId="6B730139" w14:textId="77777777" w:rsidR="00737EB2" w:rsidRPr="00765F6E" w:rsidRDefault="00737EB2" w:rsidP="009D0776">
      <w:pPr>
        <w:pStyle w:val="22"/>
      </w:pPr>
      <w:bookmarkStart w:id="2958" w:name="_Toc153292236"/>
      <w:bookmarkStart w:id="2959" w:name="_Toc99792788"/>
      <w:r w:rsidRPr="00765F6E">
        <w:rPr>
          <w:rFonts w:hint="eastAsia"/>
        </w:rPr>
        <w:t>地下车站站台门的绝缘材料、密封材料和电线电缆等应采用低烟、无卤、阻燃型；地面和高架车站站台门的绝缘材料、密封材料和电线电缆等应采用低烟、低卤、阻燃型。</w:t>
      </w:r>
      <w:bookmarkEnd w:id="2958"/>
      <w:bookmarkEnd w:id="2959"/>
    </w:p>
    <w:p w14:paraId="3602C67E" w14:textId="77777777" w:rsidR="00737EB2" w:rsidRPr="00765F6E" w:rsidRDefault="00737EB2" w:rsidP="009D0776">
      <w:pPr>
        <w:pStyle w:val="22"/>
      </w:pPr>
      <w:bookmarkStart w:id="2960" w:name="_Toc153292237"/>
      <w:bookmarkStart w:id="2961" w:name="_Toc99792789"/>
      <w:r w:rsidRPr="00765F6E">
        <w:rPr>
          <w:rFonts w:hint="eastAsia"/>
        </w:rPr>
        <w:t>站台门门体外观宜与车站建筑风格相适应。门体应由金属框架、安全玻璃等组成，框架外露面宜采用铝合金或不锈钢等金属材料制成；玻璃应选用通透性好、低自爆率的安全玻璃。</w:t>
      </w:r>
      <w:bookmarkEnd w:id="2960"/>
      <w:bookmarkEnd w:id="2961"/>
    </w:p>
    <w:p w14:paraId="2385A113" w14:textId="77777777" w:rsidR="00737EB2" w:rsidRPr="00765F6E" w:rsidRDefault="00737EB2" w:rsidP="009D0776">
      <w:pPr>
        <w:pStyle w:val="22"/>
      </w:pPr>
      <w:bookmarkStart w:id="2962" w:name="_Toc99792790"/>
      <w:bookmarkStart w:id="2963" w:name="_Toc153292238"/>
      <w:r w:rsidRPr="00765F6E">
        <w:rPr>
          <w:rFonts w:hint="eastAsia"/>
        </w:rPr>
        <w:t>站台门控制系统应主要由中央控制盘、就地控制盘、门控单元、就地控制盒、控制局域网和接口模块组成。</w:t>
      </w:r>
      <w:bookmarkEnd w:id="2962"/>
      <w:bookmarkEnd w:id="2963"/>
    </w:p>
    <w:p w14:paraId="58810C73" w14:textId="42072B5B" w:rsidR="00737EB2" w:rsidRPr="00765F6E" w:rsidRDefault="00737EB2" w:rsidP="009D0776">
      <w:pPr>
        <w:pStyle w:val="22"/>
      </w:pPr>
      <w:bookmarkStart w:id="2964" w:name="_Toc153292239"/>
      <w:bookmarkStart w:id="2965" w:name="_Toc99792791"/>
      <w:r w:rsidRPr="00765F6E">
        <w:rPr>
          <w:rFonts w:hint="eastAsia"/>
        </w:rPr>
        <w:t>整列站台门</w:t>
      </w:r>
      <w:r w:rsidR="00A62C9C" w:rsidRPr="00A62C9C">
        <w:rPr>
          <w:rFonts w:hint="eastAsia"/>
        </w:rPr>
        <w:t>应按控制优先权进行排列</w:t>
      </w:r>
      <w:r w:rsidRPr="00765F6E">
        <w:rPr>
          <w:rFonts w:hint="eastAsia"/>
        </w:rPr>
        <w:t>：</w:t>
      </w:r>
      <w:bookmarkEnd w:id="2964"/>
      <w:bookmarkEnd w:id="2965"/>
    </w:p>
    <w:p w14:paraId="69C77A9B" w14:textId="77777777" w:rsidR="00737EB2" w:rsidRPr="00765F6E" w:rsidRDefault="00737EB2" w:rsidP="003334F3">
      <w:pPr>
        <w:pStyle w:val="af6"/>
        <w:numPr>
          <w:ilvl w:val="0"/>
          <w:numId w:val="216"/>
        </w:numPr>
        <w:tabs>
          <w:tab w:val="left" w:pos="851"/>
        </w:tabs>
        <w:snapToGrid w:val="0"/>
        <w:contextualSpacing/>
      </w:pPr>
      <w:r w:rsidRPr="00765F6E">
        <w:rPr>
          <w:rFonts w:hint="eastAsia"/>
        </w:rPr>
        <w:t>信号系统对站台门进行开关控制；</w:t>
      </w:r>
    </w:p>
    <w:p w14:paraId="24B77C8E" w14:textId="77777777" w:rsidR="00737EB2" w:rsidRPr="00765F6E" w:rsidRDefault="00737EB2" w:rsidP="003334F3">
      <w:pPr>
        <w:pStyle w:val="af6"/>
        <w:numPr>
          <w:ilvl w:val="0"/>
          <w:numId w:val="216"/>
        </w:numPr>
        <w:tabs>
          <w:tab w:val="left" w:pos="851"/>
        </w:tabs>
        <w:snapToGrid w:val="0"/>
        <w:contextualSpacing/>
      </w:pPr>
      <w:r w:rsidRPr="00765F6E">
        <w:rPr>
          <w:rFonts w:hint="eastAsia"/>
        </w:rPr>
        <w:t>就地控制盘对站台门进行开关控制；</w:t>
      </w:r>
    </w:p>
    <w:p w14:paraId="2E320ACF" w14:textId="77777777" w:rsidR="00737EB2" w:rsidRPr="00765F6E" w:rsidRDefault="00737EB2" w:rsidP="003334F3">
      <w:pPr>
        <w:pStyle w:val="af6"/>
        <w:numPr>
          <w:ilvl w:val="0"/>
          <w:numId w:val="216"/>
        </w:numPr>
        <w:tabs>
          <w:tab w:val="left" w:pos="851"/>
        </w:tabs>
        <w:snapToGrid w:val="0"/>
        <w:contextualSpacing/>
      </w:pPr>
      <w:r w:rsidRPr="00765F6E">
        <w:rPr>
          <w:rFonts w:hint="eastAsia"/>
        </w:rPr>
        <w:t>通过紧急控制盘对站台门进行开关控制。</w:t>
      </w:r>
    </w:p>
    <w:p w14:paraId="50D57C04" w14:textId="77777777" w:rsidR="00737EB2" w:rsidRPr="00765F6E" w:rsidRDefault="00737EB2" w:rsidP="009D0776">
      <w:pPr>
        <w:pStyle w:val="22"/>
      </w:pPr>
      <w:bookmarkStart w:id="2966" w:name="_Toc99792792"/>
      <w:bookmarkStart w:id="2967" w:name="_Toc153292240"/>
      <w:r w:rsidRPr="00765F6E">
        <w:rPr>
          <w:rFonts w:hint="eastAsia"/>
        </w:rPr>
        <w:t>站台门的重要状态及故障信息应通过站台门与综合监控系统的接口上传至本站车站控制室，由本站上传至控制中心的功能则由综合监控系统实现。</w:t>
      </w:r>
      <w:bookmarkEnd w:id="2966"/>
      <w:bookmarkEnd w:id="2967"/>
    </w:p>
    <w:p w14:paraId="290396F9" w14:textId="77777777" w:rsidR="00737EB2" w:rsidRPr="00765F6E" w:rsidRDefault="00737EB2" w:rsidP="009D0776">
      <w:pPr>
        <w:pStyle w:val="22"/>
      </w:pPr>
      <w:bookmarkStart w:id="2968" w:name="_Toc99792793"/>
      <w:bookmarkStart w:id="2969" w:name="_Toc153292241"/>
      <w:r w:rsidRPr="00765F6E">
        <w:rPr>
          <w:rFonts w:hint="eastAsia"/>
        </w:rPr>
        <w:t>站台门的控制及监视应分别设置，关键命令及响应应通过硬线传输。监视系统应能实现监视站台门系统的状态。</w:t>
      </w:r>
      <w:bookmarkEnd w:id="2968"/>
      <w:bookmarkEnd w:id="2969"/>
    </w:p>
    <w:p w14:paraId="09C3890E" w14:textId="77777777" w:rsidR="00737EB2" w:rsidRPr="00765F6E" w:rsidRDefault="00737EB2" w:rsidP="009D0776">
      <w:pPr>
        <w:pStyle w:val="22"/>
      </w:pPr>
      <w:bookmarkStart w:id="2970" w:name="_Toc99792794"/>
      <w:bookmarkStart w:id="2971" w:name="_Toc153292242"/>
      <w:r w:rsidRPr="00765F6E">
        <w:rPr>
          <w:rFonts w:hint="eastAsia"/>
        </w:rPr>
        <w:t>供电与接地符合下列规定：</w:t>
      </w:r>
      <w:bookmarkEnd w:id="2970"/>
      <w:bookmarkEnd w:id="2971"/>
    </w:p>
    <w:p w14:paraId="2D6D9336" w14:textId="339BB179" w:rsidR="00737EB2" w:rsidRPr="00765F6E" w:rsidRDefault="00737EB2" w:rsidP="003334F3">
      <w:pPr>
        <w:pStyle w:val="af6"/>
        <w:numPr>
          <w:ilvl w:val="0"/>
          <w:numId w:val="217"/>
        </w:numPr>
        <w:tabs>
          <w:tab w:val="left" w:pos="851"/>
        </w:tabs>
        <w:snapToGrid w:val="0"/>
        <w:contextualSpacing/>
      </w:pPr>
      <w:r w:rsidRPr="00765F6E">
        <w:rPr>
          <w:rFonts w:hint="eastAsia"/>
        </w:rPr>
        <w:t>站台门应采用一级负荷供电；驱动电源和控制电源供电回路宜相互独立，并应设置备用电源，备用电源宜相互独立</w:t>
      </w:r>
      <w:r w:rsidR="00ED46EC">
        <w:rPr>
          <w:rFonts w:hint="eastAsia"/>
        </w:rPr>
        <w:t>；</w:t>
      </w:r>
    </w:p>
    <w:p w14:paraId="5FB55023" w14:textId="77777777" w:rsidR="00737EB2" w:rsidRPr="00765F6E" w:rsidRDefault="00737EB2" w:rsidP="003334F3">
      <w:pPr>
        <w:pStyle w:val="af6"/>
        <w:numPr>
          <w:ilvl w:val="0"/>
          <w:numId w:val="217"/>
        </w:numPr>
        <w:tabs>
          <w:tab w:val="left" w:pos="851"/>
        </w:tabs>
        <w:snapToGrid w:val="0"/>
        <w:contextualSpacing/>
      </w:pPr>
      <w:r w:rsidRPr="00765F6E">
        <w:rPr>
          <w:rFonts w:hint="eastAsia"/>
        </w:rPr>
        <w:t>驱动电源的后备电源容量应满足完成30min内本站全部滑动门开关3次的要求，控制电源的后备电源容量应满足系统满负载持续工作30min的要求。站台门的控制电源模块宜采用冗余配置；</w:t>
      </w:r>
    </w:p>
    <w:p w14:paraId="49D04088" w14:textId="77777777" w:rsidR="00737EB2" w:rsidRPr="00765F6E" w:rsidRDefault="00737EB2" w:rsidP="003334F3">
      <w:pPr>
        <w:pStyle w:val="af6"/>
        <w:numPr>
          <w:ilvl w:val="0"/>
          <w:numId w:val="217"/>
        </w:numPr>
        <w:tabs>
          <w:tab w:val="left" w:pos="851"/>
        </w:tabs>
        <w:snapToGrid w:val="0"/>
        <w:contextualSpacing/>
      </w:pPr>
      <w:r w:rsidRPr="00765F6E">
        <w:rPr>
          <w:rFonts w:hint="eastAsia"/>
        </w:rPr>
        <w:t>站台门设备室应设置综合接地端子，接地电阻不应大于1Ω；</w:t>
      </w:r>
    </w:p>
    <w:p w14:paraId="554877DF" w14:textId="77777777" w:rsidR="00737EB2" w:rsidRPr="00765F6E" w:rsidRDefault="00737EB2" w:rsidP="003334F3">
      <w:pPr>
        <w:pStyle w:val="af6"/>
        <w:numPr>
          <w:ilvl w:val="0"/>
          <w:numId w:val="217"/>
        </w:numPr>
        <w:tabs>
          <w:tab w:val="left" w:pos="851"/>
        </w:tabs>
        <w:snapToGrid w:val="0"/>
        <w:contextualSpacing/>
      </w:pPr>
      <w:r w:rsidRPr="00765F6E">
        <w:rPr>
          <w:rFonts w:hint="eastAsia"/>
        </w:rPr>
        <w:t>站台门可通过接地端子接地，接地电阻不应大于1Ω。</w:t>
      </w:r>
    </w:p>
    <w:p w14:paraId="582B9761" w14:textId="77777777" w:rsidR="00737EB2" w:rsidRPr="00765F6E" w:rsidRDefault="00737EB2" w:rsidP="00737EB2">
      <w:pPr>
        <w:pStyle w:val="affe"/>
        <w:spacing w:before="156" w:after="156"/>
      </w:pPr>
      <w:bookmarkStart w:id="2972" w:name="_Toc99792795"/>
      <w:bookmarkStart w:id="2973" w:name="_Toc153292243"/>
      <w:bookmarkStart w:id="2974" w:name="_Toc153210977"/>
      <w:bookmarkStart w:id="2975" w:name="_Toc167895875"/>
      <w:bookmarkStart w:id="2976" w:name="_Toc174538789"/>
      <w:bookmarkStart w:id="2977" w:name="_Toc182476547"/>
      <w:r w:rsidRPr="00765F6E">
        <w:rPr>
          <w:rFonts w:hint="eastAsia"/>
        </w:rPr>
        <w:t>接口设计</w:t>
      </w:r>
      <w:bookmarkEnd w:id="2972"/>
      <w:bookmarkEnd w:id="2973"/>
      <w:bookmarkEnd w:id="2974"/>
      <w:bookmarkEnd w:id="2975"/>
      <w:bookmarkEnd w:id="2976"/>
      <w:bookmarkEnd w:id="2977"/>
    </w:p>
    <w:p w14:paraId="1B5B3743" w14:textId="77777777" w:rsidR="00737EB2" w:rsidRPr="00765F6E" w:rsidRDefault="00737EB2" w:rsidP="009D0776">
      <w:pPr>
        <w:pStyle w:val="22"/>
      </w:pPr>
      <w:bookmarkStart w:id="2978" w:name="_Toc99792796"/>
      <w:bookmarkStart w:id="2979" w:name="_Toc153292244"/>
      <w:r w:rsidRPr="00765F6E">
        <w:rPr>
          <w:rFonts w:hint="eastAsia"/>
        </w:rPr>
        <w:t>自动扶梯及自动人行道设计应向相关专业提出机坑、电源、监控、运输通道以及预埋等设施要求。</w:t>
      </w:r>
      <w:bookmarkEnd w:id="2978"/>
      <w:bookmarkEnd w:id="2979"/>
    </w:p>
    <w:p w14:paraId="1563C2B6" w14:textId="77777777" w:rsidR="00737EB2" w:rsidRPr="00765F6E" w:rsidRDefault="00737EB2" w:rsidP="009D0776">
      <w:pPr>
        <w:pStyle w:val="22"/>
      </w:pPr>
      <w:bookmarkStart w:id="2980" w:name="_Toc153292245"/>
      <w:bookmarkStart w:id="2981" w:name="_Toc99792797"/>
      <w:r w:rsidRPr="00765F6E">
        <w:rPr>
          <w:rFonts w:hint="eastAsia"/>
        </w:rPr>
        <w:t>电梯设计应向相关专业提出井道、电源、监控、通话以及预埋等设施要求。</w:t>
      </w:r>
      <w:bookmarkEnd w:id="2980"/>
      <w:bookmarkEnd w:id="2981"/>
    </w:p>
    <w:p w14:paraId="2F316A87" w14:textId="77777777" w:rsidR="00737EB2" w:rsidRPr="00765F6E" w:rsidRDefault="00737EB2" w:rsidP="009D0776">
      <w:pPr>
        <w:pStyle w:val="22"/>
      </w:pPr>
      <w:bookmarkStart w:id="2982" w:name="_Toc99792798"/>
      <w:bookmarkStart w:id="2983" w:name="_Toc153292246"/>
      <w:r w:rsidRPr="00765F6E">
        <w:rPr>
          <w:rFonts w:hint="eastAsia"/>
        </w:rPr>
        <w:t>轮椅升降平台设计应向相关专业提出电源、监控以及预埋等设施要求。</w:t>
      </w:r>
      <w:bookmarkEnd w:id="2982"/>
      <w:bookmarkEnd w:id="2983"/>
    </w:p>
    <w:p w14:paraId="15D08F8B" w14:textId="77777777" w:rsidR="00737EB2" w:rsidRPr="00765F6E" w:rsidRDefault="00737EB2" w:rsidP="009D0776">
      <w:pPr>
        <w:pStyle w:val="22"/>
      </w:pPr>
      <w:bookmarkStart w:id="2984" w:name="_Toc99792799"/>
      <w:bookmarkStart w:id="2985" w:name="_Toc153292247"/>
      <w:r w:rsidRPr="00765F6E">
        <w:rPr>
          <w:rFonts w:hint="eastAsia"/>
        </w:rPr>
        <w:t>站台门设计应向相关专业提出机房、电源、监控、运输通道以及预埋等设施要求。</w:t>
      </w:r>
      <w:bookmarkEnd w:id="2984"/>
      <w:bookmarkEnd w:id="2985"/>
    </w:p>
    <w:p w14:paraId="7D1F7A72" w14:textId="77777777" w:rsidR="00737EB2" w:rsidRPr="00765F6E" w:rsidRDefault="00737EB2" w:rsidP="00737EB2">
      <w:pPr>
        <w:pStyle w:val="affd"/>
        <w:spacing w:before="312" w:after="312"/>
      </w:pPr>
      <w:bookmarkStart w:id="2986" w:name="_Toc153210978"/>
      <w:bookmarkStart w:id="2987" w:name="_Toc153292248"/>
      <w:bookmarkStart w:id="2988" w:name="_Toc99792800"/>
      <w:bookmarkStart w:id="2989" w:name="_Toc167895876"/>
      <w:bookmarkStart w:id="2990" w:name="_Toc174538790"/>
      <w:bookmarkStart w:id="2991" w:name="_Toc182476548"/>
      <w:r w:rsidRPr="00765F6E">
        <w:rPr>
          <w:rFonts w:hint="eastAsia"/>
        </w:rPr>
        <w:t>运营控制中心</w:t>
      </w:r>
      <w:bookmarkEnd w:id="2986"/>
      <w:bookmarkEnd w:id="2987"/>
      <w:bookmarkEnd w:id="2988"/>
      <w:bookmarkEnd w:id="2989"/>
      <w:bookmarkEnd w:id="2990"/>
      <w:bookmarkEnd w:id="2991"/>
    </w:p>
    <w:p w14:paraId="3BA95509" w14:textId="77777777" w:rsidR="00737EB2" w:rsidRPr="00765F6E" w:rsidRDefault="00737EB2" w:rsidP="00737EB2">
      <w:pPr>
        <w:pStyle w:val="affe"/>
        <w:spacing w:before="156" w:after="156"/>
      </w:pPr>
      <w:bookmarkStart w:id="2992" w:name="_Toc153210979"/>
      <w:bookmarkStart w:id="2993" w:name="_Toc153292249"/>
      <w:bookmarkStart w:id="2994" w:name="_Toc99792801"/>
      <w:bookmarkStart w:id="2995" w:name="_Toc167895877"/>
      <w:bookmarkStart w:id="2996" w:name="_Toc174538791"/>
      <w:bookmarkStart w:id="2997" w:name="_Toc182476549"/>
      <w:r w:rsidRPr="00765F6E">
        <w:rPr>
          <w:rFonts w:hint="eastAsia"/>
        </w:rPr>
        <w:t>一般规定</w:t>
      </w:r>
      <w:bookmarkEnd w:id="2992"/>
      <w:bookmarkEnd w:id="2993"/>
      <w:bookmarkEnd w:id="2994"/>
      <w:bookmarkEnd w:id="2995"/>
      <w:bookmarkEnd w:id="2996"/>
      <w:bookmarkEnd w:id="2997"/>
    </w:p>
    <w:p w14:paraId="6A300A37" w14:textId="77777777" w:rsidR="00737EB2" w:rsidRPr="00765F6E" w:rsidRDefault="00737EB2" w:rsidP="009D0776">
      <w:pPr>
        <w:pStyle w:val="22"/>
      </w:pPr>
      <w:bookmarkStart w:id="2998" w:name="_Toc99792802"/>
      <w:bookmarkStart w:id="2999" w:name="_Toc153292250"/>
      <w:r w:rsidRPr="00765F6E">
        <w:rPr>
          <w:rFonts w:hint="eastAsia"/>
        </w:rPr>
        <w:t>市域铁路可根据线网规模、系统模式、开行方式、管理权属等因素确定采用新建区域控制中心或利用既有控制中心调度管理。</w:t>
      </w:r>
      <w:bookmarkEnd w:id="2998"/>
      <w:bookmarkEnd w:id="2999"/>
    </w:p>
    <w:p w14:paraId="5004D8EA" w14:textId="28172C15" w:rsidR="00737EB2" w:rsidRPr="00765F6E" w:rsidRDefault="00416CC2" w:rsidP="009D0776">
      <w:pPr>
        <w:pStyle w:val="22"/>
      </w:pPr>
      <w:bookmarkStart w:id="3000" w:name="_Toc153292251"/>
      <w:bookmarkStart w:id="3001" w:name="_Toc99792803"/>
      <w:r w:rsidRPr="00416CC2">
        <w:rPr>
          <w:rFonts w:hint="eastAsia"/>
        </w:rPr>
        <w:t>控制中心具备监控管理市域铁路网络多条线路的能力，建设规模和模式应依据市域铁路线网规划和线路的具体情况统筹设置</w:t>
      </w:r>
      <w:r w:rsidR="00737EB2" w:rsidRPr="00765F6E">
        <w:rPr>
          <w:rFonts w:hint="eastAsia"/>
        </w:rPr>
        <w:t>。</w:t>
      </w:r>
      <w:bookmarkEnd w:id="3000"/>
      <w:bookmarkEnd w:id="3001"/>
    </w:p>
    <w:p w14:paraId="6502694A" w14:textId="77777777" w:rsidR="00737EB2" w:rsidRPr="00765F6E" w:rsidRDefault="00737EB2" w:rsidP="009D0776">
      <w:pPr>
        <w:pStyle w:val="22"/>
      </w:pPr>
      <w:bookmarkStart w:id="3002" w:name="_Toc153292252"/>
      <w:bookmarkStart w:id="3003" w:name="_Toc99792804"/>
      <w:r w:rsidRPr="00765F6E">
        <w:rPr>
          <w:rFonts w:hint="eastAsia"/>
        </w:rPr>
        <w:lastRenderedPageBreak/>
        <w:t>控制中心应具有各类调度、管理和指挥功能，对运营全过程进行集中管理和监控，其中央控制室应具备防灾与应急指挥的功能。</w:t>
      </w:r>
      <w:bookmarkEnd w:id="3002"/>
      <w:bookmarkEnd w:id="3003"/>
    </w:p>
    <w:p w14:paraId="288E2562" w14:textId="77777777" w:rsidR="00737EB2" w:rsidRPr="00765F6E" w:rsidRDefault="00737EB2" w:rsidP="009D0776">
      <w:pPr>
        <w:pStyle w:val="22"/>
      </w:pPr>
      <w:bookmarkStart w:id="3004" w:name="_Toc99792805"/>
      <w:bookmarkStart w:id="3005" w:name="_Toc153292253"/>
      <w:r w:rsidRPr="00765F6E">
        <w:rPr>
          <w:rFonts w:hint="eastAsia"/>
        </w:rPr>
        <w:t>控制中心宜设置为独立建筑，确保控制中心的安全性与可靠性。</w:t>
      </w:r>
      <w:bookmarkEnd w:id="3004"/>
      <w:bookmarkEnd w:id="3005"/>
    </w:p>
    <w:p w14:paraId="703CF0D9" w14:textId="77777777" w:rsidR="00737EB2" w:rsidRPr="00765F6E" w:rsidRDefault="00737EB2" w:rsidP="00737EB2">
      <w:pPr>
        <w:pStyle w:val="affe"/>
        <w:spacing w:before="156" w:after="156"/>
      </w:pPr>
      <w:bookmarkStart w:id="3006" w:name="_Toc153210980"/>
      <w:bookmarkStart w:id="3007" w:name="_Toc153292254"/>
      <w:bookmarkStart w:id="3008" w:name="_Toc99792806"/>
      <w:bookmarkStart w:id="3009" w:name="_Toc167895878"/>
      <w:bookmarkStart w:id="3010" w:name="_Toc174538792"/>
      <w:bookmarkStart w:id="3011" w:name="_Toc182476550"/>
      <w:r w:rsidRPr="00765F6E">
        <w:rPr>
          <w:rFonts w:hint="eastAsia"/>
        </w:rPr>
        <w:t>选址与规模</w:t>
      </w:r>
      <w:bookmarkEnd w:id="3006"/>
      <w:bookmarkEnd w:id="3007"/>
      <w:bookmarkEnd w:id="3008"/>
      <w:bookmarkEnd w:id="3009"/>
      <w:bookmarkEnd w:id="3010"/>
      <w:bookmarkEnd w:id="3011"/>
    </w:p>
    <w:p w14:paraId="6CF0A346" w14:textId="77777777" w:rsidR="00737EB2" w:rsidRPr="00765F6E" w:rsidRDefault="00737EB2" w:rsidP="009D0776">
      <w:pPr>
        <w:pStyle w:val="22"/>
      </w:pPr>
      <w:bookmarkStart w:id="3012" w:name="_Toc153292255"/>
      <w:bookmarkStart w:id="3013" w:name="_Toc99792807"/>
      <w:r w:rsidRPr="00765F6E">
        <w:rPr>
          <w:rFonts w:hint="eastAsia"/>
        </w:rPr>
        <w:t>控制中心的位置宜结合线网考虑，靠近主要线路和车站，设置在方便运营管理的区域。</w:t>
      </w:r>
      <w:bookmarkEnd w:id="3012"/>
      <w:bookmarkEnd w:id="3013"/>
    </w:p>
    <w:p w14:paraId="66B4AABD" w14:textId="77777777" w:rsidR="00737EB2" w:rsidRPr="00765F6E" w:rsidRDefault="00737EB2" w:rsidP="009D0776">
      <w:pPr>
        <w:pStyle w:val="22"/>
      </w:pPr>
      <w:bookmarkStart w:id="3014" w:name="_Toc153292256"/>
      <w:bookmarkStart w:id="3015" w:name="_Toc99792808"/>
      <w:r w:rsidRPr="00765F6E">
        <w:rPr>
          <w:rFonts w:hint="eastAsia"/>
        </w:rPr>
        <w:t>控制中心应避开高温、潮湿、烟气、多尘、有毒、腐蚀等气源和污染源；应避开易燃、易爆、噪声和振动源；应避开强电磁干扰源等，并应设于污染源的上风向，同时应利用有利的地形和环境或采取相应设施隔离。</w:t>
      </w:r>
      <w:bookmarkEnd w:id="3014"/>
      <w:bookmarkEnd w:id="3015"/>
    </w:p>
    <w:p w14:paraId="3C070DAB" w14:textId="77777777" w:rsidR="00737EB2" w:rsidRPr="00765F6E" w:rsidRDefault="00737EB2" w:rsidP="009D0776">
      <w:pPr>
        <w:pStyle w:val="22"/>
      </w:pPr>
      <w:bookmarkStart w:id="3016" w:name="_Toc153292257"/>
      <w:bookmarkStart w:id="3017" w:name="_Toc99792809"/>
      <w:r w:rsidRPr="00765F6E">
        <w:rPr>
          <w:rFonts w:hint="eastAsia"/>
        </w:rPr>
        <w:t>控制中心应根据监控管理线路数量、运营管理架构和管理模式、各系统中央级设备的数量及控制中心其他辅助设施等因素，经济合理地确定控制中心的规模及装修标准，并宜适当预留发展余地。</w:t>
      </w:r>
      <w:bookmarkEnd w:id="3016"/>
      <w:bookmarkEnd w:id="3017"/>
    </w:p>
    <w:p w14:paraId="75A4405F" w14:textId="77777777" w:rsidR="00737EB2" w:rsidRPr="00765F6E" w:rsidRDefault="00737EB2" w:rsidP="00737EB2">
      <w:pPr>
        <w:pStyle w:val="affe"/>
        <w:spacing w:before="156" w:after="156"/>
      </w:pPr>
      <w:bookmarkStart w:id="3018" w:name="_Toc153210981"/>
      <w:bookmarkStart w:id="3019" w:name="_Toc153292258"/>
      <w:bookmarkStart w:id="3020" w:name="_Toc99792810"/>
      <w:bookmarkStart w:id="3021" w:name="_Toc167895879"/>
      <w:bookmarkStart w:id="3022" w:name="_Toc174538793"/>
      <w:bookmarkStart w:id="3023" w:name="_Toc182476551"/>
      <w:r w:rsidRPr="00765F6E">
        <w:rPr>
          <w:rFonts w:hint="eastAsia"/>
        </w:rPr>
        <w:t>布局</w:t>
      </w:r>
      <w:bookmarkEnd w:id="3018"/>
      <w:bookmarkEnd w:id="3019"/>
      <w:bookmarkEnd w:id="3020"/>
      <w:bookmarkEnd w:id="3021"/>
      <w:bookmarkEnd w:id="3022"/>
      <w:bookmarkEnd w:id="3023"/>
    </w:p>
    <w:p w14:paraId="394661E4" w14:textId="77777777" w:rsidR="00737EB2" w:rsidRPr="00765F6E" w:rsidRDefault="00737EB2" w:rsidP="009D0776">
      <w:pPr>
        <w:pStyle w:val="22"/>
      </w:pPr>
      <w:bookmarkStart w:id="3024" w:name="_Toc99792811"/>
      <w:bookmarkStart w:id="3025" w:name="_Toc153292259"/>
      <w:r w:rsidRPr="00765F6E">
        <w:rPr>
          <w:rFonts w:hint="eastAsia"/>
        </w:rPr>
        <w:t>控制中心工艺设计应明确功能定位、建设规模、运营管理模式、组织架构及定员数量。</w:t>
      </w:r>
      <w:bookmarkEnd w:id="3024"/>
      <w:bookmarkEnd w:id="3025"/>
    </w:p>
    <w:p w14:paraId="5C263886" w14:textId="77777777" w:rsidR="00737EB2" w:rsidRPr="00765F6E" w:rsidRDefault="00737EB2" w:rsidP="009D0776">
      <w:pPr>
        <w:pStyle w:val="22"/>
      </w:pPr>
      <w:bookmarkStart w:id="3026" w:name="_Toc153292260"/>
      <w:bookmarkStart w:id="3027" w:name="_Toc99792812"/>
      <w:r w:rsidRPr="00765F6E">
        <w:rPr>
          <w:rFonts w:hint="eastAsia"/>
        </w:rPr>
        <w:t>控制中心主要由调度大厅、设备区、管理区、综合区等组成。各功能区的设置宜考虑运营、管理的顺畅便捷。</w:t>
      </w:r>
      <w:bookmarkEnd w:id="3026"/>
      <w:bookmarkEnd w:id="3027"/>
    </w:p>
    <w:p w14:paraId="41535E92" w14:textId="77777777" w:rsidR="00737EB2" w:rsidRPr="00765F6E" w:rsidRDefault="00737EB2" w:rsidP="009D0776">
      <w:pPr>
        <w:pStyle w:val="22"/>
      </w:pPr>
      <w:bookmarkStart w:id="3028" w:name="_Toc99792813"/>
      <w:bookmarkStart w:id="3029" w:name="_Toc153292261"/>
      <w:r w:rsidRPr="00765F6E">
        <w:rPr>
          <w:rFonts w:hint="eastAsia"/>
        </w:rPr>
        <w:t>控制中心的整体布局与设备布置应满足安全、可靠，操作、使用、维修及管理方便，以及运营成本经济合理等要求。</w:t>
      </w:r>
      <w:bookmarkEnd w:id="3028"/>
      <w:bookmarkEnd w:id="3029"/>
    </w:p>
    <w:p w14:paraId="365FE47A" w14:textId="77777777" w:rsidR="00737EB2" w:rsidRPr="00765F6E" w:rsidRDefault="00737EB2" w:rsidP="009D0776">
      <w:pPr>
        <w:pStyle w:val="22"/>
      </w:pPr>
      <w:bookmarkStart w:id="3030" w:name="_Toc99792814"/>
      <w:bookmarkStart w:id="3031" w:name="_Toc153292262"/>
      <w:r w:rsidRPr="00765F6E">
        <w:rPr>
          <w:rFonts w:hint="eastAsia"/>
        </w:rPr>
        <w:t>控制中心应设置独立的中央控制室；中央控制室前应设置缓冲区域。</w:t>
      </w:r>
      <w:bookmarkEnd w:id="3030"/>
      <w:bookmarkEnd w:id="3031"/>
    </w:p>
    <w:p w14:paraId="17CCE335" w14:textId="77777777" w:rsidR="00737EB2" w:rsidRPr="00765F6E" w:rsidRDefault="00737EB2" w:rsidP="009D0776">
      <w:pPr>
        <w:pStyle w:val="22"/>
      </w:pPr>
      <w:bookmarkStart w:id="3032" w:name="_Toc153292263"/>
      <w:r w:rsidRPr="00765F6E">
        <w:rPr>
          <w:rFonts w:hint="eastAsia"/>
        </w:rPr>
        <w:t>中央控制室各系统设备的布置符合下列规定：</w:t>
      </w:r>
      <w:bookmarkEnd w:id="3032"/>
    </w:p>
    <w:p w14:paraId="2A35154A" w14:textId="77777777" w:rsidR="00737EB2" w:rsidRPr="00765F6E" w:rsidRDefault="00737EB2" w:rsidP="003334F3">
      <w:pPr>
        <w:pStyle w:val="af6"/>
        <w:numPr>
          <w:ilvl w:val="0"/>
          <w:numId w:val="218"/>
        </w:numPr>
        <w:tabs>
          <w:tab w:val="left" w:pos="851"/>
        </w:tabs>
        <w:snapToGrid w:val="0"/>
        <w:contextualSpacing/>
      </w:pPr>
      <w:r w:rsidRPr="00765F6E">
        <w:rPr>
          <w:rFonts w:hint="eastAsia"/>
        </w:rPr>
        <w:t>中央控制室的调度区域划分应与运营管理模式相适应，宜按调度岗位划分，也可按线路划分；</w:t>
      </w:r>
    </w:p>
    <w:p w14:paraId="517E71BA" w14:textId="77777777" w:rsidR="00737EB2" w:rsidRPr="00765F6E" w:rsidRDefault="00737EB2" w:rsidP="00737EB2">
      <w:pPr>
        <w:pStyle w:val="af6"/>
        <w:tabs>
          <w:tab w:val="left" w:pos="851"/>
        </w:tabs>
        <w:snapToGrid w:val="0"/>
        <w:contextualSpacing/>
      </w:pPr>
      <w:r w:rsidRPr="00765F6E">
        <w:rPr>
          <w:rFonts w:hint="eastAsia"/>
        </w:rPr>
        <w:t>中央控制室内设备和调度台的布置应便于观察、操作、维修及调度人员活动和疏散；</w:t>
      </w:r>
    </w:p>
    <w:p w14:paraId="7ADDCF19" w14:textId="77777777" w:rsidR="00737EB2" w:rsidRPr="00765F6E" w:rsidRDefault="00737EB2" w:rsidP="00737EB2">
      <w:pPr>
        <w:pStyle w:val="af6"/>
        <w:tabs>
          <w:tab w:val="left" w:pos="851"/>
        </w:tabs>
        <w:snapToGrid w:val="0"/>
        <w:contextualSpacing/>
      </w:pPr>
      <w:r w:rsidRPr="00765F6E">
        <w:rPr>
          <w:rFonts w:hint="eastAsia"/>
        </w:rPr>
        <w:t>大屏幕显示系统及调度台的布置应以行车指挥为核心，并便于行车调度、电力调度等相关调度和总调度之间沟通；</w:t>
      </w:r>
    </w:p>
    <w:p w14:paraId="2A5EECD1" w14:textId="77777777" w:rsidR="00737EB2" w:rsidRPr="00765F6E" w:rsidRDefault="00737EB2" w:rsidP="00737EB2">
      <w:pPr>
        <w:pStyle w:val="af6"/>
        <w:tabs>
          <w:tab w:val="left" w:pos="851"/>
        </w:tabs>
        <w:snapToGrid w:val="0"/>
        <w:contextualSpacing/>
      </w:pPr>
      <w:r w:rsidRPr="00765F6E">
        <w:rPr>
          <w:rFonts w:hint="eastAsia"/>
        </w:rPr>
        <w:t>大屏幕显示系统及调度台宜呈弧形布置，调度台与大屏幕显示屏间距不应小于2</w:t>
      </w:r>
      <w:r w:rsidRPr="00765F6E">
        <w:t>.5m</w:t>
      </w:r>
      <w:r w:rsidRPr="00765F6E">
        <w:rPr>
          <w:rFonts w:hint="eastAsia"/>
        </w:rPr>
        <w:t>；</w:t>
      </w:r>
    </w:p>
    <w:p w14:paraId="16AFD5C9" w14:textId="77777777" w:rsidR="00737EB2" w:rsidRPr="00765F6E" w:rsidRDefault="00737EB2" w:rsidP="00737EB2">
      <w:pPr>
        <w:pStyle w:val="af6"/>
        <w:tabs>
          <w:tab w:val="left" w:pos="851"/>
        </w:tabs>
        <w:snapToGrid w:val="0"/>
        <w:contextualSpacing/>
      </w:pPr>
      <w:r w:rsidRPr="00765F6E">
        <w:rPr>
          <w:rFonts w:hint="eastAsia"/>
        </w:rPr>
        <w:t>大屏幕显示系统的屏前应留有足够的视觉空间，屏后应留有维修空间；</w:t>
      </w:r>
    </w:p>
    <w:p w14:paraId="72A93AE9" w14:textId="77777777" w:rsidR="00737EB2" w:rsidRPr="00765F6E" w:rsidRDefault="00737EB2" w:rsidP="00737EB2">
      <w:pPr>
        <w:pStyle w:val="af6"/>
        <w:tabs>
          <w:tab w:val="left" w:pos="851"/>
        </w:tabs>
        <w:snapToGrid w:val="0"/>
        <w:contextualSpacing/>
      </w:pPr>
      <w:r w:rsidRPr="00765F6E">
        <w:rPr>
          <w:rFonts w:hint="eastAsia"/>
        </w:rPr>
        <w:t>调度台前后应留有足够的操作空间及维修空间，调度台前后间距宜大于1</w:t>
      </w:r>
      <w:r w:rsidRPr="00765F6E">
        <w:t>.5m</w:t>
      </w:r>
      <w:r w:rsidRPr="00765F6E">
        <w:rPr>
          <w:rFonts w:hint="eastAsia"/>
        </w:rPr>
        <w:t>。</w:t>
      </w:r>
    </w:p>
    <w:p w14:paraId="6145F401" w14:textId="77777777" w:rsidR="00737EB2" w:rsidRPr="00765F6E" w:rsidRDefault="00737EB2" w:rsidP="00737EB2">
      <w:pPr>
        <w:pStyle w:val="affe"/>
        <w:spacing w:before="156" w:after="156"/>
      </w:pPr>
      <w:bookmarkStart w:id="3033" w:name="_Toc153210982"/>
      <w:bookmarkStart w:id="3034" w:name="_Toc99792815"/>
      <w:bookmarkStart w:id="3035" w:name="_Toc153292264"/>
      <w:bookmarkStart w:id="3036" w:name="_Toc167895880"/>
      <w:bookmarkStart w:id="3037" w:name="_Toc174538794"/>
      <w:bookmarkStart w:id="3038" w:name="_Toc182476552"/>
      <w:r w:rsidRPr="00765F6E">
        <w:rPr>
          <w:rFonts w:hint="eastAsia"/>
        </w:rPr>
        <w:t>建筑与结构</w:t>
      </w:r>
      <w:bookmarkEnd w:id="3033"/>
      <w:bookmarkEnd w:id="3034"/>
      <w:bookmarkEnd w:id="3035"/>
      <w:bookmarkEnd w:id="3036"/>
      <w:bookmarkEnd w:id="3037"/>
      <w:bookmarkEnd w:id="3038"/>
    </w:p>
    <w:p w14:paraId="53AEB1D7" w14:textId="52BAE735" w:rsidR="00737EB2" w:rsidRPr="00A7607F" w:rsidRDefault="00746F79" w:rsidP="009D0776">
      <w:pPr>
        <w:pStyle w:val="22"/>
      </w:pPr>
      <w:bookmarkStart w:id="3039" w:name="_Toc153292265"/>
      <w:bookmarkStart w:id="3040" w:name="_Toc99792816"/>
      <w:r w:rsidRPr="00453DBE">
        <w:rPr>
          <w:rFonts w:hint="eastAsia"/>
        </w:rPr>
        <w:t>控制中心的建筑布局应满足工艺要求，以实用、经济、符合管理要求为原则，并充分体现市域铁路控制中心的功能特点；建筑立面的处理宜与所处周围环境相融合</w:t>
      </w:r>
      <w:r w:rsidR="00737EB2" w:rsidRPr="00A7607F">
        <w:rPr>
          <w:rFonts w:hint="eastAsia"/>
        </w:rPr>
        <w:t>。</w:t>
      </w:r>
      <w:bookmarkEnd w:id="3039"/>
      <w:bookmarkEnd w:id="3040"/>
    </w:p>
    <w:p w14:paraId="6FE95906" w14:textId="42E21836" w:rsidR="00737EB2" w:rsidRPr="00765F6E" w:rsidRDefault="00746F79" w:rsidP="009D0776">
      <w:pPr>
        <w:pStyle w:val="22"/>
      </w:pPr>
      <w:bookmarkStart w:id="3041" w:name="_Toc153292266"/>
      <w:bookmarkStart w:id="3042" w:name="_Toc99792817"/>
      <w:r w:rsidRPr="00453DBE">
        <w:rPr>
          <w:rFonts w:hint="eastAsia"/>
        </w:rPr>
        <w:t>控制中心结构设计除符合现行相关国家标准、规范的规定外，还应符合以下规定</w:t>
      </w:r>
      <w:r w:rsidR="00737EB2" w:rsidRPr="00765F6E">
        <w:rPr>
          <w:rFonts w:hint="eastAsia"/>
        </w:rPr>
        <w:t>：</w:t>
      </w:r>
      <w:bookmarkEnd w:id="3041"/>
      <w:bookmarkEnd w:id="3042"/>
    </w:p>
    <w:p w14:paraId="660925CD" w14:textId="77777777" w:rsidR="00737EB2" w:rsidRPr="00765F6E" w:rsidRDefault="00737EB2" w:rsidP="003334F3">
      <w:pPr>
        <w:pStyle w:val="af6"/>
        <w:numPr>
          <w:ilvl w:val="0"/>
          <w:numId w:val="219"/>
        </w:numPr>
        <w:tabs>
          <w:tab w:val="left" w:pos="851"/>
        </w:tabs>
        <w:snapToGrid w:val="0"/>
        <w:contextualSpacing/>
      </w:pPr>
      <w:r w:rsidRPr="00765F6E">
        <w:rPr>
          <w:rFonts w:hint="eastAsia"/>
        </w:rPr>
        <w:t>结构的耐久性设计要求应与市域铁路的主体结构相一致，设计使用年限100年；</w:t>
      </w:r>
    </w:p>
    <w:p w14:paraId="07FC1599" w14:textId="77777777" w:rsidR="00737EB2" w:rsidRPr="00765F6E" w:rsidRDefault="00737EB2" w:rsidP="003334F3">
      <w:pPr>
        <w:pStyle w:val="af6"/>
        <w:numPr>
          <w:ilvl w:val="0"/>
          <w:numId w:val="219"/>
        </w:numPr>
        <w:tabs>
          <w:tab w:val="left" w:pos="851"/>
        </w:tabs>
        <w:snapToGrid w:val="0"/>
        <w:contextualSpacing/>
      </w:pPr>
      <w:r w:rsidRPr="00765F6E">
        <w:rPr>
          <w:rFonts w:hint="eastAsia"/>
        </w:rPr>
        <w:t>结构设计分别按施工阶段和使用阶段进行强度、变形等计算，同时满足环保、防火、防水、防锈蚀、防雷等要求；</w:t>
      </w:r>
    </w:p>
    <w:p w14:paraId="6CD5462D" w14:textId="77777777" w:rsidR="00737EB2" w:rsidRPr="00765F6E" w:rsidRDefault="00737EB2" w:rsidP="003334F3">
      <w:pPr>
        <w:pStyle w:val="af6"/>
        <w:numPr>
          <w:ilvl w:val="0"/>
          <w:numId w:val="219"/>
        </w:numPr>
        <w:tabs>
          <w:tab w:val="left" w:pos="851"/>
        </w:tabs>
        <w:snapToGrid w:val="0"/>
        <w:contextualSpacing/>
      </w:pPr>
      <w:r w:rsidRPr="00765F6E">
        <w:rPr>
          <w:rFonts w:hint="eastAsia"/>
        </w:rPr>
        <w:t>结构净空尺寸应满足设备安装、使用以及施工工艺的要求；</w:t>
      </w:r>
    </w:p>
    <w:p w14:paraId="005C3DB7" w14:textId="537CF252" w:rsidR="00737EB2" w:rsidRPr="00765F6E" w:rsidRDefault="00737EB2" w:rsidP="003334F3">
      <w:pPr>
        <w:pStyle w:val="af6"/>
        <w:numPr>
          <w:ilvl w:val="0"/>
          <w:numId w:val="219"/>
        </w:numPr>
        <w:tabs>
          <w:tab w:val="left" w:pos="851"/>
        </w:tabs>
        <w:snapToGrid w:val="0"/>
        <w:contextualSpacing/>
      </w:pPr>
      <w:r w:rsidRPr="00765F6E">
        <w:rPr>
          <w:rFonts w:hint="eastAsia"/>
        </w:rPr>
        <w:t>抗震设防烈度按</w:t>
      </w:r>
      <w:r w:rsidRPr="00765F6E">
        <w:t>GB 18306</w:t>
      </w:r>
      <w:r w:rsidRPr="00765F6E">
        <w:rPr>
          <w:rFonts w:hint="eastAsia"/>
        </w:rPr>
        <w:t>规定采用；</w:t>
      </w:r>
    </w:p>
    <w:p w14:paraId="6DB858EA" w14:textId="77777777" w:rsidR="00737EB2" w:rsidRPr="00765F6E" w:rsidRDefault="00737EB2" w:rsidP="003334F3">
      <w:pPr>
        <w:pStyle w:val="af6"/>
        <w:numPr>
          <w:ilvl w:val="0"/>
          <w:numId w:val="219"/>
        </w:numPr>
        <w:tabs>
          <w:tab w:val="left" w:pos="851"/>
        </w:tabs>
        <w:snapToGrid w:val="0"/>
        <w:contextualSpacing/>
      </w:pPr>
      <w:r w:rsidRPr="00765F6E">
        <w:rPr>
          <w:rFonts w:hint="eastAsia"/>
        </w:rPr>
        <w:t>防雷及接地设计应符合</w:t>
      </w:r>
      <w:r w:rsidRPr="00765F6E">
        <w:t>GB 50057</w:t>
      </w:r>
      <w:r w:rsidRPr="00765F6E">
        <w:rPr>
          <w:rFonts w:hint="eastAsia"/>
        </w:rPr>
        <w:t>以及相关的技术标准。</w:t>
      </w:r>
    </w:p>
    <w:p w14:paraId="5437F521" w14:textId="2EA38A5C" w:rsidR="00737EB2" w:rsidRPr="00765F6E" w:rsidRDefault="00737EB2" w:rsidP="00737EB2">
      <w:pPr>
        <w:pStyle w:val="affe"/>
        <w:spacing w:before="156" w:after="156"/>
      </w:pPr>
      <w:bookmarkStart w:id="3043" w:name="_Toc99792818"/>
      <w:bookmarkStart w:id="3044" w:name="_Toc153292267"/>
      <w:bookmarkStart w:id="3045" w:name="_Toc153210983"/>
      <w:bookmarkStart w:id="3046" w:name="_Toc167895881"/>
      <w:bookmarkStart w:id="3047" w:name="_Toc174538795"/>
      <w:bookmarkStart w:id="3048" w:name="_Toc182476553"/>
      <w:r w:rsidRPr="00765F6E">
        <w:rPr>
          <w:rFonts w:hint="eastAsia"/>
        </w:rPr>
        <w:t>附属设施</w:t>
      </w:r>
      <w:bookmarkEnd w:id="3043"/>
      <w:bookmarkEnd w:id="3044"/>
      <w:bookmarkEnd w:id="3045"/>
      <w:bookmarkEnd w:id="3046"/>
      <w:bookmarkEnd w:id="3047"/>
      <w:bookmarkEnd w:id="3048"/>
    </w:p>
    <w:p w14:paraId="01C3DF6A" w14:textId="77777777" w:rsidR="00737EB2" w:rsidRPr="00765F6E" w:rsidRDefault="00737EB2" w:rsidP="009D0776">
      <w:pPr>
        <w:pStyle w:val="22"/>
      </w:pPr>
      <w:bookmarkStart w:id="3049" w:name="_Toc153292268"/>
      <w:bookmarkStart w:id="3050" w:name="_Toc99792819"/>
      <w:r w:rsidRPr="00765F6E">
        <w:rPr>
          <w:rFonts w:hint="eastAsia"/>
        </w:rPr>
        <w:t>控制中心的动力、照明设计应符合本</w:t>
      </w:r>
      <w:r>
        <w:rPr>
          <w:rFonts w:hint="eastAsia"/>
        </w:rPr>
        <w:t>文件</w:t>
      </w:r>
      <w:r w:rsidRPr="00765F6E">
        <w:rPr>
          <w:rFonts w:hint="eastAsia"/>
        </w:rPr>
        <w:t>的相关规定。</w:t>
      </w:r>
      <w:bookmarkEnd w:id="3049"/>
      <w:bookmarkEnd w:id="3050"/>
    </w:p>
    <w:p w14:paraId="525E929D" w14:textId="54E763BA" w:rsidR="00737EB2" w:rsidRDefault="00737EB2" w:rsidP="009D0776">
      <w:pPr>
        <w:pStyle w:val="22"/>
      </w:pPr>
      <w:bookmarkStart w:id="3051" w:name="_Toc153292269"/>
      <w:bookmarkStart w:id="3052" w:name="_Toc99792820"/>
      <w:r w:rsidRPr="00765F6E">
        <w:rPr>
          <w:rFonts w:hint="eastAsia"/>
        </w:rPr>
        <w:t>控制中心应设置正常照明与应急照明。照明灯具应选择节能型、散射效果良好、使用寿命长及维修更换方便的灯具；灯具的布置宜与建筑装修和设备布置相协调。</w:t>
      </w:r>
      <w:bookmarkEnd w:id="3051"/>
      <w:bookmarkEnd w:id="3052"/>
    </w:p>
    <w:p w14:paraId="4BE9AE50" w14:textId="2648FBE6" w:rsidR="00943B7C" w:rsidRPr="00943B7C" w:rsidRDefault="00943B7C" w:rsidP="00943B7C">
      <w:pPr>
        <w:pStyle w:val="22"/>
      </w:pPr>
      <w:r>
        <w:rPr>
          <w:rFonts w:hint="eastAsia"/>
        </w:rPr>
        <w:t>运营中心应根据场所使用性质设置通风、空调与供暖系统或设施，且具备2</w:t>
      </w:r>
      <w:r>
        <w:t>4h</w:t>
      </w:r>
      <w:r>
        <w:rPr>
          <w:rFonts w:hint="eastAsia"/>
        </w:rPr>
        <w:t>不间断运行能力。</w:t>
      </w:r>
    </w:p>
    <w:p w14:paraId="112B7838" w14:textId="77777777" w:rsidR="00737EB2" w:rsidRPr="00765F6E" w:rsidRDefault="00737EB2" w:rsidP="009D0776">
      <w:pPr>
        <w:pStyle w:val="22"/>
      </w:pPr>
      <w:bookmarkStart w:id="3053" w:name="_Toc99792821"/>
      <w:bookmarkStart w:id="3054" w:name="_Toc153292270"/>
      <w:r w:rsidRPr="00765F6E">
        <w:rPr>
          <w:rFonts w:hint="eastAsia"/>
        </w:rPr>
        <w:t>给水、排水及消防与安全设计应符合本</w:t>
      </w:r>
      <w:r>
        <w:rPr>
          <w:rFonts w:hint="eastAsia"/>
        </w:rPr>
        <w:t>文件</w:t>
      </w:r>
      <w:r w:rsidRPr="00765F6E">
        <w:rPr>
          <w:rFonts w:hint="eastAsia"/>
        </w:rPr>
        <w:t>的相关规定。</w:t>
      </w:r>
      <w:bookmarkEnd w:id="3053"/>
      <w:bookmarkEnd w:id="3054"/>
    </w:p>
    <w:p w14:paraId="4BAFA508" w14:textId="77777777" w:rsidR="00737EB2" w:rsidRPr="00765F6E" w:rsidRDefault="00737EB2" w:rsidP="009D0776">
      <w:pPr>
        <w:pStyle w:val="22"/>
      </w:pPr>
      <w:bookmarkStart w:id="3055" w:name="_Toc153292271"/>
      <w:bookmarkStart w:id="3056" w:name="_Toc99792822"/>
      <w:r w:rsidRPr="00765F6E">
        <w:rPr>
          <w:rFonts w:hint="eastAsia"/>
        </w:rPr>
        <w:t>控制中心应有序敷设管线，并宜采用综合布线和综合管线敷设方式。</w:t>
      </w:r>
      <w:bookmarkEnd w:id="3055"/>
      <w:bookmarkEnd w:id="3056"/>
    </w:p>
    <w:p w14:paraId="2C5AEF96" w14:textId="77777777" w:rsidR="00737EB2" w:rsidRPr="00765F6E" w:rsidRDefault="00737EB2" w:rsidP="009D0776">
      <w:pPr>
        <w:pStyle w:val="22"/>
      </w:pPr>
      <w:bookmarkStart w:id="3057" w:name="_Toc99792823"/>
      <w:bookmarkStart w:id="3058" w:name="_Toc153292272"/>
      <w:r w:rsidRPr="00765F6E">
        <w:rPr>
          <w:rFonts w:hint="eastAsia"/>
        </w:rPr>
        <w:t>综合布线和综合管线应为检修、更新改造预留空间；综合布线和综合管线应具有防火、防水和</w:t>
      </w:r>
      <w:r w:rsidRPr="00765F6E">
        <w:rPr>
          <w:rFonts w:hint="eastAsia"/>
        </w:rPr>
        <w:lastRenderedPageBreak/>
        <w:t>防鼠等安全功能。</w:t>
      </w:r>
      <w:bookmarkEnd w:id="3057"/>
      <w:bookmarkEnd w:id="3058"/>
    </w:p>
    <w:p w14:paraId="37A61281" w14:textId="77777777" w:rsidR="00737EB2" w:rsidRPr="00765F6E" w:rsidRDefault="00737EB2" w:rsidP="009D0776">
      <w:pPr>
        <w:pStyle w:val="22"/>
      </w:pPr>
      <w:bookmarkStart w:id="3059" w:name="_Toc99792824"/>
      <w:bookmarkStart w:id="3060" w:name="_Toc153292273"/>
      <w:r w:rsidRPr="00765F6E">
        <w:rPr>
          <w:rFonts w:hint="eastAsia"/>
        </w:rPr>
        <w:t>电缆的选择和管线的敷设过程应满足强电、弱电和消防等专业的要求；管线敷设宜做到线路短、交叉少。</w:t>
      </w:r>
      <w:bookmarkEnd w:id="3059"/>
      <w:bookmarkEnd w:id="3060"/>
    </w:p>
    <w:p w14:paraId="79209D80" w14:textId="77777777" w:rsidR="00737EB2" w:rsidRPr="00765F6E" w:rsidRDefault="00737EB2" w:rsidP="009D0776">
      <w:pPr>
        <w:pStyle w:val="22"/>
      </w:pPr>
      <w:bookmarkStart w:id="3061" w:name="_Toc99792825"/>
      <w:bookmarkStart w:id="3062" w:name="_Toc153292274"/>
      <w:r w:rsidRPr="00765F6E">
        <w:rPr>
          <w:rFonts w:hint="eastAsia"/>
        </w:rPr>
        <w:t>控制中心应设置火灾自动报警、环境与设备监控、火灾事故广播、自动灭火、水消防、防排烟等系统。</w:t>
      </w:r>
      <w:bookmarkEnd w:id="3061"/>
      <w:bookmarkEnd w:id="3062"/>
      <w:r w:rsidRPr="00765F6E">
        <w:rPr>
          <w:rFonts w:hint="eastAsia"/>
        </w:rPr>
        <w:t xml:space="preserve"> </w:t>
      </w:r>
    </w:p>
    <w:p w14:paraId="73473201" w14:textId="77777777" w:rsidR="00737EB2" w:rsidRPr="00765F6E" w:rsidRDefault="00737EB2" w:rsidP="009D0776">
      <w:pPr>
        <w:pStyle w:val="22"/>
      </w:pPr>
      <w:bookmarkStart w:id="3063" w:name="_Toc153292275"/>
      <w:bookmarkStart w:id="3064" w:name="_Toc99792826"/>
      <w:r w:rsidRPr="00765F6E">
        <w:rPr>
          <w:rFonts w:hint="eastAsia"/>
        </w:rPr>
        <w:t>控制中心应设置消防控制室，消防控制室应设置独立的空调系统。</w:t>
      </w:r>
      <w:bookmarkEnd w:id="3063"/>
      <w:bookmarkEnd w:id="3064"/>
    </w:p>
    <w:p w14:paraId="0D564FF8" w14:textId="77777777" w:rsidR="00737EB2" w:rsidRPr="00765F6E" w:rsidRDefault="00737EB2" w:rsidP="009D0776">
      <w:pPr>
        <w:pStyle w:val="22"/>
      </w:pPr>
      <w:bookmarkStart w:id="3065" w:name="_Toc99792827"/>
      <w:bookmarkStart w:id="3066" w:name="_Toc153292276"/>
      <w:r w:rsidRPr="00765F6E">
        <w:rPr>
          <w:rFonts w:hint="eastAsia"/>
        </w:rPr>
        <w:t>控制中心各分区出入口、主要通道和重要房间应设置视频监视系统、门禁系统、入侵报警系统等安防设施。</w:t>
      </w:r>
      <w:bookmarkEnd w:id="3065"/>
      <w:bookmarkEnd w:id="3066"/>
    </w:p>
    <w:p w14:paraId="43469D75" w14:textId="77777777" w:rsidR="00737EB2" w:rsidRPr="00765F6E" w:rsidRDefault="00737EB2" w:rsidP="009D0776">
      <w:pPr>
        <w:pStyle w:val="22"/>
      </w:pPr>
      <w:bookmarkStart w:id="3067" w:name="_Toc153292277"/>
      <w:bookmarkStart w:id="3068" w:name="_Toc99792828"/>
      <w:r w:rsidRPr="00765F6E">
        <w:rPr>
          <w:rFonts w:hint="eastAsia"/>
        </w:rPr>
        <w:t>控制中心应设置保安值班室。</w:t>
      </w:r>
      <w:bookmarkEnd w:id="3067"/>
      <w:bookmarkEnd w:id="3068"/>
    </w:p>
    <w:p w14:paraId="07136C78" w14:textId="77777777" w:rsidR="00737EB2" w:rsidRPr="00765F6E" w:rsidRDefault="00737EB2" w:rsidP="00737EB2">
      <w:pPr>
        <w:pStyle w:val="affd"/>
        <w:spacing w:before="312" w:after="312"/>
      </w:pPr>
      <w:bookmarkStart w:id="3069" w:name="_Toc153292278"/>
      <w:bookmarkStart w:id="3070" w:name="_Toc99792829"/>
      <w:bookmarkStart w:id="3071" w:name="_Toc153210984"/>
      <w:bookmarkStart w:id="3072" w:name="_Toc167895882"/>
      <w:bookmarkStart w:id="3073" w:name="_Toc174538796"/>
      <w:bookmarkStart w:id="3074" w:name="_Toc182476554"/>
      <w:r w:rsidRPr="00765F6E">
        <w:rPr>
          <w:rFonts w:hint="eastAsia"/>
        </w:rPr>
        <w:t>通风与空调</w:t>
      </w:r>
      <w:bookmarkEnd w:id="3069"/>
      <w:bookmarkEnd w:id="3070"/>
      <w:bookmarkEnd w:id="3071"/>
      <w:bookmarkEnd w:id="3072"/>
      <w:bookmarkEnd w:id="3073"/>
      <w:bookmarkEnd w:id="3074"/>
    </w:p>
    <w:p w14:paraId="0F34FEB4" w14:textId="77777777" w:rsidR="00737EB2" w:rsidRPr="00765F6E" w:rsidRDefault="00737EB2" w:rsidP="00737EB2">
      <w:pPr>
        <w:pStyle w:val="affe"/>
        <w:spacing w:before="156" w:after="156"/>
      </w:pPr>
      <w:bookmarkStart w:id="3075" w:name="_Toc153210985"/>
      <w:bookmarkStart w:id="3076" w:name="_Toc99792830"/>
      <w:bookmarkStart w:id="3077" w:name="_Toc153292279"/>
      <w:bookmarkStart w:id="3078" w:name="_Toc167895883"/>
      <w:bookmarkStart w:id="3079" w:name="_Toc174538797"/>
      <w:bookmarkStart w:id="3080" w:name="_Toc182476555"/>
      <w:r w:rsidRPr="00765F6E">
        <w:rPr>
          <w:rFonts w:hint="eastAsia"/>
        </w:rPr>
        <w:t>一般规定</w:t>
      </w:r>
      <w:bookmarkEnd w:id="3075"/>
      <w:bookmarkEnd w:id="3076"/>
      <w:bookmarkEnd w:id="3077"/>
      <w:bookmarkEnd w:id="3078"/>
      <w:bookmarkEnd w:id="3079"/>
      <w:bookmarkEnd w:id="3080"/>
    </w:p>
    <w:p w14:paraId="7F1C0153" w14:textId="77777777" w:rsidR="00737EB2" w:rsidRPr="00765F6E" w:rsidRDefault="00737EB2" w:rsidP="009D0776">
      <w:pPr>
        <w:pStyle w:val="22"/>
      </w:pPr>
      <w:bookmarkStart w:id="3081" w:name="_Toc153292280"/>
      <w:bookmarkStart w:id="3082" w:name="_Toc99792831"/>
      <w:r w:rsidRPr="00765F6E">
        <w:rPr>
          <w:rFonts w:hint="eastAsia"/>
        </w:rPr>
        <w:t>通风与空调应根据市域铁路车站规模、地下区间长度、周边环境、建设地点的能源条件以及国家节能减排和环保政策的相关规定等综合确定。市域铁路建筑或地下区间内部空气环境采用通风与空调系统进行控制。</w:t>
      </w:r>
      <w:bookmarkEnd w:id="3081"/>
      <w:bookmarkEnd w:id="3082"/>
    </w:p>
    <w:p w14:paraId="706BC75C" w14:textId="1C02FC4B" w:rsidR="00737EB2" w:rsidRPr="00765F6E" w:rsidRDefault="00737EB2" w:rsidP="009D0776">
      <w:pPr>
        <w:pStyle w:val="22"/>
      </w:pPr>
      <w:bookmarkStart w:id="3083" w:name="_Toc153292281"/>
      <w:bookmarkStart w:id="3084" w:name="_Toc99792832"/>
      <w:r w:rsidRPr="00765F6E">
        <w:rPr>
          <w:rFonts w:hint="eastAsia"/>
        </w:rPr>
        <w:t>市域铁路通风与空调范围包括高架车站、地面车站、地下车站、与</w:t>
      </w:r>
      <w:r w:rsidR="00404F45">
        <w:rPr>
          <w:rFonts w:hint="eastAsia"/>
        </w:rPr>
        <w:t>干线铁路</w:t>
      </w:r>
      <w:r w:rsidRPr="00765F6E">
        <w:rPr>
          <w:rFonts w:hint="eastAsia"/>
        </w:rPr>
        <w:t>合建的枢纽车站、车辆基地、其他生产房屋、生产辅助房屋及区间隧道。</w:t>
      </w:r>
      <w:bookmarkEnd w:id="3083"/>
      <w:bookmarkEnd w:id="3084"/>
    </w:p>
    <w:p w14:paraId="71CBF826" w14:textId="77777777" w:rsidR="00737EB2" w:rsidRPr="00765F6E" w:rsidRDefault="00737EB2" w:rsidP="009D0776">
      <w:pPr>
        <w:pStyle w:val="22"/>
      </w:pPr>
      <w:bookmarkStart w:id="3085" w:name="_Toc99792833"/>
      <w:bookmarkStart w:id="3086" w:name="_Toc153292282"/>
      <w:r w:rsidRPr="00765F6E">
        <w:rPr>
          <w:rFonts w:hint="eastAsia"/>
        </w:rPr>
        <w:t>车站通风与空调系统设计宜充分考虑远期客流量和最大通过能力，设备宜按近期和远期配置，分期实施。通风与空调系统应保证市域铁路内部环境的空气质量、温度、湿度、气流组织、气流速度、压力变化和噪音等均能满足人员的生理及心理要求和设备正常运转的需要；同时满足事故与火灾工况时的排烟、通风要求。</w:t>
      </w:r>
      <w:bookmarkEnd w:id="3085"/>
      <w:bookmarkEnd w:id="3086"/>
    </w:p>
    <w:p w14:paraId="38FBC104" w14:textId="77777777" w:rsidR="00737EB2" w:rsidRPr="00765F6E" w:rsidRDefault="00737EB2" w:rsidP="009D0776">
      <w:pPr>
        <w:pStyle w:val="22"/>
      </w:pPr>
      <w:bookmarkStart w:id="3087" w:name="_Toc99792834"/>
      <w:bookmarkStart w:id="3088" w:name="_Toc153292283"/>
      <w:r w:rsidRPr="00765F6E">
        <w:rPr>
          <w:rFonts w:hint="eastAsia"/>
        </w:rPr>
        <w:t>车站公共区空调系统应与设备区、办公区空调系统分开设置。</w:t>
      </w:r>
      <w:bookmarkEnd w:id="3087"/>
      <w:bookmarkEnd w:id="3088"/>
    </w:p>
    <w:p w14:paraId="2D288FFE" w14:textId="39959AD8" w:rsidR="00737EB2" w:rsidRPr="00765F6E" w:rsidRDefault="00737EB2" w:rsidP="009D0776">
      <w:pPr>
        <w:pStyle w:val="22"/>
      </w:pPr>
      <w:bookmarkStart w:id="3089" w:name="_Toc153292284"/>
      <w:bookmarkStart w:id="3090" w:name="_Toc99792835"/>
      <w:r w:rsidRPr="00765F6E">
        <w:rPr>
          <w:rFonts w:hint="eastAsia"/>
        </w:rPr>
        <w:t>换乘车站及与</w:t>
      </w:r>
      <w:r w:rsidR="00404F45">
        <w:rPr>
          <w:rFonts w:hint="eastAsia"/>
        </w:rPr>
        <w:t>干线铁路</w:t>
      </w:r>
      <w:r w:rsidRPr="00765F6E">
        <w:rPr>
          <w:rFonts w:hint="eastAsia"/>
        </w:rPr>
        <w:t>合建的枢纽车站的通风与空调系统设计，应结合实施条件、工期建设目标、换乘形式等考虑资源共享系统设计方案。</w:t>
      </w:r>
      <w:bookmarkEnd w:id="3089"/>
      <w:bookmarkEnd w:id="3090"/>
    </w:p>
    <w:p w14:paraId="0828DF70" w14:textId="12CBADFE" w:rsidR="00737EB2" w:rsidRPr="00765F6E" w:rsidRDefault="00737EB2" w:rsidP="009D0776">
      <w:pPr>
        <w:pStyle w:val="22"/>
      </w:pPr>
      <w:bookmarkStart w:id="3091" w:name="_Toc99792836"/>
      <w:bookmarkStart w:id="3092" w:name="_Toc153292285"/>
      <w:r w:rsidRPr="00765F6E">
        <w:rPr>
          <w:rFonts w:hint="eastAsia"/>
        </w:rPr>
        <w:t>为乘客服务的地下商业区应预留通风与空调设置条件</w:t>
      </w:r>
      <w:bookmarkEnd w:id="3091"/>
      <w:bookmarkEnd w:id="3092"/>
      <w:r w:rsidR="00E832DC">
        <w:rPr>
          <w:rFonts w:hint="eastAsia"/>
        </w:rPr>
        <w:t>。</w:t>
      </w:r>
    </w:p>
    <w:p w14:paraId="23108F33" w14:textId="77777777" w:rsidR="00737EB2" w:rsidRPr="00765F6E" w:rsidRDefault="00737EB2" w:rsidP="009D0776">
      <w:pPr>
        <w:pStyle w:val="22"/>
      </w:pPr>
      <w:bookmarkStart w:id="3093" w:name="_Toc99792837"/>
      <w:bookmarkStart w:id="3094" w:name="_Toc153292286"/>
      <w:r w:rsidRPr="00765F6E">
        <w:rPr>
          <w:rFonts w:hint="eastAsia"/>
        </w:rPr>
        <w:t>车辆基地、运营控制中心和主变电所等地面建筑，应在满足工艺要求的前提下，按照GB 50736和GB 50019的规定执行。</w:t>
      </w:r>
      <w:bookmarkEnd w:id="3093"/>
      <w:bookmarkEnd w:id="3094"/>
    </w:p>
    <w:p w14:paraId="4D526441" w14:textId="3B6222E4" w:rsidR="00737EB2" w:rsidRPr="00765F6E" w:rsidRDefault="00737EB2" w:rsidP="009D0776">
      <w:pPr>
        <w:pStyle w:val="22"/>
      </w:pPr>
      <w:bookmarkStart w:id="3095" w:name="_Toc153292287"/>
      <w:bookmarkStart w:id="3096" w:name="_Toc99792838"/>
      <w:r w:rsidRPr="00765F6E">
        <w:rPr>
          <w:rFonts w:hint="eastAsia"/>
        </w:rPr>
        <w:t>地面车站、地下车站及区间、与</w:t>
      </w:r>
      <w:r w:rsidR="00404F45">
        <w:rPr>
          <w:rFonts w:hint="eastAsia"/>
        </w:rPr>
        <w:t>干线铁路</w:t>
      </w:r>
      <w:r w:rsidRPr="00765F6E">
        <w:rPr>
          <w:rFonts w:hint="eastAsia"/>
        </w:rPr>
        <w:t>合建的枢纽车站及其他生产房屋、生产辅助房屋的防烟、排烟设计应符合</w:t>
      </w:r>
      <w:r w:rsidRPr="00765F6E">
        <w:t>GB 50016</w:t>
      </w:r>
      <w:r w:rsidRPr="00765F6E">
        <w:rPr>
          <w:rFonts w:hint="eastAsia"/>
        </w:rPr>
        <w:t>。</w:t>
      </w:r>
      <w:bookmarkEnd w:id="3095"/>
      <w:bookmarkEnd w:id="3096"/>
    </w:p>
    <w:p w14:paraId="6CDCEB73" w14:textId="77777777" w:rsidR="00737EB2" w:rsidRPr="00765F6E" w:rsidRDefault="00737EB2" w:rsidP="009D0776">
      <w:pPr>
        <w:pStyle w:val="22"/>
      </w:pPr>
      <w:bookmarkStart w:id="3097" w:name="_Toc153292288"/>
      <w:bookmarkStart w:id="3098" w:name="_Toc99792839"/>
      <w:r w:rsidRPr="00765F6E">
        <w:rPr>
          <w:rFonts w:hint="eastAsia"/>
        </w:rPr>
        <w:t>通风与空调设计除应符合本</w:t>
      </w:r>
      <w:r>
        <w:rPr>
          <w:rFonts w:hint="eastAsia"/>
        </w:rPr>
        <w:t>文件</w:t>
      </w:r>
      <w:r w:rsidRPr="00765F6E">
        <w:rPr>
          <w:rFonts w:hint="eastAsia"/>
        </w:rPr>
        <w:t>外，还应符合GB 50189、GB 9672等有关标准的规定。</w:t>
      </w:r>
      <w:bookmarkEnd w:id="3097"/>
      <w:bookmarkEnd w:id="3098"/>
    </w:p>
    <w:p w14:paraId="724192CF" w14:textId="77777777" w:rsidR="00737EB2" w:rsidRPr="00765F6E" w:rsidRDefault="00737EB2" w:rsidP="009D0776">
      <w:pPr>
        <w:pStyle w:val="22"/>
      </w:pPr>
      <w:bookmarkStart w:id="3099" w:name="_Toc99792840"/>
      <w:bookmarkStart w:id="3100" w:name="_Toc153292289"/>
      <w:r w:rsidRPr="00765F6E">
        <w:rPr>
          <w:rFonts w:hint="eastAsia"/>
        </w:rPr>
        <w:t>通风与空调设计应采用高效设备、变频技术、优化系统配置等先进技术，降低运行能耗。当通风与空调系统设备兼备多项目标功能时，应保证正常使用工况下运行效率最高。</w:t>
      </w:r>
      <w:bookmarkEnd w:id="3099"/>
      <w:bookmarkEnd w:id="3100"/>
    </w:p>
    <w:p w14:paraId="58AA0F1A" w14:textId="7B690E00" w:rsidR="00737EB2" w:rsidRPr="00765F6E" w:rsidRDefault="00737EB2" w:rsidP="009D0776">
      <w:pPr>
        <w:pStyle w:val="22"/>
      </w:pPr>
      <w:bookmarkStart w:id="3101" w:name="_Toc153292290"/>
      <w:bookmarkStart w:id="3102" w:name="_Toc99792841"/>
      <w:r w:rsidRPr="00765F6E">
        <w:rPr>
          <w:rFonts w:hint="eastAsia"/>
        </w:rPr>
        <w:t>市域铁路通风与空调</w:t>
      </w:r>
      <w:r w:rsidR="00943B7C">
        <w:rPr>
          <w:rFonts w:hint="eastAsia"/>
        </w:rPr>
        <w:t>系统</w:t>
      </w:r>
      <w:r w:rsidRPr="00765F6E">
        <w:rPr>
          <w:rFonts w:hint="eastAsia"/>
        </w:rPr>
        <w:t>应根据线路周边环境条件，运行产生的热负荷情况及变化规律，制订通风与空调</w:t>
      </w:r>
      <w:r w:rsidR="00943B7C">
        <w:rPr>
          <w:rFonts w:hint="eastAsia"/>
        </w:rPr>
        <w:t>系统</w:t>
      </w:r>
      <w:r w:rsidRPr="00765F6E">
        <w:rPr>
          <w:rFonts w:hint="eastAsia"/>
        </w:rPr>
        <w:t>自动控制运行模式，实现系统高效节能运行。</w:t>
      </w:r>
      <w:bookmarkEnd w:id="3101"/>
      <w:bookmarkEnd w:id="3102"/>
    </w:p>
    <w:p w14:paraId="0F1234AF" w14:textId="77777777" w:rsidR="00737EB2" w:rsidRPr="00765F6E" w:rsidRDefault="00737EB2" w:rsidP="00737EB2">
      <w:pPr>
        <w:pStyle w:val="affe"/>
        <w:spacing w:before="156" w:after="156"/>
      </w:pPr>
      <w:bookmarkStart w:id="3103" w:name="_Toc153292291"/>
      <w:bookmarkStart w:id="3104" w:name="_Toc99792842"/>
      <w:bookmarkStart w:id="3105" w:name="_Toc153210986"/>
      <w:bookmarkStart w:id="3106" w:name="_Toc167895884"/>
      <w:bookmarkStart w:id="3107" w:name="_Toc174538798"/>
      <w:bookmarkStart w:id="3108" w:name="_Toc182476556"/>
      <w:r w:rsidRPr="00765F6E">
        <w:rPr>
          <w:rFonts w:hint="eastAsia"/>
        </w:rPr>
        <w:t>地面、高架车站及地面建筑的通风与空调</w:t>
      </w:r>
      <w:bookmarkEnd w:id="3103"/>
      <w:bookmarkEnd w:id="3104"/>
      <w:bookmarkEnd w:id="3105"/>
      <w:bookmarkEnd w:id="3106"/>
      <w:bookmarkEnd w:id="3107"/>
      <w:bookmarkEnd w:id="3108"/>
    </w:p>
    <w:p w14:paraId="487BE80E" w14:textId="41DF2ED0" w:rsidR="00737EB2" w:rsidRPr="00765F6E" w:rsidRDefault="00737EB2" w:rsidP="009D0776">
      <w:pPr>
        <w:pStyle w:val="22"/>
      </w:pPr>
      <w:bookmarkStart w:id="3109" w:name="_Toc99792843"/>
      <w:bookmarkStart w:id="3110" w:name="_Toc153292292"/>
      <w:r w:rsidRPr="00765F6E">
        <w:rPr>
          <w:rFonts w:hint="eastAsia"/>
        </w:rPr>
        <w:t>市域铁路高架及地面车站公共区宜采用自然通风，站台层宜设置空调候车室。当站厅公共区</w:t>
      </w:r>
      <w:r w:rsidR="00B42DD3">
        <w:rPr>
          <w:rFonts w:hint="eastAsia"/>
        </w:rPr>
        <w:t>不满足条件时</w:t>
      </w:r>
      <w:r w:rsidRPr="00765F6E">
        <w:rPr>
          <w:rFonts w:hint="eastAsia"/>
        </w:rPr>
        <w:t>，</w:t>
      </w:r>
      <w:r w:rsidR="00943B7C">
        <w:rPr>
          <w:rFonts w:hint="eastAsia"/>
        </w:rPr>
        <w:t>可</w:t>
      </w:r>
      <w:r w:rsidRPr="00765F6E">
        <w:rPr>
          <w:rFonts w:hint="eastAsia"/>
        </w:rPr>
        <w:t>设置机械通风或空调。地面建筑宜采用自然通风。高架和地面区间应采用自然通风。</w:t>
      </w:r>
      <w:bookmarkEnd w:id="3109"/>
      <w:bookmarkEnd w:id="3110"/>
    </w:p>
    <w:p w14:paraId="548229B1" w14:textId="77777777" w:rsidR="00737EB2" w:rsidRPr="00765F6E" w:rsidRDefault="00737EB2" w:rsidP="009D0776">
      <w:pPr>
        <w:pStyle w:val="22"/>
      </w:pPr>
      <w:bookmarkStart w:id="3111" w:name="_Toc99792844"/>
      <w:bookmarkStart w:id="3112" w:name="_Toc153292293"/>
      <w:r w:rsidRPr="00765F6E">
        <w:rPr>
          <w:rFonts w:hint="eastAsia"/>
        </w:rPr>
        <w:t>车站公共区空调系统负荷计算宜考虑室外空气通过长期开启外门侵入的得热量和耗热量。</w:t>
      </w:r>
      <w:bookmarkEnd w:id="3111"/>
      <w:bookmarkEnd w:id="3112"/>
    </w:p>
    <w:p w14:paraId="20864584" w14:textId="7F6FE21F" w:rsidR="00737EB2" w:rsidRPr="00765F6E" w:rsidRDefault="00737EB2" w:rsidP="009D0776">
      <w:pPr>
        <w:pStyle w:val="22"/>
      </w:pPr>
      <w:bookmarkStart w:id="3113" w:name="_Toc99792845"/>
      <w:bookmarkStart w:id="3114" w:name="_Toc153292294"/>
      <w:r w:rsidRPr="00765F6E">
        <w:rPr>
          <w:rFonts w:hint="eastAsia"/>
        </w:rPr>
        <w:t>车站公共区通风与空调系统设计符合下列规定</w:t>
      </w:r>
      <w:bookmarkEnd w:id="3113"/>
      <w:bookmarkEnd w:id="3114"/>
      <w:r w:rsidR="00ED46EC">
        <w:rPr>
          <w:rFonts w:hint="eastAsia"/>
        </w:rPr>
        <w:t>：</w:t>
      </w:r>
    </w:p>
    <w:p w14:paraId="5A25A71A" w14:textId="77777777" w:rsidR="00737EB2" w:rsidRPr="00765F6E" w:rsidRDefault="00737EB2" w:rsidP="003334F3">
      <w:pPr>
        <w:pStyle w:val="af6"/>
        <w:numPr>
          <w:ilvl w:val="0"/>
          <w:numId w:val="220"/>
        </w:numPr>
        <w:tabs>
          <w:tab w:val="left" w:pos="851"/>
        </w:tabs>
        <w:snapToGrid w:val="0"/>
        <w:contextualSpacing/>
        <w:rPr>
          <w:rFonts w:hAnsi="宋体"/>
        </w:rPr>
      </w:pPr>
      <w:r w:rsidRPr="00765F6E">
        <w:rPr>
          <w:rFonts w:hAnsi="宋体" w:hint="eastAsia"/>
        </w:rPr>
        <w:t>通风与空调的室外空气计算温度、相对湿度应采用当地现行的地面建筑的设计指标；</w:t>
      </w:r>
    </w:p>
    <w:p w14:paraId="71887B97" w14:textId="77777777" w:rsidR="00737EB2" w:rsidRPr="00765F6E" w:rsidRDefault="00737EB2" w:rsidP="003334F3">
      <w:pPr>
        <w:pStyle w:val="af6"/>
        <w:numPr>
          <w:ilvl w:val="0"/>
          <w:numId w:val="220"/>
        </w:numPr>
        <w:tabs>
          <w:tab w:val="left" w:pos="851"/>
        </w:tabs>
        <w:snapToGrid w:val="0"/>
        <w:contextualSpacing/>
        <w:rPr>
          <w:rFonts w:hAnsi="宋体"/>
        </w:rPr>
      </w:pPr>
      <w:r w:rsidRPr="00765F6E">
        <w:rPr>
          <w:rFonts w:hAnsi="宋体" w:hint="eastAsia"/>
        </w:rPr>
        <w:t>站厅采用通风系统时，站厅内的夏季计算温度不应超过室外计算温度3°C，且最高不应超过35°C。</w:t>
      </w:r>
    </w:p>
    <w:p w14:paraId="1BFA4652" w14:textId="3EE1572D" w:rsidR="00737EB2" w:rsidRPr="00765F6E" w:rsidRDefault="00737EB2" w:rsidP="009D0776">
      <w:pPr>
        <w:pStyle w:val="22"/>
      </w:pPr>
      <w:bookmarkStart w:id="3115" w:name="_Toc153292295"/>
      <w:bookmarkStart w:id="3116" w:name="_Toc99792846"/>
      <w:r w:rsidRPr="00765F6E">
        <w:rPr>
          <w:rFonts w:hint="eastAsia"/>
        </w:rPr>
        <w:t>站厅层设置空调系统时</w:t>
      </w:r>
      <w:bookmarkEnd w:id="3115"/>
      <w:bookmarkEnd w:id="3116"/>
      <w:r w:rsidR="007A359E">
        <w:rPr>
          <w:rFonts w:hint="eastAsia"/>
        </w:rPr>
        <w:t>，</w:t>
      </w:r>
      <w:r w:rsidR="007A359E" w:rsidRPr="00765F6E">
        <w:rPr>
          <w:rFonts w:hint="eastAsia"/>
        </w:rPr>
        <w:t>站厅内的夏季计算温度应为 29℃～30℃，相对湿度不应大于70％</w:t>
      </w:r>
      <w:r w:rsidR="007A359E">
        <w:rPr>
          <w:rFonts w:hint="eastAsia"/>
        </w:rPr>
        <w:t>。</w:t>
      </w:r>
    </w:p>
    <w:p w14:paraId="20EA95BD" w14:textId="77777777" w:rsidR="00737EB2" w:rsidRPr="00765F6E" w:rsidRDefault="00737EB2" w:rsidP="009D0776">
      <w:pPr>
        <w:pStyle w:val="22"/>
      </w:pPr>
      <w:bookmarkStart w:id="3117" w:name="_Toc153292297"/>
      <w:r w:rsidRPr="00765F6E">
        <w:rPr>
          <w:rFonts w:hint="eastAsia"/>
        </w:rPr>
        <w:t>站厅通向站台的楼梯口、扶梯口以及出入口等处宜设置风幕。</w:t>
      </w:r>
      <w:bookmarkEnd w:id="3117"/>
    </w:p>
    <w:p w14:paraId="627F336C" w14:textId="77777777" w:rsidR="00737EB2" w:rsidRPr="00765F6E" w:rsidRDefault="00737EB2" w:rsidP="009D0776">
      <w:pPr>
        <w:pStyle w:val="22"/>
      </w:pPr>
      <w:bookmarkStart w:id="3118" w:name="_Toc153292298"/>
      <w:bookmarkStart w:id="3119" w:name="_Toc99792847"/>
      <w:r w:rsidRPr="00765F6E">
        <w:rPr>
          <w:rFonts w:hint="eastAsia"/>
        </w:rPr>
        <w:t>车站内设备与管理用房通风空调应满足各房间室内设计参数的要求（设备管理用房室内设计参数按地下车站相关内容）。</w:t>
      </w:r>
      <w:bookmarkEnd w:id="3118"/>
      <w:bookmarkEnd w:id="3119"/>
      <w:r w:rsidRPr="00765F6E">
        <w:rPr>
          <w:rFonts w:hint="eastAsia"/>
        </w:rPr>
        <w:t xml:space="preserve"> </w:t>
      </w:r>
    </w:p>
    <w:p w14:paraId="44E4A62D" w14:textId="77777777" w:rsidR="00737EB2" w:rsidRPr="00765F6E" w:rsidRDefault="00737EB2" w:rsidP="009D0776">
      <w:pPr>
        <w:pStyle w:val="22"/>
      </w:pPr>
      <w:bookmarkStart w:id="3120" w:name="_Toc153292299"/>
      <w:bookmarkStart w:id="3121" w:name="_Toc99792848"/>
      <w:r w:rsidRPr="00765F6E">
        <w:rPr>
          <w:rFonts w:hint="eastAsia"/>
        </w:rPr>
        <w:lastRenderedPageBreak/>
        <w:t>车辆基地（所、存车场）、运营控制中心和牵引变电所等生产房屋、生产辅助房屋应根据作业性质和对环境的要求，设置通风和空调设施。办公用房、计算机房、餐厅和乘务员公寓等应设置空调设施。</w:t>
      </w:r>
      <w:bookmarkEnd w:id="3120"/>
      <w:bookmarkEnd w:id="3121"/>
      <w:r w:rsidRPr="00765F6E">
        <w:rPr>
          <w:rFonts w:hint="eastAsia"/>
        </w:rPr>
        <w:t xml:space="preserve"> </w:t>
      </w:r>
    </w:p>
    <w:p w14:paraId="12C7F46D" w14:textId="77777777" w:rsidR="00737EB2" w:rsidRPr="00765F6E" w:rsidRDefault="00737EB2" w:rsidP="009D0776">
      <w:pPr>
        <w:pStyle w:val="22"/>
      </w:pPr>
      <w:bookmarkStart w:id="3122" w:name="_Toc99792849"/>
      <w:bookmarkStart w:id="3123" w:name="_Toc153292300"/>
      <w:r w:rsidRPr="00765F6E">
        <w:rPr>
          <w:rFonts w:hint="eastAsia"/>
        </w:rPr>
        <w:t>牵引变电所、降压变电所应设置机械通风系统，通风量按排除余热量计算，且送风应设置初效过滤器；当采用机械通风不能满足要求时，可设置空调冷风系统。</w:t>
      </w:r>
      <w:bookmarkEnd w:id="3122"/>
      <w:bookmarkEnd w:id="3123"/>
    </w:p>
    <w:p w14:paraId="1BF8B88A" w14:textId="77777777" w:rsidR="00737EB2" w:rsidRPr="00765F6E" w:rsidRDefault="00737EB2" w:rsidP="00737EB2">
      <w:pPr>
        <w:pStyle w:val="affe"/>
        <w:spacing w:before="156" w:after="156"/>
      </w:pPr>
      <w:bookmarkStart w:id="3124" w:name="_Toc153292301"/>
      <w:bookmarkStart w:id="3125" w:name="_Toc99792850"/>
      <w:bookmarkStart w:id="3126" w:name="_Toc153210987"/>
      <w:bookmarkStart w:id="3127" w:name="_Toc167895885"/>
      <w:bookmarkStart w:id="3128" w:name="_Toc174538799"/>
      <w:bookmarkStart w:id="3129" w:name="_Toc182476557"/>
      <w:r w:rsidRPr="00765F6E">
        <w:rPr>
          <w:rFonts w:hint="eastAsia"/>
        </w:rPr>
        <w:t>区间隧道通风系统</w:t>
      </w:r>
      <w:bookmarkEnd w:id="3124"/>
      <w:bookmarkEnd w:id="3125"/>
      <w:bookmarkEnd w:id="3126"/>
      <w:bookmarkEnd w:id="3127"/>
      <w:bookmarkEnd w:id="3128"/>
      <w:bookmarkEnd w:id="3129"/>
    </w:p>
    <w:p w14:paraId="2FCC4FCA" w14:textId="77777777" w:rsidR="00737EB2" w:rsidRPr="00765F6E" w:rsidRDefault="00737EB2" w:rsidP="009D0776">
      <w:pPr>
        <w:pStyle w:val="22"/>
      </w:pPr>
      <w:bookmarkStart w:id="3130" w:name="_Toc99792851"/>
      <w:bookmarkStart w:id="3131" w:name="_Toc153292302"/>
      <w:r w:rsidRPr="00765F6E">
        <w:rPr>
          <w:rFonts w:hint="eastAsia"/>
        </w:rPr>
        <w:t>区间隧道正常通风应采用活塞通风，区间隧道机械通风系统应满足区间事故及火灾工况的要求。</w:t>
      </w:r>
      <w:bookmarkEnd w:id="3130"/>
      <w:bookmarkEnd w:id="3131"/>
      <w:r w:rsidRPr="00765F6E">
        <w:rPr>
          <w:rFonts w:hint="eastAsia"/>
        </w:rPr>
        <w:t xml:space="preserve"> </w:t>
      </w:r>
    </w:p>
    <w:p w14:paraId="4C1DC110" w14:textId="77777777" w:rsidR="00737EB2" w:rsidRPr="007C2200" w:rsidRDefault="00737EB2" w:rsidP="009D0776">
      <w:pPr>
        <w:pStyle w:val="22"/>
      </w:pPr>
      <w:bookmarkStart w:id="3132" w:name="_Toc99792852"/>
      <w:bookmarkStart w:id="3133" w:name="_Toc153292303"/>
      <w:r w:rsidRPr="007C2200">
        <w:rPr>
          <w:rFonts w:hint="eastAsia"/>
        </w:rPr>
        <w:t>区间隧道通风系统应统筹设计，与车站轨行区排热通风系统协调运行，满足系统正常及火灾运行工况要求。</w:t>
      </w:r>
      <w:bookmarkEnd w:id="3132"/>
      <w:bookmarkEnd w:id="3133"/>
      <w:r w:rsidRPr="007C2200">
        <w:rPr>
          <w:rFonts w:hint="eastAsia"/>
        </w:rPr>
        <w:t xml:space="preserve"> </w:t>
      </w:r>
    </w:p>
    <w:p w14:paraId="2C8463FF" w14:textId="65DA24B9" w:rsidR="00737EB2" w:rsidRPr="007C2200" w:rsidRDefault="00737EB2" w:rsidP="009D0776">
      <w:pPr>
        <w:pStyle w:val="22"/>
      </w:pPr>
      <w:bookmarkStart w:id="3134" w:name="_Toc99792853"/>
      <w:bookmarkStart w:id="3135" w:name="_Toc153292304"/>
      <w:r w:rsidRPr="007C2200">
        <w:rPr>
          <w:rFonts w:hint="eastAsia"/>
        </w:rPr>
        <w:t>地下区间的设计计算参数符合下列规定</w:t>
      </w:r>
      <w:bookmarkEnd w:id="3134"/>
      <w:bookmarkEnd w:id="3135"/>
      <w:r w:rsidR="005B1954">
        <w:rPr>
          <w:rFonts w:hint="eastAsia"/>
        </w:rPr>
        <w:t>。</w:t>
      </w:r>
    </w:p>
    <w:p w14:paraId="6DFCF7AA" w14:textId="77777777" w:rsidR="00737EB2" w:rsidRPr="007C2200" w:rsidRDefault="00737EB2" w:rsidP="003334F3">
      <w:pPr>
        <w:pStyle w:val="af6"/>
        <w:numPr>
          <w:ilvl w:val="0"/>
          <w:numId w:val="221"/>
        </w:numPr>
        <w:tabs>
          <w:tab w:val="left" w:pos="851"/>
        </w:tabs>
        <w:snapToGrid w:val="0"/>
        <w:contextualSpacing/>
      </w:pPr>
      <w:r w:rsidRPr="007C2200">
        <w:rPr>
          <w:rFonts w:hint="eastAsia"/>
        </w:rPr>
        <w:t xml:space="preserve">室外空气计算参数应符合如下规定： </w:t>
      </w:r>
    </w:p>
    <w:p w14:paraId="1CB62048" w14:textId="7CBFC311" w:rsidR="00737EB2" w:rsidRPr="007C2200" w:rsidRDefault="00737EB2" w:rsidP="00D12EC7">
      <w:pPr>
        <w:pStyle w:val="af7"/>
        <w:tabs>
          <w:tab w:val="left" w:pos="851"/>
          <w:tab w:val="left" w:pos="1276"/>
        </w:tabs>
      </w:pPr>
      <w:r w:rsidRPr="007C2200">
        <w:rPr>
          <w:rFonts w:hint="eastAsia"/>
        </w:rPr>
        <w:t>夏季通风室外计算温度应采用历年最热月14时的月平均温度的平均值；</w:t>
      </w:r>
    </w:p>
    <w:p w14:paraId="120136D0" w14:textId="77777777" w:rsidR="00737EB2" w:rsidRPr="002C4930" w:rsidRDefault="00737EB2" w:rsidP="00D12EC7">
      <w:pPr>
        <w:pStyle w:val="af7"/>
        <w:tabs>
          <w:tab w:val="left" w:pos="851"/>
          <w:tab w:val="left" w:pos="1276"/>
        </w:tabs>
      </w:pPr>
      <w:r w:rsidRPr="007C2200">
        <w:rPr>
          <w:rFonts w:hint="eastAsia"/>
        </w:rPr>
        <w:t>冬季通风室外计算温度应采用累年最冷月平均温度。</w:t>
      </w:r>
    </w:p>
    <w:p w14:paraId="53A07612" w14:textId="77777777" w:rsidR="00737EB2" w:rsidRPr="00765F6E" w:rsidRDefault="00737EB2" w:rsidP="00737EB2">
      <w:pPr>
        <w:pStyle w:val="af6"/>
        <w:tabs>
          <w:tab w:val="left" w:pos="851"/>
        </w:tabs>
        <w:snapToGrid w:val="0"/>
        <w:contextualSpacing/>
      </w:pPr>
      <w:r w:rsidRPr="00765F6E">
        <w:rPr>
          <w:rFonts w:hint="eastAsia"/>
        </w:rPr>
        <w:t xml:space="preserve">隧道内空气设计参数符合如下规定： </w:t>
      </w:r>
    </w:p>
    <w:p w14:paraId="4DDE6655" w14:textId="77777777" w:rsidR="00737EB2" w:rsidRPr="00765F6E" w:rsidRDefault="00737EB2" w:rsidP="00D12EC7">
      <w:pPr>
        <w:pStyle w:val="af7"/>
        <w:tabs>
          <w:tab w:val="left" w:pos="851"/>
          <w:tab w:val="left" w:pos="1276"/>
        </w:tabs>
      </w:pPr>
      <w:r w:rsidRPr="00765F6E">
        <w:rPr>
          <w:rFonts w:hint="eastAsia"/>
        </w:rPr>
        <w:t>区间隧道夏季最高小时平均干球温度不应高于40℃；</w:t>
      </w:r>
    </w:p>
    <w:p w14:paraId="6808A3E4" w14:textId="3F754467" w:rsidR="00737EB2" w:rsidRPr="00765F6E" w:rsidRDefault="00737EB2" w:rsidP="00D12EC7">
      <w:pPr>
        <w:pStyle w:val="af7"/>
        <w:tabs>
          <w:tab w:val="left" w:pos="851"/>
          <w:tab w:val="left" w:pos="1276"/>
        </w:tabs>
      </w:pPr>
      <w:r w:rsidRPr="00765F6E">
        <w:rPr>
          <w:rFonts w:hint="eastAsia"/>
        </w:rPr>
        <w:t xml:space="preserve">区间隧道冬季的平均干球温度不应高于18℃，但最低不应低于5℃。 </w:t>
      </w:r>
    </w:p>
    <w:p w14:paraId="2E8459F1" w14:textId="77777777" w:rsidR="00737EB2" w:rsidRPr="00765F6E" w:rsidRDefault="00737EB2" w:rsidP="003334F3">
      <w:pPr>
        <w:pStyle w:val="af6"/>
        <w:numPr>
          <w:ilvl w:val="0"/>
          <w:numId w:val="221"/>
        </w:numPr>
        <w:tabs>
          <w:tab w:val="left" w:pos="851"/>
        </w:tabs>
        <w:snapToGrid w:val="0"/>
        <w:contextualSpacing/>
      </w:pPr>
      <w:r w:rsidRPr="00765F6E">
        <w:rPr>
          <w:rFonts w:hint="eastAsia"/>
        </w:rPr>
        <w:t xml:space="preserve">空气质量和通风量符合如下规定： </w:t>
      </w:r>
    </w:p>
    <w:p w14:paraId="267B2C8C" w14:textId="77777777" w:rsidR="00737EB2" w:rsidRPr="00765F6E" w:rsidRDefault="00737EB2" w:rsidP="003334F3">
      <w:pPr>
        <w:pStyle w:val="af7"/>
        <w:numPr>
          <w:ilvl w:val="1"/>
          <w:numId w:val="222"/>
        </w:numPr>
        <w:tabs>
          <w:tab w:val="left" w:pos="851"/>
          <w:tab w:val="left" w:pos="1276"/>
        </w:tabs>
      </w:pPr>
      <w:r w:rsidRPr="00765F6E">
        <w:rPr>
          <w:rFonts w:hint="eastAsia"/>
        </w:rPr>
        <w:t>区间隧道新风量应保证隧道内CO</w:t>
      </w:r>
      <w:r w:rsidRPr="008C6921">
        <w:rPr>
          <w:vertAlign w:val="subscript"/>
        </w:rPr>
        <w:t>2</w:t>
      </w:r>
      <w:r w:rsidRPr="00765F6E">
        <w:rPr>
          <w:rFonts w:hint="eastAsia"/>
        </w:rPr>
        <w:t>日平均浓度不大于1.0%；</w:t>
      </w:r>
    </w:p>
    <w:p w14:paraId="5E68C0F6" w14:textId="77777777" w:rsidR="00737EB2" w:rsidRPr="00765F6E" w:rsidRDefault="00737EB2" w:rsidP="003334F3">
      <w:pPr>
        <w:pStyle w:val="af7"/>
        <w:numPr>
          <w:ilvl w:val="1"/>
          <w:numId w:val="222"/>
        </w:numPr>
        <w:tabs>
          <w:tab w:val="left" w:pos="851"/>
          <w:tab w:val="left" w:pos="1276"/>
        </w:tabs>
      </w:pPr>
      <w:r w:rsidRPr="00765F6E">
        <w:rPr>
          <w:rFonts w:hint="eastAsia"/>
        </w:rPr>
        <w:t>区间隧道通风量应保证隧道内换气次数每小时不小于3次。</w:t>
      </w:r>
    </w:p>
    <w:p w14:paraId="73BF8FDB" w14:textId="77777777" w:rsidR="00737EB2" w:rsidRPr="00765F6E" w:rsidRDefault="00737EB2" w:rsidP="009D0776">
      <w:pPr>
        <w:pStyle w:val="22"/>
      </w:pPr>
      <w:bookmarkStart w:id="3136" w:name="_Toc153292305"/>
      <w:bookmarkStart w:id="3137" w:name="_Toc99792854"/>
      <w:r w:rsidRPr="00765F6E">
        <w:rPr>
          <w:rFonts w:hint="eastAsia"/>
        </w:rPr>
        <w:t>当列车因非火灾事故滞留在区间隧道内时，各停车区间采用纵向通风时风速不应小于 2m/s且不应大于 11m/s，各列车顶部最不利点的隧道温度不高于 45℃。</w:t>
      </w:r>
      <w:bookmarkEnd w:id="3136"/>
      <w:bookmarkEnd w:id="3137"/>
      <w:r w:rsidRPr="00765F6E">
        <w:rPr>
          <w:rFonts w:hint="eastAsia"/>
        </w:rPr>
        <w:t xml:space="preserve"> </w:t>
      </w:r>
    </w:p>
    <w:p w14:paraId="16FEB361" w14:textId="3E6B6DB4" w:rsidR="00737EB2" w:rsidRPr="00765F6E" w:rsidRDefault="00737EB2" w:rsidP="009D0776">
      <w:pPr>
        <w:pStyle w:val="22"/>
      </w:pPr>
      <w:bookmarkStart w:id="3138" w:name="_Toc153292306"/>
      <w:bookmarkStart w:id="3139" w:name="_Toc99792855"/>
      <w:r w:rsidRPr="00765F6E">
        <w:rPr>
          <w:rFonts w:hint="eastAsia"/>
        </w:rPr>
        <w:t>区间隧道内总的压力变化值及变化率应满足列车车厢内人员的舒适度</w:t>
      </w:r>
      <w:r w:rsidR="00C61430">
        <w:rPr>
          <w:rFonts w:hint="eastAsia"/>
        </w:rPr>
        <w:t>，当行车速度超过1</w:t>
      </w:r>
      <w:r w:rsidR="00C61430">
        <w:t>20km/h</w:t>
      </w:r>
      <w:r w:rsidR="00C61430">
        <w:rPr>
          <w:rFonts w:hint="eastAsia"/>
        </w:rPr>
        <w:t>时，需考虑压力波</w:t>
      </w:r>
      <w:r w:rsidRPr="00765F6E">
        <w:rPr>
          <w:rFonts w:hint="eastAsia"/>
        </w:rPr>
        <w:t>。</w:t>
      </w:r>
      <w:bookmarkEnd w:id="3138"/>
      <w:bookmarkEnd w:id="3139"/>
    </w:p>
    <w:p w14:paraId="44345C97" w14:textId="77777777" w:rsidR="00737EB2" w:rsidRPr="00765F6E" w:rsidRDefault="00737EB2" w:rsidP="00737EB2">
      <w:pPr>
        <w:pStyle w:val="affe"/>
        <w:spacing w:before="156" w:after="156"/>
      </w:pPr>
      <w:bookmarkStart w:id="3140" w:name="_Toc153292307"/>
      <w:bookmarkStart w:id="3141" w:name="_Toc99792856"/>
      <w:bookmarkStart w:id="3142" w:name="_Toc153210988"/>
      <w:bookmarkStart w:id="3143" w:name="_Toc167895886"/>
      <w:bookmarkStart w:id="3144" w:name="_Toc174538800"/>
      <w:bookmarkStart w:id="3145" w:name="_Toc182476558"/>
      <w:r w:rsidRPr="00765F6E">
        <w:rPr>
          <w:rFonts w:hint="eastAsia"/>
        </w:rPr>
        <w:t>地下车站公共区通风与空调系统</w:t>
      </w:r>
      <w:bookmarkEnd w:id="3140"/>
      <w:bookmarkEnd w:id="3141"/>
      <w:bookmarkEnd w:id="3142"/>
      <w:bookmarkEnd w:id="3143"/>
      <w:bookmarkEnd w:id="3144"/>
      <w:bookmarkEnd w:id="3145"/>
    </w:p>
    <w:p w14:paraId="27D0EA38" w14:textId="771B8150" w:rsidR="00737EB2" w:rsidRPr="00765F6E" w:rsidRDefault="00737EB2" w:rsidP="009D0776">
      <w:pPr>
        <w:pStyle w:val="22"/>
      </w:pPr>
      <w:bookmarkStart w:id="3146" w:name="_Toc153292308"/>
      <w:bookmarkStart w:id="3147" w:name="_Toc99792857"/>
      <w:r w:rsidRPr="00765F6E">
        <w:rPr>
          <w:rFonts w:hint="eastAsia"/>
        </w:rPr>
        <w:t>地下车站公共区宜采用集中式全空气空调系统。</w:t>
      </w:r>
      <w:bookmarkEnd w:id="3146"/>
      <w:bookmarkEnd w:id="3147"/>
      <w:r w:rsidRPr="00765F6E">
        <w:rPr>
          <w:rFonts w:hint="eastAsia"/>
        </w:rPr>
        <w:t xml:space="preserve"> </w:t>
      </w:r>
    </w:p>
    <w:p w14:paraId="14B62643" w14:textId="10CE0AAC" w:rsidR="00737EB2" w:rsidRPr="00765F6E" w:rsidRDefault="00737EB2" w:rsidP="009D0776">
      <w:pPr>
        <w:pStyle w:val="22"/>
      </w:pPr>
      <w:bookmarkStart w:id="3148" w:name="_Toc99792858"/>
      <w:bookmarkStart w:id="3149" w:name="_Toc153292309"/>
      <w:r w:rsidRPr="00765F6E">
        <w:rPr>
          <w:rFonts w:hint="eastAsia"/>
        </w:rPr>
        <w:t>地下车站公共区和</w:t>
      </w:r>
      <w:r w:rsidR="00C61430">
        <w:rPr>
          <w:rFonts w:hint="eastAsia"/>
        </w:rPr>
        <w:t>长</w:t>
      </w:r>
      <w:r w:rsidRPr="00765F6E">
        <w:rPr>
          <w:rFonts w:hint="eastAsia"/>
        </w:rPr>
        <w:t>通道的设计计算参数应符合下列规定</w:t>
      </w:r>
      <w:r w:rsidR="005B1954">
        <w:rPr>
          <w:rFonts w:hint="eastAsia"/>
        </w:rPr>
        <w:t>。</w:t>
      </w:r>
      <w:bookmarkEnd w:id="3148"/>
      <w:bookmarkEnd w:id="3149"/>
    </w:p>
    <w:p w14:paraId="2AE6897F" w14:textId="77777777" w:rsidR="00737EB2" w:rsidRPr="00765F6E" w:rsidRDefault="00737EB2" w:rsidP="003334F3">
      <w:pPr>
        <w:pStyle w:val="af6"/>
        <w:numPr>
          <w:ilvl w:val="0"/>
          <w:numId w:val="223"/>
        </w:numPr>
        <w:tabs>
          <w:tab w:val="left" w:pos="851"/>
        </w:tabs>
        <w:snapToGrid w:val="0"/>
        <w:contextualSpacing/>
      </w:pPr>
      <w:r w:rsidRPr="00765F6E">
        <w:rPr>
          <w:rFonts w:hint="eastAsia"/>
        </w:rPr>
        <w:t xml:space="preserve">室外空气计算参数符合如下规定： </w:t>
      </w:r>
    </w:p>
    <w:p w14:paraId="6935869B" w14:textId="77777777" w:rsidR="00737EB2" w:rsidRPr="00765F6E" w:rsidRDefault="00737EB2" w:rsidP="00D12EC7">
      <w:pPr>
        <w:pStyle w:val="af7"/>
        <w:tabs>
          <w:tab w:val="left" w:pos="851"/>
          <w:tab w:val="left" w:pos="1276"/>
        </w:tabs>
      </w:pPr>
      <w:r w:rsidRPr="00765F6E">
        <w:rPr>
          <w:rFonts w:hint="eastAsia"/>
        </w:rPr>
        <w:t>夏季空调室外计算干球温度采用近20年晚高峰小时平均每年不保证30h的干球温度；</w:t>
      </w:r>
    </w:p>
    <w:p w14:paraId="4579CE5C" w14:textId="77777777" w:rsidR="00737EB2" w:rsidRPr="00765F6E" w:rsidRDefault="00737EB2" w:rsidP="00D12EC7">
      <w:pPr>
        <w:pStyle w:val="af7"/>
        <w:tabs>
          <w:tab w:val="left" w:pos="851"/>
          <w:tab w:val="left" w:pos="1276"/>
        </w:tabs>
      </w:pPr>
      <w:r w:rsidRPr="00765F6E">
        <w:rPr>
          <w:rFonts w:hint="eastAsia"/>
        </w:rPr>
        <w:t>夏季空调室外计算湿球温度采用近20年晚高峰小时平均每年不保证30h的湿球温度；</w:t>
      </w:r>
    </w:p>
    <w:p w14:paraId="6CEE8865" w14:textId="77777777" w:rsidR="00737EB2" w:rsidRPr="00765F6E" w:rsidRDefault="00737EB2" w:rsidP="00D12EC7">
      <w:pPr>
        <w:pStyle w:val="af7"/>
        <w:tabs>
          <w:tab w:val="left" w:pos="851"/>
          <w:tab w:val="left" w:pos="1276"/>
        </w:tabs>
      </w:pPr>
      <w:r w:rsidRPr="00765F6E">
        <w:rPr>
          <w:rFonts w:hint="eastAsia"/>
        </w:rPr>
        <w:t>夏季通风室外计算温度应采用历年最热月14时的月平均温度的平均值；</w:t>
      </w:r>
    </w:p>
    <w:p w14:paraId="15F376E4" w14:textId="77777777" w:rsidR="00737EB2" w:rsidRPr="00765F6E" w:rsidRDefault="00737EB2" w:rsidP="00D12EC7">
      <w:pPr>
        <w:pStyle w:val="af7"/>
        <w:tabs>
          <w:tab w:val="left" w:pos="851"/>
          <w:tab w:val="left" w:pos="1276"/>
        </w:tabs>
      </w:pPr>
      <w:r w:rsidRPr="00765F6E">
        <w:rPr>
          <w:rFonts w:hint="eastAsia"/>
        </w:rPr>
        <w:t xml:space="preserve">冬季通风室外计算温度应采用累年最冷月平均温度。 </w:t>
      </w:r>
    </w:p>
    <w:p w14:paraId="3824C765" w14:textId="77777777" w:rsidR="00737EB2" w:rsidRPr="00765F6E" w:rsidRDefault="00737EB2" w:rsidP="003334F3">
      <w:pPr>
        <w:pStyle w:val="af6"/>
        <w:numPr>
          <w:ilvl w:val="0"/>
          <w:numId w:val="224"/>
        </w:numPr>
        <w:tabs>
          <w:tab w:val="left" w:pos="851"/>
        </w:tabs>
        <w:snapToGrid w:val="0"/>
        <w:contextualSpacing/>
      </w:pPr>
      <w:r w:rsidRPr="00765F6E">
        <w:rPr>
          <w:rFonts w:hint="eastAsia"/>
        </w:rPr>
        <w:t xml:space="preserve">公共区室内空气设计参数符合如下规定： </w:t>
      </w:r>
    </w:p>
    <w:p w14:paraId="76023ADD" w14:textId="75042A1F" w:rsidR="00737EB2" w:rsidRPr="00765F6E" w:rsidRDefault="00737EB2" w:rsidP="003334F3">
      <w:pPr>
        <w:pStyle w:val="af7"/>
        <w:numPr>
          <w:ilvl w:val="1"/>
          <w:numId w:val="225"/>
        </w:numPr>
        <w:tabs>
          <w:tab w:val="left" w:pos="851"/>
          <w:tab w:val="left" w:pos="1276"/>
        </w:tabs>
      </w:pPr>
      <w:r w:rsidRPr="00765F6E">
        <w:rPr>
          <w:rFonts w:hint="eastAsia"/>
        </w:rPr>
        <w:t>夏季站厅空调设计温度30℃，相对湿度45%～70%；</w:t>
      </w:r>
    </w:p>
    <w:p w14:paraId="4E9933EF" w14:textId="551C36B4" w:rsidR="00737EB2" w:rsidRPr="00765F6E" w:rsidRDefault="00737EB2" w:rsidP="003334F3">
      <w:pPr>
        <w:pStyle w:val="af7"/>
        <w:numPr>
          <w:ilvl w:val="1"/>
          <w:numId w:val="225"/>
        </w:numPr>
        <w:tabs>
          <w:tab w:val="left" w:pos="851"/>
          <w:tab w:val="left" w:pos="1276"/>
        </w:tabs>
      </w:pPr>
      <w:r w:rsidRPr="00765F6E">
        <w:rPr>
          <w:rFonts w:hint="eastAsia"/>
        </w:rPr>
        <w:t>夏季站台空调设计温度28℃，相对湿度45%～70%；</w:t>
      </w:r>
    </w:p>
    <w:p w14:paraId="666A3735" w14:textId="56C9293A" w:rsidR="00737EB2" w:rsidRPr="00765F6E" w:rsidRDefault="00737EB2" w:rsidP="003334F3">
      <w:pPr>
        <w:pStyle w:val="af7"/>
        <w:numPr>
          <w:ilvl w:val="1"/>
          <w:numId w:val="225"/>
        </w:numPr>
        <w:tabs>
          <w:tab w:val="left" w:pos="851"/>
          <w:tab w:val="left" w:pos="1276"/>
        </w:tabs>
      </w:pPr>
      <w:r w:rsidRPr="00765F6E">
        <w:rPr>
          <w:rFonts w:hint="eastAsia"/>
        </w:rPr>
        <w:t>冬季站厅、站台设计温度不应大于18℃，但最低不应低于12℃。</w:t>
      </w:r>
    </w:p>
    <w:p w14:paraId="13D4CEDD" w14:textId="3663C45B" w:rsidR="00737EB2" w:rsidRPr="00765F6E" w:rsidRDefault="00737EB2" w:rsidP="003334F3">
      <w:pPr>
        <w:pStyle w:val="af6"/>
        <w:numPr>
          <w:ilvl w:val="0"/>
          <w:numId w:val="223"/>
        </w:numPr>
        <w:tabs>
          <w:tab w:val="left" w:pos="851"/>
        </w:tabs>
        <w:snapToGrid w:val="0"/>
        <w:contextualSpacing/>
      </w:pPr>
      <w:r w:rsidRPr="00765F6E">
        <w:rPr>
          <w:rFonts w:hint="eastAsia"/>
        </w:rPr>
        <w:t>当</w:t>
      </w:r>
      <w:r w:rsidR="00C61430">
        <w:rPr>
          <w:rFonts w:hint="eastAsia"/>
        </w:rPr>
        <w:t>长</w:t>
      </w:r>
      <w:r w:rsidRPr="00765F6E">
        <w:rPr>
          <w:rFonts w:hint="eastAsia"/>
        </w:rPr>
        <w:t xml:space="preserve">通道采用降温措施时，其室内空气设计参数宜符合如下规定： </w:t>
      </w:r>
    </w:p>
    <w:p w14:paraId="6610A942" w14:textId="7E3F8B41" w:rsidR="00737EB2" w:rsidRPr="00765F6E" w:rsidRDefault="00737EB2" w:rsidP="003334F3">
      <w:pPr>
        <w:pStyle w:val="af7"/>
        <w:numPr>
          <w:ilvl w:val="1"/>
          <w:numId w:val="226"/>
        </w:numPr>
        <w:tabs>
          <w:tab w:val="left" w:pos="851"/>
          <w:tab w:val="left" w:pos="1276"/>
        </w:tabs>
      </w:pPr>
      <w:r w:rsidRPr="00765F6E">
        <w:rPr>
          <w:rFonts w:hint="eastAsia"/>
        </w:rPr>
        <w:t>与站厅相连的无通道夏季空调设计干球温度30℃；</w:t>
      </w:r>
    </w:p>
    <w:p w14:paraId="283A32ED" w14:textId="66CE401C" w:rsidR="00737EB2" w:rsidRPr="00765F6E" w:rsidRDefault="00737EB2" w:rsidP="003334F3">
      <w:pPr>
        <w:pStyle w:val="af7"/>
        <w:numPr>
          <w:ilvl w:val="1"/>
          <w:numId w:val="226"/>
        </w:numPr>
        <w:tabs>
          <w:tab w:val="left" w:pos="851"/>
          <w:tab w:val="left" w:pos="1276"/>
        </w:tabs>
      </w:pPr>
      <w:r w:rsidRPr="00765F6E">
        <w:rPr>
          <w:rFonts w:hint="eastAsia"/>
        </w:rPr>
        <w:t>只与站台相连的无通道夏季空调设计干球温度28℃。</w:t>
      </w:r>
    </w:p>
    <w:p w14:paraId="5BC081CB" w14:textId="77777777" w:rsidR="00737EB2" w:rsidRPr="00765F6E" w:rsidRDefault="00737EB2" w:rsidP="003334F3">
      <w:pPr>
        <w:pStyle w:val="af6"/>
        <w:numPr>
          <w:ilvl w:val="0"/>
          <w:numId w:val="223"/>
        </w:numPr>
        <w:tabs>
          <w:tab w:val="left" w:pos="851"/>
        </w:tabs>
        <w:snapToGrid w:val="0"/>
        <w:contextualSpacing/>
      </w:pPr>
      <w:r w:rsidRPr="00765F6E">
        <w:rPr>
          <w:rFonts w:hint="eastAsia"/>
        </w:rPr>
        <w:t xml:space="preserve">新风量应符合如下规定： </w:t>
      </w:r>
    </w:p>
    <w:p w14:paraId="03401E78" w14:textId="77777777" w:rsidR="00737EB2" w:rsidRPr="00765F6E" w:rsidRDefault="00737EB2" w:rsidP="003334F3">
      <w:pPr>
        <w:pStyle w:val="af7"/>
        <w:numPr>
          <w:ilvl w:val="1"/>
          <w:numId w:val="227"/>
        </w:numPr>
        <w:tabs>
          <w:tab w:val="left" w:pos="851"/>
          <w:tab w:val="left" w:pos="1276"/>
        </w:tabs>
      </w:pPr>
      <w:r w:rsidRPr="00765F6E">
        <w:rPr>
          <w:rFonts w:hint="eastAsia"/>
        </w:rPr>
        <w:t>当采用空气调节运行时，车站公共区人员新风量不应少于20m³/h·人，且不少于总风量的10%；</w:t>
      </w:r>
    </w:p>
    <w:p w14:paraId="4DDD8D47" w14:textId="2C70AAE8" w:rsidR="00737EB2" w:rsidRPr="00765F6E" w:rsidRDefault="00737EB2" w:rsidP="003334F3">
      <w:pPr>
        <w:pStyle w:val="af7"/>
        <w:numPr>
          <w:ilvl w:val="1"/>
          <w:numId w:val="227"/>
        </w:numPr>
        <w:tabs>
          <w:tab w:val="left" w:pos="851"/>
          <w:tab w:val="left" w:pos="1276"/>
        </w:tabs>
      </w:pPr>
      <w:r w:rsidRPr="00765F6E">
        <w:rPr>
          <w:rFonts w:hint="eastAsia"/>
        </w:rPr>
        <w:t>当采用通风运行时，车站公共区人员新风量不应少于30m³/h·人，且车站换气次数不应少于</w:t>
      </w:r>
      <w:r w:rsidR="0073575A">
        <w:t>3</w:t>
      </w:r>
      <w:r w:rsidRPr="00765F6E">
        <w:rPr>
          <w:rFonts w:hint="eastAsia"/>
        </w:rPr>
        <w:t>次/h。</w:t>
      </w:r>
    </w:p>
    <w:p w14:paraId="4781B2AA" w14:textId="77777777" w:rsidR="00737EB2" w:rsidRPr="00765F6E" w:rsidRDefault="00737EB2" w:rsidP="009D0776">
      <w:pPr>
        <w:pStyle w:val="22"/>
      </w:pPr>
      <w:bookmarkStart w:id="3150" w:name="_Toc153292310"/>
      <w:bookmarkStart w:id="3151" w:name="_Toc99792859"/>
      <w:r w:rsidRPr="00765F6E">
        <w:rPr>
          <w:rFonts w:hint="eastAsia"/>
        </w:rPr>
        <w:lastRenderedPageBreak/>
        <w:t>活塞/机械通风井宜设置在车站端部，每条隧道宜分设隧道风机，并能互为备用。</w:t>
      </w:r>
      <w:bookmarkEnd w:id="3150"/>
      <w:bookmarkEnd w:id="3151"/>
    </w:p>
    <w:p w14:paraId="55AFF461" w14:textId="77777777" w:rsidR="00737EB2" w:rsidRPr="00765F6E" w:rsidRDefault="00737EB2" w:rsidP="009D0776">
      <w:pPr>
        <w:pStyle w:val="22"/>
      </w:pPr>
      <w:bookmarkStart w:id="3152" w:name="_Toc99792860"/>
      <w:bookmarkStart w:id="3153" w:name="_Toc153292311"/>
      <w:r w:rsidRPr="00765F6E">
        <w:rPr>
          <w:rFonts w:hint="eastAsia"/>
        </w:rPr>
        <w:t>地下车站出入口通道、地下换乘通道或物业开发的地下通道连续无度大于 60m时，应采取通风或降温措施。</w:t>
      </w:r>
      <w:bookmarkEnd w:id="3152"/>
      <w:bookmarkEnd w:id="3153"/>
    </w:p>
    <w:p w14:paraId="5A3F1829" w14:textId="77777777" w:rsidR="00737EB2" w:rsidRPr="00765F6E" w:rsidRDefault="00737EB2" w:rsidP="00737EB2">
      <w:pPr>
        <w:pStyle w:val="affe"/>
        <w:spacing w:before="156" w:after="156"/>
      </w:pPr>
      <w:bookmarkStart w:id="3154" w:name="_Toc99792861"/>
      <w:bookmarkStart w:id="3155" w:name="_Toc153292312"/>
      <w:bookmarkStart w:id="3156" w:name="_Toc153210989"/>
      <w:bookmarkStart w:id="3157" w:name="_Toc167895887"/>
      <w:bookmarkStart w:id="3158" w:name="_Toc174538801"/>
      <w:bookmarkStart w:id="3159" w:name="_Toc182476559"/>
      <w:r w:rsidRPr="00765F6E">
        <w:rPr>
          <w:rFonts w:hint="eastAsia"/>
        </w:rPr>
        <w:t>地下车站设备与管理用房通风、空调系统</w:t>
      </w:r>
      <w:bookmarkEnd w:id="3154"/>
      <w:bookmarkEnd w:id="3155"/>
      <w:bookmarkEnd w:id="3156"/>
      <w:bookmarkEnd w:id="3157"/>
      <w:bookmarkEnd w:id="3158"/>
      <w:bookmarkEnd w:id="3159"/>
    </w:p>
    <w:p w14:paraId="418EBE74" w14:textId="77777777" w:rsidR="00737EB2" w:rsidRPr="00765F6E" w:rsidRDefault="00737EB2" w:rsidP="009D0776">
      <w:pPr>
        <w:pStyle w:val="22"/>
      </w:pPr>
      <w:bookmarkStart w:id="3160" w:name="_Toc99792862"/>
      <w:bookmarkStart w:id="3161" w:name="_Toc153292313"/>
      <w:r w:rsidRPr="00765F6E">
        <w:rPr>
          <w:rFonts w:hint="eastAsia"/>
        </w:rPr>
        <w:t>管理用房应满足人员舒适性要求；设备用房应满足设备工艺要求。信号、通信、信息等设备机房空调应按GB 50174的相关规定执行。</w:t>
      </w:r>
      <w:bookmarkEnd w:id="3160"/>
      <w:bookmarkEnd w:id="3161"/>
      <w:r w:rsidRPr="00765F6E">
        <w:rPr>
          <w:rFonts w:hint="eastAsia"/>
        </w:rPr>
        <w:t xml:space="preserve"> </w:t>
      </w:r>
    </w:p>
    <w:p w14:paraId="1C2D2EA7" w14:textId="77777777" w:rsidR="00737EB2" w:rsidRPr="00765F6E" w:rsidRDefault="00737EB2" w:rsidP="009D0776">
      <w:pPr>
        <w:pStyle w:val="22"/>
      </w:pPr>
      <w:bookmarkStart w:id="3162" w:name="_Toc153292314"/>
      <w:bookmarkStart w:id="3163" w:name="_Toc99792863"/>
      <w:r w:rsidRPr="00765F6E">
        <w:rPr>
          <w:rFonts w:hint="eastAsia"/>
        </w:rPr>
        <w:t>设备管理用房采用全空气空调系统时符合下列要求：</w:t>
      </w:r>
      <w:bookmarkEnd w:id="3162"/>
      <w:bookmarkEnd w:id="3163"/>
    </w:p>
    <w:p w14:paraId="0C636D3A" w14:textId="77777777" w:rsidR="00737EB2" w:rsidRPr="00765F6E" w:rsidRDefault="00737EB2" w:rsidP="003334F3">
      <w:pPr>
        <w:pStyle w:val="af6"/>
        <w:numPr>
          <w:ilvl w:val="0"/>
          <w:numId w:val="228"/>
        </w:numPr>
        <w:tabs>
          <w:tab w:val="left" w:pos="851"/>
        </w:tabs>
        <w:snapToGrid w:val="0"/>
        <w:contextualSpacing/>
      </w:pPr>
      <w:r w:rsidRPr="00765F6E">
        <w:rPr>
          <w:rFonts w:hint="eastAsia"/>
        </w:rPr>
        <w:t xml:space="preserve">管理用房与设备用房应分设系统； </w:t>
      </w:r>
    </w:p>
    <w:p w14:paraId="5D61F228" w14:textId="77777777" w:rsidR="00737EB2" w:rsidRPr="00765F6E" w:rsidRDefault="00737EB2" w:rsidP="003334F3">
      <w:pPr>
        <w:pStyle w:val="af6"/>
        <w:numPr>
          <w:ilvl w:val="0"/>
          <w:numId w:val="228"/>
        </w:numPr>
        <w:tabs>
          <w:tab w:val="left" w:pos="851"/>
        </w:tabs>
        <w:snapToGrid w:val="0"/>
        <w:contextualSpacing/>
      </w:pPr>
      <w:r w:rsidRPr="00765F6E">
        <w:rPr>
          <w:rFonts w:hint="eastAsia"/>
        </w:rPr>
        <w:t>管理用房空调系统的送风应设初效、中效空气过滤器，设备用房空调系统的送风应设初效空气过滤器。</w:t>
      </w:r>
    </w:p>
    <w:p w14:paraId="1193C931" w14:textId="77777777" w:rsidR="00737EB2" w:rsidRPr="00765F6E" w:rsidRDefault="00737EB2" w:rsidP="009D0776">
      <w:pPr>
        <w:pStyle w:val="22"/>
      </w:pPr>
      <w:bookmarkStart w:id="3164" w:name="_Toc153292315"/>
      <w:bookmarkStart w:id="3165" w:name="_Toc99792864"/>
      <w:r w:rsidRPr="00765F6E">
        <w:rPr>
          <w:rFonts w:hint="eastAsia"/>
        </w:rPr>
        <w:t>站台层的个别设备用房采用集中空调或通风系统有困难时可采用局部通风或分体式空调，符合下列要求：</w:t>
      </w:r>
      <w:bookmarkEnd w:id="3164"/>
      <w:bookmarkEnd w:id="3165"/>
    </w:p>
    <w:p w14:paraId="6D9A1C6A" w14:textId="77777777" w:rsidR="00737EB2" w:rsidRPr="00765F6E" w:rsidRDefault="00737EB2" w:rsidP="003334F3">
      <w:pPr>
        <w:pStyle w:val="af6"/>
        <w:numPr>
          <w:ilvl w:val="0"/>
          <w:numId w:val="229"/>
        </w:numPr>
        <w:tabs>
          <w:tab w:val="left" w:pos="851"/>
        </w:tabs>
        <w:snapToGrid w:val="0"/>
        <w:contextualSpacing/>
      </w:pPr>
      <w:r w:rsidRPr="00765F6E">
        <w:rPr>
          <w:rFonts w:hint="eastAsia"/>
        </w:rPr>
        <w:t>排风口应开设在列车出站一侧，进风口应开设在列车进站一侧；</w:t>
      </w:r>
    </w:p>
    <w:p w14:paraId="4C40F083" w14:textId="77777777" w:rsidR="00737EB2" w:rsidRPr="00765F6E" w:rsidRDefault="00737EB2" w:rsidP="003334F3">
      <w:pPr>
        <w:pStyle w:val="af6"/>
        <w:numPr>
          <w:ilvl w:val="0"/>
          <w:numId w:val="229"/>
        </w:numPr>
        <w:tabs>
          <w:tab w:val="left" w:pos="851"/>
        </w:tabs>
        <w:snapToGrid w:val="0"/>
        <w:contextualSpacing/>
      </w:pPr>
      <w:r w:rsidRPr="00765F6E">
        <w:rPr>
          <w:rFonts w:hint="eastAsia"/>
        </w:rPr>
        <w:t>开向隧道的自然通风口和进风口应设过滤器。</w:t>
      </w:r>
    </w:p>
    <w:p w14:paraId="7257C1E8" w14:textId="77777777" w:rsidR="00737EB2" w:rsidRPr="00765F6E" w:rsidRDefault="00737EB2" w:rsidP="009D0776">
      <w:pPr>
        <w:pStyle w:val="22"/>
      </w:pPr>
      <w:bookmarkStart w:id="3166" w:name="_Toc99792865"/>
      <w:bookmarkStart w:id="3167" w:name="_Toc153292316"/>
      <w:r w:rsidRPr="00765F6E">
        <w:rPr>
          <w:rFonts w:hint="eastAsia"/>
        </w:rPr>
        <w:t>设置气体灭火的房间应设置机械通风系统，所排除的气体必须直接排出地面。</w:t>
      </w:r>
      <w:bookmarkEnd w:id="3166"/>
      <w:bookmarkEnd w:id="3167"/>
      <w:r w:rsidRPr="00765F6E">
        <w:rPr>
          <w:rFonts w:hint="eastAsia"/>
        </w:rPr>
        <w:t xml:space="preserve"> </w:t>
      </w:r>
    </w:p>
    <w:p w14:paraId="2BB6C5D6" w14:textId="77777777" w:rsidR="00737EB2" w:rsidRPr="00765F6E" w:rsidRDefault="00737EB2" w:rsidP="009D0776">
      <w:pPr>
        <w:pStyle w:val="22"/>
      </w:pPr>
      <w:bookmarkStart w:id="3168" w:name="_Toc99792866"/>
      <w:bookmarkStart w:id="3169" w:name="_Toc153292317"/>
      <w:r w:rsidRPr="00765F6E">
        <w:rPr>
          <w:rFonts w:hint="eastAsia"/>
        </w:rPr>
        <w:t>厕所应设置独立的机械排风、自然进风系统，排风应直接排出地面。</w:t>
      </w:r>
      <w:bookmarkEnd w:id="3168"/>
      <w:bookmarkEnd w:id="3169"/>
      <w:r w:rsidRPr="00765F6E">
        <w:rPr>
          <w:rFonts w:hint="eastAsia"/>
        </w:rPr>
        <w:t xml:space="preserve"> </w:t>
      </w:r>
    </w:p>
    <w:p w14:paraId="1DD07398" w14:textId="117E69FC" w:rsidR="00737EB2" w:rsidRPr="00765F6E" w:rsidRDefault="00737EB2" w:rsidP="009D0776">
      <w:pPr>
        <w:pStyle w:val="22"/>
      </w:pPr>
      <w:bookmarkStart w:id="3170" w:name="_Toc99792867"/>
      <w:bookmarkStart w:id="3171" w:name="_Toc153292318"/>
      <w:r w:rsidRPr="00765F6E">
        <w:rPr>
          <w:rFonts w:hint="eastAsia"/>
        </w:rPr>
        <w:t>地下设备管理用房的设计标准符合下列规定</w:t>
      </w:r>
      <w:bookmarkEnd w:id="3170"/>
      <w:bookmarkEnd w:id="3171"/>
      <w:r w:rsidR="00317C3A">
        <w:rPr>
          <w:rFonts w:hint="eastAsia"/>
        </w:rPr>
        <w:t>。</w:t>
      </w:r>
    </w:p>
    <w:p w14:paraId="60EF4151" w14:textId="77777777" w:rsidR="00737EB2" w:rsidRPr="00765F6E" w:rsidRDefault="00737EB2" w:rsidP="003334F3">
      <w:pPr>
        <w:pStyle w:val="af6"/>
        <w:numPr>
          <w:ilvl w:val="0"/>
          <w:numId w:val="230"/>
        </w:numPr>
        <w:tabs>
          <w:tab w:val="left" w:pos="851"/>
        </w:tabs>
        <w:snapToGrid w:val="0"/>
        <w:contextualSpacing/>
      </w:pPr>
      <w:r w:rsidRPr="00765F6E">
        <w:rPr>
          <w:rFonts w:hint="eastAsia"/>
        </w:rPr>
        <w:t xml:space="preserve">室外空气计算参数符合如下规定： </w:t>
      </w:r>
    </w:p>
    <w:p w14:paraId="55A9BBFB" w14:textId="77777777" w:rsidR="00737EB2" w:rsidRPr="00765F6E" w:rsidRDefault="00737EB2" w:rsidP="00D12EC7">
      <w:pPr>
        <w:pStyle w:val="af7"/>
        <w:tabs>
          <w:tab w:val="left" w:pos="851"/>
          <w:tab w:val="left" w:pos="1276"/>
        </w:tabs>
      </w:pPr>
      <w:r w:rsidRPr="00765F6E">
        <w:rPr>
          <w:rFonts w:hint="eastAsia"/>
        </w:rPr>
        <w:t xml:space="preserve">夏季空调室外计算干球温度应采用历年平均不保证 50h的干球温度； </w:t>
      </w:r>
    </w:p>
    <w:p w14:paraId="6B9D7A2D" w14:textId="77777777" w:rsidR="00737EB2" w:rsidRPr="00765F6E" w:rsidRDefault="00737EB2" w:rsidP="00D12EC7">
      <w:pPr>
        <w:pStyle w:val="af7"/>
        <w:tabs>
          <w:tab w:val="left" w:pos="851"/>
          <w:tab w:val="left" w:pos="1276"/>
        </w:tabs>
      </w:pPr>
      <w:r w:rsidRPr="00765F6E">
        <w:rPr>
          <w:rFonts w:hint="eastAsia"/>
        </w:rPr>
        <w:t xml:space="preserve">夏季空调室外计算湿球温度应采用历年平均不保证 50h的湿球温度； </w:t>
      </w:r>
    </w:p>
    <w:p w14:paraId="13650311" w14:textId="77777777" w:rsidR="00737EB2" w:rsidRPr="00765F6E" w:rsidRDefault="00737EB2" w:rsidP="00D12EC7">
      <w:pPr>
        <w:pStyle w:val="af7"/>
        <w:tabs>
          <w:tab w:val="left" w:pos="851"/>
          <w:tab w:val="left" w:pos="1276"/>
        </w:tabs>
      </w:pPr>
      <w:r w:rsidRPr="00765F6E">
        <w:rPr>
          <w:rFonts w:hint="eastAsia"/>
        </w:rPr>
        <w:t>夏季通风室外计算温度应采用历年最热月 14时的月平均温度的平均值；</w:t>
      </w:r>
    </w:p>
    <w:p w14:paraId="25335A40" w14:textId="77777777" w:rsidR="00737EB2" w:rsidRPr="00765F6E" w:rsidRDefault="00737EB2" w:rsidP="00D12EC7">
      <w:pPr>
        <w:pStyle w:val="af7"/>
        <w:tabs>
          <w:tab w:val="left" w:pos="851"/>
          <w:tab w:val="left" w:pos="1276"/>
        </w:tabs>
      </w:pPr>
      <w:r w:rsidRPr="00765F6E">
        <w:rPr>
          <w:rFonts w:hint="eastAsia"/>
        </w:rPr>
        <w:t xml:space="preserve">冬季通风室外计算温度应采用累年最冷月平均温度。 </w:t>
      </w:r>
    </w:p>
    <w:p w14:paraId="3E1A1022" w14:textId="77777777" w:rsidR="00737EB2" w:rsidRPr="00765F6E" w:rsidRDefault="00737EB2" w:rsidP="00ED2D3D">
      <w:pPr>
        <w:pStyle w:val="af6"/>
        <w:tabs>
          <w:tab w:val="left" w:pos="851"/>
        </w:tabs>
        <w:snapToGrid w:val="0"/>
        <w:contextualSpacing/>
      </w:pPr>
      <w:r w:rsidRPr="00765F6E">
        <w:rPr>
          <w:rFonts w:hint="eastAsia"/>
        </w:rPr>
        <w:t>主要设备管理用房室内设计参数按</w:t>
      </w:r>
      <w:r w:rsidRPr="00765F6E">
        <w:t>DG/TJ 08-109</w:t>
      </w:r>
      <w:r w:rsidRPr="00765F6E">
        <w:rPr>
          <w:rFonts w:hint="eastAsia"/>
        </w:rPr>
        <w:t>相关标准执行，或根据工艺设备要求执行。</w:t>
      </w:r>
    </w:p>
    <w:p w14:paraId="08E9BBC0" w14:textId="77777777" w:rsidR="00737EB2" w:rsidRPr="00765F6E" w:rsidRDefault="00737EB2" w:rsidP="00737EB2">
      <w:pPr>
        <w:pStyle w:val="affe"/>
        <w:spacing w:before="156" w:after="156"/>
      </w:pPr>
      <w:bookmarkStart w:id="3172" w:name="_Toc153210990"/>
      <w:bookmarkStart w:id="3173" w:name="_Toc99792868"/>
      <w:bookmarkStart w:id="3174" w:name="_Toc153292319"/>
      <w:bookmarkStart w:id="3175" w:name="_Toc167895888"/>
      <w:bookmarkStart w:id="3176" w:name="_Toc174538802"/>
      <w:bookmarkStart w:id="3177" w:name="_Toc182476560"/>
      <w:r w:rsidRPr="00765F6E">
        <w:rPr>
          <w:rFonts w:hint="eastAsia"/>
        </w:rPr>
        <w:t>空调冷源及水系统</w:t>
      </w:r>
      <w:bookmarkEnd w:id="3172"/>
      <w:bookmarkEnd w:id="3173"/>
      <w:bookmarkEnd w:id="3174"/>
      <w:bookmarkEnd w:id="3175"/>
      <w:bookmarkEnd w:id="3176"/>
      <w:bookmarkEnd w:id="3177"/>
    </w:p>
    <w:p w14:paraId="09D46E99" w14:textId="77777777" w:rsidR="00737EB2" w:rsidRPr="00765F6E" w:rsidRDefault="00737EB2" w:rsidP="009D0776">
      <w:pPr>
        <w:pStyle w:val="22"/>
      </w:pPr>
      <w:bookmarkStart w:id="3178" w:name="_Toc99792869"/>
      <w:bookmarkStart w:id="3179" w:name="_Toc153292320"/>
      <w:r w:rsidRPr="00765F6E">
        <w:rPr>
          <w:rFonts w:hint="eastAsia"/>
        </w:rPr>
        <w:t>冷源设备的选择应根据空调系统的负荷情况、运行时间、运行调节等要求，结合制冷工质的种类、装机容量和节能效果等因素确定。</w:t>
      </w:r>
      <w:bookmarkEnd w:id="3178"/>
      <w:bookmarkEnd w:id="3179"/>
      <w:r w:rsidRPr="00765F6E">
        <w:rPr>
          <w:rFonts w:hint="eastAsia"/>
        </w:rPr>
        <w:t xml:space="preserve"> </w:t>
      </w:r>
    </w:p>
    <w:p w14:paraId="35A39FC0" w14:textId="77777777" w:rsidR="00737EB2" w:rsidRPr="00765F6E" w:rsidRDefault="00737EB2" w:rsidP="009D0776">
      <w:pPr>
        <w:pStyle w:val="22"/>
      </w:pPr>
      <w:bookmarkStart w:id="3180" w:name="_Toc153292321"/>
      <w:bookmarkStart w:id="3181" w:name="_Toc99792870"/>
      <w:r w:rsidRPr="00765F6E">
        <w:rPr>
          <w:rFonts w:hint="eastAsia"/>
        </w:rPr>
        <w:t>冷负荷量小且分散时，可采用风冷式制冷机组或多联机系统、分体式空调机组。</w:t>
      </w:r>
      <w:bookmarkEnd w:id="3180"/>
      <w:bookmarkEnd w:id="3181"/>
      <w:r w:rsidRPr="00765F6E">
        <w:rPr>
          <w:rFonts w:hint="eastAsia"/>
        </w:rPr>
        <w:t xml:space="preserve"> </w:t>
      </w:r>
    </w:p>
    <w:p w14:paraId="61345D1E" w14:textId="77777777" w:rsidR="00737EB2" w:rsidRPr="00765F6E" w:rsidRDefault="00737EB2" w:rsidP="009D0776">
      <w:pPr>
        <w:pStyle w:val="22"/>
      </w:pPr>
      <w:bookmarkStart w:id="3182" w:name="_Toc99792871"/>
      <w:bookmarkStart w:id="3183" w:name="_Toc153292322"/>
      <w:r w:rsidRPr="00765F6E">
        <w:rPr>
          <w:rFonts w:hint="eastAsia"/>
        </w:rPr>
        <w:t>冷却塔的设置符合下列规定</w:t>
      </w:r>
      <w:bookmarkEnd w:id="3182"/>
      <w:r w:rsidRPr="00765F6E">
        <w:rPr>
          <w:rFonts w:hint="eastAsia"/>
        </w:rPr>
        <w:t>：</w:t>
      </w:r>
      <w:bookmarkEnd w:id="3183"/>
    </w:p>
    <w:p w14:paraId="30E535F8" w14:textId="77777777" w:rsidR="00737EB2" w:rsidRPr="00765F6E" w:rsidRDefault="00737EB2" w:rsidP="003334F3">
      <w:pPr>
        <w:pStyle w:val="af6"/>
        <w:numPr>
          <w:ilvl w:val="0"/>
          <w:numId w:val="231"/>
        </w:numPr>
        <w:tabs>
          <w:tab w:val="left" w:pos="851"/>
        </w:tabs>
        <w:snapToGrid w:val="0"/>
        <w:contextualSpacing/>
      </w:pPr>
      <w:r w:rsidRPr="00765F6E">
        <w:rPr>
          <w:rFonts w:hint="eastAsia"/>
        </w:rPr>
        <w:t>冷却塔应设置在通风良好的地方，并应与周围环境相协调，其噪声应符合GB 3096的有关规定；</w:t>
      </w:r>
    </w:p>
    <w:p w14:paraId="64543E6A" w14:textId="77777777" w:rsidR="00737EB2" w:rsidRPr="00765F6E" w:rsidRDefault="00737EB2" w:rsidP="003334F3">
      <w:pPr>
        <w:pStyle w:val="af6"/>
        <w:numPr>
          <w:ilvl w:val="0"/>
          <w:numId w:val="231"/>
        </w:numPr>
        <w:tabs>
          <w:tab w:val="left" w:pos="851"/>
        </w:tabs>
        <w:snapToGrid w:val="0"/>
        <w:contextualSpacing/>
      </w:pPr>
      <w:r w:rsidRPr="00765F6E">
        <w:rPr>
          <w:rFonts w:hint="eastAsia"/>
        </w:rPr>
        <w:t>多塔布置时，宜采用相同型号产品，且其积水盘下应设连通管，进水管和出水管上均应设电动阀。</w:t>
      </w:r>
    </w:p>
    <w:p w14:paraId="0EEB41C0" w14:textId="77777777" w:rsidR="00737EB2" w:rsidRPr="00765F6E" w:rsidRDefault="00737EB2" w:rsidP="00737EB2">
      <w:pPr>
        <w:pStyle w:val="affe"/>
        <w:spacing w:before="156" w:after="156"/>
      </w:pPr>
      <w:bookmarkStart w:id="3184" w:name="_Toc99792872"/>
      <w:bookmarkStart w:id="3185" w:name="_Toc153210991"/>
      <w:bookmarkStart w:id="3186" w:name="_Toc153292323"/>
      <w:bookmarkStart w:id="3187" w:name="_Toc167895889"/>
      <w:bookmarkStart w:id="3188" w:name="_Toc174538803"/>
      <w:bookmarkStart w:id="3189" w:name="_Toc182476561"/>
      <w:r w:rsidRPr="00765F6E">
        <w:rPr>
          <w:rFonts w:hint="eastAsia"/>
        </w:rPr>
        <w:t>通风与空调系统控制</w:t>
      </w:r>
      <w:bookmarkEnd w:id="3184"/>
      <w:bookmarkEnd w:id="3185"/>
      <w:bookmarkEnd w:id="3186"/>
      <w:bookmarkEnd w:id="3187"/>
      <w:bookmarkEnd w:id="3188"/>
      <w:bookmarkEnd w:id="3189"/>
    </w:p>
    <w:p w14:paraId="72462309" w14:textId="77777777" w:rsidR="00737EB2" w:rsidRPr="00765F6E" w:rsidRDefault="00737EB2" w:rsidP="009D0776">
      <w:pPr>
        <w:pStyle w:val="22"/>
      </w:pPr>
      <w:bookmarkStart w:id="3190" w:name="_Toc99792873"/>
      <w:bookmarkStart w:id="3191" w:name="_Toc153292325"/>
      <w:r w:rsidRPr="00765F6E">
        <w:rPr>
          <w:rFonts w:hint="eastAsia"/>
        </w:rPr>
        <w:t>市域铁路隧道通风系统应设就地级控制、车站级控制和中央级控制。</w:t>
      </w:r>
      <w:bookmarkEnd w:id="3190"/>
      <w:bookmarkEnd w:id="3191"/>
      <w:r w:rsidRPr="00765F6E">
        <w:rPr>
          <w:rFonts w:hint="eastAsia"/>
        </w:rPr>
        <w:t xml:space="preserve"> </w:t>
      </w:r>
    </w:p>
    <w:p w14:paraId="07BB0AA2" w14:textId="77777777" w:rsidR="00737EB2" w:rsidRPr="00765F6E" w:rsidRDefault="00737EB2" w:rsidP="009D0776">
      <w:pPr>
        <w:pStyle w:val="22"/>
      </w:pPr>
      <w:bookmarkStart w:id="3192" w:name="_Toc99792874"/>
      <w:bookmarkStart w:id="3193" w:name="_Toc153292326"/>
      <w:r w:rsidRPr="00765F6E">
        <w:rPr>
          <w:rFonts w:hint="eastAsia"/>
        </w:rPr>
        <w:t>地下车站公共区通风与空调设备宜设就地级控制、车站级控制。</w:t>
      </w:r>
      <w:bookmarkEnd w:id="3192"/>
      <w:bookmarkEnd w:id="3193"/>
      <w:r w:rsidRPr="00765F6E">
        <w:rPr>
          <w:rFonts w:hint="eastAsia"/>
        </w:rPr>
        <w:t xml:space="preserve"> </w:t>
      </w:r>
    </w:p>
    <w:p w14:paraId="2D938DCB" w14:textId="77777777" w:rsidR="00737EB2" w:rsidRPr="00765F6E" w:rsidRDefault="00737EB2" w:rsidP="009D0776">
      <w:pPr>
        <w:pStyle w:val="22"/>
      </w:pPr>
      <w:bookmarkStart w:id="3194" w:name="_Toc153292327"/>
      <w:bookmarkStart w:id="3195" w:name="_Toc99792875"/>
      <w:r w:rsidRPr="00765F6E">
        <w:rPr>
          <w:rFonts w:hint="eastAsia"/>
        </w:rPr>
        <w:t>地面、高架车站、地下车站设备管理用房、车辆基地（所、存车场）、运营控制中心和主变电所等生产房屋、生产辅助房屋的通风与空调设备宜设就地级控制、车站级控制。</w:t>
      </w:r>
      <w:bookmarkEnd w:id="3194"/>
      <w:bookmarkEnd w:id="3195"/>
    </w:p>
    <w:p w14:paraId="10B36D48" w14:textId="77777777" w:rsidR="00737EB2" w:rsidRPr="00765F6E" w:rsidRDefault="00737EB2" w:rsidP="00737EB2">
      <w:pPr>
        <w:pStyle w:val="affe"/>
        <w:spacing w:before="156" w:after="156"/>
      </w:pPr>
      <w:bookmarkStart w:id="3196" w:name="_Toc153292328"/>
      <w:bookmarkStart w:id="3197" w:name="_Toc153210992"/>
      <w:bookmarkStart w:id="3198" w:name="_Toc99792876"/>
      <w:bookmarkStart w:id="3199" w:name="_Toc167895890"/>
      <w:bookmarkStart w:id="3200" w:name="_Toc174538804"/>
      <w:bookmarkStart w:id="3201" w:name="_Toc182476562"/>
      <w:r w:rsidRPr="00765F6E">
        <w:rPr>
          <w:rFonts w:hint="eastAsia"/>
        </w:rPr>
        <w:t>接口设计</w:t>
      </w:r>
      <w:bookmarkEnd w:id="3196"/>
      <w:bookmarkEnd w:id="3197"/>
      <w:bookmarkEnd w:id="3198"/>
      <w:bookmarkEnd w:id="3199"/>
      <w:bookmarkEnd w:id="3200"/>
      <w:bookmarkEnd w:id="3201"/>
    </w:p>
    <w:p w14:paraId="4E74100A" w14:textId="77777777" w:rsidR="00737EB2" w:rsidRPr="00765F6E" w:rsidRDefault="00737EB2" w:rsidP="009D0776">
      <w:pPr>
        <w:pStyle w:val="22"/>
      </w:pPr>
      <w:bookmarkStart w:id="3202" w:name="_Toc99792877"/>
      <w:bookmarkStart w:id="3203" w:name="_Toc153292329"/>
      <w:r w:rsidRPr="00765F6E">
        <w:rPr>
          <w:rFonts w:hint="eastAsia"/>
        </w:rPr>
        <w:t>车站通风空调系统宜考虑与土建、电力、监控、给排水等相关专业设计接口。</w:t>
      </w:r>
      <w:bookmarkEnd w:id="3202"/>
      <w:bookmarkEnd w:id="3203"/>
      <w:r w:rsidRPr="00765F6E">
        <w:rPr>
          <w:rFonts w:hint="eastAsia"/>
        </w:rPr>
        <w:t xml:space="preserve"> </w:t>
      </w:r>
    </w:p>
    <w:p w14:paraId="559821E7" w14:textId="77777777" w:rsidR="00737EB2" w:rsidRPr="00765F6E" w:rsidRDefault="00737EB2" w:rsidP="009D0776">
      <w:pPr>
        <w:pStyle w:val="22"/>
      </w:pPr>
      <w:bookmarkStart w:id="3204" w:name="_Toc99792878"/>
      <w:bookmarkStart w:id="3205" w:name="_Toc153292330"/>
      <w:r w:rsidRPr="00765F6E">
        <w:rPr>
          <w:rFonts w:hint="eastAsia"/>
        </w:rPr>
        <w:t>车站建筑应为大型通风与空调设备设置运输、安装通道及孔洞，并装设起吊设施。</w:t>
      </w:r>
      <w:bookmarkEnd w:id="3204"/>
      <w:bookmarkEnd w:id="3205"/>
    </w:p>
    <w:p w14:paraId="485985B1" w14:textId="77777777" w:rsidR="00737EB2" w:rsidRPr="00765F6E" w:rsidRDefault="00737EB2" w:rsidP="00737EB2">
      <w:pPr>
        <w:pStyle w:val="affd"/>
        <w:spacing w:before="312" w:after="312"/>
      </w:pPr>
      <w:bookmarkStart w:id="3206" w:name="_Toc153292331"/>
      <w:bookmarkStart w:id="3207" w:name="_Toc153210993"/>
      <w:bookmarkStart w:id="3208" w:name="_Toc99792879"/>
      <w:bookmarkStart w:id="3209" w:name="_Toc167895891"/>
      <w:bookmarkStart w:id="3210" w:name="_Toc174538805"/>
      <w:bookmarkStart w:id="3211" w:name="_Toc182476563"/>
      <w:r w:rsidRPr="00765F6E">
        <w:rPr>
          <w:rFonts w:hint="eastAsia"/>
        </w:rPr>
        <w:t>给水与排水</w:t>
      </w:r>
      <w:bookmarkEnd w:id="3206"/>
      <w:bookmarkEnd w:id="3207"/>
      <w:bookmarkEnd w:id="3208"/>
      <w:bookmarkEnd w:id="3209"/>
      <w:bookmarkEnd w:id="3210"/>
      <w:bookmarkEnd w:id="3211"/>
    </w:p>
    <w:p w14:paraId="2D6AAAEC" w14:textId="77777777" w:rsidR="00737EB2" w:rsidRPr="00765F6E" w:rsidRDefault="00737EB2" w:rsidP="00737EB2">
      <w:pPr>
        <w:pStyle w:val="affe"/>
        <w:spacing w:before="156" w:after="156"/>
      </w:pPr>
      <w:bookmarkStart w:id="3212" w:name="_Toc99792880"/>
      <w:bookmarkStart w:id="3213" w:name="_Toc153292332"/>
      <w:bookmarkStart w:id="3214" w:name="_Toc153210994"/>
      <w:bookmarkStart w:id="3215" w:name="_Toc167895892"/>
      <w:bookmarkStart w:id="3216" w:name="_Toc174538806"/>
      <w:bookmarkStart w:id="3217" w:name="_Toc182476564"/>
      <w:r w:rsidRPr="00765F6E">
        <w:rPr>
          <w:rFonts w:hint="eastAsia"/>
        </w:rPr>
        <w:lastRenderedPageBreak/>
        <w:t>一般规定</w:t>
      </w:r>
      <w:bookmarkEnd w:id="3212"/>
      <w:bookmarkEnd w:id="3213"/>
      <w:bookmarkEnd w:id="3214"/>
      <w:bookmarkEnd w:id="3215"/>
      <w:bookmarkEnd w:id="3216"/>
      <w:bookmarkEnd w:id="3217"/>
    </w:p>
    <w:p w14:paraId="702BEE7B" w14:textId="77777777" w:rsidR="00737EB2" w:rsidRPr="00765F6E" w:rsidRDefault="00737EB2" w:rsidP="009D0776">
      <w:pPr>
        <w:pStyle w:val="22"/>
      </w:pPr>
      <w:bookmarkStart w:id="3218" w:name="_Toc99792881"/>
      <w:bookmarkStart w:id="3219" w:name="_Toc153292333"/>
      <w:r w:rsidRPr="00765F6E">
        <w:rPr>
          <w:rFonts w:hint="eastAsia"/>
        </w:rPr>
        <w:t>给水系统设计应满足生产、生活和消防用水对水量、水压和水质的要求，并应符合现行国家标准的有关规定，坚持综合利用、节约用水的原则。</w:t>
      </w:r>
      <w:bookmarkEnd w:id="3218"/>
      <w:bookmarkEnd w:id="3219"/>
    </w:p>
    <w:p w14:paraId="6068E136" w14:textId="77777777" w:rsidR="00737EB2" w:rsidRPr="00765F6E" w:rsidRDefault="00737EB2" w:rsidP="009D0776">
      <w:pPr>
        <w:pStyle w:val="22"/>
      </w:pPr>
      <w:bookmarkStart w:id="3220" w:name="_Toc99792882"/>
      <w:bookmarkStart w:id="3221" w:name="_Toc153292334"/>
      <w:r w:rsidRPr="00765F6E">
        <w:rPr>
          <w:rFonts w:hint="eastAsia"/>
        </w:rPr>
        <w:t>给水水源宜采用城镇自来水，当沿线无城镇自来水时，应采取其他可靠的给水水源。</w:t>
      </w:r>
      <w:bookmarkEnd w:id="3220"/>
      <w:bookmarkEnd w:id="3221"/>
    </w:p>
    <w:p w14:paraId="3294D0A0" w14:textId="77777777" w:rsidR="00737EB2" w:rsidRPr="00765F6E" w:rsidRDefault="00737EB2" w:rsidP="009D0776">
      <w:pPr>
        <w:pStyle w:val="22"/>
      </w:pPr>
      <w:bookmarkStart w:id="3222" w:name="_Toc99792883"/>
      <w:bookmarkStart w:id="3223" w:name="_Toc153292335"/>
      <w:r w:rsidRPr="00765F6E">
        <w:rPr>
          <w:rFonts w:hint="eastAsia"/>
        </w:rPr>
        <w:t>污、废水及雨水的排放</w:t>
      </w:r>
      <w:bookmarkStart w:id="3224" w:name="_Toc99792884"/>
      <w:bookmarkEnd w:id="3222"/>
      <w:r w:rsidRPr="00765F6E">
        <w:rPr>
          <w:rFonts w:hint="eastAsia"/>
        </w:rPr>
        <w:t>宜采用分流制排水体制，且应符合国家及当地现行有关排水标准和排水体制的规定。</w:t>
      </w:r>
      <w:bookmarkEnd w:id="3223"/>
    </w:p>
    <w:p w14:paraId="12145535" w14:textId="77777777" w:rsidR="00737EB2" w:rsidRPr="00765F6E" w:rsidRDefault="00737EB2" w:rsidP="009D0776">
      <w:pPr>
        <w:pStyle w:val="22"/>
      </w:pPr>
      <w:bookmarkStart w:id="3225" w:name="_Toc153292336"/>
      <w:r w:rsidRPr="00765F6E">
        <w:rPr>
          <w:rFonts w:hint="eastAsia"/>
        </w:rPr>
        <w:t>给水与排水设计应按GB 55020的有关规定采取节水、节能措施。</w:t>
      </w:r>
      <w:bookmarkEnd w:id="3224"/>
      <w:bookmarkEnd w:id="3225"/>
    </w:p>
    <w:p w14:paraId="311585E1" w14:textId="77777777" w:rsidR="00737EB2" w:rsidRPr="00765F6E" w:rsidRDefault="00737EB2" w:rsidP="009D0776">
      <w:pPr>
        <w:pStyle w:val="22"/>
      </w:pPr>
      <w:bookmarkStart w:id="3226" w:name="_Toc153292337"/>
      <w:bookmarkStart w:id="3227" w:name="_Toc99792885"/>
      <w:r w:rsidRPr="00765F6E">
        <w:rPr>
          <w:rFonts w:hint="eastAsia"/>
        </w:rPr>
        <w:t>给水设计应按GB 55020的有关规定采取防水质污染措施。</w:t>
      </w:r>
      <w:bookmarkEnd w:id="3226"/>
      <w:bookmarkEnd w:id="3227"/>
    </w:p>
    <w:p w14:paraId="21BDE859" w14:textId="77777777" w:rsidR="00737EB2" w:rsidRPr="00765F6E" w:rsidRDefault="00737EB2" w:rsidP="009D0776">
      <w:pPr>
        <w:pStyle w:val="22"/>
      </w:pPr>
      <w:bookmarkStart w:id="3228" w:name="_Toc153292338"/>
      <w:r w:rsidRPr="00765F6E">
        <w:rPr>
          <w:rFonts w:hint="eastAsia"/>
        </w:rPr>
        <w:t>给排水管不应穿过变电所、通信信号机房、控制室、配电室等电气房间。</w:t>
      </w:r>
      <w:bookmarkEnd w:id="3228"/>
    </w:p>
    <w:p w14:paraId="0D876F7C" w14:textId="77777777" w:rsidR="00737EB2" w:rsidRPr="00765F6E" w:rsidRDefault="00737EB2" w:rsidP="009D0776">
      <w:pPr>
        <w:pStyle w:val="22"/>
      </w:pPr>
      <w:bookmarkStart w:id="3229" w:name="_Toc153292339"/>
      <w:r w:rsidRPr="00765F6E">
        <w:rPr>
          <w:rFonts w:hint="eastAsia"/>
        </w:rPr>
        <w:t>给水与排水系统设备应采用节能、环保型设备，并应按自动化运行管理设计。</w:t>
      </w:r>
    </w:p>
    <w:p w14:paraId="1FCC90A9" w14:textId="77777777" w:rsidR="00737EB2" w:rsidRPr="00765F6E" w:rsidRDefault="00737EB2" w:rsidP="009D0776">
      <w:pPr>
        <w:pStyle w:val="22"/>
      </w:pPr>
      <w:r w:rsidRPr="00765F6E">
        <w:rPr>
          <w:rFonts w:hint="eastAsia"/>
        </w:rPr>
        <w:t>车辆基地内热水系统宜优先采用太阳能热水系统、地源热泵、空气源热泵等可再生能源系统。</w:t>
      </w:r>
      <w:bookmarkEnd w:id="3229"/>
    </w:p>
    <w:p w14:paraId="05D6681C" w14:textId="77777777" w:rsidR="00737EB2" w:rsidRPr="00765F6E" w:rsidRDefault="00737EB2" w:rsidP="00737EB2">
      <w:pPr>
        <w:pStyle w:val="affe"/>
        <w:spacing w:before="156" w:after="156"/>
      </w:pPr>
      <w:bookmarkStart w:id="3230" w:name="_Toc99792887"/>
      <w:bookmarkStart w:id="3231" w:name="_Toc153210995"/>
      <w:bookmarkStart w:id="3232" w:name="_Toc153292340"/>
      <w:bookmarkStart w:id="3233" w:name="_Toc167895893"/>
      <w:bookmarkStart w:id="3234" w:name="_Toc174538807"/>
      <w:bookmarkStart w:id="3235" w:name="_Toc182476565"/>
      <w:r w:rsidRPr="00765F6E">
        <w:rPr>
          <w:rFonts w:hint="eastAsia"/>
        </w:rPr>
        <w:t>给水</w:t>
      </w:r>
      <w:bookmarkEnd w:id="3230"/>
      <w:bookmarkEnd w:id="3231"/>
      <w:bookmarkEnd w:id="3232"/>
      <w:bookmarkEnd w:id="3233"/>
      <w:bookmarkEnd w:id="3234"/>
      <w:bookmarkEnd w:id="3235"/>
    </w:p>
    <w:p w14:paraId="0D649CF1" w14:textId="77777777" w:rsidR="00737EB2" w:rsidRPr="00765F6E" w:rsidRDefault="00737EB2" w:rsidP="009D0776">
      <w:pPr>
        <w:pStyle w:val="22"/>
      </w:pPr>
      <w:bookmarkStart w:id="3236" w:name="_Toc99792888"/>
      <w:bookmarkStart w:id="3237" w:name="_Toc153292341"/>
      <w:r w:rsidRPr="00765F6E">
        <w:rPr>
          <w:rFonts w:hint="eastAsia"/>
        </w:rPr>
        <w:t>给水系统用水量定额符合下列规定：</w:t>
      </w:r>
      <w:bookmarkEnd w:id="3236"/>
      <w:bookmarkEnd w:id="3237"/>
    </w:p>
    <w:p w14:paraId="67E587D0" w14:textId="77777777" w:rsidR="00737EB2" w:rsidRPr="00765F6E" w:rsidRDefault="00737EB2" w:rsidP="003334F3">
      <w:pPr>
        <w:pStyle w:val="af6"/>
        <w:numPr>
          <w:ilvl w:val="0"/>
          <w:numId w:val="232"/>
        </w:numPr>
        <w:tabs>
          <w:tab w:val="left" w:pos="851"/>
        </w:tabs>
        <w:snapToGrid w:val="0"/>
        <w:contextualSpacing/>
      </w:pPr>
      <w:r w:rsidRPr="00765F6E">
        <w:rPr>
          <w:rFonts w:hint="eastAsia"/>
        </w:rPr>
        <w:t>工作人员生活用水量应为30L/(人.班)～60L/(人.班)，小时变化系数应为2.5～2.0；</w:t>
      </w:r>
    </w:p>
    <w:p w14:paraId="6B983497" w14:textId="77777777" w:rsidR="00737EB2" w:rsidRPr="00765F6E" w:rsidRDefault="00737EB2" w:rsidP="003334F3">
      <w:pPr>
        <w:pStyle w:val="af6"/>
        <w:numPr>
          <w:ilvl w:val="0"/>
          <w:numId w:val="232"/>
        </w:numPr>
        <w:tabs>
          <w:tab w:val="left" w:pos="851"/>
        </w:tabs>
        <w:snapToGrid w:val="0"/>
        <w:contextualSpacing/>
      </w:pPr>
      <w:r w:rsidRPr="00765F6E">
        <w:rPr>
          <w:rFonts w:hint="eastAsia"/>
        </w:rPr>
        <w:t>生产用水量应按工艺要求确定；</w:t>
      </w:r>
    </w:p>
    <w:p w14:paraId="492672A0" w14:textId="77777777" w:rsidR="00737EB2" w:rsidRPr="00765F6E" w:rsidRDefault="00737EB2" w:rsidP="003334F3">
      <w:pPr>
        <w:pStyle w:val="af6"/>
        <w:numPr>
          <w:ilvl w:val="0"/>
          <w:numId w:val="232"/>
        </w:numPr>
        <w:tabs>
          <w:tab w:val="left" w:pos="851"/>
        </w:tabs>
        <w:snapToGrid w:val="0"/>
        <w:contextualSpacing/>
      </w:pPr>
      <w:r w:rsidRPr="00765F6E">
        <w:rPr>
          <w:rFonts w:hint="eastAsia"/>
        </w:rPr>
        <w:t>消防、绿化、冲洗用水等应执行现行国家标准的有关规定；</w:t>
      </w:r>
    </w:p>
    <w:p w14:paraId="63084202" w14:textId="77777777" w:rsidR="00737EB2" w:rsidRPr="00765F6E" w:rsidRDefault="00737EB2" w:rsidP="003334F3">
      <w:pPr>
        <w:pStyle w:val="af6"/>
        <w:numPr>
          <w:ilvl w:val="0"/>
          <w:numId w:val="232"/>
        </w:numPr>
        <w:tabs>
          <w:tab w:val="left" w:pos="851"/>
        </w:tabs>
        <w:snapToGrid w:val="0"/>
        <w:contextualSpacing/>
      </w:pPr>
      <w:r w:rsidRPr="00765F6E">
        <w:rPr>
          <w:rFonts w:hint="eastAsia"/>
        </w:rPr>
        <w:t>不可预见水量按生产、生活最高日用水量的15%计算。</w:t>
      </w:r>
    </w:p>
    <w:p w14:paraId="4ED9376B" w14:textId="77777777" w:rsidR="00737EB2" w:rsidRPr="00765F6E" w:rsidRDefault="00737EB2" w:rsidP="009D0776">
      <w:pPr>
        <w:pStyle w:val="22"/>
      </w:pPr>
      <w:bookmarkStart w:id="3238" w:name="_Toc153292342"/>
      <w:bookmarkStart w:id="3239" w:name="_Toc99792889"/>
      <w:r w:rsidRPr="00765F6E">
        <w:t>管道布置和敷设符合下列规定：</w:t>
      </w:r>
      <w:bookmarkEnd w:id="3238"/>
      <w:bookmarkEnd w:id="3239"/>
    </w:p>
    <w:p w14:paraId="7E2FE4E6" w14:textId="77777777" w:rsidR="00737EB2" w:rsidRPr="00765F6E" w:rsidRDefault="00737EB2" w:rsidP="003334F3">
      <w:pPr>
        <w:pStyle w:val="af6"/>
        <w:numPr>
          <w:ilvl w:val="0"/>
          <w:numId w:val="233"/>
        </w:numPr>
        <w:tabs>
          <w:tab w:val="left" w:pos="851"/>
        </w:tabs>
        <w:snapToGrid w:val="0"/>
        <w:contextualSpacing/>
      </w:pPr>
      <w:r w:rsidRPr="00765F6E">
        <w:rPr>
          <w:rFonts w:hint="eastAsia"/>
        </w:rPr>
        <w:t>车站、车辆基地应采用生产、生活与消防分开的给水系统；</w:t>
      </w:r>
    </w:p>
    <w:p w14:paraId="0E6D5461" w14:textId="77777777" w:rsidR="00737EB2" w:rsidRPr="00765F6E" w:rsidRDefault="00737EB2" w:rsidP="003334F3">
      <w:pPr>
        <w:pStyle w:val="af6"/>
        <w:numPr>
          <w:ilvl w:val="0"/>
          <w:numId w:val="233"/>
        </w:numPr>
        <w:tabs>
          <w:tab w:val="left" w:pos="851"/>
        </w:tabs>
        <w:snapToGrid w:val="0"/>
        <w:contextualSpacing/>
      </w:pPr>
      <w:r w:rsidRPr="00765F6E">
        <w:rPr>
          <w:rFonts w:hint="eastAsia"/>
        </w:rPr>
        <w:t>车站生产、生活给水系统应根据给水系统的设置方式布置一般采用枝状管网，车辆基地室外给水管网干管应采用环状供水管网；</w:t>
      </w:r>
    </w:p>
    <w:p w14:paraId="134AB46E" w14:textId="77777777" w:rsidR="00737EB2" w:rsidRPr="00765F6E" w:rsidRDefault="00737EB2" w:rsidP="003334F3">
      <w:pPr>
        <w:pStyle w:val="af6"/>
        <w:numPr>
          <w:ilvl w:val="0"/>
          <w:numId w:val="233"/>
        </w:numPr>
        <w:tabs>
          <w:tab w:val="left" w:pos="851"/>
        </w:tabs>
        <w:snapToGrid w:val="0"/>
        <w:contextualSpacing/>
      </w:pPr>
      <w:r w:rsidRPr="00765F6E">
        <w:rPr>
          <w:rFonts w:hint="eastAsia"/>
        </w:rPr>
        <w:t>地下车站的给水引入管宜通过新风道或人行通道和车站给水系统相接；</w:t>
      </w:r>
    </w:p>
    <w:p w14:paraId="33F8935D" w14:textId="77777777" w:rsidR="00737EB2" w:rsidRPr="00765F6E" w:rsidRDefault="00737EB2" w:rsidP="003334F3">
      <w:pPr>
        <w:pStyle w:val="af6"/>
        <w:numPr>
          <w:ilvl w:val="0"/>
          <w:numId w:val="233"/>
        </w:numPr>
        <w:tabs>
          <w:tab w:val="left" w:pos="851"/>
        </w:tabs>
        <w:snapToGrid w:val="0"/>
        <w:contextualSpacing/>
      </w:pPr>
      <w:r w:rsidRPr="00765F6E">
        <w:rPr>
          <w:rFonts w:hint="eastAsia"/>
        </w:rPr>
        <w:t>给水引入管上应设置绝缘短管或采取其他绝缘措施；</w:t>
      </w:r>
    </w:p>
    <w:p w14:paraId="623A217D" w14:textId="77777777" w:rsidR="00737EB2" w:rsidRPr="00765F6E" w:rsidRDefault="00737EB2" w:rsidP="003334F3">
      <w:pPr>
        <w:pStyle w:val="af6"/>
        <w:numPr>
          <w:ilvl w:val="0"/>
          <w:numId w:val="233"/>
        </w:numPr>
        <w:tabs>
          <w:tab w:val="left" w:pos="851"/>
        </w:tabs>
        <w:snapToGrid w:val="0"/>
        <w:contextualSpacing/>
      </w:pPr>
      <w:r w:rsidRPr="00765F6E">
        <w:rPr>
          <w:rFonts w:hint="eastAsia"/>
        </w:rPr>
        <w:t>给水系统引入管上应设置倒流防止器或其他防止倒流污染的装置，设置原则及位置应符合</w:t>
      </w:r>
      <w:r w:rsidRPr="00765F6E">
        <w:rPr>
          <w:rFonts w:hAnsi="宋体" w:hint="eastAsia"/>
        </w:rPr>
        <w:t>GB 55020</w:t>
      </w:r>
      <w:r w:rsidRPr="00765F6E">
        <w:rPr>
          <w:rFonts w:hint="eastAsia"/>
        </w:rPr>
        <w:t>的有关规定；</w:t>
      </w:r>
    </w:p>
    <w:p w14:paraId="6B2395EB" w14:textId="77777777" w:rsidR="00737EB2" w:rsidRPr="00765F6E" w:rsidRDefault="00737EB2" w:rsidP="003334F3">
      <w:pPr>
        <w:pStyle w:val="af6"/>
        <w:numPr>
          <w:ilvl w:val="0"/>
          <w:numId w:val="233"/>
        </w:numPr>
        <w:tabs>
          <w:tab w:val="left" w:pos="851"/>
        </w:tabs>
        <w:snapToGrid w:val="0"/>
        <w:contextualSpacing/>
      </w:pPr>
      <w:r w:rsidRPr="00765F6E">
        <w:rPr>
          <w:rFonts w:hint="eastAsia"/>
        </w:rPr>
        <w:t>给水管道应根据</w:t>
      </w:r>
      <w:r w:rsidRPr="00765F6E">
        <w:t>GB 50015</w:t>
      </w:r>
      <w:r w:rsidRPr="00765F6E">
        <w:rPr>
          <w:rFonts w:hint="eastAsia"/>
        </w:rPr>
        <w:t>的有关规定采取防结露措施；</w:t>
      </w:r>
    </w:p>
    <w:p w14:paraId="4F3B4C96" w14:textId="77777777" w:rsidR="00737EB2" w:rsidRPr="00765F6E" w:rsidRDefault="00737EB2" w:rsidP="003334F3">
      <w:pPr>
        <w:pStyle w:val="af6"/>
        <w:numPr>
          <w:ilvl w:val="0"/>
          <w:numId w:val="233"/>
        </w:numPr>
        <w:tabs>
          <w:tab w:val="left" w:pos="851"/>
        </w:tabs>
        <w:snapToGrid w:val="0"/>
        <w:contextualSpacing/>
      </w:pPr>
      <w:r w:rsidRPr="00765F6E">
        <w:rPr>
          <w:rFonts w:hint="eastAsia"/>
        </w:rPr>
        <w:t>给水管道、消火栓、水泵接合器及消防水池有可能结冻时，应采取防冻保护措施。</w:t>
      </w:r>
    </w:p>
    <w:p w14:paraId="30F5E5D8" w14:textId="77777777" w:rsidR="00737EB2" w:rsidRPr="00765F6E" w:rsidRDefault="00737EB2" w:rsidP="00737EB2">
      <w:pPr>
        <w:pStyle w:val="affe"/>
        <w:spacing w:before="156" w:after="156"/>
      </w:pPr>
      <w:bookmarkStart w:id="3240" w:name="_Toc153210996"/>
      <w:bookmarkStart w:id="3241" w:name="_Toc153292343"/>
      <w:bookmarkStart w:id="3242" w:name="_Toc99792890"/>
      <w:bookmarkStart w:id="3243" w:name="_Toc167895894"/>
      <w:bookmarkStart w:id="3244" w:name="_Toc174538808"/>
      <w:bookmarkStart w:id="3245" w:name="_Toc182476566"/>
      <w:r w:rsidRPr="00765F6E">
        <w:rPr>
          <w:rFonts w:hint="eastAsia"/>
        </w:rPr>
        <w:t>排水</w:t>
      </w:r>
      <w:bookmarkEnd w:id="3240"/>
      <w:bookmarkEnd w:id="3241"/>
      <w:bookmarkEnd w:id="3242"/>
      <w:bookmarkEnd w:id="3243"/>
      <w:bookmarkEnd w:id="3244"/>
      <w:bookmarkEnd w:id="3245"/>
    </w:p>
    <w:p w14:paraId="647F50A8" w14:textId="77777777" w:rsidR="00737EB2" w:rsidRPr="00765F6E" w:rsidRDefault="00737EB2" w:rsidP="009D0776">
      <w:pPr>
        <w:pStyle w:val="22"/>
      </w:pPr>
      <w:bookmarkStart w:id="3246" w:name="_Toc99792891"/>
      <w:bookmarkStart w:id="3247" w:name="_Toc153292344"/>
      <w:r w:rsidRPr="00765F6E">
        <w:rPr>
          <w:rFonts w:hint="eastAsia"/>
        </w:rPr>
        <w:t>污、废水排水量定额符合下列规定：</w:t>
      </w:r>
      <w:bookmarkEnd w:id="3246"/>
      <w:bookmarkEnd w:id="3247"/>
    </w:p>
    <w:p w14:paraId="034617EC" w14:textId="77777777" w:rsidR="00737EB2" w:rsidRPr="00765F6E" w:rsidRDefault="00737EB2" w:rsidP="003334F3">
      <w:pPr>
        <w:pStyle w:val="af6"/>
        <w:numPr>
          <w:ilvl w:val="0"/>
          <w:numId w:val="234"/>
        </w:numPr>
        <w:tabs>
          <w:tab w:val="left" w:pos="851"/>
        </w:tabs>
        <w:snapToGrid w:val="0"/>
        <w:contextualSpacing/>
      </w:pPr>
      <w:r w:rsidRPr="00765F6E">
        <w:rPr>
          <w:rFonts w:hint="eastAsia"/>
        </w:rPr>
        <w:t>生活排水系统定额按生活用水量的95%计算；</w:t>
      </w:r>
    </w:p>
    <w:p w14:paraId="331078E0" w14:textId="77777777" w:rsidR="00737EB2" w:rsidRPr="00765F6E" w:rsidRDefault="00737EB2" w:rsidP="003334F3">
      <w:pPr>
        <w:pStyle w:val="af6"/>
        <w:numPr>
          <w:ilvl w:val="0"/>
          <w:numId w:val="234"/>
        </w:numPr>
        <w:tabs>
          <w:tab w:val="left" w:pos="851"/>
        </w:tabs>
        <w:snapToGrid w:val="0"/>
        <w:contextualSpacing/>
      </w:pPr>
      <w:r w:rsidRPr="00765F6E">
        <w:rPr>
          <w:rFonts w:hint="eastAsia"/>
        </w:rPr>
        <w:t>生产排水量应按工艺要求确定；</w:t>
      </w:r>
    </w:p>
    <w:p w14:paraId="19F9EF70" w14:textId="77777777" w:rsidR="00737EB2" w:rsidRPr="00765F6E" w:rsidRDefault="00737EB2" w:rsidP="003334F3">
      <w:pPr>
        <w:pStyle w:val="af6"/>
        <w:numPr>
          <w:ilvl w:val="0"/>
          <w:numId w:val="234"/>
        </w:numPr>
        <w:tabs>
          <w:tab w:val="left" w:pos="851"/>
        </w:tabs>
        <w:snapToGrid w:val="0"/>
        <w:contextualSpacing/>
      </w:pPr>
      <w:r w:rsidRPr="00765F6E">
        <w:rPr>
          <w:rFonts w:hint="eastAsia"/>
        </w:rPr>
        <w:t>冲洗和消防废水量和用水量应相同；</w:t>
      </w:r>
    </w:p>
    <w:p w14:paraId="24635FCD" w14:textId="77777777" w:rsidR="00737EB2" w:rsidRPr="00765F6E" w:rsidRDefault="00737EB2" w:rsidP="003334F3">
      <w:pPr>
        <w:pStyle w:val="af6"/>
        <w:numPr>
          <w:ilvl w:val="0"/>
          <w:numId w:val="234"/>
        </w:numPr>
        <w:tabs>
          <w:tab w:val="left" w:pos="851"/>
        </w:tabs>
        <w:snapToGrid w:val="0"/>
        <w:contextualSpacing/>
      </w:pPr>
      <w:r w:rsidRPr="00765F6E">
        <w:rPr>
          <w:rFonts w:hint="eastAsia"/>
        </w:rPr>
        <w:t>地下隧道区间内的排水泵站排水能力应按消防最大排水量和结构渗水量之和计算确定。</w:t>
      </w:r>
    </w:p>
    <w:p w14:paraId="135EF339" w14:textId="77777777" w:rsidR="00737EB2" w:rsidRPr="00765F6E" w:rsidRDefault="00737EB2" w:rsidP="009D0776">
      <w:pPr>
        <w:pStyle w:val="22"/>
      </w:pPr>
      <w:bookmarkStart w:id="3248" w:name="_Toc153292345"/>
      <w:bookmarkStart w:id="3249" w:name="_Toc99792892"/>
      <w:r w:rsidRPr="00765F6E">
        <w:rPr>
          <w:rFonts w:hint="eastAsia"/>
        </w:rPr>
        <w:t>雨水排水计算标准符合下列规定：</w:t>
      </w:r>
      <w:bookmarkEnd w:id="3248"/>
      <w:bookmarkEnd w:id="3249"/>
    </w:p>
    <w:p w14:paraId="3CA58A94" w14:textId="79594392" w:rsidR="00737EB2" w:rsidRPr="00765F6E" w:rsidRDefault="00737EB2" w:rsidP="003334F3">
      <w:pPr>
        <w:pStyle w:val="af6"/>
        <w:numPr>
          <w:ilvl w:val="0"/>
          <w:numId w:val="235"/>
        </w:numPr>
        <w:tabs>
          <w:tab w:val="left" w:pos="851"/>
        </w:tabs>
        <w:snapToGrid w:val="0"/>
        <w:contextualSpacing/>
      </w:pPr>
      <w:r w:rsidRPr="00765F6E">
        <w:rPr>
          <w:rFonts w:hint="eastAsia"/>
        </w:rPr>
        <w:t>地面车站、高架车站屋面、车辆基地内大库综合楼屋面排水管道的排水设计重现期应按当地10年一遇的暴雨强度计算，集流时间按5min计算；车辆基地内其他建筑屋面按</w:t>
      </w:r>
      <w:r w:rsidR="0073575A">
        <w:t>10</w:t>
      </w:r>
      <w:r w:rsidRPr="00765F6E">
        <w:rPr>
          <w:rFonts w:hint="eastAsia"/>
        </w:rPr>
        <w:t>年一遇暴雨重现期计算，集流时间以5min计。屋面雨水工程与溢流设施的总排水能力不应小于50年重现期的雨水量。当屋面无外檐天沟或无直接散水条件且采用溢流管道系统时，总排水能力不应小于100</w:t>
      </w:r>
      <w:r>
        <w:rPr>
          <w:rFonts w:hint="eastAsia"/>
        </w:rPr>
        <w:t>年</w:t>
      </w:r>
      <w:r w:rsidRPr="00765F6E">
        <w:rPr>
          <w:rFonts w:hint="eastAsia"/>
        </w:rPr>
        <w:t>重现期的雨水量；</w:t>
      </w:r>
    </w:p>
    <w:p w14:paraId="35C2246F" w14:textId="77777777" w:rsidR="00737EB2" w:rsidRPr="00765F6E" w:rsidRDefault="00737EB2" w:rsidP="003334F3">
      <w:pPr>
        <w:pStyle w:val="af6"/>
        <w:numPr>
          <w:ilvl w:val="0"/>
          <w:numId w:val="235"/>
        </w:numPr>
        <w:tabs>
          <w:tab w:val="left" w:pos="851"/>
        </w:tabs>
        <w:snapToGrid w:val="0"/>
        <w:contextualSpacing/>
      </w:pPr>
      <w:r w:rsidRPr="00765F6E">
        <w:rPr>
          <w:rFonts w:hint="eastAsia"/>
        </w:rPr>
        <w:t>高架区间、敞开出入口、敞开风井及隧道洞口的雨水泵站、排水沟及排水管渠的排水能力，应按当地</w:t>
      </w:r>
      <w:r w:rsidRPr="00765F6E">
        <w:t>10</w:t>
      </w:r>
      <w:r w:rsidRPr="00765F6E">
        <w:rPr>
          <w:rFonts w:hint="eastAsia"/>
        </w:rPr>
        <w:t>0年一遇的暴雨强度计算，设计降雨历时根据计算确定；</w:t>
      </w:r>
    </w:p>
    <w:p w14:paraId="73FC99E7" w14:textId="39B4AD08" w:rsidR="00737EB2" w:rsidRPr="00765F6E" w:rsidRDefault="00737EB2" w:rsidP="003334F3">
      <w:pPr>
        <w:pStyle w:val="af6"/>
        <w:numPr>
          <w:ilvl w:val="0"/>
          <w:numId w:val="235"/>
        </w:numPr>
        <w:tabs>
          <w:tab w:val="left" w:pos="851"/>
        </w:tabs>
        <w:snapToGrid w:val="0"/>
        <w:contextualSpacing/>
      </w:pPr>
      <w:r w:rsidRPr="00765F6E">
        <w:rPr>
          <w:rFonts w:hint="eastAsia"/>
        </w:rPr>
        <w:t>车辆基地场坪的排水能力，应按当地5</w:t>
      </w:r>
      <w:r w:rsidR="00396F4E">
        <w:rPr>
          <w:rFonts w:asciiTheme="minorEastAsia" w:eastAsiaTheme="minorEastAsia" w:hAnsiTheme="minorEastAsia" w:hint="eastAsia"/>
        </w:rPr>
        <w:t>～</w:t>
      </w:r>
      <w:r w:rsidRPr="00765F6E">
        <w:rPr>
          <w:rFonts w:hint="eastAsia"/>
        </w:rPr>
        <w:t>10年一遇的暴雨强度计算。</w:t>
      </w:r>
    </w:p>
    <w:p w14:paraId="3CA91C1E" w14:textId="77777777" w:rsidR="00737EB2" w:rsidRPr="00765F6E" w:rsidRDefault="00737EB2" w:rsidP="009D0776">
      <w:pPr>
        <w:pStyle w:val="22"/>
      </w:pPr>
      <w:bookmarkStart w:id="3250" w:name="_Toc153292346"/>
      <w:bookmarkStart w:id="3251" w:name="_Toc99792893"/>
      <w:r w:rsidRPr="00765F6E">
        <w:rPr>
          <w:rFonts w:hint="eastAsia"/>
        </w:rPr>
        <w:t>排水泵站（房）的设置，应符合GB 50157、GB 50014、TB 10624的有关规定执行。</w:t>
      </w:r>
      <w:bookmarkEnd w:id="3250"/>
      <w:bookmarkEnd w:id="3251"/>
    </w:p>
    <w:p w14:paraId="3EA885A3" w14:textId="77777777" w:rsidR="00737EB2" w:rsidRPr="00765F6E" w:rsidRDefault="00737EB2" w:rsidP="009D0776">
      <w:pPr>
        <w:pStyle w:val="22"/>
      </w:pPr>
      <w:bookmarkStart w:id="3252" w:name="_Toc99792894"/>
      <w:bookmarkStart w:id="3253" w:name="_Toc153292347"/>
      <w:r w:rsidRPr="00765F6E">
        <w:rPr>
          <w:rFonts w:hint="eastAsia"/>
        </w:rPr>
        <w:t>排水泵站（房）的排水泵的设置符合下列规定：</w:t>
      </w:r>
      <w:bookmarkEnd w:id="3252"/>
      <w:bookmarkEnd w:id="3253"/>
    </w:p>
    <w:p w14:paraId="621B96C7" w14:textId="77777777" w:rsidR="00737EB2" w:rsidRPr="00765F6E" w:rsidRDefault="00737EB2" w:rsidP="003334F3">
      <w:pPr>
        <w:pStyle w:val="af6"/>
        <w:numPr>
          <w:ilvl w:val="0"/>
          <w:numId w:val="236"/>
        </w:numPr>
        <w:tabs>
          <w:tab w:val="left" w:pos="851"/>
        </w:tabs>
        <w:snapToGrid w:val="0"/>
        <w:contextualSpacing/>
      </w:pPr>
      <w:r w:rsidRPr="00765F6E">
        <w:rPr>
          <w:rFonts w:hint="eastAsia"/>
        </w:rPr>
        <w:t xml:space="preserve">主排水泵站、辅助排水泵站及车站排水泵房应设两台排水泵，下穿重要水域的排水泵站宜增设一台排水泵； </w:t>
      </w:r>
    </w:p>
    <w:p w14:paraId="577444F5" w14:textId="77777777" w:rsidR="00737EB2" w:rsidRPr="00765F6E" w:rsidRDefault="00737EB2" w:rsidP="003334F3">
      <w:pPr>
        <w:pStyle w:val="af6"/>
        <w:numPr>
          <w:ilvl w:val="0"/>
          <w:numId w:val="236"/>
        </w:numPr>
        <w:tabs>
          <w:tab w:val="left" w:pos="851"/>
        </w:tabs>
        <w:snapToGrid w:val="0"/>
        <w:contextualSpacing/>
      </w:pPr>
      <w:r w:rsidRPr="00765F6E">
        <w:rPr>
          <w:rFonts w:hint="eastAsia"/>
        </w:rPr>
        <w:lastRenderedPageBreak/>
        <w:t>车站敞开出入口及敞开风井雨水泵房、污水泵房等排水泵站应设两台排水泵，雨水泵平时一台启动，必要时同时启动，污水泵一用一备；</w:t>
      </w:r>
    </w:p>
    <w:p w14:paraId="22863DBA" w14:textId="77777777" w:rsidR="00737EB2" w:rsidRPr="00765F6E" w:rsidRDefault="00737EB2" w:rsidP="003334F3">
      <w:pPr>
        <w:pStyle w:val="af6"/>
        <w:numPr>
          <w:ilvl w:val="0"/>
          <w:numId w:val="236"/>
        </w:numPr>
        <w:tabs>
          <w:tab w:val="left" w:pos="851"/>
        </w:tabs>
        <w:snapToGrid w:val="0"/>
        <w:contextualSpacing/>
      </w:pPr>
      <w:r w:rsidRPr="00765F6E">
        <w:rPr>
          <w:rFonts w:hint="eastAsia"/>
        </w:rPr>
        <w:t>车站敞开出入口及敞开风井雨水泵房、污水泵房等排水泵站应设两台排水泵；</w:t>
      </w:r>
    </w:p>
    <w:p w14:paraId="12FAD06E" w14:textId="77777777" w:rsidR="00737EB2" w:rsidRPr="00765F6E" w:rsidRDefault="00737EB2" w:rsidP="003334F3">
      <w:pPr>
        <w:pStyle w:val="af6"/>
        <w:numPr>
          <w:ilvl w:val="0"/>
          <w:numId w:val="236"/>
        </w:numPr>
        <w:tabs>
          <w:tab w:val="left" w:pos="851"/>
        </w:tabs>
        <w:snapToGrid w:val="0"/>
        <w:contextualSpacing/>
      </w:pPr>
      <w:r w:rsidRPr="00765F6E">
        <w:rPr>
          <w:rFonts w:hint="eastAsia"/>
        </w:rPr>
        <w:t>洞口雨水泵站应设备用泵，且水泵总数不应少于三台。</w:t>
      </w:r>
    </w:p>
    <w:p w14:paraId="3B1AC6DB" w14:textId="77777777" w:rsidR="00737EB2" w:rsidRPr="00765F6E" w:rsidRDefault="00737EB2" w:rsidP="009D0776">
      <w:pPr>
        <w:pStyle w:val="22"/>
      </w:pPr>
      <w:bookmarkStart w:id="3254" w:name="_Toc99792895"/>
      <w:bookmarkStart w:id="3255" w:name="_Toc153292348"/>
      <w:r w:rsidRPr="00765F6E">
        <w:rPr>
          <w:rFonts w:hint="eastAsia"/>
        </w:rPr>
        <w:t>排水系统的设计符合下列规定：</w:t>
      </w:r>
      <w:bookmarkEnd w:id="3254"/>
      <w:bookmarkEnd w:id="3255"/>
    </w:p>
    <w:p w14:paraId="0D4B908F" w14:textId="77777777" w:rsidR="00737EB2" w:rsidRPr="00765F6E" w:rsidRDefault="00737EB2" w:rsidP="003334F3">
      <w:pPr>
        <w:pStyle w:val="af6"/>
        <w:numPr>
          <w:ilvl w:val="0"/>
          <w:numId w:val="237"/>
        </w:numPr>
        <w:tabs>
          <w:tab w:val="left" w:pos="851"/>
        </w:tabs>
        <w:snapToGrid w:val="0"/>
        <w:contextualSpacing/>
      </w:pPr>
      <w:r w:rsidRPr="00765F6E">
        <w:rPr>
          <w:rFonts w:hint="eastAsia"/>
        </w:rPr>
        <w:t>管道布置和敷设应满足</w:t>
      </w:r>
      <w:r w:rsidRPr="00765F6E">
        <w:t>GB 50015</w:t>
      </w:r>
      <w:r w:rsidRPr="00765F6E">
        <w:rPr>
          <w:rFonts w:hint="eastAsia"/>
        </w:rPr>
        <w:t>、GB 50014的相关规定；</w:t>
      </w:r>
    </w:p>
    <w:p w14:paraId="26F57EFD" w14:textId="77777777" w:rsidR="00737EB2" w:rsidRPr="00765F6E" w:rsidRDefault="00737EB2" w:rsidP="003334F3">
      <w:pPr>
        <w:pStyle w:val="af6"/>
        <w:numPr>
          <w:ilvl w:val="0"/>
          <w:numId w:val="237"/>
        </w:numPr>
        <w:tabs>
          <w:tab w:val="left" w:pos="851"/>
        </w:tabs>
        <w:snapToGrid w:val="0"/>
        <w:contextualSpacing/>
      </w:pPr>
      <w:r w:rsidRPr="00765F6E">
        <w:rPr>
          <w:rFonts w:hint="eastAsia"/>
        </w:rPr>
        <w:t>高架车站主体建筑顶棚、车辆基地内运用库、检修库等大型屋面雨水排放宜采用虹吸式屋面雨水排水系统。</w:t>
      </w:r>
    </w:p>
    <w:p w14:paraId="33157CDD" w14:textId="77777777" w:rsidR="00737EB2" w:rsidRPr="00765F6E" w:rsidRDefault="00737EB2" w:rsidP="00737EB2">
      <w:pPr>
        <w:pStyle w:val="affe"/>
        <w:spacing w:before="156" w:after="156"/>
      </w:pPr>
      <w:bookmarkStart w:id="3256" w:name="_Toc153292349"/>
      <w:bookmarkStart w:id="3257" w:name="_Toc99792896"/>
      <w:bookmarkStart w:id="3258" w:name="_Toc153210997"/>
      <w:bookmarkStart w:id="3259" w:name="_Toc167895895"/>
      <w:bookmarkStart w:id="3260" w:name="_Toc174538809"/>
      <w:bookmarkStart w:id="3261" w:name="_Toc182476567"/>
      <w:r w:rsidRPr="00765F6E">
        <w:rPr>
          <w:rFonts w:hint="eastAsia"/>
        </w:rPr>
        <w:t>接口设计</w:t>
      </w:r>
      <w:bookmarkEnd w:id="3256"/>
      <w:bookmarkEnd w:id="3257"/>
      <w:bookmarkEnd w:id="3258"/>
      <w:bookmarkEnd w:id="3259"/>
      <w:bookmarkEnd w:id="3260"/>
      <w:bookmarkEnd w:id="3261"/>
    </w:p>
    <w:p w14:paraId="5A63F2AA" w14:textId="635EE67E" w:rsidR="00737EB2" w:rsidRPr="00765F6E" w:rsidRDefault="00737EB2" w:rsidP="009D0776">
      <w:pPr>
        <w:pStyle w:val="22"/>
      </w:pPr>
      <w:bookmarkStart w:id="3262" w:name="_Toc153292350"/>
      <w:bookmarkStart w:id="3263" w:name="_Toc99792897"/>
      <w:r w:rsidRPr="00765F6E">
        <w:rPr>
          <w:rFonts w:hint="eastAsia"/>
        </w:rPr>
        <w:t>给水排水管道平行或穿越铁路时，站场</w:t>
      </w:r>
      <w:r w:rsidR="00694232">
        <w:rPr>
          <w:rFonts w:hint="eastAsia"/>
        </w:rPr>
        <w:t>、</w:t>
      </w:r>
      <w:r w:rsidRPr="00765F6E">
        <w:rPr>
          <w:rFonts w:hint="eastAsia"/>
        </w:rPr>
        <w:t>建筑、桥梁设计应预留给水排水管道及防护涵洞的设置条件。</w:t>
      </w:r>
      <w:bookmarkEnd w:id="3262"/>
      <w:bookmarkEnd w:id="3263"/>
    </w:p>
    <w:p w14:paraId="47614F6E" w14:textId="77777777" w:rsidR="00737EB2" w:rsidRPr="00765F6E" w:rsidRDefault="00737EB2" w:rsidP="009D0776">
      <w:pPr>
        <w:pStyle w:val="22"/>
      </w:pPr>
      <w:bookmarkStart w:id="3264" w:name="_Toc153292351"/>
      <w:bookmarkStart w:id="3265" w:name="_Toc99792899"/>
      <w:r w:rsidRPr="00765F6E">
        <w:rPr>
          <w:rFonts w:hint="eastAsia"/>
        </w:rPr>
        <w:t>车站内有用水需求的站厅层非付费区设置的零星商铺应预留给水、排水条件。</w:t>
      </w:r>
      <w:bookmarkEnd w:id="3264"/>
    </w:p>
    <w:p w14:paraId="7B310979" w14:textId="77777777" w:rsidR="00737EB2" w:rsidRPr="00765F6E" w:rsidRDefault="00737EB2" w:rsidP="009D0776">
      <w:pPr>
        <w:pStyle w:val="22"/>
      </w:pPr>
      <w:bookmarkStart w:id="3266" w:name="_Toc153292352"/>
      <w:r w:rsidRPr="00765F6E">
        <w:rPr>
          <w:rFonts w:hint="eastAsia"/>
        </w:rPr>
        <w:t>设置设备监控系统、信息管理系统时，应向相关专业提出接入条件</w:t>
      </w:r>
      <w:bookmarkEnd w:id="3265"/>
      <w:r w:rsidRPr="00765F6E">
        <w:rPr>
          <w:rFonts w:hint="eastAsia"/>
        </w:rPr>
        <w:t>。</w:t>
      </w:r>
      <w:bookmarkEnd w:id="3266"/>
    </w:p>
    <w:p w14:paraId="234550FC" w14:textId="4ABD60C4" w:rsidR="00737EB2" w:rsidRPr="00765F6E" w:rsidRDefault="00737EB2" w:rsidP="009D0776">
      <w:pPr>
        <w:pStyle w:val="22"/>
      </w:pPr>
      <w:bookmarkStart w:id="3267" w:name="_Toc153292353"/>
      <w:r w:rsidRPr="00765F6E">
        <w:rPr>
          <w:rFonts w:hint="eastAsia"/>
        </w:rPr>
        <w:t>车站设计前期应与市政相关</w:t>
      </w:r>
      <w:r w:rsidR="00694232">
        <w:rPr>
          <w:rFonts w:hint="eastAsia"/>
        </w:rPr>
        <w:t>部门</w:t>
      </w:r>
      <w:r w:rsidRPr="00765F6E">
        <w:rPr>
          <w:rFonts w:hint="eastAsia"/>
        </w:rPr>
        <w:t>对接，预留给水及排水接驳条件。</w:t>
      </w:r>
      <w:bookmarkEnd w:id="3267"/>
    </w:p>
    <w:p w14:paraId="354087EC" w14:textId="77777777" w:rsidR="00737EB2" w:rsidRPr="00765F6E" w:rsidRDefault="00737EB2" w:rsidP="00737EB2">
      <w:pPr>
        <w:pStyle w:val="affd"/>
        <w:spacing w:before="312" w:after="312"/>
      </w:pPr>
      <w:bookmarkStart w:id="3268" w:name="_Toc153292354"/>
      <w:bookmarkStart w:id="3269" w:name="_Toc99792900"/>
      <w:bookmarkStart w:id="3270" w:name="_Toc153210998"/>
      <w:bookmarkStart w:id="3271" w:name="_Toc167895896"/>
      <w:bookmarkStart w:id="3272" w:name="_Toc174538810"/>
      <w:bookmarkStart w:id="3273" w:name="_Toc182476568"/>
      <w:r w:rsidRPr="00765F6E">
        <w:rPr>
          <w:rFonts w:hint="eastAsia"/>
        </w:rPr>
        <w:t>车辆基地与综合维修</w:t>
      </w:r>
      <w:bookmarkEnd w:id="3268"/>
      <w:bookmarkEnd w:id="3269"/>
      <w:bookmarkEnd w:id="3270"/>
      <w:bookmarkEnd w:id="3271"/>
      <w:bookmarkEnd w:id="3272"/>
      <w:bookmarkEnd w:id="3273"/>
    </w:p>
    <w:p w14:paraId="07AB414E" w14:textId="77777777" w:rsidR="00737EB2" w:rsidRPr="00765F6E" w:rsidRDefault="00737EB2" w:rsidP="00737EB2">
      <w:pPr>
        <w:pStyle w:val="affe"/>
        <w:spacing w:before="156" w:after="156"/>
      </w:pPr>
      <w:bookmarkStart w:id="3274" w:name="_Toc153210999"/>
      <w:bookmarkStart w:id="3275" w:name="_Toc99792901"/>
      <w:bookmarkStart w:id="3276" w:name="_Toc153292355"/>
      <w:bookmarkStart w:id="3277" w:name="_Toc167895897"/>
      <w:bookmarkStart w:id="3278" w:name="_Toc174538811"/>
      <w:bookmarkStart w:id="3279" w:name="_Toc182476569"/>
      <w:r w:rsidRPr="00765F6E">
        <w:rPr>
          <w:rFonts w:hint="eastAsia"/>
        </w:rPr>
        <w:t>一般规定</w:t>
      </w:r>
      <w:bookmarkEnd w:id="3274"/>
      <w:bookmarkEnd w:id="3275"/>
      <w:bookmarkEnd w:id="3276"/>
      <w:bookmarkEnd w:id="3277"/>
      <w:bookmarkEnd w:id="3278"/>
      <w:bookmarkEnd w:id="3279"/>
    </w:p>
    <w:p w14:paraId="4FF4F546" w14:textId="77777777" w:rsidR="00737EB2" w:rsidRPr="00765F6E" w:rsidRDefault="00737EB2" w:rsidP="009D0776">
      <w:pPr>
        <w:pStyle w:val="22"/>
      </w:pPr>
      <w:bookmarkStart w:id="3280" w:name="_Toc99792902"/>
      <w:bookmarkStart w:id="3281" w:name="_Toc153292356"/>
      <w:r w:rsidRPr="00765F6E">
        <w:rPr>
          <w:rFonts w:hint="eastAsia"/>
        </w:rPr>
        <w:t>车辆检修应实行计划性预防修和状态修相结合的检修制度。车辆计划修修程和周期应根据车辆技术平台、车辆全寿命周期质量指标和运用检修经验确定。车辆修程可分为列检、双周检、三月检、定修、架修和大修，也可分为一</w:t>
      </w:r>
      <w:r>
        <w:rPr>
          <w:rFonts w:hint="eastAsia"/>
        </w:rPr>
        <w:t>级</w:t>
      </w:r>
      <w:r w:rsidRPr="00765F6E">
        <w:rPr>
          <w:rFonts w:hint="eastAsia"/>
        </w:rPr>
        <w:t>修、二</w:t>
      </w:r>
      <w:r>
        <w:rPr>
          <w:rFonts w:hint="eastAsia"/>
        </w:rPr>
        <w:t>级</w:t>
      </w:r>
      <w:r w:rsidRPr="00765F6E">
        <w:rPr>
          <w:rFonts w:hint="eastAsia"/>
        </w:rPr>
        <w:t>修、三</w:t>
      </w:r>
      <w:r>
        <w:rPr>
          <w:rFonts w:hint="eastAsia"/>
        </w:rPr>
        <w:t>级</w:t>
      </w:r>
      <w:r w:rsidRPr="00765F6E">
        <w:rPr>
          <w:rFonts w:hint="eastAsia"/>
        </w:rPr>
        <w:t>修、四</w:t>
      </w:r>
      <w:r>
        <w:rPr>
          <w:rFonts w:hint="eastAsia"/>
        </w:rPr>
        <w:t>级</w:t>
      </w:r>
      <w:r w:rsidRPr="00765F6E">
        <w:rPr>
          <w:rFonts w:hint="eastAsia"/>
        </w:rPr>
        <w:t>修、五级修。</w:t>
      </w:r>
      <w:bookmarkEnd w:id="3280"/>
      <w:bookmarkEnd w:id="3281"/>
    </w:p>
    <w:p w14:paraId="03725128" w14:textId="77777777" w:rsidR="00737EB2" w:rsidRPr="00765F6E" w:rsidRDefault="00737EB2" w:rsidP="009D0776">
      <w:pPr>
        <w:pStyle w:val="22"/>
      </w:pPr>
      <w:bookmarkStart w:id="3282" w:name="_Toc153292358"/>
      <w:bookmarkStart w:id="3283" w:name="_Toc99792905"/>
      <w:r w:rsidRPr="00765F6E">
        <w:rPr>
          <w:rFonts w:hint="eastAsia"/>
        </w:rPr>
        <w:t>车辆基地可分为车辆段和停车场，其工作范围符合下列规定：</w:t>
      </w:r>
      <w:bookmarkEnd w:id="3282"/>
      <w:bookmarkEnd w:id="3283"/>
    </w:p>
    <w:p w14:paraId="53A00D06" w14:textId="77777777" w:rsidR="00737EB2" w:rsidRPr="00765F6E" w:rsidRDefault="00737EB2" w:rsidP="003334F3">
      <w:pPr>
        <w:pStyle w:val="af6"/>
        <w:numPr>
          <w:ilvl w:val="0"/>
          <w:numId w:val="238"/>
        </w:numPr>
        <w:tabs>
          <w:tab w:val="left" w:pos="851"/>
        </w:tabs>
        <w:snapToGrid w:val="0"/>
        <w:contextualSpacing/>
      </w:pPr>
      <w:r w:rsidRPr="00765F6E">
        <w:rPr>
          <w:rFonts w:hint="eastAsia"/>
        </w:rPr>
        <w:t>车辆段：承担市域车辆的日常维修、临修及停放作业，也可承担定期检修任务；</w:t>
      </w:r>
    </w:p>
    <w:p w14:paraId="3E208070" w14:textId="77777777" w:rsidR="00737EB2" w:rsidRPr="00765F6E" w:rsidRDefault="00737EB2" w:rsidP="003334F3">
      <w:pPr>
        <w:pStyle w:val="af6"/>
        <w:numPr>
          <w:ilvl w:val="0"/>
          <w:numId w:val="238"/>
        </w:numPr>
        <w:tabs>
          <w:tab w:val="left" w:pos="851"/>
        </w:tabs>
        <w:snapToGrid w:val="0"/>
        <w:contextualSpacing/>
      </w:pPr>
      <w:r w:rsidRPr="00765F6E">
        <w:rPr>
          <w:rFonts w:hint="eastAsia"/>
        </w:rPr>
        <w:t>停车场：承担市域车辆的整备和停放作业，根据需要可设置日常维修和临修设施。</w:t>
      </w:r>
    </w:p>
    <w:p w14:paraId="7FEC19AE" w14:textId="77777777" w:rsidR="00737EB2" w:rsidRPr="00765F6E" w:rsidRDefault="00737EB2" w:rsidP="009D0776">
      <w:pPr>
        <w:pStyle w:val="22"/>
      </w:pPr>
      <w:bookmarkStart w:id="3284" w:name="_Toc99792906"/>
      <w:bookmarkStart w:id="3285" w:name="_Toc153292359"/>
      <w:r w:rsidRPr="00765F6E">
        <w:rPr>
          <w:rFonts w:hint="eastAsia"/>
        </w:rPr>
        <w:t>车辆基地设置符合下列规定：</w:t>
      </w:r>
      <w:bookmarkEnd w:id="3284"/>
      <w:bookmarkEnd w:id="3285"/>
    </w:p>
    <w:p w14:paraId="1FA235FA" w14:textId="77777777" w:rsidR="00737EB2" w:rsidRPr="00765F6E" w:rsidRDefault="00737EB2" w:rsidP="003334F3">
      <w:pPr>
        <w:pStyle w:val="af6"/>
        <w:numPr>
          <w:ilvl w:val="0"/>
          <w:numId w:val="239"/>
        </w:numPr>
        <w:tabs>
          <w:tab w:val="left" w:pos="851"/>
        </w:tabs>
        <w:snapToGrid w:val="0"/>
        <w:contextualSpacing/>
      </w:pPr>
      <w:r w:rsidRPr="00765F6E">
        <w:rPr>
          <w:rFonts w:hint="eastAsia"/>
        </w:rPr>
        <w:t>车辆基地的布局、功能和设备设施的配置，应按照集中检修、分散存放的原则，根据市域铁路线网规划、建设时序、行车组织运营方案和检修工作量等确定；</w:t>
      </w:r>
    </w:p>
    <w:p w14:paraId="2CFD84C6" w14:textId="77777777" w:rsidR="00737EB2" w:rsidRPr="00765F6E" w:rsidRDefault="00737EB2" w:rsidP="003334F3">
      <w:pPr>
        <w:pStyle w:val="af6"/>
        <w:numPr>
          <w:ilvl w:val="0"/>
          <w:numId w:val="239"/>
        </w:numPr>
        <w:tabs>
          <w:tab w:val="left" w:pos="851"/>
        </w:tabs>
        <w:snapToGrid w:val="0"/>
        <w:contextualSpacing/>
      </w:pPr>
      <w:r w:rsidRPr="00765F6E">
        <w:rPr>
          <w:rFonts w:hint="eastAsia"/>
        </w:rPr>
        <w:t>车辆检修应依据资源共享原则，结合城市群线网规划统筹设置；</w:t>
      </w:r>
    </w:p>
    <w:p w14:paraId="14DB6850" w14:textId="77777777" w:rsidR="00737EB2" w:rsidRPr="00765F6E" w:rsidRDefault="00737EB2" w:rsidP="003334F3">
      <w:pPr>
        <w:pStyle w:val="af6"/>
        <w:numPr>
          <w:ilvl w:val="0"/>
          <w:numId w:val="239"/>
        </w:numPr>
        <w:tabs>
          <w:tab w:val="left" w:pos="851"/>
        </w:tabs>
        <w:snapToGrid w:val="0"/>
        <w:contextualSpacing/>
      </w:pPr>
      <w:r w:rsidRPr="00765F6E">
        <w:rPr>
          <w:rFonts w:hint="eastAsia"/>
        </w:rPr>
        <w:t>车辆基地规模应根据开行对数、列车编组、配属车辆数量、检修周期和检修时间确定。</w:t>
      </w:r>
    </w:p>
    <w:p w14:paraId="403D8A5F" w14:textId="77777777" w:rsidR="00737EB2" w:rsidRPr="00765F6E" w:rsidRDefault="00737EB2" w:rsidP="009D0776">
      <w:pPr>
        <w:pStyle w:val="22"/>
      </w:pPr>
      <w:bookmarkStart w:id="3286" w:name="_Toc153292360"/>
      <w:bookmarkStart w:id="3287" w:name="_Toc99792907"/>
      <w:r w:rsidRPr="00765F6E">
        <w:rPr>
          <w:rFonts w:hint="eastAsia"/>
        </w:rPr>
        <w:t>车辆基地出入线宜与车站顺列式布置，并与正线立交。</w:t>
      </w:r>
      <w:bookmarkEnd w:id="3286"/>
      <w:bookmarkEnd w:id="3287"/>
    </w:p>
    <w:p w14:paraId="13F23907" w14:textId="77777777" w:rsidR="00737EB2" w:rsidRPr="00765F6E" w:rsidRDefault="00737EB2" w:rsidP="009D0776">
      <w:pPr>
        <w:pStyle w:val="22"/>
      </w:pPr>
      <w:bookmarkStart w:id="3288" w:name="_Toc99792908"/>
      <w:bookmarkStart w:id="3289" w:name="_Toc153292361"/>
      <w:r w:rsidRPr="00765F6E">
        <w:rPr>
          <w:rFonts w:hint="eastAsia"/>
        </w:rPr>
        <w:t>车辆基地选址符合下列规定：</w:t>
      </w:r>
      <w:bookmarkEnd w:id="3288"/>
      <w:bookmarkEnd w:id="3289"/>
    </w:p>
    <w:p w14:paraId="4E828534" w14:textId="77777777" w:rsidR="00737EB2" w:rsidRPr="00765F6E" w:rsidRDefault="00737EB2" w:rsidP="003334F3">
      <w:pPr>
        <w:pStyle w:val="af6"/>
        <w:numPr>
          <w:ilvl w:val="0"/>
          <w:numId w:val="240"/>
        </w:numPr>
        <w:tabs>
          <w:tab w:val="left" w:pos="851"/>
        </w:tabs>
        <w:snapToGrid w:val="0"/>
        <w:contextualSpacing/>
      </w:pPr>
      <w:r w:rsidRPr="00765F6E">
        <w:rPr>
          <w:rFonts w:hint="eastAsia"/>
        </w:rPr>
        <w:t>用地应符合国土空间规划，满足功能和布置要求及远期发展需要；</w:t>
      </w:r>
    </w:p>
    <w:p w14:paraId="003CF68F" w14:textId="77777777" w:rsidR="00737EB2" w:rsidRPr="00765F6E" w:rsidRDefault="00737EB2" w:rsidP="003334F3">
      <w:pPr>
        <w:pStyle w:val="af6"/>
        <w:numPr>
          <w:ilvl w:val="0"/>
          <w:numId w:val="240"/>
        </w:numPr>
        <w:tabs>
          <w:tab w:val="left" w:pos="851"/>
        </w:tabs>
        <w:snapToGrid w:val="0"/>
        <w:contextualSpacing/>
      </w:pPr>
      <w:r w:rsidRPr="00765F6E">
        <w:rPr>
          <w:rFonts w:hint="eastAsia"/>
        </w:rPr>
        <w:t>有良好的接轨和收发车条件，减少空车走行距离；</w:t>
      </w:r>
    </w:p>
    <w:p w14:paraId="3DCB772F" w14:textId="77777777" w:rsidR="00737EB2" w:rsidRPr="00765F6E" w:rsidRDefault="00737EB2" w:rsidP="003334F3">
      <w:pPr>
        <w:pStyle w:val="af6"/>
        <w:numPr>
          <w:ilvl w:val="0"/>
          <w:numId w:val="240"/>
        </w:numPr>
        <w:tabs>
          <w:tab w:val="left" w:pos="851"/>
        </w:tabs>
        <w:snapToGrid w:val="0"/>
        <w:contextualSpacing/>
      </w:pPr>
      <w:r w:rsidRPr="00765F6E">
        <w:rPr>
          <w:rFonts w:hint="eastAsia"/>
        </w:rPr>
        <w:t>避开工程地质和水文地质不良的地段。</w:t>
      </w:r>
    </w:p>
    <w:p w14:paraId="41A8187F" w14:textId="77777777" w:rsidR="00737EB2" w:rsidRPr="00765F6E" w:rsidRDefault="00737EB2" w:rsidP="009D0776">
      <w:pPr>
        <w:pStyle w:val="22"/>
      </w:pPr>
      <w:bookmarkStart w:id="3290" w:name="_Toc99792909"/>
      <w:bookmarkStart w:id="3291" w:name="_Toc153292362"/>
      <w:r w:rsidRPr="00765F6E">
        <w:rPr>
          <w:rFonts w:hint="eastAsia"/>
        </w:rPr>
        <w:t>车辆基地物业开发应在保证车辆基地功能和规模的基础上，对股道布置、房屋建筑、供电、通风与空调、给排水及消防等设备设施与物业开发内容进行统一规划。</w:t>
      </w:r>
      <w:bookmarkEnd w:id="3290"/>
      <w:bookmarkEnd w:id="3291"/>
    </w:p>
    <w:p w14:paraId="68C0A0DE" w14:textId="77777777" w:rsidR="00737EB2" w:rsidRPr="00765F6E" w:rsidRDefault="00737EB2" w:rsidP="009D0776">
      <w:pPr>
        <w:pStyle w:val="22"/>
      </w:pPr>
      <w:bookmarkStart w:id="3292" w:name="_Toc99792910"/>
      <w:bookmarkStart w:id="3293" w:name="_Toc153292363"/>
      <w:r w:rsidRPr="00765F6E">
        <w:rPr>
          <w:rFonts w:hint="eastAsia"/>
        </w:rPr>
        <w:t>车辆基地内应设置运输及消防道路，并应有不少于两个与外界道路相连通的出入口。</w:t>
      </w:r>
      <w:bookmarkEnd w:id="3292"/>
      <w:bookmarkEnd w:id="3293"/>
    </w:p>
    <w:p w14:paraId="40E85198" w14:textId="77777777" w:rsidR="00737EB2" w:rsidRPr="00765F6E" w:rsidRDefault="00737EB2" w:rsidP="009D0776">
      <w:pPr>
        <w:pStyle w:val="22"/>
      </w:pPr>
      <w:bookmarkStart w:id="3294" w:name="_Toc153292364"/>
      <w:bookmarkStart w:id="3295" w:name="_Toc99792911"/>
      <w:r w:rsidRPr="00765F6E">
        <w:rPr>
          <w:rFonts w:hint="eastAsia"/>
        </w:rPr>
        <w:t>综合维修应按承担线路、路基、轨道、桥涵、隧道、房屋建筑和道路等设施的养护维修，以及供电、通信、信号、机电设备和自动化设备的检修作业进行设计。</w:t>
      </w:r>
      <w:bookmarkEnd w:id="3294"/>
      <w:bookmarkEnd w:id="3295"/>
    </w:p>
    <w:p w14:paraId="2B8F121B" w14:textId="77777777" w:rsidR="00737EB2" w:rsidRPr="00765F6E" w:rsidRDefault="00737EB2" w:rsidP="009D0776">
      <w:pPr>
        <w:pStyle w:val="22"/>
      </w:pPr>
      <w:bookmarkStart w:id="3296" w:name="_Toc153292365"/>
      <w:bookmarkStart w:id="3297" w:name="_Toc99792912"/>
      <w:r w:rsidRPr="00765F6E">
        <w:rPr>
          <w:rFonts w:hint="eastAsia"/>
        </w:rPr>
        <w:t>综合维修可分为综合维修中心和综合维修工区。综合维修中心和综合维修工区的管辖范围宜综合考虑车辆基地设置、车站分布、轨道型式以及运营模式等因素确定。</w:t>
      </w:r>
      <w:bookmarkEnd w:id="3296"/>
      <w:bookmarkEnd w:id="3297"/>
    </w:p>
    <w:p w14:paraId="2AB66024" w14:textId="77777777" w:rsidR="00737EB2" w:rsidRPr="00765F6E" w:rsidRDefault="00737EB2" w:rsidP="009D0776">
      <w:pPr>
        <w:pStyle w:val="22"/>
      </w:pPr>
      <w:bookmarkStart w:id="3298" w:name="_Toc153292366"/>
      <w:bookmarkStart w:id="3299" w:name="_Toc99792913"/>
      <w:r w:rsidRPr="00765F6E">
        <w:rPr>
          <w:rFonts w:hint="eastAsia"/>
        </w:rPr>
        <w:t>综合维修设施应设置综合维修管理信息系统，生产及办公、生活设施应集中设置。</w:t>
      </w:r>
      <w:bookmarkEnd w:id="3298"/>
      <w:bookmarkEnd w:id="3299"/>
    </w:p>
    <w:p w14:paraId="3192FFC0" w14:textId="77777777" w:rsidR="00737EB2" w:rsidRPr="00765F6E" w:rsidRDefault="00737EB2" w:rsidP="00737EB2">
      <w:pPr>
        <w:pStyle w:val="affe"/>
        <w:spacing w:before="156" w:after="156"/>
      </w:pPr>
      <w:bookmarkStart w:id="3300" w:name="_Toc153211000"/>
      <w:bookmarkStart w:id="3301" w:name="_Toc153292369"/>
      <w:bookmarkStart w:id="3302" w:name="_Toc99792916"/>
      <w:bookmarkStart w:id="3303" w:name="_Toc167895898"/>
      <w:bookmarkStart w:id="3304" w:name="_Toc174538812"/>
      <w:bookmarkStart w:id="3305" w:name="_Toc182476570"/>
      <w:r w:rsidRPr="00765F6E">
        <w:rPr>
          <w:rFonts w:hint="eastAsia"/>
        </w:rPr>
        <w:t>总平面布置</w:t>
      </w:r>
      <w:bookmarkEnd w:id="3300"/>
      <w:bookmarkEnd w:id="3301"/>
      <w:bookmarkEnd w:id="3302"/>
      <w:bookmarkEnd w:id="3303"/>
      <w:bookmarkEnd w:id="3304"/>
      <w:bookmarkEnd w:id="3305"/>
    </w:p>
    <w:p w14:paraId="6F6A24D7" w14:textId="77777777" w:rsidR="00737EB2" w:rsidRPr="00765F6E" w:rsidRDefault="00737EB2" w:rsidP="009D0776">
      <w:pPr>
        <w:pStyle w:val="22"/>
      </w:pPr>
      <w:bookmarkStart w:id="3306" w:name="_Toc153292370"/>
      <w:bookmarkStart w:id="3307" w:name="_Toc99792917"/>
      <w:r w:rsidRPr="00765F6E">
        <w:rPr>
          <w:rFonts w:hint="eastAsia"/>
        </w:rPr>
        <w:t>车辆基地总平面布置符合下列规定：</w:t>
      </w:r>
      <w:bookmarkEnd w:id="3306"/>
      <w:bookmarkEnd w:id="3307"/>
    </w:p>
    <w:p w14:paraId="56143FDE" w14:textId="77777777" w:rsidR="00737EB2" w:rsidRPr="00765F6E" w:rsidRDefault="00737EB2" w:rsidP="003334F3">
      <w:pPr>
        <w:pStyle w:val="af6"/>
        <w:numPr>
          <w:ilvl w:val="0"/>
          <w:numId w:val="241"/>
        </w:numPr>
        <w:tabs>
          <w:tab w:val="left" w:pos="851"/>
        </w:tabs>
        <w:snapToGrid w:val="0"/>
        <w:contextualSpacing/>
      </w:pPr>
      <w:r w:rsidRPr="00765F6E">
        <w:rPr>
          <w:rFonts w:hint="eastAsia"/>
        </w:rPr>
        <w:t>总平面布置和用地范围应按远期规模确定；</w:t>
      </w:r>
    </w:p>
    <w:p w14:paraId="61E319EA" w14:textId="77777777" w:rsidR="00737EB2" w:rsidRPr="00765F6E" w:rsidRDefault="00737EB2" w:rsidP="003334F3">
      <w:pPr>
        <w:pStyle w:val="af6"/>
        <w:numPr>
          <w:ilvl w:val="0"/>
          <w:numId w:val="241"/>
        </w:numPr>
        <w:tabs>
          <w:tab w:val="left" w:pos="851"/>
        </w:tabs>
        <w:snapToGrid w:val="0"/>
        <w:contextualSpacing/>
      </w:pPr>
      <w:r w:rsidRPr="00765F6E">
        <w:rPr>
          <w:rFonts w:hint="eastAsia"/>
        </w:rPr>
        <w:lastRenderedPageBreak/>
        <w:t>总平面布置应满足生产工艺、环保、消防、卫生、通风、采光等方面的要求，并结合地形、地质、水文、气象等自然条件布置车辆基地内建筑物、轨道、道路、管线及绿化等设施；</w:t>
      </w:r>
    </w:p>
    <w:p w14:paraId="6065FFEC" w14:textId="77777777" w:rsidR="00737EB2" w:rsidRPr="00765F6E" w:rsidRDefault="00737EB2" w:rsidP="003334F3">
      <w:pPr>
        <w:pStyle w:val="af6"/>
        <w:numPr>
          <w:ilvl w:val="0"/>
          <w:numId w:val="241"/>
        </w:numPr>
        <w:tabs>
          <w:tab w:val="left" w:pos="851"/>
        </w:tabs>
        <w:snapToGrid w:val="0"/>
        <w:contextualSpacing/>
      </w:pPr>
      <w:r w:rsidRPr="00765F6E">
        <w:rPr>
          <w:rFonts w:hint="eastAsia"/>
        </w:rPr>
        <w:t>总平面布置宜按停车、日常维修、定期检修、辅助生产、生活、办公等功能分区布置；</w:t>
      </w:r>
    </w:p>
    <w:p w14:paraId="4417D960" w14:textId="77777777" w:rsidR="00737EB2" w:rsidRPr="00765F6E" w:rsidRDefault="00737EB2" w:rsidP="003334F3">
      <w:pPr>
        <w:pStyle w:val="af6"/>
        <w:numPr>
          <w:ilvl w:val="0"/>
          <w:numId w:val="241"/>
        </w:numPr>
        <w:tabs>
          <w:tab w:val="left" w:pos="851"/>
        </w:tabs>
        <w:snapToGrid w:val="0"/>
        <w:contextualSpacing/>
      </w:pPr>
      <w:r w:rsidRPr="00765F6E">
        <w:rPr>
          <w:rFonts w:hint="eastAsia"/>
        </w:rPr>
        <w:t>车辆基地内的危化品应有单独隔离的存放区域，并应符合GB 51298、</w:t>
      </w:r>
      <w:r w:rsidRPr="00765F6E">
        <w:t>GB 50016</w:t>
      </w:r>
      <w:r w:rsidRPr="00765F6E">
        <w:rPr>
          <w:rFonts w:hint="eastAsia"/>
        </w:rPr>
        <w:t>等标准的有关规定；</w:t>
      </w:r>
    </w:p>
    <w:p w14:paraId="61FB0D24" w14:textId="77777777" w:rsidR="00737EB2" w:rsidRPr="00765F6E" w:rsidRDefault="00737EB2" w:rsidP="003334F3">
      <w:pPr>
        <w:pStyle w:val="af6"/>
        <w:numPr>
          <w:ilvl w:val="0"/>
          <w:numId w:val="241"/>
        </w:numPr>
        <w:tabs>
          <w:tab w:val="left" w:pos="851"/>
        </w:tabs>
        <w:snapToGrid w:val="0"/>
        <w:contextualSpacing/>
      </w:pPr>
      <w:r w:rsidRPr="00765F6E">
        <w:rPr>
          <w:rFonts w:hint="eastAsia"/>
        </w:rPr>
        <w:t>空压机、变配电、锅炉房等设施宜邻近负荷中心。</w:t>
      </w:r>
    </w:p>
    <w:p w14:paraId="7734130A" w14:textId="7294C9D3" w:rsidR="00737EB2" w:rsidRPr="00765F6E" w:rsidRDefault="00737EB2" w:rsidP="009D0776">
      <w:pPr>
        <w:pStyle w:val="22"/>
      </w:pPr>
      <w:bookmarkStart w:id="3308" w:name="_Toc99792918"/>
      <w:bookmarkStart w:id="3309" w:name="_Toc153292371"/>
      <w:r w:rsidRPr="00765F6E">
        <w:rPr>
          <w:rFonts w:hint="eastAsia"/>
        </w:rPr>
        <w:t>车辆基地应根据需要设置出入线、走行线、牵出线、停车线、车体外皮清洗线、运用库线、不落轮镟轮线、临修线、吹扫线、检修库线、静态调试线、</w:t>
      </w:r>
      <w:r w:rsidR="007D2AFF">
        <w:rPr>
          <w:rFonts w:hint="eastAsia"/>
        </w:rPr>
        <w:t>试车线</w:t>
      </w:r>
      <w:r w:rsidRPr="00765F6E">
        <w:rPr>
          <w:rFonts w:hint="eastAsia"/>
        </w:rPr>
        <w:t>、材料运输线等线路。</w:t>
      </w:r>
      <w:bookmarkEnd w:id="3308"/>
      <w:bookmarkEnd w:id="3309"/>
    </w:p>
    <w:p w14:paraId="23CB553B" w14:textId="4C4D4FF2" w:rsidR="00737EB2" w:rsidRPr="00765F6E" w:rsidRDefault="00737EB2" w:rsidP="009D0776">
      <w:pPr>
        <w:pStyle w:val="22"/>
      </w:pPr>
      <w:bookmarkStart w:id="3310" w:name="_Toc153292372"/>
      <w:bookmarkStart w:id="3311" w:name="_Toc99792919"/>
      <w:r w:rsidRPr="00765F6E">
        <w:rPr>
          <w:rFonts w:hint="eastAsia"/>
        </w:rPr>
        <w:t>车辆基地的各级检修列位数量应根据年检工作量、年工作天数、作业时间、不均衡系数按公式</w:t>
      </w:r>
      <w:r>
        <w:rPr>
          <w:rFonts w:hint="eastAsia"/>
        </w:rPr>
        <w:t>（</w:t>
      </w:r>
      <w:r w:rsidR="00FF2BD1">
        <w:t>33</w:t>
      </w:r>
      <w:r>
        <w:rPr>
          <w:rFonts w:hint="eastAsia"/>
        </w:rPr>
        <w:t>）</w:t>
      </w:r>
      <w:r w:rsidRPr="00765F6E">
        <w:rPr>
          <w:rFonts w:hint="eastAsia"/>
        </w:rPr>
        <w:t>确定。</w:t>
      </w:r>
      <w:bookmarkEnd w:id="3310"/>
      <w:bookmarkEnd w:id="3311"/>
    </w:p>
    <w:p w14:paraId="4A916FCE" w14:textId="4D00D6E6" w:rsidR="00737EB2" w:rsidRPr="00765F6E" w:rsidRDefault="00737EB2" w:rsidP="00737EB2">
      <w:pPr>
        <w:pStyle w:val="affffffd"/>
        <w:spacing w:before="156" w:after="156"/>
      </w:pPr>
      <w:r w:rsidRPr="00765F6E">
        <w:tab/>
      </w:r>
      <m:oMath>
        <m:r>
          <m:rPr>
            <m:sty m:val="p"/>
          </m:rPr>
          <w:rPr>
            <w:rFonts w:ascii="Cambria Math" w:hAnsi="Cambria Math"/>
          </w:rPr>
          <m:t>H=</m:t>
        </m:r>
        <m:r>
          <w:rPr>
            <w:rFonts w:ascii="Cambria Math" w:hAnsi="Cambria Math"/>
          </w:rPr>
          <m:t>S</m:t>
        </m:r>
        <m:r>
          <w:rPr>
            <w:rFonts w:ascii="Cambria Math" w:hAnsi="Cambria Math" w:hint="eastAsia"/>
          </w:rPr>
          <m:t>×</m:t>
        </m:r>
        <m:r>
          <w:rPr>
            <w:rFonts w:ascii="Cambria Math" w:hAnsi="Cambria Math"/>
          </w:rPr>
          <m:t>T</m:t>
        </m:r>
        <m:r>
          <w:rPr>
            <w:rFonts w:ascii="Cambria Math" w:hAnsi="Cambria Math" w:hint="eastAsia"/>
          </w:rPr>
          <m:t>×</m:t>
        </m:r>
        <m:r>
          <w:rPr>
            <w:rFonts w:ascii="Cambria Math" w:hAnsi="Cambria Math"/>
          </w:rPr>
          <m:t>β/D</m:t>
        </m:r>
      </m:oMath>
      <w:r w:rsidRPr="00765F6E">
        <w:rPr>
          <w:rFonts w:ascii="微软雅黑" w:eastAsia="微软雅黑" w:hAnsi="微软雅黑"/>
        </w:rPr>
        <w:tab/>
      </w:r>
      <w:r w:rsidRPr="00765F6E">
        <w:t>(</w:t>
      </w:r>
      <w:r w:rsidR="00FF2BD1">
        <w:t>33</w:t>
      </w:r>
      <w:r w:rsidRPr="00765F6E">
        <w:t xml:space="preserve">)  </w:t>
      </w:r>
    </w:p>
    <w:p w14:paraId="487B1497" w14:textId="77777777" w:rsidR="00737EB2" w:rsidRPr="00765F6E" w:rsidRDefault="00737EB2" w:rsidP="0062778D">
      <w:pPr>
        <w:pStyle w:val="affffa"/>
        <w:ind w:firstLine="420"/>
      </w:pPr>
      <w:r w:rsidRPr="00765F6E">
        <w:rPr>
          <w:rFonts w:hint="eastAsia"/>
        </w:rPr>
        <w:t>式中：</w:t>
      </w:r>
    </w:p>
    <w:p w14:paraId="34D1CE21" w14:textId="77777777" w:rsidR="00737EB2" w:rsidRPr="00765F6E" w:rsidRDefault="00737EB2" w:rsidP="0062778D">
      <w:pPr>
        <w:pStyle w:val="a6"/>
        <w:numPr>
          <w:ilvl w:val="0"/>
          <w:numId w:val="0"/>
        </w:numPr>
        <w:ind w:leftChars="200" w:left="1260" w:hangingChars="400" w:hanging="840"/>
        <w:rPr>
          <w:rFonts w:hAnsi="宋体" w:cstheme="minorBidi"/>
          <w:kern w:val="2"/>
          <w:sz w:val="21"/>
          <w:szCs w:val="21"/>
        </w:rPr>
      </w:pPr>
      <w:r w:rsidRPr="00765F6E">
        <w:rPr>
          <w:rFonts w:hAnsi="宋体" w:cstheme="minorBidi"/>
          <w:i/>
          <w:kern w:val="2"/>
          <w:sz w:val="21"/>
          <w:szCs w:val="21"/>
        </w:rPr>
        <w:t>H</w:t>
      </w:r>
      <w:r w:rsidRPr="00765F6E">
        <w:rPr>
          <w:rFonts w:hAnsi="宋体" w:cstheme="minorBidi" w:hint="eastAsia"/>
          <w:kern w:val="2"/>
          <w:sz w:val="21"/>
          <w:szCs w:val="21"/>
        </w:rPr>
        <w:t>——</w:t>
      </w:r>
      <w:r w:rsidRPr="00765F6E">
        <w:rPr>
          <w:rFonts w:hAnsi="宋体" w:cstheme="minorBidi"/>
          <w:kern w:val="2"/>
          <w:sz w:val="21"/>
          <w:szCs w:val="21"/>
        </w:rPr>
        <w:t>检修库列位数</w:t>
      </w:r>
      <w:r w:rsidRPr="00765F6E">
        <w:rPr>
          <w:rFonts w:hAnsi="宋体" w:cstheme="minorBidi" w:hint="eastAsia"/>
          <w:kern w:val="2"/>
          <w:sz w:val="21"/>
          <w:szCs w:val="21"/>
        </w:rPr>
        <w:t>，单位为</w:t>
      </w:r>
      <w:r w:rsidRPr="00765F6E">
        <w:rPr>
          <w:rFonts w:hAnsi="宋体" w:cstheme="minorBidi"/>
          <w:kern w:val="2"/>
          <w:sz w:val="21"/>
          <w:szCs w:val="21"/>
        </w:rPr>
        <w:t>列位；</w:t>
      </w:r>
    </w:p>
    <w:p w14:paraId="6FDDA9B1" w14:textId="77777777" w:rsidR="00737EB2" w:rsidRPr="00765F6E" w:rsidRDefault="00737EB2" w:rsidP="0062778D">
      <w:pPr>
        <w:pStyle w:val="a6"/>
        <w:numPr>
          <w:ilvl w:val="0"/>
          <w:numId w:val="0"/>
        </w:numPr>
        <w:ind w:leftChars="200" w:left="1260" w:hangingChars="400" w:hanging="840"/>
        <w:rPr>
          <w:rFonts w:hAnsi="宋体" w:cstheme="minorBidi"/>
          <w:kern w:val="2"/>
          <w:sz w:val="21"/>
          <w:szCs w:val="21"/>
        </w:rPr>
      </w:pPr>
      <w:r w:rsidRPr="00765F6E">
        <w:rPr>
          <w:rFonts w:hAnsi="宋体" w:cstheme="minorBidi"/>
          <w:i/>
          <w:kern w:val="2"/>
          <w:sz w:val="21"/>
          <w:szCs w:val="21"/>
        </w:rPr>
        <w:t>S</w:t>
      </w:r>
      <w:r w:rsidRPr="00765F6E">
        <w:rPr>
          <w:rFonts w:hAnsi="宋体" w:cstheme="minorBidi" w:hint="eastAsia"/>
          <w:kern w:val="2"/>
          <w:sz w:val="21"/>
          <w:szCs w:val="21"/>
        </w:rPr>
        <w:t>——</w:t>
      </w:r>
      <w:r w:rsidRPr="00765F6E">
        <w:rPr>
          <w:rFonts w:hAnsi="宋体" w:cstheme="minorBidi"/>
          <w:kern w:val="2"/>
          <w:sz w:val="21"/>
          <w:szCs w:val="21"/>
        </w:rPr>
        <w:t>年检修工作量</w:t>
      </w:r>
      <w:r w:rsidRPr="00765F6E">
        <w:rPr>
          <w:rFonts w:hAnsi="宋体" w:cstheme="minorBidi" w:hint="eastAsia"/>
          <w:kern w:val="2"/>
          <w:sz w:val="21"/>
          <w:szCs w:val="21"/>
        </w:rPr>
        <w:t>，单位为列</w:t>
      </w:r>
      <w:r w:rsidRPr="00765F6E">
        <w:rPr>
          <w:rFonts w:hAnsi="宋体" w:cstheme="minorBidi"/>
          <w:kern w:val="2"/>
          <w:sz w:val="21"/>
          <w:szCs w:val="21"/>
        </w:rPr>
        <w:t>；</w:t>
      </w:r>
    </w:p>
    <w:p w14:paraId="25C3E61C" w14:textId="77777777" w:rsidR="00737EB2" w:rsidRPr="00765F6E" w:rsidRDefault="00737EB2" w:rsidP="0062778D">
      <w:pPr>
        <w:pStyle w:val="a6"/>
        <w:numPr>
          <w:ilvl w:val="0"/>
          <w:numId w:val="0"/>
        </w:numPr>
        <w:ind w:leftChars="200" w:left="1260" w:hangingChars="400" w:hanging="840"/>
        <w:rPr>
          <w:rFonts w:hAnsi="宋体" w:cstheme="minorBidi"/>
          <w:kern w:val="2"/>
          <w:sz w:val="21"/>
          <w:szCs w:val="21"/>
        </w:rPr>
      </w:pPr>
      <w:r w:rsidRPr="00765F6E">
        <w:rPr>
          <w:rFonts w:hAnsi="宋体" w:cstheme="minorBidi"/>
          <w:i/>
          <w:kern w:val="2"/>
          <w:sz w:val="21"/>
          <w:szCs w:val="21"/>
        </w:rPr>
        <w:t>T</w:t>
      </w:r>
      <w:r w:rsidRPr="00765F6E">
        <w:rPr>
          <w:rFonts w:hAnsi="宋体" w:cstheme="minorBidi" w:hint="eastAsia"/>
          <w:kern w:val="2"/>
          <w:sz w:val="21"/>
          <w:szCs w:val="21"/>
        </w:rPr>
        <w:t>——</w:t>
      </w:r>
      <w:r w:rsidRPr="00765F6E">
        <w:rPr>
          <w:rFonts w:hAnsi="宋体" w:cstheme="minorBidi"/>
          <w:kern w:val="2"/>
          <w:sz w:val="21"/>
          <w:szCs w:val="21"/>
        </w:rPr>
        <w:t>库停（作业）时间</w:t>
      </w:r>
      <w:r w:rsidRPr="00765F6E">
        <w:rPr>
          <w:rFonts w:hAnsi="宋体" w:cstheme="minorBidi" w:hint="eastAsia"/>
          <w:kern w:val="2"/>
          <w:sz w:val="21"/>
          <w:szCs w:val="21"/>
        </w:rPr>
        <w:t>，单位为天（</w:t>
      </w:r>
      <w:r w:rsidRPr="00765F6E">
        <w:rPr>
          <w:rFonts w:hAnsi="宋体" w:cstheme="minorBidi"/>
          <w:kern w:val="2"/>
          <w:sz w:val="21"/>
          <w:szCs w:val="21"/>
        </w:rPr>
        <w:t>d）；</w:t>
      </w:r>
    </w:p>
    <w:p w14:paraId="675F8EEB" w14:textId="77777777" w:rsidR="00737EB2" w:rsidRPr="00765F6E" w:rsidRDefault="00737EB2" w:rsidP="0062778D">
      <w:pPr>
        <w:pStyle w:val="a6"/>
        <w:numPr>
          <w:ilvl w:val="0"/>
          <w:numId w:val="0"/>
        </w:numPr>
        <w:ind w:leftChars="200" w:left="1140" w:hangingChars="400" w:hanging="720"/>
        <w:rPr>
          <w:rFonts w:hAnsi="宋体" w:cstheme="minorBidi"/>
          <w:kern w:val="2"/>
          <w:sz w:val="21"/>
          <w:szCs w:val="21"/>
        </w:rPr>
      </w:pPr>
      <w:r w:rsidRPr="00765F6E">
        <w:rPr>
          <w:rFonts w:hAnsi="宋体"/>
          <w:i/>
        </w:rPr>
        <w:t>β</w:t>
      </w:r>
      <w:r w:rsidRPr="00765F6E">
        <w:rPr>
          <w:rFonts w:hAnsi="宋体" w:cstheme="minorBidi" w:hint="eastAsia"/>
          <w:kern w:val="2"/>
          <w:sz w:val="21"/>
          <w:szCs w:val="21"/>
        </w:rPr>
        <w:t>——不均衡系数，定修、双周检、三月检和一</w:t>
      </w:r>
      <w:r>
        <w:rPr>
          <w:rFonts w:hAnsi="宋体" w:cstheme="minorBidi" w:hint="eastAsia"/>
          <w:kern w:val="2"/>
          <w:sz w:val="21"/>
          <w:szCs w:val="21"/>
        </w:rPr>
        <w:t>级修</w:t>
      </w:r>
      <w:r w:rsidRPr="00765F6E">
        <w:rPr>
          <w:rFonts w:hAnsi="宋体" w:cstheme="minorBidi" w:hint="eastAsia"/>
          <w:kern w:val="2"/>
          <w:sz w:val="21"/>
          <w:szCs w:val="21"/>
        </w:rPr>
        <w:t>、二级修取值</w:t>
      </w:r>
      <w:r w:rsidRPr="00765F6E">
        <w:rPr>
          <w:rFonts w:hAnsi="宋体" w:cstheme="minorBidi"/>
          <w:kern w:val="2"/>
          <w:sz w:val="21"/>
          <w:szCs w:val="21"/>
        </w:rPr>
        <w:t>1.1</w:t>
      </w:r>
      <w:r w:rsidRPr="00765F6E">
        <w:rPr>
          <w:rFonts w:hAnsi="宋体" w:cstheme="minorBidi" w:hint="eastAsia"/>
          <w:kern w:val="2"/>
          <w:sz w:val="21"/>
          <w:szCs w:val="21"/>
        </w:rPr>
        <w:t>；大、架修和三</w:t>
      </w:r>
      <w:r>
        <w:rPr>
          <w:rFonts w:hAnsi="宋体" w:cstheme="minorBidi" w:hint="eastAsia"/>
          <w:kern w:val="2"/>
          <w:sz w:val="21"/>
          <w:szCs w:val="21"/>
        </w:rPr>
        <w:t>级修</w:t>
      </w:r>
      <w:r w:rsidRPr="00765F6E">
        <w:rPr>
          <w:rFonts w:hAnsi="宋体" w:cstheme="minorBidi" w:hint="eastAsia"/>
          <w:kern w:val="2"/>
          <w:sz w:val="21"/>
          <w:szCs w:val="21"/>
        </w:rPr>
        <w:t>、四</w:t>
      </w:r>
      <w:r>
        <w:rPr>
          <w:rFonts w:hAnsi="宋体" w:cstheme="minorBidi" w:hint="eastAsia"/>
          <w:kern w:val="2"/>
          <w:sz w:val="21"/>
          <w:szCs w:val="21"/>
        </w:rPr>
        <w:t>级修</w:t>
      </w:r>
      <w:r w:rsidRPr="00765F6E">
        <w:rPr>
          <w:rFonts w:hAnsi="宋体" w:cstheme="minorBidi" w:hint="eastAsia"/>
          <w:kern w:val="2"/>
          <w:sz w:val="21"/>
          <w:szCs w:val="21"/>
        </w:rPr>
        <w:t>、五级修取值</w:t>
      </w:r>
      <w:r w:rsidRPr="00765F6E">
        <w:rPr>
          <w:rFonts w:hAnsi="宋体" w:cstheme="minorBidi"/>
          <w:kern w:val="2"/>
          <w:sz w:val="21"/>
          <w:szCs w:val="21"/>
        </w:rPr>
        <w:t>1.2</w:t>
      </w:r>
      <w:r w:rsidRPr="00765F6E">
        <w:rPr>
          <w:rFonts w:hAnsi="宋体" w:cstheme="minorBidi" w:hint="eastAsia"/>
          <w:kern w:val="2"/>
          <w:sz w:val="21"/>
          <w:szCs w:val="21"/>
        </w:rPr>
        <w:t>；</w:t>
      </w:r>
    </w:p>
    <w:p w14:paraId="57FAC9E7" w14:textId="77777777" w:rsidR="00737EB2" w:rsidRPr="00765F6E" w:rsidRDefault="00737EB2" w:rsidP="0062778D">
      <w:pPr>
        <w:pStyle w:val="a6"/>
        <w:numPr>
          <w:ilvl w:val="0"/>
          <w:numId w:val="0"/>
        </w:numPr>
        <w:ind w:leftChars="200" w:left="1260" w:hangingChars="400" w:hanging="840"/>
        <w:rPr>
          <w:rFonts w:hAnsi="宋体" w:cstheme="minorBidi"/>
          <w:kern w:val="2"/>
          <w:sz w:val="21"/>
          <w:szCs w:val="21"/>
        </w:rPr>
      </w:pPr>
      <w:r w:rsidRPr="00765F6E">
        <w:rPr>
          <w:rFonts w:hAnsi="宋体" w:cstheme="minorBidi"/>
          <w:i/>
          <w:kern w:val="2"/>
          <w:sz w:val="21"/>
          <w:szCs w:val="21"/>
        </w:rPr>
        <w:t>D</w:t>
      </w:r>
      <w:r w:rsidRPr="00765F6E">
        <w:rPr>
          <w:rFonts w:hAnsi="宋体" w:cstheme="minorBidi" w:hint="eastAsia"/>
          <w:kern w:val="2"/>
          <w:sz w:val="21"/>
          <w:szCs w:val="21"/>
        </w:rPr>
        <w:t>——</w:t>
      </w:r>
      <w:r w:rsidRPr="00765F6E">
        <w:rPr>
          <w:rFonts w:hAnsi="宋体" w:cstheme="minorBidi"/>
          <w:kern w:val="2"/>
          <w:sz w:val="21"/>
          <w:szCs w:val="21"/>
        </w:rPr>
        <w:t>年工作天数</w:t>
      </w:r>
      <w:r w:rsidRPr="00765F6E">
        <w:rPr>
          <w:rFonts w:hAnsi="宋体" w:cstheme="minorBidi" w:hint="eastAsia"/>
          <w:kern w:val="2"/>
          <w:sz w:val="21"/>
          <w:szCs w:val="21"/>
        </w:rPr>
        <w:t>，单位为天</w:t>
      </w:r>
      <w:r w:rsidRPr="00765F6E">
        <w:rPr>
          <w:rFonts w:hAnsi="宋体" w:cstheme="minorBidi"/>
          <w:kern w:val="2"/>
          <w:sz w:val="21"/>
          <w:szCs w:val="21"/>
        </w:rPr>
        <w:t>（d）</w:t>
      </w:r>
      <w:r w:rsidRPr="00765F6E">
        <w:rPr>
          <w:rFonts w:hAnsi="宋体" w:cstheme="minorBidi" w:hint="eastAsia"/>
          <w:kern w:val="2"/>
          <w:sz w:val="21"/>
          <w:szCs w:val="21"/>
        </w:rPr>
        <w:t>，日常维</w:t>
      </w:r>
      <w:r w:rsidRPr="00765F6E">
        <w:rPr>
          <w:rFonts w:hAnsi="宋体" w:cstheme="minorBidi"/>
          <w:kern w:val="2"/>
          <w:sz w:val="21"/>
          <w:szCs w:val="21"/>
        </w:rPr>
        <w:t>修为365d</w:t>
      </w:r>
      <w:r w:rsidRPr="00765F6E">
        <w:rPr>
          <w:rFonts w:hAnsi="宋体" w:cstheme="minorBidi" w:hint="eastAsia"/>
          <w:kern w:val="2"/>
          <w:sz w:val="21"/>
          <w:szCs w:val="21"/>
        </w:rPr>
        <w:t>，定期检修为</w:t>
      </w:r>
      <w:r w:rsidRPr="00765F6E">
        <w:rPr>
          <w:rFonts w:hAnsi="宋体" w:cstheme="minorBidi"/>
          <w:kern w:val="2"/>
          <w:sz w:val="21"/>
          <w:szCs w:val="21"/>
        </w:rPr>
        <w:t>250d。</w:t>
      </w:r>
    </w:p>
    <w:p w14:paraId="4B207869" w14:textId="77777777" w:rsidR="00737EB2" w:rsidRPr="00765F6E" w:rsidRDefault="00737EB2" w:rsidP="009D0776">
      <w:pPr>
        <w:pStyle w:val="22"/>
      </w:pPr>
      <w:bookmarkStart w:id="3312" w:name="_Toc153292373"/>
      <w:bookmarkStart w:id="3313" w:name="_Toc99792920"/>
      <w:r w:rsidRPr="00765F6E">
        <w:rPr>
          <w:rFonts w:hint="eastAsia"/>
        </w:rPr>
        <w:t>车辆基地线路设计符合下列规定：</w:t>
      </w:r>
      <w:bookmarkEnd w:id="3312"/>
      <w:bookmarkEnd w:id="3313"/>
    </w:p>
    <w:p w14:paraId="37B837A6" w14:textId="77777777" w:rsidR="00737EB2" w:rsidRPr="00765F6E" w:rsidRDefault="00737EB2" w:rsidP="003334F3">
      <w:pPr>
        <w:pStyle w:val="af6"/>
        <w:numPr>
          <w:ilvl w:val="0"/>
          <w:numId w:val="242"/>
        </w:numPr>
        <w:tabs>
          <w:tab w:val="left" w:pos="851"/>
        </w:tabs>
        <w:snapToGrid w:val="0"/>
        <w:contextualSpacing/>
      </w:pPr>
      <w:r w:rsidRPr="00765F6E">
        <w:rPr>
          <w:rFonts w:hint="eastAsia"/>
        </w:rPr>
        <w:t xml:space="preserve">贯通式车辆基地主要方向出入线应为双线，另一方向可为单线。非贯通式车辆基地出入线应设2条，困难情况下，规模不大于12列位的停车场可设1条； </w:t>
      </w:r>
    </w:p>
    <w:p w14:paraId="313BBD89" w14:textId="77777777" w:rsidR="00737EB2" w:rsidRPr="00765F6E" w:rsidRDefault="00737EB2" w:rsidP="003334F3">
      <w:pPr>
        <w:pStyle w:val="af6"/>
        <w:numPr>
          <w:ilvl w:val="0"/>
          <w:numId w:val="242"/>
        </w:numPr>
        <w:tabs>
          <w:tab w:val="left" w:pos="851"/>
        </w:tabs>
        <w:snapToGrid w:val="0"/>
        <w:contextualSpacing/>
      </w:pPr>
      <w:r w:rsidRPr="00765F6E">
        <w:rPr>
          <w:rFonts w:hint="eastAsia"/>
        </w:rPr>
        <w:t>停车线数量宜根据配属列车数量扣除检修车数量计算确定。停车线有效长应满足停放整列车长度加作业及安全距离的要求。当停车作业与列检作业合并设置时，可设库（棚）；</w:t>
      </w:r>
    </w:p>
    <w:p w14:paraId="5BE30FA1" w14:textId="77777777" w:rsidR="00737EB2" w:rsidRPr="00765F6E" w:rsidRDefault="00737EB2" w:rsidP="003334F3">
      <w:pPr>
        <w:pStyle w:val="af6"/>
        <w:numPr>
          <w:ilvl w:val="0"/>
          <w:numId w:val="242"/>
        </w:numPr>
        <w:tabs>
          <w:tab w:val="left" w:pos="851"/>
        </w:tabs>
        <w:snapToGrid w:val="0"/>
        <w:contextualSpacing/>
      </w:pPr>
      <w:r w:rsidRPr="00765F6E">
        <w:rPr>
          <w:rFonts w:hint="eastAsia"/>
        </w:rPr>
        <w:t>车体外皮清洗线可采用贯通式布置，也可采用尽端式或八字形往复式布置；当采用尽端式或八字形往复式布置时，清洗装置两端股道有效长宜满足各停放一列车的要求。车体外皮清洗线数量应根据车辆清洗作业量及清洗作业时间计算确定；</w:t>
      </w:r>
    </w:p>
    <w:p w14:paraId="30DB6BAE" w14:textId="77777777" w:rsidR="00737EB2" w:rsidRPr="00765F6E" w:rsidRDefault="00737EB2" w:rsidP="003334F3">
      <w:pPr>
        <w:pStyle w:val="af6"/>
        <w:numPr>
          <w:ilvl w:val="0"/>
          <w:numId w:val="242"/>
        </w:numPr>
        <w:tabs>
          <w:tab w:val="left" w:pos="851"/>
        </w:tabs>
        <w:snapToGrid w:val="0"/>
        <w:contextualSpacing/>
      </w:pPr>
      <w:r w:rsidRPr="00765F6E">
        <w:rPr>
          <w:rFonts w:hint="eastAsia"/>
        </w:rPr>
        <w:t>出入线宜设置轮对踏面及受电弓检测、全车外观图像检测系统设施，检测装置两端宜各设置一节车长的平直股道；</w:t>
      </w:r>
    </w:p>
    <w:p w14:paraId="6CBEC408" w14:textId="77777777" w:rsidR="00737EB2" w:rsidRPr="00765F6E" w:rsidRDefault="00737EB2" w:rsidP="003334F3">
      <w:pPr>
        <w:pStyle w:val="af6"/>
        <w:numPr>
          <w:ilvl w:val="0"/>
          <w:numId w:val="242"/>
        </w:numPr>
        <w:tabs>
          <w:tab w:val="left" w:pos="851"/>
        </w:tabs>
        <w:snapToGrid w:val="0"/>
        <w:contextualSpacing/>
      </w:pPr>
      <w:r w:rsidRPr="00765F6E">
        <w:rPr>
          <w:rFonts w:hint="eastAsia"/>
        </w:rPr>
        <w:t>临修线、不落轮镟轮线可采用贯通式或尽头式布置，不落轮镟轮设备前后股道有效长应满足各停放一列车加安全距离的要求；</w:t>
      </w:r>
    </w:p>
    <w:p w14:paraId="6D734E3B" w14:textId="77777777" w:rsidR="00737EB2" w:rsidRPr="00765F6E" w:rsidRDefault="00737EB2" w:rsidP="003334F3">
      <w:pPr>
        <w:pStyle w:val="af6"/>
        <w:numPr>
          <w:ilvl w:val="0"/>
          <w:numId w:val="242"/>
        </w:numPr>
        <w:tabs>
          <w:tab w:val="left" w:pos="851"/>
        </w:tabs>
        <w:snapToGrid w:val="0"/>
        <w:contextualSpacing/>
      </w:pPr>
      <w:r w:rsidRPr="00765F6E">
        <w:rPr>
          <w:rFonts w:hint="eastAsia"/>
        </w:rPr>
        <w:t>牵出线数量应结合作业流程设置，有效长度不应小于一列车长、牵引车长与安全距离之和；</w:t>
      </w:r>
    </w:p>
    <w:p w14:paraId="7B8D19DA" w14:textId="77777777" w:rsidR="00737EB2" w:rsidRPr="00765F6E" w:rsidRDefault="00737EB2" w:rsidP="003334F3">
      <w:pPr>
        <w:pStyle w:val="af6"/>
        <w:numPr>
          <w:ilvl w:val="0"/>
          <w:numId w:val="242"/>
        </w:numPr>
        <w:tabs>
          <w:tab w:val="left" w:pos="851"/>
        </w:tabs>
        <w:snapToGrid w:val="0"/>
        <w:contextualSpacing/>
      </w:pPr>
      <w:r w:rsidRPr="00765F6E">
        <w:rPr>
          <w:rFonts w:hint="eastAsia"/>
        </w:rPr>
        <w:t>静态调试线数量应根据检修作业量计算确定，长度应满足整列车静止调试停放要求；</w:t>
      </w:r>
    </w:p>
    <w:p w14:paraId="6F25BA1A" w14:textId="491CEBF9" w:rsidR="00737EB2" w:rsidRPr="00765F6E" w:rsidRDefault="007D2AFF" w:rsidP="003334F3">
      <w:pPr>
        <w:pStyle w:val="af6"/>
        <w:numPr>
          <w:ilvl w:val="0"/>
          <w:numId w:val="242"/>
        </w:numPr>
        <w:tabs>
          <w:tab w:val="left" w:pos="851"/>
        </w:tabs>
        <w:snapToGrid w:val="0"/>
        <w:contextualSpacing/>
      </w:pPr>
      <w:r>
        <w:rPr>
          <w:rFonts w:hint="eastAsia"/>
        </w:rPr>
        <w:t>试车线</w:t>
      </w:r>
      <w:r w:rsidR="00737EB2" w:rsidRPr="00765F6E">
        <w:rPr>
          <w:rFonts w:hint="eastAsia"/>
        </w:rPr>
        <w:t>宜为平直股道，其长度应根据车辆性能、长度和试验要求确定，并应采取封闭措施。车辆基地受用地条件限制时，</w:t>
      </w:r>
      <w:r>
        <w:rPr>
          <w:rFonts w:hint="eastAsia"/>
        </w:rPr>
        <w:t>试车线</w:t>
      </w:r>
      <w:r w:rsidR="00737EB2" w:rsidRPr="00765F6E">
        <w:rPr>
          <w:rFonts w:hint="eastAsia"/>
        </w:rPr>
        <w:t>长度可按最高试车速度不低于</w:t>
      </w:r>
      <w:r w:rsidR="00737EB2" w:rsidRPr="00765F6E">
        <w:t>60km</w:t>
      </w:r>
      <w:r w:rsidR="00737EB2" w:rsidRPr="00765F6E">
        <w:rPr>
          <w:rFonts w:hint="eastAsia"/>
        </w:rPr>
        <w:t>/h设计。</w:t>
      </w:r>
    </w:p>
    <w:p w14:paraId="156165AB" w14:textId="77777777" w:rsidR="00737EB2" w:rsidRPr="00765F6E" w:rsidRDefault="00737EB2" w:rsidP="009D0776">
      <w:pPr>
        <w:pStyle w:val="22"/>
      </w:pPr>
      <w:bookmarkStart w:id="3314" w:name="_Toc99792921"/>
      <w:bookmarkStart w:id="3315" w:name="_Toc153292374"/>
      <w:r w:rsidRPr="00765F6E">
        <w:rPr>
          <w:rFonts w:hint="eastAsia"/>
        </w:rPr>
        <w:t>车辆基地调机车库宜与综合维修工程车库合设。</w:t>
      </w:r>
      <w:bookmarkEnd w:id="3314"/>
      <w:bookmarkEnd w:id="3315"/>
    </w:p>
    <w:p w14:paraId="54860C17" w14:textId="77777777" w:rsidR="00737EB2" w:rsidRPr="00765F6E" w:rsidRDefault="00737EB2" w:rsidP="00737EB2">
      <w:pPr>
        <w:pStyle w:val="affe"/>
        <w:spacing w:before="156" w:after="156"/>
      </w:pPr>
      <w:bookmarkStart w:id="3316" w:name="_Toc99792922"/>
      <w:bookmarkStart w:id="3317" w:name="_Toc153292375"/>
      <w:bookmarkStart w:id="3318" w:name="_Toc153211001"/>
      <w:bookmarkStart w:id="3319" w:name="_Toc167895899"/>
      <w:bookmarkStart w:id="3320" w:name="_Toc174538813"/>
      <w:bookmarkStart w:id="3321" w:name="_Toc182476571"/>
      <w:r w:rsidRPr="00765F6E">
        <w:rPr>
          <w:rFonts w:hint="eastAsia"/>
        </w:rPr>
        <w:t>车辆运用整备设施</w:t>
      </w:r>
      <w:bookmarkEnd w:id="3316"/>
      <w:bookmarkEnd w:id="3317"/>
      <w:bookmarkEnd w:id="3318"/>
      <w:bookmarkEnd w:id="3319"/>
      <w:bookmarkEnd w:id="3320"/>
      <w:bookmarkEnd w:id="3321"/>
    </w:p>
    <w:p w14:paraId="358AA652" w14:textId="77777777" w:rsidR="00737EB2" w:rsidRPr="00765F6E" w:rsidRDefault="00737EB2" w:rsidP="009D0776">
      <w:pPr>
        <w:pStyle w:val="22"/>
      </w:pPr>
      <w:bookmarkStart w:id="3322" w:name="_Toc153292376"/>
      <w:bookmarkStart w:id="3323" w:name="_Toc99792923"/>
      <w:r w:rsidRPr="00765F6E">
        <w:rPr>
          <w:rFonts w:hint="eastAsia"/>
        </w:rPr>
        <w:t>车辆运用整备设施应根据停车、整备、日常维修等作业要求设计。</w:t>
      </w:r>
      <w:bookmarkEnd w:id="3322"/>
      <w:bookmarkEnd w:id="3323"/>
    </w:p>
    <w:p w14:paraId="231B7B12" w14:textId="77777777" w:rsidR="00737EB2" w:rsidRPr="00765F6E" w:rsidRDefault="00737EB2" w:rsidP="009D0776">
      <w:pPr>
        <w:pStyle w:val="22"/>
      </w:pPr>
      <w:bookmarkStart w:id="3324" w:name="_Toc153292377"/>
      <w:bookmarkStart w:id="3325" w:name="_Toc99792924"/>
      <w:r w:rsidRPr="00765F6E">
        <w:rPr>
          <w:rFonts w:hint="eastAsia"/>
        </w:rPr>
        <w:t>车辆运用整备应包含车载运行信息的采集、转储及处理，润滑油脂补充，车体外皮清洗，车厢内部清洁，车内垃圾收集及转运等作业内容，日常维修应包括走行部、制动系统、受电弓、电气系统、空调系统、列控装置、列车网络控制系统的检查与维修等作业内容。</w:t>
      </w:r>
      <w:bookmarkEnd w:id="3324"/>
      <w:bookmarkEnd w:id="3325"/>
    </w:p>
    <w:p w14:paraId="704D2EDD" w14:textId="77777777" w:rsidR="00737EB2" w:rsidRPr="00765F6E" w:rsidRDefault="00737EB2" w:rsidP="009D0776">
      <w:pPr>
        <w:pStyle w:val="22"/>
      </w:pPr>
      <w:bookmarkStart w:id="3326" w:name="_Toc153292378"/>
      <w:bookmarkStart w:id="3327" w:name="_Toc99792925"/>
      <w:r w:rsidRPr="00765F6E">
        <w:rPr>
          <w:rFonts w:hint="eastAsia"/>
        </w:rPr>
        <w:t>车辆运用整备应设置运用库、临修库、不落轮镟轮库、车体外皮清洗库、轮对踏面及受电弓检测装置等设施。</w:t>
      </w:r>
      <w:bookmarkEnd w:id="3326"/>
      <w:bookmarkEnd w:id="3327"/>
    </w:p>
    <w:p w14:paraId="5C0BBF82" w14:textId="77777777" w:rsidR="00737EB2" w:rsidRPr="00765F6E" w:rsidRDefault="00737EB2" w:rsidP="009D0776">
      <w:pPr>
        <w:pStyle w:val="22"/>
      </w:pPr>
      <w:bookmarkStart w:id="3328" w:name="_Toc99792926"/>
      <w:bookmarkStart w:id="3329" w:name="_Toc153292379"/>
      <w:r w:rsidRPr="00765F6E">
        <w:rPr>
          <w:rFonts w:hint="eastAsia"/>
        </w:rPr>
        <w:t>运用库设计应符合下列规定：</w:t>
      </w:r>
      <w:bookmarkEnd w:id="3328"/>
      <w:bookmarkEnd w:id="3329"/>
    </w:p>
    <w:p w14:paraId="49BEB55E" w14:textId="02FA0FCD" w:rsidR="00737EB2" w:rsidRPr="00765F6E" w:rsidRDefault="00737EB2" w:rsidP="003334F3">
      <w:pPr>
        <w:pStyle w:val="af6"/>
        <w:numPr>
          <w:ilvl w:val="0"/>
          <w:numId w:val="243"/>
        </w:numPr>
        <w:tabs>
          <w:tab w:val="left" w:pos="851"/>
        </w:tabs>
        <w:snapToGrid w:val="0"/>
        <w:contextualSpacing/>
      </w:pPr>
      <w:r w:rsidRPr="00765F6E">
        <w:rPr>
          <w:rFonts w:hint="eastAsia"/>
        </w:rPr>
        <w:lastRenderedPageBreak/>
        <w:t>运用库长度应根据车辆长度、检修工艺流程、运输通道宽度、厂房组合情况、建筑和结构设计要求等因素综合确定。尽端式运用库宜按一线两列位布置，贯通式运用库可按一线两列位或一线三列位布置（一线三列位布置时不宜大于4编组）。运用库长度应按公式（</w:t>
      </w:r>
      <w:r w:rsidR="00FF2BD1">
        <w:t>34</w:t>
      </w:r>
      <w:r w:rsidRPr="00765F6E">
        <w:rPr>
          <w:rFonts w:hint="eastAsia"/>
        </w:rPr>
        <w:t>）计算确定</w:t>
      </w:r>
      <w:r w:rsidR="00ED46EC">
        <w:rPr>
          <w:rFonts w:hint="eastAsia"/>
        </w:rPr>
        <w:t>；</w:t>
      </w:r>
    </w:p>
    <w:p w14:paraId="3440BA81" w14:textId="3D23DC72" w:rsidR="00737EB2" w:rsidRPr="00765F6E" w:rsidRDefault="00737EB2" w:rsidP="00737EB2">
      <w:pPr>
        <w:pStyle w:val="affffffd"/>
        <w:spacing w:before="156" w:after="156"/>
      </w:pPr>
      <w:r w:rsidRPr="00765F6E">
        <w:tab/>
      </w:r>
      <m:oMath>
        <m:r>
          <m:rPr>
            <m:sty m:val="p"/>
          </m:rPr>
          <w:rPr>
            <w:rFonts w:ascii="Cambria Math" w:hAnsi="Cambria Math" w:hint="eastAsia"/>
          </w:rPr>
          <m:t>Lc=</m:t>
        </m:r>
        <m:r>
          <m:rPr>
            <m:sty m:val="p"/>
          </m:rPr>
          <w:rPr>
            <w:rFonts w:ascii="Cambria Math" w:hAnsi="Cambria Math" w:hint="eastAsia"/>
          </w:rPr>
          <m:t>（</m:t>
        </m:r>
        <m:r>
          <m:rPr>
            <m:sty m:val="p"/>
          </m:rPr>
          <w:rPr>
            <w:rFonts w:ascii="Cambria Math" w:hAnsi="Cambria Math" w:hint="eastAsia"/>
          </w:rPr>
          <m:t>L+0.5</m:t>
        </m:r>
        <m:r>
          <m:rPr>
            <m:sty m:val="p"/>
          </m:rPr>
          <w:rPr>
            <w:rFonts w:ascii="Cambria Math" w:hAnsi="Cambria Math" w:hint="eastAsia"/>
          </w:rPr>
          <m:t>）×</m:t>
        </m:r>
        <m:r>
          <m:rPr>
            <m:sty m:val="p"/>
          </m:rPr>
          <w:rPr>
            <w:rFonts w:ascii="Cambria Math" w:hAnsi="Cambria Math" w:hint="eastAsia"/>
          </w:rPr>
          <m:t>N +</m:t>
        </m:r>
        <m:r>
          <m:rPr>
            <m:sty m:val="p"/>
          </m:rPr>
          <w:rPr>
            <w:rFonts w:ascii="Cambria Math" w:hAnsi="Cambria Math" w:hint="eastAsia"/>
          </w:rPr>
          <m:t>（</m:t>
        </m:r>
        <m:r>
          <m:rPr>
            <m:sty m:val="p"/>
          </m:rPr>
          <w:rPr>
            <w:rFonts w:ascii="Cambria Math" w:hAnsi="Cambria Math" w:hint="eastAsia"/>
          </w:rPr>
          <m:t>N</m:t>
        </m:r>
        <m:r>
          <m:rPr>
            <m:sty m:val="p"/>
          </m:rPr>
          <w:rPr>
            <w:rFonts w:ascii="Cambria Math" w:eastAsia="微软雅黑" w:hAnsi="Cambria Math" w:cs="微软雅黑" w:hint="eastAsia"/>
          </w:rPr>
          <m:t>-</m:t>
        </m:r>
        <m:r>
          <m:rPr>
            <m:sty m:val="p"/>
          </m:rPr>
          <w:rPr>
            <w:rFonts w:ascii="Cambria Math" w:hAnsi="Cambria Math" w:hint="eastAsia"/>
          </w:rPr>
          <m:t>1</m:t>
        </m:r>
        <m:r>
          <m:rPr>
            <m:sty m:val="p"/>
          </m:rPr>
          <w:rPr>
            <w:rFonts w:ascii="Cambria Math" w:hAnsi="Cambria Math" w:hint="eastAsia"/>
          </w:rPr>
          <m:t>）×</m:t>
        </m:r>
        <m:r>
          <m:rPr>
            <m:sty m:val="p"/>
          </m:rPr>
          <w:rPr>
            <w:rFonts w:ascii="Cambria Math" w:hAnsi="Cambria Math" w:hint="eastAsia"/>
          </w:rPr>
          <m:t>8+Lx</m:t>
        </m:r>
        <m:r>
          <m:rPr>
            <m:sty m:val="p"/>
          </m:rPr>
          <w:rPr>
            <w:rFonts w:ascii="Cambria Math" w:hAnsi="Cambria Math" w:hint="eastAsia"/>
          </w:rPr>
          <m:t>×</m:t>
        </m:r>
        <m:r>
          <m:rPr>
            <m:sty m:val="p"/>
          </m:rPr>
          <w:rPr>
            <w:rFonts w:ascii="Cambria Math" w:hAnsi="Cambria Math" w:hint="eastAsia"/>
          </w:rPr>
          <m:t>2+Ly</m:t>
        </m:r>
        <m:r>
          <m:rPr>
            <m:sty m:val="p"/>
          </m:rPr>
          <w:rPr>
            <w:rFonts w:ascii="Cambria Math" w:hAnsi="Cambria Math" w:hint="eastAsia"/>
          </w:rPr>
          <m:t>×</m:t>
        </m:r>
        <m:r>
          <m:rPr>
            <m:sty m:val="p"/>
          </m:rPr>
          <w:rPr>
            <w:rFonts w:ascii="Cambria Math" w:hAnsi="Cambria Math" w:hint="eastAsia"/>
          </w:rPr>
          <m:t>2</m:t>
        </m:r>
      </m:oMath>
      <w:r w:rsidRPr="00765F6E">
        <w:rPr>
          <w:rFonts w:ascii="微软雅黑" w:eastAsia="微软雅黑" w:hAnsi="微软雅黑"/>
        </w:rPr>
        <w:tab/>
      </w:r>
      <w:r w:rsidRPr="00765F6E">
        <w:t>(</w:t>
      </w:r>
      <w:r w:rsidR="00FF2BD1">
        <w:t>34</w:t>
      </w:r>
      <w:r w:rsidRPr="00765F6E">
        <w:t>)</w:t>
      </w:r>
    </w:p>
    <w:p w14:paraId="323FBB29" w14:textId="77777777" w:rsidR="00737EB2" w:rsidRPr="00765F6E" w:rsidRDefault="00737EB2" w:rsidP="00DF023D">
      <w:pPr>
        <w:pStyle w:val="affffa"/>
        <w:spacing w:line="240" w:lineRule="auto"/>
        <w:ind w:firstLine="420"/>
      </w:pPr>
      <w:r w:rsidRPr="00765F6E">
        <w:rPr>
          <w:rFonts w:hint="eastAsia"/>
        </w:rPr>
        <w:t>式中：</w:t>
      </w:r>
      <w:r w:rsidRPr="00765F6E">
        <w:t xml:space="preserve"> </w:t>
      </w:r>
    </w:p>
    <w:p w14:paraId="51FBD4A2" w14:textId="77777777" w:rsidR="00737EB2" w:rsidRPr="00765F6E" w:rsidRDefault="00737EB2" w:rsidP="00DF023D">
      <w:pPr>
        <w:pStyle w:val="af6"/>
        <w:numPr>
          <w:ilvl w:val="0"/>
          <w:numId w:val="0"/>
        </w:numPr>
        <w:ind w:left="851"/>
      </w:pPr>
      <w:r w:rsidRPr="00765F6E">
        <w:rPr>
          <w:rFonts w:hint="eastAsia"/>
          <w:i/>
        </w:rPr>
        <w:t>Lc</w:t>
      </w:r>
      <w:r w:rsidRPr="00765F6E">
        <w:rPr>
          <w:rFonts w:hint="eastAsia"/>
        </w:rPr>
        <w:t>——运用库长度，单位为米（m）；</w:t>
      </w:r>
    </w:p>
    <w:p w14:paraId="4519224B" w14:textId="77777777" w:rsidR="00737EB2" w:rsidRPr="00765F6E" w:rsidRDefault="00737EB2" w:rsidP="00DF023D">
      <w:pPr>
        <w:pStyle w:val="af6"/>
        <w:numPr>
          <w:ilvl w:val="0"/>
          <w:numId w:val="0"/>
        </w:numPr>
        <w:ind w:left="851"/>
      </w:pPr>
      <w:r w:rsidRPr="00765F6E">
        <w:rPr>
          <w:rFonts w:hint="eastAsia"/>
          <w:i/>
        </w:rPr>
        <w:t>L</w:t>
      </w:r>
      <w:r w:rsidRPr="00765F6E">
        <w:rPr>
          <w:rFonts w:hint="eastAsia"/>
        </w:rPr>
        <w:t>——列车长度，单位为米（m）；</w:t>
      </w:r>
    </w:p>
    <w:p w14:paraId="7045701C" w14:textId="77777777" w:rsidR="00737EB2" w:rsidRPr="00765F6E" w:rsidRDefault="00737EB2" w:rsidP="00DF023D">
      <w:pPr>
        <w:pStyle w:val="af6"/>
        <w:numPr>
          <w:ilvl w:val="0"/>
          <w:numId w:val="0"/>
        </w:numPr>
        <w:ind w:left="851"/>
      </w:pPr>
      <w:r w:rsidRPr="00765F6E">
        <w:rPr>
          <w:rFonts w:hint="eastAsia"/>
          <w:i/>
        </w:rPr>
        <w:t>N</w:t>
      </w:r>
      <w:r w:rsidRPr="00765F6E">
        <w:rPr>
          <w:rFonts w:hint="eastAsia"/>
        </w:rPr>
        <w:t>——每条线进行作业的列车数，一线两列为2，一线三列为3，单位为列；</w:t>
      </w:r>
    </w:p>
    <w:p w14:paraId="32EACC59" w14:textId="77777777" w:rsidR="00737EB2" w:rsidRPr="00765F6E" w:rsidRDefault="00737EB2" w:rsidP="00DF023D">
      <w:pPr>
        <w:pStyle w:val="af6"/>
        <w:numPr>
          <w:ilvl w:val="0"/>
          <w:numId w:val="0"/>
        </w:numPr>
        <w:ind w:left="851"/>
      </w:pPr>
      <w:r w:rsidRPr="00765F6E">
        <w:rPr>
          <w:rFonts w:hint="eastAsia"/>
        </w:rPr>
        <w:t>8——列位间通道宽度，单位为米（m）；</w:t>
      </w:r>
    </w:p>
    <w:p w14:paraId="74AE34A4" w14:textId="77777777" w:rsidR="00737EB2" w:rsidRPr="00765F6E" w:rsidRDefault="00737EB2" w:rsidP="00DF023D">
      <w:pPr>
        <w:pStyle w:val="af6"/>
        <w:numPr>
          <w:ilvl w:val="0"/>
          <w:numId w:val="0"/>
        </w:numPr>
        <w:ind w:left="851"/>
      </w:pPr>
      <w:r w:rsidRPr="00765F6E">
        <w:rPr>
          <w:rFonts w:hint="eastAsia"/>
          <w:i/>
        </w:rPr>
        <w:t>Lx</w:t>
      </w:r>
      <w:r w:rsidRPr="00765F6E">
        <w:rPr>
          <w:rFonts w:hint="eastAsia"/>
        </w:rPr>
        <w:t>——运用库一端斜坡长度，单位为米（m）；</w:t>
      </w:r>
    </w:p>
    <w:p w14:paraId="5A266E43" w14:textId="77777777" w:rsidR="00737EB2" w:rsidRPr="00765F6E" w:rsidRDefault="00737EB2" w:rsidP="0062778D">
      <w:pPr>
        <w:pStyle w:val="af6"/>
        <w:numPr>
          <w:ilvl w:val="0"/>
          <w:numId w:val="0"/>
        </w:numPr>
        <w:ind w:left="851"/>
      </w:pPr>
      <w:r w:rsidRPr="00765F6E">
        <w:rPr>
          <w:rFonts w:hint="eastAsia"/>
          <w:i/>
        </w:rPr>
        <w:t>Ly</w:t>
      </w:r>
      <w:r w:rsidRPr="00765F6E">
        <w:rPr>
          <w:rFonts w:hint="eastAsia"/>
        </w:rPr>
        <w:t>——运用库端部垂轨方向通道宽度，单位为米（m）。</w:t>
      </w:r>
    </w:p>
    <w:p w14:paraId="0F60F5C1" w14:textId="77777777" w:rsidR="00737EB2" w:rsidRPr="00765F6E" w:rsidRDefault="00737EB2" w:rsidP="003334F3">
      <w:pPr>
        <w:pStyle w:val="af6"/>
        <w:numPr>
          <w:ilvl w:val="0"/>
          <w:numId w:val="243"/>
        </w:numPr>
        <w:tabs>
          <w:tab w:val="left" w:pos="851"/>
        </w:tabs>
        <w:snapToGrid w:val="0"/>
        <w:contextualSpacing/>
      </w:pPr>
      <w:r w:rsidRPr="00765F6E">
        <w:rPr>
          <w:rFonts w:hint="eastAsia"/>
        </w:rPr>
        <w:t>运用库高度应根据检修作业人员在车顶作业高度加安全距离及接触网导线高度确定；</w:t>
      </w:r>
    </w:p>
    <w:p w14:paraId="15C0B8CB" w14:textId="77777777" w:rsidR="00737EB2" w:rsidRPr="00765F6E" w:rsidRDefault="00737EB2" w:rsidP="003334F3">
      <w:pPr>
        <w:pStyle w:val="af6"/>
        <w:numPr>
          <w:ilvl w:val="0"/>
          <w:numId w:val="243"/>
        </w:numPr>
        <w:tabs>
          <w:tab w:val="left" w:pos="851"/>
        </w:tabs>
        <w:snapToGrid w:val="0"/>
        <w:contextualSpacing/>
      </w:pPr>
      <w:r w:rsidRPr="00765F6E">
        <w:rPr>
          <w:rFonts w:hint="eastAsia"/>
        </w:rPr>
        <w:t>运用库宽度应根据库线数量、线间距、作业场地、设备尺寸、人行及运输通道等计算确定。</w:t>
      </w:r>
    </w:p>
    <w:p w14:paraId="1D7E08C2" w14:textId="77777777" w:rsidR="00737EB2" w:rsidRPr="00765F6E" w:rsidRDefault="00737EB2" w:rsidP="009D0776">
      <w:pPr>
        <w:pStyle w:val="22"/>
      </w:pPr>
      <w:bookmarkStart w:id="3330" w:name="_Toc99792927"/>
      <w:bookmarkStart w:id="3331" w:name="_Toc153292380"/>
      <w:r w:rsidRPr="00765F6E">
        <w:rPr>
          <w:rFonts w:hint="eastAsia"/>
        </w:rPr>
        <w:t>运用库内设施设置符合下列规定：</w:t>
      </w:r>
      <w:bookmarkEnd w:id="3330"/>
      <w:bookmarkEnd w:id="3331"/>
    </w:p>
    <w:p w14:paraId="0722B91F" w14:textId="77777777" w:rsidR="00737EB2" w:rsidRPr="00765F6E" w:rsidRDefault="00737EB2" w:rsidP="003334F3">
      <w:pPr>
        <w:pStyle w:val="af6"/>
        <w:numPr>
          <w:ilvl w:val="0"/>
          <w:numId w:val="244"/>
        </w:numPr>
        <w:tabs>
          <w:tab w:val="left" w:pos="851"/>
        </w:tabs>
        <w:snapToGrid w:val="0"/>
        <w:contextualSpacing/>
      </w:pPr>
      <w:r w:rsidRPr="00765F6E">
        <w:rPr>
          <w:rFonts w:hint="eastAsia"/>
        </w:rPr>
        <w:t>库内应设架空接触网，每线列位之间和库前均应设置接触网分段绝缘器、带接地的隔离开关，并应设与隔离开关联锁的警示装置；</w:t>
      </w:r>
    </w:p>
    <w:p w14:paraId="5A24880B" w14:textId="77777777" w:rsidR="00737EB2" w:rsidRPr="00765F6E" w:rsidRDefault="00737EB2" w:rsidP="003334F3">
      <w:pPr>
        <w:pStyle w:val="af6"/>
        <w:numPr>
          <w:ilvl w:val="0"/>
          <w:numId w:val="244"/>
        </w:numPr>
        <w:tabs>
          <w:tab w:val="left" w:pos="851"/>
        </w:tabs>
        <w:snapToGrid w:val="0"/>
        <w:contextualSpacing/>
      </w:pPr>
      <w:r w:rsidRPr="00765F6E">
        <w:rPr>
          <w:rFonts w:hint="eastAsia"/>
        </w:rPr>
        <w:t>库内承担日常维修的股道宜设柱式检查地沟，并应设立体检查作业平台及作业人员安全防护设施，平台下、地沟内均应设照明设施；</w:t>
      </w:r>
    </w:p>
    <w:p w14:paraId="4683E729" w14:textId="77777777" w:rsidR="00737EB2" w:rsidRPr="00765F6E" w:rsidRDefault="00737EB2" w:rsidP="003334F3">
      <w:pPr>
        <w:pStyle w:val="af6"/>
        <w:numPr>
          <w:ilvl w:val="0"/>
          <w:numId w:val="244"/>
        </w:numPr>
        <w:tabs>
          <w:tab w:val="left" w:pos="851"/>
        </w:tabs>
        <w:snapToGrid w:val="0"/>
        <w:contextualSpacing/>
      </w:pPr>
      <w:r w:rsidRPr="00765F6E">
        <w:rPr>
          <w:rFonts w:hint="eastAsia"/>
        </w:rPr>
        <w:t>库内各作业点宜设车辆检修管理信息系统终端设备和接口；</w:t>
      </w:r>
    </w:p>
    <w:p w14:paraId="4D47EF94" w14:textId="77777777" w:rsidR="00737EB2" w:rsidRPr="00765F6E" w:rsidRDefault="00737EB2" w:rsidP="003334F3">
      <w:pPr>
        <w:pStyle w:val="af6"/>
        <w:numPr>
          <w:ilvl w:val="0"/>
          <w:numId w:val="244"/>
        </w:numPr>
        <w:tabs>
          <w:tab w:val="left" w:pos="851"/>
        </w:tabs>
        <w:snapToGrid w:val="0"/>
        <w:contextualSpacing/>
      </w:pPr>
      <w:r w:rsidRPr="00765F6E">
        <w:rPr>
          <w:rFonts w:hint="eastAsia"/>
        </w:rPr>
        <w:t>库内应设置安全联锁门禁系统，其数据应纳入车辆检修管理信息系统；</w:t>
      </w:r>
    </w:p>
    <w:p w14:paraId="5BBED8E1" w14:textId="77777777" w:rsidR="00737EB2" w:rsidRPr="00765F6E" w:rsidRDefault="00737EB2" w:rsidP="003334F3">
      <w:pPr>
        <w:pStyle w:val="af6"/>
        <w:numPr>
          <w:ilvl w:val="0"/>
          <w:numId w:val="244"/>
        </w:numPr>
        <w:tabs>
          <w:tab w:val="left" w:pos="851"/>
        </w:tabs>
        <w:snapToGrid w:val="0"/>
        <w:contextualSpacing/>
      </w:pPr>
      <w:r w:rsidRPr="00765F6E">
        <w:rPr>
          <w:rFonts w:hint="eastAsia"/>
        </w:rPr>
        <w:t>库内可根据需要设置车辆地面测试电源等设备；</w:t>
      </w:r>
    </w:p>
    <w:p w14:paraId="439320F4" w14:textId="77777777" w:rsidR="00737EB2" w:rsidRPr="00765F6E" w:rsidRDefault="00737EB2" w:rsidP="003334F3">
      <w:pPr>
        <w:pStyle w:val="af6"/>
        <w:numPr>
          <w:ilvl w:val="0"/>
          <w:numId w:val="244"/>
        </w:numPr>
        <w:tabs>
          <w:tab w:val="left" w:pos="851"/>
        </w:tabs>
        <w:snapToGrid w:val="0"/>
        <w:contextualSpacing/>
      </w:pPr>
      <w:r w:rsidRPr="00765F6E">
        <w:rPr>
          <w:rFonts w:hint="eastAsia"/>
        </w:rPr>
        <w:t>库内各种管线可利用立体作业平台结构及屋架进行综合布置，管线布置应整齐、便于维护。</w:t>
      </w:r>
    </w:p>
    <w:p w14:paraId="7E641C16" w14:textId="77777777" w:rsidR="00737EB2" w:rsidRPr="00765F6E" w:rsidRDefault="00737EB2" w:rsidP="009D0776">
      <w:pPr>
        <w:pStyle w:val="22"/>
      </w:pPr>
      <w:bookmarkStart w:id="3332" w:name="_Toc153292381"/>
      <w:bookmarkStart w:id="3333" w:name="_Toc99792928"/>
      <w:r w:rsidRPr="00765F6E">
        <w:rPr>
          <w:rFonts w:hint="eastAsia"/>
        </w:rPr>
        <w:t>运用库辅助车间宜在运用库边跨内集中设置，配备走行部、受电弓、空调系统、制动系统、行车安全装置等的检测设备以及零部件立体存储设备等。</w:t>
      </w:r>
      <w:bookmarkEnd w:id="3332"/>
      <w:bookmarkEnd w:id="3333"/>
    </w:p>
    <w:p w14:paraId="619663F6" w14:textId="77777777" w:rsidR="00737EB2" w:rsidRPr="00765F6E" w:rsidRDefault="00737EB2" w:rsidP="009D0776">
      <w:pPr>
        <w:pStyle w:val="22"/>
      </w:pPr>
      <w:bookmarkStart w:id="3334" w:name="_Toc99792929"/>
      <w:bookmarkStart w:id="3335" w:name="_Toc153292382"/>
      <w:r w:rsidRPr="00765F6E">
        <w:rPr>
          <w:rFonts w:hint="eastAsia"/>
        </w:rPr>
        <w:t>临修库设计符合下列规定：</w:t>
      </w:r>
      <w:bookmarkEnd w:id="3334"/>
      <w:bookmarkEnd w:id="3335"/>
    </w:p>
    <w:p w14:paraId="6185CAD4" w14:textId="77777777" w:rsidR="00737EB2" w:rsidRPr="00765F6E" w:rsidRDefault="00737EB2" w:rsidP="003334F3">
      <w:pPr>
        <w:pStyle w:val="af6"/>
        <w:numPr>
          <w:ilvl w:val="0"/>
          <w:numId w:val="245"/>
        </w:numPr>
        <w:tabs>
          <w:tab w:val="left" w:pos="851"/>
        </w:tabs>
        <w:snapToGrid w:val="0"/>
        <w:contextualSpacing/>
      </w:pPr>
      <w:r w:rsidRPr="00765F6E">
        <w:rPr>
          <w:rFonts w:hint="eastAsia"/>
        </w:rPr>
        <w:t>临修库宽度及高度应根据检修工艺、车辆限界、运输作业通道、车顶作业要求、起重机结构尺寸等因素计算确定；</w:t>
      </w:r>
    </w:p>
    <w:p w14:paraId="64C30785" w14:textId="77777777" w:rsidR="00737EB2" w:rsidRPr="00765F6E" w:rsidRDefault="00737EB2" w:rsidP="003334F3">
      <w:pPr>
        <w:pStyle w:val="af6"/>
        <w:numPr>
          <w:ilvl w:val="0"/>
          <w:numId w:val="245"/>
        </w:numPr>
        <w:tabs>
          <w:tab w:val="left" w:pos="851"/>
        </w:tabs>
        <w:snapToGrid w:val="0"/>
        <w:contextualSpacing/>
      </w:pPr>
      <w:r w:rsidRPr="00765F6E">
        <w:rPr>
          <w:rFonts w:hint="eastAsia"/>
        </w:rPr>
        <w:t>临修库应配备转向架（轮对）更换设备、起重设备，库内应有备用转向架（轮对）及大部件存放场地；</w:t>
      </w:r>
    </w:p>
    <w:p w14:paraId="290477B9" w14:textId="77777777" w:rsidR="00737EB2" w:rsidRPr="00765F6E" w:rsidRDefault="00737EB2" w:rsidP="003334F3">
      <w:pPr>
        <w:pStyle w:val="af6"/>
        <w:numPr>
          <w:ilvl w:val="0"/>
          <w:numId w:val="245"/>
        </w:numPr>
        <w:tabs>
          <w:tab w:val="left" w:pos="851"/>
        </w:tabs>
        <w:snapToGrid w:val="0"/>
        <w:contextualSpacing/>
      </w:pPr>
      <w:r w:rsidRPr="00765F6E">
        <w:rPr>
          <w:rFonts w:hint="eastAsia"/>
        </w:rPr>
        <w:t>临修库宜设作业平台与防护网；</w:t>
      </w:r>
    </w:p>
    <w:p w14:paraId="2B71B818" w14:textId="77777777" w:rsidR="00737EB2" w:rsidRPr="00765F6E" w:rsidRDefault="00737EB2" w:rsidP="003334F3">
      <w:pPr>
        <w:pStyle w:val="af6"/>
        <w:numPr>
          <w:ilvl w:val="0"/>
          <w:numId w:val="245"/>
        </w:numPr>
        <w:tabs>
          <w:tab w:val="left" w:pos="851"/>
        </w:tabs>
        <w:snapToGrid w:val="0"/>
        <w:contextualSpacing/>
      </w:pPr>
      <w:r w:rsidRPr="00765F6E">
        <w:rPr>
          <w:rFonts w:hint="eastAsia"/>
        </w:rPr>
        <w:t>临修库设置架空接触网时，可采用与库内起重机设备联锁的活动式刚性接触网侧移及控制设备，车顶作业平台应设置安全联锁门禁系统。</w:t>
      </w:r>
    </w:p>
    <w:p w14:paraId="44B039EC" w14:textId="77777777" w:rsidR="00737EB2" w:rsidRPr="00765F6E" w:rsidRDefault="00737EB2" w:rsidP="009D0776">
      <w:pPr>
        <w:pStyle w:val="22"/>
      </w:pPr>
      <w:bookmarkStart w:id="3336" w:name="_Toc99792930"/>
      <w:bookmarkStart w:id="3337" w:name="_Toc153292383"/>
      <w:r w:rsidRPr="00765F6E">
        <w:rPr>
          <w:rFonts w:hint="eastAsia"/>
        </w:rPr>
        <w:t>不落轮镟库</w:t>
      </w:r>
      <w:r w:rsidRPr="00765F6E">
        <w:t>设计符合下列规定</w:t>
      </w:r>
      <w:bookmarkEnd w:id="3336"/>
      <w:r w:rsidRPr="00765F6E">
        <w:rPr>
          <w:rFonts w:hint="eastAsia"/>
        </w:rPr>
        <w:t>：</w:t>
      </w:r>
      <w:bookmarkEnd w:id="3337"/>
    </w:p>
    <w:p w14:paraId="37AAFE55" w14:textId="77777777" w:rsidR="00737EB2" w:rsidRPr="00765F6E" w:rsidRDefault="00737EB2" w:rsidP="003334F3">
      <w:pPr>
        <w:pStyle w:val="af6"/>
        <w:numPr>
          <w:ilvl w:val="0"/>
          <w:numId w:val="246"/>
        </w:numPr>
        <w:tabs>
          <w:tab w:val="left" w:pos="851"/>
        </w:tabs>
        <w:snapToGrid w:val="0"/>
        <w:contextualSpacing/>
      </w:pPr>
      <w:r w:rsidRPr="00765F6E">
        <w:rPr>
          <w:rFonts w:hint="eastAsia"/>
        </w:rPr>
        <w:t>库内应设置不落轮镟轮设备及公铁两用车，不落轮镟轮设备数量应根据不落轮镟床能力和镟轮作业量计算确定；</w:t>
      </w:r>
    </w:p>
    <w:p w14:paraId="35EBD66D" w14:textId="77777777" w:rsidR="00737EB2" w:rsidRPr="00765F6E" w:rsidRDefault="00737EB2" w:rsidP="003334F3">
      <w:pPr>
        <w:pStyle w:val="af6"/>
        <w:numPr>
          <w:ilvl w:val="0"/>
          <w:numId w:val="246"/>
        </w:numPr>
        <w:tabs>
          <w:tab w:val="left" w:pos="851"/>
        </w:tabs>
        <w:snapToGrid w:val="0"/>
        <w:contextualSpacing/>
      </w:pPr>
      <w:r w:rsidRPr="00765F6E">
        <w:rPr>
          <w:rFonts w:hint="eastAsia"/>
        </w:rPr>
        <w:t>不落轮镟轮设备基础前后宜各设一节车体长度的整体道床；</w:t>
      </w:r>
    </w:p>
    <w:p w14:paraId="338DDB61" w14:textId="77777777" w:rsidR="00737EB2" w:rsidRPr="00765F6E" w:rsidRDefault="00737EB2" w:rsidP="003334F3">
      <w:pPr>
        <w:pStyle w:val="af6"/>
        <w:numPr>
          <w:ilvl w:val="0"/>
          <w:numId w:val="246"/>
        </w:numPr>
        <w:tabs>
          <w:tab w:val="left" w:pos="851"/>
        </w:tabs>
        <w:snapToGrid w:val="0"/>
        <w:contextualSpacing/>
      </w:pPr>
      <w:r w:rsidRPr="00765F6E">
        <w:rPr>
          <w:rFonts w:hint="eastAsia"/>
        </w:rPr>
        <w:t>不落轮镟轮设备与轮对踏面诊断装置间应设数据传输通道。</w:t>
      </w:r>
    </w:p>
    <w:p w14:paraId="6425F286" w14:textId="77777777" w:rsidR="00737EB2" w:rsidRPr="00765F6E" w:rsidRDefault="00737EB2" w:rsidP="009D0776">
      <w:pPr>
        <w:pStyle w:val="22"/>
      </w:pPr>
      <w:bookmarkStart w:id="3338" w:name="_Toc99792931"/>
      <w:bookmarkStart w:id="3339" w:name="_Toc153292384"/>
      <w:r w:rsidRPr="00765F6E">
        <w:rPr>
          <w:rFonts w:hint="eastAsia"/>
        </w:rPr>
        <w:t>轮对踏面诊断设备应采用通过式布置，轮对踏面诊断数据应传输至不落轮镟轮库和车辆基地运营控制中心。受电弓动态检测设备宜与轮对踏面诊断设备合设在一处。</w:t>
      </w:r>
      <w:bookmarkEnd w:id="3338"/>
      <w:bookmarkEnd w:id="3339"/>
    </w:p>
    <w:p w14:paraId="1ED5FA2A" w14:textId="77777777" w:rsidR="00737EB2" w:rsidRPr="00765F6E" w:rsidRDefault="00737EB2" w:rsidP="009D0776">
      <w:pPr>
        <w:pStyle w:val="22"/>
      </w:pPr>
      <w:bookmarkStart w:id="3340" w:name="_Toc153292385"/>
      <w:bookmarkStart w:id="3341" w:name="_Toc99792932"/>
      <w:r w:rsidRPr="00765F6E">
        <w:rPr>
          <w:rFonts w:hint="eastAsia"/>
        </w:rPr>
        <w:t>车体外皮清洗设备应配置清洗水处理及循环使用系统。</w:t>
      </w:r>
      <w:bookmarkEnd w:id="3340"/>
      <w:bookmarkEnd w:id="3341"/>
    </w:p>
    <w:p w14:paraId="11EADDED" w14:textId="77777777" w:rsidR="00737EB2" w:rsidRPr="00765F6E" w:rsidRDefault="00737EB2" w:rsidP="009D0776">
      <w:pPr>
        <w:pStyle w:val="22"/>
      </w:pPr>
      <w:bookmarkStart w:id="3342" w:name="_Toc99792933"/>
      <w:bookmarkStart w:id="3343" w:name="_Toc153292386"/>
      <w:r w:rsidRPr="00765F6E">
        <w:rPr>
          <w:rFonts w:hint="eastAsia"/>
        </w:rPr>
        <w:t>车辆基地宜构建智慧运维系统</w:t>
      </w:r>
      <w:bookmarkEnd w:id="3342"/>
      <w:r w:rsidRPr="00765F6E">
        <w:rPr>
          <w:rFonts w:hint="eastAsia"/>
        </w:rPr>
        <w:t>，其</w:t>
      </w:r>
      <w:r w:rsidRPr="00765F6E">
        <w:t>系统架构、功能</w:t>
      </w:r>
      <w:r w:rsidRPr="00765F6E">
        <w:rPr>
          <w:rFonts w:hint="eastAsia"/>
        </w:rPr>
        <w:t>组成、</w:t>
      </w:r>
      <w:r w:rsidRPr="00765F6E">
        <w:t>设备配置应根据</w:t>
      </w:r>
      <w:r w:rsidRPr="00765F6E">
        <w:rPr>
          <w:rFonts w:hint="eastAsia"/>
        </w:rPr>
        <w:t>业务背景</w:t>
      </w:r>
      <w:r w:rsidRPr="00765F6E">
        <w:t>、</w:t>
      </w:r>
      <w:r w:rsidRPr="00765F6E">
        <w:rPr>
          <w:rFonts w:hint="eastAsia"/>
        </w:rPr>
        <w:t>系统</w:t>
      </w:r>
      <w:r w:rsidRPr="00765F6E">
        <w:t>目标</w:t>
      </w:r>
      <w:r w:rsidRPr="00765F6E">
        <w:rPr>
          <w:rFonts w:hint="eastAsia"/>
        </w:rPr>
        <w:t>等进行规划和</w:t>
      </w:r>
      <w:r w:rsidRPr="00765F6E">
        <w:t>实施</w:t>
      </w:r>
      <w:bookmarkEnd w:id="3343"/>
      <w:r w:rsidRPr="00765F6E">
        <w:rPr>
          <w:rFonts w:hint="eastAsia"/>
        </w:rPr>
        <w:t>。</w:t>
      </w:r>
    </w:p>
    <w:p w14:paraId="7A507734" w14:textId="77777777" w:rsidR="00737EB2" w:rsidRPr="00765F6E" w:rsidRDefault="00737EB2" w:rsidP="00737EB2">
      <w:pPr>
        <w:pStyle w:val="affe"/>
        <w:spacing w:before="156" w:after="156"/>
      </w:pPr>
      <w:bookmarkStart w:id="3344" w:name="_Toc153211002"/>
      <w:bookmarkStart w:id="3345" w:name="_Toc153292387"/>
      <w:bookmarkStart w:id="3346" w:name="_Toc99792934"/>
      <w:bookmarkStart w:id="3347" w:name="_Toc167895900"/>
      <w:bookmarkStart w:id="3348" w:name="_Toc174538814"/>
      <w:bookmarkStart w:id="3349" w:name="_Toc182476572"/>
      <w:r w:rsidRPr="00765F6E">
        <w:rPr>
          <w:rFonts w:hint="eastAsia"/>
        </w:rPr>
        <w:t>车辆检修设施</w:t>
      </w:r>
      <w:bookmarkEnd w:id="3344"/>
      <w:bookmarkEnd w:id="3345"/>
      <w:bookmarkEnd w:id="3346"/>
      <w:bookmarkEnd w:id="3347"/>
      <w:bookmarkEnd w:id="3348"/>
      <w:bookmarkEnd w:id="3349"/>
    </w:p>
    <w:p w14:paraId="7BFA093D" w14:textId="72967431" w:rsidR="00737EB2" w:rsidRPr="00765F6E" w:rsidRDefault="00737EB2" w:rsidP="009D0776">
      <w:pPr>
        <w:pStyle w:val="22"/>
      </w:pPr>
      <w:bookmarkStart w:id="3350" w:name="_Toc153292388"/>
      <w:bookmarkStart w:id="3351" w:name="_Toc99792935"/>
      <w:r w:rsidRPr="00765F6E">
        <w:rPr>
          <w:rFonts w:hint="eastAsia"/>
        </w:rPr>
        <w:t>车辆定期检修设施应包括检修库、转向架库、车体库、车体涂装库、静态调试库、部件检修库、列车吹扫设施和</w:t>
      </w:r>
      <w:r w:rsidR="007D2AFF">
        <w:rPr>
          <w:rFonts w:hint="eastAsia"/>
        </w:rPr>
        <w:t>试车线</w:t>
      </w:r>
      <w:r w:rsidRPr="00765F6E">
        <w:rPr>
          <w:rFonts w:hint="eastAsia"/>
        </w:rPr>
        <w:t>等。</w:t>
      </w:r>
      <w:bookmarkEnd w:id="3350"/>
      <w:bookmarkEnd w:id="3351"/>
    </w:p>
    <w:p w14:paraId="42415309" w14:textId="77777777" w:rsidR="00737EB2" w:rsidRPr="00765F6E" w:rsidRDefault="00737EB2" w:rsidP="009D0776">
      <w:pPr>
        <w:pStyle w:val="22"/>
      </w:pPr>
      <w:bookmarkStart w:id="3352" w:name="_Toc153292389"/>
      <w:bookmarkStart w:id="3353" w:name="_Toc99792936"/>
      <w:r w:rsidRPr="00765F6E">
        <w:rPr>
          <w:rFonts w:hint="eastAsia"/>
        </w:rPr>
        <w:t>检修库应包含定修库与大架修库或三级修库与四五级修库等，其中大架修库或三级修库、四五</w:t>
      </w:r>
      <w:r w:rsidRPr="00765F6E">
        <w:rPr>
          <w:rFonts w:hint="eastAsia"/>
        </w:rPr>
        <w:lastRenderedPageBreak/>
        <w:t>级修库应与转向架库、车体库、车体涂装库、静态调试库、部件检修库采用厂房组合方式。</w:t>
      </w:r>
      <w:bookmarkEnd w:id="3352"/>
      <w:bookmarkEnd w:id="3353"/>
    </w:p>
    <w:p w14:paraId="5F1B4D12" w14:textId="77777777" w:rsidR="00737EB2" w:rsidRPr="00765F6E" w:rsidRDefault="00737EB2" w:rsidP="009D0776">
      <w:pPr>
        <w:pStyle w:val="22"/>
      </w:pPr>
      <w:bookmarkStart w:id="3354" w:name="_Toc153292390"/>
      <w:bookmarkStart w:id="3355" w:name="_Toc99792937"/>
      <w:r w:rsidRPr="00765F6E">
        <w:rPr>
          <w:rFonts w:hint="eastAsia"/>
        </w:rPr>
        <w:t>检修厂房应集中布置，主要库房宜联跨布置，检修工艺关系密切的生产车间宜布置在检修库边跨内。</w:t>
      </w:r>
      <w:bookmarkEnd w:id="3354"/>
      <w:bookmarkEnd w:id="3355"/>
    </w:p>
    <w:p w14:paraId="35688C59" w14:textId="77777777" w:rsidR="00737EB2" w:rsidRPr="00765F6E" w:rsidRDefault="00737EB2" w:rsidP="009D0776">
      <w:pPr>
        <w:pStyle w:val="22"/>
      </w:pPr>
      <w:bookmarkStart w:id="3356" w:name="_Toc153292391"/>
      <w:bookmarkStart w:id="3357" w:name="_Toc99792938"/>
      <w:r w:rsidRPr="00765F6E">
        <w:rPr>
          <w:rFonts w:hint="eastAsia"/>
        </w:rPr>
        <w:t>检修库设计符合下列规定：</w:t>
      </w:r>
      <w:bookmarkEnd w:id="3356"/>
      <w:bookmarkEnd w:id="3357"/>
    </w:p>
    <w:p w14:paraId="06DCFFE3" w14:textId="77777777" w:rsidR="00737EB2" w:rsidRPr="00765F6E" w:rsidRDefault="00737EB2" w:rsidP="003334F3">
      <w:pPr>
        <w:pStyle w:val="af6"/>
        <w:numPr>
          <w:ilvl w:val="0"/>
          <w:numId w:val="247"/>
        </w:numPr>
        <w:tabs>
          <w:tab w:val="left" w:pos="851"/>
        </w:tabs>
        <w:snapToGrid w:val="0"/>
        <w:contextualSpacing/>
      </w:pPr>
      <w:r w:rsidRPr="00765F6E">
        <w:rPr>
          <w:rFonts w:hint="eastAsia"/>
        </w:rPr>
        <w:t>检修库长度应根据车辆长度、检修工艺、运输通道宽度、厂房组合情况、建筑和结构设计要求等因素确定；</w:t>
      </w:r>
    </w:p>
    <w:p w14:paraId="67515ADD" w14:textId="77777777" w:rsidR="00737EB2" w:rsidRPr="00765F6E" w:rsidRDefault="00737EB2" w:rsidP="003334F3">
      <w:pPr>
        <w:pStyle w:val="af6"/>
        <w:numPr>
          <w:ilvl w:val="0"/>
          <w:numId w:val="247"/>
        </w:numPr>
        <w:tabs>
          <w:tab w:val="left" w:pos="851"/>
        </w:tabs>
        <w:snapToGrid w:val="0"/>
        <w:contextualSpacing/>
      </w:pPr>
      <w:r w:rsidRPr="00765F6E">
        <w:rPr>
          <w:rFonts w:hint="eastAsia"/>
        </w:rPr>
        <w:t>检修库宽度应根据库线数量、线间距、作业场地、设备尺寸、人行及运输通道及起重设备跨度等计算确定；</w:t>
      </w:r>
    </w:p>
    <w:p w14:paraId="3717C15A" w14:textId="77777777" w:rsidR="00737EB2" w:rsidRPr="00765F6E" w:rsidRDefault="00737EB2" w:rsidP="003334F3">
      <w:pPr>
        <w:pStyle w:val="af6"/>
        <w:numPr>
          <w:ilvl w:val="0"/>
          <w:numId w:val="247"/>
        </w:numPr>
        <w:tabs>
          <w:tab w:val="left" w:pos="851"/>
        </w:tabs>
        <w:snapToGrid w:val="0"/>
        <w:contextualSpacing/>
      </w:pPr>
      <w:r w:rsidRPr="00765F6E">
        <w:rPr>
          <w:rFonts w:hint="eastAsia"/>
        </w:rPr>
        <w:t>检修库高度应根据检修工艺、车辆限界、车顶作业、起重机结构尺寸等因素确定，库内地面宜与轨道顶面平齐；</w:t>
      </w:r>
    </w:p>
    <w:p w14:paraId="25617735" w14:textId="77777777" w:rsidR="00737EB2" w:rsidRPr="00765F6E" w:rsidRDefault="00737EB2" w:rsidP="003334F3">
      <w:pPr>
        <w:pStyle w:val="af6"/>
        <w:numPr>
          <w:ilvl w:val="0"/>
          <w:numId w:val="247"/>
        </w:numPr>
        <w:tabs>
          <w:tab w:val="left" w:pos="851"/>
        </w:tabs>
        <w:snapToGrid w:val="0"/>
        <w:contextualSpacing/>
      </w:pPr>
      <w:r w:rsidRPr="00765F6E">
        <w:rPr>
          <w:rFonts w:hint="eastAsia"/>
        </w:rPr>
        <w:t>库内管线应集中布置，并应整齐、便于维护等；</w:t>
      </w:r>
    </w:p>
    <w:p w14:paraId="2726FA1B" w14:textId="77777777" w:rsidR="00737EB2" w:rsidRPr="00765F6E" w:rsidRDefault="00737EB2" w:rsidP="003334F3">
      <w:pPr>
        <w:pStyle w:val="af6"/>
        <w:numPr>
          <w:ilvl w:val="0"/>
          <w:numId w:val="247"/>
        </w:numPr>
        <w:tabs>
          <w:tab w:val="left" w:pos="851"/>
        </w:tabs>
        <w:snapToGrid w:val="0"/>
        <w:contextualSpacing/>
      </w:pPr>
      <w:r w:rsidRPr="00765F6E">
        <w:rPr>
          <w:rFonts w:hint="eastAsia"/>
        </w:rPr>
        <w:t>库内应设车辆检修管理信息系统设备终端及接口；</w:t>
      </w:r>
    </w:p>
    <w:p w14:paraId="1D55AD16" w14:textId="77777777" w:rsidR="00737EB2" w:rsidRPr="00765F6E" w:rsidRDefault="00737EB2" w:rsidP="003334F3">
      <w:pPr>
        <w:pStyle w:val="af6"/>
        <w:numPr>
          <w:ilvl w:val="0"/>
          <w:numId w:val="247"/>
        </w:numPr>
        <w:tabs>
          <w:tab w:val="left" w:pos="851"/>
        </w:tabs>
        <w:snapToGrid w:val="0"/>
        <w:contextualSpacing/>
      </w:pPr>
      <w:r w:rsidRPr="00765F6E">
        <w:rPr>
          <w:rFonts w:hint="eastAsia"/>
        </w:rPr>
        <w:t>库前直线段长度不宜小于一辆车长。</w:t>
      </w:r>
    </w:p>
    <w:p w14:paraId="7ADDDF35" w14:textId="77777777" w:rsidR="00737EB2" w:rsidRPr="00765F6E" w:rsidRDefault="00737EB2" w:rsidP="009D0776">
      <w:pPr>
        <w:pStyle w:val="22"/>
      </w:pPr>
      <w:bookmarkStart w:id="3358" w:name="_Toc99792939"/>
      <w:bookmarkStart w:id="3359" w:name="_Toc153292392"/>
      <w:r w:rsidRPr="00765F6E">
        <w:rPr>
          <w:rFonts w:hint="eastAsia"/>
        </w:rPr>
        <w:t>检修库内应设置固定式或移动式同步架车机、转向架转盘、起重设备、车体移动设备、转向架及大部件的拆装及起重设备、静态轮重检测设备等设备，并应根据检修需要配置作业平台及地面试验电源。</w:t>
      </w:r>
      <w:bookmarkEnd w:id="3358"/>
      <w:bookmarkEnd w:id="3359"/>
    </w:p>
    <w:p w14:paraId="2CC8F9A1" w14:textId="77777777" w:rsidR="00737EB2" w:rsidRPr="00765F6E" w:rsidRDefault="00737EB2" w:rsidP="009D0776">
      <w:pPr>
        <w:pStyle w:val="22"/>
      </w:pPr>
      <w:bookmarkStart w:id="3360" w:name="_Toc153292393"/>
      <w:bookmarkStart w:id="3361" w:name="_Toc99792940"/>
      <w:r w:rsidRPr="00765F6E">
        <w:rPr>
          <w:rFonts w:hint="eastAsia"/>
        </w:rPr>
        <w:t>转向架库设计符合下列规定：</w:t>
      </w:r>
      <w:bookmarkEnd w:id="3360"/>
      <w:bookmarkEnd w:id="3361"/>
    </w:p>
    <w:p w14:paraId="351D5541" w14:textId="77777777" w:rsidR="00737EB2" w:rsidRPr="00765F6E" w:rsidRDefault="00737EB2" w:rsidP="003334F3">
      <w:pPr>
        <w:pStyle w:val="af6"/>
        <w:numPr>
          <w:ilvl w:val="0"/>
          <w:numId w:val="248"/>
        </w:numPr>
        <w:tabs>
          <w:tab w:val="left" w:pos="851"/>
        </w:tabs>
        <w:snapToGrid w:val="0"/>
        <w:contextualSpacing/>
      </w:pPr>
      <w:r w:rsidRPr="00765F6E">
        <w:rPr>
          <w:rFonts w:hint="eastAsia"/>
        </w:rPr>
        <w:t>转向架库规模和检修台位应根据检修作业量、检修工艺和检修时间计算确定，检修作业量大时宜采用流水线检修方式；</w:t>
      </w:r>
    </w:p>
    <w:p w14:paraId="415C6831" w14:textId="77777777" w:rsidR="00737EB2" w:rsidRPr="00765F6E" w:rsidRDefault="00737EB2" w:rsidP="003334F3">
      <w:pPr>
        <w:pStyle w:val="af6"/>
        <w:numPr>
          <w:ilvl w:val="0"/>
          <w:numId w:val="248"/>
        </w:numPr>
        <w:tabs>
          <w:tab w:val="left" w:pos="851"/>
        </w:tabs>
        <w:snapToGrid w:val="0"/>
        <w:contextualSpacing/>
      </w:pPr>
      <w:r w:rsidRPr="00765F6E">
        <w:rPr>
          <w:rFonts w:hint="eastAsia"/>
        </w:rPr>
        <w:t>库内应设置转向架解体、组装、试验设备，并配备构架、轮对、轴箱等零部件的清洁、检修、探伤、油漆、试验和起重运输设备；</w:t>
      </w:r>
    </w:p>
    <w:p w14:paraId="111607E1" w14:textId="77777777" w:rsidR="00737EB2" w:rsidRPr="00765F6E" w:rsidRDefault="00737EB2" w:rsidP="003334F3">
      <w:pPr>
        <w:pStyle w:val="af6"/>
        <w:numPr>
          <w:ilvl w:val="0"/>
          <w:numId w:val="248"/>
        </w:numPr>
        <w:tabs>
          <w:tab w:val="left" w:pos="851"/>
        </w:tabs>
        <w:snapToGrid w:val="0"/>
        <w:contextualSpacing/>
      </w:pPr>
      <w:r w:rsidRPr="00765F6E">
        <w:rPr>
          <w:rFonts w:hint="eastAsia"/>
        </w:rPr>
        <w:t>轮对、车轮、车轴等的存储宜采用立体存储方式；</w:t>
      </w:r>
    </w:p>
    <w:p w14:paraId="153901AE" w14:textId="77777777" w:rsidR="00737EB2" w:rsidRPr="00765F6E" w:rsidRDefault="00737EB2" w:rsidP="003334F3">
      <w:pPr>
        <w:pStyle w:val="af6"/>
        <w:numPr>
          <w:ilvl w:val="0"/>
          <w:numId w:val="248"/>
        </w:numPr>
        <w:tabs>
          <w:tab w:val="left" w:pos="851"/>
        </w:tabs>
        <w:snapToGrid w:val="0"/>
        <w:contextualSpacing/>
      </w:pPr>
      <w:r w:rsidRPr="00765F6E">
        <w:rPr>
          <w:rFonts w:hint="eastAsia"/>
        </w:rPr>
        <w:t>转向架库宜靠近检修库布置，库间转向架的运输宜采用轨道运输方式或新型智能运输设备。</w:t>
      </w:r>
    </w:p>
    <w:p w14:paraId="470239DE" w14:textId="77777777" w:rsidR="00737EB2" w:rsidRPr="00765F6E" w:rsidRDefault="00737EB2" w:rsidP="009D0776">
      <w:pPr>
        <w:pStyle w:val="22"/>
      </w:pPr>
      <w:bookmarkStart w:id="3362" w:name="_Toc99792941"/>
      <w:bookmarkStart w:id="3363" w:name="_Toc153292394"/>
      <w:r w:rsidRPr="00765F6E">
        <w:rPr>
          <w:rFonts w:hint="eastAsia"/>
        </w:rPr>
        <w:t>车体库设计符合下列规定：</w:t>
      </w:r>
      <w:bookmarkEnd w:id="3362"/>
      <w:bookmarkEnd w:id="3363"/>
    </w:p>
    <w:p w14:paraId="3B72C254" w14:textId="77777777" w:rsidR="00737EB2" w:rsidRPr="00765F6E" w:rsidRDefault="00737EB2" w:rsidP="003334F3">
      <w:pPr>
        <w:pStyle w:val="af6"/>
        <w:numPr>
          <w:ilvl w:val="0"/>
          <w:numId w:val="249"/>
        </w:numPr>
        <w:tabs>
          <w:tab w:val="left" w:pos="851"/>
        </w:tabs>
        <w:snapToGrid w:val="0"/>
        <w:contextualSpacing/>
      </w:pPr>
      <w:r w:rsidRPr="00765F6E">
        <w:rPr>
          <w:rFonts w:hint="eastAsia"/>
        </w:rPr>
        <w:t>车体库规模应根据检修任务量、检修工艺和台位作业时间计算确定；</w:t>
      </w:r>
    </w:p>
    <w:p w14:paraId="3C95F1B3" w14:textId="77777777" w:rsidR="00737EB2" w:rsidRPr="00765F6E" w:rsidRDefault="00737EB2" w:rsidP="003334F3">
      <w:pPr>
        <w:pStyle w:val="af6"/>
        <w:numPr>
          <w:ilvl w:val="0"/>
          <w:numId w:val="249"/>
        </w:numPr>
        <w:tabs>
          <w:tab w:val="left" w:pos="851"/>
        </w:tabs>
        <w:snapToGrid w:val="0"/>
        <w:contextualSpacing/>
      </w:pPr>
      <w:r w:rsidRPr="00765F6E">
        <w:rPr>
          <w:rFonts w:hint="eastAsia"/>
        </w:rPr>
        <w:t>车体库应配备满足车体部件的拆解、检修、组装、试验作业需要的设备，包括车体及部件运输设备。</w:t>
      </w:r>
    </w:p>
    <w:p w14:paraId="5F662A0E" w14:textId="77777777" w:rsidR="00737EB2" w:rsidRPr="00765F6E" w:rsidRDefault="00737EB2" w:rsidP="009D0776">
      <w:pPr>
        <w:pStyle w:val="22"/>
      </w:pPr>
      <w:bookmarkStart w:id="3364" w:name="_Toc99792942"/>
      <w:bookmarkStart w:id="3365" w:name="_Toc153292395"/>
      <w:r w:rsidRPr="00765F6E">
        <w:rPr>
          <w:rFonts w:hint="eastAsia"/>
        </w:rPr>
        <w:t>车体涂装库应承担车体预处理、打磨、喷涂、干燥、标记等工作并配备相应设施。库内台位数量应满足车体涂装作业要求。库内应设置通风设备，并应采取消防和环保措施，库内电气设备均应满足防爆要求。</w:t>
      </w:r>
      <w:bookmarkEnd w:id="3364"/>
      <w:bookmarkEnd w:id="3365"/>
    </w:p>
    <w:p w14:paraId="6D68469B" w14:textId="77777777" w:rsidR="00737EB2" w:rsidRPr="00765F6E" w:rsidRDefault="00737EB2" w:rsidP="009D0776">
      <w:pPr>
        <w:pStyle w:val="22"/>
      </w:pPr>
      <w:bookmarkStart w:id="3366" w:name="_Toc153292396"/>
      <w:bookmarkStart w:id="3367" w:name="_Toc99792943"/>
      <w:r w:rsidRPr="00765F6E">
        <w:rPr>
          <w:rFonts w:hint="eastAsia"/>
        </w:rPr>
        <w:t>静态调试库应设置柱式检查地沟、作业平台、地面调试电源、安全联锁门禁系统等，根据需要可设置限界检测设备、轮重检测设备等。</w:t>
      </w:r>
      <w:bookmarkEnd w:id="3366"/>
      <w:bookmarkEnd w:id="3367"/>
    </w:p>
    <w:p w14:paraId="54699B3F" w14:textId="3D8DCC98" w:rsidR="00737EB2" w:rsidRPr="00765F6E" w:rsidRDefault="007D2AFF" w:rsidP="009D0776">
      <w:pPr>
        <w:pStyle w:val="22"/>
      </w:pPr>
      <w:bookmarkStart w:id="3368" w:name="_Toc153292397"/>
      <w:bookmarkStart w:id="3369" w:name="_Toc99792944"/>
      <w:r>
        <w:rPr>
          <w:rFonts w:hint="eastAsia"/>
        </w:rPr>
        <w:t>试车线</w:t>
      </w:r>
      <w:r w:rsidR="00737EB2" w:rsidRPr="00765F6E">
        <w:rPr>
          <w:rFonts w:hint="eastAsia"/>
        </w:rPr>
        <w:t>应根据需要设置检查坑，并配置相应试车设备设施。</w:t>
      </w:r>
      <w:bookmarkEnd w:id="3368"/>
      <w:bookmarkEnd w:id="3369"/>
    </w:p>
    <w:p w14:paraId="7275B24D" w14:textId="77777777" w:rsidR="00737EB2" w:rsidRPr="00765F6E" w:rsidRDefault="00737EB2" w:rsidP="009D0776">
      <w:pPr>
        <w:pStyle w:val="22"/>
      </w:pPr>
      <w:bookmarkStart w:id="3370" w:name="_Toc153292398"/>
      <w:bookmarkStart w:id="3371" w:name="_Toc99792945"/>
      <w:r w:rsidRPr="00765F6E">
        <w:rPr>
          <w:rFonts w:hint="eastAsia"/>
        </w:rPr>
        <w:t>车辆基地宜设置吹扫除尘设施及辅助生产房屋。</w:t>
      </w:r>
      <w:bookmarkEnd w:id="3370"/>
      <w:bookmarkEnd w:id="3371"/>
    </w:p>
    <w:p w14:paraId="28461BD3" w14:textId="77777777" w:rsidR="00737EB2" w:rsidRPr="00765F6E" w:rsidRDefault="00737EB2" w:rsidP="00737EB2">
      <w:pPr>
        <w:pStyle w:val="affe"/>
        <w:spacing w:before="156" w:after="156"/>
      </w:pPr>
      <w:bookmarkStart w:id="3372" w:name="_Toc153211003"/>
      <w:bookmarkStart w:id="3373" w:name="_Toc153292399"/>
      <w:bookmarkStart w:id="3374" w:name="_Toc99792946"/>
      <w:bookmarkStart w:id="3375" w:name="_Toc167895901"/>
      <w:bookmarkStart w:id="3376" w:name="_Toc174538815"/>
      <w:bookmarkStart w:id="3377" w:name="_Toc182476573"/>
      <w:r w:rsidRPr="00765F6E">
        <w:rPr>
          <w:rFonts w:hint="eastAsia"/>
        </w:rPr>
        <w:t>综合维修</w:t>
      </w:r>
      <w:bookmarkEnd w:id="3372"/>
      <w:bookmarkEnd w:id="3373"/>
      <w:bookmarkEnd w:id="3374"/>
      <w:bookmarkEnd w:id="3375"/>
      <w:bookmarkEnd w:id="3376"/>
      <w:bookmarkEnd w:id="3377"/>
    </w:p>
    <w:p w14:paraId="24A63E34" w14:textId="77777777" w:rsidR="00737EB2" w:rsidRPr="00765F6E" w:rsidRDefault="00737EB2" w:rsidP="009D0776">
      <w:pPr>
        <w:pStyle w:val="22"/>
      </w:pPr>
      <w:bookmarkStart w:id="3378" w:name="_Toc99792947"/>
      <w:bookmarkStart w:id="3379" w:name="_Toc153292400"/>
      <w:r w:rsidRPr="00765F6E">
        <w:rPr>
          <w:rFonts w:hint="eastAsia"/>
        </w:rPr>
        <w:t>综合维修中心设计符合下列规定：</w:t>
      </w:r>
      <w:bookmarkEnd w:id="3378"/>
      <w:bookmarkEnd w:id="3379"/>
    </w:p>
    <w:p w14:paraId="18AD0E7C" w14:textId="77777777" w:rsidR="00737EB2" w:rsidRPr="00765F6E" w:rsidRDefault="00737EB2" w:rsidP="003334F3">
      <w:pPr>
        <w:pStyle w:val="af6"/>
        <w:numPr>
          <w:ilvl w:val="0"/>
          <w:numId w:val="250"/>
        </w:numPr>
        <w:tabs>
          <w:tab w:val="left" w:pos="851"/>
        </w:tabs>
        <w:snapToGrid w:val="0"/>
        <w:contextualSpacing/>
      </w:pPr>
      <w:r w:rsidRPr="00765F6E">
        <w:rPr>
          <w:rFonts w:hint="eastAsia"/>
        </w:rPr>
        <w:t>综合维修中心应按承担基础设施的维修管理、检测、维修车组的管理与运用，以及综合维修、紧急抢修等工作进行设计；</w:t>
      </w:r>
    </w:p>
    <w:p w14:paraId="42116A5D" w14:textId="77777777" w:rsidR="00737EB2" w:rsidRPr="00765F6E" w:rsidRDefault="00737EB2" w:rsidP="003334F3">
      <w:pPr>
        <w:pStyle w:val="af6"/>
        <w:numPr>
          <w:ilvl w:val="0"/>
          <w:numId w:val="250"/>
        </w:numPr>
        <w:tabs>
          <w:tab w:val="left" w:pos="851"/>
        </w:tabs>
        <w:snapToGrid w:val="0"/>
        <w:contextualSpacing/>
      </w:pPr>
      <w:r w:rsidRPr="00765F6E">
        <w:rPr>
          <w:rFonts w:hint="eastAsia"/>
        </w:rPr>
        <w:t>综合维修中心选址宜结合市域线网总体布局以及各线情况统筹考虑，并宜与车辆基地同址设置。场址宜避开工程地质和水文地质不良的地段，应有良好的自然排水条件以及完善的消防设施；</w:t>
      </w:r>
    </w:p>
    <w:p w14:paraId="312A37EB" w14:textId="77777777" w:rsidR="00737EB2" w:rsidRPr="00765F6E" w:rsidRDefault="00737EB2" w:rsidP="003334F3">
      <w:pPr>
        <w:pStyle w:val="af6"/>
        <w:numPr>
          <w:ilvl w:val="0"/>
          <w:numId w:val="250"/>
        </w:numPr>
        <w:tabs>
          <w:tab w:val="left" w:pos="851"/>
        </w:tabs>
        <w:snapToGrid w:val="0"/>
        <w:contextualSpacing/>
      </w:pPr>
      <w:r w:rsidRPr="00765F6E">
        <w:rPr>
          <w:rFonts w:hint="eastAsia"/>
        </w:rPr>
        <w:t>综合维修中心平面布置宜按工艺流程顺畅、生产与办公生活等功能分区进行设计；</w:t>
      </w:r>
    </w:p>
    <w:p w14:paraId="3BB00CCF" w14:textId="77777777" w:rsidR="00737EB2" w:rsidRPr="00765F6E" w:rsidRDefault="00737EB2" w:rsidP="003334F3">
      <w:pPr>
        <w:pStyle w:val="af6"/>
        <w:numPr>
          <w:ilvl w:val="0"/>
          <w:numId w:val="250"/>
        </w:numPr>
        <w:tabs>
          <w:tab w:val="left" w:pos="851"/>
        </w:tabs>
        <w:snapToGrid w:val="0"/>
        <w:contextualSpacing/>
      </w:pPr>
      <w:r w:rsidRPr="00765F6E">
        <w:rPr>
          <w:rFonts w:hint="eastAsia"/>
        </w:rPr>
        <w:t>线路、桥梁、房屋等设施和机电设备的大修宜委外；</w:t>
      </w:r>
    </w:p>
    <w:p w14:paraId="6BE84441" w14:textId="77777777" w:rsidR="00737EB2" w:rsidRPr="00765F6E" w:rsidRDefault="00737EB2" w:rsidP="003334F3">
      <w:pPr>
        <w:pStyle w:val="af6"/>
        <w:numPr>
          <w:ilvl w:val="0"/>
          <w:numId w:val="250"/>
        </w:numPr>
        <w:tabs>
          <w:tab w:val="left" w:pos="851"/>
        </w:tabs>
        <w:snapToGrid w:val="0"/>
        <w:contextualSpacing/>
      </w:pPr>
      <w:r w:rsidRPr="00765F6E">
        <w:rPr>
          <w:rFonts w:hint="eastAsia"/>
        </w:rPr>
        <w:t>综合维修中心应根据作业要求配置必要的工器具和轨道车、接触网作业车、平板车等工程车辆，并应配置相应的停放线和工程车库；</w:t>
      </w:r>
    </w:p>
    <w:p w14:paraId="488F5066" w14:textId="77777777" w:rsidR="00737EB2" w:rsidRPr="00765F6E" w:rsidRDefault="00737EB2" w:rsidP="003334F3">
      <w:pPr>
        <w:pStyle w:val="af6"/>
        <w:numPr>
          <w:ilvl w:val="0"/>
          <w:numId w:val="250"/>
        </w:numPr>
        <w:tabs>
          <w:tab w:val="left" w:pos="851"/>
        </w:tabs>
        <w:snapToGrid w:val="0"/>
        <w:contextualSpacing/>
      </w:pPr>
      <w:r w:rsidRPr="00765F6E">
        <w:rPr>
          <w:rFonts w:hint="eastAsia"/>
        </w:rPr>
        <w:t>基础设施大型检测、维修车组，应根据检测及维修作业内容、作业量、修理周期、机械作业能力、线网规模和既有轨道交通线网的配置规模统筹考虑。</w:t>
      </w:r>
    </w:p>
    <w:p w14:paraId="3D0C2A5A" w14:textId="77777777" w:rsidR="00737EB2" w:rsidRPr="00765F6E" w:rsidRDefault="00737EB2" w:rsidP="009D0776">
      <w:pPr>
        <w:pStyle w:val="22"/>
      </w:pPr>
      <w:bookmarkStart w:id="3380" w:name="_Toc153292401"/>
      <w:bookmarkStart w:id="3381" w:name="_Toc99792948"/>
      <w:r w:rsidRPr="00765F6E">
        <w:rPr>
          <w:rFonts w:hint="eastAsia"/>
        </w:rPr>
        <w:t>综合维修工区设计符合下列规定：</w:t>
      </w:r>
      <w:bookmarkEnd w:id="3380"/>
      <w:bookmarkEnd w:id="3381"/>
    </w:p>
    <w:p w14:paraId="16C19B9C" w14:textId="77777777" w:rsidR="00737EB2" w:rsidRPr="00765F6E" w:rsidRDefault="00737EB2" w:rsidP="003334F3">
      <w:pPr>
        <w:pStyle w:val="af6"/>
        <w:numPr>
          <w:ilvl w:val="0"/>
          <w:numId w:val="251"/>
        </w:numPr>
        <w:tabs>
          <w:tab w:val="left" w:pos="851"/>
        </w:tabs>
        <w:snapToGrid w:val="0"/>
        <w:contextualSpacing/>
      </w:pPr>
      <w:r w:rsidRPr="00765F6E">
        <w:rPr>
          <w:rFonts w:hint="eastAsia"/>
        </w:rPr>
        <w:lastRenderedPageBreak/>
        <w:t>综合维修工区应按承担固定设施的日常养护、临时补修和抢修、巡检等工作进行设计；</w:t>
      </w:r>
    </w:p>
    <w:p w14:paraId="1C7B6C24" w14:textId="77777777" w:rsidR="00737EB2" w:rsidRPr="00765F6E" w:rsidRDefault="00737EB2" w:rsidP="003334F3">
      <w:pPr>
        <w:pStyle w:val="af6"/>
        <w:numPr>
          <w:ilvl w:val="0"/>
          <w:numId w:val="251"/>
        </w:numPr>
        <w:tabs>
          <w:tab w:val="left" w:pos="851"/>
        </w:tabs>
        <w:snapToGrid w:val="0"/>
        <w:contextualSpacing/>
      </w:pPr>
      <w:r w:rsidRPr="00765F6E">
        <w:rPr>
          <w:rFonts w:hint="eastAsia"/>
        </w:rPr>
        <w:t>综合维修工区宜与停车场合址设置，综合维修工区宜按专业分工组织生产，生产房屋宜并栋设计；</w:t>
      </w:r>
    </w:p>
    <w:p w14:paraId="45F06AF5" w14:textId="77777777" w:rsidR="00737EB2" w:rsidRPr="00765F6E" w:rsidRDefault="00737EB2" w:rsidP="003334F3">
      <w:pPr>
        <w:pStyle w:val="af6"/>
        <w:numPr>
          <w:ilvl w:val="0"/>
          <w:numId w:val="251"/>
        </w:numPr>
        <w:tabs>
          <w:tab w:val="left" w:pos="851"/>
        </w:tabs>
        <w:snapToGrid w:val="0"/>
        <w:contextualSpacing/>
      </w:pPr>
      <w:r w:rsidRPr="00765F6E">
        <w:rPr>
          <w:rFonts w:hint="eastAsia"/>
        </w:rPr>
        <w:t>综合维修工区应设置大型养路机械、作业车组停放线及材料堆放场地，根据需要可设置长轨列车停放线。</w:t>
      </w:r>
    </w:p>
    <w:p w14:paraId="33441697" w14:textId="77777777" w:rsidR="00737EB2" w:rsidRPr="00765F6E" w:rsidRDefault="00737EB2" w:rsidP="009D0776">
      <w:pPr>
        <w:pStyle w:val="22"/>
      </w:pPr>
      <w:bookmarkStart w:id="3382" w:name="_Toc99792949"/>
      <w:bookmarkStart w:id="3383" w:name="_Toc153292402"/>
      <w:r w:rsidRPr="00765F6E">
        <w:rPr>
          <w:rFonts w:hint="eastAsia"/>
        </w:rPr>
        <w:t>综合维修应根据基础设施养护维修需要，明确维修用生产设施以及相应的备品备件、仪器仪表等检修设备。</w:t>
      </w:r>
      <w:bookmarkEnd w:id="3382"/>
      <w:bookmarkEnd w:id="3383"/>
    </w:p>
    <w:p w14:paraId="562373AC" w14:textId="77777777" w:rsidR="00737EB2" w:rsidRPr="00765F6E" w:rsidRDefault="00737EB2" w:rsidP="00737EB2">
      <w:pPr>
        <w:pStyle w:val="affe"/>
        <w:spacing w:before="156" w:after="156"/>
      </w:pPr>
      <w:bookmarkStart w:id="3384" w:name="_Toc153211004"/>
      <w:bookmarkStart w:id="3385" w:name="_Toc99792950"/>
      <w:bookmarkStart w:id="3386" w:name="_Toc153292403"/>
      <w:bookmarkStart w:id="3387" w:name="_Toc167895902"/>
      <w:bookmarkStart w:id="3388" w:name="_Toc174538816"/>
      <w:bookmarkStart w:id="3389" w:name="_Toc182476574"/>
      <w:r w:rsidRPr="00765F6E">
        <w:rPr>
          <w:rFonts w:hint="eastAsia"/>
        </w:rPr>
        <w:t>物资总库</w:t>
      </w:r>
      <w:bookmarkEnd w:id="3384"/>
      <w:bookmarkEnd w:id="3385"/>
      <w:bookmarkEnd w:id="3386"/>
      <w:bookmarkEnd w:id="3387"/>
      <w:bookmarkEnd w:id="3388"/>
      <w:bookmarkEnd w:id="3389"/>
    </w:p>
    <w:p w14:paraId="29197F01" w14:textId="77777777" w:rsidR="00737EB2" w:rsidRPr="00765F6E" w:rsidRDefault="00737EB2" w:rsidP="009D0776">
      <w:pPr>
        <w:pStyle w:val="22"/>
      </w:pPr>
      <w:bookmarkStart w:id="3390" w:name="_Toc99792951"/>
      <w:bookmarkStart w:id="3391" w:name="_Toc153292404"/>
      <w:r w:rsidRPr="00765F6E">
        <w:rPr>
          <w:rFonts w:hint="eastAsia"/>
        </w:rPr>
        <w:t>物资总库宜结合线网规划以及各线情况统筹考虑，并宜与综合维修中心集中设置。</w:t>
      </w:r>
      <w:bookmarkEnd w:id="3390"/>
      <w:bookmarkEnd w:id="3391"/>
    </w:p>
    <w:p w14:paraId="522A03F5" w14:textId="77777777" w:rsidR="00737EB2" w:rsidRPr="00765F6E" w:rsidRDefault="00737EB2" w:rsidP="009D0776">
      <w:pPr>
        <w:pStyle w:val="22"/>
      </w:pPr>
      <w:bookmarkStart w:id="3392" w:name="_Toc153292405"/>
      <w:bookmarkStart w:id="3393" w:name="_Toc99792952"/>
      <w:r w:rsidRPr="00765F6E">
        <w:rPr>
          <w:rFonts w:hint="eastAsia"/>
        </w:rPr>
        <w:t>物资总库应设有各种仓库、材料棚和必要的材料堆放场地。</w:t>
      </w:r>
      <w:bookmarkEnd w:id="3392"/>
      <w:bookmarkEnd w:id="3393"/>
    </w:p>
    <w:p w14:paraId="30E6A97E" w14:textId="77777777" w:rsidR="00737EB2" w:rsidRPr="00765F6E" w:rsidRDefault="00737EB2" w:rsidP="009D0776">
      <w:pPr>
        <w:pStyle w:val="22"/>
      </w:pPr>
      <w:bookmarkStart w:id="3394" w:name="_Toc153292406"/>
      <w:bookmarkStart w:id="3395" w:name="_Toc99792953"/>
      <w:r w:rsidRPr="00765F6E">
        <w:rPr>
          <w:rFonts w:hint="eastAsia"/>
        </w:rPr>
        <w:t>不同性质的材料和设备宜按分库存放，存放易燃品仓库的建筑物宜单独设置。</w:t>
      </w:r>
      <w:bookmarkEnd w:id="3394"/>
      <w:bookmarkEnd w:id="3395"/>
    </w:p>
    <w:p w14:paraId="1C01184C" w14:textId="77777777" w:rsidR="00737EB2" w:rsidRPr="00765F6E" w:rsidRDefault="00737EB2" w:rsidP="009D0776">
      <w:pPr>
        <w:pStyle w:val="22"/>
      </w:pPr>
      <w:bookmarkStart w:id="3396" w:name="_Toc99792954"/>
      <w:bookmarkStart w:id="3397" w:name="_Toc153292407"/>
      <w:r w:rsidRPr="00765F6E">
        <w:rPr>
          <w:rFonts w:hint="eastAsia"/>
        </w:rPr>
        <w:t>物资总库应设材料装卸线，可兼作工程车辆停放线。</w:t>
      </w:r>
      <w:bookmarkEnd w:id="3396"/>
      <w:bookmarkEnd w:id="3397"/>
    </w:p>
    <w:p w14:paraId="710DE70F" w14:textId="77777777" w:rsidR="00737EB2" w:rsidRPr="00765F6E" w:rsidRDefault="00737EB2" w:rsidP="009D0776">
      <w:pPr>
        <w:pStyle w:val="22"/>
      </w:pPr>
      <w:bookmarkStart w:id="3398" w:name="_Toc153292408"/>
      <w:bookmarkStart w:id="3399" w:name="_Toc99792955"/>
      <w:r w:rsidRPr="00765F6E">
        <w:rPr>
          <w:rFonts w:hint="eastAsia"/>
        </w:rPr>
        <w:t>物资总库应配备装卸起重设备和公路运输车辆。</w:t>
      </w:r>
      <w:bookmarkEnd w:id="3398"/>
      <w:bookmarkEnd w:id="3399"/>
    </w:p>
    <w:p w14:paraId="3D662748" w14:textId="77777777" w:rsidR="00737EB2" w:rsidRPr="00765F6E" w:rsidRDefault="00737EB2" w:rsidP="00737EB2">
      <w:pPr>
        <w:pStyle w:val="affe"/>
        <w:spacing w:before="156" w:after="156"/>
      </w:pPr>
      <w:bookmarkStart w:id="3400" w:name="_Toc153211005"/>
      <w:bookmarkStart w:id="3401" w:name="_Toc153292409"/>
      <w:bookmarkStart w:id="3402" w:name="_Toc99792956"/>
      <w:bookmarkStart w:id="3403" w:name="_Toc167895903"/>
      <w:bookmarkStart w:id="3404" w:name="_Toc174538817"/>
      <w:bookmarkStart w:id="3405" w:name="_Toc182476575"/>
      <w:r w:rsidRPr="00765F6E">
        <w:rPr>
          <w:rFonts w:hint="eastAsia"/>
        </w:rPr>
        <w:t>其他设施</w:t>
      </w:r>
      <w:bookmarkEnd w:id="3400"/>
      <w:bookmarkEnd w:id="3401"/>
      <w:bookmarkEnd w:id="3402"/>
      <w:bookmarkEnd w:id="3403"/>
      <w:bookmarkEnd w:id="3404"/>
      <w:bookmarkEnd w:id="3405"/>
    </w:p>
    <w:p w14:paraId="12FDC050" w14:textId="77777777" w:rsidR="00737EB2" w:rsidRPr="00765F6E" w:rsidRDefault="00737EB2" w:rsidP="009D0776">
      <w:pPr>
        <w:pStyle w:val="22"/>
      </w:pPr>
      <w:bookmarkStart w:id="3406" w:name="_Toc99792957"/>
      <w:bookmarkStart w:id="3407" w:name="_Toc153292410"/>
      <w:r w:rsidRPr="00765F6E">
        <w:rPr>
          <w:rFonts w:hint="eastAsia"/>
        </w:rPr>
        <w:t>车辆基地内应配备相应的救援、抢修设备。救援设备宜配置调机、汽车、专用指挥车、车辆起升、扶正、复轨、牵引、破拆等救援专用设备及相关照明、通信、发电、运输、吊装等辅助救援工具，并宜与综合维修共用。抢修设备宜按照工务、供电、通信、信号等专业进行配备。</w:t>
      </w:r>
      <w:bookmarkEnd w:id="3406"/>
      <w:bookmarkEnd w:id="3407"/>
    </w:p>
    <w:p w14:paraId="2BC777A8" w14:textId="77777777" w:rsidR="00737EB2" w:rsidRPr="00765F6E" w:rsidRDefault="00737EB2" w:rsidP="009D0776">
      <w:pPr>
        <w:pStyle w:val="22"/>
      </w:pPr>
      <w:bookmarkStart w:id="3408" w:name="_Toc99792958"/>
      <w:bookmarkStart w:id="3409" w:name="_Toc153292411"/>
      <w:r w:rsidRPr="00765F6E">
        <w:rPr>
          <w:rFonts w:hint="eastAsia"/>
        </w:rPr>
        <w:t>救援和抢修设备应设置相应的存放和检修用房，其位置应满足救援和抢修设备快速出入车辆基地的要求。</w:t>
      </w:r>
      <w:bookmarkEnd w:id="3408"/>
      <w:bookmarkEnd w:id="3409"/>
    </w:p>
    <w:p w14:paraId="089916D8" w14:textId="77777777" w:rsidR="00737EB2" w:rsidRPr="00765F6E" w:rsidRDefault="00737EB2" w:rsidP="009D0776">
      <w:pPr>
        <w:pStyle w:val="22"/>
      </w:pPr>
      <w:bookmarkStart w:id="3410" w:name="_Toc99792960"/>
      <w:bookmarkStart w:id="3411" w:name="_Toc153292413"/>
      <w:r w:rsidRPr="00765F6E">
        <w:rPr>
          <w:rFonts w:hint="eastAsia"/>
        </w:rPr>
        <w:t>市域</w:t>
      </w:r>
      <w:r w:rsidRPr="00765F6E">
        <w:t>铁路</w:t>
      </w:r>
      <w:r w:rsidRPr="00765F6E">
        <w:rPr>
          <w:rFonts w:hint="eastAsia"/>
        </w:rPr>
        <w:t>培训</w:t>
      </w:r>
      <w:r w:rsidRPr="00765F6E">
        <w:t>设施宜</w:t>
      </w:r>
      <w:r w:rsidRPr="00765F6E">
        <w:rPr>
          <w:rFonts w:hint="eastAsia"/>
        </w:rPr>
        <w:t>优先</w:t>
      </w:r>
      <w:r w:rsidRPr="00765F6E">
        <w:t>利用既有</w:t>
      </w:r>
      <w:r w:rsidRPr="00765F6E">
        <w:rPr>
          <w:rFonts w:hint="eastAsia"/>
        </w:rPr>
        <w:t>城市</w:t>
      </w:r>
      <w:r w:rsidRPr="00765F6E">
        <w:t>轨道交通培训</w:t>
      </w:r>
      <w:r w:rsidRPr="00765F6E">
        <w:rPr>
          <w:rFonts w:hint="eastAsia"/>
        </w:rPr>
        <w:t>资源，依据既有</w:t>
      </w:r>
      <w:r w:rsidRPr="00765F6E">
        <w:t>培训能力和线网</w:t>
      </w:r>
      <w:r w:rsidRPr="00765F6E">
        <w:rPr>
          <w:rFonts w:hint="eastAsia"/>
        </w:rPr>
        <w:t>建设</w:t>
      </w:r>
      <w:r w:rsidRPr="00765F6E">
        <w:t>规模</w:t>
      </w:r>
      <w:r w:rsidRPr="00765F6E">
        <w:rPr>
          <w:rFonts w:hint="eastAsia"/>
        </w:rPr>
        <w:t>综合分析</w:t>
      </w:r>
      <w:r w:rsidRPr="00765F6E">
        <w:t>后确定</w:t>
      </w:r>
      <w:r w:rsidRPr="00765F6E">
        <w:rPr>
          <w:rFonts w:hint="eastAsia"/>
        </w:rPr>
        <w:t>。</w:t>
      </w:r>
      <w:bookmarkEnd w:id="3410"/>
      <w:bookmarkEnd w:id="3411"/>
    </w:p>
    <w:p w14:paraId="740E018E" w14:textId="77777777" w:rsidR="00737EB2" w:rsidRPr="00765F6E" w:rsidRDefault="00737EB2" w:rsidP="009D0776">
      <w:pPr>
        <w:pStyle w:val="22"/>
      </w:pPr>
      <w:bookmarkStart w:id="3412" w:name="_Toc153292414"/>
      <w:bookmarkStart w:id="3413" w:name="_Toc99792961"/>
      <w:r w:rsidRPr="00765F6E">
        <w:rPr>
          <w:rFonts w:hint="eastAsia"/>
        </w:rPr>
        <w:t>车辆基地应设置调度中心、综合办公楼、食堂、乘务员公寓、变配电设施、设备维修间、机动车及非机动车停放设施等生产、生活、办公设施。选址较为偏僻时宜考虑单身公寓。生产、生活、采暖等用气（汽）宜集中供应。</w:t>
      </w:r>
      <w:bookmarkEnd w:id="3412"/>
      <w:bookmarkEnd w:id="3413"/>
    </w:p>
    <w:p w14:paraId="585EA16A" w14:textId="77777777" w:rsidR="00737EB2" w:rsidRPr="00765F6E" w:rsidRDefault="00737EB2" w:rsidP="009D0776">
      <w:pPr>
        <w:pStyle w:val="22"/>
      </w:pPr>
      <w:bookmarkStart w:id="3414" w:name="_Toc99792962"/>
      <w:bookmarkStart w:id="3415" w:name="_Toc153292415"/>
      <w:r w:rsidRPr="00765F6E">
        <w:rPr>
          <w:rFonts w:hint="eastAsia"/>
        </w:rPr>
        <w:t>车辆基地应设置消防设施、污水处理设施及垃圾收集贮运等设施。</w:t>
      </w:r>
      <w:bookmarkEnd w:id="3414"/>
      <w:bookmarkEnd w:id="3415"/>
    </w:p>
    <w:p w14:paraId="133B9A80" w14:textId="7E26982F" w:rsidR="000B60A3" w:rsidRDefault="000B60A3" w:rsidP="009D0776">
      <w:pPr>
        <w:pStyle w:val="22"/>
      </w:pPr>
      <w:bookmarkStart w:id="3416" w:name="_Toc153292416"/>
      <w:bookmarkStart w:id="3417" w:name="_Toc99792963"/>
      <w:r w:rsidRPr="00765F6E">
        <w:rPr>
          <w:rFonts w:hint="eastAsia"/>
        </w:rPr>
        <w:t>车辆基地可设置压缩空气站，空压机容量应根据工艺要求计算确定</w:t>
      </w:r>
      <w:r>
        <w:rPr>
          <w:rFonts w:hint="eastAsia"/>
        </w:rPr>
        <w:t>；</w:t>
      </w:r>
    </w:p>
    <w:p w14:paraId="41635106" w14:textId="44407FA7" w:rsidR="00737EB2" w:rsidRPr="00765F6E" w:rsidRDefault="00E45F71" w:rsidP="009D0776">
      <w:pPr>
        <w:pStyle w:val="22"/>
      </w:pPr>
      <w:r>
        <w:rPr>
          <w:rFonts w:hint="eastAsia"/>
        </w:rPr>
        <w:t>培训中心应结合线网规模集中设置</w:t>
      </w:r>
      <w:r w:rsidR="00737EB2" w:rsidRPr="00765F6E">
        <w:rPr>
          <w:rFonts w:hint="eastAsia"/>
        </w:rPr>
        <w:t>。</w:t>
      </w:r>
      <w:bookmarkEnd w:id="3416"/>
    </w:p>
    <w:p w14:paraId="1A283424" w14:textId="77777777" w:rsidR="00737EB2" w:rsidRPr="00765F6E" w:rsidRDefault="00737EB2" w:rsidP="00737EB2">
      <w:pPr>
        <w:pStyle w:val="affd"/>
        <w:spacing w:before="312" w:after="312"/>
      </w:pPr>
      <w:bookmarkStart w:id="3418" w:name="_Toc99792964"/>
      <w:bookmarkStart w:id="3419" w:name="_Toc153211006"/>
      <w:bookmarkStart w:id="3420" w:name="_Toc153292417"/>
      <w:bookmarkStart w:id="3421" w:name="_Toc167895904"/>
      <w:bookmarkStart w:id="3422" w:name="_Toc174538818"/>
      <w:bookmarkStart w:id="3423" w:name="_Toc182476576"/>
      <w:bookmarkEnd w:id="3417"/>
      <w:r w:rsidRPr="00765F6E">
        <w:rPr>
          <w:rFonts w:hint="eastAsia"/>
        </w:rPr>
        <w:t>综合接地</w:t>
      </w:r>
      <w:bookmarkEnd w:id="3418"/>
      <w:bookmarkEnd w:id="3419"/>
      <w:bookmarkEnd w:id="3420"/>
      <w:bookmarkEnd w:id="3421"/>
      <w:bookmarkEnd w:id="3422"/>
      <w:bookmarkEnd w:id="3423"/>
    </w:p>
    <w:p w14:paraId="1364FE35" w14:textId="77777777" w:rsidR="00737EB2" w:rsidRPr="00765F6E" w:rsidRDefault="00737EB2" w:rsidP="00737EB2">
      <w:pPr>
        <w:pStyle w:val="affe"/>
        <w:spacing w:before="156" w:after="156"/>
      </w:pPr>
      <w:bookmarkStart w:id="3424" w:name="_Toc99792965"/>
      <w:bookmarkStart w:id="3425" w:name="_Toc153211007"/>
      <w:bookmarkStart w:id="3426" w:name="_Toc153292418"/>
      <w:bookmarkStart w:id="3427" w:name="_Toc167895905"/>
      <w:bookmarkStart w:id="3428" w:name="_Toc174538819"/>
      <w:bookmarkStart w:id="3429" w:name="_Toc182476577"/>
      <w:r w:rsidRPr="00765F6E">
        <w:rPr>
          <w:rFonts w:hint="eastAsia"/>
        </w:rPr>
        <w:t>一般规定</w:t>
      </w:r>
      <w:bookmarkEnd w:id="3424"/>
      <w:bookmarkEnd w:id="3425"/>
      <w:bookmarkEnd w:id="3426"/>
      <w:bookmarkEnd w:id="3427"/>
      <w:bookmarkEnd w:id="3428"/>
      <w:bookmarkEnd w:id="3429"/>
    </w:p>
    <w:p w14:paraId="2478E26A" w14:textId="076EC7C4" w:rsidR="00737EB2" w:rsidRPr="00765F6E" w:rsidRDefault="00737EB2" w:rsidP="009D0776">
      <w:pPr>
        <w:pStyle w:val="22"/>
      </w:pPr>
      <w:bookmarkStart w:id="3430" w:name="_Toc99792966"/>
      <w:bookmarkStart w:id="3431" w:name="_Toc153292419"/>
      <w:r w:rsidRPr="00765F6E">
        <w:rPr>
          <w:rFonts w:hint="eastAsia"/>
        </w:rPr>
        <w:t>市域铁路新建线路宜设置综合接地系统。</w:t>
      </w:r>
      <w:bookmarkEnd w:id="3430"/>
      <w:bookmarkEnd w:id="3431"/>
    </w:p>
    <w:p w14:paraId="4C92C7F6" w14:textId="77777777" w:rsidR="00737EB2" w:rsidRPr="00765F6E" w:rsidRDefault="00737EB2" w:rsidP="009D0776">
      <w:pPr>
        <w:pStyle w:val="22"/>
      </w:pPr>
      <w:bookmarkStart w:id="3432" w:name="_Toc99792968"/>
      <w:bookmarkStart w:id="3433" w:name="_Toc153292420"/>
      <w:r w:rsidRPr="00765F6E">
        <w:rPr>
          <w:rFonts w:hint="eastAsia"/>
        </w:rPr>
        <w:t>综合接地系统应遵循等电位连接的原则。</w:t>
      </w:r>
      <w:bookmarkEnd w:id="3432"/>
      <w:bookmarkEnd w:id="3433"/>
    </w:p>
    <w:p w14:paraId="360DFED6" w14:textId="77777777" w:rsidR="00737EB2" w:rsidRPr="00765F6E" w:rsidRDefault="00737EB2" w:rsidP="009D0776">
      <w:pPr>
        <w:pStyle w:val="22"/>
      </w:pPr>
      <w:bookmarkStart w:id="3434" w:name="_Toc153292421"/>
      <w:bookmarkStart w:id="3435" w:name="_Toc99792970"/>
      <w:r w:rsidRPr="00765F6E">
        <w:rPr>
          <w:rFonts w:hint="eastAsia"/>
        </w:rPr>
        <w:t>综合接地系统的接地电阻不应大于 1Ω。</w:t>
      </w:r>
      <w:bookmarkEnd w:id="3434"/>
      <w:bookmarkEnd w:id="3435"/>
    </w:p>
    <w:p w14:paraId="51F622BF" w14:textId="77777777" w:rsidR="00737EB2" w:rsidRPr="00765F6E" w:rsidRDefault="00737EB2" w:rsidP="00737EB2">
      <w:pPr>
        <w:pStyle w:val="affe"/>
        <w:spacing w:before="156" w:after="156"/>
      </w:pPr>
      <w:bookmarkStart w:id="3436" w:name="_Toc99792971"/>
      <w:bookmarkStart w:id="3437" w:name="_Toc153292422"/>
      <w:bookmarkStart w:id="3438" w:name="_Toc153211008"/>
      <w:bookmarkStart w:id="3439" w:name="_Toc167895906"/>
      <w:bookmarkStart w:id="3440" w:name="_Toc174538820"/>
      <w:bookmarkStart w:id="3441" w:name="_Toc182476578"/>
      <w:r w:rsidRPr="00765F6E">
        <w:rPr>
          <w:rFonts w:hint="eastAsia"/>
        </w:rPr>
        <w:t>交流牵引模式下的综合接</w:t>
      </w:r>
      <w:bookmarkEnd w:id="3436"/>
      <w:r w:rsidRPr="00765F6E">
        <w:rPr>
          <w:rFonts w:hint="eastAsia"/>
        </w:rPr>
        <w:t>地</w:t>
      </w:r>
      <w:bookmarkEnd w:id="3437"/>
      <w:bookmarkEnd w:id="3438"/>
      <w:bookmarkEnd w:id="3439"/>
      <w:bookmarkEnd w:id="3440"/>
      <w:bookmarkEnd w:id="3441"/>
    </w:p>
    <w:p w14:paraId="6A9FCC68" w14:textId="77777777" w:rsidR="00737EB2" w:rsidRPr="00765F6E" w:rsidRDefault="00737EB2" w:rsidP="009D0776">
      <w:pPr>
        <w:pStyle w:val="22"/>
      </w:pPr>
      <w:bookmarkStart w:id="3442" w:name="_Toc99792972"/>
      <w:bookmarkStart w:id="3443" w:name="_Toc153292423"/>
      <w:r w:rsidRPr="00765F6E">
        <w:rPr>
          <w:rFonts w:hint="eastAsia"/>
        </w:rPr>
        <w:t>综合接地系统应包括贯通地线、接地装置，其中接地装置包括接地体（极）、接地端子和接地线。</w:t>
      </w:r>
      <w:bookmarkEnd w:id="3442"/>
      <w:bookmarkEnd w:id="3443"/>
    </w:p>
    <w:p w14:paraId="0F719584" w14:textId="77777777" w:rsidR="00737EB2" w:rsidRPr="00765F6E" w:rsidRDefault="00737EB2" w:rsidP="00DF023D">
      <w:pPr>
        <w:pStyle w:val="22"/>
      </w:pPr>
      <w:bookmarkStart w:id="3444" w:name="_Toc99792969"/>
      <w:bookmarkStart w:id="3445" w:name="_Toc153292424"/>
      <w:bookmarkStart w:id="3446" w:name="_Toc99792973"/>
      <w:r w:rsidRPr="00765F6E">
        <w:rPr>
          <w:rFonts w:hint="eastAsia"/>
        </w:rPr>
        <w:t>下列范围内的铁路电气设备和金属构件应接入综合接地系统：</w:t>
      </w:r>
      <w:bookmarkEnd w:id="3444"/>
      <w:bookmarkEnd w:id="3445"/>
    </w:p>
    <w:p w14:paraId="1381935E" w14:textId="77777777" w:rsidR="00737EB2" w:rsidRPr="00765F6E" w:rsidRDefault="00737EB2" w:rsidP="003334F3">
      <w:pPr>
        <w:pStyle w:val="af6"/>
        <w:numPr>
          <w:ilvl w:val="0"/>
          <w:numId w:val="252"/>
        </w:numPr>
        <w:tabs>
          <w:tab w:val="left" w:pos="851"/>
        </w:tabs>
        <w:snapToGrid w:val="0"/>
        <w:contextualSpacing/>
      </w:pPr>
      <w:r w:rsidRPr="00765F6E">
        <w:rPr>
          <w:rFonts w:hint="eastAsia"/>
        </w:rPr>
        <w:t>接触网支柱及距接触网带电体部分5m 范围以内的金属结构物和电气设备；</w:t>
      </w:r>
    </w:p>
    <w:p w14:paraId="6CFF2947" w14:textId="77777777" w:rsidR="00737EB2" w:rsidRPr="00765F6E" w:rsidRDefault="00737EB2" w:rsidP="00DF023D">
      <w:pPr>
        <w:pStyle w:val="af6"/>
        <w:tabs>
          <w:tab w:val="left" w:pos="851"/>
        </w:tabs>
        <w:snapToGrid w:val="0"/>
        <w:contextualSpacing/>
      </w:pPr>
      <w:r w:rsidRPr="00765F6E">
        <w:rPr>
          <w:rFonts w:hint="eastAsia"/>
        </w:rPr>
        <w:t>距贯通地线 20 m 范围以内的铁路建（构）筑物的接地装置。</w:t>
      </w:r>
    </w:p>
    <w:p w14:paraId="13DF8879" w14:textId="5E3615BE" w:rsidR="00737EB2" w:rsidRPr="00765F6E" w:rsidRDefault="00737EB2" w:rsidP="00DF023D">
      <w:pPr>
        <w:pStyle w:val="22"/>
      </w:pPr>
      <w:bookmarkStart w:id="3447" w:name="_Toc153292425"/>
      <w:r w:rsidRPr="00765F6E">
        <w:rPr>
          <w:rFonts w:hint="eastAsia"/>
        </w:rPr>
        <w:t>贯通地线、接地线</w:t>
      </w:r>
      <w:bookmarkEnd w:id="3446"/>
      <w:bookmarkEnd w:id="3447"/>
      <w:r w:rsidRPr="00765F6E">
        <w:rPr>
          <w:rFonts w:hint="eastAsia"/>
        </w:rPr>
        <w:t>符合下列规定</w:t>
      </w:r>
      <w:r w:rsidR="005B1954">
        <w:rPr>
          <w:rFonts w:hint="eastAsia"/>
        </w:rPr>
        <w:t>。</w:t>
      </w:r>
    </w:p>
    <w:p w14:paraId="01835138" w14:textId="5BED125B" w:rsidR="00737EB2" w:rsidRPr="00765F6E" w:rsidRDefault="00737EB2" w:rsidP="003334F3">
      <w:pPr>
        <w:pStyle w:val="affffb"/>
        <w:numPr>
          <w:ilvl w:val="0"/>
          <w:numId w:val="253"/>
        </w:numPr>
        <w:ind w:firstLineChars="0"/>
      </w:pPr>
      <w:r w:rsidRPr="00765F6E">
        <w:rPr>
          <w:rFonts w:hint="eastAsia"/>
        </w:rPr>
        <w:t>市域铁路双线线路两侧各敷设1条贯通地线，单线线路在列车运行方向侧敷设1条贯通地线</w:t>
      </w:r>
      <w:r w:rsidR="005B1954">
        <w:rPr>
          <w:rFonts w:hint="eastAsia"/>
        </w:rPr>
        <w:t>。</w:t>
      </w:r>
    </w:p>
    <w:p w14:paraId="25CF7ADB" w14:textId="30E62253" w:rsidR="00737EB2" w:rsidRPr="00765F6E" w:rsidRDefault="00737EB2" w:rsidP="003334F3">
      <w:pPr>
        <w:pStyle w:val="affffb"/>
        <w:numPr>
          <w:ilvl w:val="0"/>
          <w:numId w:val="253"/>
        </w:numPr>
        <w:ind w:firstLineChars="0"/>
      </w:pPr>
      <w:r w:rsidRPr="00765F6E">
        <w:rPr>
          <w:rFonts w:hAnsi="宋体" w:hint="eastAsia"/>
        </w:rPr>
        <w:t>设置在电缆槽内的贯通地线与电缆之间应采取物理隔离措施。桥梁地段的贯通地线宜埋设于电缆槽下方的保护层内</w:t>
      </w:r>
      <w:r w:rsidR="005B1954">
        <w:rPr>
          <w:rFonts w:hAnsi="宋体" w:hint="eastAsia"/>
        </w:rPr>
        <w:t>。</w:t>
      </w:r>
    </w:p>
    <w:p w14:paraId="23A8EF2A" w14:textId="77777777" w:rsidR="00737EB2" w:rsidRPr="00765F6E" w:rsidRDefault="00737EB2" w:rsidP="003334F3">
      <w:pPr>
        <w:pStyle w:val="affffb"/>
        <w:numPr>
          <w:ilvl w:val="0"/>
          <w:numId w:val="253"/>
        </w:numPr>
        <w:ind w:firstLineChars="0"/>
      </w:pPr>
      <w:r w:rsidRPr="00765F6E">
        <w:rPr>
          <w:rFonts w:hAnsi="宋体" w:hint="eastAsia"/>
        </w:rPr>
        <w:lastRenderedPageBreak/>
        <w:t>贯通地线截面积的选择符合下列规定：</w:t>
      </w:r>
    </w:p>
    <w:p w14:paraId="22EBE7CD" w14:textId="77777777" w:rsidR="00737EB2" w:rsidRPr="00765F6E" w:rsidRDefault="00737EB2" w:rsidP="00DF023D">
      <w:pPr>
        <w:pStyle w:val="af7"/>
        <w:tabs>
          <w:tab w:val="left" w:pos="851"/>
          <w:tab w:val="left" w:pos="1276"/>
        </w:tabs>
      </w:pPr>
      <w:r w:rsidRPr="00765F6E">
        <w:rPr>
          <w:rFonts w:hint="eastAsia"/>
        </w:rPr>
        <w:t>宜按照远期的牵引电流计算；</w:t>
      </w:r>
    </w:p>
    <w:p w14:paraId="4F2874E2" w14:textId="77777777" w:rsidR="00737EB2" w:rsidRPr="00765F6E" w:rsidRDefault="00737EB2" w:rsidP="00DF023D">
      <w:pPr>
        <w:pStyle w:val="af7"/>
        <w:tabs>
          <w:tab w:val="left" w:pos="851"/>
          <w:tab w:val="left" w:pos="1276"/>
        </w:tabs>
      </w:pPr>
      <w:r w:rsidRPr="00765F6E">
        <w:rPr>
          <w:rFonts w:hint="eastAsia"/>
        </w:rPr>
        <w:t>应符合正常情况下流过贯通地线最大牵引回流的要求；</w:t>
      </w:r>
    </w:p>
    <w:p w14:paraId="5E18D648" w14:textId="77777777" w:rsidR="00737EB2" w:rsidRPr="00765F6E" w:rsidRDefault="00737EB2" w:rsidP="00DF023D">
      <w:pPr>
        <w:pStyle w:val="af7"/>
        <w:tabs>
          <w:tab w:val="left" w:pos="851"/>
          <w:tab w:val="left" w:pos="1276"/>
        </w:tabs>
      </w:pPr>
      <w:r w:rsidRPr="00765F6E">
        <w:rPr>
          <w:rFonts w:hint="eastAsia"/>
        </w:rPr>
        <w:t>应符合接触网短路时通过瞬间大电流热稳定的要求，短路时间按 100ms 取值；</w:t>
      </w:r>
    </w:p>
    <w:p w14:paraId="79E177F2" w14:textId="77777777" w:rsidR="00737EB2" w:rsidRPr="00765F6E" w:rsidRDefault="00737EB2" w:rsidP="00DF023D">
      <w:pPr>
        <w:pStyle w:val="af7"/>
        <w:tabs>
          <w:tab w:val="left" w:pos="851"/>
          <w:tab w:val="left" w:pos="1276"/>
        </w:tabs>
      </w:pPr>
      <w:r w:rsidRPr="00765F6E">
        <w:rPr>
          <w:rFonts w:hint="eastAsia"/>
        </w:rPr>
        <w:t>应根据不同区段牵引回流的分布情况和隧道结构形式，分段考虑贯通地线型号。</w:t>
      </w:r>
    </w:p>
    <w:p w14:paraId="59C37F6A" w14:textId="07BF87E6" w:rsidR="00737EB2" w:rsidRPr="00765F6E" w:rsidRDefault="00737EB2" w:rsidP="003334F3">
      <w:pPr>
        <w:pStyle w:val="affffb"/>
        <w:numPr>
          <w:ilvl w:val="0"/>
          <w:numId w:val="253"/>
        </w:numPr>
        <w:ind w:firstLineChars="0"/>
      </w:pPr>
      <w:r w:rsidRPr="00765F6E">
        <w:rPr>
          <w:rFonts w:hAnsi="宋体" w:hint="eastAsia"/>
        </w:rPr>
        <w:t>贯通地线的材质应耐腐蚀并符合环保要求</w:t>
      </w:r>
      <w:r w:rsidR="005B1954">
        <w:rPr>
          <w:rFonts w:hAnsi="宋体" w:hint="eastAsia"/>
        </w:rPr>
        <w:t>。</w:t>
      </w:r>
    </w:p>
    <w:p w14:paraId="3BFBF321" w14:textId="59CD2971" w:rsidR="00737EB2" w:rsidRPr="00765F6E" w:rsidRDefault="00737EB2" w:rsidP="003334F3">
      <w:pPr>
        <w:pStyle w:val="affffb"/>
        <w:numPr>
          <w:ilvl w:val="0"/>
          <w:numId w:val="253"/>
        </w:numPr>
        <w:ind w:firstLineChars="0"/>
      </w:pPr>
      <w:r w:rsidRPr="00765F6E">
        <w:rPr>
          <w:rFonts w:hAnsi="宋体" w:hint="eastAsia"/>
        </w:rPr>
        <w:t>路基地段对应接触网支柱的同一里程处，设贯通地线的引接线，该引接线应与贯通地线同材质、同截面</w:t>
      </w:r>
      <w:r w:rsidR="005B1954">
        <w:rPr>
          <w:rFonts w:hAnsi="宋体" w:hint="eastAsia"/>
        </w:rPr>
        <w:t>。</w:t>
      </w:r>
    </w:p>
    <w:p w14:paraId="4BAB08DD" w14:textId="03A5A802" w:rsidR="00737EB2" w:rsidRPr="00765F6E" w:rsidRDefault="00737EB2" w:rsidP="003334F3">
      <w:pPr>
        <w:pStyle w:val="affffb"/>
        <w:numPr>
          <w:ilvl w:val="0"/>
          <w:numId w:val="253"/>
        </w:numPr>
        <w:ind w:firstLineChars="0"/>
      </w:pPr>
      <w:r w:rsidRPr="00765F6E">
        <w:rPr>
          <w:rFonts w:hAnsi="宋体" w:hint="eastAsia"/>
        </w:rPr>
        <w:t>线路两侧贯通地线应进行横向连接。路基地段间隔宜每隔约500m设一处横向连接线，横向连接线应与贯通地线同材质、同截面。桥梁地段利用梁端接地钢筋、隧道地段利用隧道接地钢筋实现横向连接。</w:t>
      </w:r>
    </w:p>
    <w:p w14:paraId="7B7FD1E2" w14:textId="2EBBB84E" w:rsidR="00737EB2" w:rsidRPr="00765F6E" w:rsidRDefault="00737EB2" w:rsidP="00DF023D">
      <w:pPr>
        <w:pStyle w:val="22"/>
      </w:pPr>
      <w:bookmarkStart w:id="3448" w:name="_Toc153292426"/>
      <w:bookmarkStart w:id="3449" w:name="_Toc99792974"/>
      <w:r w:rsidRPr="00765F6E">
        <w:rPr>
          <w:rFonts w:hint="eastAsia"/>
        </w:rPr>
        <w:t>接地体（极）和接地端子</w:t>
      </w:r>
      <w:bookmarkEnd w:id="3448"/>
      <w:r w:rsidRPr="00765F6E">
        <w:rPr>
          <w:rFonts w:hint="eastAsia"/>
        </w:rPr>
        <w:t>符合下列规定</w:t>
      </w:r>
      <w:r w:rsidR="005B1954">
        <w:rPr>
          <w:rFonts w:hint="eastAsia"/>
        </w:rPr>
        <w:t>。</w:t>
      </w:r>
    </w:p>
    <w:p w14:paraId="71A3D5DE" w14:textId="77777777" w:rsidR="00737EB2" w:rsidRPr="00765F6E" w:rsidRDefault="00737EB2" w:rsidP="003334F3">
      <w:pPr>
        <w:pStyle w:val="affffb"/>
        <w:numPr>
          <w:ilvl w:val="0"/>
          <w:numId w:val="254"/>
        </w:numPr>
        <w:ind w:firstLineChars="0"/>
      </w:pPr>
      <w:r w:rsidRPr="00765F6E">
        <w:rPr>
          <w:rFonts w:hAnsi="宋体" w:hint="eastAsia"/>
        </w:rPr>
        <w:t>桥梁接地体（极）设置符合下列规定：</w:t>
      </w:r>
    </w:p>
    <w:p w14:paraId="35508EC6" w14:textId="77777777" w:rsidR="00737EB2" w:rsidRPr="00765F6E" w:rsidRDefault="00737EB2" w:rsidP="003334F3">
      <w:pPr>
        <w:pStyle w:val="af7"/>
        <w:numPr>
          <w:ilvl w:val="1"/>
          <w:numId w:val="255"/>
        </w:numPr>
        <w:tabs>
          <w:tab w:val="left" w:pos="851"/>
          <w:tab w:val="left" w:pos="1276"/>
        </w:tabs>
      </w:pPr>
      <w:r w:rsidRPr="00765F6E">
        <w:rPr>
          <w:rFonts w:hint="eastAsia"/>
        </w:rPr>
        <w:t>桩基础桥墩在基础外围的每根桩中应选用非预应力通长结构钢筋，并在承台中环接构成接地体（极）；</w:t>
      </w:r>
    </w:p>
    <w:p w14:paraId="6E8215C6" w14:textId="77777777" w:rsidR="00737EB2" w:rsidRPr="00765F6E" w:rsidRDefault="00737EB2" w:rsidP="003334F3">
      <w:pPr>
        <w:pStyle w:val="af7"/>
        <w:numPr>
          <w:ilvl w:val="1"/>
          <w:numId w:val="255"/>
        </w:numPr>
        <w:tabs>
          <w:tab w:val="left" w:pos="851"/>
          <w:tab w:val="left" w:pos="1276"/>
        </w:tabs>
      </w:pPr>
      <w:r w:rsidRPr="00765F6E">
        <w:rPr>
          <w:rFonts w:hint="eastAsia"/>
        </w:rPr>
        <w:t>明挖基础桥墩在基底底面设一层钢筋网格作为水平接地体（极），通过桥墩中的非预应力结构钢筋与梁体接地钢筋相接；</w:t>
      </w:r>
    </w:p>
    <w:p w14:paraId="0F8A3096" w14:textId="77777777" w:rsidR="00737EB2" w:rsidRPr="00765F6E" w:rsidRDefault="00737EB2" w:rsidP="003334F3">
      <w:pPr>
        <w:pStyle w:val="af7"/>
        <w:numPr>
          <w:ilvl w:val="1"/>
          <w:numId w:val="255"/>
        </w:numPr>
        <w:tabs>
          <w:tab w:val="left" w:pos="851"/>
          <w:tab w:val="left" w:pos="1276"/>
        </w:tabs>
      </w:pPr>
      <w:r w:rsidRPr="00765F6E">
        <w:rPr>
          <w:rFonts w:hint="eastAsia"/>
        </w:rPr>
        <w:t>无砟轨道桥梁和道砟厚度小于 0.3 m 的有砟轨道桥梁，在梁体上表层适当位置处应利用非预应力结构钢筋作为纵向接地体（极）和横向接地体（极）；</w:t>
      </w:r>
    </w:p>
    <w:p w14:paraId="4376B472" w14:textId="77777777" w:rsidR="00737EB2" w:rsidRPr="00765F6E" w:rsidRDefault="00737EB2" w:rsidP="003334F3">
      <w:pPr>
        <w:pStyle w:val="af7"/>
        <w:numPr>
          <w:ilvl w:val="1"/>
          <w:numId w:val="255"/>
        </w:numPr>
        <w:tabs>
          <w:tab w:val="left" w:pos="851"/>
          <w:tab w:val="left" w:pos="1276"/>
        </w:tabs>
      </w:pPr>
      <w:r w:rsidRPr="00765F6E">
        <w:rPr>
          <w:rFonts w:hint="eastAsia"/>
        </w:rPr>
        <w:t>在桥梁两侧的防护墙上部，利用其上表层的非预应力纵向结构钢筋作为接地体（极）。</w:t>
      </w:r>
    </w:p>
    <w:p w14:paraId="3BF55DF8" w14:textId="5EF076A6" w:rsidR="00737EB2" w:rsidRPr="00765F6E" w:rsidRDefault="00737EB2" w:rsidP="003334F3">
      <w:pPr>
        <w:pStyle w:val="affffb"/>
        <w:numPr>
          <w:ilvl w:val="0"/>
          <w:numId w:val="254"/>
        </w:numPr>
        <w:ind w:firstLineChars="0"/>
      </w:pPr>
      <w:r w:rsidRPr="00765F6E">
        <w:rPr>
          <w:rFonts w:hAnsi="宋体" w:hint="eastAsia"/>
        </w:rPr>
        <w:t>明挖或矿山法隧道地段应根据不同的围岩等级利用隧道初期支护锚杆、钢架、环向接地钢筋、底板钢筋作为接地体（极），并符合下列规定</w:t>
      </w:r>
      <w:r w:rsidR="00ED46EC">
        <w:rPr>
          <w:rFonts w:hAnsi="宋体" w:hint="eastAsia"/>
        </w:rPr>
        <w:t>：</w:t>
      </w:r>
    </w:p>
    <w:p w14:paraId="4F22C3CA" w14:textId="77777777" w:rsidR="00737EB2" w:rsidRPr="00765F6E" w:rsidRDefault="00737EB2" w:rsidP="003334F3">
      <w:pPr>
        <w:pStyle w:val="af7"/>
        <w:numPr>
          <w:ilvl w:val="1"/>
          <w:numId w:val="256"/>
        </w:numPr>
        <w:tabs>
          <w:tab w:val="left" w:pos="851"/>
          <w:tab w:val="left" w:pos="1276"/>
        </w:tabs>
      </w:pPr>
      <w:r w:rsidRPr="00765F6E">
        <w:rPr>
          <w:rFonts w:hint="eastAsia"/>
        </w:rPr>
        <w:t>锚杆接地体（极）每 1 个台车位设置 1 处，用作接地体（极）的锚杆环向间距要求为锚杆长度的 2 倍；</w:t>
      </w:r>
    </w:p>
    <w:p w14:paraId="03BE0E47" w14:textId="77777777" w:rsidR="00737EB2" w:rsidRPr="00765F6E" w:rsidRDefault="00737EB2" w:rsidP="003334F3">
      <w:pPr>
        <w:pStyle w:val="af7"/>
        <w:numPr>
          <w:ilvl w:val="1"/>
          <w:numId w:val="256"/>
        </w:numPr>
        <w:tabs>
          <w:tab w:val="left" w:pos="851"/>
          <w:tab w:val="left" w:pos="1276"/>
        </w:tabs>
      </w:pPr>
      <w:r w:rsidRPr="00765F6E">
        <w:rPr>
          <w:rFonts w:hint="eastAsia"/>
        </w:rPr>
        <w:t>用于接地体（极）的锚杆与同里程的钢架或环向接地钢筋焊接；</w:t>
      </w:r>
    </w:p>
    <w:p w14:paraId="2D3670DE" w14:textId="77777777" w:rsidR="00737EB2" w:rsidRPr="00765F6E" w:rsidRDefault="00737EB2" w:rsidP="003334F3">
      <w:pPr>
        <w:pStyle w:val="af7"/>
        <w:numPr>
          <w:ilvl w:val="1"/>
          <w:numId w:val="256"/>
        </w:numPr>
        <w:tabs>
          <w:tab w:val="left" w:pos="851"/>
          <w:tab w:val="left" w:pos="1276"/>
        </w:tabs>
      </w:pPr>
      <w:r w:rsidRPr="00765F6E">
        <w:rPr>
          <w:rFonts w:hint="eastAsia"/>
        </w:rPr>
        <w:t>底板接地体（极）按照 1 m 间隔选用底板结构钢筋，接地体（极）按照 1</w:t>
      </w:r>
      <w:r w:rsidRPr="00765F6E">
        <w:t xml:space="preserve"> </w:t>
      </w:r>
      <w:r w:rsidRPr="00765F6E">
        <w:rPr>
          <w:rFonts w:hint="eastAsia"/>
        </w:rPr>
        <w:t>个台车位的长度考虑，间隔 1 个台车位设置 1 处；</w:t>
      </w:r>
    </w:p>
    <w:p w14:paraId="1C94BB88" w14:textId="77777777" w:rsidR="00737EB2" w:rsidRPr="00765F6E" w:rsidRDefault="00737EB2" w:rsidP="003334F3">
      <w:pPr>
        <w:pStyle w:val="af7"/>
        <w:numPr>
          <w:ilvl w:val="1"/>
          <w:numId w:val="256"/>
        </w:numPr>
        <w:tabs>
          <w:tab w:val="left" w:pos="851"/>
          <w:tab w:val="left" w:pos="1276"/>
        </w:tabs>
      </w:pPr>
      <w:r w:rsidRPr="00765F6E">
        <w:rPr>
          <w:rFonts w:hint="eastAsia"/>
        </w:rPr>
        <w:t>在电缆槽的线路侧外缘应各选取 1 根纵向结构钢筋，与隧道锚杆接地体（极）或底板接地体（极）及二次衬砌内的防闪络接地结构钢筋焊接。</w:t>
      </w:r>
    </w:p>
    <w:p w14:paraId="10EB23CE" w14:textId="77777777" w:rsidR="00737EB2" w:rsidRPr="00765F6E" w:rsidRDefault="00737EB2" w:rsidP="003334F3">
      <w:pPr>
        <w:pStyle w:val="affffb"/>
        <w:numPr>
          <w:ilvl w:val="0"/>
          <w:numId w:val="254"/>
        </w:numPr>
        <w:ind w:firstLineChars="0"/>
      </w:pPr>
      <w:r w:rsidRPr="00765F6E">
        <w:rPr>
          <w:rFonts w:hAnsi="宋体" w:hint="eastAsia"/>
        </w:rPr>
        <w:t>隧道二次衬砌中接地体（极）的设置应符合下列规定：</w:t>
      </w:r>
    </w:p>
    <w:p w14:paraId="27C94FAF" w14:textId="77777777" w:rsidR="00737EB2" w:rsidRPr="00765F6E" w:rsidRDefault="00737EB2" w:rsidP="003334F3">
      <w:pPr>
        <w:pStyle w:val="af7"/>
        <w:numPr>
          <w:ilvl w:val="1"/>
          <w:numId w:val="257"/>
        </w:numPr>
        <w:tabs>
          <w:tab w:val="left" w:pos="851"/>
          <w:tab w:val="left" w:pos="1276"/>
        </w:tabs>
      </w:pPr>
      <w:r w:rsidRPr="00765F6E">
        <w:rPr>
          <w:rFonts w:hint="eastAsia"/>
        </w:rPr>
        <w:t>二次衬砌中有钢筋网的隧道和明洞，应利用二次衬砌的内层纵、环向结构钢筋作为接触网断线保护接地体（极）；</w:t>
      </w:r>
    </w:p>
    <w:p w14:paraId="7102A8BD" w14:textId="77777777" w:rsidR="00737EB2" w:rsidRPr="00765F6E" w:rsidRDefault="00737EB2" w:rsidP="003334F3">
      <w:pPr>
        <w:pStyle w:val="af7"/>
        <w:numPr>
          <w:ilvl w:val="1"/>
          <w:numId w:val="257"/>
        </w:numPr>
        <w:tabs>
          <w:tab w:val="left" w:pos="851"/>
          <w:tab w:val="left" w:pos="1276"/>
        </w:tabs>
      </w:pPr>
      <w:r w:rsidRPr="00765F6E">
        <w:rPr>
          <w:rFonts w:hint="eastAsia"/>
        </w:rPr>
        <w:t>二次衬砌无钢筋时，仅设环向接地钢筋与接触网基础连接，作为接触网基础接地体（极）。</w:t>
      </w:r>
    </w:p>
    <w:p w14:paraId="0E105565" w14:textId="77777777" w:rsidR="00737EB2" w:rsidRPr="00765F6E" w:rsidRDefault="00737EB2" w:rsidP="003334F3">
      <w:pPr>
        <w:pStyle w:val="affffb"/>
        <w:numPr>
          <w:ilvl w:val="0"/>
          <w:numId w:val="254"/>
        </w:numPr>
        <w:ind w:firstLineChars="0"/>
      </w:pPr>
      <w:r w:rsidRPr="00765F6E">
        <w:rPr>
          <w:rFonts w:hAnsi="宋体" w:hint="eastAsia"/>
        </w:rPr>
        <w:t>盾构隧道接地体（极）设置符合下列规定：</w:t>
      </w:r>
    </w:p>
    <w:p w14:paraId="23A8CB8D" w14:textId="77777777" w:rsidR="00737EB2" w:rsidRPr="00765F6E" w:rsidRDefault="00737EB2" w:rsidP="003334F3">
      <w:pPr>
        <w:pStyle w:val="af7"/>
        <w:numPr>
          <w:ilvl w:val="1"/>
          <w:numId w:val="258"/>
        </w:numPr>
        <w:tabs>
          <w:tab w:val="left" w:pos="851"/>
          <w:tab w:val="left" w:pos="1276"/>
        </w:tabs>
      </w:pPr>
      <w:r w:rsidRPr="00765F6E">
        <w:rPr>
          <w:rFonts w:hint="eastAsia"/>
        </w:rPr>
        <w:t>盾构隧道内轨道板底层有减震钢筋网的，应利用轨道板底层的减震钢筋网作为接地极；</w:t>
      </w:r>
    </w:p>
    <w:p w14:paraId="1D959B1E" w14:textId="77777777" w:rsidR="00737EB2" w:rsidRPr="00765F6E" w:rsidRDefault="00737EB2" w:rsidP="003334F3">
      <w:pPr>
        <w:pStyle w:val="af7"/>
        <w:numPr>
          <w:ilvl w:val="1"/>
          <w:numId w:val="258"/>
        </w:numPr>
        <w:tabs>
          <w:tab w:val="left" w:pos="851"/>
          <w:tab w:val="left" w:pos="1276"/>
        </w:tabs>
      </w:pPr>
      <w:r w:rsidRPr="00765F6E">
        <w:rPr>
          <w:rFonts w:hint="eastAsia"/>
        </w:rPr>
        <w:t>盾构隧道内轨道板底层没有减震钢筋网的，在隧道底层填充层内设置一层纵横交错的钢筋网作为接地极；</w:t>
      </w:r>
    </w:p>
    <w:p w14:paraId="0F6C9EE6" w14:textId="77777777" w:rsidR="00737EB2" w:rsidRPr="00765F6E" w:rsidRDefault="00737EB2" w:rsidP="003334F3">
      <w:pPr>
        <w:pStyle w:val="af7"/>
        <w:numPr>
          <w:ilvl w:val="1"/>
          <w:numId w:val="258"/>
        </w:numPr>
        <w:tabs>
          <w:tab w:val="left" w:pos="851"/>
          <w:tab w:val="left" w:pos="1276"/>
        </w:tabs>
      </w:pPr>
      <w:r w:rsidRPr="00765F6E">
        <w:rPr>
          <w:rFonts w:hint="eastAsia"/>
        </w:rPr>
        <w:t>盾构隧道应利用区间风井、隧道内横向通道或综合洞室内的接地装置作为接地极；</w:t>
      </w:r>
    </w:p>
    <w:p w14:paraId="55189E97" w14:textId="77777777" w:rsidR="00737EB2" w:rsidRPr="00765F6E" w:rsidRDefault="00737EB2" w:rsidP="003334F3">
      <w:pPr>
        <w:pStyle w:val="af7"/>
        <w:numPr>
          <w:ilvl w:val="1"/>
          <w:numId w:val="258"/>
        </w:numPr>
        <w:tabs>
          <w:tab w:val="left" w:pos="851"/>
          <w:tab w:val="left" w:pos="1276"/>
        </w:tabs>
      </w:pPr>
      <w:r w:rsidRPr="00765F6E">
        <w:rPr>
          <w:rFonts w:hint="eastAsia"/>
        </w:rPr>
        <w:t>在两侧通信信号电缆槽的线路侧外缘应各选取一根纵向结构钢筋，每 100m 与隧道底板接地结构钢筋焊接。</w:t>
      </w:r>
    </w:p>
    <w:p w14:paraId="2C88FA2C" w14:textId="729A6385" w:rsidR="00737EB2" w:rsidRPr="00765F6E" w:rsidRDefault="00737EB2" w:rsidP="003334F3">
      <w:pPr>
        <w:pStyle w:val="affffb"/>
        <w:numPr>
          <w:ilvl w:val="0"/>
          <w:numId w:val="254"/>
        </w:numPr>
        <w:ind w:firstLineChars="0"/>
      </w:pPr>
      <w:r w:rsidRPr="00765F6E">
        <w:rPr>
          <w:rFonts w:hAnsi="宋体" w:hint="eastAsia"/>
        </w:rPr>
        <w:t>路基地段应利用接触网支柱基础内的非预应力结构钢筋作为接地体（极）。当接触网支柱基础内没有非预应力结构钢筋时应增设接地钢筋</w:t>
      </w:r>
      <w:r w:rsidR="005B1954">
        <w:rPr>
          <w:rFonts w:hAnsi="宋体" w:hint="eastAsia"/>
        </w:rPr>
        <w:t>。</w:t>
      </w:r>
    </w:p>
    <w:p w14:paraId="1DF2325E" w14:textId="27E8E7B2" w:rsidR="00737EB2" w:rsidRPr="00765F6E" w:rsidRDefault="00737EB2" w:rsidP="003334F3">
      <w:pPr>
        <w:pStyle w:val="affffb"/>
        <w:numPr>
          <w:ilvl w:val="0"/>
          <w:numId w:val="254"/>
        </w:numPr>
        <w:ind w:firstLineChars="0"/>
      </w:pPr>
      <w:r w:rsidRPr="00765F6E">
        <w:rPr>
          <w:rFonts w:hAnsi="宋体" w:hint="eastAsia"/>
        </w:rPr>
        <w:lastRenderedPageBreak/>
        <w:t>地下车站利用隧道底层的结构钢筋作为接地极，作为接地极的纵、横向结构钢筋间应进行可靠连接</w:t>
      </w:r>
      <w:r w:rsidR="005B1954">
        <w:rPr>
          <w:rFonts w:hAnsi="宋体" w:hint="eastAsia"/>
        </w:rPr>
        <w:t>。</w:t>
      </w:r>
    </w:p>
    <w:p w14:paraId="6F830574" w14:textId="77777777" w:rsidR="00737EB2" w:rsidRPr="00765F6E" w:rsidRDefault="00737EB2" w:rsidP="003334F3">
      <w:pPr>
        <w:pStyle w:val="affffb"/>
        <w:numPr>
          <w:ilvl w:val="0"/>
          <w:numId w:val="254"/>
        </w:numPr>
        <w:ind w:firstLineChars="0"/>
      </w:pPr>
      <w:r w:rsidRPr="00765F6E">
        <w:rPr>
          <w:rFonts w:hAnsi="宋体" w:hint="eastAsia"/>
        </w:rPr>
        <w:t>桥梁接地端子设置符合下列规定：</w:t>
      </w:r>
    </w:p>
    <w:p w14:paraId="10753405" w14:textId="77777777" w:rsidR="00737EB2" w:rsidRPr="00765F6E" w:rsidRDefault="00737EB2" w:rsidP="003334F3">
      <w:pPr>
        <w:pStyle w:val="af7"/>
        <w:numPr>
          <w:ilvl w:val="1"/>
          <w:numId w:val="259"/>
        </w:numPr>
        <w:tabs>
          <w:tab w:val="left" w:pos="851"/>
          <w:tab w:val="left" w:pos="1276"/>
        </w:tabs>
      </w:pPr>
      <w:r w:rsidRPr="00765F6E">
        <w:rPr>
          <w:rFonts w:hint="eastAsia"/>
        </w:rPr>
        <w:t>在每桥墩墩帽设置接地端子，用于桥墩接地体（极）与梁体接地体（极）的连接；接地端子与桥墩内接地钢筋应焊接；</w:t>
      </w:r>
    </w:p>
    <w:p w14:paraId="7B596779" w14:textId="77777777" w:rsidR="00737EB2" w:rsidRPr="00765F6E" w:rsidRDefault="00737EB2" w:rsidP="003334F3">
      <w:pPr>
        <w:pStyle w:val="af7"/>
        <w:numPr>
          <w:ilvl w:val="1"/>
          <w:numId w:val="259"/>
        </w:numPr>
        <w:tabs>
          <w:tab w:val="left" w:pos="851"/>
          <w:tab w:val="left" w:pos="1276"/>
        </w:tabs>
      </w:pPr>
      <w:r w:rsidRPr="00765F6E">
        <w:rPr>
          <w:rFonts w:hint="eastAsia"/>
        </w:rPr>
        <w:t>在每跨梁底部设置接地端子，用于梁体与桥墩间的接地连接；</w:t>
      </w:r>
    </w:p>
    <w:p w14:paraId="2FE38DFC" w14:textId="77777777" w:rsidR="00737EB2" w:rsidRPr="00765F6E" w:rsidRDefault="00737EB2" w:rsidP="003334F3">
      <w:pPr>
        <w:pStyle w:val="af7"/>
        <w:numPr>
          <w:ilvl w:val="1"/>
          <w:numId w:val="259"/>
        </w:numPr>
        <w:tabs>
          <w:tab w:val="left" w:pos="851"/>
          <w:tab w:val="left" w:pos="1276"/>
        </w:tabs>
      </w:pPr>
      <w:r w:rsidRPr="00765F6E">
        <w:rPr>
          <w:rFonts w:hint="eastAsia"/>
        </w:rPr>
        <w:t>在每跨梁上部设置接地端子，用于贯通地线及轨旁设备、设施等的接地连接；</w:t>
      </w:r>
    </w:p>
    <w:p w14:paraId="47CACE4B" w14:textId="77777777" w:rsidR="00737EB2" w:rsidRPr="00765F6E" w:rsidRDefault="00737EB2" w:rsidP="003334F3">
      <w:pPr>
        <w:pStyle w:val="af7"/>
        <w:numPr>
          <w:ilvl w:val="1"/>
          <w:numId w:val="259"/>
        </w:numPr>
        <w:tabs>
          <w:tab w:val="left" w:pos="851"/>
          <w:tab w:val="left" w:pos="1276"/>
        </w:tabs>
      </w:pPr>
      <w:r w:rsidRPr="00765F6E">
        <w:rPr>
          <w:rFonts w:hint="eastAsia"/>
        </w:rPr>
        <w:t>梁体上的接地端子均应在梁体内与其接地钢筋焊接。</w:t>
      </w:r>
    </w:p>
    <w:p w14:paraId="4A58F39B" w14:textId="77777777" w:rsidR="00737EB2" w:rsidRPr="00765F6E" w:rsidRDefault="00737EB2" w:rsidP="003334F3">
      <w:pPr>
        <w:pStyle w:val="affffb"/>
        <w:numPr>
          <w:ilvl w:val="0"/>
          <w:numId w:val="254"/>
        </w:numPr>
        <w:ind w:firstLineChars="0"/>
      </w:pPr>
      <w:r w:rsidRPr="00765F6E">
        <w:rPr>
          <w:rFonts w:hAnsi="宋体" w:hint="eastAsia"/>
        </w:rPr>
        <w:t>隧道接地端子设置符合下列规定：</w:t>
      </w:r>
    </w:p>
    <w:p w14:paraId="51864B69" w14:textId="77777777" w:rsidR="00737EB2" w:rsidRPr="00765F6E" w:rsidRDefault="00737EB2" w:rsidP="003334F3">
      <w:pPr>
        <w:pStyle w:val="af7"/>
        <w:numPr>
          <w:ilvl w:val="1"/>
          <w:numId w:val="260"/>
        </w:numPr>
        <w:tabs>
          <w:tab w:val="left" w:pos="851"/>
          <w:tab w:val="left" w:pos="1276"/>
        </w:tabs>
      </w:pPr>
      <w:r w:rsidRPr="00765F6E">
        <w:rPr>
          <w:rFonts w:hint="eastAsia"/>
        </w:rPr>
        <w:t>在两侧通信信号电缆槽靠线路侧外缘上约每 50m 设置接地端子，用于轨旁设备、设施的接地连接；</w:t>
      </w:r>
    </w:p>
    <w:p w14:paraId="2807EDA3" w14:textId="77777777" w:rsidR="00737EB2" w:rsidRPr="00765F6E" w:rsidRDefault="00737EB2" w:rsidP="003334F3">
      <w:pPr>
        <w:pStyle w:val="af7"/>
        <w:numPr>
          <w:ilvl w:val="1"/>
          <w:numId w:val="260"/>
        </w:numPr>
        <w:tabs>
          <w:tab w:val="left" w:pos="851"/>
          <w:tab w:val="left" w:pos="1276"/>
        </w:tabs>
      </w:pPr>
      <w:r w:rsidRPr="00765F6E">
        <w:rPr>
          <w:rFonts w:hint="eastAsia"/>
        </w:rPr>
        <w:t>在每个隧道洞室垂直线路的两侧壁下方设置接地端子，用于洞室内设备、设施接地连接；</w:t>
      </w:r>
    </w:p>
    <w:p w14:paraId="53344EAB" w14:textId="77777777" w:rsidR="00737EB2" w:rsidRPr="00765F6E" w:rsidRDefault="00737EB2" w:rsidP="003334F3">
      <w:pPr>
        <w:pStyle w:val="af7"/>
        <w:numPr>
          <w:ilvl w:val="1"/>
          <w:numId w:val="260"/>
        </w:numPr>
        <w:tabs>
          <w:tab w:val="left" w:pos="851"/>
          <w:tab w:val="left" w:pos="1276"/>
        </w:tabs>
      </w:pPr>
      <w:r w:rsidRPr="00765F6E">
        <w:rPr>
          <w:rFonts w:hint="eastAsia"/>
        </w:rPr>
        <w:t>在隧道电缆槽内间隔 100m 设置接地端子，用于贯通地线的接地连接；</w:t>
      </w:r>
    </w:p>
    <w:p w14:paraId="18BAE8C4" w14:textId="77777777" w:rsidR="00737EB2" w:rsidRPr="00765F6E" w:rsidRDefault="00737EB2" w:rsidP="003334F3">
      <w:pPr>
        <w:pStyle w:val="af7"/>
        <w:numPr>
          <w:ilvl w:val="1"/>
          <w:numId w:val="260"/>
        </w:numPr>
        <w:tabs>
          <w:tab w:val="left" w:pos="851"/>
          <w:tab w:val="left" w:pos="1276"/>
        </w:tabs>
      </w:pPr>
      <w:r w:rsidRPr="00765F6E">
        <w:rPr>
          <w:rFonts w:hint="eastAsia"/>
        </w:rPr>
        <w:t>隧道内所有接地端子均应通过连接钢筋与电缆槽外缘的纵向接地钢筋连接。</w:t>
      </w:r>
    </w:p>
    <w:p w14:paraId="5580573B" w14:textId="77777777" w:rsidR="00737EB2" w:rsidRPr="00765F6E" w:rsidRDefault="00737EB2" w:rsidP="003334F3">
      <w:pPr>
        <w:pStyle w:val="affffb"/>
        <w:numPr>
          <w:ilvl w:val="0"/>
          <w:numId w:val="254"/>
        </w:numPr>
        <w:ind w:firstLineChars="0"/>
      </w:pPr>
      <w:r w:rsidRPr="00765F6E">
        <w:rPr>
          <w:rFonts w:hAnsi="宋体" w:hint="eastAsia"/>
        </w:rPr>
        <w:t>地下车站接地端子设置符合下列规定：</w:t>
      </w:r>
    </w:p>
    <w:p w14:paraId="379F5CD5" w14:textId="77777777" w:rsidR="00737EB2" w:rsidRPr="00765F6E" w:rsidRDefault="00737EB2" w:rsidP="003334F3">
      <w:pPr>
        <w:pStyle w:val="af7"/>
        <w:numPr>
          <w:ilvl w:val="1"/>
          <w:numId w:val="261"/>
        </w:numPr>
        <w:tabs>
          <w:tab w:val="left" w:pos="851"/>
          <w:tab w:val="left" w:pos="1276"/>
        </w:tabs>
      </w:pPr>
      <w:r w:rsidRPr="00765F6E">
        <w:rPr>
          <w:rFonts w:hint="eastAsia"/>
        </w:rPr>
        <w:t>在两侧电缆槽靠线路侧外缘上约每 50m 设置接地端子，站台外缘上一般约每100m 设置接地端子，设备集中处应根据需要集中设置接地端子；</w:t>
      </w:r>
    </w:p>
    <w:p w14:paraId="77B92E84" w14:textId="77777777" w:rsidR="00737EB2" w:rsidRPr="00765F6E" w:rsidRDefault="00737EB2" w:rsidP="003334F3">
      <w:pPr>
        <w:pStyle w:val="af7"/>
        <w:numPr>
          <w:ilvl w:val="1"/>
          <w:numId w:val="261"/>
        </w:numPr>
        <w:tabs>
          <w:tab w:val="left" w:pos="851"/>
          <w:tab w:val="left" w:pos="1276"/>
        </w:tabs>
      </w:pPr>
      <w:r w:rsidRPr="00765F6E">
        <w:rPr>
          <w:rFonts w:hint="eastAsia"/>
        </w:rPr>
        <w:t>地下车站内所有接地端子均应通过连接钢筋与接地钢筋连接。</w:t>
      </w:r>
    </w:p>
    <w:p w14:paraId="163A87AD" w14:textId="77777777" w:rsidR="00737EB2" w:rsidRPr="00765F6E" w:rsidRDefault="00737EB2" w:rsidP="003334F3">
      <w:pPr>
        <w:pStyle w:val="affffb"/>
        <w:numPr>
          <w:ilvl w:val="0"/>
          <w:numId w:val="254"/>
        </w:numPr>
        <w:ind w:firstLineChars="0"/>
      </w:pPr>
      <w:r w:rsidRPr="00765F6E">
        <w:rPr>
          <w:rFonts w:hAnsi="宋体" w:hint="eastAsia"/>
        </w:rPr>
        <w:t>路基地段接地端子设置符合下列规定：</w:t>
      </w:r>
    </w:p>
    <w:p w14:paraId="5E73A5ED" w14:textId="77777777" w:rsidR="00737EB2" w:rsidRPr="00765F6E" w:rsidRDefault="00737EB2" w:rsidP="003334F3">
      <w:pPr>
        <w:pStyle w:val="af7"/>
        <w:numPr>
          <w:ilvl w:val="1"/>
          <w:numId w:val="262"/>
        </w:numPr>
        <w:tabs>
          <w:tab w:val="left" w:pos="851"/>
          <w:tab w:val="left" w:pos="1276"/>
        </w:tabs>
      </w:pPr>
      <w:r w:rsidRPr="00765F6E">
        <w:rPr>
          <w:rFonts w:hint="eastAsia"/>
        </w:rPr>
        <w:t>接触网支柱基础侧面应预制接地端子，并通过分支引接线直接与贯通地线连接，接地端子应与接触网支柱基础内接地的结构钢筋焊接；</w:t>
      </w:r>
    </w:p>
    <w:p w14:paraId="15B16A23" w14:textId="77777777" w:rsidR="00737EB2" w:rsidRPr="00765F6E" w:rsidRDefault="00737EB2" w:rsidP="003334F3">
      <w:pPr>
        <w:pStyle w:val="af7"/>
        <w:numPr>
          <w:ilvl w:val="1"/>
          <w:numId w:val="262"/>
        </w:numPr>
        <w:tabs>
          <w:tab w:val="left" w:pos="851"/>
          <w:tab w:val="left" w:pos="1276"/>
        </w:tabs>
      </w:pPr>
      <w:r w:rsidRPr="00765F6E">
        <w:rPr>
          <w:rFonts w:hint="eastAsia"/>
        </w:rPr>
        <w:t>根据需要可在电缆槽内适当位置设置接地端子，并通过分支引接线与贯通地线连接。</w:t>
      </w:r>
    </w:p>
    <w:p w14:paraId="52418FEA" w14:textId="2D0D4D3D" w:rsidR="00737EB2" w:rsidRPr="00765F6E" w:rsidRDefault="00737EB2" w:rsidP="00DF023D">
      <w:pPr>
        <w:pStyle w:val="22"/>
      </w:pPr>
      <w:bookmarkStart w:id="3450" w:name="_Toc99792975"/>
      <w:bookmarkStart w:id="3451" w:name="_Toc153292427"/>
      <w:bookmarkEnd w:id="3449"/>
      <w:r w:rsidRPr="00765F6E">
        <w:rPr>
          <w:rFonts w:hint="eastAsia"/>
        </w:rPr>
        <w:t>接地及等电位连接</w:t>
      </w:r>
      <w:bookmarkEnd w:id="3450"/>
      <w:bookmarkEnd w:id="3451"/>
      <w:r w:rsidRPr="00765F6E">
        <w:rPr>
          <w:rFonts w:hint="eastAsia"/>
        </w:rPr>
        <w:t>符合下列规定</w:t>
      </w:r>
      <w:r w:rsidR="005B1954">
        <w:rPr>
          <w:rFonts w:hint="eastAsia"/>
        </w:rPr>
        <w:t>。</w:t>
      </w:r>
    </w:p>
    <w:p w14:paraId="383ADD9F" w14:textId="77777777" w:rsidR="00737EB2" w:rsidRPr="00765F6E" w:rsidRDefault="00737EB2" w:rsidP="00DF023D">
      <w:pPr>
        <w:pStyle w:val="22"/>
        <w:numPr>
          <w:ilvl w:val="0"/>
          <w:numId w:val="0"/>
        </w:numPr>
        <w:ind w:left="425"/>
      </w:pPr>
      <w:bookmarkStart w:id="3452" w:name="_Toc153292428"/>
      <w:r w:rsidRPr="008C6921">
        <w:rPr>
          <w:rFonts w:hint="eastAsia"/>
        </w:rPr>
        <w:t>a)</w:t>
      </w:r>
      <w:r w:rsidRPr="00765F6E">
        <w:rPr>
          <w:rFonts w:hint="eastAsia"/>
        </w:rPr>
        <w:t xml:space="preserve"> </w:t>
      </w:r>
      <w:r w:rsidRPr="00765F6E">
        <w:t xml:space="preserve"> </w:t>
      </w:r>
      <w:r w:rsidRPr="00765F6E">
        <w:rPr>
          <w:rFonts w:hint="eastAsia"/>
        </w:rPr>
        <w:t>接闪器接地及等电位符合下列规定：</w:t>
      </w:r>
      <w:bookmarkEnd w:id="3452"/>
    </w:p>
    <w:p w14:paraId="4554FFE4" w14:textId="77777777" w:rsidR="00737EB2" w:rsidRPr="00765F6E" w:rsidRDefault="00737EB2" w:rsidP="003334F3">
      <w:pPr>
        <w:pStyle w:val="af7"/>
        <w:numPr>
          <w:ilvl w:val="1"/>
          <w:numId w:val="263"/>
        </w:numPr>
        <w:tabs>
          <w:tab w:val="left" w:pos="851"/>
          <w:tab w:val="left" w:pos="1276"/>
        </w:tabs>
      </w:pPr>
      <w:r w:rsidRPr="00765F6E">
        <w:rPr>
          <w:rFonts w:hint="eastAsia"/>
        </w:rPr>
        <w:t>接闪器设独立装置接地；</w:t>
      </w:r>
    </w:p>
    <w:p w14:paraId="68E9B394" w14:textId="77777777" w:rsidR="00737EB2" w:rsidRPr="00765F6E" w:rsidRDefault="00737EB2" w:rsidP="003334F3">
      <w:pPr>
        <w:pStyle w:val="af7"/>
        <w:numPr>
          <w:ilvl w:val="1"/>
          <w:numId w:val="263"/>
        </w:numPr>
        <w:tabs>
          <w:tab w:val="left" w:pos="851"/>
          <w:tab w:val="left" w:pos="1276"/>
        </w:tabs>
      </w:pPr>
      <w:r w:rsidRPr="00765F6E">
        <w:rPr>
          <w:rFonts w:hint="eastAsia"/>
        </w:rPr>
        <w:t>接闪器接地装置与贯通地线或建筑物接地装置的距离不小于1</w:t>
      </w:r>
      <w:r w:rsidRPr="00765F6E">
        <w:t>5</w:t>
      </w:r>
      <w:r w:rsidRPr="00765F6E">
        <w:rPr>
          <w:rFonts w:hint="eastAsia"/>
        </w:rPr>
        <w:t>m ,否则二者应进行等电位连接；</w:t>
      </w:r>
    </w:p>
    <w:p w14:paraId="689B283A" w14:textId="77777777" w:rsidR="00737EB2" w:rsidRPr="00765F6E" w:rsidRDefault="00737EB2" w:rsidP="003334F3">
      <w:pPr>
        <w:pStyle w:val="af7"/>
        <w:numPr>
          <w:ilvl w:val="1"/>
          <w:numId w:val="263"/>
        </w:numPr>
        <w:tabs>
          <w:tab w:val="left" w:pos="851"/>
          <w:tab w:val="left" w:pos="1276"/>
        </w:tabs>
      </w:pPr>
      <w:r w:rsidRPr="00765F6E">
        <w:rPr>
          <w:rFonts w:hint="eastAsia"/>
        </w:rPr>
        <w:t>当进行等电位连接时，接闪器接地装置在贯通地线或建筑物接地装置上的连接点，与电子信息设备接地点之间的距离不应小于</w:t>
      </w:r>
      <w:r w:rsidRPr="00765F6E">
        <w:t>15m</w:t>
      </w:r>
      <w:r w:rsidRPr="00765F6E">
        <w:rPr>
          <w:rFonts w:hint="eastAsia"/>
        </w:rPr>
        <w:t>。</w:t>
      </w:r>
    </w:p>
    <w:p w14:paraId="236335C1" w14:textId="7258F220" w:rsidR="00737EB2" w:rsidRPr="00765F6E" w:rsidRDefault="00737EB2" w:rsidP="00DF023D">
      <w:pPr>
        <w:pStyle w:val="affffb"/>
        <w:ind w:leftChars="200" w:left="840" w:hangingChars="200" w:hanging="420"/>
      </w:pPr>
      <w:r w:rsidRPr="00765F6E">
        <w:rPr>
          <w:rFonts w:hint="eastAsia"/>
        </w:rPr>
        <w:t>b</w:t>
      </w:r>
      <w:r w:rsidRPr="00765F6E">
        <w:t>)</w:t>
      </w:r>
      <w:r w:rsidRPr="00765F6E">
        <w:rPr>
          <w:rFonts w:hAnsi="宋体" w:hint="eastAsia"/>
        </w:rPr>
        <w:t xml:space="preserve"> </w:t>
      </w:r>
      <w:r w:rsidRPr="00765F6E">
        <w:rPr>
          <w:rFonts w:hAnsi="宋体"/>
        </w:rPr>
        <w:t xml:space="preserve"> </w:t>
      </w:r>
      <w:r w:rsidRPr="00765F6E">
        <w:rPr>
          <w:rFonts w:hAnsi="宋体" w:hint="eastAsia"/>
        </w:rPr>
        <w:t>无砟轨道区段，每间隔约100m的轨道板之间的纵向接地钢筋通过接地端子进行等电位连接，并与靠近的线路侧预埋的接地端子单点T形连接</w:t>
      </w:r>
      <w:r w:rsidR="005B1954">
        <w:rPr>
          <w:rFonts w:hAnsi="宋体" w:hint="eastAsia"/>
        </w:rPr>
        <w:t>。</w:t>
      </w:r>
    </w:p>
    <w:p w14:paraId="3011EA2E" w14:textId="77777777" w:rsidR="00737EB2" w:rsidRPr="00765F6E" w:rsidRDefault="00737EB2" w:rsidP="00DF023D">
      <w:pPr>
        <w:pStyle w:val="affffb"/>
        <w:ind w:firstLine="420"/>
        <w:rPr>
          <w:rFonts w:hAnsi="宋体"/>
        </w:rPr>
      </w:pPr>
      <w:r w:rsidRPr="00765F6E">
        <w:rPr>
          <w:rFonts w:hint="eastAsia"/>
        </w:rPr>
        <w:t>c</w:t>
      </w:r>
      <w:r w:rsidRPr="00765F6E">
        <w:t>)</w:t>
      </w:r>
      <w:r w:rsidRPr="00765F6E">
        <w:rPr>
          <w:rFonts w:hAnsi="宋体" w:hint="eastAsia"/>
        </w:rPr>
        <w:t xml:space="preserve"> </w:t>
      </w:r>
      <w:r w:rsidRPr="00765F6E">
        <w:rPr>
          <w:rFonts w:hAnsi="宋体"/>
        </w:rPr>
        <w:t xml:space="preserve"> </w:t>
      </w:r>
      <w:r w:rsidRPr="00765F6E">
        <w:rPr>
          <w:rFonts w:hAnsi="宋体" w:hint="eastAsia"/>
        </w:rPr>
        <w:t>站台范围的接地连接符合下列规定：</w:t>
      </w:r>
    </w:p>
    <w:p w14:paraId="3A51C1F9" w14:textId="77777777" w:rsidR="00737EB2" w:rsidRPr="00765F6E" w:rsidRDefault="00737EB2" w:rsidP="003334F3">
      <w:pPr>
        <w:pStyle w:val="af7"/>
        <w:numPr>
          <w:ilvl w:val="1"/>
          <w:numId w:val="264"/>
        </w:numPr>
        <w:tabs>
          <w:tab w:val="left" w:pos="851"/>
          <w:tab w:val="left" w:pos="1276"/>
        </w:tabs>
      </w:pPr>
      <w:r w:rsidRPr="00765F6E">
        <w:rPr>
          <w:rFonts w:hint="eastAsia"/>
        </w:rPr>
        <w:t>站台墙的台面上层靠线路侧0.6m 范围内的纵向结构钢筋与站台墙内的部分横向、竖向结构钢筋及接地端子连接构成站台墙接地体（极），并与综合接地系统间隔约100m 连接 1 次；</w:t>
      </w:r>
    </w:p>
    <w:p w14:paraId="6D8B506F" w14:textId="77777777" w:rsidR="00737EB2" w:rsidRPr="00765F6E" w:rsidRDefault="00737EB2" w:rsidP="003334F3">
      <w:pPr>
        <w:pStyle w:val="af7"/>
        <w:numPr>
          <w:ilvl w:val="1"/>
          <w:numId w:val="264"/>
        </w:numPr>
        <w:tabs>
          <w:tab w:val="left" w:pos="851"/>
          <w:tab w:val="left" w:pos="1276"/>
        </w:tabs>
      </w:pPr>
      <w:r w:rsidRPr="00765F6E">
        <w:rPr>
          <w:rFonts w:hint="eastAsia"/>
        </w:rPr>
        <w:t>站台上纵向长度超过 2m 的金属构件应接地，有条件时应接入综合接地系统；</w:t>
      </w:r>
    </w:p>
    <w:p w14:paraId="1499B082" w14:textId="77777777" w:rsidR="00737EB2" w:rsidRPr="00765F6E" w:rsidRDefault="00737EB2" w:rsidP="003334F3">
      <w:pPr>
        <w:pStyle w:val="af7"/>
        <w:numPr>
          <w:ilvl w:val="1"/>
          <w:numId w:val="264"/>
        </w:numPr>
        <w:tabs>
          <w:tab w:val="left" w:pos="851"/>
          <w:tab w:val="left" w:pos="1276"/>
        </w:tabs>
        <w:rPr>
          <w:rFonts w:hAnsi="宋体"/>
        </w:rPr>
      </w:pPr>
      <w:r w:rsidRPr="00765F6E">
        <w:rPr>
          <w:rFonts w:hint="eastAsia"/>
        </w:rPr>
        <w:t>车站雨棚应与综合接地系统连接。</w:t>
      </w:r>
    </w:p>
    <w:p w14:paraId="67151A34" w14:textId="77777777" w:rsidR="00737EB2" w:rsidRPr="00765F6E" w:rsidRDefault="00737EB2" w:rsidP="00DF023D">
      <w:pPr>
        <w:pStyle w:val="affffb"/>
        <w:ind w:firstLine="420"/>
      </w:pPr>
      <w:r w:rsidRPr="00765F6E">
        <w:rPr>
          <w:rFonts w:hint="eastAsia"/>
        </w:rPr>
        <w:t>d</w:t>
      </w:r>
      <w:r w:rsidRPr="00765F6E">
        <w:t xml:space="preserve">)  </w:t>
      </w:r>
      <w:r w:rsidRPr="00765F6E">
        <w:rPr>
          <w:rFonts w:hAnsi="宋体" w:hint="eastAsia"/>
        </w:rPr>
        <w:t>牵引供电系统的接地符合下列规定：</w:t>
      </w:r>
    </w:p>
    <w:p w14:paraId="2F9B38D3" w14:textId="77777777" w:rsidR="00737EB2" w:rsidRPr="00765F6E" w:rsidRDefault="00737EB2" w:rsidP="003334F3">
      <w:pPr>
        <w:pStyle w:val="af7"/>
        <w:numPr>
          <w:ilvl w:val="1"/>
          <w:numId w:val="265"/>
        </w:numPr>
        <w:tabs>
          <w:tab w:val="left" w:pos="851"/>
          <w:tab w:val="left" w:pos="1276"/>
        </w:tabs>
      </w:pPr>
      <w:r w:rsidRPr="00765F6E">
        <w:rPr>
          <w:rFonts w:hint="eastAsia"/>
        </w:rPr>
        <w:t>贯通地线与完全横向连接线连接点、PW 线或 NF 线的引下线与扼流变压器或空芯线圈中性点连接点宜在同一位置；</w:t>
      </w:r>
    </w:p>
    <w:p w14:paraId="70DFBAC2" w14:textId="77777777" w:rsidR="00737EB2" w:rsidRPr="00765F6E" w:rsidRDefault="00737EB2" w:rsidP="003334F3">
      <w:pPr>
        <w:pStyle w:val="af7"/>
        <w:numPr>
          <w:ilvl w:val="1"/>
          <w:numId w:val="265"/>
        </w:numPr>
        <w:tabs>
          <w:tab w:val="left" w:pos="851"/>
          <w:tab w:val="left" w:pos="1276"/>
        </w:tabs>
      </w:pPr>
      <w:r w:rsidRPr="00765F6E">
        <w:rPr>
          <w:rFonts w:hint="eastAsia"/>
        </w:rPr>
        <w:t>牵引变电所、开闭所、AT所和分区所均应单独设置接地装置,与综合接地系统等电位连接应符合有关技术标准的规定；</w:t>
      </w:r>
    </w:p>
    <w:p w14:paraId="520CA8F3" w14:textId="77777777" w:rsidR="00737EB2" w:rsidRPr="00765F6E" w:rsidRDefault="00737EB2" w:rsidP="003334F3">
      <w:pPr>
        <w:pStyle w:val="af7"/>
        <w:numPr>
          <w:ilvl w:val="1"/>
          <w:numId w:val="265"/>
        </w:numPr>
        <w:tabs>
          <w:tab w:val="left" w:pos="851"/>
          <w:tab w:val="left" w:pos="1276"/>
        </w:tabs>
      </w:pPr>
      <w:r w:rsidRPr="00765F6E">
        <w:rPr>
          <w:rFonts w:hint="eastAsia"/>
        </w:rPr>
        <w:lastRenderedPageBreak/>
        <w:t>牵引网中单独设置的防雷接地体（极）在贯通地线上的接入点与其他设备在贯通地线上的接入点间距不应小于</w:t>
      </w:r>
      <w:r w:rsidRPr="00765F6E">
        <w:t>15</w:t>
      </w:r>
      <w:r w:rsidRPr="00765F6E">
        <w:rPr>
          <w:rFonts w:hint="eastAsia"/>
        </w:rPr>
        <w:t xml:space="preserve"> m；</w:t>
      </w:r>
    </w:p>
    <w:p w14:paraId="4ABA5183" w14:textId="77777777" w:rsidR="00737EB2" w:rsidRPr="00765F6E" w:rsidRDefault="00737EB2" w:rsidP="003334F3">
      <w:pPr>
        <w:pStyle w:val="af7"/>
        <w:numPr>
          <w:ilvl w:val="1"/>
          <w:numId w:val="265"/>
        </w:numPr>
        <w:tabs>
          <w:tab w:val="left" w:pos="851"/>
          <w:tab w:val="left" w:pos="1276"/>
        </w:tabs>
      </w:pPr>
      <w:r w:rsidRPr="00765F6E">
        <w:rPr>
          <w:rFonts w:hint="eastAsia"/>
        </w:rPr>
        <w:t>桥上的接触网支柱基础内的钢构件应与桥梁接地钢筋连接；</w:t>
      </w:r>
    </w:p>
    <w:p w14:paraId="68D5E342" w14:textId="77777777" w:rsidR="00737EB2" w:rsidRPr="00765F6E" w:rsidRDefault="00737EB2" w:rsidP="003334F3">
      <w:pPr>
        <w:pStyle w:val="af7"/>
        <w:numPr>
          <w:ilvl w:val="1"/>
          <w:numId w:val="265"/>
        </w:numPr>
        <w:tabs>
          <w:tab w:val="left" w:pos="851"/>
          <w:tab w:val="left" w:pos="1276"/>
        </w:tabs>
      </w:pPr>
      <w:r w:rsidRPr="00765F6E">
        <w:rPr>
          <w:rFonts w:hint="eastAsia"/>
        </w:rPr>
        <w:t>隧道、明洞内的接触网预埋件应与隧道、明洞接地钢筋连接；</w:t>
      </w:r>
    </w:p>
    <w:p w14:paraId="707C3E8E" w14:textId="77777777" w:rsidR="00737EB2" w:rsidRPr="00765F6E" w:rsidRDefault="00737EB2" w:rsidP="003334F3">
      <w:pPr>
        <w:pStyle w:val="af7"/>
        <w:numPr>
          <w:ilvl w:val="1"/>
          <w:numId w:val="265"/>
        </w:numPr>
        <w:tabs>
          <w:tab w:val="left" w:pos="851"/>
          <w:tab w:val="left" w:pos="1276"/>
        </w:tabs>
      </w:pPr>
      <w:r w:rsidRPr="00765F6E">
        <w:rPr>
          <w:rFonts w:hint="eastAsia"/>
        </w:rPr>
        <w:t>路基地段的接触网支柱基础接地端子应与贯通地线连接。</w:t>
      </w:r>
    </w:p>
    <w:p w14:paraId="6978B6C8" w14:textId="05A34160" w:rsidR="00737EB2" w:rsidRPr="00AE79C7" w:rsidRDefault="00737EB2" w:rsidP="00AE79C7">
      <w:pPr>
        <w:pStyle w:val="af6"/>
        <w:numPr>
          <w:ilvl w:val="0"/>
          <w:numId w:val="353"/>
        </w:numPr>
        <w:rPr>
          <w:rFonts w:hAnsi="宋体"/>
        </w:rPr>
      </w:pPr>
      <w:r w:rsidRPr="00AE79C7">
        <w:rPr>
          <w:rFonts w:hAnsi="宋体" w:hint="eastAsia"/>
        </w:rPr>
        <w:t>消防水管、电缆支架、声屏障等线路两侧的金属构件应就近与综合贯通地线连接。</w:t>
      </w:r>
    </w:p>
    <w:p w14:paraId="570917C2" w14:textId="77777777" w:rsidR="00737EB2" w:rsidRPr="00765F6E" w:rsidRDefault="00737EB2" w:rsidP="00737EB2">
      <w:pPr>
        <w:pStyle w:val="affe"/>
        <w:spacing w:before="156" w:after="156"/>
      </w:pPr>
      <w:bookmarkStart w:id="3453" w:name="_Toc153292429"/>
      <w:bookmarkStart w:id="3454" w:name="_Toc153211009"/>
      <w:bookmarkStart w:id="3455" w:name="_Toc167895907"/>
      <w:bookmarkStart w:id="3456" w:name="_Toc174538821"/>
      <w:bookmarkStart w:id="3457" w:name="_Toc182476579"/>
      <w:r w:rsidRPr="00765F6E">
        <w:rPr>
          <w:rFonts w:hint="eastAsia"/>
        </w:rPr>
        <w:t>直流牵引模式下的综合接地</w:t>
      </w:r>
      <w:bookmarkEnd w:id="3453"/>
      <w:bookmarkEnd w:id="3454"/>
      <w:bookmarkEnd w:id="3455"/>
      <w:bookmarkEnd w:id="3456"/>
      <w:bookmarkEnd w:id="3457"/>
    </w:p>
    <w:p w14:paraId="12E1460B" w14:textId="77777777" w:rsidR="00737EB2" w:rsidRPr="00765F6E" w:rsidRDefault="00737EB2" w:rsidP="009D0776">
      <w:pPr>
        <w:pStyle w:val="22"/>
      </w:pPr>
      <w:bookmarkStart w:id="3458" w:name="_Toc153292430"/>
      <w:r w:rsidRPr="00765F6E">
        <w:rPr>
          <w:rFonts w:hint="eastAsia"/>
        </w:rPr>
        <w:t>综合接地系统应包含接地网、车站内部及沿线敷设的接地导体(线)、接地端子箱以及相关的电气连接和器件等。</w:t>
      </w:r>
      <w:bookmarkEnd w:id="3458"/>
    </w:p>
    <w:p w14:paraId="6748E24B" w14:textId="77777777" w:rsidR="00737EB2" w:rsidRPr="00765F6E" w:rsidRDefault="00737EB2" w:rsidP="009D0776">
      <w:pPr>
        <w:pStyle w:val="22"/>
      </w:pPr>
      <w:bookmarkStart w:id="3459" w:name="_Toc153292431"/>
      <w:r w:rsidRPr="00765F6E">
        <w:rPr>
          <w:rFonts w:hint="eastAsia"/>
        </w:rPr>
        <w:t>综合接地系统应利用车站结构钢筋或变电所结构基础钢筋等自然接地极作为接地装置，并应敷设以水平接地极为主的人工接地网。自然接地装置和人工接地网间应采用不少于两根导体在不同地点连接。自然接地极与人工接地网的接地电阻值应能分别测量。</w:t>
      </w:r>
      <w:bookmarkEnd w:id="3459"/>
    </w:p>
    <w:p w14:paraId="721E5054" w14:textId="77777777" w:rsidR="00737EB2" w:rsidRPr="00765F6E" w:rsidRDefault="00737EB2" w:rsidP="009D0776">
      <w:pPr>
        <w:pStyle w:val="22"/>
      </w:pPr>
      <w:bookmarkStart w:id="3460" w:name="_Toc153292432"/>
      <w:r w:rsidRPr="00765F6E">
        <w:rPr>
          <w:rFonts w:hint="eastAsia"/>
        </w:rPr>
        <w:t>变电所人工接地网的主接地体应采用铜材质。</w:t>
      </w:r>
      <w:bookmarkEnd w:id="3460"/>
    </w:p>
    <w:p w14:paraId="0FFC94BD" w14:textId="77777777" w:rsidR="00737EB2" w:rsidRPr="00765F6E" w:rsidRDefault="00737EB2" w:rsidP="009D0776">
      <w:pPr>
        <w:pStyle w:val="22"/>
      </w:pPr>
      <w:bookmarkStart w:id="3461" w:name="_Toc153292433"/>
      <w:r w:rsidRPr="00765F6E">
        <w:rPr>
          <w:rFonts w:hint="eastAsia"/>
        </w:rPr>
        <w:t>兼具防雷功能的接触网架空地线的接地装置与变电所接地网连接时，连接线埋在地中的长度不应小于15 m。</w:t>
      </w:r>
      <w:bookmarkEnd w:id="3461"/>
    </w:p>
    <w:p w14:paraId="67E2D1A0" w14:textId="77777777" w:rsidR="00737EB2" w:rsidRPr="00765F6E" w:rsidRDefault="00737EB2" w:rsidP="009D0776">
      <w:pPr>
        <w:pStyle w:val="22"/>
      </w:pPr>
      <w:bookmarkStart w:id="3462" w:name="_Toc153292434"/>
      <w:r w:rsidRPr="00765F6E">
        <w:rPr>
          <w:rFonts w:hint="eastAsia"/>
        </w:rPr>
        <w:t>建筑物防雷接地系统接入综合接地系统时，应符合GB/T 50065的相关要求。</w:t>
      </w:r>
      <w:bookmarkEnd w:id="3462"/>
    </w:p>
    <w:p w14:paraId="0390E575" w14:textId="5D3DA502" w:rsidR="00737EB2" w:rsidRPr="00765F6E" w:rsidRDefault="00737EB2" w:rsidP="009D0776">
      <w:pPr>
        <w:pStyle w:val="22"/>
      </w:pPr>
      <w:bookmarkStart w:id="3463" w:name="_Toc153292435"/>
      <w:r w:rsidRPr="00765F6E">
        <w:rPr>
          <w:rFonts w:hint="eastAsia"/>
        </w:rPr>
        <w:t>桥涵、隧道、车站结构及轨道结构等专业应根据</w:t>
      </w:r>
      <w:r w:rsidRPr="00765F6E">
        <w:t>CJJ/T 49</w:t>
      </w:r>
      <w:r w:rsidR="0092720E">
        <w:rPr>
          <w:rFonts w:hint="eastAsia"/>
        </w:rPr>
        <w:t>-</w:t>
      </w:r>
      <w:r w:rsidR="0092720E">
        <w:t>2020</w:t>
      </w:r>
      <w:r w:rsidRPr="00765F6E">
        <w:rPr>
          <w:rFonts w:hint="eastAsia"/>
        </w:rPr>
        <w:t>的有关规定采取防止杂散电流腐蚀的措施。钢结构及钢连接件应进行防锈处理。</w:t>
      </w:r>
      <w:bookmarkEnd w:id="3463"/>
    </w:p>
    <w:p w14:paraId="68BF766B" w14:textId="77777777" w:rsidR="00737EB2" w:rsidRPr="00765F6E" w:rsidRDefault="00737EB2" w:rsidP="009D0776">
      <w:pPr>
        <w:pStyle w:val="22"/>
      </w:pPr>
      <w:bookmarkStart w:id="3464" w:name="_Toc153292436"/>
      <w:r w:rsidRPr="00765F6E">
        <w:rPr>
          <w:rFonts w:hint="eastAsia"/>
        </w:rPr>
        <w:t>综合接地系统与直流牵引供电系统杂散电流防护发生矛盾时应优先接地。</w:t>
      </w:r>
      <w:bookmarkEnd w:id="3464"/>
    </w:p>
    <w:p w14:paraId="142EDA90" w14:textId="77777777" w:rsidR="00737EB2" w:rsidRPr="00765F6E" w:rsidRDefault="00737EB2" w:rsidP="009D0776">
      <w:pPr>
        <w:pStyle w:val="22"/>
      </w:pPr>
      <w:bookmarkStart w:id="3465" w:name="_Toc153292437"/>
      <w:r w:rsidRPr="00765F6E">
        <w:rPr>
          <w:rFonts w:hint="eastAsia"/>
        </w:rPr>
        <w:t>综合接地系统相关设计应符合GB/T 28026.1的规定。</w:t>
      </w:r>
      <w:bookmarkEnd w:id="3465"/>
    </w:p>
    <w:p w14:paraId="64838B2B" w14:textId="77777777" w:rsidR="00737EB2" w:rsidRPr="00765F6E" w:rsidRDefault="00737EB2" w:rsidP="00737EB2">
      <w:pPr>
        <w:pStyle w:val="affe"/>
        <w:spacing w:before="156" w:after="156"/>
      </w:pPr>
      <w:bookmarkStart w:id="3466" w:name="_Toc153292438"/>
      <w:bookmarkStart w:id="3467" w:name="_Toc99792995"/>
      <w:bookmarkStart w:id="3468" w:name="_Toc153211010"/>
      <w:bookmarkStart w:id="3469" w:name="_Toc167895908"/>
      <w:bookmarkStart w:id="3470" w:name="_Toc174538822"/>
      <w:bookmarkStart w:id="3471" w:name="_Toc182476580"/>
      <w:r w:rsidRPr="00765F6E">
        <w:rPr>
          <w:rFonts w:hint="eastAsia"/>
        </w:rPr>
        <w:t>接口设计</w:t>
      </w:r>
      <w:bookmarkEnd w:id="3466"/>
      <w:bookmarkEnd w:id="3467"/>
      <w:bookmarkEnd w:id="3468"/>
      <w:bookmarkEnd w:id="3469"/>
      <w:bookmarkEnd w:id="3470"/>
      <w:bookmarkEnd w:id="3471"/>
    </w:p>
    <w:p w14:paraId="257EEE0E" w14:textId="77777777" w:rsidR="00737EB2" w:rsidRPr="00765F6E" w:rsidRDefault="00737EB2" w:rsidP="009D0776">
      <w:pPr>
        <w:pStyle w:val="22"/>
      </w:pPr>
      <w:bookmarkStart w:id="3472" w:name="_Toc153292439"/>
      <w:bookmarkStart w:id="3473" w:name="_Toc99792996"/>
      <w:r w:rsidRPr="00765F6E">
        <w:rPr>
          <w:rFonts w:hint="eastAsia"/>
        </w:rPr>
        <w:t>交流牵引模式下，牵引供电专业应向综合接地贯通地线设计专业提供最大牵引回流及最大短路电流</w:t>
      </w:r>
      <w:bookmarkEnd w:id="3472"/>
      <w:r w:rsidRPr="00765F6E">
        <w:rPr>
          <w:rFonts w:hint="eastAsia"/>
        </w:rPr>
        <w:t>。</w:t>
      </w:r>
    </w:p>
    <w:p w14:paraId="117F451D" w14:textId="77777777" w:rsidR="00737EB2" w:rsidRPr="00765F6E" w:rsidRDefault="00737EB2" w:rsidP="009D0776">
      <w:pPr>
        <w:pStyle w:val="22"/>
      </w:pPr>
      <w:bookmarkStart w:id="3474" w:name="_Toc153292440"/>
      <w:r w:rsidRPr="00765F6E">
        <w:rPr>
          <w:rFonts w:hint="eastAsia"/>
        </w:rPr>
        <w:t>直流牵引模式下，各综合接地网接入用户应提供最大接地电阻值要求。</w:t>
      </w:r>
      <w:bookmarkEnd w:id="3473"/>
      <w:bookmarkEnd w:id="3474"/>
    </w:p>
    <w:p w14:paraId="5A8B1B96" w14:textId="77777777" w:rsidR="00737EB2" w:rsidRPr="00765F6E" w:rsidRDefault="00737EB2" w:rsidP="009D0776">
      <w:pPr>
        <w:pStyle w:val="22"/>
      </w:pPr>
      <w:bookmarkStart w:id="3475" w:name="_Toc153292441"/>
      <w:r w:rsidRPr="00765F6E">
        <w:rPr>
          <w:rFonts w:hint="eastAsia"/>
        </w:rPr>
        <w:t>沿线需接地防护的设备设施，均由各自专业负责完成接地装置的设计，并根据综合接地系统的要求，均应通过接地端子就近接入综合接地系统。</w:t>
      </w:r>
      <w:bookmarkEnd w:id="3475"/>
    </w:p>
    <w:p w14:paraId="25AE3039" w14:textId="77777777" w:rsidR="00737EB2" w:rsidRPr="00765F6E" w:rsidRDefault="00737EB2" w:rsidP="00737EB2">
      <w:pPr>
        <w:pStyle w:val="affd"/>
        <w:spacing w:before="312" w:after="312"/>
      </w:pPr>
      <w:bookmarkStart w:id="3476" w:name="_Toc153211011"/>
      <w:bookmarkStart w:id="3477" w:name="_Toc153292442"/>
      <w:bookmarkStart w:id="3478" w:name="_Toc99792998"/>
      <w:bookmarkStart w:id="3479" w:name="_Toc167895909"/>
      <w:bookmarkStart w:id="3480" w:name="_Toc174538823"/>
      <w:bookmarkStart w:id="3481" w:name="_Toc182476581"/>
      <w:r w:rsidRPr="00765F6E">
        <w:rPr>
          <w:rFonts w:hint="eastAsia"/>
        </w:rPr>
        <w:t>防灾</w:t>
      </w:r>
      <w:bookmarkEnd w:id="3476"/>
      <w:bookmarkEnd w:id="3477"/>
      <w:bookmarkEnd w:id="3478"/>
      <w:bookmarkEnd w:id="3479"/>
      <w:bookmarkEnd w:id="3480"/>
      <w:bookmarkEnd w:id="3481"/>
    </w:p>
    <w:p w14:paraId="267CAF4F" w14:textId="77777777" w:rsidR="00737EB2" w:rsidRPr="00765F6E" w:rsidRDefault="00737EB2" w:rsidP="00737EB2">
      <w:pPr>
        <w:pStyle w:val="affe"/>
        <w:spacing w:before="156" w:after="156"/>
      </w:pPr>
      <w:bookmarkStart w:id="3482" w:name="_Toc153211012"/>
      <w:bookmarkStart w:id="3483" w:name="_Toc153292443"/>
      <w:bookmarkStart w:id="3484" w:name="_Toc99792999"/>
      <w:bookmarkStart w:id="3485" w:name="_Toc167895910"/>
      <w:bookmarkStart w:id="3486" w:name="_Toc174538824"/>
      <w:bookmarkStart w:id="3487" w:name="_Toc182476582"/>
      <w:r w:rsidRPr="00765F6E">
        <w:rPr>
          <w:rFonts w:hint="eastAsia"/>
        </w:rPr>
        <w:t>一般规定</w:t>
      </w:r>
      <w:bookmarkEnd w:id="3482"/>
      <w:bookmarkEnd w:id="3483"/>
      <w:bookmarkEnd w:id="3484"/>
      <w:bookmarkEnd w:id="3485"/>
      <w:bookmarkEnd w:id="3486"/>
      <w:bookmarkEnd w:id="3487"/>
    </w:p>
    <w:p w14:paraId="185E30CF" w14:textId="77777777" w:rsidR="00737EB2" w:rsidRPr="00765F6E" w:rsidRDefault="00737EB2" w:rsidP="009D0776">
      <w:pPr>
        <w:pStyle w:val="22"/>
      </w:pPr>
      <w:bookmarkStart w:id="3488" w:name="_Toc153292444"/>
      <w:bookmarkStart w:id="3489" w:name="_Toc99793000"/>
      <w:r w:rsidRPr="00765F6E">
        <w:rPr>
          <w:rFonts w:hint="eastAsia"/>
        </w:rPr>
        <w:t>市域铁路应具有针对火灾、水淹、风灾、地震、冰雪和雷击等灾害的预防措施，车站应配备防灾设施，车辆基地应配备防灾与救援设施。</w:t>
      </w:r>
      <w:bookmarkEnd w:id="3488"/>
      <w:bookmarkEnd w:id="3489"/>
    </w:p>
    <w:p w14:paraId="70833722" w14:textId="77777777" w:rsidR="00737EB2" w:rsidRPr="00765F6E" w:rsidRDefault="00737EB2" w:rsidP="009D0776">
      <w:pPr>
        <w:pStyle w:val="22"/>
      </w:pPr>
      <w:bookmarkStart w:id="3490" w:name="_Toc153292445"/>
      <w:bookmarkStart w:id="3491" w:name="_Toc99793001"/>
      <w:r w:rsidRPr="00765F6E">
        <w:rPr>
          <w:rFonts w:hint="eastAsia"/>
        </w:rPr>
        <w:t>市域铁路应设完整的安防体系，制定安全系统与紧急救灾预案，负责防灾调度指挥及救援事宜，并具有与上一级防灾指挥中心联网通信的功能，服从有关安全反恐指挥中心的统一指挥和调动。市域铁路运营控制中心应具有所辖线路的防灾调度指挥功能。</w:t>
      </w:r>
      <w:bookmarkEnd w:id="3490"/>
    </w:p>
    <w:p w14:paraId="74E70D8F" w14:textId="33AE54A9" w:rsidR="00737EB2" w:rsidRPr="00765F6E" w:rsidRDefault="00737EB2" w:rsidP="009D0776">
      <w:pPr>
        <w:pStyle w:val="22"/>
      </w:pPr>
      <w:bookmarkStart w:id="3492" w:name="_Toc153292446"/>
      <w:r w:rsidRPr="00765F6E">
        <w:rPr>
          <w:rFonts w:hint="eastAsia"/>
        </w:rPr>
        <w:t>一条线路、一座换乘车站及其相邻区间的防火设计应按同一时间发生一处火灾计</w:t>
      </w:r>
      <w:r w:rsidR="0084480C">
        <w:rPr>
          <w:rFonts w:hint="eastAsia"/>
        </w:rPr>
        <w:t>列</w:t>
      </w:r>
      <w:r w:rsidRPr="00765F6E">
        <w:rPr>
          <w:rFonts w:hint="eastAsia"/>
        </w:rPr>
        <w:t>。</w:t>
      </w:r>
      <w:bookmarkEnd w:id="3491"/>
      <w:bookmarkEnd w:id="3492"/>
    </w:p>
    <w:p w14:paraId="5F000AAD" w14:textId="77777777" w:rsidR="00737EB2" w:rsidRPr="00765F6E" w:rsidRDefault="00737EB2" w:rsidP="009D0776">
      <w:pPr>
        <w:pStyle w:val="22"/>
      </w:pPr>
      <w:bookmarkStart w:id="3493" w:name="_Toc99793003"/>
      <w:bookmarkStart w:id="3494" w:name="_Toc153292447"/>
      <w:r w:rsidRPr="00765F6E">
        <w:rPr>
          <w:rFonts w:hint="eastAsia"/>
        </w:rPr>
        <w:t>车站站台层、站厅公共区的乘客疏散区以及用于乘客疏散的通道内，不应设置商业场所，除市域铁路运营、服务设备、设施外，也不应设置妨碍乘客疏散的设备、设施及其他物体。</w:t>
      </w:r>
      <w:bookmarkEnd w:id="3493"/>
      <w:bookmarkEnd w:id="3494"/>
    </w:p>
    <w:p w14:paraId="1FA68610" w14:textId="77777777" w:rsidR="00737EB2" w:rsidRPr="00765F6E" w:rsidRDefault="00737EB2" w:rsidP="009D0776">
      <w:pPr>
        <w:pStyle w:val="22"/>
      </w:pPr>
      <w:bookmarkStart w:id="3495" w:name="_Toc99793004"/>
      <w:bookmarkStart w:id="3496" w:name="_Toc153292448"/>
      <w:r w:rsidRPr="00765F6E">
        <w:rPr>
          <w:rFonts w:hint="eastAsia"/>
        </w:rPr>
        <w:t>当市域铁路开发地下商业时，商业区与站厅间应划分成不同的防火分区，地下商业区的防火设计应符合</w:t>
      </w:r>
      <w:r w:rsidRPr="00765F6E">
        <w:t>GB 50016</w:t>
      </w:r>
      <w:r w:rsidRPr="00765F6E">
        <w:rPr>
          <w:rFonts w:hint="eastAsia"/>
        </w:rPr>
        <w:t>的有关规定。</w:t>
      </w:r>
      <w:bookmarkEnd w:id="3495"/>
      <w:bookmarkEnd w:id="3496"/>
    </w:p>
    <w:p w14:paraId="5271C6EA" w14:textId="77777777" w:rsidR="00737EB2" w:rsidRPr="00765F6E" w:rsidRDefault="00737EB2" w:rsidP="00737EB2">
      <w:pPr>
        <w:pStyle w:val="affe"/>
        <w:spacing w:before="156" w:after="156"/>
      </w:pPr>
      <w:bookmarkStart w:id="3497" w:name="_Toc153292449"/>
      <w:bookmarkStart w:id="3498" w:name="_Toc153211013"/>
      <w:bookmarkStart w:id="3499" w:name="_Toc99793005"/>
      <w:bookmarkStart w:id="3500" w:name="_Toc167895911"/>
      <w:bookmarkStart w:id="3501" w:name="_Toc174538825"/>
      <w:bookmarkStart w:id="3502" w:name="_Toc182476583"/>
      <w:r w:rsidRPr="00765F6E">
        <w:rPr>
          <w:rFonts w:hint="eastAsia"/>
        </w:rPr>
        <w:t>建筑防火</w:t>
      </w:r>
      <w:bookmarkEnd w:id="3497"/>
      <w:bookmarkEnd w:id="3498"/>
      <w:bookmarkEnd w:id="3499"/>
      <w:bookmarkEnd w:id="3500"/>
      <w:bookmarkEnd w:id="3501"/>
      <w:bookmarkEnd w:id="3502"/>
    </w:p>
    <w:p w14:paraId="71E8D433" w14:textId="77777777" w:rsidR="00737EB2" w:rsidRPr="00765F6E" w:rsidRDefault="00737EB2" w:rsidP="009D0776">
      <w:pPr>
        <w:pStyle w:val="22"/>
      </w:pPr>
      <w:bookmarkStart w:id="3503" w:name="_Toc153292450"/>
      <w:bookmarkStart w:id="3504" w:name="_Toc99793006"/>
      <w:r w:rsidRPr="00765F6E">
        <w:rPr>
          <w:rFonts w:hint="eastAsia"/>
        </w:rPr>
        <w:t>各建（构）筑物的耐火等级符合下列规定：</w:t>
      </w:r>
      <w:bookmarkEnd w:id="3503"/>
      <w:bookmarkEnd w:id="3504"/>
    </w:p>
    <w:p w14:paraId="0C219687" w14:textId="77777777" w:rsidR="00737EB2" w:rsidRPr="00765F6E" w:rsidRDefault="00737EB2" w:rsidP="003334F3">
      <w:pPr>
        <w:pStyle w:val="af6"/>
        <w:numPr>
          <w:ilvl w:val="0"/>
          <w:numId w:val="266"/>
        </w:numPr>
        <w:tabs>
          <w:tab w:val="left" w:pos="851"/>
        </w:tabs>
        <w:snapToGrid w:val="0"/>
        <w:contextualSpacing/>
      </w:pPr>
      <w:r w:rsidRPr="00765F6E">
        <w:rPr>
          <w:rFonts w:hint="eastAsia"/>
        </w:rPr>
        <w:lastRenderedPageBreak/>
        <w:t>地下车站、地下区间、区间风井、联络通道等主体工程及其出入口通道、风道的耐火等级应为一级；</w:t>
      </w:r>
    </w:p>
    <w:p w14:paraId="7F985F07" w14:textId="77777777" w:rsidR="00737EB2" w:rsidRPr="00765F6E" w:rsidRDefault="00737EB2" w:rsidP="003334F3">
      <w:pPr>
        <w:pStyle w:val="af6"/>
        <w:numPr>
          <w:ilvl w:val="0"/>
          <w:numId w:val="266"/>
        </w:numPr>
        <w:tabs>
          <w:tab w:val="left" w:pos="851"/>
        </w:tabs>
        <w:snapToGrid w:val="0"/>
        <w:contextualSpacing/>
      </w:pPr>
      <w:r w:rsidRPr="00765F6E">
        <w:rPr>
          <w:rFonts w:hint="eastAsia"/>
        </w:rPr>
        <w:t>地上车站及地上区间，地下车站的出入口地面厅、风亭等地面的建（构）筑物，耐火等级不应低于二级；</w:t>
      </w:r>
    </w:p>
    <w:p w14:paraId="13829345" w14:textId="77777777" w:rsidR="00737EB2" w:rsidRPr="00765F6E" w:rsidRDefault="00737EB2" w:rsidP="003334F3">
      <w:pPr>
        <w:pStyle w:val="af6"/>
        <w:numPr>
          <w:ilvl w:val="0"/>
          <w:numId w:val="266"/>
        </w:numPr>
        <w:tabs>
          <w:tab w:val="left" w:pos="851"/>
        </w:tabs>
        <w:snapToGrid w:val="0"/>
        <w:contextualSpacing/>
      </w:pPr>
      <w:r w:rsidRPr="00765F6E">
        <w:rPr>
          <w:rFonts w:hint="eastAsia"/>
        </w:rPr>
        <w:t>运营控制中心、主变电所建筑耐火等级应为一级；</w:t>
      </w:r>
    </w:p>
    <w:p w14:paraId="13587E22" w14:textId="77777777" w:rsidR="00737EB2" w:rsidRPr="00765F6E" w:rsidRDefault="00737EB2" w:rsidP="003334F3">
      <w:pPr>
        <w:pStyle w:val="af6"/>
        <w:numPr>
          <w:ilvl w:val="0"/>
          <w:numId w:val="266"/>
        </w:numPr>
        <w:tabs>
          <w:tab w:val="left" w:pos="851"/>
        </w:tabs>
        <w:snapToGrid w:val="0"/>
        <w:contextualSpacing/>
      </w:pPr>
      <w:r w:rsidRPr="00765F6E">
        <w:rPr>
          <w:rFonts w:hint="eastAsia"/>
        </w:rPr>
        <w:t>易燃物品库、油漆库建筑耐火等级应为一级；</w:t>
      </w:r>
    </w:p>
    <w:p w14:paraId="44EB9D71" w14:textId="77777777" w:rsidR="00737EB2" w:rsidRPr="00765F6E" w:rsidRDefault="00737EB2" w:rsidP="003334F3">
      <w:pPr>
        <w:pStyle w:val="af6"/>
        <w:numPr>
          <w:ilvl w:val="0"/>
          <w:numId w:val="266"/>
        </w:numPr>
        <w:tabs>
          <w:tab w:val="left" w:pos="851"/>
        </w:tabs>
        <w:snapToGrid w:val="0"/>
        <w:contextualSpacing/>
      </w:pPr>
      <w:r w:rsidRPr="00765F6E">
        <w:rPr>
          <w:rFonts w:hint="eastAsia"/>
        </w:rPr>
        <w:t>地下停车列检库、运用库、检修库及其他检修用房建筑耐火等级应为一级；</w:t>
      </w:r>
    </w:p>
    <w:p w14:paraId="1E03CFA5" w14:textId="77777777" w:rsidR="00737EB2" w:rsidRPr="00765F6E" w:rsidRDefault="00737EB2" w:rsidP="003334F3">
      <w:pPr>
        <w:pStyle w:val="af6"/>
        <w:numPr>
          <w:ilvl w:val="0"/>
          <w:numId w:val="266"/>
        </w:numPr>
        <w:tabs>
          <w:tab w:val="left" w:pos="851"/>
        </w:tabs>
        <w:snapToGrid w:val="0"/>
        <w:contextualSpacing/>
      </w:pPr>
      <w:r w:rsidRPr="00765F6E">
        <w:rPr>
          <w:rFonts w:hint="eastAsia"/>
        </w:rPr>
        <w:t>上盖车辆基地（所、存车场）板地下部建筑的耐火等级均应为一级；</w:t>
      </w:r>
    </w:p>
    <w:p w14:paraId="1341AD62" w14:textId="77777777" w:rsidR="00737EB2" w:rsidRPr="00765F6E" w:rsidRDefault="00737EB2" w:rsidP="003334F3">
      <w:pPr>
        <w:pStyle w:val="af6"/>
        <w:numPr>
          <w:ilvl w:val="0"/>
          <w:numId w:val="266"/>
        </w:numPr>
        <w:tabs>
          <w:tab w:val="left" w:pos="851"/>
        </w:tabs>
        <w:snapToGrid w:val="0"/>
        <w:contextualSpacing/>
      </w:pPr>
      <w:r w:rsidRPr="00765F6E">
        <w:rPr>
          <w:rFonts w:hint="eastAsia"/>
        </w:rPr>
        <w:t>地上运用库、检修库、综合维修中心的维修综合楼、物资总库、牵引降压混合变电所、不落轮镟轮库、工程车库和综合办公楼等生活辅助建筑耐火等级应为二级；</w:t>
      </w:r>
    </w:p>
    <w:p w14:paraId="59A5442B" w14:textId="77777777" w:rsidR="00737EB2" w:rsidRPr="00765F6E" w:rsidRDefault="00737EB2" w:rsidP="003334F3">
      <w:pPr>
        <w:pStyle w:val="af6"/>
        <w:numPr>
          <w:ilvl w:val="0"/>
          <w:numId w:val="266"/>
        </w:numPr>
        <w:tabs>
          <w:tab w:val="left" w:pos="851"/>
        </w:tabs>
        <w:snapToGrid w:val="0"/>
        <w:contextualSpacing/>
      </w:pPr>
      <w:r w:rsidRPr="00765F6E">
        <w:rPr>
          <w:rFonts w:hint="eastAsia"/>
        </w:rPr>
        <w:t>各建（构）筑物的耐火极限应符合</w:t>
      </w:r>
      <w:r w:rsidRPr="00765F6E">
        <w:rPr>
          <w:rFonts w:hAnsi="宋体"/>
        </w:rPr>
        <w:t>GB 55037</w:t>
      </w:r>
      <w:r w:rsidRPr="00765F6E">
        <w:rPr>
          <w:rFonts w:hAnsi="宋体" w:hint="eastAsia"/>
        </w:rPr>
        <w:t>和</w:t>
      </w:r>
      <w:r w:rsidRPr="00765F6E">
        <w:rPr>
          <w:rFonts w:hint="eastAsia"/>
        </w:rPr>
        <w:t>GB 51298的相关规定。</w:t>
      </w:r>
    </w:p>
    <w:p w14:paraId="34350EF9" w14:textId="594DB514" w:rsidR="00737EB2" w:rsidRPr="00765F6E" w:rsidRDefault="00737EB2" w:rsidP="009D0776">
      <w:pPr>
        <w:pStyle w:val="22"/>
      </w:pPr>
      <w:bookmarkStart w:id="3505" w:name="_Toc99793007"/>
      <w:bookmarkStart w:id="3506" w:name="_Toc153292451"/>
      <w:r w:rsidRPr="00765F6E">
        <w:rPr>
          <w:rFonts w:hint="eastAsia"/>
        </w:rPr>
        <w:t>车站防火分区及防火分隔符合下列规定</w:t>
      </w:r>
      <w:r w:rsidR="005B1954">
        <w:rPr>
          <w:rFonts w:hint="eastAsia"/>
        </w:rPr>
        <w:t>。</w:t>
      </w:r>
      <w:bookmarkEnd w:id="3505"/>
      <w:bookmarkEnd w:id="3506"/>
    </w:p>
    <w:p w14:paraId="728C28C4" w14:textId="77777777" w:rsidR="00737EB2" w:rsidRPr="00765F6E" w:rsidRDefault="00737EB2" w:rsidP="003334F3">
      <w:pPr>
        <w:pStyle w:val="af6"/>
        <w:numPr>
          <w:ilvl w:val="0"/>
          <w:numId w:val="267"/>
        </w:numPr>
        <w:tabs>
          <w:tab w:val="left" w:pos="851"/>
        </w:tabs>
        <w:snapToGrid w:val="0"/>
        <w:contextualSpacing/>
      </w:pPr>
      <w:r w:rsidRPr="00765F6E">
        <w:rPr>
          <w:rFonts w:hint="eastAsia"/>
        </w:rPr>
        <w:t>地下车站站台和站厅公共区可划为同一个防火分区；其中站厅公共区面积不宜超过5000m</w:t>
      </w:r>
      <w:r w:rsidRPr="00765F6E">
        <w:rPr>
          <w:rFonts w:hint="eastAsia"/>
          <w:vertAlign w:val="superscript"/>
        </w:rPr>
        <w:t>2</w:t>
      </w:r>
      <w:r w:rsidRPr="00765F6E">
        <w:rPr>
          <w:rFonts w:hint="eastAsia"/>
        </w:rPr>
        <w:t>。多线换乘共用一个站厅公共区时，两线共用站厅公共区的面积不应大于10000m</w:t>
      </w:r>
      <w:r w:rsidRPr="00765F6E">
        <w:rPr>
          <w:rFonts w:hint="eastAsia"/>
          <w:vertAlign w:val="superscript"/>
        </w:rPr>
        <w:t>2</w:t>
      </w:r>
      <w:r w:rsidRPr="00765F6E">
        <w:rPr>
          <w:rFonts w:hint="eastAsia"/>
        </w:rPr>
        <w:t>。三线共用站厅公共区的面积不应大于15000m</w:t>
      </w:r>
      <w:r w:rsidRPr="00765F6E">
        <w:rPr>
          <w:rFonts w:hint="eastAsia"/>
          <w:vertAlign w:val="superscript"/>
        </w:rPr>
        <w:t>2</w:t>
      </w:r>
      <w:r w:rsidRPr="00765F6E">
        <w:rPr>
          <w:rFonts w:hint="eastAsia"/>
        </w:rPr>
        <w:t>，当超过时应符合以下要求：</w:t>
      </w:r>
    </w:p>
    <w:p w14:paraId="0604DDE5" w14:textId="77777777" w:rsidR="00737EB2" w:rsidRPr="00765F6E" w:rsidRDefault="00737EB2" w:rsidP="00D12EC7">
      <w:pPr>
        <w:pStyle w:val="af7"/>
        <w:tabs>
          <w:tab w:val="left" w:pos="851"/>
          <w:tab w:val="left" w:pos="1276"/>
        </w:tabs>
      </w:pPr>
      <w:r w:rsidRPr="00765F6E">
        <w:rPr>
          <w:rFonts w:hint="eastAsia"/>
        </w:rPr>
        <w:t>站厅公共区每个防火分隔区域直通室外的安全出口数量不应少于2个，且任一点到出入通道口的走行距离不应大于50m；</w:t>
      </w:r>
    </w:p>
    <w:p w14:paraId="03C142E2" w14:textId="77777777" w:rsidR="00737EB2" w:rsidRPr="00765F6E" w:rsidRDefault="00737EB2" w:rsidP="00D12EC7">
      <w:pPr>
        <w:pStyle w:val="af7"/>
        <w:tabs>
          <w:tab w:val="left" w:pos="851"/>
          <w:tab w:val="left" w:pos="1276"/>
        </w:tabs>
      </w:pPr>
      <w:r w:rsidRPr="00765F6E">
        <w:rPr>
          <w:rFonts w:hint="eastAsia"/>
        </w:rPr>
        <w:t>相邻防火分隔区应采用耐火极限不低于3.00h的防火隔墙或耐火极限不低于3.00h的防火卷帘进行分隔，防火卷帘与防火隔墙的比例可不受限制，防火卷帘应具备二次降落功能；</w:t>
      </w:r>
    </w:p>
    <w:p w14:paraId="282F7D6B" w14:textId="77777777" w:rsidR="00737EB2" w:rsidRPr="00765F6E" w:rsidRDefault="00737EB2" w:rsidP="00D12EC7">
      <w:pPr>
        <w:pStyle w:val="af7"/>
        <w:tabs>
          <w:tab w:val="left" w:pos="851"/>
          <w:tab w:val="left" w:pos="1276"/>
        </w:tabs>
      </w:pPr>
      <w:r w:rsidRPr="00765F6E">
        <w:rPr>
          <w:rFonts w:hint="eastAsia"/>
        </w:rPr>
        <w:t>相邻两个防火分隔区域乘客由站厅疏散至室外的出入口疏散通道应各自独立，不应共用或借用对方的疏散通道作为火灾工况下的人员疏散出口；</w:t>
      </w:r>
    </w:p>
    <w:p w14:paraId="40EB36E1" w14:textId="77777777" w:rsidR="00737EB2" w:rsidRPr="00765F6E" w:rsidRDefault="00737EB2" w:rsidP="00D12EC7">
      <w:pPr>
        <w:pStyle w:val="af7"/>
        <w:tabs>
          <w:tab w:val="left" w:pos="851"/>
          <w:tab w:val="left" w:pos="1276"/>
        </w:tabs>
      </w:pPr>
      <w:r w:rsidRPr="00765F6E">
        <w:rPr>
          <w:rFonts w:hint="eastAsia"/>
        </w:rPr>
        <w:t>当面积超过10000m</w:t>
      </w:r>
      <w:r w:rsidRPr="00765F6E">
        <w:rPr>
          <w:rFonts w:hint="eastAsia"/>
          <w:vertAlign w:val="superscript"/>
        </w:rPr>
        <w:t>2</w:t>
      </w:r>
      <w:r w:rsidRPr="00765F6E">
        <w:rPr>
          <w:rFonts w:hint="eastAsia"/>
        </w:rPr>
        <w:t>时应设置自动喷水灭火系统。</w:t>
      </w:r>
    </w:p>
    <w:p w14:paraId="1AA53ABF" w14:textId="1528990F" w:rsidR="00737EB2" w:rsidRPr="00765F6E" w:rsidRDefault="00737EB2" w:rsidP="00737EB2">
      <w:pPr>
        <w:pStyle w:val="af6"/>
        <w:tabs>
          <w:tab w:val="left" w:pos="851"/>
        </w:tabs>
        <w:snapToGrid w:val="0"/>
        <w:contextualSpacing/>
      </w:pPr>
      <w:r w:rsidRPr="00765F6E">
        <w:rPr>
          <w:rFonts w:hint="eastAsia"/>
        </w:rPr>
        <w:t>地下车站的设备与管理用房区每个防火分区的最大允许建筑面积不应大于1500m</w:t>
      </w:r>
      <w:r w:rsidRPr="00765F6E">
        <w:rPr>
          <w:rFonts w:hint="eastAsia"/>
          <w:vertAlign w:val="superscript"/>
        </w:rPr>
        <w:t>2</w:t>
      </w:r>
      <w:r w:rsidR="005B1954">
        <w:rPr>
          <w:rFonts w:hint="eastAsia"/>
        </w:rPr>
        <w:t>。</w:t>
      </w:r>
    </w:p>
    <w:p w14:paraId="4FCB5F2B" w14:textId="5184914A" w:rsidR="00737EB2" w:rsidRPr="00765F6E" w:rsidRDefault="00737EB2" w:rsidP="003334F3">
      <w:pPr>
        <w:pStyle w:val="af6"/>
        <w:numPr>
          <w:ilvl w:val="0"/>
          <w:numId w:val="267"/>
        </w:numPr>
        <w:tabs>
          <w:tab w:val="left" w:pos="851"/>
        </w:tabs>
        <w:snapToGrid w:val="0"/>
        <w:contextualSpacing/>
      </w:pPr>
      <w:r w:rsidRPr="00765F6E">
        <w:rPr>
          <w:rFonts w:hint="eastAsia"/>
        </w:rPr>
        <w:t>地上车站站厅公共区防火分区的最大允许建筑面积不宜大于5000m</w:t>
      </w:r>
      <w:r w:rsidRPr="00765F6E">
        <w:rPr>
          <w:rFonts w:hint="eastAsia"/>
          <w:vertAlign w:val="superscript"/>
        </w:rPr>
        <w:t>2</w:t>
      </w:r>
      <w:r w:rsidRPr="00765F6E">
        <w:rPr>
          <w:rFonts w:hint="eastAsia"/>
        </w:rPr>
        <w:t>，设备与管理用房区每个防火分区的最大允许建筑面积不应大于5000m</w:t>
      </w:r>
      <w:r w:rsidRPr="00765F6E">
        <w:rPr>
          <w:rFonts w:hint="eastAsia"/>
          <w:vertAlign w:val="superscript"/>
        </w:rPr>
        <w:t>2</w:t>
      </w:r>
      <w:r w:rsidRPr="00765F6E">
        <w:rPr>
          <w:rFonts w:hint="eastAsia"/>
        </w:rPr>
        <w:t>。对于建筑高度大于24m的高架车站，其设备与管理用房区每个防火分区的最大允许建筑面积不应大于2500m</w:t>
      </w:r>
      <w:r w:rsidRPr="00765F6E">
        <w:rPr>
          <w:rFonts w:hint="eastAsia"/>
          <w:vertAlign w:val="superscript"/>
        </w:rPr>
        <w:t>2</w:t>
      </w:r>
      <w:r w:rsidR="005B1954">
        <w:rPr>
          <w:rFonts w:hint="eastAsia"/>
        </w:rPr>
        <w:t>。</w:t>
      </w:r>
    </w:p>
    <w:p w14:paraId="480ECDC9" w14:textId="65C6B09A" w:rsidR="00737EB2" w:rsidRPr="00765F6E" w:rsidRDefault="00737EB2" w:rsidP="003334F3">
      <w:pPr>
        <w:pStyle w:val="af6"/>
        <w:numPr>
          <w:ilvl w:val="0"/>
          <w:numId w:val="267"/>
        </w:numPr>
        <w:tabs>
          <w:tab w:val="left" w:pos="851"/>
        </w:tabs>
        <w:snapToGrid w:val="0"/>
        <w:contextualSpacing/>
      </w:pPr>
      <w:r w:rsidRPr="00765F6E">
        <w:rPr>
          <w:rFonts w:hint="eastAsia"/>
        </w:rPr>
        <w:t>地上车站内的商铺设置、与地上商业等非车站功能的场所相邻的车站应符合TB 10063的相关规定。地下车站内的商铺设置、与地下商业等非车站功能的场所相邻的车站应符合</w:t>
      </w:r>
      <w:r w:rsidRPr="00765F6E">
        <w:rPr>
          <w:rFonts w:hAnsi="宋体"/>
        </w:rPr>
        <w:t>GB 55037</w:t>
      </w:r>
      <w:r w:rsidRPr="00765F6E">
        <w:rPr>
          <w:rFonts w:hAnsi="宋体" w:hint="eastAsia"/>
        </w:rPr>
        <w:t>和</w:t>
      </w:r>
      <w:r w:rsidRPr="00765F6E">
        <w:rPr>
          <w:rFonts w:hint="eastAsia"/>
        </w:rPr>
        <w:t>GB 51298的相关规定，其中在站厅非付费区设置的零星商铺应设置向车站公共区开启的甲级防火门</w:t>
      </w:r>
      <w:r w:rsidR="005B1954">
        <w:rPr>
          <w:rFonts w:hint="eastAsia"/>
        </w:rPr>
        <w:t>。</w:t>
      </w:r>
    </w:p>
    <w:p w14:paraId="7AF977B3" w14:textId="1271F34B" w:rsidR="00737EB2" w:rsidRPr="00765F6E" w:rsidRDefault="00737EB2" w:rsidP="003334F3">
      <w:pPr>
        <w:pStyle w:val="af6"/>
        <w:numPr>
          <w:ilvl w:val="0"/>
          <w:numId w:val="267"/>
        </w:numPr>
        <w:tabs>
          <w:tab w:val="left" w:pos="851"/>
        </w:tabs>
        <w:snapToGrid w:val="0"/>
        <w:contextualSpacing/>
      </w:pPr>
      <w:r w:rsidRPr="00765F6E">
        <w:rPr>
          <w:rFonts w:hint="eastAsia"/>
        </w:rPr>
        <w:t>地下车站公共区与同层商业的防火分隔及连通方式应符合</w:t>
      </w:r>
      <w:r w:rsidRPr="00765F6E">
        <w:rPr>
          <w:rFonts w:hAnsi="宋体"/>
        </w:rPr>
        <w:t>GB 55037</w:t>
      </w:r>
      <w:r w:rsidRPr="00765F6E">
        <w:rPr>
          <w:rFonts w:hAnsi="宋体" w:hint="eastAsia"/>
        </w:rPr>
        <w:t>和</w:t>
      </w:r>
      <w:r w:rsidRPr="00765F6E">
        <w:rPr>
          <w:rFonts w:hint="eastAsia"/>
        </w:rPr>
        <w:t>GB</w:t>
      </w:r>
      <w:r w:rsidRPr="00765F6E">
        <w:t xml:space="preserve"> </w:t>
      </w:r>
      <w:r w:rsidRPr="00765F6E">
        <w:rPr>
          <w:rFonts w:hint="eastAsia"/>
        </w:rPr>
        <w:t>51298的相关规定，其中车站公共区和商业通过下沉广场相连时，市域铁路及商业均可利用下沉广场进行紧急疏散，疏散能力应符合</w:t>
      </w:r>
      <w:r w:rsidRPr="00765F6E">
        <w:t>GB 50016</w:t>
      </w:r>
      <w:r w:rsidRPr="00765F6E">
        <w:rPr>
          <w:rFonts w:hint="eastAsia"/>
        </w:rPr>
        <w:t>的有关规定</w:t>
      </w:r>
      <w:r w:rsidR="005B1954">
        <w:rPr>
          <w:rFonts w:hint="eastAsia"/>
        </w:rPr>
        <w:t>。</w:t>
      </w:r>
    </w:p>
    <w:p w14:paraId="4F720C81" w14:textId="388F3493" w:rsidR="00737EB2" w:rsidRPr="00765F6E" w:rsidRDefault="00737EB2" w:rsidP="00737EB2">
      <w:pPr>
        <w:pStyle w:val="af6"/>
        <w:tabs>
          <w:tab w:val="left" w:pos="851"/>
        </w:tabs>
        <w:snapToGrid w:val="0"/>
        <w:contextualSpacing/>
      </w:pPr>
      <w:r w:rsidRPr="00765F6E">
        <w:rPr>
          <w:rFonts w:hint="eastAsia"/>
        </w:rPr>
        <w:t>对于上下重叠平行站台的车站、多线同层站台平行换乘车站、点式换乘车站等类型车站的防火分隔应符合</w:t>
      </w:r>
      <w:r w:rsidRPr="00765F6E">
        <w:rPr>
          <w:rFonts w:hAnsi="宋体"/>
        </w:rPr>
        <w:t>GB 55037</w:t>
      </w:r>
      <w:r w:rsidRPr="00765F6E">
        <w:rPr>
          <w:rFonts w:hAnsi="宋体" w:hint="eastAsia"/>
        </w:rPr>
        <w:t>和</w:t>
      </w:r>
      <w:r w:rsidRPr="00765F6E">
        <w:rPr>
          <w:rFonts w:hint="eastAsia"/>
        </w:rPr>
        <w:t>GB 51298的相关规定</w:t>
      </w:r>
      <w:r w:rsidR="005B1954">
        <w:rPr>
          <w:rFonts w:hint="eastAsia"/>
        </w:rPr>
        <w:t>。</w:t>
      </w:r>
    </w:p>
    <w:p w14:paraId="6556A214" w14:textId="68E0CB4F" w:rsidR="00737EB2" w:rsidRPr="00765F6E" w:rsidRDefault="00737EB2" w:rsidP="003334F3">
      <w:pPr>
        <w:pStyle w:val="af6"/>
        <w:numPr>
          <w:ilvl w:val="0"/>
          <w:numId w:val="267"/>
        </w:numPr>
        <w:tabs>
          <w:tab w:val="left" w:pos="851"/>
        </w:tabs>
        <w:snapToGrid w:val="0"/>
        <w:contextualSpacing/>
      </w:pPr>
      <w:r w:rsidRPr="00765F6E">
        <w:rPr>
          <w:rFonts w:hint="eastAsia"/>
        </w:rPr>
        <w:t>采用通道换乘的地下车站，其换乘通道两侧应分别设置耐火极限不低于3.00h的防火卷帘进行防火分隔，并能由其两线分别控制升降和关闭</w:t>
      </w:r>
      <w:r w:rsidR="005B1954">
        <w:rPr>
          <w:rFonts w:hint="eastAsia"/>
        </w:rPr>
        <w:t>。</w:t>
      </w:r>
    </w:p>
    <w:p w14:paraId="4794C4B6" w14:textId="77777777" w:rsidR="00737EB2" w:rsidRPr="00765F6E" w:rsidRDefault="00737EB2" w:rsidP="003334F3">
      <w:pPr>
        <w:pStyle w:val="af6"/>
        <w:numPr>
          <w:ilvl w:val="0"/>
          <w:numId w:val="267"/>
        </w:numPr>
        <w:tabs>
          <w:tab w:val="left" w:pos="851"/>
        </w:tabs>
        <w:snapToGrid w:val="0"/>
        <w:contextualSpacing/>
      </w:pPr>
      <w:r w:rsidRPr="00765F6E">
        <w:rPr>
          <w:rFonts w:hint="eastAsia"/>
        </w:rPr>
        <w:t>车辆基地（所、存车场）、运营控制中心的防火分区划分及防火分隔，应符合</w:t>
      </w:r>
      <w:r w:rsidRPr="00765F6E">
        <w:rPr>
          <w:rFonts w:hAnsi="宋体"/>
        </w:rPr>
        <w:t>GB 55037</w:t>
      </w:r>
      <w:r w:rsidRPr="00765F6E">
        <w:rPr>
          <w:rFonts w:hAnsi="宋体" w:hint="eastAsia"/>
        </w:rPr>
        <w:t>、</w:t>
      </w:r>
      <w:r w:rsidRPr="00765F6E">
        <w:t>GB</w:t>
      </w:r>
      <w:r w:rsidRPr="00765F6E">
        <w:rPr>
          <w:rFonts w:hint="eastAsia"/>
        </w:rPr>
        <w:t xml:space="preserve"> </w:t>
      </w:r>
      <w:r w:rsidRPr="00765F6E">
        <w:t>50016</w:t>
      </w:r>
      <w:r w:rsidRPr="00765F6E">
        <w:rPr>
          <w:rFonts w:hint="eastAsia"/>
        </w:rPr>
        <w:t>和GB 51298等的有关规定。</w:t>
      </w:r>
    </w:p>
    <w:p w14:paraId="314B6617" w14:textId="77777777" w:rsidR="00737EB2" w:rsidRPr="00765F6E" w:rsidRDefault="00737EB2" w:rsidP="009D0776">
      <w:pPr>
        <w:pStyle w:val="22"/>
      </w:pPr>
      <w:bookmarkStart w:id="3507" w:name="_Toc99793008"/>
      <w:bookmarkStart w:id="3508" w:name="_Toc153292452"/>
      <w:r w:rsidRPr="00765F6E">
        <w:rPr>
          <w:rFonts w:hint="eastAsia"/>
        </w:rPr>
        <w:t>车站安全出口设置符合下列规定：</w:t>
      </w:r>
      <w:bookmarkEnd w:id="3507"/>
      <w:bookmarkEnd w:id="3508"/>
    </w:p>
    <w:p w14:paraId="34985061" w14:textId="77777777" w:rsidR="00737EB2" w:rsidRPr="00765F6E" w:rsidRDefault="00737EB2" w:rsidP="003334F3">
      <w:pPr>
        <w:pStyle w:val="af6"/>
        <w:numPr>
          <w:ilvl w:val="0"/>
          <w:numId w:val="268"/>
        </w:numPr>
        <w:tabs>
          <w:tab w:val="left" w:pos="851"/>
        </w:tabs>
        <w:snapToGrid w:val="0"/>
        <w:contextualSpacing/>
      </w:pPr>
      <w:r w:rsidRPr="00765F6E">
        <w:rPr>
          <w:rFonts w:hint="eastAsia"/>
        </w:rPr>
        <w:t>车站每个站厅公共区安全出口数量应经计算确定，且应设置不少于2个直通地面的安全出口，同时相邻两个安全出口之间的最小水平距离不应小于20m。换乘车站共用一个站厅公共区时，站厅公共区的安全出口应按每条线不少于2个设置；</w:t>
      </w:r>
    </w:p>
    <w:p w14:paraId="525072C7" w14:textId="77777777" w:rsidR="00737EB2" w:rsidRPr="00765F6E" w:rsidRDefault="00737EB2" w:rsidP="003334F3">
      <w:pPr>
        <w:pStyle w:val="af6"/>
        <w:numPr>
          <w:ilvl w:val="0"/>
          <w:numId w:val="268"/>
        </w:numPr>
        <w:tabs>
          <w:tab w:val="left" w:pos="851"/>
        </w:tabs>
        <w:snapToGrid w:val="0"/>
        <w:contextualSpacing/>
      </w:pPr>
      <w:r w:rsidRPr="00765F6E">
        <w:rPr>
          <w:rFonts w:hint="eastAsia"/>
        </w:rPr>
        <w:t>地下一层侧式站台车站，每侧站台安全出口数量应经计算确定，且不应少于2个直通地面或其他室外空间的安全出口。侧式站台利用站台之间的过轨地道作为安全疏散通道时，应在上下行轨道之间设置耐火极限不低于2.00h的防火隔墙；</w:t>
      </w:r>
    </w:p>
    <w:p w14:paraId="73501874" w14:textId="77777777" w:rsidR="00737EB2" w:rsidRPr="00765F6E" w:rsidRDefault="00737EB2" w:rsidP="003334F3">
      <w:pPr>
        <w:pStyle w:val="af6"/>
        <w:numPr>
          <w:ilvl w:val="0"/>
          <w:numId w:val="268"/>
        </w:numPr>
        <w:tabs>
          <w:tab w:val="left" w:pos="851"/>
        </w:tabs>
        <w:snapToGrid w:val="0"/>
        <w:contextualSpacing/>
      </w:pPr>
      <w:r w:rsidRPr="00765F6E">
        <w:rPr>
          <w:rFonts w:hint="eastAsia"/>
        </w:rPr>
        <w:lastRenderedPageBreak/>
        <w:t>有人值守的车站设备管理区域内每个防火分区安全出口的数量不应少于2个，并至少应有1个安全出口直通地面。当值守人员小于或等于3人时，可利用与相邻防火分区相通的防火门或通向站厅公共区的出口作为安全出口；</w:t>
      </w:r>
    </w:p>
    <w:p w14:paraId="62C70403" w14:textId="77777777" w:rsidR="00737EB2" w:rsidRPr="00765F6E" w:rsidRDefault="00737EB2" w:rsidP="003334F3">
      <w:pPr>
        <w:pStyle w:val="af6"/>
        <w:numPr>
          <w:ilvl w:val="0"/>
          <w:numId w:val="268"/>
        </w:numPr>
        <w:tabs>
          <w:tab w:val="left" w:pos="851"/>
        </w:tabs>
        <w:snapToGrid w:val="0"/>
        <w:contextualSpacing/>
      </w:pPr>
      <w:r w:rsidRPr="00765F6E">
        <w:rPr>
          <w:rFonts w:hint="eastAsia"/>
        </w:rPr>
        <w:t>车站与商业等非铁路运营功能的场所的安全出口应各自独立设置。两者的连通口和上、下联系楼梯或扶梯不应作为相互间的安全出口；</w:t>
      </w:r>
    </w:p>
    <w:p w14:paraId="07F1DA42" w14:textId="77777777" w:rsidR="00737EB2" w:rsidRPr="00765F6E" w:rsidRDefault="00737EB2" w:rsidP="003334F3">
      <w:pPr>
        <w:pStyle w:val="af6"/>
        <w:numPr>
          <w:ilvl w:val="0"/>
          <w:numId w:val="268"/>
        </w:numPr>
        <w:tabs>
          <w:tab w:val="left" w:pos="851"/>
        </w:tabs>
        <w:snapToGrid w:val="0"/>
        <w:contextualSpacing/>
      </w:pPr>
      <w:r w:rsidRPr="00765F6E">
        <w:rPr>
          <w:rFonts w:hint="eastAsia"/>
        </w:rPr>
        <w:t>竖井、爬梯、电梯、消防专用通道，以及设备管理区的楼梯不应用作乘客的安全疏散设施；</w:t>
      </w:r>
    </w:p>
    <w:p w14:paraId="644ED06B" w14:textId="77777777" w:rsidR="00737EB2" w:rsidRPr="00765F6E" w:rsidRDefault="00737EB2" w:rsidP="003334F3">
      <w:pPr>
        <w:pStyle w:val="af6"/>
        <w:numPr>
          <w:ilvl w:val="0"/>
          <w:numId w:val="268"/>
        </w:numPr>
        <w:tabs>
          <w:tab w:val="left" w:pos="851"/>
        </w:tabs>
        <w:snapToGrid w:val="0"/>
        <w:contextualSpacing/>
      </w:pPr>
      <w:r w:rsidRPr="00765F6E">
        <w:rPr>
          <w:rFonts w:hint="eastAsia"/>
        </w:rPr>
        <w:t>换乘车站的换乘通道、换乘梯不应作为乘客安全疏散设施；</w:t>
      </w:r>
    </w:p>
    <w:p w14:paraId="3E9E8CC9" w14:textId="77777777" w:rsidR="00737EB2" w:rsidRPr="00765F6E" w:rsidRDefault="00737EB2" w:rsidP="003334F3">
      <w:pPr>
        <w:pStyle w:val="af6"/>
        <w:numPr>
          <w:ilvl w:val="0"/>
          <w:numId w:val="268"/>
        </w:numPr>
        <w:tabs>
          <w:tab w:val="left" w:pos="851"/>
        </w:tabs>
        <w:snapToGrid w:val="0"/>
        <w:contextualSpacing/>
      </w:pPr>
      <w:r w:rsidRPr="00765F6E">
        <w:rPr>
          <w:rFonts w:hint="eastAsia"/>
        </w:rPr>
        <w:t>在站厅层与站台层之间设置设备层的安全出口不应利用站台至站厅公共区的疏散楼梯，应独立设开向上层站厅公共区的安全出口；</w:t>
      </w:r>
    </w:p>
    <w:p w14:paraId="638BD4C8" w14:textId="77777777" w:rsidR="00737EB2" w:rsidRPr="00765F6E" w:rsidRDefault="00737EB2" w:rsidP="003334F3">
      <w:pPr>
        <w:pStyle w:val="af6"/>
        <w:numPr>
          <w:ilvl w:val="0"/>
          <w:numId w:val="268"/>
        </w:numPr>
        <w:tabs>
          <w:tab w:val="left" w:pos="851"/>
        </w:tabs>
        <w:snapToGrid w:val="0"/>
        <w:contextualSpacing/>
      </w:pPr>
      <w:r w:rsidRPr="00765F6E">
        <w:rPr>
          <w:rFonts w:hint="eastAsia"/>
        </w:rPr>
        <w:t>地面侧式站台车站的过轨地道可作为疏散通道，上跨轨道的通道不应作为疏散通道；</w:t>
      </w:r>
    </w:p>
    <w:p w14:paraId="066EEDBA" w14:textId="77777777" w:rsidR="00737EB2" w:rsidRPr="00765F6E" w:rsidRDefault="00737EB2" w:rsidP="003334F3">
      <w:pPr>
        <w:pStyle w:val="af6"/>
        <w:numPr>
          <w:ilvl w:val="0"/>
          <w:numId w:val="268"/>
        </w:numPr>
        <w:tabs>
          <w:tab w:val="left" w:pos="851"/>
        </w:tabs>
        <w:snapToGrid w:val="0"/>
        <w:contextualSpacing/>
      </w:pPr>
      <w:r w:rsidRPr="00765F6E">
        <w:rPr>
          <w:rFonts w:hint="eastAsia"/>
        </w:rPr>
        <w:t>地上车站与区间纵向疏散平台相联通的站台安全出口，可利用站台门上能双向开启的端门。</w:t>
      </w:r>
    </w:p>
    <w:p w14:paraId="68A2AFB7" w14:textId="77777777" w:rsidR="00737EB2" w:rsidRPr="00765F6E" w:rsidRDefault="00737EB2" w:rsidP="009D0776">
      <w:pPr>
        <w:pStyle w:val="22"/>
      </w:pPr>
      <w:bookmarkStart w:id="3509" w:name="_Toc153292453"/>
      <w:bookmarkStart w:id="3510" w:name="_Toc99793009"/>
      <w:r w:rsidRPr="00765F6E">
        <w:rPr>
          <w:rFonts w:hint="eastAsia"/>
        </w:rPr>
        <w:t>消防水池和污水沉降池面积可不计入防火分区面积。</w:t>
      </w:r>
      <w:bookmarkEnd w:id="3509"/>
      <w:bookmarkEnd w:id="3510"/>
    </w:p>
    <w:p w14:paraId="443BF3B2" w14:textId="77777777" w:rsidR="00737EB2" w:rsidRPr="00765F6E" w:rsidRDefault="00737EB2" w:rsidP="009D0776">
      <w:pPr>
        <w:pStyle w:val="22"/>
      </w:pPr>
      <w:bookmarkStart w:id="3511" w:name="_Toc99793010"/>
      <w:bookmarkStart w:id="3512" w:name="_Toc153292454"/>
      <w:r w:rsidRPr="00765F6E">
        <w:rPr>
          <w:rFonts w:hint="eastAsia"/>
        </w:rPr>
        <w:t>车站的装修材料的燃烧性能应符合</w:t>
      </w:r>
      <w:r w:rsidRPr="00765F6E">
        <w:t>GB 55037</w:t>
      </w:r>
      <w:r w:rsidRPr="00765F6E">
        <w:rPr>
          <w:rFonts w:hint="eastAsia"/>
        </w:rPr>
        <w:t>和GB 51298的相关规定。</w:t>
      </w:r>
      <w:bookmarkEnd w:id="3511"/>
      <w:bookmarkEnd w:id="3512"/>
    </w:p>
    <w:p w14:paraId="4B00C2F0" w14:textId="77777777" w:rsidR="00737EB2" w:rsidRPr="00765F6E" w:rsidRDefault="00737EB2" w:rsidP="009D0776">
      <w:pPr>
        <w:pStyle w:val="22"/>
      </w:pPr>
      <w:bookmarkStart w:id="3513" w:name="_Toc153292455"/>
      <w:bookmarkStart w:id="3514" w:name="_Toc99793011"/>
      <w:r w:rsidRPr="00765F6E">
        <w:rPr>
          <w:rFonts w:hint="eastAsia"/>
        </w:rPr>
        <w:t>安全疏散距离符合下列规定：</w:t>
      </w:r>
      <w:bookmarkEnd w:id="3513"/>
      <w:bookmarkEnd w:id="3514"/>
    </w:p>
    <w:p w14:paraId="774351C4" w14:textId="3FF256F0" w:rsidR="00737EB2" w:rsidRPr="00481B19" w:rsidRDefault="00737EB2" w:rsidP="003334F3">
      <w:pPr>
        <w:pStyle w:val="af6"/>
        <w:numPr>
          <w:ilvl w:val="0"/>
          <w:numId w:val="269"/>
        </w:numPr>
        <w:tabs>
          <w:tab w:val="left" w:pos="851"/>
        </w:tabs>
        <w:snapToGrid w:val="0"/>
        <w:contextualSpacing/>
      </w:pPr>
      <w:r w:rsidRPr="00765F6E">
        <w:rPr>
          <w:rFonts w:hint="eastAsia"/>
        </w:rPr>
        <w:t>站台公共区内任意一点到安全出口的最大距离不应大于50m，站厅公共区内任一点到安全出口的最大距离不应大于</w:t>
      </w:r>
      <w:r w:rsidRPr="00481B19">
        <w:t>60m</w:t>
      </w:r>
      <w:r w:rsidRPr="00481B19">
        <w:rPr>
          <w:rFonts w:hint="eastAsia"/>
        </w:rPr>
        <w:t>；</w:t>
      </w:r>
    </w:p>
    <w:p w14:paraId="6CA4D193" w14:textId="77777777" w:rsidR="00737EB2" w:rsidRPr="00481B19" w:rsidRDefault="00737EB2" w:rsidP="003334F3">
      <w:pPr>
        <w:pStyle w:val="af6"/>
        <w:numPr>
          <w:ilvl w:val="0"/>
          <w:numId w:val="269"/>
        </w:numPr>
        <w:tabs>
          <w:tab w:val="left" w:pos="851"/>
        </w:tabs>
        <w:snapToGrid w:val="0"/>
        <w:contextualSpacing/>
      </w:pPr>
      <w:r w:rsidRPr="00481B19">
        <w:rPr>
          <w:rFonts w:hint="eastAsia"/>
        </w:rPr>
        <w:t>有人值守的设备管理用房的疏散门至最近安全出口的距离，当疏散门位于2个安全出口之间时，不应大于40m；当疏散门位于袋形走道两侧或尽端时，其不应大于22m。风道内任意一点距安全出口的距离不宜大于</w:t>
      </w:r>
      <w:r w:rsidRPr="00481B19">
        <w:t>60m</w:t>
      </w:r>
      <w:r w:rsidRPr="00481B19">
        <w:rPr>
          <w:rFonts w:hint="eastAsia"/>
        </w:rPr>
        <w:t>；</w:t>
      </w:r>
    </w:p>
    <w:p w14:paraId="0A08DA89" w14:textId="77777777" w:rsidR="00737EB2" w:rsidRPr="00765F6E" w:rsidRDefault="00737EB2" w:rsidP="003334F3">
      <w:pPr>
        <w:pStyle w:val="af6"/>
        <w:numPr>
          <w:ilvl w:val="0"/>
          <w:numId w:val="269"/>
        </w:numPr>
        <w:tabs>
          <w:tab w:val="left" w:pos="851"/>
        </w:tabs>
        <w:snapToGrid w:val="0"/>
        <w:contextualSpacing/>
      </w:pPr>
      <w:r w:rsidRPr="00765F6E">
        <w:rPr>
          <w:rFonts w:hint="eastAsia"/>
        </w:rPr>
        <w:t>地下出入口通道的长度不宜超过100m，当超过时应增设安全出口，且该通道内任何一点至最近安全出口的疏散距离不应大于50m。</w:t>
      </w:r>
    </w:p>
    <w:p w14:paraId="10B45D10" w14:textId="77777777" w:rsidR="00737EB2" w:rsidRPr="00765F6E" w:rsidRDefault="00737EB2" w:rsidP="009D0776">
      <w:pPr>
        <w:pStyle w:val="22"/>
      </w:pPr>
      <w:bookmarkStart w:id="3515" w:name="_Toc99793012"/>
      <w:bookmarkStart w:id="3516" w:name="_Toc153292456"/>
      <w:r w:rsidRPr="00765F6E">
        <w:rPr>
          <w:rFonts w:hint="eastAsia"/>
        </w:rPr>
        <w:t>车站站台公共区的疏散楼梯、自动扶梯、疏散通道的通过能力，应保证当在远期或客流控制期中超高峰小时最大客流量时，一列进站列车所载的乘客及站台上的候车乘客能在4</w:t>
      </w:r>
      <w:r w:rsidRPr="00765F6E">
        <w:t>min</w:t>
      </w:r>
      <w:r w:rsidRPr="00765F6E">
        <w:rPr>
          <w:rFonts w:hint="eastAsia"/>
        </w:rPr>
        <w:t>内全部撤离站台，并应能在6mim内全部疏散至站厅公共区或其他安全区域。</w:t>
      </w:r>
      <w:bookmarkEnd w:id="3515"/>
      <w:bookmarkEnd w:id="3516"/>
    </w:p>
    <w:p w14:paraId="7262F77D" w14:textId="7E165D73" w:rsidR="00737EB2" w:rsidRPr="00765F6E" w:rsidRDefault="00737EB2" w:rsidP="009D0776">
      <w:pPr>
        <w:pStyle w:val="22"/>
      </w:pPr>
      <w:bookmarkStart w:id="3517" w:name="_Toc153292457"/>
      <w:bookmarkStart w:id="3518" w:name="_Toc99793013"/>
      <w:r w:rsidRPr="00765F6E">
        <w:rPr>
          <w:rFonts w:hint="eastAsia"/>
        </w:rPr>
        <w:t>乘客全部撤离站台的安全疏散时间计算应符</w:t>
      </w:r>
      <w:r w:rsidRPr="00481B19">
        <w:rPr>
          <w:rFonts w:hint="eastAsia"/>
        </w:rPr>
        <w:t>合</w:t>
      </w:r>
      <w:r w:rsidRPr="00481B19">
        <w:t>GB 51298的相关规定</w:t>
      </w:r>
      <w:r w:rsidRPr="00765F6E">
        <w:rPr>
          <w:rFonts w:hint="eastAsia"/>
        </w:rPr>
        <w:t>。</w:t>
      </w:r>
      <w:bookmarkEnd w:id="3517"/>
      <w:bookmarkEnd w:id="3518"/>
      <w:r w:rsidRPr="00765F6E">
        <w:rPr>
          <w:rFonts w:hint="eastAsia"/>
        </w:rPr>
        <w:t xml:space="preserve">  </w:t>
      </w:r>
    </w:p>
    <w:p w14:paraId="59BD7DF4" w14:textId="77777777" w:rsidR="00737EB2" w:rsidRPr="00765F6E" w:rsidRDefault="00737EB2" w:rsidP="009D0776">
      <w:pPr>
        <w:pStyle w:val="22"/>
      </w:pPr>
      <w:bookmarkStart w:id="3519" w:name="_Toc153292458"/>
      <w:bookmarkStart w:id="3520" w:name="_Toc99793014"/>
      <w:r w:rsidRPr="00765F6E">
        <w:rPr>
          <w:rFonts w:hint="eastAsia"/>
        </w:rPr>
        <w:t>地下车站应设置消防专用通道。当地下车站超过三层（含三层）时，消防专用通道应设为防烟楼梯间。</w:t>
      </w:r>
      <w:bookmarkEnd w:id="3519"/>
      <w:bookmarkEnd w:id="3520"/>
    </w:p>
    <w:p w14:paraId="5595EA1B" w14:textId="77777777" w:rsidR="00737EB2" w:rsidRPr="00765F6E" w:rsidRDefault="00737EB2" w:rsidP="009D0776">
      <w:pPr>
        <w:pStyle w:val="22"/>
      </w:pPr>
      <w:bookmarkStart w:id="3521" w:name="_Toc153292459"/>
      <w:bookmarkStart w:id="3522" w:name="_Toc99793015"/>
      <w:r w:rsidRPr="00765F6E">
        <w:rPr>
          <w:rFonts w:hint="eastAsia"/>
        </w:rPr>
        <w:t>地下车站的地面出入口、风亭等附属建筑，车辆基地（所、存车场）出入线敞口段，以及地上车站、区间和附属建筑与相邻建筑的防火间距和消防车道的设置，应按</w:t>
      </w:r>
      <w:r w:rsidRPr="00765F6E">
        <w:t>GB 50016</w:t>
      </w:r>
      <w:r w:rsidRPr="00765F6E">
        <w:rPr>
          <w:rFonts w:hint="eastAsia"/>
        </w:rPr>
        <w:t>的有关规定执行。与汽车加油加气站的防火间距应符合GB 50156的有关规定。</w:t>
      </w:r>
      <w:bookmarkEnd w:id="3521"/>
      <w:bookmarkEnd w:id="3522"/>
    </w:p>
    <w:p w14:paraId="7343004C" w14:textId="77777777" w:rsidR="00737EB2" w:rsidRPr="00765F6E" w:rsidRDefault="00737EB2" w:rsidP="009D0776">
      <w:pPr>
        <w:pStyle w:val="22"/>
      </w:pPr>
      <w:bookmarkStart w:id="3523" w:name="_Toc153292460"/>
      <w:bookmarkStart w:id="3524" w:name="_Toc99793016"/>
      <w:r w:rsidRPr="00765F6E">
        <w:rPr>
          <w:rFonts w:hint="eastAsia"/>
        </w:rPr>
        <w:t>地下车站的采光窗井与相邻地面建筑之间的防火间距应符合GB 51298的相关规定。</w:t>
      </w:r>
      <w:bookmarkEnd w:id="3523"/>
      <w:bookmarkEnd w:id="3524"/>
    </w:p>
    <w:p w14:paraId="6C6F526D" w14:textId="77777777" w:rsidR="00737EB2" w:rsidRPr="00765F6E" w:rsidRDefault="00737EB2" w:rsidP="009D0776">
      <w:pPr>
        <w:pStyle w:val="22"/>
      </w:pPr>
      <w:bookmarkStart w:id="3525" w:name="_Toc99793017"/>
      <w:bookmarkStart w:id="3526" w:name="_Toc153292461"/>
      <w:r w:rsidRPr="00765F6E">
        <w:rPr>
          <w:rFonts w:hint="eastAsia"/>
        </w:rPr>
        <w:t>运营控制中心、主变电所、车辆基地（所、存车场）及疏散指示标志应满足GB 51298的相关规定。</w:t>
      </w:r>
      <w:bookmarkEnd w:id="3525"/>
      <w:bookmarkEnd w:id="3526"/>
    </w:p>
    <w:p w14:paraId="05BA1251" w14:textId="77777777" w:rsidR="00737EB2" w:rsidRPr="00765F6E" w:rsidRDefault="00737EB2" w:rsidP="00737EB2">
      <w:pPr>
        <w:pStyle w:val="affe"/>
        <w:spacing w:before="156" w:after="156"/>
      </w:pPr>
      <w:bookmarkStart w:id="3527" w:name="_Toc153211014"/>
      <w:bookmarkStart w:id="3528" w:name="_Toc153292462"/>
      <w:bookmarkStart w:id="3529" w:name="_Toc99793018"/>
      <w:bookmarkStart w:id="3530" w:name="_Toc167895912"/>
      <w:bookmarkStart w:id="3531" w:name="_Toc174538826"/>
      <w:bookmarkStart w:id="3532" w:name="_Toc182476584"/>
      <w:r w:rsidRPr="00765F6E">
        <w:rPr>
          <w:rFonts w:hint="eastAsia"/>
        </w:rPr>
        <w:t>区间防灾疏散及救援</w:t>
      </w:r>
      <w:bookmarkEnd w:id="3527"/>
      <w:bookmarkEnd w:id="3528"/>
      <w:bookmarkEnd w:id="3529"/>
      <w:bookmarkEnd w:id="3530"/>
      <w:bookmarkEnd w:id="3531"/>
      <w:bookmarkEnd w:id="3532"/>
    </w:p>
    <w:p w14:paraId="4E5D647F" w14:textId="4EFDF986" w:rsidR="00737EB2" w:rsidRPr="00765F6E" w:rsidRDefault="00737EB2" w:rsidP="009D0776">
      <w:pPr>
        <w:pStyle w:val="22"/>
      </w:pPr>
      <w:bookmarkStart w:id="3533" w:name="_Toc153292463"/>
      <w:bookmarkStart w:id="3534" w:name="_Toc99793019"/>
      <w:r w:rsidRPr="00765F6E">
        <w:rPr>
          <w:rFonts w:hint="eastAsia"/>
        </w:rPr>
        <w:t>当列车在区间隧道内发生事故、火灾时，</w:t>
      </w:r>
      <w:r w:rsidR="006B5275">
        <w:rPr>
          <w:rFonts w:hint="eastAsia"/>
        </w:rPr>
        <w:t>列车在还有动力的情况下，开往就近的车站进行疏散和救援</w:t>
      </w:r>
      <w:r w:rsidRPr="00765F6E">
        <w:rPr>
          <w:rFonts w:hint="eastAsia"/>
        </w:rPr>
        <w:t>。</w:t>
      </w:r>
      <w:bookmarkEnd w:id="3533"/>
      <w:bookmarkEnd w:id="3534"/>
    </w:p>
    <w:p w14:paraId="6FE54961" w14:textId="77777777" w:rsidR="00737EB2" w:rsidRPr="00765F6E" w:rsidRDefault="00737EB2" w:rsidP="009D0776">
      <w:pPr>
        <w:pStyle w:val="22"/>
      </w:pPr>
      <w:bookmarkStart w:id="3535" w:name="_Toc153292464"/>
      <w:bookmarkStart w:id="3536" w:name="_Toc99793020"/>
      <w:r w:rsidRPr="00765F6E">
        <w:rPr>
          <w:rFonts w:hint="eastAsia"/>
        </w:rPr>
        <w:t>道床面作为高架、地面区间疏散通道时，应满足人员疏散通行的要求。载客运营的隧道内应设置贯通的纵向疏散通道。设有侧向沟槽的隧道宜利用其盖板顶面作为疏散通道；未设有侧向沟槽的隧道宜单独设置贯通疏散平台作为疏散通道。疏散通道在人防门、防淹门、道岔区地段外应保持平整、连续、无障碍物。</w:t>
      </w:r>
      <w:bookmarkEnd w:id="3535"/>
      <w:bookmarkEnd w:id="3536"/>
    </w:p>
    <w:p w14:paraId="4A3D07FF" w14:textId="77777777" w:rsidR="00737EB2" w:rsidRPr="00765F6E" w:rsidRDefault="00737EB2" w:rsidP="009D0776">
      <w:pPr>
        <w:pStyle w:val="22"/>
      </w:pPr>
      <w:bookmarkStart w:id="3537" w:name="_Toc153292465"/>
      <w:bookmarkStart w:id="3538" w:name="_Toc99793021"/>
      <w:r w:rsidRPr="00765F6E">
        <w:rPr>
          <w:rFonts w:hint="eastAsia"/>
        </w:rPr>
        <w:t>疏散通道符合下列规定：</w:t>
      </w:r>
      <w:bookmarkEnd w:id="3537"/>
      <w:bookmarkEnd w:id="3538"/>
      <w:r w:rsidRPr="00765F6E">
        <w:rPr>
          <w:rFonts w:hint="eastAsia"/>
        </w:rPr>
        <w:t xml:space="preserve"> </w:t>
      </w:r>
    </w:p>
    <w:p w14:paraId="2268A1EC" w14:textId="77777777" w:rsidR="00737EB2" w:rsidRPr="00765F6E" w:rsidRDefault="00737EB2" w:rsidP="003334F3">
      <w:pPr>
        <w:pStyle w:val="af6"/>
        <w:numPr>
          <w:ilvl w:val="0"/>
          <w:numId w:val="270"/>
        </w:numPr>
        <w:tabs>
          <w:tab w:val="left" w:pos="851"/>
        </w:tabs>
        <w:snapToGrid w:val="0"/>
        <w:contextualSpacing/>
      </w:pPr>
      <w:r w:rsidRPr="00765F6E">
        <w:rPr>
          <w:rFonts w:hint="eastAsia"/>
        </w:rPr>
        <w:t>车辆采用隐藏式踏步作为辅助疏散措施时，宜利用轨旁电缆沟盖板面、路肩作为低疏散通道，盖板宜考虑行人荷载；未设置隐藏式踏步时，应设置贯通疏散平台；</w:t>
      </w:r>
    </w:p>
    <w:p w14:paraId="23189DDF" w14:textId="77777777" w:rsidR="00737EB2" w:rsidRPr="00765F6E" w:rsidRDefault="00737EB2" w:rsidP="003334F3">
      <w:pPr>
        <w:pStyle w:val="af6"/>
        <w:numPr>
          <w:ilvl w:val="0"/>
          <w:numId w:val="270"/>
        </w:numPr>
        <w:tabs>
          <w:tab w:val="left" w:pos="851"/>
        </w:tabs>
        <w:snapToGrid w:val="0"/>
        <w:contextualSpacing/>
      </w:pPr>
      <w:r w:rsidRPr="00765F6E">
        <w:rPr>
          <w:rFonts w:hint="eastAsia"/>
        </w:rPr>
        <w:t>疏散通道面应低于车厢地板面或隐藏式踏步最低踏面150～200mm；</w:t>
      </w:r>
    </w:p>
    <w:p w14:paraId="026D4444" w14:textId="77777777" w:rsidR="00737EB2" w:rsidRPr="00765F6E" w:rsidRDefault="00737EB2" w:rsidP="003334F3">
      <w:pPr>
        <w:pStyle w:val="af6"/>
        <w:numPr>
          <w:ilvl w:val="0"/>
          <w:numId w:val="270"/>
        </w:numPr>
        <w:tabs>
          <w:tab w:val="left" w:pos="851"/>
        </w:tabs>
        <w:snapToGrid w:val="0"/>
        <w:contextualSpacing/>
      </w:pPr>
      <w:r w:rsidRPr="00765F6E">
        <w:rPr>
          <w:rFonts w:hint="eastAsia"/>
        </w:rPr>
        <w:t>疏散平台边至线路中心线的最小净距，直线地段不小于1800mm，曲线地段应根据线路具体情况计算确定；疏散平台上部净空不应小于2000mm，宽度一般不小于800mm，困难情况下不应小于600mm；</w:t>
      </w:r>
    </w:p>
    <w:p w14:paraId="34E0866C" w14:textId="77777777" w:rsidR="00737EB2" w:rsidRPr="00765F6E" w:rsidRDefault="00737EB2" w:rsidP="003334F3">
      <w:pPr>
        <w:pStyle w:val="af6"/>
        <w:numPr>
          <w:ilvl w:val="0"/>
          <w:numId w:val="270"/>
        </w:numPr>
        <w:tabs>
          <w:tab w:val="left" w:pos="851"/>
        </w:tabs>
        <w:snapToGrid w:val="0"/>
        <w:contextualSpacing/>
      </w:pPr>
      <w:r w:rsidRPr="00765F6E">
        <w:rPr>
          <w:rFonts w:hint="eastAsia"/>
        </w:rPr>
        <w:t>地下区间疏散通道设置扶手时，扶手高度宜为疏散通道顶面以上900mm；</w:t>
      </w:r>
    </w:p>
    <w:p w14:paraId="2491AD0A" w14:textId="77777777" w:rsidR="00737EB2" w:rsidRPr="00765F6E" w:rsidRDefault="00737EB2" w:rsidP="003334F3">
      <w:pPr>
        <w:pStyle w:val="af6"/>
        <w:numPr>
          <w:ilvl w:val="0"/>
          <w:numId w:val="270"/>
        </w:numPr>
        <w:tabs>
          <w:tab w:val="left" w:pos="851"/>
        </w:tabs>
        <w:snapToGrid w:val="0"/>
        <w:contextualSpacing/>
      </w:pPr>
      <w:r w:rsidRPr="00765F6E">
        <w:rPr>
          <w:rFonts w:hint="eastAsia"/>
        </w:rPr>
        <w:lastRenderedPageBreak/>
        <w:t>疏散通道结构构件的耐火极限不应低于1.00h。</w:t>
      </w:r>
    </w:p>
    <w:p w14:paraId="03A80DE9" w14:textId="77777777" w:rsidR="00737EB2" w:rsidRPr="00765F6E" w:rsidRDefault="00737EB2" w:rsidP="009D0776">
      <w:pPr>
        <w:pStyle w:val="22"/>
      </w:pPr>
      <w:bookmarkStart w:id="3539" w:name="_Toc99793023"/>
      <w:bookmarkStart w:id="3540" w:name="_Toc153292466"/>
      <w:r w:rsidRPr="00765F6E">
        <w:rPr>
          <w:rFonts w:hint="eastAsia"/>
        </w:rPr>
        <w:t>单洞双线隧道线路间宜设置防火隔墙，防火隔墙的耐火等级应为一级，耐火极限不应低于3h，防火隔墙上应设联络门洞；两条单洞单线载客运营隧道之间应设置横向联络通道，发生列车事故时，可利用联络横通道或联络门洞互为疏散救援。</w:t>
      </w:r>
      <w:bookmarkEnd w:id="3539"/>
      <w:bookmarkEnd w:id="3540"/>
    </w:p>
    <w:p w14:paraId="612A5CBD" w14:textId="005A5656" w:rsidR="00737EB2" w:rsidRPr="00765F6E" w:rsidRDefault="00737EB2" w:rsidP="009D0776">
      <w:pPr>
        <w:pStyle w:val="22"/>
      </w:pPr>
      <w:bookmarkStart w:id="3541" w:name="_Toc99793024"/>
      <w:bookmarkStart w:id="3542" w:name="_Toc153292467"/>
      <w:r w:rsidRPr="00765F6E">
        <w:rPr>
          <w:rFonts w:hint="eastAsia"/>
        </w:rPr>
        <w:t>联络通道或联络门洞设计符合下列规定：</w:t>
      </w:r>
      <w:bookmarkEnd w:id="3541"/>
      <w:bookmarkEnd w:id="3542"/>
    </w:p>
    <w:p w14:paraId="3134A83C" w14:textId="77777777" w:rsidR="00737EB2" w:rsidRPr="00765F6E" w:rsidRDefault="00737EB2" w:rsidP="003334F3">
      <w:pPr>
        <w:pStyle w:val="af6"/>
        <w:numPr>
          <w:ilvl w:val="0"/>
          <w:numId w:val="271"/>
        </w:numPr>
        <w:tabs>
          <w:tab w:val="left" w:pos="851"/>
        </w:tabs>
        <w:snapToGrid w:val="0"/>
        <w:contextualSpacing/>
      </w:pPr>
      <w:r w:rsidRPr="00765F6E">
        <w:rPr>
          <w:rFonts w:hint="eastAsia"/>
        </w:rPr>
        <w:t>联络通道间距不宜大于600m；联络门洞间距宜采用300m；</w:t>
      </w:r>
    </w:p>
    <w:p w14:paraId="4C26DD03" w14:textId="77777777" w:rsidR="00737EB2" w:rsidRPr="00765F6E" w:rsidRDefault="00737EB2" w:rsidP="003334F3">
      <w:pPr>
        <w:pStyle w:val="af6"/>
        <w:numPr>
          <w:ilvl w:val="0"/>
          <w:numId w:val="271"/>
        </w:numPr>
        <w:tabs>
          <w:tab w:val="left" w:pos="851"/>
        </w:tabs>
        <w:snapToGrid w:val="0"/>
        <w:contextualSpacing/>
      </w:pPr>
      <w:r w:rsidRPr="00765F6E">
        <w:rPr>
          <w:rFonts w:hint="eastAsia"/>
        </w:rPr>
        <w:t>联络通道底标高宜与纵向疏散通道平台标高平接，净空断面尺寸应满足防灾救援及设备空间需求；</w:t>
      </w:r>
    </w:p>
    <w:p w14:paraId="09F9A66B" w14:textId="3096BBDA" w:rsidR="00737EB2" w:rsidRPr="00FB7C79" w:rsidRDefault="00737EB2" w:rsidP="003334F3">
      <w:pPr>
        <w:pStyle w:val="af6"/>
        <w:numPr>
          <w:ilvl w:val="0"/>
          <w:numId w:val="271"/>
        </w:numPr>
        <w:tabs>
          <w:tab w:val="left" w:pos="851"/>
        </w:tabs>
        <w:snapToGrid w:val="0"/>
        <w:contextualSpacing/>
      </w:pPr>
      <w:r w:rsidRPr="00765F6E">
        <w:rPr>
          <w:rFonts w:hint="eastAsia"/>
        </w:rPr>
        <w:t>联络通道和联络门洞应设置一道并列两樘反向开启的</w:t>
      </w:r>
      <w:r w:rsidRPr="00D93353">
        <w:rPr>
          <w:rFonts w:hint="eastAsia"/>
        </w:rPr>
        <w:t>防</w:t>
      </w:r>
      <w:r w:rsidR="001A09EA" w:rsidRPr="00453DBE">
        <w:rPr>
          <w:rFonts w:hint="eastAsia"/>
        </w:rPr>
        <w:t>火</w:t>
      </w:r>
      <w:r w:rsidRPr="00D93353">
        <w:rPr>
          <w:rFonts w:hint="eastAsia"/>
        </w:rPr>
        <w:t>门</w:t>
      </w:r>
      <w:r w:rsidRPr="00FB7C79">
        <w:rPr>
          <w:rFonts w:hint="eastAsia"/>
        </w:rPr>
        <w:t>。防</w:t>
      </w:r>
      <w:r w:rsidR="00D93353" w:rsidRPr="00453DBE">
        <w:rPr>
          <w:rFonts w:hint="eastAsia"/>
        </w:rPr>
        <w:t>火</w:t>
      </w:r>
      <w:r w:rsidRPr="00D93353">
        <w:rPr>
          <w:rFonts w:hint="eastAsia"/>
        </w:rPr>
        <w:t>门通行高度不应小于2.0m，单向通行宽度应与疏散通道相匹配；</w:t>
      </w:r>
    </w:p>
    <w:p w14:paraId="497200AE" w14:textId="77777777" w:rsidR="00737EB2" w:rsidRPr="00765F6E" w:rsidRDefault="00737EB2" w:rsidP="003334F3">
      <w:pPr>
        <w:pStyle w:val="af6"/>
        <w:numPr>
          <w:ilvl w:val="0"/>
          <w:numId w:val="271"/>
        </w:numPr>
        <w:tabs>
          <w:tab w:val="left" w:pos="851"/>
        </w:tabs>
        <w:snapToGrid w:val="0"/>
        <w:contextualSpacing/>
      </w:pPr>
      <w:r w:rsidRPr="00765F6E">
        <w:rPr>
          <w:rFonts w:hint="eastAsia"/>
        </w:rPr>
        <w:t>防护门应能抵挡长期列车活塞风及瞬变压力，以及运营、防灾通风时的正负压力，并具备A类隔热、甲级防火功能；</w:t>
      </w:r>
    </w:p>
    <w:p w14:paraId="3590FAB0" w14:textId="77777777" w:rsidR="00737EB2" w:rsidRPr="00765F6E" w:rsidRDefault="00737EB2" w:rsidP="003334F3">
      <w:pPr>
        <w:pStyle w:val="af6"/>
        <w:numPr>
          <w:ilvl w:val="0"/>
          <w:numId w:val="271"/>
        </w:numPr>
        <w:tabs>
          <w:tab w:val="left" w:pos="851"/>
        </w:tabs>
        <w:snapToGrid w:val="0"/>
        <w:contextualSpacing/>
      </w:pPr>
      <w:r w:rsidRPr="00765F6E">
        <w:rPr>
          <w:rFonts w:hint="eastAsia"/>
        </w:rPr>
        <w:t>防护门手动开启压力不应大于80N，当向门的插锁侧施加力时门可以完全打开。</w:t>
      </w:r>
    </w:p>
    <w:p w14:paraId="15EE05DC" w14:textId="77777777" w:rsidR="00737EB2" w:rsidRPr="00765F6E" w:rsidRDefault="00737EB2" w:rsidP="009D0776">
      <w:pPr>
        <w:pStyle w:val="22"/>
      </w:pPr>
      <w:bookmarkStart w:id="3543" w:name="_Toc99793025"/>
      <w:bookmarkStart w:id="3544" w:name="_Toc153292468"/>
      <w:r w:rsidRPr="00765F6E">
        <w:rPr>
          <w:rFonts w:hint="eastAsia"/>
        </w:rPr>
        <w:t>隧道防灾通风应结合运营通风设计，并符合本</w:t>
      </w:r>
      <w:r>
        <w:rPr>
          <w:rFonts w:hint="eastAsia"/>
        </w:rPr>
        <w:t>文件</w:t>
      </w:r>
      <w:r w:rsidRPr="00765F6E">
        <w:rPr>
          <w:rFonts w:hint="eastAsia"/>
        </w:rPr>
        <w:t>相关规定。</w:t>
      </w:r>
      <w:bookmarkEnd w:id="3543"/>
      <w:bookmarkEnd w:id="3544"/>
    </w:p>
    <w:p w14:paraId="67638D2E" w14:textId="77777777" w:rsidR="00737EB2" w:rsidRPr="00765F6E" w:rsidRDefault="00737EB2" w:rsidP="009D0776">
      <w:pPr>
        <w:pStyle w:val="22"/>
      </w:pPr>
      <w:bookmarkStart w:id="3545" w:name="_Toc153292469"/>
      <w:bookmarkStart w:id="3546" w:name="_Toc99793026"/>
      <w:r w:rsidRPr="00765F6E">
        <w:rPr>
          <w:rFonts w:hint="eastAsia"/>
        </w:rPr>
        <w:t>隧道内的疏散路径应设置醒目的诱导标识、标牌，注明隧道洞口和紧急出口的方向和距离，以及应急设施的位置。</w:t>
      </w:r>
      <w:bookmarkEnd w:id="3545"/>
      <w:bookmarkEnd w:id="3546"/>
    </w:p>
    <w:p w14:paraId="712C09C1" w14:textId="77777777" w:rsidR="00737EB2" w:rsidRPr="00765F6E" w:rsidRDefault="00737EB2" w:rsidP="009D0776">
      <w:pPr>
        <w:pStyle w:val="22"/>
      </w:pPr>
      <w:bookmarkStart w:id="3547" w:name="_Toc153292470"/>
      <w:bookmarkStart w:id="3548" w:name="_Toc99793027"/>
      <w:r w:rsidRPr="00765F6E">
        <w:rPr>
          <w:rFonts w:hint="eastAsia"/>
        </w:rPr>
        <w:t>隧道内应设置预防和报警等监控系统。应急照明、应急通信、应急供电等机电设施应按照安全可靠、方便实用的原则设置，并应满足火灾条件下人员疏散救援期间的正常使用。</w:t>
      </w:r>
      <w:bookmarkEnd w:id="3547"/>
      <w:bookmarkEnd w:id="3548"/>
    </w:p>
    <w:p w14:paraId="417F2E78" w14:textId="3C186D06" w:rsidR="00737EB2" w:rsidRPr="00765F6E" w:rsidRDefault="00737EB2" w:rsidP="009D0776">
      <w:pPr>
        <w:pStyle w:val="22"/>
      </w:pPr>
      <w:bookmarkStart w:id="3549" w:name="_Toc153292471"/>
      <w:bookmarkStart w:id="3550" w:name="_Toc99793028"/>
      <w:r w:rsidRPr="00765F6E">
        <w:t>单洞双线隧道当轨下</w:t>
      </w:r>
      <w:r w:rsidRPr="00765F6E">
        <w:rPr>
          <w:rFonts w:hint="eastAsia"/>
        </w:rPr>
        <w:t>空间</w:t>
      </w:r>
      <w:r w:rsidRPr="00765F6E">
        <w:t>满足疏散要求时可</w:t>
      </w:r>
      <w:r w:rsidRPr="00765F6E">
        <w:rPr>
          <w:rFonts w:hint="eastAsia"/>
        </w:rPr>
        <w:t>考虑</w:t>
      </w:r>
      <w:r w:rsidRPr="00765F6E">
        <w:t>利用轨下空间设置疏散</w:t>
      </w:r>
      <w:r w:rsidRPr="00765F6E">
        <w:rPr>
          <w:rFonts w:hint="eastAsia"/>
        </w:rPr>
        <w:t>廊道</w:t>
      </w:r>
      <w:r w:rsidRPr="00765F6E">
        <w:t>，隧道行车空间与疏散</w:t>
      </w:r>
      <w:r w:rsidRPr="00765F6E">
        <w:rPr>
          <w:rFonts w:hint="eastAsia"/>
        </w:rPr>
        <w:t>廊道</w:t>
      </w:r>
      <w:r w:rsidRPr="00765F6E">
        <w:t>之间应设置竖向通道，竖向通道可采用封闭楼梯、滑道等连接</w:t>
      </w:r>
      <w:bookmarkEnd w:id="3549"/>
      <w:r w:rsidR="00815127">
        <w:rPr>
          <w:rFonts w:hint="eastAsia"/>
        </w:rPr>
        <w:t>。</w:t>
      </w:r>
    </w:p>
    <w:p w14:paraId="47268716" w14:textId="36B873EC" w:rsidR="00737EB2" w:rsidRPr="00765F6E" w:rsidRDefault="00737EB2" w:rsidP="003334F3">
      <w:pPr>
        <w:pStyle w:val="af6"/>
        <w:numPr>
          <w:ilvl w:val="0"/>
          <w:numId w:val="272"/>
        </w:numPr>
        <w:snapToGrid w:val="0"/>
        <w:contextualSpacing/>
      </w:pPr>
      <w:r w:rsidRPr="00765F6E">
        <w:t>单洞双线隧道竖向联络通道沿隧道长度方向的间距不宜大于200m</w:t>
      </w:r>
      <w:r w:rsidR="00815127">
        <w:rPr>
          <w:rFonts w:hint="eastAsia"/>
        </w:rPr>
        <w:t>。</w:t>
      </w:r>
    </w:p>
    <w:p w14:paraId="2C193A80" w14:textId="10AAD1DB" w:rsidR="00737EB2" w:rsidRPr="00765F6E" w:rsidRDefault="00737EB2" w:rsidP="003334F3">
      <w:pPr>
        <w:pStyle w:val="affffffffffff3"/>
        <w:numPr>
          <w:ilvl w:val="0"/>
          <w:numId w:val="272"/>
        </w:numPr>
        <w:autoSpaceDE w:val="0"/>
        <w:autoSpaceDN w:val="0"/>
        <w:ind w:firstLineChars="0"/>
        <w:rPr>
          <w:rFonts w:ascii="宋体" w:hAnsi="Times New Roman"/>
          <w:kern w:val="0"/>
          <w:szCs w:val="20"/>
        </w:rPr>
      </w:pPr>
      <w:r w:rsidRPr="00765F6E">
        <w:rPr>
          <w:rFonts w:ascii="宋体" w:hAnsi="Times New Roman"/>
          <w:kern w:val="0"/>
          <w:szCs w:val="20"/>
        </w:rPr>
        <w:t>竖向通道的疏散方向应朝向隧道与地面连接的最近出口</w:t>
      </w:r>
      <w:r w:rsidR="00815127">
        <w:rPr>
          <w:rFonts w:ascii="宋体" w:hAnsi="Times New Roman" w:hint="eastAsia"/>
          <w:kern w:val="0"/>
          <w:szCs w:val="20"/>
        </w:rPr>
        <w:t>。</w:t>
      </w:r>
    </w:p>
    <w:p w14:paraId="5EE5FC5E" w14:textId="3BCC98C8" w:rsidR="00737EB2" w:rsidRPr="00765F6E" w:rsidRDefault="00737EB2" w:rsidP="003334F3">
      <w:pPr>
        <w:pStyle w:val="af6"/>
        <w:numPr>
          <w:ilvl w:val="0"/>
          <w:numId w:val="272"/>
        </w:numPr>
        <w:snapToGrid w:val="0"/>
        <w:contextualSpacing/>
      </w:pPr>
      <w:r w:rsidRPr="00765F6E">
        <w:t>竖向通道上部开孔口应高出道床面20cm，并设置当心跌落警示标志或栏杆</w:t>
      </w:r>
      <w:r w:rsidR="00815127">
        <w:rPr>
          <w:rFonts w:hint="eastAsia"/>
        </w:rPr>
        <w:t>。</w:t>
      </w:r>
    </w:p>
    <w:p w14:paraId="380F8102" w14:textId="77777777" w:rsidR="00737EB2" w:rsidRPr="00765F6E" w:rsidRDefault="00737EB2" w:rsidP="003334F3">
      <w:pPr>
        <w:pStyle w:val="af6"/>
        <w:numPr>
          <w:ilvl w:val="0"/>
          <w:numId w:val="272"/>
        </w:numPr>
        <w:snapToGrid w:val="0"/>
        <w:contextualSpacing/>
      </w:pPr>
      <w:r w:rsidRPr="00765F6E">
        <w:rPr>
          <w:rFonts w:hint="eastAsia"/>
        </w:rPr>
        <w:t>轨下空间作为疏散救援使用时，应设置通风、应急照明、应急通信及标志等设施。</w:t>
      </w:r>
      <w:bookmarkEnd w:id="3550"/>
    </w:p>
    <w:p w14:paraId="45D501EB" w14:textId="77777777" w:rsidR="00737EB2" w:rsidRPr="00765F6E" w:rsidRDefault="00737EB2" w:rsidP="00737EB2">
      <w:pPr>
        <w:pStyle w:val="affe"/>
        <w:spacing w:before="156" w:after="156"/>
      </w:pPr>
      <w:bookmarkStart w:id="3551" w:name="_Toc99793029"/>
      <w:bookmarkStart w:id="3552" w:name="_Toc153211015"/>
      <w:bookmarkStart w:id="3553" w:name="_Toc153292472"/>
      <w:bookmarkStart w:id="3554" w:name="_Toc167895913"/>
      <w:bookmarkStart w:id="3555" w:name="_Toc174538827"/>
      <w:bookmarkStart w:id="3556" w:name="_Toc182476585"/>
      <w:r w:rsidRPr="00765F6E">
        <w:rPr>
          <w:rFonts w:hint="eastAsia"/>
        </w:rPr>
        <w:t>消防给水与灭火装置</w:t>
      </w:r>
      <w:bookmarkEnd w:id="3551"/>
      <w:bookmarkEnd w:id="3552"/>
      <w:bookmarkEnd w:id="3553"/>
      <w:bookmarkEnd w:id="3554"/>
      <w:bookmarkEnd w:id="3555"/>
      <w:bookmarkEnd w:id="3556"/>
    </w:p>
    <w:p w14:paraId="17B76632" w14:textId="77777777" w:rsidR="00737EB2" w:rsidRPr="00765F6E" w:rsidRDefault="00737EB2" w:rsidP="009D0776">
      <w:pPr>
        <w:pStyle w:val="22"/>
      </w:pPr>
      <w:bookmarkStart w:id="3557" w:name="_Toc99793030"/>
      <w:bookmarkStart w:id="3558" w:name="_Toc153292473"/>
      <w:r w:rsidRPr="00765F6E">
        <w:rPr>
          <w:rFonts w:hint="eastAsia"/>
        </w:rPr>
        <w:t xml:space="preserve">市域铁路消防给水系统与灭火装置的设计应符合GB </w:t>
      </w:r>
      <w:r w:rsidRPr="00765F6E">
        <w:t>55036</w:t>
      </w:r>
      <w:r w:rsidRPr="00765F6E">
        <w:rPr>
          <w:rFonts w:hint="eastAsia"/>
        </w:rPr>
        <w:t>、GB 5</w:t>
      </w:r>
      <w:r w:rsidRPr="00765F6E">
        <w:t>5037</w:t>
      </w:r>
      <w:r w:rsidRPr="00765F6E">
        <w:rPr>
          <w:rFonts w:hint="eastAsia"/>
        </w:rPr>
        <w:t>、GB 50794、GB 50016、GB 50157、</w:t>
      </w:r>
      <w:bookmarkStart w:id="3559" w:name="_Hlk167267775"/>
      <w:r w:rsidRPr="00765F6E">
        <w:t>GB 50490</w:t>
      </w:r>
      <w:bookmarkEnd w:id="3559"/>
      <w:r w:rsidRPr="00765F6E">
        <w:rPr>
          <w:rFonts w:hint="eastAsia"/>
        </w:rPr>
        <w:t>以及TB 10063的有关规定。</w:t>
      </w:r>
      <w:bookmarkEnd w:id="3557"/>
      <w:bookmarkEnd w:id="3558"/>
    </w:p>
    <w:p w14:paraId="71D84D20" w14:textId="77777777" w:rsidR="00737EB2" w:rsidRPr="00765F6E" w:rsidRDefault="00737EB2" w:rsidP="009D0776">
      <w:pPr>
        <w:pStyle w:val="22"/>
      </w:pPr>
      <w:bookmarkStart w:id="3560" w:name="_Toc153292474"/>
      <w:bookmarkStart w:id="3561" w:name="_Toc99793031"/>
      <w:r w:rsidRPr="00765F6E">
        <w:rPr>
          <w:rFonts w:hint="eastAsia"/>
        </w:rPr>
        <w:t>市域铁路消防给水水源应充分利用市政给水设施，当沿线无市政给水管网时，可采用其他可靠的消防给水水源。</w:t>
      </w:r>
      <w:bookmarkEnd w:id="3560"/>
      <w:bookmarkEnd w:id="3561"/>
    </w:p>
    <w:p w14:paraId="1213B0F9" w14:textId="77777777" w:rsidR="00737EB2" w:rsidRPr="00765F6E" w:rsidRDefault="00737EB2" w:rsidP="009D0776">
      <w:pPr>
        <w:pStyle w:val="22"/>
      </w:pPr>
      <w:bookmarkStart w:id="3562" w:name="_Toc153292475"/>
      <w:bookmarkStart w:id="3563" w:name="_Toc99793032"/>
      <w:r w:rsidRPr="00765F6E">
        <w:rPr>
          <w:rFonts w:hint="eastAsia"/>
        </w:rPr>
        <w:t>市域铁路消防给水系统，应结合市域铁路给水水源等因素确定，并按下列要求确定：</w:t>
      </w:r>
      <w:bookmarkEnd w:id="3562"/>
      <w:bookmarkEnd w:id="3563"/>
    </w:p>
    <w:p w14:paraId="18790D1D" w14:textId="77777777" w:rsidR="00737EB2" w:rsidRPr="00765F6E" w:rsidRDefault="00737EB2" w:rsidP="003334F3">
      <w:pPr>
        <w:pStyle w:val="af6"/>
        <w:numPr>
          <w:ilvl w:val="0"/>
          <w:numId w:val="273"/>
        </w:numPr>
        <w:tabs>
          <w:tab w:val="left" w:pos="851"/>
        </w:tabs>
        <w:snapToGrid w:val="0"/>
        <w:contextualSpacing/>
      </w:pPr>
      <w:r w:rsidRPr="00765F6E">
        <w:rPr>
          <w:rFonts w:hint="eastAsia"/>
        </w:rPr>
        <w:t>当市政给水管网的供水量能满足消防用水的要求，而供水压力不能满足消防用水压力的要求时，应设消防增压、稳压设施，当地市政部门许可时，可不设消防水池，从市政管网直接引水；</w:t>
      </w:r>
    </w:p>
    <w:p w14:paraId="76F8BE0A" w14:textId="77777777" w:rsidR="00737EB2" w:rsidRPr="00765F6E" w:rsidRDefault="00737EB2" w:rsidP="003334F3">
      <w:pPr>
        <w:pStyle w:val="af6"/>
        <w:numPr>
          <w:ilvl w:val="0"/>
          <w:numId w:val="273"/>
        </w:numPr>
        <w:tabs>
          <w:tab w:val="left" w:pos="851"/>
        </w:tabs>
        <w:snapToGrid w:val="0"/>
        <w:contextualSpacing/>
      </w:pPr>
      <w:r w:rsidRPr="00765F6E">
        <w:rPr>
          <w:rFonts w:hint="eastAsia"/>
        </w:rPr>
        <w:t>当市政给水管网的供水量不能满足消防用水量要求或市政给水管网不满足两路消防供水的要求时，地下车站及地下区间应设消防增压、稳压设施和消防水池；地上车站消防设施及消防水池的设置，应符合GB 50794的有关规定；</w:t>
      </w:r>
    </w:p>
    <w:p w14:paraId="3F9F81CA" w14:textId="77777777" w:rsidR="00737EB2" w:rsidRPr="00765F6E" w:rsidRDefault="00737EB2" w:rsidP="003334F3">
      <w:pPr>
        <w:pStyle w:val="af6"/>
        <w:numPr>
          <w:ilvl w:val="0"/>
          <w:numId w:val="273"/>
        </w:numPr>
        <w:tabs>
          <w:tab w:val="left" w:pos="851"/>
        </w:tabs>
        <w:snapToGrid w:val="0"/>
        <w:contextualSpacing/>
      </w:pPr>
      <w:bookmarkStart w:id="3564" w:name="_Toc99793033"/>
      <w:r w:rsidRPr="00765F6E">
        <w:rPr>
          <w:rFonts w:hint="eastAsia"/>
        </w:rPr>
        <w:t>地上车站消火栓给水系统采用消防泵加压供水时，应设置带气压罐的稳压装置，可不设高位水箱；</w:t>
      </w:r>
    </w:p>
    <w:p w14:paraId="6542FB78" w14:textId="77777777" w:rsidR="00737EB2" w:rsidRPr="00765F6E" w:rsidRDefault="00737EB2" w:rsidP="003334F3">
      <w:pPr>
        <w:pStyle w:val="af6"/>
        <w:numPr>
          <w:ilvl w:val="0"/>
          <w:numId w:val="273"/>
        </w:numPr>
        <w:tabs>
          <w:tab w:val="left" w:pos="851"/>
        </w:tabs>
        <w:snapToGrid w:val="0"/>
        <w:contextualSpacing/>
      </w:pPr>
      <w:r w:rsidRPr="00765F6E">
        <w:rPr>
          <w:rFonts w:hint="eastAsia"/>
        </w:rPr>
        <w:t>与地下车站相邻的地下区间消火栓系统由相邻地下车站供水，长度超过500m的独立地下区间应设置消火栓给水系统。</w:t>
      </w:r>
    </w:p>
    <w:p w14:paraId="55B629AC" w14:textId="77777777" w:rsidR="00737EB2" w:rsidRPr="00765F6E" w:rsidRDefault="00737EB2" w:rsidP="009D0776">
      <w:pPr>
        <w:pStyle w:val="22"/>
      </w:pPr>
      <w:bookmarkStart w:id="3565" w:name="_Toc153292476"/>
      <w:r w:rsidRPr="00765F6E">
        <w:rPr>
          <w:rFonts w:hint="eastAsia"/>
        </w:rPr>
        <w:t>消火栓给水系统用水量定额符合下列规定：</w:t>
      </w:r>
      <w:bookmarkEnd w:id="3564"/>
      <w:bookmarkEnd w:id="3565"/>
    </w:p>
    <w:p w14:paraId="486987B9" w14:textId="77777777" w:rsidR="00737EB2" w:rsidRPr="00765F6E" w:rsidRDefault="00737EB2" w:rsidP="003334F3">
      <w:pPr>
        <w:pStyle w:val="af6"/>
        <w:numPr>
          <w:ilvl w:val="0"/>
          <w:numId w:val="274"/>
        </w:numPr>
        <w:tabs>
          <w:tab w:val="left" w:pos="851"/>
        </w:tabs>
        <w:snapToGrid w:val="0"/>
        <w:contextualSpacing/>
      </w:pPr>
      <w:r w:rsidRPr="00765F6E">
        <w:rPr>
          <w:rFonts w:hint="eastAsia"/>
        </w:rPr>
        <w:t>地下车站室内不应小于20L/s；</w:t>
      </w:r>
    </w:p>
    <w:p w14:paraId="13888EB0" w14:textId="77777777" w:rsidR="00737EB2" w:rsidRPr="00765F6E" w:rsidRDefault="00737EB2" w:rsidP="003334F3">
      <w:pPr>
        <w:pStyle w:val="af6"/>
        <w:numPr>
          <w:ilvl w:val="0"/>
          <w:numId w:val="274"/>
        </w:numPr>
        <w:tabs>
          <w:tab w:val="left" w:pos="851"/>
        </w:tabs>
        <w:snapToGrid w:val="0"/>
        <w:contextualSpacing/>
      </w:pPr>
      <w:r w:rsidRPr="00765F6E">
        <w:rPr>
          <w:rFonts w:hint="eastAsia"/>
        </w:rPr>
        <w:t>地下车站出入口通道、折返线及地下区间隧道室内不应小于10L/s；</w:t>
      </w:r>
    </w:p>
    <w:p w14:paraId="78D6BE8A" w14:textId="77777777" w:rsidR="00737EB2" w:rsidRPr="00765F6E" w:rsidRDefault="00737EB2" w:rsidP="003334F3">
      <w:pPr>
        <w:pStyle w:val="af6"/>
        <w:numPr>
          <w:ilvl w:val="0"/>
          <w:numId w:val="274"/>
        </w:numPr>
        <w:tabs>
          <w:tab w:val="left" w:pos="851"/>
        </w:tabs>
        <w:snapToGrid w:val="0"/>
        <w:contextualSpacing/>
      </w:pPr>
      <w:r w:rsidRPr="00765F6E">
        <w:rPr>
          <w:rFonts w:hint="eastAsia"/>
        </w:rPr>
        <w:t>地下车站室外消火栓给水系统用水量不应小于20L/s，且室外消火栓数量不应少于2个；</w:t>
      </w:r>
    </w:p>
    <w:p w14:paraId="6158B4B5" w14:textId="77777777" w:rsidR="00737EB2" w:rsidRPr="00765F6E" w:rsidRDefault="00737EB2" w:rsidP="003334F3">
      <w:pPr>
        <w:pStyle w:val="af6"/>
        <w:numPr>
          <w:ilvl w:val="0"/>
          <w:numId w:val="274"/>
        </w:numPr>
        <w:tabs>
          <w:tab w:val="left" w:pos="851"/>
        </w:tabs>
        <w:snapToGrid w:val="0"/>
        <w:contextualSpacing/>
      </w:pPr>
      <w:r w:rsidRPr="00765F6E">
        <w:rPr>
          <w:rFonts w:hint="eastAsia"/>
        </w:rPr>
        <w:t>地面车站、地上车站、车辆基地室内外消防用水量应符合GB 50794、GB 50084的有关规定；</w:t>
      </w:r>
    </w:p>
    <w:p w14:paraId="23197845" w14:textId="77777777" w:rsidR="00737EB2" w:rsidRPr="00765F6E" w:rsidRDefault="00737EB2" w:rsidP="003334F3">
      <w:pPr>
        <w:pStyle w:val="af6"/>
        <w:numPr>
          <w:ilvl w:val="0"/>
          <w:numId w:val="274"/>
        </w:numPr>
        <w:tabs>
          <w:tab w:val="left" w:pos="851"/>
        </w:tabs>
        <w:snapToGrid w:val="0"/>
        <w:contextualSpacing/>
      </w:pPr>
      <w:r w:rsidRPr="00765F6E">
        <w:rPr>
          <w:rFonts w:hint="eastAsia"/>
        </w:rPr>
        <w:t>消火栓系统火灾延续时间应符合GB 50794、GB 50084的有关规定。</w:t>
      </w:r>
    </w:p>
    <w:p w14:paraId="2327B3DA" w14:textId="77777777" w:rsidR="00737EB2" w:rsidRPr="00765F6E" w:rsidRDefault="00737EB2" w:rsidP="009D0776">
      <w:pPr>
        <w:pStyle w:val="22"/>
      </w:pPr>
      <w:bookmarkStart w:id="3566" w:name="_Toc99793034"/>
      <w:bookmarkStart w:id="3567" w:name="_Toc153292477"/>
      <w:r w:rsidRPr="00765F6E">
        <w:rPr>
          <w:rFonts w:hint="eastAsia"/>
        </w:rPr>
        <w:t>下列场所应设置自动喷水灭火系统：</w:t>
      </w:r>
      <w:bookmarkEnd w:id="3566"/>
      <w:bookmarkEnd w:id="3567"/>
    </w:p>
    <w:p w14:paraId="452B824B" w14:textId="77777777" w:rsidR="00737EB2" w:rsidRPr="00765F6E" w:rsidRDefault="00737EB2" w:rsidP="003334F3">
      <w:pPr>
        <w:pStyle w:val="af6"/>
        <w:numPr>
          <w:ilvl w:val="0"/>
          <w:numId w:val="275"/>
        </w:numPr>
        <w:tabs>
          <w:tab w:val="left" w:pos="851"/>
        </w:tabs>
        <w:snapToGrid w:val="0"/>
        <w:contextualSpacing/>
      </w:pPr>
      <w:r w:rsidRPr="00765F6E">
        <w:rPr>
          <w:rFonts w:hint="eastAsia"/>
        </w:rPr>
        <w:t>地下车站站厅层非付费区设置的零星商铺，应设置局部应用系统；</w:t>
      </w:r>
    </w:p>
    <w:p w14:paraId="313257C1" w14:textId="77777777" w:rsidR="00737EB2" w:rsidRPr="00765F6E" w:rsidRDefault="00737EB2" w:rsidP="003334F3">
      <w:pPr>
        <w:pStyle w:val="af6"/>
        <w:numPr>
          <w:ilvl w:val="0"/>
          <w:numId w:val="275"/>
        </w:numPr>
        <w:tabs>
          <w:tab w:val="left" w:pos="851"/>
        </w:tabs>
        <w:snapToGrid w:val="0"/>
        <w:contextualSpacing/>
      </w:pPr>
      <w:r w:rsidRPr="00765F6E">
        <w:rPr>
          <w:rFonts w:hint="eastAsia"/>
        </w:rPr>
        <w:lastRenderedPageBreak/>
        <w:t>建筑面积大于6</w:t>
      </w:r>
      <w:r w:rsidRPr="00765F6E">
        <w:t>000</w:t>
      </w:r>
      <w:r w:rsidRPr="00765F6E">
        <w:rPr>
          <w:rFonts w:hint="eastAsia"/>
        </w:rPr>
        <w:t>m</w:t>
      </w:r>
      <w:r w:rsidRPr="00765F6E">
        <w:rPr>
          <w:vertAlign w:val="superscript"/>
        </w:rPr>
        <w:t>2</w:t>
      </w:r>
      <w:r w:rsidRPr="00765F6E">
        <w:rPr>
          <w:rFonts w:hint="eastAsia"/>
        </w:rPr>
        <w:t>的地下、半地下和上盖设置了其他功能建筑的停车库、列检库、停车列检库、运用库、联合检修库；</w:t>
      </w:r>
    </w:p>
    <w:p w14:paraId="735D5F27" w14:textId="77777777" w:rsidR="00737EB2" w:rsidRPr="00765F6E" w:rsidRDefault="00737EB2" w:rsidP="003334F3">
      <w:pPr>
        <w:pStyle w:val="af6"/>
        <w:numPr>
          <w:ilvl w:val="0"/>
          <w:numId w:val="275"/>
        </w:numPr>
        <w:tabs>
          <w:tab w:val="left" w:pos="851"/>
        </w:tabs>
        <w:snapToGrid w:val="0"/>
        <w:contextualSpacing/>
      </w:pPr>
      <w:r w:rsidRPr="00765F6E">
        <w:rPr>
          <w:rFonts w:hint="eastAsia"/>
        </w:rPr>
        <w:t>车辆基地内存有可燃、易燃物品的高架仓库、高层仓库；</w:t>
      </w:r>
    </w:p>
    <w:p w14:paraId="6018456A" w14:textId="77777777" w:rsidR="00737EB2" w:rsidRPr="00765F6E" w:rsidRDefault="00737EB2" w:rsidP="003334F3">
      <w:pPr>
        <w:pStyle w:val="af6"/>
        <w:numPr>
          <w:ilvl w:val="0"/>
          <w:numId w:val="275"/>
        </w:numPr>
        <w:tabs>
          <w:tab w:val="left" w:pos="851"/>
        </w:tabs>
        <w:snapToGrid w:val="0"/>
        <w:contextualSpacing/>
      </w:pPr>
      <w:r w:rsidRPr="00765F6E">
        <w:rPr>
          <w:rFonts w:hint="eastAsia"/>
        </w:rPr>
        <w:t>符合GB 50016规定的其它场所。</w:t>
      </w:r>
    </w:p>
    <w:p w14:paraId="1E2BE33A" w14:textId="77777777" w:rsidR="00737EB2" w:rsidRPr="00765F6E" w:rsidRDefault="00737EB2" w:rsidP="009D0776">
      <w:pPr>
        <w:pStyle w:val="22"/>
      </w:pPr>
      <w:bookmarkStart w:id="3568" w:name="_Toc153292478"/>
      <w:bookmarkStart w:id="3569" w:name="_Toc99793035"/>
      <w:r w:rsidRPr="00765F6E">
        <w:rPr>
          <w:rFonts w:hint="eastAsia"/>
        </w:rPr>
        <w:t>自动灭火系统的设置符合下列规定：</w:t>
      </w:r>
      <w:bookmarkEnd w:id="3568"/>
      <w:bookmarkEnd w:id="3569"/>
    </w:p>
    <w:p w14:paraId="14B8FB3E" w14:textId="77777777" w:rsidR="00737EB2" w:rsidRPr="00765F6E" w:rsidRDefault="00737EB2" w:rsidP="003334F3">
      <w:pPr>
        <w:pStyle w:val="af6"/>
        <w:numPr>
          <w:ilvl w:val="0"/>
          <w:numId w:val="276"/>
        </w:numPr>
        <w:tabs>
          <w:tab w:val="left" w:pos="851"/>
        </w:tabs>
        <w:snapToGrid w:val="0"/>
        <w:contextualSpacing/>
      </w:pPr>
      <w:r w:rsidRPr="00765F6E">
        <w:rPr>
          <w:rFonts w:hint="eastAsia"/>
        </w:rPr>
        <w:t>车站、车辆基地</w:t>
      </w:r>
      <w:r>
        <w:rPr>
          <w:rFonts w:hint="eastAsia"/>
        </w:rPr>
        <w:t>及控制中心</w:t>
      </w:r>
      <w:r w:rsidRPr="00765F6E">
        <w:rPr>
          <w:rFonts w:hint="eastAsia"/>
        </w:rPr>
        <w:t>自动灭火系统的设置，应按GB 50016的有关规定执行；</w:t>
      </w:r>
    </w:p>
    <w:p w14:paraId="178B44D4" w14:textId="77777777" w:rsidR="00737EB2" w:rsidRPr="00765F6E" w:rsidRDefault="00737EB2" w:rsidP="003334F3">
      <w:pPr>
        <w:pStyle w:val="af6"/>
        <w:numPr>
          <w:ilvl w:val="0"/>
          <w:numId w:val="276"/>
        </w:numPr>
        <w:tabs>
          <w:tab w:val="left" w:pos="851"/>
        </w:tabs>
        <w:snapToGrid w:val="0"/>
        <w:contextualSpacing/>
      </w:pPr>
      <w:r w:rsidRPr="00765F6E">
        <w:rPr>
          <w:rFonts w:hint="eastAsia"/>
        </w:rPr>
        <w:t>自动灭火系统设计应符合GB 50370的有关规定。当采用气体灭火系统时，宜考虑防误喷措施，其管道不宜穿越车站公共区。</w:t>
      </w:r>
    </w:p>
    <w:p w14:paraId="54DC418C" w14:textId="77777777" w:rsidR="00737EB2" w:rsidRPr="00765F6E" w:rsidRDefault="00737EB2" w:rsidP="009D0776">
      <w:pPr>
        <w:pStyle w:val="22"/>
      </w:pPr>
      <w:bookmarkStart w:id="3570" w:name="_Toc99793036"/>
      <w:bookmarkStart w:id="3571" w:name="_Toc153292479"/>
      <w:r w:rsidRPr="00765F6E">
        <w:rPr>
          <w:rFonts w:hint="eastAsia"/>
        </w:rPr>
        <w:t>灭火器的配置符合下列要求：</w:t>
      </w:r>
      <w:bookmarkEnd w:id="3570"/>
      <w:bookmarkEnd w:id="3571"/>
    </w:p>
    <w:p w14:paraId="20CB6B1B" w14:textId="77777777" w:rsidR="00737EB2" w:rsidRPr="00765F6E" w:rsidRDefault="00737EB2" w:rsidP="003334F3">
      <w:pPr>
        <w:pStyle w:val="af6"/>
        <w:numPr>
          <w:ilvl w:val="0"/>
          <w:numId w:val="277"/>
        </w:numPr>
        <w:tabs>
          <w:tab w:val="left" w:pos="851"/>
        </w:tabs>
        <w:snapToGrid w:val="0"/>
        <w:contextualSpacing/>
      </w:pPr>
      <w:r w:rsidRPr="00765F6E">
        <w:rPr>
          <w:rFonts w:hint="eastAsia"/>
        </w:rPr>
        <w:t>市域铁路应按GB 50140的有关规定的严重危险级配置灭火器；</w:t>
      </w:r>
    </w:p>
    <w:p w14:paraId="36D8BD15" w14:textId="77777777" w:rsidR="00737EB2" w:rsidRPr="00765F6E" w:rsidRDefault="00737EB2" w:rsidP="003334F3">
      <w:pPr>
        <w:pStyle w:val="af6"/>
        <w:numPr>
          <w:ilvl w:val="0"/>
          <w:numId w:val="277"/>
        </w:numPr>
        <w:tabs>
          <w:tab w:val="left" w:pos="851"/>
        </w:tabs>
        <w:snapToGrid w:val="0"/>
        <w:contextualSpacing/>
      </w:pPr>
      <w:r w:rsidRPr="00765F6E">
        <w:rPr>
          <w:rFonts w:hint="eastAsia"/>
        </w:rPr>
        <w:t>牵引变电所的危险等级</w:t>
      </w:r>
      <w:r>
        <w:rPr>
          <w:rFonts w:hint="eastAsia"/>
        </w:rPr>
        <w:t>及其</w:t>
      </w:r>
      <w:r w:rsidRPr="00765F6E">
        <w:rPr>
          <w:rFonts w:hint="eastAsia"/>
        </w:rPr>
        <w:t>灭火器的配置应按GB 50229的规定执行。</w:t>
      </w:r>
    </w:p>
    <w:p w14:paraId="33DA930A" w14:textId="77777777" w:rsidR="00737EB2" w:rsidRPr="00765F6E" w:rsidRDefault="00737EB2" w:rsidP="009D0776">
      <w:pPr>
        <w:pStyle w:val="22"/>
      </w:pPr>
      <w:bookmarkStart w:id="3572" w:name="_Toc99793037"/>
      <w:bookmarkStart w:id="3573" w:name="_Toc153292480"/>
      <w:r w:rsidRPr="00765F6E">
        <w:rPr>
          <w:rFonts w:hint="eastAsia"/>
        </w:rPr>
        <w:t>消防设备的</w:t>
      </w:r>
      <w:r>
        <w:rPr>
          <w:rFonts w:hint="eastAsia"/>
        </w:rPr>
        <w:t>控制</w:t>
      </w:r>
      <w:r w:rsidRPr="00765F6E">
        <w:rPr>
          <w:rFonts w:hint="eastAsia"/>
        </w:rPr>
        <w:t>符合下列规定：</w:t>
      </w:r>
      <w:bookmarkEnd w:id="3572"/>
      <w:bookmarkEnd w:id="3573"/>
    </w:p>
    <w:p w14:paraId="6347BA40" w14:textId="31F56BE1" w:rsidR="00737EB2" w:rsidRPr="00765F6E" w:rsidRDefault="00737EB2" w:rsidP="003334F3">
      <w:pPr>
        <w:pStyle w:val="af6"/>
        <w:numPr>
          <w:ilvl w:val="0"/>
          <w:numId w:val="278"/>
        </w:numPr>
        <w:tabs>
          <w:tab w:val="left" w:pos="851"/>
        </w:tabs>
        <w:snapToGrid w:val="0"/>
        <w:contextualSpacing/>
      </w:pPr>
      <w:r w:rsidRPr="00765F6E">
        <w:rPr>
          <w:rFonts w:hint="eastAsia"/>
        </w:rPr>
        <w:t>消火栓泵组应在车站控制室显示消火栓泵的运行状态、手/自动状态、故障状态；消防泵的控制应满足GB 50794的相关要求</w:t>
      </w:r>
      <w:r w:rsidR="00AE79C7">
        <w:rPr>
          <w:rFonts w:hint="eastAsia"/>
        </w:rPr>
        <w:t>；</w:t>
      </w:r>
    </w:p>
    <w:p w14:paraId="51C11E5D" w14:textId="77777777" w:rsidR="00737EB2" w:rsidRPr="00765F6E" w:rsidRDefault="00737EB2" w:rsidP="003334F3">
      <w:pPr>
        <w:pStyle w:val="af6"/>
        <w:numPr>
          <w:ilvl w:val="0"/>
          <w:numId w:val="278"/>
        </w:numPr>
        <w:tabs>
          <w:tab w:val="left" w:pos="851"/>
        </w:tabs>
        <w:snapToGrid w:val="0"/>
        <w:contextualSpacing/>
      </w:pPr>
      <w:r w:rsidRPr="00765F6E">
        <w:rPr>
          <w:rFonts w:hint="eastAsia"/>
        </w:rPr>
        <w:t>自动灭火系统应具备自动控制、手动控制及紧急机械操作三种启动功能。</w:t>
      </w:r>
    </w:p>
    <w:p w14:paraId="78B6ABF3" w14:textId="77777777" w:rsidR="00737EB2" w:rsidRPr="00765F6E" w:rsidRDefault="00737EB2" w:rsidP="00737EB2">
      <w:pPr>
        <w:pStyle w:val="affe"/>
        <w:spacing w:before="156" w:after="156"/>
      </w:pPr>
      <w:bookmarkStart w:id="3574" w:name="_Toc153211016"/>
      <w:bookmarkStart w:id="3575" w:name="_Toc153292481"/>
      <w:bookmarkStart w:id="3576" w:name="_Toc99793038"/>
      <w:bookmarkStart w:id="3577" w:name="_Toc167895914"/>
      <w:bookmarkStart w:id="3578" w:name="_Toc174538828"/>
      <w:bookmarkStart w:id="3579" w:name="_Toc182476586"/>
      <w:r w:rsidRPr="00765F6E">
        <w:rPr>
          <w:rFonts w:hint="eastAsia"/>
        </w:rPr>
        <w:t>防烟、排烟与事故通风</w:t>
      </w:r>
      <w:bookmarkEnd w:id="3574"/>
      <w:bookmarkEnd w:id="3575"/>
      <w:bookmarkEnd w:id="3576"/>
      <w:bookmarkEnd w:id="3577"/>
      <w:bookmarkEnd w:id="3578"/>
      <w:bookmarkEnd w:id="3579"/>
    </w:p>
    <w:p w14:paraId="12EF8523" w14:textId="77777777" w:rsidR="00737EB2" w:rsidRPr="00765F6E" w:rsidRDefault="00737EB2" w:rsidP="009D0776">
      <w:pPr>
        <w:pStyle w:val="22"/>
      </w:pPr>
      <w:bookmarkStart w:id="3580" w:name="_Toc99793039"/>
      <w:bookmarkStart w:id="3581" w:name="_Toc153292482"/>
      <w:r w:rsidRPr="00765F6E">
        <w:rPr>
          <w:rFonts w:hint="eastAsia"/>
        </w:rPr>
        <w:t>下列场所应设置机械防烟、排烟设施：</w:t>
      </w:r>
      <w:bookmarkEnd w:id="3580"/>
      <w:bookmarkEnd w:id="3581"/>
    </w:p>
    <w:p w14:paraId="09D34CEF" w14:textId="77777777" w:rsidR="00737EB2" w:rsidRPr="00765F6E" w:rsidRDefault="00737EB2" w:rsidP="003334F3">
      <w:pPr>
        <w:pStyle w:val="af6"/>
        <w:numPr>
          <w:ilvl w:val="0"/>
          <w:numId w:val="279"/>
        </w:numPr>
        <w:tabs>
          <w:tab w:val="left" w:pos="851"/>
        </w:tabs>
        <w:snapToGrid w:val="0"/>
        <w:contextualSpacing/>
      </w:pPr>
      <w:r w:rsidRPr="00765F6E">
        <w:rPr>
          <w:rFonts w:hint="eastAsia"/>
        </w:rPr>
        <w:t>防烟楼梯间</w:t>
      </w:r>
      <w:r>
        <w:rPr>
          <w:rFonts w:hint="eastAsia"/>
        </w:rPr>
        <w:t>及其</w:t>
      </w:r>
      <w:r w:rsidRPr="00CC17FB">
        <w:rPr>
          <w:rFonts w:hint="eastAsia"/>
        </w:rPr>
        <w:t>前室</w:t>
      </w:r>
      <w:r w:rsidRPr="00765F6E">
        <w:rPr>
          <w:rFonts w:hint="eastAsia"/>
        </w:rPr>
        <w:t>；</w:t>
      </w:r>
    </w:p>
    <w:p w14:paraId="0A3B2FAA" w14:textId="77777777" w:rsidR="00737EB2" w:rsidRPr="00765F6E" w:rsidRDefault="00737EB2" w:rsidP="003334F3">
      <w:pPr>
        <w:pStyle w:val="af6"/>
        <w:numPr>
          <w:ilvl w:val="0"/>
          <w:numId w:val="279"/>
        </w:numPr>
        <w:tabs>
          <w:tab w:val="left" w:pos="851"/>
        </w:tabs>
        <w:snapToGrid w:val="0"/>
        <w:contextualSpacing/>
      </w:pPr>
      <w:r w:rsidRPr="00765F6E">
        <w:rPr>
          <w:rFonts w:hint="eastAsia"/>
        </w:rPr>
        <w:t>不能自然通风或自然通风不能满足要求的封闭楼梯间；</w:t>
      </w:r>
    </w:p>
    <w:p w14:paraId="1BA04123" w14:textId="77777777" w:rsidR="00737EB2" w:rsidRPr="00765F6E" w:rsidRDefault="00737EB2" w:rsidP="003334F3">
      <w:pPr>
        <w:pStyle w:val="af6"/>
        <w:numPr>
          <w:ilvl w:val="0"/>
          <w:numId w:val="279"/>
        </w:numPr>
        <w:tabs>
          <w:tab w:val="left" w:pos="851"/>
        </w:tabs>
        <w:snapToGrid w:val="0"/>
        <w:contextualSpacing/>
      </w:pPr>
      <w:r w:rsidRPr="00765F6E">
        <w:rPr>
          <w:rFonts w:hint="eastAsia"/>
        </w:rPr>
        <w:t>地下或封闭车站的站厅、站台公共区；</w:t>
      </w:r>
    </w:p>
    <w:p w14:paraId="6DEF8DEA" w14:textId="77777777" w:rsidR="00737EB2" w:rsidRPr="00765F6E" w:rsidRDefault="00737EB2" w:rsidP="003334F3">
      <w:pPr>
        <w:pStyle w:val="af6"/>
        <w:numPr>
          <w:ilvl w:val="0"/>
          <w:numId w:val="279"/>
        </w:numPr>
        <w:tabs>
          <w:tab w:val="left" w:pos="851"/>
        </w:tabs>
        <w:snapToGrid w:val="0"/>
        <w:contextualSpacing/>
      </w:pPr>
      <w:r w:rsidRPr="00765F6E">
        <w:rPr>
          <w:rFonts w:hint="eastAsia"/>
        </w:rPr>
        <w:t>同一个防火分区内的地下车站设备与管理用房的总面积超过200m</w:t>
      </w:r>
      <w:r w:rsidRPr="00765F6E">
        <w:rPr>
          <w:rFonts w:hint="eastAsia"/>
          <w:vertAlign w:val="superscript"/>
        </w:rPr>
        <w:t>2</w:t>
      </w:r>
      <w:r w:rsidRPr="00765F6E">
        <w:rPr>
          <w:rFonts w:hint="eastAsia"/>
        </w:rPr>
        <w:t>，或面积超过50m</w:t>
      </w:r>
      <w:r w:rsidRPr="00765F6E">
        <w:rPr>
          <w:rFonts w:hint="eastAsia"/>
          <w:vertAlign w:val="superscript"/>
        </w:rPr>
        <w:t>2</w:t>
      </w:r>
      <w:r w:rsidRPr="00765F6E">
        <w:rPr>
          <w:rFonts w:hint="eastAsia"/>
        </w:rPr>
        <w:t xml:space="preserve">且经常有人停留的单个房间； </w:t>
      </w:r>
    </w:p>
    <w:p w14:paraId="1A243EAC" w14:textId="77777777" w:rsidR="00737EB2" w:rsidRPr="00765F6E" w:rsidRDefault="00737EB2" w:rsidP="003334F3">
      <w:pPr>
        <w:pStyle w:val="af6"/>
        <w:numPr>
          <w:ilvl w:val="0"/>
          <w:numId w:val="279"/>
        </w:numPr>
        <w:tabs>
          <w:tab w:val="left" w:pos="851"/>
        </w:tabs>
        <w:snapToGrid w:val="0"/>
        <w:contextualSpacing/>
      </w:pPr>
      <w:r w:rsidRPr="00765F6E">
        <w:rPr>
          <w:rFonts w:hint="eastAsia"/>
        </w:rPr>
        <w:t>连续长度大于一列车长度的地下区间隧道和全封闭车道；</w:t>
      </w:r>
    </w:p>
    <w:p w14:paraId="7B851F47" w14:textId="77777777" w:rsidR="00737EB2" w:rsidRPr="00765F6E" w:rsidRDefault="00737EB2" w:rsidP="003334F3">
      <w:pPr>
        <w:pStyle w:val="af6"/>
        <w:numPr>
          <w:ilvl w:val="0"/>
          <w:numId w:val="279"/>
        </w:numPr>
        <w:tabs>
          <w:tab w:val="left" w:pos="851"/>
        </w:tabs>
        <w:snapToGrid w:val="0"/>
        <w:contextualSpacing/>
      </w:pPr>
      <w:r w:rsidRPr="00765F6E">
        <w:rPr>
          <w:rFonts w:hint="eastAsia"/>
        </w:rPr>
        <w:t>长度大于60m的地下通道和出入口通道，长度大于20m的内走道。</w:t>
      </w:r>
    </w:p>
    <w:p w14:paraId="3D0DDBFB" w14:textId="77777777" w:rsidR="00737EB2" w:rsidRPr="00765F6E" w:rsidRDefault="00737EB2" w:rsidP="009D0776">
      <w:pPr>
        <w:pStyle w:val="22"/>
      </w:pPr>
      <w:bookmarkStart w:id="3582" w:name="_Toc99793040"/>
      <w:bookmarkStart w:id="3583" w:name="_Toc153292483"/>
      <w:r w:rsidRPr="00765F6E">
        <w:rPr>
          <w:rFonts w:hint="eastAsia"/>
        </w:rPr>
        <w:t>车站公共区及设备与管理用房，应划分防烟分区，且防烟分区不应跨越防火分区。防烟分区可采取挡烟垂壁等措施。</w:t>
      </w:r>
      <w:bookmarkEnd w:id="3582"/>
      <w:bookmarkEnd w:id="3583"/>
    </w:p>
    <w:p w14:paraId="57BD0951" w14:textId="77777777" w:rsidR="00737EB2" w:rsidRPr="00765F6E" w:rsidRDefault="00737EB2" w:rsidP="009D0776">
      <w:pPr>
        <w:pStyle w:val="22"/>
      </w:pPr>
      <w:bookmarkStart w:id="3584" w:name="_Toc99793041"/>
      <w:bookmarkStart w:id="3585" w:name="_Toc153292484"/>
      <w:r w:rsidRPr="00765F6E">
        <w:rPr>
          <w:rFonts w:hint="eastAsia"/>
        </w:rPr>
        <w:t>防烟分区的划分和挡烟垂壁的设置符合下列规定：</w:t>
      </w:r>
      <w:bookmarkEnd w:id="3584"/>
      <w:bookmarkEnd w:id="3585"/>
    </w:p>
    <w:p w14:paraId="0A1B602A" w14:textId="77777777" w:rsidR="00737EB2" w:rsidRPr="00765F6E" w:rsidRDefault="00737EB2" w:rsidP="003334F3">
      <w:pPr>
        <w:pStyle w:val="af6"/>
        <w:numPr>
          <w:ilvl w:val="0"/>
          <w:numId w:val="280"/>
        </w:numPr>
        <w:tabs>
          <w:tab w:val="left" w:pos="851"/>
        </w:tabs>
        <w:snapToGrid w:val="0"/>
        <w:contextualSpacing/>
      </w:pPr>
      <w:r w:rsidRPr="00765F6E">
        <w:rPr>
          <w:rFonts w:hint="eastAsia"/>
        </w:rPr>
        <w:t>站厅公共区、地下通道和出入口的防烟分区最大允许面积不应大于2000m</w:t>
      </w:r>
      <w:r w:rsidRPr="00765F6E">
        <w:rPr>
          <w:rFonts w:hint="eastAsia"/>
          <w:vertAlign w:val="superscript"/>
        </w:rPr>
        <w:t>2</w:t>
      </w:r>
      <w:r w:rsidRPr="00765F6E">
        <w:rPr>
          <w:rFonts w:hint="eastAsia"/>
        </w:rPr>
        <w:t>，防烟分区长边不应大于60m；设备管理用房区单个防烟分区的最大允许建筑面积不应大于750m</w:t>
      </w:r>
      <w:r w:rsidRPr="00765F6E">
        <w:rPr>
          <w:rFonts w:hint="eastAsia"/>
          <w:vertAlign w:val="superscript"/>
        </w:rPr>
        <w:t>2</w:t>
      </w:r>
      <w:r w:rsidRPr="00765F6E">
        <w:rPr>
          <w:rFonts w:hint="eastAsia"/>
        </w:rPr>
        <w:t>，防烟分区的长度应符合GB</w:t>
      </w:r>
      <w:r>
        <w:t xml:space="preserve"> </w:t>
      </w:r>
      <w:r w:rsidRPr="00765F6E">
        <w:rPr>
          <w:rFonts w:hint="eastAsia"/>
        </w:rPr>
        <w:t xml:space="preserve">51251的相关规定；地面及高架车站防烟分区划分应按GB 51251执行； </w:t>
      </w:r>
    </w:p>
    <w:p w14:paraId="5744E8C6" w14:textId="77777777" w:rsidR="00737EB2" w:rsidRPr="00765F6E" w:rsidRDefault="00737EB2" w:rsidP="003334F3">
      <w:pPr>
        <w:pStyle w:val="af6"/>
        <w:numPr>
          <w:ilvl w:val="0"/>
          <w:numId w:val="280"/>
        </w:numPr>
        <w:tabs>
          <w:tab w:val="left" w:pos="851"/>
        </w:tabs>
        <w:snapToGrid w:val="0"/>
        <w:contextualSpacing/>
      </w:pPr>
      <w:r w:rsidRPr="00765F6E">
        <w:rPr>
          <w:rFonts w:hint="eastAsia"/>
        </w:rPr>
        <w:t xml:space="preserve">车站公共区楼扶梯开孔处、地下车站公共区吊顶与其他场所连接部位的顶棚或吊顶面高差不足0.5m处、地下一层侧式站台与同层站厅公共区临界面门洞部位等处应设置挡烟垂壁； </w:t>
      </w:r>
    </w:p>
    <w:p w14:paraId="09A2D2A5" w14:textId="77777777" w:rsidR="00737EB2" w:rsidRPr="00765F6E" w:rsidRDefault="00737EB2" w:rsidP="003334F3">
      <w:pPr>
        <w:pStyle w:val="af6"/>
        <w:numPr>
          <w:ilvl w:val="0"/>
          <w:numId w:val="280"/>
        </w:numPr>
        <w:tabs>
          <w:tab w:val="left" w:pos="851"/>
        </w:tabs>
        <w:snapToGrid w:val="0"/>
        <w:contextualSpacing/>
      </w:pPr>
      <w:r w:rsidRPr="00765F6E">
        <w:rPr>
          <w:rFonts w:hint="eastAsia"/>
        </w:rPr>
        <w:t>挡烟垂壁的底部应低于排烟口不小于0.5m，上部应升到结构顶板地面，其耐火极限不应小于 0.5h。</w:t>
      </w:r>
    </w:p>
    <w:p w14:paraId="4677A7D5" w14:textId="77777777" w:rsidR="00737EB2" w:rsidRPr="00765F6E" w:rsidRDefault="00737EB2" w:rsidP="009D0776">
      <w:pPr>
        <w:pStyle w:val="22"/>
      </w:pPr>
      <w:bookmarkStart w:id="3586" w:name="_Toc99793042"/>
      <w:bookmarkStart w:id="3587" w:name="_Toc153292485"/>
      <w:r w:rsidRPr="00765F6E">
        <w:rPr>
          <w:rFonts w:hint="eastAsia"/>
        </w:rPr>
        <w:t>防烟、排烟系统的设计符合下列要求：</w:t>
      </w:r>
      <w:bookmarkEnd w:id="3586"/>
      <w:bookmarkEnd w:id="3587"/>
      <w:r w:rsidRPr="00765F6E">
        <w:rPr>
          <w:rFonts w:hint="eastAsia"/>
        </w:rPr>
        <w:t xml:space="preserve"> </w:t>
      </w:r>
    </w:p>
    <w:p w14:paraId="776E7071" w14:textId="77777777" w:rsidR="00737EB2" w:rsidRPr="00765F6E" w:rsidRDefault="00737EB2" w:rsidP="003334F3">
      <w:pPr>
        <w:pStyle w:val="af6"/>
        <w:numPr>
          <w:ilvl w:val="0"/>
          <w:numId w:val="281"/>
        </w:numPr>
        <w:tabs>
          <w:tab w:val="left" w:pos="851"/>
        </w:tabs>
        <w:snapToGrid w:val="0"/>
        <w:contextualSpacing/>
      </w:pPr>
      <w:r w:rsidRPr="00765F6E">
        <w:rPr>
          <w:rFonts w:hint="eastAsia"/>
        </w:rPr>
        <w:t>当对站厅公共区进行排烟时，应能防止烟气进入出入口、换乘通道、站台等邻近区域；</w:t>
      </w:r>
    </w:p>
    <w:p w14:paraId="62DC85A0" w14:textId="77777777" w:rsidR="00737EB2" w:rsidRPr="00765F6E" w:rsidRDefault="00737EB2" w:rsidP="003334F3">
      <w:pPr>
        <w:pStyle w:val="af6"/>
        <w:numPr>
          <w:ilvl w:val="0"/>
          <w:numId w:val="281"/>
        </w:numPr>
        <w:tabs>
          <w:tab w:val="left" w:pos="851"/>
        </w:tabs>
        <w:snapToGrid w:val="0"/>
        <w:contextualSpacing/>
      </w:pPr>
      <w:r w:rsidRPr="00765F6E">
        <w:rPr>
          <w:rFonts w:hint="eastAsia"/>
        </w:rPr>
        <w:t>当对站台公共区进行排烟时，应能防止烟气进入站厅、地下区间、换乘通道等邻近区域；</w:t>
      </w:r>
    </w:p>
    <w:p w14:paraId="40FF3E97" w14:textId="77777777" w:rsidR="00737EB2" w:rsidRPr="00765F6E" w:rsidRDefault="00737EB2" w:rsidP="003334F3">
      <w:pPr>
        <w:pStyle w:val="af6"/>
        <w:numPr>
          <w:ilvl w:val="0"/>
          <w:numId w:val="281"/>
        </w:numPr>
        <w:tabs>
          <w:tab w:val="left" w:pos="851"/>
        </w:tabs>
        <w:snapToGrid w:val="0"/>
        <w:contextualSpacing/>
      </w:pPr>
      <w:r w:rsidRPr="00765F6E">
        <w:rPr>
          <w:rFonts w:hint="eastAsia"/>
        </w:rPr>
        <w:t>当对地下区间进行纵向排烟时，应能控制烟流方向与乘客疏散方向相反，并应能防止烟气逆流和进入相邻车站、区间；</w:t>
      </w:r>
    </w:p>
    <w:p w14:paraId="1B10FD2D" w14:textId="77777777" w:rsidR="00737EB2" w:rsidRPr="00765F6E" w:rsidRDefault="00737EB2" w:rsidP="003334F3">
      <w:pPr>
        <w:pStyle w:val="af6"/>
        <w:numPr>
          <w:ilvl w:val="0"/>
          <w:numId w:val="281"/>
        </w:numPr>
        <w:tabs>
          <w:tab w:val="left" w:pos="851"/>
        </w:tabs>
        <w:snapToGrid w:val="0"/>
        <w:contextualSpacing/>
      </w:pPr>
      <w:r w:rsidRPr="00765F6E">
        <w:rPr>
          <w:rFonts w:hint="eastAsia"/>
        </w:rPr>
        <w:t>对于设备及管理用房，应具备防烟、排烟功能，并应能满足采用自动灭火系统设备用房的换气功能。</w:t>
      </w:r>
    </w:p>
    <w:p w14:paraId="75CD6469" w14:textId="77777777" w:rsidR="00737EB2" w:rsidRPr="00765F6E" w:rsidRDefault="00737EB2" w:rsidP="009D0776">
      <w:pPr>
        <w:pStyle w:val="22"/>
      </w:pPr>
      <w:bookmarkStart w:id="3588" w:name="_Toc99793043"/>
      <w:bookmarkStart w:id="3589" w:name="_Toc153292486"/>
      <w:r w:rsidRPr="00765F6E">
        <w:rPr>
          <w:rFonts w:hint="eastAsia"/>
        </w:rPr>
        <w:t>地面和高架车站应采用自然排烟；当不具备自然排烟条件时，应设置机械排烟。</w:t>
      </w:r>
      <w:bookmarkEnd w:id="3588"/>
      <w:bookmarkEnd w:id="3589"/>
    </w:p>
    <w:p w14:paraId="639211C5" w14:textId="77777777" w:rsidR="00737EB2" w:rsidRPr="00765F6E" w:rsidRDefault="00737EB2" w:rsidP="009D0776">
      <w:pPr>
        <w:pStyle w:val="22"/>
      </w:pPr>
      <w:bookmarkStart w:id="3590" w:name="_Toc99793044"/>
      <w:bookmarkStart w:id="3591" w:name="_Toc153292487"/>
      <w:r w:rsidRPr="00765F6E">
        <w:rPr>
          <w:rFonts w:hint="eastAsia"/>
        </w:rPr>
        <w:t>排烟系统风量计算符合下列要求：</w:t>
      </w:r>
      <w:bookmarkEnd w:id="3590"/>
      <w:bookmarkEnd w:id="3591"/>
    </w:p>
    <w:p w14:paraId="75C095B2" w14:textId="77777777" w:rsidR="00737EB2" w:rsidRPr="00765F6E" w:rsidRDefault="00737EB2" w:rsidP="003334F3">
      <w:pPr>
        <w:pStyle w:val="af6"/>
        <w:numPr>
          <w:ilvl w:val="0"/>
          <w:numId w:val="282"/>
        </w:numPr>
        <w:tabs>
          <w:tab w:val="left" w:pos="851"/>
        </w:tabs>
        <w:snapToGrid w:val="0"/>
        <w:contextualSpacing/>
      </w:pPr>
      <w:r w:rsidRPr="00765F6E">
        <w:rPr>
          <w:rFonts w:hint="eastAsia"/>
        </w:rPr>
        <w:t>排烟量应按各防烟分区的建筑面积不小于60m</w:t>
      </w:r>
      <w:r w:rsidRPr="00765F6E">
        <w:rPr>
          <w:rFonts w:hint="eastAsia"/>
          <w:vertAlign w:val="superscript"/>
        </w:rPr>
        <w:t>3</w:t>
      </w:r>
      <w:r w:rsidRPr="00765F6E">
        <w:rPr>
          <w:rFonts w:hint="eastAsia"/>
        </w:rPr>
        <w:t>/m</w:t>
      </w:r>
      <w:r w:rsidRPr="00765F6E">
        <w:rPr>
          <w:rFonts w:hint="eastAsia"/>
          <w:vertAlign w:val="superscript"/>
        </w:rPr>
        <w:t>2</w:t>
      </w:r>
      <w:r w:rsidRPr="00765F6E">
        <w:rPr>
          <w:rFonts w:hint="eastAsia"/>
        </w:rPr>
        <w:t>·h分别计算；</w:t>
      </w:r>
    </w:p>
    <w:p w14:paraId="783BB36A" w14:textId="77777777" w:rsidR="00737EB2" w:rsidRPr="00765F6E" w:rsidRDefault="00737EB2" w:rsidP="003334F3">
      <w:pPr>
        <w:pStyle w:val="af6"/>
        <w:numPr>
          <w:ilvl w:val="0"/>
          <w:numId w:val="282"/>
        </w:numPr>
        <w:tabs>
          <w:tab w:val="left" w:pos="851"/>
        </w:tabs>
        <w:snapToGrid w:val="0"/>
        <w:contextualSpacing/>
      </w:pPr>
      <w:r w:rsidRPr="00765F6E">
        <w:rPr>
          <w:rFonts w:hint="eastAsia"/>
        </w:rPr>
        <w:t>当防烟分区中包含轨道区时，应按列车设计火灾规模计算排烟量；</w:t>
      </w:r>
    </w:p>
    <w:p w14:paraId="255EDD20" w14:textId="77777777" w:rsidR="00737EB2" w:rsidRPr="00765F6E" w:rsidRDefault="00737EB2" w:rsidP="003334F3">
      <w:pPr>
        <w:pStyle w:val="af6"/>
        <w:numPr>
          <w:ilvl w:val="0"/>
          <w:numId w:val="282"/>
        </w:numPr>
        <w:tabs>
          <w:tab w:val="left" w:pos="851"/>
        </w:tabs>
        <w:snapToGrid w:val="0"/>
        <w:contextualSpacing/>
      </w:pPr>
      <w:r w:rsidRPr="00765F6E">
        <w:rPr>
          <w:rFonts w:hint="eastAsia"/>
        </w:rPr>
        <w:t>地下站台的排烟量除满足3</w:t>
      </w:r>
      <w:r w:rsidRPr="00765F6E">
        <w:t>0.5.6</w:t>
      </w:r>
      <w:r>
        <w:rPr>
          <w:rFonts w:hint="eastAsia"/>
        </w:rPr>
        <w:t>中</w:t>
      </w:r>
      <w:r w:rsidRPr="00765F6E">
        <w:t>a)</w:t>
      </w:r>
      <w:r w:rsidRPr="00765F6E">
        <w:rPr>
          <w:rFonts w:hint="eastAsia"/>
        </w:rPr>
        <w:t>、b</w:t>
      </w:r>
      <w:r w:rsidRPr="00765F6E">
        <w:t>)</w:t>
      </w:r>
      <w:r w:rsidRPr="00765F6E">
        <w:rPr>
          <w:rFonts w:hint="eastAsia"/>
        </w:rPr>
        <w:t xml:space="preserve">要求外，还应保证站厅到站台的楼扶梯口处具有不小于1.5m/s的向下气流； </w:t>
      </w:r>
    </w:p>
    <w:p w14:paraId="4355D297" w14:textId="77777777" w:rsidR="00737EB2" w:rsidRPr="00765F6E" w:rsidRDefault="00737EB2" w:rsidP="003334F3">
      <w:pPr>
        <w:pStyle w:val="af6"/>
        <w:numPr>
          <w:ilvl w:val="0"/>
          <w:numId w:val="282"/>
        </w:numPr>
        <w:tabs>
          <w:tab w:val="left" w:pos="851"/>
        </w:tabs>
        <w:snapToGrid w:val="0"/>
        <w:contextualSpacing/>
      </w:pPr>
      <w:r w:rsidRPr="00765F6E">
        <w:rPr>
          <w:rFonts w:hint="eastAsia"/>
        </w:rPr>
        <w:lastRenderedPageBreak/>
        <w:t>排烟风机的风量应按所负担各防烟分区中最大一个防烟分区的排烟量、风管（道）的漏风量及其他防烟分区的排烟口或排烟阀的漏风量之和计算；</w:t>
      </w:r>
    </w:p>
    <w:p w14:paraId="4E7CCD03" w14:textId="77777777" w:rsidR="00737EB2" w:rsidRPr="00765F6E" w:rsidRDefault="00737EB2" w:rsidP="003334F3">
      <w:pPr>
        <w:pStyle w:val="af6"/>
        <w:numPr>
          <w:ilvl w:val="0"/>
          <w:numId w:val="282"/>
        </w:numPr>
        <w:tabs>
          <w:tab w:val="left" w:pos="851"/>
        </w:tabs>
        <w:snapToGrid w:val="0"/>
        <w:contextualSpacing/>
      </w:pPr>
      <w:r w:rsidRPr="00765F6E">
        <w:rPr>
          <w:rFonts w:hint="eastAsia"/>
        </w:rPr>
        <w:t>排烟风机的风量不应低于7200m</w:t>
      </w:r>
      <w:r w:rsidRPr="00765F6E">
        <w:rPr>
          <w:rFonts w:hint="eastAsia"/>
          <w:vertAlign w:val="superscript"/>
        </w:rPr>
        <w:t>3</w:t>
      </w:r>
      <w:r w:rsidRPr="00765F6E">
        <w:rPr>
          <w:rFonts w:hint="eastAsia"/>
        </w:rPr>
        <w:t>/h，当承担通（走）道排烟时，排烟量不应低于13000m</w:t>
      </w:r>
      <w:r w:rsidRPr="00765F6E">
        <w:rPr>
          <w:rFonts w:hint="eastAsia"/>
          <w:vertAlign w:val="superscript"/>
        </w:rPr>
        <w:t>3</w:t>
      </w:r>
      <w:r w:rsidRPr="00765F6E">
        <w:rPr>
          <w:rFonts w:hint="eastAsia"/>
        </w:rPr>
        <w:t>/h；</w:t>
      </w:r>
    </w:p>
    <w:p w14:paraId="24D1C3FC" w14:textId="77777777" w:rsidR="00737EB2" w:rsidRPr="00765F6E" w:rsidRDefault="00737EB2" w:rsidP="003334F3">
      <w:pPr>
        <w:pStyle w:val="af6"/>
        <w:numPr>
          <w:ilvl w:val="0"/>
          <w:numId w:val="282"/>
        </w:numPr>
        <w:tabs>
          <w:tab w:val="left" w:pos="851"/>
        </w:tabs>
        <w:snapToGrid w:val="0"/>
        <w:contextualSpacing/>
      </w:pPr>
      <w:r w:rsidRPr="00765F6E">
        <w:rPr>
          <w:rFonts w:hint="eastAsia"/>
        </w:rPr>
        <w:t>隧道内采用纵向排烟时，纵向风速不应小于2.0m/s，且不应大于11m/s。</w:t>
      </w:r>
    </w:p>
    <w:p w14:paraId="1E58507F" w14:textId="77777777" w:rsidR="00737EB2" w:rsidRPr="00765F6E" w:rsidRDefault="00737EB2" w:rsidP="009D0776">
      <w:pPr>
        <w:pStyle w:val="22"/>
      </w:pPr>
      <w:bookmarkStart w:id="3592" w:name="_Toc99793045"/>
      <w:bookmarkStart w:id="3593" w:name="_Toc153292488"/>
      <w:r w:rsidRPr="00765F6E">
        <w:rPr>
          <w:rFonts w:hint="eastAsia"/>
        </w:rPr>
        <w:t>采用自然排烟的车站，外墙上方或顶盖上可开启排烟口的有效面积不应小于所在场所地面面积的 2%，且区域内任一点至最近自然排烟口的水平距离不应大于 30m。常闭的自然排烟口（窗）均应设置自动和手动开启的装置。</w:t>
      </w:r>
      <w:bookmarkEnd w:id="3592"/>
      <w:bookmarkEnd w:id="3593"/>
    </w:p>
    <w:p w14:paraId="3D14E996" w14:textId="77777777" w:rsidR="00737EB2" w:rsidRPr="00765F6E" w:rsidRDefault="00737EB2" w:rsidP="009D0776">
      <w:pPr>
        <w:pStyle w:val="22"/>
      </w:pPr>
      <w:bookmarkStart w:id="3594" w:name="_Toc99793046"/>
      <w:bookmarkStart w:id="3595" w:name="_Toc153292489"/>
      <w:r w:rsidRPr="00765F6E">
        <w:rPr>
          <w:rFonts w:hint="eastAsia"/>
        </w:rPr>
        <w:t>自动灭火系统的设备房符合下列要求：</w:t>
      </w:r>
      <w:bookmarkEnd w:id="3594"/>
      <w:bookmarkEnd w:id="3595"/>
    </w:p>
    <w:p w14:paraId="6651E3FA" w14:textId="77777777" w:rsidR="00737EB2" w:rsidRPr="00765F6E" w:rsidRDefault="00737EB2" w:rsidP="003334F3">
      <w:pPr>
        <w:pStyle w:val="af6"/>
        <w:numPr>
          <w:ilvl w:val="0"/>
          <w:numId w:val="283"/>
        </w:numPr>
        <w:tabs>
          <w:tab w:val="left" w:pos="851"/>
        </w:tabs>
        <w:snapToGrid w:val="0"/>
        <w:contextualSpacing/>
      </w:pPr>
      <w:r w:rsidRPr="00765F6E">
        <w:rPr>
          <w:rFonts w:hint="eastAsia"/>
        </w:rPr>
        <w:t>穿越该房间，且在该房间内设置风口的通风管上应设置70℃关断的防火阀，并与自动灭火系统联动；</w:t>
      </w:r>
    </w:p>
    <w:p w14:paraId="6EA3C868" w14:textId="77777777" w:rsidR="00737EB2" w:rsidRPr="00765F6E" w:rsidRDefault="00737EB2" w:rsidP="003334F3">
      <w:pPr>
        <w:pStyle w:val="af6"/>
        <w:numPr>
          <w:ilvl w:val="0"/>
          <w:numId w:val="283"/>
        </w:numPr>
        <w:tabs>
          <w:tab w:val="left" w:pos="851"/>
        </w:tabs>
        <w:snapToGrid w:val="0"/>
        <w:contextualSpacing/>
      </w:pPr>
      <w:r w:rsidRPr="00765F6E">
        <w:rPr>
          <w:rFonts w:hint="eastAsia"/>
        </w:rPr>
        <w:t>灭火时，自动关断风管上的风阀，灾后应对房间进行通风换气；</w:t>
      </w:r>
    </w:p>
    <w:p w14:paraId="1C4C2EC7" w14:textId="77777777" w:rsidR="00737EB2" w:rsidRPr="00765F6E" w:rsidRDefault="00737EB2" w:rsidP="003334F3">
      <w:pPr>
        <w:pStyle w:val="af6"/>
        <w:numPr>
          <w:ilvl w:val="0"/>
          <w:numId w:val="283"/>
        </w:numPr>
        <w:tabs>
          <w:tab w:val="left" w:pos="851"/>
        </w:tabs>
        <w:snapToGrid w:val="0"/>
        <w:contextualSpacing/>
      </w:pPr>
      <w:r w:rsidRPr="00765F6E">
        <w:rPr>
          <w:rFonts w:hint="eastAsia"/>
        </w:rPr>
        <w:t>当灭火介质比空气重时，应在房间下部设置排风口。</w:t>
      </w:r>
    </w:p>
    <w:p w14:paraId="31AB3879" w14:textId="77777777" w:rsidR="00737EB2" w:rsidRPr="00765F6E" w:rsidRDefault="00737EB2" w:rsidP="009D0776">
      <w:pPr>
        <w:pStyle w:val="22"/>
      </w:pPr>
      <w:bookmarkStart w:id="3596" w:name="_Toc99793047"/>
      <w:bookmarkStart w:id="3597" w:name="_Toc153292490"/>
      <w:r w:rsidRPr="00765F6E">
        <w:rPr>
          <w:rFonts w:hint="eastAsia"/>
        </w:rPr>
        <w:t>排烟管道风速符合下列要求：</w:t>
      </w:r>
      <w:bookmarkEnd w:id="3596"/>
      <w:bookmarkEnd w:id="3597"/>
    </w:p>
    <w:p w14:paraId="10A24BEF" w14:textId="77777777" w:rsidR="00737EB2" w:rsidRPr="00765F6E" w:rsidRDefault="00737EB2" w:rsidP="003334F3">
      <w:pPr>
        <w:pStyle w:val="af6"/>
        <w:numPr>
          <w:ilvl w:val="0"/>
          <w:numId w:val="284"/>
        </w:numPr>
        <w:tabs>
          <w:tab w:val="left" w:pos="851"/>
        </w:tabs>
        <w:snapToGrid w:val="0"/>
        <w:contextualSpacing/>
      </w:pPr>
      <w:r w:rsidRPr="00765F6E">
        <w:rPr>
          <w:rFonts w:hint="eastAsia"/>
        </w:rPr>
        <w:t>非钢制排烟干管不应大于15m/s；</w:t>
      </w:r>
    </w:p>
    <w:p w14:paraId="3D47B85C" w14:textId="77777777" w:rsidR="00737EB2" w:rsidRPr="00765F6E" w:rsidRDefault="00737EB2" w:rsidP="003334F3">
      <w:pPr>
        <w:pStyle w:val="af6"/>
        <w:numPr>
          <w:ilvl w:val="0"/>
          <w:numId w:val="284"/>
        </w:numPr>
        <w:tabs>
          <w:tab w:val="left" w:pos="851"/>
        </w:tabs>
        <w:snapToGrid w:val="0"/>
        <w:contextualSpacing/>
      </w:pPr>
      <w:r w:rsidRPr="00765F6E">
        <w:rPr>
          <w:rFonts w:hint="eastAsia"/>
        </w:rPr>
        <w:t>钢制排烟干管不应大于20m/s；</w:t>
      </w:r>
    </w:p>
    <w:p w14:paraId="03788588" w14:textId="77777777" w:rsidR="00737EB2" w:rsidRPr="00765F6E" w:rsidRDefault="00737EB2" w:rsidP="003334F3">
      <w:pPr>
        <w:pStyle w:val="af6"/>
        <w:numPr>
          <w:ilvl w:val="0"/>
          <w:numId w:val="284"/>
        </w:numPr>
        <w:tabs>
          <w:tab w:val="left" w:pos="851"/>
        </w:tabs>
        <w:snapToGrid w:val="0"/>
        <w:contextualSpacing/>
      </w:pPr>
      <w:r w:rsidRPr="00765F6E">
        <w:rPr>
          <w:rFonts w:hint="eastAsia"/>
        </w:rPr>
        <w:t>排烟口不宜大于10m/s。</w:t>
      </w:r>
    </w:p>
    <w:p w14:paraId="41A7594B" w14:textId="77777777" w:rsidR="00737EB2" w:rsidRPr="00765F6E" w:rsidRDefault="00737EB2" w:rsidP="009D0776">
      <w:pPr>
        <w:pStyle w:val="22"/>
      </w:pPr>
      <w:bookmarkStart w:id="3598" w:name="_Toc153292491"/>
      <w:bookmarkStart w:id="3599" w:name="_Toc99793048"/>
      <w:r w:rsidRPr="00765F6E">
        <w:rPr>
          <w:rFonts w:hint="eastAsia"/>
        </w:rPr>
        <w:t>排烟设备符合下列要求：</w:t>
      </w:r>
      <w:bookmarkEnd w:id="3598"/>
      <w:bookmarkEnd w:id="3599"/>
    </w:p>
    <w:p w14:paraId="4C197680" w14:textId="77777777" w:rsidR="00737EB2" w:rsidRPr="00765F6E" w:rsidRDefault="00737EB2" w:rsidP="003334F3">
      <w:pPr>
        <w:pStyle w:val="af6"/>
        <w:numPr>
          <w:ilvl w:val="0"/>
          <w:numId w:val="285"/>
        </w:numPr>
        <w:tabs>
          <w:tab w:val="left" w:pos="851"/>
        </w:tabs>
        <w:snapToGrid w:val="0"/>
        <w:contextualSpacing/>
      </w:pPr>
      <w:r w:rsidRPr="00765F6E">
        <w:rPr>
          <w:rFonts w:hint="eastAsia"/>
        </w:rPr>
        <w:t>地下车站、区间隧道排烟设备应在280℃条件下连续运作1.0h；</w:t>
      </w:r>
    </w:p>
    <w:p w14:paraId="07E3E7B1" w14:textId="77777777" w:rsidR="00737EB2" w:rsidRPr="00765F6E" w:rsidRDefault="00737EB2" w:rsidP="003334F3">
      <w:pPr>
        <w:pStyle w:val="af6"/>
        <w:numPr>
          <w:ilvl w:val="0"/>
          <w:numId w:val="285"/>
        </w:numPr>
        <w:tabs>
          <w:tab w:val="left" w:pos="851"/>
        </w:tabs>
        <w:snapToGrid w:val="0"/>
        <w:contextualSpacing/>
      </w:pPr>
      <w:r w:rsidRPr="00765F6E">
        <w:rPr>
          <w:rFonts w:hint="eastAsia"/>
        </w:rPr>
        <w:t>地面、高架车站以及其他附属设施的排烟设备应在280℃条件下连续运作0.5h；</w:t>
      </w:r>
    </w:p>
    <w:p w14:paraId="4D3C26F3" w14:textId="77777777" w:rsidR="00737EB2" w:rsidRPr="00765F6E" w:rsidRDefault="00737EB2" w:rsidP="003334F3">
      <w:pPr>
        <w:pStyle w:val="af6"/>
        <w:numPr>
          <w:ilvl w:val="0"/>
          <w:numId w:val="285"/>
        </w:numPr>
        <w:tabs>
          <w:tab w:val="left" w:pos="851"/>
        </w:tabs>
        <w:snapToGrid w:val="0"/>
        <w:contextualSpacing/>
      </w:pPr>
      <w:r w:rsidRPr="00765F6E">
        <w:rPr>
          <w:rFonts w:hint="eastAsia"/>
        </w:rPr>
        <w:t>烟气流经的风阀、消声器等辅助设备应与相应风机耐高温等级相同。</w:t>
      </w:r>
    </w:p>
    <w:p w14:paraId="17AF1438" w14:textId="77777777" w:rsidR="00737EB2" w:rsidRPr="00765F6E" w:rsidRDefault="00737EB2" w:rsidP="009D0776">
      <w:pPr>
        <w:pStyle w:val="22"/>
      </w:pPr>
      <w:bookmarkStart w:id="3600" w:name="_Toc99793049"/>
      <w:bookmarkStart w:id="3601" w:name="_Toc153292492"/>
      <w:r w:rsidRPr="00765F6E">
        <w:rPr>
          <w:rFonts w:hint="eastAsia"/>
        </w:rPr>
        <w:t>防排烟和通风空调系统的下列部位应设置防火阀：</w:t>
      </w:r>
      <w:bookmarkEnd w:id="3600"/>
      <w:bookmarkEnd w:id="3601"/>
    </w:p>
    <w:p w14:paraId="32A756F3" w14:textId="77777777" w:rsidR="00737EB2" w:rsidRPr="00765F6E" w:rsidRDefault="00737EB2" w:rsidP="003334F3">
      <w:pPr>
        <w:pStyle w:val="af6"/>
        <w:numPr>
          <w:ilvl w:val="0"/>
          <w:numId w:val="286"/>
        </w:numPr>
        <w:tabs>
          <w:tab w:val="left" w:pos="851"/>
        </w:tabs>
        <w:snapToGrid w:val="0"/>
        <w:contextualSpacing/>
      </w:pPr>
      <w:r w:rsidRPr="00765F6E">
        <w:rPr>
          <w:rFonts w:hint="eastAsia"/>
        </w:rPr>
        <w:t>排烟系统应在风管穿越防火分区的防火墙、排烟风机入口处的总管上设置当烟气温度超过280℃时能自动关闭的排烟防火阀；</w:t>
      </w:r>
    </w:p>
    <w:p w14:paraId="58BF815E" w14:textId="77777777" w:rsidR="00737EB2" w:rsidRPr="00765F6E" w:rsidRDefault="00737EB2" w:rsidP="003334F3">
      <w:pPr>
        <w:pStyle w:val="af6"/>
        <w:numPr>
          <w:ilvl w:val="0"/>
          <w:numId w:val="286"/>
        </w:numPr>
        <w:tabs>
          <w:tab w:val="left" w:pos="851"/>
        </w:tabs>
        <w:snapToGrid w:val="0"/>
        <w:contextualSpacing/>
      </w:pPr>
      <w:r w:rsidRPr="00765F6E">
        <w:rPr>
          <w:rFonts w:hint="eastAsia"/>
        </w:rPr>
        <w:t>机械加压送风防烟管道在穿越防火分区的防火墙处应设置当烟气温度超过70℃时能自动关闭的防火阀；</w:t>
      </w:r>
    </w:p>
    <w:p w14:paraId="45D2CBDD" w14:textId="77777777" w:rsidR="00737EB2" w:rsidRPr="00765F6E" w:rsidRDefault="00737EB2" w:rsidP="003334F3">
      <w:pPr>
        <w:pStyle w:val="af6"/>
        <w:numPr>
          <w:ilvl w:val="0"/>
          <w:numId w:val="286"/>
        </w:numPr>
        <w:tabs>
          <w:tab w:val="left" w:pos="851"/>
        </w:tabs>
        <w:snapToGrid w:val="0"/>
        <w:contextualSpacing/>
      </w:pPr>
      <w:r w:rsidRPr="00765F6E">
        <w:rPr>
          <w:rFonts w:hint="eastAsia"/>
        </w:rPr>
        <w:t>通风空调系统应在风管穿越防火分区的防火墙、通风空调机房的房间隔墙和楼板处、垂直风管与每层水平风管交接处的水平管段上及穿越防火分隔处的变形缝两侧设置当温度超过70℃时能自动关闭的防火阀。</w:t>
      </w:r>
    </w:p>
    <w:p w14:paraId="42E3B986" w14:textId="77777777" w:rsidR="00737EB2" w:rsidRPr="00765F6E" w:rsidRDefault="00737EB2" w:rsidP="009D0776">
      <w:pPr>
        <w:pStyle w:val="22"/>
      </w:pPr>
      <w:bookmarkStart w:id="3602" w:name="_Toc153292493"/>
      <w:bookmarkStart w:id="3603" w:name="_Toc99793050"/>
      <w:r w:rsidRPr="00765F6E">
        <w:rPr>
          <w:rFonts w:hint="eastAsia"/>
        </w:rPr>
        <w:t>在事故工况下参与运转的设备，从静止状态转换为事故工况状态所需的时间不应超过30s，从运转状态转换为事故工况状态所需的时间不应超过60s。</w:t>
      </w:r>
      <w:bookmarkEnd w:id="3602"/>
      <w:bookmarkEnd w:id="3603"/>
      <w:r w:rsidRPr="00765F6E">
        <w:rPr>
          <w:rFonts w:hint="eastAsia"/>
        </w:rPr>
        <w:t xml:space="preserve"> </w:t>
      </w:r>
    </w:p>
    <w:p w14:paraId="027F3181" w14:textId="77777777" w:rsidR="00737EB2" w:rsidRPr="00765F6E" w:rsidRDefault="00737EB2" w:rsidP="00737EB2">
      <w:pPr>
        <w:pStyle w:val="affe"/>
        <w:spacing w:before="156" w:after="156"/>
      </w:pPr>
      <w:bookmarkStart w:id="3604" w:name="_Toc153292495"/>
      <w:bookmarkStart w:id="3605" w:name="_Toc153211017"/>
      <w:bookmarkStart w:id="3606" w:name="_Toc99793052"/>
      <w:bookmarkStart w:id="3607" w:name="_Toc167895915"/>
      <w:bookmarkStart w:id="3608" w:name="_Toc174538829"/>
      <w:bookmarkStart w:id="3609" w:name="_Toc182476587"/>
      <w:r w:rsidRPr="00765F6E">
        <w:rPr>
          <w:rFonts w:hint="eastAsia"/>
        </w:rPr>
        <w:t>防灾通信</w:t>
      </w:r>
      <w:bookmarkEnd w:id="3604"/>
      <w:bookmarkEnd w:id="3605"/>
      <w:bookmarkEnd w:id="3606"/>
      <w:bookmarkEnd w:id="3607"/>
      <w:bookmarkEnd w:id="3608"/>
      <w:bookmarkEnd w:id="3609"/>
    </w:p>
    <w:p w14:paraId="649AD5B6" w14:textId="5AF5F39A" w:rsidR="00737EB2" w:rsidRPr="00321DD6" w:rsidRDefault="00737EB2" w:rsidP="009D0776">
      <w:pPr>
        <w:pStyle w:val="22"/>
      </w:pPr>
      <w:bookmarkStart w:id="3610" w:name="_Toc99793053"/>
      <w:bookmarkStart w:id="3611" w:name="_Toc153292496"/>
      <w:r w:rsidRPr="00321DD6">
        <w:rPr>
          <w:rFonts w:hint="eastAsia"/>
        </w:rPr>
        <w:t>市域铁路公务电话交换机应</w:t>
      </w:r>
      <w:r w:rsidR="000C1C5D">
        <w:rPr>
          <w:rFonts w:hint="eastAsia"/>
        </w:rPr>
        <w:t>能</w:t>
      </w:r>
      <w:r w:rsidRPr="00321DD6">
        <w:rPr>
          <w:rFonts w:hint="eastAsia"/>
        </w:rPr>
        <w:t>自动</w:t>
      </w:r>
      <w:r w:rsidR="000C1C5D">
        <w:rPr>
          <w:rFonts w:hint="eastAsia"/>
        </w:rPr>
        <w:t>触发</w:t>
      </w:r>
      <w:r w:rsidRPr="00321DD6">
        <w:rPr>
          <w:rFonts w:hint="eastAsia"/>
        </w:rPr>
        <w:t>市话网“</w:t>
      </w:r>
      <w:r w:rsidRPr="00321DD6">
        <w:t>119”</w:t>
      </w:r>
      <w:r w:rsidR="000C1C5D">
        <w:rPr>
          <w:rFonts w:hint="eastAsia"/>
        </w:rPr>
        <w:t>，并</w:t>
      </w:r>
      <w:r w:rsidRPr="00321DD6">
        <w:t>配备无线通信设施。</w:t>
      </w:r>
      <w:bookmarkEnd w:id="3610"/>
      <w:bookmarkEnd w:id="3611"/>
    </w:p>
    <w:p w14:paraId="23059BA3" w14:textId="77777777" w:rsidR="00737EB2" w:rsidRPr="00765F6E" w:rsidRDefault="00737EB2" w:rsidP="009D0776">
      <w:pPr>
        <w:pStyle w:val="22"/>
      </w:pPr>
      <w:bookmarkStart w:id="3612" w:name="_Toc99793054"/>
      <w:bookmarkStart w:id="3613" w:name="_Toc153292497"/>
      <w:r w:rsidRPr="00765F6E">
        <w:rPr>
          <w:rFonts w:hint="eastAsia"/>
        </w:rPr>
        <w:t>运营控制中心应设置防灾无线控制台，列车司机室应设置防灾无线通话台，车站控制室、站长室、车辆基地（所、存车场）值班室应设置无线通信设备。</w:t>
      </w:r>
      <w:bookmarkEnd w:id="3612"/>
      <w:bookmarkEnd w:id="3613"/>
    </w:p>
    <w:p w14:paraId="293071A4" w14:textId="77777777" w:rsidR="00737EB2" w:rsidRPr="00765F6E" w:rsidRDefault="00737EB2" w:rsidP="009D0776">
      <w:pPr>
        <w:pStyle w:val="22"/>
      </w:pPr>
      <w:bookmarkStart w:id="3614" w:name="_Toc99793055"/>
      <w:bookmarkStart w:id="3615" w:name="_Toc153292498"/>
      <w:r w:rsidRPr="00765F6E">
        <w:rPr>
          <w:rFonts w:hint="eastAsia"/>
        </w:rPr>
        <w:t>运营控制中心应设置防灾广播控制台，车站控制室、车辆基地（所、存车场）值班室应设置广播控制台。</w:t>
      </w:r>
      <w:bookmarkEnd w:id="3614"/>
      <w:bookmarkEnd w:id="3615"/>
    </w:p>
    <w:p w14:paraId="4284679C" w14:textId="77777777" w:rsidR="00737EB2" w:rsidRPr="00765F6E" w:rsidRDefault="00737EB2" w:rsidP="009D0776">
      <w:pPr>
        <w:pStyle w:val="22"/>
      </w:pPr>
      <w:bookmarkStart w:id="3616" w:name="_Toc153292499"/>
      <w:bookmarkStart w:id="3617" w:name="_Toc99793056"/>
      <w:r w:rsidRPr="00765F6E">
        <w:rPr>
          <w:rFonts w:hint="eastAsia"/>
        </w:rPr>
        <w:t>运营控制中心中心和车站控制室应设置监视器和控制键盘。</w:t>
      </w:r>
      <w:bookmarkEnd w:id="3616"/>
      <w:bookmarkEnd w:id="3617"/>
    </w:p>
    <w:p w14:paraId="6C87AD00" w14:textId="77777777" w:rsidR="00737EB2" w:rsidRPr="00765F6E" w:rsidRDefault="00737EB2" w:rsidP="009D0776">
      <w:pPr>
        <w:pStyle w:val="22"/>
      </w:pPr>
      <w:bookmarkStart w:id="3618" w:name="_Toc99793057"/>
      <w:bookmarkStart w:id="3619" w:name="_Toc153292500"/>
      <w:r w:rsidRPr="00765F6E">
        <w:rPr>
          <w:rFonts w:hint="eastAsia"/>
        </w:rPr>
        <w:t>市域铁路应设置防灾调度电话，防灾调度电话系统在控制中心设调度电话总机，并在车站及车辆基地（所、存车场）设分机。</w:t>
      </w:r>
      <w:bookmarkEnd w:id="3618"/>
      <w:bookmarkEnd w:id="3619"/>
    </w:p>
    <w:p w14:paraId="2C04D755" w14:textId="77777777" w:rsidR="00737EB2" w:rsidRPr="00765F6E" w:rsidRDefault="00737EB2" w:rsidP="009D0776">
      <w:pPr>
        <w:pStyle w:val="22"/>
      </w:pPr>
      <w:bookmarkStart w:id="3620" w:name="_Toc153292501"/>
      <w:bookmarkStart w:id="3621" w:name="_Toc99793058"/>
      <w:r w:rsidRPr="00765F6E">
        <w:rPr>
          <w:rFonts w:hint="eastAsia"/>
        </w:rPr>
        <w:t>市域铁路通信系统，应具备火灾时能迅速转换为防灾通信的功能。</w:t>
      </w:r>
      <w:bookmarkEnd w:id="3620"/>
      <w:bookmarkEnd w:id="3621"/>
    </w:p>
    <w:p w14:paraId="50C594F2" w14:textId="77777777" w:rsidR="00737EB2" w:rsidRPr="00765F6E" w:rsidRDefault="00737EB2" w:rsidP="00737EB2">
      <w:pPr>
        <w:pStyle w:val="affe"/>
        <w:spacing w:before="156" w:after="156"/>
      </w:pPr>
      <w:bookmarkStart w:id="3622" w:name="_Toc153211018"/>
      <w:bookmarkStart w:id="3623" w:name="_Toc153292502"/>
      <w:bookmarkStart w:id="3624" w:name="_Toc99793059"/>
      <w:bookmarkStart w:id="3625" w:name="_Toc167895916"/>
      <w:bookmarkStart w:id="3626" w:name="_Toc174538830"/>
      <w:bookmarkStart w:id="3627" w:name="_Toc182476588"/>
      <w:r w:rsidRPr="00765F6E">
        <w:rPr>
          <w:rFonts w:hint="eastAsia"/>
        </w:rPr>
        <w:t>防灾用电与应急照明</w:t>
      </w:r>
      <w:bookmarkEnd w:id="3622"/>
      <w:bookmarkEnd w:id="3623"/>
      <w:bookmarkEnd w:id="3624"/>
      <w:bookmarkEnd w:id="3625"/>
      <w:bookmarkEnd w:id="3626"/>
      <w:bookmarkEnd w:id="3627"/>
    </w:p>
    <w:p w14:paraId="46EFE32D" w14:textId="77777777" w:rsidR="00737EB2" w:rsidRPr="00765F6E" w:rsidRDefault="00737EB2" w:rsidP="009D0776">
      <w:pPr>
        <w:pStyle w:val="22"/>
      </w:pPr>
      <w:bookmarkStart w:id="3628" w:name="_Toc99793060"/>
      <w:bookmarkStart w:id="3629" w:name="_Toc153292503"/>
      <w:r w:rsidRPr="00765F6E">
        <w:rPr>
          <w:rFonts w:hint="eastAsia"/>
        </w:rPr>
        <w:t>消防用电设备应按一级负荷供电，并应采用专用的供电回路，可从变电所低压母线或配电室取电，其配电设备应有明显标志。</w:t>
      </w:r>
      <w:bookmarkEnd w:id="3628"/>
      <w:bookmarkEnd w:id="3629"/>
    </w:p>
    <w:p w14:paraId="7BEB1853" w14:textId="77777777" w:rsidR="00737EB2" w:rsidRPr="00765F6E" w:rsidRDefault="00737EB2" w:rsidP="009D0776">
      <w:pPr>
        <w:pStyle w:val="22"/>
      </w:pPr>
      <w:bookmarkStart w:id="3630" w:name="_Toc99793061"/>
      <w:bookmarkStart w:id="3631" w:name="_Toc153292504"/>
      <w:r w:rsidRPr="00765F6E">
        <w:rPr>
          <w:rFonts w:hint="eastAsia"/>
        </w:rPr>
        <w:t>火灾应急照明包括疏散照明和备用照明，其设置符合下列规定：</w:t>
      </w:r>
      <w:bookmarkEnd w:id="3630"/>
      <w:bookmarkEnd w:id="3631"/>
    </w:p>
    <w:p w14:paraId="05112656" w14:textId="77777777" w:rsidR="00737EB2" w:rsidRPr="00765F6E" w:rsidRDefault="00737EB2" w:rsidP="003334F3">
      <w:pPr>
        <w:pStyle w:val="af6"/>
        <w:numPr>
          <w:ilvl w:val="0"/>
          <w:numId w:val="287"/>
        </w:numPr>
        <w:tabs>
          <w:tab w:val="left" w:pos="851"/>
        </w:tabs>
        <w:snapToGrid w:val="0"/>
        <w:contextualSpacing/>
      </w:pPr>
      <w:r w:rsidRPr="00765F6E">
        <w:rPr>
          <w:rFonts w:hint="eastAsia"/>
        </w:rPr>
        <w:t>供人员疏散并为消防人员撤离火灾现场的场所应设置疏散照明和疏散指示标志灯；</w:t>
      </w:r>
    </w:p>
    <w:p w14:paraId="7DF86038" w14:textId="77777777" w:rsidR="00737EB2" w:rsidRPr="00765F6E" w:rsidRDefault="00737EB2" w:rsidP="003334F3">
      <w:pPr>
        <w:pStyle w:val="af6"/>
        <w:numPr>
          <w:ilvl w:val="0"/>
          <w:numId w:val="287"/>
        </w:numPr>
        <w:tabs>
          <w:tab w:val="left" w:pos="851"/>
        </w:tabs>
        <w:snapToGrid w:val="0"/>
        <w:contextualSpacing/>
      </w:pPr>
      <w:r w:rsidRPr="00765F6E">
        <w:rPr>
          <w:rFonts w:hint="eastAsia"/>
        </w:rPr>
        <w:t>火灾时仍需要坚持工作的场所应设置备用照明。</w:t>
      </w:r>
    </w:p>
    <w:p w14:paraId="3C904047" w14:textId="77777777" w:rsidR="00737EB2" w:rsidRPr="00765F6E" w:rsidRDefault="00737EB2" w:rsidP="009D0776">
      <w:pPr>
        <w:pStyle w:val="22"/>
      </w:pPr>
      <w:bookmarkStart w:id="3632" w:name="_Toc99793062"/>
      <w:bookmarkStart w:id="3633" w:name="_Toc153292505"/>
      <w:r w:rsidRPr="00765F6E">
        <w:rPr>
          <w:rFonts w:hint="eastAsia"/>
        </w:rPr>
        <w:t>下列部位应设置应急疏散照明和疏散指示标志灯：</w:t>
      </w:r>
      <w:bookmarkEnd w:id="3632"/>
      <w:bookmarkEnd w:id="3633"/>
    </w:p>
    <w:p w14:paraId="04FEA80E" w14:textId="77777777" w:rsidR="00737EB2" w:rsidRPr="00765F6E" w:rsidRDefault="00737EB2" w:rsidP="003334F3">
      <w:pPr>
        <w:pStyle w:val="af6"/>
        <w:numPr>
          <w:ilvl w:val="0"/>
          <w:numId w:val="288"/>
        </w:numPr>
        <w:tabs>
          <w:tab w:val="left" w:pos="851"/>
        </w:tabs>
        <w:snapToGrid w:val="0"/>
        <w:contextualSpacing/>
      </w:pPr>
      <w:r w:rsidRPr="00765F6E">
        <w:rPr>
          <w:rFonts w:hint="eastAsia"/>
        </w:rPr>
        <w:lastRenderedPageBreak/>
        <w:t>车站站厅、站台、自动扶梯、楼梯、出入口通道、附属用房区的内走道及安全出口等；</w:t>
      </w:r>
    </w:p>
    <w:p w14:paraId="3881E6C5" w14:textId="77777777" w:rsidR="00737EB2" w:rsidRPr="00765F6E" w:rsidRDefault="00737EB2" w:rsidP="003334F3">
      <w:pPr>
        <w:pStyle w:val="af6"/>
        <w:numPr>
          <w:ilvl w:val="0"/>
          <w:numId w:val="288"/>
        </w:numPr>
        <w:tabs>
          <w:tab w:val="left" w:pos="851"/>
        </w:tabs>
        <w:snapToGrid w:val="0"/>
        <w:contextualSpacing/>
      </w:pPr>
      <w:r w:rsidRPr="00765F6E">
        <w:rPr>
          <w:rFonts w:hint="eastAsia"/>
        </w:rPr>
        <w:t>区间隧道；</w:t>
      </w:r>
    </w:p>
    <w:p w14:paraId="6A7EEA8E" w14:textId="77777777" w:rsidR="00737EB2" w:rsidRPr="00765F6E" w:rsidRDefault="00737EB2" w:rsidP="003334F3">
      <w:pPr>
        <w:pStyle w:val="af6"/>
        <w:numPr>
          <w:ilvl w:val="0"/>
          <w:numId w:val="288"/>
        </w:numPr>
        <w:tabs>
          <w:tab w:val="left" w:pos="851"/>
        </w:tabs>
        <w:snapToGrid w:val="0"/>
        <w:contextualSpacing/>
      </w:pPr>
      <w:r w:rsidRPr="00765F6E">
        <w:rPr>
          <w:rFonts w:hint="eastAsia"/>
        </w:rPr>
        <w:t>运营控制中心及车辆基地（所、存车场）等单体建筑的疏散通道、疏散楼梯间、消防电梯间、安全出口等。</w:t>
      </w:r>
    </w:p>
    <w:p w14:paraId="21F9455F" w14:textId="77777777" w:rsidR="00737EB2" w:rsidRPr="00765F6E" w:rsidRDefault="00737EB2" w:rsidP="009D0776">
      <w:pPr>
        <w:pStyle w:val="22"/>
      </w:pPr>
      <w:bookmarkStart w:id="3634" w:name="_Toc153292506"/>
      <w:bookmarkStart w:id="3635" w:name="_Toc99793063"/>
      <w:r w:rsidRPr="00765F6E">
        <w:rPr>
          <w:rFonts w:hint="eastAsia"/>
        </w:rPr>
        <w:t>下列部位应设置应急备用照明：</w:t>
      </w:r>
      <w:bookmarkEnd w:id="3634"/>
      <w:bookmarkEnd w:id="3635"/>
      <w:r w:rsidRPr="00765F6E">
        <w:rPr>
          <w:rFonts w:hint="eastAsia"/>
        </w:rPr>
        <w:t>运营控制中心的调度大厅、消防控制室、行车值班室、站长室、综控室、通信机房、信号机房、信息机房、售票室、变电所、配电间、消防泵房、防排烟机房等重要场所。其中运营控制中心的调度大厅、消防控制室、综控室、变电所、消防泵房、防排烟机房等重要设备用房的备用照明照度值为正常照明照度值的100%，其他场所的备用照明照度值除另有定外，不应低于正常照明照度值的10%。</w:t>
      </w:r>
    </w:p>
    <w:p w14:paraId="72E703AF" w14:textId="77777777" w:rsidR="00737EB2" w:rsidRPr="00765F6E" w:rsidRDefault="00737EB2" w:rsidP="009D0776">
      <w:pPr>
        <w:pStyle w:val="22"/>
      </w:pPr>
      <w:bookmarkStart w:id="3636" w:name="_Toc153292507"/>
      <w:bookmarkStart w:id="3637" w:name="_Toc99793064"/>
      <w:r w:rsidRPr="00765F6E">
        <w:rPr>
          <w:rFonts w:hint="eastAsia"/>
        </w:rPr>
        <w:t>消防供电回路的线缆应采用阻燃、耐火铜芯线缆或矿物绝缘类不燃性线缆，在车站、运营控制中心、地下区间等人员聚集场所还应具备低烟无卤性能。</w:t>
      </w:r>
      <w:bookmarkEnd w:id="3636"/>
      <w:bookmarkEnd w:id="3637"/>
    </w:p>
    <w:p w14:paraId="238536EE" w14:textId="196CAABE" w:rsidR="00737EB2" w:rsidRPr="00765F6E" w:rsidRDefault="00737EB2" w:rsidP="009D0776">
      <w:pPr>
        <w:pStyle w:val="22"/>
      </w:pPr>
      <w:bookmarkStart w:id="3638" w:name="_Toc99793065"/>
      <w:bookmarkStart w:id="3639" w:name="_Toc153292508"/>
      <w:r w:rsidRPr="00765F6E">
        <w:rPr>
          <w:rFonts w:hint="eastAsia"/>
        </w:rPr>
        <w:t>应急照明持续供电时间及照度应满足</w:t>
      </w:r>
      <w:r w:rsidRPr="00765F6E">
        <w:t>GB 50016</w:t>
      </w:r>
      <w:r w:rsidRPr="00765F6E">
        <w:rPr>
          <w:rFonts w:hint="eastAsia"/>
        </w:rPr>
        <w:t>的相关规定，并按照GB/T</w:t>
      </w:r>
      <w:r w:rsidRPr="00765F6E">
        <w:t xml:space="preserve"> </w:t>
      </w:r>
      <w:r w:rsidRPr="00765F6E">
        <w:rPr>
          <w:rFonts w:hint="eastAsia"/>
        </w:rPr>
        <w:t>16275等的要求。</w:t>
      </w:r>
      <w:bookmarkEnd w:id="3638"/>
      <w:bookmarkEnd w:id="3639"/>
    </w:p>
    <w:p w14:paraId="489900BB" w14:textId="77777777" w:rsidR="00737EB2" w:rsidRPr="00765F6E" w:rsidRDefault="00737EB2" w:rsidP="00737EB2">
      <w:pPr>
        <w:pStyle w:val="affe"/>
        <w:spacing w:before="156" w:after="156"/>
      </w:pPr>
      <w:bookmarkStart w:id="3640" w:name="_Toc153211019"/>
      <w:bookmarkStart w:id="3641" w:name="_Toc99793066"/>
      <w:bookmarkStart w:id="3642" w:name="_Toc153292509"/>
      <w:bookmarkStart w:id="3643" w:name="_Toc167895917"/>
      <w:bookmarkStart w:id="3644" w:name="_Toc174538831"/>
      <w:bookmarkStart w:id="3645" w:name="_Toc182476589"/>
      <w:r w:rsidRPr="00765F6E">
        <w:rPr>
          <w:rFonts w:hint="eastAsia"/>
        </w:rPr>
        <w:t>其他灾害预防与报警</w:t>
      </w:r>
      <w:bookmarkEnd w:id="3640"/>
      <w:bookmarkEnd w:id="3641"/>
      <w:bookmarkEnd w:id="3642"/>
      <w:bookmarkEnd w:id="3643"/>
      <w:bookmarkEnd w:id="3644"/>
      <w:bookmarkEnd w:id="3645"/>
    </w:p>
    <w:p w14:paraId="30BDEF95" w14:textId="77777777" w:rsidR="00737EB2" w:rsidRPr="00765F6E" w:rsidRDefault="00737EB2" w:rsidP="009D0776">
      <w:pPr>
        <w:pStyle w:val="22"/>
      </w:pPr>
      <w:bookmarkStart w:id="3646" w:name="_Toc99793067"/>
      <w:bookmarkStart w:id="3647" w:name="_Toc153292510"/>
      <w:r w:rsidRPr="00765F6E">
        <w:rPr>
          <w:rFonts w:hint="eastAsia"/>
        </w:rPr>
        <w:t>车站出入口及敞口低风井等口部的防淹措施，应满足当地防洪排涝要求。</w:t>
      </w:r>
      <w:bookmarkEnd w:id="3646"/>
      <w:bookmarkEnd w:id="3647"/>
      <w:r w:rsidRPr="00765F6E">
        <w:rPr>
          <w:rFonts w:hint="eastAsia"/>
        </w:rPr>
        <w:t xml:space="preserve">  </w:t>
      </w:r>
    </w:p>
    <w:p w14:paraId="019D0551" w14:textId="77777777" w:rsidR="00737EB2" w:rsidRPr="00765F6E" w:rsidRDefault="00737EB2" w:rsidP="009D0776">
      <w:pPr>
        <w:pStyle w:val="22"/>
      </w:pPr>
      <w:bookmarkStart w:id="3648" w:name="_Toc99793068"/>
      <w:bookmarkStart w:id="3649" w:name="_Toc153292511"/>
      <w:r w:rsidRPr="00765F6E">
        <w:rPr>
          <w:rFonts w:hint="eastAsia"/>
        </w:rPr>
        <w:t>对下穿河流和湖泊等水域的市域铁路隧道工程，当水下隧道出现损坏水体可能危及两端其他区段安全时，应在隧道下穿水域的两端设置防淹门或采取其他防水淹措施。</w:t>
      </w:r>
      <w:bookmarkEnd w:id="3648"/>
      <w:bookmarkEnd w:id="3649"/>
    </w:p>
    <w:p w14:paraId="7FE1B443" w14:textId="77777777" w:rsidR="00737EB2" w:rsidRPr="00765F6E" w:rsidRDefault="00737EB2" w:rsidP="009D0776">
      <w:pPr>
        <w:pStyle w:val="22"/>
      </w:pPr>
      <w:bookmarkStart w:id="3650" w:name="_Toc153292512"/>
      <w:bookmarkStart w:id="3651" w:name="_Toc99793070"/>
      <w:r w:rsidRPr="00765F6E">
        <w:rPr>
          <w:rFonts w:hint="eastAsia"/>
        </w:rPr>
        <w:t>地上线至地下线的隧道洞口处应采取防淹措施。</w:t>
      </w:r>
      <w:bookmarkEnd w:id="3650"/>
    </w:p>
    <w:p w14:paraId="10CD6541" w14:textId="349CF613" w:rsidR="00737EB2" w:rsidRPr="00765F6E" w:rsidRDefault="00737EB2" w:rsidP="009D0776">
      <w:pPr>
        <w:pStyle w:val="22"/>
      </w:pPr>
      <w:bookmarkStart w:id="3652" w:name="_Toc153292513"/>
      <w:r w:rsidRPr="00765F6E">
        <w:rPr>
          <w:rFonts w:hint="eastAsia"/>
        </w:rPr>
        <w:t>地面及高架有关建筑工程的防雷措施及其他电气要求，</w:t>
      </w:r>
      <w:r w:rsidRPr="00321DD6">
        <w:rPr>
          <w:rFonts w:hint="eastAsia"/>
        </w:rPr>
        <w:t>应按本标准</w:t>
      </w:r>
      <w:r w:rsidR="005860B9" w:rsidRPr="00AB7D91">
        <w:rPr>
          <w:rFonts w:hint="eastAsia"/>
        </w:rPr>
        <w:t>第</w:t>
      </w:r>
      <w:r w:rsidR="005860B9" w:rsidRPr="00AB7D91">
        <w:t>16</w:t>
      </w:r>
      <w:r w:rsidRPr="00AB7D91">
        <w:rPr>
          <w:rFonts w:hint="eastAsia"/>
        </w:rPr>
        <w:t>章</w:t>
      </w:r>
      <w:r w:rsidRPr="00321DD6">
        <w:rPr>
          <w:rFonts w:hint="eastAsia"/>
        </w:rPr>
        <w:t>的有关规定执行</w:t>
      </w:r>
      <w:r w:rsidRPr="00765F6E">
        <w:rPr>
          <w:rFonts w:hint="eastAsia"/>
        </w:rPr>
        <w:t>。</w:t>
      </w:r>
      <w:bookmarkEnd w:id="3651"/>
      <w:bookmarkEnd w:id="3652"/>
    </w:p>
    <w:p w14:paraId="32B237D2" w14:textId="77777777" w:rsidR="00737EB2" w:rsidRPr="00765F6E" w:rsidRDefault="00737EB2" w:rsidP="009D0776">
      <w:pPr>
        <w:pStyle w:val="22"/>
      </w:pPr>
      <w:bookmarkStart w:id="3653" w:name="_Toc153292514"/>
      <w:bookmarkStart w:id="3654" w:name="_Toc99793071"/>
      <w:r w:rsidRPr="00765F6E">
        <w:rPr>
          <w:rFonts w:hint="eastAsia"/>
        </w:rPr>
        <w:t>地面及高架线路的架空线路与架空接触网设置应满足防风要求。</w:t>
      </w:r>
      <w:bookmarkEnd w:id="3653"/>
      <w:bookmarkEnd w:id="3654"/>
      <w:r w:rsidRPr="00765F6E">
        <w:rPr>
          <w:rFonts w:hint="eastAsia"/>
        </w:rPr>
        <w:t xml:space="preserve"> </w:t>
      </w:r>
    </w:p>
    <w:p w14:paraId="7A143885" w14:textId="77777777" w:rsidR="00737EB2" w:rsidRPr="00765F6E" w:rsidRDefault="00737EB2" w:rsidP="009D0776">
      <w:pPr>
        <w:pStyle w:val="22"/>
      </w:pPr>
      <w:bookmarkStart w:id="3655" w:name="_Toc153292515"/>
      <w:bookmarkStart w:id="3656" w:name="_Toc99793072"/>
      <w:r w:rsidRPr="00765F6E">
        <w:rPr>
          <w:rFonts w:hint="eastAsia"/>
        </w:rPr>
        <w:t>地下、高架及地面结构的抗震设计，除应符合本标准的有关规定外，尚应符合国家现行有关地面建筑抗震设计标准的规定。</w:t>
      </w:r>
      <w:bookmarkEnd w:id="3655"/>
      <w:bookmarkEnd w:id="3656"/>
      <w:r w:rsidRPr="00765F6E">
        <w:rPr>
          <w:rFonts w:hint="eastAsia"/>
        </w:rPr>
        <w:t xml:space="preserve"> </w:t>
      </w:r>
    </w:p>
    <w:p w14:paraId="74C94039" w14:textId="77777777" w:rsidR="00737EB2" w:rsidRPr="00765F6E" w:rsidRDefault="00737EB2" w:rsidP="009D0776">
      <w:pPr>
        <w:pStyle w:val="22"/>
      </w:pPr>
      <w:bookmarkStart w:id="3657" w:name="_Toc99793073"/>
      <w:bookmarkStart w:id="3658" w:name="_Toc153292516"/>
      <w:r w:rsidRPr="00765F6E">
        <w:rPr>
          <w:rFonts w:hint="eastAsia"/>
        </w:rPr>
        <w:t>车站及沿线的各废水泵站、雨水泵站、污水泵站应设危险水位报警装置。</w:t>
      </w:r>
      <w:bookmarkEnd w:id="3657"/>
      <w:bookmarkEnd w:id="3658"/>
    </w:p>
    <w:p w14:paraId="67B1B8ED" w14:textId="77777777" w:rsidR="00737EB2" w:rsidRPr="00765F6E" w:rsidRDefault="00737EB2" w:rsidP="009D0776">
      <w:pPr>
        <w:pStyle w:val="22"/>
      </w:pPr>
      <w:bookmarkStart w:id="3659" w:name="_Toc99793074"/>
      <w:bookmarkStart w:id="3660" w:name="_Toc153292517"/>
      <w:r w:rsidRPr="00321DD6">
        <w:rPr>
          <w:rFonts w:hint="eastAsia"/>
        </w:rPr>
        <w:t>调度中心应具备接收当地气象部门气象预报的功能</w:t>
      </w:r>
      <w:r w:rsidRPr="00765F6E">
        <w:rPr>
          <w:rFonts w:hint="eastAsia"/>
        </w:rPr>
        <w:t>。</w:t>
      </w:r>
      <w:bookmarkEnd w:id="3659"/>
      <w:bookmarkEnd w:id="3660"/>
    </w:p>
    <w:p w14:paraId="28103D6E" w14:textId="77777777" w:rsidR="00737EB2" w:rsidRPr="00765F6E" w:rsidRDefault="00737EB2" w:rsidP="00737EB2">
      <w:pPr>
        <w:pStyle w:val="affe"/>
        <w:spacing w:before="156" w:after="156"/>
      </w:pPr>
      <w:bookmarkStart w:id="3661" w:name="_Toc153211020"/>
      <w:bookmarkStart w:id="3662" w:name="_Toc153292518"/>
      <w:bookmarkStart w:id="3663" w:name="_Toc99793075"/>
      <w:bookmarkStart w:id="3664" w:name="_Toc167895918"/>
      <w:bookmarkStart w:id="3665" w:name="_Toc174538832"/>
      <w:bookmarkStart w:id="3666" w:name="_Toc182476590"/>
      <w:r w:rsidRPr="00765F6E">
        <w:rPr>
          <w:rFonts w:hint="eastAsia"/>
        </w:rPr>
        <w:t>灾害监测</w:t>
      </w:r>
      <w:bookmarkEnd w:id="3661"/>
      <w:bookmarkEnd w:id="3662"/>
      <w:bookmarkEnd w:id="3663"/>
      <w:bookmarkEnd w:id="3664"/>
      <w:bookmarkEnd w:id="3665"/>
      <w:bookmarkEnd w:id="3666"/>
    </w:p>
    <w:p w14:paraId="12117CEE" w14:textId="0498F7A5" w:rsidR="00737EB2" w:rsidRPr="00765F6E" w:rsidRDefault="0073086C" w:rsidP="009D0776">
      <w:pPr>
        <w:pStyle w:val="22"/>
      </w:pPr>
      <w:bookmarkStart w:id="3667" w:name="_Toc99793076"/>
      <w:bookmarkStart w:id="3668" w:name="_Toc153292519"/>
      <w:r w:rsidRPr="00453DBE">
        <w:rPr>
          <w:rFonts w:hint="eastAsia"/>
        </w:rPr>
        <w:t>市域铁路应根据线路沿线的气象条件、地理环境及具体工程情况，合理设置风量及异物侵限监测系统</w:t>
      </w:r>
      <w:r w:rsidR="00737EB2" w:rsidRPr="00765F6E">
        <w:rPr>
          <w:rFonts w:hint="eastAsia"/>
        </w:rPr>
        <w:t>。</w:t>
      </w:r>
      <w:bookmarkEnd w:id="3667"/>
      <w:bookmarkEnd w:id="3668"/>
    </w:p>
    <w:p w14:paraId="43F27361" w14:textId="453B4307" w:rsidR="00737EB2" w:rsidRDefault="0073086C" w:rsidP="009D0776">
      <w:pPr>
        <w:pStyle w:val="22"/>
      </w:pPr>
      <w:bookmarkStart w:id="3669" w:name="_Toc99793077"/>
      <w:bookmarkStart w:id="3670" w:name="_Toc153292520"/>
      <w:r w:rsidRPr="0073086C">
        <w:rPr>
          <w:rFonts w:hint="eastAsia"/>
        </w:rPr>
        <w:t>灾害监测系统设计按TB 10624的有关规定执行</w:t>
      </w:r>
      <w:r w:rsidR="00737EB2" w:rsidRPr="00765F6E">
        <w:rPr>
          <w:rFonts w:hint="eastAsia"/>
        </w:rPr>
        <w:t>。</w:t>
      </w:r>
      <w:bookmarkEnd w:id="3669"/>
      <w:bookmarkEnd w:id="3670"/>
    </w:p>
    <w:p w14:paraId="7A48BD83" w14:textId="40545703" w:rsidR="00DE0C56" w:rsidRPr="00765F6E" w:rsidRDefault="00DE0C56" w:rsidP="00DE0C56">
      <w:pPr>
        <w:pStyle w:val="affe"/>
        <w:spacing w:before="156" w:after="156"/>
      </w:pPr>
      <w:bookmarkStart w:id="3671" w:name="_Toc182476591"/>
      <w:r>
        <w:rPr>
          <w:rFonts w:hint="eastAsia"/>
        </w:rPr>
        <w:t>接口设计</w:t>
      </w:r>
      <w:bookmarkEnd w:id="3671"/>
    </w:p>
    <w:p w14:paraId="5B95EC14" w14:textId="77777777" w:rsidR="00DE0C56" w:rsidRDefault="00DE0C56" w:rsidP="00453DBE">
      <w:pPr>
        <w:pStyle w:val="22"/>
      </w:pPr>
      <w:r>
        <w:rPr>
          <w:rFonts w:hint="eastAsia"/>
        </w:rPr>
        <w:t>异物侵限监测、地震预警监测系统与信号系统之间应采用继电接口方式实现灾害报警时的联动触发功能，并应符合故障导向安全的原则。</w:t>
      </w:r>
    </w:p>
    <w:p w14:paraId="218EA1EB" w14:textId="65C42CFD" w:rsidR="00DE0C56" w:rsidRDefault="00DE0C56" w:rsidP="00453DBE">
      <w:pPr>
        <w:pStyle w:val="22"/>
      </w:pPr>
      <w:r>
        <w:rPr>
          <w:rFonts w:hint="eastAsia"/>
        </w:rPr>
        <w:t>地震预警监测系统与牵引变电系统之间应采用继电接口方式实现灾害报警时的联动触发功能，继电器应采用独立电源回路供电。</w:t>
      </w:r>
    </w:p>
    <w:p w14:paraId="77E6885D" w14:textId="48A24ECA" w:rsidR="00DE0C56" w:rsidRDefault="00DE0C56" w:rsidP="00453DBE">
      <w:pPr>
        <w:pStyle w:val="22"/>
      </w:pPr>
      <w:r>
        <w:rPr>
          <w:rFonts w:hint="eastAsia"/>
        </w:rPr>
        <w:t>中心系统与运营调度管理系统、综合视频监控系统等互联应采用以太网接口、TCP/IP协议，与气象部门、地震部门系统等互联宜采用以太网接口、TCP/IP协议。</w:t>
      </w:r>
    </w:p>
    <w:p w14:paraId="620A4960" w14:textId="7697890C" w:rsidR="00DE0C56" w:rsidRDefault="00DE0C56" w:rsidP="00453DBE">
      <w:pPr>
        <w:pStyle w:val="22"/>
      </w:pPr>
      <w:r>
        <w:rPr>
          <w:rFonts w:hint="eastAsia"/>
        </w:rPr>
        <w:t>灾害监测专业应向桥梁专业提出上跨铁路的道路桥梁预留异物侵限监测装置的安装条件、检修通道及防护要求等。</w:t>
      </w:r>
    </w:p>
    <w:p w14:paraId="3FADCFCD" w14:textId="35BEA1B4" w:rsidR="00DE0C56" w:rsidRDefault="00DE0C56" w:rsidP="00453DBE">
      <w:pPr>
        <w:pStyle w:val="22"/>
      </w:pPr>
      <w:r>
        <w:rPr>
          <w:rFonts w:hint="eastAsia"/>
        </w:rPr>
        <w:t>灾害监测专业应向牵引变电、通信等专业提出场坪范围内的测震井布置要求，向房建专业提出测震井技术要求。</w:t>
      </w:r>
    </w:p>
    <w:p w14:paraId="0A09C2D8" w14:textId="4FDAABE4" w:rsidR="00DE0C56" w:rsidRDefault="00DE0C56" w:rsidP="00453DBE">
      <w:pPr>
        <w:pStyle w:val="22"/>
      </w:pPr>
      <w:r>
        <w:rPr>
          <w:rFonts w:hint="eastAsia"/>
        </w:rPr>
        <w:t>灾害监测专业应向站场、路基、桥梁等专业提出沿线车站、通信基站等处及公跨铁桥等异物侵限现场监测处所预留电缆过轨防护管槽等要求。</w:t>
      </w:r>
    </w:p>
    <w:p w14:paraId="71ED0D26" w14:textId="7D2E1085" w:rsidR="00DE0C56" w:rsidRPr="00DE0C56" w:rsidRDefault="00DE0C56" w:rsidP="00DE0C56">
      <w:pPr>
        <w:pStyle w:val="22"/>
      </w:pPr>
      <w:r>
        <w:rPr>
          <w:rFonts w:hint="eastAsia"/>
        </w:rPr>
        <w:t>通信设计应提供灾害监测系统专用数据传输链路。</w:t>
      </w:r>
    </w:p>
    <w:p w14:paraId="47411D90" w14:textId="77777777" w:rsidR="00737EB2" w:rsidRPr="00765F6E" w:rsidRDefault="00737EB2" w:rsidP="00737EB2">
      <w:pPr>
        <w:pStyle w:val="affd"/>
        <w:spacing w:before="312" w:after="312"/>
      </w:pPr>
      <w:bookmarkStart w:id="3672" w:name="_Toc153211021"/>
      <w:bookmarkStart w:id="3673" w:name="_Toc99793078"/>
      <w:bookmarkStart w:id="3674" w:name="_Toc153292521"/>
      <w:bookmarkStart w:id="3675" w:name="_Toc167895919"/>
      <w:bookmarkStart w:id="3676" w:name="_Toc174538833"/>
      <w:bookmarkStart w:id="3677" w:name="_Toc182476592"/>
      <w:r w:rsidRPr="00765F6E">
        <w:rPr>
          <w:rFonts w:hint="eastAsia"/>
        </w:rPr>
        <w:t>环境保护</w:t>
      </w:r>
      <w:bookmarkEnd w:id="3672"/>
      <w:bookmarkEnd w:id="3673"/>
      <w:bookmarkEnd w:id="3674"/>
      <w:bookmarkEnd w:id="3675"/>
      <w:bookmarkEnd w:id="3676"/>
      <w:bookmarkEnd w:id="3677"/>
    </w:p>
    <w:p w14:paraId="28180889" w14:textId="77777777" w:rsidR="00737EB2" w:rsidRPr="00765F6E" w:rsidRDefault="00737EB2" w:rsidP="00737EB2">
      <w:pPr>
        <w:pStyle w:val="affe"/>
        <w:spacing w:before="156" w:after="156"/>
      </w:pPr>
      <w:bookmarkStart w:id="3678" w:name="_Toc99793079"/>
      <w:bookmarkStart w:id="3679" w:name="_Toc153292522"/>
      <w:bookmarkStart w:id="3680" w:name="_Toc153211022"/>
      <w:bookmarkStart w:id="3681" w:name="_Toc167895920"/>
      <w:bookmarkStart w:id="3682" w:name="_Toc174538834"/>
      <w:bookmarkStart w:id="3683" w:name="_Toc182476593"/>
      <w:r w:rsidRPr="00765F6E">
        <w:rPr>
          <w:rFonts w:hint="eastAsia"/>
        </w:rPr>
        <w:t>一般规定</w:t>
      </w:r>
      <w:bookmarkEnd w:id="3678"/>
      <w:bookmarkEnd w:id="3679"/>
      <w:bookmarkEnd w:id="3680"/>
      <w:bookmarkEnd w:id="3681"/>
      <w:bookmarkEnd w:id="3682"/>
      <w:bookmarkEnd w:id="3683"/>
    </w:p>
    <w:p w14:paraId="3D0C46D6" w14:textId="77777777" w:rsidR="00737EB2" w:rsidRPr="00765F6E" w:rsidRDefault="00737EB2" w:rsidP="009D0776">
      <w:pPr>
        <w:pStyle w:val="22"/>
      </w:pPr>
      <w:bookmarkStart w:id="3684" w:name="_Toc99793080"/>
      <w:bookmarkStart w:id="3685" w:name="_Toc153292523"/>
      <w:r w:rsidRPr="00765F6E">
        <w:rPr>
          <w:rFonts w:hint="eastAsia"/>
        </w:rPr>
        <w:lastRenderedPageBreak/>
        <w:t>市域铁路设计应重视生态保护和水土保持，节约用地，并重视主体工程与自然景观、人文景观相协调。</w:t>
      </w:r>
      <w:bookmarkEnd w:id="3684"/>
      <w:bookmarkEnd w:id="3685"/>
      <w:r w:rsidRPr="00765F6E">
        <w:rPr>
          <w:rFonts w:hint="eastAsia"/>
        </w:rPr>
        <w:t xml:space="preserve"> </w:t>
      </w:r>
    </w:p>
    <w:p w14:paraId="1B065C22" w14:textId="77777777" w:rsidR="00737EB2" w:rsidRPr="00765F6E" w:rsidRDefault="00737EB2" w:rsidP="009D0776">
      <w:pPr>
        <w:pStyle w:val="22"/>
      </w:pPr>
      <w:bookmarkStart w:id="3686" w:name="_Toc153292524"/>
      <w:bookmarkStart w:id="3687" w:name="_Toc99793081"/>
      <w:r w:rsidRPr="00765F6E">
        <w:rPr>
          <w:rFonts w:hint="eastAsia"/>
        </w:rPr>
        <w:t>环境保护应根据环境影响评价文件及批复意见提出的保护原则开展设计。</w:t>
      </w:r>
      <w:bookmarkEnd w:id="3686"/>
      <w:bookmarkEnd w:id="3687"/>
      <w:r w:rsidRPr="00765F6E">
        <w:rPr>
          <w:rFonts w:hint="eastAsia"/>
        </w:rPr>
        <w:t xml:space="preserve"> </w:t>
      </w:r>
    </w:p>
    <w:p w14:paraId="5E093667" w14:textId="77777777" w:rsidR="00737EB2" w:rsidRPr="00765F6E" w:rsidRDefault="00737EB2" w:rsidP="009D0776">
      <w:pPr>
        <w:pStyle w:val="22"/>
      </w:pPr>
      <w:bookmarkStart w:id="3688" w:name="_Toc153292525"/>
      <w:bookmarkStart w:id="3689" w:name="_Toc99793082"/>
      <w:r w:rsidRPr="00765F6E">
        <w:rPr>
          <w:rFonts w:hint="eastAsia"/>
        </w:rPr>
        <w:t>市域铁路沿线绿色通道应结合植物防护措施和景观要求设计。</w:t>
      </w:r>
      <w:bookmarkEnd w:id="3688"/>
      <w:bookmarkEnd w:id="3689"/>
      <w:r w:rsidRPr="00765F6E">
        <w:rPr>
          <w:rFonts w:hint="eastAsia"/>
        </w:rPr>
        <w:t xml:space="preserve"> </w:t>
      </w:r>
    </w:p>
    <w:p w14:paraId="2278F426" w14:textId="77777777" w:rsidR="00737EB2" w:rsidRPr="00765F6E" w:rsidRDefault="00737EB2" w:rsidP="009D0776">
      <w:pPr>
        <w:pStyle w:val="22"/>
      </w:pPr>
      <w:bookmarkStart w:id="3690" w:name="_Toc153292526"/>
      <w:bookmarkStart w:id="3691" w:name="_Toc99793083"/>
      <w:r w:rsidRPr="00765F6E">
        <w:rPr>
          <w:rFonts w:hint="eastAsia"/>
        </w:rPr>
        <w:t>污染治理及生态保护工程设计应符合国家和行业有关标准的规定。</w:t>
      </w:r>
      <w:bookmarkEnd w:id="3690"/>
      <w:bookmarkEnd w:id="3691"/>
      <w:r w:rsidRPr="00765F6E">
        <w:rPr>
          <w:rFonts w:hint="eastAsia"/>
        </w:rPr>
        <w:t xml:space="preserve"> </w:t>
      </w:r>
    </w:p>
    <w:p w14:paraId="153B0A68" w14:textId="77777777" w:rsidR="00737EB2" w:rsidRPr="00765F6E" w:rsidRDefault="00737EB2" w:rsidP="009D0776">
      <w:pPr>
        <w:pStyle w:val="22"/>
      </w:pPr>
      <w:bookmarkStart w:id="3692" w:name="_Toc99793084"/>
      <w:bookmarkStart w:id="3693" w:name="_Toc153292527"/>
      <w:r w:rsidRPr="00765F6E">
        <w:rPr>
          <w:rFonts w:hint="eastAsia"/>
        </w:rPr>
        <w:t>污染物排放应符合国家和地方现行的排放标准要求。在实行污染物总量控制地区，污染物排放尚应符合总量控制指标的要求。</w:t>
      </w:r>
      <w:bookmarkEnd w:id="3692"/>
      <w:bookmarkEnd w:id="3693"/>
      <w:r w:rsidRPr="00765F6E">
        <w:rPr>
          <w:rFonts w:hint="eastAsia"/>
        </w:rPr>
        <w:t xml:space="preserve"> </w:t>
      </w:r>
    </w:p>
    <w:p w14:paraId="150AFEE4" w14:textId="77777777" w:rsidR="00737EB2" w:rsidRPr="00765F6E" w:rsidRDefault="00737EB2" w:rsidP="009D0776">
      <w:pPr>
        <w:pStyle w:val="22"/>
      </w:pPr>
      <w:bookmarkStart w:id="3694" w:name="_Toc99793085"/>
      <w:bookmarkStart w:id="3695" w:name="_Toc153292528"/>
      <w:r w:rsidRPr="00765F6E">
        <w:rPr>
          <w:rFonts w:hint="eastAsia"/>
        </w:rPr>
        <w:t>环境保护措施应与主体工程同时设计、同时施工，同时投入使用，并应符合环境保护设施竣工验收的要求。</w:t>
      </w:r>
      <w:bookmarkEnd w:id="3694"/>
      <w:bookmarkEnd w:id="3695"/>
    </w:p>
    <w:p w14:paraId="61E132C3" w14:textId="77777777" w:rsidR="00737EB2" w:rsidRPr="00765F6E" w:rsidRDefault="00737EB2" w:rsidP="00737EB2">
      <w:pPr>
        <w:pStyle w:val="affe"/>
        <w:spacing w:before="156" w:after="156"/>
      </w:pPr>
      <w:bookmarkStart w:id="3696" w:name="_Toc153292529"/>
      <w:bookmarkStart w:id="3697" w:name="_Toc153211023"/>
      <w:bookmarkStart w:id="3698" w:name="_Toc99793086"/>
      <w:bookmarkStart w:id="3699" w:name="_Toc167895921"/>
      <w:bookmarkStart w:id="3700" w:name="_Toc174538835"/>
      <w:bookmarkStart w:id="3701" w:name="_Toc182476594"/>
      <w:r w:rsidRPr="00765F6E">
        <w:rPr>
          <w:rFonts w:hint="eastAsia"/>
        </w:rPr>
        <w:t>环保选线、选址</w:t>
      </w:r>
      <w:bookmarkEnd w:id="3696"/>
      <w:bookmarkEnd w:id="3697"/>
      <w:bookmarkEnd w:id="3698"/>
      <w:bookmarkEnd w:id="3699"/>
      <w:bookmarkEnd w:id="3700"/>
      <w:bookmarkEnd w:id="3701"/>
    </w:p>
    <w:p w14:paraId="17655D0D" w14:textId="77777777" w:rsidR="00737EB2" w:rsidRPr="00765F6E" w:rsidRDefault="00737EB2" w:rsidP="009D0776">
      <w:pPr>
        <w:pStyle w:val="22"/>
      </w:pPr>
      <w:bookmarkStart w:id="3702" w:name="_Toc153292530"/>
      <w:bookmarkStart w:id="3703" w:name="_Toc99793087"/>
      <w:r w:rsidRPr="00765F6E">
        <w:rPr>
          <w:rFonts w:hint="eastAsia"/>
        </w:rPr>
        <w:t>工程选线选址应绕避自然保护区的核心区和缓冲区、世界文化和自然遗产地、风景名胜区的核心景区、饮用水水源一级保护区以及生态保护红线等法定环境敏感区。经过其他环境敏感区时应采用影响最小施工方案、生态功能可恢复及保护目标无明显损害等无害化穿（跨）越保护措施。</w:t>
      </w:r>
      <w:bookmarkEnd w:id="3702"/>
      <w:bookmarkEnd w:id="3703"/>
    </w:p>
    <w:p w14:paraId="26AF7904" w14:textId="77777777" w:rsidR="00737EB2" w:rsidRPr="00765F6E" w:rsidRDefault="00737EB2" w:rsidP="009D0776">
      <w:pPr>
        <w:pStyle w:val="22"/>
      </w:pPr>
      <w:bookmarkStart w:id="3704" w:name="_Toc153292531"/>
      <w:bookmarkStart w:id="3705" w:name="_Toc99793088"/>
      <w:r w:rsidRPr="00765F6E">
        <w:rPr>
          <w:rFonts w:hint="eastAsia"/>
        </w:rPr>
        <w:t>市域铁路应符合城市与区域环境保护等相关规划，并应按环境保护要求，合理规划线路走向和线位布局，综合比选敷设方式及线路埋深。</w:t>
      </w:r>
      <w:bookmarkEnd w:id="3704"/>
      <w:bookmarkEnd w:id="3705"/>
    </w:p>
    <w:p w14:paraId="34C25842" w14:textId="77777777" w:rsidR="00737EB2" w:rsidRPr="00765F6E" w:rsidRDefault="00737EB2" w:rsidP="009D0776">
      <w:pPr>
        <w:pStyle w:val="22"/>
      </w:pPr>
      <w:bookmarkStart w:id="3706" w:name="_Toc99793089"/>
      <w:bookmarkStart w:id="3707" w:name="_Toc153292532"/>
      <w:r w:rsidRPr="00765F6E">
        <w:rPr>
          <w:rFonts w:hint="eastAsia"/>
        </w:rPr>
        <w:t>市域铁路线路穿越中心城区、外围组团中心区或已建、拟建居住、医疗、文教区时，宜采用地下敷设方式。中心城区以外在沿线环境条件允许的地段宜采用高架或地面敷设的方式，且线路宜沿城市既有道路或规划道路布置。</w:t>
      </w:r>
      <w:bookmarkEnd w:id="3706"/>
      <w:bookmarkEnd w:id="3707"/>
    </w:p>
    <w:p w14:paraId="1EC0B299" w14:textId="77777777" w:rsidR="00737EB2" w:rsidRPr="00765F6E" w:rsidRDefault="00737EB2" w:rsidP="009D0776">
      <w:pPr>
        <w:pStyle w:val="22"/>
      </w:pPr>
      <w:bookmarkStart w:id="3708" w:name="_Toc99793090"/>
      <w:bookmarkStart w:id="3709" w:name="_Toc153292533"/>
      <w:r w:rsidRPr="00765F6E">
        <w:rPr>
          <w:rFonts w:hint="eastAsia"/>
        </w:rPr>
        <w:t>市域铁路设计应按沿线土地利用规划，并应根据工程环境影响报告书确认的环境噪声、振动等标准的规定，其线位、站位和110kV及以上电压等级的地面变电所与环境敏感建筑之间的距离，应满足噪声、振动、电磁防护的要求。</w:t>
      </w:r>
      <w:bookmarkEnd w:id="3708"/>
      <w:bookmarkEnd w:id="3709"/>
    </w:p>
    <w:p w14:paraId="61904A28" w14:textId="77777777" w:rsidR="00737EB2" w:rsidRPr="00765F6E" w:rsidRDefault="00737EB2" w:rsidP="00737EB2">
      <w:pPr>
        <w:pStyle w:val="affe"/>
        <w:spacing w:before="156" w:after="156"/>
      </w:pPr>
      <w:bookmarkStart w:id="3710" w:name="_Toc99793091"/>
      <w:bookmarkStart w:id="3711" w:name="_Toc153211024"/>
      <w:bookmarkStart w:id="3712" w:name="_Toc153292534"/>
      <w:bookmarkStart w:id="3713" w:name="_Toc167895922"/>
      <w:bookmarkStart w:id="3714" w:name="_Toc174538836"/>
      <w:bookmarkStart w:id="3715" w:name="_Toc182476595"/>
      <w:r w:rsidRPr="00765F6E">
        <w:rPr>
          <w:rFonts w:hint="eastAsia"/>
        </w:rPr>
        <w:t>声环境保护</w:t>
      </w:r>
      <w:bookmarkEnd w:id="3710"/>
      <w:bookmarkEnd w:id="3711"/>
      <w:bookmarkEnd w:id="3712"/>
      <w:bookmarkEnd w:id="3713"/>
      <w:bookmarkEnd w:id="3714"/>
      <w:bookmarkEnd w:id="3715"/>
    </w:p>
    <w:p w14:paraId="7779D1AB" w14:textId="77777777" w:rsidR="00737EB2" w:rsidRPr="00765F6E" w:rsidRDefault="00737EB2" w:rsidP="009D0776">
      <w:pPr>
        <w:pStyle w:val="22"/>
      </w:pPr>
      <w:bookmarkStart w:id="3716" w:name="_Toc99793092"/>
      <w:bookmarkStart w:id="3717" w:name="_Toc153292535"/>
      <w:r w:rsidRPr="00765F6E">
        <w:rPr>
          <w:rFonts w:hint="eastAsia"/>
        </w:rPr>
        <w:t>噪声治理措施设计符合下列规定：</w:t>
      </w:r>
      <w:bookmarkEnd w:id="3716"/>
      <w:bookmarkEnd w:id="3717"/>
    </w:p>
    <w:p w14:paraId="176D97F7" w14:textId="77777777" w:rsidR="00737EB2" w:rsidRPr="00765F6E" w:rsidRDefault="00737EB2" w:rsidP="003334F3">
      <w:pPr>
        <w:pStyle w:val="af6"/>
        <w:numPr>
          <w:ilvl w:val="0"/>
          <w:numId w:val="289"/>
        </w:numPr>
        <w:tabs>
          <w:tab w:val="left" w:pos="851"/>
        </w:tabs>
        <w:snapToGrid w:val="0"/>
        <w:contextualSpacing/>
      </w:pPr>
      <w:r w:rsidRPr="00765F6E">
        <w:rPr>
          <w:rFonts w:hint="eastAsia"/>
        </w:rPr>
        <w:t>声环境敏感目标应包括噪声敏感建筑物和噪声敏感建筑物集中区域；</w:t>
      </w:r>
    </w:p>
    <w:p w14:paraId="626BA888" w14:textId="77777777" w:rsidR="00737EB2" w:rsidRPr="00765F6E" w:rsidRDefault="00737EB2" w:rsidP="003334F3">
      <w:pPr>
        <w:pStyle w:val="af6"/>
        <w:numPr>
          <w:ilvl w:val="0"/>
          <w:numId w:val="289"/>
        </w:numPr>
        <w:tabs>
          <w:tab w:val="left" w:pos="851"/>
        </w:tabs>
        <w:snapToGrid w:val="0"/>
        <w:contextualSpacing/>
      </w:pPr>
      <w:r w:rsidRPr="00765F6E">
        <w:rPr>
          <w:rFonts w:hint="eastAsia"/>
        </w:rPr>
        <w:t>噪声治理工程设计宜按近期规模确定，预留远期治理技术条件。</w:t>
      </w:r>
    </w:p>
    <w:p w14:paraId="572D6663" w14:textId="1767947E" w:rsidR="00737EB2" w:rsidRPr="00765F6E" w:rsidRDefault="00737EB2" w:rsidP="009D0776">
      <w:pPr>
        <w:pStyle w:val="22"/>
      </w:pPr>
      <w:bookmarkStart w:id="3718" w:name="_Toc99793093"/>
      <w:bookmarkStart w:id="3719" w:name="_Toc153292536"/>
      <w:r w:rsidRPr="00765F6E">
        <w:rPr>
          <w:rFonts w:hint="eastAsia"/>
        </w:rPr>
        <w:t>施工场界噪声应执行</w:t>
      </w:r>
      <w:r w:rsidRPr="00765F6E">
        <w:t xml:space="preserve">GB </w:t>
      </w:r>
      <w:r w:rsidR="00470428">
        <w:t>12523</w:t>
      </w:r>
      <w:r w:rsidRPr="00765F6E">
        <w:rPr>
          <w:rFonts w:hint="eastAsia"/>
        </w:rPr>
        <w:t>。</w:t>
      </w:r>
      <w:bookmarkEnd w:id="3718"/>
      <w:bookmarkEnd w:id="3719"/>
      <w:r w:rsidRPr="00765F6E">
        <w:rPr>
          <w:rFonts w:hint="eastAsia"/>
        </w:rPr>
        <w:t xml:space="preserve"> </w:t>
      </w:r>
    </w:p>
    <w:p w14:paraId="03BDBCE9" w14:textId="77777777" w:rsidR="00737EB2" w:rsidRPr="00765F6E" w:rsidRDefault="00737EB2" w:rsidP="009D0776">
      <w:pPr>
        <w:pStyle w:val="22"/>
      </w:pPr>
      <w:bookmarkStart w:id="3720" w:name="_Toc99793094"/>
      <w:bookmarkStart w:id="3721" w:name="_Toc153292537"/>
      <w:r w:rsidRPr="00765F6E">
        <w:rPr>
          <w:rFonts w:hint="eastAsia"/>
        </w:rPr>
        <w:t>声屏障设置应符合铁路建筑限界的规定，并满足铁路设施检修和维护的要求。</w:t>
      </w:r>
      <w:bookmarkEnd w:id="3720"/>
      <w:bookmarkEnd w:id="3721"/>
    </w:p>
    <w:p w14:paraId="2104DB10" w14:textId="77777777" w:rsidR="00737EB2" w:rsidRPr="00765F6E" w:rsidRDefault="00737EB2" w:rsidP="009D0776">
      <w:pPr>
        <w:pStyle w:val="22"/>
      </w:pPr>
      <w:bookmarkStart w:id="3722" w:name="_Toc153292538"/>
      <w:bookmarkStart w:id="3723" w:name="_Toc99793095"/>
      <w:r w:rsidRPr="00765F6E">
        <w:rPr>
          <w:rFonts w:hint="eastAsia"/>
        </w:rPr>
        <w:t>声屏障应根据噪声源强和保护目标的噪声限值进行声学设计，并符合下列规定：</w:t>
      </w:r>
      <w:bookmarkEnd w:id="3722"/>
      <w:bookmarkEnd w:id="3723"/>
    </w:p>
    <w:p w14:paraId="5254B2ED" w14:textId="77777777" w:rsidR="00737EB2" w:rsidRPr="00765F6E" w:rsidRDefault="00737EB2" w:rsidP="003334F3">
      <w:pPr>
        <w:pStyle w:val="af6"/>
        <w:numPr>
          <w:ilvl w:val="0"/>
          <w:numId w:val="290"/>
        </w:numPr>
        <w:tabs>
          <w:tab w:val="left" w:pos="851"/>
        </w:tabs>
        <w:snapToGrid w:val="0"/>
        <w:contextualSpacing/>
      </w:pPr>
      <w:r w:rsidRPr="00765F6E">
        <w:rPr>
          <w:rFonts w:hint="eastAsia"/>
        </w:rPr>
        <w:t>声屏障插入损失设计目标值应根据噪声源影响和保护目标的噪声限值要求确定。当设计目标值大于10dB（A）时，应与其他降噪措施相结合；</w:t>
      </w:r>
    </w:p>
    <w:p w14:paraId="16611E31" w14:textId="77777777" w:rsidR="00737EB2" w:rsidRPr="00765F6E" w:rsidRDefault="00737EB2" w:rsidP="003334F3">
      <w:pPr>
        <w:pStyle w:val="af6"/>
        <w:numPr>
          <w:ilvl w:val="0"/>
          <w:numId w:val="290"/>
        </w:numPr>
        <w:tabs>
          <w:tab w:val="left" w:pos="851"/>
        </w:tabs>
        <w:snapToGrid w:val="0"/>
        <w:contextualSpacing/>
      </w:pPr>
      <w:r w:rsidRPr="00765F6E">
        <w:rPr>
          <w:rFonts w:hint="eastAsia"/>
        </w:rPr>
        <w:t>声屏障插入损失宜按1/3倍频带中心频率63～4000Hz进行分频计算；</w:t>
      </w:r>
    </w:p>
    <w:p w14:paraId="26D00D74" w14:textId="77777777" w:rsidR="00737EB2" w:rsidRPr="00765F6E" w:rsidRDefault="00737EB2" w:rsidP="003334F3">
      <w:pPr>
        <w:pStyle w:val="af6"/>
        <w:numPr>
          <w:ilvl w:val="0"/>
          <w:numId w:val="290"/>
        </w:numPr>
        <w:tabs>
          <w:tab w:val="left" w:pos="851"/>
        </w:tabs>
        <w:snapToGrid w:val="0"/>
        <w:contextualSpacing/>
      </w:pPr>
      <w:r w:rsidRPr="00765F6E">
        <w:rPr>
          <w:rFonts w:hint="eastAsia"/>
        </w:rPr>
        <w:t>声屏障长度为敏感点长度加两端附加长度，附加长度一般不宜小于50m，特殊情况应通过声学计算确定。</w:t>
      </w:r>
    </w:p>
    <w:p w14:paraId="16A0D1D7" w14:textId="77777777" w:rsidR="00737EB2" w:rsidRPr="00765F6E" w:rsidRDefault="00737EB2" w:rsidP="009D0776">
      <w:pPr>
        <w:pStyle w:val="22"/>
      </w:pPr>
      <w:bookmarkStart w:id="3724" w:name="_Toc99793096"/>
      <w:bookmarkStart w:id="3725" w:name="_Toc153292539"/>
      <w:r w:rsidRPr="00765F6E">
        <w:rPr>
          <w:rFonts w:hint="eastAsia"/>
        </w:rPr>
        <w:t>声屏障应采用少维护、免维护结构，并符合下列规定：</w:t>
      </w:r>
      <w:bookmarkEnd w:id="3724"/>
      <w:bookmarkEnd w:id="3725"/>
    </w:p>
    <w:p w14:paraId="329EEF83" w14:textId="77777777" w:rsidR="00737EB2" w:rsidRPr="00765F6E" w:rsidRDefault="00737EB2" w:rsidP="003334F3">
      <w:pPr>
        <w:pStyle w:val="af6"/>
        <w:numPr>
          <w:ilvl w:val="0"/>
          <w:numId w:val="291"/>
        </w:numPr>
        <w:tabs>
          <w:tab w:val="left" w:pos="851"/>
        </w:tabs>
        <w:snapToGrid w:val="0"/>
        <w:contextualSpacing/>
      </w:pPr>
      <w:r w:rsidRPr="00765F6E">
        <w:rPr>
          <w:rFonts w:hint="eastAsia"/>
        </w:rPr>
        <w:t>路堑区段宜优先考虑生态土堤降噪形式，必要时在堑顶增设生态隔声墙；</w:t>
      </w:r>
    </w:p>
    <w:p w14:paraId="1657363B" w14:textId="77777777" w:rsidR="00737EB2" w:rsidRPr="00765F6E" w:rsidRDefault="00737EB2" w:rsidP="003334F3">
      <w:pPr>
        <w:pStyle w:val="af6"/>
        <w:numPr>
          <w:ilvl w:val="0"/>
          <w:numId w:val="291"/>
        </w:numPr>
        <w:tabs>
          <w:tab w:val="left" w:pos="851"/>
        </w:tabs>
        <w:snapToGrid w:val="0"/>
        <w:contextualSpacing/>
      </w:pPr>
      <w:r w:rsidRPr="00765F6E">
        <w:rPr>
          <w:rFonts w:hint="eastAsia"/>
        </w:rPr>
        <w:t>路堤区段可按现场情况采用生态墙、柱板式声屏障；</w:t>
      </w:r>
    </w:p>
    <w:p w14:paraId="2AC82D68" w14:textId="77777777" w:rsidR="00737EB2" w:rsidRPr="00765F6E" w:rsidRDefault="00737EB2" w:rsidP="003334F3">
      <w:pPr>
        <w:pStyle w:val="af6"/>
        <w:numPr>
          <w:ilvl w:val="0"/>
          <w:numId w:val="291"/>
        </w:numPr>
        <w:tabs>
          <w:tab w:val="left" w:pos="851"/>
        </w:tabs>
        <w:snapToGrid w:val="0"/>
        <w:contextualSpacing/>
      </w:pPr>
      <w:r w:rsidRPr="00765F6E">
        <w:rPr>
          <w:rFonts w:hint="eastAsia"/>
        </w:rPr>
        <w:t>城市高层建筑分布路段，可采用生态明洞、半封闭或全封闭声屏障；</w:t>
      </w:r>
    </w:p>
    <w:p w14:paraId="5C82BC8E" w14:textId="77777777" w:rsidR="00737EB2" w:rsidRPr="00765F6E" w:rsidRDefault="00737EB2" w:rsidP="003334F3">
      <w:pPr>
        <w:pStyle w:val="af6"/>
        <w:numPr>
          <w:ilvl w:val="0"/>
          <w:numId w:val="291"/>
        </w:numPr>
        <w:tabs>
          <w:tab w:val="left" w:pos="851"/>
        </w:tabs>
        <w:snapToGrid w:val="0"/>
        <w:contextualSpacing/>
      </w:pPr>
      <w:r w:rsidRPr="00765F6E">
        <w:rPr>
          <w:rFonts w:hint="eastAsia"/>
        </w:rPr>
        <w:t>桥梁路段可采用整体式、柱板式或其他结构形式的声屏障；外形尺寸、结构设计应与桥梁统一设计，并考虑与景观的协调；</w:t>
      </w:r>
    </w:p>
    <w:p w14:paraId="1E888242" w14:textId="77777777" w:rsidR="00737EB2" w:rsidRPr="00765F6E" w:rsidRDefault="00737EB2" w:rsidP="003334F3">
      <w:pPr>
        <w:pStyle w:val="af6"/>
        <w:numPr>
          <w:ilvl w:val="0"/>
          <w:numId w:val="291"/>
        </w:numPr>
        <w:tabs>
          <w:tab w:val="left" w:pos="851"/>
        </w:tabs>
        <w:snapToGrid w:val="0"/>
        <w:contextualSpacing/>
      </w:pPr>
      <w:r w:rsidRPr="00765F6E">
        <w:rPr>
          <w:rFonts w:hint="eastAsia"/>
        </w:rPr>
        <w:t>桥梁路段需远期预留安装声屏障的区段，可按柱板式结构设计并预留声屏障基础。</w:t>
      </w:r>
    </w:p>
    <w:p w14:paraId="75F9DC50" w14:textId="77777777" w:rsidR="00737EB2" w:rsidRPr="00765F6E" w:rsidRDefault="00737EB2" w:rsidP="009D0776">
      <w:pPr>
        <w:pStyle w:val="22"/>
      </w:pPr>
      <w:bookmarkStart w:id="3726" w:name="_Toc99793097"/>
      <w:bookmarkStart w:id="3727" w:name="_Toc153292540"/>
      <w:r w:rsidRPr="00765F6E">
        <w:rPr>
          <w:rFonts w:hint="eastAsia"/>
        </w:rPr>
        <w:t>声屏障吸、隔声材料性能应满足</w:t>
      </w:r>
      <w:r w:rsidRPr="00765F6E">
        <w:t>TB/T 3122</w:t>
      </w:r>
      <w:r w:rsidRPr="00765F6E">
        <w:rPr>
          <w:rFonts w:hint="eastAsia"/>
        </w:rPr>
        <w:t>的有关规定。</w:t>
      </w:r>
      <w:bookmarkEnd w:id="3726"/>
      <w:bookmarkEnd w:id="3727"/>
    </w:p>
    <w:p w14:paraId="0D85EE10" w14:textId="5CB5D19D" w:rsidR="00737EB2" w:rsidRPr="00765F6E" w:rsidRDefault="00432108" w:rsidP="009D0776">
      <w:pPr>
        <w:pStyle w:val="22"/>
      </w:pPr>
      <w:bookmarkStart w:id="3728" w:name="_Toc99793098"/>
      <w:bookmarkStart w:id="3729" w:name="_Toc153292541"/>
      <w:r w:rsidRPr="00453DBE">
        <w:rPr>
          <w:rFonts w:hint="eastAsia"/>
        </w:rPr>
        <w:t>路桥</w:t>
      </w:r>
      <w:r w:rsidR="00321DD6">
        <w:rPr>
          <w:rFonts w:hint="eastAsia"/>
        </w:rPr>
        <w:t>过渡</w:t>
      </w:r>
      <w:r w:rsidRPr="00453DBE">
        <w:rPr>
          <w:rFonts w:hint="eastAsia"/>
        </w:rPr>
        <w:t>段或路基声屏障连续长度大于</w:t>
      </w:r>
      <w:r w:rsidRPr="00453DBE">
        <w:t>500m时，声屏障应根据疏散和检修要求统一设置安全门或抢修门，门净宽度不应小于1.0m。桥梁声屏障安全门的设置位置应与救援疏散通道相结合</w:t>
      </w:r>
      <w:r w:rsidR="00737EB2" w:rsidRPr="00765F6E">
        <w:rPr>
          <w:rFonts w:hint="eastAsia"/>
        </w:rPr>
        <w:t>。</w:t>
      </w:r>
      <w:bookmarkEnd w:id="3728"/>
      <w:bookmarkEnd w:id="3729"/>
    </w:p>
    <w:p w14:paraId="660A9F2C" w14:textId="77777777" w:rsidR="00737EB2" w:rsidRPr="00765F6E" w:rsidRDefault="00737EB2" w:rsidP="00737EB2">
      <w:pPr>
        <w:pStyle w:val="affe"/>
        <w:spacing w:before="156" w:after="156"/>
      </w:pPr>
      <w:bookmarkStart w:id="3730" w:name="_Toc153211025"/>
      <w:bookmarkStart w:id="3731" w:name="_Toc153292542"/>
      <w:bookmarkStart w:id="3732" w:name="_Toc99793099"/>
      <w:bookmarkStart w:id="3733" w:name="_Toc167895923"/>
      <w:bookmarkStart w:id="3734" w:name="_Toc174538837"/>
      <w:bookmarkStart w:id="3735" w:name="_Toc182476596"/>
      <w:r w:rsidRPr="00765F6E">
        <w:rPr>
          <w:rFonts w:hint="eastAsia"/>
        </w:rPr>
        <w:t>振动环境保护</w:t>
      </w:r>
      <w:bookmarkEnd w:id="3730"/>
      <w:bookmarkEnd w:id="3731"/>
      <w:bookmarkEnd w:id="3732"/>
      <w:bookmarkEnd w:id="3733"/>
      <w:bookmarkEnd w:id="3734"/>
      <w:bookmarkEnd w:id="3735"/>
    </w:p>
    <w:p w14:paraId="40894023" w14:textId="52827E3F" w:rsidR="00737EB2" w:rsidRPr="00765F6E" w:rsidRDefault="00737EB2" w:rsidP="009D0776">
      <w:pPr>
        <w:pStyle w:val="22"/>
      </w:pPr>
      <w:bookmarkStart w:id="3736" w:name="_Toc153292543"/>
      <w:bookmarkStart w:id="3737" w:name="_Toc99793100"/>
      <w:r w:rsidRPr="00765F6E">
        <w:rPr>
          <w:rFonts w:hint="eastAsia"/>
        </w:rPr>
        <w:t>线路两侧及地下线路上方振动敏感建筑物因铁路振动源影响超过GB</w:t>
      </w:r>
      <w:r w:rsidRPr="00765F6E">
        <w:t xml:space="preserve"> </w:t>
      </w:r>
      <w:r w:rsidRPr="00765F6E">
        <w:rPr>
          <w:rFonts w:hint="eastAsia"/>
        </w:rPr>
        <w:t>10070规定时，应从源头、</w:t>
      </w:r>
      <w:r w:rsidRPr="00765F6E">
        <w:rPr>
          <w:rFonts w:hint="eastAsia"/>
        </w:rPr>
        <w:lastRenderedPageBreak/>
        <w:t>传播途径、敏感目标等方面采取振动控制措施</w:t>
      </w:r>
      <w:bookmarkEnd w:id="3736"/>
      <w:bookmarkEnd w:id="3737"/>
      <w:r w:rsidR="0054051D">
        <w:rPr>
          <w:rFonts w:hint="eastAsia"/>
        </w:rPr>
        <w:t>：</w:t>
      </w:r>
      <w:r w:rsidRPr="00765F6E">
        <w:rPr>
          <w:rFonts w:hint="eastAsia"/>
        </w:rPr>
        <w:t xml:space="preserve"> </w:t>
      </w:r>
    </w:p>
    <w:p w14:paraId="6C6E60CB" w14:textId="7332099B" w:rsidR="00737EB2" w:rsidRPr="00765F6E" w:rsidRDefault="00737EB2" w:rsidP="003334F3">
      <w:pPr>
        <w:pStyle w:val="af6"/>
        <w:numPr>
          <w:ilvl w:val="0"/>
          <w:numId w:val="292"/>
        </w:numPr>
        <w:tabs>
          <w:tab w:val="left" w:pos="851"/>
        </w:tabs>
        <w:snapToGrid w:val="0"/>
        <w:contextualSpacing/>
      </w:pPr>
      <w:r w:rsidRPr="00765F6E">
        <w:rPr>
          <w:rFonts w:hint="eastAsia"/>
        </w:rPr>
        <w:t>源头减振可采用轨道减振扣件、轨道减振垫板、浮置板道床等措施</w:t>
      </w:r>
      <w:r w:rsidR="0054051D">
        <w:rPr>
          <w:rFonts w:hint="eastAsia"/>
        </w:rPr>
        <w:t>；</w:t>
      </w:r>
    </w:p>
    <w:p w14:paraId="61844308" w14:textId="61A76D87" w:rsidR="00737EB2" w:rsidRPr="00765F6E" w:rsidRDefault="00737EB2" w:rsidP="003334F3">
      <w:pPr>
        <w:pStyle w:val="af6"/>
        <w:numPr>
          <w:ilvl w:val="0"/>
          <w:numId w:val="292"/>
        </w:numPr>
        <w:tabs>
          <w:tab w:val="left" w:pos="851"/>
        </w:tabs>
        <w:snapToGrid w:val="0"/>
        <w:contextualSpacing/>
      </w:pPr>
      <w:r w:rsidRPr="00765F6E">
        <w:rPr>
          <w:rFonts w:hint="eastAsia"/>
        </w:rPr>
        <w:t>传播途径隔振可采用地下隔振沟、隔振墙、隔振桩管等措施</w:t>
      </w:r>
      <w:r w:rsidR="0054051D">
        <w:rPr>
          <w:rFonts w:hint="eastAsia"/>
        </w:rPr>
        <w:t>；</w:t>
      </w:r>
    </w:p>
    <w:p w14:paraId="2A0C6A57" w14:textId="6F21B55F" w:rsidR="00737EB2" w:rsidRPr="00765F6E" w:rsidRDefault="00737EB2" w:rsidP="003334F3">
      <w:pPr>
        <w:pStyle w:val="af6"/>
        <w:numPr>
          <w:ilvl w:val="0"/>
          <w:numId w:val="292"/>
        </w:numPr>
        <w:tabs>
          <w:tab w:val="left" w:pos="851"/>
        </w:tabs>
        <w:snapToGrid w:val="0"/>
        <w:contextualSpacing/>
      </w:pPr>
      <w:r w:rsidRPr="00765F6E">
        <w:rPr>
          <w:rFonts w:hint="eastAsia"/>
        </w:rPr>
        <w:t>敏感目标减振可采用隔振基础等措施</w:t>
      </w:r>
      <w:r w:rsidR="0054051D">
        <w:rPr>
          <w:rFonts w:hint="eastAsia"/>
        </w:rPr>
        <w:t>；</w:t>
      </w:r>
    </w:p>
    <w:p w14:paraId="39585CAE" w14:textId="7B37FBD6" w:rsidR="00737EB2" w:rsidRPr="00765F6E" w:rsidRDefault="00737EB2" w:rsidP="003334F3">
      <w:pPr>
        <w:pStyle w:val="af6"/>
        <w:numPr>
          <w:ilvl w:val="0"/>
          <w:numId w:val="292"/>
        </w:numPr>
        <w:tabs>
          <w:tab w:val="left" w:pos="851"/>
        </w:tabs>
        <w:snapToGrid w:val="0"/>
        <w:contextualSpacing/>
      </w:pPr>
      <w:r w:rsidRPr="00765F6E">
        <w:rPr>
          <w:rFonts w:hint="eastAsia"/>
        </w:rPr>
        <w:t>振动敏感路段应采用振动较小的施工工法</w:t>
      </w:r>
      <w:r w:rsidR="0054051D">
        <w:rPr>
          <w:rFonts w:hint="eastAsia"/>
        </w:rPr>
        <w:t>；</w:t>
      </w:r>
    </w:p>
    <w:p w14:paraId="0DE84738" w14:textId="2DC54A89" w:rsidR="00737EB2" w:rsidRPr="00765F6E" w:rsidRDefault="00737EB2" w:rsidP="003334F3">
      <w:pPr>
        <w:pStyle w:val="af6"/>
        <w:numPr>
          <w:ilvl w:val="0"/>
          <w:numId w:val="292"/>
        </w:numPr>
        <w:tabs>
          <w:tab w:val="left" w:pos="851"/>
        </w:tabs>
        <w:snapToGrid w:val="0"/>
        <w:contextualSpacing/>
      </w:pPr>
      <w:r w:rsidRPr="00765F6E">
        <w:rPr>
          <w:rFonts w:hint="eastAsia"/>
        </w:rPr>
        <w:t>轨道减振措施总长度应大于环境保护目标的长度，且不应小于最大列车编组长度</w:t>
      </w:r>
      <w:r w:rsidR="0054051D">
        <w:rPr>
          <w:rFonts w:hint="eastAsia"/>
        </w:rPr>
        <w:t>；</w:t>
      </w:r>
    </w:p>
    <w:p w14:paraId="2300F82D" w14:textId="735848E5" w:rsidR="00737EB2" w:rsidRPr="002F187A" w:rsidRDefault="00737EB2" w:rsidP="003334F3">
      <w:pPr>
        <w:pStyle w:val="af6"/>
        <w:numPr>
          <w:ilvl w:val="0"/>
          <w:numId w:val="292"/>
        </w:numPr>
        <w:tabs>
          <w:tab w:val="left" w:pos="851"/>
        </w:tabs>
        <w:snapToGrid w:val="0"/>
        <w:contextualSpacing/>
      </w:pPr>
      <w:r w:rsidRPr="00765F6E">
        <w:rPr>
          <w:rFonts w:hint="eastAsia"/>
        </w:rPr>
        <w:t>市域铁路沿线建筑物室内二次辐射噪声应符合</w:t>
      </w:r>
      <w:r w:rsidR="00BD39EB" w:rsidRPr="00BD39EB">
        <w:t>JCJ/T</w:t>
      </w:r>
      <w:r w:rsidR="00BD39EB">
        <w:t xml:space="preserve"> </w:t>
      </w:r>
      <w:r w:rsidR="00BD39EB" w:rsidRPr="00BD39EB">
        <w:t>170</w:t>
      </w:r>
      <w:r w:rsidRPr="00765F6E">
        <w:rPr>
          <w:rFonts w:hint="eastAsia"/>
        </w:rPr>
        <w:t>的规定；受保护的文物古建筑的振动速度应符</w:t>
      </w:r>
      <w:r w:rsidRPr="002F187A">
        <w:rPr>
          <w:rFonts w:hint="eastAsia"/>
        </w:rPr>
        <w:t>合GB/T</w:t>
      </w:r>
      <w:r w:rsidRPr="002F187A">
        <w:t xml:space="preserve"> </w:t>
      </w:r>
      <w:r w:rsidRPr="002F187A">
        <w:rPr>
          <w:rFonts w:hint="eastAsia"/>
        </w:rPr>
        <w:t>50452的相关规定。</w:t>
      </w:r>
    </w:p>
    <w:p w14:paraId="773D9F1A" w14:textId="77777777" w:rsidR="00737EB2" w:rsidRPr="00765F6E" w:rsidRDefault="00737EB2" w:rsidP="009D0776">
      <w:pPr>
        <w:pStyle w:val="22"/>
      </w:pPr>
      <w:bookmarkStart w:id="3738" w:name="_Toc153292544"/>
      <w:bookmarkStart w:id="3739" w:name="_Toc99793101"/>
      <w:r w:rsidRPr="002F187A">
        <w:rPr>
          <w:rFonts w:hint="eastAsia"/>
        </w:rPr>
        <w:t>减振、隔振技术</w:t>
      </w:r>
      <w:r w:rsidRPr="00765F6E">
        <w:rPr>
          <w:rFonts w:hint="eastAsia"/>
        </w:rPr>
        <w:t>措施应技术可行、经济合理。</w:t>
      </w:r>
      <w:bookmarkEnd w:id="3738"/>
      <w:bookmarkEnd w:id="3739"/>
    </w:p>
    <w:p w14:paraId="120D9099" w14:textId="77777777" w:rsidR="00737EB2" w:rsidRPr="00765F6E" w:rsidRDefault="00737EB2" w:rsidP="00737EB2">
      <w:pPr>
        <w:pStyle w:val="affe"/>
        <w:spacing w:before="156" w:after="156"/>
      </w:pPr>
      <w:bookmarkStart w:id="3740" w:name="_Toc153292545"/>
      <w:bookmarkStart w:id="3741" w:name="_Toc99793102"/>
      <w:bookmarkStart w:id="3742" w:name="_Toc153211026"/>
      <w:bookmarkStart w:id="3743" w:name="_Toc167895924"/>
      <w:bookmarkStart w:id="3744" w:name="_Toc174538838"/>
      <w:bookmarkStart w:id="3745" w:name="_Toc182476597"/>
      <w:r w:rsidRPr="00765F6E">
        <w:rPr>
          <w:rFonts w:hint="eastAsia"/>
        </w:rPr>
        <w:t>水环境保护</w:t>
      </w:r>
      <w:bookmarkEnd w:id="3740"/>
      <w:bookmarkEnd w:id="3741"/>
      <w:bookmarkEnd w:id="3742"/>
      <w:bookmarkEnd w:id="3743"/>
      <w:bookmarkEnd w:id="3744"/>
      <w:bookmarkEnd w:id="3745"/>
    </w:p>
    <w:p w14:paraId="2D7103A4" w14:textId="0DF2041A" w:rsidR="00737EB2" w:rsidRPr="002F187A" w:rsidRDefault="00481B19" w:rsidP="009D0776">
      <w:pPr>
        <w:pStyle w:val="22"/>
      </w:pPr>
      <w:bookmarkStart w:id="3746" w:name="_Toc99793103"/>
      <w:bookmarkStart w:id="3747" w:name="_Toc153292546"/>
      <w:r w:rsidRPr="002F187A">
        <w:rPr>
          <w:rFonts w:hint="eastAsia"/>
        </w:rPr>
        <w:t>当线路沿线设有城市污水排水系统，且有城市污水处理厂时，车站、车辆基地（所、存车场）的污水应排入市政污水管道</w:t>
      </w:r>
      <w:r w:rsidR="00737EB2" w:rsidRPr="002F187A">
        <w:rPr>
          <w:rFonts w:hint="eastAsia"/>
        </w:rPr>
        <w:t>。</w:t>
      </w:r>
      <w:bookmarkEnd w:id="3746"/>
      <w:bookmarkEnd w:id="3747"/>
    </w:p>
    <w:p w14:paraId="63A57E0C" w14:textId="234032A8" w:rsidR="00737EB2" w:rsidRPr="002F187A" w:rsidRDefault="00481B19" w:rsidP="009D0776">
      <w:pPr>
        <w:pStyle w:val="22"/>
      </w:pPr>
      <w:bookmarkStart w:id="3748" w:name="_Toc99793104"/>
      <w:bookmarkStart w:id="3749" w:name="_Toc153292547"/>
      <w:r w:rsidRPr="002F187A">
        <w:rPr>
          <w:rFonts w:hint="eastAsia"/>
        </w:rPr>
        <w:t>当车站、车辆基地周围无城市污水排水系统时，应设置化粪池、污水处理装置等对污水进行处理，并应达到国家和地方污水排放标准后排放</w:t>
      </w:r>
      <w:r w:rsidR="00737EB2" w:rsidRPr="002F187A">
        <w:rPr>
          <w:rFonts w:hint="eastAsia"/>
        </w:rPr>
        <w:t>。</w:t>
      </w:r>
      <w:bookmarkEnd w:id="3748"/>
      <w:bookmarkEnd w:id="3749"/>
    </w:p>
    <w:p w14:paraId="70E42D1F" w14:textId="479D449A" w:rsidR="00481B19" w:rsidRPr="002F187A" w:rsidRDefault="00481B19" w:rsidP="00481B19">
      <w:pPr>
        <w:pStyle w:val="22"/>
      </w:pPr>
      <w:r w:rsidRPr="002F187A">
        <w:rPr>
          <w:rFonts w:hint="eastAsia"/>
        </w:rPr>
        <w:t>车辆基地洗车库废水应处理后并宜回用,回用的冲洗用水水质应符合城市污水再生利用水质标准。</w:t>
      </w:r>
    </w:p>
    <w:p w14:paraId="775D9A10" w14:textId="75371F03" w:rsidR="00481B19" w:rsidRPr="002F187A" w:rsidRDefault="00481B19" w:rsidP="00481B19">
      <w:pPr>
        <w:pStyle w:val="22"/>
      </w:pPr>
      <w:r w:rsidRPr="002F187A">
        <w:rPr>
          <w:rFonts w:hint="eastAsia"/>
        </w:rPr>
        <w:t>路基、桥涵、隧道、车站等排水设计应衔接配合，并与水土保持及农田水利综合利用相结合，应符合下列规定</w:t>
      </w:r>
      <w:r w:rsidR="002F187A" w:rsidRPr="002F187A">
        <w:rPr>
          <w:rFonts w:hint="eastAsia"/>
        </w:rPr>
        <w:t>：</w:t>
      </w:r>
    </w:p>
    <w:p w14:paraId="61816ACB" w14:textId="77777777" w:rsidR="002F187A" w:rsidRPr="002F187A" w:rsidRDefault="002F187A" w:rsidP="003334F3">
      <w:pPr>
        <w:pStyle w:val="af6"/>
        <w:numPr>
          <w:ilvl w:val="0"/>
          <w:numId w:val="346"/>
        </w:numPr>
      </w:pPr>
      <w:r w:rsidRPr="002F187A">
        <w:rPr>
          <w:rFonts w:hint="eastAsia"/>
        </w:rPr>
        <w:t>路基排水沟、侧沟、天沟、纵向坡度等设置应结合地形条件、工程环境等综合分析确定；</w:t>
      </w:r>
    </w:p>
    <w:p w14:paraId="3CEAC75C" w14:textId="72A764CB" w:rsidR="002F187A" w:rsidRPr="002F187A" w:rsidRDefault="002F187A" w:rsidP="002F187A">
      <w:pPr>
        <w:pStyle w:val="af6"/>
      </w:pPr>
      <w:r w:rsidRPr="002F187A">
        <w:rPr>
          <w:rFonts w:hint="eastAsia"/>
        </w:rPr>
        <w:t>桥梁应设置集中排水设施，并接入市政排水系统。当不具备接入条件时，应设置散水等构造；</w:t>
      </w:r>
    </w:p>
    <w:p w14:paraId="717977E8" w14:textId="543DA64C" w:rsidR="00481B19" w:rsidRPr="002F187A" w:rsidRDefault="002F187A" w:rsidP="002F187A">
      <w:pPr>
        <w:pStyle w:val="af6"/>
      </w:pPr>
      <w:r w:rsidRPr="002F187A">
        <w:rPr>
          <w:rFonts w:hint="eastAsia"/>
        </w:rPr>
        <w:t>隧道设置应避开重要水源地、地下水丰富地等，其防排水设计应结合当地气候条件、工程条件等特点。</w:t>
      </w:r>
    </w:p>
    <w:p w14:paraId="5C21A3F3" w14:textId="6CFFB573" w:rsidR="002F187A" w:rsidRPr="002F187A" w:rsidRDefault="002F187A" w:rsidP="002F187A">
      <w:pPr>
        <w:pStyle w:val="22"/>
      </w:pPr>
      <w:r w:rsidRPr="002F187A">
        <w:rPr>
          <w:rFonts w:hint="eastAsia"/>
        </w:rPr>
        <w:t>施工临时场地应设置排水沟和多级沉淀池，满足G</w:t>
      </w:r>
      <w:r w:rsidRPr="002F187A">
        <w:t>B 8978</w:t>
      </w:r>
      <w:r w:rsidRPr="002F187A">
        <w:rPr>
          <w:rFonts w:hint="eastAsia"/>
        </w:rPr>
        <w:t>有关规定。</w:t>
      </w:r>
    </w:p>
    <w:p w14:paraId="5EE17989" w14:textId="76575B2F" w:rsidR="00737EB2" w:rsidRDefault="00737EB2" w:rsidP="00737EB2">
      <w:pPr>
        <w:pStyle w:val="affe"/>
        <w:spacing w:before="156" w:after="156"/>
      </w:pPr>
      <w:bookmarkStart w:id="3750" w:name="_Toc153211027"/>
      <w:bookmarkStart w:id="3751" w:name="_Toc153292548"/>
      <w:bookmarkStart w:id="3752" w:name="_Toc167895925"/>
      <w:bookmarkStart w:id="3753" w:name="_Toc174538839"/>
      <w:bookmarkStart w:id="3754" w:name="_Toc182476598"/>
      <w:bookmarkStart w:id="3755" w:name="_Toc99793105"/>
      <w:r w:rsidRPr="00765F6E">
        <w:rPr>
          <w:rFonts w:hint="eastAsia"/>
        </w:rPr>
        <w:t>大气环境保护</w:t>
      </w:r>
      <w:bookmarkEnd w:id="3750"/>
      <w:bookmarkEnd w:id="3751"/>
      <w:bookmarkEnd w:id="3752"/>
      <w:bookmarkEnd w:id="3753"/>
      <w:bookmarkEnd w:id="3754"/>
    </w:p>
    <w:p w14:paraId="4A047FC2" w14:textId="4EA98741" w:rsidR="002F187A" w:rsidRDefault="002F187A" w:rsidP="002F187A">
      <w:pPr>
        <w:pStyle w:val="22"/>
      </w:pPr>
      <w:r>
        <w:rPr>
          <w:rFonts w:hint="eastAsia"/>
        </w:rPr>
        <w:t>新建车站、车辆基地及生活区宜集中供热。无集中供热条件的线路沿线房屋，宜采用节能供暖方式。供热设施应符合下列规定：</w:t>
      </w:r>
    </w:p>
    <w:p w14:paraId="29A60C8C" w14:textId="596749F3" w:rsidR="002F187A" w:rsidRDefault="002F187A" w:rsidP="003334F3">
      <w:pPr>
        <w:pStyle w:val="af6"/>
        <w:numPr>
          <w:ilvl w:val="0"/>
          <w:numId w:val="347"/>
        </w:numPr>
      </w:pPr>
      <w:r>
        <w:rPr>
          <w:rFonts w:hint="eastAsia"/>
        </w:rPr>
        <w:t>供热（供暖）设施宜设置于大气环境保护对象污染系统最小方位的上风侧；</w:t>
      </w:r>
    </w:p>
    <w:p w14:paraId="623C0CE2" w14:textId="226731FE" w:rsidR="002F187A" w:rsidRDefault="002F187A" w:rsidP="002F187A">
      <w:pPr>
        <w:pStyle w:val="af6"/>
      </w:pPr>
      <w:r>
        <w:rPr>
          <w:rFonts w:hint="eastAsia"/>
        </w:rPr>
        <w:t>供热（供暖）设施排放的大气污染物以及工艺用房产生的烟尘、防尘或有害气体应符合GB 13271及GB 16297或地方大气污染物排放标准的规定。</w:t>
      </w:r>
    </w:p>
    <w:p w14:paraId="34C71285" w14:textId="353440EF" w:rsidR="002F187A" w:rsidRDefault="002F187A" w:rsidP="002F187A">
      <w:pPr>
        <w:pStyle w:val="22"/>
      </w:pPr>
      <w:r>
        <w:rPr>
          <w:rFonts w:hint="eastAsia"/>
        </w:rPr>
        <w:t>施工期大气污染防治设计应满足下列规定：</w:t>
      </w:r>
    </w:p>
    <w:p w14:paraId="541E38AE" w14:textId="4E142ED4" w:rsidR="002F187A" w:rsidRDefault="002F187A" w:rsidP="003334F3">
      <w:pPr>
        <w:pStyle w:val="af6"/>
        <w:numPr>
          <w:ilvl w:val="0"/>
          <w:numId w:val="348"/>
        </w:numPr>
      </w:pPr>
      <w:r>
        <w:rPr>
          <w:rFonts w:hint="eastAsia"/>
        </w:rPr>
        <w:t>施工场地应采取扬尘污染防治措施，其措施应符合HJ/T 393的规定；</w:t>
      </w:r>
    </w:p>
    <w:p w14:paraId="2671462D" w14:textId="0E2BD45A" w:rsidR="002F187A" w:rsidRDefault="002F187A" w:rsidP="002F187A">
      <w:pPr>
        <w:pStyle w:val="af6"/>
      </w:pPr>
      <w:r>
        <w:rPr>
          <w:rFonts w:hint="eastAsia"/>
        </w:rPr>
        <w:t>施工机械尾气排放应符合国家或地方有关施工机械尾气排放标准的规定。</w:t>
      </w:r>
    </w:p>
    <w:p w14:paraId="629DF374" w14:textId="19539E06" w:rsidR="002F187A" w:rsidRDefault="002F187A" w:rsidP="002F187A">
      <w:pPr>
        <w:pStyle w:val="22"/>
      </w:pPr>
      <w:r>
        <w:rPr>
          <w:rFonts w:hint="eastAsia"/>
        </w:rPr>
        <w:t>运营期大气污染防治设计应满足下列规定：</w:t>
      </w:r>
    </w:p>
    <w:p w14:paraId="60919170" w14:textId="1417F7F5" w:rsidR="002F187A" w:rsidRDefault="002F187A" w:rsidP="003334F3">
      <w:pPr>
        <w:pStyle w:val="af6"/>
        <w:numPr>
          <w:ilvl w:val="0"/>
          <w:numId w:val="349"/>
        </w:numPr>
      </w:pPr>
      <w:r>
        <w:rPr>
          <w:rFonts w:hint="eastAsia"/>
        </w:rPr>
        <w:t>储煤、存渣场应采取扬尘措施；</w:t>
      </w:r>
    </w:p>
    <w:p w14:paraId="4B856FE5" w14:textId="329FEBDE" w:rsidR="002F187A" w:rsidRDefault="002F187A" w:rsidP="002F187A">
      <w:pPr>
        <w:pStyle w:val="af6"/>
      </w:pPr>
      <w:r>
        <w:rPr>
          <w:rFonts w:hint="eastAsia"/>
        </w:rPr>
        <w:t>餐饮服务设施宜采用清洁能源，并应安装高效油烟净化设施；</w:t>
      </w:r>
    </w:p>
    <w:p w14:paraId="10521CFA" w14:textId="2EC6A6C3" w:rsidR="002F187A" w:rsidRPr="002F187A" w:rsidRDefault="002F187A" w:rsidP="002F187A">
      <w:pPr>
        <w:pStyle w:val="af6"/>
      </w:pPr>
      <w:r>
        <w:rPr>
          <w:rFonts w:hint="eastAsia"/>
        </w:rPr>
        <w:t>产生烟尘、粉尘和有害气体的工艺及设备应设置除尘净化装置。</w:t>
      </w:r>
    </w:p>
    <w:p w14:paraId="2A34F4B1" w14:textId="689268B6" w:rsidR="00737EB2" w:rsidRPr="00765F6E" w:rsidRDefault="00737EB2" w:rsidP="00737EB2">
      <w:pPr>
        <w:pStyle w:val="affe"/>
        <w:spacing w:before="156" w:after="156"/>
      </w:pPr>
      <w:bookmarkStart w:id="3756" w:name="_Toc153211028"/>
      <w:bookmarkStart w:id="3757" w:name="_Toc153292551"/>
      <w:bookmarkStart w:id="3758" w:name="_Toc167895926"/>
      <w:bookmarkStart w:id="3759" w:name="_Toc174538840"/>
      <w:bookmarkStart w:id="3760" w:name="_Toc182476599"/>
      <w:r w:rsidRPr="00765F6E">
        <w:rPr>
          <w:rFonts w:hint="eastAsia"/>
        </w:rPr>
        <w:t>固废污染防护</w:t>
      </w:r>
      <w:bookmarkEnd w:id="3756"/>
      <w:bookmarkEnd w:id="3757"/>
      <w:bookmarkEnd w:id="3758"/>
      <w:bookmarkEnd w:id="3759"/>
      <w:bookmarkEnd w:id="3760"/>
    </w:p>
    <w:p w14:paraId="4C9BE904" w14:textId="64EDD374" w:rsidR="00737EB2" w:rsidRPr="00143565" w:rsidRDefault="002F187A" w:rsidP="009D0776">
      <w:pPr>
        <w:pStyle w:val="22"/>
      </w:pPr>
      <w:bookmarkStart w:id="3761" w:name="_Toc153292552"/>
      <w:r w:rsidRPr="00143565">
        <w:rPr>
          <w:rFonts w:hint="eastAsia"/>
        </w:rPr>
        <w:t>新建车站、车辆基地应设置垃圾收集、转运设施，且固体废物堆放储存应符合国家法律、法规的规定</w:t>
      </w:r>
      <w:r w:rsidR="00737EB2" w:rsidRPr="00143565">
        <w:rPr>
          <w:rFonts w:hint="eastAsia"/>
        </w:rPr>
        <w:t>。</w:t>
      </w:r>
      <w:bookmarkEnd w:id="3761"/>
    </w:p>
    <w:p w14:paraId="14471992" w14:textId="6B4E74F7" w:rsidR="00737EB2" w:rsidRDefault="002F187A" w:rsidP="009D0776">
      <w:pPr>
        <w:pStyle w:val="22"/>
      </w:pPr>
      <w:bookmarkStart w:id="3762" w:name="_Toc153292553"/>
      <w:r w:rsidRPr="00143565">
        <w:rPr>
          <w:rFonts w:hint="eastAsia"/>
        </w:rPr>
        <w:t>生产作业产生的一般固体废物应采取资源化和无害化预处理措施</w:t>
      </w:r>
      <w:r w:rsidR="00737EB2" w:rsidRPr="00765F6E">
        <w:rPr>
          <w:rFonts w:hint="eastAsia"/>
        </w:rPr>
        <w:t>。</w:t>
      </w:r>
      <w:bookmarkEnd w:id="3762"/>
    </w:p>
    <w:p w14:paraId="78E35682" w14:textId="68E752AD" w:rsidR="002F187A" w:rsidRDefault="002F187A" w:rsidP="002F187A">
      <w:pPr>
        <w:pStyle w:val="22"/>
      </w:pPr>
      <w:r>
        <w:rPr>
          <w:rFonts w:hint="eastAsia"/>
        </w:rPr>
        <w:t>施工期固体废物防治设计应满足下列规定：</w:t>
      </w:r>
    </w:p>
    <w:p w14:paraId="447AB622" w14:textId="55285FA0" w:rsidR="002F187A" w:rsidRDefault="002F187A" w:rsidP="003334F3">
      <w:pPr>
        <w:pStyle w:val="af6"/>
        <w:numPr>
          <w:ilvl w:val="0"/>
          <w:numId w:val="350"/>
        </w:numPr>
      </w:pPr>
      <w:r>
        <w:rPr>
          <w:rFonts w:hint="eastAsia"/>
        </w:rPr>
        <w:t>施工期生活垃圾处理措施应符合国家或地方标准的有关规定；</w:t>
      </w:r>
    </w:p>
    <w:p w14:paraId="32AA0866" w14:textId="6043BE07" w:rsidR="002F187A" w:rsidRDefault="002F187A" w:rsidP="002F187A">
      <w:pPr>
        <w:pStyle w:val="af6"/>
      </w:pPr>
      <w:r>
        <w:rPr>
          <w:rFonts w:hint="eastAsia"/>
        </w:rPr>
        <w:t>施工期产生的建筑垃圾不得混入生活垃圾，并应按照城市主管部门的规定处置。</w:t>
      </w:r>
    </w:p>
    <w:p w14:paraId="401106EC" w14:textId="4750E2E4" w:rsidR="002F187A" w:rsidRDefault="002F187A" w:rsidP="002F187A">
      <w:pPr>
        <w:pStyle w:val="22"/>
      </w:pPr>
      <w:r>
        <w:rPr>
          <w:rFonts w:hint="eastAsia"/>
        </w:rPr>
        <w:lastRenderedPageBreak/>
        <w:t>运营期固体废物防治设计应满足下列规定：</w:t>
      </w:r>
    </w:p>
    <w:p w14:paraId="68436BB7" w14:textId="6145D803" w:rsidR="002F187A" w:rsidRDefault="002F187A" w:rsidP="003334F3">
      <w:pPr>
        <w:pStyle w:val="af6"/>
        <w:numPr>
          <w:ilvl w:val="0"/>
          <w:numId w:val="351"/>
        </w:numPr>
      </w:pPr>
      <w:r>
        <w:rPr>
          <w:rFonts w:hint="eastAsia"/>
        </w:rPr>
        <w:t>生产过程中产生的危险固体废物应按国家有关规定收集、储存、运输、利用和处置；</w:t>
      </w:r>
    </w:p>
    <w:p w14:paraId="7D883F77" w14:textId="7B291A98" w:rsidR="002F187A" w:rsidRDefault="002F187A" w:rsidP="002F187A">
      <w:pPr>
        <w:pStyle w:val="af6"/>
      </w:pPr>
      <w:r>
        <w:rPr>
          <w:rFonts w:hint="eastAsia"/>
        </w:rPr>
        <w:t>灰渣应综合利用，并应符合GB 50041；</w:t>
      </w:r>
    </w:p>
    <w:p w14:paraId="6EF7BF53" w14:textId="1EBEC45E" w:rsidR="002F187A" w:rsidRDefault="002F187A" w:rsidP="002F187A">
      <w:pPr>
        <w:pStyle w:val="af6"/>
      </w:pPr>
      <w:r>
        <w:rPr>
          <w:rFonts w:hint="eastAsia"/>
        </w:rPr>
        <w:t>站场、车辆基地设备维修、加工产生的金属屑及其他固体废物，应分类集中堆放和储存，并宜回收综合利用；</w:t>
      </w:r>
    </w:p>
    <w:p w14:paraId="3173C02D" w14:textId="2498442F" w:rsidR="002F187A" w:rsidRDefault="002F187A" w:rsidP="002F187A">
      <w:pPr>
        <w:pStyle w:val="af6"/>
      </w:pPr>
      <w:r>
        <w:rPr>
          <w:rFonts w:hint="eastAsia"/>
        </w:rPr>
        <w:t>车站、动车维修段等应根据旅客列车垃圾产生量和运营组织要求，配置垃圾收集、转运设施。</w:t>
      </w:r>
    </w:p>
    <w:p w14:paraId="3BEA0757" w14:textId="5D3783D6" w:rsidR="002F187A" w:rsidRPr="002F187A" w:rsidRDefault="002F187A" w:rsidP="002F187A">
      <w:pPr>
        <w:pStyle w:val="22"/>
      </w:pPr>
      <w:r>
        <w:rPr>
          <w:rFonts w:hint="eastAsia"/>
        </w:rPr>
        <w:t>施工产生的泥浆应通过泥浆沉淀后采取其他处置措施。</w:t>
      </w:r>
    </w:p>
    <w:p w14:paraId="086DA084" w14:textId="77777777" w:rsidR="00737EB2" w:rsidRPr="00765F6E" w:rsidRDefault="00737EB2" w:rsidP="00737EB2">
      <w:pPr>
        <w:pStyle w:val="affe"/>
        <w:spacing w:before="156" w:after="156"/>
      </w:pPr>
      <w:bookmarkStart w:id="3763" w:name="_Toc153211029"/>
      <w:bookmarkStart w:id="3764" w:name="_Toc153292556"/>
      <w:bookmarkStart w:id="3765" w:name="_Toc167895927"/>
      <w:bookmarkStart w:id="3766" w:name="_Toc174538841"/>
      <w:bookmarkStart w:id="3767" w:name="_Toc182476600"/>
      <w:r w:rsidRPr="00765F6E">
        <w:rPr>
          <w:rFonts w:hint="eastAsia"/>
        </w:rPr>
        <w:t>电磁污染防护</w:t>
      </w:r>
      <w:bookmarkEnd w:id="3763"/>
      <w:bookmarkEnd w:id="3764"/>
      <w:bookmarkEnd w:id="3765"/>
      <w:bookmarkEnd w:id="3766"/>
      <w:bookmarkEnd w:id="3767"/>
    </w:p>
    <w:p w14:paraId="70B39E33" w14:textId="77777777" w:rsidR="00737EB2" w:rsidRPr="00765F6E" w:rsidRDefault="00737EB2" w:rsidP="009D0776">
      <w:pPr>
        <w:pStyle w:val="22"/>
      </w:pPr>
      <w:bookmarkStart w:id="3768" w:name="_Toc153292557"/>
      <w:r w:rsidRPr="00765F6E">
        <w:rPr>
          <w:rFonts w:hint="eastAsia"/>
        </w:rPr>
        <w:t>1</w:t>
      </w:r>
      <w:r w:rsidRPr="00765F6E">
        <w:t>10kV</w:t>
      </w:r>
      <w:r w:rsidRPr="00765F6E">
        <w:rPr>
          <w:rFonts w:hint="eastAsia"/>
        </w:rPr>
        <w:t>及以上电压等级的变电所设置符合下列规定：</w:t>
      </w:r>
      <w:bookmarkEnd w:id="3768"/>
    </w:p>
    <w:p w14:paraId="35C8F7D9" w14:textId="77777777" w:rsidR="00737EB2" w:rsidRPr="00765F6E" w:rsidRDefault="00737EB2" w:rsidP="003334F3">
      <w:pPr>
        <w:pStyle w:val="af6"/>
        <w:numPr>
          <w:ilvl w:val="0"/>
          <w:numId w:val="293"/>
        </w:numPr>
        <w:tabs>
          <w:tab w:val="left" w:pos="851"/>
        </w:tabs>
        <w:snapToGrid w:val="0"/>
        <w:contextualSpacing/>
      </w:pPr>
      <w:r w:rsidRPr="00765F6E">
        <w:rPr>
          <w:rFonts w:hint="eastAsia"/>
        </w:rPr>
        <w:t>地面设置的变电所应与居民区等电磁敏感建筑保持适宜的距离；</w:t>
      </w:r>
      <w:r w:rsidRPr="00765F6E">
        <w:t xml:space="preserve"> </w:t>
      </w:r>
    </w:p>
    <w:p w14:paraId="79D91A44" w14:textId="49A9142C" w:rsidR="00737EB2" w:rsidRPr="00765F6E" w:rsidRDefault="00737EB2" w:rsidP="00737EB2">
      <w:pPr>
        <w:pStyle w:val="af6"/>
        <w:tabs>
          <w:tab w:val="left" w:pos="851"/>
        </w:tabs>
        <w:snapToGrid w:val="0"/>
        <w:contextualSpacing/>
      </w:pPr>
      <w:r w:rsidRPr="00765F6E">
        <w:rPr>
          <w:rFonts w:hint="eastAsia"/>
        </w:rPr>
        <w:t>城镇区内设置的变电所宜采用</w:t>
      </w:r>
      <w:r w:rsidR="00991DCE">
        <w:rPr>
          <w:rFonts w:hint="eastAsia"/>
        </w:rPr>
        <w:t>户内</w:t>
      </w:r>
      <w:r w:rsidRPr="00765F6E">
        <w:rPr>
          <w:rFonts w:hint="eastAsia"/>
        </w:rPr>
        <w:t>式变电所；</w:t>
      </w:r>
    </w:p>
    <w:p w14:paraId="18D1AC20" w14:textId="77777777" w:rsidR="00737EB2" w:rsidRPr="00765F6E" w:rsidRDefault="00737EB2" w:rsidP="00737EB2">
      <w:pPr>
        <w:pStyle w:val="af6"/>
        <w:tabs>
          <w:tab w:val="left" w:pos="851"/>
        </w:tabs>
        <w:snapToGrid w:val="0"/>
        <w:contextualSpacing/>
      </w:pPr>
      <w:r w:rsidRPr="00765F6E">
        <w:rPr>
          <w:rFonts w:hint="eastAsia"/>
        </w:rPr>
        <w:t>变电所工频电场、工频磁感应强度应符合</w:t>
      </w:r>
      <w:r w:rsidRPr="00765F6E">
        <w:t>GB 8702</w:t>
      </w:r>
      <w:r w:rsidRPr="00765F6E">
        <w:rPr>
          <w:rFonts w:hint="eastAsia"/>
        </w:rPr>
        <w:t>的要求。</w:t>
      </w:r>
    </w:p>
    <w:p w14:paraId="3EC50032" w14:textId="77777777" w:rsidR="00737EB2" w:rsidRPr="00765F6E" w:rsidRDefault="00737EB2" w:rsidP="009D0776">
      <w:pPr>
        <w:pStyle w:val="22"/>
      </w:pPr>
      <w:bookmarkStart w:id="3769" w:name="_Toc153292558"/>
      <w:r w:rsidRPr="00765F6E">
        <w:rPr>
          <w:rFonts w:hint="eastAsia"/>
        </w:rPr>
        <w:t>数字移动通信基站的电场强度、功率密度应符合</w:t>
      </w:r>
      <w:r w:rsidRPr="00765F6E">
        <w:t>GB 8702</w:t>
      </w:r>
      <w:r w:rsidRPr="00765F6E">
        <w:rPr>
          <w:rFonts w:hint="eastAsia"/>
        </w:rPr>
        <w:t>的要求。</w:t>
      </w:r>
      <w:bookmarkEnd w:id="3769"/>
    </w:p>
    <w:p w14:paraId="703587AD" w14:textId="5B44B1FF" w:rsidR="006D21A0" w:rsidRDefault="006D21A0" w:rsidP="006D21A0">
      <w:pPr>
        <w:pStyle w:val="affd"/>
        <w:spacing w:before="312" w:after="312"/>
      </w:pPr>
      <w:bookmarkStart w:id="3770" w:name="_Toc182476601"/>
      <w:bookmarkEnd w:id="3755"/>
      <w:r>
        <w:rPr>
          <w:rFonts w:hint="eastAsia"/>
        </w:rPr>
        <w:t>交通一体化</w:t>
      </w:r>
      <w:bookmarkEnd w:id="3770"/>
    </w:p>
    <w:p w14:paraId="2E7C7DCC" w14:textId="1A421471" w:rsidR="006D21A0" w:rsidRPr="00765F6E" w:rsidRDefault="006D21A0" w:rsidP="006D21A0">
      <w:pPr>
        <w:pStyle w:val="affe"/>
        <w:spacing w:before="156" w:after="156"/>
      </w:pPr>
      <w:bookmarkStart w:id="3771" w:name="_Toc182476602"/>
      <w:bookmarkStart w:id="3772" w:name="_Hlk180159661"/>
      <w:r>
        <w:rPr>
          <w:rFonts w:hint="eastAsia"/>
        </w:rPr>
        <w:t>一般规定</w:t>
      </w:r>
      <w:bookmarkEnd w:id="3771"/>
    </w:p>
    <w:bookmarkEnd w:id="3772"/>
    <w:p w14:paraId="7B8B908F" w14:textId="5963DC8D" w:rsidR="006D21A0" w:rsidRPr="00453DBE" w:rsidRDefault="006D21A0" w:rsidP="006D21A0">
      <w:pPr>
        <w:pStyle w:val="22"/>
        <w:rPr>
          <w:rFonts w:cs="黑体"/>
        </w:rPr>
      </w:pPr>
      <w:r w:rsidRPr="00025599">
        <w:rPr>
          <w:rFonts w:hint="eastAsia"/>
        </w:rPr>
        <w:t xml:space="preserve"> </w:t>
      </w:r>
      <w:r w:rsidRPr="00025599">
        <w:rPr>
          <w:rFonts w:cs="黑体"/>
        </w:rPr>
        <w:t>车站交通接驳应根据车站的客流特征进行合理组织，交通接驳方式可分为步行、非机动车、公交、出租车和小汽车等，接驳设施的设置应满足慢行优先和公交优先的原则。</w:t>
      </w:r>
    </w:p>
    <w:p w14:paraId="22B4DE00" w14:textId="2B4D7772" w:rsidR="006D21A0" w:rsidRPr="00B92674" w:rsidRDefault="006D21A0" w:rsidP="00453DBE">
      <w:pPr>
        <w:pStyle w:val="22"/>
      </w:pPr>
      <w:r w:rsidRPr="00B92674">
        <w:t>车站交通接驳设施的研究范围宜为</w:t>
      </w:r>
      <w:r w:rsidR="00717ED8" w:rsidRPr="00B92674">
        <w:t>300m</w:t>
      </w:r>
      <w:r w:rsidR="00E9135F">
        <w:rPr>
          <w:rFonts w:hint="eastAsia"/>
        </w:rPr>
        <w:t>～</w:t>
      </w:r>
      <w:r w:rsidR="00717ED8" w:rsidRPr="00B92674">
        <w:t>500m</w:t>
      </w:r>
      <w:r w:rsidRPr="00B92674">
        <w:t>，研究范围宜扩大到距车站中心的3</w:t>
      </w:r>
      <w:r w:rsidRPr="00B92674">
        <w:rPr>
          <w:rFonts w:hint="eastAsia"/>
        </w:rPr>
        <w:t>km</w:t>
      </w:r>
      <w:r w:rsidR="00E9135F">
        <w:rPr>
          <w:rFonts w:hint="eastAsia"/>
        </w:rPr>
        <w:t>～</w:t>
      </w:r>
      <w:r w:rsidRPr="00B92674">
        <w:t>5</w:t>
      </w:r>
      <w:r w:rsidRPr="00B92674">
        <w:rPr>
          <w:rFonts w:hint="eastAsia"/>
        </w:rPr>
        <w:t>km</w:t>
      </w:r>
      <w:r w:rsidRPr="00B92674">
        <w:t>。</w:t>
      </w:r>
    </w:p>
    <w:p w14:paraId="0FB56864" w14:textId="3202C88F" w:rsidR="006D21A0" w:rsidRPr="00BF0BA3" w:rsidRDefault="006D21A0">
      <w:pPr>
        <w:pStyle w:val="22"/>
      </w:pPr>
      <w:r w:rsidRPr="00B92674">
        <w:rPr>
          <w:rFonts w:hint="eastAsia"/>
        </w:rPr>
        <w:t>城市群</w:t>
      </w:r>
      <w:r w:rsidRPr="00B92674">
        <w:t>城际车站功能定位、周边用地情况的不同，宜根据表</w:t>
      </w:r>
      <w:r w:rsidR="001C1F75" w:rsidRPr="00B92674">
        <w:rPr>
          <w:rFonts w:hint="eastAsia"/>
        </w:rPr>
        <w:t>8</w:t>
      </w:r>
      <w:r w:rsidR="00DC77F2">
        <w:t>7</w:t>
      </w:r>
      <w:r w:rsidRPr="00B92674">
        <w:t>的要求分为综合枢纽站、组团中心站、特殊</w:t>
      </w:r>
      <w:r w:rsidRPr="00BF0BA3">
        <w:t>型车站和</w:t>
      </w:r>
      <w:r w:rsidRPr="00D56CF9">
        <w:t>一般</w:t>
      </w:r>
      <w:r w:rsidR="0084480C">
        <w:rPr>
          <w:rFonts w:hint="eastAsia"/>
        </w:rPr>
        <w:t>车</w:t>
      </w:r>
      <w:r w:rsidRPr="00BF0BA3">
        <w:t>站。</w:t>
      </w:r>
    </w:p>
    <w:p w14:paraId="3D727542" w14:textId="3DC8FF8A" w:rsidR="006D21A0" w:rsidRPr="00BF0BA3" w:rsidRDefault="00DE0C56" w:rsidP="00453DBE">
      <w:pPr>
        <w:pStyle w:val="aff3"/>
        <w:spacing w:before="156" w:after="156"/>
      </w:pPr>
      <w:r w:rsidRPr="00BF0BA3">
        <w:rPr>
          <w:rFonts w:hint="eastAsia"/>
        </w:rPr>
        <w:t>车站类型</w:t>
      </w:r>
    </w:p>
    <w:tbl>
      <w:tblPr>
        <w:tblW w:w="4999"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1807"/>
        <w:gridCol w:w="7525"/>
      </w:tblGrid>
      <w:tr w:rsidR="00E512B4" w:rsidRPr="00BF0BA3" w14:paraId="13F598A0" w14:textId="77777777" w:rsidTr="000A5A1C">
        <w:trPr>
          <w:trHeight w:val="340"/>
          <w:tblHeader/>
          <w:jc w:val="center"/>
        </w:trPr>
        <w:tc>
          <w:tcPr>
            <w:tcW w:w="968" w:type="pct"/>
            <w:vAlign w:val="center"/>
          </w:tcPr>
          <w:p w14:paraId="6B092FE7" w14:textId="77777777" w:rsidR="006D21A0" w:rsidRPr="00BF0BA3" w:rsidRDefault="006D21A0" w:rsidP="006417E6">
            <w:pPr>
              <w:pStyle w:val="affffffffffff7"/>
              <w:topLinePunct/>
              <w:snapToGrid w:val="0"/>
            </w:pPr>
            <w:r w:rsidRPr="00BF0BA3">
              <w:t>车站类型</w:t>
            </w:r>
          </w:p>
        </w:tc>
        <w:tc>
          <w:tcPr>
            <w:tcW w:w="4031" w:type="pct"/>
            <w:vAlign w:val="center"/>
          </w:tcPr>
          <w:p w14:paraId="5A7FA355" w14:textId="77777777" w:rsidR="006D21A0" w:rsidRPr="00BF0BA3" w:rsidRDefault="006D21A0" w:rsidP="006417E6">
            <w:pPr>
              <w:pStyle w:val="affffffffffff7"/>
              <w:topLinePunct/>
              <w:snapToGrid w:val="0"/>
            </w:pPr>
            <w:r w:rsidRPr="00BF0BA3">
              <w:t>说明</w:t>
            </w:r>
          </w:p>
        </w:tc>
      </w:tr>
      <w:tr w:rsidR="00E512B4" w:rsidRPr="00BF0BA3" w14:paraId="3067F051" w14:textId="77777777" w:rsidTr="000A5A1C">
        <w:trPr>
          <w:trHeight w:val="340"/>
          <w:jc w:val="center"/>
        </w:trPr>
        <w:tc>
          <w:tcPr>
            <w:tcW w:w="968" w:type="pct"/>
            <w:vAlign w:val="center"/>
          </w:tcPr>
          <w:p w14:paraId="28624534" w14:textId="77777777" w:rsidR="006D21A0" w:rsidRPr="00BF0BA3" w:rsidRDefault="006D21A0" w:rsidP="006417E6">
            <w:pPr>
              <w:pStyle w:val="affffffffffff7"/>
              <w:topLinePunct/>
              <w:snapToGrid w:val="0"/>
            </w:pPr>
            <w:r w:rsidRPr="00BF0BA3">
              <w:t>综合枢纽站</w:t>
            </w:r>
          </w:p>
        </w:tc>
        <w:tc>
          <w:tcPr>
            <w:tcW w:w="4031" w:type="pct"/>
            <w:vAlign w:val="center"/>
          </w:tcPr>
          <w:p w14:paraId="5D05ADF0" w14:textId="77777777" w:rsidR="006D21A0" w:rsidRPr="00BF0BA3" w:rsidRDefault="006D21A0" w:rsidP="006417E6">
            <w:pPr>
              <w:pStyle w:val="affffffffffff7"/>
              <w:topLinePunct/>
              <w:snapToGrid w:val="0"/>
              <w:jc w:val="both"/>
            </w:pPr>
            <w:r w:rsidRPr="00BF0BA3">
              <w:t>城市群城际接入既有大型铁路客运枢纽站，或城市群城际衔接多种交通方式、辐射区域的综合交通枢纽站</w:t>
            </w:r>
          </w:p>
        </w:tc>
      </w:tr>
      <w:tr w:rsidR="00E512B4" w:rsidRPr="00BF0BA3" w14:paraId="3782432E" w14:textId="77777777" w:rsidTr="000A5A1C">
        <w:trPr>
          <w:trHeight w:val="340"/>
          <w:jc w:val="center"/>
        </w:trPr>
        <w:tc>
          <w:tcPr>
            <w:tcW w:w="968" w:type="pct"/>
            <w:vAlign w:val="center"/>
          </w:tcPr>
          <w:p w14:paraId="07654713" w14:textId="77777777" w:rsidR="006D21A0" w:rsidRPr="00BF0BA3" w:rsidRDefault="006D21A0" w:rsidP="006417E6">
            <w:pPr>
              <w:pStyle w:val="affffffffffff7"/>
              <w:topLinePunct/>
              <w:snapToGrid w:val="0"/>
            </w:pPr>
            <w:r w:rsidRPr="00BF0BA3">
              <w:t>组团中心站</w:t>
            </w:r>
          </w:p>
        </w:tc>
        <w:tc>
          <w:tcPr>
            <w:tcW w:w="4031" w:type="pct"/>
            <w:vAlign w:val="center"/>
          </w:tcPr>
          <w:p w14:paraId="53644B2A" w14:textId="77777777" w:rsidR="006D21A0" w:rsidRPr="00BF0BA3" w:rsidRDefault="006D21A0" w:rsidP="006417E6">
            <w:pPr>
              <w:pStyle w:val="affffffffffff7"/>
              <w:topLinePunct/>
              <w:snapToGrid w:val="0"/>
              <w:jc w:val="both"/>
            </w:pPr>
            <w:r w:rsidRPr="00BF0BA3">
              <w:t>服务城市功能组团的核心车站，承担组团级公共交通服务中心功能</w:t>
            </w:r>
          </w:p>
        </w:tc>
      </w:tr>
      <w:tr w:rsidR="00E512B4" w:rsidRPr="00BF0BA3" w14:paraId="0C2EDC23" w14:textId="77777777" w:rsidTr="000A5A1C">
        <w:trPr>
          <w:trHeight w:val="340"/>
          <w:jc w:val="center"/>
        </w:trPr>
        <w:tc>
          <w:tcPr>
            <w:tcW w:w="968" w:type="pct"/>
            <w:vAlign w:val="center"/>
          </w:tcPr>
          <w:p w14:paraId="43A958DB" w14:textId="77777777" w:rsidR="006D21A0" w:rsidRPr="00BF0BA3" w:rsidRDefault="006D21A0" w:rsidP="006417E6">
            <w:pPr>
              <w:pStyle w:val="affffffffffff7"/>
              <w:topLinePunct/>
              <w:snapToGrid w:val="0"/>
            </w:pPr>
            <w:r w:rsidRPr="00BF0BA3">
              <w:t>特殊型车站</w:t>
            </w:r>
          </w:p>
        </w:tc>
        <w:tc>
          <w:tcPr>
            <w:tcW w:w="4031" w:type="pct"/>
            <w:vAlign w:val="center"/>
          </w:tcPr>
          <w:p w14:paraId="52C2A771" w14:textId="77777777" w:rsidR="006D21A0" w:rsidRPr="00BF0BA3" w:rsidRDefault="006D21A0" w:rsidP="006417E6">
            <w:pPr>
              <w:pStyle w:val="affffffffffff7"/>
              <w:topLinePunct/>
              <w:snapToGrid w:val="0"/>
              <w:jc w:val="both"/>
            </w:pPr>
            <w:r w:rsidRPr="00BF0BA3">
              <w:t>服务旅游景区、工业园区等特殊区域的车站</w:t>
            </w:r>
          </w:p>
        </w:tc>
      </w:tr>
      <w:tr w:rsidR="00E512B4" w14:paraId="7256DE2D" w14:textId="77777777" w:rsidTr="000A5A1C">
        <w:trPr>
          <w:trHeight w:val="340"/>
          <w:jc w:val="center"/>
        </w:trPr>
        <w:tc>
          <w:tcPr>
            <w:tcW w:w="968" w:type="pct"/>
            <w:vAlign w:val="center"/>
          </w:tcPr>
          <w:p w14:paraId="2D3D7C0F" w14:textId="6245CEAB" w:rsidR="006D21A0" w:rsidRPr="00BF0BA3" w:rsidRDefault="006D21A0" w:rsidP="006417E6">
            <w:pPr>
              <w:pStyle w:val="affffffffffff7"/>
              <w:topLinePunct/>
              <w:snapToGrid w:val="0"/>
            </w:pPr>
            <w:r w:rsidRPr="00D56CF9">
              <w:rPr>
                <w:rFonts w:hint="eastAsia"/>
              </w:rPr>
              <w:t>一般</w:t>
            </w:r>
            <w:r w:rsidR="0084480C">
              <w:rPr>
                <w:rFonts w:hint="eastAsia"/>
              </w:rPr>
              <w:t>车</w:t>
            </w:r>
            <w:r w:rsidRPr="00D56CF9">
              <w:rPr>
                <w:rFonts w:hint="eastAsia"/>
              </w:rPr>
              <w:t>站</w:t>
            </w:r>
          </w:p>
        </w:tc>
        <w:tc>
          <w:tcPr>
            <w:tcW w:w="4031" w:type="pct"/>
            <w:vAlign w:val="center"/>
          </w:tcPr>
          <w:p w14:paraId="2ACD078B" w14:textId="77777777" w:rsidR="006D21A0" w:rsidRDefault="006D21A0" w:rsidP="006417E6">
            <w:pPr>
              <w:pStyle w:val="affffffffffff7"/>
              <w:topLinePunct/>
              <w:snapToGrid w:val="0"/>
              <w:jc w:val="both"/>
            </w:pPr>
            <w:r w:rsidRPr="00BF0BA3">
              <w:t>与常规公交、居住区、普通商业中心、办公区等相结合的车站</w:t>
            </w:r>
          </w:p>
        </w:tc>
      </w:tr>
    </w:tbl>
    <w:p w14:paraId="26723F62" w14:textId="77777777" w:rsidR="006D21A0" w:rsidRDefault="006D21A0" w:rsidP="003334F3">
      <w:pPr>
        <w:pStyle w:val="-"/>
        <w:numPr>
          <w:ilvl w:val="0"/>
          <w:numId w:val="28"/>
        </w:numPr>
        <w:topLinePunct/>
      </w:pPr>
    </w:p>
    <w:p w14:paraId="2BBB3136"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26025C0A"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47BC6260"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02779055"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5DB2858B"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11B2D351"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7E8911A9"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6090764B"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0AE1865B"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60461B26"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31A624C9"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56FCCF7F"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124DDA34"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7D7ABEFC"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6D484471"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45B8DBF5"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71E62FB8"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6C7C5E01"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03234DCE"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69C4DDC5"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0E90F331"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2ACFC41F"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454607B0"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1AAADC1B"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278C8500"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5B1AE83A"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25791D31"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694502A1"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0ED66EF7"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63372F10"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6D29A7A0"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7F258CFD" w14:textId="77777777" w:rsidR="006D21A0" w:rsidRPr="006D21A0" w:rsidRDefault="006D21A0"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59993F1B" w14:textId="77777777" w:rsidR="006D21A0" w:rsidRPr="006D21A0" w:rsidRDefault="006D21A0" w:rsidP="003334F3">
      <w:pPr>
        <w:pStyle w:val="affffffffffff3"/>
        <w:widowControl/>
        <w:numPr>
          <w:ilvl w:val="2"/>
          <w:numId w:val="28"/>
        </w:numPr>
        <w:adjustRightInd/>
        <w:snapToGrid/>
        <w:spacing w:beforeLines="50" w:before="156" w:afterLines="50" w:after="156"/>
        <w:ind w:firstLineChars="0"/>
        <w:contextualSpacing w:val="0"/>
        <w:outlineLvl w:val="1"/>
        <w:rPr>
          <w:rFonts w:ascii="黑体" w:eastAsia="黑体" w:hAnsi="Times New Roman"/>
          <w:vanish/>
          <w:kern w:val="0"/>
          <w:szCs w:val="20"/>
        </w:rPr>
      </w:pPr>
    </w:p>
    <w:p w14:paraId="181AC629" w14:textId="77777777" w:rsidR="006D21A0" w:rsidRPr="006D21A0" w:rsidRDefault="006D21A0" w:rsidP="003334F3">
      <w:pPr>
        <w:pStyle w:val="affffffffffff3"/>
        <w:numPr>
          <w:ilvl w:val="3"/>
          <w:numId w:val="28"/>
        </w:numPr>
        <w:adjustRightInd/>
        <w:ind w:left="0" w:firstLineChars="0"/>
        <w:outlineLvl w:val="2"/>
        <w:rPr>
          <w:rFonts w:ascii="宋体" w:hAnsi="宋体" w:cs="宋体"/>
          <w:vanish/>
          <w:kern w:val="0"/>
          <w:szCs w:val="20"/>
        </w:rPr>
      </w:pPr>
    </w:p>
    <w:p w14:paraId="281A3D7B" w14:textId="77777777" w:rsidR="006D21A0" w:rsidRPr="006D21A0" w:rsidRDefault="006D21A0" w:rsidP="003334F3">
      <w:pPr>
        <w:pStyle w:val="affffffffffff3"/>
        <w:numPr>
          <w:ilvl w:val="3"/>
          <w:numId w:val="28"/>
        </w:numPr>
        <w:adjustRightInd/>
        <w:ind w:left="0" w:firstLineChars="0"/>
        <w:outlineLvl w:val="2"/>
        <w:rPr>
          <w:rFonts w:ascii="宋体" w:hAnsi="宋体" w:cs="宋体"/>
          <w:vanish/>
          <w:kern w:val="0"/>
          <w:szCs w:val="20"/>
        </w:rPr>
      </w:pPr>
    </w:p>
    <w:p w14:paraId="736D316D" w14:textId="77777777" w:rsidR="006D21A0" w:rsidRPr="006D21A0" w:rsidRDefault="006D21A0" w:rsidP="003334F3">
      <w:pPr>
        <w:pStyle w:val="affffffffffff3"/>
        <w:numPr>
          <w:ilvl w:val="3"/>
          <w:numId w:val="28"/>
        </w:numPr>
        <w:adjustRightInd/>
        <w:ind w:left="0" w:firstLineChars="0"/>
        <w:outlineLvl w:val="2"/>
        <w:rPr>
          <w:rFonts w:ascii="宋体" w:hAnsi="宋体" w:cs="宋体"/>
          <w:vanish/>
          <w:kern w:val="0"/>
          <w:szCs w:val="20"/>
        </w:rPr>
      </w:pPr>
    </w:p>
    <w:p w14:paraId="07F6658D" w14:textId="56EDE631" w:rsidR="006D21A0" w:rsidRPr="00B92674" w:rsidRDefault="006D21A0" w:rsidP="00453DBE">
      <w:pPr>
        <w:pStyle w:val="22"/>
      </w:pPr>
      <w:r w:rsidRPr="00B92674">
        <w:t>交通接驳设施配置结合不同车站功能定位、车站地理位置、周边用地特征、服务客流特征进行统筹安排，并符合表</w:t>
      </w:r>
      <w:r w:rsidR="003B240D" w:rsidRPr="00B92674">
        <w:rPr>
          <w:rFonts w:hint="eastAsia"/>
        </w:rPr>
        <w:t>8</w:t>
      </w:r>
      <w:r w:rsidR="00DC77F2">
        <w:t>8</w:t>
      </w:r>
      <w:r w:rsidRPr="00B92674">
        <w:t>的规定。</w:t>
      </w:r>
    </w:p>
    <w:p w14:paraId="5ACF7877" w14:textId="4D35BC3B" w:rsidR="00DE0C56" w:rsidRPr="00765F6E" w:rsidRDefault="00DE0C56" w:rsidP="00DE0C56">
      <w:pPr>
        <w:pStyle w:val="aff3"/>
        <w:spacing w:before="156" w:after="156"/>
      </w:pPr>
      <w:bookmarkStart w:id="3773" w:name="_Toc4394"/>
      <w:bookmarkStart w:id="3774" w:name="_Toc19269"/>
      <w:bookmarkStart w:id="3775" w:name="_Toc30146"/>
      <w:bookmarkStart w:id="3776" w:name="_Toc8734"/>
      <w:r w:rsidRPr="00B92674">
        <w:rPr>
          <w:rFonts w:hAnsi="黑体" w:cs="黑体" w:hint="eastAsia"/>
        </w:rPr>
        <w:t>交通接驳设施配置表</w:t>
      </w:r>
    </w:p>
    <w:tbl>
      <w:tblPr>
        <w:tblW w:w="5000" w:type="pct"/>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Look w:val="0000" w:firstRow="0" w:lastRow="0" w:firstColumn="0" w:lastColumn="0" w:noHBand="0" w:noVBand="0"/>
      </w:tblPr>
      <w:tblGrid>
        <w:gridCol w:w="1319"/>
        <w:gridCol w:w="1331"/>
        <w:gridCol w:w="1757"/>
        <w:gridCol w:w="1247"/>
        <w:gridCol w:w="1251"/>
        <w:gridCol w:w="1251"/>
        <w:gridCol w:w="1178"/>
      </w:tblGrid>
      <w:tr w:rsidR="00E512B4" w14:paraId="18861109" w14:textId="77777777" w:rsidTr="00143565">
        <w:trPr>
          <w:trHeight w:val="357"/>
          <w:tblHeader/>
        </w:trPr>
        <w:tc>
          <w:tcPr>
            <w:tcW w:w="2361" w:type="pct"/>
            <w:gridSpan w:val="3"/>
            <w:vAlign w:val="center"/>
          </w:tcPr>
          <w:bookmarkEnd w:id="3773"/>
          <w:bookmarkEnd w:id="3774"/>
          <w:bookmarkEnd w:id="3775"/>
          <w:bookmarkEnd w:id="3776"/>
          <w:p w14:paraId="006010A9"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车站类型</w:t>
            </w:r>
          </w:p>
        </w:tc>
        <w:tc>
          <w:tcPr>
            <w:tcW w:w="668" w:type="pct"/>
            <w:vAlign w:val="center"/>
          </w:tcPr>
          <w:p w14:paraId="006BCF28"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综合枢纽站</w:t>
            </w:r>
          </w:p>
        </w:tc>
        <w:tc>
          <w:tcPr>
            <w:tcW w:w="670" w:type="pct"/>
            <w:vAlign w:val="center"/>
          </w:tcPr>
          <w:p w14:paraId="42F6E801"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组团中心站</w:t>
            </w:r>
          </w:p>
        </w:tc>
        <w:tc>
          <w:tcPr>
            <w:tcW w:w="670" w:type="pct"/>
            <w:vAlign w:val="center"/>
          </w:tcPr>
          <w:p w14:paraId="152F589A"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特殊型车站</w:t>
            </w:r>
          </w:p>
        </w:tc>
        <w:tc>
          <w:tcPr>
            <w:tcW w:w="631" w:type="pct"/>
            <w:vAlign w:val="center"/>
          </w:tcPr>
          <w:p w14:paraId="5466C9C3"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一般普通站</w:t>
            </w:r>
          </w:p>
        </w:tc>
      </w:tr>
      <w:tr w:rsidR="00E512B4" w14:paraId="456E00BD" w14:textId="77777777" w:rsidTr="00143565">
        <w:trPr>
          <w:trHeight w:val="357"/>
        </w:trPr>
        <w:tc>
          <w:tcPr>
            <w:tcW w:w="707" w:type="pct"/>
            <w:vMerge w:val="restart"/>
            <w:vAlign w:val="center"/>
          </w:tcPr>
          <w:p w14:paraId="555CA995"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接驳设施类型</w:t>
            </w:r>
          </w:p>
        </w:tc>
        <w:tc>
          <w:tcPr>
            <w:tcW w:w="713" w:type="pct"/>
            <w:vMerge w:val="restart"/>
            <w:vAlign w:val="center"/>
          </w:tcPr>
          <w:p w14:paraId="5EE294B1"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步行接驳设施</w:t>
            </w:r>
          </w:p>
        </w:tc>
        <w:tc>
          <w:tcPr>
            <w:tcW w:w="941" w:type="pct"/>
            <w:vAlign w:val="center"/>
          </w:tcPr>
          <w:p w14:paraId="356F22CB"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步行道</w:t>
            </w:r>
          </w:p>
        </w:tc>
        <w:tc>
          <w:tcPr>
            <w:tcW w:w="668" w:type="pct"/>
            <w:vMerge w:val="restart"/>
            <w:vAlign w:val="center"/>
          </w:tcPr>
          <w:p w14:paraId="03968D15" w14:textId="77777777" w:rsidR="006D21A0" w:rsidRDefault="006D21A0" w:rsidP="00A84607">
            <w:pPr>
              <w:widowControl/>
              <w:snapToGrid w:val="0"/>
              <w:spacing w:line="300" w:lineRule="auto"/>
              <w:jc w:val="center"/>
              <w:rPr>
                <w:rFonts w:ascii="宋体" w:hAnsi="宋体" w:cs="宋体"/>
                <w:color w:val="000000"/>
                <w:sz w:val="18"/>
                <w:szCs w:val="18"/>
              </w:rPr>
            </w:pPr>
            <w:r>
              <w:rPr>
                <w:rFonts w:ascii="宋体" w:hAnsi="宋体" w:cs="宋体" w:hint="eastAsia"/>
                <w:color w:val="000000"/>
                <w:kern w:val="0"/>
                <w:sz w:val="18"/>
                <w:szCs w:val="18"/>
                <w:lang w:bidi="ar"/>
              </w:rPr>
              <w:t>城际铁路接入既有大型铁路客运站要做好与既有车站交通的衔接和融合；新建的</w:t>
            </w:r>
            <w:r>
              <w:rPr>
                <w:rFonts w:ascii="宋体" w:hAnsi="宋体" w:cs="宋体" w:hint="eastAsia"/>
                <w:color w:val="000000"/>
                <w:kern w:val="0"/>
                <w:sz w:val="18"/>
                <w:szCs w:val="18"/>
                <w:lang w:bidi="ar"/>
              </w:rPr>
              <w:lastRenderedPageBreak/>
              <w:t>综合交通枢纽站应结合枢纽功能需求进行专项设计</w:t>
            </w:r>
          </w:p>
        </w:tc>
        <w:tc>
          <w:tcPr>
            <w:tcW w:w="670" w:type="pct"/>
            <w:vAlign w:val="center"/>
          </w:tcPr>
          <w:p w14:paraId="41AF0F1C" w14:textId="77777777" w:rsidR="006D21A0" w:rsidRDefault="006D21A0" w:rsidP="006417E6">
            <w:pPr>
              <w:widowControl/>
              <w:snapToGrid w:val="0"/>
              <w:jc w:val="center"/>
              <w:rPr>
                <w:color w:val="000000"/>
                <w:sz w:val="18"/>
                <w:szCs w:val="18"/>
              </w:rPr>
            </w:pPr>
            <w:r>
              <w:rPr>
                <w:color w:val="000000"/>
                <w:kern w:val="0"/>
                <w:sz w:val="18"/>
                <w:szCs w:val="18"/>
                <w:lang w:bidi="ar"/>
              </w:rPr>
              <w:lastRenderedPageBreak/>
              <w:t>▲</w:t>
            </w:r>
          </w:p>
        </w:tc>
        <w:tc>
          <w:tcPr>
            <w:tcW w:w="670" w:type="pct"/>
            <w:vAlign w:val="center"/>
          </w:tcPr>
          <w:p w14:paraId="73E36CA7"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31" w:type="pct"/>
            <w:vAlign w:val="center"/>
          </w:tcPr>
          <w:p w14:paraId="76CC2772" w14:textId="77777777" w:rsidR="006D21A0" w:rsidRDefault="006D21A0" w:rsidP="006417E6">
            <w:pPr>
              <w:widowControl/>
              <w:snapToGrid w:val="0"/>
              <w:jc w:val="center"/>
              <w:rPr>
                <w:color w:val="000000"/>
                <w:sz w:val="18"/>
                <w:szCs w:val="18"/>
              </w:rPr>
            </w:pPr>
            <w:r>
              <w:rPr>
                <w:color w:val="000000"/>
                <w:kern w:val="0"/>
                <w:sz w:val="18"/>
                <w:szCs w:val="18"/>
                <w:lang w:bidi="ar"/>
              </w:rPr>
              <w:t>▲</w:t>
            </w:r>
          </w:p>
        </w:tc>
      </w:tr>
      <w:tr w:rsidR="00E512B4" w14:paraId="5BBD7B08" w14:textId="77777777" w:rsidTr="00143565">
        <w:trPr>
          <w:trHeight w:val="357"/>
        </w:trPr>
        <w:tc>
          <w:tcPr>
            <w:tcW w:w="707" w:type="pct"/>
            <w:vMerge/>
            <w:vAlign w:val="center"/>
          </w:tcPr>
          <w:p w14:paraId="004C2CEE" w14:textId="77777777" w:rsidR="006D21A0" w:rsidRDefault="006D21A0" w:rsidP="00A84607">
            <w:pPr>
              <w:snapToGrid w:val="0"/>
              <w:spacing w:line="240" w:lineRule="auto"/>
              <w:jc w:val="center"/>
              <w:rPr>
                <w:rFonts w:ascii="宋体" w:hAnsi="宋体" w:cs="宋体"/>
                <w:color w:val="000000"/>
                <w:sz w:val="18"/>
                <w:szCs w:val="18"/>
              </w:rPr>
            </w:pPr>
          </w:p>
        </w:tc>
        <w:tc>
          <w:tcPr>
            <w:tcW w:w="713" w:type="pct"/>
            <w:vMerge/>
            <w:vAlign w:val="center"/>
          </w:tcPr>
          <w:p w14:paraId="05646182" w14:textId="77777777" w:rsidR="006D21A0" w:rsidRDefault="006D21A0" w:rsidP="00A84607">
            <w:pPr>
              <w:snapToGrid w:val="0"/>
              <w:spacing w:line="240" w:lineRule="auto"/>
              <w:jc w:val="center"/>
              <w:rPr>
                <w:rFonts w:ascii="宋体" w:hAnsi="宋体" w:cs="宋体"/>
                <w:color w:val="000000"/>
                <w:sz w:val="18"/>
                <w:szCs w:val="18"/>
              </w:rPr>
            </w:pPr>
          </w:p>
        </w:tc>
        <w:tc>
          <w:tcPr>
            <w:tcW w:w="941" w:type="pct"/>
            <w:vAlign w:val="center"/>
          </w:tcPr>
          <w:p w14:paraId="76FD70CC"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站前广场</w:t>
            </w:r>
          </w:p>
        </w:tc>
        <w:tc>
          <w:tcPr>
            <w:tcW w:w="668" w:type="pct"/>
            <w:vMerge/>
            <w:vAlign w:val="center"/>
          </w:tcPr>
          <w:p w14:paraId="73DD2FA3" w14:textId="77777777" w:rsidR="006D21A0" w:rsidRDefault="006D21A0" w:rsidP="006417E6">
            <w:pPr>
              <w:snapToGrid w:val="0"/>
              <w:jc w:val="center"/>
              <w:rPr>
                <w:rFonts w:ascii="宋体" w:hAnsi="宋体" w:cs="宋体"/>
                <w:color w:val="000000"/>
                <w:sz w:val="18"/>
                <w:szCs w:val="18"/>
              </w:rPr>
            </w:pPr>
          </w:p>
        </w:tc>
        <w:tc>
          <w:tcPr>
            <w:tcW w:w="670" w:type="pct"/>
            <w:vAlign w:val="center"/>
          </w:tcPr>
          <w:p w14:paraId="07797F12"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70" w:type="pct"/>
            <w:vAlign w:val="center"/>
          </w:tcPr>
          <w:p w14:paraId="5B0C9CF2"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31" w:type="pct"/>
            <w:vAlign w:val="center"/>
          </w:tcPr>
          <w:p w14:paraId="0DEDCDBA" w14:textId="77777777" w:rsidR="006D21A0" w:rsidRDefault="006D21A0" w:rsidP="006417E6">
            <w:pPr>
              <w:widowControl/>
              <w:snapToGrid w:val="0"/>
              <w:jc w:val="center"/>
              <w:rPr>
                <w:color w:val="000000"/>
                <w:sz w:val="18"/>
                <w:szCs w:val="18"/>
              </w:rPr>
            </w:pPr>
            <w:r>
              <w:rPr>
                <w:color w:val="000000"/>
                <w:kern w:val="0"/>
                <w:sz w:val="18"/>
                <w:szCs w:val="18"/>
                <w:lang w:bidi="ar"/>
              </w:rPr>
              <w:t>▲</w:t>
            </w:r>
          </w:p>
        </w:tc>
      </w:tr>
      <w:tr w:rsidR="00E512B4" w14:paraId="6F78B79C" w14:textId="77777777" w:rsidTr="00143565">
        <w:trPr>
          <w:trHeight w:val="357"/>
        </w:trPr>
        <w:tc>
          <w:tcPr>
            <w:tcW w:w="707" w:type="pct"/>
            <w:vMerge/>
            <w:vAlign w:val="center"/>
          </w:tcPr>
          <w:p w14:paraId="740E5E9C" w14:textId="77777777" w:rsidR="006D21A0" w:rsidRDefault="006D21A0" w:rsidP="00A84607">
            <w:pPr>
              <w:snapToGrid w:val="0"/>
              <w:spacing w:line="240" w:lineRule="auto"/>
              <w:jc w:val="center"/>
              <w:rPr>
                <w:rFonts w:ascii="宋体" w:hAnsi="宋体" w:cs="宋体"/>
                <w:color w:val="000000"/>
                <w:sz w:val="18"/>
                <w:szCs w:val="18"/>
              </w:rPr>
            </w:pPr>
          </w:p>
        </w:tc>
        <w:tc>
          <w:tcPr>
            <w:tcW w:w="713" w:type="pct"/>
            <w:vMerge w:val="restart"/>
            <w:vAlign w:val="center"/>
          </w:tcPr>
          <w:p w14:paraId="66508F44"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非机动车接驳设施</w:t>
            </w:r>
          </w:p>
        </w:tc>
        <w:tc>
          <w:tcPr>
            <w:tcW w:w="941" w:type="pct"/>
            <w:vAlign w:val="center"/>
          </w:tcPr>
          <w:p w14:paraId="3B9502A3"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站点周边骑行道路</w:t>
            </w:r>
          </w:p>
        </w:tc>
        <w:tc>
          <w:tcPr>
            <w:tcW w:w="668" w:type="pct"/>
            <w:vMerge/>
            <w:vAlign w:val="center"/>
          </w:tcPr>
          <w:p w14:paraId="5E93065F" w14:textId="77777777" w:rsidR="006D21A0" w:rsidRDefault="006D21A0" w:rsidP="006417E6">
            <w:pPr>
              <w:snapToGrid w:val="0"/>
              <w:jc w:val="center"/>
              <w:rPr>
                <w:rFonts w:ascii="宋体" w:hAnsi="宋体" w:cs="宋体"/>
                <w:color w:val="000000"/>
                <w:sz w:val="18"/>
                <w:szCs w:val="18"/>
              </w:rPr>
            </w:pPr>
          </w:p>
        </w:tc>
        <w:tc>
          <w:tcPr>
            <w:tcW w:w="670" w:type="pct"/>
            <w:vAlign w:val="center"/>
          </w:tcPr>
          <w:p w14:paraId="49685E93"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70" w:type="pct"/>
            <w:vAlign w:val="center"/>
          </w:tcPr>
          <w:p w14:paraId="4401151A"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31" w:type="pct"/>
            <w:vAlign w:val="center"/>
          </w:tcPr>
          <w:p w14:paraId="78936F44" w14:textId="77777777" w:rsidR="006D21A0" w:rsidRDefault="006D21A0" w:rsidP="006417E6">
            <w:pPr>
              <w:widowControl/>
              <w:snapToGrid w:val="0"/>
              <w:jc w:val="center"/>
              <w:rPr>
                <w:color w:val="000000"/>
                <w:sz w:val="18"/>
                <w:szCs w:val="18"/>
              </w:rPr>
            </w:pPr>
            <w:r>
              <w:rPr>
                <w:color w:val="000000"/>
                <w:kern w:val="0"/>
                <w:sz w:val="18"/>
                <w:szCs w:val="18"/>
                <w:lang w:bidi="ar"/>
              </w:rPr>
              <w:t>▲</w:t>
            </w:r>
          </w:p>
        </w:tc>
      </w:tr>
      <w:tr w:rsidR="00E512B4" w14:paraId="751CA6AC" w14:textId="77777777" w:rsidTr="00143565">
        <w:trPr>
          <w:trHeight w:val="357"/>
        </w:trPr>
        <w:tc>
          <w:tcPr>
            <w:tcW w:w="707" w:type="pct"/>
            <w:vMerge/>
            <w:vAlign w:val="center"/>
          </w:tcPr>
          <w:p w14:paraId="3A1AC579" w14:textId="77777777" w:rsidR="006D21A0" w:rsidRDefault="006D21A0" w:rsidP="00A84607">
            <w:pPr>
              <w:snapToGrid w:val="0"/>
              <w:spacing w:line="240" w:lineRule="auto"/>
              <w:jc w:val="center"/>
              <w:rPr>
                <w:rFonts w:ascii="宋体" w:hAnsi="宋体" w:cs="宋体"/>
                <w:color w:val="000000"/>
                <w:sz w:val="18"/>
                <w:szCs w:val="18"/>
              </w:rPr>
            </w:pPr>
          </w:p>
        </w:tc>
        <w:tc>
          <w:tcPr>
            <w:tcW w:w="713" w:type="pct"/>
            <w:vMerge/>
            <w:vAlign w:val="center"/>
          </w:tcPr>
          <w:p w14:paraId="30168D52" w14:textId="77777777" w:rsidR="006D21A0" w:rsidRDefault="006D21A0" w:rsidP="00A84607">
            <w:pPr>
              <w:snapToGrid w:val="0"/>
              <w:spacing w:line="240" w:lineRule="auto"/>
              <w:jc w:val="center"/>
              <w:rPr>
                <w:rFonts w:ascii="宋体" w:hAnsi="宋体" w:cs="宋体"/>
                <w:color w:val="000000"/>
                <w:sz w:val="18"/>
                <w:szCs w:val="18"/>
              </w:rPr>
            </w:pPr>
          </w:p>
        </w:tc>
        <w:tc>
          <w:tcPr>
            <w:tcW w:w="941" w:type="pct"/>
            <w:vAlign w:val="center"/>
          </w:tcPr>
          <w:p w14:paraId="6C385EE0"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公共自行车或共享单车停车区</w:t>
            </w:r>
          </w:p>
        </w:tc>
        <w:tc>
          <w:tcPr>
            <w:tcW w:w="668" w:type="pct"/>
            <w:vMerge/>
            <w:vAlign w:val="center"/>
          </w:tcPr>
          <w:p w14:paraId="499C9A48" w14:textId="77777777" w:rsidR="006D21A0" w:rsidRDefault="006D21A0" w:rsidP="006417E6">
            <w:pPr>
              <w:snapToGrid w:val="0"/>
              <w:jc w:val="center"/>
              <w:rPr>
                <w:rFonts w:ascii="宋体" w:hAnsi="宋体" w:cs="宋体"/>
                <w:color w:val="000000"/>
                <w:sz w:val="18"/>
                <w:szCs w:val="18"/>
              </w:rPr>
            </w:pPr>
          </w:p>
        </w:tc>
        <w:tc>
          <w:tcPr>
            <w:tcW w:w="670" w:type="pct"/>
            <w:vAlign w:val="center"/>
          </w:tcPr>
          <w:p w14:paraId="17D78D02"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70" w:type="pct"/>
            <w:vAlign w:val="center"/>
          </w:tcPr>
          <w:p w14:paraId="434938D4"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31" w:type="pct"/>
            <w:vAlign w:val="center"/>
          </w:tcPr>
          <w:p w14:paraId="6B15F235" w14:textId="77777777" w:rsidR="006D21A0" w:rsidRDefault="006D21A0" w:rsidP="006417E6">
            <w:pPr>
              <w:widowControl/>
              <w:snapToGrid w:val="0"/>
              <w:jc w:val="center"/>
              <w:rPr>
                <w:color w:val="000000"/>
                <w:sz w:val="18"/>
                <w:szCs w:val="18"/>
              </w:rPr>
            </w:pPr>
            <w:r>
              <w:rPr>
                <w:color w:val="000000"/>
                <w:kern w:val="0"/>
                <w:sz w:val="18"/>
                <w:szCs w:val="18"/>
                <w:lang w:bidi="ar"/>
              </w:rPr>
              <w:t>▲</w:t>
            </w:r>
          </w:p>
        </w:tc>
      </w:tr>
      <w:tr w:rsidR="00E512B4" w14:paraId="278B63F8" w14:textId="77777777" w:rsidTr="00143565">
        <w:trPr>
          <w:trHeight w:val="357"/>
        </w:trPr>
        <w:tc>
          <w:tcPr>
            <w:tcW w:w="707" w:type="pct"/>
            <w:vMerge/>
            <w:vAlign w:val="center"/>
          </w:tcPr>
          <w:p w14:paraId="60AA689A" w14:textId="77777777" w:rsidR="006D21A0" w:rsidRDefault="006D21A0" w:rsidP="00A84607">
            <w:pPr>
              <w:snapToGrid w:val="0"/>
              <w:spacing w:line="240" w:lineRule="auto"/>
              <w:jc w:val="center"/>
              <w:rPr>
                <w:rFonts w:ascii="宋体" w:hAnsi="宋体" w:cs="宋体"/>
                <w:color w:val="000000"/>
                <w:sz w:val="18"/>
                <w:szCs w:val="18"/>
              </w:rPr>
            </w:pPr>
          </w:p>
        </w:tc>
        <w:tc>
          <w:tcPr>
            <w:tcW w:w="713" w:type="pct"/>
            <w:vMerge/>
            <w:vAlign w:val="center"/>
          </w:tcPr>
          <w:p w14:paraId="047BB94F" w14:textId="77777777" w:rsidR="006D21A0" w:rsidRDefault="006D21A0" w:rsidP="00A84607">
            <w:pPr>
              <w:snapToGrid w:val="0"/>
              <w:spacing w:line="240" w:lineRule="auto"/>
              <w:jc w:val="center"/>
              <w:rPr>
                <w:rFonts w:ascii="宋体" w:hAnsi="宋体" w:cs="宋体"/>
                <w:color w:val="000000"/>
                <w:sz w:val="18"/>
                <w:szCs w:val="18"/>
              </w:rPr>
            </w:pPr>
          </w:p>
        </w:tc>
        <w:tc>
          <w:tcPr>
            <w:tcW w:w="941" w:type="pct"/>
            <w:vAlign w:val="center"/>
          </w:tcPr>
          <w:p w14:paraId="1980CB9E"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非机动车停车场</w:t>
            </w:r>
          </w:p>
        </w:tc>
        <w:tc>
          <w:tcPr>
            <w:tcW w:w="668" w:type="pct"/>
            <w:vMerge/>
            <w:vAlign w:val="center"/>
          </w:tcPr>
          <w:p w14:paraId="7D101D8C" w14:textId="77777777" w:rsidR="006D21A0" w:rsidRDefault="006D21A0" w:rsidP="006417E6">
            <w:pPr>
              <w:snapToGrid w:val="0"/>
              <w:jc w:val="center"/>
              <w:rPr>
                <w:rFonts w:ascii="宋体" w:hAnsi="宋体" w:cs="宋体"/>
                <w:color w:val="000000"/>
                <w:sz w:val="18"/>
                <w:szCs w:val="18"/>
              </w:rPr>
            </w:pPr>
          </w:p>
        </w:tc>
        <w:tc>
          <w:tcPr>
            <w:tcW w:w="670" w:type="pct"/>
            <w:vAlign w:val="center"/>
          </w:tcPr>
          <w:p w14:paraId="6E4A8A0E"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70" w:type="pct"/>
            <w:vAlign w:val="center"/>
          </w:tcPr>
          <w:p w14:paraId="3C9F2137"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31" w:type="pct"/>
            <w:vAlign w:val="center"/>
          </w:tcPr>
          <w:p w14:paraId="3FCA04A3" w14:textId="77777777" w:rsidR="006D21A0" w:rsidRDefault="006D21A0" w:rsidP="006417E6">
            <w:pPr>
              <w:widowControl/>
              <w:snapToGrid w:val="0"/>
              <w:jc w:val="center"/>
              <w:rPr>
                <w:color w:val="000000"/>
                <w:sz w:val="18"/>
                <w:szCs w:val="18"/>
              </w:rPr>
            </w:pPr>
            <w:r>
              <w:rPr>
                <w:color w:val="000000"/>
                <w:kern w:val="0"/>
                <w:sz w:val="18"/>
                <w:szCs w:val="18"/>
                <w:lang w:bidi="ar"/>
              </w:rPr>
              <w:t>▲</w:t>
            </w:r>
          </w:p>
        </w:tc>
      </w:tr>
      <w:tr w:rsidR="00E512B4" w14:paraId="25F6DCEC" w14:textId="77777777" w:rsidTr="00143565">
        <w:trPr>
          <w:trHeight w:val="357"/>
        </w:trPr>
        <w:tc>
          <w:tcPr>
            <w:tcW w:w="707" w:type="pct"/>
            <w:vMerge/>
            <w:vAlign w:val="center"/>
          </w:tcPr>
          <w:p w14:paraId="34229760" w14:textId="77777777" w:rsidR="006D21A0" w:rsidRDefault="006D21A0" w:rsidP="00A84607">
            <w:pPr>
              <w:snapToGrid w:val="0"/>
              <w:spacing w:line="240" w:lineRule="auto"/>
              <w:jc w:val="center"/>
              <w:rPr>
                <w:rFonts w:ascii="宋体" w:hAnsi="宋体" w:cs="宋体"/>
                <w:color w:val="000000"/>
                <w:sz w:val="18"/>
                <w:szCs w:val="18"/>
              </w:rPr>
            </w:pPr>
          </w:p>
        </w:tc>
        <w:tc>
          <w:tcPr>
            <w:tcW w:w="713" w:type="pct"/>
            <w:vMerge w:val="restart"/>
            <w:vAlign w:val="center"/>
          </w:tcPr>
          <w:p w14:paraId="2E1607E8"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公交接驳设施</w:t>
            </w:r>
          </w:p>
        </w:tc>
        <w:tc>
          <w:tcPr>
            <w:tcW w:w="941" w:type="pct"/>
            <w:vAlign w:val="center"/>
          </w:tcPr>
          <w:p w14:paraId="1E3A1471"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公交车停靠站</w:t>
            </w:r>
          </w:p>
        </w:tc>
        <w:tc>
          <w:tcPr>
            <w:tcW w:w="668" w:type="pct"/>
            <w:vMerge/>
            <w:vAlign w:val="center"/>
          </w:tcPr>
          <w:p w14:paraId="352EFFA1" w14:textId="77777777" w:rsidR="006D21A0" w:rsidRDefault="006D21A0" w:rsidP="006417E6">
            <w:pPr>
              <w:snapToGrid w:val="0"/>
              <w:jc w:val="center"/>
              <w:rPr>
                <w:rFonts w:ascii="宋体" w:hAnsi="宋体" w:cs="宋体"/>
                <w:color w:val="000000"/>
                <w:sz w:val="18"/>
                <w:szCs w:val="18"/>
              </w:rPr>
            </w:pPr>
          </w:p>
        </w:tc>
        <w:tc>
          <w:tcPr>
            <w:tcW w:w="670" w:type="pct"/>
            <w:vAlign w:val="center"/>
          </w:tcPr>
          <w:p w14:paraId="67118F63"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70" w:type="pct"/>
            <w:vAlign w:val="center"/>
          </w:tcPr>
          <w:p w14:paraId="27B6C93E"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31" w:type="pct"/>
            <w:vAlign w:val="center"/>
          </w:tcPr>
          <w:p w14:paraId="2A53282A" w14:textId="77777777" w:rsidR="006D21A0" w:rsidRDefault="006D21A0" w:rsidP="006417E6">
            <w:pPr>
              <w:widowControl/>
              <w:snapToGrid w:val="0"/>
              <w:jc w:val="center"/>
              <w:rPr>
                <w:color w:val="000000"/>
                <w:sz w:val="18"/>
                <w:szCs w:val="18"/>
              </w:rPr>
            </w:pPr>
            <w:r>
              <w:rPr>
                <w:color w:val="000000"/>
                <w:kern w:val="0"/>
                <w:sz w:val="18"/>
                <w:szCs w:val="18"/>
                <w:lang w:bidi="ar"/>
              </w:rPr>
              <w:t>▲</w:t>
            </w:r>
          </w:p>
        </w:tc>
      </w:tr>
      <w:tr w:rsidR="00E512B4" w14:paraId="79CDEB85" w14:textId="77777777" w:rsidTr="00143565">
        <w:trPr>
          <w:trHeight w:val="357"/>
        </w:trPr>
        <w:tc>
          <w:tcPr>
            <w:tcW w:w="707" w:type="pct"/>
            <w:vMerge/>
            <w:vAlign w:val="center"/>
          </w:tcPr>
          <w:p w14:paraId="3FA611A5" w14:textId="77777777" w:rsidR="006D21A0" w:rsidRDefault="006D21A0" w:rsidP="00A84607">
            <w:pPr>
              <w:snapToGrid w:val="0"/>
              <w:spacing w:line="240" w:lineRule="auto"/>
              <w:jc w:val="center"/>
              <w:rPr>
                <w:rFonts w:ascii="宋体" w:hAnsi="宋体" w:cs="宋体"/>
                <w:color w:val="000000"/>
                <w:sz w:val="18"/>
                <w:szCs w:val="18"/>
              </w:rPr>
            </w:pPr>
          </w:p>
        </w:tc>
        <w:tc>
          <w:tcPr>
            <w:tcW w:w="713" w:type="pct"/>
            <w:vMerge/>
            <w:vAlign w:val="center"/>
          </w:tcPr>
          <w:p w14:paraId="60FFAF2C" w14:textId="77777777" w:rsidR="006D21A0" w:rsidRDefault="006D21A0" w:rsidP="00A84607">
            <w:pPr>
              <w:snapToGrid w:val="0"/>
              <w:spacing w:line="240" w:lineRule="auto"/>
              <w:jc w:val="center"/>
              <w:rPr>
                <w:rFonts w:ascii="宋体" w:hAnsi="宋体" w:cs="宋体"/>
                <w:color w:val="000000"/>
                <w:sz w:val="18"/>
                <w:szCs w:val="18"/>
              </w:rPr>
            </w:pPr>
          </w:p>
        </w:tc>
        <w:tc>
          <w:tcPr>
            <w:tcW w:w="941" w:type="pct"/>
            <w:vAlign w:val="center"/>
          </w:tcPr>
          <w:p w14:paraId="4BF008B8"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公交场站</w:t>
            </w:r>
          </w:p>
        </w:tc>
        <w:tc>
          <w:tcPr>
            <w:tcW w:w="668" w:type="pct"/>
            <w:vMerge/>
            <w:vAlign w:val="center"/>
          </w:tcPr>
          <w:p w14:paraId="528B5D99" w14:textId="77777777" w:rsidR="006D21A0" w:rsidRDefault="006D21A0" w:rsidP="006417E6">
            <w:pPr>
              <w:snapToGrid w:val="0"/>
              <w:jc w:val="center"/>
              <w:rPr>
                <w:rFonts w:ascii="宋体" w:hAnsi="宋体" w:cs="宋体"/>
                <w:color w:val="000000"/>
                <w:sz w:val="18"/>
                <w:szCs w:val="18"/>
              </w:rPr>
            </w:pPr>
          </w:p>
        </w:tc>
        <w:tc>
          <w:tcPr>
            <w:tcW w:w="670" w:type="pct"/>
            <w:vAlign w:val="center"/>
          </w:tcPr>
          <w:p w14:paraId="47929FDB"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70" w:type="pct"/>
            <w:vAlign w:val="center"/>
          </w:tcPr>
          <w:p w14:paraId="5F0B7643" w14:textId="58204649" w:rsidR="006D21A0" w:rsidRDefault="001C1F75" w:rsidP="006417E6">
            <w:pPr>
              <w:widowControl/>
              <w:snapToGrid w:val="0"/>
              <w:jc w:val="center"/>
              <w:rPr>
                <w:color w:val="000000"/>
                <w:sz w:val="18"/>
                <w:szCs w:val="18"/>
              </w:rPr>
            </w:pPr>
            <w:r>
              <w:rPr>
                <w:rFonts w:ascii="宋体" w:hAnsi="宋体" w:hint="eastAsia"/>
                <w:color w:val="000000"/>
                <w:kern w:val="0"/>
                <w:sz w:val="18"/>
                <w:szCs w:val="18"/>
                <w:lang w:bidi="ar"/>
              </w:rPr>
              <w:t>○</w:t>
            </w:r>
          </w:p>
        </w:tc>
        <w:tc>
          <w:tcPr>
            <w:tcW w:w="631" w:type="pct"/>
            <w:vAlign w:val="center"/>
          </w:tcPr>
          <w:p w14:paraId="55C4E325" w14:textId="693550EF" w:rsidR="006D21A0" w:rsidRDefault="001C1F75" w:rsidP="006417E6">
            <w:pPr>
              <w:widowControl/>
              <w:snapToGrid w:val="0"/>
              <w:jc w:val="center"/>
              <w:rPr>
                <w:color w:val="000000"/>
                <w:sz w:val="18"/>
                <w:szCs w:val="18"/>
              </w:rPr>
            </w:pPr>
            <w:r>
              <w:rPr>
                <w:rFonts w:ascii="宋体" w:hAnsi="宋体" w:hint="eastAsia"/>
                <w:color w:val="000000"/>
                <w:kern w:val="0"/>
                <w:sz w:val="18"/>
                <w:szCs w:val="18"/>
                <w:lang w:bidi="ar"/>
              </w:rPr>
              <w:t>○</w:t>
            </w:r>
          </w:p>
        </w:tc>
      </w:tr>
      <w:tr w:rsidR="00E512B4" w14:paraId="324B1624" w14:textId="77777777" w:rsidTr="00143565">
        <w:trPr>
          <w:trHeight w:val="357"/>
        </w:trPr>
        <w:tc>
          <w:tcPr>
            <w:tcW w:w="707" w:type="pct"/>
            <w:vMerge/>
            <w:vAlign w:val="center"/>
          </w:tcPr>
          <w:p w14:paraId="4004F8E2" w14:textId="77777777" w:rsidR="006D21A0" w:rsidRDefault="006D21A0" w:rsidP="00A84607">
            <w:pPr>
              <w:snapToGrid w:val="0"/>
              <w:spacing w:line="240" w:lineRule="auto"/>
              <w:jc w:val="center"/>
              <w:rPr>
                <w:rFonts w:ascii="宋体" w:hAnsi="宋体" w:cs="宋体"/>
                <w:color w:val="000000"/>
                <w:sz w:val="18"/>
                <w:szCs w:val="18"/>
              </w:rPr>
            </w:pPr>
          </w:p>
        </w:tc>
        <w:tc>
          <w:tcPr>
            <w:tcW w:w="713" w:type="pct"/>
            <w:vMerge w:val="restart"/>
            <w:vAlign w:val="center"/>
          </w:tcPr>
          <w:p w14:paraId="19CCCFCB"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出租车接驳设施</w:t>
            </w:r>
          </w:p>
        </w:tc>
        <w:tc>
          <w:tcPr>
            <w:tcW w:w="941" w:type="pct"/>
            <w:vAlign w:val="center"/>
          </w:tcPr>
          <w:p w14:paraId="614C627B"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出租车停靠站</w:t>
            </w:r>
          </w:p>
        </w:tc>
        <w:tc>
          <w:tcPr>
            <w:tcW w:w="668" w:type="pct"/>
            <w:vMerge/>
            <w:vAlign w:val="center"/>
          </w:tcPr>
          <w:p w14:paraId="4A6AEA51" w14:textId="77777777" w:rsidR="006D21A0" w:rsidRDefault="006D21A0" w:rsidP="006417E6">
            <w:pPr>
              <w:snapToGrid w:val="0"/>
              <w:jc w:val="center"/>
              <w:rPr>
                <w:rFonts w:ascii="宋体" w:hAnsi="宋体" w:cs="宋体"/>
                <w:color w:val="000000"/>
                <w:sz w:val="18"/>
                <w:szCs w:val="18"/>
              </w:rPr>
            </w:pPr>
          </w:p>
        </w:tc>
        <w:tc>
          <w:tcPr>
            <w:tcW w:w="670" w:type="pct"/>
            <w:vAlign w:val="center"/>
          </w:tcPr>
          <w:p w14:paraId="02ABF2E8"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70" w:type="pct"/>
            <w:vAlign w:val="center"/>
          </w:tcPr>
          <w:p w14:paraId="19925AB7"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31" w:type="pct"/>
            <w:vAlign w:val="center"/>
          </w:tcPr>
          <w:p w14:paraId="1EAEED4F" w14:textId="77777777" w:rsidR="006D21A0" w:rsidRDefault="006D21A0" w:rsidP="006417E6">
            <w:pPr>
              <w:widowControl/>
              <w:snapToGrid w:val="0"/>
              <w:jc w:val="center"/>
              <w:rPr>
                <w:color w:val="000000"/>
                <w:sz w:val="18"/>
                <w:szCs w:val="18"/>
              </w:rPr>
            </w:pPr>
            <w:r>
              <w:rPr>
                <w:color w:val="000000"/>
                <w:kern w:val="0"/>
                <w:sz w:val="18"/>
                <w:szCs w:val="18"/>
                <w:lang w:bidi="ar"/>
              </w:rPr>
              <w:t>▲</w:t>
            </w:r>
          </w:p>
        </w:tc>
      </w:tr>
      <w:tr w:rsidR="00E512B4" w14:paraId="6BC5A38D" w14:textId="77777777" w:rsidTr="00143565">
        <w:trPr>
          <w:trHeight w:val="357"/>
        </w:trPr>
        <w:tc>
          <w:tcPr>
            <w:tcW w:w="707" w:type="pct"/>
            <w:vMerge/>
            <w:vAlign w:val="center"/>
          </w:tcPr>
          <w:p w14:paraId="2ABBB9A1" w14:textId="77777777" w:rsidR="006D21A0" w:rsidRDefault="006D21A0" w:rsidP="00A84607">
            <w:pPr>
              <w:snapToGrid w:val="0"/>
              <w:spacing w:line="240" w:lineRule="auto"/>
              <w:jc w:val="center"/>
              <w:rPr>
                <w:rFonts w:ascii="宋体" w:hAnsi="宋体" w:cs="宋体"/>
                <w:color w:val="000000"/>
                <w:sz w:val="18"/>
                <w:szCs w:val="18"/>
              </w:rPr>
            </w:pPr>
          </w:p>
        </w:tc>
        <w:tc>
          <w:tcPr>
            <w:tcW w:w="713" w:type="pct"/>
            <w:vMerge/>
            <w:vAlign w:val="center"/>
          </w:tcPr>
          <w:p w14:paraId="7ECD13D3" w14:textId="77777777" w:rsidR="006D21A0" w:rsidRDefault="006D21A0" w:rsidP="00A84607">
            <w:pPr>
              <w:snapToGrid w:val="0"/>
              <w:spacing w:line="240" w:lineRule="auto"/>
              <w:jc w:val="center"/>
              <w:rPr>
                <w:rFonts w:ascii="宋体" w:hAnsi="宋体" w:cs="宋体"/>
                <w:color w:val="000000"/>
                <w:sz w:val="18"/>
                <w:szCs w:val="18"/>
              </w:rPr>
            </w:pPr>
          </w:p>
        </w:tc>
        <w:tc>
          <w:tcPr>
            <w:tcW w:w="941" w:type="pct"/>
            <w:vAlign w:val="center"/>
          </w:tcPr>
          <w:p w14:paraId="1C7E8AA7"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出租车蓄车场</w:t>
            </w:r>
          </w:p>
        </w:tc>
        <w:tc>
          <w:tcPr>
            <w:tcW w:w="668" w:type="pct"/>
            <w:vMerge/>
            <w:vAlign w:val="center"/>
          </w:tcPr>
          <w:p w14:paraId="3D99EC07" w14:textId="77777777" w:rsidR="006D21A0" w:rsidRDefault="006D21A0" w:rsidP="006417E6">
            <w:pPr>
              <w:snapToGrid w:val="0"/>
              <w:jc w:val="center"/>
              <w:rPr>
                <w:rFonts w:ascii="宋体" w:hAnsi="宋体" w:cs="宋体"/>
                <w:color w:val="000000"/>
                <w:sz w:val="18"/>
                <w:szCs w:val="18"/>
              </w:rPr>
            </w:pPr>
          </w:p>
        </w:tc>
        <w:tc>
          <w:tcPr>
            <w:tcW w:w="670" w:type="pct"/>
            <w:vAlign w:val="center"/>
          </w:tcPr>
          <w:p w14:paraId="5500ADB2"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70" w:type="pct"/>
            <w:vAlign w:val="center"/>
          </w:tcPr>
          <w:p w14:paraId="161467C0" w14:textId="3D6EC8AD" w:rsidR="006D21A0" w:rsidRDefault="001C1F75" w:rsidP="006417E6">
            <w:pPr>
              <w:widowControl/>
              <w:snapToGrid w:val="0"/>
              <w:jc w:val="center"/>
              <w:rPr>
                <w:color w:val="000000"/>
                <w:sz w:val="18"/>
                <w:szCs w:val="18"/>
              </w:rPr>
            </w:pPr>
            <w:r>
              <w:rPr>
                <w:rFonts w:ascii="宋体" w:hAnsi="宋体" w:hint="eastAsia"/>
                <w:color w:val="000000"/>
                <w:kern w:val="0"/>
                <w:sz w:val="18"/>
                <w:szCs w:val="18"/>
                <w:lang w:bidi="ar"/>
              </w:rPr>
              <w:t>○</w:t>
            </w:r>
          </w:p>
        </w:tc>
        <w:tc>
          <w:tcPr>
            <w:tcW w:w="631" w:type="pct"/>
            <w:vAlign w:val="center"/>
          </w:tcPr>
          <w:p w14:paraId="27DCDB50" w14:textId="5E15653F" w:rsidR="006D21A0" w:rsidRDefault="001C1F75" w:rsidP="006417E6">
            <w:pPr>
              <w:widowControl/>
              <w:snapToGrid w:val="0"/>
              <w:jc w:val="center"/>
              <w:rPr>
                <w:color w:val="000000"/>
                <w:sz w:val="18"/>
                <w:szCs w:val="18"/>
              </w:rPr>
            </w:pPr>
            <w:r>
              <w:rPr>
                <w:rFonts w:ascii="宋体" w:hAnsi="宋体" w:hint="eastAsia"/>
                <w:color w:val="000000"/>
                <w:kern w:val="0"/>
                <w:sz w:val="18"/>
                <w:szCs w:val="18"/>
                <w:lang w:bidi="ar"/>
              </w:rPr>
              <w:t>○</w:t>
            </w:r>
          </w:p>
        </w:tc>
      </w:tr>
      <w:tr w:rsidR="00E512B4" w14:paraId="3CE0C63C" w14:textId="77777777" w:rsidTr="00143565">
        <w:trPr>
          <w:trHeight w:val="357"/>
        </w:trPr>
        <w:tc>
          <w:tcPr>
            <w:tcW w:w="707" w:type="pct"/>
            <w:vMerge/>
            <w:vAlign w:val="center"/>
          </w:tcPr>
          <w:p w14:paraId="5D4D576C" w14:textId="77777777" w:rsidR="006D21A0" w:rsidRDefault="006D21A0" w:rsidP="00A84607">
            <w:pPr>
              <w:snapToGrid w:val="0"/>
              <w:spacing w:line="240" w:lineRule="auto"/>
              <w:jc w:val="center"/>
              <w:rPr>
                <w:rFonts w:ascii="宋体" w:hAnsi="宋体" w:cs="宋体"/>
                <w:color w:val="000000"/>
                <w:sz w:val="18"/>
                <w:szCs w:val="18"/>
              </w:rPr>
            </w:pPr>
          </w:p>
        </w:tc>
        <w:tc>
          <w:tcPr>
            <w:tcW w:w="713" w:type="pct"/>
            <w:vMerge w:val="restart"/>
            <w:vAlign w:val="center"/>
          </w:tcPr>
          <w:p w14:paraId="7B1FB89A"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小汽车接驳设施</w:t>
            </w:r>
          </w:p>
        </w:tc>
        <w:tc>
          <w:tcPr>
            <w:tcW w:w="941" w:type="pct"/>
            <w:vAlign w:val="center"/>
          </w:tcPr>
          <w:p w14:paraId="0AF9DB24"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小汽车临时停靠站（含共享汽车、网约车）</w:t>
            </w:r>
          </w:p>
        </w:tc>
        <w:tc>
          <w:tcPr>
            <w:tcW w:w="668" w:type="pct"/>
            <w:vMerge/>
            <w:vAlign w:val="center"/>
          </w:tcPr>
          <w:p w14:paraId="2E58BCD6" w14:textId="77777777" w:rsidR="006D21A0" w:rsidRDefault="006D21A0" w:rsidP="006417E6">
            <w:pPr>
              <w:snapToGrid w:val="0"/>
              <w:jc w:val="center"/>
              <w:rPr>
                <w:rFonts w:ascii="宋体" w:hAnsi="宋体" w:cs="宋体"/>
                <w:color w:val="000000"/>
                <w:sz w:val="18"/>
                <w:szCs w:val="18"/>
              </w:rPr>
            </w:pPr>
          </w:p>
        </w:tc>
        <w:tc>
          <w:tcPr>
            <w:tcW w:w="670" w:type="pct"/>
            <w:vAlign w:val="center"/>
          </w:tcPr>
          <w:p w14:paraId="1D511F88"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70" w:type="pct"/>
            <w:vAlign w:val="center"/>
          </w:tcPr>
          <w:p w14:paraId="4C336A50" w14:textId="77777777" w:rsidR="006D21A0" w:rsidRDefault="006D21A0" w:rsidP="006417E6">
            <w:pPr>
              <w:widowControl/>
              <w:snapToGrid w:val="0"/>
              <w:jc w:val="center"/>
              <w:rPr>
                <w:color w:val="000000"/>
                <w:sz w:val="18"/>
                <w:szCs w:val="18"/>
              </w:rPr>
            </w:pPr>
            <w:r>
              <w:rPr>
                <w:color w:val="000000"/>
                <w:kern w:val="0"/>
                <w:sz w:val="18"/>
                <w:szCs w:val="18"/>
                <w:lang w:bidi="ar"/>
              </w:rPr>
              <w:t>△</w:t>
            </w:r>
          </w:p>
        </w:tc>
        <w:tc>
          <w:tcPr>
            <w:tcW w:w="631" w:type="pct"/>
            <w:vAlign w:val="center"/>
          </w:tcPr>
          <w:p w14:paraId="6B826AF5" w14:textId="75D9F7E7" w:rsidR="006D21A0" w:rsidRDefault="001C1F75" w:rsidP="006417E6">
            <w:pPr>
              <w:widowControl/>
              <w:snapToGrid w:val="0"/>
              <w:jc w:val="center"/>
              <w:rPr>
                <w:color w:val="000000"/>
                <w:sz w:val="18"/>
                <w:szCs w:val="18"/>
              </w:rPr>
            </w:pPr>
            <w:r>
              <w:rPr>
                <w:rFonts w:ascii="宋体" w:hAnsi="宋体" w:hint="eastAsia"/>
                <w:color w:val="000000"/>
                <w:kern w:val="0"/>
                <w:sz w:val="18"/>
                <w:szCs w:val="18"/>
                <w:lang w:bidi="ar"/>
              </w:rPr>
              <w:t>○</w:t>
            </w:r>
          </w:p>
        </w:tc>
      </w:tr>
      <w:tr w:rsidR="00E512B4" w14:paraId="0A380E83" w14:textId="77777777" w:rsidTr="00143565">
        <w:trPr>
          <w:trHeight w:val="357"/>
        </w:trPr>
        <w:tc>
          <w:tcPr>
            <w:tcW w:w="707" w:type="pct"/>
            <w:vMerge/>
            <w:vAlign w:val="center"/>
          </w:tcPr>
          <w:p w14:paraId="227194F9" w14:textId="77777777" w:rsidR="006D21A0" w:rsidRDefault="006D21A0" w:rsidP="00A84607">
            <w:pPr>
              <w:snapToGrid w:val="0"/>
              <w:spacing w:line="240" w:lineRule="auto"/>
              <w:jc w:val="center"/>
              <w:rPr>
                <w:rFonts w:ascii="宋体" w:hAnsi="宋体" w:cs="宋体"/>
                <w:color w:val="000000"/>
                <w:sz w:val="18"/>
                <w:szCs w:val="18"/>
              </w:rPr>
            </w:pPr>
          </w:p>
        </w:tc>
        <w:tc>
          <w:tcPr>
            <w:tcW w:w="713" w:type="pct"/>
            <w:vMerge/>
            <w:vAlign w:val="center"/>
          </w:tcPr>
          <w:p w14:paraId="7A6CD0D9" w14:textId="77777777" w:rsidR="006D21A0" w:rsidRDefault="006D21A0" w:rsidP="00A84607">
            <w:pPr>
              <w:snapToGrid w:val="0"/>
              <w:spacing w:line="240" w:lineRule="auto"/>
              <w:jc w:val="center"/>
              <w:rPr>
                <w:rFonts w:ascii="宋体" w:hAnsi="宋体" w:cs="宋体"/>
                <w:color w:val="000000"/>
                <w:sz w:val="18"/>
                <w:szCs w:val="18"/>
              </w:rPr>
            </w:pPr>
          </w:p>
        </w:tc>
        <w:tc>
          <w:tcPr>
            <w:tcW w:w="941" w:type="pct"/>
            <w:vAlign w:val="center"/>
          </w:tcPr>
          <w:p w14:paraId="3B94FE1B" w14:textId="77777777" w:rsidR="006D21A0" w:rsidRDefault="006D21A0" w:rsidP="00A84607">
            <w:pPr>
              <w:widowControl/>
              <w:snapToGrid w:val="0"/>
              <w:spacing w:line="240" w:lineRule="auto"/>
              <w:jc w:val="center"/>
              <w:rPr>
                <w:rFonts w:ascii="宋体" w:hAnsi="宋体" w:cs="宋体"/>
                <w:color w:val="000000"/>
                <w:sz w:val="18"/>
                <w:szCs w:val="18"/>
              </w:rPr>
            </w:pPr>
            <w:r>
              <w:rPr>
                <w:rFonts w:ascii="宋体" w:hAnsi="宋体" w:cs="宋体" w:hint="eastAsia"/>
                <w:color w:val="000000"/>
                <w:kern w:val="0"/>
                <w:sz w:val="18"/>
                <w:szCs w:val="18"/>
                <w:lang w:bidi="ar"/>
              </w:rPr>
              <w:t>小汽车驻车换乘停车场</w:t>
            </w:r>
          </w:p>
        </w:tc>
        <w:tc>
          <w:tcPr>
            <w:tcW w:w="668" w:type="pct"/>
            <w:vMerge/>
            <w:vAlign w:val="center"/>
          </w:tcPr>
          <w:p w14:paraId="5DE53397" w14:textId="77777777" w:rsidR="006D21A0" w:rsidRDefault="006D21A0" w:rsidP="006417E6">
            <w:pPr>
              <w:snapToGrid w:val="0"/>
              <w:jc w:val="center"/>
              <w:rPr>
                <w:rFonts w:ascii="宋体" w:hAnsi="宋体" w:cs="宋体"/>
                <w:color w:val="000000"/>
                <w:sz w:val="18"/>
                <w:szCs w:val="18"/>
              </w:rPr>
            </w:pPr>
          </w:p>
        </w:tc>
        <w:tc>
          <w:tcPr>
            <w:tcW w:w="1971" w:type="pct"/>
            <w:gridSpan w:val="3"/>
            <w:vAlign w:val="center"/>
          </w:tcPr>
          <w:p w14:paraId="3CF90345" w14:textId="77777777" w:rsidR="006D21A0" w:rsidRDefault="006D21A0" w:rsidP="006417E6">
            <w:pPr>
              <w:widowControl/>
              <w:snapToGrid w:val="0"/>
              <w:jc w:val="center"/>
              <w:rPr>
                <w:rFonts w:ascii="宋体" w:hAnsi="宋体" w:cs="宋体"/>
                <w:color w:val="000000"/>
                <w:sz w:val="18"/>
                <w:szCs w:val="18"/>
              </w:rPr>
            </w:pPr>
            <w:r>
              <w:rPr>
                <w:rFonts w:ascii="宋体" w:hAnsi="宋体" w:cs="宋体" w:hint="eastAsia"/>
                <w:color w:val="000000"/>
                <w:kern w:val="0"/>
                <w:sz w:val="18"/>
                <w:szCs w:val="18"/>
                <w:lang w:bidi="ar"/>
              </w:rPr>
              <w:t>结合实际需求和规划用地条件设置小汽车驻车换乘停车场</w:t>
            </w:r>
          </w:p>
        </w:tc>
      </w:tr>
      <w:tr w:rsidR="00245573" w14:paraId="61362B3F" w14:textId="77777777" w:rsidTr="00143565">
        <w:trPr>
          <w:trHeight w:val="357"/>
        </w:trPr>
        <w:tc>
          <w:tcPr>
            <w:tcW w:w="5000" w:type="pct"/>
            <w:gridSpan w:val="7"/>
            <w:vAlign w:val="center"/>
          </w:tcPr>
          <w:p w14:paraId="552BFB56" w14:textId="460846D6" w:rsidR="006D21A0" w:rsidRDefault="006D21A0" w:rsidP="006417E6">
            <w:pPr>
              <w:pStyle w:val="affffffffffff6"/>
              <w:adjustRightInd w:val="0"/>
              <w:snapToGrid w:val="0"/>
              <w:ind w:firstLineChars="200" w:firstLine="360"/>
              <w:textAlignment w:val="auto"/>
              <w:rPr>
                <w:rFonts w:ascii="宋体" w:hAnsi="宋体" w:cs="宋体" w:hint="default"/>
                <w:color w:val="000000"/>
                <w:kern w:val="0"/>
                <w:szCs w:val="18"/>
                <w:lang w:bidi="ar"/>
              </w:rPr>
            </w:pPr>
            <w:r>
              <w:rPr>
                <w:rFonts w:ascii="黑体" w:eastAsia="黑体" w:hAnsi="黑体" w:cs="黑体"/>
              </w:rPr>
              <w:t>注：</w:t>
            </w:r>
            <w:r>
              <w:rPr>
                <w:rFonts w:hint="default"/>
              </w:rPr>
              <w:t>▲</w:t>
            </w:r>
            <w:r>
              <w:rPr>
                <w:rFonts w:hint="default"/>
              </w:rPr>
              <w:t>应设置，</w:t>
            </w:r>
            <w:r>
              <w:rPr>
                <w:rFonts w:ascii="宋体" w:hAnsi="宋体" w:cs="宋体"/>
              </w:rPr>
              <w:t>△</w:t>
            </w:r>
            <w:r>
              <w:rPr>
                <w:rFonts w:hint="default"/>
              </w:rPr>
              <w:t>宜设置，</w:t>
            </w:r>
            <w:r w:rsidR="001C1F75">
              <w:rPr>
                <w:rFonts w:ascii="宋体" w:hAnsi="宋体"/>
              </w:rPr>
              <w:t>○</w:t>
            </w:r>
            <w:r>
              <w:rPr>
                <w:rFonts w:hint="default"/>
              </w:rPr>
              <w:t>可设置</w:t>
            </w:r>
            <w:r>
              <w:t>。</w:t>
            </w:r>
          </w:p>
        </w:tc>
      </w:tr>
    </w:tbl>
    <w:p w14:paraId="61BEF9C4" w14:textId="4D0CCEAE" w:rsidR="006D21A0" w:rsidRPr="004B4E1D" w:rsidRDefault="006D21A0" w:rsidP="00453DBE">
      <w:pPr>
        <w:pStyle w:val="22"/>
      </w:pPr>
      <w:r w:rsidRPr="004B4E1D">
        <w:t>交通接驳设施应根据城市规划布局和道路交通组织要求，根据车站服务等级、周边道路条件、规划用地条件、客流需求等，进行合理设计。</w:t>
      </w:r>
    </w:p>
    <w:p w14:paraId="7680BBD3" w14:textId="25998CED" w:rsidR="006D21A0" w:rsidRPr="004B4E1D" w:rsidRDefault="006D21A0" w:rsidP="00453DBE">
      <w:pPr>
        <w:pStyle w:val="22"/>
      </w:pPr>
      <w:r w:rsidRPr="004B4E1D">
        <w:t>交通接驳设施的需求预测应结合线路初步设计阶段的客流预测结果，细分各出入口确定不同交通方式的合理规模。</w:t>
      </w:r>
    </w:p>
    <w:p w14:paraId="43B295DF" w14:textId="379C7BF4" w:rsidR="006D21A0" w:rsidRPr="004B4E1D" w:rsidRDefault="006D21A0" w:rsidP="00453DBE">
      <w:pPr>
        <w:pStyle w:val="22"/>
      </w:pPr>
      <w:r w:rsidRPr="004B4E1D">
        <w:t>交通接驳设施应与车站工程同步规划、同步设计和同步实施；不能同步实施时，应预留实施条件，但在车站开通运营前应保障车站周边道路的基本连通功能。</w:t>
      </w:r>
    </w:p>
    <w:p w14:paraId="352C6E8B" w14:textId="71963D06" w:rsidR="006D21A0" w:rsidRPr="004B4E1D" w:rsidRDefault="006D21A0" w:rsidP="00453DBE">
      <w:pPr>
        <w:pStyle w:val="22"/>
      </w:pPr>
      <w:r w:rsidRPr="004B4E1D">
        <w:t>交通接驳设施应结合周边建筑进行一体化设计，合理规划地下、地上接驳设施空间，实现车站各类交通方式无缝换乘。</w:t>
      </w:r>
    </w:p>
    <w:p w14:paraId="04999EDF" w14:textId="40C866B9" w:rsidR="006D21A0" w:rsidRDefault="006D21A0">
      <w:pPr>
        <w:pStyle w:val="22"/>
      </w:pPr>
      <w:r w:rsidRPr="004B4E1D">
        <w:t>交通接驳设施与车站出入口的接驳距离应满足表</w:t>
      </w:r>
      <w:r w:rsidR="00DC77F2">
        <w:t>89</w:t>
      </w:r>
      <w:r w:rsidRPr="004B4E1D">
        <w:t>的要求。</w:t>
      </w:r>
    </w:p>
    <w:p w14:paraId="1470725C" w14:textId="25A5CFDB" w:rsidR="006D21A0" w:rsidRDefault="00DE0C56" w:rsidP="00453DBE">
      <w:pPr>
        <w:pStyle w:val="aff3"/>
        <w:spacing w:before="156" w:after="156"/>
        <w:rPr>
          <w:rFonts w:hAnsi="黑体" w:cs="黑体"/>
        </w:rPr>
      </w:pPr>
      <w:r w:rsidRPr="00DE0C56">
        <w:rPr>
          <w:rFonts w:hAnsi="黑体" w:cs="黑体" w:hint="eastAsia"/>
        </w:rPr>
        <w:t>交通接驳设施与车站出入口的接驳距离</w:t>
      </w:r>
    </w:p>
    <w:p w14:paraId="6523DA20" w14:textId="32EF21CC" w:rsidR="00143565" w:rsidRPr="00143565" w:rsidRDefault="00143565" w:rsidP="00143565">
      <w:pPr>
        <w:pStyle w:val="affffb"/>
        <w:ind w:firstLine="360"/>
        <w:jc w:val="right"/>
        <w:rPr>
          <w:sz w:val="18"/>
          <w:szCs w:val="18"/>
        </w:rPr>
      </w:pPr>
      <w:r w:rsidRPr="00143565">
        <w:rPr>
          <w:rFonts w:hint="eastAsia"/>
          <w:sz w:val="18"/>
          <w:szCs w:val="18"/>
        </w:rPr>
        <w:t>单位为米</w:t>
      </w:r>
    </w:p>
    <w:tbl>
      <w:tblPr>
        <w:tblW w:w="4999" w:type="pct"/>
        <w:jc w:val="center"/>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CellMar>
          <w:top w:w="15" w:type="dxa"/>
          <w:left w:w="15" w:type="dxa"/>
          <w:bottom w:w="15" w:type="dxa"/>
          <w:right w:w="15" w:type="dxa"/>
        </w:tblCellMar>
        <w:tblLook w:val="0000" w:firstRow="0" w:lastRow="0" w:firstColumn="0" w:lastColumn="0" w:noHBand="0" w:noVBand="0"/>
      </w:tblPr>
      <w:tblGrid>
        <w:gridCol w:w="5685"/>
        <w:gridCol w:w="3647"/>
      </w:tblGrid>
      <w:tr w:rsidR="00E512B4" w14:paraId="1E012BF3" w14:textId="77777777" w:rsidTr="00143565">
        <w:trPr>
          <w:trHeight w:val="340"/>
          <w:jc w:val="center"/>
        </w:trPr>
        <w:tc>
          <w:tcPr>
            <w:tcW w:w="3045" w:type="pct"/>
            <w:noWrap/>
            <w:vAlign w:val="center"/>
          </w:tcPr>
          <w:p w14:paraId="38DFE061" w14:textId="77777777" w:rsidR="006D21A0" w:rsidRDefault="006D21A0" w:rsidP="006417E6">
            <w:pPr>
              <w:pStyle w:val="affffffffffff7"/>
              <w:topLinePunct/>
            </w:pPr>
            <w:r>
              <w:t>接驳设施</w:t>
            </w:r>
          </w:p>
        </w:tc>
        <w:tc>
          <w:tcPr>
            <w:tcW w:w="1954" w:type="pct"/>
            <w:noWrap/>
            <w:vAlign w:val="center"/>
          </w:tcPr>
          <w:p w14:paraId="7FAFC279" w14:textId="77777777" w:rsidR="006D21A0" w:rsidRDefault="006D21A0" w:rsidP="006417E6">
            <w:pPr>
              <w:pStyle w:val="affffffffffff7"/>
              <w:topLinePunct/>
            </w:pPr>
            <w:r>
              <w:t>接驳距离</w:t>
            </w:r>
          </w:p>
        </w:tc>
      </w:tr>
      <w:tr w:rsidR="00E512B4" w14:paraId="11EDC6B2" w14:textId="77777777" w:rsidTr="00143565">
        <w:trPr>
          <w:trHeight w:val="340"/>
          <w:jc w:val="center"/>
        </w:trPr>
        <w:tc>
          <w:tcPr>
            <w:tcW w:w="3045" w:type="pct"/>
            <w:noWrap/>
            <w:vAlign w:val="center"/>
          </w:tcPr>
          <w:p w14:paraId="57932C9A" w14:textId="77777777" w:rsidR="006D21A0" w:rsidRDefault="006D21A0" w:rsidP="006417E6">
            <w:pPr>
              <w:pStyle w:val="affffffffffff7"/>
              <w:topLinePunct/>
            </w:pPr>
            <w:r>
              <w:t>非机动车停车场</w:t>
            </w:r>
          </w:p>
        </w:tc>
        <w:tc>
          <w:tcPr>
            <w:tcW w:w="1954" w:type="pct"/>
            <w:noWrap/>
            <w:vAlign w:val="center"/>
          </w:tcPr>
          <w:p w14:paraId="4422E91C" w14:textId="77777777" w:rsidR="006D21A0" w:rsidRDefault="006D21A0" w:rsidP="006417E6">
            <w:pPr>
              <w:pStyle w:val="affffffffffff7"/>
              <w:topLinePunct/>
            </w:pPr>
            <w:r>
              <w:t>≤50</w:t>
            </w:r>
          </w:p>
        </w:tc>
      </w:tr>
      <w:tr w:rsidR="00E512B4" w14:paraId="450F0C83" w14:textId="77777777" w:rsidTr="00143565">
        <w:trPr>
          <w:trHeight w:val="340"/>
          <w:jc w:val="center"/>
        </w:trPr>
        <w:tc>
          <w:tcPr>
            <w:tcW w:w="3045" w:type="pct"/>
            <w:noWrap/>
            <w:vAlign w:val="center"/>
          </w:tcPr>
          <w:p w14:paraId="1554C7AD" w14:textId="77777777" w:rsidR="006D21A0" w:rsidRDefault="006D21A0" w:rsidP="006417E6">
            <w:pPr>
              <w:pStyle w:val="affffffffffff7"/>
              <w:topLinePunct/>
            </w:pPr>
            <w:r>
              <w:t>公交停靠站</w:t>
            </w:r>
          </w:p>
        </w:tc>
        <w:tc>
          <w:tcPr>
            <w:tcW w:w="1954" w:type="pct"/>
            <w:noWrap/>
            <w:vAlign w:val="center"/>
          </w:tcPr>
          <w:p w14:paraId="707D02B3" w14:textId="77777777" w:rsidR="006D21A0" w:rsidRDefault="006D21A0" w:rsidP="006417E6">
            <w:pPr>
              <w:pStyle w:val="affffffffffff7"/>
              <w:topLinePunct/>
            </w:pPr>
            <w:r>
              <w:t>≤50</w:t>
            </w:r>
          </w:p>
        </w:tc>
      </w:tr>
      <w:tr w:rsidR="00E512B4" w14:paraId="74CC4A23" w14:textId="77777777" w:rsidTr="00143565">
        <w:trPr>
          <w:trHeight w:val="340"/>
          <w:jc w:val="center"/>
        </w:trPr>
        <w:tc>
          <w:tcPr>
            <w:tcW w:w="3045" w:type="pct"/>
            <w:noWrap/>
            <w:vAlign w:val="center"/>
          </w:tcPr>
          <w:p w14:paraId="7963A613" w14:textId="77777777" w:rsidR="006D21A0" w:rsidRDefault="006D21A0" w:rsidP="006417E6">
            <w:pPr>
              <w:pStyle w:val="affffffffffff7"/>
              <w:topLinePunct/>
            </w:pPr>
            <w:r>
              <w:t>公交场站</w:t>
            </w:r>
          </w:p>
        </w:tc>
        <w:tc>
          <w:tcPr>
            <w:tcW w:w="1954" w:type="pct"/>
            <w:noWrap/>
            <w:vAlign w:val="center"/>
          </w:tcPr>
          <w:p w14:paraId="7EE72B39" w14:textId="77777777" w:rsidR="006D21A0" w:rsidRDefault="006D21A0" w:rsidP="006417E6">
            <w:pPr>
              <w:pStyle w:val="affffffffffff7"/>
              <w:topLinePunct/>
            </w:pPr>
            <w:r>
              <w:t>≤150</w:t>
            </w:r>
          </w:p>
        </w:tc>
      </w:tr>
      <w:tr w:rsidR="00E512B4" w14:paraId="5C495F7C" w14:textId="77777777" w:rsidTr="00143565">
        <w:trPr>
          <w:trHeight w:val="340"/>
          <w:jc w:val="center"/>
        </w:trPr>
        <w:tc>
          <w:tcPr>
            <w:tcW w:w="3045" w:type="pct"/>
            <w:noWrap/>
            <w:vAlign w:val="center"/>
          </w:tcPr>
          <w:p w14:paraId="067CAFE1" w14:textId="77777777" w:rsidR="006D21A0" w:rsidRDefault="006D21A0" w:rsidP="006417E6">
            <w:pPr>
              <w:pStyle w:val="affffffffffff7"/>
              <w:topLinePunct/>
            </w:pPr>
            <w:r>
              <w:t>出租车停靠站</w:t>
            </w:r>
          </w:p>
        </w:tc>
        <w:tc>
          <w:tcPr>
            <w:tcW w:w="1954" w:type="pct"/>
            <w:noWrap/>
            <w:vAlign w:val="center"/>
          </w:tcPr>
          <w:p w14:paraId="787405EE" w14:textId="77777777" w:rsidR="006D21A0" w:rsidRDefault="006D21A0" w:rsidP="006417E6">
            <w:pPr>
              <w:pStyle w:val="affffffffffff7"/>
              <w:topLinePunct/>
            </w:pPr>
            <w:r>
              <w:t>≤100</w:t>
            </w:r>
          </w:p>
        </w:tc>
      </w:tr>
      <w:tr w:rsidR="00E512B4" w14:paraId="49F0E2E3" w14:textId="77777777" w:rsidTr="00143565">
        <w:trPr>
          <w:trHeight w:val="340"/>
          <w:jc w:val="center"/>
        </w:trPr>
        <w:tc>
          <w:tcPr>
            <w:tcW w:w="3045" w:type="pct"/>
            <w:noWrap/>
            <w:vAlign w:val="center"/>
          </w:tcPr>
          <w:p w14:paraId="27F35BDF" w14:textId="77777777" w:rsidR="006D21A0" w:rsidRDefault="006D21A0" w:rsidP="006417E6">
            <w:pPr>
              <w:pStyle w:val="affffffffffff7"/>
              <w:topLinePunct/>
            </w:pPr>
            <w:r>
              <w:t>出租车停车场</w:t>
            </w:r>
          </w:p>
        </w:tc>
        <w:tc>
          <w:tcPr>
            <w:tcW w:w="1954" w:type="pct"/>
            <w:noWrap/>
            <w:vAlign w:val="center"/>
          </w:tcPr>
          <w:p w14:paraId="3E184F6E" w14:textId="77777777" w:rsidR="006D21A0" w:rsidRDefault="006D21A0" w:rsidP="006417E6">
            <w:pPr>
              <w:pStyle w:val="affffffffffff7"/>
              <w:topLinePunct/>
            </w:pPr>
            <w:r>
              <w:t>≤150</w:t>
            </w:r>
          </w:p>
        </w:tc>
      </w:tr>
      <w:tr w:rsidR="00E512B4" w14:paraId="1C551DF9" w14:textId="77777777" w:rsidTr="00143565">
        <w:trPr>
          <w:trHeight w:val="340"/>
          <w:jc w:val="center"/>
        </w:trPr>
        <w:tc>
          <w:tcPr>
            <w:tcW w:w="3045" w:type="pct"/>
            <w:noWrap/>
            <w:vAlign w:val="center"/>
          </w:tcPr>
          <w:p w14:paraId="7441ED7C" w14:textId="77777777" w:rsidR="006D21A0" w:rsidRDefault="006D21A0" w:rsidP="006417E6">
            <w:pPr>
              <w:pStyle w:val="affffffffffff7"/>
              <w:topLinePunct/>
            </w:pPr>
            <w:r>
              <w:t>小汽车接驳停车场</w:t>
            </w:r>
          </w:p>
        </w:tc>
        <w:tc>
          <w:tcPr>
            <w:tcW w:w="1954" w:type="pct"/>
            <w:noWrap/>
            <w:vAlign w:val="center"/>
          </w:tcPr>
          <w:p w14:paraId="2040B2E6" w14:textId="26711812" w:rsidR="006D21A0" w:rsidRDefault="006D21A0" w:rsidP="006417E6">
            <w:pPr>
              <w:pStyle w:val="affffffffffff7"/>
              <w:topLinePunct/>
            </w:pPr>
            <w:r>
              <w:t>≤200</w:t>
            </w:r>
          </w:p>
        </w:tc>
      </w:tr>
    </w:tbl>
    <w:p w14:paraId="60132237" w14:textId="77777777" w:rsidR="006D21A0" w:rsidRDefault="006D21A0" w:rsidP="003334F3">
      <w:pPr>
        <w:pStyle w:val="-"/>
        <w:numPr>
          <w:ilvl w:val="0"/>
          <w:numId w:val="28"/>
        </w:numPr>
        <w:topLinePunct/>
      </w:pPr>
    </w:p>
    <w:p w14:paraId="399EF1AF"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2ADE686A"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2753B020"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048617A1"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2202841B"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7ADD47B1"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257BE88B"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75E93C5A"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6AA85C7A"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44761674"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48B49D13"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54A2696D"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7D9848E3"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38716386"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3B192D0D"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33828312"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4488B6A4"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0AB2BAEA"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3082B861"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61412D33"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0D045C07"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0C85DD45"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6AC9C6F5"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65F17F1F"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21FE5617"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78D1105B"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09200ECD"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351A5944"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687B5F06"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795EBF0B"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5C4951A6"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18729496" w14:textId="77777777" w:rsidR="00025599" w:rsidRPr="00025599" w:rsidRDefault="00025599" w:rsidP="003334F3">
      <w:pPr>
        <w:pStyle w:val="affffffffffff3"/>
        <w:widowControl/>
        <w:numPr>
          <w:ilvl w:val="1"/>
          <w:numId w:val="28"/>
        </w:numPr>
        <w:adjustRightInd/>
        <w:snapToGrid/>
        <w:spacing w:beforeLines="100" w:before="312" w:afterLines="100" w:after="312"/>
        <w:ind w:firstLineChars="0"/>
        <w:contextualSpacing w:val="0"/>
        <w:outlineLvl w:val="0"/>
        <w:rPr>
          <w:rFonts w:ascii="黑体" w:eastAsia="黑体" w:hAnsi="Times New Roman"/>
          <w:vanish/>
          <w:kern w:val="0"/>
          <w:szCs w:val="20"/>
        </w:rPr>
      </w:pPr>
    </w:p>
    <w:p w14:paraId="4004DD68" w14:textId="77777777" w:rsidR="00025599" w:rsidRPr="00025599" w:rsidRDefault="00025599" w:rsidP="003334F3">
      <w:pPr>
        <w:pStyle w:val="affffffffffff3"/>
        <w:widowControl/>
        <w:numPr>
          <w:ilvl w:val="2"/>
          <w:numId w:val="28"/>
        </w:numPr>
        <w:adjustRightInd/>
        <w:snapToGrid/>
        <w:spacing w:beforeLines="50" w:before="156" w:afterLines="50" w:after="156"/>
        <w:ind w:firstLineChars="0"/>
        <w:contextualSpacing w:val="0"/>
        <w:outlineLvl w:val="1"/>
        <w:rPr>
          <w:rFonts w:ascii="黑体" w:eastAsia="黑体" w:hAnsi="Times New Roman"/>
          <w:vanish/>
          <w:kern w:val="0"/>
          <w:szCs w:val="20"/>
        </w:rPr>
      </w:pPr>
    </w:p>
    <w:p w14:paraId="75EBA0CB" w14:textId="3D69D6B9" w:rsidR="00025599" w:rsidRPr="00453DBE" w:rsidRDefault="00025599" w:rsidP="00025599">
      <w:pPr>
        <w:pStyle w:val="affe"/>
        <w:spacing w:before="156" w:after="156"/>
        <w:rPr>
          <w:rFonts w:hAnsi="黑体"/>
        </w:rPr>
      </w:pPr>
      <w:bookmarkStart w:id="3777" w:name="_Toc182476603"/>
      <w:r w:rsidRPr="00453DBE">
        <w:rPr>
          <w:rFonts w:hAnsi="黑体" w:hint="eastAsia"/>
        </w:rPr>
        <w:t>行人接驳设施</w:t>
      </w:r>
      <w:bookmarkEnd w:id="3777"/>
    </w:p>
    <w:p w14:paraId="231A5DA2" w14:textId="3AD09BA7" w:rsidR="00025599" w:rsidRPr="00453DBE" w:rsidRDefault="00025599" w:rsidP="00453DBE">
      <w:pPr>
        <w:pStyle w:val="22"/>
        <w:rPr>
          <w:rFonts w:ascii="黑体" w:eastAsia="黑体" w:hAnsi="黑体" w:cs="黑体"/>
        </w:rPr>
      </w:pPr>
      <w:r w:rsidRPr="00025599">
        <w:rPr>
          <w:rFonts w:cs="黑体"/>
        </w:rPr>
        <w:t>车站的行人接驳设施设置应安全、连续、舒适，</w:t>
      </w:r>
      <w:r w:rsidRPr="00025599">
        <w:rPr>
          <w:rFonts w:cs="黑体" w:hint="eastAsia"/>
        </w:rPr>
        <w:t>应保障行人通行基本要求。</w:t>
      </w:r>
    </w:p>
    <w:p w14:paraId="4586DE87" w14:textId="06D47D4D" w:rsidR="00025599" w:rsidRPr="004B4E1D" w:rsidRDefault="00025599" w:rsidP="00453DBE">
      <w:pPr>
        <w:pStyle w:val="22"/>
      </w:pPr>
      <w:r w:rsidRPr="004B4E1D">
        <w:t>车站出入口应设置站前广场，规模应根据客流预测确定，且满足消防安全疏散要求</w:t>
      </w:r>
      <w:r w:rsidRPr="004B4E1D">
        <w:rPr>
          <w:rFonts w:hint="eastAsia"/>
        </w:rPr>
        <w:t>。</w:t>
      </w:r>
    </w:p>
    <w:p w14:paraId="6213B03E" w14:textId="33105354" w:rsidR="00025599" w:rsidRPr="004B4E1D" w:rsidRDefault="00025599" w:rsidP="00453DBE">
      <w:pPr>
        <w:pStyle w:val="22"/>
      </w:pPr>
      <w:r w:rsidRPr="004B4E1D">
        <w:t>出入口50</w:t>
      </w:r>
      <w:r w:rsidRPr="004B4E1D">
        <w:rPr>
          <w:rFonts w:hint="eastAsia"/>
        </w:rPr>
        <w:t>m</w:t>
      </w:r>
      <w:r w:rsidRPr="004B4E1D">
        <w:t>范围内的人行道宽度宜大于等于4</w:t>
      </w:r>
      <w:r w:rsidRPr="004B4E1D">
        <w:rPr>
          <w:rFonts w:hint="eastAsia"/>
        </w:rPr>
        <w:t>m</w:t>
      </w:r>
      <w:r w:rsidRPr="004B4E1D">
        <w:t>，困难条件下不应小于3</w:t>
      </w:r>
      <w:r w:rsidRPr="004B4E1D">
        <w:rPr>
          <w:rFonts w:hint="eastAsia"/>
        </w:rPr>
        <w:t>m</w:t>
      </w:r>
      <w:r w:rsidRPr="004B4E1D">
        <w:t>，并设置必要的交通安全设施和无障碍设施。地下公共步行通道宽度不应小于4</w:t>
      </w:r>
      <w:r w:rsidRPr="004B4E1D">
        <w:rPr>
          <w:rFonts w:hint="eastAsia"/>
        </w:rPr>
        <w:t>m</w:t>
      </w:r>
      <w:r w:rsidRPr="004B4E1D">
        <w:t>，空中步行连廊宽度不应小于3</w:t>
      </w:r>
      <w:r w:rsidRPr="004B4E1D">
        <w:rPr>
          <w:rFonts w:hint="eastAsia"/>
        </w:rPr>
        <w:t>m</w:t>
      </w:r>
      <w:r w:rsidRPr="004B4E1D">
        <w:t>。</w:t>
      </w:r>
    </w:p>
    <w:p w14:paraId="285D1424" w14:textId="6F1FD9C9" w:rsidR="00025599" w:rsidRPr="004B4E1D" w:rsidRDefault="00025599" w:rsidP="00453DBE">
      <w:pPr>
        <w:pStyle w:val="affe"/>
        <w:spacing w:before="156" w:after="156"/>
      </w:pPr>
      <w:bookmarkStart w:id="3778" w:name="_Toc25555"/>
      <w:bookmarkStart w:id="3779" w:name="_Toc20882"/>
      <w:bookmarkStart w:id="3780" w:name="_Toc21810"/>
      <w:bookmarkStart w:id="3781" w:name="_Toc14610"/>
      <w:bookmarkStart w:id="3782" w:name="_Toc20520"/>
      <w:bookmarkStart w:id="3783" w:name="_Toc5205"/>
      <w:bookmarkStart w:id="3784" w:name="_Toc26626"/>
      <w:bookmarkStart w:id="3785" w:name="_Toc7617"/>
      <w:bookmarkStart w:id="3786" w:name="_Toc24441"/>
      <w:bookmarkStart w:id="3787" w:name="_Toc182476604"/>
      <w:r w:rsidRPr="004B4E1D">
        <w:rPr>
          <w:rFonts w:hint="eastAsia"/>
        </w:rPr>
        <w:t>非机动车接驳设施</w:t>
      </w:r>
      <w:bookmarkEnd w:id="3778"/>
      <w:bookmarkEnd w:id="3779"/>
      <w:bookmarkEnd w:id="3780"/>
      <w:bookmarkEnd w:id="3781"/>
      <w:bookmarkEnd w:id="3782"/>
      <w:bookmarkEnd w:id="3783"/>
      <w:bookmarkEnd w:id="3784"/>
      <w:bookmarkEnd w:id="3785"/>
      <w:bookmarkEnd w:id="3786"/>
      <w:bookmarkEnd w:id="3787"/>
    </w:p>
    <w:p w14:paraId="15DA65D9" w14:textId="3B99C6CD" w:rsidR="00025599" w:rsidRPr="004B4E1D" w:rsidRDefault="00025599" w:rsidP="00453DBE">
      <w:pPr>
        <w:pStyle w:val="22"/>
      </w:pPr>
      <w:r w:rsidRPr="004B4E1D">
        <w:t>非机动车接驳设施应区分共享单车停车区和私人自行车停车区，其规划应结合需求预测合理确定</w:t>
      </w:r>
      <w:r w:rsidRPr="004B4E1D">
        <w:rPr>
          <w:rFonts w:hint="eastAsia"/>
        </w:rPr>
        <w:t>。</w:t>
      </w:r>
    </w:p>
    <w:p w14:paraId="7681F538" w14:textId="4BFC30A3" w:rsidR="00025599" w:rsidRPr="004B4E1D" w:rsidRDefault="00025599" w:rsidP="00453DBE">
      <w:pPr>
        <w:pStyle w:val="22"/>
      </w:pPr>
      <w:r w:rsidRPr="004B4E1D">
        <w:t>非机动车停车场应结合用地条件在车站出入口附近分别布设，接驳距离不宜大于50</w:t>
      </w:r>
      <w:r w:rsidRPr="004B4E1D">
        <w:rPr>
          <w:rFonts w:hint="eastAsia"/>
        </w:rPr>
        <w:t>m</w:t>
      </w:r>
      <w:r w:rsidRPr="004B4E1D">
        <w:t>，对于利</w:t>
      </w:r>
      <w:r w:rsidRPr="004B4E1D">
        <w:lastRenderedPageBreak/>
        <w:t>用既有铁路、改扩建的车站在现有的交通设施上进行综合设置，接驳距离可适当放大，但不宜大于150</w:t>
      </w:r>
      <w:r w:rsidRPr="004B4E1D">
        <w:rPr>
          <w:rFonts w:hint="eastAsia"/>
        </w:rPr>
        <w:t>m。</w:t>
      </w:r>
    </w:p>
    <w:p w14:paraId="72A958CE" w14:textId="3BD89969" w:rsidR="00025599" w:rsidRPr="004B4E1D" w:rsidRDefault="00025599" w:rsidP="00453DBE">
      <w:pPr>
        <w:pStyle w:val="22"/>
      </w:pPr>
      <w:r w:rsidRPr="004B4E1D">
        <w:t>非机动车车行道宜结合站点所在区域、道路等级进行设置。站点500</w:t>
      </w:r>
      <w:r w:rsidRPr="004B4E1D">
        <w:rPr>
          <w:rFonts w:hint="eastAsia"/>
        </w:rPr>
        <w:t>m</w:t>
      </w:r>
      <w:r w:rsidRPr="004B4E1D">
        <w:t>范围内城市道路上设置的非机动车道，单向通行宽度不宜小于3.5</w:t>
      </w:r>
      <w:r w:rsidRPr="004B4E1D">
        <w:rPr>
          <w:rFonts w:hint="eastAsia"/>
        </w:rPr>
        <w:t>m</w:t>
      </w:r>
      <w:r w:rsidRPr="004B4E1D">
        <w:t>，双向通行不宜小于4.5</w:t>
      </w:r>
      <w:r w:rsidRPr="004B4E1D">
        <w:rPr>
          <w:rFonts w:hint="eastAsia"/>
        </w:rPr>
        <w:t>m</w:t>
      </w:r>
      <w:r w:rsidRPr="004B4E1D">
        <w:t>，并应与机动车交通之间采取物理隔离。</w:t>
      </w:r>
    </w:p>
    <w:p w14:paraId="65C0D397" w14:textId="37536E9B" w:rsidR="00025599" w:rsidRPr="004B4E1D" w:rsidRDefault="00025599" w:rsidP="00453DBE">
      <w:pPr>
        <w:pStyle w:val="affe"/>
        <w:spacing w:before="156" w:after="156"/>
      </w:pPr>
      <w:bookmarkStart w:id="3788" w:name="_Toc20833"/>
      <w:bookmarkStart w:id="3789" w:name="_Toc30752"/>
      <w:bookmarkStart w:id="3790" w:name="_Toc27680"/>
      <w:bookmarkStart w:id="3791" w:name="_Toc28149"/>
      <w:bookmarkStart w:id="3792" w:name="_Toc17679"/>
      <w:bookmarkStart w:id="3793" w:name="_Toc18175"/>
      <w:bookmarkStart w:id="3794" w:name="_Toc29260"/>
      <w:bookmarkStart w:id="3795" w:name="_Toc9461"/>
      <w:bookmarkStart w:id="3796" w:name="_Toc12461"/>
      <w:bookmarkStart w:id="3797" w:name="_Toc182476605"/>
      <w:r w:rsidRPr="004B4E1D">
        <w:rPr>
          <w:rFonts w:hint="eastAsia"/>
        </w:rPr>
        <w:t>公交接驳设施</w:t>
      </w:r>
      <w:bookmarkEnd w:id="3788"/>
      <w:bookmarkEnd w:id="3789"/>
      <w:bookmarkEnd w:id="3790"/>
      <w:bookmarkEnd w:id="3791"/>
      <w:bookmarkEnd w:id="3792"/>
      <w:bookmarkEnd w:id="3793"/>
      <w:bookmarkEnd w:id="3794"/>
      <w:bookmarkEnd w:id="3795"/>
      <w:bookmarkEnd w:id="3796"/>
      <w:bookmarkEnd w:id="3797"/>
    </w:p>
    <w:p w14:paraId="31823254" w14:textId="5CA20E4B" w:rsidR="00025599" w:rsidRPr="004B4E1D" w:rsidRDefault="00025599" w:rsidP="00453DBE">
      <w:pPr>
        <w:pStyle w:val="22"/>
      </w:pPr>
      <w:r w:rsidRPr="004B4E1D">
        <w:t>公交接驳设施一般包括公交停靠站及公交场站，应根据轨道交通车站功能定位、周边道路交通条件、用地规划条件、换乘客流需求等，进行合理设计。</w:t>
      </w:r>
      <w:r w:rsidRPr="004B4E1D">
        <w:rPr>
          <w:rFonts w:hint="eastAsia"/>
        </w:rPr>
        <w:t>公交停靠站、公交场站宜提供人性化服务，适度配置便民设施。</w:t>
      </w:r>
    </w:p>
    <w:p w14:paraId="6AD19EA0" w14:textId="0DBA4A9E" w:rsidR="00025599" w:rsidRPr="004B4E1D" w:rsidRDefault="00025599" w:rsidP="00453DBE">
      <w:pPr>
        <w:pStyle w:val="22"/>
      </w:pPr>
      <w:r w:rsidRPr="004B4E1D">
        <w:rPr>
          <w:rFonts w:hint="eastAsia"/>
        </w:rPr>
        <w:t>鼓励公交接驳服务，周边公交覆盖率较低的车站宜设置微循环公交的接驳，以扩大车站的服务范围和吸引力。</w:t>
      </w:r>
    </w:p>
    <w:p w14:paraId="06BF3F5D" w14:textId="3C427F0D" w:rsidR="00025599" w:rsidRPr="004B4E1D" w:rsidRDefault="00025599" w:rsidP="00453DBE">
      <w:pPr>
        <w:pStyle w:val="22"/>
      </w:pPr>
      <w:r w:rsidRPr="004B4E1D">
        <w:t>公交车停靠站距车站出入口不宜大于50</w:t>
      </w:r>
      <w:r w:rsidRPr="004B4E1D">
        <w:rPr>
          <w:rFonts w:hint="eastAsia"/>
        </w:rPr>
        <w:t>m</w:t>
      </w:r>
      <w:r w:rsidRPr="004B4E1D">
        <w:t>。公交车停靠站与站前广场结合设置时，应增加站前广场面积。对于利用既有铁路、改扩建的车站在现有的交通设施上进行综合设置，公交车停靠站与车站出入口接驳距离可适当放大，但不宜大于300</w:t>
      </w:r>
      <w:r w:rsidRPr="004B4E1D">
        <w:rPr>
          <w:rFonts w:hint="eastAsia"/>
        </w:rPr>
        <w:t>m</w:t>
      </w:r>
      <w:r w:rsidRPr="004B4E1D">
        <w:t>。</w:t>
      </w:r>
    </w:p>
    <w:p w14:paraId="71EE812A" w14:textId="7E560EE6" w:rsidR="00025599" w:rsidRPr="004B4E1D" w:rsidRDefault="00025599" w:rsidP="00453DBE">
      <w:pPr>
        <w:pStyle w:val="affe"/>
        <w:spacing w:before="156" w:after="156"/>
      </w:pPr>
      <w:bookmarkStart w:id="3798" w:name="_Toc31351"/>
      <w:bookmarkStart w:id="3799" w:name="_Toc1013"/>
      <w:bookmarkStart w:id="3800" w:name="_Toc14783"/>
      <w:bookmarkStart w:id="3801" w:name="_Toc22616"/>
      <w:bookmarkStart w:id="3802" w:name="_Toc15912"/>
      <w:bookmarkStart w:id="3803" w:name="_Toc4534"/>
      <w:bookmarkStart w:id="3804" w:name="_Toc5643"/>
      <w:bookmarkStart w:id="3805" w:name="_Toc21848"/>
      <w:bookmarkStart w:id="3806" w:name="_Toc29250"/>
      <w:bookmarkStart w:id="3807" w:name="_Toc182476606"/>
      <w:r w:rsidRPr="004B4E1D">
        <w:rPr>
          <w:rFonts w:hint="eastAsia"/>
        </w:rPr>
        <w:t>出租车接驳设施</w:t>
      </w:r>
      <w:bookmarkEnd w:id="3798"/>
      <w:bookmarkEnd w:id="3799"/>
      <w:bookmarkEnd w:id="3800"/>
      <w:bookmarkEnd w:id="3801"/>
      <w:bookmarkEnd w:id="3802"/>
      <w:bookmarkEnd w:id="3803"/>
      <w:bookmarkEnd w:id="3804"/>
      <w:bookmarkEnd w:id="3805"/>
      <w:bookmarkEnd w:id="3806"/>
      <w:bookmarkEnd w:id="3807"/>
    </w:p>
    <w:p w14:paraId="65DE12CE" w14:textId="4B3633D0" w:rsidR="00025599" w:rsidRPr="004B4E1D" w:rsidRDefault="00025599" w:rsidP="00453DBE">
      <w:pPr>
        <w:pStyle w:val="22"/>
      </w:pPr>
      <w:r w:rsidRPr="004B4E1D">
        <w:rPr>
          <w:rFonts w:hint="eastAsia"/>
        </w:rPr>
        <w:t>出租车停靠站应结合出入口分散布局，每处宜设置1至2个港湾停靠位。</w:t>
      </w:r>
      <w:r w:rsidRPr="004B4E1D">
        <w:t>出租车停靠距车站出入口不宜大于50</w:t>
      </w:r>
      <w:r w:rsidRPr="004B4E1D">
        <w:rPr>
          <w:rFonts w:hint="eastAsia"/>
        </w:rPr>
        <w:t>m</w:t>
      </w:r>
      <w:r w:rsidRPr="004B4E1D">
        <w:t>。对于利用既有铁路、改扩建的车站，出租车接驳设施与车站出入口接驳距离可适当放大，但不宜大于300</w:t>
      </w:r>
      <w:r w:rsidRPr="004B4E1D">
        <w:rPr>
          <w:rFonts w:hint="eastAsia"/>
        </w:rPr>
        <w:t>m。</w:t>
      </w:r>
    </w:p>
    <w:p w14:paraId="13844E11" w14:textId="2F59711C" w:rsidR="00025599" w:rsidRPr="004B4E1D" w:rsidRDefault="00025599" w:rsidP="00453DBE">
      <w:pPr>
        <w:pStyle w:val="22"/>
      </w:pPr>
      <w:r w:rsidRPr="004B4E1D">
        <w:rPr>
          <w:rFonts w:hint="eastAsia"/>
        </w:rPr>
        <w:t>出租车停靠站应与公交停靠站分开设置，且优先布置在公交停靠站上游</w:t>
      </w:r>
      <w:r w:rsidRPr="004B4E1D">
        <w:t>。</w:t>
      </w:r>
      <w:r w:rsidRPr="004B4E1D">
        <w:rPr>
          <w:rFonts w:hint="eastAsia"/>
        </w:rPr>
        <w:t>场地受限时，应优先布置公交停靠站。</w:t>
      </w:r>
    </w:p>
    <w:p w14:paraId="55B3A4DC" w14:textId="30E1BFA6" w:rsidR="00025599" w:rsidRPr="004B4E1D" w:rsidRDefault="00025599" w:rsidP="00453DBE">
      <w:pPr>
        <w:pStyle w:val="affe"/>
        <w:spacing w:before="156" w:after="156"/>
      </w:pPr>
      <w:bookmarkStart w:id="3808" w:name="_Toc4605"/>
      <w:bookmarkStart w:id="3809" w:name="_Toc15821"/>
      <w:bookmarkStart w:id="3810" w:name="_Toc443"/>
      <w:bookmarkStart w:id="3811" w:name="_Toc21858"/>
      <w:bookmarkStart w:id="3812" w:name="_Toc22702"/>
      <w:bookmarkStart w:id="3813" w:name="_Toc1394"/>
      <w:bookmarkStart w:id="3814" w:name="_Toc6565"/>
      <w:bookmarkStart w:id="3815" w:name="_Toc20335"/>
      <w:bookmarkStart w:id="3816" w:name="_Toc13957"/>
      <w:bookmarkStart w:id="3817" w:name="_Toc182476607"/>
      <w:r w:rsidRPr="004B4E1D">
        <w:rPr>
          <w:rFonts w:hint="eastAsia"/>
        </w:rPr>
        <w:t>小汽车接驳设施</w:t>
      </w:r>
      <w:bookmarkEnd w:id="3808"/>
      <w:bookmarkEnd w:id="3809"/>
      <w:bookmarkEnd w:id="3810"/>
      <w:bookmarkEnd w:id="3811"/>
      <w:bookmarkEnd w:id="3812"/>
      <w:bookmarkEnd w:id="3813"/>
      <w:bookmarkEnd w:id="3814"/>
      <w:bookmarkEnd w:id="3815"/>
      <w:bookmarkEnd w:id="3816"/>
      <w:bookmarkEnd w:id="3817"/>
    </w:p>
    <w:p w14:paraId="67C87F16" w14:textId="67B1363C" w:rsidR="00025599" w:rsidRPr="004B4E1D" w:rsidRDefault="00025599" w:rsidP="00453DBE">
      <w:pPr>
        <w:pStyle w:val="22"/>
      </w:pPr>
      <w:r w:rsidRPr="004B4E1D">
        <w:t>车站应结合实际需求和规划用地情况设置小汽车驻车换乘停车场，若周边用地紧张时，可共用配建和公共停车场或与其他类型用地复合使用</w:t>
      </w:r>
      <w:r w:rsidRPr="004B4E1D">
        <w:rPr>
          <w:rFonts w:hint="eastAsia"/>
        </w:rPr>
        <w:t>。</w:t>
      </w:r>
    </w:p>
    <w:p w14:paraId="11C04FCD" w14:textId="1F46F187" w:rsidR="00025599" w:rsidRPr="004B4E1D" w:rsidRDefault="00025599" w:rsidP="00453DBE">
      <w:pPr>
        <w:pStyle w:val="22"/>
      </w:pPr>
      <w:r w:rsidRPr="004B4E1D">
        <w:t>小汽车驻车换乘停车场出入口距车站出入口不宜大于150</w:t>
      </w:r>
      <w:r w:rsidRPr="004B4E1D">
        <w:rPr>
          <w:rFonts w:hint="eastAsia"/>
        </w:rPr>
        <w:t>m</w:t>
      </w:r>
      <w:r w:rsidRPr="004B4E1D">
        <w:t>。对于利用既有铁路、改扩建的车站，小汽车驻车换乘停车场与车站出入口接驳距离可适当放大，但不宜大于300</w:t>
      </w:r>
      <w:r w:rsidRPr="004B4E1D">
        <w:rPr>
          <w:rFonts w:hint="eastAsia"/>
        </w:rPr>
        <w:t>m</w:t>
      </w:r>
      <w:r w:rsidRPr="004B4E1D">
        <w:t>。</w:t>
      </w:r>
    </w:p>
    <w:p w14:paraId="29D40701" w14:textId="047E37F6" w:rsidR="00B86001" w:rsidRDefault="00B86001" w:rsidP="00B86001">
      <w:pPr>
        <w:pStyle w:val="affd"/>
        <w:spacing w:before="312" w:after="312"/>
      </w:pPr>
      <w:bookmarkStart w:id="3818" w:name="_Toc182476608"/>
      <w:r>
        <w:rPr>
          <w:rFonts w:hint="eastAsia"/>
        </w:rPr>
        <w:t>绿色设计</w:t>
      </w:r>
      <w:bookmarkEnd w:id="3818"/>
    </w:p>
    <w:p w14:paraId="18DCA4BC" w14:textId="5D6E33AD" w:rsidR="00B86001" w:rsidRDefault="00B86001" w:rsidP="00B86001">
      <w:pPr>
        <w:pStyle w:val="affe"/>
        <w:spacing w:before="156" w:after="156"/>
      </w:pPr>
      <w:bookmarkStart w:id="3819" w:name="_Toc182476609"/>
      <w:r>
        <w:rPr>
          <w:rFonts w:hint="eastAsia"/>
        </w:rPr>
        <w:t>一般规定</w:t>
      </w:r>
      <w:bookmarkEnd w:id="3819"/>
    </w:p>
    <w:p w14:paraId="56F8FF13" w14:textId="6D479C09" w:rsidR="00B86001" w:rsidRPr="00B86001" w:rsidRDefault="00B86001" w:rsidP="00453DBE">
      <w:pPr>
        <w:pStyle w:val="22"/>
      </w:pPr>
      <w:r>
        <w:rPr>
          <w:rFonts w:hint="eastAsia"/>
        </w:rPr>
        <w:t>市域铁路绿色设计应遵循共享、平衡、集成的理念，因地制宜、以人为本，体现安全耐久、资源节约、环境友好、减少排放的性能要求。</w:t>
      </w:r>
    </w:p>
    <w:p w14:paraId="535AA4BF" w14:textId="15046246" w:rsidR="00B86001" w:rsidRDefault="00B86001" w:rsidP="00453DBE">
      <w:pPr>
        <w:pStyle w:val="22"/>
      </w:pPr>
      <w:r>
        <w:rPr>
          <w:rFonts w:hint="eastAsia"/>
        </w:rPr>
        <w:t>市域铁路工程可行性研究阶段应进行绿色策划，明确绿色铁路建设目标与相关指标。初步设计及施工图设计阶段应编制绿色设计专篇，落实绿色线路建设目标。</w:t>
      </w:r>
    </w:p>
    <w:p w14:paraId="576F03DC" w14:textId="1D810DC0" w:rsidR="00B86001" w:rsidRDefault="00B86001" w:rsidP="00453DBE">
      <w:pPr>
        <w:pStyle w:val="22"/>
      </w:pPr>
      <w:r>
        <w:rPr>
          <w:rFonts w:hint="eastAsia"/>
        </w:rPr>
        <w:t>市域铁路绿色设计应考虑实用性和适用原则，并宜适度超前。</w:t>
      </w:r>
    </w:p>
    <w:p w14:paraId="58F3EBE8" w14:textId="217A8BA9" w:rsidR="00B86001" w:rsidRDefault="00B86001" w:rsidP="00453DBE">
      <w:pPr>
        <w:pStyle w:val="22"/>
      </w:pPr>
      <w:r>
        <w:rPr>
          <w:rFonts w:hint="eastAsia"/>
        </w:rPr>
        <w:t>市域铁路所需的建筑材料宜选用绿色建材，并应积极稳妥地推广装配式、可循环利用的建造方式。</w:t>
      </w:r>
    </w:p>
    <w:p w14:paraId="5428B5FC" w14:textId="1F37197D" w:rsidR="00B86001" w:rsidRDefault="00B86001" w:rsidP="00B86001">
      <w:pPr>
        <w:pStyle w:val="22"/>
      </w:pPr>
      <w:r>
        <w:rPr>
          <w:rFonts w:hint="eastAsia"/>
        </w:rPr>
        <w:t>市域铁路工程建设机电设备设计应以安全可靠为原则，结合各城市群运营组织及需求，合理配置各系统，最大限度提高能源利用率。</w:t>
      </w:r>
    </w:p>
    <w:p w14:paraId="6124DBBE" w14:textId="2B20127E" w:rsidR="00B86001" w:rsidRDefault="00BB527A" w:rsidP="00B86001">
      <w:pPr>
        <w:pStyle w:val="affe"/>
        <w:spacing w:before="156" w:after="156"/>
      </w:pPr>
      <w:bookmarkStart w:id="3820" w:name="_Toc182476610"/>
      <w:r>
        <w:rPr>
          <w:rFonts w:hint="eastAsia"/>
        </w:rPr>
        <w:t>线路</w:t>
      </w:r>
      <w:bookmarkEnd w:id="3820"/>
    </w:p>
    <w:p w14:paraId="5AB5D80A" w14:textId="48C29313" w:rsidR="00BB527A" w:rsidRDefault="00BB527A" w:rsidP="00453DBE">
      <w:pPr>
        <w:pStyle w:val="22"/>
      </w:pPr>
      <w:r>
        <w:rPr>
          <w:rFonts w:hint="eastAsia"/>
        </w:rPr>
        <w:t>线路选线应符合工程实施安全及节约用地的原则，宜规避不良工程地质、水文地质地段，并宜减少房屋和管线拆迁，宜保护文物和重要建（构）筑物，同时应注重对环境景观和地下资源的保护。</w:t>
      </w:r>
    </w:p>
    <w:p w14:paraId="0D2DE375" w14:textId="7EBCC563" w:rsidR="00BB527A" w:rsidRDefault="00BB527A" w:rsidP="00453DBE">
      <w:pPr>
        <w:pStyle w:val="22"/>
      </w:pPr>
      <w:r>
        <w:rPr>
          <w:rFonts w:hint="eastAsia"/>
        </w:rPr>
        <w:t>区间线路或车站结构临近建（构）筑物时，宜与建（构）筑物及其基础保持必要的距离，并应采取适当的减振、降噪措施；线路必须穿越建（构）筑物时，应考虑施工运营期间的沉降、振动和结构二次噪声对建（构）筑物的影响。</w:t>
      </w:r>
    </w:p>
    <w:p w14:paraId="347BC197" w14:textId="1D38F9F2" w:rsidR="00BB527A" w:rsidRDefault="00BB527A" w:rsidP="00453DBE">
      <w:pPr>
        <w:pStyle w:val="22"/>
      </w:pPr>
      <w:r>
        <w:rPr>
          <w:rFonts w:hint="eastAsia"/>
        </w:rPr>
        <w:lastRenderedPageBreak/>
        <w:t>线路敷设方式符合下列规定：</w:t>
      </w:r>
    </w:p>
    <w:p w14:paraId="0ABE9FA4" w14:textId="459A5B9F" w:rsidR="00BB527A" w:rsidRDefault="00BB527A" w:rsidP="003334F3">
      <w:pPr>
        <w:pStyle w:val="af6"/>
        <w:numPr>
          <w:ilvl w:val="0"/>
          <w:numId w:val="300"/>
        </w:numPr>
      </w:pPr>
      <w:r>
        <w:rPr>
          <w:rFonts w:hint="eastAsia"/>
        </w:rPr>
        <w:t>线路敷设方式应根据城市国土空间规划和地理环境条件，因地制宜选定。城市中心区宜采用地下线，城市中心区外围宜采用高架线；</w:t>
      </w:r>
    </w:p>
    <w:p w14:paraId="4DFF0BA0" w14:textId="20143B88" w:rsidR="00BB527A" w:rsidRDefault="00BB527A" w:rsidP="00453DBE">
      <w:pPr>
        <w:pStyle w:val="af6"/>
      </w:pPr>
      <w:r>
        <w:rPr>
          <w:rFonts w:hint="eastAsia"/>
        </w:rPr>
        <w:t>地下线路埋设深度，应结合工程地质、水文地质、隧道形式和施工方法确定；隧道顶部覆土厚度应满足地面绿化、地下管线布设和综合利用地下空间资源等要求；</w:t>
      </w:r>
    </w:p>
    <w:p w14:paraId="4C6DEA0B" w14:textId="4FCE73A4" w:rsidR="00BB527A" w:rsidRDefault="00BB527A" w:rsidP="00453DBE">
      <w:pPr>
        <w:pStyle w:val="af6"/>
      </w:pPr>
      <w:r>
        <w:rPr>
          <w:rFonts w:hint="eastAsia"/>
        </w:rPr>
        <w:t>高架线路应注重结构选型和控制规模、体量，并应注意高度、跨度、宽度的比例协调，高架线应保证相关地面道路、航道及河道的交通功能；高架结构应注意与景观和环境的协调，同时应注意地下线与高架线过渡段位置的隐蔽性。</w:t>
      </w:r>
    </w:p>
    <w:p w14:paraId="2FB87792" w14:textId="22FB21B1" w:rsidR="00BB527A" w:rsidRDefault="00BB527A" w:rsidP="00453DBE">
      <w:pPr>
        <w:pStyle w:val="affe"/>
        <w:spacing w:before="156" w:after="156"/>
      </w:pPr>
      <w:bookmarkStart w:id="3821" w:name="_Toc182476611"/>
      <w:r>
        <w:rPr>
          <w:rFonts w:hint="eastAsia"/>
        </w:rPr>
        <w:t>轨道</w:t>
      </w:r>
      <w:bookmarkEnd w:id="3821"/>
    </w:p>
    <w:p w14:paraId="52CFF221" w14:textId="5076A948" w:rsidR="00BB527A" w:rsidRDefault="00BB527A" w:rsidP="00453DBE">
      <w:pPr>
        <w:pStyle w:val="22"/>
      </w:pPr>
      <w:r>
        <w:rPr>
          <w:rFonts w:hint="eastAsia"/>
        </w:rPr>
        <w:t>减振轨道结构应按项目环境影响评估报告书、沿线规划及管线保护等要求，确定减振地段位置及减振等级。</w:t>
      </w:r>
    </w:p>
    <w:p w14:paraId="0E88D0E1" w14:textId="7D49CC15" w:rsidR="00BB527A" w:rsidRDefault="00BB527A" w:rsidP="00453DBE">
      <w:pPr>
        <w:pStyle w:val="22"/>
      </w:pPr>
      <w:r>
        <w:rPr>
          <w:rFonts w:hint="eastAsia"/>
        </w:rPr>
        <w:t>减振轨道结构应按减振地段的减振级别，选取减振轨道类型和减振产品。</w:t>
      </w:r>
    </w:p>
    <w:p w14:paraId="31C20901" w14:textId="73F5DB93" w:rsidR="00BB527A" w:rsidRDefault="00BB527A" w:rsidP="00453DBE">
      <w:pPr>
        <w:pStyle w:val="22"/>
      </w:pPr>
      <w:r>
        <w:rPr>
          <w:rFonts w:hint="eastAsia"/>
        </w:rPr>
        <w:t>高架线的振动和噪声控制，应结合桥梁形式、桥梁减振支座等综合选择减振降噪产品。</w:t>
      </w:r>
    </w:p>
    <w:p w14:paraId="7BE026DA" w14:textId="748912DD" w:rsidR="00BB527A" w:rsidRDefault="00BB527A" w:rsidP="00453DBE">
      <w:pPr>
        <w:pStyle w:val="22"/>
      </w:pPr>
      <w:r>
        <w:rPr>
          <w:rFonts w:hint="eastAsia"/>
        </w:rPr>
        <w:t>减振降噪措施不应削弱轨道结构强度、稳定性及平顺性。</w:t>
      </w:r>
    </w:p>
    <w:p w14:paraId="613F81F0" w14:textId="5E73D946" w:rsidR="00BB527A" w:rsidRDefault="00BB527A" w:rsidP="00453DBE">
      <w:pPr>
        <w:pStyle w:val="affe"/>
        <w:spacing w:before="156" w:after="156"/>
      </w:pPr>
      <w:bookmarkStart w:id="3822" w:name="_Toc182476612"/>
      <w:r>
        <w:rPr>
          <w:rFonts w:hint="eastAsia"/>
        </w:rPr>
        <w:t>路基</w:t>
      </w:r>
      <w:bookmarkEnd w:id="3822"/>
    </w:p>
    <w:p w14:paraId="5C68C10F" w14:textId="7A643052" w:rsidR="00BB527A" w:rsidRDefault="00BB527A" w:rsidP="00453DBE">
      <w:pPr>
        <w:pStyle w:val="22"/>
      </w:pPr>
      <w:r>
        <w:rPr>
          <w:rFonts w:hint="eastAsia"/>
        </w:rPr>
        <w:t>路基填料应选择绿色环保经济材料，路基浅层地基处理宜采用低碳、无污染材料。</w:t>
      </w:r>
    </w:p>
    <w:p w14:paraId="39C3335E" w14:textId="2E36C6AA" w:rsidR="00BB527A" w:rsidRDefault="00BB527A" w:rsidP="00453DBE">
      <w:pPr>
        <w:pStyle w:val="22"/>
      </w:pPr>
      <w:r>
        <w:rPr>
          <w:rFonts w:hint="eastAsia"/>
        </w:rPr>
        <w:t>土质路基边坡宜采用植物防护措施，宜优先选用绿化覆盖率高的防护措施和碳汇能力强的植物品种，宜采用灌草结合、灌木优先的方式。</w:t>
      </w:r>
    </w:p>
    <w:p w14:paraId="10966B9A" w14:textId="15419766" w:rsidR="00BB527A" w:rsidRDefault="00BB527A" w:rsidP="00453DBE">
      <w:pPr>
        <w:pStyle w:val="affe"/>
        <w:spacing w:before="156" w:after="156"/>
      </w:pPr>
      <w:bookmarkStart w:id="3823" w:name="_Toc182476613"/>
      <w:r>
        <w:rPr>
          <w:rFonts w:hint="eastAsia"/>
        </w:rPr>
        <w:t>桥梁</w:t>
      </w:r>
      <w:bookmarkEnd w:id="3823"/>
    </w:p>
    <w:p w14:paraId="75AAAD3D" w14:textId="04E34946" w:rsidR="00BB527A" w:rsidRDefault="00BB527A" w:rsidP="00453DBE">
      <w:pPr>
        <w:pStyle w:val="22"/>
      </w:pPr>
      <w:r>
        <w:rPr>
          <w:rFonts w:hint="eastAsia"/>
        </w:rPr>
        <w:t>桥梁上部结构宜采用整孔预制架设。经济效益较好时可采用节段预制拼装等工厂化施工方法。</w:t>
      </w:r>
    </w:p>
    <w:p w14:paraId="2FC4E324" w14:textId="6DC5693A" w:rsidR="00BB527A" w:rsidRDefault="00BB527A" w:rsidP="00453DBE">
      <w:pPr>
        <w:pStyle w:val="22"/>
      </w:pPr>
      <w:r>
        <w:rPr>
          <w:rFonts w:hint="eastAsia"/>
        </w:rPr>
        <w:t>桥梁工程宜采用高耐久性混凝土、合适的受力钢筋保护层厚度及其他提高耐久性的措施。</w:t>
      </w:r>
    </w:p>
    <w:p w14:paraId="2F4A97CC" w14:textId="7FAC7A04" w:rsidR="00BB527A" w:rsidRDefault="00BB527A" w:rsidP="00453DBE">
      <w:pPr>
        <w:pStyle w:val="22"/>
      </w:pPr>
      <w:r>
        <w:rPr>
          <w:rFonts w:hint="eastAsia"/>
        </w:rPr>
        <w:t>桥梁设计宜选择振动和噪音较小的桥型和结构形式。</w:t>
      </w:r>
    </w:p>
    <w:p w14:paraId="5BAE3E08" w14:textId="540B5E6A" w:rsidR="00BB527A" w:rsidRDefault="00BB527A" w:rsidP="00453DBE">
      <w:pPr>
        <w:pStyle w:val="affe"/>
        <w:spacing w:before="156" w:after="156"/>
      </w:pPr>
      <w:bookmarkStart w:id="3824" w:name="_Toc182476614"/>
      <w:r>
        <w:rPr>
          <w:rFonts w:hint="eastAsia"/>
        </w:rPr>
        <w:t>隧道</w:t>
      </w:r>
      <w:bookmarkEnd w:id="3824"/>
    </w:p>
    <w:p w14:paraId="468E9957" w14:textId="16D1F194" w:rsidR="00BB527A" w:rsidRDefault="00BB527A" w:rsidP="00453DBE">
      <w:pPr>
        <w:pStyle w:val="22"/>
      </w:pPr>
      <w:r>
        <w:rPr>
          <w:rFonts w:hint="eastAsia"/>
        </w:rPr>
        <w:t>隧道设计</w:t>
      </w:r>
      <w:r w:rsidR="00BA0790" w:rsidRPr="00BF0BA3">
        <w:rPr>
          <w:rFonts w:hint="eastAsia"/>
        </w:rPr>
        <w:t>应</w:t>
      </w:r>
      <w:r w:rsidRPr="00BA0790">
        <w:rPr>
          <w:rFonts w:hint="eastAsia"/>
        </w:rPr>
        <w:t>优先</w:t>
      </w:r>
      <w:r>
        <w:rPr>
          <w:rFonts w:hint="eastAsia"/>
        </w:rPr>
        <w:t>采用机械化施工方法，宜结合工程建设条件选择合适的施工机械与设备。</w:t>
      </w:r>
    </w:p>
    <w:p w14:paraId="679D6FAD" w14:textId="3F98540E" w:rsidR="00BB527A" w:rsidRDefault="00BB527A" w:rsidP="00453DBE">
      <w:pPr>
        <w:pStyle w:val="22"/>
      </w:pPr>
      <w:r>
        <w:rPr>
          <w:rFonts w:hint="eastAsia"/>
        </w:rPr>
        <w:t>隧道施工组织设计应按全线盾构隧道统筹考虑，并应根据单台盾构平均掘进长度及日均指标合理分配设备数量，合理安排盾构进、出场及掘进施工。隧道施工产生的渣土、碎石等工程弃土应环保处理。</w:t>
      </w:r>
    </w:p>
    <w:p w14:paraId="1DD22E38" w14:textId="39B53002" w:rsidR="00BB527A" w:rsidRDefault="00BB527A" w:rsidP="00453DBE">
      <w:pPr>
        <w:pStyle w:val="affe"/>
        <w:spacing w:before="156" w:after="156"/>
      </w:pPr>
      <w:bookmarkStart w:id="3825" w:name="_Toc182476615"/>
      <w:r>
        <w:rPr>
          <w:rFonts w:hint="eastAsia"/>
        </w:rPr>
        <w:t>站场及车站</w:t>
      </w:r>
      <w:bookmarkEnd w:id="3825"/>
    </w:p>
    <w:p w14:paraId="2343E32D" w14:textId="47510CDC" w:rsidR="00BB527A" w:rsidRDefault="00BB527A" w:rsidP="00453DBE">
      <w:pPr>
        <w:pStyle w:val="22"/>
      </w:pPr>
      <w:r>
        <w:rPr>
          <w:rFonts w:hint="eastAsia"/>
        </w:rPr>
        <w:t>场地建设应采用低影响开发的建设方式，宜利用场地空间设置绿色雨水基础设施，衔接和引导屋面和广场雨水进入地面生态措施，促进雨水的自然积存、自然渗透、自然净化和充分利用。</w:t>
      </w:r>
    </w:p>
    <w:p w14:paraId="7E6EFE19" w14:textId="7D7A5D24" w:rsidR="00BB527A" w:rsidRDefault="00BB527A" w:rsidP="00453DBE">
      <w:pPr>
        <w:pStyle w:val="22"/>
      </w:pPr>
      <w:r>
        <w:rPr>
          <w:rFonts w:hint="eastAsia"/>
        </w:rPr>
        <w:t>车站用地范围内的站前广场、自行车停车场宜设置乔木、构筑物遮阴措施。宜采取有效措施改善室外热环境，降低热岛效应。</w:t>
      </w:r>
    </w:p>
    <w:p w14:paraId="0317139A" w14:textId="03CDA5D1" w:rsidR="00BB527A" w:rsidRDefault="00BB527A" w:rsidP="00453DBE">
      <w:pPr>
        <w:pStyle w:val="22"/>
      </w:pPr>
      <w:r>
        <w:rPr>
          <w:rFonts w:hint="eastAsia"/>
        </w:rPr>
        <w:t>车站建筑造型设计应简约，不宜采用纯装饰性构件。建筑宜预留太阳能集热器、光伏组件的安装位置和条件，具有遮阳、导光、导风、载物、辅助绿化等功能的室外构件宜与建筑进行一体化设计，并应具备安装和维护检修条件。</w:t>
      </w:r>
    </w:p>
    <w:p w14:paraId="27579AA4" w14:textId="465C4892" w:rsidR="00BB527A" w:rsidRDefault="00BB527A" w:rsidP="00453DBE">
      <w:pPr>
        <w:pStyle w:val="22"/>
      </w:pPr>
      <w:r>
        <w:rPr>
          <w:rFonts w:hint="eastAsia"/>
        </w:rPr>
        <w:t>工程建设应充分利用地下配线上方空间、地上建筑屋顶、高架区间桥下区域等各类不易使用的空间。</w:t>
      </w:r>
    </w:p>
    <w:p w14:paraId="66D4590C" w14:textId="0960535F" w:rsidR="00BB527A" w:rsidRDefault="00BB527A" w:rsidP="00453DBE">
      <w:pPr>
        <w:pStyle w:val="22"/>
      </w:pPr>
      <w:r>
        <w:rPr>
          <w:rFonts w:hint="eastAsia"/>
        </w:rPr>
        <w:t>室内装修宜采用可回收再利用的装修材料和设施。</w:t>
      </w:r>
    </w:p>
    <w:p w14:paraId="7B691F89" w14:textId="5BDB15ED" w:rsidR="00BB527A" w:rsidRDefault="00BB527A" w:rsidP="00453DBE">
      <w:pPr>
        <w:pStyle w:val="22"/>
      </w:pPr>
      <w:r>
        <w:rPr>
          <w:rFonts w:hint="eastAsia"/>
        </w:rPr>
        <w:t>地上车站和车辆基地建筑设计应优化建筑形体和内部空间布局，充分利用天然采光、自然通风，并宜采用保温与结构一体化设计。</w:t>
      </w:r>
    </w:p>
    <w:p w14:paraId="0AEBC67B" w14:textId="546ADACA" w:rsidR="00BB527A" w:rsidRDefault="00BB527A" w:rsidP="00453DBE">
      <w:pPr>
        <w:pStyle w:val="22"/>
      </w:pPr>
      <w:r>
        <w:rPr>
          <w:rFonts w:hint="eastAsia"/>
        </w:rPr>
        <w:t>车站建筑不宜采用建筑形体和布置严重不规则的结构。</w:t>
      </w:r>
    </w:p>
    <w:p w14:paraId="122A0BF7" w14:textId="63B15A39" w:rsidR="00BB527A" w:rsidRDefault="00BB527A" w:rsidP="00453DBE">
      <w:pPr>
        <w:pStyle w:val="22"/>
      </w:pPr>
      <w:r>
        <w:rPr>
          <w:rFonts w:hint="eastAsia"/>
        </w:rPr>
        <w:t>工程结构设计应体现绿色建造、装配式的技术理念，宜选择标准化设计、工业化生产、装配化</w:t>
      </w:r>
      <w:r>
        <w:rPr>
          <w:rFonts w:hint="eastAsia"/>
        </w:rPr>
        <w:lastRenderedPageBreak/>
        <w:t>施工的预制拼装结构。</w:t>
      </w:r>
    </w:p>
    <w:p w14:paraId="7219CDCE" w14:textId="0D602157" w:rsidR="00BB527A" w:rsidRDefault="00BB527A" w:rsidP="00453DBE">
      <w:pPr>
        <w:pStyle w:val="22"/>
      </w:pPr>
      <w:r>
        <w:rPr>
          <w:rFonts w:hint="eastAsia"/>
        </w:rPr>
        <w:t>高架车站钢罩棚宜采用耐候结构钢或耐候型防腐涂料。</w:t>
      </w:r>
    </w:p>
    <w:p w14:paraId="62F95830" w14:textId="3088DC4D" w:rsidR="00BB527A" w:rsidRDefault="00BB527A" w:rsidP="00453DBE">
      <w:pPr>
        <w:pStyle w:val="22"/>
      </w:pPr>
      <w:r>
        <w:rPr>
          <w:rFonts w:hint="eastAsia"/>
        </w:rPr>
        <w:t>车站设计宜充分保留利用场地内有环保价值和再利用价值的水域、地形地貌、植被、道路及建（构）筑物等资源。</w:t>
      </w:r>
    </w:p>
    <w:p w14:paraId="12B90920" w14:textId="1550273D" w:rsidR="00BB527A" w:rsidRDefault="00BB527A" w:rsidP="00453DBE">
      <w:pPr>
        <w:pStyle w:val="22"/>
      </w:pPr>
      <w:r>
        <w:rPr>
          <w:rFonts w:hint="eastAsia"/>
        </w:rPr>
        <w:t>车站规模应根据客流量、所处城市位置、远期发展规划等因素综合确定，并宜严格控制规模。</w:t>
      </w:r>
    </w:p>
    <w:p w14:paraId="5F9FC260" w14:textId="72B70E7A" w:rsidR="00BB527A" w:rsidRDefault="00BB527A" w:rsidP="00453DBE">
      <w:pPr>
        <w:pStyle w:val="22"/>
      </w:pPr>
      <w:r>
        <w:rPr>
          <w:rFonts w:hint="eastAsia"/>
        </w:rPr>
        <w:t>各种轨道交通宜形成互联互通，宜采用安检互认和付费区换乘方式。同期实施的换乘车站，车站用房、设备和设施等宜资源共享。</w:t>
      </w:r>
    </w:p>
    <w:p w14:paraId="0EF0CE18" w14:textId="48514E97" w:rsidR="00BB527A" w:rsidRDefault="00BB527A" w:rsidP="00453DBE">
      <w:pPr>
        <w:pStyle w:val="22"/>
      </w:pPr>
      <w:r>
        <w:rPr>
          <w:rFonts w:hint="eastAsia"/>
        </w:rPr>
        <w:t>站点地下空间或上部空间的开发利用应综合考虑区位、客流、周边效应、市民出行及消费特点等多方面因素，宜对站内空间、周边地下空间和地上空间进行综合开发利用。</w:t>
      </w:r>
    </w:p>
    <w:p w14:paraId="471F33CD" w14:textId="0B4EC8EC" w:rsidR="00BB527A" w:rsidRDefault="00BB527A" w:rsidP="00453DBE">
      <w:pPr>
        <w:pStyle w:val="affe"/>
        <w:spacing w:before="156" w:after="156"/>
      </w:pPr>
      <w:bookmarkStart w:id="3826" w:name="_Toc182476616"/>
      <w:r>
        <w:rPr>
          <w:rFonts w:hint="eastAsia"/>
        </w:rPr>
        <w:t>车辆基地</w:t>
      </w:r>
      <w:bookmarkEnd w:id="3826"/>
    </w:p>
    <w:p w14:paraId="13132B73" w14:textId="209575ED" w:rsidR="00BB527A" w:rsidRDefault="00BB527A" w:rsidP="00453DBE">
      <w:pPr>
        <w:pStyle w:val="22"/>
      </w:pPr>
      <w:r>
        <w:rPr>
          <w:rFonts w:hint="eastAsia"/>
        </w:rPr>
        <w:t>车辆基地规划设计应节约用地、提高土地利用率，应合理控制开发强度。</w:t>
      </w:r>
    </w:p>
    <w:p w14:paraId="61768470" w14:textId="6D723CCF" w:rsidR="00BB527A" w:rsidRDefault="00BB527A" w:rsidP="00453DBE">
      <w:pPr>
        <w:pStyle w:val="22"/>
      </w:pPr>
      <w:r>
        <w:rPr>
          <w:rFonts w:hint="eastAsia"/>
        </w:rPr>
        <w:t>车辆基地用地应与城市总体规划协调一致，宜优先利用废弃的仓库、厂房、闲置土地等进行建设。被污染的废弃地应严格按相关标准要求处理达标后方可实施建设。</w:t>
      </w:r>
    </w:p>
    <w:p w14:paraId="1AC3963B" w14:textId="32F2A0D8" w:rsidR="00BB527A" w:rsidRDefault="00BB527A" w:rsidP="00453DBE">
      <w:pPr>
        <w:pStyle w:val="22"/>
      </w:pPr>
      <w:r>
        <w:rPr>
          <w:rFonts w:hint="eastAsia"/>
        </w:rPr>
        <w:t>车辆基地宜推广海绵城市建设理念，充分考虑能就地回收与再利用的设施，宜通过“滞、蓄、渗、净、用、排”等多重手段实现雨水径流控制目标和水资源良性循环。</w:t>
      </w:r>
    </w:p>
    <w:p w14:paraId="5C670B3B" w14:textId="5DCF616B" w:rsidR="00BB527A" w:rsidRDefault="00BB527A" w:rsidP="00453DBE">
      <w:pPr>
        <w:pStyle w:val="22"/>
      </w:pPr>
      <w:r>
        <w:rPr>
          <w:rFonts w:hint="eastAsia"/>
        </w:rPr>
        <w:t>车辆选型应符合市域铁路规划及检修资源共享规划，应优先采用系列化、标准化的车辆。</w:t>
      </w:r>
    </w:p>
    <w:p w14:paraId="7826C04E" w14:textId="2E4C3D38" w:rsidR="00BB527A" w:rsidRDefault="00BB527A" w:rsidP="00453DBE">
      <w:pPr>
        <w:pStyle w:val="22"/>
      </w:pPr>
      <w:r>
        <w:rPr>
          <w:rFonts w:hint="eastAsia"/>
        </w:rPr>
        <w:t>车辆应在满足乘客舒适度的同时采取节约能源措施。车体宜采用新型环保、不燃的轻量化材料，宜减轻车辆自重；车体外表面宜采用水性漆。</w:t>
      </w:r>
    </w:p>
    <w:p w14:paraId="01AC636E" w14:textId="3BA303EA" w:rsidR="00BB527A" w:rsidRDefault="00BB527A" w:rsidP="00453DBE">
      <w:pPr>
        <w:pStyle w:val="affe"/>
        <w:spacing w:before="156" w:after="156"/>
      </w:pPr>
      <w:bookmarkStart w:id="3827" w:name="_Toc182476617"/>
      <w:r>
        <w:rPr>
          <w:rFonts w:hint="eastAsia"/>
        </w:rPr>
        <w:t>给水</w:t>
      </w:r>
      <w:r w:rsidR="0000064F">
        <w:rPr>
          <w:rFonts w:hint="eastAsia"/>
        </w:rPr>
        <w:t>及</w:t>
      </w:r>
      <w:r>
        <w:rPr>
          <w:rFonts w:hint="eastAsia"/>
        </w:rPr>
        <w:t>排水</w:t>
      </w:r>
      <w:bookmarkEnd w:id="3827"/>
    </w:p>
    <w:p w14:paraId="4D6F2670" w14:textId="77777777" w:rsidR="00BB527A" w:rsidRDefault="00BB527A" w:rsidP="00453DBE">
      <w:pPr>
        <w:pStyle w:val="22"/>
      </w:pPr>
      <w:r>
        <w:rPr>
          <w:rFonts w:hint="eastAsia"/>
        </w:rPr>
        <w:t>车站与车辆基地生产、生活及消防给水系统应充分利用市政自来水压力直接供给，加压供水系统宜优先采用叠压供水系统。</w:t>
      </w:r>
    </w:p>
    <w:p w14:paraId="3C22685D" w14:textId="29BCD2D7" w:rsidR="00BB527A" w:rsidRDefault="00BB527A" w:rsidP="00453DBE">
      <w:pPr>
        <w:pStyle w:val="22"/>
      </w:pPr>
      <w:r>
        <w:rPr>
          <w:rFonts w:hint="eastAsia"/>
        </w:rPr>
        <w:t>卫生间洗手池、洗脸盆、小便池宜采用感应式或非接触式龙头和冲洗装置。</w:t>
      </w:r>
    </w:p>
    <w:p w14:paraId="0F0A81D1" w14:textId="5E8D0510" w:rsidR="00BB527A" w:rsidRDefault="00BB527A" w:rsidP="00453DBE">
      <w:pPr>
        <w:pStyle w:val="22"/>
      </w:pPr>
      <w:r>
        <w:rPr>
          <w:rFonts w:hint="eastAsia"/>
        </w:rPr>
        <w:t>绿化浇洒应采用喷灌、微灌等高效节水灌溉方式，宜设置土壤湿度感应器、雨天关闭装置等节水控制措施。</w:t>
      </w:r>
    </w:p>
    <w:p w14:paraId="2122F416" w14:textId="4360A880" w:rsidR="00BB527A" w:rsidRDefault="00BB527A" w:rsidP="00453DBE">
      <w:pPr>
        <w:pStyle w:val="affe"/>
        <w:spacing w:before="156" w:after="156"/>
      </w:pPr>
      <w:bookmarkStart w:id="3828" w:name="_Toc182476618"/>
      <w:bookmarkStart w:id="3829" w:name="OLE_LINK13"/>
      <w:r>
        <w:rPr>
          <w:rFonts w:hint="eastAsia"/>
        </w:rPr>
        <w:t>机电系统</w:t>
      </w:r>
      <w:bookmarkEnd w:id="3828"/>
    </w:p>
    <w:bookmarkEnd w:id="3829"/>
    <w:p w14:paraId="54FABC91" w14:textId="4DB37B5C" w:rsidR="00BB527A" w:rsidRDefault="00BB527A" w:rsidP="00453DBE">
      <w:pPr>
        <w:pStyle w:val="22"/>
      </w:pPr>
      <w:r>
        <w:rPr>
          <w:rFonts w:hint="eastAsia"/>
        </w:rPr>
        <w:t>车辆空调宜采用变频空调，应采用温度智能控制装置，宜对客室内温度、湿度、CO2浓度、可吸入颗粒物浓度实时检测。</w:t>
      </w:r>
    </w:p>
    <w:p w14:paraId="3220F8F1" w14:textId="4E50C9F6" w:rsidR="00BB527A" w:rsidRDefault="00BB527A" w:rsidP="00453DBE">
      <w:pPr>
        <w:pStyle w:val="22"/>
      </w:pPr>
      <w:r>
        <w:rPr>
          <w:rFonts w:hint="eastAsia"/>
        </w:rPr>
        <w:t>供配电系统宜结合工程条件采用储能、直流配电、柔性用电等绿色技术。</w:t>
      </w:r>
    </w:p>
    <w:p w14:paraId="35FB0F77" w14:textId="7468F8B6" w:rsidR="00BB527A" w:rsidRDefault="00BB527A" w:rsidP="00453DBE">
      <w:pPr>
        <w:pStyle w:val="22"/>
      </w:pPr>
      <w:r>
        <w:rPr>
          <w:rFonts w:hint="eastAsia"/>
        </w:rPr>
        <w:t>地下车站出口、高架站及其他地面建筑，宜采取设置光伏发电设备等节能措施。太阳能光伏设施宜与建筑主体结构同步设计、施工。</w:t>
      </w:r>
    </w:p>
    <w:p w14:paraId="7B8D20DE" w14:textId="2EDF75DF" w:rsidR="00BB527A" w:rsidRDefault="00BB527A" w:rsidP="00453DBE">
      <w:pPr>
        <w:pStyle w:val="22"/>
      </w:pPr>
      <w:r>
        <w:rPr>
          <w:rFonts w:hint="eastAsia"/>
        </w:rPr>
        <w:t>通风空调与供暖系统应采用绿色高效的能源系统。</w:t>
      </w:r>
    </w:p>
    <w:p w14:paraId="7032E047" w14:textId="23631D17" w:rsidR="00BB527A" w:rsidRDefault="00BB527A" w:rsidP="00453DBE">
      <w:pPr>
        <w:pStyle w:val="22"/>
      </w:pPr>
      <w:r>
        <w:rPr>
          <w:rFonts w:hint="eastAsia"/>
        </w:rPr>
        <w:t>车站应设置负荷预测节能控制系统，实现节能运行和控制。</w:t>
      </w:r>
    </w:p>
    <w:p w14:paraId="6AD2F8E7" w14:textId="5E258CC9" w:rsidR="00BB527A" w:rsidRDefault="00BB527A" w:rsidP="00453DBE">
      <w:pPr>
        <w:pStyle w:val="22"/>
      </w:pPr>
      <w:r>
        <w:rPr>
          <w:rFonts w:hint="eastAsia"/>
        </w:rPr>
        <w:t>地上车站空调冷热源、集中热水供应系统宜采用可再生能源。</w:t>
      </w:r>
    </w:p>
    <w:p w14:paraId="3AA3B286" w14:textId="6E1EFCC1" w:rsidR="00BB527A" w:rsidRDefault="00BB527A" w:rsidP="00453DBE">
      <w:pPr>
        <w:pStyle w:val="22"/>
      </w:pPr>
      <w:r>
        <w:rPr>
          <w:rFonts w:hint="eastAsia"/>
        </w:rPr>
        <w:t>车站通风空调系统设计应分别进行初期、近期和远期负荷计算，应按最大高峰小时客流量和行车密度设计，并应采取与不同运营阶段的系统负荷率相匹配的节能措施。</w:t>
      </w:r>
    </w:p>
    <w:p w14:paraId="35049B38" w14:textId="51B42CE2" w:rsidR="00BB527A" w:rsidRDefault="00BB527A" w:rsidP="00453DBE">
      <w:pPr>
        <w:pStyle w:val="22"/>
      </w:pPr>
      <w:r>
        <w:rPr>
          <w:rFonts w:hint="eastAsia"/>
        </w:rPr>
        <w:t>制冷系统全年运行能效比的建设标准应结合项目所在地的气象条件、负荷特性、系统规模等进行综合分析，从全生命期确定。</w:t>
      </w:r>
    </w:p>
    <w:p w14:paraId="0CC37356" w14:textId="12A74EF2" w:rsidR="00BB527A" w:rsidRDefault="00BB527A" w:rsidP="00453DBE">
      <w:pPr>
        <w:pStyle w:val="22"/>
      </w:pPr>
      <w:r>
        <w:rPr>
          <w:rFonts w:hint="eastAsia"/>
        </w:rPr>
        <w:t>空调系统应设置空气净化消毒装置。</w:t>
      </w:r>
    </w:p>
    <w:p w14:paraId="412C625D" w14:textId="6FA3F15A" w:rsidR="00BB527A" w:rsidRDefault="00BB527A" w:rsidP="00453DBE">
      <w:pPr>
        <w:pStyle w:val="22"/>
      </w:pPr>
      <w:r>
        <w:rPr>
          <w:rFonts w:hint="eastAsia"/>
        </w:rPr>
        <w:t>车辆基地不同功能区域通风空调系统应独立调节，并宜根据区域使用功能特点采用分时、分区独立控制运行策略。</w:t>
      </w:r>
    </w:p>
    <w:p w14:paraId="5EC6657F" w14:textId="32E5E29D" w:rsidR="00BB527A" w:rsidRDefault="00BB527A" w:rsidP="00453DBE">
      <w:pPr>
        <w:pStyle w:val="22"/>
      </w:pPr>
      <w:r>
        <w:rPr>
          <w:rFonts w:hint="eastAsia"/>
        </w:rPr>
        <w:t>市域铁路宜综合利用各类环境参数、行车间隔、车站客流数据等信息，实现空调负荷预测、对通风空调系统的节能控制。</w:t>
      </w:r>
    </w:p>
    <w:p w14:paraId="7C309F8F" w14:textId="3F439D2F" w:rsidR="00BB527A" w:rsidRDefault="00BB527A" w:rsidP="00453DBE">
      <w:pPr>
        <w:pStyle w:val="22"/>
      </w:pPr>
      <w:r>
        <w:rPr>
          <w:rFonts w:hint="eastAsia"/>
        </w:rPr>
        <w:t>车辆基地中非用于防灾的风机、空调、水泵等电动机控制回路宜采用变频调速等节能措施。</w:t>
      </w:r>
    </w:p>
    <w:p w14:paraId="70663CC3" w14:textId="0F0650BB" w:rsidR="00BB527A" w:rsidRDefault="00BB527A" w:rsidP="00453DBE">
      <w:pPr>
        <w:pStyle w:val="22"/>
      </w:pPr>
      <w:r>
        <w:rPr>
          <w:rFonts w:hint="eastAsia"/>
        </w:rPr>
        <w:t>车站及车辆基地应采用LED光源灯具。</w:t>
      </w:r>
    </w:p>
    <w:p w14:paraId="1D3602F2" w14:textId="6009352C" w:rsidR="00BB527A" w:rsidRDefault="00BB527A" w:rsidP="00453DBE">
      <w:pPr>
        <w:pStyle w:val="22"/>
      </w:pPr>
      <w:r>
        <w:rPr>
          <w:rFonts w:hint="eastAsia"/>
        </w:rPr>
        <w:t>自动化及信息系统的设计和选型应考虑便于使用、方便维护、全寿命周期成本低、扩展能力</w:t>
      </w:r>
      <w:r>
        <w:rPr>
          <w:rFonts w:hint="eastAsia"/>
        </w:rPr>
        <w:lastRenderedPageBreak/>
        <w:t>强。</w:t>
      </w:r>
    </w:p>
    <w:p w14:paraId="3C1BCC5D" w14:textId="13A3C2BD" w:rsidR="00BB527A" w:rsidRDefault="00BB527A" w:rsidP="00453DBE">
      <w:pPr>
        <w:pStyle w:val="22"/>
      </w:pPr>
      <w:r>
        <w:rPr>
          <w:rFonts w:hint="eastAsia"/>
        </w:rPr>
        <w:t>通信系统、综合监控系统、自动售检票系统、门禁系统、环境与设备监控系统的不间断电源应宜统一设置。不间断电源系统宜采用无腐蚀气体产生的环保型高效电池。</w:t>
      </w:r>
    </w:p>
    <w:p w14:paraId="117BEC72" w14:textId="0F2D73A4" w:rsidR="00BB527A" w:rsidRDefault="00BB527A" w:rsidP="00453DBE">
      <w:pPr>
        <w:pStyle w:val="22"/>
      </w:pPr>
      <w:r>
        <w:rPr>
          <w:rFonts w:hint="eastAsia"/>
        </w:rPr>
        <w:t>自动化及信息系统的设备机房宜采用模块化、集约化的设计。</w:t>
      </w:r>
    </w:p>
    <w:p w14:paraId="1FD98756" w14:textId="5DBA08E2" w:rsidR="00B86001" w:rsidRPr="00BB527A" w:rsidRDefault="00BB527A" w:rsidP="00453DBE">
      <w:pPr>
        <w:pStyle w:val="22"/>
      </w:pPr>
      <w:r>
        <w:rPr>
          <w:rFonts w:hint="eastAsia"/>
        </w:rPr>
        <w:t>自动化及信息系统终端设备宜具备非运营时段远程或自动关机功能。</w:t>
      </w:r>
    </w:p>
    <w:p w14:paraId="104AAF07" w14:textId="77777777" w:rsidR="00235309" w:rsidRDefault="00235309" w:rsidP="00CD561D">
      <w:pPr>
        <w:pStyle w:val="affffb"/>
        <w:ind w:firstLine="420"/>
        <w:sectPr w:rsidR="00235309" w:rsidSect="000A5A1C">
          <w:headerReference w:type="even" r:id="rId78"/>
          <w:headerReference w:type="default" r:id="rId79"/>
          <w:footerReference w:type="even" r:id="rId80"/>
          <w:footerReference w:type="default" r:id="rId81"/>
          <w:pgSz w:w="11906" w:h="16838" w:code="9"/>
          <w:pgMar w:top="1928" w:right="1134" w:bottom="1134" w:left="1134" w:header="1418" w:footer="1134" w:gutter="284"/>
          <w:pgNumType w:start="1"/>
          <w:cols w:space="425"/>
          <w:formProt w:val="0"/>
          <w:docGrid w:type="lines" w:linePitch="312"/>
        </w:sectPr>
      </w:pPr>
    </w:p>
    <w:p w14:paraId="3DBBC06C" w14:textId="35AF9B2E" w:rsidR="00235309" w:rsidRDefault="00235309" w:rsidP="00235309">
      <w:pPr>
        <w:pStyle w:val="af9"/>
        <w:rPr>
          <w:vanish w:val="0"/>
        </w:rPr>
      </w:pPr>
      <w:bookmarkStart w:id="3830" w:name="BookMark5"/>
      <w:bookmarkEnd w:id="20"/>
    </w:p>
    <w:p w14:paraId="2CE108E8" w14:textId="7E973103" w:rsidR="00235309" w:rsidRDefault="00235309" w:rsidP="00235309">
      <w:pPr>
        <w:pStyle w:val="aff"/>
        <w:rPr>
          <w:vanish w:val="0"/>
        </w:rPr>
      </w:pPr>
    </w:p>
    <w:p w14:paraId="5919B41E" w14:textId="0BF0EDD8" w:rsidR="00235309" w:rsidRPr="00765F6E" w:rsidRDefault="00235309" w:rsidP="00825942">
      <w:pPr>
        <w:pStyle w:val="aff4"/>
        <w:spacing w:beforeLines="10" w:before="24" w:after="120"/>
      </w:pPr>
      <w:r w:rsidRPr="00765F6E">
        <w:br/>
      </w:r>
      <w:bookmarkStart w:id="3831" w:name="_Toc153211031"/>
      <w:bookmarkStart w:id="3832" w:name="_Toc153292564"/>
      <w:bookmarkStart w:id="3833" w:name="_Toc167895929"/>
      <w:bookmarkStart w:id="3834" w:name="_Toc182476619"/>
      <w:r w:rsidRPr="00765F6E">
        <w:rPr>
          <w:rFonts w:hint="eastAsia"/>
        </w:rPr>
        <w:t>（规范性）</w:t>
      </w:r>
      <w:r w:rsidRPr="00765F6E">
        <w:br/>
      </w:r>
      <w:bookmarkStart w:id="3835" w:name="_Toc99793110"/>
      <w:r w:rsidRPr="00765F6E">
        <w:rPr>
          <w:rFonts w:hint="eastAsia"/>
        </w:rPr>
        <w:t>市域A1型车车辆轮廓线、车辆限界及设备限界</w:t>
      </w:r>
      <w:bookmarkEnd w:id="3831"/>
      <w:bookmarkEnd w:id="3832"/>
      <w:bookmarkEnd w:id="3833"/>
      <w:bookmarkEnd w:id="3834"/>
      <w:bookmarkEnd w:id="3835"/>
    </w:p>
    <w:p w14:paraId="4A1FD5D7" w14:textId="39948D17" w:rsidR="00235309" w:rsidRDefault="00235309">
      <w:pPr>
        <w:pStyle w:val="aff5"/>
        <w:numPr>
          <w:ilvl w:val="0"/>
          <w:numId w:val="0"/>
        </w:numPr>
        <w:spacing w:before="120" w:after="120"/>
        <w:outlineLvl w:val="9"/>
      </w:pPr>
      <w:bookmarkStart w:id="3836" w:name="_Toc164068557"/>
      <w:bookmarkStart w:id="3837" w:name="_Toc99801254"/>
      <w:bookmarkStart w:id="3838" w:name="_Toc153211032"/>
      <w:bookmarkStart w:id="3839" w:name="_Toc153292565"/>
      <w:bookmarkStart w:id="3840" w:name="_Toc152659878"/>
      <w:bookmarkStart w:id="3841" w:name="_Toc99793111"/>
      <w:bookmarkStart w:id="3842" w:name="_Toc167895930"/>
      <w:bookmarkStart w:id="3843" w:name="_Toc174539451"/>
      <w:bookmarkStart w:id="3844" w:name="_Toc174553586"/>
      <w:bookmarkStart w:id="3845" w:name="_Toc180759208"/>
      <w:bookmarkStart w:id="3846" w:name="_Toc181266620"/>
      <w:bookmarkStart w:id="3847" w:name="_Toc182409564"/>
      <w:bookmarkStart w:id="3848" w:name="_Toc182409840"/>
      <w:bookmarkStart w:id="3849" w:name="_Toc182476620"/>
      <w:r w:rsidRPr="00765F6E">
        <w:rPr>
          <w:rFonts w:ascii="宋体" w:eastAsia="宋体" w:hAnsi="宋体" w:cs="宋体" w:hint="eastAsia"/>
        </w:rPr>
        <w:t>市域A1型车车辆轮廓线、车辆限界和设备限界图</w:t>
      </w:r>
      <w:r w:rsidR="0049668C">
        <w:rPr>
          <w:rFonts w:ascii="宋体" w:eastAsia="宋体" w:hAnsi="宋体" w:cs="宋体" w:hint="eastAsia"/>
        </w:rPr>
        <w:t>应符合</w:t>
      </w:r>
      <w:r w:rsidRPr="00765F6E">
        <w:rPr>
          <w:rFonts w:ascii="宋体" w:eastAsia="宋体" w:hAnsi="宋体" w:cs="宋体" w:hint="eastAsia"/>
        </w:rPr>
        <w:t>图A.1，</w:t>
      </w:r>
      <w:r>
        <w:rPr>
          <w:rFonts w:ascii="宋体" w:eastAsia="宋体" w:hAnsi="宋体" w:cs="宋体" w:hint="eastAsia"/>
        </w:rPr>
        <w:t>轮廓和</w:t>
      </w:r>
      <w:r w:rsidRPr="00765F6E">
        <w:rPr>
          <w:rFonts w:ascii="宋体" w:eastAsia="宋体" w:hAnsi="宋体" w:cs="宋体" w:hint="eastAsia"/>
        </w:rPr>
        <w:t>限界坐标点见表A.1～表A.3</w:t>
      </w:r>
      <w:r w:rsidRPr="00765F6E">
        <w:rPr>
          <w:rFonts w:hint="eastAsia"/>
        </w:rPr>
        <w:t>。</w:t>
      </w:r>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p>
    <w:p w14:paraId="371B9C45" w14:textId="77777777" w:rsidR="00C34127" w:rsidRPr="00C34127" w:rsidRDefault="00C34127" w:rsidP="00453DBE">
      <w:pPr>
        <w:pStyle w:val="affffb"/>
        <w:ind w:firstLine="420"/>
      </w:pPr>
    </w:p>
    <w:p w14:paraId="43013E63" w14:textId="44F3A9AE" w:rsidR="00C34127" w:rsidRPr="00C34127" w:rsidRDefault="005135DB" w:rsidP="00453DBE">
      <w:pPr>
        <w:pStyle w:val="affffb"/>
        <w:ind w:firstLineChars="0" w:firstLine="0"/>
        <w:jc w:val="center"/>
      </w:pPr>
      <w:r>
        <w:drawing>
          <wp:inline distT="0" distB="0" distL="0" distR="0" wp14:anchorId="3829B895" wp14:editId="647C292C">
            <wp:extent cx="5801324" cy="5947576"/>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pic:nvPicPr>
                  <pic:blipFill rotWithShape="1">
                    <a:blip r:embed="rId82" cstate="print">
                      <a:extLst>
                        <a:ext uri="{28A0092B-C50C-407E-A947-70E740481C1C}">
                          <a14:useLocalDpi xmlns:a14="http://schemas.microsoft.com/office/drawing/2010/main" val="0"/>
                        </a:ext>
                      </a:extLst>
                    </a:blip>
                    <a:srcRect l="37596" t="18027" r="47341" b="42177"/>
                    <a:stretch/>
                  </pic:blipFill>
                  <pic:spPr bwMode="auto">
                    <a:xfrm>
                      <a:off x="0" y="0"/>
                      <a:ext cx="5850613" cy="5998108"/>
                    </a:xfrm>
                    <a:prstGeom prst="rect">
                      <a:avLst/>
                    </a:prstGeom>
                    <a:ln>
                      <a:noFill/>
                    </a:ln>
                    <a:extLst>
                      <a:ext uri="{53640926-AAD7-44D8-BBD7-CCE9431645EC}">
                        <a14:shadowObscured xmlns:a14="http://schemas.microsoft.com/office/drawing/2010/main"/>
                      </a:ext>
                    </a:extLst>
                  </pic:spPr>
                </pic:pic>
              </a:graphicData>
            </a:graphic>
          </wp:inline>
        </w:drawing>
      </w:r>
    </w:p>
    <w:p w14:paraId="338C2D4F" w14:textId="41E83796" w:rsidR="004E5F93" w:rsidRPr="004E5F93" w:rsidRDefault="004E5F93" w:rsidP="00453DBE">
      <w:pPr>
        <w:pStyle w:val="affffb"/>
        <w:ind w:firstLineChars="0" w:firstLine="0"/>
      </w:pPr>
    </w:p>
    <w:p w14:paraId="425B6502" w14:textId="34E127E0" w:rsidR="00235309" w:rsidRPr="00765F6E" w:rsidRDefault="00235309" w:rsidP="00235309">
      <w:pPr>
        <w:pStyle w:val="affffb"/>
        <w:spacing w:before="120" w:after="120"/>
        <w:ind w:firstLine="420"/>
        <w:jc w:val="center"/>
      </w:pPr>
    </w:p>
    <w:p w14:paraId="473ED7A4" w14:textId="77777777" w:rsidR="00235309" w:rsidRPr="00765F6E" w:rsidRDefault="00235309" w:rsidP="00235309">
      <w:pPr>
        <w:pStyle w:val="afa"/>
        <w:spacing w:before="120" w:after="120"/>
      </w:pPr>
      <w:r w:rsidRPr="00765F6E">
        <w:rPr>
          <w:rFonts w:hint="eastAsia"/>
        </w:rPr>
        <w:t>市域A1型车车辆轮廓、车辆限界、设备限界综合图</w:t>
      </w:r>
    </w:p>
    <w:p w14:paraId="50E38738" w14:textId="77777777" w:rsidR="00235309" w:rsidRDefault="00235309" w:rsidP="00235309">
      <w:pPr>
        <w:pStyle w:val="affffb"/>
        <w:spacing w:before="120" w:after="120"/>
        <w:ind w:firstLine="420"/>
      </w:pPr>
    </w:p>
    <w:p w14:paraId="075D3C15" w14:textId="2E8EB4BC" w:rsidR="00C34127" w:rsidRDefault="00C34127" w:rsidP="00235309">
      <w:pPr>
        <w:pStyle w:val="affffb"/>
        <w:spacing w:before="120" w:after="120"/>
        <w:ind w:firstLine="420"/>
      </w:pPr>
    </w:p>
    <w:p w14:paraId="33B8578E" w14:textId="77777777" w:rsidR="00284BAF" w:rsidRPr="00765F6E" w:rsidRDefault="00284BAF" w:rsidP="00235309">
      <w:pPr>
        <w:pStyle w:val="affffb"/>
        <w:spacing w:before="120" w:after="120"/>
        <w:ind w:firstLine="420"/>
      </w:pPr>
    </w:p>
    <w:p w14:paraId="63302818" w14:textId="77777777" w:rsidR="00235309" w:rsidRPr="00765F6E" w:rsidRDefault="00235309" w:rsidP="00235309">
      <w:pPr>
        <w:pStyle w:val="aff0"/>
        <w:spacing w:before="120" w:after="120"/>
      </w:pPr>
      <w:r w:rsidRPr="00765F6E">
        <w:rPr>
          <w:rFonts w:hint="eastAsia"/>
        </w:rPr>
        <w:lastRenderedPageBreak/>
        <w:t>车辆轮廓坐标点</w:t>
      </w:r>
    </w:p>
    <w:p w14:paraId="497EFE4E" w14:textId="77777777" w:rsidR="00235309" w:rsidRPr="00765F6E" w:rsidRDefault="00235309" w:rsidP="00235309">
      <w:pPr>
        <w:ind w:right="-1"/>
        <w:jc w:val="right"/>
        <w:rPr>
          <w:rFonts w:asciiTheme="minorEastAsia" w:eastAsiaTheme="minorEastAsia" w:hAnsiTheme="minorEastAsia"/>
          <w:sz w:val="18"/>
          <w:szCs w:val="18"/>
        </w:rPr>
      </w:pPr>
      <w:r w:rsidRPr="00765F6E">
        <w:rPr>
          <w:rFonts w:asciiTheme="minorEastAsia" w:eastAsiaTheme="minorEastAsia" w:hAnsiTheme="minorEastAsia" w:hint="eastAsia"/>
          <w:sz w:val="18"/>
          <w:szCs w:val="18"/>
        </w:rPr>
        <w:t>单位为毫米</w:t>
      </w:r>
    </w:p>
    <w:tbl>
      <w:tblPr>
        <w:tblW w:w="957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98"/>
        <w:gridCol w:w="798"/>
        <w:gridCol w:w="798"/>
        <w:gridCol w:w="798"/>
        <w:gridCol w:w="798"/>
        <w:gridCol w:w="798"/>
        <w:gridCol w:w="798"/>
        <w:gridCol w:w="798"/>
        <w:gridCol w:w="798"/>
        <w:gridCol w:w="798"/>
        <w:gridCol w:w="799"/>
        <w:gridCol w:w="791"/>
      </w:tblGrid>
      <w:tr w:rsidR="00235309" w:rsidRPr="00765F6E" w14:paraId="754BF8EF" w14:textId="77777777" w:rsidTr="00871D47">
        <w:trPr>
          <w:trHeight w:val="176"/>
          <w:jc w:val="center"/>
        </w:trPr>
        <w:tc>
          <w:tcPr>
            <w:tcW w:w="798" w:type="dxa"/>
            <w:tcBorders>
              <w:top w:val="single" w:sz="8" w:space="0" w:color="auto"/>
              <w:bottom w:val="single" w:sz="8" w:space="0" w:color="auto"/>
            </w:tcBorders>
            <w:shd w:val="clear" w:color="auto" w:fill="auto"/>
            <w:vAlign w:val="center"/>
          </w:tcPr>
          <w:p w14:paraId="27EECB2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8" w:type="dxa"/>
            <w:tcBorders>
              <w:top w:val="single" w:sz="8" w:space="0" w:color="auto"/>
              <w:bottom w:val="single" w:sz="8" w:space="0" w:color="auto"/>
            </w:tcBorders>
            <w:shd w:val="clear" w:color="auto" w:fill="auto"/>
            <w:vAlign w:val="center"/>
          </w:tcPr>
          <w:p w14:paraId="0EF488B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bottom w:val="single" w:sz="8" w:space="0" w:color="auto"/>
            </w:tcBorders>
            <w:shd w:val="clear" w:color="auto" w:fill="auto"/>
            <w:vAlign w:val="center"/>
          </w:tcPr>
          <w:p w14:paraId="562C828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p>
        </w:tc>
        <w:tc>
          <w:tcPr>
            <w:tcW w:w="798" w:type="dxa"/>
            <w:tcBorders>
              <w:top w:val="single" w:sz="8" w:space="0" w:color="auto"/>
              <w:bottom w:val="single" w:sz="8" w:space="0" w:color="auto"/>
            </w:tcBorders>
            <w:shd w:val="clear" w:color="auto" w:fill="auto"/>
            <w:vAlign w:val="center"/>
          </w:tcPr>
          <w:p w14:paraId="049876E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p>
        </w:tc>
        <w:tc>
          <w:tcPr>
            <w:tcW w:w="798" w:type="dxa"/>
            <w:tcBorders>
              <w:top w:val="single" w:sz="8" w:space="0" w:color="auto"/>
              <w:bottom w:val="single" w:sz="8" w:space="0" w:color="auto"/>
            </w:tcBorders>
            <w:shd w:val="clear" w:color="auto" w:fill="auto"/>
            <w:vAlign w:val="center"/>
          </w:tcPr>
          <w:p w14:paraId="681600B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w:t>
            </w:r>
          </w:p>
        </w:tc>
        <w:tc>
          <w:tcPr>
            <w:tcW w:w="798" w:type="dxa"/>
            <w:tcBorders>
              <w:top w:val="single" w:sz="8" w:space="0" w:color="auto"/>
              <w:bottom w:val="single" w:sz="8" w:space="0" w:color="auto"/>
            </w:tcBorders>
            <w:shd w:val="clear" w:color="auto" w:fill="auto"/>
            <w:vAlign w:val="center"/>
          </w:tcPr>
          <w:p w14:paraId="2F2637E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p>
        </w:tc>
        <w:tc>
          <w:tcPr>
            <w:tcW w:w="798" w:type="dxa"/>
            <w:tcBorders>
              <w:top w:val="single" w:sz="8" w:space="0" w:color="auto"/>
              <w:bottom w:val="single" w:sz="8" w:space="0" w:color="auto"/>
            </w:tcBorders>
            <w:shd w:val="clear" w:color="auto" w:fill="auto"/>
            <w:vAlign w:val="center"/>
          </w:tcPr>
          <w:p w14:paraId="683CA24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4a</w:t>
            </w:r>
          </w:p>
        </w:tc>
        <w:tc>
          <w:tcPr>
            <w:tcW w:w="798" w:type="dxa"/>
            <w:tcBorders>
              <w:top w:val="single" w:sz="8" w:space="0" w:color="auto"/>
              <w:bottom w:val="single" w:sz="8" w:space="0" w:color="auto"/>
            </w:tcBorders>
            <w:shd w:val="clear" w:color="auto" w:fill="auto"/>
            <w:vAlign w:val="center"/>
          </w:tcPr>
          <w:p w14:paraId="792AE23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798" w:type="dxa"/>
            <w:tcBorders>
              <w:top w:val="single" w:sz="8" w:space="0" w:color="auto"/>
              <w:bottom w:val="single" w:sz="8" w:space="0" w:color="auto"/>
            </w:tcBorders>
            <w:shd w:val="clear" w:color="auto" w:fill="auto"/>
            <w:vAlign w:val="center"/>
          </w:tcPr>
          <w:p w14:paraId="7D36844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p>
        </w:tc>
        <w:tc>
          <w:tcPr>
            <w:tcW w:w="798" w:type="dxa"/>
            <w:tcBorders>
              <w:top w:val="single" w:sz="8" w:space="0" w:color="auto"/>
              <w:bottom w:val="single" w:sz="8" w:space="0" w:color="auto"/>
            </w:tcBorders>
            <w:shd w:val="clear" w:color="auto" w:fill="auto"/>
            <w:vAlign w:val="center"/>
          </w:tcPr>
          <w:p w14:paraId="2F7D2EC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p>
        </w:tc>
        <w:tc>
          <w:tcPr>
            <w:tcW w:w="799" w:type="dxa"/>
            <w:tcBorders>
              <w:top w:val="single" w:sz="8" w:space="0" w:color="auto"/>
              <w:bottom w:val="single" w:sz="8" w:space="0" w:color="auto"/>
            </w:tcBorders>
            <w:shd w:val="clear" w:color="auto" w:fill="auto"/>
            <w:vAlign w:val="center"/>
          </w:tcPr>
          <w:p w14:paraId="707918F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91" w:type="dxa"/>
            <w:tcBorders>
              <w:top w:val="single" w:sz="8" w:space="0" w:color="auto"/>
              <w:bottom w:val="single" w:sz="8" w:space="0" w:color="auto"/>
            </w:tcBorders>
            <w:shd w:val="clear" w:color="auto" w:fill="auto"/>
            <w:vAlign w:val="center"/>
          </w:tcPr>
          <w:p w14:paraId="70BF487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w:t>
            </w:r>
          </w:p>
        </w:tc>
      </w:tr>
      <w:tr w:rsidR="00235309" w:rsidRPr="00765F6E" w14:paraId="23FC6AEA" w14:textId="77777777" w:rsidTr="00871D47">
        <w:trPr>
          <w:trHeight w:val="176"/>
          <w:jc w:val="center"/>
        </w:trPr>
        <w:tc>
          <w:tcPr>
            <w:tcW w:w="798" w:type="dxa"/>
            <w:tcBorders>
              <w:top w:val="single" w:sz="8" w:space="0" w:color="auto"/>
            </w:tcBorders>
            <w:shd w:val="clear" w:color="auto" w:fill="auto"/>
            <w:vAlign w:val="center"/>
          </w:tcPr>
          <w:p w14:paraId="7E99E4D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8" w:type="dxa"/>
            <w:tcBorders>
              <w:top w:val="single" w:sz="8" w:space="0" w:color="auto"/>
            </w:tcBorders>
            <w:shd w:val="clear" w:color="auto" w:fill="auto"/>
            <w:vAlign w:val="center"/>
          </w:tcPr>
          <w:p w14:paraId="70EC8A8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tcBorders>
            <w:shd w:val="clear" w:color="auto" w:fill="auto"/>
            <w:vAlign w:val="center"/>
          </w:tcPr>
          <w:p w14:paraId="3D8B647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658.5</w:t>
            </w:r>
          </w:p>
        </w:tc>
        <w:tc>
          <w:tcPr>
            <w:tcW w:w="798" w:type="dxa"/>
            <w:tcBorders>
              <w:top w:val="single" w:sz="8" w:space="0" w:color="auto"/>
            </w:tcBorders>
            <w:shd w:val="clear" w:color="auto" w:fill="auto"/>
            <w:vAlign w:val="center"/>
          </w:tcPr>
          <w:p w14:paraId="2798FF3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677.7</w:t>
            </w:r>
          </w:p>
        </w:tc>
        <w:tc>
          <w:tcPr>
            <w:tcW w:w="798" w:type="dxa"/>
            <w:tcBorders>
              <w:top w:val="single" w:sz="8" w:space="0" w:color="auto"/>
            </w:tcBorders>
            <w:shd w:val="clear" w:color="auto" w:fill="auto"/>
            <w:vAlign w:val="center"/>
          </w:tcPr>
          <w:p w14:paraId="3383DBB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762</w:t>
            </w:r>
          </w:p>
        </w:tc>
        <w:tc>
          <w:tcPr>
            <w:tcW w:w="798" w:type="dxa"/>
            <w:tcBorders>
              <w:top w:val="single" w:sz="8" w:space="0" w:color="auto"/>
            </w:tcBorders>
            <w:shd w:val="clear" w:color="auto" w:fill="auto"/>
            <w:vAlign w:val="center"/>
          </w:tcPr>
          <w:p w14:paraId="6490C32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762</w:t>
            </w:r>
          </w:p>
        </w:tc>
        <w:tc>
          <w:tcPr>
            <w:tcW w:w="798" w:type="dxa"/>
            <w:tcBorders>
              <w:top w:val="single" w:sz="8" w:space="0" w:color="auto"/>
            </w:tcBorders>
            <w:shd w:val="clear" w:color="auto" w:fill="auto"/>
            <w:vAlign w:val="center"/>
          </w:tcPr>
          <w:p w14:paraId="209CDBC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823</w:t>
            </w:r>
          </w:p>
        </w:tc>
        <w:tc>
          <w:tcPr>
            <w:tcW w:w="798" w:type="dxa"/>
            <w:tcBorders>
              <w:top w:val="single" w:sz="8" w:space="0" w:color="auto"/>
            </w:tcBorders>
            <w:shd w:val="clear" w:color="auto" w:fill="auto"/>
            <w:vAlign w:val="center"/>
          </w:tcPr>
          <w:p w14:paraId="3CA77AB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1071</w:t>
            </w:r>
          </w:p>
        </w:tc>
        <w:tc>
          <w:tcPr>
            <w:tcW w:w="798" w:type="dxa"/>
            <w:tcBorders>
              <w:top w:val="single" w:sz="8" w:space="0" w:color="auto"/>
            </w:tcBorders>
            <w:shd w:val="clear" w:color="auto" w:fill="auto"/>
            <w:vAlign w:val="center"/>
          </w:tcPr>
          <w:p w14:paraId="001BA52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1334.7</w:t>
            </w:r>
          </w:p>
        </w:tc>
        <w:tc>
          <w:tcPr>
            <w:tcW w:w="798" w:type="dxa"/>
            <w:tcBorders>
              <w:top w:val="single" w:sz="8" w:space="0" w:color="auto"/>
            </w:tcBorders>
            <w:shd w:val="clear" w:color="auto" w:fill="auto"/>
            <w:vAlign w:val="center"/>
          </w:tcPr>
          <w:p w14:paraId="3F9ADD5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1377</w:t>
            </w:r>
          </w:p>
        </w:tc>
        <w:tc>
          <w:tcPr>
            <w:tcW w:w="799" w:type="dxa"/>
            <w:tcBorders>
              <w:top w:val="single" w:sz="8" w:space="0" w:color="auto"/>
            </w:tcBorders>
            <w:shd w:val="clear" w:color="auto" w:fill="auto"/>
            <w:vAlign w:val="center"/>
          </w:tcPr>
          <w:p w14:paraId="332A6A9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1500</w:t>
            </w:r>
          </w:p>
        </w:tc>
        <w:tc>
          <w:tcPr>
            <w:tcW w:w="791" w:type="dxa"/>
            <w:tcBorders>
              <w:top w:val="single" w:sz="8" w:space="0" w:color="auto"/>
            </w:tcBorders>
            <w:shd w:val="clear" w:color="auto" w:fill="auto"/>
            <w:vAlign w:val="center"/>
          </w:tcPr>
          <w:p w14:paraId="7D46E64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1486</w:t>
            </w:r>
          </w:p>
        </w:tc>
      </w:tr>
      <w:tr w:rsidR="00235309" w:rsidRPr="00765F6E" w14:paraId="55969871" w14:textId="77777777" w:rsidTr="00871D47">
        <w:trPr>
          <w:trHeight w:val="176"/>
          <w:jc w:val="center"/>
        </w:trPr>
        <w:tc>
          <w:tcPr>
            <w:tcW w:w="798" w:type="dxa"/>
            <w:shd w:val="clear" w:color="auto" w:fill="auto"/>
            <w:vAlign w:val="center"/>
          </w:tcPr>
          <w:p w14:paraId="259E4D1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8" w:type="dxa"/>
            <w:shd w:val="clear" w:color="auto" w:fill="auto"/>
            <w:vAlign w:val="center"/>
          </w:tcPr>
          <w:p w14:paraId="44FFC95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3850</w:t>
            </w:r>
          </w:p>
        </w:tc>
        <w:tc>
          <w:tcPr>
            <w:tcW w:w="798" w:type="dxa"/>
            <w:shd w:val="clear" w:color="auto" w:fill="auto"/>
            <w:vAlign w:val="center"/>
          </w:tcPr>
          <w:p w14:paraId="23DBD69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3850</w:t>
            </w:r>
          </w:p>
        </w:tc>
        <w:tc>
          <w:tcPr>
            <w:tcW w:w="798" w:type="dxa"/>
            <w:shd w:val="clear" w:color="auto" w:fill="auto"/>
            <w:vAlign w:val="center"/>
          </w:tcPr>
          <w:p w14:paraId="43C50DD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3850</w:t>
            </w:r>
          </w:p>
        </w:tc>
        <w:tc>
          <w:tcPr>
            <w:tcW w:w="798" w:type="dxa"/>
            <w:shd w:val="clear" w:color="auto" w:fill="auto"/>
            <w:vAlign w:val="center"/>
          </w:tcPr>
          <w:p w14:paraId="79B1C66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3807.8</w:t>
            </w:r>
          </w:p>
        </w:tc>
        <w:tc>
          <w:tcPr>
            <w:tcW w:w="798" w:type="dxa"/>
            <w:shd w:val="clear" w:color="auto" w:fill="auto"/>
            <w:vAlign w:val="center"/>
          </w:tcPr>
          <w:p w14:paraId="3415459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3735</w:t>
            </w:r>
          </w:p>
        </w:tc>
        <w:tc>
          <w:tcPr>
            <w:tcW w:w="798" w:type="dxa"/>
            <w:shd w:val="clear" w:color="auto" w:fill="auto"/>
            <w:vAlign w:val="center"/>
          </w:tcPr>
          <w:p w14:paraId="2F1AB81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3713</w:t>
            </w:r>
          </w:p>
        </w:tc>
        <w:tc>
          <w:tcPr>
            <w:tcW w:w="798" w:type="dxa"/>
            <w:shd w:val="clear" w:color="auto" w:fill="auto"/>
            <w:vAlign w:val="center"/>
          </w:tcPr>
          <w:p w14:paraId="2F156A8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3559.5</w:t>
            </w:r>
          </w:p>
        </w:tc>
        <w:tc>
          <w:tcPr>
            <w:tcW w:w="798" w:type="dxa"/>
            <w:shd w:val="clear" w:color="auto" w:fill="auto"/>
            <w:vAlign w:val="center"/>
          </w:tcPr>
          <w:p w14:paraId="63A58A6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3394.3</w:t>
            </w:r>
          </w:p>
        </w:tc>
        <w:tc>
          <w:tcPr>
            <w:tcW w:w="798" w:type="dxa"/>
            <w:shd w:val="clear" w:color="auto" w:fill="auto"/>
            <w:vAlign w:val="center"/>
          </w:tcPr>
          <w:p w14:paraId="60BB497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3304</w:t>
            </w:r>
          </w:p>
        </w:tc>
        <w:tc>
          <w:tcPr>
            <w:tcW w:w="799" w:type="dxa"/>
            <w:shd w:val="clear" w:color="auto" w:fill="auto"/>
            <w:vAlign w:val="center"/>
          </w:tcPr>
          <w:p w14:paraId="0BFE2EF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1097</w:t>
            </w:r>
          </w:p>
        </w:tc>
        <w:tc>
          <w:tcPr>
            <w:tcW w:w="791" w:type="dxa"/>
            <w:shd w:val="clear" w:color="auto" w:fill="auto"/>
            <w:vAlign w:val="center"/>
          </w:tcPr>
          <w:p w14:paraId="315CF10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897.5</w:t>
            </w:r>
          </w:p>
        </w:tc>
      </w:tr>
      <w:tr w:rsidR="00235309" w:rsidRPr="00765F6E" w14:paraId="6EEA72B2" w14:textId="77777777" w:rsidTr="00871D47">
        <w:trPr>
          <w:trHeight w:val="176"/>
          <w:jc w:val="center"/>
        </w:trPr>
        <w:tc>
          <w:tcPr>
            <w:tcW w:w="798" w:type="dxa"/>
            <w:shd w:val="clear" w:color="auto" w:fill="auto"/>
            <w:vAlign w:val="center"/>
          </w:tcPr>
          <w:p w14:paraId="0D63022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8" w:type="dxa"/>
            <w:shd w:val="clear" w:color="auto" w:fill="auto"/>
            <w:vAlign w:val="center"/>
          </w:tcPr>
          <w:p w14:paraId="2A56DA4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c>
          <w:tcPr>
            <w:tcW w:w="798" w:type="dxa"/>
            <w:shd w:val="clear" w:color="auto" w:fill="auto"/>
            <w:vAlign w:val="center"/>
          </w:tcPr>
          <w:p w14:paraId="61019C0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w:t>
            </w:r>
          </w:p>
        </w:tc>
        <w:tc>
          <w:tcPr>
            <w:tcW w:w="798" w:type="dxa"/>
            <w:shd w:val="clear" w:color="auto" w:fill="auto"/>
            <w:vAlign w:val="center"/>
          </w:tcPr>
          <w:p w14:paraId="15CBB38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w:t>
            </w:r>
          </w:p>
        </w:tc>
        <w:tc>
          <w:tcPr>
            <w:tcW w:w="798" w:type="dxa"/>
            <w:shd w:val="clear" w:color="auto" w:fill="auto"/>
            <w:vAlign w:val="center"/>
          </w:tcPr>
          <w:p w14:paraId="42B2121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w:t>
            </w:r>
          </w:p>
        </w:tc>
        <w:tc>
          <w:tcPr>
            <w:tcW w:w="798" w:type="dxa"/>
            <w:shd w:val="clear" w:color="auto" w:fill="auto"/>
            <w:vAlign w:val="center"/>
          </w:tcPr>
          <w:p w14:paraId="446DA97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w:t>
            </w:r>
          </w:p>
        </w:tc>
        <w:tc>
          <w:tcPr>
            <w:tcW w:w="798" w:type="dxa"/>
            <w:shd w:val="clear" w:color="auto" w:fill="auto"/>
            <w:vAlign w:val="center"/>
          </w:tcPr>
          <w:p w14:paraId="3E0C212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798" w:type="dxa"/>
            <w:shd w:val="clear" w:color="auto" w:fill="auto"/>
            <w:vAlign w:val="center"/>
          </w:tcPr>
          <w:p w14:paraId="726017C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w:t>
            </w:r>
          </w:p>
        </w:tc>
        <w:tc>
          <w:tcPr>
            <w:tcW w:w="798" w:type="dxa"/>
            <w:shd w:val="clear" w:color="auto" w:fill="auto"/>
            <w:vAlign w:val="center"/>
          </w:tcPr>
          <w:p w14:paraId="6B7DF66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798" w:type="dxa"/>
            <w:shd w:val="clear" w:color="auto" w:fill="auto"/>
            <w:vAlign w:val="center"/>
          </w:tcPr>
          <w:p w14:paraId="5A61B81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w:t>
            </w:r>
          </w:p>
        </w:tc>
        <w:tc>
          <w:tcPr>
            <w:tcW w:w="799" w:type="dxa"/>
            <w:shd w:val="clear" w:color="auto" w:fill="auto"/>
            <w:vAlign w:val="center"/>
          </w:tcPr>
          <w:p w14:paraId="71DFFD8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19</w:t>
            </w:r>
          </w:p>
        </w:tc>
        <w:tc>
          <w:tcPr>
            <w:tcW w:w="791" w:type="dxa"/>
            <w:shd w:val="clear" w:color="auto" w:fill="auto"/>
            <w:vAlign w:val="center"/>
          </w:tcPr>
          <w:p w14:paraId="390E269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w:t>
            </w:r>
          </w:p>
        </w:tc>
      </w:tr>
      <w:tr w:rsidR="00235309" w:rsidRPr="00765F6E" w14:paraId="7F47BD07" w14:textId="77777777" w:rsidTr="00871D47">
        <w:trPr>
          <w:trHeight w:val="176"/>
          <w:jc w:val="center"/>
        </w:trPr>
        <w:tc>
          <w:tcPr>
            <w:tcW w:w="798" w:type="dxa"/>
            <w:shd w:val="clear" w:color="auto" w:fill="auto"/>
            <w:vAlign w:val="center"/>
          </w:tcPr>
          <w:p w14:paraId="333F17B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8" w:type="dxa"/>
            <w:shd w:val="clear" w:color="auto" w:fill="auto"/>
            <w:vAlign w:val="center"/>
          </w:tcPr>
          <w:p w14:paraId="167CB30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1480</w:t>
            </w:r>
          </w:p>
        </w:tc>
        <w:tc>
          <w:tcPr>
            <w:tcW w:w="798" w:type="dxa"/>
            <w:shd w:val="clear" w:color="auto" w:fill="auto"/>
            <w:vAlign w:val="center"/>
          </w:tcPr>
          <w:p w14:paraId="48EDB3B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1445.4</w:t>
            </w:r>
          </w:p>
        </w:tc>
        <w:tc>
          <w:tcPr>
            <w:tcW w:w="798" w:type="dxa"/>
            <w:shd w:val="clear" w:color="auto" w:fill="auto"/>
            <w:vAlign w:val="center"/>
          </w:tcPr>
          <w:p w14:paraId="621463F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1355.4</w:t>
            </w:r>
          </w:p>
        </w:tc>
        <w:tc>
          <w:tcPr>
            <w:tcW w:w="798" w:type="dxa"/>
            <w:shd w:val="clear" w:color="auto" w:fill="auto"/>
            <w:vAlign w:val="center"/>
          </w:tcPr>
          <w:p w14:paraId="434B2D6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1308</w:t>
            </w:r>
          </w:p>
        </w:tc>
        <w:tc>
          <w:tcPr>
            <w:tcW w:w="798" w:type="dxa"/>
            <w:shd w:val="clear" w:color="auto" w:fill="auto"/>
            <w:vAlign w:val="center"/>
          </w:tcPr>
          <w:p w14:paraId="3619B73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1095</w:t>
            </w:r>
          </w:p>
        </w:tc>
        <w:tc>
          <w:tcPr>
            <w:tcW w:w="798" w:type="dxa"/>
            <w:shd w:val="clear" w:color="auto" w:fill="auto"/>
            <w:vAlign w:val="center"/>
          </w:tcPr>
          <w:p w14:paraId="13976B7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982</w:t>
            </w:r>
          </w:p>
        </w:tc>
        <w:tc>
          <w:tcPr>
            <w:tcW w:w="798" w:type="dxa"/>
            <w:shd w:val="clear" w:color="auto" w:fill="auto"/>
            <w:vAlign w:val="center"/>
          </w:tcPr>
          <w:p w14:paraId="33017E1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960.5</w:t>
            </w:r>
          </w:p>
        </w:tc>
        <w:tc>
          <w:tcPr>
            <w:tcW w:w="798" w:type="dxa"/>
            <w:shd w:val="clear" w:color="auto" w:fill="auto"/>
            <w:vAlign w:val="center"/>
          </w:tcPr>
          <w:p w14:paraId="5B4EAFA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952.5</w:t>
            </w:r>
          </w:p>
        </w:tc>
        <w:tc>
          <w:tcPr>
            <w:tcW w:w="798" w:type="dxa"/>
            <w:shd w:val="clear" w:color="auto" w:fill="auto"/>
            <w:vAlign w:val="center"/>
          </w:tcPr>
          <w:p w14:paraId="74B5E3E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811.5</w:t>
            </w:r>
          </w:p>
        </w:tc>
        <w:tc>
          <w:tcPr>
            <w:tcW w:w="799" w:type="dxa"/>
            <w:shd w:val="clear" w:color="auto" w:fill="auto"/>
            <w:vAlign w:val="center"/>
          </w:tcPr>
          <w:p w14:paraId="00F4D1E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811.5</w:t>
            </w:r>
          </w:p>
        </w:tc>
        <w:tc>
          <w:tcPr>
            <w:tcW w:w="791" w:type="dxa"/>
            <w:shd w:val="clear" w:color="auto" w:fill="auto"/>
            <w:vAlign w:val="center"/>
          </w:tcPr>
          <w:p w14:paraId="4B25AC1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746.5</w:t>
            </w:r>
          </w:p>
        </w:tc>
      </w:tr>
      <w:tr w:rsidR="00235309" w:rsidRPr="00765F6E" w14:paraId="0944663F" w14:textId="77777777" w:rsidTr="00871D47">
        <w:trPr>
          <w:trHeight w:val="176"/>
          <w:jc w:val="center"/>
        </w:trPr>
        <w:tc>
          <w:tcPr>
            <w:tcW w:w="798" w:type="dxa"/>
            <w:shd w:val="clear" w:color="auto" w:fill="auto"/>
            <w:vAlign w:val="center"/>
          </w:tcPr>
          <w:p w14:paraId="7E2BB69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8" w:type="dxa"/>
            <w:shd w:val="clear" w:color="auto" w:fill="auto"/>
            <w:vAlign w:val="center"/>
          </w:tcPr>
          <w:p w14:paraId="6E07D0C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865</w:t>
            </w:r>
          </w:p>
        </w:tc>
        <w:tc>
          <w:tcPr>
            <w:tcW w:w="798" w:type="dxa"/>
            <w:shd w:val="clear" w:color="auto" w:fill="auto"/>
            <w:vAlign w:val="center"/>
          </w:tcPr>
          <w:p w14:paraId="3CE18F7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691</w:t>
            </w:r>
          </w:p>
        </w:tc>
        <w:tc>
          <w:tcPr>
            <w:tcW w:w="798" w:type="dxa"/>
            <w:shd w:val="clear" w:color="auto" w:fill="auto"/>
            <w:vAlign w:val="center"/>
          </w:tcPr>
          <w:p w14:paraId="3449264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691</w:t>
            </w:r>
          </w:p>
        </w:tc>
        <w:tc>
          <w:tcPr>
            <w:tcW w:w="798" w:type="dxa"/>
            <w:shd w:val="clear" w:color="auto" w:fill="auto"/>
            <w:vAlign w:val="center"/>
          </w:tcPr>
          <w:p w14:paraId="754EB3D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382</w:t>
            </w:r>
          </w:p>
        </w:tc>
        <w:tc>
          <w:tcPr>
            <w:tcW w:w="798" w:type="dxa"/>
            <w:shd w:val="clear" w:color="auto" w:fill="auto"/>
            <w:vAlign w:val="center"/>
          </w:tcPr>
          <w:p w14:paraId="6756C3A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189</w:t>
            </w:r>
          </w:p>
        </w:tc>
        <w:tc>
          <w:tcPr>
            <w:tcW w:w="798" w:type="dxa"/>
            <w:shd w:val="clear" w:color="auto" w:fill="auto"/>
            <w:vAlign w:val="center"/>
          </w:tcPr>
          <w:p w14:paraId="069BE70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190</w:t>
            </w:r>
          </w:p>
        </w:tc>
        <w:tc>
          <w:tcPr>
            <w:tcW w:w="798" w:type="dxa"/>
            <w:shd w:val="clear" w:color="auto" w:fill="auto"/>
            <w:vAlign w:val="center"/>
          </w:tcPr>
          <w:p w14:paraId="25FBEFA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185</w:t>
            </w:r>
          </w:p>
        </w:tc>
        <w:tc>
          <w:tcPr>
            <w:tcW w:w="798" w:type="dxa"/>
            <w:shd w:val="clear" w:color="auto" w:fill="auto"/>
            <w:vAlign w:val="center"/>
          </w:tcPr>
          <w:p w14:paraId="4D26E01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185</w:t>
            </w:r>
          </w:p>
        </w:tc>
        <w:tc>
          <w:tcPr>
            <w:tcW w:w="798" w:type="dxa"/>
            <w:shd w:val="clear" w:color="auto" w:fill="auto"/>
            <w:vAlign w:val="center"/>
          </w:tcPr>
          <w:p w14:paraId="6770CD0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185</w:t>
            </w:r>
          </w:p>
        </w:tc>
        <w:tc>
          <w:tcPr>
            <w:tcW w:w="799" w:type="dxa"/>
            <w:shd w:val="clear" w:color="auto" w:fill="auto"/>
            <w:vAlign w:val="center"/>
          </w:tcPr>
          <w:p w14:paraId="6D76F94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1" w:type="dxa"/>
            <w:shd w:val="clear" w:color="auto" w:fill="auto"/>
            <w:vAlign w:val="center"/>
          </w:tcPr>
          <w:p w14:paraId="08463AA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r>
      <w:tr w:rsidR="00235309" w:rsidRPr="00765F6E" w14:paraId="6714E277" w14:textId="77777777" w:rsidTr="00871D47">
        <w:trPr>
          <w:trHeight w:val="176"/>
          <w:jc w:val="center"/>
        </w:trPr>
        <w:tc>
          <w:tcPr>
            <w:tcW w:w="798" w:type="dxa"/>
            <w:shd w:val="clear" w:color="auto" w:fill="auto"/>
            <w:vAlign w:val="center"/>
          </w:tcPr>
          <w:p w14:paraId="2013290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8" w:type="dxa"/>
            <w:shd w:val="clear" w:color="auto" w:fill="auto"/>
            <w:vAlign w:val="center"/>
          </w:tcPr>
          <w:p w14:paraId="1A189BA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21</w:t>
            </w:r>
          </w:p>
        </w:tc>
        <w:tc>
          <w:tcPr>
            <w:tcW w:w="798" w:type="dxa"/>
            <w:shd w:val="clear" w:color="auto" w:fill="auto"/>
            <w:vAlign w:val="center"/>
          </w:tcPr>
          <w:p w14:paraId="3D170C9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22</w:t>
            </w:r>
          </w:p>
        </w:tc>
        <w:tc>
          <w:tcPr>
            <w:tcW w:w="798" w:type="dxa"/>
            <w:shd w:val="clear" w:color="auto" w:fill="auto"/>
            <w:vAlign w:val="center"/>
          </w:tcPr>
          <w:p w14:paraId="3849B61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23</w:t>
            </w:r>
          </w:p>
        </w:tc>
        <w:tc>
          <w:tcPr>
            <w:tcW w:w="798" w:type="dxa"/>
            <w:shd w:val="clear" w:color="auto" w:fill="auto"/>
            <w:vAlign w:val="center"/>
          </w:tcPr>
          <w:p w14:paraId="7EDAAE7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24</w:t>
            </w:r>
          </w:p>
        </w:tc>
        <w:tc>
          <w:tcPr>
            <w:tcW w:w="798" w:type="dxa"/>
            <w:shd w:val="clear" w:color="auto" w:fill="auto"/>
            <w:vAlign w:val="center"/>
          </w:tcPr>
          <w:p w14:paraId="266535C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25</w:t>
            </w:r>
          </w:p>
        </w:tc>
        <w:tc>
          <w:tcPr>
            <w:tcW w:w="798" w:type="dxa"/>
            <w:shd w:val="clear" w:color="auto" w:fill="auto"/>
            <w:vAlign w:val="center"/>
          </w:tcPr>
          <w:p w14:paraId="13CDB01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26</w:t>
            </w:r>
          </w:p>
        </w:tc>
        <w:tc>
          <w:tcPr>
            <w:tcW w:w="798" w:type="dxa"/>
            <w:shd w:val="clear" w:color="auto" w:fill="auto"/>
            <w:vAlign w:val="center"/>
          </w:tcPr>
          <w:p w14:paraId="54E9728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27</w:t>
            </w:r>
          </w:p>
        </w:tc>
        <w:tc>
          <w:tcPr>
            <w:tcW w:w="798" w:type="dxa"/>
            <w:shd w:val="clear" w:color="auto" w:fill="auto"/>
            <w:vAlign w:val="center"/>
          </w:tcPr>
          <w:p w14:paraId="1ADB1E1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28</w:t>
            </w:r>
          </w:p>
        </w:tc>
        <w:tc>
          <w:tcPr>
            <w:tcW w:w="798" w:type="dxa"/>
            <w:shd w:val="clear" w:color="auto" w:fill="auto"/>
            <w:vAlign w:val="center"/>
          </w:tcPr>
          <w:p w14:paraId="631D9CD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29d</w:t>
            </w:r>
          </w:p>
        </w:tc>
        <w:tc>
          <w:tcPr>
            <w:tcW w:w="799" w:type="dxa"/>
            <w:shd w:val="clear" w:color="auto" w:fill="auto"/>
            <w:vAlign w:val="center"/>
          </w:tcPr>
          <w:p w14:paraId="02179B9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30d</w:t>
            </w:r>
          </w:p>
        </w:tc>
        <w:tc>
          <w:tcPr>
            <w:tcW w:w="791" w:type="dxa"/>
            <w:shd w:val="clear" w:color="auto" w:fill="auto"/>
            <w:vAlign w:val="center"/>
          </w:tcPr>
          <w:p w14:paraId="5EB8800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31d</w:t>
            </w:r>
          </w:p>
        </w:tc>
      </w:tr>
      <w:tr w:rsidR="00235309" w:rsidRPr="00765F6E" w14:paraId="5317A3D6" w14:textId="77777777" w:rsidTr="00871D47">
        <w:trPr>
          <w:trHeight w:val="176"/>
          <w:jc w:val="center"/>
        </w:trPr>
        <w:tc>
          <w:tcPr>
            <w:tcW w:w="798" w:type="dxa"/>
            <w:shd w:val="clear" w:color="auto" w:fill="auto"/>
            <w:vAlign w:val="center"/>
          </w:tcPr>
          <w:p w14:paraId="2740D01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8" w:type="dxa"/>
            <w:shd w:val="clear" w:color="auto" w:fill="auto"/>
            <w:vAlign w:val="center"/>
          </w:tcPr>
          <w:p w14:paraId="7C7CBD0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707</w:t>
            </w:r>
          </w:p>
        </w:tc>
        <w:tc>
          <w:tcPr>
            <w:tcW w:w="798" w:type="dxa"/>
            <w:shd w:val="clear" w:color="auto" w:fill="auto"/>
            <w:vAlign w:val="center"/>
          </w:tcPr>
          <w:p w14:paraId="586D97B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707</w:t>
            </w:r>
          </w:p>
        </w:tc>
        <w:tc>
          <w:tcPr>
            <w:tcW w:w="798" w:type="dxa"/>
            <w:shd w:val="clear" w:color="auto" w:fill="auto"/>
            <w:vAlign w:val="center"/>
          </w:tcPr>
          <w:p w14:paraId="7F62AC1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676.5</w:t>
            </w:r>
          </w:p>
        </w:tc>
        <w:tc>
          <w:tcPr>
            <w:tcW w:w="798" w:type="dxa"/>
            <w:shd w:val="clear" w:color="auto" w:fill="auto"/>
            <w:vAlign w:val="center"/>
          </w:tcPr>
          <w:p w14:paraId="0770A8F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676.5</w:t>
            </w:r>
          </w:p>
        </w:tc>
        <w:tc>
          <w:tcPr>
            <w:tcW w:w="798" w:type="dxa"/>
            <w:shd w:val="clear" w:color="auto" w:fill="auto"/>
            <w:vAlign w:val="center"/>
          </w:tcPr>
          <w:p w14:paraId="080E4DE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506</w:t>
            </w:r>
          </w:p>
        </w:tc>
        <w:tc>
          <w:tcPr>
            <w:tcW w:w="798" w:type="dxa"/>
            <w:shd w:val="clear" w:color="auto" w:fill="auto"/>
            <w:vAlign w:val="center"/>
          </w:tcPr>
          <w:p w14:paraId="27CFE97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186</w:t>
            </w:r>
          </w:p>
        </w:tc>
        <w:tc>
          <w:tcPr>
            <w:tcW w:w="798" w:type="dxa"/>
            <w:shd w:val="clear" w:color="auto" w:fill="auto"/>
            <w:vAlign w:val="center"/>
          </w:tcPr>
          <w:p w14:paraId="6E3C63C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186</w:t>
            </w:r>
          </w:p>
        </w:tc>
        <w:tc>
          <w:tcPr>
            <w:tcW w:w="798" w:type="dxa"/>
            <w:shd w:val="clear" w:color="auto" w:fill="auto"/>
            <w:vAlign w:val="center"/>
          </w:tcPr>
          <w:p w14:paraId="1DCDAD0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shd w:val="clear" w:color="auto" w:fill="auto"/>
            <w:vAlign w:val="center"/>
          </w:tcPr>
          <w:p w14:paraId="7674B60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-1308</w:t>
            </w:r>
          </w:p>
        </w:tc>
        <w:tc>
          <w:tcPr>
            <w:tcW w:w="799" w:type="dxa"/>
            <w:shd w:val="clear" w:color="auto" w:fill="auto"/>
            <w:vAlign w:val="center"/>
          </w:tcPr>
          <w:p w14:paraId="7678BA8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-1580</w:t>
            </w:r>
          </w:p>
        </w:tc>
        <w:tc>
          <w:tcPr>
            <w:tcW w:w="791" w:type="dxa"/>
            <w:shd w:val="clear" w:color="auto" w:fill="auto"/>
            <w:vAlign w:val="center"/>
          </w:tcPr>
          <w:p w14:paraId="1098DB0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-1580</w:t>
            </w:r>
          </w:p>
        </w:tc>
      </w:tr>
      <w:tr w:rsidR="00235309" w:rsidRPr="00765F6E" w14:paraId="4173010C" w14:textId="77777777" w:rsidTr="00871D47">
        <w:trPr>
          <w:trHeight w:val="176"/>
          <w:jc w:val="center"/>
        </w:trPr>
        <w:tc>
          <w:tcPr>
            <w:tcW w:w="798" w:type="dxa"/>
            <w:shd w:val="clear" w:color="auto" w:fill="auto"/>
            <w:vAlign w:val="center"/>
          </w:tcPr>
          <w:p w14:paraId="4CF5321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8" w:type="dxa"/>
            <w:shd w:val="clear" w:color="auto" w:fill="auto"/>
            <w:vAlign w:val="center"/>
          </w:tcPr>
          <w:p w14:paraId="758F850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shd w:val="clear" w:color="auto" w:fill="auto"/>
            <w:vAlign w:val="center"/>
          </w:tcPr>
          <w:p w14:paraId="1DEF543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-28</w:t>
            </w:r>
          </w:p>
        </w:tc>
        <w:tc>
          <w:tcPr>
            <w:tcW w:w="798" w:type="dxa"/>
            <w:shd w:val="clear" w:color="auto" w:fill="auto"/>
            <w:vAlign w:val="center"/>
          </w:tcPr>
          <w:p w14:paraId="017F2A7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-28</w:t>
            </w:r>
          </w:p>
        </w:tc>
        <w:tc>
          <w:tcPr>
            <w:tcW w:w="798" w:type="dxa"/>
            <w:shd w:val="clear" w:color="auto" w:fill="auto"/>
            <w:vAlign w:val="center"/>
          </w:tcPr>
          <w:p w14:paraId="068DA2B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115</w:t>
            </w:r>
          </w:p>
        </w:tc>
        <w:tc>
          <w:tcPr>
            <w:tcW w:w="798" w:type="dxa"/>
            <w:shd w:val="clear" w:color="auto" w:fill="auto"/>
            <w:vAlign w:val="center"/>
          </w:tcPr>
          <w:p w14:paraId="02A87E9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115</w:t>
            </w:r>
          </w:p>
        </w:tc>
        <w:tc>
          <w:tcPr>
            <w:tcW w:w="798" w:type="dxa"/>
            <w:shd w:val="clear" w:color="auto" w:fill="auto"/>
            <w:vAlign w:val="center"/>
          </w:tcPr>
          <w:p w14:paraId="150CE44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115</w:t>
            </w:r>
          </w:p>
        </w:tc>
        <w:tc>
          <w:tcPr>
            <w:tcW w:w="798" w:type="dxa"/>
            <w:shd w:val="clear" w:color="auto" w:fill="auto"/>
            <w:vAlign w:val="center"/>
          </w:tcPr>
          <w:p w14:paraId="2A9DDFD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162</w:t>
            </w:r>
          </w:p>
        </w:tc>
        <w:tc>
          <w:tcPr>
            <w:tcW w:w="798" w:type="dxa"/>
            <w:shd w:val="clear" w:color="auto" w:fill="auto"/>
            <w:vAlign w:val="center"/>
          </w:tcPr>
          <w:p w14:paraId="05A23AE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162</w:t>
            </w:r>
          </w:p>
        </w:tc>
        <w:tc>
          <w:tcPr>
            <w:tcW w:w="798" w:type="dxa"/>
            <w:shd w:val="clear" w:color="auto" w:fill="auto"/>
            <w:vAlign w:val="center"/>
          </w:tcPr>
          <w:p w14:paraId="3BB9464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200</w:t>
            </w:r>
          </w:p>
        </w:tc>
        <w:tc>
          <w:tcPr>
            <w:tcW w:w="799" w:type="dxa"/>
            <w:shd w:val="clear" w:color="auto" w:fill="auto"/>
            <w:vAlign w:val="center"/>
          </w:tcPr>
          <w:p w14:paraId="4DCA777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200</w:t>
            </w:r>
          </w:p>
        </w:tc>
        <w:tc>
          <w:tcPr>
            <w:tcW w:w="791" w:type="dxa"/>
            <w:shd w:val="clear" w:color="auto" w:fill="auto"/>
            <w:vAlign w:val="center"/>
          </w:tcPr>
          <w:p w14:paraId="6B55463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150</w:t>
            </w:r>
          </w:p>
        </w:tc>
      </w:tr>
      <w:tr w:rsidR="00235309" w:rsidRPr="00765F6E" w14:paraId="0557897A" w14:textId="77777777" w:rsidTr="00871D47">
        <w:trPr>
          <w:trHeight w:val="176"/>
          <w:jc w:val="center"/>
        </w:trPr>
        <w:tc>
          <w:tcPr>
            <w:tcW w:w="798" w:type="dxa"/>
            <w:shd w:val="clear" w:color="auto" w:fill="auto"/>
            <w:vAlign w:val="center"/>
          </w:tcPr>
          <w:p w14:paraId="73FC003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8" w:type="dxa"/>
            <w:shd w:val="clear" w:color="auto" w:fill="auto"/>
            <w:vAlign w:val="center"/>
          </w:tcPr>
          <w:p w14:paraId="25A0926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32d</w:t>
            </w:r>
          </w:p>
        </w:tc>
        <w:tc>
          <w:tcPr>
            <w:tcW w:w="798" w:type="dxa"/>
            <w:shd w:val="clear" w:color="auto" w:fill="auto"/>
            <w:vAlign w:val="center"/>
          </w:tcPr>
          <w:p w14:paraId="1C1C2B7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33d</w:t>
            </w:r>
          </w:p>
        </w:tc>
        <w:tc>
          <w:tcPr>
            <w:tcW w:w="798" w:type="dxa"/>
            <w:shd w:val="clear" w:color="auto" w:fill="auto"/>
            <w:vAlign w:val="center"/>
          </w:tcPr>
          <w:p w14:paraId="7FBB5B3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34d</w:t>
            </w:r>
          </w:p>
        </w:tc>
        <w:tc>
          <w:tcPr>
            <w:tcW w:w="798" w:type="dxa"/>
            <w:shd w:val="clear" w:color="auto" w:fill="auto"/>
            <w:vAlign w:val="center"/>
          </w:tcPr>
          <w:p w14:paraId="51A79D5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35d</w:t>
            </w:r>
          </w:p>
        </w:tc>
        <w:tc>
          <w:tcPr>
            <w:tcW w:w="798" w:type="dxa"/>
            <w:shd w:val="clear" w:color="auto" w:fill="auto"/>
            <w:vAlign w:val="center"/>
          </w:tcPr>
          <w:p w14:paraId="264C8B7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29e</w:t>
            </w:r>
          </w:p>
        </w:tc>
        <w:tc>
          <w:tcPr>
            <w:tcW w:w="798" w:type="dxa"/>
            <w:shd w:val="clear" w:color="auto" w:fill="auto"/>
            <w:vAlign w:val="center"/>
          </w:tcPr>
          <w:p w14:paraId="618E50A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30e</w:t>
            </w:r>
          </w:p>
        </w:tc>
        <w:tc>
          <w:tcPr>
            <w:tcW w:w="798" w:type="dxa"/>
            <w:shd w:val="clear" w:color="auto" w:fill="auto"/>
            <w:vAlign w:val="center"/>
          </w:tcPr>
          <w:p w14:paraId="2BB9185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31e</w:t>
            </w:r>
          </w:p>
        </w:tc>
        <w:tc>
          <w:tcPr>
            <w:tcW w:w="798" w:type="dxa"/>
            <w:shd w:val="clear" w:color="auto" w:fill="auto"/>
            <w:vAlign w:val="center"/>
          </w:tcPr>
          <w:p w14:paraId="76E8B81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32e</w:t>
            </w:r>
          </w:p>
        </w:tc>
        <w:tc>
          <w:tcPr>
            <w:tcW w:w="798" w:type="dxa"/>
            <w:shd w:val="clear" w:color="auto" w:fill="auto"/>
            <w:vAlign w:val="center"/>
          </w:tcPr>
          <w:p w14:paraId="58EB6AC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33e</w:t>
            </w:r>
          </w:p>
        </w:tc>
        <w:tc>
          <w:tcPr>
            <w:tcW w:w="799" w:type="dxa"/>
            <w:shd w:val="clear" w:color="auto" w:fill="auto"/>
            <w:vAlign w:val="center"/>
          </w:tcPr>
          <w:p w14:paraId="5A6C2A1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34e</w:t>
            </w:r>
          </w:p>
        </w:tc>
        <w:tc>
          <w:tcPr>
            <w:tcW w:w="791" w:type="dxa"/>
            <w:shd w:val="clear" w:color="auto" w:fill="auto"/>
            <w:vAlign w:val="center"/>
          </w:tcPr>
          <w:p w14:paraId="0297670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35e</w:t>
            </w:r>
          </w:p>
        </w:tc>
      </w:tr>
      <w:tr w:rsidR="00235309" w:rsidRPr="00765F6E" w14:paraId="015E8FAD" w14:textId="77777777" w:rsidTr="00871D47">
        <w:trPr>
          <w:trHeight w:val="176"/>
          <w:jc w:val="center"/>
        </w:trPr>
        <w:tc>
          <w:tcPr>
            <w:tcW w:w="798" w:type="dxa"/>
            <w:shd w:val="clear" w:color="auto" w:fill="auto"/>
            <w:vAlign w:val="center"/>
          </w:tcPr>
          <w:p w14:paraId="0A41C75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8" w:type="dxa"/>
            <w:shd w:val="clear" w:color="auto" w:fill="auto"/>
            <w:vAlign w:val="center"/>
          </w:tcPr>
          <w:p w14:paraId="18884F8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-1443</w:t>
            </w:r>
          </w:p>
        </w:tc>
        <w:tc>
          <w:tcPr>
            <w:tcW w:w="798" w:type="dxa"/>
            <w:shd w:val="clear" w:color="auto" w:fill="auto"/>
            <w:vAlign w:val="center"/>
          </w:tcPr>
          <w:p w14:paraId="405FA1D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-1409</w:t>
            </w:r>
          </w:p>
        </w:tc>
        <w:tc>
          <w:tcPr>
            <w:tcW w:w="798" w:type="dxa"/>
            <w:shd w:val="clear" w:color="auto" w:fill="auto"/>
            <w:vAlign w:val="center"/>
          </w:tcPr>
          <w:p w14:paraId="2FD0D06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-1226</w:t>
            </w:r>
          </w:p>
        </w:tc>
        <w:tc>
          <w:tcPr>
            <w:tcW w:w="798" w:type="dxa"/>
            <w:shd w:val="clear" w:color="auto" w:fill="auto"/>
            <w:vAlign w:val="center"/>
          </w:tcPr>
          <w:p w14:paraId="78D8FA8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-1095</w:t>
            </w:r>
          </w:p>
        </w:tc>
        <w:tc>
          <w:tcPr>
            <w:tcW w:w="798" w:type="dxa"/>
            <w:shd w:val="clear" w:color="auto" w:fill="auto"/>
            <w:vAlign w:val="center"/>
          </w:tcPr>
          <w:p w14:paraId="3710F75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1308</w:t>
            </w:r>
          </w:p>
        </w:tc>
        <w:tc>
          <w:tcPr>
            <w:tcW w:w="798" w:type="dxa"/>
            <w:shd w:val="clear" w:color="auto" w:fill="auto"/>
            <w:vAlign w:val="center"/>
          </w:tcPr>
          <w:p w14:paraId="20ECE79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1580</w:t>
            </w:r>
          </w:p>
        </w:tc>
        <w:tc>
          <w:tcPr>
            <w:tcW w:w="798" w:type="dxa"/>
            <w:shd w:val="clear" w:color="auto" w:fill="auto"/>
            <w:vAlign w:val="center"/>
          </w:tcPr>
          <w:p w14:paraId="3B7E88A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1580</w:t>
            </w:r>
          </w:p>
        </w:tc>
        <w:tc>
          <w:tcPr>
            <w:tcW w:w="798" w:type="dxa"/>
            <w:shd w:val="clear" w:color="auto" w:fill="auto"/>
            <w:vAlign w:val="center"/>
          </w:tcPr>
          <w:p w14:paraId="004CD92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1405</w:t>
            </w:r>
          </w:p>
        </w:tc>
        <w:tc>
          <w:tcPr>
            <w:tcW w:w="798" w:type="dxa"/>
            <w:shd w:val="clear" w:color="auto" w:fill="auto"/>
            <w:vAlign w:val="center"/>
          </w:tcPr>
          <w:p w14:paraId="1F33F51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1396</w:t>
            </w:r>
          </w:p>
        </w:tc>
        <w:tc>
          <w:tcPr>
            <w:tcW w:w="799" w:type="dxa"/>
            <w:shd w:val="clear" w:color="auto" w:fill="auto"/>
            <w:vAlign w:val="center"/>
          </w:tcPr>
          <w:p w14:paraId="274DCB6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1118</w:t>
            </w:r>
          </w:p>
        </w:tc>
        <w:tc>
          <w:tcPr>
            <w:tcW w:w="791" w:type="dxa"/>
            <w:shd w:val="clear" w:color="auto" w:fill="auto"/>
            <w:vAlign w:val="center"/>
          </w:tcPr>
          <w:p w14:paraId="6E81B73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1095</w:t>
            </w:r>
          </w:p>
        </w:tc>
      </w:tr>
      <w:tr w:rsidR="00235309" w:rsidRPr="00765F6E" w14:paraId="7B16BB00" w14:textId="77777777" w:rsidTr="00871D47">
        <w:trPr>
          <w:trHeight w:val="176"/>
          <w:jc w:val="center"/>
        </w:trPr>
        <w:tc>
          <w:tcPr>
            <w:tcW w:w="798" w:type="dxa"/>
            <w:shd w:val="clear" w:color="auto" w:fill="auto"/>
            <w:vAlign w:val="center"/>
          </w:tcPr>
          <w:p w14:paraId="23BA997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8" w:type="dxa"/>
            <w:shd w:val="clear" w:color="auto" w:fill="auto"/>
            <w:vAlign w:val="center"/>
          </w:tcPr>
          <w:p w14:paraId="489E5E3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150</w:t>
            </w:r>
          </w:p>
        </w:tc>
        <w:tc>
          <w:tcPr>
            <w:tcW w:w="798" w:type="dxa"/>
            <w:shd w:val="clear" w:color="auto" w:fill="auto"/>
            <w:vAlign w:val="center"/>
          </w:tcPr>
          <w:p w14:paraId="7E91769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117</w:t>
            </w:r>
          </w:p>
        </w:tc>
        <w:tc>
          <w:tcPr>
            <w:tcW w:w="798" w:type="dxa"/>
            <w:shd w:val="clear" w:color="auto" w:fill="auto"/>
            <w:vAlign w:val="center"/>
          </w:tcPr>
          <w:p w14:paraId="2D7EE10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117</w:t>
            </w:r>
          </w:p>
        </w:tc>
        <w:tc>
          <w:tcPr>
            <w:tcW w:w="798" w:type="dxa"/>
            <w:shd w:val="clear" w:color="auto" w:fill="auto"/>
            <w:vAlign w:val="center"/>
          </w:tcPr>
          <w:p w14:paraId="778BE50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156</w:t>
            </w:r>
          </w:p>
        </w:tc>
        <w:tc>
          <w:tcPr>
            <w:tcW w:w="798" w:type="dxa"/>
            <w:shd w:val="clear" w:color="auto" w:fill="auto"/>
            <w:vAlign w:val="center"/>
          </w:tcPr>
          <w:p w14:paraId="4CDDC6F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280</w:t>
            </w:r>
          </w:p>
        </w:tc>
        <w:tc>
          <w:tcPr>
            <w:tcW w:w="798" w:type="dxa"/>
            <w:shd w:val="clear" w:color="auto" w:fill="auto"/>
            <w:vAlign w:val="center"/>
          </w:tcPr>
          <w:p w14:paraId="7327873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280</w:t>
            </w:r>
          </w:p>
        </w:tc>
        <w:tc>
          <w:tcPr>
            <w:tcW w:w="798" w:type="dxa"/>
            <w:shd w:val="clear" w:color="auto" w:fill="auto"/>
            <w:vAlign w:val="center"/>
          </w:tcPr>
          <w:p w14:paraId="4E7A2DE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76</w:t>
            </w:r>
          </w:p>
        </w:tc>
        <w:tc>
          <w:tcPr>
            <w:tcW w:w="798" w:type="dxa"/>
            <w:shd w:val="clear" w:color="auto" w:fill="auto"/>
            <w:vAlign w:val="center"/>
          </w:tcPr>
          <w:p w14:paraId="403EEAE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76</w:t>
            </w:r>
          </w:p>
        </w:tc>
        <w:tc>
          <w:tcPr>
            <w:tcW w:w="798" w:type="dxa"/>
            <w:shd w:val="clear" w:color="auto" w:fill="auto"/>
            <w:vAlign w:val="center"/>
          </w:tcPr>
          <w:p w14:paraId="48C580E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69</w:t>
            </w:r>
          </w:p>
        </w:tc>
        <w:tc>
          <w:tcPr>
            <w:tcW w:w="799" w:type="dxa"/>
            <w:shd w:val="clear" w:color="auto" w:fill="auto"/>
            <w:vAlign w:val="center"/>
          </w:tcPr>
          <w:p w14:paraId="5BEFA6A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119</w:t>
            </w:r>
          </w:p>
        </w:tc>
        <w:tc>
          <w:tcPr>
            <w:tcW w:w="791" w:type="dxa"/>
            <w:shd w:val="clear" w:color="auto" w:fill="auto"/>
            <w:vAlign w:val="center"/>
          </w:tcPr>
          <w:p w14:paraId="13D8B14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156</w:t>
            </w:r>
          </w:p>
        </w:tc>
      </w:tr>
    </w:tbl>
    <w:p w14:paraId="3210DBA6" w14:textId="77777777" w:rsidR="00235309" w:rsidRPr="00765F6E" w:rsidRDefault="00235309" w:rsidP="00235309">
      <w:pPr>
        <w:ind w:right="-1"/>
        <w:jc w:val="right"/>
        <w:rPr>
          <w:rFonts w:asciiTheme="minorEastAsia" w:eastAsiaTheme="minorEastAsia" w:hAnsiTheme="minorEastAsia"/>
          <w:sz w:val="18"/>
          <w:szCs w:val="18"/>
        </w:rPr>
      </w:pPr>
    </w:p>
    <w:p w14:paraId="4BC73177" w14:textId="77777777" w:rsidR="00235309" w:rsidRPr="00765F6E" w:rsidRDefault="00235309" w:rsidP="00235309">
      <w:pPr>
        <w:pStyle w:val="aff0"/>
        <w:spacing w:before="120" w:after="120"/>
      </w:pPr>
      <w:r w:rsidRPr="00765F6E">
        <w:rPr>
          <w:rFonts w:hint="eastAsia"/>
        </w:rPr>
        <w:t>车辆限界坐标点</w:t>
      </w:r>
    </w:p>
    <w:p w14:paraId="33C18AFB" w14:textId="77777777" w:rsidR="00235309" w:rsidRPr="00765F6E" w:rsidRDefault="00235309" w:rsidP="00235309">
      <w:pPr>
        <w:ind w:right="-1"/>
        <w:jc w:val="right"/>
        <w:rPr>
          <w:rFonts w:asciiTheme="minorEastAsia" w:eastAsiaTheme="minorEastAsia" w:hAnsiTheme="minorEastAsia"/>
          <w:sz w:val="18"/>
          <w:szCs w:val="18"/>
        </w:rPr>
      </w:pPr>
      <w:r w:rsidRPr="00765F6E">
        <w:rPr>
          <w:rFonts w:asciiTheme="minorEastAsia" w:eastAsiaTheme="minorEastAsia" w:hAnsiTheme="minorEastAsia" w:hint="eastAsia"/>
          <w:sz w:val="18"/>
          <w:szCs w:val="18"/>
        </w:rPr>
        <w:t>单位为毫米</w:t>
      </w:r>
    </w:p>
    <w:tbl>
      <w:tblPr>
        <w:tblW w:w="9578"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99"/>
        <w:gridCol w:w="799"/>
        <w:gridCol w:w="798"/>
        <w:gridCol w:w="798"/>
        <w:gridCol w:w="798"/>
        <w:gridCol w:w="798"/>
        <w:gridCol w:w="798"/>
        <w:gridCol w:w="798"/>
        <w:gridCol w:w="798"/>
        <w:gridCol w:w="798"/>
        <w:gridCol w:w="798"/>
        <w:gridCol w:w="798"/>
      </w:tblGrid>
      <w:tr w:rsidR="00235309" w:rsidRPr="00765F6E" w14:paraId="67CF470C" w14:textId="77777777" w:rsidTr="00871D47">
        <w:trPr>
          <w:trHeight w:val="176"/>
          <w:jc w:val="center"/>
        </w:trPr>
        <w:tc>
          <w:tcPr>
            <w:tcW w:w="799" w:type="dxa"/>
            <w:tcBorders>
              <w:top w:val="single" w:sz="8" w:space="0" w:color="auto"/>
              <w:bottom w:val="single" w:sz="8" w:space="0" w:color="auto"/>
            </w:tcBorders>
            <w:shd w:val="clear" w:color="auto" w:fill="auto"/>
            <w:vAlign w:val="center"/>
          </w:tcPr>
          <w:p w14:paraId="22FD967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single" w:sz="8" w:space="0" w:color="auto"/>
              <w:bottom w:val="single" w:sz="8" w:space="0" w:color="auto"/>
            </w:tcBorders>
            <w:shd w:val="clear" w:color="auto" w:fill="auto"/>
            <w:vAlign w:val="center"/>
          </w:tcPr>
          <w:p w14:paraId="7582913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bottom w:val="single" w:sz="8" w:space="0" w:color="auto"/>
            </w:tcBorders>
            <w:shd w:val="clear" w:color="auto" w:fill="auto"/>
            <w:vAlign w:val="center"/>
          </w:tcPr>
          <w:p w14:paraId="2D0B104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p>
        </w:tc>
        <w:tc>
          <w:tcPr>
            <w:tcW w:w="798" w:type="dxa"/>
            <w:tcBorders>
              <w:top w:val="single" w:sz="8" w:space="0" w:color="auto"/>
              <w:bottom w:val="single" w:sz="8" w:space="0" w:color="auto"/>
            </w:tcBorders>
            <w:shd w:val="clear" w:color="auto" w:fill="auto"/>
            <w:vAlign w:val="center"/>
          </w:tcPr>
          <w:p w14:paraId="1C7D41E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p>
        </w:tc>
        <w:tc>
          <w:tcPr>
            <w:tcW w:w="798" w:type="dxa"/>
            <w:tcBorders>
              <w:top w:val="single" w:sz="8" w:space="0" w:color="auto"/>
              <w:bottom w:val="single" w:sz="8" w:space="0" w:color="auto"/>
            </w:tcBorders>
            <w:shd w:val="clear" w:color="auto" w:fill="auto"/>
            <w:vAlign w:val="center"/>
          </w:tcPr>
          <w:p w14:paraId="0C55EBE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w:t>
            </w:r>
          </w:p>
        </w:tc>
        <w:tc>
          <w:tcPr>
            <w:tcW w:w="798" w:type="dxa"/>
            <w:tcBorders>
              <w:top w:val="single" w:sz="8" w:space="0" w:color="auto"/>
              <w:bottom w:val="single" w:sz="8" w:space="0" w:color="auto"/>
            </w:tcBorders>
            <w:shd w:val="clear" w:color="auto" w:fill="auto"/>
            <w:vAlign w:val="center"/>
          </w:tcPr>
          <w:p w14:paraId="57488EA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p>
        </w:tc>
        <w:tc>
          <w:tcPr>
            <w:tcW w:w="798" w:type="dxa"/>
            <w:tcBorders>
              <w:top w:val="single" w:sz="8" w:space="0" w:color="auto"/>
              <w:bottom w:val="single" w:sz="8" w:space="0" w:color="auto"/>
            </w:tcBorders>
            <w:shd w:val="clear" w:color="auto" w:fill="auto"/>
            <w:vAlign w:val="center"/>
          </w:tcPr>
          <w:p w14:paraId="1594A4C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798" w:type="dxa"/>
            <w:tcBorders>
              <w:top w:val="single" w:sz="8" w:space="0" w:color="auto"/>
              <w:bottom w:val="single" w:sz="8" w:space="0" w:color="auto"/>
            </w:tcBorders>
            <w:shd w:val="clear" w:color="auto" w:fill="auto"/>
            <w:vAlign w:val="center"/>
          </w:tcPr>
          <w:p w14:paraId="028274E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p>
        </w:tc>
        <w:tc>
          <w:tcPr>
            <w:tcW w:w="798" w:type="dxa"/>
            <w:tcBorders>
              <w:top w:val="single" w:sz="8" w:space="0" w:color="auto"/>
              <w:bottom w:val="single" w:sz="8" w:space="0" w:color="auto"/>
            </w:tcBorders>
            <w:shd w:val="clear" w:color="auto" w:fill="auto"/>
            <w:vAlign w:val="center"/>
          </w:tcPr>
          <w:p w14:paraId="61CACEF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p>
        </w:tc>
        <w:tc>
          <w:tcPr>
            <w:tcW w:w="798" w:type="dxa"/>
            <w:tcBorders>
              <w:top w:val="single" w:sz="8" w:space="0" w:color="auto"/>
              <w:bottom w:val="single" w:sz="8" w:space="0" w:color="auto"/>
            </w:tcBorders>
            <w:shd w:val="clear" w:color="auto" w:fill="auto"/>
            <w:vAlign w:val="center"/>
          </w:tcPr>
          <w:p w14:paraId="3C73349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98" w:type="dxa"/>
            <w:tcBorders>
              <w:top w:val="single" w:sz="8" w:space="0" w:color="auto"/>
              <w:bottom w:val="single" w:sz="8" w:space="0" w:color="auto"/>
            </w:tcBorders>
            <w:shd w:val="clear" w:color="auto" w:fill="auto"/>
            <w:vAlign w:val="center"/>
          </w:tcPr>
          <w:p w14:paraId="2AB5B20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w:t>
            </w:r>
          </w:p>
        </w:tc>
        <w:tc>
          <w:tcPr>
            <w:tcW w:w="798" w:type="dxa"/>
            <w:tcBorders>
              <w:top w:val="single" w:sz="8" w:space="0" w:color="auto"/>
              <w:bottom w:val="single" w:sz="8" w:space="0" w:color="auto"/>
            </w:tcBorders>
            <w:shd w:val="clear" w:color="auto" w:fill="auto"/>
            <w:vAlign w:val="center"/>
          </w:tcPr>
          <w:p w14:paraId="177B148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r>
      <w:tr w:rsidR="00235309" w:rsidRPr="00765F6E" w14:paraId="6BA512CE" w14:textId="77777777" w:rsidTr="00871D47">
        <w:trPr>
          <w:trHeight w:val="176"/>
          <w:jc w:val="center"/>
        </w:trPr>
        <w:tc>
          <w:tcPr>
            <w:tcW w:w="799" w:type="dxa"/>
            <w:tcBorders>
              <w:top w:val="single" w:sz="8" w:space="0" w:color="auto"/>
            </w:tcBorders>
            <w:shd w:val="clear" w:color="auto" w:fill="auto"/>
            <w:vAlign w:val="center"/>
          </w:tcPr>
          <w:p w14:paraId="15E5868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single" w:sz="8" w:space="0" w:color="auto"/>
            </w:tcBorders>
            <w:shd w:val="clear" w:color="auto" w:fill="auto"/>
            <w:vAlign w:val="center"/>
          </w:tcPr>
          <w:p w14:paraId="2167BE5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0 </w:t>
            </w:r>
          </w:p>
        </w:tc>
        <w:tc>
          <w:tcPr>
            <w:tcW w:w="798" w:type="dxa"/>
            <w:tcBorders>
              <w:top w:val="single" w:sz="8" w:space="0" w:color="auto"/>
            </w:tcBorders>
            <w:shd w:val="clear" w:color="auto" w:fill="auto"/>
            <w:vAlign w:val="center"/>
          </w:tcPr>
          <w:p w14:paraId="23FDF7C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841 </w:t>
            </w:r>
          </w:p>
        </w:tc>
        <w:tc>
          <w:tcPr>
            <w:tcW w:w="798" w:type="dxa"/>
            <w:tcBorders>
              <w:top w:val="single" w:sz="8" w:space="0" w:color="auto"/>
            </w:tcBorders>
            <w:shd w:val="clear" w:color="auto" w:fill="auto"/>
            <w:vAlign w:val="center"/>
          </w:tcPr>
          <w:p w14:paraId="6116936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912 </w:t>
            </w:r>
          </w:p>
        </w:tc>
        <w:tc>
          <w:tcPr>
            <w:tcW w:w="798" w:type="dxa"/>
            <w:tcBorders>
              <w:top w:val="single" w:sz="8" w:space="0" w:color="auto"/>
            </w:tcBorders>
            <w:shd w:val="clear" w:color="auto" w:fill="auto"/>
            <w:vAlign w:val="center"/>
          </w:tcPr>
          <w:p w14:paraId="3A21028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1239 </w:t>
            </w:r>
          </w:p>
        </w:tc>
        <w:tc>
          <w:tcPr>
            <w:tcW w:w="798" w:type="dxa"/>
            <w:tcBorders>
              <w:top w:val="single" w:sz="8" w:space="0" w:color="auto"/>
            </w:tcBorders>
            <w:shd w:val="clear" w:color="auto" w:fill="auto"/>
            <w:vAlign w:val="center"/>
          </w:tcPr>
          <w:p w14:paraId="1F69B18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1498 </w:t>
            </w:r>
          </w:p>
        </w:tc>
        <w:tc>
          <w:tcPr>
            <w:tcW w:w="798" w:type="dxa"/>
            <w:tcBorders>
              <w:top w:val="single" w:sz="8" w:space="0" w:color="auto"/>
            </w:tcBorders>
            <w:shd w:val="clear" w:color="auto" w:fill="auto"/>
            <w:vAlign w:val="center"/>
          </w:tcPr>
          <w:p w14:paraId="34CD723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1591 </w:t>
            </w:r>
          </w:p>
        </w:tc>
        <w:tc>
          <w:tcPr>
            <w:tcW w:w="798" w:type="dxa"/>
            <w:tcBorders>
              <w:top w:val="single" w:sz="8" w:space="0" w:color="auto"/>
            </w:tcBorders>
            <w:shd w:val="clear" w:color="auto" w:fill="auto"/>
            <w:vAlign w:val="center"/>
          </w:tcPr>
          <w:p w14:paraId="48A4B6A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1603 </w:t>
            </w:r>
          </w:p>
        </w:tc>
        <w:tc>
          <w:tcPr>
            <w:tcW w:w="798" w:type="dxa"/>
            <w:tcBorders>
              <w:top w:val="single" w:sz="8" w:space="0" w:color="auto"/>
            </w:tcBorders>
            <w:shd w:val="clear" w:color="auto" w:fill="auto"/>
            <w:vAlign w:val="center"/>
          </w:tcPr>
          <w:p w14:paraId="7200D1E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1607 </w:t>
            </w:r>
          </w:p>
        </w:tc>
        <w:tc>
          <w:tcPr>
            <w:tcW w:w="798" w:type="dxa"/>
            <w:tcBorders>
              <w:top w:val="single" w:sz="8" w:space="0" w:color="auto"/>
            </w:tcBorders>
            <w:shd w:val="clear" w:color="auto" w:fill="auto"/>
            <w:vAlign w:val="center"/>
          </w:tcPr>
          <w:p w14:paraId="2480861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1662 </w:t>
            </w:r>
          </w:p>
        </w:tc>
        <w:tc>
          <w:tcPr>
            <w:tcW w:w="798" w:type="dxa"/>
            <w:tcBorders>
              <w:top w:val="single" w:sz="8" w:space="0" w:color="auto"/>
            </w:tcBorders>
            <w:shd w:val="clear" w:color="auto" w:fill="auto"/>
            <w:vAlign w:val="center"/>
          </w:tcPr>
          <w:p w14:paraId="71A4389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1697 </w:t>
            </w:r>
          </w:p>
        </w:tc>
        <w:tc>
          <w:tcPr>
            <w:tcW w:w="798" w:type="dxa"/>
            <w:tcBorders>
              <w:top w:val="single" w:sz="8" w:space="0" w:color="auto"/>
            </w:tcBorders>
            <w:shd w:val="clear" w:color="auto" w:fill="auto"/>
            <w:vAlign w:val="center"/>
          </w:tcPr>
          <w:p w14:paraId="441B700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1627 </w:t>
            </w:r>
          </w:p>
        </w:tc>
      </w:tr>
      <w:tr w:rsidR="00235309" w:rsidRPr="00765F6E" w14:paraId="6D9D6171" w14:textId="77777777" w:rsidTr="00871D47">
        <w:trPr>
          <w:trHeight w:val="176"/>
          <w:jc w:val="center"/>
        </w:trPr>
        <w:tc>
          <w:tcPr>
            <w:tcW w:w="799" w:type="dxa"/>
            <w:shd w:val="clear" w:color="auto" w:fill="auto"/>
            <w:vAlign w:val="center"/>
          </w:tcPr>
          <w:p w14:paraId="36CF625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4CFDA1F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4024 </w:t>
            </w:r>
          </w:p>
        </w:tc>
        <w:tc>
          <w:tcPr>
            <w:tcW w:w="798" w:type="dxa"/>
            <w:shd w:val="clear" w:color="auto" w:fill="auto"/>
            <w:vAlign w:val="center"/>
          </w:tcPr>
          <w:p w14:paraId="393B573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4027 </w:t>
            </w:r>
          </w:p>
        </w:tc>
        <w:tc>
          <w:tcPr>
            <w:tcW w:w="798" w:type="dxa"/>
            <w:shd w:val="clear" w:color="auto" w:fill="auto"/>
            <w:vAlign w:val="center"/>
          </w:tcPr>
          <w:p w14:paraId="348D0A8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4023 </w:t>
            </w:r>
          </w:p>
        </w:tc>
        <w:tc>
          <w:tcPr>
            <w:tcW w:w="798" w:type="dxa"/>
            <w:shd w:val="clear" w:color="auto" w:fill="auto"/>
            <w:vAlign w:val="center"/>
          </w:tcPr>
          <w:p w14:paraId="21D9D66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3868 </w:t>
            </w:r>
          </w:p>
        </w:tc>
        <w:tc>
          <w:tcPr>
            <w:tcW w:w="798" w:type="dxa"/>
            <w:shd w:val="clear" w:color="auto" w:fill="auto"/>
            <w:vAlign w:val="center"/>
          </w:tcPr>
          <w:p w14:paraId="3D03F75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3572 </w:t>
            </w:r>
          </w:p>
        </w:tc>
        <w:tc>
          <w:tcPr>
            <w:tcW w:w="798" w:type="dxa"/>
            <w:shd w:val="clear" w:color="auto" w:fill="auto"/>
            <w:vAlign w:val="center"/>
          </w:tcPr>
          <w:p w14:paraId="5C34224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3432 </w:t>
            </w:r>
          </w:p>
        </w:tc>
        <w:tc>
          <w:tcPr>
            <w:tcW w:w="798" w:type="dxa"/>
            <w:shd w:val="clear" w:color="auto" w:fill="auto"/>
            <w:vAlign w:val="center"/>
          </w:tcPr>
          <w:p w14:paraId="5714436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3309 </w:t>
            </w:r>
          </w:p>
        </w:tc>
        <w:tc>
          <w:tcPr>
            <w:tcW w:w="798" w:type="dxa"/>
            <w:shd w:val="clear" w:color="auto" w:fill="auto"/>
            <w:vAlign w:val="center"/>
          </w:tcPr>
          <w:p w14:paraId="3F69B98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3074 </w:t>
            </w:r>
          </w:p>
        </w:tc>
        <w:tc>
          <w:tcPr>
            <w:tcW w:w="798" w:type="dxa"/>
            <w:shd w:val="clear" w:color="auto" w:fill="auto"/>
            <w:vAlign w:val="center"/>
          </w:tcPr>
          <w:p w14:paraId="560043D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3058 </w:t>
            </w:r>
          </w:p>
        </w:tc>
        <w:tc>
          <w:tcPr>
            <w:tcW w:w="798" w:type="dxa"/>
            <w:shd w:val="clear" w:color="auto" w:fill="auto"/>
            <w:vAlign w:val="center"/>
          </w:tcPr>
          <w:p w14:paraId="6337855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1677 </w:t>
            </w:r>
          </w:p>
        </w:tc>
        <w:tc>
          <w:tcPr>
            <w:tcW w:w="798" w:type="dxa"/>
            <w:shd w:val="clear" w:color="auto" w:fill="auto"/>
            <w:vAlign w:val="center"/>
          </w:tcPr>
          <w:p w14:paraId="64034C9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1007 </w:t>
            </w:r>
          </w:p>
        </w:tc>
      </w:tr>
      <w:tr w:rsidR="00235309" w:rsidRPr="00765F6E" w14:paraId="39149F5A" w14:textId="77777777" w:rsidTr="00871D47">
        <w:trPr>
          <w:trHeight w:val="176"/>
          <w:jc w:val="center"/>
        </w:trPr>
        <w:tc>
          <w:tcPr>
            <w:tcW w:w="799" w:type="dxa"/>
            <w:shd w:val="clear" w:color="auto" w:fill="auto"/>
            <w:vAlign w:val="center"/>
          </w:tcPr>
          <w:p w14:paraId="49B0152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vAlign w:val="center"/>
          </w:tcPr>
          <w:p w14:paraId="0329333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w:t>
            </w:r>
          </w:p>
        </w:tc>
        <w:tc>
          <w:tcPr>
            <w:tcW w:w="798" w:type="dxa"/>
            <w:shd w:val="clear" w:color="auto" w:fill="auto"/>
            <w:vAlign w:val="center"/>
          </w:tcPr>
          <w:p w14:paraId="5E9DC27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w:t>
            </w:r>
          </w:p>
        </w:tc>
        <w:tc>
          <w:tcPr>
            <w:tcW w:w="798" w:type="dxa"/>
            <w:shd w:val="clear" w:color="auto" w:fill="auto"/>
            <w:vAlign w:val="center"/>
          </w:tcPr>
          <w:p w14:paraId="6539CC4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w:t>
            </w:r>
          </w:p>
        </w:tc>
        <w:tc>
          <w:tcPr>
            <w:tcW w:w="798" w:type="dxa"/>
            <w:shd w:val="clear" w:color="auto" w:fill="auto"/>
            <w:vAlign w:val="center"/>
          </w:tcPr>
          <w:p w14:paraId="755FE05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w:t>
            </w:r>
          </w:p>
        </w:tc>
        <w:tc>
          <w:tcPr>
            <w:tcW w:w="798" w:type="dxa"/>
            <w:shd w:val="clear" w:color="auto" w:fill="auto"/>
            <w:vAlign w:val="center"/>
          </w:tcPr>
          <w:p w14:paraId="7A2D79A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798" w:type="dxa"/>
            <w:shd w:val="clear" w:color="auto" w:fill="auto"/>
            <w:vAlign w:val="center"/>
          </w:tcPr>
          <w:p w14:paraId="3DA13A8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w:t>
            </w:r>
          </w:p>
        </w:tc>
        <w:tc>
          <w:tcPr>
            <w:tcW w:w="798" w:type="dxa"/>
            <w:shd w:val="clear" w:color="auto" w:fill="auto"/>
            <w:vAlign w:val="center"/>
          </w:tcPr>
          <w:p w14:paraId="6D4E7FA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798" w:type="dxa"/>
            <w:shd w:val="clear" w:color="auto" w:fill="auto"/>
            <w:vAlign w:val="center"/>
          </w:tcPr>
          <w:p w14:paraId="77839E6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w:t>
            </w:r>
          </w:p>
        </w:tc>
        <w:tc>
          <w:tcPr>
            <w:tcW w:w="798" w:type="dxa"/>
            <w:shd w:val="clear" w:color="auto" w:fill="auto"/>
            <w:vAlign w:val="center"/>
          </w:tcPr>
          <w:p w14:paraId="0F61B28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19'</w:t>
            </w:r>
          </w:p>
        </w:tc>
        <w:tc>
          <w:tcPr>
            <w:tcW w:w="798" w:type="dxa"/>
            <w:shd w:val="clear" w:color="auto" w:fill="auto"/>
            <w:vAlign w:val="center"/>
          </w:tcPr>
          <w:p w14:paraId="320A094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w:t>
            </w:r>
          </w:p>
        </w:tc>
        <w:tc>
          <w:tcPr>
            <w:tcW w:w="798" w:type="dxa"/>
            <w:shd w:val="clear" w:color="auto" w:fill="auto"/>
            <w:vAlign w:val="center"/>
          </w:tcPr>
          <w:p w14:paraId="4611EF4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21'</w:t>
            </w:r>
          </w:p>
        </w:tc>
      </w:tr>
      <w:tr w:rsidR="00235309" w:rsidRPr="00765F6E" w14:paraId="72333633" w14:textId="77777777" w:rsidTr="00871D47">
        <w:trPr>
          <w:trHeight w:val="176"/>
          <w:jc w:val="center"/>
        </w:trPr>
        <w:tc>
          <w:tcPr>
            <w:tcW w:w="799" w:type="dxa"/>
            <w:shd w:val="clear" w:color="auto" w:fill="auto"/>
            <w:vAlign w:val="center"/>
          </w:tcPr>
          <w:p w14:paraId="67321A8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vAlign w:val="center"/>
          </w:tcPr>
          <w:p w14:paraId="082FCCC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1609 </w:t>
            </w:r>
          </w:p>
        </w:tc>
        <w:tc>
          <w:tcPr>
            <w:tcW w:w="798" w:type="dxa"/>
            <w:shd w:val="clear" w:color="auto" w:fill="auto"/>
            <w:vAlign w:val="center"/>
          </w:tcPr>
          <w:p w14:paraId="2CCF1F0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1386 </w:t>
            </w:r>
          </w:p>
        </w:tc>
        <w:tc>
          <w:tcPr>
            <w:tcW w:w="798" w:type="dxa"/>
            <w:shd w:val="clear" w:color="auto" w:fill="auto"/>
            <w:vAlign w:val="center"/>
          </w:tcPr>
          <w:p w14:paraId="20E5D5E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1618 </w:t>
            </w:r>
          </w:p>
        </w:tc>
        <w:tc>
          <w:tcPr>
            <w:tcW w:w="798" w:type="dxa"/>
            <w:shd w:val="clear" w:color="auto" w:fill="auto"/>
            <w:vAlign w:val="center"/>
          </w:tcPr>
          <w:p w14:paraId="2C4C365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1618 </w:t>
            </w:r>
          </w:p>
        </w:tc>
        <w:tc>
          <w:tcPr>
            <w:tcW w:w="798" w:type="dxa"/>
            <w:shd w:val="clear" w:color="auto" w:fill="auto"/>
            <w:vAlign w:val="center"/>
          </w:tcPr>
          <w:p w14:paraId="02CD9AA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1444 </w:t>
            </w:r>
          </w:p>
        </w:tc>
        <w:tc>
          <w:tcPr>
            <w:tcW w:w="798" w:type="dxa"/>
            <w:shd w:val="clear" w:color="auto" w:fill="auto"/>
            <w:vAlign w:val="center"/>
          </w:tcPr>
          <w:p w14:paraId="24B198A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1157 </w:t>
            </w:r>
          </w:p>
        </w:tc>
        <w:tc>
          <w:tcPr>
            <w:tcW w:w="798" w:type="dxa"/>
            <w:shd w:val="clear" w:color="auto" w:fill="auto"/>
            <w:vAlign w:val="center"/>
          </w:tcPr>
          <w:p w14:paraId="4C3954A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845 </w:t>
            </w:r>
          </w:p>
        </w:tc>
        <w:tc>
          <w:tcPr>
            <w:tcW w:w="798" w:type="dxa"/>
            <w:shd w:val="clear" w:color="auto" w:fill="auto"/>
            <w:vAlign w:val="center"/>
          </w:tcPr>
          <w:p w14:paraId="4E712DF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841 </w:t>
            </w:r>
          </w:p>
        </w:tc>
        <w:tc>
          <w:tcPr>
            <w:tcW w:w="798" w:type="dxa"/>
            <w:shd w:val="clear" w:color="auto" w:fill="auto"/>
            <w:vAlign w:val="center"/>
          </w:tcPr>
          <w:p w14:paraId="66FCFF0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738 </w:t>
            </w:r>
          </w:p>
        </w:tc>
        <w:tc>
          <w:tcPr>
            <w:tcW w:w="798" w:type="dxa"/>
            <w:shd w:val="clear" w:color="auto" w:fill="auto"/>
            <w:vAlign w:val="center"/>
          </w:tcPr>
          <w:p w14:paraId="12D1508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738 </w:t>
            </w:r>
          </w:p>
        </w:tc>
        <w:tc>
          <w:tcPr>
            <w:tcW w:w="798" w:type="dxa"/>
            <w:shd w:val="clear" w:color="auto" w:fill="auto"/>
            <w:vAlign w:val="center"/>
          </w:tcPr>
          <w:p w14:paraId="030BAE8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647 </w:t>
            </w:r>
          </w:p>
        </w:tc>
      </w:tr>
      <w:tr w:rsidR="00235309" w:rsidRPr="00765F6E" w14:paraId="06F13F21" w14:textId="77777777" w:rsidTr="00871D47">
        <w:trPr>
          <w:trHeight w:val="176"/>
          <w:jc w:val="center"/>
        </w:trPr>
        <w:tc>
          <w:tcPr>
            <w:tcW w:w="799" w:type="dxa"/>
            <w:shd w:val="clear" w:color="auto" w:fill="auto"/>
            <w:vAlign w:val="center"/>
          </w:tcPr>
          <w:p w14:paraId="31B3357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43171F9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398 </w:t>
            </w:r>
          </w:p>
        </w:tc>
        <w:tc>
          <w:tcPr>
            <w:tcW w:w="798" w:type="dxa"/>
            <w:shd w:val="clear" w:color="auto" w:fill="auto"/>
            <w:vAlign w:val="center"/>
          </w:tcPr>
          <w:p w14:paraId="6923223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297 </w:t>
            </w:r>
          </w:p>
        </w:tc>
        <w:tc>
          <w:tcPr>
            <w:tcW w:w="798" w:type="dxa"/>
            <w:shd w:val="clear" w:color="auto" w:fill="auto"/>
            <w:vAlign w:val="center"/>
          </w:tcPr>
          <w:p w14:paraId="03E493B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299 </w:t>
            </w:r>
          </w:p>
        </w:tc>
        <w:tc>
          <w:tcPr>
            <w:tcW w:w="798" w:type="dxa"/>
            <w:shd w:val="clear" w:color="auto" w:fill="auto"/>
            <w:vAlign w:val="center"/>
          </w:tcPr>
          <w:p w14:paraId="73029C8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13 </w:t>
            </w:r>
          </w:p>
        </w:tc>
        <w:tc>
          <w:tcPr>
            <w:tcW w:w="798" w:type="dxa"/>
            <w:shd w:val="clear" w:color="auto" w:fill="auto"/>
            <w:vAlign w:val="center"/>
          </w:tcPr>
          <w:p w14:paraId="463AEB5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14 </w:t>
            </w:r>
          </w:p>
        </w:tc>
        <w:tc>
          <w:tcPr>
            <w:tcW w:w="798" w:type="dxa"/>
            <w:shd w:val="clear" w:color="auto" w:fill="auto"/>
            <w:vAlign w:val="center"/>
          </w:tcPr>
          <w:p w14:paraId="5D63206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62 </w:t>
            </w:r>
          </w:p>
        </w:tc>
        <w:tc>
          <w:tcPr>
            <w:tcW w:w="798" w:type="dxa"/>
            <w:shd w:val="clear" w:color="auto" w:fill="auto"/>
            <w:vAlign w:val="center"/>
          </w:tcPr>
          <w:p w14:paraId="3EDFDBC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64 </w:t>
            </w:r>
          </w:p>
        </w:tc>
        <w:tc>
          <w:tcPr>
            <w:tcW w:w="798" w:type="dxa"/>
            <w:shd w:val="clear" w:color="auto" w:fill="auto"/>
            <w:vAlign w:val="center"/>
          </w:tcPr>
          <w:p w14:paraId="2D00180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-18 </w:t>
            </w:r>
          </w:p>
        </w:tc>
        <w:tc>
          <w:tcPr>
            <w:tcW w:w="798" w:type="dxa"/>
            <w:shd w:val="clear" w:color="auto" w:fill="auto"/>
            <w:vAlign w:val="center"/>
          </w:tcPr>
          <w:p w14:paraId="77A65BC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-18 </w:t>
            </w:r>
          </w:p>
        </w:tc>
        <w:tc>
          <w:tcPr>
            <w:tcW w:w="798" w:type="dxa"/>
            <w:shd w:val="clear" w:color="auto" w:fill="auto"/>
            <w:vAlign w:val="center"/>
          </w:tcPr>
          <w:p w14:paraId="441B7A3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-54 </w:t>
            </w:r>
          </w:p>
        </w:tc>
        <w:tc>
          <w:tcPr>
            <w:tcW w:w="798" w:type="dxa"/>
            <w:shd w:val="clear" w:color="auto" w:fill="auto"/>
            <w:vAlign w:val="center"/>
          </w:tcPr>
          <w:p w14:paraId="6D2D891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-54 </w:t>
            </w:r>
          </w:p>
        </w:tc>
      </w:tr>
      <w:tr w:rsidR="00235309" w:rsidRPr="00765F6E" w14:paraId="50AEADF4" w14:textId="77777777" w:rsidTr="00871D47">
        <w:trPr>
          <w:trHeight w:val="176"/>
          <w:jc w:val="center"/>
        </w:trPr>
        <w:tc>
          <w:tcPr>
            <w:tcW w:w="799" w:type="dxa"/>
            <w:shd w:val="clear" w:color="auto" w:fill="auto"/>
            <w:vAlign w:val="center"/>
          </w:tcPr>
          <w:p w14:paraId="700F8D8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vAlign w:val="center"/>
          </w:tcPr>
          <w:p w14:paraId="1FB6861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22'</w:t>
            </w:r>
          </w:p>
        </w:tc>
        <w:tc>
          <w:tcPr>
            <w:tcW w:w="798" w:type="dxa"/>
            <w:shd w:val="clear" w:color="auto" w:fill="auto"/>
            <w:vAlign w:val="center"/>
          </w:tcPr>
          <w:p w14:paraId="3843AE0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23'</w:t>
            </w:r>
          </w:p>
        </w:tc>
        <w:tc>
          <w:tcPr>
            <w:tcW w:w="798" w:type="dxa"/>
            <w:shd w:val="clear" w:color="auto" w:fill="auto"/>
            <w:vAlign w:val="center"/>
          </w:tcPr>
          <w:p w14:paraId="1777EB7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6E90A1B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D99153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4CFC51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21C98CC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4C2989D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709948F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4390A8A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1FA3242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235309" w:rsidRPr="00765F6E" w14:paraId="5F90ACA8" w14:textId="77777777" w:rsidTr="00871D47">
        <w:trPr>
          <w:trHeight w:val="176"/>
          <w:jc w:val="center"/>
        </w:trPr>
        <w:tc>
          <w:tcPr>
            <w:tcW w:w="799" w:type="dxa"/>
            <w:shd w:val="clear" w:color="auto" w:fill="auto"/>
            <w:vAlign w:val="center"/>
          </w:tcPr>
          <w:p w14:paraId="585455E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vAlign w:val="center"/>
          </w:tcPr>
          <w:p w14:paraId="3670B78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643 </w:t>
            </w:r>
          </w:p>
        </w:tc>
        <w:tc>
          <w:tcPr>
            <w:tcW w:w="798" w:type="dxa"/>
            <w:shd w:val="clear" w:color="auto" w:fill="auto"/>
            <w:vAlign w:val="center"/>
          </w:tcPr>
          <w:p w14:paraId="1D3E188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0 </w:t>
            </w:r>
          </w:p>
        </w:tc>
        <w:tc>
          <w:tcPr>
            <w:tcW w:w="798" w:type="dxa"/>
            <w:shd w:val="clear" w:color="auto" w:fill="auto"/>
            <w:vAlign w:val="center"/>
          </w:tcPr>
          <w:p w14:paraId="7240B6E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7B4D7E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2FCB0CF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1BBC152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1983407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5B4D1F3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8B4A40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050683B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65F7695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235309" w:rsidRPr="00765F6E" w14:paraId="26FA2630" w14:textId="77777777" w:rsidTr="00871D47">
        <w:trPr>
          <w:trHeight w:val="176"/>
          <w:jc w:val="center"/>
        </w:trPr>
        <w:tc>
          <w:tcPr>
            <w:tcW w:w="799" w:type="dxa"/>
            <w:shd w:val="clear" w:color="auto" w:fill="auto"/>
            <w:vAlign w:val="center"/>
          </w:tcPr>
          <w:p w14:paraId="4C3C8D8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4A0DA45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42 </w:t>
            </w:r>
          </w:p>
        </w:tc>
        <w:tc>
          <w:tcPr>
            <w:tcW w:w="798" w:type="dxa"/>
            <w:shd w:val="clear" w:color="auto" w:fill="auto"/>
            <w:vAlign w:val="center"/>
          </w:tcPr>
          <w:p w14:paraId="0865AD7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42 </w:t>
            </w:r>
          </w:p>
        </w:tc>
        <w:tc>
          <w:tcPr>
            <w:tcW w:w="798" w:type="dxa"/>
            <w:shd w:val="clear" w:color="auto" w:fill="auto"/>
            <w:vAlign w:val="center"/>
          </w:tcPr>
          <w:p w14:paraId="3FBB7EC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16FA562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1CC7FE2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F6E95F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107BA5C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7293B1F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271F0F1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6D92042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15B6F5A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bl>
    <w:p w14:paraId="6597CD36" w14:textId="77777777" w:rsidR="00235309" w:rsidRPr="00765F6E" w:rsidRDefault="00235309" w:rsidP="00235309">
      <w:pPr>
        <w:pStyle w:val="affffb"/>
        <w:spacing w:before="120" w:after="120"/>
        <w:ind w:firstLineChars="0" w:firstLine="0"/>
      </w:pPr>
    </w:p>
    <w:p w14:paraId="0BA87F4A" w14:textId="77777777" w:rsidR="00235309" w:rsidRPr="00765F6E" w:rsidRDefault="00235309" w:rsidP="00235309">
      <w:pPr>
        <w:pStyle w:val="aff0"/>
        <w:spacing w:before="120" w:after="120"/>
      </w:pPr>
      <w:r w:rsidRPr="00765F6E">
        <w:rPr>
          <w:rFonts w:hint="eastAsia"/>
        </w:rPr>
        <w:t>设备限界坐标点</w:t>
      </w:r>
    </w:p>
    <w:p w14:paraId="5A27F839" w14:textId="77777777" w:rsidR="00235309" w:rsidRPr="00765F6E" w:rsidRDefault="00235309" w:rsidP="00235309">
      <w:pPr>
        <w:pStyle w:val="affffb"/>
        <w:spacing w:before="120" w:after="120"/>
        <w:ind w:firstLine="360"/>
        <w:jc w:val="right"/>
        <w:rPr>
          <w:rFonts w:asciiTheme="minorEastAsia" w:eastAsiaTheme="minorEastAsia" w:hAnsiTheme="minorEastAsia"/>
          <w:sz w:val="18"/>
        </w:rPr>
      </w:pPr>
      <w:r w:rsidRPr="00765F6E">
        <w:rPr>
          <w:rFonts w:asciiTheme="minorEastAsia" w:eastAsiaTheme="minorEastAsia" w:hAnsiTheme="minorEastAsia" w:hint="eastAsia"/>
          <w:sz w:val="18"/>
        </w:rPr>
        <w:t>单位为毫米</w:t>
      </w:r>
    </w:p>
    <w:tbl>
      <w:tblPr>
        <w:tblW w:w="957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99"/>
        <w:gridCol w:w="799"/>
        <w:gridCol w:w="798"/>
        <w:gridCol w:w="798"/>
        <w:gridCol w:w="798"/>
        <w:gridCol w:w="798"/>
        <w:gridCol w:w="798"/>
        <w:gridCol w:w="798"/>
        <w:gridCol w:w="798"/>
        <w:gridCol w:w="798"/>
        <w:gridCol w:w="798"/>
        <w:gridCol w:w="798"/>
      </w:tblGrid>
      <w:tr w:rsidR="00235309" w:rsidRPr="00765F6E" w14:paraId="4CCABA7F" w14:textId="77777777" w:rsidTr="00871D47">
        <w:trPr>
          <w:trHeight w:val="176"/>
        </w:trPr>
        <w:tc>
          <w:tcPr>
            <w:tcW w:w="799" w:type="dxa"/>
            <w:tcBorders>
              <w:top w:val="single" w:sz="8" w:space="0" w:color="auto"/>
              <w:bottom w:val="single" w:sz="8" w:space="0" w:color="auto"/>
            </w:tcBorders>
            <w:shd w:val="clear" w:color="auto" w:fill="auto"/>
            <w:vAlign w:val="center"/>
          </w:tcPr>
          <w:p w14:paraId="4A6A815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single" w:sz="8" w:space="0" w:color="auto"/>
              <w:bottom w:val="single" w:sz="8" w:space="0" w:color="auto"/>
            </w:tcBorders>
            <w:shd w:val="clear" w:color="auto" w:fill="auto"/>
            <w:vAlign w:val="center"/>
          </w:tcPr>
          <w:p w14:paraId="72F0D04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bottom w:val="single" w:sz="8" w:space="0" w:color="auto"/>
            </w:tcBorders>
            <w:shd w:val="clear" w:color="auto" w:fill="auto"/>
            <w:vAlign w:val="center"/>
          </w:tcPr>
          <w:p w14:paraId="1B722BC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p>
        </w:tc>
        <w:tc>
          <w:tcPr>
            <w:tcW w:w="798" w:type="dxa"/>
            <w:tcBorders>
              <w:top w:val="single" w:sz="8" w:space="0" w:color="auto"/>
              <w:bottom w:val="single" w:sz="8" w:space="0" w:color="auto"/>
            </w:tcBorders>
            <w:shd w:val="clear" w:color="auto" w:fill="auto"/>
            <w:vAlign w:val="center"/>
          </w:tcPr>
          <w:p w14:paraId="0607176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p>
        </w:tc>
        <w:tc>
          <w:tcPr>
            <w:tcW w:w="798" w:type="dxa"/>
            <w:tcBorders>
              <w:top w:val="single" w:sz="8" w:space="0" w:color="auto"/>
              <w:bottom w:val="single" w:sz="8" w:space="0" w:color="auto"/>
            </w:tcBorders>
            <w:shd w:val="clear" w:color="auto" w:fill="auto"/>
            <w:vAlign w:val="center"/>
          </w:tcPr>
          <w:p w14:paraId="5919087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w:t>
            </w:r>
          </w:p>
        </w:tc>
        <w:tc>
          <w:tcPr>
            <w:tcW w:w="798" w:type="dxa"/>
            <w:tcBorders>
              <w:top w:val="single" w:sz="8" w:space="0" w:color="auto"/>
              <w:bottom w:val="single" w:sz="8" w:space="0" w:color="auto"/>
            </w:tcBorders>
            <w:shd w:val="clear" w:color="auto" w:fill="auto"/>
            <w:vAlign w:val="center"/>
          </w:tcPr>
          <w:p w14:paraId="3067368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p>
        </w:tc>
        <w:tc>
          <w:tcPr>
            <w:tcW w:w="798" w:type="dxa"/>
            <w:tcBorders>
              <w:top w:val="single" w:sz="8" w:space="0" w:color="auto"/>
              <w:bottom w:val="single" w:sz="8" w:space="0" w:color="auto"/>
            </w:tcBorders>
            <w:shd w:val="clear" w:color="auto" w:fill="auto"/>
            <w:vAlign w:val="center"/>
          </w:tcPr>
          <w:p w14:paraId="02A34C0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798" w:type="dxa"/>
            <w:tcBorders>
              <w:top w:val="single" w:sz="8" w:space="0" w:color="auto"/>
              <w:bottom w:val="single" w:sz="8" w:space="0" w:color="auto"/>
            </w:tcBorders>
            <w:shd w:val="clear" w:color="auto" w:fill="auto"/>
            <w:vAlign w:val="center"/>
          </w:tcPr>
          <w:p w14:paraId="4DA7AB5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p>
        </w:tc>
        <w:tc>
          <w:tcPr>
            <w:tcW w:w="798" w:type="dxa"/>
            <w:tcBorders>
              <w:top w:val="single" w:sz="8" w:space="0" w:color="auto"/>
              <w:bottom w:val="single" w:sz="8" w:space="0" w:color="auto"/>
            </w:tcBorders>
            <w:shd w:val="clear" w:color="auto" w:fill="auto"/>
            <w:vAlign w:val="center"/>
          </w:tcPr>
          <w:p w14:paraId="3464EE7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p>
        </w:tc>
        <w:tc>
          <w:tcPr>
            <w:tcW w:w="798" w:type="dxa"/>
            <w:tcBorders>
              <w:top w:val="single" w:sz="8" w:space="0" w:color="auto"/>
              <w:bottom w:val="single" w:sz="8" w:space="0" w:color="auto"/>
            </w:tcBorders>
            <w:shd w:val="clear" w:color="auto" w:fill="auto"/>
            <w:vAlign w:val="center"/>
          </w:tcPr>
          <w:p w14:paraId="1F1C3A9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98" w:type="dxa"/>
            <w:tcBorders>
              <w:top w:val="single" w:sz="8" w:space="0" w:color="auto"/>
              <w:bottom w:val="single" w:sz="8" w:space="0" w:color="auto"/>
            </w:tcBorders>
            <w:shd w:val="clear" w:color="auto" w:fill="auto"/>
            <w:vAlign w:val="center"/>
          </w:tcPr>
          <w:p w14:paraId="1901A9E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w:t>
            </w:r>
          </w:p>
        </w:tc>
        <w:tc>
          <w:tcPr>
            <w:tcW w:w="798" w:type="dxa"/>
            <w:tcBorders>
              <w:top w:val="single" w:sz="8" w:space="0" w:color="auto"/>
              <w:bottom w:val="single" w:sz="8" w:space="0" w:color="auto"/>
            </w:tcBorders>
            <w:shd w:val="clear" w:color="auto" w:fill="auto"/>
            <w:vAlign w:val="center"/>
          </w:tcPr>
          <w:p w14:paraId="6FDEAE1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r>
      <w:tr w:rsidR="00235309" w:rsidRPr="00765F6E" w14:paraId="59248291" w14:textId="77777777" w:rsidTr="00871D47">
        <w:trPr>
          <w:trHeight w:val="176"/>
        </w:trPr>
        <w:tc>
          <w:tcPr>
            <w:tcW w:w="799" w:type="dxa"/>
            <w:tcBorders>
              <w:top w:val="single" w:sz="8" w:space="0" w:color="auto"/>
            </w:tcBorders>
            <w:shd w:val="clear" w:color="auto" w:fill="auto"/>
            <w:vAlign w:val="center"/>
          </w:tcPr>
          <w:p w14:paraId="18616EE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single" w:sz="8" w:space="0" w:color="auto"/>
            </w:tcBorders>
            <w:shd w:val="clear" w:color="auto" w:fill="auto"/>
            <w:vAlign w:val="center"/>
          </w:tcPr>
          <w:p w14:paraId="6CE7984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0 </w:t>
            </w:r>
          </w:p>
        </w:tc>
        <w:tc>
          <w:tcPr>
            <w:tcW w:w="798" w:type="dxa"/>
            <w:tcBorders>
              <w:top w:val="single" w:sz="8" w:space="0" w:color="auto"/>
            </w:tcBorders>
            <w:shd w:val="clear" w:color="auto" w:fill="auto"/>
            <w:vAlign w:val="center"/>
          </w:tcPr>
          <w:p w14:paraId="0BCA0D9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841 </w:t>
            </w:r>
          </w:p>
        </w:tc>
        <w:tc>
          <w:tcPr>
            <w:tcW w:w="798" w:type="dxa"/>
            <w:tcBorders>
              <w:top w:val="single" w:sz="8" w:space="0" w:color="auto"/>
            </w:tcBorders>
            <w:shd w:val="clear" w:color="auto" w:fill="auto"/>
            <w:vAlign w:val="center"/>
          </w:tcPr>
          <w:p w14:paraId="617881C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921 </w:t>
            </w:r>
          </w:p>
        </w:tc>
        <w:tc>
          <w:tcPr>
            <w:tcW w:w="798" w:type="dxa"/>
            <w:tcBorders>
              <w:top w:val="single" w:sz="8" w:space="0" w:color="auto"/>
            </w:tcBorders>
            <w:shd w:val="clear" w:color="auto" w:fill="auto"/>
            <w:vAlign w:val="center"/>
          </w:tcPr>
          <w:p w14:paraId="67173E9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1002 </w:t>
            </w:r>
          </w:p>
        </w:tc>
        <w:tc>
          <w:tcPr>
            <w:tcW w:w="798" w:type="dxa"/>
            <w:tcBorders>
              <w:top w:val="single" w:sz="8" w:space="0" w:color="auto"/>
            </w:tcBorders>
            <w:shd w:val="clear" w:color="auto" w:fill="auto"/>
            <w:vAlign w:val="center"/>
          </w:tcPr>
          <w:p w14:paraId="01C88FB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1062 </w:t>
            </w:r>
          </w:p>
        </w:tc>
        <w:tc>
          <w:tcPr>
            <w:tcW w:w="798" w:type="dxa"/>
            <w:tcBorders>
              <w:top w:val="single" w:sz="8" w:space="0" w:color="auto"/>
            </w:tcBorders>
            <w:shd w:val="clear" w:color="auto" w:fill="auto"/>
            <w:vAlign w:val="center"/>
          </w:tcPr>
          <w:p w14:paraId="063DC15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1276 </w:t>
            </w:r>
          </w:p>
        </w:tc>
        <w:tc>
          <w:tcPr>
            <w:tcW w:w="798" w:type="dxa"/>
            <w:tcBorders>
              <w:top w:val="single" w:sz="8" w:space="0" w:color="auto"/>
            </w:tcBorders>
            <w:shd w:val="clear" w:color="auto" w:fill="auto"/>
            <w:vAlign w:val="center"/>
          </w:tcPr>
          <w:p w14:paraId="0A2FBF8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1554 </w:t>
            </w:r>
          </w:p>
        </w:tc>
        <w:tc>
          <w:tcPr>
            <w:tcW w:w="798" w:type="dxa"/>
            <w:tcBorders>
              <w:top w:val="single" w:sz="8" w:space="0" w:color="auto"/>
            </w:tcBorders>
            <w:shd w:val="clear" w:color="auto" w:fill="auto"/>
            <w:vAlign w:val="center"/>
          </w:tcPr>
          <w:p w14:paraId="64D2F44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1645 </w:t>
            </w:r>
          </w:p>
        </w:tc>
        <w:tc>
          <w:tcPr>
            <w:tcW w:w="798" w:type="dxa"/>
            <w:tcBorders>
              <w:top w:val="single" w:sz="8" w:space="0" w:color="auto"/>
            </w:tcBorders>
            <w:shd w:val="clear" w:color="auto" w:fill="auto"/>
            <w:vAlign w:val="center"/>
          </w:tcPr>
          <w:p w14:paraId="0BF2F1E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1719 </w:t>
            </w:r>
          </w:p>
        </w:tc>
        <w:tc>
          <w:tcPr>
            <w:tcW w:w="798" w:type="dxa"/>
            <w:tcBorders>
              <w:top w:val="single" w:sz="8" w:space="0" w:color="auto"/>
            </w:tcBorders>
            <w:shd w:val="clear" w:color="auto" w:fill="auto"/>
            <w:vAlign w:val="center"/>
          </w:tcPr>
          <w:p w14:paraId="0236621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1718 </w:t>
            </w:r>
          </w:p>
        </w:tc>
        <w:tc>
          <w:tcPr>
            <w:tcW w:w="798" w:type="dxa"/>
            <w:tcBorders>
              <w:top w:val="single" w:sz="8" w:space="0" w:color="auto"/>
            </w:tcBorders>
            <w:shd w:val="clear" w:color="auto" w:fill="auto"/>
            <w:vAlign w:val="center"/>
          </w:tcPr>
          <w:p w14:paraId="7B5DD0E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1772 </w:t>
            </w:r>
          </w:p>
        </w:tc>
      </w:tr>
      <w:tr w:rsidR="00235309" w:rsidRPr="00765F6E" w14:paraId="5A355B0D" w14:textId="77777777" w:rsidTr="00871D47">
        <w:trPr>
          <w:trHeight w:val="176"/>
        </w:trPr>
        <w:tc>
          <w:tcPr>
            <w:tcW w:w="799" w:type="dxa"/>
            <w:shd w:val="clear" w:color="auto" w:fill="auto"/>
            <w:vAlign w:val="center"/>
          </w:tcPr>
          <w:p w14:paraId="68B1D24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08DC292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4084 </w:t>
            </w:r>
          </w:p>
        </w:tc>
        <w:tc>
          <w:tcPr>
            <w:tcW w:w="798" w:type="dxa"/>
            <w:shd w:val="clear" w:color="auto" w:fill="auto"/>
            <w:vAlign w:val="center"/>
          </w:tcPr>
          <w:p w14:paraId="0123D50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4089 </w:t>
            </w:r>
          </w:p>
        </w:tc>
        <w:tc>
          <w:tcPr>
            <w:tcW w:w="798" w:type="dxa"/>
            <w:shd w:val="clear" w:color="auto" w:fill="auto"/>
            <w:vAlign w:val="center"/>
          </w:tcPr>
          <w:p w14:paraId="56B10E5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4077 </w:t>
            </w:r>
          </w:p>
        </w:tc>
        <w:tc>
          <w:tcPr>
            <w:tcW w:w="798" w:type="dxa"/>
            <w:shd w:val="clear" w:color="auto" w:fill="auto"/>
            <w:vAlign w:val="center"/>
          </w:tcPr>
          <w:p w14:paraId="617F14E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4048 </w:t>
            </w:r>
          </w:p>
        </w:tc>
        <w:tc>
          <w:tcPr>
            <w:tcW w:w="798" w:type="dxa"/>
            <w:shd w:val="clear" w:color="auto" w:fill="auto"/>
            <w:vAlign w:val="center"/>
          </w:tcPr>
          <w:p w14:paraId="635231F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4020 </w:t>
            </w:r>
          </w:p>
        </w:tc>
        <w:tc>
          <w:tcPr>
            <w:tcW w:w="798" w:type="dxa"/>
            <w:shd w:val="clear" w:color="auto" w:fill="auto"/>
            <w:vAlign w:val="center"/>
          </w:tcPr>
          <w:p w14:paraId="6354C71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3879 </w:t>
            </w:r>
          </w:p>
        </w:tc>
        <w:tc>
          <w:tcPr>
            <w:tcW w:w="798" w:type="dxa"/>
            <w:shd w:val="clear" w:color="auto" w:fill="auto"/>
            <w:vAlign w:val="center"/>
          </w:tcPr>
          <w:p w14:paraId="4665E9A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3551 </w:t>
            </w:r>
          </w:p>
        </w:tc>
        <w:tc>
          <w:tcPr>
            <w:tcW w:w="798" w:type="dxa"/>
            <w:shd w:val="clear" w:color="auto" w:fill="auto"/>
            <w:vAlign w:val="center"/>
          </w:tcPr>
          <w:p w14:paraId="4EC1D65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3452 </w:t>
            </w:r>
          </w:p>
        </w:tc>
        <w:tc>
          <w:tcPr>
            <w:tcW w:w="798" w:type="dxa"/>
            <w:shd w:val="clear" w:color="auto" w:fill="auto"/>
            <w:vAlign w:val="center"/>
          </w:tcPr>
          <w:p w14:paraId="7D49325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3309 </w:t>
            </w:r>
          </w:p>
        </w:tc>
        <w:tc>
          <w:tcPr>
            <w:tcW w:w="798" w:type="dxa"/>
            <w:shd w:val="clear" w:color="auto" w:fill="auto"/>
            <w:vAlign w:val="center"/>
          </w:tcPr>
          <w:p w14:paraId="7C1DA9F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3074 </w:t>
            </w:r>
          </w:p>
        </w:tc>
        <w:tc>
          <w:tcPr>
            <w:tcW w:w="798" w:type="dxa"/>
            <w:shd w:val="clear" w:color="auto" w:fill="auto"/>
            <w:vAlign w:val="center"/>
          </w:tcPr>
          <w:p w14:paraId="190E71E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3058 </w:t>
            </w:r>
          </w:p>
        </w:tc>
      </w:tr>
      <w:tr w:rsidR="00235309" w:rsidRPr="00765F6E" w14:paraId="38F88527" w14:textId="77777777" w:rsidTr="00871D47">
        <w:trPr>
          <w:trHeight w:val="176"/>
        </w:trPr>
        <w:tc>
          <w:tcPr>
            <w:tcW w:w="799" w:type="dxa"/>
            <w:shd w:val="clear" w:color="auto" w:fill="auto"/>
            <w:vAlign w:val="center"/>
          </w:tcPr>
          <w:p w14:paraId="4BF2E64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vAlign w:val="center"/>
          </w:tcPr>
          <w:p w14:paraId="4079027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w:t>
            </w:r>
          </w:p>
        </w:tc>
        <w:tc>
          <w:tcPr>
            <w:tcW w:w="798" w:type="dxa"/>
            <w:shd w:val="clear" w:color="auto" w:fill="auto"/>
            <w:vAlign w:val="center"/>
          </w:tcPr>
          <w:p w14:paraId="7D61674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w:t>
            </w:r>
          </w:p>
        </w:tc>
        <w:tc>
          <w:tcPr>
            <w:tcW w:w="798" w:type="dxa"/>
            <w:shd w:val="clear" w:color="auto" w:fill="auto"/>
            <w:vAlign w:val="center"/>
          </w:tcPr>
          <w:p w14:paraId="1CC4D26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w:t>
            </w:r>
          </w:p>
        </w:tc>
        <w:tc>
          <w:tcPr>
            <w:tcW w:w="798" w:type="dxa"/>
            <w:shd w:val="clear" w:color="auto" w:fill="auto"/>
            <w:vAlign w:val="center"/>
          </w:tcPr>
          <w:p w14:paraId="45C8CD1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w:t>
            </w:r>
          </w:p>
        </w:tc>
        <w:tc>
          <w:tcPr>
            <w:tcW w:w="798" w:type="dxa"/>
            <w:shd w:val="clear" w:color="auto" w:fill="auto"/>
            <w:vAlign w:val="center"/>
          </w:tcPr>
          <w:p w14:paraId="437138C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798" w:type="dxa"/>
            <w:shd w:val="clear" w:color="auto" w:fill="auto"/>
            <w:vAlign w:val="center"/>
          </w:tcPr>
          <w:p w14:paraId="699D394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w:t>
            </w:r>
          </w:p>
        </w:tc>
        <w:tc>
          <w:tcPr>
            <w:tcW w:w="798" w:type="dxa"/>
            <w:shd w:val="clear" w:color="auto" w:fill="auto"/>
            <w:vAlign w:val="center"/>
          </w:tcPr>
          <w:p w14:paraId="4FAB886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798" w:type="dxa"/>
            <w:shd w:val="clear" w:color="auto" w:fill="auto"/>
            <w:vAlign w:val="center"/>
          </w:tcPr>
          <w:p w14:paraId="029D8E7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w:t>
            </w:r>
          </w:p>
        </w:tc>
        <w:tc>
          <w:tcPr>
            <w:tcW w:w="798" w:type="dxa"/>
            <w:shd w:val="clear" w:color="auto" w:fill="auto"/>
            <w:vAlign w:val="center"/>
          </w:tcPr>
          <w:p w14:paraId="716E84E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19''</w:t>
            </w:r>
          </w:p>
        </w:tc>
        <w:tc>
          <w:tcPr>
            <w:tcW w:w="798" w:type="dxa"/>
            <w:shd w:val="clear" w:color="auto" w:fill="auto"/>
            <w:vAlign w:val="center"/>
          </w:tcPr>
          <w:p w14:paraId="37EC80E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w:t>
            </w:r>
          </w:p>
        </w:tc>
        <w:tc>
          <w:tcPr>
            <w:tcW w:w="798" w:type="dxa"/>
            <w:shd w:val="clear" w:color="auto" w:fill="auto"/>
            <w:vAlign w:val="center"/>
          </w:tcPr>
          <w:p w14:paraId="071B2F7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21''</w:t>
            </w:r>
          </w:p>
        </w:tc>
      </w:tr>
      <w:tr w:rsidR="00235309" w:rsidRPr="00765F6E" w14:paraId="492400B4" w14:textId="77777777" w:rsidTr="00871D47">
        <w:trPr>
          <w:trHeight w:val="176"/>
        </w:trPr>
        <w:tc>
          <w:tcPr>
            <w:tcW w:w="799" w:type="dxa"/>
            <w:shd w:val="clear" w:color="auto" w:fill="auto"/>
            <w:vAlign w:val="center"/>
          </w:tcPr>
          <w:p w14:paraId="3119075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vAlign w:val="center"/>
          </w:tcPr>
          <w:p w14:paraId="283BEDE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1774 </w:t>
            </w:r>
          </w:p>
        </w:tc>
        <w:tc>
          <w:tcPr>
            <w:tcW w:w="798" w:type="dxa"/>
            <w:shd w:val="clear" w:color="auto" w:fill="auto"/>
            <w:vAlign w:val="center"/>
          </w:tcPr>
          <w:p w14:paraId="1E22611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1687 </w:t>
            </w:r>
          </w:p>
        </w:tc>
        <w:tc>
          <w:tcPr>
            <w:tcW w:w="798" w:type="dxa"/>
            <w:shd w:val="clear" w:color="auto" w:fill="auto"/>
            <w:vAlign w:val="center"/>
          </w:tcPr>
          <w:p w14:paraId="27F4066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1653</w:t>
            </w:r>
          </w:p>
        </w:tc>
        <w:tc>
          <w:tcPr>
            <w:tcW w:w="798" w:type="dxa"/>
            <w:shd w:val="clear" w:color="auto" w:fill="auto"/>
            <w:vAlign w:val="center"/>
          </w:tcPr>
          <w:p w14:paraId="57A65CB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1633</w:t>
            </w:r>
          </w:p>
        </w:tc>
        <w:tc>
          <w:tcPr>
            <w:tcW w:w="798" w:type="dxa"/>
            <w:shd w:val="clear" w:color="auto" w:fill="auto"/>
            <w:vAlign w:val="center"/>
          </w:tcPr>
          <w:p w14:paraId="24405E6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1633</w:t>
            </w:r>
          </w:p>
        </w:tc>
        <w:tc>
          <w:tcPr>
            <w:tcW w:w="798" w:type="dxa"/>
            <w:shd w:val="clear" w:color="auto" w:fill="auto"/>
            <w:vAlign w:val="center"/>
          </w:tcPr>
          <w:p w14:paraId="54737C6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1438</w:t>
            </w:r>
          </w:p>
        </w:tc>
        <w:tc>
          <w:tcPr>
            <w:tcW w:w="798" w:type="dxa"/>
            <w:shd w:val="clear" w:color="auto" w:fill="auto"/>
            <w:vAlign w:val="center"/>
          </w:tcPr>
          <w:p w14:paraId="6D78381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1157</w:t>
            </w:r>
          </w:p>
        </w:tc>
        <w:tc>
          <w:tcPr>
            <w:tcW w:w="798" w:type="dxa"/>
            <w:shd w:val="clear" w:color="auto" w:fill="auto"/>
            <w:vAlign w:val="center"/>
          </w:tcPr>
          <w:p w14:paraId="380D68F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859</w:t>
            </w:r>
          </w:p>
        </w:tc>
        <w:tc>
          <w:tcPr>
            <w:tcW w:w="798" w:type="dxa"/>
            <w:shd w:val="clear" w:color="auto" w:fill="auto"/>
            <w:vAlign w:val="center"/>
          </w:tcPr>
          <w:p w14:paraId="7580504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856</w:t>
            </w:r>
          </w:p>
        </w:tc>
        <w:tc>
          <w:tcPr>
            <w:tcW w:w="798" w:type="dxa"/>
            <w:shd w:val="clear" w:color="auto" w:fill="auto"/>
            <w:vAlign w:val="center"/>
          </w:tcPr>
          <w:p w14:paraId="569576E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753</w:t>
            </w:r>
          </w:p>
        </w:tc>
        <w:tc>
          <w:tcPr>
            <w:tcW w:w="798" w:type="dxa"/>
            <w:shd w:val="clear" w:color="auto" w:fill="auto"/>
            <w:vAlign w:val="center"/>
          </w:tcPr>
          <w:p w14:paraId="3EFE9EE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753</w:t>
            </w:r>
          </w:p>
        </w:tc>
      </w:tr>
      <w:tr w:rsidR="00235309" w:rsidRPr="00765F6E" w14:paraId="3E5934B9" w14:textId="77777777" w:rsidTr="00871D47">
        <w:trPr>
          <w:trHeight w:val="176"/>
        </w:trPr>
        <w:tc>
          <w:tcPr>
            <w:tcW w:w="799" w:type="dxa"/>
            <w:shd w:val="clear" w:color="auto" w:fill="auto"/>
            <w:vAlign w:val="center"/>
          </w:tcPr>
          <w:p w14:paraId="053BD6F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63B309A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1677 </w:t>
            </w:r>
          </w:p>
        </w:tc>
        <w:tc>
          <w:tcPr>
            <w:tcW w:w="798" w:type="dxa"/>
            <w:shd w:val="clear" w:color="auto" w:fill="auto"/>
            <w:vAlign w:val="center"/>
          </w:tcPr>
          <w:p w14:paraId="6685A3B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1007 </w:t>
            </w:r>
          </w:p>
        </w:tc>
        <w:tc>
          <w:tcPr>
            <w:tcW w:w="798" w:type="dxa"/>
            <w:shd w:val="clear" w:color="auto" w:fill="auto"/>
            <w:vAlign w:val="center"/>
          </w:tcPr>
          <w:p w14:paraId="2FE71DE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368 </w:t>
            </w:r>
          </w:p>
        </w:tc>
        <w:tc>
          <w:tcPr>
            <w:tcW w:w="798" w:type="dxa"/>
            <w:shd w:val="clear" w:color="auto" w:fill="auto"/>
            <w:vAlign w:val="center"/>
          </w:tcPr>
          <w:p w14:paraId="50728F5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314 </w:t>
            </w:r>
          </w:p>
        </w:tc>
        <w:tc>
          <w:tcPr>
            <w:tcW w:w="798" w:type="dxa"/>
            <w:shd w:val="clear" w:color="auto" w:fill="auto"/>
            <w:vAlign w:val="center"/>
          </w:tcPr>
          <w:p w14:paraId="55F0E7F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0 </w:t>
            </w:r>
          </w:p>
        </w:tc>
        <w:tc>
          <w:tcPr>
            <w:tcW w:w="798" w:type="dxa"/>
            <w:shd w:val="clear" w:color="auto" w:fill="auto"/>
            <w:vAlign w:val="center"/>
          </w:tcPr>
          <w:p w14:paraId="15FF20B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0 </w:t>
            </w:r>
          </w:p>
        </w:tc>
        <w:tc>
          <w:tcPr>
            <w:tcW w:w="798" w:type="dxa"/>
            <w:shd w:val="clear" w:color="auto" w:fill="auto"/>
            <w:vAlign w:val="center"/>
          </w:tcPr>
          <w:p w14:paraId="77977C6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51 </w:t>
            </w:r>
          </w:p>
        </w:tc>
        <w:tc>
          <w:tcPr>
            <w:tcW w:w="798" w:type="dxa"/>
            <w:shd w:val="clear" w:color="auto" w:fill="auto"/>
            <w:vAlign w:val="center"/>
          </w:tcPr>
          <w:p w14:paraId="098C466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52 </w:t>
            </w:r>
          </w:p>
        </w:tc>
        <w:tc>
          <w:tcPr>
            <w:tcW w:w="798" w:type="dxa"/>
            <w:shd w:val="clear" w:color="auto" w:fill="auto"/>
            <w:vAlign w:val="center"/>
          </w:tcPr>
          <w:p w14:paraId="6576705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-18 </w:t>
            </w:r>
          </w:p>
        </w:tc>
        <w:tc>
          <w:tcPr>
            <w:tcW w:w="798" w:type="dxa"/>
            <w:shd w:val="clear" w:color="auto" w:fill="auto"/>
            <w:vAlign w:val="center"/>
          </w:tcPr>
          <w:p w14:paraId="0BC0313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-18 </w:t>
            </w:r>
          </w:p>
        </w:tc>
        <w:tc>
          <w:tcPr>
            <w:tcW w:w="798" w:type="dxa"/>
            <w:shd w:val="clear" w:color="auto" w:fill="auto"/>
            <w:vAlign w:val="center"/>
          </w:tcPr>
          <w:p w14:paraId="672CD7A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-69 </w:t>
            </w:r>
          </w:p>
        </w:tc>
      </w:tr>
      <w:tr w:rsidR="00235309" w:rsidRPr="00765F6E" w14:paraId="524DDD3A" w14:textId="77777777" w:rsidTr="00871D47">
        <w:trPr>
          <w:trHeight w:val="176"/>
        </w:trPr>
        <w:tc>
          <w:tcPr>
            <w:tcW w:w="799" w:type="dxa"/>
            <w:shd w:val="clear" w:color="auto" w:fill="auto"/>
            <w:vAlign w:val="center"/>
          </w:tcPr>
          <w:p w14:paraId="7F4872F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vAlign w:val="center"/>
          </w:tcPr>
          <w:p w14:paraId="1970A00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22''</w:t>
            </w:r>
          </w:p>
        </w:tc>
        <w:tc>
          <w:tcPr>
            <w:tcW w:w="798" w:type="dxa"/>
            <w:shd w:val="clear" w:color="auto" w:fill="auto"/>
            <w:vAlign w:val="center"/>
          </w:tcPr>
          <w:p w14:paraId="10B78B3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23''</w:t>
            </w:r>
          </w:p>
        </w:tc>
        <w:tc>
          <w:tcPr>
            <w:tcW w:w="798" w:type="dxa"/>
            <w:shd w:val="clear" w:color="auto" w:fill="auto"/>
            <w:vAlign w:val="center"/>
          </w:tcPr>
          <w:p w14:paraId="6C6403E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24''</w:t>
            </w:r>
          </w:p>
        </w:tc>
        <w:tc>
          <w:tcPr>
            <w:tcW w:w="798" w:type="dxa"/>
            <w:shd w:val="clear" w:color="auto" w:fill="auto"/>
            <w:vAlign w:val="center"/>
          </w:tcPr>
          <w:p w14:paraId="53F5E59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1B74DE3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6D7EBFF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296956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55EF9A2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63FA2B1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0F54693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455955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235309" w:rsidRPr="00765F6E" w14:paraId="7C2336B9" w14:textId="77777777" w:rsidTr="00871D47">
        <w:trPr>
          <w:trHeight w:val="176"/>
        </w:trPr>
        <w:tc>
          <w:tcPr>
            <w:tcW w:w="799" w:type="dxa"/>
            <w:shd w:val="clear" w:color="auto" w:fill="auto"/>
            <w:vAlign w:val="center"/>
          </w:tcPr>
          <w:p w14:paraId="102CD8A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vAlign w:val="center"/>
          </w:tcPr>
          <w:p w14:paraId="237F7B2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633</w:t>
            </w:r>
          </w:p>
        </w:tc>
        <w:tc>
          <w:tcPr>
            <w:tcW w:w="798" w:type="dxa"/>
            <w:shd w:val="clear" w:color="auto" w:fill="auto"/>
            <w:vAlign w:val="center"/>
          </w:tcPr>
          <w:p w14:paraId="6CA502E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629</w:t>
            </w:r>
          </w:p>
        </w:tc>
        <w:tc>
          <w:tcPr>
            <w:tcW w:w="798" w:type="dxa"/>
            <w:shd w:val="clear" w:color="auto" w:fill="auto"/>
            <w:vAlign w:val="center"/>
          </w:tcPr>
          <w:p w14:paraId="116E23E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shd w:val="clear" w:color="auto" w:fill="auto"/>
            <w:vAlign w:val="center"/>
          </w:tcPr>
          <w:p w14:paraId="49650F3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450696B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28CFBD9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44AA54E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5587069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814BA4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0E3C07F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0099EF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235309" w:rsidRPr="00765F6E" w14:paraId="1C519000" w14:textId="77777777" w:rsidTr="00871D47">
        <w:trPr>
          <w:trHeight w:val="176"/>
        </w:trPr>
        <w:tc>
          <w:tcPr>
            <w:tcW w:w="799" w:type="dxa"/>
            <w:shd w:val="clear" w:color="auto" w:fill="auto"/>
            <w:vAlign w:val="center"/>
          </w:tcPr>
          <w:p w14:paraId="6DF759B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453A44F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-69 </w:t>
            </w:r>
          </w:p>
        </w:tc>
        <w:tc>
          <w:tcPr>
            <w:tcW w:w="798" w:type="dxa"/>
            <w:shd w:val="clear" w:color="auto" w:fill="auto"/>
            <w:vAlign w:val="center"/>
          </w:tcPr>
          <w:p w14:paraId="677445B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w:t>
            </w:r>
          </w:p>
        </w:tc>
        <w:tc>
          <w:tcPr>
            <w:tcW w:w="798" w:type="dxa"/>
            <w:shd w:val="clear" w:color="auto" w:fill="auto"/>
            <w:vAlign w:val="center"/>
          </w:tcPr>
          <w:p w14:paraId="72A4629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w:t>
            </w:r>
          </w:p>
        </w:tc>
        <w:tc>
          <w:tcPr>
            <w:tcW w:w="798" w:type="dxa"/>
            <w:shd w:val="clear" w:color="auto" w:fill="auto"/>
            <w:vAlign w:val="center"/>
          </w:tcPr>
          <w:p w14:paraId="2767092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6D7165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7480635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7C6FDDB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6A9A937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47184D8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0A62A28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0501421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bl>
    <w:p w14:paraId="000E1E74" w14:textId="77777777" w:rsidR="00235309" w:rsidRPr="00765F6E" w:rsidRDefault="00235309" w:rsidP="00235309">
      <w:pPr>
        <w:pStyle w:val="affffb"/>
        <w:spacing w:before="120" w:after="120"/>
        <w:ind w:firstLine="420"/>
        <w:jc w:val="left"/>
        <w:rPr>
          <w:rFonts w:asciiTheme="minorEastAsia" w:eastAsiaTheme="minorEastAsia" w:hAnsiTheme="minorEastAsia"/>
        </w:rPr>
        <w:sectPr w:rsidR="00235309" w:rsidRPr="00765F6E" w:rsidSect="000A5A1C">
          <w:headerReference w:type="even" r:id="rId83"/>
          <w:headerReference w:type="default" r:id="rId84"/>
          <w:footerReference w:type="even" r:id="rId85"/>
          <w:footerReference w:type="default" r:id="rId86"/>
          <w:pgSz w:w="11906" w:h="16838"/>
          <w:pgMar w:top="1928" w:right="1134" w:bottom="1134" w:left="1134" w:header="1418" w:footer="1134" w:gutter="284"/>
          <w:cols w:space="425"/>
          <w:formProt w:val="0"/>
          <w:docGrid w:linePitch="312"/>
        </w:sectPr>
      </w:pPr>
    </w:p>
    <w:p w14:paraId="38B30270" w14:textId="77777777" w:rsidR="00235309" w:rsidRPr="00765F6E" w:rsidRDefault="00235309" w:rsidP="00235309">
      <w:pPr>
        <w:pStyle w:val="af9"/>
        <w:rPr>
          <w:vanish w:val="0"/>
        </w:rPr>
      </w:pPr>
    </w:p>
    <w:p w14:paraId="4671424E" w14:textId="77777777" w:rsidR="00235309" w:rsidRPr="00765F6E" w:rsidRDefault="00235309" w:rsidP="00235309">
      <w:pPr>
        <w:pStyle w:val="aff"/>
        <w:rPr>
          <w:vanish w:val="0"/>
        </w:rPr>
      </w:pPr>
    </w:p>
    <w:p w14:paraId="0209739F" w14:textId="77777777" w:rsidR="00235309" w:rsidRPr="00765F6E" w:rsidRDefault="00235309" w:rsidP="00825942">
      <w:pPr>
        <w:pStyle w:val="aff4"/>
        <w:spacing w:beforeLines="10" w:before="24" w:after="120"/>
        <w:ind w:left="420"/>
      </w:pPr>
      <w:r w:rsidRPr="00765F6E">
        <w:br/>
      </w:r>
      <w:bookmarkStart w:id="3850" w:name="_Toc153211033"/>
      <w:bookmarkStart w:id="3851" w:name="_Toc153292566"/>
      <w:bookmarkStart w:id="3852" w:name="_Toc167895931"/>
      <w:bookmarkStart w:id="3853" w:name="_Toc182476621"/>
      <w:r w:rsidRPr="00765F6E">
        <w:rPr>
          <w:rFonts w:hint="eastAsia"/>
        </w:rPr>
        <w:t>（规范性）</w:t>
      </w:r>
      <w:r w:rsidRPr="00765F6E">
        <w:br/>
      </w:r>
      <w:bookmarkStart w:id="3854" w:name="_Toc99793112"/>
      <w:r w:rsidRPr="00765F6E">
        <w:rPr>
          <w:rFonts w:hint="eastAsia"/>
        </w:rPr>
        <w:t>市域A2型车车辆轮廓线、车辆限界及设备限界</w:t>
      </w:r>
      <w:bookmarkEnd w:id="3850"/>
      <w:bookmarkEnd w:id="3851"/>
      <w:bookmarkEnd w:id="3852"/>
      <w:bookmarkEnd w:id="3853"/>
      <w:bookmarkEnd w:id="3854"/>
    </w:p>
    <w:p w14:paraId="3FA5409A" w14:textId="7DAFCCB1" w:rsidR="00235309" w:rsidRDefault="00235309" w:rsidP="00235309">
      <w:pPr>
        <w:pStyle w:val="aff5"/>
        <w:spacing w:before="120" w:after="120"/>
        <w:ind w:firstLine="360"/>
        <w:outlineLvl w:val="9"/>
        <w:rPr>
          <w:rFonts w:ascii="宋体" w:eastAsia="宋体" w:hAnsi="宋体"/>
        </w:rPr>
      </w:pPr>
      <w:bookmarkStart w:id="3855" w:name="_Toc164068559"/>
      <w:bookmarkStart w:id="3856" w:name="_Toc153211034"/>
      <w:bookmarkStart w:id="3857" w:name="_Toc153292567"/>
      <w:bookmarkStart w:id="3858" w:name="_Toc99793113"/>
      <w:bookmarkStart w:id="3859" w:name="_Toc152659880"/>
      <w:bookmarkStart w:id="3860" w:name="_Toc99801256"/>
      <w:bookmarkStart w:id="3861" w:name="_Toc167895932"/>
      <w:bookmarkStart w:id="3862" w:name="_Toc174539453"/>
      <w:bookmarkStart w:id="3863" w:name="_Toc174553588"/>
      <w:bookmarkStart w:id="3864" w:name="_Toc180759210"/>
      <w:bookmarkStart w:id="3865" w:name="_Toc181266622"/>
      <w:bookmarkStart w:id="3866" w:name="_Toc182409566"/>
      <w:bookmarkStart w:id="3867" w:name="_Toc182409842"/>
      <w:bookmarkStart w:id="3868" w:name="_Toc182476622"/>
      <w:r w:rsidRPr="00765F6E">
        <w:rPr>
          <w:rFonts w:ascii="宋体" w:eastAsia="宋体" w:hAnsi="宋体" w:hint="eastAsia"/>
        </w:rPr>
        <w:t>市域A2型车车辆轮廓线、车辆限界和设备限界图</w:t>
      </w:r>
      <w:r w:rsidR="0049668C">
        <w:rPr>
          <w:rFonts w:ascii="宋体" w:eastAsia="宋体" w:hAnsi="宋体" w:hint="eastAsia"/>
        </w:rPr>
        <w:t>应符合</w:t>
      </w:r>
      <w:r w:rsidRPr="00765F6E">
        <w:rPr>
          <w:rFonts w:ascii="宋体" w:eastAsia="宋体" w:hAnsi="宋体" w:hint="eastAsia"/>
        </w:rPr>
        <w:t>图B.1，</w:t>
      </w:r>
      <w:r>
        <w:rPr>
          <w:rFonts w:ascii="宋体" w:eastAsia="宋体" w:hAnsi="宋体" w:hint="eastAsia"/>
        </w:rPr>
        <w:t>轮廓坐标点和</w:t>
      </w:r>
      <w:r w:rsidRPr="00765F6E">
        <w:rPr>
          <w:rFonts w:ascii="宋体" w:eastAsia="宋体" w:hAnsi="宋体" w:hint="eastAsia"/>
        </w:rPr>
        <w:t>限界坐标点见表B.1～表B.3。</w:t>
      </w:r>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p>
    <w:p w14:paraId="2D317386" w14:textId="77777777" w:rsidR="00C34127" w:rsidRPr="00453DBE" w:rsidRDefault="00C34127" w:rsidP="00453DBE">
      <w:pPr>
        <w:pStyle w:val="affffb"/>
        <w:ind w:firstLine="420"/>
      </w:pPr>
    </w:p>
    <w:p w14:paraId="41AC235F" w14:textId="52C16169" w:rsidR="00235309" w:rsidRPr="00765F6E" w:rsidRDefault="005135DB" w:rsidP="00453DBE">
      <w:pPr>
        <w:pStyle w:val="affffb"/>
        <w:spacing w:before="120" w:after="120"/>
        <w:ind w:firstLineChars="0" w:firstLine="0"/>
        <w:jc w:val="center"/>
      </w:pPr>
      <w:r>
        <w:drawing>
          <wp:inline distT="0" distB="0" distL="0" distR="0" wp14:anchorId="70C52F44" wp14:editId="3DDC9205">
            <wp:extent cx="5405838" cy="664559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pic:nvPicPr>
                  <pic:blipFill rotWithShape="1">
                    <a:blip r:embed="rId87" cstate="print">
                      <a:extLst>
                        <a:ext uri="{28A0092B-C50C-407E-A947-70E740481C1C}">
                          <a14:useLocalDpi xmlns:a14="http://schemas.microsoft.com/office/drawing/2010/main" val="0"/>
                        </a:ext>
                      </a:extLst>
                    </a:blip>
                    <a:srcRect l="39225" t="1" r="44954" b="49881"/>
                    <a:stretch/>
                  </pic:blipFill>
                  <pic:spPr bwMode="auto">
                    <a:xfrm>
                      <a:off x="0" y="0"/>
                      <a:ext cx="5455464" cy="6706603"/>
                    </a:xfrm>
                    <a:prstGeom prst="rect">
                      <a:avLst/>
                    </a:prstGeom>
                    <a:ln>
                      <a:noFill/>
                    </a:ln>
                    <a:extLst>
                      <a:ext uri="{53640926-AAD7-44D8-BBD7-CCE9431645EC}">
                        <a14:shadowObscured xmlns:a14="http://schemas.microsoft.com/office/drawing/2010/main"/>
                      </a:ext>
                    </a:extLst>
                  </pic:spPr>
                </pic:pic>
              </a:graphicData>
            </a:graphic>
          </wp:inline>
        </w:drawing>
      </w:r>
    </w:p>
    <w:p w14:paraId="03D5D2AD" w14:textId="77777777" w:rsidR="00235309" w:rsidRPr="00765F6E" w:rsidRDefault="00235309" w:rsidP="00235309">
      <w:pPr>
        <w:pStyle w:val="affffb"/>
        <w:spacing w:before="120" w:after="120"/>
        <w:ind w:firstLine="420"/>
        <w:jc w:val="center"/>
      </w:pPr>
    </w:p>
    <w:p w14:paraId="3CFFDE2F" w14:textId="77777777" w:rsidR="00235309" w:rsidRPr="00765F6E" w:rsidRDefault="00235309" w:rsidP="00235309">
      <w:pPr>
        <w:pStyle w:val="afa"/>
        <w:spacing w:before="120" w:after="120"/>
      </w:pPr>
      <w:r w:rsidRPr="00765F6E">
        <w:rPr>
          <w:rFonts w:hint="eastAsia"/>
        </w:rPr>
        <w:t>市域A2型车车辆轮廓、车辆限界、设备限界综合图</w:t>
      </w:r>
    </w:p>
    <w:p w14:paraId="3EFB98C6" w14:textId="77777777" w:rsidR="00235309" w:rsidRPr="00765F6E" w:rsidRDefault="00235309" w:rsidP="00235309">
      <w:pPr>
        <w:pStyle w:val="aff0"/>
        <w:spacing w:before="120" w:after="120"/>
      </w:pPr>
      <w:r w:rsidRPr="00765F6E">
        <w:rPr>
          <w:rFonts w:hint="eastAsia"/>
        </w:rPr>
        <w:lastRenderedPageBreak/>
        <w:t>车辆轮廓坐标点</w:t>
      </w:r>
    </w:p>
    <w:p w14:paraId="5520CCC1"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r w:rsidRPr="00765F6E">
        <w:rPr>
          <w:rFonts w:asciiTheme="minorEastAsia" w:eastAsiaTheme="minorEastAsia" w:hAnsiTheme="minorEastAsia" w:hint="eastAsia"/>
          <w:sz w:val="18"/>
          <w:szCs w:val="18"/>
        </w:rPr>
        <w:t>单位为毫米</w:t>
      </w:r>
    </w:p>
    <w:tbl>
      <w:tblPr>
        <w:tblW w:w="957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99"/>
        <w:gridCol w:w="799"/>
        <w:gridCol w:w="798"/>
        <w:gridCol w:w="798"/>
        <w:gridCol w:w="798"/>
        <w:gridCol w:w="798"/>
        <w:gridCol w:w="798"/>
        <w:gridCol w:w="798"/>
        <w:gridCol w:w="798"/>
        <w:gridCol w:w="798"/>
        <w:gridCol w:w="798"/>
        <w:gridCol w:w="790"/>
      </w:tblGrid>
      <w:tr w:rsidR="00235309" w:rsidRPr="00765F6E" w14:paraId="2243765D" w14:textId="77777777" w:rsidTr="00871D47">
        <w:trPr>
          <w:trHeight w:val="176"/>
          <w:jc w:val="center"/>
        </w:trPr>
        <w:tc>
          <w:tcPr>
            <w:tcW w:w="799" w:type="dxa"/>
            <w:tcBorders>
              <w:top w:val="single" w:sz="8" w:space="0" w:color="auto"/>
              <w:bottom w:val="single" w:sz="8" w:space="0" w:color="auto"/>
            </w:tcBorders>
            <w:shd w:val="clear" w:color="auto" w:fill="auto"/>
            <w:vAlign w:val="center"/>
          </w:tcPr>
          <w:p w14:paraId="665BE65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single" w:sz="8" w:space="0" w:color="auto"/>
              <w:bottom w:val="single" w:sz="8" w:space="0" w:color="auto"/>
            </w:tcBorders>
            <w:shd w:val="clear" w:color="auto" w:fill="auto"/>
            <w:vAlign w:val="center"/>
          </w:tcPr>
          <w:p w14:paraId="6EA1B7A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bottom w:val="single" w:sz="8" w:space="0" w:color="auto"/>
            </w:tcBorders>
            <w:shd w:val="clear" w:color="auto" w:fill="auto"/>
            <w:vAlign w:val="center"/>
          </w:tcPr>
          <w:p w14:paraId="4D10810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p>
        </w:tc>
        <w:tc>
          <w:tcPr>
            <w:tcW w:w="798" w:type="dxa"/>
            <w:tcBorders>
              <w:top w:val="single" w:sz="8" w:space="0" w:color="auto"/>
              <w:bottom w:val="single" w:sz="8" w:space="0" w:color="auto"/>
            </w:tcBorders>
            <w:shd w:val="clear" w:color="auto" w:fill="auto"/>
            <w:vAlign w:val="center"/>
          </w:tcPr>
          <w:p w14:paraId="0D31C15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p>
        </w:tc>
        <w:tc>
          <w:tcPr>
            <w:tcW w:w="798" w:type="dxa"/>
            <w:tcBorders>
              <w:top w:val="single" w:sz="8" w:space="0" w:color="auto"/>
              <w:bottom w:val="single" w:sz="8" w:space="0" w:color="auto"/>
            </w:tcBorders>
            <w:shd w:val="clear" w:color="auto" w:fill="auto"/>
            <w:vAlign w:val="center"/>
          </w:tcPr>
          <w:p w14:paraId="48D295A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w:t>
            </w:r>
          </w:p>
        </w:tc>
        <w:tc>
          <w:tcPr>
            <w:tcW w:w="798" w:type="dxa"/>
            <w:tcBorders>
              <w:top w:val="single" w:sz="8" w:space="0" w:color="auto"/>
              <w:bottom w:val="single" w:sz="8" w:space="0" w:color="auto"/>
            </w:tcBorders>
            <w:shd w:val="clear" w:color="auto" w:fill="auto"/>
            <w:vAlign w:val="center"/>
          </w:tcPr>
          <w:p w14:paraId="51C4BF6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p>
        </w:tc>
        <w:tc>
          <w:tcPr>
            <w:tcW w:w="798" w:type="dxa"/>
            <w:tcBorders>
              <w:top w:val="single" w:sz="8" w:space="0" w:color="auto"/>
              <w:bottom w:val="single" w:sz="8" w:space="0" w:color="auto"/>
            </w:tcBorders>
            <w:shd w:val="clear" w:color="auto" w:fill="auto"/>
            <w:vAlign w:val="center"/>
          </w:tcPr>
          <w:p w14:paraId="03EEA23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798" w:type="dxa"/>
            <w:tcBorders>
              <w:top w:val="single" w:sz="8" w:space="0" w:color="auto"/>
              <w:bottom w:val="single" w:sz="8" w:space="0" w:color="auto"/>
            </w:tcBorders>
            <w:shd w:val="clear" w:color="auto" w:fill="auto"/>
            <w:vAlign w:val="center"/>
          </w:tcPr>
          <w:p w14:paraId="74D0DCE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p>
        </w:tc>
        <w:tc>
          <w:tcPr>
            <w:tcW w:w="798" w:type="dxa"/>
            <w:tcBorders>
              <w:top w:val="single" w:sz="8" w:space="0" w:color="auto"/>
              <w:bottom w:val="single" w:sz="8" w:space="0" w:color="auto"/>
            </w:tcBorders>
            <w:shd w:val="clear" w:color="auto" w:fill="auto"/>
            <w:vAlign w:val="center"/>
          </w:tcPr>
          <w:p w14:paraId="0BB6B4F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p>
        </w:tc>
        <w:tc>
          <w:tcPr>
            <w:tcW w:w="798" w:type="dxa"/>
            <w:tcBorders>
              <w:top w:val="single" w:sz="8" w:space="0" w:color="auto"/>
              <w:bottom w:val="single" w:sz="8" w:space="0" w:color="auto"/>
            </w:tcBorders>
            <w:shd w:val="clear" w:color="auto" w:fill="auto"/>
            <w:vAlign w:val="center"/>
          </w:tcPr>
          <w:p w14:paraId="7B48A90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98" w:type="dxa"/>
            <w:tcBorders>
              <w:top w:val="single" w:sz="8" w:space="0" w:color="auto"/>
              <w:bottom w:val="single" w:sz="8" w:space="0" w:color="auto"/>
            </w:tcBorders>
            <w:shd w:val="clear" w:color="auto" w:fill="auto"/>
            <w:vAlign w:val="center"/>
          </w:tcPr>
          <w:p w14:paraId="2D88D70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w:t>
            </w:r>
          </w:p>
        </w:tc>
        <w:tc>
          <w:tcPr>
            <w:tcW w:w="790" w:type="dxa"/>
            <w:tcBorders>
              <w:top w:val="single" w:sz="8" w:space="0" w:color="auto"/>
              <w:bottom w:val="single" w:sz="8" w:space="0" w:color="auto"/>
            </w:tcBorders>
            <w:shd w:val="clear" w:color="auto" w:fill="auto"/>
            <w:vAlign w:val="center"/>
          </w:tcPr>
          <w:p w14:paraId="75ADA94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r>
      <w:tr w:rsidR="00235309" w:rsidRPr="00765F6E" w14:paraId="325B5894" w14:textId="77777777" w:rsidTr="00871D47">
        <w:trPr>
          <w:trHeight w:val="176"/>
          <w:jc w:val="center"/>
        </w:trPr>
        <w:tc>
          <w:tcPr>
            <w:tcW w:w="799" w:type="dxa"/>
            <w:tcBorders>
              <w:top w:val="single" w:sz="8" w:space="0" w:color="auto"/>
            </w:tcBorders>
            <w:shd w:val="clear" w:color="auto" w:fill="auto"/>
            <w:vAlign w:val="center"/>
          </w:tcPr>
          <w:p w14:paraId="11208D8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single" w:sz="8" w:space="0" w:color="auto"/>
            </w:tcBorders>
            <w:shd w:val="clear" w:color="auto" w:fill="auto"/>
            <w:vAlign w:val="center"/>
          </w:tcPr>
          <w:p w14:paraId="28E323C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0</w:t>
            </w:r>
          </w:p>
        </w:tc>
        <w:tc>
          <w:tcPr>
            <w:tcW w:w="798" w:type="dxa"/>
            <w:tcBorders>
              <w:top w:val="single" w:sz="8" w:space="0" w:color="auto"/>
            </w:tcBorders>
            <w:shd w:val="clear" w:color="auto" w:fill="auto"/>
            <w:vAlign w:val="center"/>
          </w:tcPr>
          <w:p w14:paraId="2CE1578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653</w:t>
            </w:r>
          </w:p>
        </w:tc>
        <w:tc>
          <w:tcPr>
            <w:tcW w:w="798" w:type="dxa"/>
            <w:tcBorders>
              <w:top w:val="single" w:sz="8" w:space="0" w:color="auto"/>
            </w:tcBorders>
            <w:shd w:val="clear" w:color="auto" w:fill="auto"/>
            <w:vAlign w:val="center"/>
          </w:tcPr>
          <w:p w14:paraId="5BE87B2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1031</w:t>
            </w:r>
          </w:p>
        </w:tc>
        <w:tc>
          <w:tcPr>
            <w:tcW w:w="798" w:type="dxa"/>
            <w:tcBorders>
              <w:top w:val="single" w:sz="8" w:space="0" w:color="auto"/>
            </w:tcBorders>
            <w:shd w:val="clear" w:color="auto" w:fill="auto"/>
            <w:vAlign w:val="center"/>
          </w:tcPr>
          <w:p w14:paraId="00C9C3E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1031</w:t>
            </w:r>
          </w:p>
        </w:tc>
        <w:tc>
          <w:tcPr>
            <w:tcW w:w="798" w:type="dxa"/>
            <w:tcBorders>
              <w:top w:val="single" w:sz="8" w:space="0" w:color="auto"/>
            </w:tcBorders>
            <w:shd w:val="clear" w:color="auto" w:fill="auto"/>
            <w:vAlign w:val="center"/>
          </w:tcPr>
          <w:p w14:paraId="576DB0B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1300</w:t>
            </w:r>
          </w:p>
        </w:tc>
        <w:tc>
          <w:tcPr>
            <w:tcW w:w="798" w:type="dxa"/>
            <w:tcBorders>
              <w:top w:val="single" w:sz="8" w:space="0" w:color="auto"/>
            </w:tcBorders>
            <w:shd w:val="clear" w:color="auto" w:fill="auto"/>
            <w:vAlign w:val="center"/>
          </w:tcPr>
          <w:p w14:paraId="2620311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1365</w:t>
            </w:r>
          </w:p>
        </w:tc>
        <w:tc>
          <w:tcPr>
            <w:tcW w:w="798" w:type="dxa"/>
            <w:tcBorders>
              <w:top w:val="single" w:sz="8" w:space="0" w:color="auto"/>
            </w:tcBorders>
            <w:shd w:val="clear" w:color="auto" w:fill="auto"/>
            <w:vAlign w:val="center"/>
          </w:tcPr>
          <w:p w14:paraId="3C0947C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1412</w:t>
            </w:r>
          </w:p>
        </w:tc>
        <w:tc>
          <w:tcPr>
            <w:tcW w:w="798" w:type="dxa"/>
            <w:tcBorders>
              <w:top w:val="single" w:sz="8" w:space="0" w:color="auto"/>
            </w:tcBorders>
            <w:shd w:val="clear" w:color="auto" w:fill="auto"/>
            <w:vAlign w:val="center"/>
          </w:tcPr>
          <w:p w14:paraId="4B129A9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1425</w:t>
            </w:r>
          </w:p>
        </w:tc>
        <w:tc>
          <w:tcPr>
            <w:tcW w:w="798" w:type="dxa"/>
            <w:tcBorders>
              <w:top w:val="single" w:sz="8" w:space="0" w:color="auto"/>
            </w:tcBorders>
            <w:shd w:val="clear" w:color="auto" w:fill="auto"/>
            <w:vAlign w:val="center"/>
          </w:tcPr>
          <w:p w14:paraId="23C281A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1481</w:t>
            </w:r>
          </w:p>
        </w:tc>
        <w:tc>
          <w:tcPr>
            <w:tcW w:w="798" w:type="dxa"/>
            <w:tcBorders>
              <w:top w:val="single" w:sz="8" w:space="0" w:color="auto"/>
            </w:tcBorders>
            <w:shd w:val="clear" w:color="auto" w:fill="auto"/>
            <w:vAlign w:val="center"/>
          </w:tcPr>
          <w:p w14:paraId="77F3DC5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1507</w:t>
            </w:r>
          </w:p>
        </w:tc>
        <w:tc>
          <w:tcPr>
            <w:tcW w:w="790" w:type="dxa"/>
            <w:tcBorders>
              <w:top w:val="single" w:sz="8" w:space="0" w:color="auto"/>
            </w:tcBorders>
            <w:shd w:val="clear" w:color="auto" w:fill="auto"/>
            <w:vAlign w:val="center"/>
          </w:tcPr>
          <w:p w14:paraId="61591A8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1452</w:t>
            </w:r>
          </w:p>
        </w:tc>
      </w:tr>
      <w:tr w:rsidR="00235309" w:rsidRPr="00765F6E" w14:paraId="50ED0033" w14:textId="77777777" w:rsidTr="00871D47">
        <w:trPr>
          <w:trHeight w:val="176"/>
          <w:jc w:val="center"/>
        </w:trPr>
        <w:tc>
          <w:tcPr>
            <w:tcW w:w="799" w:type="dxa"/>
            <w:shd w:val="clear" w:color="auto" w:fill="auto"/>
            <w:vAlign w:val="center"/>
          </w:tcPr>
          <w:p w14:paraId="7561EDB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48E8ADE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4305</w:t>
            </w:r>
          </w:p>
        </w:tc>
        <w:tc>
          <w:tcPr>
            <w:tcW w:w="798" w:type="dxa"/>
            <w:shd w:val="clear" w:color="auto" w:fill="auto"/>
            <w:vAlign w:val="center"/>
          </w:tcPr>
          <w:p w14:paraId="2163D0C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4305</w:t>
            </w:r>
          </w:p>
        </w:tc>
        <w:tc>
          <w:tcPr>
            <w:tcW w:w="798" w:type="dxa"/>
            <w:shd w:val="clear" w:color="auto" w:fill="auto"/>
            <w:vAlign w:val="center"/>
          </w:tcPr>
          <w:p w14:paraId="0D4D510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4166</w:t>
            </w:r>
          </w:p>
        </w:tc>
        <w:tc>
          <w:tcPr>
            <w:tcW w:w="798" w:type="dxa"/>
            <w:shd w:val="clear" w:color="auto" w:fill="auto"/>
            <w:vAlign w:val="center"/>
          </w:tcPr>
          <w:p w14:paraId="6A2AB1F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3623</w:t>
            </w:r>
          </w:p>
        </w:tc>
        <w:tc>
          <w:tcPr>
            <w:tcW w:w="798" w:type="dxa"/>
            <w:shd w:val="clear" w:color="auto" w:fill="auto"/>
            <w:vAlign w:val="center"/>
          </w:tcPr>
          <w:p w14:paraId="02F9451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3504</w:t>
            </w:r>
          </w:p>
        </w:tc>
        <w:tc>
          <w:tcPr>
            <w:tcW w:w="798" w:type="dxa"/>
            <w:shd w:val="clear" w:color="auto" w:fill="auto"/>
            <w:vAlign w:val="center"/>
          </w:tcPr>
          <w:p w14:paraId="2FDB60D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3416</w:t>
            </w:r>
          </w:p>
        </w:tc>
        <w:tc>
          <w:tcPr>
            <w:tcW w:w="798" w:type="dxa"/>
            <w:shd w:val="clear" w:color="auto" w:fill="auto"/>
            <w:vAlign w:val="center"/>
          </w:tcPr>
          <w:p w14:paraId="0E1ECC6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3313</w:t>
            </w:r>
          </w:p>
        </w:tc>
        <w:tc>
          <w:tcPr>
            <w:tcW w:w="798" w:type="dxa"/>
            <w:shd w:val="clear" w:color="auto" w:fill="auto"/>
            <w:vAlign w:val="center"/>
          </w:tcPr>
          <w:p w14:paraId="4E949A6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3078</w:t>
            </w:r>
          </w:p>
        </w:tc>
        <w:tc>
          <w:tcPr>
            <w:tcW w:w="798" w:type="dxa"/>
            <w:shd w:val="clear" w:color="auto" w:fill="auto"/>
            <w:vAlign w:val="center"/>
          </w:tcPr>
          <w:p w14:paraId="35F36AF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3064</w:t>
            </w:r>
          </w:p>
        </w:tc>
        <w:tc>
          <w:tcPr>
            <w:tcW w:w="798" w:type="dxa"/>
            <w:shd w:val="clear" w:color="auto" w:fill="auto"/>
            <w:vAlign w:val="center"/>
          </w:tcPr>
          <w:p w14:paraId="565B0C2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3621</w:t>
            </w:r>
          </w:p>
        </w:tc>
        <w:tc>
          <w:tcPr>
            <w:tcW w:w="790" w:type="dxa"/>
            <w:shd w:val="clear" w:color="auto" w:fill="auto"/>
            <w:vAlign w:val="center"/>
          </w:tcPr>
          <w:p w14:paraId="7DEEE5A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2605</w:t>
            </w:r>
          </w:p>
        </w:tc>
      </w:tr>
      <w:tr w:rsidR="00235309" w:rsidRPr="00765F6E" w14:paraId="47AD2582" w14:textId="77777777" w:rsidTr="00871D47">
        <w:trPr>
          <w:trHeight w:val="176"/>
          <w:jc w:val="center"/>
        </w:trPr>
        <w:tc>
          <w:tcPr>
            <w:tcW w:w="799" w:type="dxa"/>
            <w:shd w:val="clear" w:color="auto" w:fill="auto"/>
            <w:vAlign w:val="center"/>
          </w:tcPr>
          <w:p w14:paraId="2F2D77C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vAlign w:val="center"/>
          </w:tcPr>
          <w:p w14:paraId="7E58B93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w:t>
            </w:r>
          </w:p>
        </w:tc>
        <w:tc>
          <w:tcPr>
            <w:tcW w:w="798" w:type="dxa"/>
            <w:shd w:val="clear" w:color="auto" w:fill="auto"/>
            <w:vAlign w:val="center"/>
          </w:tcPr>
          <w:p w14:paraId="2CC5C44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w:t>
            </w:r>
          </w:p>
        </w:tc>
        <w:tc>
          <w:tcPr>
            <w:tcW w:w="798" w:type="dxa"/>
            <w:shd w:val="clear" w:color="auto" w:fill="auto"/>
            <w:vAlign w:val="center"/>
          </w:tcPr>
          <w:p w14:paraId="3A0891A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w:t>
            </w:r>
          </w:p>
        </w:tc>
        <w:tc>
          <w:tcPr>
            <w:tcW w:w="798" w:type="dxa"/>
            <w:shd w:val="clear" w:color="auto" w:fill="auto"/>
            <w:vAlign w:val="center"/>
          </w:tcPr>
          <w:p w14:paraId="75C922D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w:t>
            </w:r>
          </w:p>
        </w:tc>
        <w:tc>
          <w:tcPr>
            <w:tcW w:w="798" w:type="dxa"/>
            <w:shd w:val="clear" w:color="auto" w:fill="auto"/>
            <w:vAlign w:val="center"/>
          </w:tcPr>
          <w:p w14:paraId="404A642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798" w:type="dxa"/>
            <w:shd w:val="clear" w:color="auto" w:fill="auto"/>
            <w:vAlign w:val="center"/>
          </w:tcPr>
          <w:p w14:paraId="00F1021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w:t>
            </w:r>
          </w:p>
        </w:tc>
        <w:tc>
          <w:tcPr>
            <w:tcW w:w="798" w:type="dxa"/>
            <w:shd w:val="clear" w:color="auto" w:fill="auto"/>
            <w:vAlign w:val="center"/>
          </w:tcPr>
          <w:p w14:paraId="38EAD32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798" w:type="dxa"/>
            <w:shd w:val="clear" w:color="auto" w:fill="auto"/>
            <w:vAlign w:val="center"/>
          </w:tcPr>
          <w:p w14:paraId="23B23C2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w:t>
            </w:r>
          </w:p>
        </w:tc>
        <w:tc>
          <w:tcPr>
            <w:tcW w:w="798" w:type="dxa"/>
            <w:shd w:val="clear" w:color="auto" w:fill="auto"/>
            <w:vAlign w:val="center"/>
          </w:tcPr>
          <w:p w14:paraId="07B9AA9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19</w:t>
            </w:r>
          </w:p>
        </w:tc>
        <w:tc>
          <w:tcPr>
            <w:tcW w:w="798" w:type="dxa"/>
            <w:shd w:val="clear" w:color="auto" w:fill="auto"/>
            <w:vAlign w:val="center"/>
          </w:tcPr>
          <w:p w14:paraId="78D1115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w:t>
            </w:r>
          </w:p>
        </w:tc>
        <w:tc>
          <w:tcPr>
            <w:tcW w:w="790" w:type="dxa"/>
            <w:shd w:val="clear" w:color="auto" w:fill="auto"/>
            <w:vAlign w:val="center"/>
          </w:tcPr>
          <w:p w14:paraId="0793AEF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21</w:t>
            </w:r>
          </w:p>
        </w:tc>
      </w:tr>
      <w:tr w:rsidR="00235309" w:rsidRPr="00765F6E" w14:paraId="74C0DC40" w14:textId="77777777" w:rsidTr="00871D47">
        <w:trPr>
          <w:trHeight w:val="176"/>
          <w:jc w:val="center"/>
        </w:trPr>
        <w:tc>
          <w:tcPr>
            <w:tcW w:w="799" w:type="dxa"/>
            <w:shd w:val="clear" w:color="auto" w:fill="auto"/>
            <w:vAlign w:val="center"/>
          </w:tcPr>
          <w:p w14:paraId="5884C0E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vAlign w:val="center"/>
          </w:tcPr>
          <w:p w14:paraId="77E8F4C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1500</w:t>
            </w:r>
          </w:p>
        </w:tc>
        <w:tc>
          <w:tcPr>
            <w:tcW w:w="798" w:type="dxa"/>
            <w:shd w:val="clear" w:color="auto" w:fill="auto"/>
            <w:vAlign w:val="center"/>
          </w:tcPr>
          <w:p w14:paraId="3F0312C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1500</w:t>
            </w:r>
          </w:p>
        </w:tc>
        <w:tc>
          <w:tcPr>
            <w:tcW w:w="798" w:type="dxa"/>
            <w:shd w:val="clear" w:color="auto" w:fill="auto"/>
            <w:vAlign w:val="center"/>
          </w:tcPr>
          <w:p w14:paraId="73F3C3F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1500</w:t>
            </w:r>
          </w:p>
        </w:tc>
        <w:tc>
          <w:tcPr>
            <w:tcW w:w="798" w:type="dxa"/>
            <w:shd w:val="clear" w:color="auto" w:fill="auto"/>
            <w:vAlign w:val="center"/>
          </w:tcPr>
          <w:p w14:paraId="69B0CD1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1400</w:t>
            </w:r>
          </w:p>
        </w:tc>
        <w:tc>
          <w:tcPr>
            <w:tcW w:w="798" w:type="dxa"/>
            <w:shd w:val="clear" w:color="auto" w:fill="auto"/>
            <w:vAlign w:val="center"/>
          </w:tcPr>
          <w:p w14:paraId="3EB9C65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1250</w:t>
            </w:r>
          </w:p>
        </w:tc>
        <w:tc>
          <w:tcPr>
            <w:tcW w:w="798" w:type="dxa"/>
            <w:shd w:val="clear" w:color="auto" w:fill="auto"/>
            <w:vAlign w:val="center"/>
          </w:tcPr>
          <w:p w14:paraId="77FB24F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1120</w:t>
            </w:r>
          </w:p>
        </w:tc>
        <w:tc>
          <w:tcPr>
            <w:tcW w:w="798" w:type="dxa"/>
            <w:shd w:val="clear" w:color="auto" w:fill="auto"/>
            <w:vAlign w:val="center"/>
          </w:tcPr>
          <w:p w14:paraId="78C6E3E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1120</w:t>
            </w:r>
          </w:p>
        </w:tc>
        <w:tc>
          <w:tcPr>
            <w:tcW w:w="798" w:type="dxa"/>
            <w:shd w:val="clear" w:color="auto" w:fill="auto"/>
            <w:vAlign w:val="center"/>
          </w:tcPr>
          <w:p w14:paraId="01215D8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811.5</w:t>
            </w:r>
          </w:p>
        </w:tc>
        <w:tc>
          <w:tcPr>
            <w:tcW w:w="798" w:type="dxa"/>
            <w:shd w:val="clear" w:color="auto" w:fill="auto"/>
            <w:vAlign w:val="center"/>
          </w:tcPr>
          <w:p w14:paraId="780E94D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811.5</w:t>
            </w:r>
          </w:p>
        </w:tc>
        <w:tc>
          <w:tcPr>
            <w:tcW w:w="798" w:type="dxa"/>
            <w:shd w:val="clear" w:color="auto" w:fill="auto"/>
            <w:vAlign w:val="center"/>
          </w:tcPr>
          <w:p w14:paraId="62717CF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708.5</w:t>
            </w:r>
          </w:p>
        </w:tc>
        <w:tc>
          <w:tcPr>
            <w:tcW w:w="790" w:type="dxa"/>
            <w:shd w:val="clear" w:color="auto" w:fill="auto"/>
            <w:vAlign w:val="center"/>
          </w:tcPr>
          <w:p w14:paraId="36D3C1D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708.5</w:t>
            </w:r>
          </w:p>
        </w:tc>
      </w:tr>
      <w:tr w:rsidR="00235309" w:rsidRPr="00765F6E" w14:paraId="5F8680F9" w14:textId="77777777" w:rsidTr="00871D47">
        <w:trPr>
          <w:trHeight w:val="176"/>
          <w:jc w:val="center"/>
        </w:trPr>
        <w:tc>
          <w:tcPr>
            <w:tcW w:w="799" w:type="dxa"/>
            <w:shd w:val="clear" w:color="auto" w:fill="auto"/>
            <w:vAlign w:val="center"/>
          </w:tcPr>
          <w:p w14:paraId="25CE807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7E22D00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1800</w:t>
            </w:r>
          </w:p>
        </w:tc>
        <w:tc>
          <w:tcPr>
            <w:tcW w:w="798" w:type="dxa"/>
            <w:shd w:val="clear" w:color="auto" w:fill="auto"/>
            <w:vAlign w:val="center"/>
          </w:tcPr>
          <w:p w14:paraId="1894BB3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1130</w:t>
            </w:r>
          </w:p>
        </w:tc>
        <w:tc>
          <w:tcPr>
            <w:tcW w:w="798" w:type="dxa"/>
            <w:shd w:val="clear" w:color="auto" w:fill="auto"/>
            <w:vAlign w:val="center"/>
          </w:tcPr>
          <w:p w14:paraId="1CDE4EC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520</w:t>
            </w:r>
          </w:p>
        </w:tc>
        <w:tc>
          <w:tcPr>
            <w:tcW w:w="798" w:type="dxa"/>
            <w:shd w:val="clear" w:color="auto" w:fill="auto"/>
            <w:vAlign w:val="center"/>
          </w:tcPr>
          <w:p w14:paraId="1781B59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520</w:t>
            </w:r>
          </w:p>
        </w:tc>
        <w:tc>
          <w:tcPr>
            <w:tcW w:w="798" w:type="dxa"/>
            <w:shd w:val="clear" w:color="auto" w:fill="auto"/>
            <w:vAlign w:val="center"/>
          </w:tcPr>
          <w:p w14:paraId="66200E4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234</w:t>
            </w:r>
          </w:p>
        </w:tc>
        <w:tc>
          <w:tcPr>
            <w:tcW w:w="798" w:type="dxa"/>
            <w:shd w:val="clear" w:color="auto" w:fill="auto"/>
            <w:vAlign w:val="center"/>
          </w:tcPr>
          <w:p w14:paraId="76D0FBB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234</w:t>
            </w:r>
          </w:p>
        </w:tc>
        <w:tc>
          <w:tcPr>
            <w:tcW w:w="798" w:type="dxa"/>
            <w:shd w:val="clear" w:color="auto" w:fill="auto"/>
            <w:vAlign w:val="center"/>
          </w:tcPr>
          <w:p w14:paraId="4A552BE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170</w:t>
            </w:r>
          </w:p>
        </w:tc>
        <w:tc>
          <w:tcPr>
            <w:tcW w:w="798" w:type="dxa"/>
            <w:shd w:val="clear" w:color="auto" w:fill="auto"/>
            <w:vAlign w:val="center"/>
          </w:tcPr>
          <w:p w14:paraId="40819B4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170</w:t>
            </w:r>
          </w:p>
        </w:tc>
        <w:tc>
          <w:tcPr>
            <w:tcW w:w="798" w:type="dxa"/>
            <w:shd w:val="clear" w:color="auto" w:fill="auto"/>
            <w:vAlign w:val="center"/>
          </w:tcPr>
          <w:p w14:paraId="472EB74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shd w:val="clear" w:color="auto" w:fill="auto"/>
            <w:vAlign w:val="center"/>
          </w:tcPr>
          <w:p w14:paraId="6639F96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0" w:type="dxa"/>
            <w:shd w:val="clear" w:color="auto" w:fill="auto"/>
            <w:vAlign w:val="center"/>
          </w:tcPr>
          <w:p w14:paraId="5920EF3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-28</w:t>
            </w:r>
          </w:p>
        </w:tc>
      </w:tr>
      <w:tr w:rsidR="00235309" w:rsidRPr="00765F6E" w14:paraId="774B47E4" w14:textId="77777777" w:rsidTr="00871D47">
        <w:trPr>
          <w:trHeight w:val="176"/>
          <w:jc w:val="center"/>
        </w:trPr>
        <w:tc>
          <w:tcPr>
            <w:tcW w:w="799" w:type="dxa"/>
            <w:shd w:val="clear" w:color="auto" w:fill="auto"/>
            <w:vAlign w:val="center"/>
          </w:tcPr>
          <w:p w14:paraId="460EC8C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vAlign w:val="center"/>
          </w:tcPr>
          <w:p w14:paraId="4039E2A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22</w:t>
            </w:r>
          </w:p>
        </w:tc>
        <w:tc>
          <w:tcPr>
            <w:tcW w:w="798" w:type="dxa"/>
            <w:shd w:val="clear" w:color="auto" w:fill="auto"/>
            <w:vAlign w:val="center"/>
          </w:tcPr>
          <w:p w14:paraId="07B8B80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23</w:t>
            </w:r>
          </w:p>
        </w:tc>
        <w:tc>
          <w:tcPr>
            <w:tcW w:w="798" w:type="dxa"/>
            <w:shd w:val="clear" w:color="auto" w:fill="auto"/>
            <w:vAlign w:val="center"/>
          </w:tcPr>
          <w:p w14:paraId="5479719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24</w:t>
            </w:r>
          </w:p>
        </w:tc>
        <w:tc>
          <w:tcPr>
            <w:tcW w:w="798" w:type="dxa"/>
            <w:shd w:val="clear" w:color="auto" w:fill="auto"/>
            <w:vAlign w:val="center"/>
          </w:tcPr>
          <w:p w14:paraId="520851E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25</w:t>
            </w:r>
          </w:p>
        </w:tc>
        <w:tc>
          <w:tcPr>
            <w:tcW w:w="798" w:type="dxa"/>
            <w:shd w:val="clear" w:color="auto" w:fill="auto"/>
            <w:vAlign w:val="center"/>
          </w:tcPr>
          <w:p w14:paraId="243BCC4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26</w:t>
            </w:r>
          </w:p>
        </w:tc>
        <w:tc>
          <w:tcPr>
            <w:tcW w:w="798" w:type="dxa"/>
            <w:shd w:val="clear" w:color="auto" w:fill="auto"/>
            <w:vAlign w:val="center"/>
          </w:tcPr>
          <w:p w14:paraId="2518E88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27</w:t>
            </w:r>
          </w:p>
        </w:tc>
        <w:tc>
          <w:tcPr>
            <w:tcW w:w="798" w:type="dxa"/>
            <w:shd w:val="clear" w:color="auto" w:fill="auto"/>
            <w:vAlign w:val="center"/>
          </w:tcPr>
          <w:p w14:paraId="479D855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28</w:t>
            </w:r>
          </w:p>
        </w:tc>
        <w:tc>
          <w:tcPr>
            <w:tcW w:w="798" w:type="dxa"/>
            <w:shd w:val="clear" w:color="auto" w:fill="auto"/>
            <w:vAlign w:val="center"/>
          </w:tcPr>
          <w:p w14:paraId="011155F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0s</w:t>
            </w:r>
          </w:p>
        </w:tc>
        <w:tc>
          <w:tcPr>
            <w:tcW w:w="798" w:type="dxa"/>
            <w:shd w:val="clear" w:color="auto" w:fill="auto"/>
            <w:vAlign w:val="center"/>
          </w:tcPr>
          <w:p w14:paraId="111AB14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1s</w:t>
            </w:r>
          </w:p>
        </w:tc>
        <w:tc>
          <w:tcPr>
            <w:tcW w:w="798" w:type="dxa"/>
            <w:shd w:val="clear" w:color="auto" w:fill="auto"/>
            <w:vAlign w:val="center"/>
          </w:tcPr>
          <w:p w14:paraId="480FC98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2s</w:t>
            </w:r>
          </w:p>
        </w:tc>
        <w:tc>
          <w:tcPr>
            <w:tcW w:w="790" w:type="dxa"/>
            <w:shd w:val="clear" w:color="auto" w:fill="auto"/>
            <w:vAlign w:val="center"/>
          </w:tcPr>
          <w:p w14:paraId="20B267F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3s</w:t>
            </w:r>
          </w:p>
        </w:tc>
      </w:tr>
      <w:tr w:rsidR="00235309" w:rsidRPr="00765F6E" w14:paraId="29F101E9" w14:textId="77777777" w:rsidTr="00871D47">
        <w:trPr>
          <w:trHeight w:val="176"/>
          <w:jc w:val="center"/>
        </w:trPr>
        <w:tc>
          <w:tcPr>
            <w:tcW w:w="799" w:type="dxa"/>
            <w:shd w:val="clear" w:color="auto" w:fill="auto"/>
            <w:vAlign w:val="center"/>
          </w:tcPr>
          <w:p w14:paraId="1E11FBE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vAlign w:val="center"/>
          </w:tcPr>
          <w:p w14:paraId="32F8989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676.5</w:t>
            </w:r>
          </w:p>
        </w:tc>
        <w:tc>
          <w:tcPr>
            <w:tcW w:w="798" w:type="dxa"/>
            <w:shd w:val="clear" w:color="auto" w:fill="auto"/>
            <w:vAlign w:val="center"/>
          </w:tcPr>
          <w:p w14:paraId="0601C48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676.5</w:t>
            </w:r>
          </w:p>
        </w:tc>
        <w:tc>
          <w:tcPr>
            <w:tcW w:w="798" w:type="dxa"/>
            <w:shd w:val="clear" w:color="auto" w:fill="auto"/>
            <w:vAlign w:val="center"/>
          </w:tcPr>
          <w:p w14:paraId="0CDC237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626</w:t>
            </w:r>
          </w:p>
        </w:tc>
        <w:tc>
          <w:tcPr>
            <w:tcW w:w="798" w:type="dxa"/>
            <w:shd w:val="clear" w:color="auto" w:fill="auto"/>
            <w:vAlign w:val="center"/>
          </w:tcPr>
          <w:p w14:paraId="7449523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626</w:t>
            </w:r>
          </w:p>
        </w:tc>
        <w:tc>
          <w:tcPr>
            <w:tcW w:w="798" w:type="dxa"/>
            <w:shd w:val="clear" w:color="auto" w:fill="auto"/>
            <w:vAlign w:val="center"/>
          </w:tcPr>
          <w:p w14:paraId="3BE3D47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450</w:t>
            </w:r>
          </w:p>
        </w:tc>
        <w:tc>
          <w:tcPr>
            <w:tcW w:w="798" w:type="dxa"/>
            <w:shd w:val="clear" w:color="auto" w:fill="auto"/>
            <w:vAlign w:val="center"/>
          </w:tcPr>
          <w:p w14:paraId="2E5B5E0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450</w:t>
            </w:r>
          </w:p>
        </w:tc>
        <w:tc>
          <w:tcPr>
            <w:tcW w:w="798" w:type="dxa"/>
            <w:shd w:val="clear" w:color="auto" w:fill="auto"/>
            <w:vAlign w:val="center"/>
          </w:tcPr>
          <w:p w14:paraId="0234241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shd w:val="clear" w:color="auto" w:fill="auto"/>
            <w:vAlign w:val="center"/>
          </w:tcPr>
          <w:p w14:paraId="25595A8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shd w:val="clear" w:color="auto" w:fill="auto"/>
            <w:vAlign w:val="center"/>
          </w:tcPr>
          <w:p w14:paraId="6FF1B9A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208</w:t>
            </w:r>
          </w:p>
        </w:tc>
        <w:tc>
          <w:tcPr>
            <w:tcW w:w="798" w:type="dxa"/>
            <w:shd w:val="clear" w:color="auto" w:fill="auto"/>
            <w:vAlign w:val="center"/>
          </w:tcPr>
          <w:p w14:paraId="276CA57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415</w:t>
            </w:r>
          </w:p>
        </w:tc>
        <w:tc>
          <w:tcPr>
            <w:tcW w:w="790" w:type="dxa"/>
            <w:shd w:val="clear" w:color="auto" w:fill="auto"/>
            <w:vAlign w:val="center"/>
          </w:tcPr>
          <w:p w14:paraId="0E13D57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515</w:t>
            </w:r>
          </w:p>
        </w:tc>
      </w:tr>
      <w:tr w:rsidR="00235309" w:rsidRPr="00765F6E" w14:paraId="16BE8FBA" w14:textId="77777777" w:rsidTr="00871D47">
        <w:trPr>
          <w:trHeight w:val="176"/>
          <w:jc w:val="center"/>
        </w:trPr>
        <w:tc>
          <w:tcPr>
            <w:tcW w:w="799" w:type="dxa"/>
            <w:shd w:val="clear" w:color="auto" w:fill="auto"/>
            <w:vAlign w:val="center"/>
          </w:tcPr>
          <w:p w14:paraId="1DE30CA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2A6947A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-28</w:t>
            </w:r>
          </w:p>
        </w:tc>
        <w:tc>
          <w:tcPr>
            <w:tcW w:w="798" w:type="dxa"/>
            <w:shd w:val="clear" w:color="auto" w:fill="auto"/>
            <w:vAlign w:val="center"/>
          </w:tcPr>
          <w:p w14:paraId="23EF65A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160</w:t>
            </w:r>
          </w:p>
        </w:tc>
        <w:tc>
          <w:tcPr>
            <w:tcW w:w="798" w:type="dxa"/>
            <w:shd w:val="clear" w:color="auto" w:fill="auto"/>
            <w:vAlign w:val="center"/>
          </w:tcPr>
          <w:p w14:paraId="321AAAA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160</w:t>
            </w:r>
          </w:p>
        </w:tc>
        <w:tc>
          <w:tcPr>
            <w:tcW w:w="798" w:type="dxa"/>
            <w:shd w:val="clear" w:color="auto" w:fill="auto"/>
            <w:vAlign w:val="center"/>
          </w:tcPr>
          <w:p w14:paraId="4411A85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95</w:t>
            </w:r>
          </w:p>
        </w:tc>
        <w:tc>
          <w:tcPr>
            <w:tcW w:w="798" w:type="dxa"/>
            <w:shd w:val="clear" w:color="auto" w:fill="auto"/>
            <w:vAlign w:val="center"/>
          </w:tcPr>
          <w:p w14:paraId="74745CC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95</w:t>
            </w:r>
          </w:p>
        </w:tc>
        <w:tc>
          <w:tcPr>
            <w:tcW w:w="798" w:type="dxa"/>
            <w:shd w:val="clear" w:color="auto" w:fill="auto"/>
            <w:vAlign w:val="center"/>
          </w:tcPr>
          <w:p w14:paraId="2F19626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160</w:t>
            </w:r>
          </w:p>
        </w:tc>
        <w:tc>
          <w:tcPr>
            <w:tcW w:w="798" w:type="dxa"/>
            <w:shd w:val="clear" w:color="auto" w:fill="auto"/>
            <w:vAlign w:val="center"/>
          </w:tcPr>
          <w:p w14:paraId="7BE1680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160</w:t>
            </w:r>
          </w:p>
        </w:tc>
        <w:tc>
          <w:tcPr>
            <w:tcW w:w="798" w:type="dxa"/>
            <w:shd w:val="clear" w:color="auto" w:fill="auto"/>
            <w:vAlign w:val="center"/>
          </w:tcPr>
          <w:p w14:paraId="1160C77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5000</w:t>
            </w:r>
          </w:p>
        </w:tc>
        <w:tc>
          <w:tcPr>
            <w:tcW w:w="798" w:type="dxa"/>
            <w:shd w:val="clear" w:color="auto" w:fill="auto"/>
            <w:vAlign w:val="center"/>
          </w:tcPr>
          <w:p w14:paraId="48D1AC1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4998</w:t>
            </w:r>
          </w:p>
        </w:tc>
        <w:tc>
          <w:tcPr>
            <w:tcW w:w="798" w:type="dxa"/>
            <w:shd w:val="clear" w:color="auto" w:fill="auto"/>
            <w:vAlign w:val="center"/>
          </w:tcPr>
          <w:p w14:paraId="2EC422E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4992</w:t>
            </w:r>
          </w:p>
        </w:tc>
        <w:tc>
          <w:tcPr>
            <w:tcW w:w="790" w:type="dxa"/>
            <w:shd w:val="clear" w:color="auto" w:fill="auto"/>
            <w:vAlign w:val="center"/>
          </w:tcPr>
          <w:p w14:paraId="357CFB3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4982</w:t>
            </w:r>
          </w:p>
        </w:tc>
      </w:tr>
      <w:tr w:rsidR="00235309" w:rsidRPr="00765F6E" w14:paraId="07D1742E" w14:textId="77777777" w:rsidTr="00871D47">
        <w:trPr>
          <w:trHeight w:val="176"/>
          <w:jc w:val="center"/>
        </w:trPr>
        <w:tc>
          <w:tcPr>
            <w:tcW w:w="799" w:type="dxa"/>
            <w:shd w:val="clear" w:color="auto" w:fill="auto"/>
            <w:vAlign w:val="center"/>
          </w:tcPr>
          <w:p w14:paraId="279C9A2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vAlign w:val="center"/>
          </w:tcPr>
          <w:p w14:paraId="3DD1A95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4s</w:t>
            </w:r>
          </w:p>
        </w:tc>
        <w:tc>
          <w:tcPr>
            <w:tcW w:w="798" w:type="dxa"/>
            <w:shd w:val="clear" w:color="auto" w:fill="auto"/>
            <w:vAlign w:val="center"/>
          </w:tcPr>
          <w:p w14:paraId="2F5B82F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5s</w:t>
            </w:r>
          </w:p>
        </w:tc>
        <w:tc>
          <w:tcPr>
            <w:tcW w:w="798" w:type="dxa"/>
            <w:shd w:val="clear" w:color="auto" w:fill="auto"/>
            <w:vAlign w:val="center"/>
          </w:tcPr>
          <w:p w14:paraId="64BD302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6s</w:t>
            </w:r>
          </w:p>
        </w:tc>
        <w:tc>
          <w:tcPr>
            <w:tcW w:w="798" w:type="dxa"/>
            <w:shd w:val="clear" w:color="auto" w:fill="auto"/>
            <w:vAlign w:val="center"/>
          </w:tcPr>
          <w:p w14:paraId="48EE096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7s</w:t>
            </w:r>
          </w:p>
        </w:tc>
        <w:tc>
          <w:tcPr>
            <w:tcW w:w="798" w:type="dxa"/>
            <w:shd w:val="clear" w:color="auto" w:fill="auto"/>
            <w:vAlign w:val="center"/>
          </w:tcPr>
          <w:p w14:paraId="6EEAE90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8s</w:t>
            </w:r>
          </w:p>
        </w:tc>
        <w:tc>
          <w:tcPr>
            <w:tcW w:w="798" w:type="dxa"/>
            <w:shd w:val="clear" w:color="auto" w:fill="auto"/>
            <w:vAlign w:val="center"/>
          </w:tcPr>
          <w:p w14:paraId="44FB08D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9s</w:t>
            </w:r>
          </w:p>
        </w:tc>
        <w:tc>
          <w:tcPr>
            <w:tcW w:w="798" w:type="dxa"/>
            <w:shd w:val="clear" w:color="auto" w:fill="auto"/>
            <w:vAlign w:val="center"/>
          </w:tcPr>
          <w:p w14:paraId="6D8DE7D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10s</w:t>
            </w:r>
          </w:p>
        </w:tc>
        <w:tc>
          <w:tcPr>
            <w:tcW w:w="798" w:type="dxa"/>
            <w:shd w:val="clear" w:color="auto" w:fill="auto"/>
            <w:vAlign w:val="center"/>
          </w:tcPr>
          <w:p w14:paraId="7804A3A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vAlign w:val="center"/>
          </w:tcPr>
          <w:p w14:paraId="650761D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vAlign w:val="center"/>
          </w:tcPr>
          <w:p w14:paraId="674127A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shd w:val="clear" w:color="auto" w:fill="auto"/>
            <w:vAlign w:val="center"/>
          </w:tcPr>
          <w:p w14:paraId="499C2F5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6D68159F" w14:textId="77777777" w:rsidTr="00871D47">
        <w:trPr>
          <w:trHeight w:val="176"/>
          <w:jc w:val="center"/>
        </w:trPr>
        <w:tc>
          <w:tcPr>
            <w:tcW w:w="799" w:type="dxa"/>
            <w:shd w:val="clear" w:color="auto" w:fill="auto"/>
            <w:vAlign w:val="center"/>
          </w:tcPr>
          <w:p w14:paraId="0962AC1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vAlign w:val="center"/>
          </w:tcPr>
          <w:p w14:paraId="29704AE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642</w:t>
            </w:r>
          </w:p>
        </w:tc>
        <w:tc>
          <w:tcPr>
            <w:tcW w:w="798" w:type="dxa"/>
            <w:shd w:val="clear" w:color="auto" w:fill="auto"/>
            <w:vAlign w:val="center"/>
          </w:tcPr>
          <w:p w14:paraId="53F6D01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720</w:t>
            </w:r>
          </w:p>
        </w:tc>
        <w:tc>
          <w:tcPr>
            <w:tcW w:w="798" w:type="dxa"/>
            <w:shd w:val="clear" w:color="auto" w:fill="auto"/>
            <w:vAlign w:val="center"/>
          </w:tcPr>
          <w:p w14:paraId="3E990CF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790</w:t>
            </w:r>
          </w:p>
        </w:tc>
        <w:tc>
          <w:tcPr>
            <w:tcW w:w="798" w:type="dxa"/>
            <w:shd w:val="clear" w:color="auto" w:fill="auto"/>
            <w:vAlign w:val="center"/>
          </w:tcPr>
          <w:p w14:paraId="1092618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954</w:t>
            </w:r>
          </w:p>
        </w:tc>
        <w:tc>
          <w:tcPr>
            <w:tcW w:w="798" w:type="dxa"/>
            <w:shd w:val="clear" w:color="auto" w:fill="auto"/>
            <w:vAlign w:val="center"/>
          </w:tcPr>
          <w:p w14:paraId="5AB53C8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970</w:t>
            </w:r>
          </w:p>
        </w:tc>
        <w:tc>
          <w:tcPr>
            <w:tcW w:w="798" w:type="dxa"/>
            <w:shd w:val="clear" w:color="auto" w:fill="auto"/>
            <w:vAlign w:val="center"/>
          </w:tcPr>
          <w:p w14:paraId="75E107B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975</w:t>
            </w:r>
          </w:p>
        </w:tc>
        <w:tc>
          <w:tcPr>
            <w:tcW w:w="798" w:type="dxa"/>
            <w:shd w:val="clear" w:color="auto" w:fill="auto"/>
            <w:vAlign w:val="center"/>
          </w:tcPr>
          <w:p w14:paraId="54F232E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975</w:t>
            </w:r>
          </w:p>
        </w:tc>
        <w:tc>
          <w:tcPr>
            <w:tcW w:w="798" w:type="dxa"/>
            <w:shd w:val="clear" w:color="auto" w:fill="auto"/>
            <w:vAlign w:val="center"/>
          </w:tcPr>
          <w:p w14:paraId="6A96A02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vAlign w:val="center"/>
          </w:tcPr>
          <w:p w14:paraId="2F8ADDC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vAlign w:val="center"/>
          </w:tcPr>
          <w:p w14:paraId="7D6AB41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shd w:val="clear" w:color="auto" w:fill="auto"/>
            <w:vAlign w:val="center"/>
          </w:tcPr>
          <w:p w14:paraId="018BDB4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77506A0C" w14:textId="77777777" w:rsidTr="00871D47">
        <w:trPr>
          <w:trHeight w:val="176"/>
          <w:jc w:val="center"/>
        </w:trPr>
        <w:tc>
          <w:tcPr>
            <w:tcW w:w="799" w:type="dxa"/>
            <w:tcBorders>
              <w:bottom w:val="single" w:sz="8" w:space="0" w:color="auto"/>
            </w:tcBorders>
            <w:shd w:val="clear" w:color="auto" w:fill="auto"/>
            <w:vAlign w:val="center"/>
          </w:tcPr>
          <w:p w14:paraId="4D12650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tcBorders>
              <w:bottom w:val="single" w:sz="8" w:space="0" w:color="auto"/>
            </w:tcBorders>
            <w:shd w:val="clear" w:color="auto" w:fill="auto"/>
            <w:vAlign w:val="center"/>
          </w:tcPr>
          <w:p w14:paraId="55B9C07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4963</w:t>
            </w:r>
          </w:p>
        </w:tc>
        <w:tc>
          <w:tcPr>
            <w:tcW w:w="798" w:type="dxa"/>
            <w:tcBorders>
              <w:bottom w:val="single" w:sz="8" w:space="0" w:color="auto"/>
            </w:tcBorders>
            <w:shd w:val="clear" w:color="auto" w:fill="auto"/>
            <w:vAlign w:val="center"/>
          </w:tcPr>
          <w:p w14:paraId="521A4F2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4940</w:t>
            </w:r>
          </w:p>
        </w:tc>
        <w:tc>
          <w:tcPr>
            <w:tcW w:w="798" w:type="dxa"/>
            <w:tcBorders>
              <w:bottom w:val="single" w:sz="8" w:space="0" w:color="auto"/>
            </w:tcBorders>
            <w:shd w:val="clear" w:color="auto" w:fill="auto"/>
            <w:vAlign w:val="center"/>
          </w:tcPr>
          <w:p w14:paraId="565C746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4896</w:t>
            </w:r>
          </w:p>
        </w:tc>
        <w:tc>
          <w:tcPr>
            <w:tcW w:w="798" w:type="dxa"/>
            <w:tcBorders>
              <w:bottom w:val="single" w:sz="8" w:space="0" w:color="auto"/>
            </w:tcBorders>
            <w:shd w:val="clear" w:color="auto" w:fill="auto"/>
            <w:vAlign w:val="center"/>
          </w:tcPr>
          <w:p w14:paraId="33EA3AF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4758</w:t>
            </w:r>
          </w:p>
        </w:tc>
        <w:tc>
          <w:tcPr>
            <w:tcW w:w="798" w:type="dxa"/>
            <w:tcBorders>
              <w:bottom w:val="single" w:sz="8" w:space="0" w:color="auto"/>
            </w:tcBorders>
            <w:shd w:val="clear" w:color="auto" w:fill="auto"/>
            <w:vAlign w:val="center"/>
          </w:tcPr>
          <w:p w14:paraId="3BE5856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4738</w:t>
            </w:r>
          </w:p>
        </w:tc>
        <w:tc>
          <w:tcPr>
            <w:tcW w:w="798" w:type="dxa"/>
            <w:tcBorders>
              <w:bottom w:val="single" w:sz="8" w:space="0" w:color="auto"/>
            </w:tcBorders>
            <w:shd w:val="clear" w:color="auto" w:fill="auto"/>
            <w:vAlign w:val="center"/>
          </w:tcPr>
          <w:p w14:paraId="6F3C830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4714</w:t>
            </w:r>
          </w:p>
        </w:tc>
        <w:tc>
          <w:tcPr>
            <w:tcW w:w="798" w:type="dxa"/>
            <w:tcBorders>
              <w:bottom w:val="single" w:sz="8" w:space="0" w:color="auto"/>
            </w:tcBorders>
            <w:shd w:val="clear" w:color="auto" w:fill="auto"/>
            <w:vAlign w:val="center"/>
          </w:tcPr>
          <w:p w14:paraId="7F7CB5D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4632</w:t>
            </w:r>
          </w:p>
        </w:tc>
        <w:tc>
          <w:tcPr>
            <w:tcW w:w="798" w:type="dxa"/>
            <w:tcBorders>
              <w:bottom w:val="single" w:sz="8" w:space="0" w:color="auto"/>
            </w:tcBorders>
            <w:shd w:val="clear" w:color="auto" w:fill="auto"/>
            <w:vAlign w:val="center"/>
          </w:tcPr>
          <w:p w14:paraId="6E588F0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bottom w:val="single" w:sz="8" w:space="0" w:color="auto"/>
            </w:tcBorders>
            <w:shd w:val="clear" w:color="auto" w:fill="auto"/>
            <w:vAlign w:val="center"/>
          </w:tcPr>
          <w:p w14:paraId="567514D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bottom w:val="single" w:sz="8" w:space="0" w:color="auto"/>
            </w:tcBorders>
            <w:shd w:val="clear" w:color="auto" w:fill="auto"/>
            <w:vAlign w:val="center"/>
          </w:tcPr>
          <w:p w14:paraId="64ACF5E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tcBorders>
              <w:bottom w:val="single" w:sz="8" w:space="0" w:color="auto"/>
            </w:tcBorders>
            <w:shd w:val="clear" w:color="auto" w:fill="auto"/>
            <w:vAlign w:val="center"/>
          </w:tcPr>
          <w:p w14:paraId="5A61DC6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4535505E" w14:textId="77777777" w:rsidTr="00871D47">
        <w:trPr>
          <w:trHeight w:val="176"/>
          <w:jc w:val="center"/>
        </w:trPr>
        <w:tc>
          <w:tcPr>
            <w:tcW w:w="9570" w:type="dxa"/>
            <w:gridSpan w:val="12"/>
            <w:tcBorders>
              <w:top w:val="single" w:sz="8" w:space="0" w:color="auto"/>
              <w:bottom w:val="single" w:sz="8" w:space="0" w:color="auto"/>
            </w:tcBorders>
            <w:shd w:val="clear" w:color="auto" w:fill="auto"/>
            <w:vAlign w:val="center"/>
          </w:tcPr>
          <w:p w14:paraId="63015561" w14:textId="5FC2D3E2" w:rsidR="00235309" w:rsidRPr="00765F6E" w:rsidRDefault="00235309" w:rsidP="00235309">
            <w:pPr>
              <w:pStyle w:val="afff2"/>
              <w:ind w:left="584"/>
            </w:pPr>
            <w:r w:rsidRPr="00765F6E">
              <w:t>0s</w:t>
            </w:r>
            <w:r w:rsidR="00E9135F">
              <w:rPr>
                <w:rFonts w:hAnsi="宋体" w:hint="eastAsia"/>
              </w:rPr>
              <w:t>～</w:t>
            </w:r>
            <w:r w:rsidRPr="00765F6E">
              <w:t>10s为受电弓轮廓。</w:t>
            </w:r>
          </w:p>
        </w:tc>
      </w:tr>
    </w:tbl>
    <w:p w14:paraId="2958EFBB"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p>
    <w:p w14:paraId="53F19AA5" w14:textId="77777777" w:rsidR="00235309" w:rsidRPr="00765F6E" w:rsidRDefault="00235309" w:rsidP="00235309">
      <w:pPr>
        <w:pStyle w:val="aff0"/>
        <w:spacing w:before="120" w:after="120"/>
      </w:pPr>
      <w:r w:rsidRPr="00765F6E">
        <w:rPr>
          <w:rFonts w:hint="eastAsia"/>
        </w:rPr>
        <w:t>车辆限界坐标点</w:t>
      </w:r>
    </w:p>
    <w:p w14:paraId="76C6913E" w14:textId="77777777" w:rsidR="00235309" w:rsidRPr="00765F6E" w:rsidRDefault="00235309" w:rsidP="00235309">
      <w:pPr>
        <w:pStyle w:val="affffb"/>
        <w:spacing w:before="120" w:after="120"/>
        <w:ind w:firstLine="360"/>
        <w:jc w:val="right"/>
        <w:rPr>
          <w:rFonts w:asciiTheme="minorEastAsia" w:eastAsiaTheme="minorEastAsia" w:hAnsiTheme="minorEastAsia"/>
          <w:sz w:val="18"/>
        </w:rPr>
      </w:pPr>
      <w:r w:rsidRPr="00765F6E">
        <w:rPr>
          <w:rFonts w:asciiTheme="minorEastAsia" w:eastAsiaTheme="minorEastAsia" w:hAnsiTheme="minorEastAsia" w:hint="eastAsia"/>
          <w:sz w:val="18"/>
        </w:rPr>
        <w:t>单位为毫米</w:t>
      </w:r>
    </w:p>
    <w:tbl>
      <w:tblPr>
        <w:tblW w:w="957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99"/>
        <w:gridCol w:w="799"/>
        <w:gridCol w:w="798"/>
        <w:gridCol w:w="798"/>
        <w:gridCol w:w="798"/>
        <w:gridCol w:w="798"/>
        <w:gridCol w:w="798"/>
        <w:gridCol w:w="798"/>
        <w:gridCol w:w="798"/>
        <w:gridCol w:w="798"/>
        <w:gridCol w:w="798"/>
        <w:gridCol w:w="790"/>
      </w:tblGrid>
      <w:tr w:rsidR="00235309" w:rsidRPr="00765F6E" w14:paraId="07F049B0" w14:textId="77777777" w:rsidTr="00871D47">
        <w:trPr>
          <w:trHeight w:val="176"/>
          <w:jc w:val="center"/>
        </w:trPr>
        <w:tc>
          <w:tcPr>
            <w:tcW w:w="799" w:type="dxa"/>
            <w:tcBorders>
              <w:top w:val="single" w:sz="8" w:space="0" w:color="auto"/>
              <w:bottom w:val="single" w:sz="8" w:space="0" w:color="auto"/>
            </w:tcBorders>
            <w:shd w:val="clear" w:color="auto" w:fill="auto"/>
            <w:vAlign w:val="center"/>
          </w:tcPr>
          <w:p w14:paraId="3ABEE78B" w14:textId="77777777" w:rsidR="00235309" w:rsidRPr="00765F6E" w:rsidRDefault="00235309" w:rsidP="00871D47">
            <w:pPr>
              <w:widowControl/>
              <w:spacing w:line="240" w:lineRule="auto"/>
              <w:jc w:val="center"/>
              <w:rPr>
                <w:rFonts w:ascii="宋体" w:hAnsi="宋体" w:cs="宋体"/>
                <w:kern w:val="0"/>
                <w:sz w:val="18"/>
                <w:szCs w:val="18"/>
              </w:rPr>
            </w:pPr>
            <w:bookmarkStart w:id="3869" w:name="_Hlk144383802"/>
            <w:r w:rsidRPr="00765F6E">
              <w:rPr>
                <w:rFonts w:ascii="宋体" w:hAnsi="宋体" w:cs="宋体" w:hint="eastAsia"/>
                <w:kern w:val="0"/>
                <w:sz w:val="18"/>
                <w:szCs w:val="18"/>
              </w:rPr>
              <w:t>序号</w:t>
            </w:r>
          </w:p>
        </w:tc>
        <w:tc>
          <w:tcPr>
            <w:tcW w:w="799" w:type="dxa"/>
            <w:tcBorders>
              <w:top w:val="single" w:sz="8" w:space="0" w:color="auto"/>
              <w:bottom w:val="single" w:sz="8" w:space="0" w:color="auto"/>
            </w:tcBorders>
            <w:shd w:val="clear" w:color="auto" w:fill="auto"/>
            <w:vAlign w:val="center"/>
          </w:tcPr>
          <w:p w14:paraId="48C5884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bottom w:val="single" w:sz="8" w:space="0" w:color="auto"/>
            </w:tcBorders>
            <w:shd w:val="clear" w:color="auto" w:fill="auto"/>
            <w:vAlign w:val="center"/>
          </w:tcPr>
          <w:p w14:paraId="5D08E76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p>
        </w:tc>
        <w:tc>
          <w:tcPr>
            <w:tcW w:w="798" w:type="dxa"/>
            <w:tcBorders>
              <w:top w:val="single" w:sz="8" w:space="0" w:color="auto"/>
              <w:bottom w:val="single" w:sz="8" w:space="0" w:color="auto"/>
            </w:tcBorders>
            <w:shd w:val="clear" w:color="auto" w:fill="auto"/>
            <w:vAlign w:val="center"/>
          </w:tcPr>
          <w:p w14:paraId="39A2205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p>
        </w:tc>
        <w:tc>
          <w:tcPr>
            <w:tcW w:w="798" w:type="dxa"/>
            <w:tcBorders>
              <w:top w:val="single" w:sz="8" w:space="0" w:color="auto"/>
              <w:bottom w:val="single" w:sz="8" w:space="0" w:color="auto"/>
            </w:tcBorders>
            <w:shd w:val="clear" w:color="auto" w:fill="auto"/>
            <w:vAlign w:val="center"/>
          </w:tcPr>
          <w:p w14:paraId="1BBEFC0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w:t>
            </w:r>
          </w:p>
        </w:tc>
        <w:tc>
          <w:tcPr>
            <w:tcW w:w="798" w:type="dxa"/>
            <w:tcBorders>
              <w:top w:val="single" w:sz="8" w:space="0" w:color="auto"/>
              <w:bottom w:val="single" w:sz="8" w:space="0" w:color="auto"/>
            </w:tcBorders>
            <w:shd w:val="clear" w:color="auto" w:fill="auto"/>
            <w:vAlign w:val="center"/>
          </w:tcPr>
          <w:p w14:paraId="08D847C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p>
        </w:tc>
        <w:tc>
          <w:tcPr>
            <w:tcW w:w="798" w:type="dxa"/>
            <w:tcBorders>
              <w:top w:val="single" w:sz="8" w:space="0" w:color="auto"/>
              <w:bottom w:val="single" w:sz="8" w:space="0" w:color="auto"/>
            </w:tcBorders>
            <w:shd w:val="clear" w:color="auto" w:fill="auto"/>
            <w:vAlign w:val="center"/>
          </w:tcPr>
          <w:p w14:paraId="6C467AF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798" w:type="dxa"/>
            <w:tcBorders>
              <w:top w:val="single" w:sz="8" w:space="0" w:color="auto"/>
              <w:bottom w:val="single" w:sz="8" w:space="0" w:color="auto"/>
            </w:tcBorders>
            <w:shd w:val="clear" w:color="auto" w:fill="auto"/>
            <w:vAlign w:val="center"/>
          </w:tcPr>
          <w:p w14:paraId="66E7BE6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p>
        </w:tc>
        <w:tc>
          <w:tcPr>
            <w:tcW w:w="798" w:type="dxa"/>
            <w:tcBorders>
              <w:top w:val="single" w:sz="8" w:space="0" w:color="auto"/>
              <w:bottom w:val="single" w:sz="8" w:space="0" w:color="auto"/>
            </w:tcBorders>
            <w:shd w:val="clear" w:color="auto" w:fill="auto"/>
            <w:vAlign w:val="center"/>
          </w:tcPr>
          <w:p w14:paraId="6381491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p>
        </w:tc>
        <w:tc>
          <w:tcPr>
            <w:tcW w:w="798" w:type="dxa"/>
            <w:tcBorders>
              <w:top w:val="single" w:sz="8" w:space="0" w:color="auto"/>
              <w:bottom w:val="single" w:sz="8" w:space="0" w:color="auto"/>
            </w:tcBorders>
            <w:shd w:val="clear" w:color="auto" w:fill="auto"/>
            <w:vAlign w:val="center"/>
          </w:tcPr>
          <w:p w14:paraId="71DCF97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98" w:type="dxa"/>
            <w:tcBorders>
              <w:top w:val="single" w:sz="8" w:space="0" w:color="auto"/>
              <w:bottom w:val="single" w:sz="8" w:space="0" w:color="auto"/>
            </w:tcBorders>
            <w:shd w:val="clear" w:color="auto" w:fill="auto"/>
            <w:vAlign w:val="center"/>
          </w:tcPr>
          <w:p w14:paraId="455B912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w:t>
            </w:r>
          </w:p>
        </w:tc>
        <w:tc>
          <w:tcPr>
            <w:tcW w:w="790" w:type="dxa"/>
            <w:tcBorders>
              <w:top w:val="single" w:sz="8" w:space="0" w:color="auto"/>
              <w:bottom w:val="single" w:sz="8" w:space="0" w:color="auto"/>
            </w:tcBorders>
            <w:shd w:val="clear" w:color="auto" w:fill="auto"/>
            <w:vAlign w:val="center"/>
          </w:tcPr>
          <w:p w14:paraId="64DCDBF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r>
      <w:tr w:rsidR="00235309" w:rsidRPr="00765F6E" w14:paraId="221B4827" w14:textId="77777777" w:rsidTr="00871D47">
        <w:trPr>
          <w:trHeight w:val="176"/>
          <w:jc w:val="center"/>
        </w:trPr>
        <w:tc>
          <w:tcPr>
            <w:tcW w:w="799" w:type="dxa"/>
            <w:tcBorders>
              <w:top w:val="single" w:sz="8" w:space="0" w:color="auto"/>
            </w:tcBorders>
            <w:shd w:val="clear" w:color="auto" w:fill="auto"/>
            <w:vAlign w:val="center"/>
          </w:tcPr>
          <w:p w14:paraId="2847911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single" w:sz="8" w:space="0" w:color="auto"/>
            </w:tcBorders>
            <w:shd w:val="clear" w:color="auto" w:fill="auto"/>
            <w:vAlign w:val="center"/>
          </w:tcPr>
          <w:p w14:paraId="5C9538D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0 </w:t>
            </w:r>
          </w:p>
        </w:tc>
        <w:tc>
          <w:tcPr>
            <w:tcW w:w="798" w:type="dxa"/>
            <w:tcBorders>
              <w:top w:val="single" w:sz="8" w:space="0" w:color="auto"/>
            </w:tcBorders>
            <w:shd w:val="clear" w:color="auto" w:fill="auto"/>
            <w:vAlign w:val="center"/>
          </w:tcPr>
          <w:p w14:paraId="63B2F0D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753 </w:t>
            </w:r>
          </w:p>
        </w:tc>
        <w:tc>
          <w:tcPr>
            <w:tcW w:w="798" w:type="dxa"/>
            <w:tcBorders>
              <w:top w:val="single" w:sz="8" w:space="0" w:color="auto"/>
            </w:tcBorders>
            <w:shd w:val="clear" w:color="auto" w:fill="auto"/>
            <w:vAlign w:val="center"/>
          </w:tcPr>
          <w:p w14:paraId="62CD51C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1182 </w:t>
            </w:r>
          </w:p>
        </w:tc>
        <w:tc>
          <w:tcPr>
            <w:tcW w:w="798" w:type="dxa"/>
            <w:tcBorders>
              <w:top w:val="single" w:sz="8" w:space="0" w:color="auto"/>
            </w:tcBorders>
            <w:shd w:val="clear" w:color="auto" w:fill="auto"/>
            <w:vAlign w:val="center"/>
          </w:tcPr>
          <w:p w14:paraId="79C7F11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1239 </w:t>
            </w:r>
          </w:p>
        </w:tc>
        <w:tc>
          <w:tcPr>
            <w:tcW w:w="798" w:type="dxa"/>
            <w:tcBorders>
              <w:top w:val="single" w:sz="8" w:space="0" w:color="auto"/>
            </w:tcBorders>
            <w:shd w:val="clear" w:color="auto" w:fill="auto"/>
            <w:vAlign w:val="center"/>
          </w:tcPr>
          <w:p w14:paraId="06784A4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1498 </w:t>
            </w:r>
          </w:p>
        </w:tc>
        <w:tc>
          <w:tcPr>
            <w:tcW w:w="798" w:type="dxa"/>
            <w:tcBorders>
              <w:top w:val="single" w:sz="8" w:space="0" w:color="auto"/>
            </w:tcBorders>
            <w:shd w:val="clear" w:color="auto" w:fill="auto"/>
            <w:vAlign w:val="center"/>
          </w:tcPr>
          <w:p w14:paraId="4FC77B7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1591 </w:t>
            </w:r>
          </w:p>
        </w:tc>
        <w:tc>
          <w:tcPr>
            <w:tcW w:w="798" w:type="dxa"/>
            <w:tcBorders>
              <w:top w:val="single" w:sz="8" w:space="0" w:color="auto"/>
            </w:tcBorders>
            <w:shd w:val="clear" w:color="auto" w:fill="auto"/>
            <w:vAlign w:val="center"/>
          </w:tcPr>
          <w:p w14:paraId="32D831A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1603 </w:t>
            </w:r>
          </w:p>
        </w:tc>
        <w:tc>
          <w:tcPr>
            <w:tcW w:w="798" w:type="dxa"/>
            <w:tcBorders>
              <w:top w:val="single" w:sz="8" w:space="0" w:color="auto"/>
            </w:tcBorders>
            <w:shd w:val="clear" w:color="auto" w:fill="auto"/>
            <w:vAlign w:val="center"/>
          </w:tcPr>
          <w:p w14:paraId="2AF516E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1607 </w:t>
            </w:r>
          </w:p>
        </w:tc>
        <w:tc>
          <w:tcPr>
            <w:tcW w:w="798" w:type="dxa"/>
            <w:tcBorders>
              <w:top w:val="single" w:sz="8" w:space="0" w:color="auto"/>
            </w:tcBorders>
            <w:shd w:val="clear" w:color="auto" w:fill="auto"/>
            <w:vAlign w:val="center"/>
          </w:tcPr>
          <w:p w14:paraId="177C69D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1662 </w:t>
            </w:r>
          </w:p>
        </w:tc>
        <w:tc>
          <w:tcPr>
            <w:tcW w:w="798" w:type="dxa"/>
            <w:tcBorders>
              <w:top w:val="single" w:sz="8" w:space="0" w:color="auto"/>
            </w:tcBorders>
            <w:shd w:val="clear" w:color="auto" w:fill="auto"/>
            <w:vAlign w:val="center"/>
          </w:tcPr>
          <w:p w14:paraId="1AF559B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1675 </w:t>
            </w:r>
          </w:p>
        </w:tc>
        <w:tc>
          <w:tcPr>
            <w:tcW w:w="790" w:type="dxa"/>
            <w:tcBorders>
              <w:top w:val="single" w:sz="8" w:space="0" w:color="auto"/>
            </w:tcBorders>
            <w:shd w:val="clear" w:color="auto" w:fill="auto"/>
            <w:vAlign w:val="center"/>
          </w:tcPr>
          <w:p w14:paraId="517F779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1697 </w:t>
            </w:r>
          </w:p>
        </w:tc>
      </w:tr>
      <w:tr w:rsidR="00235309" w:rsidRPr="00765F6E" w14:paraId="7EABCB1D" w14:textId="77777777" w:rsidTr="00871D47">
        <w:trPr>
          <w:trHeight w:val="176"/>
          <w:jc w:val="center"/>
        </w:trPr>
        <w:tc>
          <w:tcPr>
            <w:tcW w:w="799" w:type="dxa"/>
            <w:shd w:val="clear" w:color="auto" w:fill="auto"/>
            <w:vAlign w:val="center"/>
          </w:tcPr>
          <w:p w14:paraId="0BABBC6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5667E37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4563 </w:t>
            </w:r>
          </w:p>
        </w:tc>
        <w:tc>
          <w:tcPr>
            <w:tcW w:w="798" w:type="dxa"/>
            <w:shd w:val="clear" w:color="auto" w:fill="auto"/>
            <w:vAlign w:val="center"/>
          </w:tcPr>
          <w:p w14:paraId="6A8ECFA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4551 </w:t>
            </w:r>
          </w:p>
        </w:tc>
        <w:tc>
          <w:tcPr>
            <w:tcW w:w="798" w:type="dxa"/>
            <w:shd w:val="clear" w:color="auto" w:fill="auto"/>
            <w:vAlign w:val="center"/>
          </w:tcPr>
          <w:p w14:paraId="03C04D8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4465 </w:t>
            </w:r>
          </w:p>
        </w:tc>
        <w:tc>
          <w:tcPr>
            <w:tcW w:w="798" w:type="dxa"/>
            <w:shd w:val="clear" w:color="auto" w:fill="auto"/>
            <w:vAlign w:val="center"/>
          </w:tcPr>
          <w:p w14:paraId="036BC99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3868 </w:t>
            </w:r>
          </w:p>
        </w:tc>
        <w:tc>
          <w:tcPr>
            <w:tcW w:w="798" w:type="dxa"/>
            <w:shd w:val="clear" w:color="auto" w:fill="auto"/>
            <w:vAlign w:val="center"/>
          </w:tcPr>
          <w:p w14:paraId="592104D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3572 </w:t>
            </w:r>
          </w:p>
        </w:tc>
        <w:tc>
          <w:tcPr>
            <w:tcW w:w="798" w:type="dxa"/>
            <w:shd w:val="clear" w:color="auto" w:fill="auto"/>
            <w:vAlign w:val="center"/>
          </w:tcPr>
          <w:p w14:paraId="62C2756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3432 </w:t>
            </w:r>
          </w:p>
        </w:tc>
        <w:tc>
          <w:tcPr>
            <w:tcW w:w="798" w:type="dxa"/>
            <w:shd w:val="clear" w:color="auto" w:fill="auto"/>
            <w:vAlign w:val="center"/>
          </w:tcPr>
          <w:p w14:paraId="591FDCF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3309 </w:t>
            </w:r>
          </w:p>
        </w:tc>
        <w:tc>
          <w:tcPr>
            <w:tcW w:w="798" w:type="dxa"/>
            <w:shd w:val="clear" w:color="auto" w:fill="auto"/>
            <w:vAlign w:val="center"/>
          </w:tcPr>
          <w:p w14:paraId="366BFD8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3074 </w:t>
            </w:r>
          </w:p>
        </w:tc>
        <w:tc>
          <w:tcPr>
            <w:tcW w:w="798" w:type="dxa"/>
            <w:shd w:val="clear" w:color="auto" w:fill="auto"/>
            <w:vAlign w:val="center"/>
          </w:tcPr>
          <w:p w14:paraId="67EA77D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3058 </w:t>
            </w:r>
          </w:p>
        </w:tc>
        <w:tc>
          <w:tcPr>
            <w:tcW w:w="798" w:type="dxa"/>
            <w:shd w:val="clear" w:color="auto" w:fill="auto"/>
            <w:vAlign w:val="center"/>
          </w:tcPr>
          <w:p w14:paraId="2905463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2498 </w:t>
            </w:r>
          </w:p>
        </w:tc>
        <w:tc>
          <w:tcPr>
            <w:tcW w:w="790" w:type="dxa"/>
            <w:shd w:val="clear" w:color="auto" w:fill="auto"/>
            <w:vAlign w:val="center"/>
          </w:tcPr>
          <w:p w14:paraId="4A64235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1677 </w:t>
            </w:r>
          </w:p>
        </w:tc>
      </w:tr>
      <w:tr w:rsidR="00235309" w:rsidRPr="00765F6E" w14:paraId="0080C7CE" w14:textId="77777777" w:rsidTr="00871D47">
        <w:trPr>
          <w:trHeight w:val="176"/>
          <w:jc w:val="center"/>
        </w:trPr>
        <w:tc>
          <w:tcPr>
            <w:tcW w:w="799" w:type="dxa"/>
            <w:shd w:val="clear" w:color="auto" w:fill="auto"/>
            <w:vAlign w:val="center"/>
          </w:tcPr>
          <w:p w14:paraId="1F9C1EE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vAlign w:val="center"/>
          </w:tcPr>
          <w:p w14:paraId="435B72F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w:t>
            </w:r>
          </w:p>
        </w:tc>
        <w:tc>
          <w:tcPr>
            <w:tcW w:w="798" w:type="dxa"/>
            <w:shd w:val="clear" w:color="auto" w:fill="auto"/>
            <w:vAlign w:val="center"/>
          </w:tcPr>
          <w:p w14:paraId="26574EA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w:t>
            </w:r>
          </w:p>
        </w:tc>
        <w:tc>
          <w:tcPr>
            <w:tcW w:w="798" w:type="dxa"/>
            <w:shd w:val="clear" w:color="auto" w:fill="auto"/>
            <w:vAlign w:val="center"/>
          </w:tcPr>
          <w:p w14:paraId="7E70D7A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w:t>
            </w:r>
          </w:p>
        </w:tc>
        <w:tc>
          <w:tcPr>
            <w:tcW w:w="798" w:type="dxa"/>
            <w:shd w:val="clear" w:color="auto" w:fill="auto"/>
            <w:vAlign w:val="center"/>
          </w:tcPr>
          <w:p w14:paraId="4A0DCEA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w:t>
            </w:r>
          </w:p>
        </w:tc>
        <w:tc>
          <w:tcPr>
            <w:tcW w:w="798" w:type="dxa"/>
            <w:shd w:val="clear" w:color="auto" w:fill="auto"/>
            <w:vAlign w:val="center"/>
          </w:tcPr>
          <w:p w14:paraId="0EBCA95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798" w:type="dxa"/>
            <w:shd w:val="clear" w:color="auto" w:fill="auto"/>
            <w:vAlign w:val="center"/>
          </w:tcPr>
          <w:p w14:paraId="76BA3B6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w:t>
            </w:r>
          </w:p>
        </w:tc>
        <w:tc>
          <w:tcPr>
            <w:tcW w:w="798" w:type="dxa"/>
            <w:shd w:val="clear" w:color="auto" w:fill="auto"/>
            <w:vAlign w:val="center"/>
          </w:tcPr>
          <w:p w14:paraId="61870BA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798" w:type="dxa"/>
            <w:shd w:val="clear" w:color="auto" w:fill="auto"/>
            <w:vAlign w:val="center"/>
          </w:tcPr>
          <w:p w14:paraId="14D803E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w:t>
            </w:r>
          </w:p>
        </w:tc>
        <w:tc>
          <w:tcPr>
            <w:tcW w:w="798" w:type="dxa"/>
            <w:shd w:val="clear" w:color="auto" w:fill="auto"/>
            <w:vAlign w:val="center"/>
          </w:tcPr>
          <w:p w14:paraId="3E19974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19'</w:t>
            </w:r>
          </w:p>
        </w:tc>
        <w:tc>
          <w:tcPr>
            <w:tcW w:w="798" w:type="dxa"/>
            <w:shd w:val="clear" w:color="auto" w:fill="auto"/>
            <w:vAlign w:val="center"/>
          </w:tcPr>
          <w:p w14:paraId="76CD054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w:t>
            </w:r>
          </w:p>
        </w:tc>
        <w:tc>
          <w:tcPr>
            <w:tcW w:w="790" w:type="dxa"/>
            <w:shd w:val="clear" w:color="auto" w:fill="auto"/>
            <w:vAlign w:val="center"/>
          </w:tcPr>
          <w:p w14:paraId="3251A05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21'</w:t>
            </w:r>
          </w:p>
        </w:tc>
      </w:tr>
      <w:tr w:rsidR="00235309" w:rsidRPr="00765F6E" w14:paraId="6BC2BDB0" w14:textId="77777777" w:rsidTr="00871D47">
        <w:trPr>
          <w:trHeight w:val="176"/>
          <w:jc w:val="center"/>
        </w:trPr>
        <w:tc>
          <w:tcPr>
            <w:tcW w:w="799" w:type="dxa"/>
            <w:shd w:val="clear" w:color="auto" w:fill="auto"/>
            <w:vAlign w:val="center"/>
          </w:tcPr>
          <w:p w14:paraId="677DE50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vAlign w:val="center"/>
          </w:tcPr>
          <w:p w14:paraId="63C82A6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1627 </w:t>
            </w:r>
          </w:p>
        </w:tc>
        <w:tc>
          <w:tcPr>
            <w:tcW w:w="798" w:type="dxa"/>
            <w:shd w:val="clear" w:color="auto" w:fill="auto"/>
            <w:vAlign w:val="center"/>
          </w:tcPr>
          <w:p w14:paraId="111006E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1609 </w:t>
            </w:r>
          </w:p>
        </w:tc>
        <w:tc>
          <w:tcPr>
            <w:tcW w:w="798" w:type="dxa"/>
            <w:shd w:val="clear" w:color="auto" w:fill="auto"/>
            <w:vAlign w:val="center"/>
          </w:tcPr>
          <w:p w14:paraId="2EE51F4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1609 </w:t>
            </w:r>
          </w:p>
        </w:tc>
        <w:tc>
          <w:tcPr>
            <w:tcW w:w="798" w:type="dxa"/>
            <w:shd w:val="clear" w:color="auto" w:fill="auto"/>
            <w:vAlign w:val="center"/>
          </w:tcPr>
          <w:p w14:paraId="26ED1D4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1365 </w:t>
            </w:r>
          </w:p>
        </w:tc>
        <w:tc>
          <w:tcPr>
            <w:tcW w:w="798" w:type="dxa"/>
            <w:shd w:val="clear" w:color="auto" w:fill="auto"/>
            <w:vAlign w:val="center"/>
          </w:tcPr>
          <w:p w14:paraId="7189727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1308 </w:t>
            </w:r>
          </w:p>
        </w:tc>
        <w:tc>
          <w:tcPr>
            <w:tcW w:w="798" w:type="dxa"/>
            <w:shd w:val="clear" w:color="auto" w:fill="auto"/>
            <w:vAlign w:val="center"/>
          </w:tcPr>
          <w:p w14:paraId="40F8AC6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1308 </w:t>
            </w:r>
          </w:p>
        </w:tc>
        <w:tc>
          <w:tcPr>
            <w:tcW w:w="798" w:type="dxa"/>
            <w:shd w:val="clear" w:color="auto" w:fill="auto"/>
            <w:vAlign w:val="center"/>
          </w:tcPr>
          <w:p w14:paraId="1EFB94D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845 </w:t>
            </w:r>
          </w:p>
        </w:tc>
        <w:tc>
          <w:tcPr>
            <w:tcW w:w="798" w:type="dxa"/>
            <w:shd w:val="clear" w:color="auto" w:fill="auto"/>
            <w:vAlign w:val="center"/>
          </w:tcPr>
          <w:p w14:paraId="3488A06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841 </w:t>
            </w:r>
          </w:p>
        </w:tc>
        <w:tc>
          <w:tcPr>
            <w:tcW w:w="798" w:type="dxa"/>
            <w:shd w:val="clear" w:color="auto" w:fill="auto"/>
            <w:vAlign w:val="center"/>
          </w:tcPr>
          <w:p w14:paraId="787EECD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738 </w:t>
            </w:r>
          </w:p>
        </w:tc>
        <w:tc>
          <w:tcPr>
            <w:tcW w:w="798" w:type="dxa"/>
            <w:shd w:val="clear" w:color="auto" w:fill="auto"/>
            <w:vAlign w:val="center"/>
          </w:tcPr>
          <w:p w14:paraId="3850778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738 </w:t>
            </w:r>
          </w:p>
        </w:tc>
        <w:tc>
          <w:tcPr>
            <w:tcW w:w="790" w:type="dxa"/>
            <w:shd w:val="clear" w:color="auto" w:fill="auto"/>
            <w:vAlign w:val="center"/>
          </w:tcPr>
          <w:p w14:paraId="020743D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647 </w:t>
            </w:r>
          </w:p>
        </w:tc>
      </w:tr>
      <w:tr w:rsidR="00235309" w:rsidRPr="00765F6E" w14:paraId="2A7A9701" w14:textId="77777777" w:rsidTr="00871D47">
        <w:trPr>
          <w:trHeight w:val="176"/>
          <w:jc w:val="center"/>
        </w:trPr>
        <w:tc>
          <w:tcPr>
            <w:tcW w:w="799" w:type="dxa"/>
            <w:shd w:val="clear" w:color="auto" w:fill="auto"/>
            <w:vAlign w:val="center"/>
          </w:tcPr>
          <w:p w14:paraId="28F3EB5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3097863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1007 </w:t>
            </w:r>
          </w:p>
        </w:tc>
        <w:tc>
          <w:tcPr>
            <w:tcW w:w="798" w:type="dxa"/>
            <w:shd w:val="clear" w:color="auto" w:fill="auto"/>
            <w:vAlign w:val="center"/>
          </w:tcPr>
          <w:p w14:paraId="400525F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399 </w:t>
            </w:r>
          </w:p>
        </w:tc>
        <w:tc>
          <w:tcPr>
            <w:tcW w:w="798" w:type="dxa"/>
            <w:shd w:val="clear" w:color="auto" w:fill="auto"/>
            <w:vAlign w:val="center"/>
          </w:tcPr>
          <w:p w14:paraId="208DD50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398 </w:t>
            </w:r>
          </w:p>
        </w:tc>
        <w:tc>
          <w:tcPr>
            <w:tcW w:w="798" w:type="dxa"/>
            <w:shd w:val="clear" w:color="auto" w:fill="auto"/>
            <w:vAlign w:val="center"/>
          </w:tcPr>
          <w:p w14:paraId="7C329A7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96 </w:t>
            </w:r>
          </w:p>
        </w:tc>
        <w:tc>
          <w:tcPr>
            <w:tcW w:w="798" w:type="dxa"/>
            <w:shd w:val="clear" w:color="auto" w:fill="auto"/>
            <w:vAlign w:val="center"/>
          </w:tcPr>
          <w:p w14:paraId="3C5D1CD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61 </w:t>
            </w:r>
          </w:p>
        </w:tc>
        <w:tc>
          <w:tcPr>
            <w:tcW w:w="798" w:type="dxa"/>
            <w:shd w:val="clear" w:color="auto" w:fill="auto"/>
            <w:vAlign w:val="center"/>
          </w:tcPr>
          <w:p w14:paraId="5B28ABA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61 </w:t>
            </w:r>
          </w:p>
        </w:tc>
        <w:tc>
          <w:tcPr>
            <w:tcW w:w="798" w:type="dxa"/>
            <w:shd w:val="clear" w:color="auto" w:fill="auto"/>
            <w:vAlign w:val="center"/>
          </w:tcPr>
          <w:p w14:paraId="424D814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64 </w:t>
            </w:r>
          </w:p>
        </w:tc>
        <w:tc>
          <w:tcPr>
            <w:tcW w:w="798" w:type="dxa"/>
            <w:shd w:val="clear" w:color="auto" w:fill="auto"/>
            <w:vAlign w:val="center"/>
          </w:tcPr>
          <w:p w14:paraId="326469D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-18 </w:t>
            </w:r>
          </w:p>
        </w:tc>
        <w:tc>
          <w:tcPr>
            <w:tcW w:w="798" w:type="dxa"/>
            <w:shd w:val="clear" w:color="auto" w:fill="auto"/>
            <w:vAlign w:val="center"/>
          </w:tcPr>
          <w:p w14:paraId="513C2A2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-18 </w:t>
            </w:r>
          </w:p>
        </w:tc>
        <w:tc>
          <w:tcPr>
            <w:tcW w:w="798" w:type="dxa"/>
            <w:shd w:val="clear" w:color="auto" w:fill="auto"/>
            <w:vAlign w:val="center"/>
          </w:tcPr>
          <w:p w14:paraId="0C2AE37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-54 </w:t>
            </w:r>
          </w:p>
        </w:tc>
        <w:tc>
          <w:tcPr>
            <w:tcW w:w="790" w:type="dxa"/>
            <w:shd w:val="clear" w:color="auto" w:fill="auto"/>
            <w:vAlign w:val="center"/>
          </w:tcPr>
          <w:p w14:paraId="6465A51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-54 </w:t>
            </w:r>
          </w:p>
        </w:tc>
      </w:tr>
      <w:tr w:rsidR="00235309" w:rsidRPr="00765F6E" w14:paraId="40B0CCEA" w14:textId="77777777" w:rsidTr="00871D47">
        <w:trPr>
          <w:trHeight w:val="176"/>
          <w:jc w:val="center"/>
        </w:trPr>
        <w:tc>
          <w:tcPr>
            <w:tcW w:w="799" w:type="dxa"/>
            <w:shd w:val="clear" w:color="auto" w:fill="auto"/>
            <w:vAlign w:val="center"/>
          </w:tcPr>
          <w:p w14:paraId="3BFFD7A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vAlign w:val="center"/>
          </w:tcPr>
          <w:p w14:paraId="610211A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22'</w:t>
            </w:r>
          </w:p>
        </w:tc>
        <w:tc>
          <w:tcPr>
            <w:tcW w:w="798" w:type="dxa"/>
            <w:shd w:val="clear" w:color="auto" w:fill="auto"/>
            <w:vAlign w:val="center"/>
          </w:tcPr>
          <w:p w14:paraId="276B9BD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23'</w:t>
            </w:r>
          </w:p>
        </w:tc>
        <w:tc>
          <w:tcPr>
            <w:tcW w:w="798" w:type="dxa"/>
            <w:shd w:val="clear" w:color="auto" w:fill="auto"/>
            <w:vAlign w:val="center"/>
          </w:tcPr>
          <w:p w14:paraId="66466A1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0s′</w:t>
            </w:r>
          </w:p>
        </w:tc>
        <w:tc>
          <w:tcPr>
            <w:tcW w:w="798" w:type="dxa"/>
            <w:shd w:val="clear" w:color="auto" w:fill="auto"/>
            <w:vAlign w:val="center"/>
          </w:tcPr>
          <w:p w14:paraId="3660A5C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1s′</w:t>
            </w:r>
          </w:p>
        </w:tc>
        <w:tc>
          <w:tcPr>
            <w:tcW w:w="798" w:type="dxa"/>
            <w:shd w:val="clear" w:color="auto" w:fill="auto"/>
            <w:vAlign w:val="center"/>
          </w:tcPr>
          <w:p w14:paraId="34C5CB8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2s′</w:t>
            </w:r>
          </w:p>
        </w:tc>
        <w:tc>
          <w:tcPr>
            <w:tcW w:w="798" w:type="dxa"/>
            <w:shd w:val="clear" w:color="auto" w:fill="auto"/>
            <w:vAlign w:val="center"/>
          </w:tcPr>
          <w:p w14:paraId="231E691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3s′</w:t>
            </w:r>
          </w:p>
        </w:tc>
        <w:tc>
          <w:tcPr>
            <w:tcW w:w="798" w:type="dxa"/>
            <w:shd w:val="clear" w:color="auto" w:fill="auto"/>
            <w:vAlign w:val="center"/>
          </w:tcPr>
          <w:p w14:paraId="60B1754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4s′</w:t>
            </w:r>
          </w:p>
        </w:tc>
        <w:tc>
          <w:tcPr>
            <w:tcW w:w="798" w:type="dxa"/>
            <w:shd w:val="clear" w:color="auto" w:fill="auto"/>
            <w:vAlign w:val="center"/>
          </w:tcPr>
          <w:p w14:paraId="12ED4FA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5s′</w:t>
            </w:r>
          </w:p>
        </w:tc>
        <w:tc>
          <w:tcPr>
            <w:tcW w:w="798" w:type="dxa"/>
            <w:shd w:val="clear" w:color="auto" w:fill="auto"/>
            <w:vAlign w:val="center"/>
          </w:tcPr>
          <w:p w14:paraId="3514B2B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6s′</w:t>
            </w:r>
          </w:p>
        </w:tc>
        <w:tc>
          <w:tcPr>
            <w:tcW w:w="798" w:type="dxa"/>
            <w:shd w:val="clear" w:color="auto" w:fill="auto"/>
            <w:vAlign w:val="center"/>
          </w:tcPr>
          <w:p w14:paraId="761937D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7s′</w:t>
            </w:r>
          </w:p>
        </w:tc>
        <w:tc>
          <w:tcPr>
            <w:tcW w:w="790" w:type="dxa"/>
            <w:shd w:val="clear" w:color="auto" w:fill="auto"/>
            <w:vAlign w:val="center"/>
          </w:tcPr>
          <w:p w14:paraId="40816FF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8s′</w:t>
            </w:r>
          </w:p>
        </w:tc>
      </w:tr>
      <w:tr w:rsidR="00235309" w:rsidRPr="00765F6E" w14:paraId="7847425B" w14:textId="77777777" w:rsidTr="00871D47">
        <w:trPr>
          <w:trHeight w:val="176"/>
          <w:jc w:val="center"/>
        </w:trPr>
        <w:tc>
          <w:tcPr>
            <w:tcW w:w="799" w:type="dxa"/>
            <w:shd w:val="clear" w:color="auto" w:fill="auto"/>
            <w:vAlign w:val="center"/>
          </w:tcPr>
          <w:p w14:paraId="59B20EB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vAlign w:val="center"/>
          </w:tcPr>
          <w:p w14:paraId="1EEB56E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643 </w:t>
            </w:r>
          </w:p>
        </w:tc>
        <w:tc>
          <w:tcPr>
            <w:tcW w:w="798" w:type="dxa"/>
            <w:shd w:val="clear" w:color="auto" w:fill="auto"/>
            <w:vAlign w:val="center"/>
          </w:tcPr>
          <w:p w14:paraId="457290C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0 </w:t>
            </w:r>
          </w:p>
        </w:tc>
        <w:tc>
          <w:tcPr>
            <w:tcW w:w="798" w:type="dxa"/>
            <w:shd w:val="clear" w:color="auto" w:fill="auto"/>
            <w:vAlign w:val="center"/>
          </w:tcPr>
          <w:p w14:paraId="5728CB2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0 </w:t>
            </w:r>
          </w:p>
        </w:tc>
        <w:tc>
          <w:tcPr>
            <w:tcW w:w="798" w:type="dxa"/>
            <w:shd w:val="clear" w:color="auto" w:fill="auto"/>
            <w:vAlign w:val="center"/>
          </w:tcPr>
          <w:p w14:paraId="53058A9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333 </w:t>
            </w:r>
          </w:p>
        </w:tc>
        <w:tc>
          <w:tcPr>
            <w:tcW w:w="798" w:type="dxa"/>
            <w:shd w:val="clear" w:color="auto" w:fill="auto"/>
            <w:vAlign w:val="center"/>
          </w:tcPr>
          <w:p w14:paraId="16A3191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665 </w:t>
            </w:r>
          </w:p>
        </w:tc>
        <w:tc>
          <w:tcPr>
            <w:tcW w:w="798" w:type="dxa"/>
            <w:shd w:val="clear" w:color="auto" w:fill="auto"/>
            <w:vAlign w:val="center"/>
          </w:tcPr>
          <w:p w14:paraId="0A05D3A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765 </w:t>
            </w:r>
          </w:p>
        </w:tc>
        <w:tc>
          <w:tcPr>
            <w:tcW w:w="798" w:type="dxa"/>
            <w:shd w:val="clear" w:color="auto" w:fill="auto"/>
            <w:vAlign w:val="center"/>
          </w:tcPr>
          <w:p w14:paraId="1C95A12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892 </w:t>
            </w:r>
          </w:p>
        </w:tc>
        <w:tc>
          <w:tcPr>
            <w:tcW w:w="798" w:type="dxa"/>
            <w:shd w:val="clear" w:color="auto" w:fill="auto"/>
            <w:vAlign w:val="center"/>
          </w:tcPr>
          <w:p w14:paraId="33536BA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970 </w:t>
            </w:r>
          </w:p>
        </w:tc>
        <w:tc>
          <w:tcPr>
            <w:tcW w:w="798" w:type="dxa"/>
            <w:shd w:val="clear" w:color="auto" w:fill="auto"/>
            <w:vAlign w:val="center"/>
          </w:tcPr>
          <w:p w14:paraId="2256628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1040 </w:t>
            </w:r>
          </w:p>
        </w:tc>
        <w:tc>
          <w:tcPr>
            <w:tcW w:w="798" w:type="dxa"/>
            <w:shd w:val="clear" w:color="auto" w:fill="auto"/>
            <w:vAlign w:val="center"/>
          </w:tcPr>
          <w:p w14:paraId="670F967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1205 </w:t>
            </w:r>
          </w:p>
        </w:tc>
        <w:tc>
          <w:tcPr>
            <w:tcW w:w="790" w:type="dxa"/>
            <w:shd w:val="clear" w:color="auto" w:fill="auto"/>
            <w:vAlign w:val="center"/>
          </w:tcPr>
          <w:p w14:paraId="5C0CF60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1220 </w:t>
            </w:r>
          </w:p>
        </w:tc>
      </w:tr>
      <w:tr w:rsidR="00235309" w:rsidRPr="00765F6E" w14:paraId="025DA9E2" w14:textId="77777777" w:rsidTr="00871D47">
        <w:trPr>
          <w:trHeight w:val="176"/>
          <w:jc w:val="center"/>
        </w:trPr>
        <w:tc>
          <w:tcPr>
            <w:tcW w:w="799" w:type="dxa"/>
            <w:shd w:val="clear" w:color="auto" w:fill="auto"/>
            <w:vAlign w:val="center"/>
          </w:tcPr>
          <w:p w14:paraId="60C998C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30F66CD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42 </w:t>
            </w:r>
          </w:p>
        </w:tc>
        <w:tc>
          <w:tcPr>
            <w:tcW w:w="798" w:type="dxa"/>
            <w:shd w:val="clear" w:color="auto" w:fill="auto"/>
            <w:vAlign w:val="center"/>
          </w:tcPr>
          <w:p w14:paraId="78BA8BE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42 </w:t>
            </w:r>
          </w:p>
        </w:tc>
        <w:tc>
          <w:tcPr>
            <w:tcW w:w="798" w:type="dxa"/>
            <w:shd w:val="clear" w:color="auto" w:fill="auto"/>
            <w:vAlign w:val="center"/>
          </w:tcPr>
          <w:p w14:paraId="279643A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5120 </w:t>
            </w:r>
          </w:p>
        </w:tc>
        <w:tc>
          <w:tcPr>
            <w:tcW w:w="798" w:type="dxa"/>
            <w:shd w:val="clear" w:color="auto" w:fill="auto"/>
            <w:vAlign w:val="center"/>
          </w:tcPr>
          <w:p w14:paraId="4AAD7D8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5119 </w:t>
            </w:r>
          </w:p>
        </w:tc>
        <w:tc>
          <w:tcPr>
            <w:tcW w:w="798" w:type="dxa"/>
            <w:shd w:val="clear" w:color="auto" w:fill="auto"/>
            <w:vAlign w:val="center"/>
          </w:tcPr>
          <w:p w14:paraId="7CB5C8E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5112 </w:t>
            </w:r>
          </w:p>
        </w:tc>
        <w:tc>
          <w:tcPr>
            <w:tcW w:w="798" w:type="dxa"/>
            <w:shd w:val="clear" w:color="auto" w:fill="auto"/>
            <w:vAlign w:val="center"/>
          </w:tcPr>
          <w:p w14:paraId="64E8775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5102 </w:t>
            </w:r>
          </w:p>
        </w:tc>
        <w:tc>
          <w:tcPr>
            <w:tcW w:w="798" w:type="dxa"/>
            <w:shd w:val="clear" w:color="auto" w:fill="auto"/>
            <w:vAlign w:val="center"/>
          </w:tcPr>
          <w:p w14:paraId="453649F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5083 </w:t>
            </w:r>
          </w:p>
        </w:tc>
        <w:tc>
          <w:tcPr>
            <w:tcW w:w="798" w:type="dxa"/>
            <w:shd w:val="clear" w:color="auto" w:fill="auto"/>
            <w:vAlign w:val="center"/>
          </w:tcPr>
          <w:p w14:paraId="4EBFBBD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5060 </w:t>
            </w:r>
          </w:p>
        </w:tc>
        <w:tc>
          <w:tcPr>
            <w:tcW w:w="798" w:type="dxa"/>
            <w:shd w:val="clear" w:color="auto" w:fill="auto"/>
            <w:vAlign w:val="center"/>
          </w:tcPr>
          <w:p w14:paraId="2C968C7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5016 </w:t>
            </w:r>
          </w:p>
        </w:tc>
        <w:tc>
          <w:tcPr>
            <w:tcW w:w="798" w:type="dxa"/>
            <w:shd w:val="clear" w:color="auto" w:fill="auto"/>
            <w:vAlign w:val="center"/>
          </w:tcPr>
          <w:p w14:paraId="269764C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4878 </w:t>
            </w:r>
          </w:p>
        </w:tc>
        <w:tc>
          <w:tcPr>
            <w:tcW w:w="790" w:type="dxa"/>
            <w:shd w:val="clear" w:color="auto" w:fill="auto"/>
            <w:vAlign w:val="center"/>
          </w:tcPr>
          <w:p w14:paraId="1902254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4858 </w:t>
            </w:r>
          </w:p>
        </w:tc>
      </w:tr>
      <w:tr w:rsidR="00235309" w:rsidRPr="00765F6E" w14:paraId="754806A4" w14:textId="77777777" w:rsidTr="00871D47">
        <w:trPr>
          <w:trHeight w:val="176"/>
          <w:jc w:val="center"/>
        </w:trPr>
        <w:tc>
          <w:tcPr>
            <w:tcW w:w="799" w:type="dxa"/>
            <w:shd w:val="clear" w:color="auto" w:fill="auto"/>
            <w:vAlign w:val="center"/>
          </w:tcPr>
          <w:p w14:paraId="5E4AEB5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vAlign w:val="center"/>
          </w:tcPr>
          <w:p w14:paraId="7B3330D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9s′</w:t>
            </w:r>
          </w:p>
        </w:tc>
        <w:tc>
          <w:tcPr>
            <w:tcW w:w="798" w:type="dxa"/>
            <w:shd w:val="clear" w:color="auto" w:fill="auto"/>
            <w:vAlign w:val="center"/>
          </w:tcPr>
          <w:p w14:paraId="75E5767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10s′</w:t>
            </w:r>
          </w:p>
        </w:tc>
        <w:tc>
          <w:tcPr>
            <w:tcW w:w="798" w:type="dxa"/>
            <w:shd w:val="clear" w:color="auto" w:fill="auto"/>
            <w:vAlign w:val="center"/>
          </w:tcPr>
          <w:p w14:paraId="7EFF268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1D75B46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47979A0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1DFCF5F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0C75663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0EDE2EA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7CAFC59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7E3CB37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0" w:type="dxa"/>
            <w:shd w:val="clear" w:color="auto" w:fill="auto"/>
            <w:vAlign w:val="center"/>
          </w:tcPr>
          <w:p w14:paraId="79BD7BE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235309" w:rsidRPr="00765F6E" w14:paraId="171C08F1" w14:textId="77777777" w:rsidTr="00871D47">
        <w:trPr>
          <w:trHeight w:val="176"/>
          <w:jc w:val="center"/>
        </w:trPr>
        <w:tc>
          <w:tcPr>
            <w:tcW w:w="799" w:type="dxa"/>
            <w:shd w:val="clear" w:color="auto" w:fill="auto"/>
            <w:vAlign w:val="center"/>
          </w:tcPr>
          <w:p w14:paraId="6733AFC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vAlign w:val="center"/>
          </w:tcPr>
          <w:p w14:paraId="44EC067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1225 </w:t>
            </w:r>
          </w:p>
        </w:tc>
        <w:tc>
          <w:tcPr>
            <w:tcW w:w="798" w:type="dxa"/>
            <w:shd w:val="clear" w:color="auto" w:fill="auto"/>
            <w:vAlign w:val="center"/>
          </w:tcPr>
          <w:p w14:paraId="2DBFF50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1225 </w:t>
            </w:r>
          </w:p>
        </w:tc>
        <w:tc>
          <w:tcPr>
            <w:tcW w:w="798" w:type="dxa"/>
            <w:shd w:val="clear" w:color="auto" w:fill="auto"/>
            <w:vAlign w:val="center"/>
          </w:tcPr>
          <w:p w14:paraId="38277DB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5E0F629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0F4758F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F2D929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525E6D6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0B98A0A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7957E70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C46F8D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0" w:type="dxa"/>
            <w:shd w:val="clear" w:color="auto" w:fill="auto"/>
            <w:vAlign w:val="center"/>
          </w:tcPr>
          <w:p w14:paraId="09C64A4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235309" w:rsidRPr="00765F6E" w14:paraId="6E8EECF3" w14:textId="77777777" w:rsidTr="00871D47">
        <w:trPr>
          <w:trHeight w:val="176"/>
          <w:jc w:val="center"/>
        </w:trPr>
        <w:tc>
          <w:tcPr>
            <w:tcW w:w="799" w:type="dxa"/>
            <w:tcBorders>
              <w:bottom w:val="single" w:sz="8" w:space="0" w:color="auto"/>
            </w:tcBorders>
            <w:shd w:val="clear" w:color="auto" w:fill="auto"/>
            <w:vAlign w:val="center"/>
          </w:tcPr>
          <w:p w14:paraId="298FD12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tcBorders>
              <w:bottom w:val="single" w:sz="8" w:space="0" w:color="auto"/>
            </w:tcBorders>
            <w:shd w:val="clear" w:color="auto" w:fill="auto"/>
            <w:vAlign w:val="center"/>
          </w:tcPr>
          <w:p w14:paraId="0D57A99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4834 </w:t>
            </w:r>
          </w:p>
        </w:tc>
        <w:tc>
          <w:tcPr>
            <w:tcW w:w="798" w:type="dxa"/>
            <w:tcBorders>
              <w:bottom w:val="single" w:sz="8" w:space="0" w:color="auto"/>
            </w:tcBorders>
            <w:shd w:val="clear" w:color="auto" w:fill="auto"/>
            <w:vAlign w:val="center"/>
          </w:tcPr>
          <w:p w14:paraId="77112F2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4632 </w:t>
            </w:r>
          </w:p>
        </w:tc>
        <w:tc>
          <w:tcPr>
            <w:tcW w:w="798" w:type="dxa"/>
            <w:tcBorders>
              <w:bottom w:val="single" w:sz="8" w:space="0" w:color="auto"/>
            </w:tcBorders>
            <w:shd w:val="clear" w:color="auto" w:fill="auto"/>
            <w:vAlign w:val="center"/>
          </w:tcPr>
          <w:p w14:paraId="694B320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04CB136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7DB34C1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627B4F7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2FA3A5B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3418A35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303EF5E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7A6B983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0" w:type="dxa"/>
            <w:tcBorders>
              <w:bottom w:val="single" w:sz="8" w:space="0" w:color="auto"/>
            </w:tcBorders>
            <w:shd w:val="clear" w:color="auto" w:fill="auto"/>
            <w:vAlign w:val="center"/>
          </w:tcPr>
          <w:p w14:paraId="0CBA9FB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235309" w:rsidRPr="00765F6E" w14:paraId="36060818" w14:textId="77777777" w:rsidTr="00871D47">
        <w:trPr>
          <w:trHeight w:val="176"/>
          <w:jc w:val="center"/>
        </w:trPr>
        <w:tc>
          <w:tcPr>
            <w:tcW w:w="9570" w:type="dxa"/>
            <w:gridSpan w:val="12"/>
            <w:tcBorders>
              <w:top w:val="single" w:sz="8" w:space="0" w:color="auto"/>
              <w:bottom w:val="single" w:sz="8" w:space="0" w:color="auto"/>
            </w:tcBorders>
            <w:shd w:val="clear" w:color="auto" w:fill="auto"/>
            <w:vAlign w:val="center"/>
          </w:tcPr>
          <w:p w14:paraId="7C251791" w14:textId="50475DAB" w:rsidR="00235309" w:rsidRPr="00765F6E" w:rsidRDefault="00235309" w:rsidP="00235309">
            <w:pPr>
              <w:pStyle w:val="afff2"/>
              <w:ind w:left="584"/>
            </w:pPr>
            <w:r w:rsidRPr="00765F6E">
              <w:t>0s</w:t>
            </w:r>
            <w:r w:rsidRPr="00765F6E">
              <w:t>′</w:t>
            </w:r>
            <w:r w:rsidR="00E9135F">
              <w:rPr>
                <w:rFonts w:hAnsi="宋体" w:hint="eastAsia"/>
              </w:rPr>
              <w:t>～</w:t>
            </w:r>
            <w:r w:rsidRPr="00765F6E">
              <w:t>10s</w:t>
            </w:r>
            <w:r w:rsidRPr="00765F6E">
              <w:t>′</w:t>
            </w:r>
            <w:r w:rsidRPr="00765F6E">
              <w:t>为受电弓车辆限界。</w:t>
            </w:r>
          </w:p>
        </w:tc>
      </w:tr>
      <w:bookmarkEnd w:id="3869"/>
    </w:tbl>
    <w:p w14:paraId="20714249" w14:textId="77777777" w:rsidR="00235309" w:rsidRPr="00765F6E" w:rsidRDefault="00235309" w:rsidP="00235309">
      <w:pPr>
        <w:pStyle w:val="affffb"/>
        <w:spacing w:before="120" w:after="120"/>
        <w:ind w:firstLine="360"/>
        <w:jc w:val="right"/>
        <w:rPr>
          <w:rFonts w:asciiTheme="minorEastAsia" w:eastAsiaTheme="minorEastAsia" w:hAnsiTheme="minorEastAsia"/>
          <w:sz w:val="18"/>
        </w:rPr>
      </w:pPr>
    </w:p>
    <w:p w14:paraId="34089B86" w14:textId="77777777" w:rsidR="00235309" w:rsidRPr="00765F6E" w:rsidRDefault="00235309" w:rsidP="00235309">
      <w:pPr>
        <w:pStyle w:val="affffb"/>
        <w:spacing w:before="120" w:after="120"/>
        <w:ind w:firstLine="420"/>
      </w:pPr>
    </w:p>
    <w:p w14:paraId="49433593" w14:textId="77777777" w:rsidR="00235309" w:rsidRPr="00765F6E" w:rsidRDefault="00235309" w:rsidP="00235309">
      <w:pPr>
        <w:pStyle w:val="aff0"/>
        <w:spacing w:before="120" w:after="120"/>
      </w:pPr>
      <w:r w:rsidRPr="00765F6E">
        <w:rPr>
          <w:rFonts w:hint="eastAsia"/>
        </w:rPr>
        <w:t>设备限界坐标点</w:t>
      </w:r>
    </w:p>
    <w:p w14:paraId="326B36B3"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r w:rsidRPr="00765F6E">
        <w:rPr>
          <w:rFonts w:asciiTheme="minorEastAsia" w:eastAsiaTheme="minorEastAsia" w:hAnsiTheme="minorEastAsia" w:hint="eastAsia"/>
          <w:sz w:val="18"/>
          <w:szCs w:val="18"/>
        </w:rPr>
        <w:t>单位为毫米</w:t>
      </w:r>
    </w:p>
    <w:tbl>
      <w:tblPr>
        <w:tblW w:w="957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99"/>
        <w:gridCol w:w="799"/>
        <w:gridCol w:w="798"/>
        <w:gridCol w:w="798"/>
        <w:gridCol w:w="798"/>
        <w:gridCol w:w="798"/>
        <w:gridCol w:w="798"/>
        <w:gridCol w:w="798"/>
        <w:gridCol w:w="798"/>
        <w:gridCol w:w="798"/>
        <w:gridCol w:w="798"/>
        <w:gridCol w:w="790"/>
      </w:tblGrid>
      <w:tr w:rsidR="00235309" w:rsidRPr="00765F6E" w14:paraId="44339995" w14:textId="77777777" w:rsidTr="00871D47">
        <w:trPr>
          <w:trHeight w:val="176"/>
          <w:jc w:val="center"/>
        </w:trPr>
        <w:tc>
          <w:tcPr>
            <w:tcW w:w="799" w:type="dxa"/>
            <w:tcBorders>
              <w:top w:val="single" w:sz="8" w:space="0" w:color="auto"/>
              <w:bottom w:val="single" w:sz="8" w:space="0" w:color="auto"/>
            </w:tcBorders>
            <w:shd w:val="clear" w:color="auto" w:fill="auto"/>
            <w:vAlign w:val="center"/>
          </w:tcPr>
          <w:p w14:paraId="561E32E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single" w:sz="8" w:space="0" w:color="auto"/>
              <w:bottom w:val="single" w:sz="8" w:space="0" w:color="auto"/>
            </w:tcBorders>
            <w:shd w:val="clear" w:color="auto" w:fill="auto"/>
            <w:vAlign w:val="center"/>
          </w:tcPr>
          <w:p w14:paraId="5F9321B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bottom w:val="single" w:sz="8" w:space="0" w:color="auto"/>
            </w:tcBorders>
            <w:shd w:val="clear" w:color="auto" w:fill="auto"/>
            <w:vAlign w:val="center"/>
          </w:tcPr>
          <w:p w14:paraId="2A80DE2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p>
        </w:tc>
        <w:tc>
          <w:tcPr>
            <w:tcW w:w="798" w:type="dxa"/>
            <w:tcBorders>
              <w:top w:val="single" w:sz="8" w:space="0" w:color="auto"/>
              <w:bottom w:val="single" w:sz="8" w:space="0" w:color="auto"/>
            </w:tcBorders>
            <w:shd w:val="clear" w:color="auto" w:fill="auto"/>
            <w:vAlign w:val="center"/>
          </w:tcPr>
          <w:p w14:paraId="2CD7E10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p>
        </w:tc>
        <w:tc>
          <w:tcPr>
            <w:tcW w:w="798" w:type="dxa"/>
            <w:tcBorders>
              <w:top w:val="single" w:sz="8" w:space="0" w:color="auto"/>
              <w:bottom w:val="single" w:sz="8" w:space="0" w:color="auto"/>
            </w:tcBorders>
            <w:shd w:val="clear" w:color="auto" w:fill="auto"/>
            <w:vAlign w:val="center"/>
          </w:tcPr>
          <w:p w14:paraId="70E189D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w:t>
            </w:r>
          </w:p>
        </w:tc>
        <w:tc>
          <w:tcPr>
            <w:tcW w:w="798" w:type="dxa"/>
            <w:tcBorders>
              <w:top w:val="single" w:sz="8" w:space="0" w:color="auto"/>
              <w:bottom w:val="single" w:sz="8" w:space="0" w:color="auto"/>
            </w:tcBorders>
            <w:shd w:val="clear" w:color="auto" w:fill="auto"/>
            <w:vAlign w:val="center"/>
          </w:tcPr>
          <w:p w14:paraId="1772AA7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p>
        </w:tc>
        <w:tc>
          <w:tcPr>
            <w:tcW w:w="798" w:type="dxa"/>
            <w:tcBorders>
              <w:top w:val="single" w:sz="8" w:space="0" w:color="auto"/>
              <w:bottom w:val="single" w:sz="8" w:space="0" w:color="auto"/>
            </w:tcBorders>
            <w:shd w:val="clear" w:color="auto" w:fill="auto"/>
            <w:vAlign w:val="center"/>
          </w:tcPr>
          <w:p w14:paraId="250286A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798" w:type="dxa"/>
            <w:tcBorders>
              <w:top w:val="single" w:sz="8" w:space="0" w:color="auto"/>
              <w:bottom w:val="single" w:sz="8" w:space="0" w:color="auto"/>
            </w:tcBorders>
            <w:shd w:val="clear" w:color="auto" w:fill="auto"/>
            <w:vAlign w:val="center"/>
          </w:tcPr>
          <w:p w14:paraId="6CF46BF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p>
        </w:tc>
        <w:tc>
          <w:tcPr>
            <w:tcW w:w="798" w:type="dxa"/>
            <w:tcBorders>
              <w:top w:val="single" w:sz="8" w:space="0" w:color="auto"/>
              <w:bottom w:val="single" w:sz="8" w:space="0" w:color="auto"/>
            </w:tcBorders>
            <w:shd w:val="clear" w:color="auto" w:fill="auto"/>
            <w:vAlign w:val="center"/>
          </w:tcPr>
          <w:p w14:paraId="77DEBE8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p>
        </w:tc>
        <w:tc>
          <w:tcPr>
            <w:tcW w:w="798" w:type="dxa"/>
            <w:tcBorders>
              <w:top w:val="single" w:sz="8" w:space="0" w:color="auto"/>
              <w:bottom w:val="single" w:sz="8" w:space="0" w:color="auto"/>
            </w:tcBorders>
            <w:shd w:val="clear" w:color="auto" w:fill="auto"/>
            <w:vAlign w:val="center"/>
          </w:tcPr>
          <w:p w14:paraId="373FBB6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98" w:type="dxa"/>
            <w:tcBorders>
              <w:top w:val="single" w:sz="8" w:space="0" w:color="auto"/>
              <w:bottom w:val="single" w:sz="8" w:space="0" w:color="auto"/>
            </w:tcBorders>
            <w:shd w:val="clear" w:color="auto" w:fill="auto"/>
            <w:vAlign w:val="center"/>
          </w:tcPr>
          <w:p w14:paraId="2306069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w:t>
            </w:r>
          </w:p>
        </w:tc>
        <w:tc>
          <w:tcPr>
            <w:tcW w:w="790" w:type="dxa"/>
            <w:tcBorders>
              <w:top w:val="single" w:sz="8" w:space="0" w:color="auto"/>
              <w:bottom w:val="single" w:sz="8" w:space="0" w:color="auto"/>
            </w:tcBorders>
            <w:shd w:val="clear" w:color="auto" w:fill="auto"/>
            <w:vAlign w:val="center"/>
          </w:tcPr>
          <w:p w14:paraId="3938697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r>
      <w:tr w:rsidR="00235309" w:rsidRPr="00765F6E" w14:paraId="50B39EAA" w14:textId="77777777" w:rsidTr="00871D47">
        <w:trPr>
          <w:trHeight w:val="176"/>
          <w:jc w:val="center"/>
        </w:trPr>
        <w:tc>
          <w:tcPr>
            <w:tcW w:w="799" w:type="dxa"/>
            <w:tcBorders>
              <w:top w:val="single" w:sz="8" w:space="0" w:color="auto"/>
            </w:tcBorders>
            <w:shd w:val="clear" w:color="auto" w:fill="auto"/>
            <w:vAlign w:val="center"/>
          </w:tcPr>
          <w:p w14:paraId="0A97B35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single" w:sz="8" w:space="0" w:color="auto"/>
            </w:tcBorders>
            <w:shd w:val="clear" w:color="auto" w:fill="auto"/>
            <w:vAlign w:val="center"/>
          </w:tcPr>
          <w:p w14:paraId="78C6B0C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0 </w:t>
            </w:r>
          </w:p>
        </w:tc>
        <w:tc>
          <w:tcPr>
            <w:tcW w:w="798" w:type="dxa"/>
            <w:tcBorders>
              <w:top w:val="single" w:sz="8" w:space="0" w:color="auto"/>
            </w:tcBorders>
            <w:shd w:val="clear" w:color="auto" w:fill="auto"/>
            <w:vAlign w:val="center"/>
          </w:tcPr>
          <w:p w14:paraId="7979467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764 </w:t>
            </w:r>
          </w:p>
        </w:tc>
        <w:tc>
          <w:tcPr>
            <w:tcW w:w="798" w:type="dxa"/>
            <w:tcBorders>
              <w:top w:val="single" w:sz="8" w:space="0" w:color="auto"/>
            </w:tcBorders>
            <w:shd w:val="clear" w:color="auto" w:fill="auto"/>
            <w:vAlign w:val="center"/>
          </w:tcPr>
          <w:p w14:paraId="3C90501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1222 </w:t>
            </w:r>
          </w:p>
        </w:tc>
        <w:tc>
          <w:tcPr>
            <w:tcW w:w="798" w:type="dxa"/>
            <w:tcBorders>
              <w:top w:val="single" w:sz="8" w:space="0" w:color="auto"/>
            </w:tcBorders>
            <w:shd w:val="clear" w:color="auto" w:fill="auto"/>
            <w:vAlign w:val="center"/>
          </w:tcPr>
          <w:p w14:paraId="075C6F2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1276 </w:t>
            </w:r>
          </w:p>
        </w:tc>
        <w:tc>
          <w:tcPr>
            <w:tcW w:w="798" w:type="dxa"/>
            <w:tcBorders>
              <w:top w:val="single" w:sz="8" w:space="0" w:color="auto"/>
            </w:tcBorders>
            <w:shd w:val="clear" w:color="auto" w:fill="auto"/>
            <w:vAlign w:val="center"/>
          </w:tcPr>
          <w:p w14:paraId="001FD50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1554 </w:t>
            </w:r>
          </w:p>
        </w:tc>
        <w:tc>
          <w:tcPr>
            <w:tcW w:w="798" w:type="dxa"/>
            <w:tcBorders>
              <w:top w:val="single" w:sz="8" w:space="0" w:color="auto"/>
            </w:tcBorders>
            <w:shd w:val="clear" w:color="auto" w:fill="auto"/>
            <w:vAlign w:val="center"/>
          </w:tcPr>
          <w:p w14:paraId="603C1C1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1645 </w:t>
            </w:r>
          </w:p>
        </w:tc>
        <w:tc>
          <w:tcPr>
            <w:tcW w:w="798" w:type="dxa"/>
            <w:tcBorders>
              <w:top w:val="single" w:sz="8" w:space="0" w:color="auto"/>
            </w:tcBorders>
            <w:shd w:val="clear" w:color="auto" w:fill="auto"/>
            <w:vAlign w:val="center"/>
          </w:tcPr>
          <w:p w14:paraId="7D0DD70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1719 </w:t>
            </w:r>
          </w:p>
        </w:tc>
        <w:tc>
          <w:tcPr>
            <w:tcW w:w="798" w:type="dxa"/>
            <w:tcBorders>
              <w:top w:val="single" w:sz="8" w:space="0" w:color="auto"/>
            </w:tcBorders>
            <w:shd w:val="clear" w:color="auto" w:fill="auto"/>
            <w:vAlign w:val="center"/>
          </w:tcPr>
          <w:p w14:paraId="16FEEC6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1718 </w:t>
            </w:r>
          </w:p>
        </w:tc>
        <w:tc>
          <w:tcPr>
            <w:tcW w:w="798" w:type="dxa"/>
            <w:tcBorders>
              <w:top w:val="single" w:sz="8" w:space="0" w:color="auto"/>
            </w:tcBorders>
            <w:shd w:val="clear" w:color="auto" w:fill="auto"/>
            <w:vAlign w:val="center"/>
          </w:tcPr>
          <w:p w14:paraId="4CC0028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1772 </w:t>
            </w:r>
          </w:p>
        </w:tc>
        <w:tc>
          <w:tcPr>
            <w:tcW w:w="798" w:type="dxa"/>
            <w:tcBorders>
              <w:top w:val="single" w:sz="8" w:space="0" w:color="auto"/>
            </w:tcBorders>
            <w:shd w:val="clear" w:color="auto" w:fill="auto"/>
            <w:vAlign w:val="center"/>
          </w:tcPr>
          <w:p w14:paraId="7D2F0B4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1771 </w:t>
            </w:r>
          </w:p>
        </w:tc>
        <w:tc>
          <w:tcPr>
            <w:tcW w:w="790" w:type="dxa"/>
            <w:tcBorders>
              <w:top w:val="single" w:sz="8" w:space="0" w:color="auto"/>
            </w:tcBorders>
            <w:shd w:val="clear" w:color="auto" w:fill="auto"/>
            <w:vAlign w:val="center"/>
          </w:tcPr>
          <w:p w14:paraId="10D183A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1774 </w:t>
            </w:r>
          </w:p>
        </w:tc>
      </w:tr>
      <w:tr w:rsidR="00235309" w:rsidRPr="00765F6E" w14:paraId="52EEE7A5" w14:textId="77777777" w:rsidTr="00871D47">
        <w:trPr>
          <w:trHeight w:val="176"/>
          <w:jc w:val="center"/>
        </w:trPr>
        <w:tc>
          <w:tcPr>
            <w:tcW w:w="799" w:type="dxa"/>
            <w:shd w:val="clear" w:color="auto" w:fill="auto"/>
            <w:vAlign w:val="center"/>
          </w:tcPr>
          <w:p w14:paraId="15DABE2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03BE4C5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4575 </w:t>
            </w:r>
          </w:p>
        </w:tc>
        <w:tc>
          <w:tcPr>
            <w:tcW w:w="798" w:type="dxa"/>
            <w:shd w:val="clear" w:color="auto" w:fill="auto"/>
            <w:vAlign w:val="center"/>
          </w:tcPr>
          <w:p w14:paraId="3684765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4572 </w:t>
            </w:r>
          </w:p>
        </w:tc>
        <w:tc>
          <w:tcPr>
            <w:tcW w:w="798" w:type="dxa"/>
            <w:shd w:val="clear" w:color="auto" w:fill="auto"/>
            <w:vAlign w:val="center"/>
          </w:tcPr>
          <w:p w14:paraId="12BC7FF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4494 </w:t>
            </w:r>
          </w:p>
        </w:tc>
        <w:tc>
          <w:tcPr>
            <w:tcW w:w="798" w:type="dxa"/>
            <w:shd w:val="clear" w:color="auto" w:fill="auto"/>
            <w:vAlign w:val="center"/>
          </w:tcPr>
          <w:p w14:paraId="6485B51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3879 </w:t>
            </w:r>
          </w:p>
        </w:tc>
        <w:tc>
          <w:tcPr>
            <w:tcW w:w="798" w:type="dxa"/>
            <w:shd w:val="clear" w:color="auto" w:fill="auto"/>
            <w:vAlign w:val="center"/>
          </w:tcPr>
          <w:p w14:paraId="788214F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3551 </w:t>
            </w:r>
          </w:p>
        </w:tc>
        <w:tc>
          <w:tcPr>
            <w:tcW w:w="798" w:type="dxa"/>
            <w:shd w:val="clear" w:color="auto" w:fill="auto"/>
            <w:vAlign w:val="center"/>
          </w:tcPr>
          <w:p w14:paraId="316A419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3452 </w:t>
            </w:r>
          </w:p>
        </w:tc>
        <w:tc>
          <w:tcPr>
            <w:tcW w:w="798" w:type="dxa"/>
            <w:shd w:val="clear" w:color="auto" w:fill="auto"/>
            <w:vAlign w:val="center"/>
          </w:tcPr>
          <w:p w14:paraId="5463D26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3309 </w:t>
            </w:r>
          </w:p>
        </w:tc>
        <w:tc>
          <w:tcPr>
            <w:tcW w:w="798" w:type="dxa"/>
            <w:shd w:val="clear" w:color="auto" w:fill="auto"/>
            <w:vAlign w:val="center"/>
          </w:tcPr>
          <w:p w14:paraId="148C170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3074 </w:t>
            </w:r>
          </w:p>
        </w:tc>
        <w:tc>
          <w:tcPr>
            <w:tcW w:w="798" w:type="dxa"/>
            <w:shd w:val="clear" w:color="auto" w:fill="auto"/>
            <w:vAlign w:val="center"/>
          </w:tcPr>
          <w:p w14:paraId="5D5D592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3058 </w:t>
            </w:r>
          </w:p>
        </w:tc>
        <w:tc>
          <w:tcPr>
            <w:tcW w:w="798" w:type="dxa"/>
            <w:shd w:val="clear" w:color="auto" w:fill="auto"/>
            <w:vAlign w:val="center"/>
          </w:tcPr>
          <w:p w14:paraId="61327B5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2498 </w:t>
            </w:r>
          </w:p>
        </w:tc>
        <w:tc>
          <w:tcPr>
            <w:tcW w:w="790" w:type="dxa"/>
            <w:shd w:val="clear" w:color="auto" w:fill="auto"/>
            <w:vAlign w:val="center"/>
          </w:tcPr>
          <w:p w14:paraId="68B3C08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1677 </w:t>
            </w:r>
          </w:p>
        </w:tc>
      </w:tr>
      <w:tr w:rsidR="00235309" w:rsidRPr="00765F6E" w14:paraId="5DE12CA3" w14:textId="77777777" w:rsidTr="00871D47">
        <w:trPr>
          <w:trHeight w:val="176"/>
          <w:jc w:val="center"/>
        </w:trPr>
        <w:tc>
          <w:tcPr>
            <w:tcW w:w="799" w:type="dxa"/>
            <w:shd w:val="clear" w:color="auto" w:fill="auto"/>
            <w:vAlign w:val="center"/>
          </w:tcPr>
          <w:p w14:paraId="3239798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vAlign w:val="center"/>
          </w:tcPr>
          <w:p w14:paraId="61F8596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w:t>
            </w:r>
          </w:p>
        </w:tc>
        <w:tc>
          <w:tcPr>
            <w:tcW w:w="798" w:type="dxa"/>
            <w:shd w:val="clear" w:color="auto" w:fill="auto"/>
            <w:vAlign w:val="center"/>
          </w:tcPr>
          <w:p w14:paraId="0F89CB9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w:t>
            </w:r>
          </w:p>
        </w:tc>
        <w:tc>
          <w:tcPr>
            <w:tcW w:w="798" w:type="dxa"/>
            <w:shd w:val="clear" w:color="auto" w:fill="auto"/>
            <w:vAlign w:val="center"/>
          </w:tcPr>
          <w:p w14:paraId="3453075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w:t>
            </w:r>
          </w:p>
        </w:tc>
        <w:tc>
          <w:tcPr>
            <w:tcW w:w="798" w:type="dxa"/>
            <w:shd w:val="clear" w:color="auto" w:fill="auto"/>
            <w:vAlign w:val="center"/>
          </w:tcPr>
          <w:p w14:paraId="704C642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w:t>
            </w:r>
          </w:p>
        </w:tc>
        <w:tc>
          <w:tcPr>
            <w:tcW w:w="798" w:type="dxa"/>
            <w:shd w:val="clear" w:color="auto" w:fill="auto"/>
            <w:vAlign w:val="center"/>
          </w:tcPr>
          <w:p w14:paraId="3DAAE8B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798" w:type="dxa"/>
            <w:shd w:val="clear" w:color="auto" w:fill="auto"/>
            <w:vAlign w:val="center"/>
          </w:tcPr>
          <w:p w14:paraId="60AE5EF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w:t>
            </w:r>
          </w:p>
        </w:tc>
        <w:tc>
          <w:tcPr>
            <w:tcW w:w="798" w:type="dxa"/>
            <w:shd w:val="clear" w:color="auto" w:fill="auto"/>
            <w:vAlign w:val="center"/>
          </w:tcPr>
          <w:p w14:paraId="1C7E033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798" w:type="dxa"/>
            <w:shd w:val="clear" w:color="auto" w:fill="auto"/>
            <w:vAlign w:val="center"/>
          </w:tcPr>
          <w:p w14:paraId="294D6A5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w:t>
            </w:r>
          </w:p>
        </w:tc>
        <w:tc>
          <w:tcPr>
            <w:tcW w:w="798" w:type="dxa"/>
            <w:shd w:val="clear" w:color="auto" w:fill="auto"/>
            <w:vAlign w:val="center"/>
          </w:tcPr>
          <w:p w14:paraId="19F6130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19''</w:t>
            </w:r>
          </w:p>
        </w:tc>
        <w:tc>
          <w:tcPr>
            <w:tcW w:w="798" w:type="dxa"/>
            <w:shd w:val="clear" w:color="auto" w:fill="auto"/>
            <w:vAlign w:val="center"/>
          </w:tcPr>
          <w:p w14:paraId="1045CC7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w:t>
            </w:r>
          </w:p>
        </w:tc>
        <w:tc>
          <w:tcPr>
            <w:tcW w:w="790" w:type="dxa"/>
            <w:shd w:val="clear" w:color="auto" w:fill="auto"/>
            <w:vAlign w:val="center"/>
          </w:tcPr>
          <w:p w14:paraId="60C0C20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21''</w:t>
            </w:r>
          </w:p>
        </w:tc>
      </w:tr>
      <w:tr w:rsidR="00235309" w:rsidRPr="00765F6E" w14:paraId="13CF8389" w14:textId="77777777" w:rsidTr="00871D47">
        <w:trPr>
          <w:trHeight w:val="176"/>
          <w:jc w:val="center"/>
        </w:trPr>
        <w:tc>
          <w:tcPr>
            <w:tcW w:w="799" w:type="dxa"/>
            <w:shd w:val="clear" w:color="auto" w:fill="auto"/>
            <w:vAlign w:val="center"/>
          </w:tcPr>
          <w:p w14:paraId="227A40B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vAlign w:val="center"/>
          </w:tcPr>
          <w:p w14:paraId="471225C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1687 </w:t>
            </w:r>
          </w:p>
        </w:tc>
        <w:tc>
          <w:tcPr>
            <w:tcW w:w="798" w:type="dxa"/>
            <w:shd w:val="clear" w:color="auto" w:fill="auto"/>
            <w:vAlign w:val="center"/>
          </w:tcPr>
          <w:p w14:paraId="1E3FB64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1653 </w:t>
            </w:r>
          </w:p>
        </w:tc>
        <w:tc>
          <w:tcPr>
            <w:tcW w:w="798" w:type="dxa"/>
            <w:shd w:val="clear" w:color="auto" w:fill="auto"/>
            <w:vAlign w:val="center"/>
          </w:tcPr>
          <w:p w14:paraId="0D3FC49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1653 </w:t>
            </w:r>
          </w:p>
        </w:tc>
        <w:tc>
          <w:tcPr>
            <w:tcW w:w="798" w:type="dxa"/>
            <w:shd w:val="clear" w:color="auto" w:fill="auto"/>
            <w:vAlign w:val="center"/>
          </w:tcPr>
          <w:p w14:paraId="62659AB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1401 </w:t>
            </w:r>
          </w:p>
        </w:tc>
        <w:tc>
          <w:tcPr>
            <w:tcW w:w="798" w:type="dxa"/>
            <w:shd w:val="clear" w:color="auto" w:fill="auto"/>
            <w:vAlign w:val="center"/>
          </w:tcPr>
          <w:p w14:paraId="6EEC36D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1312 </w:t>
            </w:r>
          </w:p>
        </w:tc>
        <w:tc>
          <w:tcPr>
            <w:tcW w:w="798" w:type="dxa"/>
            <w:shd w:val="clear" w:color="auto" w:fill="auto"/>
            <w:vAlign w:val="center"/>
          </w:tcPr>
          <w:p w14:paraId="7701AFD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1312 </w:t>
            </w:r>
          </w:p>
        </w:tc>
        <w:tc>
          <w:tcPr>
            <w:tcW w:w="798" w:type="dxa"/>
            <w:shd w:val="clear" w:color="auto" w:fill="auto"/>
            <w:vAlign w:val="center"/>
          </w:tcPr>
          <w:p w14:paraId="16C30F1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859 </w:t>
            </w:r>
          </w:p>
        </w:tc>
        <w:tc>
          <w:tcPr>
            <w:tcW w:w="798" w:type="dxa"/>
            <w:shd w:val="clear" w:color="auto" w:fill="auto"/>
            <w:vAlign w:val="center"/>
          </w:tcPr>
          <w:p w14:paraId="5426AC5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856 </w:t>
            </w:r>
          </w:p>
        </w:tc>
        <w:tc>
          <w:tcPr>
            <w:tcW w:w="798" w:type="dxa"/>
            <w:shd w:val="clear" w:color="auto" w:fill="auto"/>
            <w:vAlign w:val="center"/>
          </w:tcPr>
          <w:p w14:paraId="6AAD536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753 </w:t>
            </w:r>
          </w:p>
        </w:tc>
        <w:tc>
          <w:tcPr>
            <w:tcW w:w="798" w:type="dxa"/>
            <w:shd w:val="clear" w:color="auto" w:fill="auto"/>
            <w:vAlign w:val="center"/>
          </w:tcPr>
          <w:p w14:paraId="166658B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753 </w:t>
            </w:r>
          </w:p>
        </w:tc>
        <w:tc>
          <w:tcPr>
            <w:tcW w:w="790" w:type="dxa"/>
            <w:shd w:val="clear" w:color="auto" w:fill="auto"/>
            <w:vAlign w:val="center"/>
          </w:tcPr>
          <w:p w14:paraId="6F65147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633 </w:t>
            </w:r>
          </w:p>
        </w:tc>
      </w:tr>
      <w:tr w:rsidR="00235309" w:rsidRPr="00765F6E" w14:paraId="10094D07" w14:textId="77777777" w:rsidTr="00871D47">
        <w:trPr>
          <w:trHeight w:val="176"/>
          <w:jc w:val="center"/>
        </w:trPr>
        <w:tc>
          <w:tcPr>
            <w:tcW w:w="799" w:type="dxa"/>
            <w:shd w:val="clear" w:color="auto" w:fill="auto"/>
            <w:vAlign w:val="center"/>
          </w:tcPr>
          <w:p w14:paraId="1AF5D1F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63840D1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1007 </w:t>
            </w:r>
          </w:p>
        </w:tc>
        <w:tc>
          <w:tcPr>
            <w:tcW w:w="798" w:type="dxa"/>
            <w:shd w:val="clear" w:color="auto" w:fill="auto"/>
            <w:vAlign w:val="center"/>
          </w:tcPr>
          <w:p w14:paraId="5BF67BC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368 </w:t>
            </w:r>
          </w:p>
        </w:tc>
        <w:tc>
          <w:tcPr>
            <w:tcW w:w="798" w:type="dxa"/>
            <w:shd w:val="clear" w:color="auto" w:fill="auto"/>
            <w:vAlign w:val="center"/>
          </w:tcPr>
          <w:p w14:paraId="19F74E0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368 </w:t>
            </w:r>
          </w:p>
        </w:tc>
        <w:tc>
          <w:tcPr>
            <w:tcW w:w="798" w:type="dxa"/>
            <w:shd w:val="clear" w:color="auto" w:fill="auto"/>
            <w:vAlign w:val="center"/>
          </w:tcPr>
          <w:p w14:paraId="3F78EFA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90 </w:t>
            </w:r>
          </w:p>
        </w:tc>
        <w:tc>
          <w:tcPr>
            <w:tcW w:w="798" w:type="dxa"/>
            <w:shd w:val="clear" w:color="auto" w:fill="auto"/>
            <w:vAlign w:val="center"/>
          </w:tcPr>
          <w:p w14:paraId="1D8ED1B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50 </w:t>
            </w:r>
          </w:p>
        </w:tc>
        <w:tc>
          <w:tcPr>
            <w:tcW w:w="798" w:type="dxa"/>
            <w:shd w:val="clear" w:color="auto" w:fill="auto"/>
            <w:vAlign w:val="center"/>
          </w:tcPr>
          <w:p w14:paraId="0B0FBFC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50 </w:t>
            </w:r>
          </w:p>
        </w:tc>
        <w:tc>
          <w:tcPr>
            <w:tcW w:w="798" w:type="dxa"/>
            <w:shd w:val="clear" w:color="auto" w:fill="auto"/>
            <w:vAlign w:val="center"/>
          </w:tcPr>
          <w:p w14:paraId="763D29E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52 </w:t>
            </w:r>
          </w:p>
        </w:tc>
        <w:tc>
          <w:tcPr>
            <w:tcW w:w="798" w:type="dxa"/>
            <w:shd w:val="clear" w:color="auto" w:fill="auto"/>
            <w:vAlign w:val="center"/>
          </w:tcPr>
          <w:p w14:paraId="237C8ED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-18 </w:t>
            </w:r>
          </w:p>
        </w:tc>
        <w:tc>
          <w:tcPr>
            <w:tcW w:w="798" w:type="dxa"/>
            <w:shd w:val="clear" w:color="auto" w:fill="auto"/>
            <w:vAlign w:val="center"/>
          </w:tcPr>
          <w:p w14:paraId="7C81339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-18 </w:t>
            </w:r>
          </w:p>
        </w:tc>
        <w:tc>
          <w:tcPr>
            <w:tcW w:w="798" w:type="dxa"/>
            <w:shd w:val="clear" w:color="auto" w:fill="auto"/>
            <w:vAlign w:val="center"/>
          </w:tcPr>
          <w:p w14:paraId="03A5CF8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-69 </w:t>
            </w:r>
          </w:p>
        </w:tc>
        <w:tc>
          <w:tcPr>
            <w:tcW w:w="790" w:type="dxa"/>
            <w:shd w:val="clear" w:color="auto" w:fill="auto"/>
            <w:vAlign w:val="center"/>
          </w:tcPr>
          <w:p w14:paraId="0B17183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-69 </w:t>
            </w:r>
          </w:p>
        </w:tc>
      </w:tr>
      <w:tr w:rsidR="00235309" w:rsidRPr="00765F6E" w14:paraId="16FFA718" w14:textId="77777777" w:rsidTr="00871D47">
        <w:trPr>
          <w:trHeight w:val="176"/>
          <w:jc w:val="center"/>
        </w:trPr>
        <w:tc>
          <w:tcPr>
            <w:tcW w:w="799" w:type="dxa"/>
            <w:shd w:val="clear" w:color="auto" w:fill="auto"/>
            <w:vAlign w:val="center"/>
          </w:tcPr>
          <w:p w14:paraId="4FDCC4D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vAlign w:val="center"/>
          </w:tcPr>
          <w:p w14:paraId="6378F20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22''</w:t>
            </w:r>
          </w:p>
        </w:tc>
        <w:tc>
          <w:tcPr>
            <w:tcW w:w="798" w:type="dxa"/>
            <w:shd w:val="clear" w:color="auto" w:fill="auto"/>
            <w:vAlign w:val="center"/>
          </w:tcPr>
          <w:p w14:paraId="31EADD8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23''</w:t>
            </w:r>
          </w:p>
        </w:tc>
        <w:tc>
          <w:tcPr>
            <w:tcW w:w="798" w:type="dxa"/>
            <w:shd w:val="clear" w:color="auto" w:fill="auto"/>
            <w:vAlign w:val="center"/>
          </w:tcPr>
          <w:p w14:paraId="1A4140B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0s″</w:t>
            </w:r>
          </w:p>
        </w:tc>
        <w:tc>
          <w:tcPr>
            <w:tcW w:w="798" w:type="dxa"/>
            <w:shd w:val="clear" w:color="auto" w:fill="auto"/>
            <w:vAlign w:val="center"/>
          </w:tcPr>
          <w:p w14:paraId="545D4B1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1s″</w:t>
            </w:r>
          </w:p>
        </w:tc>
        <w:tc>
          <w:tcPr>
            <w:tcW w:w="798" w:type="dxa"/>
            <w:shd w:val="clear" w:color="auto" w:fill="auto"/>
            <w:vAlign w:val="center"/>
          </w:tcPr>
          <w:p w14:paraId="1A1635D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2s″</w:t>
            </w:r>
          </w:p>
        </w:tc>
        <w:tc>
          <w:tcPr>
            <w:tcW w:w="798" w:type="dxa"/>
            <w:shd w:val="clear" w:color="auto" w:fill="auto"/>
            <w:vAlign w:val="center"/>
          </w:tcPr>
          <w:p w14:paraId="611CC22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3s″</w:t>
            </w:r>
          </w:p>
        </w:tc>
        <w:tc>
          <w:tcPr>
            <w:tcW w:w="798" w:type="dxa"/>
            <w:shd w:val="clear" w:color="auto" w:fill="auto"/>
            <w:vAlign w:val="center"/>
          </w:tcPr>
          <w:p w14:paraId="27509FA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4s″</w:t>
            </w:r>
          </w:p>
        </w:tc>
        <w:tc>
          <w:tcPr>
            <w:tcW w:w="798" w:type="dxa"/>
            <w:shd w:val="clear" w:color="auto" w:fill="auto"/>
            <w:vAlign w:val="center"/>
          </w:tcPr>
          <w:p w14:paraId="5B0A2CA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5s″</w:t>
            </w:r>
          </w:p>
        </w:tc>
        <w:tc>
          <w:tcPr>
            <w:tcW w:w="798" w:type="dxa"/>
            <w:shd w:val="clear" w:color="auto" w:fill="auto"/>
            <w:vAlign w:val="center"/>
          </w:tcPr>
          <w:p w14:paraId="305ED73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6s″</w:t>
            </w:r>
          </w:p>
        </w:tc>
        <w:tc>
          <w:tcPr>
            <w:tcW w:w="798" w:type="dxa"/>
            <w:shd w:val="clear" w:color="auto" w:fill="auto"/>
            <w:vAlign w:val="center"/>
          </w:tcPr>
          <w:p w14:paraId="4173DBD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7s″</w:t>
            </w:r>
          </w:p>
        </w:tc>
        <w:tc>
          <w:tcPr>
            <w:tcW w:w="790" w:type="dxa"/>
            <w:shd w:val="clear" w:color="auto" w:fill="auto"/>
            <w:vAlign w:val="center"/>
          </w:tcPr>
          <w:p w14:paraId="14C6503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8s″</w:t>
            </w:r>
          </w:p>
        </w:tc>
      </w:tr>
      <w:tr w:rsidR="00235309" w:rsidRPr="00765F6E" w14:paraId="38A6A0D4" w14:textId="77777777" w:rsidTr="00871D47">
        <w:trPr>
          <w:trHeight w:val="176"/>
          <w:jc w:val="center"/>
        </w:trPr>
        <w:tc>
          <w:tcPr>
            <w:tcW w:w="799" w:type="dxa"/>
            <w:shd w:val="clear" w:color="auto" w:fill="auto"/>
            <w:vAlign w:val="center"/>
          </w:tcPr>
          <w:p w14:paraId="68BA132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vAlign w:val="center"/>
          </w:tcPr>
          <w:p w14:paraId="457D3A9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629 </w:t>
            </w:r>
          </w:p>
        </w:tc>
        <w:tc>
          <w:tcPr>
            <w:tcW w:w="798" w:type="dxa"/>
            <w:shd w:val="clear" w:color="auto" w:fill="auto"/>
            <w:vAlign w:val="center"/>
          </w:tcPr>
          <w:p w14:paraId="703DD65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0 </w:t>
            </w:r>
          </w:p>
        </w:tc>
        <w:tc>
          <w:tcPr>
            <w:tcW w:w="798" w:type="dxa"/>
            <w:shd w:val="clear" w:color="auto" w:fill="auto"/>
            <w:vAlign w:val="center"/>
          </w:tcPr>
          <w:p w14:paraId="0F54FB3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shd w:val="clear" w:color="auto" w:fill="auto"/>
            <w:vAlign w:val="center"/>
          </w:tcPr>
          <w:p w14:paraId="4A36093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340</w:t>
            </w:r>
          </w:p>
        </w:tc>
        <w:tc>
          <w:tcPr>
            <w:tcW w:w="798" w:type="dxa"/>
            <w:shd w:val="clear" w:color="auto" w:fill="auto"/>
            <w:vAlign w:val="center"/>
          </w:tcPr>
          <w:p w14:paraId="160CE24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679</w:t>
            </w:r>
          </w:p>
        </w:tc>
        <w:tc>
          <w:tcPr>
            <w:tcW w:w="798" w:type="dxa"/>
            <w:shd w:val="clear" w:color="auto" w:fill="auto"/>
            <w:vAlign w:val="center"/>
          </w:tcPr>
          <w:p w14:paraId="07512FA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790</w:t>
            </w:r>
          </w:p>
        </w:tc>
        <w:tc>
          <w:tcPr>
            <w:tcW w:w="798" w:type="dxa"/>
            <w:shd w:val="clear" w:color="auto" w:fill="auto"/>
            <w:vAlign w:val="center"/>
          </w:tcPr>
          <w:p w14:paraId="509D270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922</w:t>
            </w:r>
          </w:p>
        </w:tc>
        <w:tc>
          <w:tcPr>
            <w:tcW w:w="798" w:type="dxa"/>
            <w:shd w:val="clear" w:color="auto" w:fill="auto"/>
            <w:vAlign w:val="center"/>
          </w:tcPr>
          <w:p w14:paraId="37EF14D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1053</w:t>
            </w:r>
          </w:p>
        </w:tc>
        <w:tc>
          <w:tcPr>
            <w:tcW w:w="798" w:type="dxa"/>
            <w:shd w:val="clear" w:color="auto" w:fill="auto"/>
            <w:vAlign w:val="center"/>
          </w:tcPr>
          <w:p w14:paraId="69FEE85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1168</w:t>
            </w:r>
          </w:p>
        </w:tc>
        <w:tc>
          <w:tcPr>
            <w:tcW w:w="798" w:type="dxa"/>
            <w:shd w:val="clear" w:color="auto" w:fill="auto"/>
            <w:vAlign w:val="center"/>
          </w:tcPr>
          <w:p w14:paraId="732393C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1333</w:t>
            </w:r>
          </w:p>
        </w:tc>
        <w:tc>
          <w:tcPr>
            <w:tcW w:w="790" w:type="dxa"/>
            <w:shd w:val="clear" w:color="auto" w:fill="auto"/>
            <w:vAlign w:val="center"/>
          </w:tcPr>
          <w:p w14:paraId="36E98BD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1401</w:t>
            </w:r>
          </w:p>
        </w:tc>
      </w:tr>
      <w:tr w:rsidR="00235309" w:rsidRPr="00765F6E" w14:paraId="76ECB4F1" w14:textId="77777777" w:rsidTr="00871D47">
        <w:trPr>
          <w:trHeight w:val="176"/>
          <w:jc w:val="center"/>
        </w:trPr>
        <w:tc>
          <w:tcPr>
            <w:tcW w:w="799" w:type="dxa"/>
            <w:shd w:val="clear" w:color="auto" w:fill="auto"/>
            <w:vAlign w:val="center"/>
          </w:tcPr>
          <w:p w14:paraId="6B74CA2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vAlign w:val="center"/>
          </w:tcPr>
          <w:p w14:paraId="7A7CB5B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30 </w:t>
            </w:r>
          </w:p>
        </w:tc>
        <w:tc>
          <w:tcPr>
            <w:tcW w:w="798" w:type="dxa"/>
            <w:shd w:val="clear" w:color="auto" w:fill="auto"/>
            <w:vAlign w:val="center"/>
          </w:tcPr>
          <w:p w14:paraId="1D538B6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 xml:space="preserve">30 </w:t>
            </w:r>
          </w:p>
        </w:tc>
        <w:tc>
          <w:tcPr>
            <w:tcW w:w="798" w:type="dxa"/>
            <w:shd w:val="clear" w:color="auto" w:fill="auto"/>
            <w:vAlign w:val="center"/>
          </w:tcPr>
          <w:p w14:paraId="29173C7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5320</w:t>
            </w:r>
          </w:p>
        </w:tc>
        <w:tc>
          <w:tcPr>
            <w:tcW w:w="798" w:type="dxa"/>
            <w:shd w:val="clear" w:color="auto" w:fill="auto"/>
            <w:vAlign w:val="center"/>
          </w:tcPr>
          <w:p w14:paraId="7B768EF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5319</w:t>
            </w:r>
          </w:p>
        </w:tc>
        <w:tc>
          <w:tcPr>
            <w:tcW w:w="798" w:type="dxa"/>
            <w:shd w:val="clear" w:color="auto" w:fill="auto"/>
            <w:vAlign w:val="center"/>
          </w:tcPr>
          <w:p w14:paraId="0E57AAB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5311</w:t>
            </w:r>
          </w:p>
        </w:tc>
        <w:tc>
          <w:tcPr>
            <w:tcW w:w="798" w:type="dxa"/>
            <w:shd w:val="clear" w:color="auto" w:fill="auto"/>
            <w:vAlign w:val="center"/>
          </w:tcPr>
          <w:p w14:paraId="543D1A9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5301</w:t>
            </w:r>
          </w:p>
        </w:tc>
        <w:tc>
          <w:tcPr>
            <w:tcW w:w="798" w:type="dxa"/>
            <w:shd w:val="clear" w:color="auto" w:fill="auto"/>
            <w:vAlign w:val="center"/>
          </w:tcPr>
          <w:p w14:paraId="473263E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5281</w:t>
            </w:r>
          </w:p>
        </w:tc>
        <w:tc>
          <w:tcPr>
            <w:tcW w:w="798" w:type="dxa"/>
            <w:shd w:val="clear" w:color="auto" w:fill="auto"/>
            <w:vAlign w:val="center"/>
          </w:tcPr>
          <w:p w14:paraId="732F8C9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5242</w:t>
            </w:r>
          </w:p>
        </w:tc>
        <w:tc>
          <w:tcPr>
            <w:tcW w:w="798" w:type="dxa"/>
            <w:shd w:val="clear" w:color="auto" w:fill="auto"/>
            <w:vAlign w:val="center"/>
          </w:tcPr>
          <w:p w14:paraId="0230E6A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5170</w:t>
            </w:r>
          </w:p>
        </w:tc>
        <w:tc>
          <w:tcPr>
            <w:tcW w:w="798" w:type="dxa"/>
            <w:shd w:val="clear" w:color="auto" w:fill="auto"/>
            <w:vAlign w:val="center"/>
          </w:tcPr>
          <w:p w14:paraId="290E5DA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5031</w:t>
            </w:r>
          </w:p>
        </w:tc>
        <w:tc>
          <w:tcPr>
            <w:tcW w:w="790" w:type="dxa"/>
            <w:shd w:val="clear" w:color="auto" w:fill="auto"/>
            <w:vAlign w:val="center"/>
          </w:tcPr>
          <w:p w14:paraId="272CA61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4943</w:t>
            </w:r>
          </w:p>
        </w:tc>
      </w:tr>
      <w:tr w:rsidR="00235309" w:rsidRPr="00765F6E" w14:paraId="79F5FF88" w14:textId="77777777" w:rsidTr="00871D47">
        <w:trPr>
          <w:trHeight w:val="176"/>
          <w:jc w:val="center"/>
        </w:trPr>
        <w:tc>
          <w:tcPr>
            <w:tcW w:w="799" w:type="dxa"/>
            <w:shd w:val="clear" w:color="auto" w:fill="auto"/>
            <w:vAlign w:val="center"/>
          </w:tcPr>
          <w:p w14:paraId="71E673A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vAlign w:val="center"/>
          </w:tcPr>
          <w:p w14:paraId="30F0332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9s″</w:t>
            </w:r>
          </w:p>
        </w:tc>
        <w:tc>
          <w:tcPr>
            <w:tcW w:w="798" w:type="dxa"/>
            <w:shd w:val="clear" w:color="auto" w:fill="auto"/>
            <w:vAlign w:val="center"/>
          </w:tcPr>
          <w:p w14:paraId="09E806E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10s″</w:t>
            </w:r>
          </w:p>
        </w:tc>
        <w:tc>
          <w:tcPr>
            <w:tcW w:w="798" w:type="dxa"/>
            <w:shd w:val="clear" w:color="auto" w:fill="auto"/>
            <w:vAlign w:val="center"/>
          </w:tcPr>
          <w:p w14:paraId="255DF00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1FCD74F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280DD5D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5D1815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415B66C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6A81E1E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13C3B14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55740B1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0" w:type="dxa"/>
            <w:shd w:val="clear" w:color="auto" w:fill="auto"/>
            <w:vAlign w:val="center"/>
          </w:tcPr>
          <w:p w14:paraId="5FDB451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235309" w:rsidRPr="00765F6E" w14:paraId="75B3071C" w14:textId="77777777" w:rsidTr="00871D47">
        <w:trPr>
          <w:trHeight w:val="176"/>
          <w:jc w:val="center"/>
        </w:trPr>
        <w:tc>
          <w:tcPr>
            <w:tcW w:w="799" w:type="dxa"/>
            <w:shd w:val="clear" w:color="auto" w:fill="auto"/>
            <w:vAlign w:val="center"/>
          </w:tcPr>
          <w:p w14:paraId="6D58FA7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vAlign w:val="center"/>
          </w:tcPr>
          <w:p w14:paraId="098E97C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1425</w:t>
            </w:r>
          </w:p>
        </w:tc>
        <w:tc>
          <w:tcPr>
            <w:tcW w:w="798" w:type="dxa"/>
            <w:shd w:val="clear" w:color="auto" w:fill="auto"/>
            <w:vAlign w:val="center"/>
          </w:tcPr>
          <w:p w14:paraId="3E62803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1425</w:t>
            </w:r>
          </w:p>
        </w:tc>
        <w:tc>
          <w:tcPr>
            <w:tcW w:w="798" w:type="dxa"/>
            <w:shd w:val="clear" w:color="auto" w:fill="auto"/>
            <w:vAlign w:val="center"/>
          </w:tcPr>
          <w:p w14:paraId="63DCC72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27D0AD2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0B8ED14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00FEBE0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47CBC47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6F3DDBF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332D190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shd w:val="clear" w:color="auto" w:fill="auto"/>
            <w:vAlign w:val="center"/>
          </w:tcPr>
          <w:p w14:paraId="6427051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0" w:type="dxa"/>
            <w:shd w:val="clear" w:color="auto" w:fill="auto"/>
            <w:vAlign w:val="center"/>
          </w:tcPr>
          <w:p w14:paraId="47FAA5A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235309" w:rsidRPr="00765F6E" w14:paraId="586F5BC1" w14:textId="77777777" w:rsidTr="00871D47">
        <w:trPr>
          <w:trHeight w:val="176"/>
          <w:jc w:val="center"/>
        </w:trPr>
        <w:tc>
          <w:tcPr>
            <w:tcW w:w="799" w:type="dxa"/>
            <w:tcBorders>
              <w:bottom w:val="single" w:sz="8" w:space="0" w:color="auto"/>
            </w:tcBorders>
            <w:shd w:val="clear" w:color="auto" w:fill="auto"/>
            <w:vAlign w:val="center"/>
          </w:tcPr>
          <w:p w14:paraId="7024A38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tcBorders>
              <w:bottom w:val="single" w:sz="8" w:space="0" w:color="auto"/>
            </w:tcBorders>
            <w:shd w:val="clear" w:color="auto" w:fill="auto"/>
            <w:vAlign w:val="center"/>
          </w:tcPr>
          <w:p w14:paraId="48A22A5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4834</w:t>
            </w:r>
          </w:p>
        </w:tc>
        <w:tc>
          <w:tcPr>
            <w:tcW w:w="798" w:type="dxa"/>
            <w:tcBorders>
              <w:bottom w:val="single" w:sz="8" w:space="0" w:color="auto"/>
            </w:tcBorders>
            <w:shd w:val="clear" w:color="auto" w:fill="auto"/>
            <w:vAlign w:val="center"/>
          </w:tcPr>
          <w:p w14:paraId="103E28C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4632</w:t>
            </w:r>
          </w:p>
        </w:tc>
        <w:tc>
          <w:tcPr>
            <w:tcW w:w="798" w:type="dxa"/>
            <w:tcBorders>
              <w:bottom w:val="single" w:sz="8" w:space="0" w:color="auto"/>
            </w:tcBorders>
            <w:shd w:val="clear" w:color="auto" w:fill="auto"/>
            <w:vAlign w:val="center"/>
          </w:tcPr>
          <w:p w14:paraId="3BAF8C2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58A1561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406F9B1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149DEE8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09D40F0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2751478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7432B50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8" w:type="dxa"/>
            <w:tcBorders>
              <w:bottom w:val="single" w:sz="8" w:space="0" w:color="auto"/>
            </w:tcBorders>
            <w:shd w:val="clear" w:color="auto" w:fill="auto"/>
            <w:vAlign w:val="center"/>
          </w:tcPr>
          <w:p w14:paraId="5858A2D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c>
          <w:tcPr>
            <w:tcW w:w="790" w:type="dxa"/>
            <w:tcBorders>
              <w:bottom w:val="single" w:sz="8" w:space="0" w:color="auto"/>
            </w:tcBorders>
            <w:shd w:val="clear" w:color="auto" w:fill="auto"/>
            <w:vAlign w:val="center"/>
          </w:tcPr>
          <w:p w14:paraId="5B6BFA5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p>
        </w:tc>
      </w:tr>
      <w:tr w:rsidR="00235309" w:rsidRPr="00765F6E" w14:paraId="39500E42" w14:textId="77777777" w:rsidTr="00871D47">
        <w:trPr>
          <w:trHeight w:val="176"/>
          <w:jc w:val="center"/>
        </w:trPr>
        <w:tc>
          <w:tcPr>
            <w:tcW w:w="9570" w:type="dxa"/>
            <w:gridSpan w:val="12"/>
            <w:tcBorders>
              <w:top w:val="single" w:sz="8" w:space="0" w:color="auto"/>
              <w:bottom w:val="single" w:sz="8" w:space="0" w:color="auto"/>
            </w:tcBorders>
            <w:shd w:val="clear" w:color="auto" w:fill="auto"/>
            <w:vAlign w:val="center"/>
          </w:tcPr>
          <w:p w14:paraId="431FE2E4" w14:textId="5CE1376B" w:rsidR="00235309" w:rsidRPr="00765F6E" w:rsidRDefault="00235309" w:rsidP="00235309">
            <w:pPr>
              <w:pStyle w:val="afff2"/>
              <w:ind w:left="584"/>
            </w:pPr>
            <w:r w:rsidRPr="00765F6E">
              <w:t>0s</w:t>
            </w:r>
            <w:r w:rsidRPr="00765F6E">
              <w:t>″</w:t>
            </w:r>
            <w:r w:rsidR="00396F4E">
              <w:rPr>
                <w:rFonts w:hAnsi="宋体" w:hint="eastAsia"/>
              </w:rPr>
              <w:t>～</w:t>
            </w:r>
            <w:r w:rsidRPr="00765F6E">
              <w:t>10s</w:t>
            </w:r>
            <w:r w:rsidRPr="00765F6E">
              <w:t>″</w:t>
            </w:r>
            <w:r w:rsidRPr="00765F6E">
              <w:t>为受电弓设备限界。</w:t>
            </w:r>
          </w:p>
        </w:tc>
      </w:tr>
    </w:tbl>
    <w:p w14:paraId="4F3FD41D" w14:textId="77777777" w:rsidR="00235309" w:rsidRPr="00765F6E" w:rsidRDefault="00235309" w:rsidP="00235309">
      <w:pPr>
        <w:pStyle w:val="affffb"/>
        <w:spacing w:before="120" w:after="120"/>
        <w:ind w:firstLine="420"/>
        <w:jc w:val="right"/>
        <w:rPr>
          <w:rFonts w:asciiTheme="minorEastAsia" w:eastAsiaTheme="minorEastAsia" w:hAnsiTheme="minorEastAsia"/>
        </w:rPr>
        <w:sectPr w:rsidR="00235309" w:rsidRPr="00765F6E" w:rsidSect="000A5A1C">
          <w:headerReference w:type="even" r:id="rId88"/>
          <w:headerReference w:type="default" r:id="rId89"/>
          <w:footerReference w:type="even" r:id="rId90"/>
          <w:footerReference w:type="default" r:id="rId91"/>
          <w:pgSz w:w="11906" w:h="16838"/>
          <w:pgMar w:top="1418" w:right="1134" w:bottom="1134" w:left="1418" w:header="1418" w:footer="1134" w:gutter="0"/>
          <w:cols w:space="425"/>
          <w:formProt w:val="0"/>
          <w:docGrid w:linePitch="312"/>
        </w:sectPr>
      </w:pPr>
    </w:p>
    <w:p w14:paraId="5EB94A14" w14:textId="77777777" w:rsidR="00235309" w:rsidRPr="00765F6E" w:rsidRDefault="00235309" w:rsidP="00235309">
      <w:pPr>
        <w:pStyle w:val="af9"/>
        <w:rPr>
          <w:vanish w:val="0"/>
        </w:rPr>
      </w:pPr>
    </w:p>
    <w:p w14:paraId="055BD08A" w14:textId="77777777" w:rsidR="00235309" w:rsidRPr="00765F6E" w:rsidRDefault="00235309" w:rsidP="00235309">
      <w:pPr>
        <w:pStyle w:val="aff"/>
        <w:rPr>
          <w:vanish w:val="0"/>
        </w:rPr>
      </w:pPr>
    </w:p>
    <w:p w14:paraId="2E5BE77F" w14:textId="77777777" w:rsidR="00235309" w:rsidRPr="00765F6E" w:rsidRDefault="00235309" w:rsidP="00825942">
      <w:pPr>
        <w:pStyle w:val="aff4"/>
        <w:spacing w:beforeLines="100" w:before="240" w:after="120"/>
        <w:ind w:left="420"/>
      </w:pPr>
      <w:r w:rsidRPr="00765F6E">
        <w:br/>
      </w:r>
      <w:bookmarkStart w:id="3870" w:name="_Toc153211035"/>
      <w:bookmarkStart w:id="3871" w:name="_Toc153292568"/>
      <w:bookmarkStart w:id="3872" w:name="_Toc167895933"/>
      <w:bookmarkStart w:id="3873" w:name="_Toc182476623"/>
      <w:r w:rsidRPr="00765F6E">
        <w:rPr>
          <w:rFonts w:hint="eastAsia"/>
        </w:rPr>
        <w:t>（规范性）</w:t>
      </w:r>
      <w:r w:rsidRPr="00765F6E">
        <w:br/>
      </w:r>
      <w:bookmarkStart w:id="3874" w:name="_Toc99793114"/>
      <w:r w:rsidRPr="00765F6E">
        <w:rPr>
          <w:rFonts w:hint="eastAsia"/>
        </w:rPr>
        <w:t>市域B1型车车辆轮廓线、车辆限界及设备限界</w:t>
      </w:r>
      <w:bookmarkEnd w:id="3870"/>
      <w:bookmarkEnd w:id="3871"/>
      <w:bookmarkEnd w:id="3872"/>
      <w:bookmarkEnd w:id="3873"/>
      <w:bookmarkEnd w:id="3874"/>
    </w:p>
    <w:p w14:paraId="16CCB0CE" w14:textId="19648AEE" w:rsidR="00235309" w:rsidRPr="00765F6E" w:rsidRDefault="00235309" w:rsidP="00235309">
      <w:pPr>
        <w:pStyle w:val="aff5"/>
        <w:spacing w:before="120" w:after="120"/>
        <w:ind w:firstLine="360"/>
        <w:outlineLvl w:val="9"/>
        <w:rPr>
          <w:rFonts w:ascii="宋体" w:eastAsia="宋体" w:hAnsi="宋体"/>
        </w:rPr>
      </w:pPr>
      <w:bookmarkStart w:id="3875" w:name="_Toc152659882"/>
      <w:bookmarkStart w:id="3876" w:name="_Toc99793115"/>
      <w:bookmarkStart w:id="3877" w:name="_Toc153211036"/>
      <w:bookmarkStart w:id="3878" w:name="_Toc99801258"/>
      <w:bookmarkStart w:id="3879" w:name="_Toc153292569"/>
      <w:bookmarkStart w:id="3880" w:name="_Toc164068561"/>
      <w:bookmarkStart w:id="3881" w:name="_Toc167895934"/>
      <w:bookmarkStart w:id="3882" w:name="_Toc174539455"/>
      <w:bookmarkStart w:id="3883" w:name="_Toc174553590"/>
      <w:bookmarkStart w:id="3884" w:name="_Toc180759212"/>
      <w:bookmarkStart w:id="3885" w:name="_Toc181266624"/>
      <w:bookmarkStart w:id="3886" w:name="_Toc182409568"/>
      <w:bookmarkStart w:id="3887" w:name="_Toc182409844"/>
      <w:bookmarkStart w:id="3888" w:name="_Toc182476624"/>
      <w:r w:rsidRPr="00765F6E">
        <w:rPr>
          <w:rFonts w:ascii="宋体" w:eastAsia="宋体" w:hAnsi="宋体" w:hint="eastAsia"/>
        </w:rPr>
        <w:t>市域B1型车车辆轮廓线、车辆限界和设备限界图</w:t>
      </w:r>
      <w:r w:rsidR="0049668C">
        <w:rPr>
          <w:rFonts w:ascii="宋体" w:eastAsia="宋体" w:hAnsi="宋体" w:hint="eastAsia"/>
        </w:rPr>
        <w:t>应符合</w:t>
      </w:r>
      <w:r w:rsidRPr="00765F6E">
        <w:rPr>
          <w:rFonts w:ascii="宋体" w:eastAsia="宋体" w:hAnsi="宋体" w:hint="eastAsia"/>
        </w:rPr>
        <w:t>图C.1，</w:t>
      </w:r>
      <w:r>
        <w:rPr>
          <w:rFonts w:ascii="宋体" w:eastAsia="宋体" w:hAnsi="宋体" w:hint="eastAsia"/>
        </w:rPr>
        <w:t>轮廓坐标点和</w:t>
      </w:r>
      <w:r w:rsidRPr="00765F6E">
        <w:rPr>
          <w:rFonts w:ascii="宋体" w:eastAsia="宋体" w:hAnsi="宋体" w:hint="eastAsia"/>
        </w:rPr>
        <w:t>限界坐标点见表C.1～表C.3。</w:t>
      </w:r>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p>
    <w:p w14:paraId="419E934F" w14:textId="329AF95E" w:rsidR="00C34127" w:rsidRDefault="00C34127" w:rsidP="00C34127">
      <w:pPr>
        <w:pStyle w:val="affffb"/>
        <w:spacing w:before="120" w:after="120"/>
        <w:ind w:firstLineChars="0" w:firstLine="0"/>
        <w:jc w:val="center"/>
      </w:pPr>
    </w:p>
    <w:p w14:paraId="45A7951E" w14:textId="4717FCF5" w:rsidR="00235309" w:rsidRPr="00765F6E" w:rsidRDefault="00BD2AA8" w:rsidP="00453DBE">
      <w:pPr>
        <w:pStyle w:val="affffb"/>
        <w:spacing w:before="120" w:after="120"/>
        <w:ind w:firstLineChars="0" w:firstLine="0"/>
        <w:jc w:val="center"/>
      </w:pPr>
      <w:r>
        <w:drawing>
          <wp:inline distT="0" distB="0" distL="0" distR="0" wp14:anchorId="39301697" wp14:editId="0BE57593">
            <wp:extent cx="5400762" cy="646441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pic:nvPicPr>
                  <pic:blipFill rotWithShape="1">
                    <a:blip r:embed="rId92" cstate="print">
                      <a:extLst>
                        <a:ext uri="{28A0092B-C50C-407E-A947-70E740481C1C}">
                          <a14:useLocalDpi xmlns:a14="http://schemas.microsoft.com/office/drawing/2010/main" val="0"/>
                        </a:ext>
                      </a:extLst>
                    </a:blip>
                    <a:srcRect l="39356" t="34131" r="47698" b="25940"/>
                    <a:stretch/>
                  </pic:blipFill>
                  <pic:spPr bwMode="auto">
                    <a:xfrm>
                      <a:off x="0" y="0"/>
                      <a:ext cx="5456075" cy="6530617"/>
                    </a:xfrm>
                    <a:prstGeom prst="rect">
                      <a:avLst/>
                    </a:prstGeom>
                    <a:ln>
                      <a:noFill/>
                    </a:ln>
                    <a:extLst>
                      <a:ext uri="{53640926-AAD7-44D8-BBD7-CCE9431645EC}">
                        <a14:shadowObscured xmlns:a14="http://schemas.microsoft.com/office/drawing/2010/main"/>
                      </a:ext>
                    </a:extLst>
                  </pic:spPr>
                </pic:pic>
              </a:graphicData>
            </a:graphic>
          </wp:inline>
        </w:drawing>
      </w:r>
    </w:p>
    <w:p w14:paraId="49108846" w14:textId="77777777" w:rsidR="00235309" w:rsidRPr="00765F6E" w:rsidRDefault="00235309" w:rsidP="00235309">
      <w:pPr>
        <w:pStyle w:val="affffb"/>
        <w:spacing w:before="120" w:after="120"/>
        <w:ind w:firstLine="420"/>
        <w:jc w:val="center"/>
      </w:pPr>
    </w:p>
    <w:p w14:paraId="1A48C03F" w14:textId="77777777" w:rsidR="00235309" w:rsidRPr="00765F6E" w:rsidRDefault="00235309" w:rsidP="00235309">
      <w:pPr>
        <w:pStyle w:val="afa"/>
        <w:spacing w:before="120" w:after="120"/>
      </w:pPr>
      <w:r w:rsidRPr="00765F6E">
        <w:rPr>
          <w:rFonts w:hint="eastAsia"/>
        </w:rPr>
        <w:t>市域B1型车车辆轮廓、车辆限界、设备限界综合图</w:t>
      </w:r>
      <w:r w:rsidRPr="00765F6E">
        <w:br w:type="page"/>
      </w:r>
    </w:p>
    <w:p w14:paraId="7403EA0E" w14:textId="77777777" w:rsidR="00235309" w:rsidRPr="00765F6E" w:rsidRDefault="00235309" w:rsidP="00235309">
      <w:pPr>
        <w:pStyle w:val="aff0"/>
        <w:spacing w:before="120" w:after="120"/>
      </w:pPr>
      <w:r w:rsidRPr="00765F6E">
        <w:rPr>
          <w:rFonts w:hint="eastAsia"/>
        </w:rPr>
        <w:lastRenderedPageBreak/>
        <w:t>车辆轮廓坐标点</w:t>
      </w:r>
    </w:p>
    <w:p w14:paraId="55370BA1"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r w:rsidRPr="00765F6E">
        <w:rPr>
          <w:rFonts w:asciiTheme="minorEastAsia" w:eastAsiaTheme="minorEastAsia" w:hAnsiTheme="minorEastAsia" w:hint="eastAsia"/>
          <w:sz w:val="18"/>
          <w:szCs w:val="18"/>
        </w:rPr>
        <w:t>单位为毫米</w:t>
      </w:r>
    </w:p>
    <w:tbl>
      <w:tblPr>
        <w:tblW w:w="957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99"/>
        <w:gridCol w:w="799"/>
        <w:gridCol w:w="798"/>
        <w:gridCol w:w="798"/>
        <w:gridCol w:w="798"/>
        <w:gridCol w:w="798"/>
        <w:gridCol w:w="798"/>
        <w:gridCol w:w="798"/>
        <w:gridCol w:w="798"/>
        <w:gridCol w:w="798"/>
        <w:gridCol w:w="798"/>
        <w:gridCol w:w="790"/>
      </w:tblGrid>
      <w:tr w:rsidR="00235309" w:rsidRPr="00765F6E" w14:paraId="1C7E88E2" w14:textId="77777777" w:rsidTr="00871D47">
        <w:trPr>
          <w:trHeight w:val="176"/>
          <w:jc w:val="center"/>
        </w:trPr>
        <w:tc>
          <w:tcPr>
            <w:tcW w:w="799" w:type="dxa"/>
            <w:tcBorders>
              <w:top w:val="single" w:sz="8" w:space="0" w:color="auto"/>
              <w:bottom w:val="single" w:sz="8" w:space="0" w:color="auto"/>
            </w:tcBorders>
            <w:shd w:val="clear" w:color="auto" w:fill="auto"/>
            <w:vAlign w:val="center"/>
          </w:tcPr>
          <w:p w14:paraId="3BC5F2B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single" w:sz="8" w:space="0" w:color="auto"/>
              <w:bottom w:val="single" w:sz="8" w:space="0" w:color="auto"/>
            </w:tcBorders>
            <w:shd w:val="clear" w:color="auto" w:fill="auto"/>
            <w:noWrap/>
            <w:vAlign w:val="center"/>
          </w:tcPr>
          <w:p w14:paraId="33FDE89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0</w:t>
            </w:r>
          </w:p>
        </w:tc>
        <w:tc>
          <w:tcPr>
            <w:tcW w:w="798" w:type="dxa"/>
            <w:tcBorders>
              <w:top w:val="single" w:sz="8" w:space="0" w:color="auto"/>
              <w:bottom w:val="single" w:sz="8" w:space="0" w:color="auto"/>
            </w:tcBorders>
            <w:shd w:val="clear" w:color="auto" w:fill="auto"/>
            <w:noWrap/>
            <w:vAlign w:val="center"/>
          </w:tcPr>
          <w:p w14:paraId="2ECFED7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w:t>
            </w:r>
          </w:p>
        </w:tc>
        <w:tc>
          <w:tcPr>
            <w:tcW w:w="798" w:type="dxa"/>
            <w:tcBorders>
              <w:top w:val="single" w:sz="8" w:space="0" w:color="auto"/>
              <w:bottom w:val="single" w:sz="8" w:space="0" w:color="auto"/>
            </w:tcBorders>
            <w:shd w:val="clear" w:color="auto" w:fill="auto"/>
            <w:noWrap/>
            <w:vAlign w:val="center"/>
          </w:tcPr>
          <w:p w14:paraId="79D5286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w:t>
            </w:r>
          </w:p>
        </w:tc>
        <w:tc>
          <w:tcPr>
            <w:tcW w:w="798" w:type="dxa"/>
            <w:tcBorders>
              <w:top w:val="single" w:sz="8" w:space="0" w:color="auto"/>
              <w:bottom w:val="single" w:sz="8" w:space="0" w:color="auto"/>
            </w:tcBorders>
            <w:shd w:val="clear" w:color="auto" w:fill="auto"/>
            <w:noWrap/>
            <w:vAlign w:val="center"/>
          </w:tcPr>
          <w:p w14:paraId="017B9FC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3</w:t>
            </w:r>
          </w:p>
        </w:tc>
        <w:tc>
          <w:tcPr>
            <w:tcW w:w="798" w:type="dxa"/>
            <w:tcBorders>
              <w:top w:val="single" w:sz="8" w:space="0" w:color="auto"/>
              <w:bottom w:val="single" w:sz="8" w:space="0" w:color="auto"/>
            </w:tcBorders>
            <w:shd w:val="clear" w:color="auto" w:fill="auto"/>
            <w:noWrap/>
            <w:vAlign w:val="center"/>
          </w:tcPr>
          <w:p w14:paraId="7EAE781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w:t>
            </w:r>
          </w:p>
        </w:tc>
        <w:tc>
          <w:tcPr>
            <w:tcW w:w="798" w:type="dxa"/>
            <w:tcBorders>
              <w:top w:val="single" w:sz="8" w:space="0" w:color="auto"/>
              <w:bottom w:val="single" w:sz="8" w:space="0" w:color="auto"/>
            </w:tcBorders>
            <w:shd w:val="clear" w:color="auto" w:fill="auto"/>
            <w:noWrap/>
            <w:vAlign w:val="center"/>
          </w:tcPr>
          <w:p w14:paraId="064173B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5</w:t>
            </w:r>
          </w:p>
        </w:tc>
        <w:tc>
          <w:tcPr>
            <w:tcW w:w="798" w:type="dxa"/>
            <w:tcBorders>
              <w:top w:val="single" w:sz="8" w:space="0" w:color="auto"/>
              <w:bottom w:val="single" w:sz="8" w:space="0" w:color="auto"/>
            </w:tcBorders>
            <w:shd w:val="clear" w:color="auto" w:fill="auto"/>
            <w:noWrap/>
            <w:vAlign w:val="center"/>
          </w:tcPr>
          <w:p w14:paraId="1801917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6</w:t>
            </w:r>
          </w:p>
        </w:tc>
        <w:tc>
          <w:tcPr>
            <w:tcW w:w="798" w:type="dxa"/>
            <w:tcBorders>
              <w:top w:val="single" w:sz="8" w:space="0" w:color="auto"/>
              <w:bottom w:val="single" w:sz="8" w:space="0" w:color="auto"/>
            </w:tcBorders>
            <w:shd w:val="clear" w:color="auto" w:fill="auto"/>
            <w:noWrap/>
            <w:vAlign w:val="center"/>
          </w:tcPr>
          <w:p w14:paraId="0F37705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7</w:t>
            </w:r>
          </w:p>
        </w:tc>
        <w:tc>
          <w:tcPr>
            <w:tcW w:w="798" w:type="dxa"/>
            <w:tcBorders>
              <w:top w:val="single" w:sz="8" w:space="0" w:color="auto"/>
              <w:bottom w:val="single" w:sz="8" w:space="0" w:color="auto"/>
            </w:tcBorders>
            <w:shd w:val="clear" w:color="auto" w:fill="auto"/>
            <w:noWrap/>
            <w:vAlign w:val="center"/>
          </w:tcPr>
          <w:p w14:paraId="5CDD336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8</w:t>
            </w:r>
          </w:p>
        </w:tc>
        <w:tc>
          <w:tcPr>
            <w:tcW w:w="798" w:type="dxa"/>
            <w:tcBorders>
              <w:top w:val="single" w:sz="8" w:space="0" w:color="auto"/>
              <w:bottom w:val="single" w:sz="8" w:space="0" w:color="auto"/>
            </w:tcBorders>
            <w:shd w:val="clear" w:color="auto" w:fill="auto"/>
            <w:noWrap/>
            <w:vAlign w:val="center"/>
          </w:tcPr>
          <w:p w14:paraId="2D0933E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9</w:t>
            </w:r>
          </w:p>
        </w:tc>
        <w:tc>
          <w:tcPr>
            <w:tcW w:w="790" w:type="dxa"/>
            <w:tcBorders>
              <w:top w:val="single" w:sz="8" w:space="0" w:color="auto"/>
              <w:bottom w:val="single" w:sz="8" w:space="0" w:color="auto"/>
            </w:tcBorders>
            <w:shd w:val="clear" w:color="auto" w:fill="auto"/>
            <w:noWrap/>
            <w:vAlign w:val="center"/>
          </w:tcPr>
          <w:p w14:paraId="5518338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10</w:t>
            </w:r>
          </w:p>
        </w:tc>
      </w:tr>
      <w:tr w:rsidR="00235309" w:rsidRPr="00765F6E" w14:paraId="7048A3BA" w14:textId="77777777" w:rsidTr="00871D47">
        <w:trPr>
          <w:trHeight w:val="176"/>
          <w:jc w:val="center"/>
        </w:trPr>
        <w:tc>
          <w:tcPr>
            <w:tcW w:w="799" w:type="dxa"/>
            <w:tcBorders>
              <w:top w:val="single" w:sz="8" w:space="0" w:color="auto"/>
            </w:tcBorders>
            <w:shd w:val="clear" w:color="auto" w:fill="auto"/>
            <w:vAlign w:val="center"/>
          </w:tcPr>
          <w:p w14:paraId="3D5605B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single" w:sz="8" w:space="0" w:color="auto"/>
            </w:tcBorders>
            <w:shd w:val="clear" w:color="auto" w:fill="auto"/>
            <w:noWrap/>
            <w:vAlign w:val="center"/>
          </w:tcPr>
          <w:p w14:paraId="28261F7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0</w:t>
            </w:r>
          </w:p>
        </w:tc>
        <w:tc>
          <w:tcPr>
            <w:tcW w:w="798" w:type="dxa"/>
            <w:tcBorders>
              <w:top w:val="single" w:sz="8" w:space="0" w:color="auto"/>
            </w:tcBorders>
            <w:shd w:val="clear" w:color="auto" w:fill="auto"/>
            <w:noWrap/>
            <w:vAlign w:val="center"/>
          </w:tcPr>
          <w:p w14:paraId="5992C85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447</w:t>
            </w:r>
          </w:p>
        </w:tc>
        <w:tc>
          <w:tcPr>
            <w:tcW w:w="798" w:type="dxa"/>
            <w:tcBorders>
              <w:top w:val="single" w:sz="8" w:space="0" w:color="auto"/>
            </w:tcBorders>
            <w:shd w:val="clear" w:color="auto" w:fill="auto"/>
            <w:noWrap/>
            <w:vAlign w:val="center"/>
          </w:tcPr>
          <w:p w14:paraId="6F1D7C56"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549</w:t>
            </w:r>
          </w:p>
        </w:tc>
        <w:tc>
          <w:tcPr>
            <w:tcW w:w="798" w:type="dxa"/>
            <w:tcBorders>
              <w:top w:val="single" w:sz="8" w:space="0" w:color="auto"/>
            </w:tcBorders>
            <w:shd w:val="clear" w:color="auto" w:fill="auto"/>
            <w:noWrap/>
            <w:vAlign w:val="center"/>
          </w:tcPr>
          <w:p w14:paraId="5937E64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705</w:t>
            </w:r>
          </w:p>
        </w:tc>
        <w:tc>
          <w:tcPr>
            <w:tcW w:w="798" w:type="dxa"/>
            <w:tcBorders>
              <w:top w:val="single" w:sz="8" w:space="0" w:color="auto"/>
            </w:tcBorders>
            <w:shd w:val="clear" w:color="auto" w:fill="auto"/>
            <w:noWrap/>
            <w:vAlign w:val="center"/>
          </w:tcPr>
          <w:p w14:paraId="508B09F0"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843</w:t>
            </w:r>
          </w:p>
        </w:tc>
        <w:tc>
          <w:tcPr>
            <w:tcW w:w="798" w:type="dxa"/>
            <w:tcBorders>
              <w:top w:val="single" w:sz="8" w:space="0" w:color="auto"/>
            </w:tcBorders>
            <w:shd w:val="clear" w:color="auto" w:fill="auto"/>
            <w:noWrap/>
            <w:vAlign w:val="center"/>
          </w:tcPr>
          <w:p w14:paraId="01092098"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1152</w:t>
            </w:r>
          </w:p>
        </w:tc>
        <w:tc>
          <w:tcPr>
            <w:tcW w:w="798" w:type="dxa"/>
            <w:tcBorders>
              <w:top w:val="single" w:sz="8" w:space="0" w:color="auto"/>
            </w:tcBorders>
            <w:shd w:val="clear" w:color="auto" w:fill="auto"/>
            <w:noWrap/>
            <w:vAlign w:val="center"/>
          </w:tcPr>
          <w:p w14:paraId="563429FB"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1284</w:t>
            </w:r>
          </w:p>
        </w:tc>
        <w:tc>
          <w:tcPr>
            <w:tcW w:w="798" w:type="dxa"/>
            <w:tcBorders>
              <w:top w:val="single" w:sz="8" w:space="0" w:color="auto"/>
            </w:tcBorders>
            <w:shd w:val="clear" w:color="auto" w:fill="auto"/>
            <w:noWrap/>
            <w:vAlign w:val="center"/>
          </w:tcPr>
          <w:p w14:paraId="2A3B55F5"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1327.1</w:t>
            </w:r>
          </w:p>
        </w:tc>
        <w:tc>
          <w:tcPr>
            <w:tcW w:w="798" w:type="dxa"/>
            <w:tcBorders>
              <w:top w:val="single" w:sz="8" w:space="0" w:color="auto"/>
            </w:tcBorders>
            <w:shd w:val="clear" w:color="auto" w:fill="auto"/>
            <w:noWrap/>
            <w:vAlign w:val="center"/>
          </w:tcPr>
          <w:p w14:paraId="415D59CB"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1426</w:t>
            </w:r>
          </w:p>
        </w:tc>
        <w:tc>
          <w:tcPr>
            <w:tcW w:w="798" w:type="dxa"/>
            <w:tcBorders>
              <w:top w:val="single" w:sz="8" w:space="0" w:color="auto"/>
            </w:tcBorders>
            <w:shd w:val="clear" w:color="auto" w:fill="auto"/>
            <w:noWrap/>
            <w:vAlign w:val="center"/>
          </w:tcPr>
          <w:p w14:paraId="354A86A8"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1441.4</w:t>
            </w:r>
          </w:p>
        </w:tc>
        <w:tc>
          <w:tcPr>
            <w:tcW w:w="790" w:type="dxa"/>
            <w:tcBorders>
              <w:top w:val="single" w:sz="8" w:space="0" w:color="auto"/>
            </w:tcBorders>
            <w:shd w:val="clear" w:color="auto" w:fill="auto"/>
            <w:noWrap/>
            <w:vAlign w:val="center"/>
          </w:tcPr>
          <w:p w14:paraId="071CA092"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1439.2</w:t>
            </w:r>
          </w:p>
        </w:tc>
      </w:tr>
      <w:tr w:rsidR="00235309" w:rsidRPr="00765F6E" w14:paraId="1C89A93F" w14:textId="77777777" w:rsidTr="00871D47">
        <w:trPr>
          <w:trHeight w:val="176"/>
          <w:jc w:val="center"/>
        </w:trPr>
        <w:tc>
          <w:tcPr>
            <w:tcW w:w="799" w:type="dxa"/>
            <w:shd w:val="clear" w:color="auto" w:fill="auto"/>
            <w:vAlign w:val="center"/>
          </w:tcPr>
          <w:p w14:paraId="2DBE1A9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710F1527"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3830</w:t>
            </w:r>
          </w:p>
        </w:tc>
        <w:tc>
          <w:tcPr>
            <w:tcW w:w="798" w:type="dxa"/>
            <w:shd w:val="clear" w:color="auto" w:fill="auto"/>
            <w:noWrap/>
            <w:vAlign w:val="center"/>
          </w:tcPr>
          <w:p w14:paraId="6AAB747F"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3830</w:t>
            </w:r>
          </w:p>
        </w:tc>
        <w:tc>
          <w:tcPr>
            <w:tcW w:w="798" w:type="dxa"/>
            <w:shd w:val="clear" w:color="auto" w:fill="auto"/>
            <w:noWrap/>
            <w:vAlign w:val="center"/>
          </w:tcPr>
          <w:p w14:paraId="4EA12BB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3825</w:t>
            </w:r>
          </w:p>
        </w:tc>
        <w:tc>
          <w:tcPr>
            <w:tcW w:w="798" w:type="dxa"/>
            <w:shd w:val="clear" w:color="auto" w:fill="auto"/>
            <w:noWrap/>
            <w:vAlign w:val="center"/>
          </w:tcPr>
          <w:p w14:paraId="1817D85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3802</w:t>
            </w:r>
          </w:p>
        </w:tc>
        <w:tc>
          <w:tcPr>
            <w:tcW w:w="798" w:type="dxa"/>
            <w:shd w:val="clear" w:color="auto" w:fill="auto"/>
            <w:noWrap/>
            <w:vAlign w:val="center"/>
          </w:tcPr>
          <w:p w14:paraId="65D2490E"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3760</w:t>
            </w:r>
          </w:p>
        </w:tc>
        <w:tc>
          <w:tcPr>
            <w:tcW w:w="798" w:type="dxa"/>
            <w:shd w:val="clear" w:color="auto" w:fill="auto"/>
            <w:noWrap/>
            <w:vAlign w:val="center"/>
          </w:tcPr>
          <w:p w14:paraId="4F498FA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3538</w:t>
            </w:r>
          </w:p>
        </w:tc>
        <w:tc>
          <w:tcPr>
            <w:tcW w:w="798" w:type="dxa"/>
            <w:shd w:val="clear" w:color="auto" w:fill="auto"/>
            <w:noWrap/>
            <w:vAlign w:val="center"/>
          </w:tcPr>
          <w:p w14:paraId="5419C7C6"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3387</w:t>
            </w:r>
          </w:p>
        </w:tc>
        <w:tc>
          <w:tcPr>
            <w:tcW w:w="798" w:type="dxa"/>
            <w:shd w:val="clear" w:color="auto" w:fill="auto"/>
            <w:noWrap/>
            <w:vAlign w:val="center"/>
          </w:tcPr>
          <w:p w14:paraId="7C11CE4B"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3219</w:t>
            </w:r>
          </w:p>
        </w:tc>
        <w:tc>
          <w:tcPr>
            <w:tcW w:w="798" w:type="dxa"/>
            <w:shd w:val="clear" w:color="auto" w:fill="auto"/>
            <w:noWrap/>
            <w:vAlign w:val="center"/>
          </w:tcPr>
          <w:p w14:paraId="52240B8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1899</w:t>
            </w:r>
          </w:p>
        </w:tc>
        <w:tc>
          <w:tcPr>
            <w:tcW w:w="798" w:type="dxa"/>
            <w:shd w:val="clear" w:color="auto" w:fill="auto"/>
            <w:noWrap/>
            <w:vAlign w:val="center"/>
          </w:tcPr>
          <w:p w14:paraId="4BDA423B"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1734</w:t>
            </w:r>
          </w:p>
        </w:tc>
        <w:tc>
          <w:tcPr>
            <w:tcW w:w="790" w:type="dxa"/>
            <w:shd w:val="clear" w:color="auto" w:fill="auto"/>
            <w:noWrap/>
            <w:vAlign w:val="center"/>
          </w:tcPr>
          <w:p w14:paraId="0F2BC0A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1651.6</w:t>
            </w:r>
          </w:p>
        </w:tc>
      </w:tr>
      <w:tr w:rsidR="00235309" w:rsidRPr="00765F6E" w14:paraId="78CB34D1" w14:textId="77777777" w:rsidTr="00871D47">
        <w:trPr>
          <w:trHeight w:val="176"/>
          <w:jc w:val="center"/>
        </w:trPr>
        <w:tc>
          <w:tcPr>
            <w:tcW w:w="799" w:type="dxa"/>
            <w:shd w:val="clear" w:color="auto" w:fill="auto"/>
            <w:vAlign w:val="center"/>
          </w:tcPr>
          <w:p w14:paraId="682E97A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noWrap/>
            <w:vAlign w:val="center"/>
          </w:tcPr>
          <w:p w14:paraId="5E7D8DC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11</w:t>
            </w:r>
          </w:p>
        </w:tc>
        <w:tc>
          <w:tcPr>
            <w:tcW w:w="798" w:type="dxa"/>
            <w:shd w:val="clear" w:color="auto" w:fill="auto"/>
            <w:noWrap/>
            <w:vAlign w:val="center"/>
          </w:tcPr>
          <w:p w14:paraId="11B4110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12</w:t>
            </w:r>
          </w:p>
        </w:tc>
        <w:tc>
          <w:tcPr>
            <w:tcW w:w="798" w:type="dxa"/>
            <w:shd w:val="clear" w:color="auto" w:fill="auto"/>
            <w:noWrap/>
            <w:vAlign w:val="center"/>
          </w:tcPr>
          <w:p w14:paraId="43FD692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13</w:t>
            </w:r>
          </w:p>
        </w:tc>
        <w:tc>
          <w:tcPr>
            <w:tcW w:w="798" w:type="dxa"/>
            <w:shd w:val="clear" w:color="auto" w:fill="auto"/>
            <w:noWrap/>
            <w:vAlign w:val="center"/>
          </w:tcPr>
          <w:p w14:paraId="6BB78E1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14</w:t>
            </w:r>
          </w:p>
        </w:tc>
        <w:tc>
          <w:tcPr>
            <w:tcW w:w="798" w:type="dxa"/>
            <w:shd w:val="clear" w:color="auto" w:fill="auto"/>
            <w:noWrap/>
            <w:vAlign w:val="center"/>
          </w:tcPr>
          <w:p w14:paraId="7BD3573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15</w:t>
            </w:r>
          </w:p>
        </w:tc>
        <w:tc>
          <w:tcPr>
            <w:tcW w:w="798" w:type="dxa"/>
            <w:shd w:val="clear" w:color="auto" w:fill="auto"/>
            <w:noWrap/>
            <w:vAlign w:val="center"/>
          </w:tcPr>
          <w:p w14:paraId="75C65FE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16</w:t>
            </w:r>
          </w:p>
        </w:tc>
        <w:tc>
          <w:tcPr>
            <w:tcW w:w="798" w:type="dxa"/>
            <w:shd w:val="clear" w:color="auto" w:fill="auto"/>
            <w:noWrap/>
            <w:vAlign w:val="center"/>
          </w:tcPr>
          <w:p w14:paraId="565A094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17</w:t>
            </w:r>
          </w:p>
        </w:tc>
        <w:tc>
          <w:tcPr>
            <w:tcW w:w="798" w:type="dxa"/>
            <w:shd w:val="clear" w:color="auto" w:fill="auto"/>
            <w:noWrap/>
            <w:vAlign w:val="center"/>
          </w:tcPr>
          <w:p w14:paraId="57235D2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18</w:t>
            </w:r>
          </w:p>
        </w:tc>
        <w:tc>
          <w:tcPr>
            <w:tcW w:w="798" w:type="dxa"/>
            <w:shd w:val="clear" w:color="auto" w:fill="auto"/>
            <w:noWrap/>
            <w:vAlign w:val="center"/>
          </w:tcPr>
          <w:p w14:paraId="02B8C7D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19</w:t>
            </w:r>
          </w:p>
        </w:tc>
        <w:tc>
          <w:tcPr>
            <w:tcW w:w="798" w:type="dxa"/>
            <w:shd w:val="clear" w:color="auto" w:fill="auto"/>
            <w:noWrap/>
            <w:vAlign w:val="center"/>
          </w:tcPr>
          <w:p w14:paraId="05D7E29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790" w:type="dxa"/>
            <w:shd w:val="clear" w:color="auto" w:fill="auto"/>
            <w:noWrap/>
            <w:vAlign w:val="center"/>
          </w:tcPr>
          <w:p w14:paraId="461D9AD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21</w:t>
            </w:r>
          </w:p>
        </w:tc>
      </w:tr>
      <w:tr w:rsidR="00235309" w:rsidRPr="00765F6E" w14:paraId="24ACC986" w14:textId="77777777" w:rsidTr="00871D47">
        <w:trPr>
          <w:trHeight w:val="176"/>
          <w:jc w:val="center"/>
        </w:trPr>
        <w:tc>
          <w:tcPr>
            <w:tcW w:w="799" w:type="dxa"/>
            <w:shd w:val="clear" w:color="auto" w:fill="auto"/>
            <w:vAlign w:val="center"/>
          </w:tcPr>
          <w:p w14:paraId="26B6225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noWrap/>
            <w:vAlign w:val="center"/>
          </w:tcPr>
          <w:p w14:paraId="345083E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1432.5</w:t>
            </w:r>
          </w:p>
        </w:tc>
        <w:tc>
          <w:tcPr>
            <w:tcW w:w="798" w:type="dxa"/>
            <w:shd w:val="clear" w:color="auto" w:fill="auto"/>
            <w:noWrap/>
            <w:vAlign w:val="center"/>
          </w:tcPr>
          <w:p w14:paraId="0FE01686"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1421.5</w:t>
            </w:r>
          </w:p>
        </w:tc>
        <w:tc>
          <w:tcPr>
            <w:tcW w:w="798" w:type="dxa"/>
            <w:shd w:val="clear" w:color="auto" w:fill="auto"/>
            <w:noWrap/>
            <w:vAlign w:val="center"/>
          </w:tcPr>
          <w:p w14:paraId="22CCC69B"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1415.5</w:t>
            </w:r>
          </w:p>
        </w:tc>
        <w:tc>
          <w:tcPr>
            <w:tcW w:w="798" w:type="dxa"/>
            <w:shd w:val="clear" w:color="auto" w:fill="auto"/>
            <w:noWrap/>
            <w:vAlign w:val="center"/>
          </w:tcPr>
          <w:p w14:paraId="24EBFD6E"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1400.5</w:t>
            </w:r>
          </w:p>
        </w:tc>
        <w:tc>
          <w:tcPr>
            <w:tcW w:w="798" w:type="dxa"/>
            <w:shd w:val="clear" w:color="auto" w:fill="auto"/>
            <w:noWrap/>
            <w:vAlign w:val="center"/>
          </w:tcPr>
          <w:p w14:paraId="0C6625A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1384</w:t>
            </w:r>
          </w:p>
        </w:tc>
        <w:tc>
          <w:tcPr>
            <w:tcW w:w="798" w:type="dxa"/>
            <w:shd w:val="clear" w:color="auto" w:fill="auto"/>
            <w:noWrap/>
            <w:vAlign w:val="center"/>
          </w:tcPr>
          <w:p w14:paraId="45BE3B99"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1366.5</w:t>
            </w:r>
          </w:p>
        </w:tc>
        <w:tc>
          <w:tcPr>
            <w:tcW w:w="798" w:type="dxa"/>
            <w:shd w:val="clear" w:color="auto" w:fill="auto"/>
            <w:noWrap/>
            <w:vAlign w:val="center"/>
          </w:tcPr>
          <w:p w14:paraId="2E013992"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1333</w:t>
            </w:r>
          </w:p>
        </w:tc>
        <w:tc>
          <w:tcPr>
            <w:tcW w:w="798" w:type="dxa"/>
            <w:shd w:val="clear" w:color="auto" w:fill="auto"/>
            <w:noWrap/>
            <w:vAlign w:val="center"/>
          </w:tcPr>
          <w:p w14:paraId="000A597B"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1333</w:t>
            </w:r>
          </w:p>
        </w:tc>
        <w:tc>
          <w:tcPr>
            <w:tcW w:w="798" w:type="dxa"/>
            <w:shd w:val="clear" w:color="auto" w:fill="auto"/>
            <w:noWrap/>
            <w:vAlign w:val="center"/>
          </w:tcPr>
          <w:p w14:paraId="28176315"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1318.8</w:t>
            </w:r>
          </w:p>
        </w:tc>
        <w:tc>
          <w:tcPr>
            <w:tcW w:w="798" w:type="dxa"/>
            <w:shd w:val="clear" w:color="auto" w:fill="auto"/>
            <w:noWrap/>
            <w:vAlign w:val="center"/>
          </w:tcPr>
          <w:p w14:paraId="2440D43B"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1320.8</w:t>
            </w:r>
          </w:p>
        </w:tc>
        <w:tc>
          <w:tcPr>
            <w:tcW w:w="790" w:type="dxa"/>
            <w:shd w:val="clear" w:color="auto" w:fill="auto"/>
            <w:noWrap/>
            <w:vAlign w:val="center"/>
          </w:tcPr>
          <w:p w14:paraId="661A940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1303</w:t>
            </w:r>
          </w:p>
        </w:tc>
      </w:tr>
      <w:tr w:rsidR="00235309" w:rsidRPr="00765F6E" w14:paraId="55C0F03F" w14:textId="77777777" w:rsidTr="00871D47">
        <w:trPr>
          <w:trHeight w:val="176"/>
          <w:jc w:val="center"/>
        </w:trPr>
        <w:tc>
          <w:tcPr>
            <w:tcW w:w="799" w:type="dxa"/>
            <w:shd w:val="clear" w:color="auto" w:fill="auto"/>
            <w:vAlign w:val="center"/>
          </w:tcPr>
          <w:p w14:paraId="13BBE76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2AA85BF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1556.9</w:t>
            </w:r>
          </w:p>
        </w:tc>
        <w:tc>
          <w:tcPr>
            <w:tcW w:w="798" w:type="dxa"/>
            <w:shd w:val="clear" w:color="auto" w:fill="auto"/>
            <w:noWrap/>
            <w:vAlign w:val="center"/>
          </w:tcPr>
          <w:p w14:paraId="17DBEF04"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1326.3</w:t>
            </w:r>
          </w:p>
        </w:tc>
        <w:tc>
          <w:tcPr>
            <w:tcW w:w="798" w:type="dxa"/>
            <w:shd w:val="clear" w:color="auto" w:fill="auto"/>
            <w:noWrap/>
            <w:vAlign w:val="center"/>
          </w:tcPr>
          <w:p w14:paraId="6B6D2459"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1241.4</w:t>
            </w:r>
          </w:p>
        </w:tc>
        <w:tc>
          <w:tcPr>
            <w:tcW w:w="798" w:type="dxa"/>
            <w:shd w:val="clear" w:color="auto" w:fill="auto"/>
            <w:noWrap/>
            <w:vAlign w:val="center"/>
          </w:tcPr>
          <w:p w14:paraId="55185780"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1100</w:t>
            </w:r>
          </w:p>
        </w:tc>
        <w:tc>
          <w:tcPr>
            <w:tcW w:w="798" w:type="dxa"/>
            <w:shd w:val="clear" w:color="auto" w:fill="auto"/>
            <w:noWrap/>
            <w:vAlign w:val="center"/>
          </w:tcPr>
          <w:p w14:paraId="21E1BC5E"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862</w:t>
            </w:r>
          </w:p>
        </w:tc>
        <w:tc>
          <w:tcPr>
            <w:tcW w:w="798" w:type="dxa"/>
            <w:shd w:val="clear" w:color="auto" w:fill="auto"/>
            <w:noWrap/>
            <w:vAlign w:val="center"/>
          </w:tcPr>
          <w:p w14:paraId="6C042715"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740.5</w:t>
            </w:r>
          </w:p>
        </w:tc>
        <w:tc>
          <w:tcPr>
            <w:tcW w:w="798" w:type="dxa"/>
            <w:shd w:val="clear" w:color="auto" w:fill="auto"/>
            <w:noWrap/>
            <w:vAlign w:val="center"/>
          </w:tcPr>
          <w:p w14:paraId="765C2EA9"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684.7</w:t>
            </w:r>
          </w:p>
        </w:tc>
        <w:tc>
          <w:tcPr>
            <w:tcW w:w="798" w:type="dxa"/>
            <w:shd w:val="clear" w:color="auto" w:fill="auto"/>
            <w:noWrap/>
            <w:vAlign w:val="center"/>
          </w:tcPr>
          <w:p w14:paraId="49770819"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565.6</w:t>
            </w:r>
          </w:p>
        </w:tc>
        <w:tc>
          <w:tcPr>
            <w:tcW w:w="798" w:type="dxa"/>
            <w:shd w:val="clear" w:color="auto" w:fill="auto"/>
            <w:noWrap/>
            <w:vAlign w:val="center"/>
          </w:tcPr>
          <w:p w14:paraId="767E86EA"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434</w:t>
            </w:r>
          </w:p>
        </w:tc>
        <w:tc>
          <w:tcPr>
            <w:tcW w:w="798" w:type="dxa"/>
            <w:shd w:val="clear" w:color="auto" w:fill="auto"/>
            <w:noWrap/>
            <w:vAlign w:val="center"/>
          </w:tcPr>
          <w:p w14:paraId="6F0AA50F"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383.7</w:t>
            </w:r>
          </w:p>
        </w:tc>
        <w:tc>
          <w:tcPr>
            <w:tcW w:w="790" w:type="dxa"/>
            <w:shd w:val="clear" w:color="auto" w:fill="auto"/>
            <w:noWrap/>
            <w:vAlign w:val="center"/>
          </w:tcPr>
          <w:p w14:paraId="066B1994"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362</w:t>
            </w:r>
          </w:p>
        </w:tc>
      </w:tr>
      <w:tr w:rsidR="00235309" w:rsidRPr="00765F6E" w14:paraId="2B4F71E9" w14:textId="77777777" w:rsidTr="00871D47">
        <w:trPr>
          <w:trHeight w:val="176"/>
          <w:jc w:val="center"/>
        </w:trPr>
        <w:tc>
          <w:tcPr>
            <w:tcW w:w="799" w:type="dxa"/>
            <w:shd w:val="clear" w:color="auto" w:fill="auto"/>
            <w:vAlign w:val="center"/>
          </w:tcPr>
          <w:p w14:paraId="65CD848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noWrap/>
            <w:vAlign w:val="center"/>
          </w:tcPr>
          <w:p w14:paraId="1862924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22</w:t>
            </w:r>
          </w:p>
        </w:tc>
        <w:tc>
          <w:tcPr>
            <w:tcW w:w="798" w:type="dxa"/>
            <w:shd w:val="clear" w:color="auto" w:fill="auto"/>
            <w:noWrap/>
            <w:vAlign w:val="center"/>
          </w:tcPr>
          <w:p w14:paraId="18936A9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23</w:t>
            </w:r>
          </w:p>
        </w:tc>
        <w:tc>
          <w:tcPr>
            <w:tcW w:w="798" w:type="dxa"/>
            <w:shd w:val="clear" w:color="auto" w:fill="auto"/>
            <w:noWrap/>
            <w:vAlign w:val="center"/>
          </w:tcPr>
          <w:p w14:paraId="6A6CFBC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24</w:t>
            </w:r>
          </w:p>
        </w:tc>
        <w:tc>
          <w:tcPr>
            <w:tcW w:w="798" w:type="dxa"/>
            <w:shd w:val="clear" w:color="auto" w:fill="auto"/>
            <w:noWrap/>
            <w:vAlign w:val="center"/>
          </w:tcPr>
          <w:p w14:paraId="72048BE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798" w:type="dxa"/>
            <w:shd w:val="clear" w:color="auto" w:fill="auto"/>
            <w:noWrap/>
            <w:vAlign w:val="center"/>
          </w:tcPr>
          <w:p w14:paraId="337767F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26</w:t>
            </w:r>
          </w:p>
        </w:tc>
        <w:tc>
          <w:tcPr>
            <w:tcW w:w="798" w:type="dxa"/>
            <w:shd w:val="clear" w:color="auto" w:fill="auto"/>
            <w:noWrap/>
            <w:vAlign w:val="center"/>
          </w:tcPr>
          <w:p w14:paraId="06DB78B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27</w:t>
            </w:r>
          </w:p>
        </w:tc>
        <w:tc>
          <w:tcPr>
            <w:tcW w:w="798" w:type="dxa"/>
            <w:shd w:val="clear" w:color="auto" w:fill="auto"/>
            <w:noWrap/>
            <w:vAlign w:val="center"/>
          </w:tcPr>
          <w:p w14:paraId="2CB3017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28</w:t>
            </w:r>
          </w:p>
        </w:tc>
        <w:tc>
          <w:tcPr>
            <w:tcW w:w="798" w:type="dxa"/>
            <w:shd w:val="clear" w:color="auto" w:fill="auto"/>
            <w:noWrap/>
            <w:vAlign w:val="center"/>
          </w:tcPr>
          <w:p w14:paraId="6A4BE4C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29</w:t>
            </w:r>
          </w:p>
        </w:tc>
        <w:tc>
          <w:tcPr>
            <w:tcW w:w="798" w:type="dxa"/>
            <w:shd w:val="clear" w:color="auto" w:fill="auto"/>
            <w:noWrap/>
            <w:vAlign w:val="center"/>
          </w:tcPr>
          <w:p w14:paraId="7C95A3F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798" w:type="dxa"/>
            <w:shd w:val="clear" w:color="auto" w:fill="auto"/>
            <w:noWrap/>
            <w:vAlign w:val="center"/>
          </w:tcPr>
          <w:p w14:paraId="13C0924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31</w:t>
            </w:r>
          </w:p>
        </w:tc>
        <w:tc>
          <w:tcPr>
            <w:tcW w:w="790" w:type="dxa"/>
            <w:shd w:val="clear" w:color="auto" w:fill="auto"/>
            <w:noWrap/>
            <w:vAlign w:val="center"/>
          </w:tcPr>
          <w:p w14:paraId="5DB95DC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32</w:t>
            </w:r>
          </w:p>
        </w:tc>
      </w:tr>
      <w:tr w:rsidR="00235309" w:rsidRPr="00765F6E" w14:paraId="318573F6" w14:textId="77777777" w:rsidTr="00871D47">
        <w:trPr>
          <w:trHeight w:val="176"/>
          <w:jc w:val="center"/>
        </w:trPr>
        <w:tc>
          <w:tcPr>
            <w:tcW w:w="799" w:type="dxa"/>
            <w:shd w:val="clear" w:color="auto" w:fill="auto"/>
            <w:vAlign w:val="center"/>
          </w:tcPr>
          <w:p w14:paraId="21D1D09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noWrap/>
            <w:vAlign w:val="center"/>
          </w:tcPr>
          <w:p w14:paraId="093BD546"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1303</w:t>
            </w:r>
          </w:p>
        </w:tc>
        <w:tc>
          <w:tcPr>
            <w:tcW w:w="798" w:type="dxa"/>
            <w:shd w:val="clear" w:color="auto" w:fill="auto"/>
            <w:noWrap/>
            <w:vAlign w:val="center"/>
          </w:tcPr>
          <w:p w14:paraId="57719C8B"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1309.8</w:t>
            </w:r>
          </w:p>
        </w:tc>
        <w:tc>
          <w:tcPr>
            <w:tcW w:w="798" w:type="dxa"/>
            <w:shd w:val="clear" w:color="auto" w:fill="auto"/>
            <w:noWrap/>
            <w:vAlign w:val="center"/>
          </w:tcPr>
          <w:p w14:paraId="3C8F7097"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1309.8</w:t>
            </w:r>
          </w:p>
        </w:tc>
        <w:tc>
          <w:tcPr>
            <w:tcW w:w="798" w:type="dxa"/>
            <w:shd w:val="clear" w:color="auto" w:fill="auto"/>
            <w:noWrap/>
            <w:vAlign w:val="center"/>
          </w:tcPr>
          <w:p w14:paraId="65DF208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1439.7</w:t>
            </w:r>
          </w:p>
        </w:tc>
        <w:tc>
          <w:tcPr>
            <w:tcW w:w="798" w:type="dxa"/>
            <w:shd w:val="clear" w:color="auto" w:fill="auto"/>
            <w:noWrap/>
            <w:vAlign w:val="center"/>
          </w:tcPr>
          <w:p w14:paraId="3BEED1E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1439.7</w:t>
            </w:r>
          </w:p>
        </w:tc>
        <w:tc>
          <w:tcPr>
            <w:tcW w:w="798" w:type="dxa"/>
            <w:shd w:val="clear" w:color="auto" w:fill="auto"/>
            <w:noWrap/>
            <w:vAlign w:val="center"/>
          </w:tcPr>
          <w:p w14:paraId="53F83B80"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1500.6</w:t>
            </w:r>
          </w:p>
        </w:tc>
        <w:tc>
          <w:tcPr>
            <w:tcW w:w="798" w:type="dxa"/>
            <w:shd w:val="clear" w:color="auto" w:fill="auto"/>
            <w:noWrap/>
            <w:vAlign w:val="center"/>
          </w:tcPr>
          <w:p w14:paraId="750F857F"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1500.6</w:t>
            </w:r>
          </w:p>
        </w:tc>
        <w:tc>
          <w:tcPr>
            <w:tcW w:w="798" w:type="dxa"/>
            <w:shd w:val="clear" w:color="auto" w:fill="auto"/>
            <w:noWrap/>
            <w:vAlign w:val="center"/>
          </w:tcPr>
          <w:p w14:paraId="6F815DD5"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1470.7</w:t>
            </w:r>
          </w:p>
        </w:tc>
        <w:tc>
          <w:tcPr>
            <w:tcW w:w="798" w:type="dxa"/>
            <w:shd w:val="clear" w:color="auto" w:fill="auto"/>
            <w:noWrap/>
            <w:vAlign w:val="center"/>
          </w:tcPr>
          <w:p w14:paraId="50F9A898"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1313.3</w:t>
            </w:r>
          </w:p>
        </w:tc>
        <w:tc>
          <w:tcPr>
            <w:tcW w:w="798" w:type="dxa"/>
            <w:shd w:val="clear" w:color="auto" w:fill="auto"/>
            <w:noWrap/>
            <w:vAlign w:val="center"/>
          </w:tcPr>
          <w:p w14:paraId="14C59E92"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1303.1</w:t>
            </w:r>
          </w:p>
        </w:tc>
        <w:tc>
          <w:tcPr>
            <w:tcW w:w="790" w:type="dxa"/>
            <w:shd w:val="clear" w:color="auto" w:fill="auto"/>
            <w:noWrap/>
            <w:vAlign w:val="center"/>
          </w:tcPr>
          <w:p w14:paraId="7C610839"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1295.9</w:t>
            </w:r>
          </w:p>
        </w:tc>
      </w:tr>
      <w:tr w:rsidR="00235309" w:rsidRPr="00765F6E" w14:paraId="326A71E2" w14:textId="77777777" w:rsidTr="00871D47">
        <w:trPr>
          <w:trHeight w:val="176"/>
          <w:jc w:val="center"/>
        </w:trPr>
        <w:tc>
          <w:tcPr>
            <w:tcW w:w="799" w:type="dxa"/>
            <w:shd w:val="clear" w:color="auto" w:fill="auto"/>
            <w:vAlign w:val="center"/>
          </w:tcPr>
          <w:p w14:paraId="67BE649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0E257529"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228.1</w:t>
            </w:r>
          </w:p>
        </w:tc>
        <w:tc>
          <w:tcPr>
            <w:tcW w:w="798" w:type="dxa"/>
            <w:shd w:val="clear" w:color="auto" w:fill="auto"/>
            <w:noWrap/>
            <w:vAlign w:val="center"/>
          </w:tcPr>
          <w:p w14:paraId="4E0C4EE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204.1</w:t>
            </w:r>
          </w:p>
        </w:tc>
        <w:tc>
          <w:tcPr>
            <w:tcW w:w="798" w:type="dxa"/>
            <w:shd w:val="clear" w:color="auto" w:fill="auto"/>
            <w:noWrap/>
            <w:vAlign w:val="center"/>
          </w:tcPr>
          <w:p w14:paraId="493AF54A"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196.3</w:t>
            </w:r>
          </w:p>
        </w:tc>
        <w:tc>
          <w:tcPr>
            <w:tcW w:w="798" w:type="dxa"/>
            <w:shd w:val="clear" w:color="auto" w:fill="auto"/>
            <w:noWrap/>
            <w:vAlign w:val="center"/>
          </w:tcPr>
          <w:p w14:paraId="75E0F2C5"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172.5</w:t>
            </w:r>
          </w:p>
        </w:tc>
        <w:tc>
          <w:tcPr>
            <w:tcW w:w="798" w:type="dxa"/>
            <w:shd w:val="clear" w:color="auto" w:fill="auto"/>
            <w:noWrap/>
            <w:vAlign w:val="center"/>
          </w:tcPr>
          <w:p w14:paraId="51CE561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200.2</w:t>
            </w:r>
          </w:p>
        </w:tc>
        <w:tc>
          <w:tcPr>
            <w:tcW w:w="798" w:type="dxa"/>
            <w:shd w:val="clear" w:color="auto" w:fill="auto"/>
            <w:noWrap/>
            <w:vAlign w:val="center"/>
          </w:tcPr>
          <w:p w14:paraId="73C8B698"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200.2</w:t>
            </w:r>
          </w:p>
        </w:tc>
        <w:tc>
          <w:tcPr>
            <w:tcW w:w="798" w:type="dxa"/>
            <w:shd w:val="clear" w:color="auto" w:fill="auto"/>
            <w:noWrap/>
            <w:vAlign w:val="center"/>
          </w:tcPr>
          <w:p w14:paraId="7611DF0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170.9</w:t>
            </w:r>
          </w:p>
        </w:tc>
        <w:tc>
          <w:tcPr>
            <w:tcW w:w="798" w:type="dxa"/>
            <w:shd w:val="clear" w:color="auto" w:fill="auto"/>
            <w:noWrap/>
            <w:vAlign w:val="center"/>
          </w:tcPr>
          <w:p w14:paraId="26A6DD0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152.8</w:t>
            </w:r>
          </w:p>
        </w:tc>
        <w:tc>
          <w:tcPr>
            <w:tcW w:w="798" w:type="dxa"/>
            <w:shd w:val="clear" w:color="auto" w:fill="auto"/>
            <w:noWrap/>
            <w:vAlign w:val="center"/>
          </w:tcPr>
          <w:p w14:paraId="6A7B01C7"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151.1</w:t>
            </w:r>
          </w:p>
        </w:tc>
        <w:tc>
          <w:tcPr>
            <w:tcW w:w="798" w:type="dxa"/>
            <w:shd w:val="clear" w:color="auto" w:fill="auto"/>
            <w:noWrap/>
            <w:vAlign w:val="center"/>
          </w:tcPr>
          <w:p w14:paraId="0C00292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141.5</w:t>
            </w:r>
          </w:p>
        </w:tc>
        <w:tc>
          <w:tcPr>
            <w:tcW w:w="790" w:type="dxa"/>
            <w:shd w:val="clear" w:color="auto" w:fill="auto"/>
            <w:noWrap/>
            <w:vAlign w:val="center"/>
          </w:tcPr>
          <w:p w14:paraId="7D3697CC"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139.8</w:t>
            </w:r>
          </w:p>
        </w:tc>
      </w:tr>
      <w:tr w:rsidR="00235309" w:rsidRPr="00765F6E" w14:paraId="27886497" w14:textId="77777777" w:rsidTr="00871D47">
        <w:trPr>
          <w:trHeight w:val="176"/>
          <w:jc w:val="center"/>
        </w:trPr>
        <w:tc>
          <w:tcPr>
            <w:tcW w:w="799" w:type="dxa"/>
            <w:shd w:val="clear" w:color="auto" w:fill="auto"/>
            <w:vAlign w:val="center"/>
          </w:tcPr>
          <w:p w14:paraId="389FBFD9"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noWrap/>
            <w:vAlign w:val="center"/>
          </w:tcPr>
          <w:p w14:paraId="638FAC04"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kern w:val="0"/>
                <w:sz w:val="18"/>
                <w:szCs w:val="18"/>
              </w:rPr>
              <w:t>33</w:t>
            </w:r>
          </w:p>
        </w:tc>
        <w:tc>
          <w:tcPr>
            <w:tcW w:w="798" w:type="dxa"/>
            <w:shd w:val="clear" w:color="auto" w:fill="auto"/>
            <w:noWrap/>
            <w:vAlign w:val="center"/>
          </w:tcPr>
          <w:p w14:paraId="19C6FA89"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kern w:val="0"/>
                <w:sz w:val="18"/>
                <w:szCs w:val="18"/>
              </w:rPr>
              <w:t>34</w:t>
            </w:r>
          </w:p>
        </w:tc>
        <w:tc>
          <w:tcPr>
            <w:tcW w:w="798" w:type="dxa"/>
            <w:shd w:val="clear" w:color="auto" w:fill="auto"/>
            <w:noWrap/>
            <w:vAlign w:val="center"/>
          </w:tcPr>
          <w:p w14:paraId="01860E86"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kern w:val="0"/>
                <w:sz w:val="18"/>
                <w:szCs w:val="18"/>
              </w:rPr>
              <w:t>35</w:t>
            </w:r>
          </w:p>
        </w:tc>
        <w:tc>
          <w:tcPr>
            <w:tcW w:w="798" w:type="dxa"/>
            <w:shd w:val="clear" w:color="auto" w:fill="auto"/>
            <w:noWrap/>
            <w:vAlign w:val="center"/>
          </w:tcPr>
          <w:p w14:paraId="0EE7D95D"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36</w:t>
            </w:r>
          </w:p>
        </w:tc>
        <w:tc>
          <w:tcPr>
            <w:tcW w:w="798" w:type="dxa"/>
            <w:shd w:val="clear" w:color="auto" w:fill="auto"/>
            <w:noWrap/>
            <w:vAlign w:val="center"/>
          </w:tcPr>
          <w:p w14:paraId="6F8A7E7B"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37</w:t>
            </w:r>
          </w:p>
        </w:tc>
        <w:tc>
          <w:tcPr>
            <w:tcW w:w="798" w:type="dxa"/>
            <w:shd w:val="clear" w:color="auto" w:fill="auto"/>
            <w:noWrap/>
            <w:vAlign w:val="center"/>
          </w:tcPr>
          <w:p w14:paraId="2F2314C8"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38</w:t>
            </w:r>
          </w:p>
        </w:tc>
        <w:tc>
          <w:tcPr>
            <w:tcW w:w="798" w:type="dxa"/>
            <w:shd w:val="clear" w:color="auto" w:fill="auto"/>
            <w:noWrap/>
            <w:vAlign w:val="center"/>
          </w:tcPr>
          <w:p w14:paraId="6FE101AA"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39</w:t>
            </w:r>
          </w:p>
        </w:tc>
        <w:tc>
          <w:tcPr>
            <w:tcW w:w="798" w:type="dxa"/>
            <w:shd w:val="clear" w:color="auto" w:fill="auto"/>
            <w:noWrap/>
            <w:vAlign w:val="center"/>
          </w:tcPr>
          <w:p w14:paraId="2609BBC3"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40</w:t>
            </w:r>
          </w:p>
        </w:tc>
        <w:tc>
          <w:tcPr>
            <w:tcW w:w="798" w:type="dxa"/>
            <w:shd w:val="clear" w:color="auto" w:fill="auto"/>
            <w:noWrap/>
            <w:vAlign w:val="center"/>
          </w:tcPr>
          <w:p w14:paraId="5E74FBFC"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41</w:t>
            </w:r>
          </w:p>
        </w:tc>
        <w:tc>
          <w:tcPr>
            <w:tcW w:w="798" w:type="dxa"/>
            <w:shd w:val="clear" w:color="auto" w:fill="auto"/>
            <w:noWrap/>
            <w:vAlign w:val="center"/>
          </w:tcPr>
          <w:p w14:paraId="48F3CBB6"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42</w:t>
            </w:r>
          </w:p>
        </w:tc>
        <w:tc>
          <w:tcPr>
            <w:tcW w:w="790" w:type="dxa"/>
            <w:shd w:val="clear" w:color="auto" w:fill="auto"/>
            <w:noWrap/>
            <w:vAlign w:val="center"/>
          </w:tcPr>
          <w:p w14:paraId="4BDAE4CD"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0F823364" w14:textId="77777777" w:rsidTr="00871D47">
        <w:trPr>
          <w:trHeight w:val="176"/>
          <w:jc w:val="center"/>
        </w:trPr>
        <w:tc>
          <w:tcPr>
            <w:tcW w:w="799" w:type="dxa"/>
            <w:shd w:val="clear" w:color="auto" w:fill="auto"/>
            <w:vAlign w:val="center"/>
          </w:tcPr>
          <w:p w14:paraId="3687BFB6"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noWrap/>
            <w:vAlign w:val="center"/>
          </w:tcPr>
          <w:p w14:paraId="10D26E34"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1234.1</w:t>
            </w:r>
          </w:p>
        </w:tc>
        <w:tc>
          <w:tcPr>
            <w:tcW w:w="798" w:type="dxa"/>
            <w:shd w:val="clear" w:color="auto" w:fill="auto"/>
            <w:noWrap/>
            <w:vAlign w:val="center"/>
          </w:tcPr>
          <w:p w14:paraId="73DA867F"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1227.2</w:t>
            </w:r>
          </w:p>
        </w:tc>
        <w:tc>
          <w:tcPr>
            <w:tcW w:w="798" w:type="dxa"/>
            <w:shd w:val="clear" w:color="auto" w:fill="auto"/>
            <w:noWrap/>
            <w:vAlign w:val="center"/>
          </w:tcPr>
          <w:p w14:paraId="2166AC87"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1223.2</w:t>
            </w:r>
          </w:p>
        </w:tc>
        <w:tc>
          <w:tcPr>
            <w:tcW w:w="798" w:type="dxa"/>
            <w:shd w:val="clear" w:color="auto" w:fill="auto"/>
            <w:noWrap/>
            <w:vAlign w:val="center"/>
          </w:tcPr>
          <w:p w14:paraId="7AF56A37"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857.2</w:t>
            </w:r>
          </w:p>
        </w:tc>
        <w:tc>
          <w:tcPr>
            <w:tcW w:w="798" w:type="dxa"/>
            <w:shd w:val="clear" w:color="auto" w:fill="auto"/>
            <w:noWrap/>
            <w:vAlign w:val="center"/>
          </w:tcPr>
          <w:p w14:paraId="33F8C282"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811</w:t>
            </w:r>
          </w:p>
        </w:tc>
        <w:tc>
          <w:tcPr>
            <w:tcW w:w="798" w:type="dxa"/>
            <w:shd w:val="clear" w:color="auto" w:fill="auto"/>
            <w:noWrap/>
            <w:vAlign w:val="center"/>
          </w:tcPr>
          <w:p w14:paraId="694AB8E2"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708</w:t>
            </w:r>
          </w:p>
        </w:tc>
        <w:tc>
          <w:tcPr>
            <w:tcW w:w="798" w:type="dxa"/>
            <w:shd w:val="clear" w:color="auto" w:fill="auto"/>
            <w:noWrap/>
            <w:vAlign w:val="center"/>
          </w:tcPr>
          <w:p w14:paraId="72A3B720"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708</w:t>
            </w:r>
          </w:p>
        </w:tc>
        <w:tc>
          <w:tcPr>
            <w:tcW w:w="798" w:type="dxa"/>
            <w:shd w:val="clear" w:color="auto" w:fill="auto"/>
            <w:noWrap/>
            <w:vAlign w:val="center"/>
          </w:tcPr>
          <w:p w14:paraId="0DB53E97"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676</w:t>
            </w:r>
          </w:p>
        </w:tc>
        <w:tc>
          <w:tcPr>
            <w:tcW w:w="798" w:type="dxa"/>
            <w:shd w:val="clear" w:color="auto" w:fill="auto"/>
            <w:noWrap/>
            <w:vAlign w:val="center"/>
          </w:tcPr>
          <w:p w14:paraId="7D2ED2FC"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671.4</w:t>
            </w:r>
          </w:p>
        </w:tc>
        <w:tc>
          <w:tcPr>
            <w:tcW w:w="798" w:type="dxa"/>
            <w:shd w:val="clear" w:color="auto" w:fill="auto"/>
            <w:noWrap/>
            <w:vAlign w:val="center"/>
          </w:tcPr>
          <w:p w14:paraId="08610D3A"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0</w:t>
            </w:r>
          </w:p>
        </w:tc>
        <w:tc>
          <w:tcPr>
            <w:tcW w:w="790" w:type="dxa"/>
            <w:shd w:val="clear" w:color="auto" w:fill="auto"/>
            <w:noWrap/>
            <w:vAlign w:val="center"/>
          </w:tcPr>
          <w:p w14:paraId="0E453155"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381E7D15" w14:textId="77777777" w:rsidTr="00871D47">
        <w:trPr>
          <w:trHeight w:val="176"/>
          <w:jc w:val="center"/>
        </w:trPr>
        <w:tc>
          <w:tcPr>
            <w:tcW w:w="799" w:type="dxa"/>
            <w:shd w:val="clear" w:color="auto" w:fill="auto"/>
            <w:vAlign w:val="center"/>
          </w:tcPr>
          <w:p w14:paraId="10FA4EEF"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6DB2E4D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144</w:t>
            </w:r>
          </w:p>
        </w:tc>
        <w:tc>
          <w:tcPr>
            <w:tcW w:w="798" w:type="dxa"/>
            <w:shd w:val="clear" w:color="auto" w:fill="auto"/>
            <w:noWrap/>
            <w:vAlign w:val="center"/>
          </w:tcPr>
          <w:p w14:paraId="0302DB6A"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146.7</w:t>
            </w:r>
          </w:p>
        </w:tc>
        <w:tc>
          <w:tcPr>
            <w:tcW w:w="798" w:type="dxa"/>
            <w:shd w:val="clear" w:color="auto" w:fill="auto"/>
            <w:noWrap/>
            <w:vAlign w:val="center"/>
          </w:tcPr>
          <w:p w14:paraId="1FA81EFE"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153</w:t>
            </w:r>
          </w:p>
        </w:tc>
        <w:tc>
          <w:tcPr>
            <w:tcW w:w="798" w:type="dxa"/>
            <w:shd w:val="clear" w:color="auto" w:fill="auto"/>
            <w:noWrap/>
            <w:vAlign w:val="center"/>
          </w:tcPr>
          <w:p w14:paraId="0FB9B392"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153</w:t>
            </w:r>
          </w:p>
        </w:tc>
        <w:tc>
          <w:tcPr>
            <w:tcW w:w="798" w:type="dxa"/>
            <w:shd w:val="clear" w:color="auto" w:fill="auto"/>
            <w:noWrap/>
            <w:vAlign w:val="center"/>
          </w:tcPr>
          <w:p w14:paraId="622AA27B"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0</w:t>
            </w:r>
          </w:p>
        </w:tc>
        <w:tc>
          <w:tcPr>
            <w:tcW w:w="798" w:type="dxa"/>
            <w:shd w:val="clear" w:color="auto" w:fill="auto"/>
            <w:noWrap/>
            <w:vAlign w:val="center"/>
          </w:tcPr>
          <w:p w14:paraId="18A83C9A"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0</w:t>
            </w:r>
          </w:p>
        </w:tc>
        <w:tc>
          <w:tcPr>
            <w:tcW w:w="798" w:type="dxa"/>
            <w:shd w:val="clear" w:color="auto" w:fill="auto"/>
            <w:noWrap/>
            <w:vAlign w:val="center"/>
          </w:tcPr>
          <w:p w14:paraId="0929935A"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-30</w:t>
            </w:r>
          </w:p>
        </w:tc>
        <w:tc>
          <w:tcPr>
            <w:tcW w:w="798" w:type="dxa"/>
            <w:shd w:val="clear" w:color="auto" w:fill="auto"/>
            <w:noWrap/>
            <w:vAlign w:val="center"/>
          </w:tcPr>
          <w:p w14:paraId="1B06880A"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-30</w:t>
            </w:r>
          </w:p>
        </w:tc>
        <w:tc>
          <w:tcPr>
            <w:tcW w:w="798" w:type="dxa"/>
            <w:shd w:val="clear" w:color="auto" w:fill="auto"/>
            <w:noWrap/>
            <w:vAlign w:val="center"/>
          </w:tcPr>
          <w:p w14:paraId="649D9EC7"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160</w:t>
            </w:r>
          </w:p>
        </w:tc>
        <w:tc>
          <w:tcPr>
            <w:tcW w:w="798" w:type="dxa"/>
            <w:shd w:val="clear" w:color="auto" w:fill="auto"/>
            <w:noWrap/>
            <w:vAlign w:val="center"/>
          </w:tcPr>
          <w:p w14:paraId="0DE12C83"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160</w:t>
            </w:r>
          </w:p>
        </w:tc>
        <w:tc>
          <w:tcPr>
            <w:tcW w:w="790" w:type="dxa"/>
            <w:shd w:val="clear" w:color="auto" w:fill="auto"/>
            <w:noWrap/>
            <w:vAlign w:val="center"/>
          </w:tcPr>
          <w:p w14:paraId="12754681"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r>
    </w:tbl>
    <w:p w14:paraId="04B16DA4"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p>
    <w:p w14:paraId="25C7EC58" w14:textId="77777777" w:rsidR="00235309" w:rsidRPr="00765F6E" w:rsidRDefault="00235309" w:rsidP="00235309">
      <w:pPr>
        <w:pStyle w:val="aff0"/>
        <w:spacing w:before="120" w:after="120"/>
      </w:pPr>
      <w:r w:rsidRPr="00765F6E">
        <w:rPr>
          <w:rFonts w:hint="eastAsia"/>
        </w:rPr>
        <w:t>车辆限界坐标点</w:t>
      </w:r>
    </w:p>
    <w:p w14:paraId="01C2B58D"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r w:rsidRPr="00765F6E">
        <w:rPr>
          <w:rFonts w:asciiTheme="minorEastAsia" w:eastAsiaTheme="minorEastAsia" w:hAnsiTheme="minorEastAsia" w:hint="eastAsia"/>
          <w:sz w:val="18"/>
          <w:szCs w:val="18"/>
        </w:rPr>
        <w:t>单位为毫米</w:t>
      </w:r>
    </w:p>
    <w:tbl>
      <w:tblPr>
        <w:tblW w:w="957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82"/>
        <w:gridCol w:w="783"/>
        <w:gridCol w:w="783"/>
        <w:gridCol w:w="783"/>
        <w:gridCol w:w="844"/>
        <w:gridCol w:w="844"/>
        <w:gridCol w:w="844"/>
        <w:gridCol w:w="783"/>
        <w:gridCol w:w="783"/>
        <w:gridCol w:w="783"/>
        <w:gridCol w:w="783"/>
        <w:gridCol w:w="775"/>
      </w:tblGrid>
      <w:tr w:rsidR="00235309" w:rsidRPr="00765F6E" w14:paraId="54732E0D" w14:textId="77777777" w:rsidTr="00871D47">
        <w:trPr>
          <w:trHeight w:val="176"/>
          <w:jc w:val="center"/>
        </w:trPr>
        <w:tc>
          <w:tcPr>
            <w:tcW w:w="782" w:type="dxa"/>
            <w:tcBorders>
              <w:top w:val="single" w:sz="8" w:space="0" w:color="auto"/>
              <w:bottom w:val="single" w:sz="8" w:space="0" w:color="auto"/>
            </w:tcBorders>
            <w:shd w:val="clear" w:color="auto" w:fill="auto"/>
            <w:noWrap/>
            <w:vAlign w:val="center"/>
          </w:tcPr>
          <w:p w14:paraId="25BBA3F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83" w:type="dxa"/>
            <w:tcBorders>
              <w:top w:val="single" w:sz="8" w:space="0" w:color="auto"/>
              <w:bottom w:val="single" w:sz="8" w:space="0" w:color="auto"/>
            </w:tcBorders>
            <w:shd w:val="clear" w:color="auto" w:fill="auto"/>
            <w:noWrap/>
            <w:vAlign w:val="center"/>
          </w:tcPr>
          <w:p w14:paraId="2A8CED2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83" w:type="dxa"/>
            <w:tcBorders>
              <w:top w:val="single" w:sz="8" w:space="0" w:color="auto"/>
              <w:bottom w:val="single" w:sz="8" w:space="0" w:color="auto"/>
            </w:tcBorders>
            <w:shd w:val="clear" w:color="auto" w:fill="auto"/>
            <w:noWrap/>
            <w:vAlign w:val="center"/>
          </w:tcPr>
          <w:p w14:paraId="7B71EBA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p>
        </w:tc>
        <w:tc>
          <w:tcPr>
            <w:tcW w:w="783" w:type="dxa"/>
            <w:tcBorders>
              <w:top w:val="single" w:sz="8" w:space="0" w:color="auto"/>
              <w:bottom w:val="single" w:sz="8" w:space="0" w:color="auto"/>
            </w:tcBorders>
            <w:shd w:val="clear" w:color="auto" w:fill="auto"/>
            <w:noWrap/>
            <w:vAlign w:val="center"/>
          </w:tcPr>
          <w:p w14:paraId="5C69FEE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p>
        </w:tc>
        <w:tc>
          <w:tcPr>
            <w:tcW w:w="844" w:type="dxa"/>
            <w:tcBorders>
              <w:top w:val="single" w:sz="8" w:space="0" w:color="auto"/>
              <w:bottom w:val="single" w:sz="8" w:space="0" w:color="auto"/>
            </w:tcBorders>
            <w:shd w:val="clear" w:color="auto" w:fill="auto"/>
            <w:noWrap/>
            <w:vAlign w:val="center"/>
          </w:tcPr>
          <w:p w14:paraId="69655F7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w:t>
            </w:r>
          </w:p>
        </w:tc>
        <w:tc>
          <w:tcPr>
            <w:tcW w:w="844" w:type="dxa"/>
            <w:tcBorders>
              <w:top w:val="single" w:sz="8" w:space="0" w:color="auto"/>
              <w:bottom w:val="single" w:sz="8" w:space="0" w:color="auto"/>
            </w:tcBorders>
            <w:shd w:val="clear" w:color="auto" w:fill="auto"/>
            <w:noWrap/>
            <w:vAlign w:val="center"/>
          </w:tcPr>
          <w:p w14:paraId="710BB60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p>
        </w:tc>
        <w:tc>
          <w:tcPr>
            <w:tcW w:w="844" w:type="dxa"/>
            <w:tcBorders>
              <w:top w:val="single" w:sz="8" w:space="0" w:color="auto"/>
              <w:bottom w:val="single" w:sz="8" w:space="0" w:color="auto"/>
            </w:tcBorders>
            <w:shd w:val="clear" w:color="auto" w:fill="auto"/>
            <w:noWrap/>
            <w:vAlign w:val="center"/>
          </w:tcPr>
          <w:p w14:paraId="6954643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783" w:type="dxa"/>
            <w:tcBorders>
              <w:top w:val="single" w:sz="8" w:space="0" w:color="auto"/>
              <w:bottom w:val="single" w:sz="8" w:space="0" w:color="auto"/>
            </w:tcBorders>
            <w:shd w:val="clear" w:color="auto" w:fill="auto"/>
            <w:noWrap/>
            <w:vAlign w:val="center"/>
          </w:tcPr>
          <w:p w14:paraId="6596960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p>
        </w:tc>
        <w:tc>
          <w:tcPr>
            <w:tcW w:w="783" w:type="dxa"/>
            <w:tcBorders>
              <w:top w:val="single" w:sz="8" w:space="0" w:color="auto"/>
              <w:bottom w:val="single" w:sz="8" w:space="0" w:color="auto"/>
            </w:tcBorders>
            <w:shd w:val="clear" w:color="auto" w:fill="auto"/>
            <w:noWrap/>
            <w:vAlign w:val="center"/>
          </w:tcPr>
          <w:p w14:paraId="5D06A63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p>
        </w:tc>
        <w:tc>
          <w:tcPr>
            <w:tcW w:w="783" w:type="dxa"/>
            <w:tcBorders>
              <w:top w:val="single" w:sz="8" w:space="0" w:color="auto"/>
              <w:bottom w:val="single" w:sz="8" w:space="0" w:color="auto"/>
            </w:tcBorders>
            <w:shd w:val="clear" w:color="auto" w:fill="auto"/>
            <w:noWrap/>
            <w:vAlign w:val="center"/>
          </w:tcPr>
          <w:p w14:paraId="6324839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83" w:type="dxa"/>
            <w:tcBorders>
              <w:top w:val="single" w:sz="8" w:space="0" w:color="auto"/>
              <w:bottom w:val="single" w:sz="8" w:space="0" w:color="auto"/>
            </w:tcBorders>
            <w:shd w:val="clear" w:color="auto" w:fill="auto"/>
            <w:noWrap/>
            <w:vAlign w:val="center"/>
          </w:tcPr>
          <w:p w14:paraId="0AD94DB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w:t>
            </w:r>
          </w:p>
        </w:tc>
        <w:tc>
          <w:tcPr>
            <w:tcW w:w="775" w:type="dxa"/>
            <w:tcBorders>
              <w:top w:val="single" w:sz="8" w:space="0" w:color="auto"/>
              <w:bottom w:val="single" w:sz="8" w:space="0" w:color="auto"/>
            </w:tcBorders>
            <w:shd w:val="clear" w:color="auto" w:fill="auto"/>
            <w:noWrap/>
            <w:vAlign w:val="center"/>
          </w:tcPr>
          <w:p w14:paraId="4D8723B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r>
      <w:tr w:rsidR="00235309" w:rsidRPr="00765F6E" w14:paraId="2797F3BB" w14:textId="77777777" w:rsidTr="00871D47">
        <w:trPr>
          <w:trHeight w:val="176"/>
          <w:jc w:val="center"/>
        </w:trPr>
        <w:tc>
          <w:tcPr>
            <w:tcW w:w="782" w:type="dxa"/>
            <w:tcBorders>
              <w:top w:val="single" w:sz="8" w:space="0" w:color="auto"/>
            </w:tcBorders>
            <w:shd w:val="clear" w:color="auto" w:fill="auto"/>
            <w:noWrap/>
            <w:vAlign w:val="center"/>
          </w:tcPr>
          <w:p w14:paraId="61BA967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83" w:type="dxa"/>
            <w:tcBorders>
              <w:top w:val="single" w:sz="8" w:space="0" w:color="auto"/>
            </w:tcBorders>
            <w:shd w:val="clear" w:color="auto" w:fill="auto"/>
            <w:noWrap/>
            <w:vAlign w:val="center"/>
          </w:tcPr>
          <w:p w14:paraId="4E2C3D9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83" w:type="dxa"/>
            <w:tcBorders>
              <w:top w:val="single" w:sz="8" w:space="0" w:color="auto"/>
            </w:tcBorders>
            <w:shd w:val="clear" w:color="auto" w:fill="auto"/>
            <w:noWrap/>
            <w:vAlign w:val="center"/>
          </w:tcPr>
          <w:p w14:paraId="124366D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835</w:t>
            </w:r>
          </w:p>
        </w:tc>
        <w:tc>
          <w:tcPr>
            <w:tcW w:w="783" w:type="dxa"/>
            <w:tcBorders>
              <w:top w:val="single" w:sz="8" w:space="0" w:color="auto"/>
            </w:tcBorders>
            <w:shd w:val="clear" w:color="auto" w:fill="auto"/>
            <w:noWrap/>
            <w:vAlign w:val="center"/>
          </w:tcPr>
          <w:p w14:paraId="3ECD9E5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1092</w:t>
            </w:r>
          </w:p>
        </w:tc>
        <w:tc>
          <w:tcPr>
            <w:tcW w:w="844" w:type="dxa"/>
            <w:tcBorders>
              <w:top w:val="single" w:sz="8" w:space="0" w:color="auto"/>
            </w:tcBorders>
            <w:shd w:val="clear" w:color="auto" w:fill="auto"/>
            <w:noWrap/>
            <w:vAlign w:val="center"/>
          </w:tcPr>
          <w:p w14:paraId="71409E6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1361</w:t>
            </w:r>
          </w:p>
        </w:tc>
        <w:tc>
          <w:tcPr>
            <w:tcW w:w="844" w:type="dxa"/>
            <w:tcBorders>
              <w:top w:val="single" w:sz="8" w:space="0" w:color="auto"/>
            </w:tcBorders>
            <w:shd w:val="clear" w:color="auto" w:fill="auto"/>
            <w:noWrap/>
            <w:vAlign w:val="center"/>
          </w:tcPr>
          <w:p w14:paraId="570A196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1456</w:t>
            </w:r>
          </w:p>
        </w:tc>
        <w:tc>
          <w:tcPr>
            <w:tcW w:w="844" w:type="dxa"/>
            <w:tcBorders>
              <w:top w:val="single" w:sz="8" w:space="0" w:color="auto"/>
            </w:tcBorders>
            <w:shd w:val="clear" w:color="auto" w:fill="auto"/>
            <w:noWrap/>
            <w:vAlign w:val="center"/>
          </w:tcPr>
          <w:p w14:paraId="397E716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1519</w:t>
            </w:r>
          </w:p>
        </w:tc>
        <w:tc>
          <w:tcPr>
            <w:tcW w:w="783" w:type="dxa"/>
            <w:tcBorders>
              <w:top w:val="single" w:sz="8" w:space="0" w:color="auto"/>
            </w:tcBorders>
            <w:shd w:val="clear" w:color="auto" w:fill="auto"/>
            <w:noWrap/>
            <w:vAlign w:val="center"/>
          </w:tcPr>
          <w:p w14:paraId="42D100C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1551</w:t>
            </w:r>
          </w:p>
        </w:tc>
        <w:tc>
          <w:tcPr>
            <w:tcW w:w="783" w:type="dxa"/>
            <w:tcBorders>
              <w:top w:val="single" w:sz="8" w:space="0" w:color="auto"/>
            </w:tcBorders>
            <w:shd w:val="clear" w:color="auto" w:fill="auto"/>
            <w:noWrap/>
            <w:vAlign w:val="center"/>
          </w:tcPr>
          <w:p w14:paraId="6717273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1586</w:t>
            </w:r>
          </w:p>
        </w:tc>
        <w:tc>
          <w:tcPr>
            <w:tcW w:w="783" w:type="dxa"/>
            <w:tcBorders>
              <w:top w:val="single" w:sz="8" w:space="0" w:color="auto"/>
            </w:tcBorders>
            <w:shd w:val="clear" w:color="auto" w:fill="auto"/>
            <w:noWrap/>
            <w:vAlign w:val="center"/>
          </w:tcPr>
          <w:p w14:paraId="7E480B7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1566</w:t>
            </w:r>
          </w:p>
        </w:tc>
        <w:tc>
          <w:tcPr>
            <w:tcW w:w="783" w:type="dxa"/>
            <w:tcBorders>
              <w:top w:val="single" w:sz="8" w:space="0" w:color="auto"/>
            </w:tcBorders>
            <w:shd w:val="clear" w:color="auto" w:fill="auto"/>
            <w:noWrap/>
            <w:vAlign w:val="center"/>
          </w:tcPr>
          <w:p w14:paraId="2CEC038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1500</w:t>
            </w:r>
          </w:p>
        </w:tc>
        <w:tc>
          <w:tcPr>
            <w:tcW w:w="775" w:type="dxa"/>
            <w:tcBorders>
              <w:top w:val="single" w:sz="8" w:space="0" w:color="auto"/>
            </w:tcBorders>
            <w:shd w:val="clear" w:color="auto" w:fill="auto"/>
            <w:noWrap/>
            <w:vAlign w:val="center"/>
          </w:tcPr>
          <w:p w14:paraId="755060A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1500</w:t>
            </w:r>
          </w:p>
        </w:tc>
      </w:tr>
      <w:tr w:rsidR="00235309" w:rsidRPr="00765F6E" w14:paraId="1A70DD04" w14:textId="77777777" w:rsidTr="00871D47">
        <w:trPr>
          <w:trHeight w:val="176"/>
          <w:jc w:val="center"/>
        </w:trPr>
        <w:tc>
          <w:tcPr>
            <w:tcW w:w="782" w:type="dxa"/>
            <w:shd w:val="clear" w:color="auto" w:fill="auto"/>
            <w:noWrap/>
            <w:vAlign w:val="center"/>
          </w:tcPr>
          <w:p w14:paraId="0B6E0E8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83" w:type="dxa"/>
            <w:shd w:val="clear" w:color="auto" w:fill="auto"/>
            <w:noWrap/>
            <w:vAlign w:val="center"/>
          </w:tcPr>
          <w:p w14:paraId="182EF58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3900</w:t>
            </w:r>
          </w:p>
        </w:tc>
        <w:tc>
          <w:tcPr>
            <w:tcW w:w="783" w:type="dxa"/>
            <w:shd w:val="clear" w:color="auto" w:fill="auto"/>
            <w:noWrap/>
            <w:vAlign w:val="center"/>
          </w:tcPr>
          <w:p w14:paraId="5C8D27C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3920</w:t>
            </w:r>
          </w:p>
        </w:tc>
        <w:tc>
          <w:tcPr>
            <w:tcW w:w="783" w:type="dxa"/>
            <w:shd w:val="clear" w:color="auto" w:fill="auto"/>
            <w:noWrap/>
            <w:vAlign w:val="center"/>
          </w:tcPr>
          <w:p w14:paraId="2E3B2BC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3822</w:t>
            </w:r>
          </w:p>
        </w:tc>
        <w:tc>
          <w:tcPr>
            <w:tcW w:w="844" w:type="dxa"/>
            <w:shd w:val="clear" w:color="auto" w:fill="auto"/>
            <w:noWrap/>
            <w:vAlign w:val="center"/>
          </w:tcPr>
          <w:p w14:paraId="2F0B0CC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3636</w:t>
            </w:r>
          </w:p>
        </w:tc>
        <w:tc>
          <w:tcPr>
            <w:tcW w:w="844" w:type="dxa"/>
            <w:shd w:val="clear" w:color="auto" w:fill="auto"/>
            <w:noWrap/>
            <w:vAlign w:val="center"/>
          </w:tcPr>
          <w:p w14:paraId="55F6949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3538</w:t>
            </w:r>
          </w:p>
        </w:tc>
        <w:tc>
          <w:tcPr>
            <w:tcW w:w="844" w:type="dxa"/>
            <w:shd w:val="clear" w:color="auto" w:fill="auto"/>
            <w:noWrap/>
            <w:vAlign w:val="center"/>
          </w:tcPr>
          <w:p w14:paraId="6FB07F8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3406</w:t>
            </w:r>
          </w:p>
        </w:tc>
        <w:tc>
          <w:tcPr>
            <w:tcW w:w="783" w:type="dxa"/>
            <w:shd w:val="clear" w:color="auto" w:fill="auto"/>
            <w:noWrap/>
            <w:vAlign w:val="center"/>
          </w:tcPr>
          <w:p w14:paraId="61199A9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3173</w:t>
            </w:r>
          </w:p>
        </w:tc>
        <w:tc>
          <w:tcPr>
            <w:tcW w:w="783" w:type="dxa"/>
            <w:shd w:val="clear" w:color="auto" w:fill="auto"/>
            <w:noWrap/>
            <w:vAlign w:val="center"/>
          </w:tcPr>
          <w:p w14:paraId="2E4B607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1860</w:t>
            </w:r>
          </w:p>
        </w:tc>
        <w:tc>
          <w:tcPr>
            <w:tcW w:w="783" w:type="dxa"/>
            <w:shd w:val="clear" w:color="auto" w:fill="auto"/>
            <w:noWrap/>
            <w:vAlign w:val="center"/>
          </w:tcPr>
          <w:p w14:paraId="1CC0095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1336</w:t>
            </w:r>
          </w:p>
        </w:tc>
        <w:tc>
          <w:tcPr>
            <w:tcW w:w="783" w:type="dxa"/>
            <w:shd w:val="clear" w:color="auto" w:fill="auto"/>
            <w:noWrap/>
            <w:vAlign w:val="center"/>
          </w:tcPr>
          <w:p w14:paraId="0E327E1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900</w:t>
            </w:r>
          </w:p>
        </w:tc>
        <w:tc>
          <w:tcPr>
            <w:tcW w:w="775" w:type="dxa"/>
            <w:shd w:val="clear" w:color="auto" w:fill="auto"/>
            <w:noWrap/>
            <w:vAlign w:val="center"/>
          </w:tcPr>
          <w:p w14:paraId="421AD52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520</w:t>
            </w:r>
          </w:p>
        </w:tc>
      </w:tr>
      <w:tr w:rsidR="00235309" w:rsidRPr="00765F6E" w14:paraId="31625A8D" w14:textId="77777777" w:rsidTr="00871D47">
        <w:trPr>
          <w:trHeight w:val="176"/>
          <w:jc w:val="center"/>
        </w:trPr>
        <w:tc>
          <w:tcPr>
            <w:tcW w:w="782" w:type="dxa"/>
            <w:shd w:val="clear" w:color="auto" w:fill="auto"/>
            <w:noWrap/>
            <w:vAlign w:val="center"/>
          </w:tcPr>
          <w:p w14:paraId="76DBA8B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83" w:type="dxa"/>
            <w:shd w:val="clear" w:color="auto" w:fill="auto"/>
            <w:noWrap/>
            <w:vAlign w:val="center"/>
          </w:tcPr>
          <w:p w14:paraId="63E51CA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w:t>
            </w:r>
          </w:p>
        </w:tc>
        <w:tc>
          <w:tcPr>
            <w:tcW w:w="783" w:type="dxa"/>
            <w:shd w:val="clear" w:color="auto" w:fill="auto"/>
            <w:noWrap/>
            <w:vAlign w:val="center"/>
          </w:tcPr>
          <w:p w14:paraId="6789CD5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w:t>
            </w:r>
          </w:p>
        </w:tc>
        <w:tc>
          <w:tcPr>
            <w:tcW w:w="783" w:type="dxa"/>
            <w:shd w:val="clear" w:color="auto" w:fill="auto"/>
            <w:noWrap/>
            <w:vAlign w:val="center"/>
          </w:tcPr>
          <w:p w14:paraId="2C989C0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w:t>
            </w:r>
          </w:p>
        </w:tc>
        <w:tc>
          <w:tcPr>
            <w:tcW w:w="844" w:type="dxa"/>
            <w:shd w:val="clear" w:color="auto" w:fill="auto"/>
            <w:noWrap/>
            <w:vAlign w:val="center"/>
          </w:tcPr>
          <w:p w14:paraId="75A60B8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14w′</w:t>
            </w:r>
          </w:p>
        </w:tc>
        <w:tc>
          <w:tcPr>
            <w:tcW w:w="844" w:type="dxa"/>
            <w:shd w:val="clear" w:color="auto" w:fill="auto"/>
            <w:noWrap/>
            <w:vAlign w:val="center"/>
          </w:tcPr>
          <w:p w14:paraId="7E14740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844" w:type="dxa"/>
            <w:shd w:val="clear" w:color="auto" w:fill="auto"/>
            <w:noWrap/>
            <w:vAlign w:val="center"/>
          </w:tcPr>
          <w:p w14:paraId="71B54AC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w:t>
            </w:r>
          </w:p>
        </w:tc>
        <w:tc>
          <w:tcPr>
            <w:tcW w:w="783" w:type="dxa"/>
            <w:shd w:val="clear" w:color="auto" w:fill="auto"/>
            <w:noWrap/>
            <w:vAlign w:val="center"/>
          </w:tcPr>
          <w:p w14:paraId="53027A5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783" w:type="dxa"/>
            <w:shd w:val="clear" w:color="auto" w:fill="auto"/>
            <w:noWrap/>
            <w:vAlign w:val="center"/>
          </w:tcPr>
          <w:p w14:paraId="211CA23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w:t>
            </w:r>
          </w:p>
        </w:tc>
        <w:tc>
          <w:tcPr>
            <w:tcW w:w="783" w:type="dxa"/>
            <w:shd w:val="clear" w:color="auto" w:fill="auto"/>
            <w:noWrap/>
            <w:vAlign w:val="center"/>
          </w:tcPr>
          <w:p w14:paraId="6288EC4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19′</w:t>
            </w:r>
          </w:p>
        </w:tc>
        <w:tc>
          <w:tcPr>
            <w:tcW w:w="783" w:type="dxa"/>
            <w:shd w:val="clear" w:color="auto" w:fill="auto"/>
            <w:noWrap/>
            <w:vAlign w:val="center"/>
          </w:tcPr>
          <w:p w14:paraId="39DE46A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w:t>
            </w:r>
          </w:p>
        </w:tc>
        <w:tc>
          <w:tcPr>
            <w:tcW w:w="775" w:type="dxa"/>
            <w:shd w:val="clear" w:color="auto" w:fill="auto"/>
            <w:noWrap/>
            <w:vAlign w:val="center"/>
          </w:tcPr>
          <w:p w14:paraId="1F483D3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21′</w:t>
            </w:r>
          </w:p>
        </w:tc>
      </w:tr>
      <w:tr w:rsidR="00235309" w:rsidRPr="00765F6E" w14:paraId="0E53771F" w14:textId="77777777" w:rsidTr="00871D47">
        <w:trPr>
          <w:trHeight w:val="176"/>
          <w:jc w:val="center"/>
        </w:trPr>
        <w:tc>
          <w:tcPr>
            <w:tcW w:w="782" w:type="dxa"/>
            <w:shd w:val="clear" w:color="auto" w:fill="auto"/>
            <w:noWrap/>
            <w:vAlign w:val="center"/>
          </w:tcPr>
          <w:p w14:paraId="2538A3B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83" w:type="dxa"/>
            <w:shd w:val="clear" w:color="auto" w:fill="auto"/>
            <w:noWrap/>
            <w:vAlign w:val="center"/>
          </w:tcPr>
          <w:p w14:paraId="08ECC0A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1404</w:t>
            </w:r>
          </w:p>
        </w:tc>
        <w:tc>
          <w:tcPr>
            <w:tcW w:w="783" w:type="dxa"/>
            <w:shd w:val="clear" w:color="auto" w:fill="auto"/>
            <w:noWrap/>
            <w:vAlign w:val="center"/>
          </w:tcPr>
          <w:p w14:paraId="7DA78A1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1404</w:t>
            </w:r>
          </w:p>
        </w:tc>
        <w:tc>
          <w:tcPr>
            <w:tcW w:w="783" w:type="dxa"/>
            <w:shd w:val="clear" w:color="auto" w:fill="auto"/>
            <w:noWrap/>
            <w:vAlign w:val="center"/>
          </w:tcPr>
          <w:p w14:paraId="1F69F39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1570</w:t>
            </w:r>
          </w:p>
        </w:tc>
        <w:tc>
          <w:tcPr>
            <w:tcW w:w="844" w:type="dxa"/>
            <w:shd w:val="clear" w:color="auto" w:fill="auto"/>
            <w:noWrap/>
            <w:vAlign w:val="center"/>
          </w:tcPr>
          <w:p w14:paraId="3EB1DFB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1570</w:t>
            </w:r>
          </w:p>
        </w:tc>
        <w:tc>
          <w:tcPr>
            <w:tcW w:w="844" w:type="dxa"/>
            <w:shd w:val="clear" w:color="auto" w:fill="auto"/>
            <w:noWrap/>
            <w:vAlign w:val="center"/>
          </w:tcPr>
          <w:p w14:paraId="48E0216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1360</w:t>
            </w:r>
          </w:p>
        </w:tc>
        <w:tc>
          <w:tcPr>
            <w:tcW w:w="844" w:type="dxa"/>
            <w:shd w:val="clear" w:color="auto" w:fill="auto"/>
            <w:noWrap/>
            <w:vAlign w:val="center"/>
          </w:tcPr>
          <w:p w14:paraId="596D856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837</w:t>
            </w:r>
          </w:p>
        </w:tc>
        <w:tc>
          <w:tcPr>
            <w:tcW w:w="783" w:type="dxa"/>
            <w:shd w:val="clear" w:color="auto" w:fill="auto"/>
            <w:noWrap/>
            <w:vAlign w:val="center"/>
          </w:tcPr>
          <w:p w14:paraId="59A3308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837</w:t>
            </w:r>
          </w:p>
        </w:tc>
        <w:tc>
          <w:tcPr>
            <w:tcW w:w="783" w:type="dxa"/>
            <w:shd w:val="clear" w:color="auto" w:fill="auto"/>
            <w:noWrap/>
            <w:vAlign w:val="center"/>
          </w:tcPr>
          <w:p w14:paraId="6489BE2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717.5</w:t>
            </w:r>
          </w:p>
        </w:tc>
        <w:tc>
          <w:tcPr>
            <w:tcW w:w="783" w:type="dxa"/>
            <w:shd w:val="clear" w:color="auto" w:fill="auto"/>
            <w:noWrap/>
            <w:vAlign w:val="center"/>
          </w:tcPr>
          <w:p w14:paraId="134FC0F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717.5</w:t>
            </w:r>
          </w:p>
        </w:tc>
        <w:tc>
          <w:tcPr>
            <w:tcW w:w="783" w:type="dxa"/>
            <w:shd w:val="clear" w:color="auto" w:fill="auto"/>
            <w:noWrap/>
            <w:vAlign w:val="center"/>
          </w:tcPr>
          <w:p w14:paraId="75AAC0C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650.5</w:t>
            </w:r>
          </w:p>
        </w:tc>
        <w:tc>
          <w:tcPr>
            <w:tcW w:w="775" w:type="dxa"/>
            <w:shd w:val="clear" w:color="auto" w:fill="auto"/>
            <w:noWrap/>
            <w:vAlign w:val="center"/>
          </w:tcPr>
          <w:p w14:paraId="32B2BEE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650.5</w:t>
            </w:r>
          </w:p>
        </w:tc>
      </w:tr>
      <w:tr w:rsidR="00235309" w:rsidRPr="00765F6E" w14:paraId="73D9AA56" w14:textId="77777777" w:rsidTr="00871D47">
        <w:trPr>
          <w:trHeight w:val="176"/>
          <w:jc w:val="center"/>
        </w:trPr>
        <w:tc>
          <w:tcPr>
            <w:tcW w:w="782" w:type="dxa"/>
            <w:shd w:val="clear" w:color="auto" w:fill="auto"/>
            <w:noWrap/>
            <w:vAlign w:val="center"/>
          </w:tcPr>
          <w:p w14:paraId="330D9EC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83" w:type="dxa"/>
            <w:shd w:val="clear" w:color="auto" w:fill="auto"/>
            <w:noWrap/>
            <w:vAlign w:val="center"/>
          </w:tcPr>
          <w:p w14:paraId="2C90185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402</w:t>
            </w:r>
          </w:p>
        </w:tc>
        <w:tc>
          <w:tcPr>
            <w:tcW w:w="783" w:type="dxa"/>
            <w:shd w:val="clear" w:color="auto" w:fill="auto"/>
            <w:noWrap/>
            <w:vAlign w:val="center"/>
          </w:tcPr>
          <w:p w14:paraId="2F01E33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302</w:t>
            </w:r>
          </w:p>
        </w:tc>
        <w:tc>
          <w:tcPr>
            <w:tcW w:w="783" w:type="dxa"/>
            <w:shd w:val="clear" w:color="auto" w:fill="auto"/>
            <w:noWrap/>
            <w:vAlign w:val="center"/>
          </w:tcPr>
          <w:p w14:paraId="7675D418" w14:textId="77777777" w:rsidR="00235309" w:rsidRPr="00765F6E" w:rsidRDefault="00235309" w:rsidP="00871D47">
            <w:pPr>
              <w:widowControl/>
              <w:spacing w:line="240" w:lineRule="auto"/>
              <w:rPr>
                <w:rFonts w:ascii="宋体" w:hAnsi="宋体" w:cs="宋体"/>
                <w:kern w:val="0"/>
                <w:sz w:val="18"/>
                <w:szCs w:val="18"/>
              </w:rPr>
            </w:pPr>
            <w:r w:rsidRPr="00765F6E">
              <w:rPr>
                <w:rFonts w:ascii="宋体" w:hAnsi="宋体" w:cs="宋体" w:hint="eastAsia"/>
                <w:kern w:val="0"/>
                <w:sz w:val="18"/>
                <w:szCs w:val="18"/>
              </w:rPr>
              <w:t>302</w:t>
            </w:r>
          </w:p>
        </w:tc>
        <w:tc>
          <w:tcPr>
            <w:tcW w:w="844" w:type="dxa"/>
            <w:shd w:val="clear" w:color="auto" w:fill="auto"/>
            <w:noWrap/>
            <w:vAlign w:val="center"/>
          </w:tcPr>
          <w:p w14:paraId="2156A23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150</w:t>
            </w:r>
          </w:p>
        </w:tc>
        <w:tc>
          <w:tcPr>
            <w:tcW w:w="844" w:type="dxa"/>
            <w:shd w:val="clear" w:color="auto" w:fill="auto"/>
            <w:noWrap/>
            <w:vAlign w:val="center"/>
          </w:tcPr>
          <w:p w14:paraId="139AF26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25</w:t>
            </w:r>
          </w:p>
        </w:tc>
        <w:tc>
          <w:tcPr>
            <w:tcW w:w="844" w:type="dxa"/>
            <w:shd w:val="clear" w:color="auto" w:fill="auto"/>
            <w:noWrap/>
            <w:vAlign w:val="center"/>
          </w:tcPr>
          <w:p w14:paraId="3A511C2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25</w:t>
            </w:r>
          </w:p>
        </w:tc>
        <w:tc>
          <w:tcPr>
            <w:tcW w:w="783" w:type="dxa"/>
            <w:shd w:val="clear" w:color="auto" w:fill="auto"/>
            <w:noWrap/>
            <w:vAlign w:val="center"/>
          </w:tcPr>
          <w:p w14:paraId="54B1BE6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783" w:type="dxa"/>
            <w:shd w:val="clear" w:color="auto" w:fill="auto"/>
            <w:noWrap/>
            <w:vAlign w:val="center"/>
          </w:tcPr>
          <w:p w14:paraId="41E1BAF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783" w:type="dxa"/>
            <w:shd w:val="clear" w:color="auto" w:fill="auto"/>
            <w:noWrap/>
            <w:vAlign w:val="center"/>
          </w:tcPr>
          <w:p w14:paraId="0BCEC89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-54</w:t>
            </w:r>
          </w:p>
        </w:tc>
        <w:tc>
          <w:tcPr>
            <w:tcW w:w="783" w:type="dxa"/>
            <w:shd w:val="clear" w:color="auto" w:fill="auto"/>
            <w:noWrap/>
            <w:vAlign w:val="center"/>
          </w:tcPr>
          <w:p w14:paraId="16F1EC1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-54</w:t>
            </w:r>
          </w:p>
        </w:tc>
        <w:tc>
          <w:tcPr>
            <w:tcW w:w="775" w:type="dxa"/>
            <w:shd w:val="clear" w:color="auto" w:fill="auto"/>
            <w:noWrap/>
            <w:vAlign w:val="center"/>
          </w:tcPr>
          <w:p w14:paraId="59FA569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w:t>
            </w:r>
          </w:p>
        </w:tc>
      </w:tr>
      <w:tr w:rsidR="00235309" w:rsidRPr="00765F6E" w14:paraId="070AE350" w14:textId="77777777" w:rsidTr="00871D47">
        <w:trPr>
          <w:trHeight w:val="176"/>
          <w:jc w:val="center"/>
        </w:trPr>
        <w:tc>
          <w:tcPr>
            <w:tcW w:w="782" w:type="dxa"/>
            <w:shd w:val="clear" w:color="auto" w:fill="auto"/>
            <w:noWrap/>
            <w:vAlign w:val="center"/>
          </w:tcPr>
          <w:p w14:paraId="0068954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83" w:type="dxa"/>
            <w:shd w:val="clear" w:color="auto" w:fill="auto"/>
            <w:noWrap/>
            <w:vAlign w:val="center"/>
          </w:tcPr>
          <w:p w14:paraId="4732F41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22′</w:t>
            </w:r>
          </w:p>
        </w:tc>
        <w:tc>
          <w:tcPr>
            <w:tcW w:w="783" w:type="dxa"/>
            <w:shd w:val="clear" w:color="auto" w:fill="auto"/>
            <w:noWrap/>
            <w:vAlign w:val="center"/>
          </w:tcPr>
          <w:p w14:paraId="08CB24E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14nw′</w:t>
            </w:r>
          </w:p>
        </w:tc>
        <w:tc>
          <w:tcPr>
            <w:tcW w:w="783" w:type="dxa"/>
            <w:shd w:val="clear" w:color="auto" w:fill="auto"/>
            <w:noWrap/>
            <w:vAlign w:val="center"/>
          </w:tcPr>
          <w:p w14:paraId="7452534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44" w:type="dxa"/>
            <w:shd w:val="clear" w:color="auto" w:fill="auto"/>
            <w:noWrap/>
            <w:vAlign w:val="center"/>
          </w:tcPr>
          <w:p w14:paraId="1552BE7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44" w:type="dxa"/>
            <w:shd w:val="clear" w:color="auto" w:fill="auto"/>
            <w:noWrap/>
            <w:vAlign w:val="center"/>
          </w:tcPr>
          <w:p w14:paraId="2260A62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44" w:type="dxa"/>
            <w:shd w:val="clear" w:color="auto" w:fill="auto"/>
            <w:noWrap/>
            <w:vAlign w:val="center"/>
          </w:tcPr>
          <w:p w14:paraId="70D218D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83" w:type="dxa"/>
            <w:shd w:val="clear" w:color="auto" w:fill="auto"/>
            <w:noWrap/>
            <w:vAlign w:val="center"/>
          </w:tcPr>
          <w:p w14:paraId="47104D5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83" w:type="dxa"/>
            <w:shd w:val="clear" w:color="auto" w:fill="auto"/>
            <w:noWrap/>
            <w:vAlign w:val="center"/>
          </w:tcPr>
          <w:p w14:paraId="5774F7D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83" w:type="dxa"/>
            <w:shd w:val="clear" w:color="auto" w:fill="auto"/>
            <w:noWrap/>
            <w:vAlign w:val="center"/>
          </w:tcPr>
          <w:p w14:paraId="3D5429F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83" w:type="dxa"/>
            <w:shd w:val="clear" w:color="auto" w:fill="auto"/>
            <w:noWrap/>
            <w:vAlign w:val="center"/>
          </w:tcPr>
          <w:p w14:paraId="60DB2AD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75" w:type="dxa"/>
            <w:shd w:val="clear" w:color="auto" w:fill="auto"/>
            <w:noWrap/>
            <w:vAlign w:val="center"/>
          </w:tcPr>
          <w:p w14:paraId="530878B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6E4463A7" w14:textId="77777777" w:rsidTr="00871D47">
        <w:trPr>
          <w:trHeight w:val="176"/>
          <w:jc w:val="center"/>
        </w:trPr>
        <w:tc>
          <w:tcPr>
            <w:tcW w:w="782" w:type="dxa"/>
            <w:shd w:val="clear" w:color="auto" w:fill="auto"/>
            <w:noWrap/>
            <w:vAlign w:val="center"/>
          </w:tcPr>
          <w:p w14:paraId="47BF32B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83" w:type="dxa"/>
            <w:shd w:val="clear" w:color="auto" w:fill="auto"/>
            <w:noWrap/>
            <w:vAlign w:val="center"/>
          </w:tcPr>
          <w:p w14:paraId="0D08F78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83" w:type="dxa"/>
            <w:shd w:val="clear" w:color="auto" w:fill="auto"/>
            <w:noWrap/>
            <w:vAlign w:val="center"/>
          </w:tcPr>
          <w:p w14:paraId="2C0D1BF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-1570</w:t>
            </w:r>
          </w:p>
        </w:tc>
        <w:tc>
          <w:tcPr>
            <w:tcW w:w="783" w:type="dxa"/>
            <w:shd w:val="clear" w:color="auto" w:fill="auto"/>
            <w:noWrap/>
            <w:vAlign w:val="center"/>
          </w:tcPr>
          <w:p w14:paraId="0DF57F8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44" w:type="dxa"/>
            <w:shd w:val="clear" w:color="auto" w:fill="auto"/>
            <w:noWrap/>
            <w:vAlign w:val="center"/>
          </w:tcPr>
          <w:p w14:paraId="1E29765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44" w:type="dxa"/>
            <w:shd w:val="clear" w:color="auto" w:fill="auto"/>
            <w:noWrap/>
            <w:vAlign w:val="center"/>
          </w:tcPr>
          <w:p w14:paraId="37ADD8D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44" w:type="dxa"/>
            <w:shd w:val="clear" w:color="auto" w:fill="auto"/>
            <w:noWrap/>
            <w:vAlign w:val="center"/>
          </w:tcPr>
          <w:p w14:paraId="2363DBB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83" w:type="dxa"/>
            <w:shd w:val="clear" w:color="auto" w:fill="auto"/>
            <w:noWrap/>
            <w:vAlign w:val="center"/>
          </w:tcPr>
          <w:p w14:paraId="48F1A74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83" w:type="dxa"/>
            <w:shd w:val="clear" w:color="auto" w:fill="auto"/>
            <w:noWrap/>
            <w:vAlign w:val="center"/>
          </w:tcPr>
          <w:p w14:paraId="79AAD21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83" w:type="dxa"/>
            <w:shd w:val="clear" w:color="auto" w:fill="auto"/>
            <w:noWrap/>
            <w:vAlign w:val="center"/>
          </w:tcPr>
          <w:p w14:paraId="294A95E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83" w:type="dxa"/>
            <w:shd w:val="clear" w:color="auto" w:fill="auto"/>
            <w:noWrap/>
            <w:vAlign w:val="center"/>
          </w:tcPr>
          <w:p w14:paraId="2D654E6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75" w:type="dxa"/>
            <w:shd w:val="clear" w:color="auto" w:fill="auto"/>
            <w:noWrap/>
            <w:vAlign w:val="center"/>
          </w:tcPr>
          <w:p w14:paraId="227E9C7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5F4E5ED0" w14:textId="77777777" w:rsidTr="00871D47">
        <w:trPr>
          <w:trHeight w:val="176"/>
          <w:jc w:val="center"/>
        </w:trPr>
        <w:tc>
          <w:tcPr>
            <w:tcW w:w="782" w:type="dxa"/>
            <w:shd w:val="clear" w:color="auto" w:fill="auto"/>
            <w:noWrap/>
            <w:vAlign w:val="center"/>
          </w:tcPr>
          <w:p w14:paraId="50AFFE3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83" w:type="dxa"/>
            <w:shd w:val="clear" w:color="auto" w:fill="auto"/>
            <w:noWrap/>
            <w:vAlign w:val="center"/>
          </w:tcPr>
          <w:p w14:paraId="0AB9850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w:t>
            </w:r>
          </w:p>
        </w:tc>
        <w:tc>
          <w:tcPr>
            <w:tcW w:w="783" w:type="dxa"/>
            <w:shd w:val="clear" w:color="auto" w:fill="auto"/>
            <w:noWrap/>
            <w:vAlign w:val="center"/>
          </w:tcPr>
          <w:p w14:paraId="0A31956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783" w:type="dxa"/>
            <w:shd w:val="clear" w:color="auto" w:fill="auto"/>
            <w:noWrap/>
            <w:vAlign w:val="center"/>
          </w:tcPr>
          <w:p w14:paraId="2B3DF9F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44" w:type="dxa"/>
            <w:shd w:val="clear" w:color="auto" w:fill="auto"/>
            <w:noWrap/>
            <w:vAlign w:val="center"/>
          </w:tcPr>
          <w:p w14:paraId="03AB7F9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44" w:type="dxa"/>
            <w:shd w:val="clear" w:color="auto" w:fill="auto"/>
            <w:noWrap/>
            <w:vAlign w:val="center"/>
          </w:tcPr>
          <w:p w14:paraId="654B0EF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44" w:type="dxa"/>
            <w:shd w:val="clear" w:color="auto" w:fill="auto"/>
            <w:noWrap/>
            <w:vAlign w:val="center"/>
          </w:tcPr>
          <w:p w14:paraId="0B8AC3C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83" w:type="dxa"/>
            <w:shd w:val="clear" w:color="auto" w:fill="auto"/>
            <w:noWrap/>
            <w:vAlign w:val="center"/>
          </w:tcPr>
          <w:p w14:paraId="6586325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83" w:type="dxa"/>
            <w:shd w:val="clear" w:color="auto" w:fill="auto"/>
            <w:noWrap/>
            <w:vAlign w:val="center"/>
          </w:tcPr>
          <w:p w14:paraId="684512A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83" w:type="dxa"/>
            <w:shd w:val="clear" w:color="auto" w:fill="auto"/>
            <w:noWrap/>
            <w:vAlign w:val="center"/>
          </w:tcPr>
          <w:p w14:paraId="3CE9B0F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83" w:type="dxa"/>
            <w:shd w:val="clear" w:color="auto" w:fill="auto"/>
            <w:noWrap/>
            <w:vAlign w:val="center"/>
          </w:tcPr>
          <w:p w14:paraId="6C35D55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75" w:type="dxa"/>
            <w:shd w:val="clear" w:color="auto" w:fill="auto"/>
            <w:noWrap/>
            <w:vAlign w:val="center"/>
          </w:tcPr>
          <w:p w14:paraId="6845F82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bl>
    <w:p w14:paraId="5C983F8E" w14:textId="77777777" w:rsidR="00235309" w:rsidRPr="00765F6E" w:rsidRDefault="00235309" w:rsidP="00235309">
      <w:pPr>
        <w:pStyle w:val="aff0"/>
        <w:numPr>
          <w:ilvl w:val="0"/>
          <w:numId w:val="0"/>
        </w:numPr>
        <w:spacing w:before="120" w:after="120"/>
        <w:jc w:val="both"/>
      </w:pPr>
    </w:p>
    <w:p w14:paraId="57CB1D4D" w14:textId="77777777" w:rsidR="00235309" w:rsidRPr="00765F6E" w:rsidRDefault="00235309" w:rsidP="00235309">
      <w:pPr>
        <w:pStyle w:val="aff0"/>
        <w:spacing w:before="120" w:after="120"/>
      </w:pPr>
      <w:r w:rsidRPr="00765F6E">
        <w:rPr>
          <w:rFonts w:hint="eastAsia"/>
        </w:rPr>
        <w:t>设备限界坐标点</w:t>
      </w:r>
    </w:p>
    <w:p w14:paraId="262FF056"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r w:rsidRPr="00765F6E">
        <w:rPr>
          <w:rFonts w:asciiTheme="minorEastAsia" w:eastAsiaTheme="minorEastAsia" w:hAnsiTheme="minorEastAsia" w:hint="eastAsia"/>
          <w:sz w:val="18"/>
          <w:szCs w:val="18"/>
        </w:rPr>
        <w:t>单位为毫米</w:t>
      </w:r>
    </w:p>
    <w:tbl>
      <w:tblPr>
        <w:tblW w:w="957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74"/>
        <w:gridCol w:w="774"/>
        <w:gridCol w:w="774"/>
        <w:gridCol w:w="845"/>
        <w:gridCol w:w="774"/>
        <w:gridCol w:w="845"/>
        <w:gridCol w:w="773"/>
        <w:gridCol w:w="773"/>
        <w:gridCol w:w="775"/>
        <w:gridCol w:w="844"/>
        <w:gridCol w:w="775"/>
        <w:gridCol w:w="844"/>
      </w:tblGrid>
      <w:tr w:rsidR="00235309" w:rsidRPr="00765F6E" w14:paraId="084CD741" w14:textId="77777777" w:rsidTr="00871D47">
        <w:trPr>
          <w:trHeight w:val="176"/>
          <w:jc w:val="center"/>
        </w:trPr>
        <w:tc>
          <w:tcPr>
            <w:tcW w:w="774" w:type="dxa"/>
            <w:tcBorders>
              <w:top w:val="single" w:sz="8" w:space="0" w:color="auto"/>
              <w:bottom w:val="single" w:sz="8" w:space="0" w:color="auto"/>
            </w:tcBorders>
            <w:shd w:val="clear" w:color="auto" w:fill="auto"/>
            <w:vAlign w:val="center"/>
          </w:tcPr>
          <w:p w14:paraId="1823D32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74" w:type="dxa"/>
            <w:tcBorders>
              <w:top w:val="single" w:sz="8" w:space="0" w:color="auto"/>
              <w:bottom w:val="single" w:sz="8" w:space="0" w:color="auto"/>
            </w:tcBorders>
            <w:shd w:val="clear" w:color="auto" w:fill="auto"/>
            <w:noWrap/>
            <w:vAlign w:val="center"/>
          </w:tcPr>
          <w:p w14:paraId="31687D0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74" w:type="dxa"/>
            <w:tcBorders>
              <w:top w:val="single" w:sz="8" w:space="0" w:color="auto"/>
              <w:bottom w:val="single" w:sz="8" w:space="0" w:color="auto"/>
            </w:tcBorders>
            <w:shd w:val="clear" w:color="auto" w:fill="auto"/>
            <w:noWrap/>
            <w:vAlign w:val="center"/>
          </w:tcPr>
          <w:p w14:paraId="1092153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p>
        </w:tc>
        <w:tc>
          <w:tcPr>
            <w:tcW w:w="845" w:type="dxa"/>
            <w:tcBorders>
              <w:top w:val="single" w:sz="8" w:space="0" w:color="auto"/>
              <w:bottom w:val="single" w:sz="8" w:space="0" w:color="auto"/>
            </w:tcBorders>
            <w:shd w:val="clear" w:color="auto" w:fill="auto"/>
            <w:noWrap/>
            <w:vAlign w:val="center"/>
          </w:tcPr>
          <w:p w14:paraId="4F43DED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p>
        </w:tc>
        <w:tc>
          <w:tcPr>
            <w:tcW w:w="774" w:type="dxa"/>
            <w:tcBorders>
              <w:top w:val="single" w:sz="8" w:space="0" w:color="auto"/>
              <w:bottom w:val="single" w:sz="8" w:space="0" w:color="auto"/>
            </w:tcBorders>
            <w:shd w:val="clear" w:color="auto" w:fill="auto"/>
            <w:noWrap/>
            <w:vAlign w:val="center"/>
          </w:tcPr>
          <w:p w14:paraId="79C93A2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w:t>
            </w:r>
          </w:p>
        </w:tc>
        <w:tc>
          <w:tcPr>
            <w:tcW w:w="845" w:type="dxa"/>
            <w:tcBorders>
              <w:top w:val="single" w:sz="8" w:space="0" w:color="auto"/>
              <w:bottom w:val="single" w:sz="8" w:space="0" w:color="auto"/>
            </w:tcBorders>
            <w:shd w:val="clear" w:color="auto" w:fill="auto"/>
            <w:noWrap/>
            <w:vAlign w:val="center"/>
          </w:tcPr>
          <w:p w14:paraId="37C96FD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p>
        </w:tc>
        <w:tc>
          <w:tcPr>
            <w:tcW w:w="773" w:type="dxa"/>
            <w:tcBorders>
              <w:top w:val="single" w:sz="8" w:space="0" w:color="auto"/>
              <w:bottom w:val="single" w:sz="8" w:space="0" w:color="auto"/>
            </w:tcBorders>
            <w:shd w:val="clear" w:color="auto" w:fill="auto"/>
            <w:noWrap/>
            <w:vAlign w:val="center"/>
          </w:tcPr>
          <w:p w14:paraId="45D389D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773" w:type="dxa"/>
            <w:tcBorders>
              <w:top w:val="single" w:sz="8" w:space="0" w:color="auto"/>
              <w:bottom w:val="single" w:sz="8" w:space="0" w:color="auto"/>
            </w:tcBorders>
            <w:shd w:val="clear" w:color="auto" w:fill="auto"/>
            <w:noWrap/>
            <w:vAlign w:val="center"/>
          </w:tcPr>
          <w:p w14:paraId="5F5C63B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p>
        </w:tc>
        <w:tc>
          <w:tcPr>
            <w:tcW w:w="775" w:type="dxa"/>
            <w:tcBorders>
              <w:top w:val="single" w:sz="8" w:space="0" w:color="auto"/>
              <w:bottom w:val="single" w:sz="8" w:space="0" w:color="auto"/>
            </w:tcBorders>
            <w:shd w:val="clear" w:color="auto" w:fill="auto"/>
            <w:noWrap/>
            <w:vAlign w:val="center"/>
          </w:tcPr>
          <w:p w14:paraId="766B009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p>
        </w:tc>
        <w:tc>
          <w:tcPr>
            <w:tcW w:w="844" w:type="dxa"/>
            <w:tcBorders>
              <w:top w:val="single" w:sz="8" w:space="0" w:color="auto"/>
              <w:bottom w:val="single" w:sz="8" w:space="0" w:color="auto"/>
            </w:tcBorders>
            <w:shd w:val="clear" w:color="auto" w:fill="auto"/>
            <w:noWrap/>
            <w:vAlign w:val="center"/>
          </w:tcPr>
          <w:p w14:paraId="0202337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75" w:type="dxa"/>
            <w:tcBorders>
              <w:top w:val="single" w:sz="8" w:space="0" w:color="auto"/>
              <w:bottom w:val="single" w:sz="8" w:space="0" w:color="auto"/>
            </w:tcBorders>
            <w:shd w:val="clear" w:color="auto" w:fill="auto"/>
            <w:noWrap/>
            <w:vAlign w:val="center"/>
          </w:tcPr>
          <w:p w14:paraId="297C2B5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w:t>
            </w:r>
          </w:p>
        </w:tc>
        <w:tc>
          <w:tcPr>
            <w:tcW w:w="844" w:type="dxa"/>
            <w:tcBorders>
              <w:top w:val="single" w:sz="8" w:space="0" w:color="auto"/>
              <w:bottom w:val="single" w:sz="8" w:space="0" w:color="auto"/>
            </w:tcBorders>
            <w:shd w:val="clear" w:color="auto" w:fill="auto"/>
            <w:noWrap/>
            <w:vAlign w:val="center"/>
          </w:tcPr>
          <w:p w14:paraId="1B96EE9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r>
      <w:tr w:rsidR="00235309" w:rsidRPr="00765F6E" w14:paraId="227AFA37" w14:textId="77777777" w:rsidTr="00871D47">
        <w:trPr>
          <w:trHeight w:val="176"/>
          <w:jc w:val="center"/>
        </w:trPr>
        <w:tc>
          <w:tcPr>
            <w:tcW w:w="774" w:type="dxa"/>
            <w:tcBorders>
              <w:top w:val="single" w:sz="8" w:space="0" w:color="auto"/>
            </w:tcBorders>
            <w:shd w:val="clear" w:color="auto" w:fill="auto"/>
            <w:vAlign w:val="center"/>
          </w:tcPr>
          <w:p w14:paraId="06EA806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74" w:type="dxa"/>
            <w:tcBorders>
              <w:top w:val="single" w:sz="8" w:space="0" w:color="auto"/>
            </w:tcBorders>
            <w:shd w:val="clear" w:color="auto" w:fill="auto"/>
            <w:noWrap/>
            <w:vAlign w:val="center"/>
          </w:tcPr>
          <w:p w14:paraId="6D4CB43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74" w:type="dxa"/>
            <w:tcBorders>
              <w:top w:val="single" w:sz="8" w:space="0" w:color="auto"/>
            </w:tcBorders>
            <w:shd w:val="clear" w:color="auto" w:fill="auto"/>
            <w:noWrap/>
            <w:vAlign w:val="center"/>
          </w:tcPr>
          <w:p w14:paraId="32A9FEF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840</w:t>
            </w:r>
          </w:p>
        </w:tc>
        <w:tc>
          <w:tcPr>
            <w:tcW w:w="845" w:type="dxa"/>
            <w:tcBorders>
              <w:top w:val="single" w:sz="8" w:space="0" w:color="auto"/>
            </w:tcBorders>
            <w:shd w:val="clear" w:color="auto" w:fill="auto"/>
            <w:noWrap/>
            <w:vAlign w:val="center"/>
          </w:tcPr>
          <w:p w14:paraId="3EA8107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1106</w:t>
            </w:r>
          </w:p>
        </w:tc>
        <w:tc>
          <w:tcPr>
            <w:tcW w:w="774" w:type="dxa"/>
            <w:tcBorders>
              <w:top w:val="single" w:sz="8" w:space="0" w:color="auto"/>
            </w:tcBorders>
            <w:shd w:val="clear" w:color="auto" w:fill="auto"/>
            <w:noWrap/>
            <w:vAlign w:val="center"/>
          </w:tcPr>
          <w:p w14:paraId="508D90C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1380</w:t>
            </w:r>
          </w:p>
        </w:tc>
        <w:tc>
          <w:tcPr>
            <w:tcW w:w="845" w:type="dxa"/>
            <w:tcBorders>
              <w:top w:val="single" w:sz="8" w:space="0" w:color="auto"/>
            </w:tcBorders>
            <w:shd w:val="clear" w:color="auto" w:fill="auto"/>
            <w:noWrap/>
            <w:vAlign w:val="center"/>
          </w:tcPr>
          <w:p w14:paraId="61F82EC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1481</w:t>
            </w:r>
          </w:p>
        </w:tc>
        <w:tc>
          <w:tcPr>
            <w:tcW w:w="773" w:type="dxa"/>
            <w:tcBorders>
              <w:top w:val="single" w:sz="8" w:space="0" w:color="auto"/>
            </w:tcBorders>
            <w:shd w:val="clear" w:color="auto" w:fill="auto"/>
            <w:noWrap/>
            <w:vAlign w:val="center"/>
          </w:tcPr>
          <w:p w14:paraId="09279E9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1548</w:t>
            </w:r>
          </w:p>
        </w:tc>
        <w:tc>
          <w:tcPr>
            <w:tcW w:w="773" w:type="dxa"/>
            <w:tcBorders>
              <w:top w:val="single" w:sz="8" w:space="0" w:color="auto"/>
            </w:tcBorders>
            <w:shd w:val="clear" w:color="auto" w:fill="auto"/>
            <w:noWrap/>
            <w:vAlign w:val="center"/>
          </w:tcPr>
          <w:p w14:paraId="4FFC3BA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1581</w:t>
            </w:r>
          </w:p>
        </w:tc>
        <w:tc>
          <w:tcPr>
            <w:tcW w:w="775" w:type="dxa"/>
            <w:tcBorders>
              <w:top w:val="single" w:sz="8" w:space="0" w:color="auto"/>
            </w:tcBorders>
            <w:shd w:val="clear" w:color="auto" w:fill="auto"/>
            <w:noWrap/>
            <w:vAlign w:val="center"/>
          </w:tcPr>
          <w:p w14:paraId="1A89815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1616</w:t>
            </w:r>
          </w:p>
        </w:tc>
        <w:tc>
          <w:tcPr>
            <w:tcW w:w="844" w:type="dxa"/>
            <w:tcBorders>
              <w:top w:val="single" w:sz="8" w:space="0" w:color="auto"/>
            </w:tcBorders>
            <w:shd w:val="clear" w:color="auto" w:fill="auto"/>
            <w:noWrap/>
            <w:vAlign w:val="center"/>
          </w:tcPr>
          <w:p w14:paraId="283389E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1596</w:t>
            </w:r>
          </w:p>
        </w:tc>
        <w:tc>
          <w:tcPr>
            <w:tcW w:w="775" w:type="dxa"/>
            <w:tcBorders>
              <w:top w:val="single" w:sz="8" w:space="0" w:color="auto"/>
            </w:tcBorders>
            <w:shd w:val="clear" w:color="auto" w:fill="auto"/>
            <w:noWrap/>
            <w:vAlign w:val="center"/>
          </w:tcPr>
          <w:p w14:paraId="5C3E053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1520</w:t>
            </w:r>
          </w:p>
        </w:tc>
        <w:tc>
          <w:tcPr>
            <w:tcW w:w="844" w:type="dxa"/>
            <w:tcBorders>
              <w:top w:val="single" w:sz="8" w:space="0" w:color="auto"/>
            </w:tcBorders>
            <w:shd w:val="clear" w:color="auto" w:fill="auto"/>
            <w:noWrap/>
            <w:vAlign w:val="center"/>
          </w:tcPr>
          <w:p w14:paraId="525BAFF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1520</w:t>
            </w:r>
          </w:p>
        </w:tc>
      </w:tr>
      <w:tr w:rsidR="00235309" w:rsidRPr="00765F6E" w14:paraId="1F632D57" w14:textId="77777777" w:rsidTr="00871D47">
        <w:trPr>
          <w:trHeight w:val="176"/>
          <w:jc w:val="center"/>
        </w:trPr>
        <w:tc>
          <w:tcPr>
            <w:tcW w:w="774" w:type="dxa"/>
            <w:shd w:val="clear" w:color="auto" w:fill="auto"/>
            <w:vAlign w:val="center"/>
          </w:tcPr>
          <w:p w14:paraId="62DDD52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74" w:type="dxa"/>
            <w:shd w:val="clear" w:color="auto" w:fill="auto"/>
            <w:noWrap/>
            <w:vAlign w:val="center"/>
          </w:tcPr>
          <w:p w14:paraId="734692A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3930</w:t>
            </w:r>
          </w:p>
        </w:tc>
        <w:tc>
          <w:tcPr>
            <w:tcW w:w="774" w:type="dxa"/>
            <w:shd w:val="clear" w:color="auto" w:fill="auto"/>
            <w:noWrap/>
            <w:vAlign w:val="center"/>
          </w:tcPr>
          <w:p w14:paraId="757502E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3950</w:t>
            </w:r>
          </w:p>
        </w:tc>
        <w:tc>
          <w:tcPr>
            <w:tcW w:w="845" w:type="dxa"/>
            <w:shd w:val="clear" w:color="auto" w:fill="auto"/>
            <w:noWrap/>
            <w:vAlign w:val="center"/>
          </w:tcPr>
          <w:p w14:paraId="24FE64D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3848</w:t>
            </w:r>
          </w:p>
        </w:tc>
        <w:tc>
          <w:tcPr>
            <w:tcW w:w="774" w:type="dxa"/>
            <w:shd w:val="clear" w:color="auto" w:fill="auto"/>
            <w:noWrap/>
            <w:vAlign w:val="center"/>
          </w:tcPr>
          <w:p w14:paraId="4E6E5F3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3659</w:t>
            </w:r>
          </w:p>
        </w:tc>
        <w:tc>
          <w:tcPr>
            <w:tcW w:w="845" w:type="dxa"/>
            <w:shd w:val="clear" w:color="auto" w:fill="auto"/>
            <w:noWrap/>
            <w:vAlign w:val="center"/>
          </w:tcPr>
          <w:p w14:paraId="7B48CC0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3555</w:t>
            </w:r>
          </w:p>
        </w:tc>
        <w:tc>
          <w:tcPr>
            <w:tcW w:w="773" w:type="dxa"/>
            <w:shd w:val="clear" w:color="auto" w:fill="auto"/>
            <w:noWrap/>
            <w:vAlign w:val="center"/>
          </w:tcPr>
          <w:p w14:paraId="32C70D3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3415</w:t>
            </w:r>
          </w:p>
        </w:tc>
        <w:tc>
          <w:tcPr>
            <w:tcW w:w="773" w:type="dxa"/>
            <w:shd w:val="clear" w:color="auto" w:fill="auto"/>
            <w:noWrap/>
            <w:vAlign w:val="center"/>
          </w:tcPr>
          <w:p w14:paraId="1952E28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3175</w:t>
            </w:r>
          </w:p>
        </w:tc>
        <w:tc>
          <w:tcPr>
            <w:tcW w:w="775" w:type="dxa"/>
            <w:shd w:val="clear" w:color="auto" w:fill="auto"/>
            <w:noWrap/>
            <w:vAlign w:val="center"/>
          </w:tcPr>
          <w:p w14:paraId="1BC83B7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1860</w:t>
            </w:r>
          </w:p>
        </w:tc>
        <w:tc>
          <w:tcPr>
            <w:tcW w:w="844" w:type="dxa"/>
            <w:shd w:val="clear" w:color="auto" w:fill="auto"/>
            <w:noWrap/>
            <w:vAlign w:val="center"/>
          </w:tcPr>
          <w:p w14:paraId="6B9D29F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1333</w:t>
            </w:r>
          </w:p>
        </w:tc>
        <w:tc>
          <w:tcPr>
            <w:tcW w:w="775" w:type="dxa"/>
            <w:shd w:val="clear" w:color="auto" w:fill="auto"/>
            <w:noWrap/>
            <w:vAlign w:val="center"/>
          </w:tcPr>
          <w:p w14:paraId="075F4F8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900</w:t>
            </w:r>
          </w:p>
        </w:tc>
        <w:tc>
          <w:tcPr>
            <w:tcW w:w="844" w:type="dxa"/>
            <w:shd w:val="clear" w:color="auto" w:fill="auto"/>
            <w:noWrap/>
            <w:vAlign w:val="center"/>
          </w:tcPr>
          <w:p w14:paraId="6E7BD33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490</w:t>
            </w:r>
          </w:p>
        </w:tc>
      </w:tr>
      <w:tr w:rsidR="00235309" w:rsidRPr="00765F6E" w14:paraId="0578713B" w14:textId="77777777" w:rsidTr="00871D47">
        <w:trPr>
          <w:trHeight w:val="176"/>
          <w:jc w:val="center"/>
        </w:trPr>
        <w:tc>
          <w:tcPr>
            <w:tcW w:w="774" w:type="dxa"/>
            <w:shd w:val="clear" w:color="auto" w:fill="auto"/>
            <w:vAlign w:val="center"/>
          </w:tcPr>
          <w:p w14:paraId="3ACF315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74" w:type="dxa"/>
            <w:shd w:val="clear" w:color="auto" w:fill="auto"/>
            <w:noWrap/>
            <w:vAlign w:val="center"/>
          </w:tcPr>
          <w:p w14:paraId="39A5463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w:t>
            </w:r>
          </w:p>
        </w:tc>
        <w:tc>
          <w:tcPr>
            <w:tcW w:w="774" w:type="dxa"/>
            <w:shd w:val="clear" w:color="auto" w:fill="auto"/>
            <w:noWrap/>
            <w:vAlign w:val="center"/>
          </w:tcPr>
          <w:p w14:paraId="1483F49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w:t>
            </w:r>
          </w:p>
        </w:tc>
        <w:tc>
          <w:tcPr>
            <w:tcW w:w="845" w:type="dxa"/>
            <w:shd w:val="clear" w:color="auto" w:fill="auto"/>
            <w:noWrap/>
            <w:vAlign w:val="center"/>
          </w:tcPr>
          <w:p w14:paraId="254A1BD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w:t>
            </w:r>
          </w:p>
        </w:tc>
        <w:tc>
          <w:tcPr>
            <w:tcW w:w="774" w:type="dxa"/>
            <w:shd w:val="clear" w:color="auto" w:fill="auto"/>
            <w:noWrap/>
            <w:vAlign w:val="center"/>
          </w:tcPr>
          <w:p w14:paraId="271A032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w:t>
            </w:r>
          </w:p>
        </w:tc>
        <w:tc>
          <w:tcPr>
            <w:tcW w:w="845" w:type="dxa"/>
            <w:shd w:val="clear" w:color="auto" w:fill="auto"/>
            <w:noWrap/>
            <w:vAlign w:val="center"/>
          </w:tcPr>
          <w:p w14:paraId="2BF7F46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773" w:type="dxa"/>
            <w:shd w:val="clear" w:color="auto" w:fill="auto"/>
            <w:noWrap/>
            <w:vAlign w:val="center"/>
          </w:tcPr>
          <w:p w14:paraId="6267788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w:t>
            </w:r>
          </w:p>
        </w:tc>
        <w:tc>
          <w:tcPr>
            <w:tcW w:w="773" w:type="dxa"/>
            <w:shd w:val="clear" w:color="auto" w:fill="auto"/>
            <w:noWrap/>
            <w:vAlign w:val="center"/>
          </w:tcPr>
          <w:p w14:paraId="3687582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775" w:type="dxa"/>
            <w:shd w:val="clear" w:color="auto" w:fill="auto"/>
            <w:noWrap/>
            <w:vAlign w:val="center"/>
          </w:tcPr>
          <w:p w14:paraId="014D1E0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w:t>
            </w:r>
          </w:p>
        </w:tc>
        <w:tc>
          <w:tcPr>
            <w:tcW w:w="844" w:type="dxa"/>
            <w:shd w:val="clear" w:color="auto" w:fill="auto"/>
            <w:noWrap/>
            <w:vAlign w:val="center"/>
          </w:tcPr>
          <w:p w14:paraId="068651F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19″</w:t>
            </w:r>
          </w:p>
        </w:tc>
        <w:tc>
          <w:tcPr>
            <w:tcW w:w="775" w:type="dxa"/>
            <w:shd w:val="clear" w:color="auto" w:fill="auto"/>
            <w:noWrap/>
            <w:vAlign w:val="center"/>
          </w:tcPr>
          <w:p w14:paraId="6A03D6AF"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44" w:type="dxa"/>
            <w:shd w:val="clear" w:color="auto" w:fill="auto"/>
            <w:noWrap/>
            <w:vAlign w:val="center"/>
          </w:tcPr>
          <w:p w14:paraId="304FEE5F"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30BFE39C" w14:textId="77777777" w:rsidTr="00871D47">
        <w:trPr>
          <w:trHeight w:val="176"/>
          <w:jc w:val="center"/>
        </w:trPr>
        <w:tc>
          <w:tcPr>
            <w:tcW w:w="774" w:type="dxa"/>
            <w:shd w:val="clear" w:color="auto" w:fill="auto"/>
            <w:vAlign w:val="center"/>
          </w:tcPr>
          <w:p w14:paraId="789C992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74" w:type="dxa"/>
            <w:shd w:val="clear" w:color="auto" w:fill="auto"/>
            <w:noWrap/>
            <w:vAlign w:val="center"/>
          </w:tcPr>
          <w:p w14:paraId="2AAD751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1700</w:t>
            </w:r>
          </w:p>
        </w:tc>
        <w:tc>
          <w:tcPr>
            <w:tcW w:w="774" w:type="dxa"/>
            <w:shd w:val="clear" w:color="auto" w:fill="auto"/>
            <w:noWrap/>
            <w:vAlign w:val="center"/>
          </w:tcPr>
          <w:p w14:paraId="5B72E00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1700</w:t>
            </w:r>
          </w:p>
        </w:tc>
        <w:tc>
          <w:tcPr>
            <w:tcW w:w="845" w:type="dxa"/>
            <w:shd w:val="clear" w:color="auto" w:fill="auto"/>
            <w:noWrap/>
            <w:vAlign w:val="center"/>
          </w:tcPr>
          <w:p w14:paraId="61096E7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847</w:t>
            </w:r>
          </w:p>
        </w:tc>
        <w:tc>
          <w:tcPr>
            <w:tcW w:w="774" w:type="dxa"/>
            <w:shd w:val="clear" w:color="auto" w:fill="auto"/>
            <w:noWrap/>
            <w:vAlign w:val="center"/>
          </w:tcPr>
          <w:p w14:paraId="41DFCA1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847</w:t>
            </w:r>
          </w:p>
        </w:tc>
        <w:tc>
          <w:tcPr>
            <w:tcW w:w="845" w:type="dxa"/>
            <w:shd w:val="clear" w:color="auto" w:fill="auto"/>
            <w:noWrap/>
            <w:vAlign w:val="center"/>
          </w:tcPr>
          <w:p w14:paraId="4158755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727.5</w:t>
            </w:r>
          </w:p>
        </w:tc>
        <w:tc>
          <w:tcPr>
            <w:tcW w:w="773" w:type="dxa"/>
            <w:shd w:val="clear" w:color="auto" w:fill="auto"/>
            <w:noWrap/>
            <w:vAlign w:val="center"/>
          </w:tcPr>
          <w:p w14:paraId="7999C7F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727.5</w:t>
            </w:r>
          </w:p>
        </w:tc>
        <w:tc>
          <w:tcPr>
            <w:tcW w:w="773" w:type="dxa"/>
            <w:shd w:val="clear" w:color="auto" w:fill="auto"/>
            <w:noWrap/>
            <w:vAlign w:val="center"/>
          </w:tcPr>
          <w:p w14:paraId="1B9A491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640.5</w:t>
            </w:r>
          </w:p>
        </w:tc>
        <w:tc>
          <w:tcPr>
            <w:tcW w:w="775" w:type="dxa"/>
            <w:shd w:val="clear" w:color="auto" w:fill="auto"/>
            <w:noWrap/>
            <w:vAlign w:val="center"/>
          </w:tcPr>
          <w:p w14:paraId="08F3E8D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640.5</w:t>
            </w:r>
          </w:p>
        </w:tc>
        <w:tc>
          <w:tcPr>
            <w:tcW w:w="844" w:type="dxa"/>
            <w:shd w:val="clear" w:color="auto" w:fill="auto"/>
            <w:noWrap/>
            <w:vAlign w:val="center"/>
          </w:tcPr>
          <w:p w14:paraId="1037DA3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75" w:type="dxa"/>
            <w:shd w:val="clear" w:color="auto" w:fill="auto"/>
            <w:noWrap/>
            <w:vAlign w:val="center"/>
          </w:tcPr>
          <w:p w14:paraId="49BA6716"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44" w:type="dxa"/>
            <w:shd w:val="clear" w:color="auto" w:fill="auto"/>
            <w:noWrap/>
            <w:vAlign w:val="center"/>
          </w:tcPr>
          <w:p w14:paraId="0F11964E"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428EC3C1" w14:textId="77777777" w:rsidTr="00871D47">
        <w:trPr>
          <w:trHeight w:val="176"/>
          <w:jc w:val="center"/>
        </w:trPr>
        <w:tc>
          <w:tcPr>
            <w:tcW w:w="774" w:type="dxa"/>
            <w:shd w:val="clear" w:color="auto" w:fill="auto"/>
            <w:vAlign w:val="center"/>
          </w:tcPr>
          <w:p w14:paraId="4C8BB72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74" w:type="dxa"/>
            <w:shd w:val="clear" w:color="auto" w:fill="auto"/>
            <w:noWrap/>
            <w:vAlign w:val="center"/>
          </w:tcPr>
          <w:p w14:paraId="26FD569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490</w:t>
            </w:r>
          </w:p>
        </w:tc>
        <w:tc>
          <w:tcPr>
            <w:tcW w:w="774" w:type="dxa"/>
            <w:shd w:val="clear" w:color="auto" w:fill="auto"/>
            <w:noWrap/>
            <w:vAlign w:val="center"/>
          </w:tcPr>
          <w:p w14:paraId="5FEEA98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845" w:type="dxa"/>
            <w:shd w:val="clear" w:color="auto" w:fill="auto"/>
            <w:noWrap/>
            <w:vAlign w:val="center"/>
          </w:tcPr>
          <w:p w14:paraId="61EA8A5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74" w:type="dxa"/>
            <w:shd w:val="clear" w:color="auto" w:fill="auto"/>
            <w:noWrap/>
            <w:vAlign w:val="center"/>
          </w:tcPr>
          <w:p w14:paraId="7DCB085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845" w:type="dxa"/>
            <w:shd w:val="clear" w:color="auto" w:fill="auto"/>
            <w:noWrap/>
            <w:vAlign w:val="center"/>
          </w:tcPr>
          <w:p w14:paraId="710B194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773" w:type="dxa"/>
            <w:shd w:val="clear" w:color="auto" w:fill="auto"/>
            <w:noWrap/>
            <w:vAlign w:val="center"/>
          </w:tcPr>
          <w:p w14:paraId="51D519B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-64</w:t>
            </w:r>
          </w:p>
        </w:tc>
        <w:tc>
          <w:tcPr>
            <w:tcW w:w="773" w:type="dxa"/>
            <w:shd w:val="clear" w:color="auto" w:fill="auto"/>
            <w:noWrap/>
            <w:vAlign w:val="center"/>
          </w:tcPr>
          <w:p w14:paraId="7747B35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-64</w:t>
            </w:r>
          </w:p>
        </w:tc>
        <w:tc>
          <w:tcPr>
            <w:tcW w:w="775" w:type="dxa"/>
            <w:shd w:val="clear" w:color="auto" w:fill="auto"/>
            <w:noWrap/>
            <w:vAlign w:val="center"/>
          </w:tcPr>
          <w:p w14:paraId="14B78C6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w:t>
            </w:r>
          </w:p>
        </w:tc>
        <w:tc>
          <w:tcPr>
            <w:tcW w:w="844" w:type="dxa"/>
            <w:shd w:val="clear" w:color="auto" w:fill="auto"/>
            <w:noWrap/>
            <w:vAlign w:val="center"/>
          </w:tcPr>
          <w:p w14:paraId="60926B6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w:t>
            </w:r>
          </w:p>
        </w:tc>
        <w:tc>
          <w:tcPr>
            <w:tcW w:w="775" w:type="dxa"/>
            <w:shd w:val="clear" w:color="auto" w:fill="auto"/>
            <w:noWrap/>
            <w:vAlign w:val="center"/>
          </w:tcPr>
          <w:p w14:paraId="6C2EAD99"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44" w:type="dxa"/>
            <w:shd w:val="clear" w:color="auto" w:fill="auto"/>
            <w:noWrap/>
            <w:vAlign w:val="center"/>
          </w:tcPr>
          <w:p w14:paraId="55C6B15B"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r>
    </w:tbl>
    <w:p w14:paraId="79F898D4" w14:textId="77777777" w:rsidR="00235309" w:rsidRPr="00765F6E" w:rsidRDefault="00235309" w:rsidP="00235309">
      <w:pPr>
        <w:pStyle w:val="affffb"/>
        <w:spacing w:before="120" w:after="120"/>
        <w:ind w:firstLine="420"/>
        <w:jc w:val="right"/>
        <w:sectPr w:rsidR="00235309" w:rsidRPr="00765F6E" w:rsidSect="000A5A1C">
          <w:headerReference w:type="even" r:id="rId93"/>
          <w:headerReference w:type="default" r:id="rId94"/>
          <w:footerReference w:type="even" r:id="rId95"/>
          <w:footerReference w:type="default" r:id="rId96"/>
          <w:pgSz w:w="11906" w:h="16838"/>
          <w:pgMar w:top="1928" w:right="1134" w:bottom="1134" w:left="1134" w:header="1418" w:footer="1134" w:gutter="284"/>
          <w:cols w:space="425"/>
          <w:formProt w:val="0"/>
          <w:docGrid w:linePitch="312"/>
        </w:sectPr>
      </w:pPr>
    </w:p>
    <w:p w14:paraId="510BF56D" w14:textId="77777777" w:rsidR="00235309" w:rsidRPr="00765F6E" w:rsidRDefault="00235309" w:rsidP="00235309">
      <w:pPr>
        <w:pStyle w:val="af9"/>
        <w:rPr>
          <w:vanish w:val="0"/>
        </w:rPr>
      </w:pPr>
    </w:p>
    <w:p w14:paraId="52D32C8A" w14:textId="77777777" w:rsidR="00235309" w:rsidRPr="00765F6E" w:rsidRDefault="00235309" w:rsidP="00235309">
      <w:pPr>
        <w:pStyle w:val="aff"/>
        <w:rPr>
          <w:vanish w:val="0"/>
        </w:rPr>
      </w:pPr>
    </w:p>
    <w:p w14:paraId="0A609116" w14:textId="77777777" w:rsidR="00235309" w:rsidRPr="00765F6E" w:rsidRDefault="00235309" w:rsidP="00825942">
      <w:pPr>
        <w:pStyle w:val="aff4"/>
        <w:spacing w:before="20" w:after="120"/>
        <w:ind w:left="420"/>
      </w:pPr>
      <w:r w:rsidRPr="00765F6E">
        <w:br/>
      </w:r>
      <w:bookmarkStart w:id="3889" w:name="_Toc153211037"/>
      <w:bookmarkStart w:id="3890" w:name="_Toc153292570"/>
      <w:bookmarkStart w:id="3891" w:name="_Toc167895935"/>
      <w:bookmarkStart w:id="3892" w:name="_Toc182476625"/>
      <w:r w:rsidRPr="00765F6E">
        <w:rPr>
          <w:rFonts w:hint="eastAsia"/>
        </w:rPr>
        <w:t>（规范性）</w:t>
      </w:r>
      <w:r w:rsidRPr="00765F6E">
        <w:br/>
      </w:r>
      <w:bookmarkStart w:id="3893" w:name="_Toc99793116"/>
      <w:r w:rsidRPr="00765F6E">
        <w:rPr>
          <w:rFonts w:hint="eastAsia"/>
        </w:rPr>
        <w:t>市域B2型车车辆轮廓线、车辆限界及设备限界</w:t>
      </w:r>
      <w:bookmarkEnd w:id="3889"/>
      <w:bookmarkEnd w:id="3890"/>
      <w:bookmarkEnd w:id="3891"/>
      <w:bookmarkEnd w:id="3892"/>
      <w:bookmarkEnd w:id="3893"/>
    </w:p>
    <w:p w14:paraId="35AAC27F" w14:textId="6A5503A5" w:rsidR="00235309" w:rsidRPr="00765F6E" w:rsidRDefault="00235309" w:rsidP="00235309">
      <w:pPr>
        <w:pStyle w:val="aff5"/>
        <w:spacing w:before="120" w:after="120"/>
        <w:ind w:firstLine="360"/>
        <w:outlineLvl w:val="9"/>
        <w:rPr>
          <w:rFonts w:ascii="宋体" w:eastAsia="宋体" w:hAnsi="宋体"/>
        </w:rPr>
      </w:pPr>
      <w:bookmarkStart w:id="3894" w:name="_Toc153292571"/>
      <w:bookmarkStart w:id="3895" w:name="_Toc152659884"/>
      <w:bookmarkStart w:id="3896" w:name="_Toc99801260"/>
      <w:bookmarkStart w:id="3897" w:name="_Toc99793117"/>
      <w:bookmarkStart w:id="3898" w:name="_Toc153211038"/>
      <w:bookmarkStart w:id="3899" w:name="_Toc164068563"/>
      <w:bookmarkStart w:id="3900" w:name="_Toc167895936"/>
      <w:bookmarkStart w:id="3901" w:name="_Toc174539457"/>
      <w:bookmarkStart w:id="3902" w:name="_Toc174553592"/>
      <w:bookmarkStart w:id="3903" w:name="_Toc180759214"/>
      <w:bookmarkStart w:id="3904" w:name="_Toc181266626"/>
      <w:bookmarkStart w:id="3905" w:name="_Toc182409570"/>
      <w:bookmarkStart w:id="3906" w:name="_Toc182409846"/>
      <w:bookmarkStart w:id="3907" w:name="_Toc182476626"/>
      <w:r w:rsidRPr="00765F6E">
        <w:rPr>
          <w:rFonts w:ascii="宋体" w:eastAsia="宋体" w:hAnsi="宋体" w:hint="eastAsia"/>
        </w:rPr>
        <w:t>市域B2型车车辆轮廓线、车辆限界和设备限界图</w:t>
      </w:r>
      <w:r w:rsidR="0049668C">
        <w:rPr>
          <w:rFonts w:ascii="宋体" w:eastAsia="宋体" w:hAnsi="宋体" w:hint="eastAsia"/>
        </w:rPr>
        <w:t>应符合</w:t>
      </w:r>
      <w:r w:rsidRPr="00765F6E">
        <w:rPr>
          <w:rFonts w:ascii="宋体" w:eastAsia="宋体" w:hAnsi="宋体" w:hint="eastAsia"/>
        </w:rPr>
        <w:t>图D.1，</w:t>
      </w:r>
      <w:r>
        <w:rPr>
          <w:rFonts w:ascii="宋体" w:eastAsia="宋体" w:hAnsi="宋体" w:hint="eastAsia"/>
        </w:rPr>
        <w:t>轮廓坐标点和</w:t>
      </w:r>
      <w:r w:rsidRPr="00765F6E">
        <w:rPr>
          <w:rFonts w:ascii="宋体" w:eastAsia="宋体" w:hAnsi="宋体" w:hint="eastAsia"/>
        </w:rPr>
        <w:t>限界坐标点见表D.1～表D.3。</w:t>
      </w:r>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p>
    <w:p w14:paraId="7B70476B" w14:textId="7E5D4A03" w:rsidR="00396CC5" w:rsidRDefault="00396CC5" w:rsidP="00235309">
      <w:pPr>
        <w:pStyle w:val="affffb"/>
        <w:spacing w:before="120" w:after="120"/>
        <w:ind w:firstLine="420"/>
        <w:jc w:val="center"/>
      </w:pPr>
    </w:p>
    <w:p w14:paraId="72F4633E" w14:textId="7E500ADB" w:rsidR="00235309" w:rsidRPr="00765F6E" w:rsidRDefault="00BD2AA8" w:rsidP="00235309">
      <w:pPr>
        <w:pStyle w:val="affffb"/>
        <w:spacing w:before="120" w:after="120"/>
        <w:ind w:firstLine="420"/>
        <w:jc w:val="center"/>
      </w:pPr>
      <w:r>
        <w:drawing>
          <wp:inline distT="0" distB="0" distL="0" distR="0" wp14:anchorId="0F38F2A0" wp14:editId="23E76EFB">
            <wp:extent cx="5675668" cy="6694999"/>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pic:nvPicPr>
                  <pic:blipFill rotWithShape="1">
                    <a:blip r:embed="rId97" cstate="print">
                      <a:extLst>
                        <a:ext uri="{28A0092B-C50C-407E-A947-70E740481C1C}">
                          <a14:useLocalDpi xmlns:a14="http://schemas.microsoft.com/office/drawing/2010/main" val="0"/>
                        </a:ext>
                      </a:extLst>
                    </a:blip>
                    <a:srcRect l="44443" t="17654" r="39223" b="32695"/>
                    <a:stretch/>
                  </pic:blipFill>
                  <pic:spPr bwMode="auto">
                    <a:xfrm>
                      <a:off x="0" y="0"/>
                      <a:ext cx="5733862" cy="6763645"/>
                    </a:xfrm>
                    <a:prstGeom prst="rect">
                      <a:avLst/>
                    </a:prstGeom>
                    <a:ln>
                      <a:noFill/>
                    </a:ln>
                    <a:extLst>
                      <a:ext uri="{53640926-AAD7-44D8-BBD7-CCE9431645EC}">
                        <a14:shadowObscured xmlns:a14="http://schemas.microsoft.com/office/drawing/2010/main"/>
                      </a:ext>
                    </a:extLst>
                  </pic:spPr>
                </pic:pic>
              </a:graphicData>
            </a:graphic>
          </wp:inline>
        </w:drawing>
      </w:r>
    </w:p>
    <w:p w14:paraId="24902AF3" w14:textId="77777777" w:rsidR="00235309" w:rsidRPr="00765F6E" w:rsidRDefault="00235309" w:rsidP="00235309">
      <w:pPr>
        <w:pStyle w:val="affffb"/>
        <w:spacing w:before="120" w:after="120"/>
        <w:ind w:firstLine="420"/>
        <w:jc w:val="center"/>
      </w:pPr>
    </w:p>
    <w:p w14:paraId="49CC75A2" w14:textId="77777777" w:rsidR="00235309" w:rsidRPr="00765F6E" w:rsidRDefault="00235309" w:rsidP="00235309">
      <w:pPr>
        <w:pStyle w:val="afa"/>
        <w:spacing w:before="120" w:after="120"/>
      </w:pPr>
      <w:r w:rsidRPr="00765F6E">
        <w:rPr>
          <w:rFonts w:hint="eastAsia"/>
        </w:rPr>
        <w:t>市域B2型车车辆轮廓、车辆限界、设备限界综合图</w:t>
      </w:r>
      <w:r w:rsidRPr="00765F6E">
        <w:br w:type="page"/>
      </w:r>
    </w:p>
    <w:p w14:paraId="43C99B06" w14:textId="77777777" w:rsidR="00235309" w:rsidRPr="00765F6E" w:rsidRDefault="00235309" w:rsidP="00235309">
      <w:pPr>
        <w:pStyle w:val="aff0"/>
        <w:spacing w:before="120" w:after="120"/>
      </w:pPr>
      <w:r w:rsidRPr="00765F6E">
        <w:rPr>
          <w:rFonts w:hint="eastAsia"/>
        </w:rPr>
        <w:lastRenderedPageBreak/>
        <w:t>车辆轮廓坐标点</w:t>
      </w:r>
    </w:p>
    <w:p w14:paraId="284D007C" w14:textId="77777777" w:rsidR="00235309" w:rsidRPr="00765F6E" w:rsidRDefault="00235309" w:rsidP="00235309">
      <w:pPr>
        <w:pStyle w:val="affffb"/>
        <w:spacing w:before="120" w:after="120"/>
        <w:ind w:firstLine="360"/>
        <w:jc w:val="right"/>
        <w:rPr>
          <w:rFonts w:asciiTheme="minorEastAsia" w:eastAsiaTheme="minorEastAsia" w:hAnsiTheme="minorEastAsia"/>
          <w:sz w:val="18"/>
        </w:rPr>
      </w:pPr>
      <w:r w:rsidRPr="00765F6E">
        <w:rPr>
          <w:rFonts w:asciiTheme="minorEastAsia" w:eastAsiaTheme="minorEastAsia" w:hAnsiTheme="minorEastAsia" w:hint="eastAsia"/>
          <w:sz w:val="18"/>
        </w:rPr>
        <w:t>单位为毫米</w:t>
      </w:r>
    </w:p>
    <w:tbl>
      <w:tblPr>
        <w:tblW w:w="957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99"/>
        <w:gridCol w:w="799"/>
        <w:gridCol w:w="798"/>
        <w:gridCol w:w="798"/>
        <w:gridCol w:w="798"/>
        <w:gridCol w:w="798"/>
        <w:gridCol w:w="798"/>
        <w:gridCol w:w="798"/>
        <w:gridCol w:w="798"/>
        <w:gridCol w:w="798"/>
        <w:gridCol w:w="798"/>
        <w:gridCol w:w="790"/>
      </w:tblGrid>
      <w:tr w:rsidR="00235309" w:rsidRPr="00765F6E" w14:paraId="3935BCA2" w14:textId="77777777" w:rsidTr="00871D47">
        <w:trPr>
          <w:trHeight w:val="176"/>
          <w:jc w:val="center"/>
        </w:trPr>
        <w:tc>
          <w:tcPr>
            <w:tcW w:w="799" w:type="dxa"/>
            <w:tcBorders>
              <w:top w:val="single" w:sz="8" w:space="0" w:color="auto"/>
              <w:bottom w:val="single" w:sz="8" w:space="0" w:color="auto"/>
            </w:tcBorders>
            <w:shd w:val="clear" w:color="auto" w:fill="auto"/>
            <w:vAlign w:val="center"/>
          </w:tcPr>
          <w:p w14:paraId="2D185D9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single" w:sz="8" w:space="0" w:color="auto"/>
              <w:bottom w:val="single" w:sz="8" w:space="0" w:color="auto"/>
            </w:tcBorders>
            <w:shd w:val="clear" w:color="auto" w:fill="auto"/>
            <w:noWrap/>
            <w:vAlign w:val="center"/>
          </w:tcPr>
          <w:p w14:paraId="1ACACA0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0</w:t>
            </w:r>
          </w:p>
        </w:tc>
        <w:tc>
          <w:tcPr>
            <w:tcW w:w="798" w:type="dxa"/>
            <w:tcBorders>
              <w:top w:val="single" w:sz="8" w:space="0" w:color="auto"/>
              <w:bottom w:val="single" w:sz="8" w:space="0" w:color="auto"/>
            </w:tcBorders>
            <w:shd w:val="clear" w:color="auto" w:fill="auto"/>
            <w:noWrap/>
            <w:vAlign w:val="center"/>
          </w:tcPr>
          <w:p w14:paraId="70B4A75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w:t>
            </w:r>
          </w:p>
        </w:tc>
        <w:tc>
          <w:tcPr>
            <w:tcW w:w="798" w:type="dxa"/>
            <w:tcBorders>
              <w:top w:val="single" w:sz="8" w:space="0" w:color="auto"/>
              <w:bottom w:val="single" w:sz="8" w:space="0" w:color="auto"/>
            </w:tcBorders>
            <w:shd w:val="clear" w:color="auto" w:fill="auto"/>
            <w:noWrap/>
            <w:vAlign w:val="center"/>
          </w:tcPr>
          <w:p w14:paraId="5D855F3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w:t>
            </w:r>
          </w:p>
        </w:tc>
        <w:tc>
          <w:tcPr>
            <w:tcW w:w="798" w:type="dxa"/>
            <w:tcBorders>
              <w:top w:val="single" w:sz="8" w:space="0" w:color="auto"/>
              <w:bottom w:val="single" w:sz="8" w:space="0" w:color="auto"/>
            </w:tcBorders>
            <w:shd w:val="clear" w:color="auto" w:fill="auto"/>
            <w:noWrap/>
            <w:vAlign w:val="center"/>
          </w:tcPr>
          <w:p w14:paraId="60A1D4D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3</w:t>
            </w:r>
          </w:p>
        </w:tc>
        <w:tc>
          <w:tcPr>
            <w:tcW w:w="798" w:type="dxa"/>
            <w:tcBorders>
              <w:top w:val="single" w:sz="8" w:space="0" w:color="auto"/>
              <w:bottom w:val="single" w:sz="8" w:space="0" w:color="auto"/>
            </w:tcBorders>
            <w:shd w:val="clear" w:color="auto" w:fill="auto"/>
            <w:noWrap/>
            <w:vAlign w:val="center"/>
          </w:tcPr>
          <w:p w14:paraId="3B6FD1A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w:t>
            </w:r>
          </w:p>
        </w:tc>
        <w:tc>
          <w:tcPr>
            <w:tcW w:w="798" w:type="dxa"/>
            <w:tcBorders>
              <w:top w:val="single" w:sz="8" w:space="0" w:color="auto"/>
              <w:bottom w:val="single" w:sz="8" w:space="0" w:color="auto"/>
            </w:tcBorders>
            <w:shd w:val="clear" w:color="auto" w:fill="auto"/>
            <w:noWrap/>
            <w:vAlign w:val="center"/>
          </w:tcPr>
          <w:p w14:paraId="4BCA52A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5</w:t>
            </w:r>
          </w:p>
        </w:tc>
        <w:tc>
          <w:tcPr>
            <w:tcW w:w="798" w:type="dxa"/>
            <w:tcBorders>
              <w:top w:val="single" w:sz="8" w:space="0" w:color="auto"/>
              <w:bottom w:val="single" w:sz="8" w:space="0" w:color="auto"/>
            </w:tcBorders>
            <w:shd w:val="clear" w:color="auto" w:fill="auto"/>
            <w:noWrap/>
            <w:vAlign w:val="center"/>
          </w:tcPr>
          <w:p w14:paraId="2BD099F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6</w:t>
            </w:r>
          </w:p>
        </w:tc>
        <w:tc>
          <w:tcPr>
            <w:tcW w:w="798" w:type="dxa"/>
            <w:tcBorders>
              <w:top w:val="single" w:sz="8" w:space="0" w:color="auto"/>
              <w:bottom w:val="single" w:sz="8" w:space="0" w:color="auto"/>
            </w:tcBorders>
            <w:shd w:val="clear" w:color="auto" w:fill="auto"/>
            <w:noWrap/>
            <w:vAlign w:val="center"/>
          </w:tcPr>
          <w:p w14:paraId="7CB0854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7</w:t>
            </w:r>
          </w:p>
        </w:tc>
        <w:tc>
          <w:tcPr>
            <w:tcW w:w="798" w:type="dxa"/>
            <w:tcBorders>
              <w:top w:val="single" w:sz="8" w:space="0" w:color="auto"/>
              <w:bottom w:val="single" w:sz="8" w:space="0" w:color="auto"/>
            </w:tcBorders>
            <w:shd w:val="clear" w:color="auto" w:fill="auto"/>
            <w:noWrap/>
            <w:vAlign w:val="center"/>
          </w:tcPr>
          <w:p w14:paraId="1AF5029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8</w:t>
            </w:r>
          </w:p>
        </w:tc>
        <w:tc>
          <w:tcPr>
            <w:tcW w:w="798" w:type="dxa"/>
            <w:tcBorders>
              <w:top w:val="single" w:sz="8" w:space="0" w:color="auto"/>
              <w:bottom w:val="single" w:sz="8" w:space="0" w:color="auto"/>
            </w:tcBorders>
            <w:shd w:val="clear" w:color="auto" w:fill="auto"/>
            <w:noWrap/>
            <w:vAlign w:val="center"/>
          </w:tcPr>
          <w:p w14:paraId="4471AEA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9</w:t>
            </w:r>
          </w:p>
        </w:tc>
        <w:tc>
          <w:tcPr>
            <w:tcW w:w="790" w:type="dxa"/>
            <w:tcBorders>
              <w:top w:val="single" w:sz="8" w:space="0" w:color="auto"/>
              <w:bottom w:val="single" w:sz="8" w:space="0" w:color="auto"/>
            </w:tcBorders>
            <w:shd w:val="clear" w:color="auto" w:fill="auto"/>
            <w:noWrap/>
            <w:vAlign w:val="center"/>
          </w:tcPr>
          <w:p w14:paraId="58470FC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10</w:t>
            </w:r>
          </w:p>
        </w:tc>
      </w:tr>
      <w:tr w:rsidR="00235309" w:rsidRPr="00765F6E" w14:paraId="6A26902F" w14:textId="77777777" w:rsidTr="00871D47">
        <w:trPr>
          <w:trHeight w:val="176"/>
          <w:jc w:val="center"/>
        </w:trPr>
        <w:tc>
          <w:tcPr>
            <w:tcW w:w="799" w:type="dxa"/>
            <w:tcBorders>
              <w:top w:val="single" w:sz="8" w:space="0" w:color="auto"/>
            </w:tcBorders>
            <w:shd w:val="clear" w:color="auto" w:fill="auto"/>
            <w:vAlign w:val="center"/>
          </w:tcPr>
          <w:p w14:paraId="5D925D2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single" w:sz="8" w:space="0" w:color="auto"/>
            </w:tcBorders>
            <w:shd w:val="clear" w:color="auto" w:fill="auto"/>
            <w:noWrap/>
            <w:vAlign w:val="center"/>
          </w:tcPr>
          <w:p w14:paraId="530D8EBE"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0</w:t>
            </w:r>
          </w:p>
        </w:tc>
        <w:tc>
          <w:tcPr>
            <w:tcW w:w="798" w:type="dxa"/>
            <w:tcBorders>
              <w:top w:val="single" w:sz="8" w:space="0" w:color="auto"/>
            </w:tcBorders>
            <w:shd w:val="clear" w:color="auto" w:fill="auto"/>
            <w:noWrap/>
            <w:vAlign w:val="center"/>
          </w:tcPr>
          <w:p w14:paraId="4A29F17B"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447</w:t>
            </w:r>
          </w:p>
        </w:tc>
        <w:tc>
          <w:tcPr>
            <w:tcW w:w="798" w:type="dxa"/>
            <w:tcBorders>
              <w:top w:val="single" w:sz="8" w:space="0" w:color="auto"/>
            </w:tcBorders>
            <w:shd w:val="clear" w:color="auto" w:fill="auto"/>
            <w:noWrap/>
            <w:vAlign w:val="center"/>
          </w:tcPr>
          <w:p w14:paraId="4621C916"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549</w:t>
            </w:r>
          </w:p>
        </w:tc>
        <w:tc>
          <w:tcPr>
            <w:tcW w:w="798" w:type="dxa"/>
            <w:tcBorders>
              <w:top w:val="single" w:sz="8" w:space="0" w:color="auto"/>
            </w:tcBorders>
            <w:shd w:val="clear" w:color="auto" w:fill="auto"/>
            <w:noWrap/>
            <w:vAlign w:val="center"/>
          </w:tcPr>
          <w:p w14:paraId="192C1CD3"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705</w:t>
            </w:r>
          </w:p>
        </w:tc>
        <w:tc>
          <w:tcPr>
            <w:tcW w:w="798" w:type="dxa"/>
            <w:tcBorders>
              <w:top w:val="single" w:sz="8" w:space="0" w:color="auto"/>
            </w:tcBorders>
            <w:shd w:val="clear" w:color="auto" w:fill="auto"/>
            <w:noWrap/>
            <w:vAlign w:val="center"/>
          </w:tcPr>
          <w:p w14:paraId="4C5A773C"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843</w:t>
            </w:r>
          </w:p>
        </w:tc>
        <w:tc>
          <w:tcPr>
            <w:tcW w:w="798" w:type="dxa"/>
            <w:tcBorders>
              <w:top w:val="single" w:sz="8" w:space="0" w:color="auto"/>
            </w:tcBorders>
            <w:shd w:val="clear" w:color="auto" w:fill="auto"/>
            <w:noWrap/>
            <w:vAlign w:val="center"/>
          </w:tcPr>
          <w:p w14:paraId="459D158F"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1152</w:t>
            </w:r>
          </w:p>
        </w:tc>
        <w:tc>
          <w:tcPr>
            <w:tcW w:w="798" w:type="dxa"/>
            <w:tcBorders>
              <w:top w:val="single" w:sz="8" w:space="0" w:color="auto"/>
            </w:tcBorders>
            <w:shd w:val="clear" w:color="auto" w:fill="auto"/>
            <w:noWrap/>
            <w:vAlign w:val="center"/>
          </w:tcPr>
          <w:p w14:paraId="3650E3D8"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1284</w:t>
            </w:r>
          </w:p>
        </w:tc>
        <w:tc>
          <w:tcPr>
            <w:tcW w:w="798" w:type="dxa"/>
            <w:tcBorders>
              <w:top w:val="single" w:sz="8" w:space="0" w:color="auto"/>
            </w:tcBorders>
            <w:shd w:val="clear" w:color="auto" w:fill="auto"/>
            <w:noWrap/>
            <w:vAlign w:val="center"/>
          </w:tcPr>
          <w:p w14:paraId="5841A797"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1326</w:t>
            </w:r>
          </w:p>
        </w:tc>
        <w:tc>
          <w:tcPr>
            <w:tcW w:w="798" w:type="dxa"/>
            <w:tcBorders>
              <w:top w:val="single" w:sz="8" w:space="0" w:color="auto"/>
            </w:tcBorders>
            <w:shd w:val="clear" w:color="auto" w:fill="auto"/>
            <w:noWrap/>
            <w:vAlign w:val="center"/>
          </w:tcPr>
          <w:p w14:paraId="69C728B0"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1426</w:t>
            </w:r>
          </w:p>
        </w:tc>
        <w:tc>
          <w:tcPr>
            <w:tcW w:w="798" w:type="dxa"/>
            <w:tcBorders>
              <w:top w:val="single" w:sz="8" w:space="0" w:color="auto"/>
            </w:tcBorders>
            <w:shd w:val="clear" w:color="auto" w:fill="auto"/>
            <w:noWrap/>
            <w:vAlign w:val="center"/>
          </w:tcPr>
          <w:p w14:paraId="1870EA2A"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1441.4</w:t>
            </w:r>
          </w:p>
        </w:tc>
        <w:tc>
          <w:tcPr>
            <w:tcW w:w="790" w:type="dxa"/>
            <w:tcBorders>
              <w:top w:val="single" w:sz="8" w:space="0" w:color="auto"/>
            </w:tcBorders>
            <w:shd w:val="clear" w:color="auto" w:fill="auto"/>
            <w:noWrap/>
            <w:vAlign w:val="center"/>
          </w:tcPr>
          <w:p w14:paraId="3ED41B42"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1439.2</w:t>
            </w:r>
          </w:p>
        </w:tc>
      </w:tr>
      <w:tr w:rsidR="00235309" w:rsidRPr="00765F6E" w14:paraId="55699B82" w14:textId="77777777" w:rsidTr="00871D47">
        <w:trPr>
          <w:trHeight w:val="176"/>
          <w:jc w:val="center"/>
        </w:trPr>
        <w:tc>
          <w:tcPr>
            <w:tcW w:w="799" w:type="dxa"/>
            <w:shd w:val="clear" w:color="auto" w:fill="auto"/>
            <w:vAlign w:val="center"/>
          </w:tcPr>
          <w:p w14:paraId="647659C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2B5F070E"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3830</w:t>
            </w:r>
          </w:p>
        </w:tc>
        <w:tc>
          <w:tcPr>
            <w:tcW w:w="798" w:type="dxa"/>
            <w:shd w:val="clear" w:color="auto" w:fill="auto"/>
            <w:noWrap/>
            <w:vAlign w:val="center"/>
          </w:tcPr>
          <w:p w14:paraId="779E5CCE"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3830</w:t>
            </w:r>
          </w:p>
        </w:tc>
        <w:tc>
          <w:tcPr>
            <w:tcW w:w="798" w:type="dxa"/>
            <w:shd w:val="clear" w:color="auto" w:fill="auto"/>
            <w:noWrap/>
            <w:vAlign w:val="center"/>
          </w:tcPr>
          <w:p w14:paraId="115B37EF"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3825</w:t>
            </w:r>
          </w:p>
        </w:tc>
        <w:tc>
          <w:tcPr>
            <w:tcW w:w="798" w:type="dxa"/>
            <w:shd w:val="clear" w:color="auto" w:fill="auto"/>
            <w:noWrap/>
            <w:vAlign w:val="center"/>
          </w:tcPr>
          <w:p w14:paraId="737D9148"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3802</w:t>
            </w:r>
          </w:p>
        </w:tc>
        <w:tc>
          <w:tcPr>
            <w:tcW w:w="798" w:type="dxa"/>
            <w:shd w:val="clear" w:color="auto" w:fill="auto"/>
            <w:noWrap/>
            <w:vAlign w:val="center"/>
          </w:tcPr>
          <w:p w14:paraId="333B5F9B"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3760</w:t>
            </w:r>
          </w:p>
        </w:tc>
        <w:tc>
          <w:tcPr>
            <w:tcW w:w="798" w:type="dxa"/>
            <w:shd w:val="clear" w:color="auto" w:fill="auto"/>
            <w:noWrap/>
            <w:vAlign w:val="center"/>
          </w:tcPr>
          <w:p w14:paraId="07CF9F3E"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3538</w:t>
            </w:r>
          </w:p>
        </w:tc>
        <w:tc>
          <w:tcPr>
            <w:tcW w:w="798" w:type="dxa"/>
            <w:shd w:val="clear" w:color="auto" w:fill="auto"/>
            <w:noWrap/>
            <w:vAlign w:val="center"/>
          </w:tcPr>
          <w:p w14:paraId="431CD082"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3387</w:t>
            </w:r>
          </w:p>
        </w:tc>
        <w:tc>
          <w:tcPr>
            <w:tcW w:w="798" w:type="dxa"/>
            <w:shd w:val="clear" w:color="auto" w:fill="auto"/>
            <w:noWrap/>
            <w:vAlign w:val="center"/>
          </w:tcPr>
          <w:p w14:paraId="4377F3E7"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3219</w:t>
            </w:r>
          </w:p>
        </w:tc>
        <w:tc>
          <w:tcPr>
            <w:tcW w:w="798" w:type="dxa"/>
            <w:shd w:val="clear" w:color="auto" w:fill="auto"/>
            <w:noWrap/>
            <w:vAlign w:val="center"/>
          </w:tcPr>
          <w:p w14:paraId="6BD4B53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1899</w:t>
            </w:r>
          </w:p>
        </w:tc>
        <w:tc>
          <w:tcPr>
            <w:tcW w:w="798" w:type="dxa"/>
            <w:shd w:val="clear" w:color="auto" w:fill="auto"/>
            <w:noWrap/>
            <w:vAlign w:val="center"/>
          </w:tcPr>
          <w:p w14:paraId="5A39DA92"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1734</w:t>
            </w:r>
          </w:p>
        </w:tc>
        <w:tc>
          <w:tcPr>
            <w:tcW w:w="790" w:type="dxa"/>
            <w:shd w:val="clear" w:color="auto" w:fill="auto"/>
            <w:noWrap/>
            <w:vAlign w:val="center"/>
          </w:tcPr>
          <w:p w14:paraId="78830527"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1651.6</w:t>
            </w:r>
          </w:p>
        </w:tc>
      </w:tr>
      <w:tr w:rsidR="00235309" w:rsidRPr="00765F6E" w14:paraId="4B93F2B9" w14:textId="77777777" w:rsidTr="00871D47">
        <w:trPr>
          <w:trHeight w:val="176"/>
          <w:jc w:val="center"/>
        </w:trPr>
        <w:tc>
          <w:tcPr>
            <w:tcW w:w="799" w:type="dxa"/>
            <w:shd w:val="clear" w:color="auto" w:fill="auto"/>
            <w:vAlign w:val="center"/>
          </w:tcPr>
          <w:p w14:paraId="4F7FAB4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noWrap/>
            <w:vAlign w:val="center"/>
          </w:tcPr>
          <w:p w14:paraId="6FD9E56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11</w:t>
            </w:r>
          </w:p>
        </w:tc>
        <w:tc>
          <w:tcPr>
            <w:tcW w:w="798" w:type="dxa"/>
            <w:shd w:val="clear" w:color="auto" w:fill="auto"/>
            <w:noWrap/>
            <w:vAlign w:val="center"/>
          </w:tcPr>
          <w:p w14:paraId="1543A0B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12</w:t>
            </w:r>
          </w:p>
        </w:tc>
        <w:tc>
          <w:tcPr>
            <w:tcW w:w="798" w:type="dxa"/>
            <w:shd w:val="clear" w:color="auto" w:fill="auto"/>
            <w:noWrap/>
            <w:vAlign w:val="center"/>
          </w:tcPr>
          <w:p w14:paraId="5E79CB7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13</w:t>
            </w:r>
          </w:p>
        </w:tc>
        <w:tc>
          <w:tcPr>
            <w:tcW w:w="798" w:type="dxa"/>
            <w:shd w:val="clear" w:color="auto" w:fill="auto"/>
            <w:noWrap/>
            <w:vAlign w:val="center"/>
          </w:tcPr>
          <w:p w14:paraId="017FBAE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14</w:t>
            </w:r>
          </w:p>
        </w:tc>
        <w:tc>
          <w:tcPr>
            <w:tcW w:w="798" w:type="dxa"/>
            <w:shd w:val="clear" w:color="auto" w:fill="auto"/>
            <w:noWrap/>
            <w:vAlign w:val="center"/>
          </w:tcPr>
          <w:p w14:paraId="1C30D5A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15</w:t>
            </w:r>
          </w:p>
        </w:tc>
        <w:tc>
          <w:tcPr>
            <w:tcW w:w="798" w:type="dxa"/>
            <w:shd w:val="clear" w:color="auto" w:fill="auto"/>
            <w:noWrap/>
            <w:vAlign w:val="center"/>
          </w:tcPr>
          <w:p w14:paraId="18813CF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16</w:t>
            </w:r>
          </w:p>
        </w:tc>
        <w:tc>
          <w:tcPr>
            <w:tcW w:w="798" w:type="dxa"/>
            <w:shd w:val="clear" w:color="auto" w:fill="auto"/>
            <w:noWrap/>
            <w:vAlign w:val="center"/>
          </w:tcPr>
          <w:p w14:paraId="310B9D4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17</w:t>
            </w:r>
          </w:p>
        </w:tc>
        <w:tc>
          <w:tcPr>
            <w:tcW w:w="798" w:type="dxa"/>
            <w:shd w:val="clear" w:color="auto" w:fill="auto"/>
            <w:noWrap/>
            <w:vAlign w:val="center"/>
          </w:tcPr>
          <w:p w14:paraId="259DF6C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18</w:t>
            </w:r>
          </w:p>
        </w:tc>
        <w:tc>
          <w:tcPr>
            <w:tcW w:w="798" w:type="dxa"/>
            <w:shd w:val="clear" w:color="auto" w:fill="auto"/>
            <w:noWrap/>
            <w:vAlign w:val="center"/>
          </w:tcPr>
          <w:p w14:paraId="381074F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19</w:t>
            </w:r>
          </w:p>
        </w:tc>
        <w:tc>
          <w:tcPr>
            <w:tcW w:w="798" w:type="dxa"/>
            <w:shd w:val="clear" w:color="auto" w:fill="auto"/>
            <w:noWrap/>
            <w:vAlign w:val="center"/>
          </w:tcPr>
          <w:p w14:paraId="6A64DD7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20</w:t>
            </w:r>
          </w:p>
        </w:tc>
        <w:tc>
          <w:tcPr>
            <w:tcW w:w="790" w:type="dxa"/>
            <w:shd w:val="clear" w:color="auto" w:fill="auto"/>
            <w:noWrap/>
            <w:vAlign w:val="center"/>
          </w:tcPr>
          <w:p w14:paraId="3A90442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21</w:t>
            </w:r>
          </w:p>
        </w:tc>
      </w:tr>
      <w:tr w:rsidR="00235309" w:rsidRPr="00765F6E" w14:paraId="02D1DC36" w14:textId="77777777" w:rsidTr="00871D47">
        <w:trPr>
          <w:trHeight w:val="176"/>
          <w:jc w:val="center"/>
        </w:trPr>
        <w:tc>
          <w:tcPr>
            <w:tcW w:w="799" w:type="dxa"/>
            <w:shd w:val="clear" w:color="auto" w:fill="auto"/>
            <w:vAlign w:val="center"/>
          </w:tcPr>
          <w:p w14:paraId="05D3798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noWrap/>
            <w:vAlign w:val="center"/>
          </w:tcPr>
          <w:p w14:paraId="1CE9ED1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1432.5</w:t>
            </w:r>
          </w:p>
        </w:tc>
        <w:tc>
          <w:tcPr>
            <w:tcW w:w="798" w:type="dxa"/>
            <w:shd w:val="clear" w:color="auto" w:fill="auto"/>
            <w:noWrap/>
            <w:vAlign w:val="center"/>
          </w:tcPr>
          <w:p w14:paraId="553A266F"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1421.5</w:t>
            </w:r>
          </w:p>
        </w:tc>
        <w:tc>
          <w:tcPr>
            <w:tcW w:w="798" w:type="dxa"/>
            <w:shd w:val="clear" w:color="auto" w:fill="auto"/>
            <w:noWrap/>
            <w:vAlign w:val="center"/>
          </w:tcPr>
          <w:p w14:paraId="32E1534E"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1415.5</w:t>
            </w:r>
          </w:p>
        </w:tc>
        <w:tc>
          <w:tcPr>
            <w:tcW w:w="798" w:type="dxa"/>
            <w:shd w:val="clear" w:color="auto" w:fill="auto"/>
            <w:noWrap/>
            <w:vAlign w:val="center"/>
          </w:tcPr>
          <w:p w14:paraId="0945AF28"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1400.5</w:t>
            </w:r>
          </w:p>
        </w:tc>
        <w:tc>
          <w:tcPr>
            <w:tcW w:w="798" w:type="dxa"/>
            <w:shd w:val="clear" w:color="auto" w:fill="auto"/>
            <w:noWrap/>
            <w:vAlign w:val="center"/>
          </w:tcPr>
          <w:p w14:paraId="515D4083"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1384</w:t>
            </w:r>
          </w:p>
        </w:tc>
        <w:tc>
          <w:tcPr>
            <w:tcW w:w="798" w:type="dxa"/>
            <w:shd w:val="clear" w:color="auto" w:fill="auto"/>
            <w:noWrap/>
            <w:vAlign w:val="center"/>
          </w:tcPr>
          <w:p w14:paraId="0180B729"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1366.5</w:t>
            </w:r>
          </w:p>
        </w:tc>
        <w:tc>
          <w:tcPr>
            <w:tcW w:w="798" w:type="dxa"/>
            <w:shd w:val="clear" w:color="auto" w:fill="auto"/>
            <w:noWrap/>
            <w:vAlign w:val="center"/>
          </w:tcPr>
          <w:p w14:paraId="41FF640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1333</w:t>
            </w:r>
          </w:p>
        </w:tc>
        <w:tc>
          <w:tcPr>
            <w:tcW w:w="798" w:type="dxa"/>
            <w:shd w:val="clear" w:color="auto" w:fill="auto"/>
            <w:noWrap/>
            <w:vAlign w:val="center"/>
          </w:tcPr>
          <w:p w14:paraId="7DAC5879"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1333</w:t>
            </w:r>
          </w:p>
        </w:tc>
        <w:tc>
          <w:tcPr>
            <w:tcW w:w="798" w:type="dxa"/>
            <w:shd w:val="clear" w:color="auto" w:fill="auto"/>
            <w:noWrap/>
            <w:vAlign w:val="center"/>
          </w:tcPr>
          <w:p w14:paraId="57CB04A7"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1318.8</w:t>
            </w:r>
          </w:p>
        </w:tc>
        <w:tc>
          <w:tcPr>
            <w:tcW w:w="798" w:type="dxa"/>
            <w:shd w:val="clear" w:color="auto" w:fill="auto"/>
            <w:noWrap/>
            <w:vAlign w:val="center"/>
          </w:tcPr>
          <w:p w14:paraId="227E6DAF"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1320.8</w:t>
            </w:r>
          </w:p>
        </w:tc>
        <w:tc>
          <w:tcPr>
            <w:tcW w:w="790" w:type="dxa"/>
            <w:shd w:val="clear" w:color="auto" w:fill="auto"/>
            <w:noWrap/>
            <w:vAlign w:val="center"/>
          </w:tcPr>
          <w:p w14:paraId="6742A57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1303</w:t>
            </w:r>
          </w:p>
        </w:tc>
      </w:tr>
      <w:tr w:rsidR="00235309" w:rsidRPr="00765F6E" w14:paraId="31857E90" w14:textId="77777777" w:rsidTr="00871D47">
        <w:trPr>
          <w:trHeight w:val="176"/>
          <w:jc w:val="center"/>
        </w:trPr>
        <w:tc>
          <w:tcPr>
            <w:tcW w:w="799" w:type="dxa"/>
            <w:shd w:val="clear" w:color="auto" w:fill="auto"/>
            <w:vAlign w:val="center"/>
          </w:tcPr>
          <w:p w14:paraId="47F9B64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51D246D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1556.9</w:t>
            </w:r>
          </w:p>
        </w:tc>
        <w:tc>
          <w:tcPr>
            <w:tcW w:w="798" w:type="dxa"/>
            <w:shd w:val="clear" w:color="auto" w:fill="auto"/>
            <w:noWrap/>
            <w:vAlign w:val="center"/>
          </w:tcPr>
          <w:p w14:paraId="0AF390E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1326.3</w:t>
            </w:r>
          </w:p>
        </w:tc>
        <w:tc>
          <w:tcPr>
            <w:tcW w:w="798" w:type="dxa"/>
            <w:shd w:val="clear" w:color="auto" w:fill="auto"/>
            <w:noWrap/>
            <w:vAlign w:val="center"/>
          </w:tcPr>
          <w:p w14:paraId="3D0B9523"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1241.4</w:t>
            </w:r>
          </w:p>
        </w:tc>
        <w:tc>
          <w:tcPr>
            <w:tcW w:w="798" w:type="dxa"/>
            <w:shd w:val="clear" w:color="auto" w:fill="auto"/>
            <w:noWrap/>
            <w:vAlign w:val="center"/>
          </w:tcPr>
          <w:p w14:paraId="00652CAC"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1100</w:t>
            </w:r>
          </w:p>
        </w:tc>
        <w:tc>
          <w:tcPr>
            <w:tcW w:w="798" w:type="dxa"/>
            <w:shd w:val="clear" w:color="auto" w:fill="auto"/>
            <w:noWrap/>
            <w:vAlign w:val="center"/>
          </w:tcPr>
          <w:p w14:paraId="446F6480"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862</w:t>
            </w:r>
          </w:p>
        </w:tc>
        <w:tc>
          <w:tcPr>
            <w:tcW w:w="798" w:type="dxa"/>
            <w:shd w:val="clear" w:color="auto" w:fill="auto"/>
            <w:noWrap/>
            <w:vAlign w:val="center"/>
          </w:tcPr>
          <w:p w14:paraId="006F6E2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740.5</w:t>
            </w:r>
          </w:p>
        </w:tc>
        <w:tc>
          <w:tcPr>
            <w:tcW w:w="798" w:type="dxa"/>
            <w:shd w:val="clear" w:color="auto" w:fill="auto"/>
            <w:noWrap/>
            <w:vAlign w:val="center"/>
          </w:tcPr>
          <w:p w14:paraId="4DE276E2"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684.7</w:t>
            </w:r>
          </w:p>
        </w:tc>
        <w:tc>
          <w:tcPr>
            <w:tcW w:w="798" w:type="dxa"/>
            <w:shd w:val="clear" w:color="auto" w:fill="auto"/>
            <w:noWrap/>
            <w:vAlign w:val="center"/>
          </w:tcPr>
          <w:p w14:paraId="03F7A156"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565.6</w:t>
            </w:r>
          </w:p>
        </w:tc>
        <w:tc>
          <w:tcPr>
            <w:tcW w:w="798" w:type="dxa"/>
            <w:shd w:val="clear" w:color="auto" w:fill="auto"/>
            <w:noWrap/>
            <w:vAlign w:val="center"/>
          </w:tcPr>
          <w:p w14:paraId="4DF50807"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434</w:t>
            </w:r>
          </w:p>
        </w:tc>
        <w:tc>
          <w:tcPr>
            <w:tcW w:w="798" w:type="dxa"/>
            <w:shd w:val="clear" w:color="auto" w:fill="auto"/>
            <w:noWrap/>
            <w:vAlign w:val="center"/>
          </w:tcPr>
          <w:p w14:paraId="4C41DFB1"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383.7</w:t>
            </w:r>
          </w:p>
        </w:tc>
        <w:tc>
          <w:tcPr>
            <w:tcW w:w="790" w:type="dxa"/>
            <w:shd w:val="clear" w:color="auto" w:fill="auto"/>
            <w:noWrap/>
            <w:vAlign w:val="center"/>
          </w:tcPr>
          <w:p w14:paraId="162F5967"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362</w:t>
            </w:r>
          </w:p>
        </w:tc>
      </w:tr>
      <w:tr w:rsidR="00235309" w:rsidRPr="00765F6E" w14:paraId="78386A90" w14:textId="77777777" w:rsidTr="00871D47">
        <w:trPr>
          <w:trHeight w:val="176"/>
          <w:jc w:val="center"/>
        </w:trPr>
        <w:tc>
          <w:tcPr>
            <w:tcW w:w="799" w:type="dxa"/>
            <w:shd w:val="clear" w:color="auto" w:fill="auto"/>
            <w:vAlign w:val="center"/>
          </w:tcPr>
          <w:p w14:paraId="6955325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noWrap/>
            <w:vAlign w:val="center"/>
          </w:tcPr>
          <w:p w14:paraId="047990F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22</w:t>
            </w:r>
          </w:p>
        </w:tc>
        <w:tc>
          <w:tcPr>
            <w:tcW w:w="798" w:type="dxa"/>
            <w:shd w:val="clear" w:color="auto" w:fill="auto"/>
            <w:noWrap/>
            <w:vAlign w:val="center"/>
          </w:tcPr>
          <w:p w14:paraId="46BA5D1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23</w:t>
            </w:r>
          </w:p>
        </w:tc>
        <w:tc>
          <w:tcPr>
            <w:tcW w:w="798" w:type="dxa"/>
            <w:shd w:val="clear" w:color="auto" w:fill="auto"/>
            <w:noWrap/>
            <w:vAlign w:val="center"/>
          </w:tcPr>
          <w:p w14:paraId="7693337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24</w:t>
            </w:r>
          </w:p>
        </w:tc>
        <w:tc>
          <w:tcPr>
            <w:tcW w:w="798" w:type="dxa"/>
            <w:shd w:val="clear" w:color="auto" w:fill="auto"/>
            <w:noWrap/>
            <w:vAlign w:val="center"/>
          </w:tcPr>
          <w:p w14:paraId="082B62A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25</w:t>
            </w:r>
          </w:p>
        </w:tc>
        <w:tc>
          <w:tcPr>
            <w:tcW w:w="798" w:type="dxa"/>
            <w:shd w:val="clear" w:color="auto" w:fill="auto"/>
            <w:noWrap/>
            <w:vAlign w:val="center"/>
          </w:tcPr>
          <w:p w14:paraId="03759B6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26</w:t>
            </w:r>
          </w:p>
        </w:tc>
        <w:tc>
          <w:tcPr>
            <w:tcW w:w="798" w:type="dxa"/>
            <w:shd w:val="clear" w:color="auto" w:fill="auto"/>
            <w:noWrap/>
            <w:vAlign w:val="center"/>
          </w:tcPr>
          <w:p w14:paraId="51D8AC3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27</w:t>
            </w:r>
          </w:p>
        </w:tc>
        <w:tc>
          <w:tcPr>
            <w:tcW w:w="798" w:type="dxa"/>
            <w:shd w:val="clear" w:color="auto" w:fill="auto"/>
            <w:noWrap/>
            <w:vAlign w:val="center"/>
          </w:tcPr>
          <w:p w14:paraId="0053B15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28</w:t>
            </w:r>
          </w:p>
        </w:tc>
        <w:tc>
          <w:tcPr>
            <w:tcW w:w="798" w:type="dxa"/>
            <w:shd w:val="clear" w:color="auto" w:fill="auto"/>
            <w:noWrap/>
            <w:vAlign w:val="center"/>
          </w:tcPr>
          <w:p w14:paraId="25C73E0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29</w:t>
            </w:r>
          </w:p>
        </w:tc>
        <w:tc>
          <w:tcPr>
            <w:tcW w:w="798" w:type="dxa"/>
            <w:shd w:val="clear" w:color="auto" w:fill="auto"/>
            <w:noWrap/>
            <w:vAlign w:val="center"/>
          </w:tcPr>
          <w:p w14:paraId="67A29FA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30</w:t>
            </w:r>
          </w:p>
        </w:tc>
        <w:tc>
          <w:tcPr>
            <w:tcW w:w="798" w:type="dxa"/>
            <w:shd w:val="clear" w:color="auto" w:fill="auto"/>
            <w:noWrap/>
            <w:vAlign w:val="center"/>
          </w:tcPr>
          <w:p w14:paraId="64D4ACFA"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shd w:val="clear" w:color="auto" w:fill="auto"/>
            <w:noWrap/>
            <w:vAlign w:val="center"/>
          </w:tcPr>
          <w:p w14:paraId="4DFCD9B2"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1E7DFD10" w14:textId="77777777" w:rsidTr="00871D47">
        <w:trPr>
          <w:trHeight w:val="176"/>
          <w:jc w:val="center"/>
        </w:trPr>
        <w:tc>
          <w:tcPr>
            <w:tcW w:w="799" w:type="dxa"/>
            <w:shd w:val="clear" w:color="auto" w:fill="auto"/>
            <w:vAlign w:val="center"/>
          </w:tcPr>
          <w:p w14:paraId="275CFB8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noWrap/>
            <w:vAlign w:val="center"/>
          </w:tcPr>
          <w:p w14:paraId="352AC642"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1303</w:t>
            </w:r>
          </w:p>
        </w:tc>
        <w:tc>
          <w:tcPr>
            <w:tcW w:w="798" w:type="dxa"/>
            <w:shd w:val="clear" w:color="auto" w:fill="auto"/>
            <w:noWrap/>
            <w:vAlign w:val="center"/>
          </w:tcPr>
          <w:p w14:paraId="4504A5BF"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1223.2</w:t>
            </w:r>
          </w:p>
        </w:tc>
        <w:tc>
          <w:tcPr>
            <w:tcW w:w="798" w:type="dxa"/>
            <w:shd w:val="clear" w:color="auto" w:fill="auto"/>
            <w:noWrap/>
            <w:vAlign w:val="center"/>
          </w:tcPr>
          <w:p w14:paraId="5E576D12"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857.2</w:t>
            </w:r>
          </w:p>
        </w:tc>
        <w:tc>
          <w:tcPr>
            <w:tcW w:w="798" w:type="dxa"/>
            <w:shd w:val="clear" w:color="auto" w:fill="auto"/>
            <w:noWrap/>
            <w:vAlign w:val="center"/>
          </w:tcPr>
          <w:p w14:paraId="5B003FD4"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811</w:t>
            </w:r>
          </w:p>
        </w:tc>
        <w:tc>
          <w:tcPr>
            <w:tcW w:w="798" w:type="dxa"/>
            <w:shd w:val="clear" w:color="auto" w:fill="auto"/>
            <w:noWrap/>
            <w:vAlign w:val="center"/>
          </w:tcPr>
          <w:p w14:paraId="339D7E42"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708</w:t>
            </w:r>
          </w:p>
        </w:tc>
        <w:tc>
          <w:tcPr>
            <w:tcW w:w="798" w:type="dxa"/>
            <w:shd w:val="clear" w:color="auto" w:fill="auto"/>
            <w:noWrap/>
            <w:vAlign w:val="center"/>
          </w:tcPr>
          <w:p w14:paraId="3C018670"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708</w:t>
            </w:r>
          </w:p>
        </w:tc>
        <w:tc>
          <w:tcPr>
            <w:tcW w:w="798" w:type="dxa"/>
            <w:shd w:val="clear" w:color="auto" w:fill="auto"/>
            <w:noWrap/>
            <w:vAlign w:val="center"/>
          </w:tcPr>
          <w:p w14:paraId="218F5613"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676</w:t>
            </w:r>
          </w:p>
        </w:tc>
        <w:tc>
          <w:tcPr>
            <w:tcW w:w="798" w:type="dxa"/>
            <w:shd w:val="clear" w:color="auto" w:fill="auto"/>
            <w:noWrap/>
            <w:vAlign w:val="center"/>
          </w:tcPr>
          <w:p w14:paraId="12E5D326"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671.4</w:t>
            </w:r>
          </w:p>
        </w:tc>
        <w:tc>
          <w:tcPr>
            <w:tcW w:w="798" w:type="dxa"/>
            <w:shd w:val="clear" w:color="auto" w:fill="auto"/>
            <w:noWrap/>
            <w:vAlign w:val="center"/>
          </w:tcPr>
          <w:p w14:paraId="15E20DC8"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0</w:t>
            </w:r>
          </w:p>
        </w:tc>
        <w:tc>
          <w:tcPr>
            <w:tcW w:w="798" w:type="dxa"/>
            <w:shd w:val="clear" w:color="auto" w:fill="auto"/>
            <w:noWrap/>
            <w:vAlign w:val="center"/>
          </w:tcPr>
          <w:p w14:paraId="1C37753E"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shd w:val="clear" w:color="auto" w:fill="auto"/>
            <w:noWrap/>
            <w:vAlign w:val="center"/>
          </w:tcPr>
          <w:p w14:paraId="16999F39"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58E624A4" w14:textId="77777777" w:rsidTr="00871D47">
        <w:trPr>
          <w:trHeight w:val="176"/>
          <w:jc w:val="center"/>
        </w:trPr>
        <w:tc>
          <w:tcPr>
            <w:tcW w:w="799" w:type="dxa"/>
            <w:shd w:val="clear" w:color="auto" w:fill="auto"/>
            <w:vAlign w:val="center"/>
          </w:tcPr>
          <w:p w14:paraId="626220D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69936DCA"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228.1</w:t>
            </w:r>
          </w:p>
        </w:tc>
        <w:tc>
          <w:tcPr>
            <w:tcW w:w="798" w:type="dxa"/>
            <w:shd w:val="clear" w:color="auto" w:fill="auto"/>
            <w:noWrap/>
            <w:vAlign w:val="center"/>
          </w:tcPr>
          <w:p w14:paraId="57E7BE5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153</w:t>
            </w:r>
          </w:p>
        </w:tc>
        <w:tc>
          <w:tcPr>
            <w:tcW w:w="798" w:type="dxa"/>
            <w:shd w:val="clear" w:color="auto" w:fill="auto"/>
            <w:noWrap/>
            <w:vAlign w:val="center"/>
          </w:tcPr>
          <w:p w14:paraId="707EE9C6"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153</w:t>
            </w:r>
          </w:p>
        </w:tc>
        <w:tc>
          <w:tcPr>
            <w:tcW w:w="798" w:type="dxa"/>
            <w:shd w:val="clear" w:color="auto" w:fill="auto"/>
            <w:noWrap/>
            <w:vAlign w:val="center"/>
          </w:tcPr>
          <w:p w14:paraId="4FDB31A9"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0</w:t>
            </w:r>
          </w:p>
        </w:tc>
        <w:tc>
          <w:tcPr>
            <w:tcW w:w="798" w:type="dxa"/>
            <w:shd w:val="clear" w:color="auto" w:fill="auto"/>
            <w:noWrap/>
            <w:vAlign w:val="center"/>
          </w:tcPr>
          <w:p w14:paraId="270D0D6B"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0</w:t>
            </w:r>
          </w:p>
        </w:tc>
        <w:tc>
          <w:tcPr>
            <w:tcW w:w="798" w:type="dxa"/>
            <w:shd w:val="clear" w:color="auto" w:fill="auto"/>
            <w:noWrap/>
            <w:vAlign w:val="center"/>
          </w:tcPr>
          <w:p w14:paraId="3AC8805D"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-30</w:t>
            </w:r>
          </w:p>
        </w:tc>
        <w:tc>
          <w:tcPr>
            <w:tcW w:w="798" w:type="dxa"/>
            <w:shd w:val="clear" w:color="auto" w:fill="auto"/>
            <w:noWrap/>
            <w:vAlign w:val="center"/>
          </w:tcPr>
          <w:p w14:paraId="38F135FE"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-30</w:t>
            </w:r>
          </w:p>
        </w:tc>
        <w:tc>
          <w:tcPr>
            <w:tcW w:w="798" w:type="dxa"/>
            <w:shd w:val="clear" w:color="auto" w:fill="auto"/>
            <w:noWrap/>
            <w:vAlign w:val="center"/>
          </w:tcPr>
          <w:p w14:paraId="18B132AF"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160</w:t>
            </w:r>
          </w:p>
        </w:tc>
        <w:tc>
          <w:tcPr>
            <w:tcW w:w="798" w:type="dxa"/>
            <w:shd w:val="clear" w:color="auto" w:fill="auto"/>
            <w:noWrap/>
            <w:vAlign w:val="center"/>
          </w:tcPr>
          <w:p w14:paraId="60F21C25" w14:textId="77777777" w:rsidR="00235309" w:rsidRPr="00765F6E" w:rsidRDefault="00235309" w:rsidP="00871D47">
            <w:pPr>
              <w:widowControl/>
              <w:spacing w:line="240" w:lineRule="auto"/>
              <w:jc w:val="center"/>
              <w:textAlignment w:val="center"/>
              <w:rPr>
                <w:rFonts w:ascii="宋体" w:hAnsi="宋体" w:cs="宋体"/>
                <w:kern w:val="0"/>
                <w:sz w:val="18"/>
                <w:szCs w:val="18"/>
              </w:rPr>
            </w:pPr>
            <w:r w:rsidRPr="00765F6E">
              <w:rPr>
                <w:rFonts w:ascii="宋体" w:hAnsi="宋体" w:cs="宋体" w:hint="eastAsia"/>
                <w:kern w:val="0"/>
                <w:sz w:val="18"/>
                <w:szCs w:val="18"/>
                <w:lang w:bidi="ar"/>
              </w:rPr>
              <w:t>160</w:t>
            </w:r>
          </w:p>
        </w:tc>
        <w:tc>
          <w:tcPr>
            <w:tcW w:w="798" w:type="dxa"/>
            <w:shd w:val="clear" w:color="auto" w:fill="auto"/>
            <w:noWrap/>
            <w:vAlign w:val="center"/>
          </w:tcPr>
          <w:p w14:paraId="432E969A"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shd w:val="clear" w:color="auto" w:fill="auto"/>
            <w:noWrap/>
            <w:vAlign w:val="center"/>
          </w:tcPr>
          <w:p w14:paraId="6D545FA5"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19689DAE" w14:textId="77777777" w:rsidTr="00871D47">
        <w:trPr>
          <w:trHeight w:val="176"/>
          <w:jc w:val="center"/>
        </w:trPr>
        <w:tc>
          <w:tcPr>
            <w:tcW w:w="9570" w:type="dxa"/>
            <w:gridSpan w:val="12"/>
            <w:tcBorders>
              <w:top w:val="single" w:sz="8" w:space="0" w:color="auto"/>
              <w:bottom w:val="single" w:sz="8" w:space="0" w:color="auto"/>
            </w:tcBorders>
            <w:shd w:val="clear" w:color="auto" w:fill="auto"/>
            <w:vAlign w:val="center"/>
          </w:tcPr>
          <w:p w14:paraId="10189068" w14:textId="77777777" w:rsidR="00235309" w:rsidRPr="00765F6E" w:rsidRDefault="00235309" w:rsidP="00235309">
            <w:pPr>
              <w:pStyle w:val="afff2"/>
              <w:ind w:left="584"/>
            </w:pPr>
            <w:r w:rsidRPr="00765F6E">
              <w:t>市域B2型车辆轮廓车顶位置若考虑25KV式弓网供电设备安装空间，后文所述限界需要相应拓宽。</w:t>
            </w:r>
          </w:p>
        </w:tc>
      </w:tr>
    </w:tbl>
    <w:p w14:paraId="5D75E304" w14:textId="77777777" w:rsidR="00235309" w:rsidRPr="00765F6E" w:rsidRDefault="00235309" w:rsidP="00235309">
      <w:pPr>
        <w:pStyle w:val="affffb"/>
        <w:spacing w:before="120" w:after="120"/>
        <w:ind w:firstLine="360"/>
        <w:jc w:val="right"/>
        <w:rPr>
          <w:rFonts w:asciiTheme="minorEastAsia" w:eastAsiaTheme="minorEastAsia" w:hAnsiTheme="minorEastAsia"/>
          <w:sz w:val="18"/>
        </w:rPr>
      </w:pPr>
    </w:p>
    <w:p w14:paraId="0E93033F" w14:textId="77777777" w:rsidR="00235309" w:rsidRPr="00765F6E" w:rsidRDefault="00235309" w:rsidP="00235309">
      <w:pPr>
        <w:pStyle w:val="aff0"/>
        <w:spacing w:before="120" w:after="120"/>
      </w:pPr>
      <w:r w:rsidRPr="00765F6E">
        <w:rPr>
          <w:rFonts w:hint="eastAsia"/>
        </w:rPr>
        <w:t>车辆限界坐标点</w:t>
      </w:r>
    </w:p>
    <w:p w14:paraId="38F045DA"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r w:rsidRPr="00765F6E">
        <w:rPr>
          <w:rFonts w:asciiTheme="minorEastAsia" w:eastAsiaTheme="minorEastAsia" w:hAnsiTheme="minorEastAsia" w:hint="eastAsia"/>
          <w:sz w:val="18"/>
          <w:szCs w:val="18"/>
        </w:rPr>
        <w:t>单位为毫米</w:t>
      </w:r>
    </w:p>
    <w:tbl>
      <w:tblPr>
        <w:tblW w:w="9606" w:type="dxa"/>
        <w:jc w:val="center"/>
        <w:tblBorders>
          <w:top w:val="single" w:sz="8" w:space="0" w:color="auto"/>
          <w:left w:val="single" w:sz="4"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00"/>
        <w:gridCol w:w="800"/>
        <w:gridCol w:w="798"/>
        <w:gridCol w:w="798"/>
        <w:gridCol w:w="798"/>
        <w:gridCol w:w="798"/>
        <w:gridCol w:w="798"/>
        <w:gridCol w:w="798"/>
        <w:gridCol w:w="798"/>
        <w:gridCol w:w="798"/>
        <w:gridCol w:w="798"/>
        <w:gridCol w:w="824"/>
      </w:tblGrid>
      <w:tr w:rsidR="00235309" w:rsidRPr="00765F6E" w14:paraId="786D156B" w14:textId="77777777" w:rsidTr="00871D47">
        <w:trPr>
          <w:trHeight w:val="176"/>
          <w:jc w:val="center"/>
        </w:trPr>
        <w:tc>
          <w:tcPr>
            <w:tcW w:w="800" w:type="dxa"/>
            <w:tcBorders>
              <w:top w:val="single" w:sz="8" w:space="0" w:color="auto"/>
              <w:left w:val="single" w:sz="8" w:space="0" w:color="auto"/>
              <w:bottom w:val="single" w:sz="8" w:space="0" w:color="auto"/>
            </w:tcBorders>
            <w:shd w:val="clear" w:color="auto" w:fill="auto"/>
            <w:vAlign w:val="center"/>
          </w:tcPr>
          <w:p w14:paraId="74B49E59" w14:textId="77777777" w:rsidR="00235309" w:rsidRPr="00765F6E" w:rsidRDefault="00235309" w:rsidP="00871D47">
            <w:pPr>
              <w:widowControl/>
              <w:spacing w:line="240" w:lineRule="auto"/>
              <w:jc w:val="center"/>
              <w:rPr>
                <w:rFonts w:hAnsi="宋体" w:cs="宋体"/>
                <w:sz w:val="18"/>
                <w:szCs w:val="18"/>
              </w:rPr>
            </w:pPr>
            <w:r w:rsidRPr="00765F6E">
              <w:rPr>
                <w:rFonts w:ascii="宋体" w:hAnsi="宋体" w:cs="宋体" w:hint="eastAsia"/>
                <w:kern w:val="0"/>
                <w:sz w:val="18"/>
                <w:szCs w:val="18"/>
              </w:rPr>
              <w:t>序号</w:t>
            </w:r>
          </w:p>
        </w:tc>
        <w:tc>
          <w:tcPr>
            <w:tcW w:w="800" w:type="dxa"/>
            <w:tcBorders>
              <w:top w:val="single" w:sz="8" w:space="0" w:color="auto"/>
              <w:bottom w:val="single" w:sz="8" w:space="0" w:color="auto"/>
            </w:tcBorders>
            <w:shd w:val="clear" w:color="auto" w:fill="auto"/>
            <w:noWrap/>
            <w:vAlign w:val="center"/>
          </w:tcPr>
          <w:p w14:paraId="502BBA96" w14:textId="77777777" w:rsidR="00235309" w:rsidRPr="00765F6E" w:rsidRDefault="00235309" w:rsidP="00871D47">
            <w:pPr>
              <w:widowControl/>
              <w:spacing w:line="240" w:lineRule="auto"/>
              <w:jc w:val="center"/>
              <w:rPr>
                <w:rFonts w:hAnsi="宋体" w:cs="宋体"/>
                <w:sz w:val="18"/>
                <w:szCs w:val="18"/>
              </w:rPr>
            </w:pPr>
            <w:r w:rsidRPr="00765F6E">
              <w:rPr>
                <w:rFonts w:ascii="宋体" w:hAnsi="宋体" w:cs="宋体"/>
                <w:kern w:val="0"/>
                <w:sz w:val="18"/>
                <w:szCs w:val="18"/>
              </w:rPr>
              <w:t>0</w:t>
            </w:r>
            <w:r w:rsidRPr="00765F6E">
              <w:rPr>
                <w:rFonts w:ascii="宋体" w:hAnsi="宋体" w:cs="宋体" w:hint="eastAsia"/>
                <w:kern w:val="0"/>
                <w:sz w:val="18"/>
                <w:szCs w:val="18"/>
              </w:rPr>
              <w:t>′</w:t>
            </w:r>
          </w:p>
        </w:tc>
        <w:tc>
          <w:tcPr>
            <w:tcW w:w="798" w:type="dxa"/>
            <w:tcBorders>
              <w:top w:val="single" w:sz="8" w:space="0" w:color="auto"/>
              <w:bottom w:val="single" w:sz="8" w:space="0" w:color="auto"/>
            </w:tcBorders>
            <w:shd w:val="clear" w:color="auto" w:fill="auto"/>
            <w:noWrap/>
            <w:vAlign w:val="center"/>
          </w:tcPr>
          <w:p w14:paraId="38A1E8E1" w14:textId="77777777" w:rsidR="00235309" w:rsidRPr="00765F6E" w:rsidRDefault="00235309" w:rsidP="00871D47">
            <w:pPr>
              <w:widowControl/>
              <w:spacing w:line="240" w:lineRule="auto"/>
              <w:jc w:val="center"/>
              <w:rPr>
                <w:rFonts w:hAnsi="宋体" w:cs="宋体"/>
                <w:sz w:val="18"/>
                <w:szCs w:val="18"/>
              </w:rPr>
            </w:pPr>
            <w:r w:rsidRPr="00765F6E">
              <w:rPr>
                <w:rFonts w:ascii="宋体" w:hAnsi="宋体" w:cs="宋体"/>
                <w:kern w:val="0"/>
                <w:sz w:val="18"/>
                <w:szCs w:val="18"/>
              </w:rPr>
              <w:t>1</w:t>
            </w:r>
            <w:r w:rsidRPr="00765F6E">
              <w:rPr>
                <w:rFonts w:ascii="宋体" w:hAnsi="宋体" w:cs="宋体" w:hint="eastAsia"/>
                <w:kern w:val="0"/>
                <w:sz w:val="18"/>
                <w:szCs w:val="18"/>
              </w:rPr>
              <w:t>′</w:t>
            </w:r>
          </w:p>
        </w:tc>
        <w:tc>
          <w:tcPr>
            <w:tcW w:w="798" w:type="dxa"/>
            <w:tcBorders>
              <w:top w:val="single" w:sz="8" w:space="0" w:color="auto"/>
              <w:bottom w:val="single" w:sz="8" w:space="0" w:color="auto"/>
            </w:tcBorders>
            <w:shd w:val="clear" w:color="auto" w:fill="auto"/>
            <w:noWrap/>
            <w:vAlign w:val="center"/>
          </w:tcPr>
          <w:p w14:paraId="366FD828" w14:textId="77777777" w:rsidR="00235309" w:rsidRPr="00765F6E" w:rsidRDefault="00235309" w:rsidP="00871D47">
            <w:pPr>
              <w:widowControl/>
              <w:spacing w:line="240" w:lineRule="auto"/>
              <w:jc w:val="center"/>
              <w:rPr>
                <w:rFonts w:hAnsi="宋体" w:cs="宋体"/>
                <w:sz w:val="18"/>
                <w:szCs w:val="18"/>
              </w:rPr>
            </w:pPr>
            <w:r w:rsidRPr="00765F6E">
              <w:rPr>
                <w:rFonts w:ascii="宋体" w:hAnsi="宋体" w:cs="宋体" w:hint="eastAsia"/>
                <w:kern w:val="0"/>
                <w:sz w:val="18"/>
                <w:szCs w:val="18"/>
              </w:rPr>
              <w:t>2′</w:t>
            </w:r>
          </w:p>
        </w:tc>
        <w:tc>
          <w:tcPr>
            <w:tcW w:w="798" w:type="dxa"/>
            <w:tcBorders>
              <w:top w:val="single" w:sz="8" w:space="0" w:color="auto"/>
              <w:bottom w:val="single" w:sz="8" w:space="0" w:color="auto"/>
            </w:tcBorders>
            <w:shd w:val="clear" w:color="auto" w:fill="auto"/>
            <w:noWrap/>
            <w:vAlign w:val="center"/>
          </w:tcPr>
          <w:p w14:paraId="7BC436E4" w14:textId="77777777" w:rsidR="00235309" w:rsidRPr="00765F6E" w:rsidRDefault="00235309" w:rsidP="00871D47">
            <w:pPr>
              <w:widowControl/>
              <w:spacing w:line="240" w:lineRule="auto"/>
              <w:jc w:val="center"/>
              <w:rPr>
                <w:rFonts w:hAnsi="宋体" w:cs="宋体"/>
                <w:sz w:val="18"/>
                <w:szCs w:val="18"/>
              </w:rPr>
            </w:pPr>
            <w:r w:rsidRPr="00765F6E">
              <w:rPr>
                <w:rFonts w:ascii="宋体" w:hAnsi="宋体" w:cs="宋体" w:hint="eastAsia"/>
                <w:kern w:val="0"/>
                <w:sz w:val="18"/>
                <w:szCs w:val="18"/>
              </w:rPr>
              <w:t>3′</w:t>
            </w:r>
          </w:p>
        </w:tc>
        <w:tc>
          <w:tcPr>
            <w:tcW w:w="798" w:type="dxa"/>
            <w:tcBorders>
              <w:top w:val="single" w:sz="8" w:space="0" w:color="auto"/>
              <w:bottom w:val="single" w:sz="8" w:space="0" w:color="auto"/>
            </w:tcBorders>
            <w:shd w:val="clear" w:color="auto" w:fill="auto"/>
            <w:noWrap/>
            <w:vAlign w:val="center"/>
          </w:tcPr>
          <w:p w14:paraId="317ACA28" w14:textId="77777777" w:rsidR="00235309" w:rsidRPr="00765F6E" w:rsidRDefault="00235309" w:rsidP="00871D47">
            <w:pPr>
              <w:widowControl/>
              <w:spacing w:line="240" w:lineRule="auto"/>
              <w:jc w:val="center"/>
              <w:rPr>
                <w:rFonts w:hAnsi="宋体" w:cs="宋体"/>
                <w:sz w:val="18"/>
                <w:szCs w:val="18"/>
              </w:rPr>
            </w:pPr>
            <w:r w:rsidRPr="00765F6E">
              <w:rPr>
                <w:rFonts w:ascii="宋体" w:hAnsi="宋体" w:cs="宋体" w:hint="eastAsia"/>
                <w:kern w:val="0"/>
                <w:sz w:val="18"/>
                <w:szCs w:val="18"/>
              </w:rPr>
              <w:t>4′</w:t>
            </w:r>
          </w:p>
        </w:tc>
        <w:tc>
          <w:tcPr>
            <w:tcW w:w="798" w:type="dxa"/>
            <w:tcBorders>
              <w:top w:val="single" w:sz="8" w:space="0" w:color="auto"/>
              <w:bottom w:val="single" w:sz="8" w:space="0" w:color="auto"/>
            </w:tcBorders>
            <w:shd w:val="clear" w:color="auto" w:fill="auto"/>
            <w:noWrap/>
            <w:vAlign w:val="center"/>
          </w:tcPr>
          <w:p w14:paraId="4EAA27CA" w14:textId="77777777" w:rsidR="00235309" w:rsidRPr="00765F6E" w:rsidRDefault="00235309" w:rsidP="00871D47">
            <w:pPr>
              <w:widowControl/>
              <w:spacing w:line="240" w:lineRule="auto"/>
              <w:jc w:val="center"/>
              <w:rPr>
                <w:rFonts w:hAnsi="宋体" w:cs="宋体"/>
                <w:sz w:val="18"/>
                <w:szCs w:val="18"/>
              </w:rPr>
            </w:pPr>
            <w:r w:rsidRPr="00765F6E">
              <w:rPr>
                <w:rFonts w:ascii="宋体" w:hAnsi="宋体" w:cs="宋体" w:hint="eastAsia"/>
                <w:kern w:val="0"/>
                <w:sz w:val="18"/>
                <w:szCs w:val="18"/>
              </w:rPr>
              <w:t>5′</w:t>
            </w:r>
          </w:p>
        </w:tc>
        <w:tc>
          <w:tcPr>
            <w:tcW w:w="798" w:type="dxa"/>
            <w:tcBorders>
              <w:top w:val="single" w:sz="8" w:space="0" w:color="auto"/>
              <w:bottom w:val="single" w:sz="8" w:space="0" w:color="auto"/>
            </w:tcBorders>
            <w:shd w:val="clear" w:color="auto" w:fill="auto"/>
            <w:noWrap/>
            <w:vAlign w:val="center"/>
          </w:tcPr>
          <w:p w14:paraId="70C54041" w14:textId="77777777" w:rsidR="00235309" w:rsidRPr="00765F6E" w:rsidRDefault="00235309" w:rsidP="00871D47">
            <w:pPr>
              <w:widowControl/>
              <w:spacing w:line="240" w:lineRule="auto"/>
              <w:jc w:val="center"/>
              <w:rPr>
                <w:rFonts w:hAnsi="宋体" w:cs="宋体"/>
                <w:sz w:val="18"/>
                <w:szCs w:val="18"/>
              </w:rPr>
            </w:pPr>
            <w:r w:rsidRPr="00765F6E">
              <w:rPr>
                <w:rFonts w:ascii="宋体" w:hAnsi="宋体" w:cs="宋体" w:hint="eastAsia"/>
                <w:kern w:val="0"/>
                <w:sz w:val="18"/>
                <w:szCs w:val="18"/>
              </w:rPr>
              <w:t>6′</w:t>
            </w:r>
          </w:p>
        </w:tc>
        <w:tc>
          <w:tcPr>
            <w:tcW w:w="798" w:type="dxa"/>
            <w:tcBorders>
              <w:top w:val="single" w:sz="8" w:space="0" w:color="auto"/>
              <w:bottom w:val="single" w:sz="8" w:space="0" w:color="auto"/>
            </w:tcBorders>
            <w:shd w:val="clear" w:color="auto" w:fill="auto"/>
            <w:noWrap/>
            <w:vAlign w:val="center"/>
          </w:tcPr>
          <w:p w14:paraId="5A3EEF94" w14:textId="77777777" w:rsidR="00235309" w:rsidRPr="00765F6E" w:rsidRDefault="00235309" w:rsidP="00871D47">
            <w:pPr>
              <w:widowControl/>
              <w:spacing w:line="240" w:lineRule="auto"/>
              <w:jc w:val="center"/>
              <w:rPr>
                <w:rFonts w:hAnsi="宋体" w:cs="宋体"/>
                <w:sz w:val="18"/>
                <w:szCs w:val="18"/>
              </w:rPr>
            </w:pPr>
            <w:r w:rsidRPr="00765F6E">
              <w:rPr>
                <w:rFonts w:ascii="宋体" w:hAnsi="宋体" w:cs="宋体" w:hint="eastAsia"/>
                <w:kern w:val="0"/>
                <w:sz w:val="18"/>
                <w:szCs w:val="18"/>
              </w:rPr>
              <w:t>7′</w:t>
            </w:r>
          </w:p>
        </w:tc>
        <w:tc>
          <w:tcPr>
            <w:tcW w:w="798" w:type="dxa"/>
            <w:tcBorders>
              <w:top w:val="single" w:sz="8" w:space="0" w:color="auto"/>
              <w:bottom w:val="single" w:sz="8" w:space="0" w:color="auto"/>
            </w:tcBorders>
            <w:shd w:val="clear" w:color="auto" w:fill="auto"/>
            <w:noWrap/>
            <w:vAlign w:val="center"/>
          </w:tcPr>
          <w:p w14:paraId="3B79E53F" w14:textId="77777777" w:rsidR="00235309" w:rsidRPr="00765F6E" w:rsidRDefault="00235309" w:rsidP="00871D47">
            <w:pPr>
              <w:widowControl/>
              <w:spacing w:line="240" w:lineRule="auto"/>
              <w:jc w:val="center"/>
              <w:rPr>
                <w:rFonts w:hAnsi="宋体" w:cs="宋体"/>
                <w:sz w:val="18"/>
                <w:szCs w:val="18"/>
              </w:rPr>
            </w:pPr>
            <w:r w:rsidRPr="00765F6E">
              <w:rPr>
                <w:rFonts w:ascii="宋体" w:hAnsi="宋体" w:cs="宋体" w:hint="eastAsia"/>
                <w:kern w:val="0"/>
                <w:sz w:val="18"/>
                <w:szCs w:val="18"/>
              </w:rPr>
              <w:t>8′</w:t>
            </w:r>
          </w:p>
        </w:tc>
        <w:tc>
          <w:tcPr>
            <w:tcW w:w="798" w:type="dxa"/>
            <w:tcBorders>
              <w:top w:val="single" w:sz="8" w:space="0" w:color="auto"/>
              <w:bottom w:val="single" w:sz="8" w:space="0" w:color="auto"/>
            </w:tcBorders>
            <w:shd w:val="clear" w:color="auto" w:fill="auto"/>
            <w:noWrap/>
            <w:vAlign w:val="center"/>
          </w:tcPr>
          <w:p w14:paraId="4E5C6B9E" w14:textId="77777777" w:rsidR="00235309" w:rsidRPr="00765F6E" w:rsidRDefault="00235309" w:rsidP="00871D47">
            <w:pPr>
              <w:widowControl/>
              <w:spacing w:line="240" w:lineRule="auto"/>
              <w:jc w:val="center"/>
              <w:rPr>
                <w:rFonts w:hAnsi="宋体" w:cs="宋体"/>
                <w:sz w:val="18"/>
                <w:szCs w:val="18"/>
              </w:rPr>
            </w:pPr>
            <w:r w:rsidRPr="00765F6E">
              <w:rPr>
                <w:rFonts w:ascii="宋体" w:hAnsi="宋体" w:cs="宋体" w:hint="eastAsia"/>
                <w:kern w:val="0"/>
                <w:sz w:val="18"/>
                <w:szCs w:val="18"/>
              </w:rPr>
              <w:t>9′</w:t>
            </w:r>
          </w:p>
        </w:tc>
        <w:tc>
          <w:tcPr>
            <w:tcW w:w="824" w:type="dxa"/>
            <w:tcBorders>
              <w:top w:val="single" w:sz="8" w:space="0" w:color="auto"/>
              <w:bottom w:val="single" w:sz="8" w:space="0" w:color="auto"/>
            </w:tcBorders>
            <w:shd w:val="clear" w:color="auto" w:fill="auto"/>
            <w:noWrap/>
            <w:vAlign w:val="center"/>
          </w:tcPr>
          <w:p w14:paraId="4A995C0C" w14:textId="77777777" w:rsidR="00235309" w:rsidRPr="00765F6E" w:rsidRDefault="00235309" w:rsidP="00871D47">
            <w:pPr>
              <w:widowControl/>
              <w:spacing w:line="240" w:lineRule="auto"/>
              <w:jc w:val="center"/>
              <w:rPr>
                <w:rFonts w:hAnsi="宋体" w:cs="宋体"/>
                <w:sz w:val="18"/>
                <w:szCs w:val="18"/>
              </w:rPr>
            </w:pPr>
            <w:r w:rsidRPr="00765F6E">
              <w:rPr>
                <w:rFonts w:ascii="宋体" w:hAnsi="宋体" w:cs="宋体" w:hint="eastAsia"/>
                <w:kern w:val="0"/>
                <w:sz w:val="18"/>
                <w:szCs w:val="18"/>
              </w:rPr>
              <w:t>10′</w:t>
            </w:r>
          </w:p>
        </w:tc>
      </w:tr>
      <w:tr w:rsidR="00235309" w:rsidRPr="00765F6E" w14:paraId="22ABAABE" w14:textId="77777777" w:rsidTr="00871D47">
        <w:trPr>
          <w:trHeight w:val="176"/>
          <w:jc w:val="center"/>
        </w:trPr>
        <w:tc>
          <w:tcPr>
            <w:tcW w:w="800" w:type="dxa"/>
            <w:tcBorders>
              <w:top w:val="single" w:sz="8" w:space="0" w:color="auto"/>
              <w:left w:val="single" w:sz="8" w:space="0" w:color="auto"/>
            </w:tcBorders>
            <w:shd w:val="clear" w:color="auto" w:fill="auto"/>
            <w:vAlign w:val="center"/>
          </w:tcPr>
          <w:p w14:paraId="0BDB9AA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X</w:t>
            </w:r>
          </w:p>
        </w:tc>
        <w:tc>
          <w:tcPr>
            <w:tcW w:w="800" w:type="dxa"/>
            <w:tcBorders>
              <w:top w:val="single" w:sz="8" w:space="0" w:color="auto"/>
            </w:tcBorders>
            <w:shd w:val="clear" w:color="auto" w:fill="auto"/>
            <w:noWrap/>
            <w:vAlign w:val="center"/>
          </w:tcPr>
          <w:p w14:paraId="02C8474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tcBorders>
            <w:shd w:val="clear" w:color="auto" w:fill="auto"/>
            <w:noWrap/>
            <w:vAlign w:val="center"/>
          </w:tcPr>
          <w:p w14:paraId="5863C72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835</w:t>
            </w:r>
          </w:p>
        </w:tc>
        <w:tc>
          <w:tcPr>
            <w:tcW w:w="798" w:type="dxa"/>
            <w:tcBorders>
              <w:top w:val="single" w:sz="8" w:space="0" w:color="auto"/>
            </w:tcBorders>
            <w:shd w:val="clear" w:color="auto" w:fill="auto"/>
            <w:noWrap/>
            <w:vAlign w:val="center"/>
          </w:tcPr>
          <w:p w14:paraId="06DD461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1092</w:t>
            </w:r>
          </w:p>
        </w:tc>
        <w:tc>
          <w:tcPr>
            <w:tcW w:w="798" w:type="dxa"/>
            <w:tcBorders>
              <w:top w:val="single" w:sz="8" w:space="0" w:color="auto"/>
            </w:tcBorders>
            <w:shd w:val="clear" w:color="auto" w:fill="auto"/>
            <w:noWrap/>
            <w:vAlign w:val="center"/>
          </w:tcPr>
          <w:p w14:paraId="71D6E66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1361</w:t>
            </w:r>
          </w:p>
        </w:tc>
        <w:tc>
          <w:tcPr>
            <w:tcW w:w="798" w:type="dxa"/>
            <w:tcBorders>
              <w:top w:val="single" w:sz="8" w:space="0" w:color="auto"/>
            </w:tcBorders>
            <w:shd w:val="clear" w:color="auto" w:fill="auto"/>
            <w:noWrap/>
            <w:vAlign w:val="center"/>
          </w:tcPr>
          <w:p w14:paraId="5C51D58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1456</w:t>
            </w:r>
          </w:p>
        </w:tc>
        <w:tc>
          <w:tcPr>
            <w:tcW w:w="798" w:type="dxa"/>
            <w:tcBorders>
              <w:top w:val="single" w:sz="8" w:space="0" w:color="auto"/>
            </w:tcBorders>
            <w:shd w:val="clear" w:color="auto" w:fill="auto"/>
            <w:noWrap/>
            <w:vAlign w:val="center"/>
          </w:tcPr>
          <w:p w14:paraId="4A79B39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1519</w:t>
            </w:r>
          </w:p>
        </w:tc>
        <w:tc>
          <w:tcPr>
            <w:tcW w:w="798" w:type="dxa"/>
            <w:tcBorders>
              <w:top w:val="single" w:sz="8" w:space="0" w:color="auto"/>
            </w:tcBorders>
            <w:shd w:val="clear" w:color="auto" w:fill="auto"/>
            <w:noWrap/>
            <w:vAlign w:val="center"/>
          </w:tcPr>
          <w:p w14:paraId="39ECC63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1551</w:t>
            </w:r>
          </w:p>
        </w:tc>
        <w:tc>
          <w:tcPr>
            <w:tcW w:w="798" w:type="dxa"/>
            <w:tcBorders>
              <w:top w:val="single" w:sz="8" w:space="0" w:color="auto"/>
            </w:tcBorders>
            <w:shd w:val="clear" w:color="auto" w:fill="auto"/>
            <w:noWrap/>
            <w:vAlign w:val="center"/>
          </w:tcPr>
          <w:p w14:paraId="4B7CCB3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1586</w:t>
            </w:r>
          </w:p>
        </w:tc>
        <w:tc>
          <w:tcPr>
            <w:tcW w:w="798" w:type="dxa"/>
            <w:tcBorders>
              <w:top w:val="single" w:sz="8" w:space="0" w:color="auto"/>
            </w:tcBorders>
            <w:shd w:val="clear" w:color="auto" w:fill="auto"/>
            <w:noWrap/>
            <w:vAlign w:val="center"/>
          </w:tcPr>
          <w:p w14:paraId="0D8D401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1566</w:t>
            </w:r>
          </w:p>
        </w:tc>
        <w:tc>
          <w:tcPr>
            <w:tcW w:w="798" w:type="dxa"/>
            <w:tcBorders>
              <w:top w:val="single" w:sz="8" w:space="0" w:color="auto"/>
            </w:tcBorders>
            <w:shd w:val="clear" w:color="auto" w:fill="auto"/>
            <w:noWrap/>
            <w:vAlign w:val="center"/>
          </w:tcPr>
          <w:p w14:paraId="7EE0B24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1500</w:t>
            </w:r>
          </w:p>
        </w:tc>
        <w:tc>
          <w:tcPr>
            <w:tcW w:w="824" w:type="dxa"/>
            <w:tcBorders>
              <w:top w:val="single" w:sz="8" w:space="0" w:color="auto"/>
            </w:tcBorders>
            <w:shd w:val="clear" w:color="auto" w:fill="auto"/>
            <w:noWrap/>
            <w:vAlign w:val="center"/>
          </w:tcPr>
          <w:p w14:paraId="0D236A2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1462</w:t>
            </w:r>
          </w:p>
        </w:tc>
      </w:tr>
      <w:tr w:rsidR="00235309" w:rsidRPr="00765F6E" w14:paraId="1EFBD62F" w14:textId="77777777" w:rsidTr="00871D47">
        <w:trPr>
          <w:trHeight w:val="176"/>
          <w:jc w:val="center"/>
        </w:trPr>
        <w:tc>
          <w:tcPr>
            <w:tcW w:w="800" w:type="dxa"/>
            <w:tcBorders>
              <w:left w:val="single" w:sz="8" w:space="0" w:color="auto"/>
            </w:tcBorders>
            <w:shd w:val="clear" w:color="auto" w:fill="auto"/>
            <w:vAlign w:val="center"/>
          </w:tcPr>
          <w:p w14:paraId="2EC1EF5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Y</w:t>
            </w:r>
          </w:p>
        </w:tc>
        <w:tc>
          <w:tcPr>
            <w:tcW w:w="800" w:type="dxa"/>
            <w:shd w:val="clear" w:color="auto" w:fill="auto"/>
            <w:noWrap/>
            <w:vAlign w:val="center"/>
          </w:tcPr>
          <w:p w14:paraId="610714B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3900</w:t>
            </w:r>
          </w:p>
        </w:tc>
        <w:tc>
          <w:tcPr>
            <w:tcW w:w="798" w:type="dxa"/>
            <w:shd w:val="clear" w:color="auto" w:fill="auto"/>
            <w:noWrap/>
            <w:vAlign w:val="center"/>
          </w:tcPr>
          <w:p w14:paraId="67B3DC2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3920</w:t>
            </w:r>
          </w:p>
        </w:tc>
        <w:tc>
          <w:tcPr>
            <w:tcW w:w="798" w:type="dxa"/>
            <w:shd w:val="clear" w:color="auto" w:fill="auto"/>
            <w:noWrap/>
            <w:vAlign w:val="center"/>
          </w:tcPr>
          <w:p w14:paraId="7A12565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3822</w:t>
            </w:r>
          </w:p>
        </w:tc>
        <w:tc>
          <w:tcPr>
            <w:tcW w:w="798" w:type="dxa"/>
            <w:shd w:val="clear" w:color="auto" w:fill="auto"/>
            <w:noWrap/>
            <w:vAlign w:val="center"/>
          </w:tcPr>
          <w:p w14:paraId="2C86C64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3636</w:t>
            </w:r>
          </w:p>
        </w:tc>
        <w:tc>
          <w:tcPr>
            <w:tcW w:w="798" w:type="dxa"/>
            <w:shd w:val="clear" w:color="auto" w:fill="auto"/>
            <w:noWrap/>
            <w:vAlign w:val="center"/>
          </w:tcPr>
          <w:p w14:paraId="4970A1A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3538</w:t>
            </w:r>
          </w:p>
        </w:tc>
        <w:tc>
          <w:tcPr>
            <w:tcW w:w="798" w:type="dxa"/>
            <w:shd w:val="clear" w:color="auto" w:fill="auto"/>
            <w:noWrap/>
            <w:vAlign w:val="center"/>
          </w:tcPr>
          <w:p w14:paraId="00F5543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3406</w:t>
            </w:r>
          </w:p>
        </w:tc>
        <w:tc>
          <w:tcPr>
            <w:tcW w:w="798" w:type="dxa"/>
            <w:shd w:val="clear" w:color="auto" w:fill="auto"/>
            <w:noWrap/>
            <w:vAlign w:val="center"/>
          </w:tcPr>
          <w:p w14:paraId="5EAB7FD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3173</w:t>
            </w:r>
          </w:p>
        </w:tc>
        <w:tc>
          <w:tcPr>
            <w:tcW w:w="798" w:type="dxa"/>
            <w:shd w:val="clear" w:color="auto" w:fill="auto"/>
            <w:noWrap/>
            <w:vAlign w:val="center"/>
          </w:tcPr>
          <w:p w14:paraId="7454431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1860</w:t>
            </w:r>
          </w:p>
        </w:tc>
        <w:tc>
          <w:tcPr>
            <w:tcW w:w="798" w:type="dxa"/>
            <w:shd w:val="clear" w:color="auto" w:fill="auto"/>
            <w:noWrap/>
            <w:vAlign w:val="center"/>
          </w:tcPr>
          <w:p w14:paraId="5F9F4C9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1336</w:t>
            </w:r>
          </w:p>
        </w:tc>
        <w:tc>
          <w:tcPr>
            <w:tcW w:w="798" w:type="dxa"/>
            <w:shd w:val="clear" w:color="auto" w:fill="auto"/>
            <w:noWrap/>
            <w:vAlign w:val="center"/>
          </w:tcPr>
          <w:p w14:paraId="7D4AC26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900</w:t>
            </w:r>
          </w:p>
        </w:tc>
        <w:tc>
          <w:tcPr>
            <w:tcW w:w="824" w:type="dxa"/>
            <w:shd w:val="clear" w:color="auto" w:fill="auto"/>
            <w:noWrap/>
            <w:vAlign w:val="center"/>
          </w:tcPr>
          <w:p w14:paraId="3811D3E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163</w:t>
            </w:r>
          </w:p>
        </w:tc>
      </w:tr>
      <w:tr w:rsidR="00235309" w:rsidRPr="00765F6E" w14:paraId="164F8C14" w14:textId="77777777" w:rsidTr="00871D47">
        <w:trPr>
          <w:trHeight w:val="176"/>
          <w:jc w:val="center"/>
        </w:trPr>
        <w:tc>
          <w:tcPr>
            <w:tcW w:w="800" w:type="dxa"/>
            <w:tcBorders>
              <w:left w:val="single" w:sz="8" w:space="0" w:color="auto"/>
            </w:tcBorders>
            <w:shd w:val="clear" w:color="auto" w:fill="auto"/>
            <w:vAlign w:val="center"/>
          </w:tcPr>
          <w:p w14:paraId="3E548D8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800" w:type="dxa"/>
            <w:shd w:val="clear" w:color="auto" w:fill="auto"/>
            <w:noWrap/>
            <w:vAlign w:val="center"/>
          </w:tcPr>
          <w:p w14:paraId="4CC7818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w:t>
            </w:r>
            <w:r w:rsidRPr="00765F6E">
              <w:rPr>
                <w:rFonts w:ascii="宋体" w:hAnsi="宋体" w:cs="宋体" w:hint="eastAsia"/>
                <w:kern w:val="0"/>
                <w:sz w:val="18"/>
                <w:szCs w:val="18"/>
              </w:rPr>
              <w:t>1′</w:t>
            </w:r>
          </w:p>
        </w:tc>
        <w:tc>
          <w:tcPr>
            <w:tcW w:w="798" w:type="dxa"/>
            <w:shd w:val="clear" w:color="auto" w:fill="auto"/>
            <w:noWrap/>
            <w:vAlign w:val="center"/>
          </w:tcPr>
          <w:p w14:paraId="1CC155C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w:t>
            </w:r>
            <w:r w:rsidRPr="00765F6E">
              <w:rPr>
                <w:rFonts w:ascii="宋体" w:hAnsi="宋体" w:cs="宋体" w:hint="eastAsia"/>
                <w:kern w:val="0"/>
                <w:sz w:val="18"/>
                <w:szCs w:val="18"/>
              </w:rPr>
              <w:t>2′</w:t>
            </w:r>
          </w:p>
        </w:tc>
        <w:tc>
          <w:tcPr>
            <w:tcW w:w="798" w:type="dxa"/>
            <w:shd w:val="clear" w:color="auto" w:fill="auto"/>
            <w:noWrap/>
            <w:vAlign w:val="center"/>
          </w:tcPr>
          <w:p w14:paraId="4003F06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w:t>
            </w:r>
            <w:r w:rsidRPr="00765F6E">
              <w:rPr>
                <w:rFonts w:ascii="宋体" w:hAnsi="宋体" w:cs="宋体" w:hint="eastAsia"/>
                <w:kern w:val="0"/>
                <w:sz w:val="18"/>
                <w:szCs w:val="18"/>
              </w:rPr>
              <w:t>3′</w:t>
            </w:r>
          </w:p>
        </w:tc>
        <w:tc>
          <w:tcPr>
            <w:tcW w:w="798" w:type="dxa"/>
            <w:shd w:val="clear" w:color="auto" w:fill="auto"/>
            <w:noWrap/>
            <w:vAlign w:val="center"/>
          </w:tcPr>
          <w:p w14:paraId="7229B19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w:t>
            </w:r>
            <w:r w:rsidRPr="00765F6E">
              <w:rPr>
                <w:rFonts w:ascii="宋体" w:hAnsi="宋体" w:cs="宋体" w:hint="eastAsia"/>
                <w:kern w:val="0"/>
                <w:sz w:val="18"/>
                <w:szCs w:val="18"/>
              </w:rPr>
              <w:t>4′</w:t>
            </w:r>
          </w:p>
        </w:tc>
        <w:tc>
          <w:tcPr>
            <w:tcW w:w="798" w:type="dxa"/>
            <w:shd w:val="clear" w:color="auto" w:fill="auto"/>
            <w:noWrap/>
            <w:vAlign w:val="center"/>
          </w:tcPr>
          <w:p w14:paraId="448E234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w:t>
            </w:r>
            <w:r w:rsidRPr="00765F6E">
              <w:rPr>
                <w:rFonts w:ascii="宋体" w:hAnsi="宋体" w:cs="宋体" w:hint="eastAsia"/>
                <w:kern w:val="0"/>
                <w:sz w:val="18"/>
                <w:szCs w:val="18"/>
              </w:rPr>
              <w:t>5′</w:t>
            </w:r>
          </w:p>
        </w:tc>
        <w:tc>
          <w:tcPr>
            <w:tcW w:w="798" w:type="dxa"/>
            <w:shd w:val="clear" w:color="auto" w:fill="auto"/>
            <w:noWrap/>
            <w:vAlign w:val="center"/>
          </w:tcPr>
          <w:p w14:paraId="1BED252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w:t>
            </w:r>
            <w:r w:rsidRPr="00765F6E">
              <w:rPr>
                <w:rFonts w:ascii="宋体" w:hAnsi="宋体" w:cs="宋体" w:hint="eastAsia"/>
                <w:kern w:val="0"/>
                <w:sz w:val="18"/>
                <w:szCs w:val="18"/>
              </w:rPr>
              <w:t>6′</w:t>
            </w:r>
          </w:p>
        </w:tc>
        <w:tc>
          <w:tcPr>
            <w:tcW w:w="798" w:type="dxa"/>
            <w:shd w:val="clear" w:color="auto" w:fill="auto"/>
            <w:noWrap/>
            <w:vAlign w:val="center"/>
          </w:tcPr>
          <w:p w14:paraId="73B71D6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w:t>
            </w:r>
            <w:r w:rsidRPr="00765F6E">
              <w:rPr>
                <w:rFonts w:ascii="宋体" w:hAnsi="宋体" w:cs="宋体" w:hint="eastAsia"/>
                <w:kern w:val="0"/>
                <w:sz w:val="18"/>
                <w:szCs w:val="18"/>
              </w:rPr>
              <w:t>7′</w:t>
            </w:r>
          </w:p>
        </w:tc>
        <w:tc>
          <w:tcPr>
            <w:tcW w:w="798" w:type="dxa"/>
            <w:shd w:val="clear" w:color="auto" w:fill="auto"/>
            <w:noWrap/>
            <w:vAlign w:val="center"/>
          </w:tcPr>
          <w:p w14:paraId="52EF3F1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w:t>
            </w:r>
            <w:r w:rsidRPr="00765F6E">
              <w:rPr>
                <w:rFonts w:ascii="宋体" w:hAnsi="宋体" w:cs="宋体" w:hint="eastAsia"/>
                <w:kern w:val="0"/>
                <w:sz w:val="18"/>
                <w:szCs w:val="18"/>
              </w:rPr>
              <w:t>8′</w:t>
            </w:r>
          </w:p>
        </w:tc>
        <w:tc>
          <w:tcPr>
            <w:tcW w:w="798" w:type="dxa"/>
            <w:shd w:val="clear" w:color="auto" w:fill="auto"/>
            <w:noWrap/>
            <w:vAlign w:val="center"/>
          </w:tcPr>
          <w:p w14:paraId="3F547DB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0a</w:t>
            </w:r>
            <w:r w:rsidRPr="00765F6E">
              <w:rPr>
                <w:rFonts w:ascii="宋体" w:hAnsi="宋体" w:cs="宋体" w:hint="eastAsia"/>
                <w:kern w:val="0"/>
                <w:sz w:val="18"/>
                <w:szCs w:val="18"/>
              </w:rPr>
              <w:t>′</w:t>
            </w:r>
          </w:p>
        </w:tc>
        <w:tc>
          <w:tcPr>
            <w:tcW w:w="798" w:type="dxa"/>
            <w:shd w:val="clear" w:color="auto" w:fill="auto"/>
            <w:noWrap/>
            <w:vAlign w:val="center"/>
          </w:tcPr>
          <w:p w14:paraId="2767DB4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1a</w:t>
            </w:r>
            <w:r w:rsidRPr="00765F6E">
              <w:rPr>
                <w:rFonts w:ascii="宋体" w:hAnsi="宋体" w:cs="宋体" w:hint="eastAsia"/>
                <w:kern w:val="0"/>
                <w:sz w:val="18"/>
                <w:szCs w:val="18"/>
              </w:rPr>
              <w:t>′</w:t>
            </w:r>
          </w:p>
        </w:tc>
        <w:tc>
          <w:tcPr>
            <w:tcW w:w="824" w:type="dxa"/>
            <w:shd w:val="clear" w:color="auto" w:fill="auto"/>
            <w:noWrap/>
            <w:vAlign w:val="center"/>
          </w:tcPr>
          <w:p w14:paraId="5655028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2a</w:t>
            </w:r>
            <w:r w:rsidRPr="00765F6E">
              <w:rPr>
                <w:rFonts w:ascii="宋体" w:hAnsi="宋体" w:cs="宋体" w:hint="eastAsia"/>
                <w:kern w:val="0"/>
                <w:sz w:val="18"/>
                <w:szCs w:val="18"/>
              </w:rPr>
              <w:t>′</w:t>
            </w:r>
          </w:p>
        </w:tc>
      </w:tr>
      <w:tr w:rsidR="00235309" w:rsidRPr="00765F6E" w14:paraId="485FF81C" w14:textId="77777777" w:rsidTr="00871D47">
        <w:trPr>
          <w:trHeight w:val="176"/>
          <w:jc w:val="center"/>
        </w:trPr>
        <w:tc>
          <w:tcPr>
            <w:tcW w:w="800" w:type="dxa"/>
            <w:tcBorders>
              <w:left w:val="single" w:sz="8" w:space="0" w:color="auto"/>
            </w:tcBorders>
            <w:shd w:val="clear" w:color="auto" w:fill="auto"/>
            <w:vAlign w:val="center"/>
          </w:tcPr>
          <w:p w14:paraId="04BD9F3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X</w:t>
            </w:r>
          </w:p>
        </w:tc>
        <w:tc>
          <w:tcPr>
            <w:tcW w:w="800" w:type="dxa"/>
            <w:shd w:val="clear" w:color="auto" w:fill="auto"/>
            <w:noWrap/>
            <w:vAlign w:val="center"/>
          </w:tcPr>
          <w:p w14:paraId="7992443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1313</w:t>
            </w:r>
          </w:p>
        </w:tc>
        <w:tc>
          <w:tcPr>
            <w:tcW w:w="798" w:type="dxa"/>
            <w:shd w:val="clear" w:color="auto" w:fill="auto"/>
            <w:noWrap/>
            <w:vAlign w:val="center"/>
          </w:tcPr>
          <w:p w14:paraId="7B50E5F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846</w:t>
            </w:r>
          </w:p>
        </w:tc>
        <w:tc>
          <w:tcPr>
            <w:tcW w:w="798" w:type="dxa"/>
            <w:shd w:val="clear" w:color="auto" w:fill="auto"/>
            <w:noWrap/>
            <w:vAlign w:val="center"/>
          </w:tcPr>
          <w:p w14:paraId="699461F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841</w:t>
            </w:r>
          </w:p>
        </w:tc>
        <w:tc>
          <w:tcPr>
            <w:tcW w:w="798" w:type="dxa"/>
            <w:shd w:val="clear" w:color="auto" w:fill="auto"/>
            <w:noWrap/>
            <w:vAlign w:val="center"/>
          </w:tcPr>
          <w:p w14:paraId="7C803EF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738</w:t>
            </w:r>
          </w:p>
        </w:tc>
        <w:tc>
          <w:tcPr>
            <w:tcW w:w="798" w:type="dxa"/>
            <w:shd w:val="clear" w:color="auto" w:fill="auto"/>
            <w:noWrap/>
            <w:vAlign w:val="center"/>
          </w:tcPr>
          <w:p w14:paraId="5EFB6C1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738</w:t>
            </w:r>
          </w:p>
        </w:tc>
        <w:tc>
          <w:tcPr>
            <w:tcW w:w="798" w:type="dxa"/>
            <w:shd w:val="clear" w:color="auto" w:fill="auto"/>
            <w:noWrap/>
            <w:vAlign w:val="center"/>
          </w:tcPr>
          <w:p w14:paraId="6E6E34D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647</w:t>
            </w:r>
          </w:p>
        </w:tc>
        <w:tc>
          <w:tcPr>
            <w:tcW w:w="798" w:type="dxa"/>
            <w:shd w:val="clear" w:color="auto" w:fill="auto"/>
            <w:noWrap/>
            <w:vAlign w:val="center"/>
          </w:tcPr>
          <w:p w14:paraId="14EF47A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647</w:t>
            </w:r>
          </w:p>
        </w:tc>
        <w:tc>
          <w:tcPr>
            <w:tcW w:w="798" w:type="dxa"/>
            <w:shd w:val="clear" w:color="auto" w:fill="auto"/>
            <w:noWrap/>
            <w:vAlign w:val="center"/>
          </w:tcPr>
          <w:p w14:paraId="3A9C6FD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shd w:val="clear" w:color="auto" w:fill="auto"/>
            <w:noWrap/>
            <w:vAlign w:val="center"/>
          </w:tcPr>
          <w:p w14:paraId="1E7C52D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0</w:t>
            </w:r>
          </w:p>
        </w:tc>
        <w:tc>
          <w:tcPr>
            <w:tcW w:w="798" w:type="dxa"/>
            <w:shd w:val="clear" w:color="auto" w:fill="auto"/>
            <w:noWrap/>
            <w:vAlign w:val="center"/>
          </w:tcPr>
          <w:p w14:paraId="2282EEF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564</w:t>
            </w:r>
          </w:p>
        </w:tc>
        <w:tc>
          <w:tcPr>
            <w:tcW w:w="824" w:type="dxa"/>
            <w:shd w:val="clear" w:color="auto" w:fill="auto"/>
            <w:noWrap/>
            <w:vAlign w:val="center"/>
          </w:tcPr>
          <w:p w14:paraId="1416C3B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853</w:t>
            </w:r>
          </w:p>
        </w:tc>
      </w:tr>
      <w:tr w:rsidR="00235309" w:rsidRPr="00765F6E" w14:paraId="13403192" w14:textId="77777777" w:rsidTr="00871D47">
        <w:trPr>
          <w:trHeight w:val="176"/>
          <w:jc w:val="center"/>
        </w:trPr>
        <w:tc>
          <w:tcPr>
            <w:tcW w:w="800" w:type="dxa"/>
            <w:tcBorders>
              <w:left w:val="single" w:sz="8" w:space="0" w:color="auto"/>
            </w:tcBorders>
            <w:shd w:val="clear" w:color="auto" w:fill="auto"/>
            <w:vAlign w:val="center"/>
          </w:tcPr>
          <w:p w14:paraId="24BE2AD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Y</w:t>
            </w:r>
          </w:p>
        </w:tc>
        <w:tc>
          <w:tcPr>
            <w:tcW w:w="800" w:type="dxa"/>
            <w:shd w:val="clear" w:color="auto" w:fill="auto"/>
            <w:noWrap/>
            <w:vAlign w:val="center"/>
          </w:tcPr>
          <w:p w14:paraId="2E7DECF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25</w:t>
            </w:r>
          </w:p>
        </w:tc>
        <w:tc>
          <w:tcPr>
            <w:tcW w:w="798" w:type="dxa"/>
            <w:shd w:val="clear" w:color="auto" w:fill="auto"/>
            <w:noWrap/>
            <w:vAlign w:val="center"/>
          </w:tcPr>
          <w:p w14:paraId="2FF9AE4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w:t>
            </w:r>
          </w:p>
        </w:tc>
        <w:tc>
          <w:tcPr>
            <w:tcW w:w="798" w:type="dxa"/>
            <w:shd w:val="clear" w:color="auto" w:fill="auto"/>
            <w:noWrap/>
            <w:vAlign w:val="center"/>
          </w:tcPr>
          <w:p w14:paraId="189FCA1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w:t>
            </w:r>
          </w:p>
        </w:tc>
        <w:tc>
          <w:tcPr>
            <w:tcW w:w="798" w:type="dxa"/>
            <w:shd w:val="clear" w:color="auto" w:fill="auto"/>
            <w:noWrap/>
            <w:vAlign w:val="center"/>
          </w:tcPr>
          <w:p w14:paraId="451978B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w:t>
            </w:r>
          </w:p>
        </w:tc>
        <w:tc>
          <w:tcPr>
            <w:tcW w:w="798" w:type="dxa"/>
            <w:shd w:val="clear" w:color="auto" w:fill="auto"/>
            <w:noWrap/>
            <w:vAlign w:val="center"/>
          </w:tcPr>
          <w:p w14:paraId="7D39484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-51</w:t>
            </w:r>
          </w:p>
        </w:tc>
        <w:tc>
          <w:tcPr>
            <w:tcW w:w="798" w:type="dxa"/>
            <w:shd w:val="clear" w:color="auto" w:fill="auto"/>
            <w:noWrap/>
            <w:vAlign w:val="center"/>
          </w:tcPr>
          <w:p w14:paraId="19964A9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-51</w:t>
            </w:r>
          </w:p>
        </w:tc>
        <w:tc>
          <w:tcPr>
            <w:tcW w:w="798" w:type="dxa"/>
            <w:shd w:val="clear" w:color="auto" w:fill="auto"/>
            <w:noWrap/>
            <w:vAlign w:val="center"/>
          </w:tcPr>
          <w:p w14:paraId="35B886A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42</w:t>
            </w:r>
          </w:p>
        </w:tc>
        <w:tc>
          <w:tcPr>
            <w:tcW w:w="798" w:type="dxa"/>
            <w:shd w:val="clear" w:color="auto" w:fill="auto"/>
            <w:noWrap/>
            <w:vAlign w:val="center"/>
          </w:tcPr>
          <w:p w14:paraId="0312A1E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43</w:t>
            </w:r>
          </w:p>
        </w:tc>
        <w:tc>
          <w:tcPr>
            <w:tcW w:w="798" w:type="dxa"/>
            <w:shd w:val="clear" w:color="auto" w:fill="auto"/>
            <w:noWrap/>
            <w:vAlign w:val="center"/>
          </w:tcPr>
          <w:p w14:paraId="7CDA616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5044</w:t>
            </w:r>
          </w:p>
        </w:tc>
        <w:tc>
          <w:tcPr>
            <w:tcW w:w="798" w:type="dxa"/>
            <w:shd w:val="clear" w:color="auto" w:fill="auto"/>
            <w:noWrap/>
            <w:vAlign w:val="center"/>
          </w:tcPr>
          <w:p w14:paraId="60D78CA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5044</w:t>
            </w:r>
          </w:p>
        </w:tc>
        <w:tc>
          <w:tcPr>
            <w:tcW w:w="824" w:type="dxa"/>
            <w:shd w:val="clear" w:color="auto" w:fill="auto"/>
            <w:noWrap/>
            <w:vAlign w:val="center"/>
          </w:tcPr>
          <w:p w14:paraId="483ACFB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5026</w:t>
            </w:r>
          </w:p>
        </w:tc>
      </w:tr>
      <w:tr w:rsidR="00235309" w:rsidRPr="00765F6E" w14:paraId="0A32FDE0" w14:textId="77777777" w:rsidTr="00871D47">
        <w:trPr>
          <w:trHeight w:val="176"/>
          <w:jc w:val="center"/>
        </w:trPr>
        <w:tc>
          <w:tcPr>
            <w:tcW w:w="800" w:type="dxa"/>
            <w:tcBorders>
              <w:left w:val="single" w:sz="8" w:space="0" w:color="auto"/>
            </w:tcBorders>
            <w:shd w:val="clear" w:color="auto" w:fill="auto"/>
            <w:vAlign w:val="center"/>
          </w:tcPr>
          <w:p w14:paraId="20BA727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800" w:type="dxa"/>
            <w:shd w:val="clear" w:color="auto" w:fill="auto"/>
            <w:noWrap/>
            <w:vAlign w:val="center"/>
          </w:tcPr>
          <w:p w14:paraId="2BC5796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3a</w:t>
            </w:r>
            <w:r w:rsidRPr="00765F6E">
              <w:rPr>
                <w:rFonts w:ascii="宋体" w:hAnsi="宋体" w:cs="宋体" w:hint="eastAsia"/>
                <w:kern w:val="0"/>
                <w:sz w:val="18"/>
                <w:szCs w:val="18"/>
              </w:rPr>
              <w:t>′</w:t>
            </w:r>
          </w:p>
        </w:tc>
        <w:tc>
          <w:tcPr>
            <w:tcW w:w="798" w:type="dxa"/>
            <w:shd w:val="clear" w:color="auto" w:fill="auto"/>
            <w:noWrap/>
            <w:vAlign w:val="center"/>
          </w:tcPr>
          <w:p w14:paraId="51CF0CC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4a</w:t>
            </w:r>
            <w:r w:rsidRPr="00765F6E">
              <w:rPr>
                <w:rFonts w:ascii="宋体" w:hAnsi="宋体" w:cs="宋体" w:hint="eastAsia"/>
                <w:kern w:val="0"/>
                <w:sz w:val="18"/>
                <w:szCs w:val="18"/>
              </w:rPr>
              <w:t>′</w:t>
            </w:r>
          </w:p>
        </w:tc>
        <w:tc>
          <w:tcPr>
            <w:tcW w:w="798" w:type="dxa"/>
            <w:shd w:val="clear" w:color="auto" w:fill="auto"/>
            <w:noWrap/>
            <w:vAlign w:val="center"/>
          </w:tcPr>
          <w:p w14:paraId="0F2B110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0b</w:t>
            </w:r>
            <w:r w:rsidRPr="00765F6E">
              <w:rPr>
                <w:rFonts w:ascii="宋体" w:hAnsi="宋体" w:cs="宋体" w:hint="eastAsia"/>
                <w:kern w:val="0"/>
                <w:sz w:val="18"/>
                <w:szCs w:val="18"/>
              </w:rPr>
              <w:t>′</w:t>
            </w:r>
          </w:p>
        </w:tc>
        <w:tc>
          <w:tcPr>
            <w:tcW w:w="798" w:type="dxa"/>
            <w:shd w:val="clear" w:color="auto" w:fill="auto"/>
            <w:noWrap/>
            <w:vAlign w:val="center"/>
          </w:tcPr>
          <w:p w14:paraId="023828D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1b</w:t>
            </w:r>
            <w:r w:rsidRPr="00765F6E">
              <w:rPr>
                <w:rFonts w:ascii="宋体" w:hAnsi="宋体" w:cs="宋体" w:hint="eastAsia"/>
                <w:kern w:val="0"/>
                <w:sz w:val="18"/>
                <w:szCs w:val="18"/>
              </w:rPr>
              <w:t>′</w:t>
            </w:r>
          </w:p>
        </w:tc>
        <w:tc>
          <w:tcPr>
            <w:tcW w:w="798" w:type="dxa"/>
            <w:shd w:val="clear" w:color="auto" w:fill="auto"/>
            <w:noWrap/>
            <w:vAlign w:val="center"/>
          </w:tcPr>
          <w:p w14:paraId="3F843D1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2b</w:t>
            </w:r>
            <w:r w:rsidRPr="00765F6E">
              <w:rPr>
                <w:rFonts w:ascii="宋体" w:hAnsi="宋体" w:cs="宋体" w:hint="eastAsia"/>
                <w:kern w:val="0"/>
                <w:sz w:val="18"/>
                <w:szCs w:val="18"/>
              </w:rPr>
              <w:t>′</w:t>
            </w:r>
          </w:p>
        </w:tc>
        <w:tc>
          <w:tcPr>
            <w:tcW w:w="798" w:type="dxa"/>
            <w:shd w:val="clear" w:color="auto" w:fill="auto"/>
            <w:noWrap/>
            <w:vAlign w:val="center"/>
          </w:tcPr>
          <w:p w14:paraId="4F27710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3b</w:t>
            </w:r>
            <w:r w:rsidRPr="00765F6E">
              <w:rPr>
                <w:rFonts w:ascii="宋体" w:hAnsi="宋体" w:cs="宋体" w:hint="eastAsia"/>
                <w:kern w:val="0"/>
                <w:sz w:val="18"/>
                <w:szCs w:val="18"/>
              </w:rPr>
              <w:t>′</w:t>
            </w:r>
          </w:p>
        </w:tc>
        <w:tc>
          <w:tcPr>
            <w:tcW w:w="798" w:type="dxa"/>
            <w:shd w:val="clear" w:color="auto" w:fill="auto"/>
            <w:noWrap/>
            <w:vAlign w:val="center"/>
          </w:tcPr>
          <w:p w14:paraId="3728A8D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4b</w:t>
            </w:r>
            <w:r w:rsidRPr="00765F6E">
              <w:rPr>
                <w:rFonts w:ascii="宋体" w:hAnsi="宋体" w:cs="宋体" w:hint="eastAsia"/>
                <w:kern w:val="0"/>
                <w:sz w:val="18"/>
                <w:szCs w:val="18"/>
              </w:rPr>
              <w:t>′</w:t>
            </w:r>
          </w:p>
        </w:tc>
        <w:tc>
          <w:tcPr>
            <w:tcW w:w="798" w:type="dxa"/>
            <w:shd w:val="clear" w:color="auto" w:fill="auto"/>
            <w:noWrap/>
            <w:vAlign w:val="center"/>
          </w:tcPr>
          <w:p w14:paraId="2DE2CF0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712DD20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05DE579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24" w:type="dxa"/>
            <w:shd w:val="clear" w:color="auto" w:fill="auto"/>
            <w:noWrap/>
            <w:vAlign w:val="center"/>
          </w:tcPr>
          <w:p w14:paraId="3DD4079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5C96CC67" w14:textId="77777777" w:rsidTr="00871D47">
        <w:trPr>
          <w:trHeight w:val="176"/>
          <w:jc w:val="center"/>
        </w:trPr>
        <w:tc>
          <w:tcPr>
            <w:tcW w:w="800" w:type="dxa"/>
            <w:tcBorders>
              <w:left w:val="single" w:sz="8" w:space="0" w:color="auto"/>
            </w:tcBorders>
            <w:shd w:val="clear" w:color="auto" w:fill="auto"/>
            <w:vAlign w:val="center"/>
          </w:tcPr>
          <w:p w14:paraId="614236B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X</w:t>
            </w:r>
          </w:p>
        </w:tc>
        <w:tc>
          <w:tcPr>
            <w:tcW w:w="800" w:type="dxa"/>
            <w:shd w:val="clear" w:color="auto" w:fill="auto"/>
            <w:noWrap/>
            <w:vAlign w:val="center"/>
          </w:tcPr>
          <w:p w14:paraId="4439069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924</w:t>
            </w:r>
          </w:p>
        </w:tc>
        <w:tc>
          <w:tcPr>
            <w:tcW w:w="798" w:type="dxa"/>
            <w:shd w:val="clear" w:color="auto" w:fill="auto"/>
            <w:noWrap/>
            <w:vAlign w:val="center"/>
          </w:tcPr>
          <w:p w14:paraId="5ABF4E2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1081</w:t>
            </w:r>
          </w:p>
        </w:tc>
        <w:tc>
          <w:tcPr>
            <w:tcW w:w="798" w:type="dxa"/>
            <w:shd w:val="clear" w:color="auto" w:fill="auto"/>
            <w:noWrap/>
            <w:vAlign w:val="center"/>
          </w:tcPr>
          <w:p w14:paraId="782568C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0</w:t>
            </w:r>
          </w:p>
        </w:tc>
        <w:tc>
          <w:tcPr>
            <w:tcW w:w="798" w:type="dxa"/>
            <w:shd w:val="clear" w:color="auto" w:fill="auto"/>
            <w:noWrap/>
            <w:vAlign w:val="center"/>
          </w:tcPr>
          <w:p w14:paraId="4E31B93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536</w:t>
            </w:r>
          </w:p>
        </w:tc>
        <w:tc>
          <w:tcPr>
            <w:tcW w:w="798" w:type="dxa"/>
            <w:shd w:val="clear" w:color="auto" w:fill="auto"/>
            <w:noWrap/>
            <w:vAlign w:val="center"/>
          </w:tcPr>
          <w:p w14:paraId="649B56D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825</w:t>
            </w:r>
          </w:p>
        </w:tc>
        <w:tc>
          <w:tcPr>
            <w:tcW w:w="798" w:type="dxa"/>
            <w:shd w:val="clear" w:color="auto" w:fill="auto"/>
            <w:noWrap/>
            <w:vAlign w:val="center"/>
          </w:tcPr>
          <w:p w14:paraId="366014A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896</w:t>
            </w:r>
          </w:p>
        </w:tc>
        <w:tc>
          <w:tcPr>
            <w:tcW w:w="798" w:type="dxa"/>
            <w:shd w:val="clear" w:color="auto" w:fill="auto"/>
            <w:noWrap/>
            <w:vAlign w:val="center"/>
          </w:tcPr>
          <w:p w14:paraId="1F04551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1053</w:t>
            </w:r>
          </w:p>
        </w:tc>
        <w:tc>
          <w:tcPr>
            <w:tcW w:w="798" w:type="dxa"/>
            <w:shd w:val="clear" w:color="auto" w:fill="auto"/>
            <w:noWrap/>
            <w:vAlign w:val="center"/>
          </w:tcPr>
          <w:p w14:paraId="0441C6E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6A773F9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7BCF50E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24" w:type="dxa"/>
            <w:shd w:val="clear" w:color="auto" w:fill="auto"/>
            <w:noWrap/>
            <w:vAlign w:val="center"/>
          </w:tcPr>
          <w:p w14:paraId="5B5EBD7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58BCA66D" w14:textId="77777777" w:rsidTr="00871D47">
        <w:trPr>
          <w:trHeight w:val="176"/>
          <w:jc w:val="center"/>
        </w:trPr>
        <w:tc>
          <w:tcPr>
            <w:tcW w:w="800" w:type="dxa"/>
            <w:tcBorders>
              <w:left w:val="single" w:sz="8" w:space="0" w:color="auto"/>
            </w:tcBorders>
            <w:shd w:val="clear" w:color="auto" w:fill="auto"/>
            <w:vAlign w:val="center"/>
          </w:tcPr>
          <w:p w14:paraId="202C6D4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Y</w:t>
            </w:r>
          </w:p>
        </w:tc>
        <w:tc>
          <w:tcPr>
            <w:tcW w:w="800" w:type="dxa"/>
            <w:shd w:val="clear" w:color="auto" w:fill="auto"/>
            <w:noWrap/>
            <w:vAlign w:val="center"/>
          </w:tcPr>
          <w:p w14:paraId="6368F8C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4996</w:t>
            </w:r>
          </w:p>
        </w:tc>
        <w:tc>
          <w:tcPr>
            <w:tcW w:w="798" w:type="dxa"/>
            <w:shd w:val="clear" w:color="auto" w:fill="auto"/>
            <w:noWrap/>
            <w:vAlign w:val="center"/>
          </w:tcPr>
          <w:p w14:paraId="4D1E09F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4860</w:t>
            </w:r>
          </w:p>
        </w:tc>
        <w:tc>
          <w:tcPr>
            <w:tcW w:w="798" w:type="dxa"/>
            <w:shd w:val="clear" w:color="auto" w:fill="auto"/>
            <w:noWrap/>
            <w:vAlign w:val="center"/>
          </w:tcPr>
          <w:p w14:paraId="14724B9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4444</w:t>
            </w:r>
          </w:p>
        </w:tc>
        <w:tc>
          <w:tcPr>
            <w:tcW w:w="798" w:type="dxa"/>
            <w:shd w:val="clear" w:color="auto" w:fill="auto"/>
            <w:noWrap/>
            <w:vAlign w:val="center"/>
          </w:tcPr>
          <w:p w14:paraId="7FCA8C0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4444</w:t>
            </w:r>
          </w:p>
        </w:tc>
        <w:tc>
          <w:tcPr>
            <w:tcW w:w="798" w:type="dxa"/>
            <w:shd w:val="clear" w:color="auto" w:fill="auto"/>
            <w:noWrap/>
            <w:vAlign w:val="center"/>
          </w:tcPr>
          <w:p w14:paraId="186C221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4426</w:t>
            </w:r>
          </w:p>
        </w:tc>
        <w:tc>
          <w:tcPr>
            <w:tcW w:w="798" w:type="dxa"/>
            <w:shd w:val="clear" w:color="auto" w:fill="auto"/>
            <w:noWrap/>
            <w:vAlign w:val="center"/>
          </w:tcPr>
          <w:p w14:paraId="0764DC4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4396</w:t>
            </w:r>
          </w:p>
        </w:tc>
        <w:tc>
          <w:tcPr>
            <w:tcW w:w="798" w:type="dxa"/>
            <w:shd w:val="clear" w:color="auto" w:fill="auto"/>
            <w:noWrap/>
            <w:vAlign w:val="center"/>
          </w:tcPr>
          <w:p w14:paraId="4364007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4260</w:t>
            </w:r>
          </w:p>
        </w:tc>
        <w:tc>
          <w:tcPr>
            <w:tcW w:w="798" w:type="dxa"/>
            <w:shd w:val="clear" w:color="auto" w:fill="auto"/>
            <w:noWrap/>
            <w:vAlign w:val="center"/>
          </w:tcPr>
          <w:p w14:paraId="6E72993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3D6BBCF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693D841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824" w:type="dxa"/>
            <w:shd w:val="clear" w:color="auto" w:fill="auto"/>
            <w:noWrap/>
            <w:vAlign w:val="center"/>
          </w:tcPr>
          <w:p w14:paraId="7800FB7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19382283" w14:textId="77777777" w:rsidTr="00871D47">
        <w:trPr>
          <w:trHeight w:val="176"/>
          <w:jc w:val="center"/>
        </w:trPr>
        <w:tc>
          <w:tcPr>
            <w:tcW w:w="9606" w:type="dxa"/>
            <w:gridSpan w:val="12"/>
            <w:tcBorders>
              <w:top w:val="single" w:sz="8" w:space="0" w:color="auto"/>
              <w:left w:val="single" w:sz="8" w:space="0" w:color="auto"/>
              <w:bottom w:val="single" w:sz="8" w:space="0" w:color="auto"/>
            </w:tcBorders>
            <w:shd w:val="clear" w:color="auto" w:fill="auto"/>
            <w:vAlign w:val="center"/>
          </w:tcPr>
          <w:p w14:paraId="58499078" w14:textId="032B64DD" w:rsidR="00235309" w:rsidRPr="00765F6E" w:rsidRDefault="00235309" w:rsidP="00235309">
            <w:pPr>
              <w:pStyle w:val="afff2"/>
              <w:ind w:left="584"/>
            </w:pPr>
            <w:r w:rsidRPr="00765F6E">
              <w:t>0a</w:t>
            </w:r>
            <w:r w:rsidRPr="00765F6E">
              <w:t>′</w:t>
            </w:r>
            <w:r w:rsidR="00396F4E">
              <w:rPr>
                <w:rFonts w:hAnsi="宋体" w:hint="eastAsia"/>
              </w:rPr>
              <w:t>～</w:t>
            </w:r>
            <w:r w:rsidRPr="00765F6E">
              <w:t>4a</w:t>
            </w:r>
            <w:r w:rsidRPr="00765F6E">
              <w:t>′</w:t>
            </w:r>
            <w:r w:rsidRPr="00765F6E">
              <w:t>为升弓高度5000mm受电弓车辆限界，0b</w:t>
            </w:r>
            <w:r w:rsidRPr="00765F6E">
              <w:t>′</w:t>
            </w:r>
            <w:r w:rsidR="00396F4E">
              <w:rPr>
                <w:rFonts w:hAnsi="宋体" w:hint="eastAsia"/>
              </w:rPr>
              <w:t>～</w:t>
            </w:r>
            <w:r w:rsidRPr="00765F6E">
              <w:t>4b</w:t>
            </w:r>
            <w:r w:rsidRPr="00765F6E">
              <w:t>′</w:t>
            </w:r>
            <w:r w:rsidRPr="00765F6E">
              <w:t>为升弓高度4400mm受电弓车辆限界。</w:t>
            </w:r>
          </w:p>
        </w:tc>
      </w:tr>
    </w:tbl>
    <w:p w14:paraId="1990CA0B"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p>
    <w:p w14:paraId="62A3C24A" w14:textId="77777777" w:rsidR="00235309" w:rsidRPr="00765F6E" w:rsidRDefault="00235309" w:rsidP="00235309">
      <w:pPr>
        <w:pStyle w:val="aff0"/>
        <w:spacing w:before="120" w:after="120"/>
      </w:pPr>
      <w:r w:rsidRPr="00765F6E">
        <w:rPr>
          <w:rFonts w:hint="eastAsia"/>
        </w:rPr>
        <w:t>设备限界坐标点</w:t>
      </w:r>
    </w:p>
    <w:p w14:paraId="3F6176DC"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r w:rsidRPr="00765F6E">
        <w:rPr>
          <w:rFonts w:asciiTheme="minorEastAsia" w:eastAsiaTheme="minorEastAsia" w:hAnsiTheme="minorEastAsia" w:hint="eastAsia"/>
          <w:sz w:val="18"/>
          <w:szCs w:val="18"/>
        </w:rPr>
        <w:t>单位为毫米</w:t>
      </w:r>
    </w:p>
    <w:tbl>
      <w:tblPr>
        <w:tblW w:w="957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99"/>
        <w:gridCol w:w="799"/>
        <w:gridCol w:w="798"/>
        <w:gridCol w:w="798"/>
        <w:gridCol w:w="798"/>
        <w:gridCol w:w="798"/>
        <w:gridCol w:w="798"/>
        <w:gridCol w:w="798"/>
        <w:gridCol w:w="798"/>
        <w:gridCol w:w="798"/>
        <w:gridCol w:w="798"/>
        <w:gridCol w:w="790"/>
      </w:tblGrid>
      <w:tr w:rsidR="00235309" w:rsidRPr="00765F6E" w14:paraId="5986B342" w14:textId="77777777" w:rsidTr="00871D47">
        <w:trPr>
          <w:trHeight w:val="176"/>
          <w:jc w:val="center"/>
        </w:trPr>
        <w:tc>
          <w:tcPr>
            <w:tcW w:w="799" w:type="dxa"/>
            <w:tcBorders>
              <w:top w:val="single" w:sz="8" w:space="0" w:color="auto"/>
              <w:bottom w:val="single" w:sz="8" w:space="0" w:color="auto"/>
            </w:tcBorders>
            <w:shd w:val="clear" w:color="auto" w:fill="auto"/>
            <w:noWrap/>
            <w:vAlign w:val="center"/>
          </w:tcPr>
          <w:p w14:paraId="1919B7E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single" w:sz="8" w:space="0" w:color="auto"/>
              <w:bottom w:val="single" w:sz="8" w:space="0" w:color="auto"/>
            </w:tcBorders>
            <w:shd w:val="clear" w:color="auto" w:fill="auto"/>
            <w:noWrap/>
            <w:vAlign w:val="center"/>
          </w:tcPr>
          <w:p w14:paraId="0AB1EF6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bottom w:val="single" w:sz="8" w:space="0" w:color="auto"/>
            </w:tcBorders>
            <w:shd w:val="clear" w:color="auto" w:fill="auto"/>
            <w:noWrap/>
            <w:vAlign w:val="center"/>
          </w:tcPr>
          <w:p w14:paraId="673A9A0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p>
        </w:tc>
        <w:tc>
          <w:tcPr>
            <w:tcW w:w="798" w:type="dxa"/>
            <w:tcBorders>
              <w:top w:val="single" w:sz="8" w:space="0" w:color="auto"/>
              <w:bottom w:val="single" w:sz="8" w:space="0" w:color="auto"/>
            </w:tcBorders>
            <w:shd w:val="clear" w:color="auto" w:fill="auto"/>
            <w:noWrap/>
            <w:vAlign w:val="center"/>
          </w:tcPr>
          <w:p w14:paraId="4E35288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p>
        </w:tc>
        <w:tc>
          <w:tcPr>
            <w:tcW w:w="798" w:type="dxa"/>
            <w:tcBorders>
              <w:top w:val="single" w:sz="8" w:space="0" w:color="auto"/>
              <w:bottom w:val="single" w:sz="8" w:space="0" w:color="auto"/>
            </w:tcBorders>
            <w:shd w:val="clear" w:color="auto" w:fill="auto"/>
            <w:noWrap/>
            <w:vAlign w:val="center"/>
          </w:tcPr>
          <w:p w14:paraId="685FF51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w:t>
            </w:r>
          </w:p>
        </w:tc>
        <w:tc>
          <w:tcPr>
            <w:tcW w:w="798" w:type="dxa"/>
            <w:tcBorders>
              <w:top w:val="single" w:sz="8" w:space="0" w:color="auto"/>
              <w:bottom w:val="single" w:sz="8" w:space="0" w:color="auto"/>
            </w:tcBorders>
            <w:shd w:val="clear" w:color="auto" w:fill="auto"/>
            <w:noWrap/>
            <w:vAlign w:val="center"/>
          </w:tcPr>
          <w:p w14:paraId="444B5D5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p>
        </w:tc>
        <w:tc>
          <w:tcPr>
            <w:tcW w:w="798" w:type="dxa"/>
            <w:tcBorders>
              <w:top w:val="single" w:sz="8" w:space="0" w:color="auto"/>
              <w:bottom w:val="single" w:sz="8" w:space="0" w:color="auto"/>
            </w:tcBorders>
            <w:shd w:val="clear" w:color="auto" w:fill="auto"/>
            <w:noWrap/>
            <w:vAlign w:val="center"/>
          </w:tcPr>
          <w:p w14:paraId="1A48732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798" w:type="dxa"/>
            <w:tcBorders>
              <w:top w:val="single" w:sz="8" w:space="0" w:color="auto"/>
              <w:bottom w:val="single" w:sz="8" w:space="0" w:color="auto"/>
            </w:tcBorders>
            <w:shd w:val="clear" w:color="auto" w:fill="auto"/>
            <w:noWrap/>
            <w:vAlign w:val="center"/>
          </w:tcPr>
          <w:p w14:paraId="6875660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p>
        </w:tc>
        <w:tc>
          <w:tcPr>
            <w:tcW w:w="798" w:type="dxa"/>
            <w:tcBorders>
              <w:top w:val="single" w:sz="8" w:space="0" w:color="auto"/>
              <w:bottom w:val="single" w:sz="8" w:space="0" w:color="auto"/>
            </w:tcBorders>
            <w:shd w:val="clear" w:color="auto" w:fill="auto"/>
            <w:noWrap/>
            <w:vAlign w:val="center"/>
          </w:tcPr>
          <w:p w14:paraId="7AD7AE0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p>
        </w:tc>
        <w:tc>
          <w:tcPr>
            <w:tcW w:w="798" w:type="dxa"/>
            <w:tcBorders>
              <w:top w:val="single" w:sz="8" w:space="0" w:color="auto"/>
              <w:bottom w:val="single" w:sz="8" w:space="0" w:color="auto"/>
            </w:tcBorders>
            <w:shd w:val="clear" w:color="auto" w:fill="auto"/>
            <w:noWrap/>
            <w:vAlign w:val="center"/>
          </w:tcPr>
          <w:p w14:paraId="3F3BFEB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98" w:type="dxa"/>
            <w:tcBorders>
              <w:top w:val="single" w:sz="8" w:space="0" w:color="auto"/>
              <w:bottom w:val="single" w:sz="8" w:space="0" w:color="auto"/>
            </w:tcBorders>
            <w:shd w:val="clear" w:color="auto" w:fill="auto"/>
            <w:noWrap/>
            <w:vAlign w:val="center"/>
          </w:tcPr>
          <w:p w14:paraId="7BA7608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w:t>
            </w:r>
          </w:p>
        </w:tc>
        <w:tc>
          <w:tcPr>
            <w:tcW w:w="790" w:type="dxa"/>
            <w:tcBorders>
              <w:top w:val="single" w:sz="8" w:space="0" w:color="auto"/>
              <w:bottom w:val="single" w:sz="8" w:space="0" w:color="auto"/>
            </w:tcBorders>
            <w:shd w:val="clear" w:color="auto" w:fill="auto"/>
            <w:noWrap/>
            <w:vAlign w:val="center"/>
          </w:tcPr>
          <w:p w14:paraId="5F3042F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r>
      <w:tr w:rsidR="00235309" w:rsidRPr="00765F6E" w14:paraId="75080840" w14:textId="77777777" w:rsidTr="00871D47">
        <w:trPr>
          <w:trHeight w:val="176"/>
          <w:jc w:val="center"/>
        </w:trPr>
        <w:tc>
          <w:tcPr>
            <w:tcW w:w="799" w:type="dxa"/>
            <w:tcBorders>
              <w:top w:val="single" w:sz="8" w:space="0" w:color="auto"/>
            </w:tcBorders>
            <w:shd w:val="clear" w:color="auto" w:fill="auto"/>
            <w:noWrap/>
            <w:vAlign w:val="center"/>
          </w:tcPr>
          <w:p w14:paraId="1F97D28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single" w:sz="8" w:space="0" w:color="auto"/>
            </w:tcBorders>
            <w:shd w:val="clear" w:color="auto" w:fill="auto"/>
            <w:noWrap/>
            <w:vAlign w:val="center"/>
          </w:tcPr>
          <w:p w14:paraId="1E745FE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tcBorders>
            <w:shd w:val="clear" w:color="auto" w:fill="auto"/>
            <w:noWrap/>
            <w:vAlign w:val="center"/>
          </w:tcPr>
          <w:p w14:paraId="719113F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840</w:t>
            </w:r>
          </w:p>
        </w:tc>
        <w:tc>
          <w:tcPr>
            <w:tcW w:w="798" w:type="dxa"/>
            <w:tcBorders>
              <w:top w:val="single" w:sz="8" w:space="0" w:color="auto"/>
            </w:tcBorders>
            <w:shd w:val="clear" w:color="auto" w:fill="auto"/>
            <w:noWrap/>
            <w:vAlign w:val="center"/>
          </w:tcPr>
          <w:p w14:paraId="65B7B0C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1106</w:t>
            </w:r>
          </w:p>
        </w:tc>
        <w:tc>
          <w:tcPr>
            <w:tcW w:w="798" w:type="dxa"/>
            <w:tcBorders>
              <w:top w:val="single" w:sz="8" w:space="0" w:color="auto"/>
            </w:tcBorders>
            <w:shd w:val="clear" w:color="auto" w:fill="auto"/>
            <w:noWrap/>
            <w:vAlign w:val="center"/>
          </w:tcPr>
          <w:p w14:paraId="530608E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1380</w:t>
            </w:r>
          </w:p>
        </w:tc>
        <w:tc>
          <w:tcPr>
            <w:tcW w:w="798" w:type="dxa"/>
            <w:tcBorders>
              <w:top w:val="single" w:sz="8" w:space="0" w:color="auto"/>
            </w:tcBorders>
            <w:shd w:val="clear" w:color="auto" w:fill="auto"/>
            <w:noWrap/>
            <w:vAlign w:val="center"/>
          </w:tcPr>
          <w:p w14:paraId="29915A3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1481</w:t>
            </w:r>
          </w:p>
        </w:tc>
        <w:tc>
          <w:tcPr>
            <w:tcW w:w="798" w:type="dxa"/>
            <w:tcBorders>
              <w:top w:val="single" w:sz="8" w:space="0" w:color="auto"/>
            </w:tcBorders>
            <w:shd w:val="clear" w:color="auto" w:fill="auto"/>
            <w:noWrap/>
            <w:vAlign w:val="center"/>
          </w:tcPr>
          <w:p w14:paraId="483FD6D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1548</w:t>
            </w:r>
          </w:p>
        </w:tc>
        <w:tc>
          <w:tcPr>
            <w:tcW w:w="798" w:type="dxa"/>
            <w:tcBorders>
              <w:top w:val="single" w:sz="8" w:space="0" w:color="auto"/>
            </w:tcBorders>
            <w:shd w:val="clear" w:color="auto" w:fill="auto"/>
            <w:noWrap/>
            <w:vAlign w:val="center"/>
          </w:tcPr>
          <w:p w14:paraId="5420BEA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1581</w:t>
            </w:r>
          </w:p>
        </w:tc>
        <w:tc>
          <w:tcPr>
            <w:tcW w:w="798" w:type="dxa"/>
            <w:tcBorders>
              <w:top w:val="single" w:sz="8" w:space="0" w:color="auto"/>
            </w:tcBorders>
            <w:shd w:val="clear" w:color="auto" w:fill="auto"/>
            <w:noWrap/>
            <w:vAlign w:val="center"/>
          </w:tcPr>
          <w:p w14:paraId="0740003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1616</w:t>
            </w:r>
          </w:p>
        </w:tc>
        <w:tc>
          <w:tcPr>
            <w:tcW w:w="798" w:type="dxa"/>
            <w:tcBorders>
              <w:top w:val="single" w:sz="8" w:space="0" w:color="auto"/>
            </w:tcBorders>
            <w:shd w:val="clear" w:color="auto" w:fill="auto"/>
            <w:noWrap/>
            <w:vAlign w:val="center"/>
          </w:tcPr>
          <w:p w14:paraId="3D55F4A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1596</w:t>
            </w:r>
          </w:p>
        </w:tc>
        <w:tc>
          <w:tcPr>
            <w:tcW w:w="798" w:type="dxa"/>
            <w:tcBorders>
              <w:top w:val="single" w:sz="8" w:space="0" w:color="auto"/>
            </w:tcBorders>
            <w:shd w:val="clear" w:color="auto" w:fill="auto"/>
            <w:noWrap/>
            <w:vAlign w:val="center"/>
          </w:tcPr>
          <w:p w14:paraId="2596C7D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1520</w:t>
            </w:r>
          </w:p>
        </w:tc>
        <w:tc>
          <w:tcPr>
            <w:tcW w:w="790" w:type="dxa"/>
            <w:tcBorders>
              <w:top w:val="single" w:sz="8" w:space="0" w:color="auto"/>
            </w:tcBorders>
            <w:shd w:val="clear" w:color="auto" w:fill="auto"/>
            <w:noWrap/>
            <w:vAlign w:val="center"/>
          </w:tcPr>
          <w:p w14:paraId="247D468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1492</w:t>
            </w:r>
          </w:p>
        </w:tc>
      </w:tr>
      <w:tr w:rsidR="00235309" w:rsidRPr="00765F6E" w14:paraId="202B1AEF" w14:textId="77777777" w:rsidTr="00871D47">
        <w:trPr>
          <w:trHeight w:val="176"/>
          <w:jc w:val="center"/>
        </w:trPr>
        <w:tc>
          <w:tcPr>
            <w:tcW w:w="799" w:type="dxa"/>
            <w:shd w:val="clear" w:color="auto" w:fill="auto"/>
            <w:noWrap/>
            <w:vAlign w:val="center"/>
          </w:tcPr>
          <w:p w14:paraId="5031839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16916FD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3930</w:t>
            </w:r>
          </w:p>
        </w:tc>
        <w:tc>
          <w:tcPr>
            <w:tcW w:w="798" w:type="dxa"/>
            <w:shd w:val="clear" w:color="auto" w:fill="auto"/>
            <w:noWrap/>
            <w:vAlign w:val="center"/>
          </w:tcPr>
          <w:p w14:paraId="647CC2A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3950</w:t>
            </w:r>
          </w:p>
        </w:tc>
        <w:tc>
          <w:tcPr>
            <w:tcW w:w="798" w:type="dxa"/>
            <w:shd w:val="clear" w:color="auto" w:fill="auto"/>
            <w:noWrap/>
            <w:vAlign w:val="center"/>
          </w:tcPr>
          <w:p w14:paraId="214567C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3848</w:t>
            </w:r>
          </w:p>
        </w:tc>
        <w:tc>
          <w:tcPr>
            <w:tcW w:w="798" w:type="dxa"/>
            <w:shd w:val="clear" w:color="auto" w:fill="auto"/>
            <w:noWrap/>
            <w:vAlign w:val="center"/>
          </w:tcPr>
          <w:p w14:paraId="7EABEE1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3659</w:t>
            </w:r>
          </w:p>
        </w:tc>
        <w:tc>
          <w:tcPr>
            <w:tcW w:w="798" w:type="dxa"/>
            <w:shd w:val="clear" w:color="auto" w:fill="auto"/>
            <w:noWrap/>
            <w:vAlign w:val="center"/>
          </w:tcPr>
          <w:p w14:paraId="24DA31F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3555</w:t>
            </w:r>
          </w:p>
        </w:tc>
        <w:tc>
          <w:tcPr>
            <w:tcW w:w="798" w:type="dxa"/>
            <w:shd w:val="clear" w:color="auto" w:fill="auto"/>
            <w:noWrap/>
            <w:vAlign w:val="center"/>
          </w:tcPr>
          <w:p w14:paraId="61BC88F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3415</w:t>
            </w:r>
          </w:p>
        </w:tc>
        <w:tc>
          <w:tcPr>
            <w:tcW w:w="798" w:type="dxa"/>
            <w:shd w:val="clear" w:color="auto" w:fill="auto"/>
            <w:noWrap/>
            <w:vAlign w:val="center"/>
          </w:tcPr>
          <w:p w14:paraId="18DEF4E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3175</w:t>
            </w:r>
          </w:p>
        </w:tc>
        <w:tc>
          <w:tcPr>
            <w:tcW w:w="798" w:type="dxa"/>
            <w:shd w:val="clear" w:color="auto" w:fill="auto"/>
            <w:noWrap/>
            <w:vAlign w:val="center"/>
          </w:tcPr>
          <w:p w14:paraId="3C64EEF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1860</w:t>
            </w:r>
          </w:p>
        </w:tc>
        <w:tc>
          <w:tcPr>
            <w:tcW w:w="798" w:type="dxa"/>
            <w:shd w:val="clear" w:color="auto" w:fill="auto"/>
            <w:noWrap/>
            <w:vAlign w:val="center"/>
          </w:tcPr>
          <w:p w14:paraId="07317A4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1333</w:t>
            </w:r>
          </w:p>
        </w:tc>
        <w:tc>
          <w:tcPr>
            <w:tcW w:w="798" w:type="dxa"/>
            <w:shd w:val="clear" w:color="auto" w:fill="auto"/>
            <w:noWrap/>
            <w:vAlign w:val="center"/>
          </w:tcPr>
          <w:p w14:paraId="102C3D1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900</w:t>
            </w:r>
          </w:p>
        </w:tc>
        <w:tc>
          <w:tcPr>
            <w:tcW w:w="790" w:type="dxa"/>
            <w:shd w:val="clear" w:color="auto" w:fill="auto"/>
            <w:noWrap/>
            <w:vAlign w:val="center"/>
          </w:tcPr>
          <w:p w14:paraId="0C2FC87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150</w:t>
            </w:r>
          </w:p>
        </w:tc>
      </w:tr>
      <w:tr w:rsidR="00235309" w:rsidRPr="00765F6E" w14:paraId="5884A677" w14:textId="77777777" w:rsidTr="00871D47">
        <w:trPr>
          <w:trHeight w:val="176"/>
          <w:jc w:val="center"/>
        </w:trPr>
        <w:tc>
          <w:tcPr>
            <w:tcW w:w="799" w:type="dxa"/>
            <w:shd w:val="clear" w:color="auto" w:fill="auto"/>
            <w:noWrap/>
            <w:vAlign w:val="center"/>
          </w:tcPr>
          <w:p w14:paraId="30B50D2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noWrap/>
            <w:vAlign w:val="center"/>
          </w:tcPr>
          <w:p w14:paraId="2CC6723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w:t>
            </w:r>
          </w:p>
        </w:tc>
        <w:tc>
          <w:tcPr>
            <w:tcW w:w="798" w:type="dxa"/>
            <w:shd w:val="clear" w:color="auto" w:fill="auto"/>
            <w:noWrap/>
            <w:vAlign w:val="center"/>
          </w:tcPr>
          <w:p w14:paraId="5417F0F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w:t>
            </w:r>
          </w:p>
        </w:tc>
        <w:tc>
          <w:tcPr>
            <w:tcW w:w="798" w:type="dxa"/>
            <w:shd w:val="clear" w:color="auto" w:fill="auto"/>
            <w:noWrap/>
            <w:vAlign w:val="center"/>
          </w:tcPr>
          <w:p w14:paraId="3584C0F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w:t>
            </w:r>
          </w:p>
        </w:tc>
        <w:tc>
          <w:tcPr>
            <w:tcW w:w="798" w:type="dxa"/>
            <w:shd w:val="clear" w:color="auto" w:fill="auto"/>
            <w:noWrap/>
            <w:vAlign w:val="center"/>
          </w:tcPr>
          <w:p w14:paraId="40EAF61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w:t>
            </w:r>
          </w:p>
        </w:tc>
        <w:tc>
          <w:tcPr>
            <w:tcW w:w="798" w:type="dxa"/>
            <w:shd w:val="clear" w:color="auto" w:fill="auto"/>
            <w:noWrap/>
            <w:vAlign w:val="center"/>
          </w:tcPr>
          <w:p w14:paraId="10F03CC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798" w:type="dxa"/>
            <w:shd w:val="clear" w:color="auto" w:fill="auto"/>
            <w:noWrap/>
            <w:vAlign w:val="center"/>
          </w:tcPr>
          <w:p w14:paraId="6B5794D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w:t>
            </w:r>
          </w:p>
        </w:tc>
        <w:tc>
          <w:tcPr>
            <w:tcW w:w="798" w:type="dxa"/>
            <w:shd w:val="clear" w:color="auto" w:fill="auto"/>
            <w:noWrap/>
            <w:vAlign w:val="center"/>
          </w:tcPr>
          <w:p w14:paraId="19F72A4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798" w:type="dxa"/>
            <w:shd w:val="clear" w:color="auto" w:fill="auto"/>
            <w:noWrap/>
            <w:vAlign w:val="center"/>
          </w:tcPr>
          <w:p w14:paraId="3A1D6B4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w:t>
            </w:r>
          </w:p>
        </w:tc>
        <w:tc>
          <w:tcPr>
            <w:tcW w:w="798" w:type="dxa"/>
            <w:shd w:val="clear" w:color="auto" w:fill="auto"/>
            <w:noWrap/>
            <w:vAlign w:val="center"/>
          </w:tcPr>
          <w:p w14:paraId="15A8CD2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0a″</w:t>
            </w:r>
          </w:p>
        </w:tc>
        <w:tc>
          <w:tcPr>
            <w:tcW w:w="798" w:type="dxa"/>
            <w:shd w:val="clear" w:color="auto" w:fill="auto"/>
            <w:noWrap/>
            <w:vAlign w:val="center"/>
          </w:tcPr>
          <w:p w14:paraId="07D2DC3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1a″</w:t>
            </w:r>
          </w:p>
        </w:tc>
        <w:tc>
          <w:tcPr>
            <w:tcW w:w="790" w:type="dxa"/>
            <w:shd w:val="clear" w:color="auto" w:fill="auto"/>
            <w:noWrap/>
            <w:vAlign w:val="center"/>
          </w:tcPr>
          <w:p w14:paraId="3F55C57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r w:rsidRPr="00765F6E">
              <w:rPr>
                <w:rFonts w:ascii="宋体" w:hAnsi="宋体" w:cs="宋体"/>
                <w:kern w:val="0"/>
                <w:sz w:val="18"/>
                <w:szCs w:val="18"/>
              </w:rPr>
              <w:t>a</w:t>
            </w:r>
            <w:r w:rsidRPr="00765F6E">
              <w:rPr>
                <w:rFonts w:ascii="宋体" w:hAnsi="宋体" w:cs="宋体" w:hint="eastAsia"/>
                <w:kern w:val="0"/>
                <w:sz w:val="18"/>
                <w:szCs w:val="18"/>
              </w:rPr>
              <w:t>″</w:t>
            </w:r>
          </w:p>
        </w:tc>
      </w:tr>
      <w:tr w:rsidR="00235309" w:rsidRPr="00765F6E" w14:paraId="2F7B2061" w14:textId="77777777" w:rsidTr="00871D47">
        <w:trPr>
          <w:trHeight w:val="176"/>
          <w:jc w:val="center"/>
        </w:trPr>
        <w:tc>
          <w:tcPr>
            <w:tcW w:w="799" w:type="dxa"/>
            <w:shd w:val="clear" w:color="auto" w:fill="auto"/>
            <w:noWrap/>
            <w:vAlign w:val="center"/>
          </w:tcPr>
          <w:p w14:paraId="73F30D5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noWrap/>
            <w:vAlign w:val="center"/>
          </w:tcPr>
          <w:p w14:paraId="4E53312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1360</w:t>
            </w:r>
          </w:p>
        </w:tc>
        <w:tc>
          <w:tcPr>
            <w:tcW w:w="798" w:type="dxa"/>
            <w:shd w:val="clear" w:color="auto" w:fill="auto"/>
            <w:noWrap/>
            <w:vAlign w:val="center"/>
          </w:tcPr>
          <w:p w14:paraId="68914C5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860</w:t>
            </w:r>
          </w:p>
        </w:tc>
        <w:tc>
          <w:tcPr>
            <w:tcW w:w="798" w:type="dxa"/>
            <w:shd w:val="clear" w:color="auto" w:fill="auto"/>
            <w:noWrap/>
            <w:vAlign w:val="center"/>
          </w:tcPr>
          <w:p w14:paraId="292B18D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856</w:t>
            </w:r>
          </w:p>
        </w:tc>
        <w:tc>
          <w:tcPr>
            <w:tcW w:w="798" w:type="dxa"/>
            <w:shd w:val="clear" w:color="auto" w:fill="auto"/>
            <w:noWrap/>
            <w:vAlign w:val="center"/>
          </w:tcPr>
          <w:p w14:paraId="7564215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753</w:t>
            </w:r>
          </w:p>
        </w:tc>
        <w:tc>
          <w:tcPr>
            <w:tcW w:w="798" w:type="dxa"/>
            <w:shd w:val="clear" w:color="auto" w:fill="auto"/>
            <w:noWrap/>
            <w:vAlign w:val="center"/>
          </w:tcPr>
          <w:p w14:paraId="1D607D9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753</w:t>
            </w:r>
          </w:p>
        </w:tc>
        <w:tc>
          <w:tcPr>
            <w:tcW w:w="798" w:type="dxa"/>
            <w:shd w:val="clear" w:color="auto" w:fill="auto"/>
            <w:noWrap/>
            <w:vAlign w:val="center"/>
          </w:tcPr>
          <w:p w14:paraId="19BE17E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632</w:t>
            </w:r>
          </w:p>
        </w:tc>
        <w:tc>
          <w:tcPr>
            <w:tcW w:w="798" w:type="dxa"/>
            <w:shd w:val="clear" w:color="auto" w:fill="auto"/>
            <w:noWrap/>
            <w:vAlign w:val="center"/>
          </w:tcPr>
          <w:p w14:paraId="2CA7551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632</w:t>
            </w:r>
          </w:p>
        </w:tc>
        <w:tc>
          <w:tcPr>
            <w:tcW w:w="798" w:type="dxa"/>
            <w:shd w:val="clear" w:color="auto" w:fill="auto"/>
            <w:noWrap/>
            <w:vAlign w:val="center"/>
          </w:tcPr>
          <w:p w14:paraId="2A78A70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shd w:val="clear" w:color="auto" w:fill="auto"/>
            <w:noWrap/>
            <w:vAlign w:val="center"/>
          </w:tcPr>
          <w:p w14:paraId="71AC968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0</w:t>
            </w:r>
          </w:p>
        </w:tc>
        <w:tc>
          <w:tcPr>
            <w:tcW w:w="798" w:type="dxa"/>
            <w:shd w:val="clear" w:color="auto" w:fill="auto"/>
            <w:noWrap/>
            <w:vAlign w:val="center"/>
          </w:tcPr>
          <w:p w14:paraId="0518855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566</w:t>
            </w:r>
          </w:p>
        </w:tc>
        <w:tc>
          <w:tcPr>
            <w:tcW w:w="790" w:type="dxa"/>
            <w:shd w:val="clear" w:color="auto" w:fill="auto"/>
            <w:noWrap/>
            <w:vAlign w:val="center"/>
          </w:tcPr>
          <w:p w14:paraId="18C0975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865</w:t>
            </w:r>
          </w:p>
        </w:tc>
      </w:tr>
      <w:tr w:rsidR="00235309" w:rsidRPr="00765F6E" w14:paraId="123C371B" w14:textId="77777777" w:rsidTr="00871D47">
        <w:trPr>
          <w:trHeight w:val="176"/>
          <w:jc w:val="center"/>
        </w:trPr>
        <w:tc>
          <w:tcPr>
            <w:tcW w:w="799" w:type="dxa"/>
            <w:shd w:val="clear" w:color="auto" w:fill="auto"/>
            <w:noWrap/>
            <w:vAlign w:val="center"/>
          </w:tcPr>
          <w:p w14:paraId="2195E40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0E5ADD7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798" w:type="dxa"/>
            <w:shd w:val="clear" w:color="auto" w:fill="auto"/>
            <w:noWrap/>
            <w:vAlign w:val="center"/>
          </w:tcPr>
          <w:p w14:paraId="4EEF7CD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798" w:type="dxa"/>
            <w:shd w:val="clear" w:color="auto" w:fill="auto"/>
            <w:noWrap/>
            <w:vAlign w:val="center"/>
          </w:tcPr>
          <w:p w14:paraId="5495370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w:t>
            </w:r>
          </w:p>
        </w:tc>
        <w:tc>
          <w:tcPr>
            <w:tcW w:w="798" w:type="dxa"/>
            <w:shd w:val="clear" w:color="auto" w:fill="auto"/>
            <w:noWrap/>
            <w:vAlign w:val="center"/>
          </w:tcPr>
          <w:p w14:paraId="7B6D934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w:t>
            </w:r>
            <w:r w:rsidRPr="00765F6E">
              <w:rPr>
                <w:rFonts w:ascii="宋体" w:hAnsi="宋体" w:cs="宋体" w:hint="eastAsia"/>
                <w:kern w:val="0"/>
                <w:sz w:val="18"/>
                <w:szCs w:val="18"/>
              </w:rPr>
              <w:t>18</w:t>
            </w:r>
          </w:p>
        </w:tc>
        <w:tc>
          <w:tcPr>
            <w:tcW w:w="798" w:type="dxa"/>
            <w:shd w:val="clear" w:color="auto" w:fill="auto"/>
            <w:noWrap/>
            <w:vAlign w:val="center"/>
          </w:tcPr>
          <w:p w14:paraId="35B74B4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w:t>
            </w:r>
            <w:r w:rsidRPr="00765F6E">
              <w:rPr>
                <w:rFonts w:ascii="宋体" w:hAnsi="宋体" w:cs="宋体" w:hint="eastAsia"/>
                <w:kern w:val="0"/>
                <w:sz w:val="18"/>
                <w:szCs w:val="18"/>
              </w:rPr>
              <w:t>66</w:t>
            </w:r>
          </w:p>
        </w:tc>
        <w:tc>
          <w:tcPr>
            <w:tcW w:w="798" w:type="dxa"/>
            <w:shd w:val="clear" w:color="auto" w:fill="auto"/>
            <w:noWrap/>
            <w:vAlign w:val="center"/>
          </w:tcPr>
          <w:p w14:paraId="53CED54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-66</w:t>
            </w:r>
          </w:p>
        </w:tc>
        <w:tc>
          <w:tcPr>
            <w:tcW w:w="798" w:type="dxa"/>
            <w:shd w:val="clear" w:color="auto" w:fill="auto"/>
            <w:noWrap/>
            <w:vAlign w:val="center"/>
          </w:tcPr>
          <w:p w14:paraId="40D7F3E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w:t>
            </w:r>
          </w:p>
        </w:tc>
        <w:tc>
          <w:tcPr>
            <w:tcW w:w="798" w:type="dxa"/>
            <w:shd w:val="clear" w:color="auto" w:fill="auto"/>
            <w:noWrap/>
            <w:vAlign w:val="center"/>
          </w:tcPr>
          <w:p w14:paraId="37B3F3B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31</w:t>
            </w:r>
          </w:p>
        </w:tc>
        <w:tc>
          <w:tcPr>
            <w:tcW w:w="798" w:type="dxa"/>
            <w:shd w:val="clear" w:color="auto" w:fill="auto"/>
            <w:noWrap/>
            <w:vAlign w:val="center"/>
          </w:tcPr>
          <w:p w14:paraId="0D9908A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r w:rsidRPr="00765F6E">
              <w:rPr>
                <w:rFonts w:ascii="宋体" w:hAnsi="宋体" w:cs="宋体"/>
                <w:kern w:val="0"/>
                <w:sz w:val="18"/>
                <w:szCs w:val="18"/>
              </w:rPr>
              <w:t>094</w:t>
            </w:r>
          </w:p>
        </w:tc>
        <w:tc>
          <w:tcPr>
            <w:tcW w:w="798" w:type="dxa"/>
            <w:shd w:val="clear" w:color="auto" w:fill="auto"/>
            <w:noWrap/>
            <w:vAlign w:val="center"/>
          </w:tcPr>
          <w:p w14:paraId="42EC997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r w:rsidRPr="00765F6E">
              <w:rPr>
                <w:rFonts w:ascii="宋体" w:hAnsi="宋体" w:cs="宋体"/>
                <w:kern w:val="0"/>
                <w:sz w:val="18"/>
                <w:szCs w:val="18"/>
              </w:rPr>
              <w:t>094</w:t>
            </w:r>
          </w:p>
        </w:tc>
        <w:tc>
          <w:tcPr>
            <w:tcW w:w="790" w:type="dxa"/>
            <w:shd w:val="clear" w:color="auto" w:fill="auto"/>
            <w:noWrap/>
            <w:vAlign w:val="center"/>
          </w:tcPr>
          <w:p w14:paraId="09C97FE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r w:rsidRPr="00765F6E">
              <w:rPr>
                <w:rFonts w:ascii="宋体" w:hAnsi="宋体" w:cs="宋体"/>
                <w:kern w:val="0"/>
                <w:sz w:val="18"/>
                <w:szCs w:val="18"/>
              </w:rPr>
              <w:t>075</w:t>
            </w:r>
          </w:p>
        </w:tc>
      </w:tr>
      <w:tr w:rsidR="00235309" w:rsidRPr="00765F6E" w14:paraId="4DEB56CC" w14:textId="77777777" w:rsidTr="00871D47">
        <w:trPr>
          <w:trHeight w:val="176"/>
          <w:jc w:val="center"/>
        </w:trPr>
        <w:tc>
          <w:tcPr>
            <w:tcW w:w="799" w:type="dxa"/>
            <w:shd w:val="clear" w:color="auto" w:fill="auto"/>
            <w:noWrap/>
            <w:vAlign w:val="center"/>
          </w:tcPr>
          <w:p w14:paraId="2B1AC22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noWrap/>
            <w:vAlign w:val="center"/>
          </w:tcPr>
          <w:p w14:paraId="3C97269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3</w:t>
            </w:r>
            <w:r w:rsidRPr="00765F6E">
              <w:rPr>
                <w:rFonts w:ascii="宋体" w:hAnsi="宋体" w:cs="宋体" w:hint="eastAsia"/>
                <w:kern w:val="0"/>
                <w:sz w:val="18"/>
                <w:szCs w:val="18"/>
              </w:rPr>
              <w:t>a″</w:t>
            </w:r>
          </w:p>
        </w:tc>
        <w:tc>
          <w:tcPr>
            <w:tcW w:w="798" w:type="dxa"/>
            <w:shd w:val="clear" w:color="auto" w:fill="auto"/>
            <w:noWrap/>
            <w:vAlign w:val="center"/>
          </w:tcPr>
          <w:p w14:paraId="0DB123B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4</w:t>
            </w:r>
            <w:r w:rsidRPr="00765F6E">
              <w:rPr>
                <w:rFonts w:ascii="宋体" w:hAnsi="宋体" w:cs="宋体" w:hint="eastAsia"/>
                <w:kern w:val="0"/>
                <w:sz w:val="18"/>
                <w:szCs w:val="18"/>
              </w:rPr>
              <w:t>a″</w:t>
            </w:r>
          </w:p>
        </w:tc>
        <w:tc>
          <w:tcPr>
            <w:tcW w:w="798" w:type="dxa"/>
            <w:shd w:val="clear" w:color="auto" w:fill="auto"/>
            <w:noWrap/>
            <w:vAlign w:val="center"/>
          </w:tcPr>
          <w:p w14:paraId="5FB3CC5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0b</w:t>
            </w:r>
            <w:r w:rsidRPr="00765F6E">
              <w:rPr>
                <w:rFonts w:ascii="宋体" w:hAnsi="宋体" w:cs="宋体" w:hint="eastAsia"/>
                <w:kern w:val="0"/>
                <w:sz w:val="18"/>
                <w:szCs w:val="18"/>
              </w:rPr>
              <w:t>″</w:t>
            </w:r>
          </w:p>
        </w:tc>
        <w:tc>
          <w:tcPr>
            <w:tcW w:w="798" w:type="dxa"/>
            <w:shd w:val="clear" w:color="auto" w:fill="auto"/>
            <w:noWrap/>
            <w:vAlign w:val="center"/>
          </w:tcPr>
          <w:p w14:paraId="0FB2190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w:t>
            </w:r>
            <w:r w:rsidRPr="00765F6E">
              <w:rPr>
                <w:rFonts w:ascii="宋体" w:hAnsi="宋体" w:cs="宋体" w:hint="eastAsia"/>
                <w:kern w:val="0"/>
                <w:sz w:val="18"/>
                <w:szCs w:val="18"/>
              </w:rPr>
              <w:t>b″</w:t>
            </w:r>
          </w:p>
        </w:tc>
        <w:tc>
          <w:tcPr>
            <w:tcW w:w="798" w:type="dxa"/>
            <w:shd w:val="clear" w:color="auto" w:fill="auto"/>
            <w:noWrap/>
            <w:vAlign w:val="center"/>
          </w:tcPr>
          <w:p w14:paraId="3E7777C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2</w:t>
            </w:r>
            <w:r w:rsidRPr="00765F6E">
              <w:rPr>
                <w:rFonts w:ascii="宋体" w:hAnsi="宋体" w:cs="宋体" w:hint="eastAsia"/>
                <w:kern w:val="0"/>
                <w:sz w:val="18"/>
                <w:szCs w:val="18"/>
              </w:rPr>
              <w:t>b″</w:t>
            </w:r>
          </w:p>
        </w:tc>
        <w:tc>
          <w:tcPr>
            <w:tcW w:w="798" w:type="dxa"/>
            <w:shd w:val="clear" w:color="auto" w:fill="auto"/>
            <w:noWrap/>
            <w:vAlign w:val="center"/>
          </w:tcPr>
          <w:p w14:paraId="083A599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3</w:t>
            </w:r>
            <w:r w:rsidRPr="00765F6E">
              <w:rPr>
                <w:rFonts w:ascii="宋体" w:hAnsi="宋体" w:cs="宋体" w:hint="eastAsia"/>
                <w:kern w:val="0"/>
                <w:sz w:val="18"/>
                <w:szCs w:val="18"/>
              </w:rPr>
              <w:t>b″</w:t>
            </w:r>
          </w:p>
        </w:tc>
        <w:tc>
          <w:tcPr>
            <w:tcW w:w="798" w:type="dxa"/>
            <w:shd w:val="clear" w:color="auto" w:fill="auto"/>
            <w:noWrap/>
            <w:vAlign w:val="center"/>
          </w:tcPr>
          <w:p w14:paraId="418BE95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r w:rsidRPr="00765F6E">
              <w:rPr>
                <w:rFonts w:ascii="宋体" w:hAnsi="宋体" w:cs="宋体"/>
                <w:kern w:val="0"/>
                <w:sz w:val="18"/>
                <w:szCs w:val="18"/>
              </w:rPr>
              <w:t>b</w:t>
            </w:r>
            <w:r w:rsidRPr="00765F6E">
              <w:rPr>
                <w:rFonts w:ascii="宋体" w:hAnsi="宋体" w:cs="宋体" w:hint="eastAsia"/>
                <w:kern w:val="0"/>
                <w:sz w:val="18"/>
                <w:szCs w:val="18"/>
              </w:rPr>
              <w:t>″</w:t>
            </w:r>
          </w:p>
        </w:tc>
        <w:tc>
          <w:tcPr>
            <w:tcW w:w="798" w:type="dxa"/>
            <w:shd w:val="clear" w:color="auto" w:fill="auto"/>
            <w:noWrap/>
            <w:vAlign w:val="center"/>
          </w:tcPr>
          <w:p w14:paraId="2F82C51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46D0803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47D47F6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shd w:val="clear" w:color="auto" w:fill="auto"/>
            <w:noWrap/>
            <w:vAlign w:val="center"/>
          </w:tcPr>
          <w:p w14:paraId="3E29353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167FD369" w14:textId="77777777" w:rsidTr="00871D47">
        <w:trPr>
          <w:trHeight w:val="176"/>
          <w:jc w:val="center"/>
        </w:trPr>
        <w:tc>
          <w:tcPr>
            <w:tcW w:w="799" w:type="dxa"/>
            <w:shd w:val="clear" w:color="auto" w:fill="auto"/>
            <w:noWrap/>
            <w:vAlign w:val="center"/>
          </w:tcPr>
          <w:p w14:paraId="586DA57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noWrap/>
            <w:vAlign w:val="center"/>
          </w:tcPr>
          <w:p w14:paraId="017128B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951</w:t>
            </w:r>
          </w:p>
        </w:tc>
        <w:tc>
          <w:tcPr>
            <w:tcW w:w="798" w:type="dxa"/>
            <w:shd w:val="clear" w:color="auto" w:fill="auto"/>
            <w:noWrap/>
            <w:vAlign w:val="center"/>
          </w:tcPr>
          <w:p w14:paraId="6D33923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1113</w:t>
            </w:r>
          </w:p>
        </w:tc>
        <w:tc>
          <w:tcPr>
            <w:tcW w:w="798" w:type="dxa"/>
            <w:shd w:val="clear" w:color="auto" w:fill="auto"/>
            <w:noWrap/>
            <w:vAlign w:val="center"/>
          </w:tcPr>
          <w:p w14:paraId="6E7D992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0</w:t>
            </w:r>
          </w:p>
        </w:tc>
        <w:tc>
          <w:tcPr>
            <w:tcW w:w="798" w:type="dxa"/>
            <w:shd w:val="clear" w:color="auto" w:fill="auto"/>
            <w:noWrap/>
            <w:vAlign w:val="center"/>
          </w:tcPr>
          <w:p w14:paraId="636A647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kern w:val="0"/>
                <w:sz w:val="18"/>
                <w:szCs w:val="18"/>
              </w:rPr>
              <w:t>538</w:t>
            </w:r>
          </w:p>
        </w:tc>
        <w:tc>
          <w:tcPr>
            <w:tcW w:w="798" w:type="dxa"/>
            <w:shd w:val="clear" w:color="auto" w:fill="auto"/>
            <w:noWrap/>
            <w:vAlign w:val="center"/>
          </w:tcPr>
          <w:p w14:paraId="039DBCB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r w:rsidRPr="00765F6E">
              <w:rPr>
                <w:rFonts w:ascii="宋体" w:hAnsi="宋体" w:cs="宋体"/>
                <w:kern w:val="0"/>
                <w:sz w:val="18"/>
                <w:szCs w:val="18"/>
              </w:rPr>
              <w:t>37</w:t>
            </w:r>
          </w:p>
        </w:tc>
        <w:tc>
          <w:tcPr>
            <w:tcW w:w="798" w:type="dxa"/>
            <w:shd w:val="clear" w:color="auto" w:fill="auto"/>
            <w:noWrap/>
            <w:vAlign w:val="center"/>
          </w:tcPr>
          <w:p w14:paraId="555E9AB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w:t>
            </w:r>
            <w:r w:rsidRPr="00765F6E">
              <w:rPr>
                <w:rFonts w:ascii="宋体" w:hAnsi="宋体" w:cs="宋体"/>
                <w:kern w:val="0"/>
                <w:sz w:val="18"/>
                <w:szCs w:val="18"/>
              </w:rPr>
              <w:t>23</w:t>
            </w:r>
          </w:p>
        </w:tc>
        <w:tc>
          <w:tcPr>
            <w:tcW w:w="798" w:type="dxa"/>
            <w:shd w:val="clear" w:color="auto" w:fill="auto"/>
            <w:noWrap/>
            <w:vAlign w:val="center"/>
          </w:tcPr>
          <w:p w14:paraId="29633D1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085</w:t>
            </w:r>
          </w:p>
        </w:tc>
        <w:tc>
          <w:tcPr>
            <w:tcW w:w="798" w:type="dxa"/>
            <w:shd w:val="clear" w:color="auto" w:fill="auto"/>
            <w:noWrap/>
            <w:vAlign w:val="center"/>
          </w:tcPr>
          <w:p w14:paraId="5F2AB16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03E4C2C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7A10A6D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shd w:val="clear" w:color="auto" w:fill="auto"/>
            <w:noWrap/>
            <w:vAlign w:val="center"/>
          </w:tcPr>
          <w:p w14:paraId="6BDCF3B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01AAF326" w14:textId="77777777" w:rsidTr="00871D47">
        <w:trPr>
          <w:trHeight w:val="176"/>
          <w:jc w:val="center"/>
        </w:trPr>
        <w:tc>
          <w:tcPr>
            <w:tcW w:w="799" w:type="dxa"/>
            <w:tcBorders>
              <w:bottom w:val="single" w:sz="8" w:space="0" w:color="auto"/>
            </w:tcBorders>
            <w:shd w:val="clear" w:color="auto" w:fill="auto"/>
            <w:noWrap/>
            <w:vAlign w:val="center"/>
          </w:tcPr>
          <w:p w14:paraId="40DE21B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tcBorders>
              <w:bottom w:val="single" w:sz="8" w:space="0" w:color="auto"/>
            </w:tcBorders>
            <w:shd w:val="clear" w:color="auto" w:fill="auto"/>
            <w:noWrap/>
            <w:vAlign w:val="center"/>
          </w:tcPr>
          <w:p w14:paraId="24C0104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r w:rsidRPr="00765F6E">
              <w:rPr>
                <w:rFonts w:ascii="宋体" w:hAnsi="宋体" w:cs="宋体"/>
                <w:kern w:val="0"/>
                <w:sz w:val="18"/>
                <w:szCs w:val="18"/>
              </w:rPr>
              <w:t>039</w:t>
            </w:r>
          </w:p>
        </w:tc>
        <w:tc>
          <w:tcPr>
            <w:tcW w:w="798" w:type="dxa"/>
            <w:tcBorders>
              <w:bottom w:val="single" w:sz="8" w:space="0" w:color="auto"/>
            </w:tcBorders>
            <w:shd w:val="clear" w:color="auto" w:fill="auto"/>
            <w:noWrap/>
            <w:vAlign w:val="center"/>
          </w:tcPr>
          <w:p w14:paraId="773DEA8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r w:rsidRPr="00765F6E">
              <w:rPr>
                <w:rFonts w:ascii="宋体" w:hAnsi="宋体" w:cs="宋体"/>
                <w:kern w:val="0"/>
                <w:sz w:val="18"/>
                <w:szCs w:val="18"/>
              </w:rPr>
              <w:t>897</w:t>
            </w:r>
          </w:p>
        </w:tc>
        <w:tc>
          <w:tcPr>
            <w:tcW w:w="798" w:type="dxa"/>
            <w:tcBorders>
              <w:bottom w:val="single" w:sz="8" w:space="0" w:color="auto"/>
            </w:tcBorders>
            <w:shd w:val="clear" w:color="auto" w:fill="auto"/>
            <w:noWrap/>
            <w:vAlign w:val="center"/>
          </w:tcPr>
          <w:p w14:paraId="1D5B42B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r w:rsidRPr="00765F6E">
              <w:rPr>
                <w:rFonts w:ascii="宋体" w:hAnsi="宋体" w:cs="宋体"/>
                <w:kern w:val="0"/>
                <w:sz w:val="18"/>
                <w:szCs w:val="18"/>
              </w:rPr>
              <w:t>494</w:t>
            </w:r>
          </w:p>
        </w:tc>
        <w:tc>
          <w:tcPr>
            <w:tcW w:w="798" w:type="dxa"/>
            <w:tcBorders>
              <w:bottom w:val="single" w:sz="8" w:space="0" w:color="auto"/>
            </w:tcBorders>
            <w:shd w:val="clear" w:color="auto" w:fill="auto"/>
            <w:noWrap/>
            <w:vAlign w:val="center"/>
          </w:tcPr>
          <w:p w14:paraId="511B421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r w:rsidRPr="00765F6E">
              <w:rPr>
                <w:rFonts w:ascii="宋体" w:hAnsi="宋体" w:cs="宋体"/>
                <w:kern w:val="0"/>
                <w:sz w:val="18"/>
                <w:szCs w:val="18"/>
              </w:rPr>
              <w:t>494</w:t>
            </w:r>
          </w:p>
        </w:tc>
        <w:tc>
          <w:tcPr>
            <w:tcW w:w="798" w:type="dxa"/>
            <w:tcBorders>
              <w:bottom w:val="single" w:sz="8" w:space="0" w:color="auto"/>
            </w:tcBorders>
            <w:shd w:val="clear" w:color="auto" w:fill="auto"/>
            <w:noWrap/>
            <w:vAlign w:val="center"/>
          </w:tcPr>
          <w:p w14:paraId="1DC4585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r w:rsidRPr="00765F6E">
              <w:rPr>
                <w:rFonts w:ascii="宋体" w:hAnsi="宋体" w:cs="宋体"/>
                <w:kern w:val="0"/>
                <w:sz w:val="18"/>
                <w:szCs w:val="18"/>
              </w:rPr>
              <w:t>475</w:t>
            </w:r>
          </w:p>
        </w:tc>
        <w:tc>
          <w:tcPr>
            <w:tcW w:w="798" w:type="dxa"/>
            <w:tcBorders>
              <w:bottom w:val="single" w:sz="8" w:space="0" w:color="auto"/>
            </w:tcBorders>
            <w:shd w:val="clear" w:color="auto" w:fill="auto"/>
            <w:noWrap/>
            <w:vAlign w:val="center"/>
          </w:tcPr>
          <w:p w14:paraId="107E84A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r w:rsidRPr="00765F6E">
              <w:rPr>
                <w:rFonts w:ascii="宋体" w:hAnsi="宋体" w:cs="宋体"/>
                <w:kern w:val="0"/>
                <w:sz w:val="18"/>
                <w:szCs w:val="18"/>
              </w:rPr>
              <w:t>439</w:t>
            </w:r>
          </w:p>
        </w:tc>
        <w:tc>
          <w:tcPr>
            <w:tcW w:w="798" w:type="dxa"/>
            <w:tcBorders>
              <w:bottom w:val="single" w:sz="8" w:space="0" w:color="auto"/>
            </w:tcBorders>
            <w:shd w:val="clear" w:color="auto" w:fill="auto"/>
            <w:noWrap/>
            <w:vAlign w:val="center"/>
          </w:tcPr>
          <w:p w14:paraId="60B3121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r w:rsidRPr="00765F6E">
              <w:rPr>
                <w:rFonts w:ascii="宋体" w:hAnsi="宋体" w:cs="宋体"/>
                <w:kern w:val="0"/>
                <w:sz w:val="18"/>
                <w:szCs w:val="18"/>
              </w:rPr>
              <w:t>297</w:t>
            </w:r>
          </w:p>
        </w:tc>
        <w:tc>
          <w:tcPr>
            <w:tcW w:w="798" w:type="dxa"/>
            <w:tcBorders>
              <w:bottom w:val="single" w:sz="8" w:space="0" w:color="auto"/>
            </w:tcBorders>
            <w:shd w:val="clear" w:color="auto" w:fill="auto"/>
            <w:noWrap/>
            <w:vAlign w:val="center"/>
          </w:tcPr>
          <w:p w14:paraId="50C9008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bottom w:val="single" w:sz="8" w:space="0" w:color="auto"/>
            </w:tcBorders>
            <w:shd w:val="clear" w:color="auto" w:fill="auto"/>
            <w:noWrap/>
            <w:vAlign w:val="center"/>
          </w:tcPr>
          <w:p w14:paraId="4A24FEA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bottom w:val="single" w:sz="8" w:space="0" w:color="auto"/>
            </w:tcBorders>
            <w:shd w:val="clear" w:color="auto" w:fill="auto"/>
            <w:noWrap/>
            <w:vAlign w:val="center"/>
          </w:tcPr>
          <w:p w14:paraId="084AF3F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tcBorders>
              <w:bottom w:val="single" w:sz="8" w:space="0" w:color="auto"/>
            </w:tcBorders>
            <w:shd w:val="clear" w:color="auto" w:fill="auto"/>
            <w:noWrap/>
            <w:vAlign w:val="center"/>
          </w:tcPr>
          <w:p w14:paraId="3E7DF84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7A5EDA9E" w14:textId="77777777" w:rsidTr="00871D47">
        <w:trPr>
          <w:trHeight w:val="176"/>
          <w:jc w:val="center"/>
        </w:trPr>
        <w:tc>
          <w:tcPr>
            <w:tcW w:w="9570" w:type="dxa"/>
            <w:gridSpan w:val="12"/>
            <w:tcBorders>
              <w:top w:val="single" w:sz="8" w:space="0" w:color="auto"/>
              <w:bottom w:val="single" w:sz="8" w:space="0" w:color="auto"/>
            </w:tcBorders>
            <w:shd w:val="clear" w:color="auto" w:fill="auto"/>
            <w:vAlign w:val="center"/>
          </w:tcPr>
          <w:p w14:paraId="163E9821" w14:textId="6819AE44" w:rsidR="00235309" w:rsidRPr="00765F6E" w:rsidRDefault="00235309" w:rsidP="00235309">
            <w:pPr>
              <w:pStyle w:val="afff2"/>
              <w:ind w:left="584"/>
            </w:pPr>
            <w:r w:rsidRPr="00765F6E">
              <w:t>0a</w:t>
            </w:r>
            <w:r w:rsidRPr="00765F6E">
              <w:t>″</w:t>
            </w:r>
            <w:r w:rsidR="00396F4E">
              <w:rPr>
                <w:rFonts w:hAnsi="宋体" w:hint="eastAsia"/>
              </w:rPr>
              <w:t>～</w:t>
            </w:r>
            <w:r w:rsidRPr="00765F6E">
              <w:t>4a</w:t>
            </w:r>
            <w:r w:rsidRPr="00765F6E">
              <w:t>″</w:t>
            </w:r>
            <w:r w:rsidRPr="00765F6E">
              <w:t>为升弓高度5000mm受电弓设备限界，0b</w:t>
            </w:r>
            <w:r w:rsidRPr="00765F6E">
              <w:t>″</w:t>
            </w:r>
            <w:r w:rsidR="00396F4E">
              <w:rPr>
                <w:rFonts w:hAnsi="宋体" w:hint="eastAsia"/>
              </w:rPr>
              <w:t>～</w:t>
            </w:r>
            <w:r w:rsidRPr="00765F6E">
              <w:t>4b</w:t>
            </w:r>
            <w:r w:rsidRPr="00765F6E">
              <w:t>″</w:t>
            </w:r>
            <w:r w:rsidRPr="00765F6E">
              <w:t>为升弓高度4400mm受电弓设备限界。</w:t>
            </w:r>
          </w:p>
        </w:tc>
      </w:tr>
    </w:tbl>
    <w:p w14:paraId="23F5CBD2" w14:textId="77777777" w:rsidR="00235309" w:rsidRPr="00765F6E" w:rsidRDefault="00235309" w:rsidP="00235309">
      <w:pPr>
        <w:pStyle w:val="affffb"/>
        <w:spacing w:before="120" w:after="120"/>
        <w:ind w:firstLine="420"/>
        <w:sectPr w:rsidR="00235309" w:rsidRPr="00765F6E" w:rsidSect="000A5A1C">
          <w:headerReference w:type="even" r:id="rId98"/>
          <w:headerReference w:type="default" r:id="rId99"/>
          <w:footerReference w:type="even" r:id="rId100"/>
          <w:footerReference w:type="default" r:id="rId101"/>
          <w:pgSz w:w="11906" w:h="16838"/>
          <w:pgMar w:top="1928" w:right="1134" w:bottom="1134" w:left="1134" w:header="1418" w:footer="1134" w:gutter="284"/>
          <w:cols w:space="425"/>
          <w:formProt w:val="0"/>
          <w:docGrid w:linePitch="312"/>
        </w:sectPr>
      </w:pPr>
    </w:p>
    <w:p w14:paraId="27990AD6" w14:textId="77777777" w:rsidR="00235309" w:rsidRPr="00765F6E" w:rsidRDefault="00235309" w:rsidP="00235309">
      <w:pPr>
        <w:pStyle w:val="af9"/>
        <w:rPr>
          <w:vanish w:val="0"/>
        </w:rPr>
      </w:pPr>
    </w:p>
    <w:p w14:paraId="35417B86" w14:textId="77777777" w:rsidR="00235309" w:rsidRPr="00765F6E" w:rsidRDefault="00235309" w:rsidP="00235309">
      <w:pPr>
        <w:pStyle w:val="aff"/>
        <w:rPr>
          <w:vanish w:val="0"/>
        </w:rPr>
      </w:pPr>
    </w:p>
    <w:p w14:paraId="2C2C9DF8" w14:textId="77777777" w:rsidR="00235309" w:rsidRPr="00765F6E" w:rsidRDefault="00235309" w:rsidP="00825942">
      <w:pPr>
        <w:pStyle w:val="aff4"/>
        <w:spacing w:beforeLines="100" w:before="240" w:after="120"/>
        <w:ind w:left="420"/>
        <w:outlineLvl w:val="9"/>
      </w:pPr>
      <w:r w:rsidRPr="00765F6E">
        <w:br/>
      </w:r>
      <w:bookmarkStart w:id="3908" w:name="_Toc153211039"/>
      <w:bookmarkStart w:id="3909" w:name="_Toc153292572"/>
      <w:bookmarkStart w:id="3910" w:name="_Toc167895937"/>
      <w:bookmarkStart w:id="3911" w:name="_Toc182476627"/>
      <w:r w:rsidRPr="00765F6E">
        <w:rPr>
          <w:rFonts w:hint="eastAsia"/>
        </w:rPr>
        <w:t>（规范性）</w:t>
      </w:r>
      <w:r w:rsidRPr="00765F6E">
        <w:br/>
      </w:r>
      <w:bookmarkStart w:id="3912" w:name="_Toc99793118"/>
      <w:bookmarkStart w:id="3913" w:name="_Toc144308209"/>
      <w:r w:rsidRPr="00765F6E">
        <w:rPr>
          <w:rFonts w:hint="eastAsia"/>
        </w:rPr>
        <w:t>市域C、D型车车辆轮廓线、车辆限界及设备限界</w:t>
      </w:r>
      <w:bookmarkEnd w:id="3908"/>
      <w:bookmarkEnd w:id="3909"/>
      <w:bookmarkEnd w:id="3910"/>
      <w:bookmarkEnd w:id="3911"/>
      <w:bookmarkEnd w:id="3912"/>
      <w:bookmarkEnd w:id="3913"/>
    </w:p>
    <w:p w14:paraId="46B50836" w14:textId="78FF4D6F" w:rsidR="00235309" w:rsidRPr="00765F6E" w:rsidRDefault="00235309" w:rsidP="00235309">
      <w:pPr>
        <w:pStyle w:val="aff5"/>
        <w:spacing w:before="120" w:after="120"/>
        <w:ind w:firstLine="360"/>
        <w:outlineLvl w:val="9"/>
        <w:rPr>
          <w:rFonts w:ascii="宋体" w:eastAsia="宋体" w:hAnsi="宋体"/>
        </w:rPr>
      </w:pPr>
      <w:bookmarkStart w:id="3914" w:name="_Toc152659886"/>
      <w:bookmarkStart w:id="3915" w:name="_Toc99801262"/>
      <w:bookmarkStart w:id="3916" w:name="_Toc99793119"/>
      <w:bookmarkStart w:id="3917" w:name="_Toc164068565"/>
      <w:bookmarkStart w:id="3918" w:name="_Toc153211040"/>
      <w:bookmarkStart w:id="3919" w:name="_Toc153292573"/>
      <w:bookmarkStart w:id="3920" w:name="_Toc167895938"/>
      <w:bookmarkStart w:id="3921" w:name="_Toc174539459"/>
      <w:bookmarkStart w:id="3922" w:name="_Toc174553594"/>
      <w:bookmarkStart w:id="3923" w:name="_Toc180759216"/>
      <w:bookmarkStart w:id="3924" w:name="_Toc181266628"/>
      <w:bookmarkStart w:id="3925" w:name="_Toc182409848"/>
      <w:bookmarkStart w:id="3926" w:name="_Toc182476628"/>
      <w:r w:rsidRPr="00765F6E">
        <w:rPr>
          <w:rFonts w:ascii="宋体" w:eastAsia="宋体" w:hAnsi="宋体" w:hint="eastAsia"/>
        </w:rPr>
        <w:t>市域C、D型车车辆轮廓线、车辆限界和设备限界图</w:t>
      </w:r>
      <w:r w:rsidR="0049668C">
        <w:rPr>
          <w:rFonts w:ascii="宋体" w:eastAsia="宋体" w:hAnsi="宋体" w:hint="eastAsia"/>
        </w:rPr>
        <w:t>应符合</w:t>
      </w:r>
      <w:r w:rsidRPr="00765F6E">
        <w:rPr>
          <w:rFonts w:ascii="宋体" w:eastAsia="宋体" w:hAnsi="宋体" w:hint="eastAsia"/>
        </w:rPr>
        <w:t>图E.1，</w:t>
      </w:r>
      <w:r>
        <w:rPr>
          <w:rFonts w:ascii="宋体" w:eastAsia="宋体" w:hAnsi="宋体" w:hint="eastAsia"/>
        </w:rPr>
        <w:t>轮廓坐标点和</w:t>
      </w:r>
      <w:r w:rsidRPr="00765F6E">
        <w:rPr>
          <w:rFonts w:ascii="宋体" w:eastAsia="宋体" w:hAnsi="宋体" w:hint="eastAsia"/>
        </w:rPr>
        <w:t>限界坐标点见表E.1～表E.3。</w:t>
      </w:r>
      <w:bookmarkEnd w:id="3914"/>
      <w:bookmarkEnd w:id="3915"/>
      <w:bookmarkEnd w:id="3916"/>
      <w:bookmarkEnd w:id="3917"/>
      <w:bookmarkEnd w:id="3918"/>
      <w:bookmarkEnd w:id="3919"/>
      <w:bookmarkEnd w:id="3920"/>
      <w:bookmarkEnd w:id="3921"/>
      <w:bookmarkEnd w:id="3922"/>
      <w:bookmarkEnd w:id="3923"/>
      <w:bookmarkEnd w:id="3924"/>
      <w:bookmarkEnd w:id="3925"/>
      <w:bookmarkEnd w:id="3926"/>
    </w:p>
    <w:p w14:paraId="52E586DE" w14:textId="5BED3E23" w:rsidR="00396CC5" w:rsidRDefault="00396CC5" w:rsidP="00235309">
      <w:pPr>
        <w:pStyle w:val="affffb"/>
        <w:spacing w:before="120" w:after="120"/>
        <w:ind w:firstLine="420"/>
        <w:jc w:val="center"/>
      </w:pPr>
    </w:p>
    <w:p w14:paraId="2A08E6A5" w14:textId="3C3F46D6" w:rsidR="00235309" w:rsidRPr="00765F6E" w:rsidRDefault="00BD2AA8" w:rsidP="00235309">
      <w:pPr>
        <w:pStyle w:val="affffb"/>
        <w:spacing w:before="120" w:after="120"/>
        <w:ind w:firstLine="420"/>
        <w:jc w:val="center"/>
      </w:pPr>
      <w:r>
        <w:drawing>
          <wp:inline distT="0" distB="0" distL="0" distR="0" wp14:anchorId="655BA975" wp14:editId="502BA841">
            <wp:extent cx="4978608" cy="675259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pic:nvPicPr>
                  <pic:blipFill rotWithShape="1">
                    <a:blip r:embed="rId102" cstate="print">
                      <a:extLst>
                        <a:ext uri="{28A0092B-C50C-407E-A947-70E740481C1C}">
                          <a14:useLocalDpi xmlns:a14="http://schemas.microsoft.com/office/drawing/2010/main" val="0"/>
                        </a:ext>
                      </a:extLst>
                    </a:blip>
                    <a:srcRect l="35780" t="26791" r="49136" b="20488"/>
                    <a:stretch/>
                  </pic:blipFill>
                  <pic:spPr bwMode="auto">
                    <a:xfrm>
                      <a:off x="0" y="0"/>
                      <a:ext cx="5032337" cy="6825464"/>
                    </a:xfrm>
                    <a:prstGeom prst="rect">
                      <a:avLst/>
                    </a:prstGeom>
                    <a:ln>
                      <a:noFill/>
                    </a:ln>
                    <a:extLst>
                      <a:ext uri="{53640926-AAD7-44D8-BBD7-CCE9431645EC}">
                        <a14:shadowObscured xmlns:a14="http://schemas.microsoft.com/office/drawing/2010/main"/>
                      </a:ext>
                    </a:extLst>
                  </pic:spPr>
                </pic:pic>
              </a:graphicData>
            </a:graphic>
          </wp:inline>
        </w:drawing>
      </w:r>
    </w:p>
    <w:p w14:paraId="3706777F" w14:textId="77777777" w:rsidR="00235309" w:rsidRPr="00765F6E" w:rsidRDefault="00235309" w:rsidP="00235309">
      <w:pPr>
        <w:pStyle w:val="afa"/>
        <w:spacing w:before="120" w:after="120"/>
      </w:pPr>
      <w:r w:rsidRPr="00765F6E">
        <w:rPr>
          <w:rFonts w:hint="eastAsia"/>
        </w:rPr>
        <w:t>市域C、</w:t>
      </w:r>
      <w:r w:rsidRPr="00765F6E">
        <w:t>D</w:t>
      </w:r>
      <w:r w:rsidRPr="00765F6E">
        <w:rPr>
          <w:rFonts w:hint="eastAsia"/>
        </w:rPr>
        <w:t>型车车辆轮廓图、车辆限界、设备限界</w:t>
      </w:r>
      <w:r w:rsidRPr="00765F6E">
        <w:br w:type="page"/>
      </w:r>
    </w:p>
    <w:p w14:paraId="70BFFB28" w14:textId="77777777" w:rsidR="00235309" w:rsidRPr="00765F6E" w:rsidRDefault="00235309" w:rsidP="00235309">
      <w:pPr>
        <w:pStyle w:val="aff0"/>
        <w:spacing w:before="120" w:after="120"/>
      </w:pPr>
      <w:r w:rsidRPr="00765F6E">
        <w:rPr>
          <w:rFonts w:hint="eastAsia"/>
        </w:rPr>
        <w:lastRenderedPageBreak/>
        <w:t>车辆轮廓坐标点</w:t>
      </w:r>
    </w:p>
    <w:p w14:paraId="101331DC"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r w:rsidRPr="00765F6E">
        <w:rPr>
          <w:rFonts w:asciiTheme="minorEastAsia" w:eastAsiaTheme="minorEastAsia" w:hAnsiTheme="minorEastAsia" w:hint="eastAsia"/>
          <w:sz w:val="18"/>
          <w:szCs w:val="18"/>
        </w:rPr>
        <w:t>单位为毫米</w:t>
      </w:r>
    </w:p>
    <w:tbl>
      <w:tblPr>
        <w:tblW w:w="9570" w:type="dxa"/>
        <w:jc w:val="center"/>
        <w:tblLayout w:type="fixed"/>
        <w:tblCellMar>
          <w:left w:w="0" w:type="dxa"/>
          <w:right w:w="0" w:type="dxa"/>
        </w:tblCellMar>
        <w:tblLook w:val="04A0" w:firstRow="1" w:lastRow="0" w:firstColumn="1" w:lastColumn="0" w:noHBand="0" w:noVBand="1"/>
      </w:tblPr>
      <w:tblGrid>
        <w:gridCol w:w="799"/>
        <w:gridCol w:w="799"/>
        <w:gridCol w:w="798"/>
        <w:gridCol w:w="798"/>
        <w:gridCol w:w="798"/>
        <w:gridCol w:w="798"/>
        <w:gridCol w:w="798"/>
        <w:gridCol w:w="798"/>
        <w:gridCol w:w="798"/>
        <w:gridCol w:w="798"/>
        <w:gridCol w:w="798"/>
        <w:gridCol w:w="790"/>
      </w:tblGrid>
      <w:tr w:rsidR="00235309" w:rsidRPr="00765F6E" w14:paraId="6A4695AB" w14:textId="77777777" w:rsidTr="00871D47">
        <w:trPr>
          <w:trHeight w:val="176"/>
          <w:jc w:val="center"/>
        </w:trPr>
        <w:tc>
          <w:tcPr>
            <w:tcW w:w="799" w:type="dxa"/>
            <w:tcBorders>
              <w:top w:val="single" w:sz="8" w:space="0" w:color="auto"/>
              <w:left w:val="single" w:sz="8" w:space="0" w:color="auto"/>
              <w:bottom w:val="single" w:sz="8" w:space="0" w:color="auto"/>
              <w:right w:val="single" w:sz="4" w:space="0" w:color="auto"/>
            </w:tcBorders>
            <w:shd w:val="clear" w:color="auto" w:fill="auto"/>
            <w:vAlign w:val="center"/>
          </w:tcPr>
          <w:p w14:paraId="4B6C700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single" w:sz="8" w:space="0" w:color="auto"/>
              <w:left w:val="nil"/>
              <w:bottom w:val="single" w:sz="8" w:space="0" w:color="auto"/>
              <w:right w:val="single" w:sz="4" w:space="0" w:color="auto"/>
            </w:tcBorders>
            <w:shd w:val="clear" w:color="auto" w:fill="auto"/>
            <w:noWrap/>
            <w:vAlign w:val="center"/>
          </w:tcPr>
          <w:p w14:paraId="1A11C13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left w:val="nil"/>
              <w:bottom w:val="single" w:sz="8" w:space="0" w:color="auto"/>
              <w:right w:val="single" w:sz="4" w:space="0" w:color="auto"/>
            </w:tcBorders>
            <w:shd w:val="clear" w:color="auto" w:fill="auto"/>
            <w:noWrap/>
            <w:vAlign w:val="center"/>
          </w:tcPr>
          <w:p w14:paraId="362E0F3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p>
        </w:tc>
        <w:tc>
          <w:tcPr>
            <w:tcW w:w="798" w:type="dxa"/>
            <w:tcBorders>
              <w:top w:val="single" w:sz="8" w:space="0" w:color="auto"/>
              <w:left w:val="nil"/>
              <w:bottom w:val="single" w:sz="8" w:space="0" w:color="auto"/>
              <w:right w:val="single" w:sz="4" w:space="0" w:color="auto"/>
            </w:tcBorders>
            <w:shd w:val="clear" w:color="auto" w:fill="auto"/>
            <w:noWrap/>
            <w:vAlign w:val="center"/>
          </w:tcPr>
          <w:p w14:paraId="200A2EE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p>
        </w:tc>
        <w:tc>
          <w:tcPr>
            <w:tcW w:w="798" w:type="dxa"/>
            <w:tcBorders>
              <w:top w:val="single" w:sz="8" w:space="0" w:color="auto"/>
              <w:left w:val="nil"/>
              <w:bottom w:val="single" w:sz="8" w:space="0" w:color="auto"/>
              <w:right w:val="single" w:sz="4" w:space="0" w:color="auto"/>
            </w:tcBorders>
            <w:shd w:val="clear" w:color="auto" w:fill="auto"/>
            <w:noWrap/>
            <w:vAlign w:val="center"/>
          </w:tcPr>
          <w:p w14:paraId="41B56AA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w:t>
            </w:r>
          </w:p>
        </w:tc>
        <w:tc>
          <w:tcPr>
            <w:tcW w:w="798" w:type="dxa"/>
            <w:tcBorders>
              <w:top w:val="single" w:sz="8" w:space="0" w:color="auto"/>
              <w:left w:val="nil"/>
              <w:bottom w:val="single" w:sz="8" w:space="0" w:color="auto"/>
              <w:right w:val="single" w:sz="4" w:space="0" w:color="auto"/>
            </w:tcBorders>
            <w:shd w:val="clear" w:color="auto" w:fill="auto"/>
            <w:noWrap/>
            <w:vAlign w:val="center"/>
          </w:tcPr>
          <w:p w14:paraId="67C90DE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p>
        </w:tc>
        <w:tc>
          <w:tcPr>
            <w:tcW w:w="798" w:type="dxa"/>
            <w:tcBorders>
              <w:top w:val="single" w:sz="8" w:space="0" w:color="auto"/>
              <w:left w:val="nil"/>
              <w:bottom w:val="single" w:sz="8" w:space="0" w:color="auto"/>
              <w:right w:val="single" w:sz="4" w:space="0" w:color="auto"/>
            </w:tcBorders>
            <w:shd w:val="clear" w:color="auto" w:fill="auto"/>
            <w:noWrap/>
            <w:vAlign w:val="center"/>
          </w:tcPr>
          <w:p w14:paraId="272798E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798" w:type="dxa"/>
            <w:tcBorders>
              <w:top w:val="single" w:sz="8" w:space="0" w:color="auto"/>
              <w:left w:val="nil"/>
              <w:bottom w:val="single" w:sz="8" w:space="0" w:color="auto"/>
              <w:right w:val="single" w:sz="4" w:space="0" w:color="auto"/>
            </w:tcBorders>
            <w:shd w:val="clear" w:color="auto" w:fill="auto"/>
            <w:noWrap/>
            <w:vAlign w:val="center"/>
          </w:tcPr>
          <w:p w14:paraId="3521E06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p>
        </w:tc>
        <w:tc>
          <w:tcPr>
            <w:tcW w:w="798" w:type="dxa"/>
            <w:tcBorders>
              <w:top w:val="single" w:sz="8" w:space="0" w:color="auto"/>
              <w:left w:val="nil"/>
              <w:bottom w:val="single" w:sz="8" w:space="0" w:color="auto"/>
              <w:right w:val="single" w:sz="4" w:space="0" w:color="auto"/>
            </w:tcBorders>
            <w:shd w:val="clear" w:color="auto" w:fill="auto"/>
            <w:noWrap/>
            <w:vAlign w:val="center"/>
          </w:tcPr>
          <w:p w14:paraId="6FAA033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p>
        </w:tc>
        <w:tc>
          <w:tcPr>
            <w:tcW w:w="798" w:type="dxa"/>
            <w:tcBorders>
              <w:top w:val="single" w:sz="8" w:space="0" w:color="auto"/>
              <w:left w:val="nil"/>
              <w:bottom w:val="single" w:sz="8" w:space="0" w:color="auto"/>
              <w:right w:val="single" w:sz="4" w:space="0" w:color="auto"/>
            </w:tcBorders>
            <w:shd w:val="clear" w:color="auto" w:fill="auto"/>
            <w:noWrap/>
            <w:vAlign w:val="center"/>
          </w:tcPr>
          <w:p w14:paraId="684A393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98" w:type="dxa"/>
            <w:tcBorders>
              <w:top w:val="single" w:sz="8" w:space="0" w:color="auto"/>
              <w:left w:val="nil"/>
              <w:bottom w:val="single" w:sz="8" w:space="0" w:color="auto"/>
              <w:right w:val="single" w:sz="4" w:space="0" w:color="auto"/>
            </w:tcBorders>
            <w:shd w:val="clear" w:color="auto" w:fill="auto"/>
            <w:noWrap/>
            <w:vAlign w:val="center"/>
          </w:tcPr>
          <w:p w14:paraId="02828E2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w:t>
            </w:r>
          </w:p>
        </w:tc>
        <w:tc>
          <w:tcPr>
            <w:tcW w:w="790" w:type="dxa"/>
            <w:tcBorders>
              <w:top w:val="single" w:sz="8" w:space="0" w:color="auto"/>
              <w:left w:val="nil"/>
              <w:bottom w:val="single" w:sz="8" w:space="0" w:color="auto"/>
              <w:right w:val="single" w:sz="8" w:space="0" w:color="auto"/>
            </w:tcBorders>
            <w:shd w:val="clear" w:color="auto" w:fill="auto"/>
            <w:noWrap/>
            <w:vAlign w:val="center"/>
          </w:tcPr>
          <w:p w14:paraId="6593984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r>
      <w:tr w:rsidR="00235309" w:rsidRPr="00765F6E" w14:paraId="450C8862" w14:textId="77777777" w:rsidTr="00871D47">
        <w:trPr>
          <w:trHeight w:val="176"/>
          <w:jc w:val="center"/>
        </w:trPr>
        <w:tc>
          <w:tcPr>
            <w:tcW w:w="799" w:type="dxa"/>
            <w:tcBorders>
              <w:top w:val="single" w:sz="8" w:space="0" w:color="auto"/>
              <w:left w:val="single" w:sz="8" w:space="0" w:color="auto"/>
              <w:bottom w:val="single" w:sz="4" w:space="0" w:color="auto"/>
              <w:right w:val="single" w:sz="4" w:space="0" w:color="auto"/>
            </w:tcBorders>
            <w:shd w:val="clear" w:color="auto" w:fill="auto"/>
            <w:vAlign w:val="center"/>
          </w:tcPr>
          <w:p w14:paraId="30E8ADD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single" w:sz="8" w:space="0" w:color="auto"/>
              <w:left w:val="nil"/>
              <w:bottom w:val="single" w:sz="4" w:space="0" w:color="auto"/>
              <w:right w:val="single" w:sz="4" w:space="0" w:color="auto"/>
            </w:tcBorders>
            <w:shd w:val="clear" w:color="auto" w:fill="auto"/>
            <w:noWrap/>
            <w:vAlign w:val="center"/>
          </w:tcPr>
          <w:p w14:paraId="6962007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left w:val="nil"/>
              <w:bottom w:val="single" w:sz="4" w:space="0" w:color="auto"/>
              <w:right w:val="single" w:sz="4" w:space="0" w:color="auto"/>
            </w:tcBorders>
            <w:shd w:val="clear" w:color="auto" w:fill="auto"/>
            <w:noWrap/>
            <w:vAlign w:val="center"/>
          </w:tcPr>
          <w:p w14:paraId="6FB8127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261</w:t>
            </w:r>
          </w:p>
        </w:tc>
        <w:tc>
          <w:tcPr>
            <w:tcW w:w="798" w:type="dxa"/>
            <w:tcBorders>
              <w:top w:val="single" w:sz="8" w:space="0" w:color="auto"/>
              <w:left w:val="nil"/>
              <w:bottom w:val="single" w:sz="4" w:space="0" w:color="auto"/>
              <w:right w:val="single" w:sz="4" w:space="0" w:color="auto"/>
            </w:tcBorders>
            <w:shd w:val="clear" w:color="auto" w:fill="auto"/>
            <w:noWrap/>
            <w:vAlign w:val="center"/>
          </w:tcPr>
          <w:p w14:paraId="03A9658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450</w:t>
            </w:r>
          </w:p>
        </w:tc>
        <w:tc>
          <w:tcPr>
            <w:tcW w:w="798" w:type="dxa"/>
            <w:tcBorders>
              <w:top w:val="single" w:sz="8" w:space="0" w:color="auto"/>
              <w:left w:val="nil"/>
              <w:bottom w:val="single" w:sz="4" w:space="0" w:color="auto"/>
              <w:right w:val="single" w:sz="4" w:space="0" w:color="auto"/>
            </w:tcBorders>
            <w:shd w:val="clear" w:color="auto" w:fill="auto"/>
            <w:noWrap/>
            <w:vAlign w:val="center"/>
          </w:tcPr>
          <w:p w14:paraId="14A7CC8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702</w:t>
            </w:r>
          </w:p>
        </w:tc>
        <w:tc>
          <w:tcPr>
            <w:tcW w:w="798" w:type="dxa"/>
            <w:tcBorders>
              <w:top w:val="single" w:sz="8" w:space="0" w:color="auto"/>
              <w:left w:val="nil"/>
              <w:bottom w:val="single" w:sz="4" w:space="0" w:color="auto"/>
              <w:right w:val="single" w:sz="4" w:space="0" w:color="auto"/>
            </w:tcBorders>
            <w:shd w:val="clear" w:color="auto" w:fill="auto"/>
            <w:noWrap/>
            <w:vAlign w:val="center"/>
          </w:tcPr>
          <w:p w14:paraId="045DEF2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868</w:t>
            </w:r>
          </w:p>
        </w:tc>
        <w:tc>
          <w:tcPr>
            <w:tcW w:w="798" w:type="dxa"/>
            <w:tcBorders>
              <w:top w:val="single" w:sz="8" w:space="0" w:color="auto"/>
              <w:left w:val="nil"/>
              <w:bottom w:val="single" w:sz="4" w:space="0" w:color="auto"/>
              <w:right w:val="single" w:sz="4" w:space="0" w:color="auto"/>
            </w:tcBorders>
            <w:shd w:val="clear" w:color="auto" w:fill="auto"/>
            <w:noWrap/>
            <w:vAlign w:val="center"/>
          </w:tcPr>
          <w:p w14:paraId="22AD313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948</w:t>
            </w:r>
          </w:p>
        </w:tc>
        <w:tc>
          <w:tcPr>
            <w:tcW w:w="798" w:type="dxa"/>
            <w:tcBorders>
              <w:top w:val="single" w:sz="8" w:space="0" w:color="auto"/>
              <w:left w:val="nil"/>
              <w:bottom w:val="single" w:sz="4" w:space="0" w:color="auto"/>
              <w:right w:val="single" w:sz="4" w:space="0" w:color="auto"/>
            </w:tcBorders>
            <w:shd w:val="clear" w:color="auto" w:fill="auto"/>
            <w:noWrap/>
            <w:vAlign w:val="center"/>
          </w:tcPr>
          <w:p w14:paraId="6945063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1103</w:t>
            </w:r>
          </w:p>
        </w:tc>
        <w:tc>
          <w:tcPr>
            <w:tcW w:w="798" w:type="dxa"/>
            <w:tcBorders>
              <w:top w:val="single" w:sz="8" w:space="0" w:color="auto"/>
              <w:left w:val="nil"/>
              <w:bottom w:val="single" w:sz="4" w:space="0" w:color="auto"/>
              <w:right w:val="single" w:sz="4" w:space="0" w:color="auto"/>
            </w:tcBorders>
            <w:shd w:val="clear" w:color="auto" w:fill="auto"/>
            <w:noWrap/>
            <w:vAlign w:val="center"/>
          </w:tcPr>
          <w:p w14:paraId="180BFE3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1222</w:t>
            </w:r>
          </w:p>
        </w:tc>
        <w:tc>
          <w:tcPr>
            <w:tcW w:w="798" w:type="dxa"/>
            <w:tcBorders>
              <w:top w:val="single" w:sz="8" w:space="0" w:color="auto"/>
              <w:left w:val="nil"/>
              <w:bottom w:val="single" w:sz="4" w:space="0" w:color="auto"/>
              <w:right w:val="single" w:sz="4" w:space="0" w:color="auto"/>
            </w:tcBorders>
            <w:shd w:val="clear" w:color="auto" w:fill="auto"/>
            <w:noWrap/>
            <w:vAlign w:val="center"/>
          </w:tcPr>
          <w:p w14:paraId="1F23569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1356</w:t>
            </w:r>
          </w:p>
        </w:tc>
        <w:tc>
          <w:tcPr>
            <w:tcW w:w="798" w:type="dxa"/>
            <w:tcBorders>
              <w:top w:val="single" w:sz="8" w:space="0" w:color="auto"/>
              <w:left w:val="nil"/>
              <w:bottom w:val="single" w:sz="4" w:space="0" w:color="auto"/>
              <w:right w:val="single" w:sz="4" w:space="0" w:color="auto"/>
            </w:tcBorders>
            <w:shd w:val="clear" w:color="auto" w:fill="auto"/>
            <w:noWrap/>
            <w:vAlign w:val="center"/>
          </w:tcPr>
          <w:p w14:paraId="29BDF94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1407</w:t>
            </w:r>
          </w:p>
        </w:tc>
        <w:tc>
          <w:tcPr>
            <w:tcW w:w="790" w:type="dxa"/>
            <w:tcBorders>
              <w:top w:val="single" w:sz="8" w:space="0" w:color="auto"/>
              <w:left w:val="nil"/>
              <w:bottom w:val="single" w:sz="4" w:space="0" w:color="auto"/>
              <w:right w:val="single" w:sz="8" w:space="0" w:color="auto"/>
            </w:tcBorders>
            <w:shd w:val="clear" w:color="auto" w:fill="auto"/>
            <w:noWrap/>
            <w:vAlign w:val="center"/>
          </w:tcPr>
          <w:p w14:paraId="781126D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1447</w:t>
            </w:r>
          </w:p>
        </w:tc>
      </w:tr>
      <w:tr w:rsidR="00235309" w:rsidRPr="00765F6E" w14:paraId="59406BE9" w14:textId="77777777" w:rsidTr="00871D47">
        <w:trPr>
          <w:trHeight w:val="176"/>
          <w:jc w:val="center"/>
        </w:trPr>
        <w:tc>
          <w:tcPr>
            <w:tcW w:w="799" w:type="dxa"/>
            <w:tcBorders>
              <w:top w:val="nil"/>
              <w:left w:val="single" w:sz="8" w:space="0" w:color="auto"/>
              <w:bottom w:val="single" w:sz="4" w:space="0" w:color="auto"/>
              <w:right w:val="single" w:sz="4" w:space="0" w:color="auto"/>
            </w:tcBorders>
            <w:shd w:val="clear" w:color="auto" w:fill="auto"/>
            <w:vAlign w:val="center"/>
          </w:tcPr>
          <w:p w14:paraId="0CD8F5F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tcBorders>
              <w:top w:val="nil"/>
              <w:left w:val="nil"/>
              <w:bottom w:val="single" w:sz="4" w:space="0" w:color="auto"/>
              <w:right w:val="single" w:sz="4" w:space="0" w:color="auto"/>
            </w:tcBorders>
            <w:shd w:val="clear" w:color="auto" w:fill="auto"/>
            <w:noWrap/>
            <w:vAlign w:val="center"/>
          </w:tcPr>
          <w:p w14:paraId="7A5FC5F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3880</w:t>
            </w:r>
          </w:p>
        </w:tc>
        <w:tc>
          <w:tcPr>
            <w:tcW w:w="798" w:type="dxa"/>
            <w:tcBorders>
              <w:top w:val="nil"/>
              <w:left w:val="nil"/>
              <w:bottom w:val="single" w:sz="4" w:space="0" w:color="auto"/>
              <w:right w:val="single" w:sz="4" w:space="0" w:color="auto"/>
            </w:tcBorders>
            <w:shd w:val="clear" w:color="auto" w:fill="auto"/>
            <w:noWrap/>
            <w:vAlign w:val="center"/>
          </w:tcPr>
          <w:p w14:paraId="473A5D0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3877</w:t>
            </w:r>
          </w:p>
        </w:tc>
        <w:tc>
          <w:tcPr>
            <w:tcW w:w="798" w:type="dxa"/>
            <w:tcBorders>
              <w:top w:val="nil"/>
              <w:left w:val="nil"/>
              <w:bottom w:val="single" w:sz="4" w:space="0" w:color="auto"/>
              <w:right w:val="single" w:sz="4" w:space="0" w:color="auto"/>
            </w:tcBorders>
            <w:shd w:val="clear" w:color="auto" w:fill="auto"/>
            <w:noWrap/>
            <w:vAlign w:val="center"/>
          </w:tcPr>
          <w:p w14:paraId="2510070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3868</w:t>
            </w:r>
          </w:p>
        </w:tc>
        <w:tc>
          <w:tcPr>
            <w:tcW w:w="798" w:type="dxa"/>
            <w:tcBorders>
              <w:top w:val="nil"/>
              <w:left w:val="nil"/>
              <w:bottom w:val="single" w:sz="4" w:space="0" w:color="auto"/>
              <w:right w:val="single" w:sz="4" w:space="0" w:color="auto"/>
            </w:tcBorders>
            <w:shd w:val="clear" w:color="auto" w:fill="auto"/>
            <w:noWrap/>
            <w:vAlign w:val="center"/>
          </w:tcPr>
          <w:p w14:paraId="72EB3CF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3861</w:t>
            </w:r>
          </w:p>
        </w:tc>
        <w:tc>
          <w:tcPr>
            <w:tcW w:w="798" w:type="dxa"/>
            <w:tcBorders>
              <w:top w:val="nil"/>
              <w:left w:val="nil"/>
              <w:bottom w:val="single" w:sz="4" w:space="0" w:color="auto"/>
              <w:right w:val="single" w:sz="4" w:space="0" w:color="auto"/>
            </w:tcBorders>
            <w:shd w:val="clear" w:color="auto" w:fill="auto"/>
            <w:noWrap/>
            <w:vAlign w:val="center"/>
          </w:tcPr>
          <w:p w14:paraId="458E8EE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3833</w:t>
            </w:r>
          </w:p>
        </w:tc>
        <w:tc>
          <w:tcPr>
            <w:tcW w:w="798" w:type="dxa"/>
            <w:tcBorders>
              <w:top w:val="nil"/>
              <w:left w:val="nil"/>
              <w:bottom w:val="single" w:sz="4" w:space="0" w:color="auto"/>
              <w:right w:val="single" w:sz="4" w:space="0" w:color="auto"/>
            </w:tcBorders>
            <w:shd w:val="clear" w:color="auto" w:fill="auto"/>
            <w:noWrap/>
            <w:vAlign w:val="center"/>
          </w:tcPr>
          <w:p w14:paraId="090CC5D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3821</w:t>
            </w:r>
          </w:p>
        </w:tc>
        <w:tc>
          <w:tcPr>
            <w:tcW w:w="798" w:type="dxa"/>
            <w:tcBorders>
              <w:top w:val="nil"/>
              <w:left w:val="nil"/>
              <w:bottom w:val="single" w:sz="4" w:space="0" w:color="auto"/>
              <w:right w:val="single" w:sz="4" w:space="0" w:color="auto"/>
            </w:tcBorders>
            <w:shd w:val="clear" w:color="auto" w:fill="auto"/>
            <w:noWrap/>
            <w:vAlign w:val="center"/>
          </w:tcPr>
          <w:p w14:paraId="4A0E194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3770</w:t>
            </w:r>
          </w:p>
        </w:tc>
        <w:tc>
          <w:tcPr>
            <w:tcW w:w="798" w:type="dxa"/>
            <w:tcBorders>
              <w:top w:val="nil"/>
              <w:left w:val="nil"/>
              <w:bottom w:val="single" w:sz="4" w:space="0" w:color="auto"/>
              <w:right w:val="single" w:sz="4" w:space="0" w:color="auto"/>
            </w:tcBorders>
            <w:shd w:val="clear" w:color="auto" w:fill="auto"/>
            <w:noWrap/>
            <w:vAlign w:val="center"/>
          </w:tcPr>
          <w:p w14:paraId="19ED7D2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3697</w:t>
            </w:r>
          </w:p>
        </w:tc>
        <w:tc>
          <w:tcPr>
            <w:tcW w:w="798" w:type="dxa"/>
            <w:tcBorders>
              <w:top w:val="nil"/>
              <w:left w:val="nil"/>
              <w:bottom w:val="single" w:sz="4" w:space="0" w:color="auto"/>
              <w:right w:val="single" w:sz="4" w:space="0" w:color="auto"/>
            </w:tcBorders>
            <w:shd w:val="clear" w:color="auto" w:fill="auto"/>
            <w:noWrap/>
            <w:vAlign w:val="center"/>
          </w:tcPr>
          <w:p w14:paraId="46E74DB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3591</w:t>
            </w:r>
          </w:p>
        </w:tc>
        <w:tc>
          <w:tcPr>
            <w:tcW w:w="798" w:type="dxa"/>
            <w:tcBorders>
              <w:top w:val="nil"/>
              <w:left w:val="nil"/>
              <w:bottom w:val="single" w:sz="4" w:space="0" w:color="auto"/>
              <w:right w:val="single" w:sz="4" w:space="0" w:color="auto"/>
            </w:tcBorders>
            <w:shd w:val="clear" w:color="auto" w:fill="auto"/>
            <w:noWrap/>
            <w:vAlign w:val="center"/>
          </w:tcPr>
          <w:p w14:paraId="329DF5D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3522</w:t>
            </w:r>
          </w:p>
        </w:tc>
        <w:tc>
          <w:tcPr>
            <w:tcW w:w="790" w:type="dxa"/>
            <w:tcBorders>
              <w:top w:val="nil"/>
              <w:left w:val="nil"/>
              <w:bottom w:val="single" w:sz="4" w:space="0" w:color="auto"/>
              <w:right w:val="single" w:sz="8" w:space="0" w:color="auto"/>
            </w:tcBorders>
            <w:shd w:val="clear" w:color="auto" w:fill="auto"/>
            <w:noWrap/>
            <w:vAlign w:val="center"/>
          </w:tcPr>
          <w:p w14:paraId="70ED436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3468</w:t>
            </w:r>
          </w:p>
        </w:tc>
      </w:tr>
      <w:tr w:rsidR="00235309" w:rsidRPr="00765F6E" w14:paraId="42BB5FF8" w14:textId="77777777" w:rsidTr="00871D47">
        <w:trPr>
          <w:trHeight w:val="176"/>
          <w:jc w:val="center"/>
        </w:trPr>
        <w:tc>
          <w:tcPr>
            <w:tcW w:w="799" w:type="dxa"/>
            <w:tcBorders>
              <w:top w:val="nil"/>
              <w:left w:val="single" w:sz="8" w:space="0" w:color="auto"/>
              <w:bottom w:val="single" w:sz="4" w:space="0" w:color="auto"/>
              <w:right w:val="single" w:sz="4" w:space="0" w:color="auto"/>
            </w:tcBorders>
            <w:shd w:val="clear" w:color="auto" w:fill="auto"/>
            <w:vAlign w:val="center"/>
          </w:tcPr>
          <w:p w14:paraId="1778B63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nil"/>
              <w:left w:val="nil"/>
              <w:bottom w:val="single" w:sz="4" w:space="0" w:color="auto"/>
              <w:right w:val="single" w:sz="4" w:space="0" w:color="auto"/>
            </w:tcBorders>
            <w:shd w:val="clear" w:color="auto" w:fill="auto"/>
            <w:noWrap/>
            <w:vAlign w:val="center"/>
          </w:tcPr>
          <w:p w14:paraId="0CF33D6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w:t>
            </w:r>
          </w:p>
        </w:tc>
        <w:tc>
          <w:tcPr>
            <w:tcW w:w="798" w:type="dxa"/>
            <w:tcBorders>
              <w:top w:val="nil"/>
              <w:left w:val="nil"/>
              <w:bottom w:val="single" w:sz="4" w:space="0" w:color="auto"/>
              <w:right w:val="single" w:sz="4" w:space="0" w:color="auto"/>
            </w:tcBorders>
            <w:shd w:val="clear" w:color="auto" w:fill="auto"/>
            <w:noWrap/>
            <w:vAlign w:val="center"/>
          </w:tcPr>
          <w:p w14:paraId="6A86DDE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w:t>
            </w:r>
          </w:p>
        </w:tc>
        <w:tc>
          <w:tcPr>
            <w:tcW w:w="798" w:type="dxa"/>
            <w:tcBorders>
              <w:top w:val="nil"/>
              <w:left w:val="nil"/>
              <w:bottom w:val="single" w:sz="4" w:space="0" w:color="auto"/>
              <w:right w:val="single" w:sz="4" w:space="0" w:color="auto"/>
            </w:tcBorders>
            <w:shd w:val="clear" w:color="auto" w:fill="auto"/>
            <w:noWrap/>
            <w:vAlign w:val="center"/>
          </w:tcPr>
          <w:p w14:paraId="52FB9FB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w:t>
            </w:r>
          </w:p>
        </w:tc>
        <w:tc>
          <w:tcPr>
            <w:tcW w:w="798" w:type="dxa"/>
            <w:tcBorders>
              <w:top w:val="nil"/>
              <w:left w:val="nil"/>
              <w:bottom w:val="single" w:sz="4" w:space="0" w:color="auto"/>
              <w:right w:val="single" w:sz="4" w:space="0" w:color="auto"/>
            </w:tcBorders>
            <w:shd w:val="clear" w:color="auto" w:fill="auto"/>
            <w:noWrap/>
            <w:vAlign w:val="center"/>
          </w:tcPr>
          <w:p w14:paraId="1A2AFD2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w:t>
            </w:r>
          </w:p>
        </w:tc>
        <w:tc>
          <w:tcPr>
            <w:tcW w:w="798" w:type="dxa"/>
            <w:tcBorders>
              <w:top w:val="nil"/>
              <w:left w:val="nil"/>
              <w:bottom w:val="single" w:sz="4" w:space="0" w:color="auto"/>
              <w:right w:val="single" w:sz="4" w:space="0" w:color="auto"/>
            </w:tcBorders>
            <w:shd w:val="clear" w:color="auto" w:fill="auto"/>
            <w:noWrap/>
            <w:vAlign w:val="center"/>
          </w:tcPr>
          <w:p w14:paraId="7E3FB56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798" w:type="dxa"/>
            <w:tcBorders>
              <w:top w:val="nil"/>
              <w:left w:val="nil"/>
              <w:bottom w:val="single" w:sz="4" w:space="0" w:color="auto"/>
              <w:right w:val="single" w:sz="4" w:space="0" w:color="auto"/>
            </w:tcBorders>
            <w:shd w:val="clear" w:color="auto" w:fill="auto"/>
            <w:noWrap/>
            <w:vAlign w:val="center"/>
          </w:tcPr>
          <w:p w14:paraId="6D1F65F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w:t>
            </w:r>
          </w:p>
        </w:tc>
        <w:tc>
          <w:tcPr>
            <w:tcW w:w="798" w:type="dxa"/>
            <w:tcBorders>
              <w:top w:val="nil"/>
              <w:left w:val="nil"/>
              <w:bottom w:val="single" w:sz="4" w:space="0" w:color="auto"/>
              <w:right w:val="single" w:sz="4" w:space="0" w:color="auto"/>
            </w:tcBorders>
            <w:shd w:val="clear" w:color="auto" w:fill="auto"/>
            <w:noWrap/>
            <w:vAlign w:val="center"/>
          </w:tcPr>
          <w:p w14:paraId="6897B96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w:t>
            </w:r>
          </w:p>
        </w:tc>
        <w:tc>
          <w:tcPr>
            <w:tcW w:w="798" w:type="dxa"/>
            <w:tcBorders>
              <w:top w:val="nil"/>
              <w:left w:val="nil"/>
              <w:bottom w:val="single" w:sz="4" w:space="0" w:color="auto"/>
              <w:right w:val="single" w:sz="4" w:space="0" w:color="auto"/>
            </w:tcBorders>
            <w:shd w:val="clear" w:color="auto" w:fill="auto"/>
            <w:noWrap/>
            <w:vAlign w:val="center"/>
          </w:tcPr>
          <w:p w14:paraId="1FB17ED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w:t>
            </w:r>
          </w:p>
        </w:tc>
        <w:tc>
          <w:tcPr>
            <w:tcW w:w="798" w:type="dxa"/>
            <w:tcBorders>
              <w:top w:val="nil"/>
              <w:left w:val="nil"/>
              <w:bottom w:val="single" w:sz="4" w:space="0" w:color="auto"/>
              <w:right w:val="single" w:sz="4" w:space="0" w:color="auto"/>
            </w:tcBorders>
            <w:shd w:val="clear" w:color="auto" w:fill="auto"/>
            <w:noWrap/>
            <w:vAlign w:val="center"/>
          </w:tcPr>
          <w:p w14:paraId="775AC0D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19</w:t>
            </w:r>
          </w:p>
        </w:tc>
        <w:tc>
          <w:tcPr>
            <w:tcW w:w="798" w:type="dxa"/>
            <w:tcBorders>
              <w:top w:val="nil"/>
              <w:left w:val="nil"/>
              <w:bottom w:val="single" w:sz="4" w:space="0" w:color="auto"/>
              <w:right w:val="single" w:sz="4" w:space="0" w:color="auto"/>
            </w:tcBorders>
            <w:shd w:val="clear" w:color="auto" w:fill="auto"/>
            <w:noWrap/>
            <w:vAlign w:val="center"/>
          </w:tcPr>
          <w:p w14:paraId="6FA4B25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20</w:t>
            </w:r>
          </w:p>
        </w:tc>
        <w:tc>
          <w:tcPr>
            <w:tcW w:w="790" w:type="dxa"/>
            <w:tcBorders>
              <w:top w:val="nil"/>
              <w:left w:val="nil"/>
              <w:bottom w:val="single" w:sz="4" w:space="0" w:color="auto"/>
              <w:right w:val="single" w:sz="8" w:space="0" w:color="auto"/>
            </w:tcBorders>
            <w:shd w:val="clear" w:color="auto" w:fill="auto"/>
            <w:noWrap/>
            <w:vAlign w:val="center"/>
          </w:tcPr>
          <w:p w14:paraId="1C59F93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21</w:t>
            </w:r>
          </w:p>
        </w:tc>
      </w:tr>
      <w:tr w:rsidR="00235309" w:rsidRPr="00765F6E" w14:paraId="64C7AE7B" w14:textId="77777777" w:rsidTr="00871D47">
        <w:trPr>
          <w:trHeight w:val="176"/>
          <w:jc w:val="center"/>
        </w:trPr>
        <w:tc>
          <w:tcPr>
            <w:tcW w:w="799" w:type="dxa"/>
            <w:tcBorders>
              <w:top w:val="nil"/>
              <w:left w:val="single" w:sz="8" w:space="0" w:color="auto"/>
              <w:bottom w:val="single" w:sz="4" w:space="0" w:color="auto"/>
              <w:right w:val="single" w:sz="4" w:space="0" w:color="auto"/>
            </w:tcBorders>
            <w:shd w:val="clear" w:color="auto" w:fill="auto"/>
            <w:vAlign w:val="center"/>
          </w:tcPr>
          <w:p w14:paraId="295D798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nil"/>
              <w:left w:val="nil"/>
              <w:bottom w:val="single" w:sz="4" w:space="0" w:color="auto"/>
              <w:right w:val="single" w:sz="4" w:space="0" w:color="auto"/>
            </w:tcBorders>
            <w:shd w:val="clear" w:color="auto" w:fill="auto"/>
            <w:noWrap/>
            <w:vAlign w:val="center"/>
          </w:tcPr>
          <w:p w14:paraId="020BC7A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1508</w:t>
            </w:r>
          </w:p>
        </w:tc>
        <w:tc>
          <w:tcPr>
            <w:tcW w:w="798" w:type="dxa"/>
            <w:tcBorders>
              <w:top w:val="nil"/>
              <w:left w:val="nil"/>
              <w:bottom w:val="single" w:sz="4" w:space="0" w:color="auto"/>
              <w:right w:val="single" w:sz="4" w:space="0" w:color="auto"/>
            </w:tcBorders>
            <w:shd w:val="clear" w:color="auto" w:fill="auto"/>
            <w:noWrap/>
            <w:vAlign w:val="center"/>
          </w:tcPr>
          <w:p w14:paraId="18F6E71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1545</w:t>
            </w:r>
          </w:p>
        </w:tc>
        <w:tc>
          <w:tcPr>
            <w:tcW w:w="798" w:type="dxa"/>
            <w:tcBorders>
              <w:top w:val="nil"/>
              <w:left w:val="nil"/>
              <w:bottom w:val="single" w:sz="4" w:space="0" w:color="auto"/>
              <w:right w:val="single" w:sz="4" w:space="0" w:color="auto"/>
            </w:tcBorders>
            <w:shd w:val="clear" w:color="auto" w:fill="auto"/>
            <w:noWrap/>
            <w:vAlign w:val="center"/>
          </w:tcPr>
          <w:p w14:paraId="530C81F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1568</w:t>
            </w:r>
          </w:p>
        </w:tc>
        <w:tc>
          <w:tcPr>
            <w:tcW w:w="798" w:type="dxa"/>
            <w:tcBorders>
              <w:top w:val="nil"/>
              <w:left w:val="nil"/>
              <w:bottom w:val="single" w:sz="4" w:space="0" w:color="auto"/>
              <w:right w:val="single" w:sz="4" w:space="0" w:color="auto"/>
            </w:tcBorders>
            <w:shd w:val="clear" w:color="auto" w:fill="auto"/>
            <w:noWrap/>
            <w:vAlign w:val="center"/>
          </w:tcPr>
          <w:p w14:paraId="21E320C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1575</w:t>
            </w:r>
          </w:p>
        </w:tc>
        <w:tc>
          <w:tcPr>
            <w:tcW w:w="798" w:type="dxa"/>
            <w:tcBorders>
              <w:top w:val="nil"/>
              <w:left w:val="nil"/>
              <w:bottom w:val="single" w:sz="4" w:space="0" w:color="auto"/>
              <w:right w:val="single" w:sz="4" w:space="0" w:color="auto"/>
            </w:tcBorders>
            <w:shd w:val="clear" w:color="auto" w:fill="auto"/>
            <w:noWrap/>
            <w:vAlign w:val="center"/>
          </w:tcPr>
          <w:p w14:paraId="216D145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1650</w:t>
            </w:r>
          </w:p>
        </w:tc>
        <w:tc>
          <w:tcPr>
            <w:tcW w:w="798" w:type="dxa"/>
            <w:tcBorders>
              <w:top w:val="nil"/>
              <w:left w:val="nil"/>
              <w:bottom w:val="single" w:sz="4" w:space="0" w:color="auto"/>
              <w:right w:val="single" w:sz="4" w:space="0" w:color="auto"/>
            </w:tcBorders>
            <w:shd w:val="clear" w:color="auto" w:fill="auto"/>
            <w:noWrap/>
            <w:vAlign w:val="center"/>
          </w:tcPr>
          <w:p w14:paraId="70B1065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1650</w:t>
            </w:r>
          </w:p>
        </w:tc>
        <w:tc>
          <w:tcPr>
            <w:tcW w:w="798" w:type="dxa"/>
            <w:tcBorders>
              <w:top w:val="nil"/>
              <w:left w:val="nil"/>
              <w:bottom w:val="single" w:sz="4" w:space="0" w:color="auto"/>
              <w:right w:val="single" w:sz="4" w:space="0" w:color="auto"/>
            </w:tcBorders>
            <w:shd w:val="clear" w:color="auto" w:fill="auto"/>
            <w:noWrap/>
            <w:vAlign w:val="center"/>
          </w:tcPr>
          <w:p w14:paraId="524E450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1646</w:t>
            </w:r>
          </w:p>
        </w:tc>
        <w:tc>
          <w:tcPr>
            <w:tcW w:w="798" w:type="dxa"/>
            <w:tcBorders>
              <w:top w:val="nil"/>
              <w:left w:val="nil"/>
              <w:bottom w:val="single" w:sz="4" w:space="0" w:color="auto"/>
              <w:right w:val="single" w:sz="4" w:space="0" w:color="auto"/>
            </w:tcBorders>
            <w:shd w:val="clear" w:color="auto" w:fill="auto"/>
            <w:noWrap/>
            <w:vAlign w:val="center"/>
          </w:tcPr>
          <w:p w14:paraId="1FBAE13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1644</w:t>
            </w:r>
          </w:p>
        </w:tc>
        <w:tc>
          <w:tcPr>
            <w:tcW w:w="798" w:type="dxa"/>
            <w:tcBorders>
              <w:top w:val="nil"/>
              <w:left w:val="nil"/>
              <w:bottom w:val="single" w:sz="4" w:space="0" w:color="auto"/>
              <w:right w:val="single" w:sz="4" w:space="0" w:color="auto"/>
            </w:tcBorders>
            <w:shd w:val="clear" w:color="auto" w:fill="auto"/>
            <w:noWrap/>
            <w:vAlign w:val="center"/>
          </w:tcPr>
          <w:p w14:paraId="5F5E628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1626</w:t>
            </w:r>
          </w:p>
        </w:tc>
        <w:tc>
          <w:tcPr>
            <w:tcW w:w="798" w:type="dxa"/>
            <w:tcBorders>
              <w:top w:val="nil"/>
              <w:left w:val="nil"/>
              <w:bottom w:val="single" w:sz="4" w:space="0" w:color="auto"/>
              <w:right w:val="single" w:sz="4" w:space="0" w:color="auto"/>
            </w:tcBorders>
            <w:shd w:val="clear" w:color="auto" w:fill="auto"/>
            <w:noWrap/>
            <w:vAlign w:val="center"/>
          </w:tcPr>
          <w:p w14:paraId="42F7B32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1620</w:t>
            </w:r>
          </w:p>
        </w:tc>
        <w:tc>
          <w:tcPr>
            <w:tcW w:w="790" w:type="dxa"/>
            <w:tcBorders>
              <w:top w:val="nil"/>
              <w:left w:val="nil"/>
              <w:bottom w:val="single" w:sz="4" w:space="0" w:color="auto"/>
              <w:right w:val="single" w:sz="8" w:space="0" w:color="auto"/>
            </w:tcBorders>
            <w:shd w:val="clear" w:color="auto" w:fill="auto"/>
            <w:noWrap/>
            <w:vAlign w:val="center"/>
          </w:tcPr>
          <w:p w14:paraId="33A1E47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1591</w:t>
            </w:r>
          </w:p>
        </w:tc>
      </w:tr>
      <w:tr w:rsidR="00235309" w:rsidRPr="00765F6E" w14:paraId="793989E7" w14:textId="77777777" w:rsidTr="00871D47">
        <w:trPr>
          <w:trHeight w:val="176"/>
          <w:jc w:val="center"/>
        </w:trPr>
        <w:tc>
          <w:tcPr>
            <w:tcW w:w="799" w:type="dxa"/>
            <w:tcBorders>
              <w:top w:val="nil"/>
              <w:left w:val="single" w:sz="8" w:space="0" w:color="auto"/>
              <w:bottom w:val="single" w:sz="4" w:space="0" w:color="auto"/>
              <w:right w:val="single" w:sz="4" w:space="0" w:color="auto"/>
            </w:tcBorders>
            <w:shd w:val="clear" w:color="auto" w:fill="auto"/>
            <w:vAlign w:val="center"/>
          </w:tcPr>
          <w:p w14:paraId="5B7D966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tcBorders>
              <w:top w:val="nil"/>
              <w:left w:val="nil"/>
              <w:bottom w:val="single" w:sz="4" w:space="0" w:color="auto"/>
              <w:right w:val="single" w:sz="4" w:space="0" w:color="auto"/>
            </w:tcBorders>
            <w:shd w:val="clear" w:color="auto" w:fill="auto"/>
            <w:noWrap/>
            <w:vAlign w:val="center"/>
          </w:tcPr>
          <w:p w14:paraId="7C00A31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3360</w:t>
            </w:r>
          </w:p>
        </w:tc>
        <w:tc>
          <w:tcPr>
            <w:tcW w:w="798" w:type="dxa"/>
            <w:tcBorders>
              <w:top w:val="nil"/>
              <w:left w:val="nil"/>
              <w:bottom w:val="single" w:sz="4" w:space="0" w:color="auto"/>
              <w:right w:val="single" w:sz="4" w:space="0" w:color="auto"/>
            </w:tcBorders>
            <w:shd w:val="clear" w:color="auto" w:fill="auto"/>
            <w:noWrap/>
            <w:vAlign w:val="center"/>
          </w:tcPr>
          <w:p w14:paraId="3F7DC53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3262</w:t>
            </w:r>
          </w:p>
        </w:tc>
        <w:tc>
          <w:tcPr>
            <w:tcW w:w="798" w:type="dxa"/>
            <w:tcBorders>
              <w:top w:val="nil"/>
              <w:left w:val="nil"/>
              <w:bottom w:val="single" w:sz="4" w:space="0" w:color="auto"/>
              <w:right w:val="single" w:sz="4" w:space="0" w:color="auto"/>
            </w:tcBorders>
            <w:shd w:val="clear" w:color="auto" w:fill="auto"/>
            <w:noWrap/>
            <w:vAlign w:val="center"/>
          </w:tcPr>
          <w:p w14:paraId="570354E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3160</w:t>
            </w:r>
          </w:p>
        </w:tc>
        <w:tc>
          <w:tcPr>
            <w:tcW w:w="798" w:type="dxa"/>
            <w:tcBorders>
              <w:top w:val="nil"/>
              <w:left w:val="nil"/>
              <w:bottom w:val="single" w:sz="4" w:space="0" w:color="auto"/>
              <w:right w:val="single" w:sz="4" w:space="0" w:color="auto"/>
            </w:tcBorders>
            <w:shd w:val="clear" w:color="auto" w:fill="auto"/>
            <w:noWrap/>
            <w:vAlign w:val="center"/>
          </w:tcPr>
          <w:p w14:paraId="35DCE2C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3095</w:t>
            </w:r>
          </w:p>
        </w:tc>
        <w:tc>
          <w:tcPr>
            <w:tcW w:w="798" w:type="dxa"/>
            <w:tcBorders>
              <w:top w:val="nil"/>
              <w:left w:val="nil"/>
              <w:bottom w:val="single" w:sz="4" w:space="0" w:color="auto"/>
              <w:right w:val="single" w:sz="4" w:space="0" w:color="auto"/>
            </w:tcBorders>
            <w:shd w:val="clear" w:color="auto" w:fill="auto"/>
            <w:noWrap/>
            <w:vAlign w:val="center"/>
          </w:tcPr>
          <w:p w14:paraId="75F5DE3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1825</w:t>
            </w:r>
          </w:p>
        </w:tc>
        <w:tc>
          <w:tcPr>
            <w:tcW w:w="798" w:type="dxa"/>
            <w:tcBorders>
              <w:top w:val="nil"/>
              <w:left w:val="nil"/>
              <w:bottom w:val="single" w:sz="4" w:space="0" w:color="auto"/>
              <w:right w:val="single" w:sz="4" w:space="0" w:color="auto"/>
            </w:tcBorders>
            <w:shd w:val="clear" w:color="auto" w:fill="auto"/>
            <w:noWrap/>
            <w:vAlign w:val="center"/>
          </w:tcPr>
          <w:p w14:paraId="745AB49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1682</w:t>
            </w:r>
          </w:p>
        </w:tc>
        <w:tc>
          <w:tcPr>
            <w:tcW w:w="798" w:type="dxa"/>
            <w:tcBorders>
              <w:top w:val="nil"/>
              <w:left w:val="nil"/>
              <w:bottom w:val="single" w:sz="4" w:space="0" w:color="auto"/>
              <w:right w:val="single" w:sz="4" w:space="0" w:color="auto"/>
            </w:tcBorders>
            <w:shd w:val="clear" w:color="auto" w:fill="auto"/>
            <w:noWrap/>
            <w:vAlign w:val="center"/>
          </w:tcPr>
          <w:p w14:paraId="56CF62D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1280</w:t>
            </w:r>
          </w:p>
        </w:tc>
        <w:tc>
          <w:tcPr>
            <w:tcW w:w="798" w:type="dxa"/>
            <w:tcBorders>
              <w:top w:val="nil"/>
              <w:left w:val="nil"/>
              <w:bottom w:val="single" w:sz="4" w:space="0" w:color="auto"/>
              <w:right w:val="single" w:sz="4" w:space="0" w:color="auto"/>
            </w:tcBorders>
            <w:shd w:val="clear" w:color="auto" w:fill="auto"/>
            <w:noWrap/>
            <w:vAlign w:val="center"/>
          </w:tcPr>
          <w:p w14:paraId="6D10C04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1193</w:t>
            </w:r>
          </w:p>
        </w:tc>
        <w:tc>
          <w:tcPr>
            <w:tcW w:w="798" w:type="dxa"/>
            <w:tcBorders>
              <w:top w:val="nil"/>
              <w:left w:val="nil"/>
              <w:bottom w:val="single" w:sz="4" w:space="0" w:color="auto"/>
              <w:right w:val="single" w:sz="4" w:space="0" w:color="auto"/>
            </w:tcBorders>
            <w:shd w:val="clear" w:color="auto" w:fill="auto"/>
            <w:noWrap/>
            <w:vAlign w:val="center"/>
          </w:tcPr>
          <w:p w14:paraId="36AD57A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987</w:t>
            </w:r>
          </w:p>
        </w:tc>
        <w:tc>
          <w:tcPr>
            <w:tcW w:w="798" w:type="dxa"/>
            <w:tcBorders>
              <w:top w:val="nil"/>
              <w:left w:val="nil"/>
              <w:bottom w:val="single" w:sz="4" w:space="0" w:color="auto"/>
              <w:right w:val="single" w:sz="4" w:space="0" w:color="auto"/>
            </w:tcBorders>
            <w:shd w:val="clear" w:color="auto" w:fill="auto"/>
            <w:noWrap/>
            <w:vAlign w:val="center"/>
          </w:tcPr>
          <w:p w14:paraId="3307B4C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904</w:t>
            </w:r>
          </w:p>
        </w:tc>
        <w:tc>
          <w:tcPr>
            <w:tcW w:w="790" w:type="dxa"/>
            <w:tcBorders>
              <w:top w:val="nil"/>
              <w:left w:val="nil"/>
              <w:bottom w:val="single" w:sz="4" w:space="0" w:color="auto"/>
              <w:right w:val="single" w:sz="8" w:space="0" w:color="auto"/>
            </w:tcBorders>
            <w:shd w:val="clear" w:color="auto" w:fill="auto"/>
            <w:noWrap/>
            <w:vAlign w:val="center"/>
          </w:tcPr>
          <w:p w14:paraId="49AFD2D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609</w:t>
            </w:r>
          </w:p>
        </w:tc>
      </w:tr>
      <w:tr w:rsidR="00235309" w:rsidRPr="00765F6E" w14:paraId="5C11A888" w14:textId="77777777" w:rsidTr="00871D47">
        <w:trPr>
          <w:trHeight w:val="176"/>
          <w:jc w:val="center"/>
        </w:trPr>
        <w:tc>
          <w:tcPr>
            <w:tcW w:w="799" w:type="dxa"/>
            <w:tcBorders>
              <w:top w:val="nil"/>
              <w:left w:val="single" w:sz="8" w:space="0" w:color="auto"/>
              <w:bottom w:val="single" w:sz="4" w:space="0" w:color="auto"/>
              <w:right w:val="single" w:sz="4" w:space="0" w:color="auto"/>
            </w:tcBorders>
            <w:shd w:val="clear" w:color="auto" w:fill="auto"/>
            <w:vAlign w:val="center"/>
          </w:tcPr>
          <w:p w14:paraId="2F6C5B6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nil"/>
              <w:left w:val="nil"/>
              <w:bottom w:val="single" w:sz="4" w:space="0" w:color="auto"/>
              <w:right w:val="single" w:sz="4" w:space="0" w:color="auto"/>
            </w:tcBorders>
            <w:shd w:val="clear" w:color="auto" w:fill="auto"/>
            <w:noWrap/>
            <w:vAlign w:val="center"/>
          </w:tcPr>
          <w:p w14:paraId="6AFB5B4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22</w:t>
            </w:r>
          </w:p>
        </w:tc>
        <w:tc>
          <w:tcPr>
            <w:tcW w:w="798" w:type="dxa"/>
            <w:tcBorders>
              <w:top w:val="nil"/>
              <w:left w:val="nil"/>
              <w:bottom w:val="single" w:sz="4" w:space="0" w:color="auto"/>
              <w:right w:val="single" w:sz="4" w:space="0" w:color="auto"/>
            </w:tcBorders>
            <w:shd w:val="clear" w:color="auto" w:fill="auto"/>
            <w:noWrap/>
            <w:vAlign w:val="center"/>
          </w:tcPr>
          <w:p w14:paraId="47E8A87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23</w:t>
            </w:r>
          </w:p>
        </w:tc>
        <w:tc>
          <w:tcPr>
            <w:tcW w:w="798" w:type="dxa"/>
            <w:tcBorders>
              <w:top w:val="nil"/>
              <w:left w:val="nil"/>
              <w:bottom w:val="single" w:sz="4" w:space="0" w:color="auto"/>
              <w:right w:val="single" w:sz="4" w:space="0" w:color="auto"/>
            </w:tcBorders>
            <w:shd w:val="clear" w:color="auto" w:fill="auto"/>
            <w:noWrap/>
            <w:vAlign w:val="center"/>
          </w:tcPr>
          <w:p w14:paraId="43941E7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24</w:t>
            </w:r>
          </w:p>
        </w:tc>
        <w:tc>
          <w:tcPr>
            <w:tcW w:w="798" w:type="dxa"/>
            <w:tcBorders>
              <w:top w:val="nil"/>
              <w:left w:val="nil"/>
              <w:bottom w:val="single" w:sz="4" w:space="0" w:color="auto"/>
              <w:right w:val="single" w:sz="4" w:space="0" w:color="auto"/>
            </w:tcBorders>
            <w:shd w:val="clear" w:color="auto" w:fill="auto"/>
            <w:noWrap/>
            <w:vAlign w:val="center"/>
          </w:tcPr>
          <w:p w14:paraId="2461CCB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25</w:t>
            </w:r>
          </w:p>
        </w:tc>
        <w:tc>
          <w:tcPr>
            <w:tcW w:w="798" w:type="dxa"/>
            <w:tcBorders>
              <w:top w:val="nil"/>
              <w:left w:val="nil"/>
              <w:bottom w:val="single" w:sz="4" w:space="0" w:color="auto"/>
              <w:right w:val="single" w:sz="4" w:space="0" w:color="auto"/>
            </w:tcBorders>
            <w:shd w:val="clear" w:color="auto" w:fill="auto"/>
            <w:noWrap/>
            <w:vAlign w:val="center"/>
          </w:tcPr>
          <w:p w14:paraId="56F8651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26</w:t>
            </w:r>
          </w:p>
        </w:tc>
        <w:tc>
          <w:tcPr>
            <w:tcW w:w="798" w:type="dxa"/>
            <w:tcBorders>
              <w:top w:val="nil"/>
              <w:left w:val="nil"/>
              <w:bottom w:val="single" w:sz="4" w:space="0" w:color="auto"/>
              <w:right w:val="single" w:sz="4" w:space="0" w:color="auto"/>
            </w:tcBorders>
            <w:shd w:val="clear" w:color="auto" w:fill="auto"/>
            <w:noWrap/>
            <w:vAlign w:val="center"/>
          </w:tcPr>
          <w:p w14:paraId="124C36C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27</w:t>
            </w:r>
          </w:p>
        </w:tc>
        <w:tc>
          <w:tcPr>
            <w:tcW w:w="798" w:type="dxa"/>
            <w:tcBorders>
              <w:top w:val="nil"/>
              <w:left w:val="nil"/>
              <w:bottom w:val="single" w:sz="4" w:space="0" w:color="auto"/>
              <w:right w:val="single" w:sz="4" w:space="0" w:color="auto"/>
            </w:tcBorders>
            <w:shd w:val="clear" w:color="auto" w:fill="auto"/>
            <w:noWrap/>
            <w:vAlign w:val="center"/>
          </w:tcPr>
          <w:p w14:paraId="10DDFB9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28</w:t>
            </w:r>
          </w:p>
        </w:tc>
        <w:tc>
          <w:tcPr>
            <w:tcW w:w="798" w:type="dxa"/>
            <w:tcBorders>
              <w:top w:val="nil"/>
              <w:left w:val="nil"/>
              <w:bottom w:val="single" w:sz="4" w:space="0" w:color="auto"/>
              <w:right w:val="single" w:sz="4" w:space="0" w:color="auto"/>
            </w:tcBorders>
            <w:shd w:val="clear" w:color="auto" w:fill="auto"/>
            <w:noWrap/>
            <w:vAlign w:val="center"/>
          </w:tcPr>
          <w:p w14:paraId="2F0A538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29</w:t>
            </w:r>
          </w:p>
        </w:tc>
        <w:tc>
          <w:tcPr>
            <w:tcW w:w="798" w:type="dxa"/>
            <w:tcBorders>
              <w:top w:val="nil"/>
              <w:left w:val="nil"/>
              <w:bottom w:val="single" w:sz="4" w:space="0" w:color="auto"/>
              <w:right w:val="single" w:sz="4" w:space="0" w:color="auto"/>
            </w:tcBorders>
            <w:shd w:val="clear" w:color="auto" w:fill="auto"/>
            <w:noWrap/>
            <w:vAlign w:val="center"/>
          </w:tcPr>
          <w:p w14:paraId="3A345E2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w:t>
            </w:r>
          </w:p>
        </w:tc>
        <w:tc>
          <w:tcPr>
            <w:tcW w:w="798" w:type="dxa"/>
            <w:tcBorders>
              <w:top w:val="nil"/>
              <w:left w:val="nil"/>
              <w:bottom w:val="single" w:sz="4" w:space="0" w:color="auto"/>
              <w:right w:val="single" w:sz="4" w:space="0" w:color="auto"/>
            </w:tcBorders>
            <w:shd w:val="clear" w:color="auto" w:fill="auto"/>
            <w:noWrap/>
            <w:vAlign w:val="center"/>
          </w:tcPr>
          <w:p w14:paraId="060CE9C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31</w:t>
            </w:r>
          </w:p>
        </w:tc>
        <w:tc>
          <w:tcPr>
            <w:tcW w:w="790" w:type="dxa"/>
            <w:tcBorders>
              <w:top w:val="nil"/>
              <w:left w:val="nil"/>
              <w:bottom w:val="single" w:sz="4" w:space="0" w:color="auto"/>
              <w:right w:val="single" w:sz="8" w:space="0" w:color="auto"/>
            </w:tcBorders>
            <w:shd w:val="clear" w:color="auto" w:fill="auto"/>
            <w:noWrap/>
            <w:vAlign w:val="center"/>
          </w:tcPr>
          <w:p w14:paraId="3870D7C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32</w:t>
            </w:r>
          </w:p>
        </w:tc>
      </w:tr>
      <w:tr w:rsidR="00235309" w:rsidRPr="00765F6E" w14:paraId="3CAD4E3A" w14:textId="77777777" w:rsidTr="00871D47">
        <w:trPr>
          <w:trHeight w:val="176"/>
          <w:jc w:val="center"/>
        </w:trPr>
        <w:tc>
          <w:tcPr>
            <w:tcW w:w="799" w:type="dxa"/>
            <w:tcBorders>
              <w:top w:val="nil"/>
              <w:left w:val="single" w:sz="8" w:space="0" w:color="auto"/>
              <w:bottom w:val="single" w:sz="4" w:space="0" w:color="auto"/>
              <w:right w:val="single" w:sz="4" w:space="0" w:color="auto"/>
            </w:tcBorders>
            <w:shd w:val="clear" w:color="auto" w:fill="auto"/>
            <w:vAlign w:val="center"/>
          </w:tcPr>
          <w:p w14:paraId="2C7B43B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nil"/>
              <w:left w:val="nil"/>
              <w:bottom w:val="single" w:sz="4" w:space="0" w:color="auto"/>
              <w:right w:val="single" w:sz="4" w:space="0" w:color="auto"/>
            </w:tcBorders>
            <w:shd w:val="clear" w:color="auto" w:fill="auto"/>
            <w:noWrap/>
            <w:vAlign w:val="center"/>
          </w:tcPr>
          <w:p w14:paraId="0FE0D8C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1536</w:t>
            </w:r>
          </w:p>
        </w:tc>
        <w:tc>
          <w:tcPr>
            <w:tcW w:w="798" w:type="dxa"/>
            <w:tcBorders>
              <w:top w:val="nil"/>
              <w:left w:val="nil"/>
              <w:bottom w:val="single" w:sz="4" w:space="0" w:color="auto"/>
              <w:right w:val="single" w:sz="4" w:space="0" w:color="auto"/>
            </w:tcBorders>
            <w:shd w:val="clear" w:color="auto" w:fill="auto"/>
            <w:noWrap/>
            <w:vAlign w:val="center"/>
          </w:tcPr>
          <w:p w14:paraId="3FE957A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1274</w:t>
            </w:r>
          </w:p>
        </w:tc>
        <w:tc>
          <w:tcPr>
            <w:tcW w:w="798" w:type="dxa"/>
            <w:tcBorders>
              <w:top w:val="nil"/>
              <w:left w:val="nil"/>
              <w:bottom w:val="single" w:sz="4" w:space="0" w:color="auto"/>
              <w:right w:val="single" w:sz="4" w:space="0" w:color="auto"/>
            </w:tcBorders>
            <w:shd w:val="clear" w:color="auto" w:fill="auto"/>
            <w:noWrap/>
            <w:vAlign w:val="center"/>
          </w:tcPr>
          <w:p w14:paraId="75D5A50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1097</w:t>
            </w:r>
          </w:p>
        </w:tc>
        <w:tc>
          <w:tcPr>
            <w:tcW w:w="798" w:type="dxa"/>
            <w:tcBorders>
              <w:top w:val="nil"/>
              <w:left w:val="nil"/>
              <w:bottom w:val="single" w:sz="4" w:space="0" w:color="auto"/>
              <w:right w:val="single" w:sz="4" w:space="0" w:color="auto"/>
            </w:tcBorders>
            <w:shd w:val="clear" w:color="auto" w:fill="auto"/>
            <w:noWrap/>
            <w:vAlign w:val="center"/>
          </w:tcPr>
          <w:p w14:paraId="20299A5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915</w:t>
            </w:r>
          </w:p>
        </w:tc>
        <w:tc>
          <w:tcPr>
            <w:tcW w:w="798" w:type="dxa"/>
            <w:tcBorders>
              <w:top w:val="nil"/>
              <w:left w:val="nil"/>
              <w:bottom w:val="single" w:sz="4" w:space="0" w:color="auto"/>
              <w:right w:val="single" w:sz="4" w:space="0" w:color="auto"/>
            </w:tcBorders>
            <w:shd w:val="clear" w:color="auto" w:fill="auto"/>
            <w:noWrap/>
            <w:vAlign w:val="center"/>
          </w:tcPr>
          <w:p w14:paraId="77130BD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812</w:t>
            </w:r>
          </w:p>
        </w:tc>
        <w:tc>
          <w:tcPr>
            <w:tcW w:w="798" w:type="dxa"/>
            <w:tcBorders>
              <w:top w:val="nil"/>
              <w:left w:val="nil"/>
              <w:bottom w:val="single" w:sz="4" w:space="0" w:color="auto"/>
              <w:right w:val="single" w:sz="4" w:space="0" w:color="auto"/>
            </w:tcBorders>
            <w:shd w:val="clear" w:color="auto" w:fill="auto"/>
            <w:noWrap/>
            <w:vAlign w:val="center"/>
          </w:tcPr>
          <w:p w14:paraId="30BA2A3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812</w:t>
            </w:r>
          </w:p>
        </w:tc>
        <w:tc>
          <w:tcPr>
            <w:tcW w:w="798" w:type="dxa"/>
            <w:tcBorders>
              <w:top w:val="nil"/>
              <w:left w:val="nil"/>
              <w:bottom w:val="single" w:sz="4" w:space="0" w:color="auto"/>
              <w:right w:val="single" w:sz="4" w:space="0" w:color="auto"/>
            </w:tcBorders>
            <w:shd w:val="clear" w:color="auto" w:fill="auto"/>
            <w:noWrap/>
            <w:vAlign w:val="center"/>
          </w:tcPr>
          <w:p w14:paraId="70F19A0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715</w:t>
            </w:r>
          </w:p>
        </w:tc>
        <w:tc>
          <w:tcPr>
            <w:tcW w:w="798" w:type="dxa"/>
            <w:tcBorders>
              <w:top w:val="nil"/>
              <w:left w:val="nil"/>
              <w:bottom w:val="single" w:sz="4" w:space="0" w:color="auto"/>
              <w:right w:val="single" w:sz="4" w:space="0" w:color="auto"/>
            </w:tcBorders>
            <w:shd w:val="clear" w:color="auto" w:fill="auto"/>
            <w:noWrap/>
            <w:vAlign w:val="center"/>
          </w:tcPr>
          <w:p w14:paraId="7FADEA0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715</w:t>
            </w:r>
          </w:p>
        </w:tc>
        <w:tc>
          <w:tcPr>
            <w:tcW w:w="798" w:type="dxa"/>
            <w:tcBorders>
              <w:top w:val="nil"/>
              <w:left w:val="nil"/>
              <w:bottom w:val="single" w:sz="4" w:space="0" w:color="auto"/>
              <w:right w:val="single" w:sz="4" w:space="0" w:color="auto"/>
            </w:tcBorders>
            <w:shd w:val="clear" w:color="auto" w:fill="auto"/>
            <w:noWrap/>
            <w:vAlign w:val="center"/>
          </w:tcPr>
          <w:p w14:paraId="4DF834C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675</w:t>
            </w:r>
          </w:p>
        </w:tc>
        <w:tc>
          <w:tcPr>
            <w:tcW w:w="798" w:type="dxa"/>
            <w:tcBorders>
              <w:top w:val="nil"/>
              <w:left w:val="nil"/>
              <w:bottom w:val="single" w:sz="4" w:space="0" w:color="auto"/>
              <w:right w:val="single" w:sz="4" w:space="0" w:color="auto"/>
            </w:tcBorders>
            <w:shd w:val="clear" w:color="auto" w:fill="auto"/>
            <w:noWrap/>
            <w:vAlign w:val="center"/>
          </w:tcPr>
          <w:p w14:paraId="460EC57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675</w:t>
            </w:r>
          </w:p>
        </w:tc>
        <w:tc>
          <w:tcPr>
            <w:tcW w:w="790" w:type="dxa"/>
            <w:tcBorders>
              <w:top w:val="nil"/>
              <w:left w:val="nil"/>
              <w:bottom w:val="single" w:sz="4" w:space="0" w:color="auto"/>
              <w:right w:val="single" w:sz="8" w:space="0" w:color="auto"/>
            </w:tcBorders>
            <w:shd w:val="clear" w:color="auto" w:fill="auto"/>
            <w:noWrap/>
            <w:vAlign w:val="center"/>
          </w:tcPr>
          <w:p w14:paraId="3FB9242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r>
      <w:tr w:rsidR="00235309" w:rsidRPr="00765F6E" w14:paraId="5F78831A" w14:textId="77777777" w:rsidTr="00871D47">
        <w:trPr>
          <w:trHeight w:val="176"/>
          <w:jc w:val="center"/>
        </w:trPr>
        <w:tc>
          <w:tcPr>
            <w:tcW w:w="799" w:type="dxa"/>
            <w:tcBorders>
              <w:top w:val="nil"/>
              <w:left w:val="single" w:sz="8" w:space="0" w:color="auto"/>
              <w:bottom w:val="single" w:sz="4" w:space="0" w:color="auto"/>
              <w:right w:val="single" w:sz="4" w:space="0" w:color="auto"/>
            </w:tcBorders>
            <w:shd w:val="clear" w:color="auto" w:fill="auto"/>
            <w:vAlign w:val="center"/>
          </w:tcPr>
          <w:p w14:paraId="5F9EE14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tcBorders>
              <w:top w:val="nil"/>
              <w:left w:val="nil"/>
              <w:bottom w:val="single" w:sz="4" w:space="0" w:color="auto"/>
              <w:right w:val="single" w:sz="4" w:space="0" w:color="auto"/>
            </w:tcBorders>
            <w:shd w:val="clear" w:color="auto" w:fill="auto"/>
            <w:noWrap/>
            <w:vAlign w:val="center"/>
          </w:tcPr>
          <w:p w14:paraId="6D357BA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480</w:t>
            </w:r>
          </w:p>
        </w:tc>
        <w:tc>
          <w:tcPr>
            <w:tcW w:w="798" w:type="dxa"/>
            <w:tcBorders>
              <w:top w:val="nil"/>
              <w:left w:val="nil"/>
              <w:bottom w:val="single" w:sz="4" w:space="0" w:color="auto"/>
              <w:right w:val="single" w:sz="4" w:space="0" w:color="auto"/>
            </w:tcBorders>
            <w:shd w:val="clear" w:color="auto" w:fill="auto"/>
            <w:noWrap/>
            <w:vAlign w:val="center"/>
          </w:tcPr>
          <w:p w14:paraId="37D63A4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220</w:t>
            </w:r>
          </w:p>
        </w:tc>
        <w:tc>
          <w:tcPr>
            <w:tcW w:w="798" w:type="dxa"/>
            <w:tcBorders>
              <w:top w:val="nil"/>
              <w:left w:val="nil"/>
              <w:bottom w:val="single" w:sz="4" w:space="0" w:color="auto"/>
              <w:right w:val="single" w:sz="4" w:space="0" w:color="auto"/>
            </w:tcBorders>
            <w:shd w:val="clear" w:color="auto" w:fill="auto"/>
            <w:noWrap/>
            <w:vAlign w:val="center"/>
          </w:tcPr>
          <w:p w14:paraId="3086395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127</w:t>
            </w:r>
          </w:p>
        </w:tc>
        <w:tc>
          <w:tcPr>
            <w:tcW w:w="798" w:type="dxa"/>
            <w:tcBorders>
              <w:top w:val="nil"/>
              <w:left w:val="nil"/>
              <w:bottom w:val="single" w:sz="4" w:space="0" w:color="auto"/>
              <w:right w:val="single" w:sz="4" w:space="0" w:color="auto"/>
            </w:tcBorders>
            <w:shd w:val="clear" w:color="auto" w:fill="auto"/>
            <w:noWrap/>
            <w:vAlign w:val="center"/>
          </w:tcPr>
          <w:p w14:paraId="2851A08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92</w:t>
            </w:r>
          </w:p>
        </w:tc>
        <w:tc>
          <w:tcPr>
            <w:tcW w:w="798" w:type="dxa"/>
            <w:tcBorders>
              <w:top w:val="nil"/>
              <w:left w:val="nil"/>
              <w:bottom w:val="single" w:sz="4" w:space="0" w:color="auto"/>
              <w:right w:val="single" w:sz="4" w:space="0" w:color="auto"/>
            </w:tcBorders>
            <w:shd w:val="clear" w:color="auto" w:fill="auto"/>
            <w:noWrap/>
            <w:vAlign w:val="center"/>
          </w:tcPr>
          <w:p w14:paraId="5E876B0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93</w:t>
            </w:r>
          </w:p>
        </w:tc>
        <w:tc>
          <w:tcPr>
            <w:tcW w:w="798" w:type="dxa"/>
            <w:tcBorders>
              <w:top w:val="nil"/>
              <w:left w:val="nil"/>
              <w:bottom w:val="single" w:sz="4" w:space="0" w:color="auto"/>
              <w:right w:val="single" w:sz="4" w:space="0" w:color="auto"/>
            </w:tcBorders>
            <w:shd w:val="clear" w:color="auto" w:fill="auto"/>
            <w:noWrap/>
            <w:vAlign w:val="center"/>
          </w:tcPr>
          <w:p w14:paraId="0C21B02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nil"/>
              <w:left w:val="nil"/>
              <w:bottom w:val="single" w:sz="4" w:space="0" w:color="auto"/>
              <w:right w:val="single" w:sz="4" w:space="0" w:color="auto"/>
            </w:tcBorders>
            <w:shd w:val="clear" w:color="auto" w:fill="auto"/>
            <w:noWrap/>
            <w:vAlign w:val="center"/>
          </w:tcPr>
          <w:p w14:paraId="037096E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nil"/>
              <w:left w:val="nil"/>
              <w:bottom w:val="single" w:sz="4" w:space="0" w:color="auto"/>
              <w:right w:val="single" w:sz="4" w:space="0" w:color="auto"/>
            </w:tcBorders>
            <w:shd w:val="clear" w:color="auto" w:fill="auto"/>
            <w:noWrap/>
            <w:vAlign w:val="center"/>
          </w:tcPr>
          <w:p w14:paraId="1158D1C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-35</w:t>
            </w:r>
          </w:p>
        </w:tc>
        <w:tc>
          <w:tcPr>
            <w:tcW w:w="798" w:type="dxa"/>
            <w:tcBorders>
              <w:top w:val="nil"/>
              <w:left w:val="nil"/>
              <w:bottom w:val="single" w:sz="4" w:space="0" w:color="auto"/>
              <w:right w:val="single" w:sz="4" w:space="0" w:color="auto"/>
            </w:tcBorders>
            <w:shd w:val="clear" w:color="auto" w:fill="auto"/>
            <w:noWrap/>
            <w:vAlign w:val="center"/>
          </w:tcPr>
          <w:p w14:paraId="1773FD2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-35</w:t>
            </w:r>
          </w:p>
        </w:tc>
        <w:tc>
          <w:tcPr>
            <w:tcW w:w="798" w:type="dxa"/>
            <w:tcBorders>
              <w:top w:val="nil"/>
              <w:left w:val="nil"/>
              <w:bottom w:val="single" w:sz="4" w:space="0" w:color="auto"/>
              <w:right w:val="single" w:sz="4" w:space="0" w:color="auto"/>
            </w:tcBorders>
            <w:shd w:val="clear" w:color="auto" w:fill="auto"/>
            <w:noWrap/>
            <w:vAlign w:val="center"/>
          </w:tcPr>
          <w:p w14:paraId="57C2CC4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95</w:t>
            </w:r>
          </w:p>
        </w:tc>
        <w:tc>
          <w:tcPr>
            <w:tcW w:w="790" w:type="dxa"/>
            <w:tcBorders>
              <w:top w:val="nil"/>
              <w:left w:val="nil"/>
              <w:bottom w:val="single" w:sz="4" w:space="0" w:color="auto"/>
              <w:right w:val="single" w:sz="8" w:space="0" w:color="auto"/>
            </w:tcBorders>
            <w:shd w:val="clear" w:color="auto" w:fill="auto"/>
            <w:noWrap/>
            <w:vAlign w:val="center"/>
          </w:tcPr>
          <w:p w14:paraId="6723B23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95</w:t>
            </w:r>
          </w:p>
        </w:tc>
      </w:tr>
      <w:tr w:rsidR="00235309" w:rsidRPr="00765F6E" w14:paraId="4F0C45A3" w14:textId="77777777" w:rsidTr="00871D47">
        <w:trPr>
          <w:trHeight w:val="176"/>
          <w:jc w:val="center"/>
        </w:trPr>
        <w:tc>
          <w:tcPr>
            <w:tcW w:w="799" w:type="dxa"/>
            <w:tcBorders>
              <w:top w:val="nil"/>
              <w:left w:val="single" w:sz="8" w:space="0" w:color="auto"/>
              <w:bottom w:val="single" w:sz="4" w:space="0" w:color="auto"/>
              <w:right w:val="single" w:sz="4" w:space="0" w:color="auto"/>
            </w:tcBorders>
            <w:shd w:val="clear" w:color="auto" w:fill="auto"/>
            <w:vAlign w:val="center"/>
          </w:tcPr>
          <w:p w14:paraId="2D4A733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nil"/>
              <w:left w:val="nil"/>
              <w:bottom w:val="single" w:sz="4" w:space="0" w:color="auto"/>
              <w:right w:val="single" w:sz="4" w:space="0" w:color="auto"/>
            </w:tcBorders>
            <w:shd w:val="clear" w:color="auto" w:fill="auto"/>
            <w:noWrap/>
            <w:vAlign w:val="center"/>
          </w:tcPr>
          <w:p w14:paraId="1C328E4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0s</w:t>
            </w:r>
          </w:p>
        </w:tc>
        <w:tc>
          <w:tcPr>
            <w:tcW w:w="798" w:type="dxa"/>
            <w:tcBorders>
              <w:top w:val="nil"/>
              <w:left w:val="nil"/>
              <w:bottom w:val="single" w:sz="4" w:space="0" w:color="auto"/>
              <w:right w:val="single" w:sz="4" w:space="0" w:color="auto"/>
            </w:tcBorders>
            <w:shd w:val="clear" w:color="auto" w:fill="auto"/>
            <w:noWrap/>
            <w:vAlign w:val="center"/>
          </w:tcPr>
          <w:p w14:paraId="5A88DAF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1s</w:t>
            </w:r>
          </w:p>
        </w:tc>
        <w:tc>
          <w:tcPr>
            <w:tcW w:w="798" w:type="dxa"/>
            <w:tcBorders>
              <w:top w:val="nil"/>
              <w:left w:val="nil"/>
              <w:bottom w:val="single" w:sz="4" w:space="0" w:color="auto"/>
              <w:right w:val="single" w:sz="4" w:space="0" w:color="auto"/>
            </w:tcBorders>
            <w:shd w:val="clear" w:color="auto" w:fill="auto"/>
            <w:noWrap/>
            <w:vAlign w:val="center"/>
          </w:tcPr>
          <w:p w14:paraId="4F45E14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2s</w:t>
            </w:r>
          </w:p>
        </w:tc>
        <w:tc>
          <w:tcPr>
            <w:tcW w:w="798" w:type="dxa"/>
            <w:tcBorders>
              <w:top w:val="nil"/>
              <w:left w:val="nil"/>
              <w:bottom w:val="single" w:sz="4" w:space="0" w:color="auto"/>
              <w:right w:val="single" w:sz="4" w:space="0" w:color="auto"/>
            </w:tcBorders>
            <w:shd w:val="clear" w:color="auto" w:fill="auto"/>
            <w:noWrap/>
            <w:vAlign w:val="center"/>
          </w:tcPr>
          <w:p w14:paraId="46E0DBB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3s</w:t>
            </w:r>
          </w:p>
        </w:tc>
        <w:tc>
          <w:tcPr>
            <w:tcW w:w="798" w:type="dxa"/>
            <w:tcBorders>
              <w:top w:val="nil"/>
              <w:left w:val="nil"/>
              <w:bottom w:val="single" w:sz="4" w:space="0" w:color="auto"/>
              <w:right w:val="single" w:sz="4" w:space="0" w:color="auto"/>
            </w:tcBorders>
            <w:shd w:val="clear" w:color="auto" w:fill="auto"/>
            <w:noWrap/>
            <w:vAlign w:val="center"/>
          </w:tcPr>
          <w:p w14:paraId="3B5A547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4s</w:t>
            </w:r>
          </w:p>
        </w:tc>
        <w:tc>
          <w:tcPr>
            <w:tcW w:w="798" w:type="dxa"/>
            <w:tcBorders>
              <w:top w:val="nil"/>
              <w:left w:val="nil"/>
              <w:bottom w:val="single" w:sz="4" w:space="0" w:color="auto"/>
              <w:right w:val="single" w:sz="4" w:space="0" w:color="auto"/>
            </w:tcBorders>
            <w:shd w:val="clear" w:color="auto" w:fill="auto"/>
            <w:noWrap/>
            <w:vAlign w:val="center"/>
          </w:tcPr>
          <w:p w14:paraId="136780F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5s</w:t>
            </w:r>
          </w:p>
        </w:tc>
        <w:tc>
          <w:tcPr>
            <w:tcW w:w="798" w:type="dxa"/>
            <w:tcBorders>
              <w:top w:val="nil"/>
              <w:left w:val="nil"/>
              <w:bottom w:val="single" w:sz="4" w:space="0" w:color="auto"/>
              <w:right w:val="single" w:sz="4" w:space="0" w:color="auto"/>
            </w:tcBorders>
            <w:shd w:val="clear" w:color="auto" w:fill="auto"/>
            <w:noWrap/>
            <w:vAlign w:val="center"/>
          </w:tcPr>
          <w:p w14:paraId="04CC84B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6s</w:t>
            </w:r>
          </w:p>
        </w:tc>
        <w:tc>
          <w:tcPr>
            <w:tcW w:w="798" w:type="dxa"/>
            <w:tcBorders>
              <w:top w:val="nil"/>
              <w:left w:val="nil"/>
              <w:bottom w:val="single" w:sz="4" w:space="0" w:color="auto"/>
              <w:right w:val="single" w:sz="4" w:space="0" w:color="auto"/>
            </w:tcBorders>
            <w:shd w:val="clear" w:color="auto" w:fill="auto"/>
            <w:noWrap/>
            <w:vAlign w:val="center"/>
          </w:tcPr>
          <w:p w14:paraId="350C1E4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7s</w:t>
            </w:r>
          </w:p>
        </w:tc>
        <w:tc>
          <w:tcPr>
            <w:tcW w:w="798" w:type="dxa"/>
            <w:tcBorders>
              <w:top w:val="nil"/>
              <w:left w:val="nil"/>
              <w:bottom w:val="single" w:sz="4" w:space="0" w:color="auto"/>
              <w:right w:val="single" w:sz="4" w:space="0" w:color="auto"/>
            </w:tcBorders>
            <w:shd w:val="clear" w:color="auto" w:fill="auto"/>
            <w:noWrap/>
            <w:vAlign w:val="center"/>
          </w:tcPr>
          <w:p w14:paraId="2CF31DD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0a</w:t>
            </w:r>
          </w:p>
        </w:tc>
        <w:tc>
          <w:tcPr>
            <w:tcW w:w="798" w:type="dxa"/>
            <w:tcBorders>
              <w:top w:val="nil"/>
              <w:left w:val="nil"/>
              <w:bottom w:val="single" w:sz="4" w:space="0" w:color="auto"/>
              <w:right w:val="single" w:sz="4" w:space="0" w:color="auto"/>
            </w:tcBorders>
            <w:shd w:val="clear" w:color="auto" w:fill="auto"/>
            <w:noWrap/>
            <w:vAlign w:val="center"/>
          </w:tcPr>
          <w:p w14:paraId="05CC2E2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1a</w:t>
            </w:r>
          </w:p>
        </w:tc>
        <w:tc>
          <w:tcPr>
            <w:tcW w:w="790" w:type="dxa"/>
            <w:tcBorders>
              <w:top w:val="nil"/>
              <w:left w:val="nil"/>
              <w:bottom w:val="single" w:sz="4" w:space="0" w:color="auto"/>
              <w:right w:val="single" w:sz="8" w:space="0" w:color="auto"/>
            </w:tcBorders>
            <w:shd w:val="clear" w:color="auto" w:fill="auto"/>
            <w:noWrap/>
            <w:vAlign w:val="center"/>
          </w:tcPr>
          <w:p w14:paraId="0513435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0b</w:t>
            </w:r>
          </w:p>
        </w:tc>
      </w:tr>
      <w:tr w:rsidR="00235309" w:rsidRPr="00765F6E" w14:paraId="689AF3BC" w14:textId="77777777" w:rsidTr="00871D47">
        <w:trPr>
          <w:trHeight w:val="176"/>
          <w:jc w:val="center"/>
        </w:trPr>
        <w:tc>
          <w:tcPr>
            <w:tcW w:w="799" w:type="dxa"/>
            <w:tcBorders>
              <w:top w:val="nil"/>
              <w:left w:val="single" w:sz="8" w:space="0" w:color="auto"/>
              <w:bottom w:val="single" w:sz="4" w:space="0" w:color="auto"/>
              <w:right w:val="single" w:sz="4" w:space="0" w:color="auto"/>
            </w:tcBorders>
            <w:shd w:val="clear" w:color="auto" w:fill="auto"/>
            <w:vAlign w:val="center"/>
          </w:tcPr>
          <w:p w14:paraId="24D86BE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nil"/>
              <w:left w:val="nil"/>
              <w:bottom w:val="single" w:sz="4" w:space="0" w:color="auto"/>
              <w:right w:val="single" w:sz="4" w:space="0" w:color="auto"/>
            </w:tcBorders>
            <w:shd w:val="clear" w:color="auto" w:fill="auto"/>
            <w:noWrap/>
            <w:vAlign w:val="center"/>
          </w:tcPr>
          <w:p w14:paraId="1DB0A07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nil"/>
              <w:left w:val="nil"/>
              <w:bottom w:val="single" w:sz="4" w:space="0" w:color="auto"/>
              <w:right w:val="single" w:sz="4" w:space="0" w:color="auto"/>
            </w:tcBorders>
            <w:shd w:val="clear" w:color="auto" w:fill="auto"/>
            <w:noWrap/>
            <w:vAlign w:val="center"/>
          </w:tcPr>
          <w:p w14:paraId="1C09A2E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213</w:t>
            </w:r>
          </w:p>
        </w:tc>
        <w:tc>
          <w:tcPr>
            <w:tcW w:w="798" w:type="dxa"/>
            <w:tcBorders>
              <w:top w:val="nil"/>
              <w:left w:val="nil"/>
              <w:bottom w:val="single" w:sz="4" w:space="0" w:color="auto"/>
              <w:right w:val="single" w:sz="4" w:space="0" w:color="auto"/>
            </w:tcBorders>
            <w:shd w:val="clear" w:color="auto" w:fill="auto"/>
            <w:noWrap/>
            <w:vAlign w:val="center"/>
          </w:tcPr>
          <w:p w14:paraId="38BAE99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689</w:t>
            </w:r>
          </w:p>
        </w:tc>
        <w:tc>
          <w:tcPr>
            <w:tcW w:w="798" w:type="dxa"/>
            <w:tcBorders>
              <w:top w:val="nil"/>
              <w:left w:val="nil"/>
              <w:bottom w:val="single" w:sz="4" w:space="0" w:color="auto"/>
              <w:right w:val="single" w:sz="4" w:space="0" w:color="auto"/>
            </w:tcBorders>
            <w:shd w:val="clear" w:color="auto" w:fill="auto"/>
            <w:noWrap/>
            <w:vAlign w:val="center"/>
          </w:tcPr>
          <w:p w14:paraId="75A0C4E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1075</w:t>
            </w:r>
          </w:p>
        </w:tc>
        <w:tc>
          <w:tcPr>
            <w:tcW w:w="798" w:type="dxa"/>
            <w:tcBorders>
              <w:top w:val="nil"/>
              <w:left w:val="nil"/>
              <w:bottom w:val="single" w:sz="4" w:space="0" w:color="auto"/>
              <w:right w:val="single" w:sz="4" w:space="0" w:color="auto"/>
            </w:tcBorders>
            <w:shd w:val="clear" w:color="auto" w:fill="auto"/>
            <w:noWrap/>
            <w:vAlign w:val="center"/>
          </w:tcPr>
          <w:p w14:paraId="33AF042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1109</w:t>
            </w:r>
          </w:p>
        </w:tc>
        <w:tc>
          <w:tcPr>
            <w:tcW w:w="798" w:type="dxa"/>
            <w:tcBorders>
              <w:top w:val="nil"/>
              <w:left w:val="nil"/>
              <w:bottom w:val="single" w:sz="4" w:space="0" w:color="auto"/>
              <w:right w:val="single" w:sz="4" w:space="0" w:color="auto"/>
            </w:tcBorders>
            <w:shd w:val="clear" w:color="auto" w:fill="auto"/>
            <w:noWrap/>
            <w:vAlign w:val="center"/>
          </w:tcPr>
          <w:p w14:paraId="5C3FEA9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1136</w:t>
            </w:r>
          </w:p>
        </w:tc>
        <w:tc>
          <w:tcPr>
            <w:tcW w:w="798" w:type="dxa"/>
            <w:tcBorders>
              <w:top w:val="nil"/>
              <w:left w:val="nil"/>
              <w:bottom w:val="single" w:sz="4" w:space="0" w:color="auto"/>
              <w:right w:val="single" w:sz="4" w:space="0" w:color="auto"/>
            </w:tcBorders>
            <w:shd w:val="clear" w:color="auto" w:fill="auto"/>
            <w:noWrap/>
            <w:vAlign w:val="center"/>
          </w:tcPr>
          <w:p w14:paraId="1B18990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1176</w:t>
            </w:r>
          </w:p>
        </w:tc>
        <w:tc>
          <w:tcPr>
            <w:tcW w:w="798" w:type="dxa"/>
            <w:tcBorders>
              <w:top w:val="nil"/>
              <w:left w:val="nil"/>
              <w:bottom w:val="single" w:sz="4" w:space="0" w:color="auto"/>
              <w:right w:val="single" w:sz="4" w:space="0" w:color="auto"/>
            </w:tcBorders>
            <w:shd w:val="clear" w:color="auto" w:fill="auto"/>
            <w:noWrap/>
            <w:vAlign w:val="center"/>
          </w:tcPr>
          <w:p w14:paraId="19B43F8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1203</w:t>
            </w:r>
          </w:p>
        </w:tc>
        <w:tc>
          <w:tcPr>
            <w:tcW w:w="798" w:type="dxa"/>
            <w:tcBorders>
              <w:top w:val="nil"/>
              <w:left w:val="nil"/>
              <w:bottom w:val="single" w:sz="4" w:space="0" w:color="auto"/>
              <w:right w:val="single" w:sz="4" w:space="0" w:color="auto"/>
            </w:tcBorders>
            <w:shd w:val="clear" w:color="auto" w:fill="auto"/>
            <w:noWrap/>
            <w:vAlign w:val="center"/>
          </w:tcPr>
          <w:p w14:paraId="32F69DB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nil"/>
              <w:left w:val="nil"/>
              <w:bottom w:val="single" w:sz="4" w:space="0" w:color="auto"/>
              <w:right w:val="single" w:sz="4" w:space="0" w:color="auto"/>
            </w:tcBorders>
            <w:shd w:val="clear" w:color="auto" w:fill="auto"/>
            <w:noWrap/>
            <w:vAlign w:val="center"/>
          </w:tcPr>
          <w:p w14:paraId="3A0CAC9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1118</w:t>
            </w:r>
          </w:p>
        </w:tc>
        <w:tc>
          <w:tcPr>
            <w:tcW w:w="790" w:type="dxa"/>
            <w:tcBorders>
              <w:top w:val="nil"/>
              <w:left w:val="nil"/>
              <w:bottom w:val="single" w:sz="4" w:space="0" w:color="auto"/>
              <w:right w:val="single" w:sz="8" w:space="0" w:color="auto"/>
            </w:tcBorders>
            <w:shd w:val="clear" w:color="auto" w:fill="auto"/>
            <w:noWrap/>
            <w:vAlign w:val="center"/>
          </w:tcPr>
          <w:p w14:paraId="1345675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r>
      <w:tr w:rsidR="00235309" w:rsidRPr="00765F6E" w14:paraId="2B708D8D" w14:textId="77777777" w:rsidTr="00871D47">
        <w:trPr>
          <w:trHeight w:val="176"/>
          <w:jc w:val="center"/>
        </w:trPr>
        <w:tc>
          <w:tcPr>
            <w:tcW w:w="799" w:type="dxa"/>
            <w:tcBorders>
              <w:top w:val="nil"/>
              <w:left w:val="single" w:sz="8" w:space="0" w:color="auto"/>
              <w:bottom w:val="single" w:sz="4" w:space="0" w:color="auto"/>
              <w:right w:val="single" w:sz="4" w:space="0" w:color="auto"/>
            </w:tcBorders>
            <w:shd w:val="clear" w:color="auto" w:fill="auto"/>
            <w:vAlign w:val="center"/>
          </w:tcPr>
          <w:p w14:paraId="1B855FC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tcBorders>
              <w:top w:val="nil"/>
              <w:left w:val="nil"/>
              <w:bottom w:val="single" w:sz="4" w:space="0" w:color="auto"/>
              <w:right w:val="single" w:sz="4" w:space="0" w:color="auto"/>
            </w:tcBorders>
            <w:shd w:val="clear" w:color="auto" w:fill="auto"/>
            <w:noWrap/>
            <w:vAlign w:val="center"/>
          </w:tcPr>
          <w:p w14:paraId="66B8C92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4125</w:t>
            </w:r>
          </w:p>
        </w:tc>
        <w:tc>
          <w:tcPr>
            <w:tcW w:w="798" w:type="dxa"/>
            <w:tcBorders>
              <w:top w:val="nil"/>
              <w:left w:val="nil"/>
              <w:bottom w:val="single" w:sz="4" w:space="0" w:color="auto"/>
              <w:right w:val="single" w:sz="4" w:space="0" w:color="auto"/>
            </w:tcBorders>
            <w:shd w:val="clear" w:color="auto" w:fill="auto"/>
            <w:noWrap/>
            <w:vAlign w:val="center"/>
          </w:tcPr>
          <w:p w14:paraId="5A0AF32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4125</w:t>
            </w:r>
          </w:p>
        </w:tc>
        <w:tc>
          <w:tcPr>
            <w:tcW w:w="798" w:type="dxa"/>
            <w:tcBorders>
              <w:top w:val="nil"/>
              <w:left w:val="nil"/>
              <w:bottom w:val="single" w:sz="4" w:space="0" w:color="auto"/>
              <w:right w:val="single" w:sz="4" w:space="0" w:color="auto"/>
            </w:tcBorders>
            <w:shd w:val="clear" w:color="auto" w:fill="auto"/>
            <w:noWrap/>
            <w:vAlign w:val="center"/>
          </w:tcPr>
          <w:p w14:paraId="711E17C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4090</w:t>
            </w:r>
          </w:p>
        </w:tc>
        <w:tc>
          <w:tcPr>
            <w:tcW w:w="798" w:type="dxa"/>
            <w:tcBorders>
              <w:top w:val="nil"/>
              <w:left w:val="nil"/>
              <w:bottom w:val="single" w:sz="4" w:space="0" w:color="auto"/>
              <w:right w:val="single" w:sz="4" w:space="0" w:color="auto"/>
            </w:tcBorders>
            <w:shd w:val="clear" w:color="auto" w:fill="auto"/>
            <w:noWrap/>
            <w:vAlign w:val="center"/>
          </w:tcPr>
          <w:p w14:paraId="2A82D82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4026</w:t>
            </w:r>
          </w:p>
        </w:tc>
        <w:tc>
          <w:tcPr>
            <w:tcW w:w="798" w:type="dxa"/>
            <w:tcBorders>
              <w:top w:val="nil"/>
              <w:left w:val="nil"/>
              <w:bottom w:val="single" w:sz="4" w:space="0" w:color="auto"/>
              <w:right w:val="single" w:sz="4" w:space="0" w:color="auto"/>
            </w:tcBorders>
            <w:shd w:val="clear" w:color="auto" w:fill="auto"/>
            <w:noWrap/>
            <w:vAlign w:val="center"/>
          </w:tcPr>
          <w:p w14:paraId="78AB261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3996</w:t>
            </w:r>
          </w:p>
        </w:tc>
        <w:tc>
          <w:tcPr>
            <w:tcW w:w="798" w:type="dxa"/>
            <w:tcBorders>
              <w:top w:val="nil"/>
              <w:left w:val="nil"/>
              <w:bottom w:val="single" w:sz="4" w:space="0" w:color="auto"/>
              <w:right w:val="single" w:sz="4" w:space="0" w:color="auto"/>
            </w:tcBorders>
            <w:shd w:val="clear" w:color="auto" w:fill="auto"/>
            <w:noWrap/>
            <w:vAlign w:val="center"/>
          </w:tcPr>
          <w:p w14:paraId="58E1E71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3956</w:t>
            </w:r>
          </w:p>
        </w:tc>
        <w:tc>
          <w:tcPr>
            <w:tcW w:w="798" w:type="dxa"/>
            <w:tcBorders>
              <w:top w:val="nil"/>
              <w:left w:val="nil"/>
              <w:bottom w:val="single" w:sz="4" w:space="0" w:color="auto"/>
              <w:right w:val="single" w:sz="4" w:space="0" w:color="auto"/>
            </w:tcBorders>
            <w:shd w:val="clear" w:color="auto" w:fill="auto"/>
            <w:noWrap/>
            <w:vAlign w:val="center"/>
          </w:tcPr>
          <w:p w14:paraId="6D6C804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3849</w:t>
            </w:r>
          </w:p>
        </w:tc>
        <w:tc>
          <w:tcPr>
            <w:tcW w:w="798" w:type="dxa"/>
            <w:tcBorders>
              <w:top w:val="nil"/>
              <w:left w:val="nil"/>
              <w:bottom w:val="single" w:sz="4" w:space="0" w:color="auto"/>
              <w:right w:val="single" w:sz="4" w:space="0" w:color="auto"/>
            </w:tcBorders>
            <w:shd w:val="clear" w:color="auto" w:fill="auto"/>
            <w:noWrap/>
            <w:vAlign w:val="center"/>
          </w:tcPr>
          <w:p w14:paraId="768212D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3709</w:t>
            </w:r>
          </w:p>
        </w:tc>
        <w:tc>
          <w:tcPr>
            <w:tcW w:w="798" w:type="dxa"/>
            <w:tcBorders>
              <w:top w:val="nil"/>
              <w:left w:val="nil"/>
              <w:bottom w:val="single" w:sz="4" w:space="0" w:color="auto"/>
              <w:right w:val="single" w:sz="4" w:space="0" w:color="auto"/>
            </w:tcBorders>
            <w:shd w:val="clear" w:color="auto" w:fill="auto"/>
            <w:noWrap/>
            <w:vAlign w:val="center"/>
          </w:tcPr>
          <w:p w14:paraId="77197D1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4677</w:t>
            </w:r>
          </w:p>
        </w:tc>
        <w:tc>
          <w:tcPr>
            <w:tcW w:w="798" w:type="dxa"/>
            <w:tcBorders>
              <w:top w:val="nil"/>
              <w:left w:val="nil"/>
              <w:bottom w:val="single" w:sz="4" w:space="0" w:color="auto"/>
              <w:right w:val="single" w:sz="4" w:space="0" w:color="auto"/>
            </w:tcBorders>
            <w:shd w:val="clear" w:color="auto" w:fill="auto"/>
            <w:noWrap/>
            <w:vAlign w:val="center"/>
          </w:tcPr>
          <w:p w14:paraId="27E019F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4677</w:t>
            </w:r>
          </w:p>
        </w:tc>
        <w:tc>
          <w:tcPr>
            <w:tcW w:w="790" w:type="dxa"/>
            <w:tcBorders>
              <w:top w:val="nil"/>
              <w:left w:val="nil"/>
              <w:bottom w:val="single" w:sz="4" w:space="0" w:color="auto"/>
              <w:right w:val="single" w:sz="8" w:space="0" w:color="auto"/>
            </w:tcBorders>
            <w:shd w:val="clear" w:color="auto" w:fill="auto"/>
            <w:noWrap/>
            <w:vAlign w:val="center"/>
          </w:tcPr>
          <w:p w14:paraId="5B501CD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5300</w:t>
            </w:r>
          </w:p>
        </w:tc>
      </w:tr>
      <w:tr w:rsidR="00235309" w:rsidRPr="00765F6E" w14:paraId="65097952" w14:textId="77777777" w:rsidTr="00871D47">
        <w:trPr>
          <w:trHeight w:val="176"/>
          <w:jc w:val="center"/>
        </w:trPr>
        <w:tc>
          <w:tcPr>
            <w:tcW w:w="799" w:type="dxa"/>
            <w:tcBorders>
              <w:top w:val="single" w:sz="4" w:space="0" w:color="auto"/>
              <w:left w:val="single" w:sz="8" w:space="0" w:color="auto"/>
              <w:bottom w:val="single" w:sz="4" w:space="0" w:color="auto"/>
              <w:right w:val="single" w:sz="4" w:space="0" w:color="auto"/>
            </w:tcBorders>
            <w:shd w:val="clear" w:color="auto" w:fill="auto"/>
            <w:vAlign w:val="center"/>
          </w:tcPr>
          <w:p w14:paraId="17F31B57"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single" w:sz="4" w:space="0" w:color="auto"/>
              <w:left w:val="nil"/>
              <w:bottom w:val="single" w:sz="4" w:space="0" w:color="auto"/>
              <w:right w:val="single" w:sz="4" w:space="0" w:color="auto"/>
            </w:tcBorders>
            <w:shd w:val="clear" w:color="auto" w:fill="auto"/>
            <w:noWrap/>
            <w:vAlign w:val="center"/>
          </w:tcPr>
          <w:p w14:paraId="646C8629"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1b</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3263BD85"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2b</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376A5D00"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3b</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067E9FFF"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42CCA8B1"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40706AD6"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33BF7A18"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53BBC934"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6622AB9A"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5B1E195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tcBorders>
              <w:top w:val="single" w:sz="4" w:space="0" w:color="auto"/>
              <w:left w:val="nil"/>
              <w:bottom w:val="single" w:sz="4" w:space="0" w:color="auto"/>
              <w:right w:val="single" w:sz="8" w:space="0" w:color="auto"/>
            </w:tcBorders>
            <w:shd w:val="clear" w:color="auto" w:fill="auto"/>
            <w:noWrap/>
            <w:vAlign w:val="center"/>
          </w:tcPr>
          <w:p w14:paraId="2CC036F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489C971B" w14:textId="77777777" w:rsidTr="00871D47">
        <w:trPr>
          <w:trHeight w:val="176"/>
          <w:jc w:val="center"/>
        </w:trPr>
        <w:tc>
          <w:tcPr>
            <w:tcW w:w="799" w:type="dxa"/>
            <w:tcBorders>
              <w:top w:val="single" w:sz="4" w:space="0" w:color="auto"/>
              <w:left w:val="single" w:sz="8" w:space="0" w:color="auto"/>
              <w:bottom w:val="single" w:sz="4" w:space="0" w:color="auto"/>
              <w:right w:val="single" w:sz="4" w:space="0" w:color="auto"/>
            </w:tcBorders>
            <w:shd w:val="clear" w:color="auto" w:fill="auto"/>
            <w:vAlign w:val="center"/>
          </w:tcPr>
          <w:p w14:paraId="37802597"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single" w:sz="4" w:space="0" w:color="auto"/>
              <w:left w:val="nil"/>
              <w:bottom w:val="single" w:sz="4" w:space="0" w:color="auto"/>
              <w:right w:val="single" w:sz="4" w:space="0" w:color="auto"/>
            </w:tcBorders>
            <w:shd w:val="clear" w:color="auto" w:fill="auto"/>
            <w:noWrap/>
            <w:vAlign w:val="center"/>
          </w:tcPr>
          <w:p w14:paraId="4A2EF3C9"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592</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064B4F5F"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720</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1230B1D4"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934</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7122BBF9"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5C9234DE"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70031AC3"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42269D2E"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5E68CEBE"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75D0317A"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4" w:space="0" w:color="auto"/>
              <w:right w:val="single" w:sz="4" w:space="0" w:color="auto"/>
            </w:tcBorders>
            <w:shd w:val="clear" w:color="auto" w:fill="auto"/>
            <w:noWrap/>
            <w:vAlign w:val="center"/>
          </w:tcPr>
          <w:p w14:paraId="4F07091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tcBorders>
              <w:top w:val="single" w:sz="4" w:space="0" w:color="auto"/>
              <w:left w:val="nil"/>
              <w:bottom w:val="single" w:sz="4" w:space="0" w:color="auto"/>
              <w:right w:val="single" w:sz="8" w:space="0" w:color="auto"/>
            </w:tcBorders>
            <w:shd w:val="clear" w:color="auto" w:fill="auto"/>
            <w:noWrap/>
            <w:vAlign w:val="center"/>
          </w:tcPr>
          <w:p w14:paraId="5BF45CE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14647BD6" w14:textId="77777777" w:rsidTr="00871D47">
        <w:trPr>
          <w:trHeight w:val="176"/>
          <w:jc w:val="center"/>
        </w:trPr>
        <w:tc>
          <w:tcPr>
            <w:tcW w:w="799" w:type="dxa"/>
            <w:tcBorders>
              <w:top w:val="single" w:sz="4" w:space="0" w:color="auto"/>
              <w:left w:val="single" w:sz="8" w:space="0" w:color="auto"/>
              <w:bottom w:val="single" w:sz="8" w:space="0" w:color="auto"/>
              <w:right w:val="single" w:sz="4" w:space="0" w:color="auto"/>
            </w:tcBorders>
            <w:shd w:val="clear" w:color="auto" w:fill="auto"/>
            <w:vAlign w:val="center"/>
          </w:tcPr>
          <w:p w14:paraId="3A5DBF73"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tcBorders>
              <w:top w:val="single" w:sz="4" w:space="0" w:color="auto"/>
              <w:left w:val="nil"/>
              <w:bottom w:val="single" w:sz="8" w:space="0" w:color="auto"/>
              <w:right w:val="single" w:sz="4" w:space="0" w:color="auto"/>
            </w:tcBorders>
            <w:shd w:val="clear" w:color="auto" w:fill="auto"/>
            <w:noWrap/>
            <w:vAlign w:val="center"/>
          </w:tcPr>
          <w:p w14:paraId="3986740C"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5300</w:t>
            </w:r>
          </w:p>
        </w:tc>
        <w:tc>
          <w:tcPr>
            <w:tcW w:w="798" w:type="dxa"/>
            <w:tcBorders>
              <w:top w:val="single" w:sz="4" w:space="0" w:color="auto"/>
              <w:left w:val="nil"/>
              <w:bottom w:val="single" w:sz="8" w:space="0" w:color="auto"/>
              <w:right w:val="single" w:sz="4" w:space="0" w:color="auto"/>
            </w:tcBorders>
            <w:shd w:val="clear" w:color="auto" w:fill="auto"/>
            <w:noWrap/>
            <w:vAlign w:val="center"/>
          </w:tcPr>
          <w:p w14:paraId="761EBEF5"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5254</w:t>
            </w:r>
          </w:p>
        </w:tc>
        <w:tc>
          <w:tcPr>
            <w:tcW w:w="798" w:type="dxa"/>
            <w:tcBorders>
              <w:top w:val="single" w:sz="4" w:space="0" w:color="auto"/>
              <w:left w:val="nil"/>
              <w:bottom w:val="single" w:sz="8" w:space="0" w:color="auto"/>
              <w:right w:val="single" w:sz="4" w:space="0" w:color="auto"/>
            </w:tcBorders>
            <w:shd w:val="clear" w:color="auto" w:fill="auto"/>
            <w:noWrap/>
            <w:vAlign w:val="center"/>
          </w:tcPr>
          <w:p w14:paraId="1490AB9A"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cs="宋体" w:hint="eastAsia"/>
                <w:kern w:val="0"/>
                <w:sz w:val="18"/>
                <w:szCs w:val="18"/>
              </w:rPr>
              <w:t>5117</w:t>
            </w:r>
          </w:p>
        </w:tc>
        <w:tc>
          <w:tcPr>
            <w:tcW w:w="798" w:type="dxa"/>
            <w:tcBorders>
              <w:top w:val="single" w:sz="4" w:space="0" w:color="auto"/>
              <w:left w:val="nil"/>
              <w:bottom w:val="single" w:sz="8" w:space="0" w:color="auto"/>
              <w:right w:val="single" w:sz="4" w:space="0" w:color="auto"/>
            </w:tcBorders>
            <w:shd w:val="clear" w:color="auto" w:fill="auto"/>
            <w:noWrap/>
            <w:vAlign w:val="center"/>
          </w:tcPr>
          <w:p w14:paraId="0D13EA52"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8" w:space="0" w:color="auto"/>
              <w:right w:val="single" w:sz="4" w:space="0" w:color="auto"/>
            </w:tcBorders>
            <w:shd w:val="clear" w:color="auto" w:fill="auto"/>
            <w:noWrap/>
            <w:vAlign w:val="center"/>
          </w:tcPr>
          <w:p w14:paraId="5011082E"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8" w:space="0" w:color="auto"/>
              <w:right w:val="single" w:sz="4" w:space="0" w:color="auto"/>
            </w:tcBorders>
            <w:shd w:val="clear" w:color="auto" w:fill="auto"/>
            <w:noWrap/>
            <w:vAlign w:val="center"/>
          </w:tcPr>
          <w:p w14:paraId="3873B5FC"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8" w:space="0" w:color="auto"/>
              <w:right w:val="single" w:sz="4" w:space="0" w:color="auto"/>
            </w:tcBorders>
            <w:shd w:val="clear" w:color="auto" w:fill="auto"/>
            <w:noWrap/>
            <w:vAlign w:val="center"/>
          </w:tcPr>
          <w:p w14:paraId="4A196641"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8" w:space="0" w:color="auto"/>
              <w:right w:val="single" w:sz="4" w:space="0" w:color="auto"/>
            </w:tcBorders>
            <w:shd w:val="clear" w:color="auto" w:fill="auto"/>
            <w:noWrap/>
            <w:vAlign w:val="center"/>
          </w:tcPr>
          <w:p w14:paraId="4B74A00F"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8" w:space="0" w:color="auto"/>
              <w:right w:val="single" w:sz="4" w:space="0" w:color="auto"/>
            </w:tcBorders>
            <w:shd w:val="clear" w:color="auto" w:fill="auto"/>
            <w:noWrap/>
            <w:vAlign w:val="center"/>
          </w:tcPr>
          <w:p w14:paraId="542D2E1F" w14:textId="77777777" w:rsidR="00235309" w:rsidRPr="00765F6E" w:rsidRDefault="00235309" w:rsidP="00871D47">
            <w:pPr>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tcBorders>
              <w:top w:val="single" w:sz="4" w:space="0" w:color="auto"/>
              <w:left w:val="nil"/>
              <w:bottom w:val="single" w:sz="8" w:space="0" w:color="auto"/>
              <w:right w:val="single" w:sz="4" w:space="0" w:color="auto"/>
            </w:tcBorders>
            <w:shd w:val="clear" w:color="auto" w:fill="auto"/>
            <w:noWrap/>
            <w:vAlign w:val="center"/>
          </w:tcPr>
          <w:p w14:paraId="644F50D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tcBorders>
              <w:top w:val="single" w:sz="4" w:space="0" w:color="auto"/>
              <w:left w:val="nil"/>
              <w:bottom w:val="single" w:sz="8" w:space="0" w:color="auto"/>
              <w:right w:val="single" w:sz="8" w:space="0" w:color="auto"/>
            </w:tcBorders>
            <w:shd w:val="clear" w:color="auto" w:fill="auto"/>
            <w:noWrap/>
            <w:vAlign w:val="center"/>
          </w:tcPr>
          <w:p w14:paraId="51DC884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18136575" w14:textId="77777777" w:rsidTr="00871D4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6"/>
          <w:jc w:val="center"/>
        </w:trPr>
        <w:tc>
          <w:tcPr>
            <w:tcW w:w="9570" w:type="dxa"/>
            <w:gridSpan w:val="12"/>
            <w:tcBorders>
              <w:top w:val="single" w:sz="8" w:space="0" w:color="auto"/>
              <w:left w:val="single" w:sz="8" w:space="0" w:color="auto"/>
              <w:bottom w:val="single" w:sz="8" w:space="0" w:color="auto"/>
              <w:right w:val="single" w:sz="8" w:space="0" w:color="auto"/>
            </w:tcBorders>
            <w:shd w:val="clear" w:color="auto" w:fill="auto"/>
            <w:vAlign w:val="center"/>
          </w:tcPr>
          <w:p w14:paraId="6DEF8021" w14:textId="628D5B4E" w:rsidR="00235309" w:rsidRPr="00765F6E" w:rsidRDefault="00235309" w:rsidP="00235309">
            <w:pPr>
              <w:pStyle w:val="afff2"/>
              <w:ind w:left="584"/>
            </w:pPr>
            <w:r w:rsidRPr="00765F6E">
              <w:t>0b</w:t>
            </w:r>
            <w:r w:rsidR="00396F4E">
              <w:rPr>
                <w:rFonts w:hAnsi="宋体" w:hint="eastAsia"/>
              </w:rPr>
              <w:t>～</w:t>
            </w:r>
            <w:r w:rsidRPr="00765F6E">
              <w:t>3b为受电弓轮廓。</w:t>
            </w:r>
          </w:p>
        </w:tc>
      </w:tr>
    </w:tbl>
    <w:p w14:paraId="3B27E989"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p>
    <w:p w14:paraId="0536F0CF" w14:textId="77777777" w:rsidR="00235309" w:rsidRPr="00765F6E" w:rsidRDefault="00235309" w:rsidP="00235309">
      <w:pPr>
        <w:pStyle w:val="aff0"/>
        <w:spacing w:before="120" w:after="120"/>
      </w:pPr>
      <w:r w:rsidRPr="00765F6E">
        <w:rPr>
          <w:rFonts w:hint="eastAsia"/>
        </w:rPr>
        <w:t>车辆限界坐标点</w:t>
      </w:r>
    </w:p>
    <w:p w14:paraId="27C0E5FB"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r w:rsidRPr="00765F6E">
        <w:rPr>
          <w:rFonts w:asciiTheme="minorEastAsia" w:eastAsiaTheme="minorEastAsia" w:hAnsiTheme="minorEastAsia" w:hint="eastAsia"/>
          <w:sz w:val="18"/>
          <w:szCs w:val="18"/>
        </w:rPr>
        <w:t>单位为毫米</w:t>
      </w:r>
    </w:p>
    <w:tbl>
      <w:tblPr>
        <w:tblW w:w="957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99"/>
        <w:gridCol w:w="799"/>
        <w:gridCol w:w="798"/>
        <w:gridCol w:w="798"/>
        <w:gridCol w:w="798"/>
        <w:gridCol w:w="798"/>
        <w:gridCol w:w="798"/>
        <w:gridCol w:w="798"/>
        <w:gridCol w:w="798"/>
        <w:gridCol w:w="798"/>
        <w:gridCol w:w="798"/>
        <w:gridCol w:w="790"/>
      </w:tblGrid>
      <w:tr w:rsidR="00235309" w:rsidRPr="00765F6E" w14:paraId="5D32BBCF" w14:textId="77777777" w:rsidTr="00871D47">
        <w:trPr>
          <w:trHeight w:val="176"/>
          <w:jc w:val="center"/>
        </w:trPr>
        <w:tc>
          <w:tcPr>
            <w:tcW w:w="799" w:type="dxa"/>
            <w:tcBorders>
              <w:top w:val="single" w:sz="8" w:space="0" w:color="auto"/>
              <w:bottom w:val="single" w:sz="8" w:space="0" w:color="auto"/>
            </w:tcBorders>
            <w:shd w:val="clear" w:color="auto" w:fill="auto"/>
            <w:noWrap/>
            <w:vAlign w:val="center"/>
          </w:tcPr>
          <w:p w14:paraId="2E438B2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single" w:sz="8" w:space="0" w:color="auto"/>
              <w:bottom w:val="single" w:sz="8" w:space="0" w:color="auto"/>
            </w:tcBorders>
            <w:shd w:val="clear" w:color="auto" w:fill="auto"/>
            <w:noWrap/>
            <w:vAlign w:val="center"/>
          </w:tcPr>
          <w:p w14:paraId="703F11A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0b′</w:t>
            </w:r>
          </w:p>
        </w:tc>
        <w:tc>
          <w:tcPr>
            <w:tcW w:w="798" w:type="dxa"/>
            <w:tcBorders>
              <w:top w:val="single" w:sz="8" w:space="0" w:color="auto"/>
              <w:bottom w:val="single" w:sz="8" w:space="0" w:color="auto"/>
            </w:tcBorders>
            <w:shd w:val="clear" w:color="auto" w:fill="auto"/>
            <w:noWrap/>
            <w:vAlign w:val="center"/>
          </w:tcPr>
          <w:p w14:paraId="3E94A7A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1b′</w:t>
            </w:r>
          </w:p>
        </w:tc>
        <w:tc>
          <w:tcPr>
            <w:tcW w:w="798" w:type="dxa"/>
            <w:tcBorders>
              <w:top w:val="single" w:sz="8" w:space="0" w:color="auto"/>
              <w:bottom w:val="single" w:sz="8" w:space="0" w:color="auto"/>
            </w:tcBorders>
            <w:shd w:val="clear" w:color="auto" w:fill="auto"/>
            <w:noWrap/>
            <w:vAlign w:val="center"/>
          </w:tcPr>
          <w:p w14:paraId="67F195A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2b′</w:t>
            </w:r>
          </w:p>
        </w:tc>
        <w:tc>
          <w:tcPr>
            <w:tcW w:w="798" w:type="dxa"/>
            <w:tcBorders>
              <w:top w:val="single" w:sz="8" w:space="0" w:color="auto"/>
              <w:bottom w:val="single" w:sz="8" w:space="0" w:color="auto"/>
            </w:tcBorders>
            <w:shd w:val="clear" w:color="auto" w:fill="auto"/>
            <w:noWrap/>
            <w:vAlign w:val="center"/>
          </w:tcPr>
          <w:p w14:paraId="3A07008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3b′</w:t>
            </w:r>
          </w:p>
        </w:tc>
        <w:tc>
          <w:tcPr>
            <w:tcW w:w="798" w:type="dxa"/>
            <w:tcBorders>
              <w:top w:val="single" w:sz="8" w:space="0" w:color="auto"/>
              <w:bottom w:val="single" w:sz="8" w:space="0" w:color="auto"/>
            </w:tcBorders>
            <w:shd w:val="clear" w:color="auto" w:fill="auto"/>
            <w:noWrap/>
            <w:vAlign w:val="center"/>
          </w:tcPr>
          <w:p w14:paraId="39AC4B9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bottom w:val="single" w:sz="8" w:space="0" w:color="auto"/>
            </w:tcBorders>
            <w:shd w:val="clear" w:color="auto" w:fill="auto"/>
            <w:noWrap/>
            <w:vAlign w:val="center"/>
          </w:tcPr>
          <w:p w14:paraId="21DC555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p>
        </w:tc>
        <w:tc>
          <w:tcPr>
            <w:tcW w:w="798" w:type="dxa"/>
            <w:tcBorders>
              <w:top w:val="single" w:sz="8" w:space="0" w:color="auto"/>
              <w:bottom w:val="single" w:sz="8" w:space="0" w:color="auto"/>
            </w:tcBorders>
            <w:shd w:val="clear" w:color="auto" w:fill="auto"/>
            <w:noWrap/>
            <w:vAlign w:val="center"/>
          </w:tcPr>
          <w:p w14:paraId="1CC3C08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p>
        </w:tc>
        <w:tc>
          <w:tcPr>
            <w:tcW w:w="798" w:type="dxa"/>
            <w:tcBorders>
              <w:top w:val="single" w:sz="8" w:space="0" w:color="auto"/>
              <w:bottom w:val="single" w:sz="8" w:space="0" w:color="auto"/>
            </w:tcBorders>
            <w:shd w:val="clear" w:color="auto" w:fill="auto"/>
            <w:noWrap/>
            <w:vAlign w:val="center"/>
          </w:tcPr>
          <w:p w14:paraId="1CBCE80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w:t>
            </w:r>
          </w:p>
        </w:tc>
        <w:tc>
          <w:tcPr>
            <w:tcW w:w="798" w:type="dxa"/>
            <w:tcBorders>
              <w:top w:val="single" w:sz="8" w:space="0" w:color="auto"/>
              <w:bottom w:val="single" w:sz="8" w:space="0" w:color="auto"/>
            </w:tcBorders>
            <w:shd w:val="clear" w:color="auto" w:fill="auto"/>
            <w:noWrap/>
            <w:vAlign w:val="center"/>
          </w:tcPr>
          <w:p w14:paraId="161E6C9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p>
        </w:tc>
        <w:tc>
          <w:tcPr>
            <w:tcW w:w="798" w:type="dxa"/>
            <w:tcBorders>
              <w:top w:val="single" w:sz="8" w:space="0" w:color="auto"/>
              <w:bottom w:val="single" w:sz="8" w:space="0" w:color="auto"/>
            </w:tcBorders>
            <w:shd w:val="clear" w:color="auto" w:fill="auto"/>
            <w:noWrap/>
            <w:vAlign w:val="center"/>
          </w:tcPr>
          <w:p w14:paraId="28380BE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790" w:type="dxa"/>
            <w:tcBorders>
              <w:top w:val="single" w:sz="8" w:space="0" w:color="auto"/>
              <w:bottom w:val="single" w:sz="8" w:space="0" w:color="auto"/>
            </w:tcBorders>
            <w:shd w:val="clear" w:color="auto" w:fill="auto"/>
            <w:noWrap/>
            <w:vAlign w:val="center"/>
          </w:tcPr>
          <w:p w14:paraId="092EA31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p>
        </w:tc>
      </w:tr>
      <w:tr w:rsidR="00235309" w:rsidRPr="00765F6E" w14:paraId="01910549" w14:textId="77777777" w:rsidTr="00871D47">
        <w:trPr>
          <w:trHeight w:val="176"/>
          <w:jc w:val="center"/>
        </w:trPr>
        <w:tc>
          <w:tcPr>
            <w:tcW w:w="799" w:type="dxa"/>
            <w:tcBorders>
              <w:top w:val="single" w:sz="8" w:space="0" w:color="auto"/>
            </w:tcBorders>
            <w:shd w:val="clear" w:color="auto" w:fill="auto"/>
            <w:noWrap/>
            <w:vAlign w:val="center"/>
          </w:tcPr>
          <w:p w14:paraId="7E5BDEF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single" w:sz="8" w:space="0" w:color="auto"/>
            </w:tcBorders>
            <w:shd w:val="clear" w:color="auto" w:fill="auto"/>
            <w:noWrap/>
            <w:vAlign w:val="center"/>
          </w:tcPr>
          <w:p w14:paraId="2585CA1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tcBorders>
            <w:shd w:val="clear" w:color="auto" w:fill="auto"/>
            <w:noWrap/>
            <w:vAlign w:val="center"/>
          </w:tcPr>
          <w:p w14:paraId="18A6300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934</w:t>
            </w:r>
          </w:p>
        </w:tc>
        <w:tc>
          <w:tcPr>
            <w:tcW w:w="798" w:type="dxa"/>
            <w:tcBorders>
              <w:top w:val="single" w:sz="8" w:space="0" w:color="auto"/>
            </w:tcBorders>
            <w:shd w:val="clear" w:color="auto" w:fill="auto"/>
            <w:noWrap/>
            <w:vAlign w:val="center"/>
          </w:tcPr>
          <w:p w14:paraId="3A8CDF9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1077</w:t>
            </w:r>
          </w:p>
        </w:tc>
        <w:tc>
          <w:tcPr>
            <w:tcW w:w="798" w:type="dxa"/>
            <w:tcBorders>
              <w:top w:val="single" w:sz="8" w:space="0" w:color="auto"/>
            </w:tcBorders>
            <w:shd w:val="clear" w:color="auto" w:fill="auto"/>
            <w:noWrap/>
            <w:vAlign w:val="center"/>
          </w:tcPr>
          <w:p w14:paraId="496BAC4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1312</w:t>
            </w:r>
          </w:p>
        </w:tc>
        <w:tc>
          <w:tcPr>
            <w:tcW w:w="798" w:type="dxa"/>
            <w:tcBorders>
              <w:top w:val="single" w:sz="8" w:space="0" w:color="auto"/>
            </w:tcBorders>
            <w:shd w:val="clear" w:color="auto" w:fill="auto"/>
            <w:noWrap/>
            <w:vAlign w:val="center"/>
          </w:tcPr>
          <w:p w14:paraId="42BC1D1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311</w:t>
            </w:r>
          </w:p>
        </w:tc>
        <w:tc>
          <w:tcPr>
            <w:tcW w:w="798" w:type="dxa"/>
            <w:tcBorders>
              <w:top w:val="single" w:sz="8" w:space="0" w:color="auto"/>
            </w:tcBorders>
            <w:shd w:val="clear" w:color="auto" w:fill="auto"/>
            <w:noWrap/>
            <w:vAlign w:val="center"/>
          </w:tcPr>
          <w:p w14:paraId="45B5EA2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510</w:t>
            </w:r>
          </w:p>
        </w:tc>
        <w:tc>
          <w:tcPr>
            <w:tcW w:w="798" w:type="dxa"/>
            <w:tcBorders>
              <w:top w:val="single" w:sz="8" w:space="0" w:color="auto"/>
            </w:tcBorders>
            <w:shd w:val="clear" w:color="auto" w:fill="auto"/>
            <w:noWrap/>
            <w:vAlign w:val="center"/>
          </w:tcPr>
          <w:p w14:paraId="6EE3D2D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510</w:t>
            </w:r>
          </w:p>
        </w:tc>
        <w:tc>
          <w:tcPr>
            <w:tcW w:w="798" w:type="dxa"/>
            <w:tcBorders>
              <w:top w:val="single" w:sz="8" w:space="0" w:color="auto"/>
            </w:tcBorders>
            <w:shd w:val="clear" w:color="auto" w:fill="auto"/>
            <w:noWrap/>
            <w:vAlign w:val="center"/>
          </w:tcPr>
          <w:p w14:paraId="351CA70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1735</w:t>
            </w:r>
          </w:p>
        </w:tc>
        <w:tc>
          <w:tcPr>
            <w:tcW w:w="798" w:type="dxa"/>
            <w:tcBorders>
              <w:top w:val="single" w:sz="8" w:space="0" w:color="auto"/>
            </w:tcBorders>
            <w:shd w:val="clear" w:color="auto" w:fill="auto"/>
            <w:noWrap/>
            <w:vAlign w:val="center"/>
          </w:tcPr>
          <w:p w14:paraId="2740631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1810</w:t>
            </w:r>
          </w:p>
        </w:tc>
        <w:tc>
          <w:tcPr>
            <w:tcW w:w="798" w:type="dxa"/>
            <w:tcBorders>
              <w:top w:val="single" w:sz="8" w:space="0" w:color="auto"/>
            </w:tcBorders>
            <w:shd w:val="clear" w:color="auto" w:fill="auto"/>
            <w:noWrap/>
            <w:vAlign w:val="center"/>
          </w:tcPr>
          <w:p w14:paraId="6C25BE3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1826</w:t>
            </w:r>
          </w:p>
        </w:tc>
        <w:tc>
          <w:tcPr>
            <w:tcW w:w="790" w:type="dxa"/>
            <w:tcBorders>
              <w:top w:val="single" w:sz="8" w:space="0" w:color="auto"/>
            </w:tcBorders>
            <w:shd w:val="clear" w:color="auto" w:fill="auto"/>
            <w:noWrap/>
            <w:vAlign w:val="center"/>
          </w:tcPr>
          <w:p w14:paraId="7EFE6C6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1798</w:t>
            </w:r>
          </w:p>
        </w:tc>
      </w:tr>
      <w:tr w:rsidR="00235309" w:rsidRPr="00765F6E" w14:paraId="61A527B4" w14:textId="77777777" w:rsidTr="00871D47">
        <w:trPr>
          <w:trHeight w:val="176"/>
          <w:jc w:val="center"/>
        </w:trPr>
        <w:tc>
          <w:tcPr>
            <w:tcW w:w="799" w:type="dxa"/>
            <w:shd w:val="clear" w:color="auto" w:fill="auto"/>
            <w:noWrap/>
            <w:vAlign w:val="center"/>
          </w:tcPr>
          <w:p w14:paraId="3384639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78EE4A4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r w:rsidRPr="00765F6E">
              <w:rPr>
                <w:rFonts w:ascii="宋体" w:hAnsi="宋体" w:cs="宋体"/>
                <w:kern w:val="0"/>
                <w:sz w:val="18"/>
                <w:szCs w:val="18"/>
              </w:rPr>
              <w:t>349</w:t>
            </w:r>
          </w:p>
        </w:tc>
        <w:tc>
          <w:tcPr>
            <w:tcW w:w="798" w:type="dxa"/>
            <w:shd w:val="clear" w:color="auto" w:fill="auto"/>
            <w:noWrap/>
            <w:vAlign w:val="center"/>
          </w:tcPr>
          <w:p w14:paraId="68A5C0F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r w:rsidRPr="00765F6E">
              <w:rPr>
                <w:rFonts w:ascii="宋体" w:hAnsi="宋体" w:cs="宋体"/>
                <w:kern w:val="0"/>
                <w:sz w:val="18"/>
                <w:szCs w:val="18"/>
              </w:rPr>
              <w:t>34</w:t>
            </w:r>
            <w:r w:rsidRPr="00765F6E">
              <w:rPr>
                <w:rFonts w:ascii="宋体" w:hAnsi="宋体" w:cs="宋体" w:hint="eastAsia"/>
                <w:kern w:val="0"/>
                <w:sz w:val="18"/>
                <w:szCs w:val="18"/>
              </w:rPr>
              <w:t>9</w:t>
            </w:r>
          </w:p>
        </w:tc>
        <w:tc>
          <w:tcPr>
            <w:tcW w:w="798" w:type="dxa"/>
            <w:shd w:val="clear" w:color="auto" w:fill="auto"/>
            <w:noWrap/>
            <w:vAlign w:val="center"/>
          </w:tcPr>
          <w:p w14:paraId="39E849C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5294</w:t>
            </w:r>
          </w:p>
        </w:tc>
        <w:tc>
          <w:tcPr>
            <w:tcW w:w="798" w:type="dxa"/>
            <w:shd w:val="clear" w:color="auto" w:fill="auto"/>
            <w:noWrap/>
            <w:vAlign w:val="center"/>
          </w:tcPr>
          <w:p w14:paraId="1F640C4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5067</w:t>
            </w:r>
          </w:p>
        </w:tc>
        <w:tc>
          <w:tcPr>
            <w:tcW w:w="798" w:type="dxa"/>
            <w:shd w:val="clear" w:color="auto" w:fill="auto"/>
            <w:noWrap/>
            <w:vAlign w:val="center"/>
          </w:tcPr>
          <w:p w14:paraId="5C389CB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r w:rsidRPr="00765F6E">
              <w:rPr>
                <w:rFonts w:ascii="宋体" w:hAnsi="宋体" w:cs="宋体"/>
                <w:kern w:val="0"/>
                <w:sz w:val="18"/>
                <w:szCs w:val="18"/>
              </w:rPr>
              <w:t>727</w:t>
            </w:r>
          </w:p>
        </w:tc>
        <w:tc>
          <w:tcPr>
            <w:tcW w:w="798" w:type="dxa"/>
            <w:shd w:val="clear" w:color="auto" w:fill="auto"/>
            <w:noWrap/>
            <w:vAlign w:val="center"/>
          </w:tcPr>
          <w:p w14:paraId="02E21CC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r w:rsidRPr="00765F6E">
              <w:rPr>
                <w:rFonts w:ascii="宋体" w:hAnsi="宋体" w:cs="宋体"/>
                <w:kern w:val="0"/>
                <w:sz w:val="18"/>
                <w:szCs w:val="18"/>
              </w:rPr>
              <w:t>727</w:t>
            </w:r>
          </w:p>
        </w:tc>
        <w:tc>
          <w:tcPr>
            <w:tcW w:w="798" w:type="dxa"/>
            <w:shd w:val="clear" w:color="auto" w:fill="auto"/>
            <w:noWrap/>
            <w:vAlign w:val="center"/>
          </w:tcPr>
          <w:p w14:paraId="3776225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3873</w:t>
            </w:r>
          </w:p>
        </w:tc>
        <w:tc>
          <w:tcPr>
            <w:tcW w:w="798" w:type="dxa"/>
            <w:shd w:val="clear" w:color="auto" w:fill="auto"/>
            <w:noWrap/>
            <w:vAlign w:val="center"/>
          </w:tcPr>
          <w:p w14:paraId="4A10DBC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3441</w:t>
            </w:r>
          </w:p>
        </w:tc>
        <w:tc>
          <w:tcPr>
            <w:tcW w:w="798" w:type="dxa"/>
            <w:shd w:val="clear" w:color="auto" w:fill="auto"/>
            <w:noWrap/>
            <w:vAlign w:val="center"/>
          </w:tcPr>
          <w:p w14:paraId="03CBF5D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3000</w:t>
            </w:r>
          </w:p>
        </w:tc>
        <w:tc>
          <w:tcPr>
            <w:tcW w:w="798" w:type="dxa"/>
            <w:shd w:val="clear" w:color="auto" w:fill="auto"/>
            <w:noWrap/>
            <w:vAlign w:val="center"/>
          </w:tcPr>
          <w:p w14:paraId="42A270A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1620</w:t>
            </w:r>
          </w:p>
        </w:tc>
        <w:tc>
          <w:tcPr>
            <w:tcW w:w="790" w:type="dxa"/>
            <w:shd w:val="clear" w:color="auto" w:fill="auto"/>
            <w:noWrap/>
            <w:vAlign w:val="center"/>
          </w:tcPr>
          <w:p w14:paraId="6CC877B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1259</w:t>
            </w:r>
          </w:p>
        </w:tc>
      </w:tr>
      <w:tr w:rsidR="00235309" w:rsidRPr="00765F6E" w14:paraId="0253EF93" w14:textId="77777777" w:rsidTr="00871D47">
        <w:trPr>
          <w:trHeight w:val="176"/>
          <w:jc w:val="center"/>
        </w:trPr>
        <w:tc>
          <w:tcPr>
            <w:tcW w:w="799" w:type="dxa"/>
            <w:shd w:val="clear" w:color="auto" w:fill="auto"/>
            <w:noWrap/>
            <w:vAlign w:val="center"/>
          </w:tcPr>
          <w:p w14:paraId="17F1133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noWrap/>
            <w:vAlign w:val="center"/>
          </w:tcPr>
          <w:p w14:paraId="167ACAE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p>
        </w:tc>
        <w:tc>
          <w:tcPr>
            <w:tcW w:w="798" w:type="dxa"/>
            <w:shd w:val="clear" w:color="auto" w:fill="auto"/>
            <w:noWrap/>
            <w:vAlign w:val="center"/>
          </w:tcPr>
          <w:p w14:paraId="7FC6899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98" w:type="dxa"/>
            <w:shd w:val="clear" w:color="auto" w:fill="auto"/>
            <w:noWrap/>
            <w:vAlign w:val="center"/>
          </w:tcPr>
          <w:p w14:paraId="7E99038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w:t>
            </w:r>
          </w:p>
        </w:tc>
        <w:tc>
          <w:tcPr>
            <w:tcW w:w="798" w:type="dxa"/>
            <w:shd w:val="clear" w:color="auto" w:fill="auto"/>
            <w:noWrap/>
            <w:vAlign w:val="center"/>
          </w:tcPr>
          <w:p w14:paraId="4F29292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c>
          <w:tcPr>
            <w:tcW w:w="798" w:type="dxa"/>
            <w:shd w:val="clear" w:color="auto" w:fill="auto"/>
            <w:noWrap/>
            <w:vAlign w:val="center"/>
          </w:tcPr>
          <w:p w14:paraId="791DD38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1</w:t>
            </w:r>
            <w:r w:rsidRPr="00765F6E">
              <w:rPr>
                <w:rFonts w:ascii="宋体" w:hAnsi="宋体" w:cs="宋体" w:hint="eastAsia"/>
                <w:kern w:val="0"/>
                <w:sz w:val="18"/>
                <w:szCs w:val="18"/>
              </w:rPr>
              <w:t>′</w:t>
            </w:r>
          </w:p>
        </w:tc>
        <w:tc>
          <w:tcPr>
            <w:tcW w:w="798" w:type="dxa"/>
            <w:shd w:val="clear" w:color="auto" w:fill="auto"/>
            <w:noWrap/>
            <w:vAlign w:val="center"/>
          </w:tcPr>
          <w:p w14:paraId="0847D72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2</w:t>
            </w:r>
            <w:r w:rsidRPr="00765F6E">
              <w:rPr>
                <w:rFonts w:ascii="宋体" w:hAnsi="宋体" w:cs="宋体" w:hint="eastAsia"/>
                <w:kern w:val="0"/>
                <w:sz w:val="18"/>
                <w:szCs w:val="18"/>
              </w:rPr>
              <w:t>′</w:t>
            </w:r>
          </w:p>
        </w:tc>
        <w:tc>
          <w:tcPr>
            <w:tcW w:w="798" w:type="dxa"/>
            <w:shd w:val="clear" w:color="auto" w:fill="auto"/>
            <w:noWrap/>
            <w:vAlign w:val="center"/>
          </w:tcPr>
          <w:p w14:paraId="4714C9C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3</w:t>
            </w:r>
            <w:r w:rsidRPr="00765F6E">
              <w:rPr>
                <w:rFonts w:ascii="宋体" w:hAnsi="宋体" w:cs="宋体" w:hint="eastAsia"/>
                <w:kern w:val="0"/>
                <w:sz w:val="18"/>
                <w:szCs w:val="18"/>
              </w:rPr>
              <w:t>′</w:t>
            </w:r>
          </w:p>
        </w:tc>
        <w:tc>
          <w:tcPr>
            <w:tcW w:w="798" w:type="dxa"/>
            <w:shd w:val="clear" w:color="auto" w:fill="auto"/>
            <w:noWrap/>
            <w:vAlign w:val="center"/>
          </w:tcPr>
          <w:p w14:paraId="038CD6D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w:t>
            </w:r>
          </w:p>
        </w:tc>
        <w:tc>
          <w:tcPr>
            <w:tcW w:w="798" w:type="dxa"/>
            <w:shd w:val="clear" w:color="auto" w:fill="auto"/>
            <w:noWrap/>
            <w:vAlign w:val="center"/>
          </w:tcPr>
          <w:p w14:paraId="4D1BCFC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798" w:type="dxa"/>
            <w:shd w:val="clear" w:color="auto" w:fill="auto"/>
            <w:noWrap/>
            <w:vAlign w:val="center"/>
          </w:tcPr>
          <w:p w14:paraId="3EFDCF1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6</w:t>
            </w:r>
            <w:r w:rsidRPr="00765F6E">
              <w:rPr>
                <w:rFonts w:ascii="宋体" w:hAnsi="宋体" w:cs="宋体" w:hint="eastAsia"/>
                <w:kern w:val="0"/>
                <w:sz w:val="18"/>
                <w:szCs w:val="18"/>
              </w:rPr>
              <w:t>′</w:t>
            </w:r>
          </w:p>
        </w:tc>
        <w:tc>
          <w:tcPr>
            <w:tcW w:w="790" w:type="dxa"/>
            <w:shd w:val="clear" w:color="auto" w:fill="auto"/>
            <w:noWrap/>
            <w:vAlign w:val="center"/>
          </w:tcPr>
          <w:p w14:paraId="29FDA29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7</w:t>
            </w:r>
            <w:r w:rsidRPr="00765F6E">
              <w:rPr>
                <w:rFonts w:ascii="宋体" w:hAnsi="宋体" w:cs="宋体" w:hint="eastAsia"/>
                <w:kern w:val="0"/>
                <w:sz w:val="18"/>
                <w:szCs w:val="18"/>
              </w:rPr>
              <w:t>′</w:t>
            </w:r>
          </w:p>
        </w:tc>
      </w:tr>
      <w:tr w:rsidR="00235309" w:rsidRPr="00765F6E" w14:paraId="5594D0B1" w14:textId="77777777" w:rsidTr="00871D47">
        <w:trPr>
          <w:trHeight w:val="176"/>
          <w:jc w:val="center"/>
        </w:trPr>
        <w:tc>
          <w:tcPr>
            <w:tcW w:w="799" w:type="dxa"/>
            <w:shd w:val="clear" w:color="auto" w:fill="auto"/>
            <w:noWrap/>
            <w:vAlign w:val="center"/>
          </w:tcPr>
          <w:p w14:paraId="691A970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noWrap/>
            <w:vAlign w:val="center"/>
          </w:tcPr>
          <w:p w14:paraId="3C2072A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1675</w:t>
            </w:r>
          </w:p>
        </w:tc>
        <w:tc>
          <w:tcPr>
            <w:tcW w:w="798" w:type="dxa"/>
            <w:shd w:val="clear" w:color="auto" w:fill="auto"/>
            <w:noWrap/>
            <w:vAlign w:val="center"/>
          </w:tcPr>
          <w:p w14:paraId="43DA9D3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640</w:t>
            </w:r>
          </w:p>
        </w:tc>
        <w:tc>
          <w:tcPr>
            <w:tcW w:w="798" w:type="dxa"/>
            <w:shd w:val="clear" w:color="auto" w:fill="auto"/>
            <w:noWrap/>
            <w:vAlign w:val="center"/>
          </w:tcPr>
          <w:p w14:paraId="34CD7A0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400</w:t>
            </w:r>
          </w:p>
        </w:tc>
        <w:tc>
          <w:tcPr>
            <w:tcW w:w="798" w:type="dxa"/>
            <w:shd w:val="clear" w:color="auto" w:fill="auto"/>
            <w:noWrap/>
            <w:vAlign w:val="center"/>
          </w:tcPr>
          <w:p w14:paraId="49CF49D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200</w:t>
            </w:r>
          </w:p>
        </w:tc>
        <w:tc>
          <w:tcPr>
            <w:tcW w:w="798" w:type="dxa"/>
            <w:shd w:val="clear" w:color="auto" w:fill="auto"/>
            <w:noWrap/>
            <w:vAlign w:val="center"/>
          </w:tcPr>
          <w:p w14:paraId="30509B2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200</w:t>
            </w:r>
          </w:p>
        </w:tc>
        <w:tc>
          <w:tcPr>
            <w:tcW w:w="798" w:type="dxa"/>
            <w:shd w:val="clear" w:color="auto" w:fill="auto"/>
            <w:noWrap/>
            <w:vAlign w:val="center"/>
          </w:tcPr>
          <w:p w14:paraId="1F5C8C5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r w:rsidRPr="00765F6E">
              <w:rPr>
                <w:rFonts w:ascii="宋体" w:hAnsi="宋体" w:cs="宋体"/>
                <w:kern w:val="0"/>
                <w:sz w:val="18"/>
                <w:szCs w:val="18"/>
              </w:rPr>
              <w:t>31</w:t>
            </w:r>
          </w:p>
        </w:tc>
        <w:tc>
          <w:tcPr>
            <w:tcW w:w="798" w:type="dxa"/>
            <w:shd w:val="clear" w:color="auto" w:fill="auto"/>
            <w:noWrap/>
            <w:vAlign w:val="center"/>
          </w:tcPr>
          <w:p w14:paraId="3C80E4C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r w:rsidRPr="00765F6E">
              <w:rPr>
                <w:rFonts w:ascii="宋体" w:hAnsi="宋体" w:cs="宋体"/>
                <w:kern w:val="0"/>
                <w:sz w:val="18"/>
                <w:szCs w:val="18"/>
              </w:rPr>
              <w:t>29</w:t>
            </w:r>
          </w:p>
        </w:tc>
        <w:tc>
          <w:tcPr>
            <w:tcW w:w="798" w:type="dxa"/>
            <w:shd w:val="clear" w:color="auto" w:fill="auto"/>
            <w:noWrap/>
            <w:vAlign w:val="center"/>
          </w:tcPr>
          <w:p w14:paraId="37D4C9A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r w:rsidRPr="00765F6E">
              <w:rPr>
                <w:rFonts w:ascii="宋体" w:hAnsi="宋体" w:cs="宋体"/>
                <w:kern w:val="0"/>
                <w:sz w:val="18"/>
                <w:szCs w:val="18"/>
              </w:rPr>
              <w:t>26</w:t>
            </w:r>
          </w:p>
        </w:tc>
        <w:tc>
          <w:tcPr>
            <w:tcW w:w="798" w:type="dxa"/>
            <w:shd w:val="clear" w:color="auto" w:fill="auto"/>
            <w:noWrap/>
            <w:vAlign w:val="center"/>
          </w:tcPr>
          <w:p w14:paraId="794A04E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r w:rsidRPr="00765F6E">
              <w:rPr>
                <w:rFonts w:ascii="宋体" w:hAnsi="宋体" w:cs="宋体"/>
                <w:kern w:val="0"/>
                <w:sz w:val="18"/>
                <w:szCs w:val="18"/>
              </w:rPr>
              <w:t>26</w:t>
            </w:r>
          </w:p>
        </w:tc>
        <w:tc>
          <w:tcPr>
            <w:tcW w:w="798" w:type="dxa"/>
            <w:shd w:val="clear" w:color="auto" w:fill="auto"/>
            <w:noWrap/>
            <w:vAlign w:val="center"/>
          </w:tcPr>
          <w:p w14:paraId="27AC0DC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r w:rsidRPr="00765F6E">
              <w:rPr>
                <w:rFonts w:ascii="宋体" w:hAnsi="宋体" w:cs="宋体"/>
                <w:kern w:val="0"/>
                <w:sz w:val="18"/>
                <w:szCs w:val="18"/>
              </w:rPr>
              <w:t>59</w:t>
            </w:r>
          </w:p>
        </w:tc>
        <w:tc>
          <w:tcPr>
            <w:tcW w:w="790" w:type="dxa"/>
            <w:shd w:val="clear" w:color="auto" w:fill="auto"/>
            <w:noWrap/>
            <w:vAlign w:val="center"/>
          </w:tcPr>
          <w:p w14:paraId="0E9A6EA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r w:rsidRPr="00765F6E">
              <w:rPr>
                <w:rFonts w:ascii="宋体" w:hAnsi="宋体" w:cs="宋体"/>
                <w:kern w:val="0"/>
                <w:sz w:val="18"/>
                <w:szCs w:val="18"/>
              </w:rPr>
              <w:t>59</w:t>
            </w:r>
          </w:p>
        </w:tc>
      </w:tr>
      <w:tr w:rsidR="00235309" w:rsidRPr="00765F6E" w14:paraId="17B01A89" w14:textId="77777777" w:rsidTr="00871D47">
        <w:trPr>
          <w:trHeight w:val="176"/>
          <w:jc w:val="center"/>
        </w:trPr>
        <w:tc>
          <w:tcPr>
            <w:tcW w:w="799" w:type="dxa"/>
            <w:shd w:val="clear" w:color="auto" w:fill="auto"/>
            <w:noWrap/>
            <w:vAlign w:val="center"/>
          </w:tcPr>
          <w:p w14:paraId="4916FB1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11AB13D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320</w:t>
            </w:r>
          </w:p>
        </w:tc>
        <w:tc>
          <w:tcPr>
            <w:tcW w:w="798" w:type="dxa"/>
            <w:shd w:val="clear" w:color="auto" w:fill="auto"/>
            <w:noWrap/>
            <w:vAlign w:val="center"/>
          </w:tcPr>
          <w:p w14:paraId="6B26112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r w:rsidRPr="00765F6E">
              <w:rPr>
                <w:rFonts w:ascii="宋体" w:hAnsi="宋体" w:cs="宋体"/>
                <w:kern w:val="0"/>
                <w:sz w:val="18"/>
                <w:szCs w:val="18"/>
              </w:rPr>
              <w:t>40</w:t>
            </w:r>
          </w:p>
        </w:tc>
        <w:tc>
          <w:tcPr>
            <w:tcW w:w="798" w:type="dxa"/>
            <w:shd w:val="clear" w:color="auto" w:fill="auto"/>
            <w:noWrap/>
            <w:vAlign w:val="center"/>
          </w:tcPr>
          <w:p w14:paraId="2E6DC9E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r w:rsidRPr="00765F6E">
              <w:rPr>
                <w:rFonts w:ascii="宋体" w:hAnsi="宋体" w:cs="宋体"/>
                <w:kern w:val="0"/>
                <w:sz w:val="18"/>
                <w:szCs w:val="18"/>
              </w:rPr>
              <w:t>8</w:t>
            </w:r>
          </w:p>
        </w:tc>
        <w:tc>
          <w:tcPr>
            <w:tcW w:w="798" w:type="dxa"/>
            <w:shd w:val="clear" w:color="auto" w:fill="auto"/>
            <w:noWrap/>
            <w:vAlign w:val="center"/>
          </w:tcPr>
          <w:p w14:paraId="44E7AC1D" w14:textId="39716759" w:rsidR="00235309" w:rsidRPr="00765F6E" w:rsidRDefault="005D4D17" w:rsidP="00871D47">
            <w:pPr>
              <w:widowControl/>
              <w:spacing w:line="240" w:lineRule="auto"/>
              <w:jc w:val="center"/>
              <w:rPr>
                <w:rFonts w:ascii="宋体" w:hAnsi="宋体" w:cs="宋体"/>
                <w:kern w:val="0"/>
                <w:sz w:val="18"/>
                <w:szCs w:val="18"/>
              </w:rPr>
            </w:pPr>
            <w:r w:rsidRPr="00BF0BA3">
              <w:rPr>
                <w:rFonts w:ascii="宋体" w:hAnsi="宋体" w:cs="宋体"/>
                <w:kern w:val="0"/>
                <w:sz w:val="18"/>
                <w:szCs w:val="18"/>
              </w:rPr>
              <w:t>18</w:t>
            </w:r>
          </w:p>
        </w:tc>
        <w:tc>
          <w:tcPr>
            <w:tcW w:w="798" w:type="dxa"/>
            <w:shd w:val="clear" w:color="auto" w:fill="auto"/>
            <w:noWrap/>
            <w:vAlign w:val="center"/>
          </w:tcPr>
          <w:p w14:paraId="06C29E6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8</w:t>
            </w:r>
          </w:p>
        </w:tc>
        <w:tc>
          <w:tcPr>
            <w:tcW w:w="798" w:type="dxa"/>
            <w:shd w:val="clear" w:color="auto" w:fill="auto"/>
            <w:noWrap/>
            <w:vAlign w:val="center"/>
          </w:tcPr>
          <w:p w14:paraId="7344261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8</w:t>
            </w:r>
          </w:p>
        </w:tc>
        <w:tc>
          <w:tcPr>
            <w:tcW w:w="798" w:type="dxa"/>
            <w:shd w:val="clear" w:color="auto" w:fill="auto"/>
            <w:noWrap/>
            <w:vAlign w:val="center"/>
          </w:tcPr>
          <w:p w14:paraId="18763B8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9</w:t>
            </w:r>
          </w:p>
        </w:tc>
        <w:tc>
          <w:tcPr>
            <w:tcW w:w="798" w:type="dxa"/>
            <w:shd w:val="clear" w:color="auto" w:fill="auto"/>
            <w:noWrap/>
            <w:vAlign w:val="center"/>
          </w:tcPr>
          <w:p w14:paraId="0AD6E84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9</w:t>
            </w:r>
          </w:p>
        </w:tc>
        <w:tc>
          <w:tcPr>
            <w:tcW w:w="798" w:type="dxa"/>
            <w:shd w:val="clear" w:color="auto" w:fill="auto"/>
            <w:noWrap/>
            <w:vAlign w:val="center"/>
          </w:tcPr>
          <w:p w14:paraId="719A197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48</w:t>
            </w:r>
          </w:p>
        </w:tc>
        <w:tc>
          <w:tcPr>
            <w:tcW w:w="798" w:type="dxa"/>
            <w:shd w:val="clear" w:color="auto" w:fill="auto"/>
            <w:noWrap/>
            <w:vAlign w:val="center"/>
          </w:tcPr>
          <w:p w14:paraId="3FD038C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48</w:t>
            </w:r>
          </w:p>
        </w:tc>
        <w:tc>
          <w:tcPr>
            <w:tcW w:w="790" w:type="dxa"/>
            <w:shd w:val="clear" w:color="auto" w:fill="auto"/>
            <w:noWrap/>
            <w:vAlign w:val="center"/>
          </w:tcPr>
          <w:p w14:paraId="32202EC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34</w:t>
            </w:r>
          </w:p>
        </w:tc>
      </w:tr>
      <w:tr w:rsidR="00235309" w:rsidRPr="00765F6E" w14:paraId="617000AE" w14:textId="77777777" w:rsidTr="00871D47">
        <w:trPr>
          <w:trHeight w:val="176"/>
          <w:jc w:val="center"/>
        </w:trPr>
        <w:tc>
          <w:tcPr>
            <w:tcW w:w="799" w:type="dxa"/>
            <w:shd w:val="clear" w:color="auto" w:fill="auto"/>
            <w:noWrap/>
            <w:vAlign w:val="center"/>
          </w:tcPr>
          <w:p w14:paraId="59F6A5C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noWrap/>
            <w:vAlign w:val="center"/>
          </w:tcPr>
          <w:p w14:paraId="6641A87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8</w:t>
            </w:r>
            <w:r w:rsidRPr="00765F6E">
              <w:rPr>
                <w:rFonts w:ascii="宋体" w:hAnsi="宋体" w:cs="宋体" w:hint="eastAsia"/>
                <w:kern w:val="0"/>
                <w:sz w:val="18"/>
                <w:szCs w:val="18"/>
              </w:rPr>
              <w:t>′</w:t>
            </w:r>
          </w:p>
        </w:tc>
        <w:tc>
          <w:tcPr>
            <w:tcW w:w="798" w:type="dxa"/>
            <w:shd w:val="clear" w:color="auto" w:fill="auto"/>
            <w:noWrap/>
            <w:vAlign w:val="center"/>
          </w:tcPr>
          <w:p w14:paraId="7FE9B94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4475818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6AF7F73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45D479A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034D141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3F09080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5884F10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7F202C4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1050891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shd w:val="clear" w:color="auto" w:fill="auto"/>
            <w:noWrap/>
            <w:vAlign w:val="center"/>
          </w:tcPr>
          <w:p w14:paraId="7CA8591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40A9805E" w14:textId="77777777" w:rsidTr="00871D47">
        <w:trPr>
          <w:trHeight w:val="176"/>
          <w:jc w:val="center"/>
        </w:trPr>
        <w:tc>
          <w:tcPr>
            <w:tcW w:w="799" w:type="dxa"/>
            <w:shd w:val="clear" w:color="auto" w:fill="auto"/>
            <w:noWrap/>
            <w:vAlign w:val="center"/>
          </w:tcPr>
          <w:p w14:paraId="20D70E5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noWrap/>
            <w:vAlign w:val="center"/>
          </w:tcPr>
          <w:p w14:paraId="754D23F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shd w:val="clear" w:color="auto" w:fill="auto"/>
            <w:noWrap/>
            <w:vAlign w:val="center"/>
          </w:tcPr>
          <w:p w14:paraId="2B69EC8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19A41EF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4844790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05E36A6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0075534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300963B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7342A2B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5E6A3AC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2C5D241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shd w:val="clear" w:color="auto" w:fill="auto"/>
            <w:noWrap/>
            <w:vAlign w:val="center"/>
          </w:tcPr>
          <w:p w14:paraId="0C3DF9E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4883429D" w14:textId="77777777" w:rsidTr="00871D47">
        <w:trPr>
          <w:trHeight w:val="176"/>
          <w:jc w:val="center"/>
        </w:trPr>
        <w:tc>
          <w:tcPr>
            <w:tcW w:w="799" w:type="dxa"/>
            <w:shd w:val="clear" w:color="auto" w:fill="auto"/>
            <w:noWrap/>
            <w:vAlign w:val="center"/>
          </w:tcPr>
          <w:p w14:paraId="41AE616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59DA87C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34</w:t>
            </w:r>
          </w:p>
        </w:tc>
        <w:tc>
          <w:tcPr>
            <w:tcW w:w="798" w:type="dxa"/>
            <w:shd w:val="clear" w:color="auto" w:fill="auto"/>
            <w:noWrap/>
            <w:vAlign w:val="center"/>
          </w:tcPr>
          <w:p w14:paraId="2F989AD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0C78FC0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18687A4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7B28777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5A7C29D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685DB84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6E745FB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01884E4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653034E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shd w:val="clear" w:color="auto" w:fill="auto"/>
            <w:noWrap/>
            <w:vAlign w:val="center"/>
          </w:tcPr>
          <w:p w14:paraId="0569D7A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bl>
    <w:p w14:paraId="6E9F612A" w14:textId="77777777" w:rsidR="00235309" w:rsidRPr="00765F6E" w:rsidRDefault="00235309" w:rsidP="00235309">
      <w:pPr>
        <w:pStyle w:val="affffb"/>
        <w:spacing w:before="120" w:after="120"/>
        <w:ind w:firstLineChars="0" w:firstLine="0"/>
      </w:pPr>
    </w:p>
    <w:p w14:paraId="735F8A2E" w14:textId="77777777" w:rsidR="00235309" w:rsidRPr="00765F6E" w:rsidRDefault="00235309" w:rsidP="00235309">
      <w:pPr>
        <w:pStyle w:val="aff0"/>
        <w:spacing w:before="120" w:after="120"/>
      </w:pPr>
      <w:r w:rsidRPr="00765F6E">
        <w:rPr>
          <w:rFonts w:hint="eastAsia"/>
        </w:rPr>
        <w:t>设备限界坐标点</w:t>
      </w:r>
    </w:p>
    <w:p w14:paraId="334505B7" w14:textId="77777777" w:rsidR="00235309" w:rsidRPr="00765F6E" w:rsidRDefault="00235309" w:rsidP="00235309">
      <w:pPr>
        <w:pStyle w:val="affffb"/>
        <w:spacing w:before="120" w:after="120"/>
        <w:ind w:firstLine="360"/>
        <w:jc w:val="right"/>
        <w:rPr>
          <w:rFonts w:asciiTheme="minorEastAsia" w:eastAsiaTheme="minorEastAsia" w:hAnsiTheme="minorEastAsia"/>
          <w:sz w:val="18"/>
          <w:szCs w:val="18"/>
        </w:rPr>
      </w:pPr>
      <w:r w:rsidRPr="00765F6E">
        <w:rPr>
          <w:rFonts w:asciiTheme="minorEastAsia" w:eastAsiaTheme="minorEastAsia" w:hAnsiTheme="minorEastAsia" w:hint="eastAsia"/>
          <w:sz w:val="18"/>
          <w:szCs w:val="18"/>
        </w:rPr>
        <w:t>单位为毫米</w:t>
      </w:r>
    </w:p>
    <w:tbl>
      <w:tblPr>
        <w:tblW w:w="9570"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99"/>
        <w:gridCol w:w="799"/>
        <w:gridCol w:w="798"/>
        <w:gridCol w:w="798"/>
        <w:gridCol w:w="798"/>
        <w:gridCol w:w="798"/>
        <w:gridCol w:w="798"/>
        <w:gridCol w:w="798"/>
        <w:gridCol w:w="798"/>
        <w:gridCol w:w="798"/>
        <w:gridCol w:w="798"/>
        <w:gridCol w:w="790"/>
      </w:tblGrid>
      <w:tr w:rsidR="00235309" w:rsidRPr="00765F6E" w14:paraId="3658A38B" w14:textId="77777777" w:rsidTr="00871D47">
        <w:trPr>
          <w:trHeight w:val="176"/>
          <w:jc w:val="center"/>
        </w:trPr>
        <w:tc>
          <w:tcPr>
            <w:tcW w:w="799" w:type="dxa"/>
            <w:tcBorders>
              <w:top w:val="single" w:sz="8" w:space="0" w:color="auto"/>
              <w:bottom w:val="single" w:sz="8" w:space="0" w:color="auto"/>
            </w:tcBorders>
            <w:shd w:val="clear" w:color="auto" w:fill="auto"/>
            <w:vAlign w:val="center"/>
          </w:tcPr>
          <w:p w14:paraId="79F912D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tcBorders>
              <w:top w:val="single" w:sz="8" w:space="0" w:color="auto"/>
              <w:bottom w:val="single" w:sz="8" w:space="0" w:color="auto"/>
            </w:tcBorders>
            <w:shd w:val="clear" w:color="auto" w:fill="auto"/>
            <w:noWrap/>
            <w:vAlign w:val="center"/>
          </w:tcPr>
          <w:p w14:paraId="6353FE3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0b″</w:t>
            </w:r>
          </w:p>
        </w:tc>
        <w:tc>
          <w:tcPr>
            <w:tcW w:w="798" w:type="dxa"/>
            <w:tcBorders>
              <w:top w:val="single" w:sz="8" w:space="0" w:color="auto"/>
              <w:bottom w:val="single" w:sz="8" w:space="0" w:color="auto"/>
            </w:tcBorders>
            <w:shd w:val="clear" w:color="auto" w:fill="auto"/>
            <w:noWrap/>
            <w:vAlign w:val="center"/>
          </w:tcPr>
          <w:p w14:paraId="284C94F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1b″</w:t>
            </w:r>
          </w:p>
        </w:tc>
        <w:tc>
          <w:tcPr>
            <w:tcW w:w="798" w:type="dxa"/>
            <w:tcBorders>
              <w:top w:val="single" w:sz="8" w:space="0" w:color="auto"/>
              <w:bottom w:val="single" w:sz="8" w:space="0" w:color="auto"/>
            </w:tcBorders>
            <w:shd w:val="clear" w:color="auto" w:fill="auto"/>
            <w:noWrap/>
            <w:vAlign w:val="center"/>
          </w:tcPr>
          <w:p w14:paraId="1CFBB3C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2b″</w:t>
            </w:r>
          </w:p>
        </w:tc>
        <w:tc>
          <w:tcPr>
            <w:tcW w:w="798" w:type="dxa"/>
            <w:tcBorders>
              <w:top w:val="single" w:sz="8" w:space="0" w:color="auto"/>
              <w:bottom w:val="single" w:sz="8" w:space="0" w:color="auto"/>
            </w:tcBorders>
            <w:shd w:val="clear" w:color="auto" w:fill="auto"/>
            <w:noWrap/>
            <w:vAlign w:val="center"/>
          </w:tcPr>
          <w:p w14:paraId="7F2CB04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3b″</w:t>
            </w:r>
          </w:p>
        </w:tc>
        <w:tc>
          <w:tcPr>
            <w:tcW w:w="798" w:type="dxa"/>
            <w:tcBorders>
              <w:top w:val="single" w:sz="8" w:space="0" w:color="auto"/>
              <w:bottom w:val="single" w:sz="8" w:space="0" w:color="auto"/>
            </w:tcBorders>
            <w:shd w:val="clear" w:color="auto" w:fill="auto"/>
            <w:noWrap/>
            <w:vAlign w:val="center"/>
          </w:tcPr>
          <w:p w14:paraId="7073B5E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bottom w:val="single" w:sz="8" w:space="0" w:color="auto"/>
            </w:tcBorders>
            <w:shd w:val="clear" w:color="auto" w:fill="auto"/>
            <w:noWrap/>
            <w:vAlign w:val="center"/>
          </w:tcPr>
          <w:p w14:paraId="221794B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p>
        </w:tc>
        <w:tc>
          <w:tcPr>
            <w:tcW w:w="798" w:type="dxa"/>
            <w:tcBorders>
              <w:top w:val="single" w:sz="8" w:space="0" w:color="auto"/>
              <w:bottom w:val="single" w:sz="8" w:space="0" w:color="auto"/>
            </w:tcBorders>
            <w:shd w:val="clear" w:color="auto" w:fill="auto"/>
            <w:noWrap/>
            <w:vAlign w:val="center"/>
          </w:tcPr>
          <w:p w14:paraId="7DB163A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p>
        </w:tc>
        <w:tc>
          <w:tcPr>
            <w:tcW w:w="798" w:type="dxa"/>
            <w:tcBorders>
              <w:top w:val="single" w:sz="8" w:space="0" w:color="auto"/>
              <w:bottom w:val="single" w:sz="8" w:space="0" w:color="auto"/>
            </w:tcBorders>
            <w:shd w:val="clear" w:color="auto" w:fill="auto"/>
            <w:noWrap/>
            <w:vAlign w:val="center"/>
          </w:tcPr>
          <w:p w14:paraId="1948234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w:t>
            </w:r>
          </w:p>
        </w:tc>
        <w:tc>
          <w:tcPr>
            <w:tcW w:w="798" w:type="dxa"/>
            <w:tcBorders>
              <w:top w:val="single" w:sz="8" w:space="0" w:color="auto"/>
              <w:bottom w:val="single" w:sz="8" w:space="0" w:color="auto"/>
            </w:tcBorders>
            <w:shd w:val="clear" w:color="auto" w:fill="auto"/>
            <w:noWrap/>
            <w:vAlign w:val="center"/>
          </w:tcPr>
          <w:p w14:paraId="7F7F3F1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p>
        </w:tc>
        <w:tc>
          <w:tcPr>
            <w:tcW w:w="798" w:type="dxa"/>
            <w:tcBorders>
              <w:top w:val="single" w:sz="8" w:space="0" w:color="auto"/>
              <w:bottom w:val="single" w:sz="8" w:space="0" w:color="auto"/>
            </w:tcBorders>
            <w:shd w:val="clear" w:color="auto" w:fill="auto"/>
            <w:noWrap/>
            <w:vAlign w:val="center"/>
          </w:tcPr>
          <w:p w14:paraId="4FA3B0A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p>
        </w:tc>
        <w:tc>
          <w:tcPr>
            <w:tcW w:w="790" w:type="dxa"/>
            <w:tcBorders>
              <w:top w:val="single" w:sz="8" w:space="0" w:color="auto"/>
              <w:bottom w:val="single" w:sz="8" w:space="0" w:color="auto"/>
            </w:tcBorders>
            <w:shd w:val="clear" w:color="auto" w:fill="auto"/>
            <w:noWrap/>
            <w:vAlign w:val="center"/>
          </w:tcPr>
          <w:p w14:paraId="55BC5D6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w:t>
            </w:r>
          </w:p>
        </w:tc>
      </w:tr>
      <w:tr w:rsidR="00235309" w:rsidRPr="00765F6E" w14:paraId="1AE53298" w14:textId="77777777" w:rsidTr="00871D47">
        <w:trPr>
          <w:trHeight w:val="176"/>
          <w:jc w:val="center"/>
        </w:trPr>
        <w:tc>
          <w:tcPr>
            <w:tcW w:w="799" w:type="dxa"/>
            <w:tcBorders>
              <w:top w:val="single" w:sz="8" w:space="0" w:color="auto"/>
            </w:tcBorders>
            <w:shd w:val="clear" w:color="auto" w:fill="auto"/>
            <w:vAlign w:val="center"/>
          </w:tcPr>
          <w:p w14:paraId="0186E4E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tcBorders>
              <w:top w:val="single" w:sz="8" w:space="0" w:color="auto"/>
            </w:tcBorders>
            <w:shd w:val="clear" w:color="auto" w:fill="auto"/>
            <w:noWrap/>
            <w:vAlign w:val="center"/>
          </w:tcPr>
          <w:p w14:paraId="2F07A6B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tcBorders>
              <w:top w:val="single" w:sz="8" w:space="0" w:color="auto"/>
            </w:tcBorders>
            <w:shd w:val="clear" w:color="auto" w:fill="auto"/>
            <w:noWrap/>
            <w:vAlign w:val="center"/>
          </w:tcPr>
          <w:p w14:paraId="5392A00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933</w:t>
            </w:r>
          </w:p>
        </w:tc>
        <w:tc>
          <w:tcPr>
            <w:tcW w:w="798" w:type="dxa"/>
            <w:tcBorders>
              <w:top w:val="single" w:sz="8" w:space="0" w:color="auto"/>
            </w:tcBorders>
            <w:shd w:val="clear" w:color="auto" w:fill="auto"/>
            <w:noWrap/>
            <w:vAlign w:val="center"/>
          </w:tcPr>
          <w:p w14:paraId="3B13109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1153</w:t>
            </w:r>
          </w:p>
        </w:tc>
        <w:tc>
          <w:tcPr>
            <w:tcW w:w="798" w:type="dxa"/>
            <w:tcBorders>
              <w:top w:val="single" w:sz="8" w:space="0" w:color="auto"/>
            </w:tcBorders>
            <w:shd w:val="clear" w:color="auto" w:fill="auto"/>
            <w:noWrap/>
            <w:vAlign w:val="center"/>
          </w:tcPr>
          <w:p w14:paraId="656F53C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1457</w:t>
            </w:r>
          </w:p>
        </w:tc>
        <w:tc>
          <w:tcPr>
            <w:tcW w:w="798" w:type="dxa"/>
            <w:tcBorders>
              <w:top w:val="single" w:sz="8" w:space="0" w:color="auto"/>
            </w:tcBorders>
            <w:shd w:val="clear" w:color="auto" w:fill="auto"/>
            <w:noWrap/>
            <w:vAlign w:val="center"/>
          </w:tcPr>
          <w:p w14:paraId="7AEEEA7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461</w:t>
            </w:r>
          </w:p>
        </w:tc>
        <w:tc>
          <w:tcPr>
            <w:tcW w:w="798" w:type="dxa"/>
            <w:tcBorders>
              <w:top w:val="single" w:sz="8" w:space="0" w:color="auto"/>
            </w:tcBorders>
            <w:shd w:val="clear" w:color="auto" w:fill="auto"/>
            <w:noWrap/>
            <w:vAlign w:val="center"/>
          </w:tcPr>
          <w:p w14:paraId="3AA5AEE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660</w:t>
            </w:r>
          </w:p>
        </w:tc>
        <w:tc>
          <w:tcPr>
            <w:tcW w:w="798" w:type="dxa"/>
            <w:tcBorders>
              <w:top w:val="single" w:sz="8" w:space="0" w:color="auto"/>
            </w:tcBorders>
            <w:shd w:val="clear" w:color="auto" w:fill="auto"/>
            <w:noWrap/>
            <w:vAlign w:val="center"/>
          </w:tcPr>
          <w:p w14:paraId="0133751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660</w:t>
            </w:r>
          </w:p>
        </w:tc>
        <w:tc>
          <w:tcPr>
            <w:tcW w:w="798" w:type="dxa"/>
            <w:tcBorders>
              <w:top w:val="single" w:sz="8" w:space="0" w:color="auto"/>
            </w:tcBorders>
            <w:shd w:val="clear" w:color="auto" w:fill="auto"/>
            <w:noWrap/>
            <w:vAlign w:val="center"/>
          </w:tcPr>
          <w:p w14:paraId="2E209EE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1855</w:t>
            </w:r>
          </w:p>
        </w:tc>
        <w:tc>
          <w:tcPr>
            <w:tcW w:w="798" w:type="dxa"/>
            <w:tcBorders>
              <w:top w:val="single" w:sz="8" w:space="0" w:color="auto"/>
            </w:tcBorders>
            <w:shd w:val="clear" w:color="auto" w:fill="auto"/>
            <w:noWrap/>
            <w:vAlign w:val="center"/>
          </w:tcPr>
          <w:p w14:paraId="347D7ED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1930</w:t>
            </w:r>
          </w:p>
        </w:tc>
        <w:tc>
          <w:tcPr>
            <w:tcW w:w="798" w:type="dxa"/>
            <w:tcBorders>
              <w:top w:val="single" w:sz="8" w:space="0" w:color="auto"/>
            </w:tcBorders>
            <w:shd w:val="clear" w:color="auto" w:fill="auto"/>
            <w:noWrap/>
            <w:vAlign w:val="center"/>
          </w:tcPr>
          <w:p w14:paraId="4D78629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8</w:t>
            </w:r>
            <w:r w:rsidRPr="00765F6E">
              <w:rPr>
                <w:rFonts w:ascii="宋体" w:hAnsi="宋体" w:cs="宋体" w:hint="eastAsia"/>
                <w:kern w:val="0"/>
                <w:sz w:val="18"/>
                <w:szCs w:val="18"/>
              </w:rPr>
              <w:t>94</w:t>
            </w:r>
          </w:p>
        </w:tc>
        <w:tc>
          <w:tcPr>
            <w:tcW w:w="790" w:type="dxa"/>
            <w:tcBorders>
              <w:top w:val="single" w:sz="8" w:space="0" w:color="auto"/>
            </w:tcBorders>
            <w:shd w:val="clear" w:color="auto" w:fill="auto"/>
            <w:noWrap/>
            <w:vAlign w:val="center"/>
          </w:tcPr>
          <w:p w14:paraId="1E6B714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1858</w:t>
            </w:r>
          </w:p>
        </w:tc>
      </w:tr>
      <w:tr w:rsidR="00235309" w:rsidRPr="00765F6E" w14:paraId="4E538DD1" w14:textId="77777777" w:rsidTr="00871D47">
        <w:trPr>
          <w:trHeight w:val="176"/>
          <w:jc w:val="center"/>
        </w:trPr>
        <w:tc>
          <w:tcPr>
            <w:tcW w:w="799" w:type="dxa"/>
            <w:shd w:val="clear" w:color="auto" w:fill="auto"/>
            <w:vAlign w:val="center"/>
          </w:tcPr>
          <w:p w14:paraId="65D2B27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5F15FA8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r w:rsidRPr="00765F6E">
              <w:rPr>
                <w:rFonts w:ascii="宋体" w:hAnsi="宋体" w:cs="宋体"/>
                <w:kern w:val="0"/>
                <w:sz w:val="18"/>
                <w:szCs w:val="18"/>
              </w:rPr>
              <w:t>499</w:t>
            </w:r>
          </w:p>
        </w:tc>
        <w:tc>
          <w:tcPr>
            <w:tcW w:w="798" w:type="dxa"/>
            <w:shd w:val="clear" w:color="auto" w:fill="auto"/>
            <w:noWrap/>
            <w:vAlign w:val="center"/>
          </w:tcPr>
          <w:p w14:paraId="6939628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r w:rsidRPr="00765F6E">
              <w:rPr>
                <w:rFonts w:ascii="宋体" w:hAnsi="宋体" w:cs="宋体"/>
                <w:kern w:val="0"/>
                <w:sz w:val="18"/>
                <w:szCs w:val="18"/>
              </w:rPr>
              <w:t>4</w:t>
            </w:r>
            <w:r w:rsidRPr="00765F6E">
              <w:rPr>
                <w:rFonts w:ascii="宋体" w:hAnsi="宋体" w:cs="宋体" w:hint="eastAsia"/>
                <w:kern w:val="0"/>
                <w:sz w:val="18"/>
                <w:szCs w:val="18"/>
              </w:rPr>
              <w:t>99</w:t>
            </w:r>
          </w:p>
        </w:tc>
        <w:tc>
          <w:tcPr>
            <w:tcW w:w="798" w:type="dxa"/>
            <w:shd w:val="clear" w:color="auto" w:fill="auto"/>
            <w:noWrap/>
            <w:vAlign w:val="center"/>
          </w:tcPr>
          <w:p w14:paraId="5985286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w:t>
            </w:r>
            <w:r w:rsidRPr="00765F6E">
              <w:rPr>
                <w:rFonts w:ascii="宋体" w:hAnsi="宋体" w:cs="宋体"/>
                <w:kern w:val="0"/>
                <w:sz w:val="18"/>
                <w:szCs w:val="18"/>
              </w:rPr>
              <w:t>4</w:t>
            </w:r>
            <w:r w:rsidRPr="00765F6E">
              <w:rPr>
                <w:rFonts w:ascii="宋体" w:hAnsi="宋体" w:cs="宋体" w:hint="eastAsia"/>
                <w:kern w:val="0"/>
                <w:sz w:val="18"/>
                <w:szCs w:val="18"/>
              </w:rPr>
              <w:t>29</w:t>
            </w:r>
          </w:p>
        </w:tc>
        <w:tc>
          <w:tcPr>
            <w:tcW w:w="798" w:type="dxa"/>
            <w:shd w:val="clear" w:color="auto" w:fill="auto"/>
            <w:noWrap/>
            <w:vAlign w:val="center"/>
          </w:tcPr>
          <w:p w14:paraId="646B2DE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5138</w:t>
            </w:r>
          </w:p>
        </w:tc>
        <w:tc>
          <w:tcPr>
            <w:tcW w:w="798" w:type="dxa"/>
            <w:shd w:val="clear" w:color="auto" w:fill="auto"/>
            <w:noWrap/>
            <w:vAlign w:val="center"/>
          </w:tcPr>
          <w:p w14:paraId="7ECD3C9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r w:rsidRPr="00765F6E">
              <w:rPr>
                <w:rFonts w:ascii="宋体" w:hAnsi="宋体" w:cs="宋体"/>
                <w:kern w:val="0"/>
                <w:sz w:val="18"/>
                <w:szCs w:val="18"/>
              </w:rPr>
              <w:t>877</w:t>
            </w:r>
          </w:p>
        </w:tc>
        <w:tc>
          <w:tcPr>
            <w:tcW w:w="798" w:type="dxa"/>
            <w:shd w:val="clear" w:color="auto" w:fill="auto"/>
            <w:noWrap/>
            <w:vAlign w:val="center"/>
          </w:tcPr>
          <w:p w14:paraId="2299DA0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4</w:t>
            </w:r>
            <w:r w:rsidRPr="00765F6E">
              <w:rPr>
                <w:rFonts w:ascii="宋体" w:hAnsi="宋体" w:cs="宋体"/>
                <w:kern w:val="0"/>
                <w:sz w:val="18"/>
                <w:szCs w:val="18"/>
              </w:rPr>
              <w:t>877</w:t>
            </w:r>
          </w:p>
        </w:tc>
        <w:tc>
          <w:tcPr>
            <w:tcW w:w="798" w:type="dxa"/>
            <w:shd w:val="clear" w:color="auto" w:fill="auto"/>
            <w:noWrap/>
            <w:vAlign w:val="center"/>
          </w:tcPr>
          <w:p w14:paraId="034EE7F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3816</w:t>
            </w:r>
          </w:p>
        </w:tc>
        <w:tc>
          <w:tcPr>
            <w:tcW w:w="798" w:type="dxa"/>
            <w:shd w:val="clear" w:color="auto" w:fill="auto"/>
            <w:noWrap/>
            <w:vAlign w:val="center"/>
          </w:tcPr>
          <w:p w14:paraId="0524930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3440</w:t>
            </w:r>
          </w:p>
        </w:tc>
        <w:tc>
          <w:tcPr>
            <w:tcW w:w="798" w:type="dxa"/>
            <w:shd w:val="clear" w:color="auto" w:fill="auto"/>
            <w:noWrap/>
            <w:vAlign w:val="center"/>
          </w:tcPr>
          <w:p w14:paraId="6729D0F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3000</w:t>
            </w:r>
          </w:p>
        </w:tc>
        <w:tc>
          <w:tcPr>
            <w:tcW w:w="798" w:type="dxa"/>
            <w:shd w:val="clear" w:color="auto" w:fill="auto"/>
            <w:noWrap/>
            <w:vAlign w:val="center"/>
          </w:tcPr>
          <w:p w14:paraId="4A422E2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1621</w:t>
            </w:r>
          </w:p>
        </w:tc>
        <w:tc>
          <w:tcPr>
            <w:tcW w:w="790" w:type="dxa"/>
            <w:shd w:val="clear" w:color="auto" w:fill="auto"/>
            <w:noWrap/>
            <w:vAlign w:val="center"/>
          </w:tcPr>
          <w:p w14:paraId="67F21D1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1251</w:t>
            </w:r>
          </w:p>
        </w:tc>
      </w:tr>
      <w:tr w:rsidR="00235309" w:rsidRPr="00765F6E" w14:paraId="61FC1BFF" w14:textId="77777777" w:rsidTr="00871D47">
        <w:trPr>
          <w:trHeight w:val="176"/>
          <w:jc w:val="center"/>
        </w:trPr>
        <w:tc>
          <w:tcPr>
            <w:tcW w:w="799" w:type="dxa"/>
            <w:shd w:val="clear" w:color="auto" w:fill="auto"/>
            <w:vAlign w:val="center"/>
          </w:tcPr>
          <w:p w14:paraId="7674722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noWrap/>
            <w:vAlign w:val="center"/>
          </w:tcPr>
          <w:p w14:paraId="6C4D0DB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w:t>
            </w:r>
          </w:p>
        </w:tc>
        <w:tc>
          <w:tcPr>
            <w:tcW w:w="798" w:type="dxa"/>
            <w:shd w:val="clear" w:color="auto" w:fill="auto"/>
            <w:noWrap/>
            <w:vAlign w:val="center"/>
          </w:tcPr>
          <w:p w14:paraId="6314694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98" w:type="dxa"/>
            <w:shd w:val="clear" w:color="auto" w:fill="auto"/>
            <w:noWrap/>
            <w:vAlign w:val="center"/>
          </w:tcPr>
          <w:p w14:paraId="211747A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w:t>
            </w:r>
          </w:p>
        </w:tc>
        <w:tc>
          <w:tcPr>
            <w:tcW w:w="798" w:type="dxa"/>
            <w:shd w:val="clear" w:color="auto" w:fill="auto"/>
            <w:noWrap/>
            <w:vAlign w:val="center"/>
          </w:tcPr>
          <w:p w14:paraId="15254F8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10″</w:t>
            </w:r>
          </w:p>
        </w:tc>
        <w:tc>
          <w:tcPr>
            <w:tcW w:w="798" w:type="dxa"/>
            <w:shd w:val="clear" w:color="auto" w:fill="auto"/>
            <w:noWrap/>
            <w:vAlign w:val="center"/>
          </w:tcPr>
          <w:p w14:paraId="5368B0C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1</w:t>
            </w:r>
            <w:r w:rsidRPr="00765F6E">
              <w:rPr>
                <w:rFonts w:ascii="宋体" w:hAnsi="宋体" w:cs="宋体" w:hint="eastAsia"/>
                <w:kern w:val="0"/>
                <w:sz w:val="18"/>
                <w:szCs w:val="18"/>
              </w:rPr>
              <w:t>″</w:t>
            </w:r>
          </w:p>
        </w:tc>
        <w:tc>
          <w:tcPr>
            <w:tcW w:w="798" w:type="dxa"/>
            <w:shd w:val="clear" w:color="auto" w:fill="auto"/>
            <w:noWrap/>
            <w:vAlign w:val="center"/>
          </w:tcPr>
          <w:p w14:paraId="7253A29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2</w:t>
            </w:r>
            <w:r w:rsidRPr="00765F6E">
              <w:rPr>
                <w:rFonts w:ascii="宋体" w:hAnsi="宋体" w:cs="宋体" w:hint="eastAsia"/>
                <w:kern w:val="0"/>
                <w:sz w:val="18"/>
                <w:szCs w:val="18"/>
              </w:rPr>
              <w:t>″</w:t>
            </w:r>
          </w:p>
        </w:tc>
        <w:tc>
          <w:tcPr>
            <w:tcW w:w="798" w:type="dxa"/>
            <w:shd w:val="clear" w:color="auto" w:fill="auto"/>
            <w:noWrap/>
            <w:vAlign w:val="center"/>
          </w:tcPr>
          <w:p w14:paraId="0D91F10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3</w:t>
            </w:r>
            <w:r w:rsidRPr="00765F6E">
              <w:rPr>
                <w:rFonts w:ascii="宋体" w:hAnsi="宋体" w:cs="宋体" w:hint="eastAsia"/>
                <w:kern w:val="0"/>
                <w:sz w:val="18"/>
                <w:szCs w:val="18"/>
              </w:rPr>
              <w:t>″</w:t>
            </w:r>
          </w:p>
        </w:tc>
        <w:tc>
          <w:tcPr>
            <w:tcW w:w="798" w:type="dxa"/>
            <w:shd w:val="clear" w:color="auto" w:fill="auto"/>
            <w:noWrap/>
            <w:vAlign w:val="center"/>
          </w:tcPr>
          <w:p w14:paraId="32D734A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14″</w:t>
            </w:r>
          </w:p>
        </w:tc>
        <w:tc>
          <w:tcPr>
            <w:tcW w:w="798" w:type="dxa"/>
            <w:shd w:val="clear" w:color="auto" w:fill="auto"/>
            <w:noWrap/>
            <w:vAlign w:val="center"/>
          </w:tcPr>
          <w:p w14:paraId="050B2E6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15″</w:t>
            </w:r>
          </w:p>
        </w:tc>
        <w:tc>
          <w:tcPr>
            <w:tcW w:w="798" w:type="dxa"/>
            <w:shd w:val="clear" w:color="auto" w:fill="auto"/>
            <w:noWrap/>
            <w:vAlign w:val="center"/>
          </w:tcPr>
          <w:p w14:paraId="1900E3F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6</w:t>
            </w:r>
            <w:r w:rsidRPr="00765F6E">
              <w:rPr>
                <w:rFonts w:ascii="宋体" w:hAnsi="宋体" w:cs="宋体" w:hint="eastAsia"/>
                <w:kern w:val="0"/>
                <w:sz w:val="18"/>
                <w:szCs w:val="18"/>
              </w:rPr>
              <w:t>″</w:t>
            </w:r>
          </w:p>
        </w:tc>
        <w:tc>
          <w:tcPr>
            <w:tcW w:w="790" w:type="dxa"/>
            <w:shd w:val="clear" w:color="auto" w:fill="auto"/>
            <w:noWrap/>
            <w:vAlign w:val="center"/>
          </w:tcPr>
          <w:p w14:paraId="52354DF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7</w:t>
            </w:r>
            <w:r w:rsidRPr="00765F6E">
              <w:rPr>
                <w:rFonts w:ascii="宋体" w:hAnsi="宋体" w:cs="宋体" w:hint="eastAsia"/>
                <w:kern w:val="0"/>
                <w:sz w:val="18"/>
                <w:szCs w:val="18"/>
              </w:rPr>
              <w:t>″</w:t>
            </w:r>
          </w:p>
        </w:tc>
      </w:tr>
      <w:tr w:rsidR="00235309" w:rsidRPr="00765F6E" w14:paraId="7102CDC9" w14:textId="77777777" w:rsidTr="00871D47">
        <w:trPr>
          <w:trHeight w:val="176"/>
          <w:jc w:val="center"/>
        </w:trPr>
        <w:tc>
          <w:tcPr>
            <w:tcW w:w="799" w:type="dxa"/>
            <w:shd w:val="clear" w:color="auto" w:fill="auto"/>
            <w:vAlign w:val="center"/>
          </w:tcPr>
          <w:p w14:paraId="1FCAF2B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noWrap/>
            <w:vAlign w:val="center"/>
          </w:tcPr>
          <w:p w14:paraId="47CEDBC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1822</w:t>
            </w:r>
          </w:p>
        </w:tc>
        <w:tc>
          <w:tcPr>
            <w:tcW w:w="798" w:type="dxa"/>
            <w:shd w:val="clear" w:color="auto" w:fill="auto"/>
            <w:noWrap/>
            <w:vAlign w:val="center"/>
          </w:tcPr>
          <w:p w14:paraId="65D1639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1770</w:t>
            </w:r>
          </w:p>
        </w:tc>
        <w:tc>
          <w:tcPr>
            <w:tcW w:w="798" w:type="dxa"/>
            <w:shd w:val="clear" w:color="auto" w:fill="auto"/>
            <w:noWrap/>
            <w:vAlign w:val="center"/>
          </w:tcPr>
          <w:p w14:paraId="2CE56D1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685</w:t>
            </w:r>
          </w:p>
        </w:tc>
        <w:tc>
          <w:tcPr>
            <w:tcW w:w="798" w:type="dxa"/>
            <w:shd w:val="clear" w:color="auto" w:fill="auto"/>
            <w:noWrap/>
            <w:vAlign w:val="center"/>
          </w:tcPr>
          <w:p w14:paraId="78970D2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415</w:t>
            </w:r>
          </w:p>
        </w:tc>
        <w:tc>
          <w:tcPr>
            <w:tcW w:w="798" w:type="dxa"/>
            <w:shd w:val="clear" w:color="auto" w:fill="auto"/>
            <w:noWrap/>
            <w:vAlign w:val="center"/>
          </w:tcPr>
          <w:p w14:paraId="55DF9BE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220</w:t>
            </w:r>
          </w:p>
        </w:tc>
        <w:tc>
          <w:tcPr>
            <w:tcW w:w="798" w:type="dxa"/>
            <w:shd w:val="clear" w:color="auto" w:fill="auto"/>
            <w:noWrap/>
            <w:vAlign w:val="center"/>
          </w:tcPr>
          <w:p w14:paraId="7E6CE2E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220</w:t>
            </w:r>
          </w:p>
        </w:tc>
        <w:tc>
          <w:tcPr>
            <w:tcW w:w="798" w:type="dxa"/>
            <w:shd w:val="clear" w:color="auto" w:fill="auto"/>
            <w:noWrap/>
            <w:vAlign w:val="center"/>
          </w:tcPr>
          <w:p w14:paraId="324AA18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r w:rsidRPr="00765F6E">
              <w:rPr>
                <w:rFonts w:ascii="宋体" w:hAnsi="宋体" w:cs="宋体"/>
                <w:kern w:val="0"/>
                <w:sz w:val="18"/>
                <w:szCs w:val="18"/>
              </w:rPr>
              <w:t>40</w:t>
            </w:r>
          </w:p>
        </w:tc>
        <w:tc>
          <w:tcPr>
            <w:tcW w:w="798" w:type="dxa"/>
            <w:shd w:val="clear" w:color="auto" w:fill="auto"/>
            <w:noWrap/>
            <w:vAlign w:val="center"/>
          </w:tcPr>
          <w:p w14:paraId="74235C3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r w:rsidRPr="00765F6E">
              <w:rPr>
                <w:rFonts w:ascii="宋体" w:hAnsi="宋体" w:cs="宋体"/>
                <w:kern w:val="0"/>
                <w:sz w:val="18"/>
                <w:szCs w:val="18"/>
              </w:rPr>
              <w:t>38</w:t>
            </w:r>
          </w:p>
        </w:tc>
        <w:tc>
          <w:tcPr>
            <w:tcW w:w="798" w:type="dxa"/>
            <w:shd w:val="clear" w:color="auto" w:fill="auto"/>
            <w:noWrap/>
            <w:vAlign w:val="center"/>
          </w:tcPr>
          <w:p w14:paraId="0B96396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751</w:t>
            </w:r>
          </w:p>
        </w:tc>
        <w:tc>
          <w:tcPr>
            <w:tcW w:w="798" w:type="dxa"/>
            <w:shd w:val="clear" w:color="auto" w:fill="auto"/>
            <w:noWrap/>
            <w:vAlign w:val="center"/>
          </w:tcPr>
          <w:p w14:paraId="1D23C7C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751</w:t>
            </w:r>
          </w:p>
        </w:tc>
        <w:tc>
          <w:tcPr>
            <w:tcW w:w="790" w:type="dxa"/>
            <w:shd w:val="clear" w:color="auto" w:fill="auto"/>
            <w:noWrap/>
            <w:vAlign w:val="center"/>
          </w:tcPr>
          <w:p w14:paraId="00B3139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63</w:t>
            </w:r>
            <w:r w:rsidRPr="00765F6E">
              <w:rPr>
                <w:rFonts w:ascii="宋体" w:hAnsi="宋体" w:cs="宋体"/>
                <w:kern w:val="0"/>
                <w:sz w:val="18"/>
                <w:szCs w:val="18"/>
              </w:rPr>
              <w:t>9</w:t>
            </w:r>
          </w:p>
        </w:tc>
      </w:tr>
      <w:tr w:rsidR="00235309" w:rsidRPr="00765F6E" w14:paraId="4856FA41" w14:textId="77777777" w:rsidTr="00871D47">
        <w:trPr>
          <w:trHeight w:val="176"/>
          <w:jc w:val="center"/>
        </w:trPr>
        <w:tc>
          <w:tcPr>
            <w:tcW w:w="799" w:type="dxa"/>
            <w:shd w:val="clear" w:color="auto" w:fill="auto"/>
            <w:vAlign w:val="center"/>
          </w:tcPr>
          <w:p w14:paraId="139D7AA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1B76330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999</w:t>
            </w:r>
          </w:p>
        </w:tc>
        <w:tc>
          <w:tcPr>
            <w:tcW w:w="798" w:type="dxa"/>
            <w:shd w:val="clear" w:color="auto" w:fill="auto"/>
            <w:noWrap/>
            <w:vAlign w:val="center"/>
          </w:tcPr>
          <w:p w14:paraId="208F6FE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616</w:t>
            </w:r>
          </w:p>
        </w:tc>
        <w:tc>
          <w:tcPr>
            <w:tcW w:w="798" w:type="dxa"/>
            <w:shd w:val="clear" w:color="auto" w:fill="auto"/>
            <w:noWrap/>
            <w:vAlign w:val="center"/>
          </w:tcPr>
          <w:p w14:paraId="39C4AFC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w:t>
            </w:r>
            <w:r w:rsidRPr="00765F6E">
              <w:rPr>
                <w:rFonts w:ascii="宋体" w:hAnsi="宋体" w:cs="宋体"/>
                <w:kern w:val="0"/>
                <w:sz w:val="18"/>
                <w:szCs w:val="18"/>
              </w:rPr>
              <w:t>09</w:t>
            </w:r>
          </w:p>
        </w:tc>
        <w:tc>
          <w:tcPr>
            <w:tcW w:w="798" w:type="dxa"/>
            <w:shd w:val="clear" w:color="auto" w:fill="auto"/>
            <w:noWrap/>
            <w:vAlign w:val="center"/>
          </w:tcPr>
          <w:p w14:paraId="499874B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3</w:t>
            </w:r>
            <w:r w:rsidRPr="00765F6E">
              <w:rPr>
                <w:rFonts w:ascii="宋体" w:hAnsi="宋体" w:cs="宋体"/>
                <w:kern w:val="0"/>
                <w:sz w:val="18"/>
                <w:szCs w:val="18"/>
              </w:rPr>
              <w:t>8</w:t>
            </w:r>
          </w:p>
        </w:tc>
        <w:tc>
          <w:tcPr>
            <w:tcW w:w="798" w:type="dxa"/>
            <w:shd w:val="clear" w:color="auto" w:fill="auto"/>
            <w:noWrap/>
            <w:vAlign w:val="center"/>
          </w:tcPr>
          <w:p w14:paraId="78C2108D" w14:textId="0258BDD5" w:rsidR="00235309" w:rsidRPr="00765F6E" w:rsidRDefault="005D4D17" w:rsidP="00871D47">
            <w:pPr>
              <w:widowControl/>
              <w:spacing w:line="240" w:lineRule="auto"/>
              <w:jc w:val="center"/>
              <w:rPr>
                <w:rFonts w:ascii="宋体" w:hAnsi="宋体" w:cs="宋体"/>
                <w:kern w:val="0"/>
                <w:sz w:val="18"/>
                <w:szCs w:val="18"/>
              </w:rPr>
            </w:pPr>
            <w:r w:rsidRPr="00BF0BA3">
              <w:rPr>
                <w:rFonts w:ascii="宋体" w:hAnsi="宋体" w:cs="宋体"/>
                <w:kern w:val="0"/>
                <w:sz w:val="18"/>
                <w:szCs w:val="18"/>
              </w:rPr>
              <w:t>8</w:t>
            </w:r>
          </w:p>
        </w:tc>
        <w:tc>
          <w:tcPr>
            <w:tcW w:w="798" w:type="dxa"/>
            <w:shd w:val="clear" w:color="auto" w:fill="auto"/>
            <w:noWrap/>
            <w:vAlign w:val="center"/>
          </w:tcPr>
          <w:p w14:paraId="4801F86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98" w:type="dxa"/>
            <w:shd w:val="clear" w:color="auto" w:fill="auto"/>
            <w:noWrap/>
            <w:vAlign w:val="center"/>
          </w:tcPr>
          <w:p w14:paraId="0EA3083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8</w:t>
            </w:r>
          </w:p>
        </w:tc>
        <w:tc>
          <w:tcPr>
            <w:tcW w:w="798" w:type="dxa"/>
            <w:shd w:val="clear" w:color="auto" w:fill="auto"/>
            <w:noWrap/>
            <w:vAlign w:val="center"/>
          </w:tcPr>
          <w:p w14:paraId="1F800C4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19</w:t>
            </w:r>
          </w:p>
        </w:tc>
        <w:tc>
          <w:tcPr>
            <w:tcW w:w="798" w:type="dxa"/>
            <w:shd w:val="clear" w:color="auto" w:fill="auto"/>
            <w:noWrap/>
            <w:vAlign w:val="center"/>
          </w:tcPr>
          <w:p w14:paraId="0E643D97"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w:t>
            </w:r>
            <w:r w:rsidRPr="00765F6E">
              <w:rPr>
                <w:rFonts w:ascii="宋体" w:hAnsi="宋体" w:cs="宋体"/>
                <w:kern w:val="0"/>
                <w:sz w:val="18"/>
                <w:szCs w:val="18"/>
              </w:rPr>
              <w:t>19</w:t>
            </w:r>
          </w:p>
        </w:tc>
        <w:tc>
          <w:tcPr>
            <w:tcW w:w="798" w:type="dxa"/>
            <w:shd w:val="clear" w:color="auto" w:fill="auto"/>
            <w:noWrap/>
            <w:vAlign w:val="center"/>
          </w:tcPr>
          <w:p w14:paraId="369B810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-72</w:t>
            </w:r>
          </w:p>
        </w:tc>
        <w:tc>
          <w:tcPr>
            <w:tcW w:w="790" w:type="dxa"/>
            <w:shd w:val="clear" w:color="auto" w:fill="auto"/>
            <w:noWrap/>
            <w:vAlign w:val="center"/>
          </w:tcPr>
          <w:p w14:paraId="06B0D138"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-72</w:t>
            </w:r>
          </w:p>
        </w:tc>
      </w:tr>
      <w:tr w:rsidR="00235309" w:rsidRPr="00765F6E" w14:paraId="0D39B60F" w14:textId="77777777" w:rsidTr="00871D47">
        <w:trPr>
          <w:trHeight w:val="176"/>
          <w:jc w:val="center"/>
        </w:trPr>
        <w:tc>
          <w:tcPr>
            <w:tcW w:w="799" w:type="dxa"/>
            <w:shd w:val="clear" w:color="auto" w:fill="auto"/>
            <w:vAlign w:val="center"/>
          </w:tcPr>
          <w:p w14:paraId="4BCB703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序号</w:t>
            </w:r>
          </w:p>
        </w:tc>
        <w:tc>
          <w:tcPr>
            <w:tcW w:w="799" w:type="dxa"/>
            <w:shd w:val="clear" w:color="auto" w:fill="auto"/>
            <w:noWrap/>
            <w:vAlign w:val="center"/>
          </w:tcPr>
          <w:p w14:paraId="569C0D2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8</w:t>
            </w:r>
            <w:r w:rsidRPr="00765F6E">
              <w:rPr>
                <w:rFonts w:ascii="宋体" w:hAnsi="宋体" w:cs="宋体" w:hint="eastAsia"/>
                <w:kern w:val="0"/>
                <w:sz w:val="18"/>
                <w:szCs w:val="18"/>
              </w:rPr>
              <w:t>″</w:t>
            </w:r>
          </w:p>
        </w:tc>
        <w:tc>
          <w:tcPr>
            <w:tcW w:w="798" w:type="dxa"/>
            <w:shd w:val="clear" w:color="auto" w:fill="auto"/>
            <w:noWrap/>
            <w:vAlign w:val="center"/>
          </w:tcPr>
          <w:p w14:paraId="3BB2371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1</w:t>
            </w:r>
            <w:r w:rsidRPr="00765F6E">
              <w:rPr>
                <w:rFonts w:ascii="宋体" w:hAnsi="宋体" w:cs="宋体"/>
                <w:kern w:val="0"/>
                <w:sz w:val="18"/>
                <w:szCs w:val="18"/>
              </w:rPr>
              <w:t>9</w:t>
            </w:r>
            <w:r w:rsidRPr="00765F6E">
              <w:rPr>
                <w:rFonts w:ascii="宋体" w:hAnsi="宋体" w:cs="宋体" w:hint="eastAsia"/>
                <w:kern w:val="0"/>
                <w:sz w:val="18"/>
                <w:szCs w:val="18"/>
              </w:rPr>
              <w:t>″</w:t>
            </w:r>
          </w:p>
        </w:tc>
        <w:tc>
          <w:tcPr>
            <w:tcW w:w="798" w:type="dxa"/>
            <w:shd w:val="clear" w:color="auto" w:fill="auto"/>
            <w:noWrap/>
            <w:vAlign w:val="center"/>
          </w:tcPr>
          <w:p w14:paraId="3EF91D1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75DEC99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7EE94AF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56EE227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08AD6B1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7FF1A00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7395FEF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5C64423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shd w:val="clear" w:color="auto" w:fill="auto"/>
            <w:noWrap/>
            <w:vAlign w:val="center"/>
          </w:tcPr>
          <w:p w14:paraId="0D4E3AFD"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0ED0E9C2" w14:textId="77777777" w:rsidTr="00871D47">
        <w:trPr>
          <w:trHeight w:val="176"/>
          <w:jc w:val="center"/>
        </w:trPr>
        <w:tc>
          <w:tcPr>
            <w:tcW w:w="799" w:type="dxa"/>
            <w:shd w:val="clear" w:color="auto" w:fill="auto"/>
            <w:vAlign w:val="center"/>
          </w:tcPr>
          <w:p w14:paraId="7A0A0F2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X</w:t>
            </w:r>
          </w:p>
        </w:tc>
        <w:tc>
          <w:tcPr>
            <w:tcW w:w="799" w:type="dxa"/>
            <w:shd w:val="clear" w:color="auto" w:fill="auto"/>
            <w:noWrap/>
            <w:vAlign w:val="center"/>
          </w:tcPr>
          <w:p w14:paraId="6EF328D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63</w:t>
            </w:r>
            <w:r w:rsidRPr="00765F6E">
              <w:rPr>
                <w:rFonts w:ascii="宋体" w:hAnsi="宋体" w:cs="宋体"/>
                <w:kern w:val="0"/>
                <w:sz w:val="18"/>
                <w:szCs w:val="18"/>
              </w:rPr>
              <w:t>9</w:t>
            </w:r>
          </w:p>
        </w:tc>
        <w:tc>
          <w:tcPr>
            <w:tcW w:w="798" w:type="dxa"/>
            <w:shd w:val="clear" w:color="auto" w:fill="auto"/>
            <w:noWrap/>
            <w:vAlign w:val="center"/>
          </w:tcPr>
          <w:p w14:paraId="0173E2B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0</w:t>
            </w:r>
          </w:p>
        </w:tc>
        <w:tc>
          <w:tcPr>
            <w:tcW w:w="798" w:type="dxa"/>
            <w:shd w:val="clear" w:color="auto" w:fill="auto"/>
            <w:noWrap/>
            <w:vAlign w:val="center"/>
          </w:tcPr>
          <w:p w14:paraId="55CDF32E"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58F6FDF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167A7C6C"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740406D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5987242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30828891"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1ABDF67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04A4501B"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shd w:val="clear" w:color="auto" w:fill="auto"/>
            <w:noWrap/>
            <w:vAlign w:val="center"/>
          </w:tcPr>
          <w:p w14:paraId="2EA1C35F"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r w:rsidR="00235309" w:rsidRPr="00765F6E" w14:paraId="5FA24672" w14:textId="77777777" w:rsidTr="00871D47">
        <w:trPr>
          <w:trHeight w:val="176"/>
          <w:jc w:val="center"/>
        </w:trPr>
        <w:tc>
          <w:tcPr>
            <w:tcW w:w="799" w:type="dxa"/>
            <w:shd w:val="clear" w:color="auto" w:fill="auto"/>
            <w:vAlign w:val="center"/>
          </w:tcPr>
          <w:p w14:paraId="7FA46D92"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Y</w:t>
            </w:r>
          </w:p>
        </w:tc>
        <w:tc>
          <w:tcPr>
            <w:tcW w:w="799" w:type="dxa"/>
            <w:shd w:val="clear" w:color="auto" w:fill="auto"/>
            <w:noWrap/>
            <w:vAlign w:val="center"/>
          </w:tcPr>
          <w:p w14:paraId="620C7FC9"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24</w:t>
            </w:r>
          </w:p>
        </w:tc>
        <w:tc>
          <w:tcPr>
            <w:tcW w:w="798" w:type="dxa"/>
            <w:shd w:val="clear" w:color="auto" w:fill="auto"/>
            <w:noWrap/>
            <w:vAlign w:val="center"/>
          </w:tcPr>
          <w:p w14:paraId="148F24B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cs="宋体" w:hint="eastAsia"/>
                <w:kern w:val="0"/>
                <w:sz w:val="18"/>
                <w:szCs w:val="18"/>
              </w:rPr>
              <w:t>24</w:t>
            </w:r>
          </w:p>
        </w:tc>
        <w:tc>
          <w:tcPr>
            <w:tcW w:w="798" w:type="dxa"/>
            <w:shd w:val="clear" w:color="auto" w:fill="auto"/>
            <w:noWrap/>
            <w:vAlign w:val="center"/>
          </w:tcPr>
          <w:p w14:paraId="527FC955"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0B5BA7B6"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563D9ED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1502D6DA"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28F926A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794C12F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76800F60"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8" w:type="dxa"/>
            <w:shd w:val="clear" w:color="auto" w:fill="auto"/>
            <w:noWrap/>
            <w:vAlign w:val="center"/>
          </w:tcPr>
          <w:p w14:paraId="29DAD614"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c>
          <w:tcPr>
            <w:tcW w:w="790" w:type="dxa"/>
            <w:shd w:val="clear" w:color="auto" w:fill="auto"/>
            <w:noWrap/>
            <w:vAlign w:val="center"/>
          </w:tcPr>
          <w:p w14:paraId="4B538F03" w14:textId="77777777" w:rsidR="00235309" w:rsidRPr="00765F6E" w:rsidRDefault="00235309" w:rsidP="00871D47">
            <w:pPr>
              <w:widowControl/>
              <w:spacing w:line="240" w:lineRule="auto"/>
              <w:jc w:val="center"/>
              <w:rPr>
                <w:rFonts w:ascii="宋体" w:hAnsi="宋体" w:cs="宋体"/>
                <w:kern w:val="0"/>
                <w:sz w:val="18"/>
                <w:szCs w:val="18"/>
              </w:rPr>
            </w:pPr>
            <w:r w:rsidRPr="00765F6E">
              <w:rPr>
                <w:rFonts w:ascii="宋体" w:hAnsi="宋体" w:hint="eastAsia"/>
                <w:kern w:val="0"/>
                <w:sz w:val="18"/>
                <w:szCs w:val="18"/>
              </w:rPr>
              <w:t>-</w:t>
            </w:r>
          </w:p>
        </w:tc>
      </w:tr>
    </w:tbl>
    <w:p w14:paraId="6F7573E1" w14:textId="77777777" w:rsidR="00235309" w:rsidRPr="00765F6E" w:rsidRDefault="00235309" w:rsidP="00235309">
      <w:pPr>
        <w:pStyle w:val="affffb"/>
        <w:spacing w:before="120" w:after="120"/>
        <w:ind w:firstLine="420"/>
        <w:sectPr w:rsidR="00235309" w:rsidRPr="00765F6E" w:rsidSect="000A5A1C">
          <w:headerReference w:type="even" r:id="rId103"/>
          <w:headerReference w:type="default" r:id="rId104"/>
          <w:footerReference w:type="even" r:id="rId105"/>
          <w:footerReference w:type="default" r:id="rId106"/>
          <w:pgSz w:w="11906" w:h="16838"/>
          <w:pgMar w:top="1928" w:right="1134" w:bottom="1134" w:left="1134" w:header="1418" w:footer="1134" w:gutter="284"/>
          <w:cols w:space="425"/>
          <w:formProt w:val="0"/>
          <w:docGrid w:linePitch="312"/>
        </w:sectPr>
      </w:pPr>
    </w:p>
    <w:p w14:paraId="07EB713C" w14:textId="77777777" w:rsidR="00235309" w:rsidRPr="00765F6E" w:rsidRDefault="00235309" w:rsidP="00235309">
      <w:pPr>
        <w:pStyle w:val="af9"/>
        <w:rPr>
          <w:vanish w:val="0"/>
        </w:rPr>
      </w:pPr>
    </w:p>
    <w:p w14:paraId="6E63ACE3" w14:textId="77777777" w:rsidR="00235309" w:rsidRPr="00765F6E" w:rsidRDefault="00235309" w:rsidP="00235309">
      <w:pPr>
        <w:pStyle w:val="aff"/>
        <w:rPr>
          <w:vanish w:val="0"/>
        </w:rPr>
      </w:pPr>
    </w:p>
    <w:p w14:paraId="00EC731C" w14:textId="77777777" w:rsidR="00235309" w:rsidRPr="00DE0054" w:rsidRDefault="00235309" w:rsidP="00825942">
      <w:pPr>
        <w:pStyle w:val="aff4"/>
        <w:spacing w:beforeLines="100" w:before="312" w:after="156"/>
        <w:ind w:left="420"/>
      </w:pPr>
      <w:r w:rsidRPr="00765F6E">
        <w:br/>
      </w:r>
      <w:bookmarkStart w:id="3927" w:name="_Toc153211041"/>
      <w:bookmarkStart w:id="3928" w:name="_Toc153292574"/>
      <w:bookmarkStart w:id="3929" w:name="_Toc167895939"/>
      <w:bookmarkStart w:id="3930" w:name="_Toc182409573"/>
      <w:bookmarkStart w:id="3931" w:name="_Toc182476629"/>
      <w:r w:rsidRPr="00765F6E">
        <w:rPr>
          <w:rFonts w:hint="eastAsia"/>
        </w:rPr>
        <w:t>（规范性）</w:t>
      </w:r>
      <w:bookmarkEnd w:id="3927"/>
      <w:bookmarkEnd w:id="3928"/>
      <w:bookmarkEnd w:id="3929"/>
      <w:r>
        <w:br/>
      </w:r>
      <w:r w:rsidRPr="00DE0054">
        <w:rPr>
          <w:rFonts w:hint="eastAsia"/>
        </w:rPr>
        <w:t>缓和曲线地段建筑限界加宽计算</w:t>
      </w:r>
      <w:bookmarkEnd w:id="3930"/>
      <w:bookmarkEnd w:id="3931"/>
    </w:p>
    <w:p w14:paraId="0A08A95B" w14:textId="77777777" w:rsidR="00235309" w:rsidRPr="00765F6E" w:rsidRDefault="00235309" w:rsidP="00235309">
      <w:pPr>
        <w:pStyle w:val="aff5"/>
        <w:spacing w:beforeLines="0" w:before="0" w:afterLines="0" w:after="0"/>
        <w:ind w:firstLine="360"/>
        <w:outlineLvl w:val="9"/>
        <w:rPr>
          <w:rFonts w:ascii="宋体" w:eastAsia="宋体" w:hAnsi="宋体"/>
        </w:rPr>
      </w:pPr>
      <w:bookmarkStart w:id="3932" w:name="_Toc152659888"/>
      <w:bookmarkStart w:id="3933" w:name="_Toc144308212"/>
      <w:bookmarkStart w:id="3934" w:name="_Toc153292575"/>
      <w:bookmarkStart w:id="3935" w:name="_Toc153211042"/>
      <w:bookmarkStart w:id="3936" w:name="_Toc164068567"/>
      <w:bookmarkStart w:id="3937" w:name="_Toc167895940"/>
      <w:bookmarkStart w:id="3938" w:name="_Toc174539461"/>
      <w:bookmarkStart w:id="3939" w:name="_Toc174553596"/>
      <w:bookmarkStart w:id="3940" w:name="_Toc180759218"/>
      <w:bookmarkStart w:id="3941" w:name="_Toc181266630"/>
      <w:bookmarkStart w:id="3942" w:name="_Toc182409850"/>
      <w:bookmarkStart w:id="3943" w:name="_Toc182476630"/>
      <w:r w:rsidRPr="00765F6E">
        <w:rPr>
          <w:rFonts w:ascii="宋体" w:eastAsia="宋体" w:hAnsi="宋体" w:hint="eastAsia"/>
        </w:rPr>
        <w:t>缓和曲线引起的几何加宽量按下列规定计算。</w:t>
      </w:r>
      <w:bookmarkEnd w:id="3932"/>
      <w:bookmarkEnd w:id="3933"/>
      <w:bookmarkEnd w:id="3934"/>
      <w:bookmarkEnd w:id="3935"/>
      <w:bookmarkEnd w:id="3936"/>
      <w:bookmarkEnd w:id="3937"/>
      <w:bookmarkEnd w:id="3938"/>
      <w:bookmarkEnd w:id="3939"/>
      <w:bookmarkEnd w:id="3940"/>
      <w:bookmarkEnd w:id="3941"/>
      <w:bookmarkEnd w:id="3942"/>
      <w:bookmarkEnd w:id="3943"/>
    </w:p>
    <w:p w14:paraId="0955B3AC" w14:textId="77777777" w:rsidR="00235309" w:rsidRPr="00765F6E" w:rsidRDefault="00235309" w:rsidP="003334F3">
      <w:pPr>
        <w:pStyle w:val="af6"/>
        <w:numPr>
          <w:ilvl w:val="0"/>
          <w:numId w:val="295"/>
        </w:numPr>
        <w:tabs>
          <w:tab w:val="left" w:pos="851"/>
        </w:tabs>
        <w:snapToGrid w:val="0"/>
        <w:contextualSpacing/>
      </w:pPr>
      <w:r w:rsidRPr="00765F6E">
        <w:t>缓和曲线内侧加宽量</w:t>
      </w:r>
      <w:r w:rsidRPr="00765F6E">
        <w:rPr>
          <w:rFonts w:hint="eastAsia"/>
        </w:rPr>
        <w:t>按</w:t>
      </w:r>
      <w:r w:rsidRPr="00765F6E">
        <w:t>下列公式计算</w:t>
      </w:r>
      <w:r w:rsidRPr="00765F6E">
        <w:rPr>
          <w:rFonts w:hint="eastAsia"/>
        </w:rPr>
        <w:t>。</w:t>
      </w:r>
    </w:p>
    <w:p w14:paraId="37DA8186" w14:textId="77777777" w:rsidR="00235309" w:rsidRPr="00765F6E" w:rsidRDefault="00235309" w:rsidP="00235309">
      <w:pPr>
        <w:spacing w:line="240" w:lineRule="auto"/>
        <w:ind w:firstLineChars="450" w:firstLine="945"/>
        <w:jc w:val="left"/>
        <w:rPr>
          <w:rFonts w:ascii="Times New Roman"/>
        </w:rPr>
      </w:pPr>
      <w:r w:rsidRPr="00765F6E">
        <w:rPr>
          <w:rFonts w:ascii="宋体" w:hAnsi="宋体"/>
        </w:rPr>
        <w:t>1</w:t>
      </w:r>
      <w:r w:rsidRPr="00765F6E">
        <w:rPr>
          <w:rFonts w:ascii="宋体" w:hAnsi="宋体" w:hint="eastAsia"/>
        </w:rPr>
        <w:t>)</w:t>
      </w:r>
      <w:r w:rsidRPr="00765F6E">
        <w:rPr>
          <w:rFonts w:ascii="宋体" w:hAnsi="宋体"/>
        </w:rPr>
        <w:t xml:space="preserve"> A、D型车</w:t>
      </w:r>
      <w:r w:rsidRPr="00765F6E">
        <w:rPr>
          <w:rFonts w:ascii="Times New Roman" w:hint="eastAsia"/>
        </w:rPr>
        <w:t>按公式（</w:t>
      </w:r>
      <w:r w:rsidRPr="00765F6E">
        <w:rPr>
          <w:rFonts w:ascii="Times New Roman" w:hint="eastAsia"/>
        </w:rPr>
        <w:t>F</w:t>
      </w:r>
      <w:r w:rsidRPr="00765F6E">
        <w:rPr>
          <w:rFonts w:ascii="Times New Roman"/>
        </w:rPr>
        <w:t>.1</w:t>
      </w:r>
      <w:r w:rsidRPr="00765F6E">
        <w:rPr>
          <w:rFonts w:ascii="Times New Roman" w:hint="eastAsia"/>
        </w:rPr>
        <w:t>）计算。</w:t>
      </w:r>
    </w:p>
    <w:p w14:paraId="54A7BE11" w14:textId="77777777" w:rsidR="00235309" w:rsidRPr="00765F6E" w:rsidRDefault="00235309" w:rsidP="00235309">
      <w:pPr>
        <w:spacing w:line="240" w:lineRule="auto"/>
        <w:ind w:firstLineChars="450" w:firstLine="945"/>
        <w:jc w:val="left"/>
        <w:rPr>
          <w:rFonts w:ascii="Times New Roman" w:hAnsi="Times New Roman"/>
        </w:rPr>
      </w:pPr>
      <w:r w:rsidRPr="00765F6E">
        <w:rPr>
          <w:rFonts w:ascii="宋体" w:hAnsi="宋体"/>
        </w:rPr>
        <w:t>2</w:t>
      </w:r>
      <w:r w:rsidRPr="00765F6E">
        <w:rPr>
          <w:rFonts w:ascii="宋体" w:hAnsi="宋体" w:hint="eastAsia"/>
        </w:rPr>
        <w:t>)</w:t>
      </w:r>
      <w:r w:rsidRPr="00765F6E">
        <w:rPr>
          <w:rFonts w:ascii="宋体" w:hAnsi="宋体"/>
        </w:rPr>
        <w:t xml:space="preserve"> B型车</w:t>
      </w:r>
      <w:r w:rsidRPr="00765F6E">
        <w:rPr>
          <w:rFonts w:ascii="Times New Roman" w:hAnsi="Times New Roman" w:hint="eastAsia"/>
        </w:rPr>
        <w:t>按公式（</w:t>
      </w:r>
      <w:r w:rsidRPr="00765F6E">
        <w:rPr>
          <w:rFonts w:ascii="Times New Roman" w:hAnsi="Times New Roman" w:hint="eastAsia"/>
        </w:rPr>
        <w:t>F.</w:t>
      </w:r>
      <w:r w:rsidRPr="00765F6E">
        <w:rPr>
          <w:rFonts w:ascii="Times New Roman" w:hAnsi="Times New Roman"/>
        </w:rPr>
        <w:t>2</w:t>
      </w:r>
      <w:r w:rsidRPr="00765F6E">
        <w:rPr>
          <w:rFonts w:ascii="Times New Roman" w:hAnsi="Times New Roman" w:hint="eastAsia"/>
        </w:rPr>
        <w:t>）计算。</w:t>
      </w:r>
    </w:p>
    <w:p w14:paraId="4233862A" w14:textId="77777777" w:rsidR="00235309" w:rsidRPr="00765F6E" w:rsidRDefault="00235309" w:rsidP="00235309">
      <w:pPr>
        <w:spacing w:line="240" w:lineRule="auto"/>
        <w:ind w:firstLineChars="450" w:firstLine="945"/>
        <w:jc w:val="left"/>
        <w:rPr>
          <w:rFonts w:ascii="Times New Roman" w:hAnsi="Times New Roman"/>
        </w:rPr>
      </w:pPr>
      <w:r w:rsidRPr="00765F6E">
        <w:rPr>
          <w:rFonts w:ascii="宋体" w:hAnsi="宋体"/>
        </w:rPr>
        <w:t>3</w:t>
      </w:r>
      <w:r w:rsidRPr="00765F6E">
        <w:rPr>
          <w:rFonts w:ascii="宋体" w:hAnsi="宋体" w:hint="eastAsia"/>
        </w:rPr>
        <w:t>)</w:t>
      </w:r>
      <w:r w:rsidRPr="00765F6E">
        <w:rPr>
          <w:rFonts w:ascii="宋体" w:hAnsi="宋体"/>
        </w:rPr>
        <w:t xml:space="preserve"> C型车</w:t>
      </w:r>
      <w:r w:rsidRPr="00765F6E">
        <w:rPr>
          <w:rFonts w:ascii="Times New Roman" w:hAnsi="Times New Roman" w:hint="eastAsia"/>
        </w:rPr>
        <w:t>按公式（</w:t>
      </w:r>
      <w:r w:rsidRPr="00765F6E">
        <w:rPr>
          <w:rFonts w:ascii="Times New Roman" w:hAnsi="Times New Roman" w:hint="eastAsia"/>
        </w:rPr>
        <w:t>F</w:t>
      </w:r>
      <w:r w:rsidRPr="00765F6E">
        <w:rPr>
          <w:rFonts w:ascii="Times New Roman" w:hAnsi="Times New Roman"/>
        </w:rPr>
        <w:t>.3</w:t>
      </w:r>
      <w:r w:rsidRPr="00765F6E">
        <w:rPr>
          <w:rFonts w:ascii="Times New Roman" w:hAnsi="Times New Roman" w:hint="eastAsia"/>
        </w:rPr>
        <w:t>）计算。</w:t>
      </w:r>
    </w:p>
    <w:p w14:paraId="4DAED9FD" w14:textId="77777777" w:rsidR="00235309" w:rsidRPr="00765F6E" w:rsidRDefault="00235309" w:rsidP="00235309">
      <w:pPr>
        <w:pStyle w:val="af6"/>
        <w:tabs>
          <w:tab w:val="left" w:pos="851"/>
        </w:tabs>
        <w:snapToGrid w:val="0"/>
        <w:contextualSpacing/>
      </w:pPr>
      <w:r w:rsidRPr="00765F6E">
        <w:t>缓和曲线外侧加宽量</w:t>
      </w:r>
      <w:r w:rsidRPr="00765F6E">
        <w:rPr>
          <w:rFonts w:hint="eastAsia"/>
        </w:rPr>
        <w:t>按</w:t>
      </w:r>
      <w:r w:rsidRPr="00765F6E">
        <w:t>下列公式计算</w:t>
      </w:r>
      <w:r w:rsidRPr="00765F6E">
        <w:rPr>
          <w:rFonts w:hint="eastAsia"/>
        </w:rPr>
        <w:t>。</w:t>
      </w:r>
    </w:p>
    <w:p w14:paraId="47EDABDB" w14:textId="77777777" w:rsidR="00235309" w:rsidRPr="00765F6E" w:rsidRDefault="00235309" w:rsidP="00235309">
      <w:pPr>
        <w:spacing w:line="240" w:lineRule="auto"/>
        <w:ind w:firstLineChars="450" w:firstLine="945"/>
        <w:jc w:val="left"/>
        <w:rPr>
          <w:rFonts w:ascii="宋体" w:hAnsi="宋体"/>
        </w:rPr>
      </w:pPr>
      <w:r w:rsidRPr="00765F6E">
        <w:rPr>
          <w:rFonts w:ascii="宋体" w:hAnsi="宋体"/>
        </w:rPr>
        <w:t>1</w:t>
      </w:r>
      <w:r w:rsidRPr="00765F6E">
        <w:rPr>
          <w:rFonts w:ascii="宋体" w:hAnsi="宋体" w:hint="eastAsia"/>
        </w:rPr>
        <w:t>)</w:t>
      </w:r>
      <w:r w:rsidRPr="00765F6E">
        <w:rPr>
          <w:rFonts w:ascii="宋体" w:hAnsi="宋体"/>
        </w:rPr>
        <w:t xml:space="preserve"> A</w:t>
      </w:r>
      <w:r w:rsidRPr="00765F6E">
        <w:rPr>
          <w:rFonts w:ascii="宋体" w:hAnsi="宋体" w:hint="eastAsia"/>
        </w:rPr>
        <w:t>、</w:t>
      </w:r>
      <w:r w:rsidRPr="00765F6E">
        <w:rPr>
          <w:rFonts w:ascii="宋体" w:hAnsi="宋体"/>
        </w:rPr>
        <w:t>D型车</w:t>
      </w:r>
      <w:r w:rsidRPr="00765F6E">
        <w:rPr>
          <w:rFonts w:ascii="宋体" w:hAnsi="宋体" w:hint="eastAsia"/>
        </w:rPr>
        <w:t>按公式（F</w:t>
      </w:r>
      <w:r w:rsidRPr="00765F6E">
        <w:rPr>
          <w:rFonts w:ascii="宋体" w:hAnsi="宋体"/>
        </w:rPr>
        <w:t>.5</w:t>
      </w:r>
      <w:r w:rsidRPr="00765F6E">
        <w:rPr>
          <w:rFonts w:ascii="宋体" w:hAnsi="宋体" w:hint="eastAsia"/>
        </w:rPr>
        <w:t>）计算。</w:t>
      </w:r>
    </w:p>
    <w:p w14:paraId="03E6CE73" w14:textId="77777777" w:rsidR="00235309" w:rsidRPr="00765F6E" w:rsidRDefault="00235309" w:rsidP="00235309">
      <w:pPr>
        <w:spacing w:line="240" w:lineRule="auto"/>
        <w:ind w:firstLineChars="450" w:firstLine="945"/>
        <w:jc w:val="left"/>
        <w:rPr>
          <w:rFonts w:ascii="宋体" w:hAnsi="宋体"/>
        </w:rPr>
      </w:pPr>
      <w:r w:rsidRPr="00765F6E">
        <w:rPr>
          <w:rFonts w:ascii="宋体" w:hAnsi="宋体"/>
        </w:rPr>
        <w:t>2</w:t>
      </w:r>
      <w:r w:rsidRPr="00765F6E">
        <w:rPr>
          <w:rFonts w:ascii="宋体" w:hAnsi="宋体" w:hint="eastAsia"/>
        </w:rPr>
        <w:t>)</w:t>
      </w:r>
      <w:r w:rsidRPr="00765F6E">
        <w:rPr>
          <w:rFonts w:ascii="宋体" w:hAnsi="宋体"/>
        </w:rPr>
        <w:t xml:space="preserve"> B 型车</w:t>
      </w:r>
      <w:r w:rsidRPr="00765F6E">
        <w:rPr>
          <w:rFonts w:ascii="宋体" w:hAnsi="宋体" w:hint="eastAsia"/>
        </w:rPr>
        <w:t>按公式（F</w:t>
      </w:r>
      <w:r w:rsidRPr="00765F6E">
        <w:rPr>
          <w:rFonts w:ascii="宋体" w:hAnsi="宋体"/>
        </w:rPr>
        <w:t>.6</w:t>
      </w:r>
      <w:r w:rsidRPr="00765F6E">
        <w:rPr>
          <w:rFonts w:ascii="宋体" w:hAnsi="宋体" w:hint="eastAsia"/>
        </w:rPr>
        <w:t>）计算。</w:t>
      </w:r>
    </w:p>
    <w:p w14:paraId="488AB5BE" w14:textId="77777777" w:rsidR="00235309" w:rsidRPr="00765F6E" w:rsidRDefault="00235309" w:rsidP="00235309">
      <w:pPr>
        <w:spacing w:line="240" w:lineRule="auto"/>
        <w:ind w:firstLineChars="450" w:firstLine="945"/>
        <w:jc w:val="left"/>
        <w:rPr>
          <w:rFonts w:ascii="宋体" w:hAnsi="宋体"/>
        </w:rPr>
      </w:pPr>
      <w:r w:rsidRPr="00765F6E">
        <w:rPr>
          <w:rFonts w:ascii="宋体" w:hAnsi="宋体"/>
        </w:rPr>
        <w:t>3</w:t>
      </w:r>
      <w:r w:rsidRPr="00765F6E">
        <w:rPr>
          <w:rFonts w:ascii="宋体" w:hAnsi="宋体" w:hint="eastAsia"/>
        </w:rPr>
        <w:t>)</w:t>
      </w:r>
      <w:r w:rsidRPr="00765F6E">
        <w:rPr>
          <w:rFonts w:ascii="宋体" w:hAnsi="宋体"/>
        </w:rPr>
        <w:t xml:space="preserve"> C 型车</w:t>
      </w:r>
      <w:r w:rsidRPr="00765F6E">
        <w:rPr>
          <w:rFonts w:ascii="宋体" w:hAnsi="宋体" w:hint="eastAsia"/>
        </w:rPr>
        <w:t>按公式（F</w:t>
      </w:r>
      <w:r w:rsidRPr="00765F6E">
        <w:rPr>
          <w:rFonts w:ascii="宋体" w:hAnsi="宋体"/>
        </w:rPr>
        <w:t>.7</w:t>
      </w:r>
      <w:r w:rsidRPr="00765F6E">
        <w:rPr>
          <w:rFonts w:ascii="宋体" w:hAnsi="宋体" w:hint="eastAsia"/>
        </w:rPr>
        <w:t>）计算。</w:t>
      </w:r>
    </w:p>
    <w:p w14:paraId="0C6B1B0F" w14:textId="77777777" w:rsidR="00235309" w:rsidRPr="00765F6E" w:rsidRDefault="00235309" w:rsidP="00235309">
      <w:pPr>
        <w:pStyle w:val="affffffd"/>
      </w:pPr>
      <w:r w:rsidRPr="00765F6E">
        <w:tab/>
      </w:r>
      <m:oMath>
        <m:sSub>
          <m:sSubPr>
            <m:ctrlPr>
              <w:rPr>
                <w:rFonts w:ascii="Cambria Math" w:hAnsi="Cambria Math"/>
              </w:rPr>
            </m:ctrlPr>
          </m:sSubPr>
          <m:e>
            <m:r>
              <w:rPr>
                <w:rFonts w:ascii="Cambria Math" w:hAnsi="Cambria Math"/>
              </w:rPr>
              <m:t>e</m:t>
            </m:r>
          </m:e>
          <m:sub>
            <m:r>
              <m:rPr>
                <m:sty m:val="p"/>
              </m:rPr>
              <w:rPr>
                <w:rFonts w:ascii="Cambria Math" w:hAnsi="Cambria Math"/>
              </w:rPr>
              <m:t>p</m:t>
            </m:r>
            <m:r>
              <w:rPr>
                <w:rFonts w:ascii="Cambria Math" w:hAnsi="Cambria Math" w:hint="eastAsia"/>
              </w:rPr>
              <m:t>内</m:t>
            </m:r>
          </m:sub>
        </m:sSub>
        <m:r>
          <m:rPr>
            <m:sty m:val="p"/>
          </m:rPr>
          <w:rPr>
            <w:rFonts w:ascii="Cambria Math" w:hAnsi="Cambria Math"/>
          </w:rPr>
          <m:t>=31592</m:t>
        </m:r>
        <m:f>
          <m:fPr>
            <m:ctrlPr>
              <w:rPr>
                <w:rFonts w:ascii="Cambria Math" w:hAnsi="Cambria Math"/>
              </w:rPr>
            </m:ctrlPr>
          </m:fPr>
          <m:num>
            <m:r>
              <m:rPr>
                <m:sty m:val="p"/>
              </m:rPr>
              <w:rPr>
                <w:rFonts w:ascii="Cambria Math" w:hAnsi="Cambria Math"/>
              </w:rPr>
              <m:t>x</m:t>
            </m:r>
          </m:num>
          <m:den>
            <m:r>
              <w:rPr>
                <w:rFonts w:ascii="Cambria Math" w:hAnsi="Cambria Math"/>
              </w:rPr>
              <m:t>C</m:t>
            </m:r>
          </m:den>
        </m:f>
      </m:oMath>
      <w:r w:rsidRPr="00765F6E">
        <w:rPr>
          <w:rFonts w:ascii="微软雅黑" w:eastAsia="微软雅黑" w:hAnsi="微软雅黑"/>
        </w:rPr>
        <w:tab/>
      </w:r>
      <w:r w:rsidRPr="00765F6E">
        <w:t>(F.1)</w:t>
      </w:r>
    </w:p>
    <w:p w14:paraId="03F9CA8C" w14:textId="2A981F8C" w:rsidR="00235309" w:rsidRPr="00765F6E" w:rsidRDefault="00235309" w:rsidP="00235309">
      <w:pPr>
        <w:pStyle w:val="affffffd"/>
      </w:pPr>
      <w:r w:rsidRPr="00765F6E">
        <w:tab/>
      </w:r>
      <m:oMath>
        <m:sSub>
          <m:sSubPr>
            <m:ctrlPr>
              <w:rPr>
                <w:rFonts w:ascii="Cambria Math" w:hAnsi="Cambria Math"/>
              </w:rPr>
            </m:ctrlPr>
          </m:sSubPr>
          <m:e>
            <m:r>
              <w:rPr>
                <w:rFonts w:ascii="Cambria Math" w:hAnsi="Cambria Math"/>
              </w:rPr>
              <m:t>e</m:t>
            </m:r>
          </m:e>
          <m:sub>
            <m:r>
              <m:rPr>
                <m:sty m:val="p"/>
              </m:rPr>
              <w:rPr>
                <w:rFonts w:ascii="Cambria Math" w:hAnsi="Cambria Math"/>
              </w:rPr>
              <m:t>p</m:t>
            </m:r>
            <m:r>
              <w:rPr>
                <w:rFonts w:ascii="Cambria Math" w:hAnsi="Cambria Math" w:hint="eastAsia"/>
              </w:rPr>
              <m:t>内</m:t>
            </m:r>
          </m:sub>
        </m:sSub>
        <m:r>
          <m:rPr>
            <m:sty m:val="p"/>
          </m:rPr>
          <w:rPr>
            <w:rFonts w:ascii="Cambria Math" w:hAnsi="Cambria Math"/>
          </w:rPr>
          <m:t>=20506</m:t>
        </m:r>
        <m:f>
          <m:fPr>
            <m:ctrlPr>
              <w:rPr>
                <w:rFonts w:ascii="Cambria Math" w:hAnsi="Cambria Math"/>
              </w:rPr>
            </m:ctrlPr>
          </m:fPr>
          <m:num>
            <m:r>
              <m:rPr>
                <m:sty m:val="p"/>
              </m:rPr>
              <w:rPr>
                <w:rFonts w:ascii="Cambria Math" w:hAnsi="Cambria Math"/>
              </w:rPr>
              <m:t>x</m:t>
            </m:r>
          </m:num>
          <m:den>
            <m:r>
              <w:rPr>
                <w:rFonts w:ascii="Cambria Math" w:hAnsi="Cambria Math"/>
              </w:rPr>
              <m:t>C</m:t>
            </m:r>
          </m:den>
        </m:f>
        <m:r>
          <m:rPr>
            <m:sty m:val="p"/>
          </m:rPr>
          <w:rPr>
            <w:rFonts w:ascii="Cambria Math" w:hAnsi="Cambria Math"/>
          </w:rPr>
          <m:t xml:space="preserve"> </m:t>
        </m:r>
      </m:oMath>
      <w:r w:rsidRPr="00765F6E">
        <w:rPr>
          <w:rFonts w:ascii="微软雅黑" w:eastAsia="微软雅黑" w:hAnsi="微软雅黑"/>
        </w:rPr>
        <w:tab/>
      </w:r>
      <w:r w:rsidRPr="00765F6E">
        <w:t>(F.</w:t>
      </w:r>
      <w:r w:rsidR="00CA2808">
        <w:fldChar w:fldCharType="begin"/>
      </w:r>
      <w:r w:rsidR="00CA2808">
        <w:instrText xml:space="preserve">  seq fulu_equation_133542677336327905  </w:instrText>
      </w:r>
      <w:r w:rsidR="00CA2808">
        <w:fldChar w:fldCharType="separate"/>
      </w:r>
      <w:r w:rsidR="00620087">
        <w:rPr>
          <w:noProof/>
        </w:rPr>
        <w:t>1</w:t>
      </w:r>
      <w:r w:rsidR="00CA2808">
        <w:rPr>
          <w:noProof/>
        </w:rPr>
        <w:fldChar w:fldCharType="end"/>
      </w:r>
      <w:r w:rsidRPr="00765F6E">
        <w:t>)</w:t>
      </w:r>
    </w:p>
    <w:p w14:paraId="20DC03E6" w14:textId="77777777" w:rsidR="00235309" w:rsidRPr="00765F6E" w:rsidRDefault="00235309" w:rsidP="00235309">
      <w:pPr>
        <w:pStyle w:val="affffffd"/>
      </w:pPr>
      <w:r w:rsidRPr="00765F6E">
        <w:tab/>
      </w:r>
      <m:oMath>
        <m:sSub>
          <m:sSubPr>
            <m:ctrlPr>
              <w:rPr>
                <w:rFonts w:ascii="Cambria Math" w:hAnsi="Cambria Math"/>
              </w:rPr>
            </m:ctrlPr>
          </m:sSubPr>
          <m:e>
            <m:r>
              <w:rPr>
                <w:rFonts w:ascii="Cambria Math" w:hAnsi="Cambria Math"/>
              </w:rPr>
              <m:t>e</m:t>
            </m:r>
          </m:e>
          <m:sub>
            <m:r>
              <m:rPr>
                <m:sty m:val="p"/>
              </m:rPr>
              <w:rPr>
                <w:rFonts w:ascii="Cambria Math" w:hAnsi="Cambria Math"/>
              </w:rPr>
              <m:t>p</m:t>
            </m:r>
            <m:r>
              <w:rPr>
                <w:rFonts w:ascii="Cambria Math" w:hAnsi="Cambria Math" w:hint="eastAsia"/>
              </w:rPr>
              <m:t>内</m:t>
            </m:r>
          </m:sub>
        </m:sSub>
        <m:r>
          <m:rPr>
            <m:sty m:val="p"/>
          </m:rPr>
          <w:rPr>
            <w:rFonts w:ascii="Cambria Math" w:hAnsi="Cambria Math"/>
          </w:rPr>
          <m:t>=39062</m:t>
        </m:r>
        <m:f>
          <m:fPr>
            <m:ctrlPr>
              <w:rPr>
                <w:rFonts w:ascii="Cambria Math" w:hAnsi="Cambria Math"/>
              </w:rPr>
            </m:ctrlPr>
          </m:fPr>
          <m:num>
            <m:r>
              <m:rPr>
                <m:sty m:val="p"/>
              </m:rPr>
              <w:rPr>
                <w:rFonts w:ascii="Cambria Math" w:hAnsi="Cambria Math"/>
              </w:rPr>
              <m:t>x</m:t>
            </m:r>
          </m:num>
          <m:den>
            <m:r>
              <w:rPr>
                <w:rFonts w:ascii="Cambria Math" w:hAnsi="Cambria Math"/>
              </w:rPr>
              <m:t>C</m:t>
            </m:r>
          </m:den>
        </m:f>
      </m:oMath>
      <w:r w:rsidRPr="00765F6E">
        <w:rPr>
          <w:rFonts w:ascii="微软雅黑" w:eastAsia="微软雅黑" w:hAnsi="微软雅黑"/>
        </w:rPr>
        <w:tab/>
      </w:r>
      <w:r w:rsidRPr="00765F6E">
        <w:t>(F.3)</w:t>
      </w:r>
    </w:p>
    <w:p w14:paraId="338E5A62" w14:textId="77777777" w:rsidR="00235309" w:rsidRPr="00765F6E" w:rsidRDefault="00235309" w:rsidP="00235309">
      <w:pPr>
        <w:pStyle w:val="affffffd"/>
      </w:pPr>
      <w:r w:rsidRPr="00765F6E">
        <w:tab/>
      </w:r>
      <m:oMath>
        <m:r>
          <w:rPr>
            <w:rFonts w:ascii="Cambria Math" w:hAnsi="Cambria Math"/>
          </w:rPr>
          <m:t>C</m:t>
        </m:r>
        <m:r>
          <m:rPr>
            <m:sty m:val="p"/>
          </m:rPr>
          <w:rPr>
            <w:rFonts w:ascii="Cambria Math" w:hAnsi="Cambria Math"/>
          </w:rPr>
          <m:t>=</m:t>
        </m:r>
        <m:r>
          <w:rPr>
            <w:rFonts w:ascii="Cambria Math" w:hAnsi="Cambria Math"/>
          </w:rPr>
          <m:t>L</m:t>
        </m:r>
        <m:r>
          <m:rPr>
            <m:sty m:val="p"/>
          </m:rPr>
          <w:rPr>
            <w:rFonts w:ascii="Cambria Math" w:hAnsi="Cambria Math"/>
          </w:rPr>
          <m:t xml:space="preserve"> × </m:t>
        </m:r>
        <m:r>
          <w:rPr>
            <w:rFonts w:ascii="Cambria Math" w:hAnsi="Cambria Math"/>
          </w:rPr>
          <m:t>R</m:t>
        </m:r>
      </m:oMath>
      <w:r w:rsidRPr="00765F6E">
        <w:rPr>
          <w:rFonts w:ascii="微软雅黑" w:eastAsia="微软雅黑" w:hAnsi="微软雅黑"/>
        </w:rPr>
        <w:tab/>
      </w:r>
      <w:r w:rsidRPr="00765F6E">
        <w:t>(F.4)</w:t>
      </w:r>
    </w:p>
    <w:p w14:paraId="772E348B" w14:textId="77777777" w:rsidR="00235309" w:rsidRPr="00765F6E" w:rsidRDefault="00235309" w:rsidP="00235309">
      <w:pPr>
        <w:pStyle w:val="affffffd"/>
      </w:pPr>
      <w:r w:rsidRPr="00765F6E">
        <w:tab/>
      </w:r>
      <m:oMath>
        <m:sSub>
          <m:sSubPr>
            <m:ctrlPr>
              <w:rPr>
                <w:rFonts w:ascii="Cambria Math" w:hAnsi="Cambria Math"/>
              </w:rPr>
            </m:ctrlPr>
          </m:sSubPr>
          <m:e>
            <m:r>
              <w:rPr>
                <w:rFonts w:ascii="Cambria Math" w:hAnsi="Cambria Math"/>
              </w:rPr>
              <m:t>e</m:t>
            </m:r>
          </m:e>
          <m:sub>
            <m:r>
              <m:rPr>
                <m:sty m:val="p"/>
              </m:rPr>
              <w:rPr>
                <w:rFonts w:ascii="Cambria Math" w:hAnsi="Cambria Math"/>
              </w:rPr>
              <m:t>p</m:t>
            </m:r>
            <m:r>
              <w:rPr>
                <w:rFonts w:ascii="Cambria Math" w:hAnsi="Cambria Math" w:hint="eastAsia"/>
              </w:rPr>
              <m:t>外</m:t>
            </m:r>
          </m:sub>
        </m:sSub>
        <m:r>
          <w:rPr>
            <w:rFonts w:ascii="Cambria Math" w:hAnsi="Cambria Math" w:hint="eastAsia"/>
          </w:rPr>
          <m:t>=</m:t>
        </m:r>
        <m:r>
          <w:rPr>
            <w:rFonts w:ascii="Cambria Math" w:hAnsi="Cambria Math"/>
          </w:rPr>
          <m:t xml:space="preserve"> </m:t>
        </m:r>
        <m:f>
          <m:fPr>
            <m:ctrlPr>
              <w:rPr>
                <w:rFonts w:ascii="Cambria Math" w:hAnsi="Cambria Math"/>
              </w:rPr>
            </m:ctrlPr>
          </m:fPr>
          <m:num>
            <m:r>
              <m:rPr>
                <m:sty m:val="p"/>
              </m:rPr>
              <w:rPr>
                <w:rFonts w:ascii="Cambria Math" w:hAnsi="Cambria Math"/>
              </w:rPr>
              <m:t>1</m:t>
            </m:r>
          </m:num>
          <m:den>
            <m:r>
              <w:rPr>
                <w:rFonts w:ascii="Cambria Math" w:hAnsi="Cambria Math"/>
              </w:rPr>
              <m:t>C</m:t>
            </m:r>
          </m:den>
        </m:f>
        <m:r>
          <m:rPr>
            <m:sty m:val="p"/>
          </m:rPr>
          <w:rPr>
            <w:rFonts w:ascii="Cambria Math" w:hAnsi="Cambria Math"/>
          </w:rPr>
          <m:t>(29689</m:t>
        </m:r>
        <m:r>
          <w:rPr>
            <w:rFonts w:ascii="Cambria Math" w:hAnsi="Cambria Math" w:hint="eastAsia"/>
          </w:rPr>
          <m:t>x</m:t>
        </m:r>
        <m:r>
          <m:rPr>
            <m:sty m:val="p"/>
          </m:rPr>
          <w:rPr>
            <w:rFonts w:ascii="Cambria Math" w:hAnsi="Cambria Math"/>
          </w:rPr>
          <m:t>+21718)</m:t>
        </m:r>
      </m:oMath>
      <w:r w:rsidRPr="00765F6E">
        <w:rPr>
          <w:rFonts w:ascii="微软雅黑" w:eastAsia="微软雅黑" w:hAnsi="微软雅黑"/>
        </w:rPr>
        <w:tab/>
      </w:r>
      <w:r w:rsidRPr="00765F6E">
        <w:t>(F.5)</w:t>
      </w:r>
    </w:p>
    <w:p w14:paraId="42A2BB9F" w14:textId="77777777" w:rsidR="00235309" w:rsidRPr="00765F6E" w:rsidRDefault="00235309" w:rsidP="00235309">
      <w:pPr>
        <w:pStyle w:val="affffffd"/>
      </w:pPr>
      <w:r w:rsidRPr="00765F6E">
        <w:tab/>
      </w:r>
      <m:oMath>
        <m:r>
          <w:rPr>
            <w:rFonts w:ascii="Cambria Math" w:hAnsi="Cambria Math"/>
          </w:rPr>
          <m:t xml:space="preserve"> </m:t>
        </m:r>
        <m:sSub>
          <m:sSubPr>
            <m:ctrlPr>
              <w:rPr>
                <w:rFonts w:ascii="Cambria Math" w:hAnsi="Cambria Math"/>
              </w:rPr>
            </m:ctrlPr>
          </m:sSubPr>
          <m:e>
            <m:r>
              <w:rPr>
                <w:rFonts w:ascii="Cambria Math" w:hAnsi="Cambria Math"/>
              </w:rPr>
              <m:t>e</m:t>
            </m:r>
          </m:e>
          <m:sub>
            <m:r>
              <m:rPr>
                <m:sty m:val="p"/>
              </m:rPr>
              <w:rPr>
                <w:rFonts w:ascii="Cambria Math" w:hAnsi="Cambria Math"/>
              </w:rPr>
              <m:t>p</m:t>
            </m:r>
            <m:r>
              <w:rPr>
                <w:rFonts w:ascii="Cambria Math" w:hAnsi="Cambria Math" w:hint="eastAsia"/>
              </w:rPr>
              <m:t>外</m:t>
            </m:r>
          </m:sub>
        </m:sSub>
        <m:r>
          <w:rPr>
            <w:rFonts w:ascii="Cambria Math" w:hAnsi="Cambria Math" w:hint="eastAsia"/>
          </w:rPr>
          <m:t>=</m:t>
        </m:r>
        <m:f>
          <m:fPr>
            <m:ctrlPr>
              <w:rPr>
                <w:rFonts w:ascii="Cambria Math" w:hAnsi="Cambria Math"/>
              </w:rPr>
            </m:ctrlPr>
          </m:fPr>
          <m:num>
            <m:r>
              <m:rPr>
                <m:sty m:val="p"/>
              </m:rPr>
              <w:rPr>
                <w:rFonts w:ascii="Cambria Math" w:hAnsi="Cambria Math"/>
              </w:rPr>
              <m:t>1</m:t>
            </m:r>
          </m:num>
          <m:den>
            <m:r>
              <w:rPr>
                <w:rFonts w:ascii="Cambria Math" w:hAnsi="Cambria Math"/>
              </w:rPr>
              <m:t>C</m:t>
            </m:r>
          </m:den>
        </m:f>
        <m:r>
          <m:rPr>
            <m:sty m:val="p"/>
          </m:rPr>
          <w:rPr>
            <w:rFonts w:ascii="Cambria Math" w:hAnsi="Cambria Math"/>
          </w:rPr>
          <m:t>(25280</m:t>
        </m:r>
        <m:r>
          <w:rPr>
            <w:rFonts w:ascii="Cambria Math" w:hAnsi="Cambria Math" w:hint="eastAsia"/>
          </w:rPr>
          <m:t>x</m:t>
        </m:r>
        <m:r>
          <m:rPr>
            <m:sty m:val="p"/>
          </m:rPr>
          <w:rPr>
            <w:rFonts w:ascii="Cambria Math" w:hAnsi="Cambria Math"/>
          </w:rPr>
          <m:t>+160107)</m:t>
        </m:r>
      </m:oMath>
      <w:r w:rsidRPr="00765F6E">
        <w:rPr>
          <w:rFonts w:ascii="微软雅黑" w:eastAsia="微软雅黑" w:hAnsi="微软雅黑"/>
        </w:rPr>
        <w:tab/>
      </w:r>
      <w:r w:rsidRPr="00765F6E">
        <w:t>(F.6)</w:t>
      </w:r>
    </w:p>
    <w:p w14:paraId="780497CD" w14:textId="77777777" w:rsidR="00235309" w:rsidRPr="00765F6E" w:rsidRDefault="00235309" w:rsidP="00235309">
      <w:pPr>
        <w:pStyle w:val="affffffd"/>
      </w:pPr>
      <w:r w:rsidRPr="00765F6E">
        <w:tab/>
      </w:r>
      <m:oMath>
        <m:sSub>
          <m:sSubPr>
            <m:ctrlPr>
              <w:rPr>
                <w:rFonts w:ascii="Cambria Math" w:hAnsi="Cambria Math"/>
              </w:rPr>
            </m:ctrlPr>
          </m:sSubPr>
          <m:e>
            <m:r>
              <w:rPr>
                <w:rFonts w:ascii="Cambria Math" w:hAnsi="Cambria Math"/>
              </w:rPr>
              <m:t>e</m:t>
            </m:r>
          </m:e>
          <m:sub>
            <m:r>
              <m:rPr>
                <m:sty m:val="p"/>
              </m:rPr>
              <w:rPr>
                <w:rFonts w:ascii="Cambria Math" w:hAnsi="Cambria Math"/>
              </w:rPr>
              <m:t>p</m:t>
            </m:r>
            <m:r>
              <w:rPr>
                <w:rFonts w:ascii="Cambria Math" w:hAnsi="Cambria Math" w:hint="eastAsia"/>
              </w:rPr>
              <m:t>外</m:t>
            </m:r>
          </m:sub>
        </m:sSub>
        <m:r>
          <w:rPr>
            <w:rFonts w:ascii="Cambria Math" w:hAnsi="Cambria Math" w:hint="eastAsia"/>
          </w:rPr>
          <m:t>=</m:t>
        </m:r>
        <m:f>
          <m:fPr>
            <m:ctrlPr>
              <w:rPr>
                <w:rFonts w:ascii="Cambria Math" w:hAnsi="Cambria Math"/>
              </w:rPr>
            </m:ctrlPr>
          </m:fPr>
          <m:num>
            <m:r>
              <m:rPr>
                <m:sty m:val="p"/>
              </m:rPr>
              <w:rPr>
                <w:rFonts w:ascii="Cambria Math" w:hAnsi="Cambria Math"/>
              </w:rPr>
              <m:t>1</m:t>
            </m:r>
          </m:num>
          <m:den>
            <m:r>
              <w:rPr>
                <w:rFonts w:ascii="Cambria Math" w:hAnsi="Cambria Math"/>
              </w:rPr>
              <m:t>C</m:t>
            </m:r>
          </m:den>
        </m:f>
        <m:r>
          <m:rPr>
            <m:sty m:val="p"/>
          </m:rPr>
          <w:rPr>
            <w:rFonts w:ascii="Cambria Math" w:hAnsi="Cambria Math"/>
          </w:rPr>
          <m:t>(39844</m:t>
        </m:r>
        <m:r>
          <w:rPr>
            <w:rFonts w:ascii="Cambria Math" w:hAnsi="Cambria Math" w:hint="eastAsia"/>
          </w:rPr>
          <m:t>x</m:t>
        </m:r>
        <m:r>
          <m:rPr>
            <m:sty m:val="p"/>
          </m:rPr>
          <w:rPr>
            <w:rFonts w:ascii="Cambria Math" w:hAnsi="Cambria Math"/>
          </w:rPr>
          <m:t>+33203)</m:t>
        </m:r>
        <m:r>
          <m:rPr>
            <m:sty m:val="p"/>
          </m:rPr>
          <w:rPr>
            <w:rFonts w:ascii="Cambria Math" w:hAnsi="Cambria Math" w:hint="eastAsia"/>
          </w:rPr>
          <m:t xml:space="preserve">  </m:t>
        </m:r>
        <m:r>
          <m:rPr>
            <m:sty m:val="p"/>
          </m:rPr>
          <w:rPr>
            <w:rFonts w:ascii="Cambria Math" w:hAnsi="Cambria Math"/>
          </w:rPr>
          <m:t xml:space="preserve"> </m:t>
        </m:r>
      </m:oMath>
      <w:r w:rsidRPr="00765F6E">
        <w:rPr>
          <w:rFonts w:ascii="微软雅黑" w:eastAsia="微软雅黑" w:hAnsi="微软雅黑"/>
        </w:rPr>
        <w:tab/>
      </w:r>
      <w:r w:rsidRPr="00765F6E">
        <w:t>(F.7)</w:t>
      </w:r>
      <w:r w:rsidRPr="00765F6E">
        <w:rPr>
          <w:rFonts w:hint="eastAsia"/>
        </w:rPr>
        <w:t xml:space="preserve"> </w:t>
      </w:r>
    </w:p>
    <w:p w14:paraId="634099E4" w14:textId="77777777" w:rsidR="00235309" w:rsidRPr="00765F6E" w:rsidRDefault="00235309" w:rsidP="0062778D">
      <w:pPr>
        <w:pStyle w:val="affffa"/>
        <w:ind w:firstLine="420"/>
      </w:pPr>
      <w:r w:rsidRPr="00765F6E">
        <w:rPr>
          <w:rFonts w:hint="eastAsia"/>
        </w:rPr>
        <w:t>式中：</w:t>
      </w:r>
    </w:p>
    <w:p w14:paraId="405CBAF0" w14:textId="77777777" w:rsidR="00235309" w:rsidRPr="00765F6E" w:rsidRDefault="00CA2808" w:rsidP="0062778D">
      <w:pPr>
        <w:adjustRightInd/>
        <w:spacing w:line="240" w:lineRule="auto"/>
        <w:ind w:leftChars="350" w:left="735"/>
        <w:jc w:val="left"/>
        <w:rPr>
          <w:rFonts w:ascii="Cambria Math" w:hAnsi="Cambria Math"/>
        </w:rPr>
      </w:pPr>
      <m:oMath>
        <m:sSub>
          <m:sSubPr>
            <m:ctrlPr>
              <w:rPr>
                <w:rFonts w:ascii="Cambria Math" w:hAnsi="Cambria Math"/>
              </w:rPr>
            </m:ctrlPr>
          </m:sSubPr>
          <m:e>
            <m:r>
              <w:rPr>
                <w:rFonts w:ascii="Cambria Math" w:hAnsi="Cambria Math"/>
              </w:rPr>
              <m:t>e</m:t>
            </m:r>
          </m:e>
          <m:sub>
            <m:r>
              <m:rPr>
                <m:sty m:val="p"/>
              </m:rPr>
              <w:rPr>
                <w:rFonts w:ascii="Cambria Math" w:hAnsi="Cambria Math"/>
              </w:rPr>
              <m:t>p</m:t>
            </m:r>
            <m:r>
              <w:rPr>
                <w:rFonts w:ascii="Cambria Math" w:hAnsi="Cambria Math" w:hint="eastAsia"/>
              </w:rPr>
              <m:t>内</m:t>
            </m:r>
          </m:sub>
        </m:sSub>
      </m:oMath>
      <w:r w:rsidR="00235309" w:rsidRPr="00765F6E">
        <w:rPr>
          <w:rFonts w:ascii="Cambria Math" w:hAnsi="Cambria Math" w:hint="eastAsia"/>
        </w:rPr>
        <w:t>，</w:t>
      </w:r>
      <m:oMath>
        <m:sSub>
          <m:sSubPr>
            <m:ctrlPr>
              <w:rPr>
                <w:rFonts w:ascii="Cambria Math" w:hAnsi="Cambria Math"/>
              </w:rPr>
            </m:ctrlPr>
          </m:sSubPr>
          <m:e>
            <m:r>
              <w:rPr>
                <w:rFonts w:ascii="Cambria Math" w:hAnsi="Cambria Math"/>
              </w:rPr>
              <m:t>e</m:t>
            </m:r>
          </m:e>
          <m:sub>
            <m:r>
              <m:rPr>
                <m:sty m:val="p"/>
              </m:rPr>
              <w:rPr>
                <w:rFonts w:ascii="Cambria Math" w:hAnsi="Cambria Math"/>
              </w:rPr>
              <m:t>p</m:t>
            </m:r>
            <m:r>
              <w:rPr>
                <w:rFonts w:ascii="Cambria Math" w:hAnsi="Cambria Math" w:hint="eastAsia"/>
              </w:rPr>
              <m:t>外</m:t>
            </m:r>
          </m:sub>
        </m:sSub>
      </m:oMath>
      <w:r w:rsidR="00235309" w:rsidRPr="00765F6E">
        <w:rPr>
          <w:rFonts w:ascii="Cambria Math" w:hAnsi="Cambria Math"/>
        </w:rPr>
        <w:t xml:space="preserve"> ——</w:t>
      </w:r>
      <w:r w:rsidR="00235309" w:rsidRPr="00765F6E">
        <w:rPr>
          <w:rFonts w:ascii="Cambria Math" w:hAnsi="Cambria Math"/>
        </w:rPr>
        <w:t>缓和曲线引起的曲线内、外侧限界加宽量</w:t>
      </w:r>
      <w:r w:rsidR="00235309" w:rsidRPr="00765F6E">
        <w:rPr>
          <w:rFonts w:ascii="Cambria Math" w:hAnsi="Cambria Math" w:hint="eastAsia"/>
        </w:rPr>
        <w:t>，单位为毫米</w:t>
      </w:r>
      <w:r w:rsidR="00235309" w:rsidRPr="00765F6E">
        <w:rPr>
          <w:rFonts w:ascii="Cambria Math" w:hAnsi="Cambria Math"/>
        </w:rPr>
        <w:t>(mm)</w:t>
      </w:r>
      <w:r w:rsidR="00235309" w:rsidRPr="00765F6E">
        <w:rPr>
          <w:rFonts w:ascii="Cambria Math" w:hAnsi="Cambria Math"/>
        </w:rPr>
        <w:t>；</w:t>
      </w:r>
    </w:p>
    <w:p w14:paraId="407C4D5F" w14:textId="77777777" w:rsidR="00235309" w:rsidRPr="00765F6E" w:rsidRDefault="00235309" w:rsidP="0062778D">
      <w:pPr>
        <w:adjustRightInd/>
        <w:spacing w:line="240" w:lineRule="auto"/>
        <w:ind w:leftChars="350" w:left="735"/>
        <w:jc w:val="left"/>
        <w:rPr>
          <w:rFonts w:ascii="Cambria Math" w:hAnsi="Cambria Math"/>
        </w:rPr>
      </w:pPr>
      <w:r w:rsidRPr="00765F6E">
        <w:rPr>
          <w:rFonts w:ascii="Cambria Math" w:hAnsi="Cambria Math"/>
        </w:rPr>
        <w:t>x——</w:t>
      </w:r>
      <w:r w:rsidRPr="00765F6E">
        <w:rPr>
          <w:rFonts w:ascii="Cambria Math" w:hAnsi="Cambria Math"/>
        </w:rPr>
        <w:t>计算点距离缓和曲线起点的距离</w:t>
      </w:r>
      <w:r w:rsidRPr="00765F6E">
        <w:rPr>
          <w:rFonts w:ascii="Cambria Math" w:hAnsi="Cambria Math" w:hint="eastAsia"/>
        </w:rPr>
        <w:t>，单位为米</w:t>
      </w:r>
      <w:r w:rsidRPr="00765F6E">
        <w:rPr>
          <w:rFonts w:ascii="Cambria Math" w:hAnsi="Cambria Math"/>
        </w:rPr>
        <w:t>(m)</w:t>
      </w:r>
      <w:r w:rsidRPr="00765F6E">
        <w:rPr>
          <w:rFonts w:ascii="Cambria Math" w:hAnsi="Cambria Math"/>
        </w:rPr>
        <w:t>；</w:t>
      </w:r>
    </w:p>
    <w:p w14:paraId="7BB11A96" w14:textId="77777777" w:rsidR="00235309" w:rsidRPr="00765F6E" w:rsidRDefault="00235309" w:rsidP="0062778D">
      <w:pPr>
        <w:adjustRightInd/>
        <w:spacing w:line="240" w:lineRule="auto"/>
        <w:ind w:leftChars="350" w:left="735"/>
        <w:jc w:val="left"/>
        <w:rPr>
          <w:rFonts w:ascii="Cambria Math" w:hAnsi="Cambria Math"/>
        </w:rPr>
      </w:pPr>
      <w:r w:rsidRPr="00765F6E">
        <w:rPr>
          <w:rFonts w:ascii="Cambria Math" w:hAnsi="Cambria Math"/>
        </w:rPr>
        <w:t>L——</w:t>
      </w:r>
      <w:r w:rsidRPr="00765F6E">
        <w:rPr>
          <w:rFonts w:ascii="Cambria Math" w:hAnsi="Cambria Math"/>
        </w:rPr>
        <w:t>缓和曲线长度</w:t>
      </w:r>
      <w:r w:rsidRPr="00765F6E">
        <w:rPr>
          <w:rFonts w:ascii="Cambria Math" w:hAnsi="Cambria Math" w:hint="eastAsia"/>
        </w:rPr>
        <w:t>，单位为米</w:t>
      </w:r>
      <w:r w:rsidRPr="00765F6E">
        <w:rPr>
          <w:rFonts w:ascii="Cambria Math" w:hAnsi="Cambria Math"/>
        </w:rPr>
        <w:t>(m)</w:t>
      </w:r>
      <w:r w:rsidRPr="00765F6E">
        <w:rPr>
          <w:rFonts w:ascii="Cambria Math" w:hAnsi="Cambria Math" w:hint="eastAsia"/>
        </w:rPr>
        <w:t>；</w:t>
      </w:r>
    </w:p>
    <w:p w14:paraId="5455EDF8" w14:textId="77777777" w:rsidR="00235309" w:rsidRPr="00765F6E" w:rsidRDefault="00235309" w:rsidP="0062778D">
      <w:pPr>
        <w:adjustRightInd/>
        <w:spacing w:line="240" w:lineRule="auto"/>
        <w:ind w:leftChars="350" w:left="735"/>
        <w:jc w:val="left"/>
        <w:rPr>
          <w:rFonts w:ascii="Cambria Math" w:hAnsi="Cambria Math"/>
        </w:rPr>
      </w:pPr>
      <w:r w:rsidRPr="00765F6E">
        <w:rPr>
          <w:rFonts w:ascii="Cambria Math" w:hAnsi="Cambria Math"/>
        </w:rPr>
        <w:t>R——</w:t>
      </w:r>
      <w:r w:rsidRPr="00765F6E">
        <w:rPr>
          <w:rFonts w:ascii="Cambria Math" w:hAnsi="Cambria Math"/>
        </w:rPr>
        <w:t>圆曲线半径</w:t>
      </w:r>
      <w:r w:rsidRPr="00765F6E">
        <w:rPr>
          <w:rFonts w:ascii="Cambria Math" w:hAnsi="Cambria Math" w:hint="eastAsia"/>
        </w:rPr>
        <w:t>，单位为米</w:t>
      </w:r>
      <w:r w:rsidRPr="00765F6E">
        <w:rPr>
          <w:rFonts w:ascii="Cambria Math" w:hAnsi="Cambria Math"/>
        </w:rPr>
        <w:t>(m)</w:t>
      </w:r>
      <w:r w:rsidRPr="00765F6E">
        <w:rPr>
          <w:rFonts w:ascii="Cambria Math" w:hAnsi="Cambria Math"/>
        </w:rPr>
        <w:t>。</w:t>
      </w:r>
    </w:p>
    <w:p w14:paraId="7F971822" w14:textId="217752CC" w:rsidR="00235309" w:rsidRPr="00765F6E" w:rsidRDefault="00235309" w:rsidP="00235309">
      <w:pPr>
        <w:pStyle w:val="aff5"/>
        <w:spacing w:beforeLines="0" w:before="0" w:afterLines="0" w:after="0"/>
        <w:ind w:firstLine="360"/>
        <w:outlineLvl w:val="9"/>
        <w:rPr>
          <w:rFonts w:ascii="宋体" w:eastAsia="宋体" w:hAnsi="宋体"/>
        </w:rPr>
      </w:pPr>
      <w:bookmarkStart w:id="3944" w:name="_Toc153211043"/>
      <w:bookmarkStart w:id="3945" w:name="_Toc152659889"/>
      <w:bookmarkStart w:id="3946" w:name="_Toc144308213"/>
      <w:bookmarkStart w:id="3947" w:name="_Toc164068568"/>
      <w:bookmarkStart w:id="3948" w:name="_Toc153292576"/>
      <w:bookmarkStart w:id="3949" w:name="_Toc167895941"/>
      <w:bookmarkStart w:id="3950" w:name="_Toc174539462"/>
      <w:bookmarkStart w:id="3951" w:name="_Toc174553597"/>
      <w:bookmarkStart w:id="3952" w:name="_Toc180759219"/>
      <w:bookmarkStart w:id="3953" w:name="_Toc181266631"/>
      <w:bookmarkStart w:id="3954" w:name="_Toc182409851"/>
      <w:bookmarkStart w:id="3955" w:name="_Toc182476631"/>
      <w:r w:rsidRPr="00765F6E">
        <w:rPr>
          <w:rFonts w:ascii="宋体" w:eastAsia="宋体" w:hAnsi="宋体" w:hint="eastAsia"/>
        </w:rPr>
        <w:t>轨道超高引起的加宽量按公式（F</w:t>
      </w:r>
      <w:r w:rsidRPr="00765F6E">
        <w:rPr>
          <w:rFonts w:ascii="宋体" w:eastAsia="宋体" w:hAnsi="宋体"/>
        </w:rPr>
        <w:t>.8</w:t>
      </w:r>
      <w:r w:rsidRPr="00765F6E">
        <w:rPr>
          <w:rFonts w:ascii="宋体" w:eastAsia="宋体" w:hAnsi="宋体" w:hint="eastAsia"/>
        </w:rPr>
        <w:t>）</w:t>
      </w:r>
      <w:r w:rsidR="00396F4E">
        <w:rPr>
          <w:rFonts w:asciiTheme="minorEastAsia" w:eastAsiaTheme="minorEastAsia" w:hAnsiTheme="minorEastAsia" w:hint="eastAsia"/>
        </w:rPr>
        <w:t>～</w:t>
      </w:r>
      <w:r w:rsidRPr="00765F6E">
        <w:rPr>
          <w:rFonts w:ascii="宋体" w:eastAsia="宋体" w:hAnsi="宋体" w:hint="eastAsia"/>
        </w:rPr>
        <w:t>公式（F</w:t>
      </w:r>
      <w:r w:rsidRPr="00765F6E">
        <w:rPr>
          <w:rFonts w:ascii="宋体" w:eastAsia="宋体" w:hAnsi="宋体"/>
        </w:rPr>
        <w:t>.11</w:t>
      </w:r>
      <w:r w:rsidRPr="00765F6E">
        <w:rPr>
          <w:rFonts w:ascii="宋体" w:eastAsia="宋体" w:hAnsi="宋体" w:hint="eastAsia"/>
        </w:rPr>
        <w:t>）计算：</w:t>
      </w:r>
      <w:bookmarkEnd w:id="3944"/>
      <w:bookmarkEnd w:id="3945"/>
      <w:bookmarkEnd w:id="3946"/>
      <w:bookmarkEnd w:id="3947"/>
      <w:bookmarkEnd w:id="3948"/>
      <w:bookmarkEnd w:id="3949"/>
      <w:bookmarkEnd w:id="3950"/>
      <w:bookmarkEnd w:id="3951"/>
      <w:bookmarkEnd w:id="3952"/>
      <w:bookmarkEnd w:id="3953"/>
      <w:bookmarkEnd w:id="3954"/>
      <w:bookmarkEnd w:id="3955"/>
    </w:p>
    <w:p w14:paraId="6285D6C5" w14:textId="77777777" w:rsidR="00235309" w:rsidRPr="00765F6E" w:rsidRDefault="00235309" w:rsidP="00235309">
      <w:pPr>
        <w:pStyle w:val="affffffd"/>
      </w:pPr>
      <w:r w:rsidRPr="00765F6E">
        <w:tab/>
      </w:r>
      <m:oMath>
        <m:sSub>
          <m:sSubPr>
            <m:ctrlPr>
              <w:rPr>
                <w:rFonts w:ascii="Cambria Math" w:hAnsi="Cambria Math"/>
                <w:i/>
              </w:rPr>
            </m:ctrlPr>
          </m:sSubPr>
          <m:e>
            <m:r>
              <w:rPr>
                <w:rFonts w:ascii="Cambria Math" w:hAnsi="Cambria Math"/>
              </w:rPr>
              <m:t>h</m:t>
            </m:r>
          </m:e>
          <m:sub>
            <m:r>
              <w:rPr>
                <w:rFonts w:ascii="Cambria Math" w:hAnsi="Cambria Math" w:hint="eastAsia"/>
              </w:rPr>
              <m:t>缓</m:t>
            </m:r>
          </m:sub>
        </m:sSub>
        <m:r>
          <w:rPr>
            <w:rFonts w:ascii="Cambria Math" w:hAnsi="Cambria Math"/>
            <w:vertAlign w:val="subscript"/>
          </w:rPr>
          <m:t>=</m:t>
        </m:r>
        <m:r>
          <w:rPr>
            <w:rFonts w:ascii="Cambria Math" w:eastAsia="MS Gothic" w:hAnsi="Cambria Math" w:cs="MS Gothic"/>
          </w:rPr>
          <m:t>h</m:t>
        </m:r>
        <m:r>
          <w:rPr>
            <w:rFonts w:ascii="Cambria Math" w:hAnsi="Cambria Math"/>
          </w:rPr>
          <m:t>×</m:t>
        </m:r>
        <m:f>
          <m:fPr>
            <m:ctrlPr>
              <w:rPr>
                <w:rFonts w:ascii="Cambria Math" w:hAnsi="Cambria Math"/>
              </w:rPr>
            </m:ctrlPr>
          </m:fPr>
          <m:num>
            <m:r>
              <m:rPr>
                <m:sty m:val="p"/>
              </m:rPr>
              <w:rPr>
                <w:rFonts w:ascii="Cambria Math" w:hAnsi="Cambria Math"/>
              </w:rPr>
              <m:t>x</m:t>
            </m:r>
          </m:num>
          <m:den>
            <m:r>
              <w:rPr>
                <w:rFonts w:ascii="Cambria Math" w:hAnsi="Cambria Math"/>
              </w:rPr>
              <m:t>L</m:t>
            </m:r>
          </m:den>
        </m:f>
      </m:oMath>
      <w:r w:rsidRPr="00765F6E">
        <w:rPr>
          <w:rFonts w:ascii="微软雅黑" w:eastAsia="微软雅黑" w:hAnsi="微软雅黑"/>
        </w:rPr>
        <w:tab/>
      </w:r>
      <w:r w:rsidRPr="00765F6E">
        <w:t>(F.8)</w:t>
      </w:r>
    </w:p>
    <w:p w14:paraId="438D3EAC" w14:textId="77777777" w:rsidR="00235309" w:rsidRPr="00765F6E" w:rsidRDefault="00235309" w:rsidP="00235309">
      <w:pPr>
        <w:pStyle w:val="affffffd"/>
      </w:pPr>
      <w:r w:rsidRPr="00765F6E">
        <w:tab/>
      </w:r>
      <m:oMath>
        <m:sSub>
          <m:sSubPr>
            <m:ctrlPr>
              <w:rPr>
                <w:rFonts w:ascii="Cambria Math" w:hAnsi="Cambria Math"/>
              </w:rPr>
            </m:ctrlPr>
          </m:sSubPr>
          <m:e>
            <m:r>
              <w:rPr>
                <w:rFonts w:ascii="Cambria Math" w:hAnsi="Cambria Math"/>
              </w:rPr>
              <m:t>e</m:t>
            </m:r>
          </m:e>
          <m:sub>
            <m:r>
              <m:rPr>
                <m:sty m:val="p"/>
              </m:rPr>
              <w:rPr>
                <w:rFonts w:ascii="Cambria Math" w:hAnsi="Cambria Math"/>
              </w:rPr>
              <m:t>h</m:t>
            </m:r>
            <m:r>
              <w:rPr>
                <w:rFonts w:ascii="Cambria Math" w:hAnsi="Cambria Math" w:hint="eastAsia"/>
              </w:rPr>
              <m:t>内</m:t>
            </m:r>
          </m:sub>
        </m:sSub>
        <m:r>
          <m:rPr>
            <m:sty m:val="p"/>
          </m:rPr>
          <w:rPr>
            <w:rFonts w:ascii="Cambria Math" w:hAnsi="Cambria Math" w:hint="eastAsia"/>
          </w:rPr>
          <m:t>=</m:t>
        </m:r>
        <m:sSub>
          <m:sSubPr>
            <m:ctrlPr>
              <w:rPr>
                <w:rFonts w:ascii="Cambria Math" w:hAnsi="Cambria Math"/>
                <w:i/>
              </w:rPr>
            </m:ctrlPr>
          </m:sSubPr>
          <m:e>
            <m:r>
              <w:rPr>
                <w:rFonts w:ascii="Cambria Math" w:hAnsi="Cambria Math"/>
              </w:rPr>
              <m:t>Y</m:t>
            </m:r>
          </m:e>
          <m:sub>
            <m:r>
              <w:rPr>
                <w:rFonts w:ascii="Cambria Math" w:hAnsi="Cambria Math"/>
              </w:rPr>
              <m:t>1</m:t>
            </m:r>
          </m:sub>
        </m:sSub>
        <m:r>
          <m:rPr>
            <m:sty m:val="p"/>
          </m:rPr>
          <w:rPr>
            <w:rFonts w:ascii="Cambria Math" w:hAnsi="Cambria Math" w:hint="eastAsia"/>
          </w:rPr>
          <m:t>cos</m:t>
        </m:r>
        <m:r>
          <m:rPr>
            <m:sty m:val="p"/>
          </m:rPr>
          <w:rPr>
            <w:rFonts w:ascii="Cambria Math" w:hAnsi="Cambria Math"/>
          </w:rPr>
          <m:t>α+</m:t>
        </m:r>
        <m:sSub>
          <m:sSubPr>
            <m:ctrlPr>
              <w:rPr>
                <w:rFonts w:ascii="Cambria Math" w:hAnsi="Cambria Math"/>
              </w:rPr>
            </m:ctrlPr>
          </m:sSubPr>
          <m:e>
            <m:r>
              <w:rPr>
                <w:rFonts w:ascii="Cambria Math" w:hAnsi="Cambria Math"/>
              </w:rPr>
              <m:t>Z</m:t>
            </m:r>
          </m:e>
          <m:sub>
            <m:r>
              <w:rPr>
                <w:rFonts w:ascii="Cambria Math" w:hAnsi="Cambria Math"/>
              </w:rPr>
              <m:t>1</m:t>
            </m:r>
          </m:sub>
        </m:sSub>
        <m:r>
          <m:rPr>
            <m:sty m:val="p"/>
          </m:rPr>
          <w:rPr>
            <w:rFonts w:ascii="Cambria Math" w:hAnsi="Cambria Math"/>
          </w:rPr>
          <m:t>sinα-</m:t>
        </m:r>
        <m:sSub>
          <m:sSubPr>
            <m:ctrlPr>
              <w:rPr>
                <w:rFonts w:ascii="Cambria Math" w:hAnsi="Cambria Math"/>
              </w:rPr>
            </m:ctrlPr>
          </m:sSubPr>
          <m:e>
            <m:r>
              <w:rPr>
                <w:rFonts w:ascii="Cambria Math" w:hAnsi="Cambria Math"/>
              </w:rPr>
              <m:t>Y</m:t>
            </m:r>
          </m:e>
          <m:sub>
            <m:r>
              <w:rPr>
                <w:rFonts w:ascii="Cambria Math" w:hAnsi="Cambria Math"/>
              </w:rPr>
              <m:t>1</m:t>
            </m:r>
          </m:sub>
        </m:sSub>
      </m:oMath>
      <w:r w:rsidRPr="00765F6E">
        <w:rPr>
          <w:rFonts w:ascii="微软雅黑" w:eastAsia="微软雅黑" w:hAnsi="微软雅黑"/>
        </w:rPr>
        <w:tab/>
      </w:r>
      <w:r w:rsidRPr="00765F6E">
        <w:t>(F.9)</w:t>
      </w:r>
    </w:p>
    <w:p w14:paraId="1CAA3709" w14:textId="77777777" w:rsidR="00235309" w:rsidRPr="00765F6E" w:rsidRDefault="00235309" w:rsidP="00235309">
      <w:pPr>
        <w:pStyle w:val="affffffd"/>
      </w:pPr>
      <w:r w:rsidRPr="00765F6E">
        <w:tab/>
      </w:r>
      <m:oMath>
        <m:sSub>
          <m:sSubPr>
            <m:ctrlPr>
              <w:rPr>
                <w:rFonts w:ascii="Cambria Math" w:hAnsi="Cambria Math"/>
              </w:rPr>
            </m:ctrlPr>
          </m:sSubPr>
          <m:e>
            <m:r>
              <w:rPr>
                <w:rFonts w:ascii="Cambria Math" w:hAnsi="Cambria Math"/>
              </w:rPr>
              <m:t>e</m:t>
            </m:r>
          </m:e>
          <m:sub>
            <m:r>
              <m:rPr>
                <m:sty m:val="p"/>
              </m:rPr>
              <w:rPr>
                <w:rFonts w:ascii="Cambria Math" w:hAnsi="Cambria Math"/>
              </w:rPr>
              <m:t>h</m:t>
            </m:r>
            <m:r>
              <w:rPr>
                <w:rFonts w:ascii="Cambria Math" w:hAnsi="Cambria Math" w:hint="eastAsia"/>
              </w:rPr>
              <m:t>外</m:t>
            </m:r>
          </m:sub>
        </m:sSub>
        <m:r>
          <m:rPr>
            <m:sty m:val="p"/>
          </m:rPr>
          <w:rPr>
            <w:rFonts w:ascii="Cambria Math" w:hAnsi="Cambria Math" w:hint="eastAsia"/>
          </w:rPr>
          <m:t>=</m:t>
        </m:r>
        <m:sSub>
          <m:sSubPr>
            <m:ctrlPr>
              <w:rPr>
                <w:rFonts w:ascii="Cambria Math" w:hAnsi="Cambria Math"/>
              </w:rPr>
            </m:ctrlPr>
          </m:sSubPr>
          <m:e>
            <m:r>
              <w:rPr>
                <w:rFonts w:ascii="Cambria Math" w:hAnsi="Cambria Math"/>
              </w:rPr>
              <m:t>Y</m:t>
            </m:r>
          </m:e>
          <m:sub>
            <m:r>
              <w:rPr>
                <w:rFonts w:ascii="Cambria Math" w:hAnsi="Cambria Math"/>
              </w:rPr>
              <m:t>2</m:t>
            </m:r>
          </m:sub>
        </m:sSub>
        <m:r>
          <m:rPr>
            <m:sty m:val="p"/>
          </m:rPr>
          <w:rPr>
            <w:rFonts w:ascii="Cambria Math" w:hAnsi="Cambria Math" w:hint="eastAsia"/>
          </w:rPr>
          <m:t>cos</m:t>
        </m:r>
        <m:r>
          <m:rPr>
            <m:sty m:val="p"/>
          </m:rPr>
          <w:rPr>
            <w:rFonts w:ascii="Cambria Math" w:hAnsi="Cambria Math"/>
          </w:rPr>
          <m:t>α-</m:t>
        </m:r>
        <m:sSub>
          <m:sSubPr>
            <m:ctrlPr>
              <w:rPr>
                <w:rFonts w:ascii="Cambria Math" w:hAnsi="Cambria Math"/>
              </w:rPr>
            </m:ctrlPr>
          </m:sSubPr>
          <m:e>
            <m:r>
              <w:rPr>
                <w:rFonts w:ascii="Cambria Math" w:hAnsi="Cambria Math"/>
              </w:rPr>
              <m:t>Z</m:t>
            </m:r>
          </m:e>
          <m:sub>
            <m:r>
              <w:rPr>
                <w:rFonts w:ascii="Cambria Math" w:hAnsi="Cambria Math"/>
              </w:rPr>
              <m:t>2</m:t>
            </m:r>
          </m:sub>
        </m:sSub>
        <m:r>
          <m:rPr>
            <m:sty m:val="p"/>
          </m:rPr>
          <w:rPr>
            <w:rFonts w:ascii="Cambria Math" w:hAnsi="Cambria Math"/>
          </w:rPr>
          <m:t>sinα-</m:t>
        </m:r>
        <m:sSub>
          <m:sSubPr>
            <m:ctrlPr>
              <w:rPr>
                <w:rFonts w:ascii="Cambria Math" w:hAnsi="Cambria Math"/>
              </w:rPr>
            </m:ctrlPr>
          </m:sSubPr>
          <m:e>
            <m:r>
              <w:rPr>
                <w:rFonts w:ascii="Cambria Math" w:hAnsi="Cambria Math"/>
              </w:rPr>
              <m:t>Y</m:t>
            </m:r>
          </m:e>
          <m:sub>
            <m:r>
              <w:rPr>
                <w:rFonts w:ascii="Cambria Math" w:hAnsi="Cambria Math"/>
              </w:rPr>
              <m:t>2</m:t>
            </m:r>
          </m:sub>
        </m:sSub>
      </m:oMath>
      <w:r w:rsidRPr="00765F6E">
        <w:rPr>
          <w:rFonts w:ascii="微软雅黑" w:eastAsia="微软雅黑" w:hAnsi="微软雅黑"/>
        </w:rPr>
        <w:tab/>
      </w:r>
      <w:r w:rsidRPr="00765F6E">
        <w:t>(F.10)</w:t>
      </w:r>
    </w:p>
    <w:p w14:paraId="490E12FC" w14:textId="77777777" w:rsidR="00235309" w:rsidRPr="00765F6E" w:rsidRDefault="00235309" w:rsidP="00235309">
      <w:pPr>
        <w:pStyle w:val="affffffd"/>
      </w:pPr>
      <w:r w:rsidRPr="00765F6E">
        <w:tab/>
      </w:r>
      <m:oMath>
        <m:r>
          <w:rPr>
            <w:rFonts w:ascii="Cambria Math" w:hAnsi="Cambria Math"/>
          </w:rPr>
          <m:t>sinα=</m:t>
        </m:r>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hint="eastAsia"/>
                  </w:rPr>
                  <m:t>缓</m:t>
                </m:r>
              </m:sub>
            </m:sSub>
          </m:num>
          <m:den>
            <m:r>
              <w:rPr>
                <w:rFonts w:ascii="Cambria Math" w:hAnsi="Cambria Math"/>
              </w:rPr>
              <m:t>1500</m:t>
            </m:r>
          </m:den>
        </m:f>
      </m:oMath>
      <w:r w:rsidRPr="00765F6E">
        <w:rPr>
          <w:rFonts w:ascii="微软雅黑" w:eastAsia="微软雅黑" w:hAnsi="微软雅黑"/>
        </w:rPr>
        <w:tab/>
      </w:r>
      <w:r w:rsidRPr="00765F6E">
        <w:t>(F.11)</w:t>
      </w:r>
    </w:p>
    <w:p w14:paraId="3BFB28A9" w14:textId="7CF1505D" w:rsidR="00235309" w:rsidRDefault="00235309" w:rsidP="00235309">
      <w:pPr>
        <w:pStyle w:val="affffa"/>
        <w:spacing w:before="156" w:after="156"/>
        <w:ind w:firstLine="420"/>
      </w:pPr>
      <w:r w:rsidRPr="00765F6E">
        <w:rPr>
          <w:rFonts w:hint="eastAsia"/>
        </w:rPr>
        <w:t>式中：</w:t>
      </w:r>
    </w:p>
    <w:p w14:paraId="50A4ED68" w14:textId="3851410C" w:rsidR="00FF2BD1" w:rsidRDefault="00FF2BD1" w:rsidP="00FF2BD1">
      <w:pPr>
        <w:pStyle w:val="affffb"/>
        <w:ind w:firstLine="420"/>
      </w:pPr>
      <w:r w:rsidRPr="00FF2BD1">
        <w:rPr>
          <w:rFonts w:hint="eastAsia"/>
        </w:rPr>
        <w:lastRenderedPageBreak/>
        <w:t>h_缓——缓和曲线上计算点处的超高值，单位为毫米（mm）;</w:t>
      </w:r>
    </w:p>
    <w:p w14:paraId="1720FEB5" w14:textId="77777777" w:rsidR="00FF2BD1" w:rsidRPr="00765F6E" w:rsidRDefault="00FF2BD1" w:rsidP="00FF2BD1">
      <w:pPr>
        <w:adjustRightInd/>
        <w:spacing w:line="240" w:lineRule="auto"/>
        <w:ind w:firstLineChars="200" w:firstLine="420"/>
        <w:jc w:val="left"/>
        <w:rPr>
          <w:rFonts w:ascii="Cambria Math" w:hAnsi="Cambria Math"/>
        </w:rPr>
      </w:pPr>
      <m:oMath>
        <m:r>
          <w:rPr>
            <w:rFonts w:ascii="Cambria Math" w:eastAsia="MS Gothic" w:hAnsi="Cambria Math" w:cs="MS Gothic"/>
          </w:rPr>
          <m:t>h</m:t>
        </m:r>
      </m:oMath>
      <w:r w:rsidRPr="00765F6E">
        <w:rPr>
          <w:rFonts w:ascii="Cambria Math" w:hAnsi="Cambria Math"/>
        </w:rPr>
        <w:t>——</w:t>
      </w:r>
      <w:r w:rsidRPr="00765F6E">
        <w:rPr>
          <w:rFonts w:ascii="Cambria Math" w:hAnsi="Cambria Math"/>
        </w:rPr>
        <w:t>圆曲线段轨道超高值</w:t>
      </w:r>
      <w:r w:rsidRPr="00765F6E">
        <w:rPr>
          <w:rFonts w:ascii="Cambria Math" w:hAnsi="Cambria Math" w:hint="eastAsia"/>
        </w:rPr>
        <w:t>，单位为毫米（</w:t>
      </w:r>
      <w:r w:rsidRPr="00765F6E">
        <w:rPr>
          <w:rFonts w:ascii="Cambria Math" w:hAnsi="Cambria Math" w:hint="eastAsia"/>
        </w:rPr>
        <w:t>m</w:t>
      </w:r>
      <w:r w:rsidRPr="00765F6E">
        <w:rPr>
          <w:rFonts w:ascii="Cambria Math" w:hAnsi="Cambria Math"/>
        </w:rPr>
        <w:t>m</w:t>
      </w:r>
      <w:r w:rsidRPr="00765F6E">
        <w:rPr>
          <w:rFonts w:ascii="Cambria Math" w:hAnsi="Cambria Math" w:hint="eastAsia"/>
        </w:rPr>
        <w:t>）</w:t>
      </w:r>
      <w:r w:rsidRPr="00765F6E">
        <w:rPr>
          <w:rFonts w:ascii="Cambria Math" w:hAnsi="Cambria Math"/>
        </w:rPr>
        <w:t>;</w:t>
      </w:r>
    </w:p>
    <w:p w14:paraId="7107B76B" w14:textId="77777777" w:rsidR="00FF2BD1" w:rsidRDefault="00FF2BD1" w:rsidP="00FF2BD1">
      <w:pPr>
        <w:adjustRightInd/>
        <w:spacing w:line="240" w:lineRule="auto"/>
        <w:ind w:firstLineChars="200" w:firstLine="420"/>
        <w:jc w:val="left"/>
        <w:rPr>
          <w:rFonts w:ascii="Cambria Math" w:hAnsi="Cambria Math"/>
        </w:rPr>
      </w:pPr>
      <w:r w:rsidRPr="004E68CD">
        <w:rPr>
          <w:rFonts w:ascii="Cambria Math" w:hAnsi="Cambria Math"/>
        </w:rPr>
        <w:t>x</w:t>
      </w:r>
      <w:r w:rsidRPr="00765F6E">
        <w:rPr>
          <w:rFonts w:ascii="Cambria Math" w:hAnsi="Cambria Math"/>
        </w:rPr>
        <w:t>——</w:t>
      </w:r>
      <w:r w:rsidRPr="00765F6E">
        <w:rPr>
          <w:rFonts w:ascii="Cambria Math" w:hAnsi="Cambria Math"/>
        </w:rPr>
        <w:t>计算点距离缓和曲线起点的距离</w:t>
      </w:r>
      <w:r w:rsidRPr="00765F6E">
        <w:rPr>
          <w:rFonts w:ascii="Cambria Math" w:hAnsi="Cambria Math" w:hint="eastAsia"/>
        </w:rPr>
        <w:t>，单位为米</w:t>
      </w:r>
      <w:r w:rsidRPr="00765F6E">
        <w:rPr>
          <w:rFonts w:ascii="Cambria Math" w:hAnsi="Cambria Math"/>
        </w:rPr>
        <w:t>(m)</w:t>
      </w:r>
      <w:r w:rsidRPr="00765F6E">
        <w:rPr>
          <w:rFonts w:ascii="Cambria Math" w:hAnsi="Cambria Math"/>
        </w:rPr>
        <w:t>；</w:t>
      </w:r>
    </w:p>
    <w:p w14:paraId="1653430F" w14:textId="77777777" w:rsidR="00FF2BD1" w:rsidRPr="006B5151" w:rsidRDefault="00FF2BD1" w:rsidP="00FF2BD1">
      <w:pPr>
        <w:adjustRightInd/>
        <w:spacing w:line="240" w:lineRule="auto"/>
        <w:ind w:firstLineChars="200" w:firstLine="420"/>
        <w:jc w:val="left"/>
        <w:rPr>
          <w:rFonts w:ascii="Cambria Math" w:hAnsi="Cambria Math"/>
          <w:highlight w:val="yellow"/>
        </w:rPr>
      </w:pPr>
      <w:r>
        <w:rPr>
          <w:rFonts w:ascii="Cambria Math" w:hAnsi="Cambria Math" w:hint="eastAsia"/>
        </w:rPr>
        <w:t>L</w:t>
      </w:r>
      <w:r>
        <w:rPr>
          <w:rFonts w:ascii="Cambria Math" w:hAnsi="Cambria Math" w:hint="eastAsia"/>
        </w:rPr>
        <w:t>——</w:t>
      </w:r>
      <w:r w:rsidRPr="00EA7DA3">
        <w:rPr>
          <w:rFonts w:ascii="Cambria Math" w:hAnsi="Cambria Math" w:hint="eastAsia"/>
        </w:rPr>
        <w:t>缓和曲线长度，单位为米</w:t>
      </w:r>
      <w:r w:rsidRPr="00EA7DA3">
        <w:rPr>
          <w:rFonts w:ascii="Cambria Math" w:hAnsi="Cambria Math" w:hint="eastAsia"/>
        </w:rPr>
        <w:t>(m)</w:t>
      </w:r>
      <w:r w:rsidRPr="00EA7DA3">
        <w:rPr>
          <w:rFonts w:ascii="Cambria Math" w:hAnsi="Cambria Math" w:hint="eastAsia"/>
        </w:rPr>
        <w:t>；</w:t>
      </w:r>
    </w:p>
    <w:p w14:paraId="2D53B071" w14:textId="77777777" w:rsidR="00235309" w:rsidRPr="00765F6E" w:rsidRDefault="00CA2808" w:rsidP="0062778D">
      <w:pPr>
        <w:pStyle w:val="affffa"/>
        <w:adjustRightInd/>
        <w:spacing w:line="240" w:lineRule="auto"/>
        <w:ind w:firstLine="420"/>
        <w:jc w:val="left"/>
        <w:rPr>
          <w:rFonts w:ascii="Cambria Math" w:hAnsi="Cambria Math"/>
        </w:rPr>
      </w:pPr>
      <m:oMath>
        <m:sSub>
          <m:sSubPr>
            <m:ctrlPr>
              <w:rPr>
                <w:rFonts w:ascii="Cambria Math" w:hAnsi="Cambria Math"/>
              </w:rPr>
            </m:ctrlPr>
          </m:sSubPr>
          <m:e>
            <m:r>
              <w:rPr>
                <w:rFonts w:ascii="Cambria Math" w:hAnsi="Cambria Math"/>
              </w:rPr>
              <m:t>e</m:t>
            </m:r>
          </m:e>
          <m:sub>
            <m:r>
              <m:rPr>
                <m:sty m:val="p"/>
              </m:rPr>
              <w:rPr>
                <w:rFonts w:ascii="Cambria Math" w:hAnsi="Cambria Math"/>
              </w:rPr>
              <m:t>h</m:t>
            </m:r>
            <m:r>
              <w:rPr>
                <w:rFonts w:ascii="Cambria Math" w:hAnsi="Cambria Math" w:hint="eastAsia"/>
              </w:rPr>
              <m:t>内</m:t>
            </m:r>
          </m:sub>
        </m:sSub>
      </m:oMath>
      <w:r w:rsidR="00235309" w:rsidRPr="00765F6E">
        <w:rPr>
          <w:rFonts w:ascii="Cambria Math" w:hAnsi="Cambria Math" w:hint="eastAsia"/>
        </w:rPr>
        <w:t>，</w:t>
      </w:r>
      <m:oMath>
        <m:sSub>
          <m:sSubPr>
            <m:ctrlPr>
              <w:rPr>
                <w:rFonts w:ascii="Cambria Math" w:hAnsi="Cambria Math"/>
              </w:rPr>
            </m:ctrlPr>
          </m:sSubPr>
          <m:e>
            <m:r>
              <w:rPr>
                <w:rFonts w:ascii="Cambria Math" w:hAnsi="Cambria Math"/>
              </w:rPr>
              <m:t>e</m:t>
            </m:r>
          </m:e>
          <m:sub>
            <m:r>
              <m:rPr>
                <m:sty m:val="p"/>
              </m:rPr>
              <w:rPr>
                <w:rFonts w:ascii="Cambria Math" w:hAnsi="Cambria Math"/>
              </w:rPr>
              <m:t>h</m:t>
            </m:r>
            <m:r>
              <w:rPr>
                <w:rFonts w:ascii="Cambria Math" w:hAnsi="Cambria Math" w:hint="eastAsia"/>
              </w:rPr>
              <m:t>外</m:t>
            </m:r>
          </m:sub>
        </m:sSub>
      </m:oMath>
      <w:bookmarkStart w:id="3956" w:name="_Hlk170718928"/>
      <w:r w:rsidR="00235309" w:rsidRPr="00765F6E">
        <w:rPr>
          <w:rFonts w:ascii="Cambria Math" w:hAnsi="Cambria Math"/>
        </w:rPr>
        <w:t>——</w:t>
      </w:r>
      <w:r w:rsidR="00235309" w:rsidRPr="00765F6E">
        <w:rPr>
          <w:rFonts w:ascii="Cambria Math" w:hAnsi="Cambria Math"/>
        </w:rPr>
        <w:t>轨道超高引起的曲线内、外侧限界加宽量</w:t>
      </w:r>
      <w:r w:rsidR="00235309" w:rsidRPr="00765F6E">
        <w:rPr>
          <w:rFonts w:ascii="Cambria Math" w:hAnsi="Cambria Math" w:hint="eastAsia"/>
        </w:rPr>
        <w:t>，单位为毫米（</w:t>
      </w:r>
      <w:r w:rsidR="00235309" w:rsidRPr="00765F6E">
        <w:rPr>
          <w:rFonts w:ascii="Cambria Math" w:hAnsi="Cambria Math" w:hint="eastAsia"/>
        </w:rPr>
        <w:t>m</w:t>
      </w:r>
      <w:r w:rsidR="00235309" w:rsidRPr="00765F6E">
        <w:rPr>
          <w:rFonts w:ascii="Cambria Math" w:hAnsi="Cambria Math"/>
        </w:rPr>
        <w:t>m</w:t>
      </w:r>
      <w:r w:rsidR="00235309" w:rsidRPr="00765F6E">
        <w:rPr>
          <w:rFonts w:ascii="Cambria Math" w:hAnsi="Cambria Math" w:hint="eastAsia"/>
        </w:rPr>
        <w:t>）；</w:t>
      </w:r>
      <w:bookmarkEnd w:id="3956"/>
    </w:p>
    <w:p w14:paraId="0C707D6F" w14:textId="77777777" w:rsidR="00235309" w:rsidRPr="006B5151" w:rsidRDefault="00235309" w:rsidP="0062778D">
      <w:pPr>
        <w:adjustRightInd/>
        <w:spacing w:line="240" w:lineRule="auto"/>
        <w:ind w:firstLineChars="200" w:firstLine="420"/>
        <w:jc w:val="left"/>
        <w:rPr>
          <w:rFonts w:ascii="Cambria Math" w:hAnsi="Cambria Math"/>
          <w:highlight w:val="yellow"/>
        </w:rPr>
      </w:pPr>
      <m:oMath>
        <m:r>
          <m:rPr>
            <m:sty m:val="p"/>
          </m:rPr>
          <w:rPr>
            <w:rFonts w:ascii="Cambria Math" w:hAnsi="Cambria Math"/>
          </w:rPr>
          <m:t>α</m:t>
        </m:r>
      </m:oMath>
      <w:r w:rsidRPr="00765F6E">
        <w:rPr>
          <w:rFonts w:ascii="Cambria Math" w:hAnsi="Cambria Math"/>
        </w:rPr>
        <w:t>——</w:t>
      </w:r>
      <w:r w:rsidRPr="00C44CEA">
        <w:rPr>
          <w:rFonts w:ascii="Cambria Math" w:hAnsi="Cambria Math" w:hint="eastAsia"/>
        </w:rPr>
        <w:t>轨道超高角，单位为度（°）；</w:t>
      </w:r>
    </w:p>
    <w:p w14:paraId="5288C16C" w14:textId="77777777" w:rsidR="00235309" w:rsidRPr="00765F6E" w:rsidRDefault="00235309" w:rsidP="00235309">
      <w:pPr>
        <w:adjustRightInd/>
        <w:spacing w:line="240" w:lineRule="auto"/>
        <w:ind w:firstLineChars="200" w:firstLine="420"/>
        <w:jc w:val="left"/>
        <w:rPr>
          <w:rFonts w:ascii="Cambria Math" w:hAnsi="Cambria Math"/>
        </w:rPr>
      </w:pPr>
      <w:r w:rsidRPr="004E68CD">
        <w:rPr>
          <w:rFonts w:ascii="Cambria Math" w:hAnsi="Cambria Math"/>
        </w:rPr>
        <w:t>(Y1</w:t>
      </w:r>
      <w:r w:rsidRPr="004E68CD">
        <w:rPr>
          <w:rFonts w:ascii="Cambria Math" w:hAnsi="Cambria Math" w:hint="eastAsia"/>
        </w:rPr>
        <w:t>，</w:t>
      </w:r>
      <w:r w:rsidRPr="004E68CD">
        <w:rPr>
          <w:rFonts w:ascii="Cambria Math" w:hAnsi="Cambria Math"/>
        </w:rPr>
        <w:t>Z1)</w:t>
      </w:r>
      <w:r w:rsidRPr="004E68CD">
        <w:rPr>
          <w:rFonts w:ascii="Cambria Math" w:hAnsi="Cambria Math" w:hint="eastAsia"/>
        </w:rPr>
        <w:t>，</w:t>
      </w:r>
      <w:r w:rsidRPr="004E68CD">
        <w:rPr>
          <w:rFonts w:ascii="Cambria Math" w:hAnsi="Cambria Math"/>
        </w:rPr>
        <w:t>(Y2</w:t>
      </w:r>
      <w:r w:rsidRPr="004E68CD">
        <w:rPr>
          <w:rFonts w:ascii="Cambria Math" w:hAnsi="Cambria Math" w:hint="eastAsia"/>
        </w:rPr>
        <w:t>，</w:t>
      </w:r>
      <w:r w:rsidRPr="004E68CD">
        <w:rPr>
          <w:rFonts w:ascii="Cambria Math" w:hAnsi="Cambria Math"/>
        </w:rPr>
        <w:t>Z2) ——</w:t>
      </w:r>
      <w:r w:rsidRPr="004E68CD">
        <w:rPr>
          <w:rFonts w:ascii="Cambria Math" w:hAnsi="Cambria Math" w:hint="eastAsia"/>
        </w:rPr>
        <w:t>计算曲线内、外侧限界加宽的设备限界控，制点坐标，单位为毫米（</w:t>
      </w:r>
      <w:r w:rsidRPr="004E68CD">
        <w:rPr>
          <w:rFonts w:ascii="Cambria Math" w:hAnsi="Cambria Math"/>
        </w:rPr>
        <w:t>mm</w:t>
      </w:r>
      <w:r w:rsidRPr="004E68CD">
        <w:rPr>
          <w:rFonts w:ascii="Cambria Math" w:hAnsi="Cambria Math" w:hint="eastAsia"/>
        </w:rPr>
        <w:t>）。</w:t>
      </w:r>
    </w:p>
    <w:p w14:paraId="63712B9E" w14:textId="77777777" w:rsidR="00235309" w:rsidRPr="00765F6E" w:rsidRDefault="00235309" w:rsidP="00235309">
      <w:pPr>
        <w:pStyle w:val="aff5"/>
        <w:spacing w:beforeLines="0" w:before="0" w:afterLines="0" w:after="0"/>
        <w:ind w:firstLine="360"/>
        <w:outlineLvl w:val="9"/>
        <w:rPr>
          <w:rFonts w:ascii="宋体" w:eastAsia="宋体" w:hAnsi="宋体"/>
        </w:rPr>
      </w:pPr>
      <w:bookmarkStart w:id="3957" w:name="_Toc164068569"/>
      <w:bookmarkStart w:id="3958" w:name="_Toc152659890"/>
      <w:bookmarkStart w:id="3959" w:name="_Toc153211044"/>
      <w:bookmarkStart w:id="3960" w:name="_Toc153292577"/>
      <w:bookmarkStart w:id="3961" w:name="_Toc144308214"/>
      <w:bookmarkStart w:id="3962" w:name="_Toc167895942"/>
      <w:bookmarkStart w:id="3963" w:name="_Toc174539463"/>
      <w:bookmarkStart w:id="3964" w:name="_Toc174553598"/>
      <w:bookmarkStart w:id="3965" w:name="_Toc180759220"/>
      <w:bookmarkStart w:id="3966" w:name="_Toc181266632"/>
      <w:bookmarkStart w:id="3967" w:name="_Toc182409852"/>
      <w:bookmarkStart w:id="3968" w:name="_Toc182476632"/>
      <w:r w:rsidRPr="00765F6E">
        <w:rPr>
          <w:rFonts w:ascii="宋体" w:eastAsia="宋体" w:hAnsi="宋体" w:hint="eastAsia"/>
        </w:rPr>
        <w:t>引起加宽量的其他因素可包括欠超高或过超高引起的加宽量和曲线轨道参数及车辆参数变化引起的建筑限界加宽量。其他因素引起的加宽量值，车站地段应取10mm，区间地段应取30mm。</w:t>
      </w:r>
      <w:bookmarkEnd w:id="3957"/>
      <w:bookmarkEnd w:id="3958"/>
      <w:bookmarkEnd w:id="3959"/>
      <w:bookmarkEnd w:id="3960"/>
      <w:bookmarkEnd w:id="3961"/>
      <w:bookmarkEnd w:id="3962"/>
      <w:bookmarkEnd w:id="3963"/>
      <w:bookmarkEnd w:id="3964"/>
      <w:bookmarkEnd w:id="3965"/>
      <w:bookmarkEnd w:id="3966"/>
      <w:bookmarkEnd w:id="3967"/>
      <w:bookmarkEnd w:id="3968"/>
    </w:p>
    <w:p w14:paraId="07A32F02" w14:textId="77777777" w:rsidR="00235309" w:rsidRPr="00765F6E" w:rsidRDefault="00235309" w:rsidP="00235309">
      <w:pPr>
        <w:pStyle w:val="aff5"/>
        <w:spacing w:beforeLines="0" w:before="0" w:afterLines="0" w:after="0"/>
        <w:ind w:firstLine="360"/>
        <w:outlineLvl w:val="9"/>
        <w:rPr>
          <w:rFonts w:ascii="宋体" w:eastAsia="宋体" w:hAnsi="宋体"/>
        </w:rPr>
      </w:pPr>
      <w:bookmarkStart w:id="3969" w:name="_Toc153292578"/>
      <w:bookmarkStart w:id="3970" w:name="_Toc152659891"/>
      <w:bookmarkStart w:id="3971" w:name="_Toc164068570"/>
      <w:bookmarkStart w:id="3972" w:name="_Toc153211045"/>
      <w:bookmarkStart w:id="3973" w:name="_Toc144308215"/>
      <w:bookmarkStart w:id="3974" w:name="_Toc167895943"/>
      <w:bookmarkStart w:id="3975" w:name="_Toc174539464"/>
      <w:bookmarkStart w:id="3976" w:name="_Toc174553599"/>
      <w:bookmarkStart w:id="3977" w:name="_Toc180759221"/>
      <w:bookmarkStart w:id="3978" w:name="_Toc181266633"/>
      <w:bookmarkStart w:id="3979" w:name="_Toc182409853"/>
      <w:bookmarkStart w:id="3980" w:name="_Toc182476633"/>
      <w:r w:rsidRPr="00765F6E">
        <w:rPr>
          <w:rFonts w:ascii="宋体" w:eastAsia="宋体" w:hAnsi="宋体" w:hint="eastAsia"/>
        </w:rPr>
        <w:t>缓和曲线上限界加宽总量按下列公式计算。</w:t>
      </w:r>
      <w:bookmarkEnd w:id="3969"/>
      <w:bookmarkEnd w:id="3970"/>
      <w:bookmarkEnd w:id="3971"/>
      <w:bookmarkEnd w:id="3972"/>
      <w:bookmarkEnd w:id="3973"/>
      <w:bookmarkEnd w:id="3974"/>
      <w:bookmarkEnd w:id="3975"/>
      <w:bookmarkEnd w:id="3976"/>
      <w:bookmarkEnd w:id="3977"/>
      <w:bookmarkEnd w:id="3978"/>
      <w:bookmarkEnd w:id="3979"/>
      <w:bookmarkEnd w:id="3980"/>
    </w:p>
    <w:p w14:paraId="1A4F14B4" w14:textId="77777777" w:rsidR="00235309" w:rsidRPr="00765F6E" w:rsidRDefault="00235309" w:rsidP="00235309">
      <w:pPr>
        <w:pStyle w:val="af6"/>
        <w:tabs>
          <w:tab w:val="left" w:pos="851"/>
        </w:tabs>
        <w:snapToGrid w:val="0"/>
        <w:ind w:firstLine="420"/>
        <w:contextualSpacing/>
      </w:pPr>
      <w:r w:rsidRPr="00765F6E">
        <w:t>曲线内侧</w:t>
      </w:r>
      <w:r w:rsidRPr="00765F6E">
        <w:rPr>
          <w:rFonts w:hint="eastAsia"/>
        </w:rPr>
        <w:t>按公式（F</w:t>
      </w:r>
      <w:r w:rsidRPr="00765F6E">
        <w:t>.11</w:t>
      </w:r>
      <w:r w:rsidRPr="00765F6E">
        <w:rPr>
          <w:rFonts w:hint="eastAsia"/>
        </w:rPr>
        <w:t>）计算。</w:t>
      </w:r>
    </w:p>
    <w:p w14:paraId="66DA00F9" w14:textId="77777777" w:rsidR="00235309" w:rsidRPr="00765F6E" w:rsidRDefault="00235309" w:rsidP="00235309">
      <w:pPr>
        <w:pStyle w:val="af6"/>
        <w:tabs>
          <w:tab w:val="left" w:pos="851"/>
        </w:tabs>
        <w:snapToGrid w:val="0"/>
        <w:ind w:firstLine="420"/>
        <w:contextualSpacing/>
      </w:pPr>
      <w:r w:rsidRPr="00765F6E">
        <w:t>曲线外侧</w:t>
      </w:r>
      <w:r w:rsidRPr="00765F6E">
        <w:rPr>
          <w:rFonts w:hint="eastAsia"/>
        </w:rPr>
        <w:t>按公式（F</w:t>
      </w:r>
      <w:r w:rsidRPr="00765F6E">
        <w:t>.12</w:t>
      </w:r>
      <w:r w:rsidRPr="00765F6E">
        <w:rPr>
          <w:rFonts w:hint="eastAsia"/>
        </w:rPr>
        <w:t>）计算。</w:t>
      </w:r>
    </w:p>
    <w:p w14:paraId="54644A84" w14:textId="77777777" w:rsidR="00235309" w:rsidRPr="00765F6E" w:rsidRDefault="00235309" w:rsidP="00235309">
      <w:pPr>
        <w:pStyle w:val="affffffd"/>
      </w:pPr>
      <w:r w:rsidRPr="00765F6E">
        <w:tab/>
      </w:r>
      <m:oMath>
        <m:sSub>
          <m:sSubPr>
            <m:ctrlPr>
              <w:rPr>
                <w:rFonts w:ascii="Cambria Math" w:hAnsi="Cambria Math"/>
              </w:rPr>
            </m:ctrlPr>
          </m:sSubPr>
          <m:e>
            <m:r>
              <w:rPr>
                <w:rFonts w:ascii="Cambria Math" w:hAnsi="Cambria Math"/>
              </w:rPr>
              <m:t>E</m:t>
            </m:r>
          </m:e>
          <m:sub>
            <m:r>
              <w:rPr>
                <w:rFonts w:ascii="Cambria Math" w:hAnsi="Cambria Math" w:hint="eastAsia"/>
              </w:rPr>
              <m:t>内</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w:rPr>
                <w:rFonts w:ascii="Cambria Math" w:hAnsi="Cambria Math"/>
              </w:rPr>
              <m:t>p</m:t>
            </m:r>
            <m:r>
              <w:rPr>
                <w:rFonts w:ascii="Cambria Math" w:hAnsi="Cambria Math" w:hint="eastAsia"/>
              </w:rPr>
              <m:t>内</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w:rPr>
                <w:rFonts w:ascii="Cambria Math" w:hAnsi="Cambria Math"/>
              </w:rPr>
              <m:t>h</m:t>
            </m:r>
            <m:r>
              <w:rPr>
                <w:rFonts w:ascii="Cambria Math" w:hAnsi="Cambria Math" w:hint="eastAsia"/>
              </w:rPr>
              <m:t>内</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w:rPr>
                <w:rFonts w:ascii="Cambria Math" w:hAnsi="Cambria Math" w:hint="eastAsia"/>
              </w:rPr>
              <m:t>其他</m:t>
            </m:r>
          </m:sub>
        </m:sSub>
      </m:oMath>
      <w:r w:rsidRPr="00765F6E">
        <w:rPr>
          <w:rFonts w:ascii="微软雅黑" w:eastAsia="微软雅黑" w:hAnsi="微软雅黑"/>
        </w:rPr>
        <w:tab/>
      </w:r>
      <w:r w:rsidRPr="00765F6E">
        <w:t>(F.11)</w:t>
      </w:r>
    </w:p>
    <w:p w14:paraId="268B7FAC" w14:textId="77777777" w:rsidR="00235309" w:rsidRPr="00765F6E" w:rsidRDefault="00235309" w:rsidP="00235309">
      <w:pPr>
        <w:pStyle w:val="affffffd"/>
      </w:pPr>
      <w:r w:rsidRPr="00765F6E">
        <w:tab/>
      </w:r>
      <m:oMath>
        <m:sSub>
          <m:sSubPr>
            <m:ctrlPr>
              <w:rPr>
                <w:rFonts w:ascii="Cambria Math" w:hAnsi="Cambria Math"/>
              </w:rPr>
            </m:ctrlPr>
          </m:sSubPr>
          <m:e>
            <m:r>
              <w:rPr>
                <w:rFonts w:ascii="Cambria Math" w:hAnsi="Cambria Math"/>
              </w:rPr>
              <m:t>E</m:t>
            </m:r>
          </m:e>
          <m:sub>
            <m:r>
              <w:rPr>
                <w:rFonts w:ascii="Cambria Math" w:hAnsi="Cambria Math" w:hint="eastAsia"/>
              </w:rPr>
              <m:t>外</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w:rPr>
                <w:rFonts w:ascii="Cambria Math" w:hAnsi="Cambria Math"/>
              </w:rPr>
              <m:t>p</m:t>
            </m:r>
            <m:r>
              <w:rPr>
                <w:rFonts w:ascii="Cambria Math" w:hAnsi="Cambria Math" w:hint="eastAsia"/>
              </w:rPr>
              <m:t>外</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w:rPr>
                <w:rFonts w:ascii="Cambria Math" w:hAnsi="Cambria Math"/>
              </w:rPr>
              <m:t>h</m:t>
            </m:r>
            <m:r>
              <w:rPr>
                <w:rFonts w:ascii="Cambria Math" w:hAnsi="Cambria Math" w:hint="eastAsia"/>
              </w:rPr>
              <m:t>外</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w:rPr>
                <w:rFonts w:ascii="Cambria Math" w:hAnsi="Cambria Math" w:hint="eastAsia"/>
              </w:rPr>
              <m:t>其他</m:t>
            </m:r>
          </m:sub>
        </m:sSub>
      </m:oMath>
      <w:r w:rsidRPr="00765F6E">
        <w:rPr>
          <w:rFonts w:ascii="微软雅黑" w:eastAsia="微软雅黑" w:hAnsi="微软雅黑"/>
        </w:rPr>
        <w:tab/>
      </w:r>
      <w:r w:rsidRPr="00765F6E">
        <w:t>(F.12)</w:t>
      </w:r>
    </w:p>
    <w:p w14:paraId="50ADBB88" w14:textId="77777777" w:rsidR="00235309" w:rsidRPr="004E68CD" w:rsidRDefault="00235309" w:rsidP="0062778D">
      <w:pPr>
        <w:pStyle w:val="affffa"/>
        <w:ind w:firstLine="420"/>
      </w:pPr>
      <w:r w:rsidRPr="004E68CD">
        <w:rPr>
          <w:rFonts w:hint="eastAsia"/>
        </w:rPr>
        <w:t>式中：</w:t>
      </w:r>
      <w:r w:rsidRPr="004E68CD">
        <w:rPr>
          <w:rFonts w:hint="eastAsia"/>
        </w:rPr>
        <w:t xml:space="preserve"> </w:t>
      </w:r>
    </w:p>
    <w:p w14:paraId="34002646" w14:textId="77777777" w:rsidR="00235309" w:rsidRPr="004E68CD" w:rsidRDefault="00CA2808" w:rsidP="0062778D">
      <w:pPr>
        <w:adjustRightInd/>
        <w:spacing w:line="240" w:lineRule="auto"/>
        <w:ind w:firstLine="420"/>
        <w:jc w:val="left"/>
        <w:rPr>
          <w:rFonts w:ascii="Cambria Math" w:hAnsi="Cambria Math"/>
        </w:rPr>
      </w:pPr>
      <m:oMath>
        <m:sSub>
          <m:sSubPr>
            <m:ctrlPr>
              <w:rPr>
                <w:rFonts w:ascii="Cambria Math" w:hAnsi="Cambria Math"/>
              </w:rPr>
            </m:ctrlPr>
          </m:sSubPr>
          <m:e>
            <m:r>
              <w:rPr>
                <w:rFonts w:ascii="Cambria Math" w:hAnsi="Cambria Math"/>
              </w:rPr>
              <m:t>E</m:t>
            </m:r>
          </m:e>
          <m:sub>
            <m:r>
              <m:rPr>
                <m:sty m:val="p"/>
              </m:rPr>
              <w:rPr>
                <w:rFonts w:ascii="Cambria Math" w:hAnsi="Cambria Math" w:hint="eastAsia"/>
              </w:rPr>
              <m:t>内</m:t>
            </m:r>
          </m:sub>
        </m:sSub>
      </m:oMath>
      <w:r w:rsidR="00235309" w:rsidRPr="004E68CD">
        <w:rPr>
          <w:rFonts w:ascii="Cambria Math" w:hAnsi="Cambria Math"/>
        </w:rPr>
        <w:t>——</w:t>
      </w:r>
      <w:r w:rsidR="00235309" w:rsidRPr="004E68CD">
        <w:rPr>
          <w:rFonts w:ascii="Cambria Math" w:hAnsi="Cambria Math" w:hint="eastAsia"/>
        </w:rPr>
        <w:t>缓和曲线内侧加宽总量，单位为毫米（</w:t>
      </w:r>
      <w:r w:rsidR="00235309" w:rsidRPr="004E68CD">
        <w:rPr>
          <w:rFonts w:ascii="Cambria Math" w:hAnsi="Cambria Math"/>
        </w:rPr>
        <w:t>mm</w:t>
      </w:r>
      <w:r w:rsidR="00235309" w:rsidRPr="004E68CD">
        <w:rPr>
          <w:rFonts w:ascii="Cambria Math" w:hAnsi="Cambria Math" w:hint="eastAsia"/>
        </w:rPr>
        <w:t>）；</w:t>
      </w:r>
    </w:p>
    <w:p w14:paraId="04C92B6B" w14:textId="77777777" w:rsidR="00235309" w:rsidRPr="004E68CD" w:rsidRDefault="00CA2808" w:rsidP="0062778D">
      <w:pPr>
        <w:adjustRightInd/>
        <w:spacing w:line="240" w:lineRule="auto"/>
        <w:ind w:leftChars="200" w:left="420"/>
        <w:jc w:val="left"/>
        <w:rPr>
          <w:rFonts w:ascii="Cambria Math" w:hAnsi="Cambria Math"/>
        </w:rPr>
      </w:pPr>
      <m:oMath>
        <m:sSub>
          <m:sSubPr>
            <m:ctrlPr>
              <w:rPr>
                <w:rFonts w:ascii="Cambria Math" w:hAnsi="Cambria Math"/>
              </w:rPr>
            </m:ctrlPr>
          </m:sSubPr>
          <m:e>
            <m:r>
              <w:rPr>
                <w:rFonts w:ascii="Cambria Math" w:hAnsi="Cambria Math"/>
              </w:rPr>
              <m:t>e</m:t>
            </m:r>
          </m:e>
          <m:sub>
            <m:r>
              <w:rPr>
                <w:rFonts w:ascii="Cambria Math" w:hAnsi="Cambria Math"/>
              </w:rPr>
              <m:t>p</m:t>
            </m:r>
            <m:r>
              <w:rPr>
                <w:rFonts w:ascii="Cambria Math" w:hAnsi="Cambria Math" w:hint="eastAsia"/>
              </w:rPr>
              <m:t>内</m:t>
            </m:r>
          </m:sub>
        </m:sSub>
      </m:oMath>
      <w:r w:rsidR="00235309" w:rsidRPr="004E68CD">
        <w:rPr>
          <w:rFonts w:ascii="Cambria Math" w:hAnsi="Cambria Math" w:hint="eastAsia"/>
        </w:rPr>
        <w:t>，</w:t>
      </w:r>
      <m:oMath>
        <m:sSub>
          <m:sSubPr>
            <m:ctrlPr>
              <w:rPr>
                <w:rFonts w:ascii="Cambria Math" w:hAnsi="Cambria Math"/>
              </w:rPr>
            </m:ctrlPr>
          </m:sSubPr>
          <m:e>
            <m:r>
              <w:rPr>
                <w:rFonts w:ascii="Cambria Math" w:hAnsi="Cambria Math"/>
              </w:rPr>
              <m:t>e</m:t>
            </m:r>
          </m:e>
          <m:sub>
            <m:r>
              <w:rPr>
                <w:rFonts w:ascii="Cambria Math" w:hAnsi="Cambria Math"/>
              </w:rPr>
              <m:t>p</m:t>
            </m:r>
            <m:r>
              <w:rPr>
                <w:rFonts w:ascii="Cambria Math" w:hAnsi="Cambria Math" w:hint="eastAsia"/>
              </w:rPr>
              <m:t>外</m:t>
            </m:r>
          </m:sub>
        </m:sSub>
      </m:oMath>
      <w:r w:rsidR="00235309" w:rsidRPr="004E68CD">
        <w:rPr>
          <w:rFonts w:ascii="Cambria Math" w:hAnsi="Cambria Math"/>
        </w:rPr>
        <w:t>——</w:t>
      </w:r>
      <w:r w:rsidR="00235309" w:rsidRPr="004E68CD">
        <w:rPr>
          <w:rFonts w:ascii="Cambria Math" w:hAnsi="Cambria Math"/>
        </w:rPr>
        <w:t>轨道超高引起的曲线</w:t>
      </w:r>
      <w:r w:rsidR="00235309" w:rsidRPr="004E68CD">
        <w:rPr>
          <w:rFonts w:ascii="Cambria Math" w:hAnsi="Cambria Math" w:hint="eastAsia"/>
        </w:rPr>
        <w:t>内、</w:t>
      </w:r>
      <w:r w:rsidR="00235309" w:rsidRPr="004E68CD">
        <w:rPr>
          <w:rFonts w:ascii="Cambria Math" w:hAnsi="Cambria Math"/>
        </w:rPr>
        <w:t>外侧限界加宽量</w:t>
      </w:r>
      <w:r w:rsidR="00235309" w:rsidRPr="004E68CD">
        <w:rPr>
          <w:rFonts w:ascii="Cambria Math" w:hAnsi="Cambria Math" w:hint="eastAsia"/>
        </w:rPr>
        <w:t>，单位为毫米（</w:t>
      </w:r>
      <w:r w:rsidR="00235309" w:rsidRPr="004E68CD">
        <w:rPr>
          <w:rFonts w:ascii="Cambria Math" w:hAnsi="Cambria Math" w:hint="eastAsia"/>
        </w:rPr>
        <w:t>m</w:t>
      </w:r>
      <w:r w:rsidR="00235309" w:rsidRPr="004E68CD">
        <w:rPr>
          <w:rFonts w:ascii="Cambria Math" w:hAnsi="Cambria Math"/>
        </w:rPr>
        <w:t>m</w:t>
      </w:r>
      <w:r w:rsidR="00235309" w:rsidRPr="004E68CD">
        <w:rPr>
          <w:rFonts w:ascii="Cambria Math" w:hAnsi="Cambria Math" w:hint="eastAsia"/>
        </w:rPr>
        <w:t>）；</w:t>
      </w:r>
    </w:p>
    <w:p w14:paraId="34934F22" w14:textId="77777777" w:rsidR="00235309" w:rsidRPr="004E68CD" w:rsidRDefault="00CA2808" w:rsidP="0062778D">
      <w:pPr>
        <w:adjustRightInd/>
        <w:spacing w:line="240" w:lineRule="auto"/>
        <w:ind w:leftChars="200" w:left="420"/>
        <w:jc w:val="left"/>
        <w:rPr>
          <w:rFonts w:ascii="Cambria Math" w:hAnsi="Cambria Math"/>
        </w:rPr>
      </w:pPr>
      <m:oMath>
        <m:sSub>
          <m:sSubPr>
            <m:ctrlPr>
              <w:rPr>
                <w:rFonts w:ascii="Cambria Math" w:hAnsi="Cambria Math"/>
              </w:rPr>
            </m:ctrlPr>
          </m:sSubPr>
          <m:e>
            <m:r>
              <w:rPr>
                <w:rFonts w:ascii="Cambria Math" w:hAnsi="Cambria Math"/>
              </w:rPr>
              <m:t>e</m:t>
            </m:r>
          </m:e>
          <m:sub>
            <m:r>
              <w:rPr>
                <w:rFonts w:ascii="Cambria Math" w:hAnsi="Cambria Math"/>
              </w:rPr>
              <m:t>h</m:t>
            </m:r>
            <m:r>
              <m:rPr>
                <m:sty m:val="p"/>
              </m:rPr>
              <w:rPr>
                <w:rFonts w:ascii="Cambria Math" w:hAnsi="Cambria Math" w:hint="eastAsia"/>
              </w:rPr>
              <m:t>内</m:t>
            </m:r>
          </m:sub>
        </m:sSub>
      </m:oMath>
      <w:r w:rsidR="00235309" w:rsidRPr="004E68CD">
        <w:rPr>
          <w:rFonts w:ascii="Cambria Math" w:hAnsi="Cambria Math" w:hint="eastAsia"/>
        </w:rPr>
        <w:t>，</w:t>
      </w:r>
      <m:oMath>
        <m:sSub>
          <m:sSubPr>
            <m:ctrlPr>
              <w:rPr>
                <w:rFonts w:ascii="Cambria Math" w:hAnsi="Cambria Math"/>
              </w:rPr>
            </m:ctrlPr>
          </m:sSubPr>
          <m:e>
            <m:r>
              <w:rPr>
                <w:rFonts w:ascii="Cambria Math" w:hAnsi="Cambria Math"/>
              </w:rPr>
              <m:t>e</m:t>
            </m:r>
          </m:e>
          <m:sub>
            <m:r>
              <m:rPr>
                <m:sty m:val="p"/>
              </m:rPr>
              <w:rPr>
                <w:rFonts w:ascii="Cambria Math" w:hAnsi="Cambria Math"/>
              </w:rPr>
              <m:t>h</m:t>
            </m:r>
            <m:r>
              <w:rPr>
                <w:rFonts w:ascii="Cambria Math" w:hAnsi="Cambria Math" w:hint="eastAsia"/>
              </w:rPr>
              <m:t>外</m:t>
            </m:r>
          </m:sub>
        </m:sSub>
      </m:oMath>
      <w:r w:rsidR="00235309" w:rsidRPr="004E68CD">
        <w:rPr>
          <w:rFonts w:ascii="Cambria Math" w:hAnsi="Cambria Math"/>
        </w:rPr>
        <w:t>——</w:t>
      </w:r>
      <w:r w:rsidR="00235309" w:rsidRPr="004E68CD">
        <w:rPr>
          <w:rFonts w:ascii="Cambria Math" w:hAnsi="Cambria Math"/>
        </w:rPr>
        <w:t>轨道超高引起的曲线内、外侧限界加宽量</w:t>
      </w:r>
      <w:r w:rsidR="00235309" w:rsidRPr="004E68CD">
        <w:rPr>
          <w:rFonts w:ascii="Cambria Math" w:hAnsi="Cambria Math" w:hint="eastAsia"/>
        </w:rPr>
        <w:t>，单位为毫米（</w:t>
      </w:r>
      <w:r w:rsidR="00235309" w:rsidRPr="004E68CD">
        <w:rPr>
          <w:rFonts w:ascii="Cambria Math" w:hAnsi="Cambria Math" w:hint="eastAsia"/>
        </w:rPr>
        <w:t>m</w:t>
      </w:r>
      <w:r w:rsidR="00235309" w:rsidRPr="004E68CD">
        <w:rPr>
          <w:rFonts w:ascii="Cambria Math" w:hAnsi="Cambria Math"/>
        </w:rPr>
        <w:t>m</w:t>
      </w:r>
      <w:r w:rsidR="00235309" w:rsidRPr="004E68CD">
        <w:rPr>
          <w:rFonts w:ascii="Cambria Math" w:hAnsi="Cambria Math" w:hint="eastAsia"/>
        </w:rPr>
        <w:t>）；</w:t>
      </w:r>
    </w:p>
    <w:p w14:paraId="124FAC16" w14:textId="77777777" w:rsidR="00235309" w:rsidRPr="004E68CD" w:rsidRDefault="00CA2808" w:rsidP="0062778D">
      <w:pPr>
        <w:pStyle w:val="affffa"/>
        <w:adjustRightInd/>
        <w:spacing w:line="240" w:lineRule="auto"/>
        <w:ind w:firstLine="420"/>
        <w:jc w:val="left"/>
        <w:rPr>
          <w:rFonts w:ascii="Cambria Math" w:hAnsi="Cambria Math"/>
        </w:rPr>
      </w:pPr>
      <m:oMath>
        <m:sSub>
          <m:sSubPr>
            <m:ctrlPr>
              <w:rPr>
                <w:rFonts w:ascii="Cambria Math" w:hAnsi="Cambria Math"/>
              </w:rPr>
            </m:ctrlPr>
          </m:sSubPr>
          <m:e>
            <m:r>
              <w:rPr>
                <w:rFonts w:ascii="Cambria Math" w:hAnsi="Cambria Math"/>
              </w:rPr>
              <m:t>e</m:t>
            </m:r>
          </m:e>
          <m:sub>
            <m:r>
              <m:rPr>
                <m:sty m:val="p"/>
              </m:rPr>
              <w:rPr>
                <w:rFonts w:ascii="Cambria Math" w:hAnsi="Cambria Math" w:hint="eastAsia"/>
              </w:rPr>
              <m:t>其他</m:t>
            </m:r>
          </m:sub>
        </m:sSub>
      </m:oMath>
      <w:r w:rsidR="00235309" w:rsidRPr="004E68CD">
        <w:rPr>
          <w:rFonts w:ascii="Cambria Math" w:hAnsi="Cambria Math"/>
        </w:rPr>
        <w:t>——</w:t>
      </w:r>
      <w:r w:rsidR="00235309" w:rsidRPr="004E68CD">
        <w:rPr>
          <w:rFonts w:ascii="Cambria Math" w:hAnsi="Cambria Math" w:hint="eastAsia"/>
        </w:rPr>
        <w:t>其他因素引起的加宽量值，单位为毫米（</w:t>
      </w:r>
      <w:r w:rsidR="00235309" w:rsidRPr="004E68CD">
        <w:rPr>
          <w:rFonts w:ascii="Cambria Math" w:hAnsi="Cambria Math"/>
        </w:rPr>
        <w:t>mm</w:t>
      </w:r>
      <w:r w:rsidR="00235309" w:rsidRPr="004E68CD">
        <w:rPr>
          <w:rFonts w:ascii="Cambria Math" w:hAnsi="Cambria Math" w:hint="eastAsia"/>
        </w:rPr>
        <w:t>）；</w:t>
      </w:r>
    </w:p>
    <w:p w14:paraId="15898E94" w14:textId="77777777" w:rsidR="00235309" w:rsidRPr="004E68CD" w:rsidRDefault="00CA2808" w:rsidP="0062778D">
      <w:pPr>
        <w:adjustRightInd/>
        <w:spacing w:line="240" w:lineRule="auto"/>
        <w:ind w:firstLine="420"/>
        <w:jc w:val="left"/>
        <w:rPr>
          <w:rFonts w:ascii="Cambria Math" w:hAnsi="Cambria Math"/>
        </w:rPr>
      </w:pPr>
      <m:oMath>
        <m:sSub>
          <m:sSubPr>
            <m:ctrlPr>
              <w:rPr>
                <w:rFonts w:ascii="Cambria Math" w:hAnsi="Cambria Math"/>
              </w:rPr>
            </m:ctrlPr>
          </m:sSubPr>
          <m:e>
            <m:r>
              <w:rPr>
                <w:rFonts w:ascii="Cambria Math" w:hAnsi="Cambria Math"/>
              </w:rPr>
              <m:t>E</m:t>
            </m:r>
          </m:e>
          <m:sub>
            <m:r>
              <m:rPr>
                <m:sty m:val="p"/>
              </m:rPr>
              <w:rPr>
                <w:rFonts w:ascii="Cambria Math" w:hAnsi="Cambria Math" w:hint="eastAsia"/>
              </w:rPr>
              <m:t>外</m:t>
            </m:r>
          </m:sub>
        </m:sSub>
      </m:oMath>
      <w:r w:rsidR="00235309" w:rsidRPr="004E68CD">
        <w:rPr>
          <w:rFonts w:ascii="Cambria Math" w:hAnsi="Cambria Math"/>
        </w:rPr>
        <w:t>——</w:t>
      </w:r>
      <w:r w:rsidR="00235309" w:rsidRPr="004E68CD">
        <w:rPr>
          <w:rFonts w:ascii="Cambria Math" w:hAnsi="Cambria Math" w:hint="eastAsia"/>
        </w:rPr>
        <w:t>缓和曲线外侧加宽总量，单位为毫米（</w:t>
      </w:r>
      <w:r w:rsidR="00235309" w:rsidRPr="004E68CD">
        <w:rPr>
          <w:rFonts w:ascii="Cambria Math" w:hAnsi="Cambria Math"/>
        </w:rPr>
        <w:t>mm</w:t>
      </w:r>
      <w:r w:rsidR="00235309" w:rsidRPr="004E68CD">
        <w:rPr>
          <w:rFonts w:ascii="Cambria Math" w:hAnsi="Cambria Math" w:hint="eastAsia"/>
        </w:rPr>
        <w:t>）。</w:t>
      </w:r>
    </w:p>
    <w:p w14:paraId="592F7B49" w14:textId="77777777" w:rsidR="00235309" w:rsidRPr="00765F6E" w:rsidRDefault="00235309" w:rsidP="00235309">
      <w:pPr>
        <w:pStyle w:val="aff5"/>
        <w:spacing w:beforeLines="0" w:before="0" w:afterLines="0" w:after="0"/>
        <w:ind w:firstLine="360"/>
        <w:outlineLvl w:val="9"/>
        <w:rPr>
          <w:rFonts w:ascii="宋体" w:eastAsia="宋体" w:hAnsi="宋体"/>
        </w:rPr>
      </w:pPr>
      <w:bookmarkStart w:id="3981" w:name="_Toc152659892"/>
      <w:bookmarkStart w:id="3982" w:name="_Toc144308216"/>
      <w:bookmarkStart w:id="3983" w:name="_Toc153292579"/>
      <w:bookmarkStart w:id="3984" w:name="_Toc153211046"/>
      <w:bookmarkStart w:id="3985" w:name="_Toc164068571"/>
      <w:bookmarkStart w:id="3986" w:name="_Toc167895944"/>
      <w:bookmarkStart w:id="3987" w:name="_Toc174539465"/>
      <w:bookmarkStart w:id="3988" w:name="_Toc174553600"/>
      <w:bookmarkStart w:id="3989" w:name="_Toc180759222"/>
      <w:bookmarkStart w:id="3990" w:name="_Toc181266634"/>
      <w:bookmarkStart w:id="3991" w:name="_Toc182409854"/>
      <w:bookmarkStart w:id="3992" w:name="_Toc182476634"/>
      <w:r w:rsidRPr="00765F6E">
        <w:rPr>
          <w:rFonts w:ascii="宋体" w:eastAsia="宋体" w:hAnsi="宋体" w:hint="eastAsia"/>
        </w:rPr>
        <w:t>缓和曲线段建筑限界加宽应分为内侧加宽和外侧加宽，适用范围示意图见图F</w:t>
      </w:r>
      <w:r w:rsidRPr="00765F6E">
        <w:rPr>
          <w:rFonts w:ascii="宋体" w:eastAsia="宋体" w:hAnsi="宋体"/>
        </w:rPr>
        <w:t>.1</w:t>
      </w:r>
      <w:r w:rsidRPr="00765F6E">
        <w:rPr>
          <w:rFonts w:ascii="宋体" w:eastAsia="宋体" w:hAnsi="宋体" w:hint="eastAsia"/>
        </w:rPr>
        <w:t>。</w:t>
      </w:r>
      <w:bookmarkEnd w:id="3981"/>
      <w:bookmarkEnd w:id="3982"/>
      <w:bookmarkEnd w:id="3983"/>
      <w:bookmarkEnd w:id="3984"/>
      <w:bookmarkEnd w:id="3985"/>
      <w:bookmarkEnd w:id="3986"/>
      <w:bookmarkEnd w:id="3987"/>
      <w:bookmarkEnd w:id="3988"/>
      <w:bookmarkEnd w:id="3989"/>
      <w:bookmarkEnd w:id="3990"/>
      <w:bookmarkEnd w:id="3991"/>
      <w:bookmarkEnd w:id="3992"/>
    </w:p>
    <w:p w14:paraId="0D999037" w14:textId="6E466508" w:rsidR="00235309" w:rsidRPr="00765F6E" w:rsidRDefault="008F317D" w:rsidP="00235309">
      <w:pPr>
        <w:spacing w:line="240" w:lineRule="auto"/>
        <w:jc w:val="center"/>
        <w:rPr>
          <w:rFonts w:ascii="Times New Roman" w:hAnsi="Times New Roman"/>
        </w:rPr>
      </w:pPr>
      <w:r>
        <w:rPr>
          <w:noProof/>
        </w:rPr>
        <w:drawing>
          <wp:inline distT="0" distB="0" distL="0" distR="0" wp14:anchorId="1D9EC398" wp14:editId="21EA4C76">
            <wp:extent cx="5733232" cy="2215697"/>
            <wp:effectExtent l="0" t="0" r="127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5736045" cy="2216784"/>
                    </a:xfrm>
                    <a:prstGeom prst="rect">
                      <a:avLst/>
                    </a:prstGeom>
                  </pic:spPr>
                </pic:pic>
              </a:graphicData>
            </a:graphic>
          </wp:inline>
        </w:drawing>
      </w:r>
    </w:p>
    <w:p w14:paraId="3E610C95" w14:textId="0BA5DF27" w:rsidR="003C6AAF" w:rsidRDefault="00235309" w:rsidP="00235309">
      <w:pPr>
        <w:jc w:val="center"/>
        <w:rPr>
          <w:rFonts w:ascii="Times New Roman" w:hAnsi="Times New Roman"/>
        </w:rPr>
      </w:pPr>
      <w:r w:rsidRPr="00765F6E">
        <w:rPr>
          <w:rFonts w:ascii="Times New Roman" w:hAnsi="Times New Roman"/>
        </w:rPr>
        <w:t>图</w:t>
      </w:r>
      <w:r w:rsidRPr="00765F6E">
        <w:rPr>
          <w:rFonts w:ascii="Times New Roman" w:hAnsi="Times New Roman"/>
        </w:rPr>
        <w:t xml:space="preserve">F.1  </w:t>
      </w:r>
      <w:r w:rsidRPr="00765F6E">
        <w:rPr>
          <w:rFonts w:ascii="Times New Roman" w:hAnsi="Times New Roman"/>
        </w:rPr>
        <w:t>缓和曲线段建筑限界加宽适用范围示意图</w:t>
      </w:r>
    </w:p>
    <w:p w14:paraId="6972DA44" w14:textId="77777777" w:rsidR="001B264E" w:rsidRDefault="001B264E" w:rsidP="00235309">
      <w:pPr>
        <w:jc w:val="center"/>
        <w:rPr>
          <w:rFonts w:ascii="Times New Roman" w:hAnsi="Times New Roman"/>
        </w:rPr>
        <w:sectPr w:rsidR="001B264E" w:rsidSect="000A5A1C">
          <w:headerReference w:type="even" r:id="rId108"/>
          <w:headerReference w:type="default" r:id="rId109"/>
          <w:footerReference w:type="even" r:id="rId110"/>
          <w:footerReference w:type="default" r:id="rId111"/>
          <w:pgSz w:w="11906" w:h="16838" w:code="9"/>
          <w:pgMar w:top="1928" w:right="1134" w:bottom="1134" w:left="1134" w:header="1418" w:footer="1134" w:gutter="284"/>
          <w:cols w:space="425"/>
          <w:formProt w:val="0"/>
          <w:docGrid w:type="lines" w:linePitch="312"/>
        </w:sectPr>
      </w:pPr>
      <w:bookmarkStart w:id="3995" w:name="BookMark6"/>
      <w:bookmarkEnd w:id="3830"/>
    </w:p>
    <w:p w14:paraId="756E82A7" w14:textId="7701EB71" w:rsidR="001B264E" w:rsidRDefault="001B264E" w:rsidP="001B264E">
      <w:pPr>
        <w:pStyle w:val="afffff2"/>
        <w:spacing w:after="156"/>
      </w:pPr>
      <w:bookmarkStart w:id="3996" w:name="_Toc182476635"/>
      <w:r w:rsidRPr="001B264E">
        <w:rPr>
          <w:rFonts w:hint="eastAsia"/>
          <w:spacing w:val="105"/>
        </w:rPr>
        <w:lastRenderedPageBreak/>
        <w:t>参考文</w:t>
      </w:r>
      <w:r>
        <w:rPr>
          <w:rFonts w:hint="eastAsia"/>
        </w:rPr>
        <w:t>献</w:t>
      </w:r>
      <w:bookmarkEnd w:id="3996"/>
    </w:p>
    <w:p w14:paraId="00CBD917" w14:textId="0FB27B0B" w:rsidR="001B5BEA" w:rsidRPr="00765F6E" w:rsidRDefault="00B1286B" w:rsidP="001B5BEA">
      <w:pPr>
        <w:pStyle w:val="affffb"/>
        <w:ind w:firstLine="420"/>
      </w:pPr>
      <w:r>
        <w:rPr>
          <w:rFonts w:hint="eastAsia"/>
        </w:rPr>
        <w:t>[</w:t>
      </w:r>
      <w:r>
        <w:t xml:space="preserve">1] </w:t>
      </w:r>
      <w:r w:rsidR="00DC0A0A">
        <w:rPr>
          <w:rFonts w:hint="eastAsia"/>
        </w:rPr>
        <w:t>G</w:t>
      </w:r>
      <w:r w:rsidR="00DC0A0A">
        <w:t>B</w:t>
      </w:r>
      <w:r w:rsidR="00DC0A0A" w:rsidRPr="001B264E">
        <w:rPr>
          <w:rFonts w:hint="eastAsia"/>
        </w:rPr>
        <w:t>/T 32589  轨道交通  第三轨受流器</w:t>
      </w:r>
    </w:p>
    <w:p w14:paraId="51014FBE" w14:textId="031760EB" w:rsidR="001B264E" w:rsidRDefault="001B5BEA" w:rsidP="001B264E">
      <w:pPr>
        <w:pStyle w:val="affffb"/>
        <w:ind w:firstLine="420"/>
      </w:pPr>
      <w:r>
        <w:t xml:space="preserve">[2] </w:t>
      </w:r>
      <w:r w:rsidR="00DC0A0A" w:rsidRPr="00765F6E">
        <w:rPr>
          <w:rFonts w:hint="eastAsia"/>
        </w:rPr>
        <w:t>TB</w:t>
      </w:r>
      <w:r w:rsidR="00DC0A0A" w:rsidRPr="00765F6E">
        <w:t xml:space="preserve"> </w:t>
      </w:r>
      <w:r w:rsidR="00DC0A0A" w:rsidRPr="00765F6E">
        <w:rPr>
          <w:rFonts w:hint="eastAsia"/>
        </w:rPr>
        <w:t>10089  铁路照明设计规范</w:t>
      </w:r>
    </w:p>
    <w:p w14:paraId="1FB246B0" w14:textId="7B6B437B" w:rsidR="001B264E" w:rsidRPr="001B264E" w:rsidRDefault="00B1286B" w:rsidP="001B264E">
      <w:pPr>
        <w:pStyle w:val="affffb"/>
        <w:ind w:firstLine="420"/>
      </w:pPr>
      <w:r>
        <w:t>[</w:t>
      </w:r>
      <w:r w:rsidR="001B5BEA">
        <w:t>3</w:t>
      </w:r>
      <w:r>
        <w:t xml:space="preserve">] </w:t>
      </w:r>
      <w:r w:rsidR="001B264E" w:rsidRPr="001B264E">
        <w:rPr>
          <w:rFonts w:hint="eastAsia"/>
        </w:rPr>
        <w:t>新建铁路工程项目建设用地指标（建标[2008]232号）</w:t>
      </w:r>
    </w:p>
    <w:p w14:paraId="0B3F7E53" w14:textId="64B447E1" w:rsidR="001B264E" w:rsidRPr="001B264E" w:rsidRDefault="00B1286B" w:rsidP="00B1286B">
      <w:pPr>
        <w:pStyle w:val="affffb"/>
        <w:ind w:firstLine="420"/>
      </w:pPr>
      <w:r>
        <w:t>[</w:t>
      </w:r>
      <w:r w:rsidR="001B5BEA">
        <w:t>4</w:t>
      </w:r>
      <w:r>
        <w:t xml:space="preserve">] </w:t>
      </w:r>
      <w:r w:rsidR="001B264E" w:rsidRPr="001B264E">
        <w:rPr>
          <w:rFonts w:hint="eastAsia"/>
        </w:rPr>
        <w:t>油气输送管道与铁路交汇工程技术及管理规定（国能392号文）</w:t>
      </w:r>
    </w:p>
    <w:p w14:paraId="5AA9CAD6" w14:textId="77777777" w:rsidR="00B1286B" w:rsidRPr="00B1286B" w:rsidRDefault="00B1286B" w:rsidP="00B1286B">
      <w:pPr>
        <w:rPr>
          <w:rFonts w:ascii="Times New Roman" w:hAnsi="Times New Roman"/>
        </w:rPr>
      </w:pPr>
    </w:p>
    <w:p w14:paraId="501885E1" w14:textId="2758B36A" w:rsidR="00235309" w:rsidRPr="00235309" w:rsidRDefault="001B264E" w:rsidP="001B264E">
      <w:pPr>
        <w:widowControl/>
        <w:adjustRightInd/>
        <w:spacing w:line="240" w:lineRule="auto"/>
        <w:jc w:val="center"/>
        <w:rPr>
          <w:rFonts w:ascii="Times New Roman" w:hAnsi="Times New Roman"/>
        </w:rPr>
      </w:pPr>
      <w:bookmarkStart w:id="3997" w:name="BookMark8"/>
      <w:bookmarkEnd w:id="3995"/>
      <w:r>
        <w:rPr>
          <w:rFonts w:ascii="Times New Roman" w:hAnsi="Times New Roman" w:hint="eastAsia"/>
          <w:noProof/>
        </w:rPr>
        <w:drawing>
          <wp:inline distT="0" distB="0" distL="0" distR="0" wp14:anchorId="10E79F29" wp14:editId="11286900">
            <wp:extent cx="1485900" cy="317500"/>
            <wp:effectExtent l="0" t="0" r="0" b="6350"/>
            <wp:docPr id="4" name="图片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12">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3997"/>
    </w:p>
    <w:sectPr w:rsidR="00235309" w:rsidRPr="00235309" w:rsidSect="000A5A1C">
      <w:pgSz w:w="11906" w:h="16838" w:code="9"/>
      <w:pgMar w:top="1928" w:right="1134" w:bottom="1134" w:left="1134" w:header="1418" w:footer="1134" w:gutter="284"/>
      <w:cols w:space="425"/>
      <w:formProt w:val="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16DBB1" w14:textId="77777777" w:rsidR="00CA2808" w:rsidRDefault="00CA2808" w:rsidP="00D86DB7">
      <w:r>
        <w:separator/>
      </w:r>
    </w:p>
    <w:p w14:paraId="3BF6FC54" w14:textId="77777777" w:rsidR="00CA2808" w:rsidRDefault="00CA2808"/>
    <w:p w14:paraId="0D3AF2FE" w14:textId="77777777" w:rsidR="00CA2808" w:rsidRDefault="00CA2808"/>
  </w:endnote>
  <w:endnote w:type="continuationSeparator" w:id="0">
    <w:p w14:paraId="7BF72AFD" w14:textId="77777777" w:rsidR="00CA2808" w:rsidRDefault="00CA2808" w:rsidP="00D86DB7">
      <w:r>
        <w:continuationSeparator/>
      </w:r>
    </w:p>
    <w:p w14:paraId="54391808" w14:textId="77777777" w:rsidR="00CA2808" w:rsidRDefault="00CA2808"/>
    <w:p w14:paraId="2D5BC8F1" w14:textId="77777777" w:rsidR="00CA2808" w:rsidRDefault="00CA280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default"/>
    <w:sig w:usb0="00000000" w:usb1="00000000"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Courier New">
    <w:panose1 w:val="02070309020205020404"/>
    <w:charset w:val="01"/>
    <w:family w:val="modern"/>
    <w:pitch w:val="default"/>
    <w:sig w:usb0="E0002EFF" w:usb1="C0007843" w:usb2="00000009" w:usb3="00000000" w:csb0="400001FF" w:csb1="FFFF0000"/>
  </w:font>
  <w:font w:name="Calibri Light">
    <w:panose1 w:val="020F0302020204030204"/>
    <w:charset w:val="00"/>
    <w:family w:val="swiss"/>
    <w:pitch w:val="default"/>
    <w:sig w:usb0="E4002EFF" w:usb1="C000247B" w:usb2="00000009" w:usb3="00000000" w:csb0="2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27D34D" w14:textId="77777777" w:rsidR="00E832DC" w:rsidRDefault="00E832DC">
    <w:pPr>
      <w:pStyle w:val="afffb"/>
    </w:pPr>
    <w:r>
      <w:fldChar w:fldCharType="begin"/>
    </w:r>
    <w:r>
      <w:instrText>PAGE   \* MERGEFORMAT</w:instrText>
    </w:r>
    <w:r>
      <w:fldChar w:fldCharType="separate"/>
    </w:r>
    <w:r w:rsidRPr="00AF47C5">
      <w:rPr>
        <w:noProof/>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58C25" w14:textId="77777777" w:rsidR="00E832DC" w:rsidRPr="00324EDD" w:rsidRDefault="00E832DC" w:rsidP="00CD50A1">
    <w:pPr>
      <w:pStyle w:val="afffb"/>
      <w:ind w:right="720"/>
      <w:jc w:val="both"/>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BD4C2" w14:textId="747DBAAE" w:rsidR="00E832DC" w:rsidRPr="00A9035B" w:rsidRDefault="00E832DC" w:rsidP="00A9035B">
    <w:pPr>
      <w:pStyle w:val="affff7"/>
    </w:pPr>
    <w:r>
      <w:fldChar w:fldCharType="begin"/>
    </w:r>
    <w:r>
      <w:instrText xml:space="preserve"> PAGE   \* MERGEFORMAT \* MERGEFORMAT </w:instrText>
    </w:r>
    <w:r>
      <w:fldChar w:fldCharType="separate"/>
    </w:r>
    <w:r w:rsidR="00D93F6D">
      <w:rPr>
        <w:noProof/>
      </w:rPr>
      <w:t>II</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BD8B6" w14:textId="53D01545" w:rsidR="00E832DC" w:rsidRDefault="00E832DC" w:rsidP="00A9035B">
    <w:pPr>
      <w:pStyle w:val="affff8"/>
    </w:pPr>
    <w:r>
      <w:fldChar w:fldCharType="begin"/>
    </w:r>
    <w:r>
      <w:instrText>PAGE   \* MERGEFORMAT</w:instrText>
    </w:r>
    <w:r>
      <w:fldChar w:fldCharType="separate"/>
    </w:r>
    <w:r w:rsidR="00D93F6D" w:rsidRPr="00D93F6D">
      <w:rPr>
        <w:noProof/>
        <w:lang w:val="zh-CN"/>
      </w:rPr>
      <w:t>III</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ABEB8" w14:textId="0426691B" w:rsidR="00E832DC" w:rsidRPr="00A9035B" w:rsidRDefault="00E832DC" w:rsidP="00A9035B">
    <w:pPr>
      <w:pStyle w:val="affff7"/>
    </w:pPr>
    <w:r>
      <w:fldChar w:fldCharType="begin"/>
    </w:r>
    <w:r>
      <w:instrText xml:space="preserve"> PAGE   \* MERGEFORMAT \* MERGEFORMAT </w:instrText>
    </w:r>
    <w:r>
      <w:fldChar w:fldCharType="separate"/>
    </w:r>
    <w:r w:rsidR="00D93F6D">
      <w:rPr>
        <w:noProof/>
      </w:rPr>
      <w:t>VIII</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462818" w14:textId="590F2DC7" w:rsidR="00E832DC" w:rsidRDefault="00E832DC" w:rsidP="00A9035B">
    <w:pPr>
      <w:pStyle w:val="affff8"/>
    </w:pPr>
    <w:r>
      <w:fldChar w:fldCharType="begin"/>
    </w:r>
    <w:r>
      <w:instrText>PAGE   \* MERGEFORMAT</w:instrText>
    </w:r>
    <w:r>
      <w:fldChar w:fldCharType="separate"/>
    </w:r>
    <w:r w:rsidRPr="004A7631">
      <w:rPr>
        <w:noProof/>
        <w:lang w:val="zh-CN"/>
      </w:rPr>
      <w:t>VII</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20B68" w14:textId="49DD3FB1" w:rsidR="00E832DC" w:rsidRPr="00A9035B" w:rsidRDefault="00E832DC" w:rsidP="00A9035B">
    <w:pPr>
      <w:pStyle w:val="affff7"/>
    </w:pPr>
    <w:r>
      <w:fldChar w:fldCharType="begin"/>
    </w:r>
    <w:r>
      <w:instrText xml:space="preserve"> PAGE   \* MERGEFORMAT \* MERGEFORMAT </w:instrText>
    </w:r>
    <w:r>
      <w:fldChar w:fldCharType="separate"/>
    </w:r>
    <w:r w:rsidR="00D93F6D">
      <w:rPr>
        <w:noProof/>
      </w:rPr>
      <w:t>30</w:t>
    </w:r>
    <w: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5791B" w14:textId="56FE6C26" w:rsidR="00E832DC" w:rsidRDefault="00E832DC" w:rsidP="00A9035B">
    <w:pPr>
      <w:pStyle w:val="affff8"/>
    </w:pPr>
    <w:r>
      <w:fldChar w:fldCharType="begin"/>
    </w:r>
    <w:r>
      <w:instrText>PAGE   \* MERGEFORMAT</w:instrText>
    </w:r>
    <w:r>
      <w:fldChar w:fldCharType="separate"/>
    </w:r>
    <w:r w:rsidR="00D93F6D" w:rsidRPr="00D93F6D">
      <w:rPr>
        <w:noProof/>
        <w:lang w:val="zh-CN"/>
      </w:rPr>
      <w:t>31</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9FF8AB" w14:textId="7D1B3049" w:rsidR="00E832DC" w:rsidRPr="00A9035B" w:rsidRDefault="00E832DC" w:rsidP="00A9035B">
    <w:pPr>
      <w:pStyle w:val="affff7"/>
    </w:pPr>
    <w:r>
      <w:fldChar w:fldCharType="begin"/>
    </w:r>
    <w:r>
      <w:instrText xml:space="preserve"> PAGE   \* MERGEFORMAT \* MERGEFORMAT </w:instrText>
    </w:r>
    <w:r>
      <w:fldChar w:fldCharType="separate"/>
    </w:r>
    <w:r w:rsidR="00D93F6D">
      <w:rPr>
        <w:noProof/>
      </w:rPr>
      <w:t>144</w:t>
    </w:r>
    <w: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4C9924" w14:textId="11DF95FC" w:rsidR="00E832DC" w:rsidRDefault="00E832DC" w:rsidP="00A9035B">
    <w:pPr>
      <w:pStyle w:val="affff8"/>
    </w:pPr>
    <w:r>
      <w:fldChar w:fldCharType="begin"/>
    </w:r>
    <w:r>
      <w:instrText>PAGE   \* MERGEFORMAT</w:instrText>
    </w:r>
    <w:r>
      <w:fldChar w:fldCharType="separate"/>
    </w:r>
    <w:r w:rsidR="00D93F6D" w:rsidRPr="00D93F6D">
      <w:rPr>
        <w:noProof/>
        <w:lang w:val="zh-CN"/>
      </w:rPr>
      <w:t>145</w:t>
    </w:r>
    <w: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CF14E2" w14:textId="0D23B25E" w:rsidR="00E832DC" w:rsidRPr="00A9035B" w:rsidRDefault="00E832DC" w:rsidP="00A9035B">
    <w:pPr>
      <w:pStyle w:val="affff7"/>
    </w:pPr>
    <w:r>
      <w:fldChar w:fldCharType="begin"/>
    </w:r>
    <w:r>
      <w:instrText xml:space="preserve"> PAGE   \* MERGEFORMAT \* MERGEFORMAT </w:instrText>
    </w:r>
    <w:r>
      <w:fldChar w:fldCharType="separate"/>
    </w:r>
    <w:r w:rsidR="00D93F6D">
      <w:rPr>
        <w:noProof/>
      </w:rPr>
      <w:t>146</w:t>
    </w:r>
    <w: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39F2FA" w14:textId="0FCEB712" w:rsidR="00E832DC" w:rsidRDefault="00E832DC" w:rsidP="00A9035B">
    <w:pPr>
      <w:pStyle w:val="affff8"/>
    </w:pPr>
    <w:r>
      <w:fldChar w:fldCharType="begin"/>
    </w:r>
    <w:r>
      <w:instrText>PAGE   \* MERGEFORMAT</w:instrText>
    </w:r>
    <w:r>
      <w:fldChar w:fldCharType="separate"/>
    </w:r>
    <w:r w:rsidR="00D93F6D" w:rsidRPr="00D93F6D">
      <w:rPr>
        <w:noProof/>
        <w:lang w:val="zh-CN"/>
      </w:rPr>
      <w:t>147</w:t>
    </w:r>
    <w: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4CE152" w14:textId="03E97A90" w:rsidR="00E832DC" w:rsidRPr="00A9035B" w:rsidRDefault="00E832DC" w:rsidP="00A9035B">
    <w:pPr>
      <w:pStyle w:val="affff7"/>
    </w:pPr>
    <w:r>
      <w:fldChar w:fldCharType="begin"/>
    </w:r>
    <w:r>
      <w:instrText xml:space="preserve"> PAGE   \* MERGEFORMAT \* MERGEFORMAT </w:instrText>
    </w:r>
    <w:r>
      <w:fldChar w:fldCharType="separate"/>
    </w:r>
    <w:r w:rsidR="00D93F6D">
      <w:rPr>
        <w:noProof/>
      </w:rPr>
      <w:t>148</w:t>
    </w:r>
    <w: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EF724A" w14:textId="1FB0B65A" w:rsidR="00E832DC" w:rsidRDefault="00E832DC" w:rsidP="00A9035B">
    <w:pPr>
      <w:pStyle w:val="affff8"/>
    </w:pPr>
    <w:r>
      <w:fldChar w:fldCharType="begin"/>
    </w:r>
    <w:r>
      <w:instrText>PAGE   \* MERGEFORMAT</w:instrText>
    </w:r>
    <w:r>
      <w:fldChar w:fldCharType="separate"/>
    </w:r>
    <w:r w:rsidR="00D93F6D" w:rsidRPr="00D93F6D">
      <w:rPr>
        <w:noProof/>
        <w:lang w:val="zh-CN"/>
      </w:rPr>
      <w:t>149</w:t>
    </w:r>
    <w: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C9F57" w14:textId="182B7EE8" w:rsidR="00E832DC" w:rsidRPr="00A9035B" w:rsidRDefault="00E832DC" w:rsidP="00A9035B">
    <w:pPr>
      <w:pStyle w:val="affff7"/>
    </w:pPr>
    <w:r>
      <w:fldChar w:fldCharType="begin"/>
    </w:r>
    <w:r>
      <w:instrText xml:space="preserve"> PAGE   \* MERGEFORMAT \* MERGEFORMAT </w:instrText>
    </w:r>
    <w:r>
      <w:fldChar w:fldCharType="separate"/>
    </w:r>
    <w:r w:rsidR="00D93F6D">
      <w:rPr>
        <w:noProof/>
      </w:rPr>
      <w:t>150</w:t>
    </w:r>
    <w: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4DBE2" w14:textId="32A3ECF2" w:rsidR="00E832DC" w:rsidRDefault="00E832DC" w:rsidP="00A9035B">
    <w:pPr>
      <w:pStyle w:val="affff8"/>
    </w:pPr>
    <w:r>
      <w:fldChar w:fldCharType="begin"/>
    </w:r>
    <w:r>
      <w:instrText>PAGE   \* MERGEFORMAT</w:instrText>
    </w:r>
    <w:r>
      <w:fldChar w:fldCharType="separate"/>
    </w:r>
    <w:r w:rsidR="00D93F6D" w:rsidRPr="00D93F6D">
      <w:rPr>
        <w:noProof/>
        <w:lang w:val="zh-CN"/>
      </w:rPr>
      <w:t>151</w:t>
    </w:r>
    <w: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3FC7DE" w14:textId="32495C85" w:rsidR="00E832DC" w:rsidRPr="00A9035B" w:rsidRDefault="00E832DC" w:rsidP="00A9035B">
    <w:pPr>
      <w:pStyle w:val="affff7"/>
    </w:pPr>
    <w:r>
      <w:fldChar w:fldCharType="begin"/>
    </w:r>
    <w:r>
      <w:instrText xml:space="preserve"> PAGE   \* MERGEFORMAT \* MERGEFORMAT </w:instrText>
    </w:r>
    <w:r>
      <w:fldChar w:fldCharType="separate"/>
    </w:r>
    <w:r w:rsidR="00D93F6D">
      <w:rPr>
        <w:noProof/>
      </w:rPr>
      <w:t>152</w:t>
    </w:r>
    <w: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E856DF" w14:textId="737594FD" w:rsidR="00E832DC" w:rsidRDefault="00E832DC" w:rsidP="00A9035B">
    <w:pPr>
      <w:pStyle w:val="affff8"/>
    </w:pPr>
    <w:r>
      <w:fldChar w:fldCharType="begin"/>
    </w:r>
    <w:r>
      <w:instrText>PAGE   \* MERGEFORMAT</w:instrText>
    </w:r>
    <w:r>
      <w:fldChar w:fldCharType="separate"/>
    </w:r>
    <w:r w:rsidR="00D93F6D" w:rsidRPr="00D93F6D">
      <w:rPr>
        <w:noProof/>
        <w:lang w:val="zh-CN"/>
      </w:rPr>
      <w:t>153</w:t>
    </w:r>
    <w:r>
      <w:fldChar w:fldCharType="end"/>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3182F" w14:textId="016089BB" w:rsidR="00E832DC" w:rsidRPr="00A9035B" w:rsidRDefault="00E832DC" w:rsidP="00A9035B">
    <w:pPr>
      <w:pStyle w:val="affff7"/>
    </w:pPr>
    <w:r>
      <w:fldChar w:fldCharType="begin"/>
    </w:r>
    <w:r>
      <w:instrText xml:space="preserve"> PAGE   \* MERGEFORMAT \* MERGEFORMAT </w:instrText>
    </w:r>
    <w:r>
      <w:fldChar w:fldCharType="separate"/>
    </w:r>
    <w:r w:rsidR="00D93F6D">
      <w:rPr>
        <w:noProof/>
      </w:rPr>
      <w:t>156</w:t>
    </w:r>
    <w:r>
      <w:fldChar w:fldCharType="end"/>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B3166" w14:textId="09200CAE" w:rsidR="00E832DC" w:rsidRDefault="00E832DC" w:rsidP="00A9035B">
    <w:pPr>
      <w:pStyle w:val="affff8"/>
    </w:pPr>
    <w:r>
      <w:fldChar w:fldCharType="begin"/>
    </w:r>
    <w:r>
      <w:instrText>PAGE   \* MERGEFORMAT</w:instrText>
    </w:r>
    <w:r>
      <w:fldChar w:fldCharType="separate"/>
    </w:r>
    <w:r w:rsidR="00D93F6D" w:rsidRPr="00D93F6D">
      <w:rPr>
        <w:noProof/>
        <w:lang w:val="zh-CN"/>
      </w:rPr>
      <w:t>155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BEB87A" w14:textId="77777777" w:rsidR="00CA2808" w:rsidRDefault="00CA2808" w:rsidP="00D86DB7">
      <w:r>
        <w:separator/>
      </w:r>
    </w:p>
  </w:footnote>
  <w:footnote w:type="continuationSeparator" w:id="0">
    <w:p w14:paraId="0D0A315E" w14:textId="77777777" w:rsidR="00CA2808" w:rsidRDefault="00CA2808" w:rsidP="00D86DB7">
      <w:r>
        <w:continuationSeparator/>
      </w:r>
    </w:p>
    <w:p w14:paraId="5B149054" w14:textId="77777777" w:rsidR="00CA2808" w:rsidRDefault="00CA2808"/>
    <w:p w14:paraId="3EF1D4A9" w14:textId="77777777" w:rsidR="00CA2808" w:rsidRDefault="00CA280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21A9B3" w14:textId="77777777" w:rsidR="00E832DC" w:rsidRPr="00E70388" w:rsidRDefault="00E832DC" w:rsidP="00617387">
    <w:pPr>
      <w:pStyle w:val="afff9"/>
      <w:wordWrap w:val="0"/>
      <w:jc w:val="right"/>
      <w:rPr>
        <w:rFonts w:ascii="黑体" w:eastAsia="黑体" w:hAnsi="黑体"/>
      </w:rPr>
    </w:pPr>
    <w:r w:rsidRPr="00E70388">
      <w:rPr>
        <w:rFonts w:ascii="黑体" w:eastAsia="黑体" w:hAnsi="黑体"/>
      </w:rPr>
      <w:t>Q/LB.</w:t>
    </w:r>
    <w:r w:rsidRPr="00E70388">
      <w:rPr>
        <w:rFonts w:ascii="黑体" w:eastAsia="黑体" w:hAnsi="黑体" w:hint="eastAsia"/>
      </w:rPr>
      <w:t>□</w:t>
    </w:r>
    <w:r w:rsidRPr="00E70388">
      <w:rPr>
        <w:rFonts w:ascii="黑体" w:eastAsia="黑体" w:hAnsi="黑体"/>
      </w:rPr>
      <w:t>XXXXX-XXXX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54913E" w14:textId="77777777" w:rsidR="00E832DC" w:rsidRPr="00324EDD" w:rsidRDefault="00E832DC" w:rsidP="00E846C8">
    <w:pPr>
      <w:pStyle w:val="afff9"/>
      <w:jc w:val="both"/>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B89B2" w14:textId="21801D64" w:rsidR="00E832DC" w:rsidRPr="00A9035B" w:rsidRDefault="00E832DC" w:rsidP="00A9035B">
    <w:pPr>
      <w:pStyle w:val="afffff1"/>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D69BA" w14:textId="352DA0CE" w:rsidR="00E832DC" w:rsidRPr="00D84FA1" w:rsidRDefault="00E832DC" w:rsidP="00A9035B">
    <w:pPr>
      <w:pStyle w:val="afffff0"/>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D4FBDE" w14:textId="18482685" w:rsidR="00E832DC" w:rsidRPr="00A9035B" w:rsidRDefault="00E832DC" w:rsidP="00A9035B">
    <w:pPr>
      <w:pStyle w:val="afffff1"/>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3D515B" w14:textId="2CD5A6A5" w:rsidR="00E832DC" w:rsidRPr="00D84FA1" w:rsidRDefault="00E832DC" w:rsidP="00A9035B">
    <w:pPr>
      <w:pStyle w:val="afffff0"/>
    </w:pPr>
    <w:r>
      <w:fldChar w:fldCharType="begin"/>
    </w:r>
    <w:r>
      <w:instrText xml:space="preserve"> STYLEREF  标准文件_文件编号  \* MERGEFORMAT </w:instrText>
    </w:r>
    <w:r>
      <w:fldChar w:fldCharType="separate"/>
    </w:r>
    <w:r w:rsidR="00620087">
      <w:t>DB XX/T XXXX</w:t>
    </w:r>
    <w:r w:rsidR="00620087">
      <w:t>—</w:t>
    </w:r>
    <w:r w:rsidR="00620087">
      <w:t>XXXX</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1A142" w14:textId="382CC806" w:rsidR="00E832DC" w:rsidRPr="00A9035B" w:rsidRDefault="00E832DC" w:rsidP="00A9035B">
    <w:pPr>
      <w:pStyle w:val="afffff1"/>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E7FDEB" w14:textId="079D5E17" w:rsidR="00E832DC" w:rsidRPr="00D84FA1" w:rsidRDefault="00E832DC" w:rsidP="00A9035B">
    <w:pPr>
      <w:pStyle w:val="afffff0"/>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ECCD30" w14:textId="09A232D3" w:rsidR="00E832DC" w:rsidRPr="00A9035B" w:rsidRDefault="00E832DC" w:rsidP="00A9035B">
    <w:pPr>
      <w:pStyle w:val="afffff1"/>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A689F" w14:textId="46D2B0BF" w:rsidR="00E832DC" w:rsidRDefault="00E832DC" w:rsidP="00A9035B">
    <w:pPr>
      <w:pStyle w:val="afffff0"/>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6C7C9" w14:textId="47CB91E2" w:rsidR="00E832DC" w:rsidRPr="00A9035B" w:rsidRDefault="00E832DC" w:rsidP="00A9035B">
    <w:pPr>
      <w:pStyle w:val="afffff1"/>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FDEFCD" w14:textId="24D560DB" w:rsidR="00E832DC" w:rsidRDefault="00E832DC" w:rsidP="00A9035B">
    <w:pPr>
      <w:pStyle w:val="afffff0"/>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E0E94D" w14:textId="7A8479A7" w:rsidR="00E832DC" w:rsidRPr="00A9035B" w:rsidRDefault="00E832DC" w:rsidP="00A9035B">
    <w:pPr>
      <w:pStyle w:val="afffff1"/>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1F1C2E" w14:textId="519FDB12" w:rsidR="00E832DC" w:rsidRDefault="00E832DC" w:rsidP="00A9035B">
    <w:pPr>
      <w:pStyle w:val="afffff0"/>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34F66A" w14:textId="26EEBBC0" w:rsidR="00E832DC" w:rsidRPr="00A9035B" w:rsidRDefault="00E832DC" w:rsidP="00A9035B">
    <w:pPr>
      <w:pStyle w:val="afffff1"/>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72335A" w14:textId="1E2399D8" w:rsidR="00E832DC" w:rsidRDefault="00E832DC" w:rsidP="00A9035B">
    <w:pPr>
      <w:pStyle w:val="afffff0"/>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2E8EFF" w14:textId="4980C8C4" w:rsidR="00E832DC" w:rsidRPr="00A9035B" w:rsidRDefault="00E832DC" w:rsidP="00A9035B">
    <w:pPr>
      <w:pStyle w:val="afffff1"/>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6C5CAF" w14:textId="145EDC1C" w:rsidR="00E832DC" w:rsidRDefault="00E832DC" w:rsidP="00A9035B">
    <w:pPr>
      <w:pStyle w:val="afffff0"/>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5BDCBE" w14:textId="206B7D0F" w:rsidR="00E832DC" w:rsidRPr="00A9035B" w:rsidRDefault="00E832DC" w:rsidP="00A9035B">
    <w:pPr>
      <w:pStyle w:val="afffff1"/>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EB83B" w14:textId="06A07B70" w:rsidR="00E832DC" w:rsidRDefault="00E832DC" w:rsidP="00A9035B">
    <w:pPr>
      <w:pStyle w:val="afffff0"/>
    </w:pPr>
    <w:r>
      <w:fldChar w:fldCharType="begin"/>
    </w:r>
    <w:r>
      <w:instrText xml:space="preserve"> STYLEREF  标准文件_文件编号  \* MERGEFORMAT </w:instrText>
    </w:r>
    <w:r>
      <w:fldChar w:fldCharType="separate"/>
    </w:r>
    <w:r w:rsidR="00704EF9">
      <w:t>DB XX/T XXXX</w:t>
    </w:r>
    <w:r w:rsidR="00704EF9">
      <w:t>—</w:t>
    </w:r>
    <w:r w:rsidR="00704EF9">
      <w:t>XXXX</w:t>
    </w:r>
    <w:r>
      <w:fldChar w:fldCharType="end"/>
    </w:r>
    <w:bookmarkStart w:id="3993" w:name="BookMark1"/>
    <w:bookmarkStart w:id="3994" w:name="_Toc174538609"/>
    <w:bookmarkEnd w:id="3993"/>
    <w:bookmarkEnd w:id="399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FFFFFF89"/>
    <w:lvl w:ilvl="0">
      <w:start w:val="1"/>
      <w:numFmt w:val="bullet"/>
      <w:pStyle w:val="a"/>
      <w:lvlText w:val=""/>
      <w:lvlJc w:val="left"/>
      <w:pPr>
        <w:tabs>
          <w:tab w:val="left" w:pos="281"/>
        </w:tabs>
        <w:ind w:left="281" w:hangingChars="200" w:hanging="360"/>
      </w:pPr>
      <w:rPr>
        <w:rFonts w:ascii="Wingdings" w:hAnsi="Wingdings" w:hint="default"/>
      </w:rPr>
    </w:lvl>
  </w:abstractNum>
  <w:abstractNum w:abstractNumId="1" w15:restartNumberingAfterBreak="0">
    <w:nsid w:val="02837933"/>
    <w:multiLevelType w:val="hybridMultilevel"/>
    <w:tmpl w:val="EEE098BC"/>
    <w:lvl w:ilvl="0" w:tplc="313642F2">
      <w:start w:val="1"/>
      <w:numFmt w:val="decimal"/>
      <w:pStyle w:val="a0"/>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2" w15:restartNumberingAfterBreak="0">
    <w:nsid w:val="040A15CD"/>
    <w:multiLevelType w:val="multilevel"/>
    <w:tmpl w:val="764A6A3C"/>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1"/>
      <w:suff w:val="nothing"/>
      <w:lvlText w:val="%1%2.%3　"/>
      <w:lvlJc w:val="left"/>
      <w:pPr>
        <w:ind w:left="0" w:firstLine="0"/>
      </w:pPr>
    </w:lvl>
    <w:lvl w:ilvl="3">
      <w:start w:val="1"/>
      <w:numFmt w:val="decimal"/>
      <w:pStyle w:val="a2"/>
      <w:suff w:val="nothing"/>
      <w:lvlText w:val="%1%2.%3.%4　"/>
      <w:lvlJc w:val="left"/>
      <w:pPr>
        <w:ind w:left="0" w:firstLine="0"/>
      </w:pPr>
    </w:lvl>
    <w:lvl w:ilvl="4">
      <w:start w:val="1"/>
      <w:numFmt w:val="decimal"/>
      <w:pStyle w:val="a3"/>
      <w:suff w:val="nothing"/>
      <w:lvlText w:val="%1%2.%3.%4.%5　"/>
      <w:lvlJc w:val="left"/>
      <w:pPr>
        <w:ind w:left="0" w:firstLine="0"/>
      </w:pPr>
    </w:lvl>
    <w:lvl w:ilvl="5">
      <w:start w:val="1"/>
      <w:numFmt w:val="decimal"/>
      <w:pStyle w:val="a4"/>
      <w:suff w:val="nothing"/>
      <w:lvlText w:val="%1%2.%3.%4.%5.%6　"/>
      <w:lvlJc w:val="left"/>
      <w:pPr>
        <w:ind w:left="0" w:firstLine="0"/>
      </w:pPr>
    </w:lvl>
    <w:lvl w:ilvl="6">
      <w:start w:val="1"/>
      <w:numFmt w:val="decimal"/>
      <w:pStyle w:val="a5"/>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3" w15:restartNumberingAfterBreak="0">
    <w:nsid w:val="079102AD"/>
    <w:multiLevelType w:val="multilevel"/>
    <w:tmpl w:val="03E6F85E"/>
    <w:lvl w:ilvl="0">
      <w:start w:val="1"/>
      <w:numFmt w:val="decimal"/>
      <w:pStyle w:val="a6"/>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4" w15:restartNumberingAfterBreak="0">
    <w:nsid w:val="07ED3FEA"/>
    <w:multiLevelType w:val="multilevel"/>
    <w:tmpl w:val="B484DA86"/>
    <w:lvl w:ilvl="0">
      <w:start w:val="1"/>
      <w:numFmt w:val="none"/>
      <w:pStyle w:val="a7"/>
      <w:lvlText w:val="%1"/>
      <w:lvlJc w:val="left"/>
      <w:pPr>
        <w:ind w:left="425" w:hanging="425"/>
      </w:pPr>
      <w:rPr>
        <w:rFonts w:hint="eastAsia"/>
      </w:rPr>
    </w:lvl>
    <w:lvl w:ilvl="1">
      <w:start w:val="1"/>
      <w:numFmt w:val="decimal"/>
      <w:pStyle w:val="a8"/>
      <w:suff w:val="nothing"/>
      <w:lvlText w:val="%10.%2 "/>
      <w:lvlJc w:val="left"/>
      <w:pPr>
        <w:ind w:left="0" w:firstLine="0"/>
      </w:pPr>
      <w:rPr>
        <w:rFonts w:ascii="黑体" w:eastAsia="黑体" w:hAnsiTheme="minorHAnsi" w:hint="eastAsia"/>
        <w:b w:val="0"/>
        <w:i w:val="0"/>
        <w:sz w:val="21"/>
      </w:rPr>
    </w:lvl>
    <w:lvl w:ilvl="2">
      <w:start w:val="1"/>
      <w:numFmt w:val="decimal"/>
      <w:pStyle w:val="a9"/>
      <w:suff w:val="nothing"/>
      <w:lvlText w:val="%10.%2.%3 "/>
      <w:lvlJc w:val="left"/>
      <w:pPr>
        <w:ind w:left="0" w:firstLine="0"/>
      </w:pPr>
      <w:rPr>
        <w:rFonts w:ascii="黑体" w:eastAsia="黑体" w:hAnsiTheme="minorHAnsi" w:hint="eastAsia"/>
        <w:b w:val="0"/>
        <w:i w:val="0"/>
        <w:sz w:val="21"/>
      </w:rPr>
    </w:lvl>
    <w:lvl w:ilvl="3">
      <w:start w:val="1"/>
      <w:numFmt w:val="decimal"/>
      <w:pStyle w:val="aa"/>
      <w:suff w:val="nothing"/>
      <w:lvlText w:val="%10.%2.%3.%4 "/>
      <w:lvlJc w:val="left"/>
      <w:pPr>
        <w:ind w:left="0" w:firstLine="0"/>
      </w:pPr>
      <w:rPr>
        <w:rFonts w:ascii="黑体" w:eastAsia="黑体" w:hAnsiTheme="minorHAnsi" w:hint="eastAsia"/>
        <w:b w:val="0"/>
        <w:i w:val="0"/>
        <w:sz w:val="21"/>
      </w:rPr>
    </w:lvl>
    <w:lvl w:ilvl="4">
      <w:start w:val="1"/>
      <w:numFmt w:val="decimal"/>
      <w:pStyle w:val="ab"/>
      <w:suff w:val="nothing"/>
      <w:lvlText w:val="%10.%2.%3.%4.%5 "/>
      <w:lvlJc w:val="left"/>
      <w:pPr>
        <w:ind w:left="0" w:firstLine="0"/>
      </w:pPr>
      <w:rPr>
        <w:rFonts w:ascii="黑体" w:eastAsia="黑体" w:hAnsiTheme="minorHAnsi" w:hint="eastAsia"/>
        <w:b w:val="0"/>
        <w:i w:val="0"/>
        <w:sz w:val="21"/>
      </w:rPr>
    </w:lvl>
    <w:lvl w:ilvl="5">
      <w:start w:val="1"/>
      <w:numFmt w:val="decimal"/>
      <w:pStyle w:val="ac"/>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5" w15:restartNumberingAfterBreak="0">
    <w:nsid w:val="0AE367E9"/>
    <w:multiLevelType w:val="multilevel"/>
    <w:tmpl w:val="14788DE8"/>
    <w:lvl w:ilvl="0">
      <w:start w:val="1"/>
      <w:numFmt w:val="none"/>
      <w:pStyle w:val="ad"/>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6" w15:restartNumberingAfterBreak="0">
    <w:nsid w:val="0BDC1670"/>
    <w:multiLevelType w:val="hybridMultilevel"/>
    <w:tmpl w:val="3B1E595C"/>
    <w:lvl w:ilvl="0" w:tplc="AFA24982">
      <w:start w:val="1"/>
      <w:numFmt w:val="decimal"/>
      <w:pStyle w:val="ae"/>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7" w15:restartNumberingAfterBreak="0">
    <w:nsid w:val="0D051F45"/>
    <w:multiLevelType w:val="multilevel"/>
    <w:tmpl w:val="F21CA29A"/>
    <w:lvl w:ilvl="0">
      <w:start w:val="1"/>
      <w:numFmt w:val="lowerRoman"/>
      <w:pStyle w:val="af"/>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8" w15:restartNumberingAfterBreak="0">
    <w:nsid w:val="1AD20F90"/>
    <w:multiLevelType w:val="hybridMultilevel"/>
    <w:tmpl w:val="9F2CF9B2"/>
    <w:lvl w:ilvl="0" w:tplc="2DF45D80">
      <w:start w:val="1"/>
      <w:numFmt w:val="none"/>
      <w:lvlRestart w:val="0"/>
      <w:pStyle w:val="af0"/>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9" w15:restartNumberingAfterBreak="0">
    <w:nsid w:val="1AF15012"/>
    <w:multiLevelType w:val="multilevel"/>
    <w:tmpl w:val="6974EF3C"/>
    <w:lvl w:ilvl="0">
      <w:start w:val="1"/>
      <w:numFmt w:val="upperLetter"/>
      <w:lvlRestart w:val="0"/>
      <w:pStyle w:val="af1"/>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0" w15:restartNumberingAfterBreak="0">
    <w:nsid w:val="1EAA1992"/>
    <w:multiLevelType w:val="multilevel"/>
    <w:tmpl w:val="98C2EE34"/>
    <w:lvl w:ilvl="0">
      <w:start w:val="1"/>
      <w:numFmt w:val="none"/>
      <w:pStyle w:val="af2"/>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1" w15:restartNumberingAfterBreak="0">
    <w:nsid w:val="2C5917C3"/>
    <w:multiLevelType w:val="multilevel"/>
    <w:tmpl w:val="9AFE7BCA"/>
    <w:lvl w:ilvl="0">
      <w:start w:val="1"/>
      <w:numFmt w:val="none"/>
      <w:pStyle w:val="af3"/>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4"/>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2" w15:restartNumberingAfterBreak="0">
    <w:nsid w:val="32F04FB2"/>
    <w:multiLevelType w:val="multilevel"/>
    <w:tmpl w:val="9CE0CC44"/>
    <w:lvl w:ilvl="0">
      <w:start w:val="1"/>
      <w:numFmt w:val="lowerLetter"/>
      <w:pStyle w:val="af5"/>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3" w15:restartNumberingAfterBreak="0">
    <w:nsid w:val="3CEB1A03"/>
    <w:multiLevelType w:val="singleLevel"/>
    <w:tmpl w:val="3CEB1A03"/>
    <w:lvl w:ilvl="0">
      <w:start w:val="1"/>
      <w:numFmt w:val="decimal"/>
      <w:suff w:val="nothing"/>
      <w:lvlText w:val="%1）"/>
      <w:lvlJc w:val="left"/>
    </w:lvl>
  </w:abstractNum>
  <w:abstractNum w:abstractNumId="14" w15:restartNumberingAfterBreak="0">
    <w:nsid w:val="44C50F90"/>
    <w:multiLevelType w:val="multilevel"/>
    <w:tmpl w:val="6F92953E"/>
    <w:lvl w:ilvl="0">
      <w:start w:val="1"/>
      <w:numFmt w:val="lowerLetter"/>
      <w:pStyle w:val="af6"/>
      <w:lvlText w:val="%1)"/>
      <w:lvlJc w:val="left"/>
      <w:pPr>
        <w:tabs>
          <w:tab w:val="num" w:pos="851"/>
        </w:tabs>
        <w:ind w:left="851" w:hanging="426"/>
      </w:pPr>
      <w:rPr>
        <w:rFonts w:ascii="宋体" w:eastAsia="宋体" w:hAnsi="Times New Roman" w:hint="eastAsia"/>
        <w:sz w:val="21"/>
      </w:rPr>
    </w:lvl>
    <w:lvl w:ilvl="1">
      <w:start w:val="1"/>
      <w:numFmt w:val="decimal"/>
      <w:pStyle w:val="af7"/>
      <w:lvlText w:val="%2)"/>
      <w:lvlJc w:val="left"/>
      <w:pPr>
        <w:tabs>
          <w:tab w:val="num" w:pos="1276"/>
        </w:tabs>
        <w:ind w:left="1276" w:hanging="425"/>
      </w:pPr>
      <w:rPr>
        <w:rFonts w:ascii="宋体" w:eastAsia="宋体" w:hAnsi="Times New Roman" w:hint="eastAsia"/>
        <w:sz w:val="21"/>
      </w:rPr>
    </w:lvl>
    <w:lvl w:ilvl="2">
      <w:start w:val="1"/>
      <w:numFmt w:val="decimal"/>
      <w:pStyle w:val="af8"/>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5" w15:restartNumberingAfterBreak="0">
    <w:nsid w:val="48802D1C"/>
    <w:multiLevelType w:val="multilevel"/>
    <w:tmpl w:val="76A4F106"/>
    <w:lvl w:ilvl="0">
      <w:start w:val="1"/>
      <w:numFmt w:val="upperLetter"/>
      <w:pStyle w:val="af9"/>
      <w:lvlText w:val="%1"/>
      <w:lvlJc w:val="left"/>
      <w:pPr>
        <w:ind w:left="420" w:hanging="420"/>
      </w:pPr>
      <w:rPr>
        <w:rFonts w:hint="eastAsia"/>
      </w:rPr>
    </w:lvl>
    <w:lvl w:ilvl="1">
      <w:start w:val="1"/>
      <w:numFmt w:val="decimal"/>
      <w:pStyle w:val="afa"/>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6" w15:restartNumberingAfterBreak="0">
    <w:nsid w:val="4B733A5F"/>
    <w:multiLevelType w:val="multilevel"/>
    <w:tmpl w:val="86DADC0E"/>
    <w:lvl w:ilvl="0">
      <w:start w:val="1"/>
      <w:numFmt w:val="decimal"/>
      <w:lvlRestart w:val="0"/>
      <w:pStyle w:val="afb"/>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7" w15:restartNumberingAfterBreak="0">
    <w:nsid w:val="4E5D0534"/>
    <w:multiLevelType w:val="multilevel"/>
    <w:tmpl w:val="07E64A72"/>
    <w:lvl w:ilvl="0">
      <w:start w:val="1"/>
      <w:numFmt w:val="decimal"/>
      <w:lvlRestart w:val="0"/>
      <w:pStyle w:val="afc"/>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8" w15:restartNumberingAfterBreak="0">
    <w:nsid w:val="54632751"/>
    <w:multiLevelType w:val="multilevel"/>
    <w:tmpl w:val="C58C42CC"/>
    <w:lvl w:ilvl="0">
      <w:start w:val="1"/>
      <w:numFmt w:val="none"/>
      <w:pStyle w:val="afd"/>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19" w15:restartNumberingAfterBreak="0">
    <w:nsid w:val="557C2AF5"/>
    <w:multiLevelType w:val="multilevel"/>
    <w:tmpl w:val="EC7C0D34"/>
    <w:lvl w:ilvl="0">
      <w:start w:val="1"/>
      <w:numFmt w:val="decimal"/>
      <w:lvlRestart w:val="0"/>
      <w:pStyle w:val="afe"/>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20" w15:restartNumberingAfterBreak="0">
    <w:nsid w:val="5603797C"/>
    <w:multiLevelType w:val="multilevel"/>
    <w:tmpl w:val="0CC2F2B8"/>
    <w:lvl w:ilvl="0">
      <w:start w:val="1"/>
      <w:numFmt w:val="upperLetter"/>
      <w:pStyle w:val="aff"/>
      <w:suff w:val="space"/>
      <w:lvlText w:val="%1"/>
      <w:lvlJc w:val="left"/>
      <w:pPr>
        <w:ind w:left="425" w:hanging="425"/>
      </w:pPr>
      <w:rPr>
        <w:rFonts w:hint="eastAsia"/>
      </w:rPr>
    </w:lvl>
    <w:lvl w:ilvl="1">
      <w:start w:val="1"/>
      <w:numFmt w:val="decimal"/>
      <w:pStyle w:val="aff0"/>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1" w15:restartNumberingAfterBreak="0">
    <w:nsid w:val="564D2089"/>
    <w:multiLevelType w:val="hybridMultilevel"/>
    <w:tmpl w:val="DCEC092A"/>
    <w:lvl w:ilvl="0" w:tplc="9878D09C">
      <w:start w:val="1"/>
      <w:numFmt w:val="none"/>
      <w:lvlRestart w:val="0"/>
      <w:pStyle w:val="aff1"/>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2" w15:restartNumberingAfterBreak="0">
    <w:nsid w:val="5AB6397B"/>
    <w:multiLevelType w:val="multilevel"/>
    <w:tmpl w:val="5AB6397B"/>
    <w:lvl w:ilvl="0">
      <w:start w:val="1"/>
      <w:numFmt w:val="lowerLetter"/>
      <w:lvlText w:val="%1)"/>
      <w:lvlJc w:val="left"/>
      <w:pPr>
        <w:tabs>
          <w:tab w:val="left" w:pos="851"/>
        </w:tabs>
        <w:ind w:left="851" w:hanging="426"/>
      </w:pPr>
      <w:rPr>
        <w:rFonts w:hint="eastAsia"/>
        <w:sz w:val="21"/>
      </w:rPr>
    </w:lvl>
    <w:lvl w:ilvl="1">
      <w:start w:val="1"/>
      <w:numFmt w:val="decimal"/>
      <w:lvlText w:val="%2)"/>
      <w:lvlJc w:val="left"/>
      <w:pPr>
        <w:tabs>
          <w:tab w:val="left" w:pos="1276"/>
        </w:tabs>
        <w:ind w:left="1276" w:hanging="425"/>
      </w:pPr>
      <w:rPr>
        <w:rFonts w:ascii="宋体" w:eastAsia="宋体" w:hAnsi="Times New Roman" w:hint="eastAsia"/>
        <w:sz w:val="21"/>
      </w:rPr>
    </w:lvl>
    <w:lvl w:ilvl="2">
      <w:start w:val="1"/>
      <w:numFmt w:val="decimal"/>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23" w15:restartNumberingAfterBreak="0">
    <w:nsid w:val="644622F9"/>
    <w:multiLevelType w:val="multilevel"/>
    <w:tmpl w:val="FE3CC7D6"/>
    <w:lvl w:ilvl="0">
      <w:start w:val="1"/>
      <w:numFmt w:val="upperRoman"/>
      <w:pStyle w:val="aff2"/>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24" w15:restartNumberingAfterBreak="0">
    <w:nsid w:val="646260FA"/>
    <w:multiLevelType w:val="multilevel"/>
    <w:tmpl w:val="70108484"/>
    <w:lvl w:ilvl="0">
      <w:start w:val="1"/>
      <w:numFmt w:val="decimal"/>
      <w:lvlRestart w:val="0"/>
      <w:pStyle w:val="aff3"/>
      <w:suff w:val="nothing"/>
      <w:lvlText w:val="表%1　"/>
      <w:lvlJc w:val="left"/>
      <w:pPr>
        <w:ind w:left="0" w:firstLine="0"/>
      </w:pPr>
      <w:rPr>
        <w:rFonts w:ascii="黑体" w:eastAsia="黑体" w:hAnsi="黑体"/>
        <w:sz w:val="21"/>
        <w:szCs w:val="21"/>
        <w:lang w:val="en-US"/>
      </w:r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5" w15:restartNumberingAfterBreak="0">
    <w:nsid w:val="654A26C9"/>
    <w:multiLevelType w:val="multilevel"/>
    <w:tmpl w:val="8F90FEA6"/>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6" w15:restartNumberingAfterBreak="0">
    <w:nsid w:val="657D3FBC"/>
    <w:multiLevelType w:val="multilevel"/>
    <w:tmpl w:val="D78CB1D2"/>
    <w:lvl w:ilvl="0">
      <w:start w:val="1"/>
      <w:numFmt w:val="upperLetter"/>
      <w:lvlRestart w:val="0"/>
      <w:pStyle w:val="aff4"/>
      <w:suff w:val="nothing"/>
      <w:lvlText w:val="附录%1"/>
      <w:lvlJc w:val="left"/>
      <w:pPr>
        <w:ind w:left="0" w:firstLine="0"/>
      </w:pPr>
      <w:rPr>
        <w:rFonts w:hint="eastAsia"/>
        <w:spacing w:val="100"/>
      </w:rPr>
    </w:lvl>
    <w:lvl w:ilvl="1">
      <w:start w:val="1"/>
      <w:numFmt w:val="decimal"/>
      <w:pStyle w:val="aff5"/>
      <w:suff w:val="nothing"/>
      <w:lvlText w:val="%1.%2　"/>
      <w:lvlJc w:val="left"/>
      <w:pPr>
        <w:ind w:left="0" w:firstLine="0"/>
      </w:pPr>
      <w:rPr>
        <w:rFonts w:ascii="黑体" w:eastAsia="黑体" w:hint="eastAsia"/>
        <w:b w:val="0"/>
        <w:i w:val="0"/>
        <w:sz w:val="21"/>
      </w:rPr>
    </w:lvl>
    <w:lvl w:ilvl="2">
      <w:start w:val="1"/>
      <w:numFmt w:val="decimal"/>
      <w:pStyle w:val="aff6"/>
      <w:suff w:val="nothing"/>
      <w:lvlText w:val="%1.%2.%3　"/>
      <w:lvlJc w:val="left"/>
      <w:pPr>
        <w:ind w:left="0" w:firstLine="0"/>
      </w:pPr>
      <w:rPr>
        <w:rFonts w:ascii="黑体" w:eastAsia="黑体" w:hint="eastAsia"/>
        <w:b w:val="0"/>
        <w:i w:val="0"/>
        <w:sz w:val="21"/>
      </w:rPr>
    </w:lvl>
    <w:lvl w:ilvl="3">
      <w:start w:val="1"/>
      <w:numFmt w:val="decimal"/>
      <w:pStyle w:val="aff7"/>
      <w:suff w:val="nothing"/>
      <w:lvlText w:val="%1.%2.%3.%4　"/>
      <w:lvlJc w:val="left"/>
      <w:pPr>
        <w:ind w:left="0" w:firstLine="0"/>
      </w:pPr>
      <w:rPr>
        <w:rFonts w:ascii="黑体" w:eastAsia="黑体" w:hint="eastAsia"/>
        <w:b w:val="0"/>
        <w:i w:val="0"/>
        <w:sz w:val="21"/>
      </w:rPr>
    </w:lvl>
    <w:lvl w:ilvl="4">
      <w:start w:val="1"/>
      <w:numFmt w:val="decimal"/>
      <w:pStyle w:val="aff8"/>
      <w:suff w:val="nothing"/>
      <w:lvlText w:val="%1.%2.%3.%4.%5　"/>
      <w:lvlJc w:val="left"/>
      <w:pPr>
        <w:ind w:left="0" w:firstLine="0"/>
      </w:pPr>
      <w:rPr>
        <w:rFonts w:ascii="黑体" w:eastAsia="黑体" w:hint="eastAsia"/>
        <w:b w:val="0"/>
        <w:i w:val="0"/>
        <w:sz w:val="21"/>
      </w:rPr>
    </w:lvl>
    <w:lvl w:ilvl="5">
      <w:start w:val="1"/>
      <w:numFmt w:val="decimal"/>
      <w:pStyle w:val="aff9"/>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7" w15:restartNumberingAfterBreak="0">
    <w:nsid w:val="69506ABF"/>
    <w:multiLevelType w:val="multilevel"/>
    <w:tmpl w:val="2C506C96"/>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8" w15:restartNumberingAfterBreak="0">
    <w:nsid w:val="6CA41985"/>
    <w:multiLevelType w:val="hybridMultilevel"/>
    <w:tmpl w:val="D2B86C3E"/>
    <w:lvl w:ilvl="0" w:tplc="621C3562">
      <w:start w:val="1"/>
      <w:numFmt w:val="decimal"/>
      <w:pStyle w:val="affa"/>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9" w15:restartNumberingAfterBreak="0">
    <w:nsid w:val="6CE42AC1"/>
    <w:multiLevelType w:val="hybridMultilevel"/>
    <w:tmpl w:val="F4A640A8"/>
    <w:lvl w:ilvl="0" w:tplc="C0B8CA6E">
      <w:start w:val="1"/>
      <w:numFmt w:val="lowerLetter"/>
      <w:pStyle w:val="affb"/>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15:restartNumberingAfterBreak="0">
    <w:nsid w:val="6CEA2025"/>
    <w:multiLevelType w:val="multilevel"/>
    <w:tmpl w:val="40BCFD1A"/>
    <w:lvl w:ilvl="0">
      <w:start w:val="1"/>
      <w:numFmt w:val="none"/>
      <w:pStyle w:val="affc"/>
      <w:suff w:val="nothing"/>
      <w:lvlText w:val="%1"/>
      <w:lvlJc w:val="left"/>
      <w:pPr>
        <w:ind w:left="0" w:firstLine="0"/>
      </w:pPr>
      <w:rPr>
        <w:rFonts w:hint="eastAsia"/>
      </w:rPr>
    </w:lvl>
    <w:lvl w:ilvl="1">
      <w:start w:val="1"/>
      <w:numFmt w:val="decimal"/>
      <w:pStyle w:val="affd"/>
      <w:suff w:val="nothing"/>
      <w:lvlText w:val="%1%2　"/>
      <w:lvlJc w:val="left"/>
      <w:pPr>
        <w:ind w:left="0" w:firstLine="0"/>
      </w:pPr>
      <w:rPr>
        <w:rFonts w:ascii="黑体" w:eastAsia="黑体" w:hint="eastAsia"/>
        <w:b w:val="0"/>
        <w:i w:val="0"/>
        <w:sz w:val="21"/>
      </w:rPr>
    </w:lvl>
    <w:lvl w:ilvl="2">
      <w:start w:val="1"/>
      <w:numFmt w:val="decimal"/>
      <w:pStyle w:val="affe"/>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22"/>
      <w:suff w:val="nothing"/>
      <w:lvlText w:val="%1%2.%3.%4　"/>
      <w:lvlJc w:val="left"/>
      <w:pPr>
        <w:ind w:left="7089" w:firstLine="0"/>
      </w:pPr>
      <w:rPr>
        <w:rFonts w:ascii="黑体" w:eastAsia="黑体" w:hAnsi="黑体" w:cs="Times New Roman" w:hint="eastAsia"/>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31" w15:restartNumberingAfterBreak="0">
    <w:nsid w:val="6DB05AB9"/>
    <w:multiLevelType w:val="multilevel"/>
    <w:tmpl w:val="6DB05AB9"/>
    <w:lvl w:ilvl="0">
      <w:start w:val="1"/>
      <w:numFmt w:val="lowerLetter"/>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2" w15:restartNumberingAfterBreak="0">
    <w:nsid w:val="6DBF04F4"/>
    <w:multiLevelType w:val="multilevel"/>
    <w:tmpl w:val="898E6EE0"/>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33" w15:restartNumberingAfterBreak="0">
    <w:nsid w:val="6DF35F19"/>
    <w:multiLevelType w:val="multilevel"/>
    <w:tmpl w:val="E60631FC"/>
    <w:lvl w:ilvl="0">
      <w:start w:val="1"/>
      <w:numFmt w:val="decimal"/>
      <w:lvlRestart w:val="0"/>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4" w15:restartNumberingAfterBreak="0">
    <w:nsid w:val="76933334"/>
    <w:multiLevelType w:val="hybridMultilevel"/>
    <w:tmpl w:val="26B44FA2"/>
    <w:lvl w:ilvl="0" w:tplc="11600844">
      <w:start w:val="1"/>
      <w:numFmt w:val="none"/>
      <w:lvlRestart w:val="0"/>
      <w:pStyle w:val="afff4"/>
      <w:lvlText w:val="%1——"/>
      <w:lvlJc w:val="left"/>
      <w:pPr>
        <w:tabs>
          <w:tab w:val="num" w:pos="330"/>
        </w:tabs>
        <w:ind w:left="948" w:hanging="420"/>
      </w:pPr>
    </w:lvl>
    <w:lvl w:ilvl="1" w:tplc="4F444476" w:tentative="1">
      <w:start w:val="1"/>
      <w:numFmt w:val="lowerLetter"/>
      <w:lvlText w:val="%2)"/>
      <w:lvlJc w:val="left"/>
      <w:pPr>
        <w:tabs>
          <w:tab w:val="num" w:pos="840"/>
        </w:tabs>
        <w:ind w:left="840" w:hanging="420"/>
      </w:pPr>
    </w:lvl>
    <w:lvl w:ilvl="2" w:tplc="D6C24CA6" w:tentative="1">
      <w:start w:val="1"/>
      <w:numFmt w:val="lowerRoman"/>
      <w:lvlText w:val="%3."/>
      <w:lvlJc w:val="right"/>
      <w:pPr>
        <w:tabs>
          <w:tab w:val="num" w:pos="1260"/>
        </w:tabs>
        <w:ind w:left="1260" w:hanging="420"/>
      </w:pPr>
    </w:lvl>
    <w:lvl w:ilvl="3" w:tplc="F6A6C12C" w:tentative="1">
      <w:start w:val="1"/>
      <w:numFmt w:val="decimal"/>
      <w:lvlText w:val="%4."/>
      <w:lvlJc w:val="left"/>
      <w:pPr>
        <w:tabs>
          <w:tab w:val="num" w:pos="1680"/>
        </w:tabs>
        <w:ind w:left="1680" w:hanging="420"/>
      </w:pPr>
    </w:lvl>
    <w:lvl w:ilvl="4" w:tplc="29C01676" w:tentative="1">
      <w:start w:val="1"/>
      <w:numFmt w:val="lowerLetter"/>
      <w:lvlText w:val="%5)"/>
      <w:lvlJc w:val="left"/>
      <w:pPr>
        <w:tabs>
          <w:tab w:val="num" w:pos="2100"/>
        </w:tabs>
        <w:ind w:left="2100" w:hanging="420"/>
      </w:pPr>
    </w:lvl>
    <w:lvl w:ilvl="5" w:tplc="F230A71E" w:tentative="1">
      <w:start w:val="1"/>
      <w:numFmt w:val="lowerRoman"/>
      <w:lvlText w:val="%6."/>
      <w:lvlJc w:val="right"/>
      <w:pPr>
        <w:tabs>
          <w:tab w:val="num" w:pos="2520"/>
        </w:tabs>
        <w:ind w:left="2520" w:hanging="420"/>
      </w:pPr>
    </w:lvl>
    <w:lvl w:ilvl="6" w:tplc="BBF66B4A" w:tentative="1">
      <w:start w:val="1"/>
      <w:numFmt w:val="decimal"/>
      <w:lvlText w:val="%7."/>
      <w:lvlJc w:val="left"/>
      <w:pPr>
        <w:tabs>
          <w:tab w:val="num" w:pos="2940"/>
        </w:tabs>
        <w:ind w:left="2940" w:hanging="420"/>
      </w:pPr>
    </w:lvl>
    <w:lvl w:ilvl="7" w:tplc="7D9A10D8" w:tentative="1">
      <w:start w:val="1"/>
      <w:numFmt w:val="lowerLetter"/>
      <w:lvlText w:val="%8)"/>
      <w:lvlJc w:val="left"/>
      <w:pPr>
        <w:tabs>
          <w:tab w:val="num" w:pos="3360"/>
        </w:tabs>
        <w:ind w:left="3360" w:hanging="420"/>
      </w:pPr>
    </w:lvl>
    <w:lvl w:ilvl="8" w:tplc="7A08F11C" w:tentative="1">
      <w:start w:val="1"/>
      <w:numFmt w:val="lowerRoman"/>
      <w:lvlText w:val="%9."/>
      <w:lvlJc w:val="right"/>
      <w:pPr>
        <w:tabs>
          <w:tab w:val="num" w:pos="3780"/>
        </w:tabs>
        <w:ind w:left="3780" w:hanging="420"/>
      </w:pPr>
    </w:lvl>
  </w:abstractNum>
  <w:abstractNum w:abstractNumId="35" w15:restartNumberingAfterBreak="0">
    <w:nsid w:val="77FE1200"/>
    <w:multiLevelType w:val="multilevel"/>
    <w:tmpl w:val="77FE1200"/>
    <w:lvl w:ilvl="0">
      <w:start w:val="1"/>
      <w:numFmt w:val="lowerLetter"/>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num w:numId="1">
    <w:abstractNumId w:val="1"/>
  </w:num>
  <w:num w:numId="2">
    <w:abstractNumId w:val="23"/>
  </w:num>
  <w:num w:numId="3">
    <w:abstractNumId w:val="6"/>
  </w:num>
  <w:num w:numId="4">
    <w:abstractNumId w:val="20"/>
  </w:num>
  <w:num w:numId="5">
    <w:abstractNumId w:val="15"/>
  </w:num>
  <w:num w:numId="6">
    <w:abstractNumId w:val="26"/>
  </w:num>
  <w:num w:numId="7">
    <w:abstractNumId w:val="9"/>
  </w:num>
  <w:num w:numId="8">
    <w:abstractNumId w:val="10"/>
  </w:num>
  <w:num w:numId="9">
    <w:abstractNumId w:val="18"/>
  </w:num>
  <w:num w:numId="10">
    <w:abstractNumId w:val="27"/>
  </w:num>
  <w:num w:numId="11">
    <w:abstractNumId w:val="5"/>
  </w:num>
  <w:num w:numId="12">
    <w:abstractNumId w:val="16"/>
  </w:num>
  <w:num w:numId="13">
    <w:abstractNumId w:val="28"/>
  </w:num>
  <w:num w:numId="14">
    <w:abstractNumId w:val="12"/>
  </w:num>
  <w:num w:numId="15">
    <w:abstractNumId w:val="7"/>
  </w:num>
  <w:num w:numId="16">
    <w:abstractNumId w:val="11"/>
  </w:num>
  <w:num w:numId="17">
    <w:abstractNumId w:val="25"/>
  </w:num>
  <w:num w:numId="18">
    <w:abstractNumId w:val="4"/>
  </w:num>
  <w:num w:numId="19">
    <w:abstractNumId w:val="8"/>
  </w:num>
  <w:num w:numId="20">
    <w:abstractNumId w:val="21"/>
  </w:num>
  <w:num w:numId="21">
    <w:abstractNumId w:val="24"/>
  </w:num>
  <w:num w:numId="22">
    <w:abstractNumId w:val="19"/>
  </w:num>
  <w:num w:numId="23">
    <w:abstractNumId w:val="33"/>
  </w:num>
  <w:num w:numId="24">
    <w:abstractNumId w:val="17"/>
  </w:num>
  <w:num w:numId="25">
    <w:abstractNumId w:val="32"/>
  </w:num>
  <w:num w:numId="26">
    <w:abstractNumId w:val="3"/>
  </w:num>
  <w:num w:numId="27">
    <w:abstractNumId w:val="34"/>
  </w:num>
  <w:num w:numId="28">
    <w:abstractNumId w:val="30"/>
  </w:num>
  <w:num w:numId="29">
    <w:abstractNumId w:val="29"/>
  </w:num>
  <w:num w:numId="30">
    <w:abstractNumId w:val="2"/>
  </w:num>
  <w:num w:numId="31">
    <w:abstractNumId w:val="0"/>
  </w:num>
  <w:num w:numId="32">
    <w:abstractNumId w:val="14"/>
  </w:num>
  <w:num w:numId="33">
    <w:abstractNumId w:val="14"/>
  </w:num>
  <w:num w:numId="34">
    <w:abstractNumId w:val="14"/>
  </w:num>
  <w:num w:numId="35">
    <w:abstractNumId w:val="14"/>
  </w:num>
  <w:num w:numId="36">
    <w:abstractNumId w:val="14"/>
  </w:num>
  <w:num w:numId="37">
    <w:abstractNumId w:val="14"/>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4"/>
  </w:num>
  <w:num w:numId="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3"/>
  </w:num>
  <w:num w:numId="9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abstractNumId w:val="31"/>
  </w:num>
  <w:num w:numId="254">
    <w:abstractNumId w:val="35"/>
  </w:num>
  <w:num w:numId="25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22"/>
  </w:num>
  <w:num w:numId="27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30"/>
    <w:lvlOverride w:ilvl="0">
      <w:startOverride w:val="1"/>
    </w:lvlOverride>
    <w:lvlOverride w:ilvl="1">
      <w:startOverride w:val="4"/>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3">
    <w:abstractNumId w:val="1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hideSpellingErrors/>
  <w:proofState w:spelling="clean"/>
  <w:attachedTemplate r:id="rId1"/>
  <w:stylePaneSortMethod w:val="0000"/>
  <w:documentProtection w:edit="forms" w:enforcement="0"/>
  <w:defaultTabStop w:val="420"/>
  <w:evenAndOddHeaders/>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6C7D"/>
    <w:rsid w:val="0000040A"/>
    <w:rsid w:val="0000064F"/>
    <w:rsid w:val="00000A94"/>
    <w:rsid w:val="00001972"/>
    <w:rsid w:val="00001D9A"/>
    <w:rsid w:val="00006488"/>
    <w:rsid w:val="00007904"/>
    <w:rsid w:val="00007B3A"/>
    <w:rsid w:val="000107E0"/>
    <w:rsid w:val="000110B6"/>
    <w:rsid w:val="00011FDE"/>
    <w:rsid w:val="00012495"/>
    <w:rsid w:val="00012FFD"/>
    <w:rsid w:val="000131E3"/>
    <w:rsid w:val="00014162"/>
    <w:rsid w:val="00014340"/>
    <w:rsid w:val="00016A9C"/>
    <w:rsid w:val="00021F77"/>
    <w:rsid w:val="00022184"/>
    <w:rsid w:val="00022762"/>
    <w:rsid w:val="000238E0"/>
    <w:rsid w:val="000249DB"/>
    <w:rsid w:val="00025599"/>
    <w:rsid w:val="0002595E"/>
    <w:rsid w:val="000303C3"/>
    <w:rsid w:val="000331D3"/>
    <w:rsid w:val="000346A5"/>
    <w:rsid w:val="000359C3"/>
    <w:rsid w:val="00035A7D"/>
    <w:rsid w:val="000365ED"/>
    <w:rsid w:val="00036DBC"/>
    <w:rsid w:val="00040950"/>
    <w:rsid w:val="0004249A"/>
    <w:rsid w:val="00043282"/>
    <w:rsid w:val="00043390"/>
    <w:rsid w:val="00044286"/>
    <w:rsid w:val="00046C07"/>
    <w:rsid w:val="00047F28"/>
    <w:rsid w:val="000503AA"/>
    <w:rsid w:val="000506A1"/>
    <w:rsid w:val="000515DD"/>
    <w:rsid w:val="0005265A"/>
    <w:rsid w:val="000539DD"/>
    <w:rsid w:val="00053BD3"/>
    <w:rsid w:val="000553A7"/>
    <w:rsid w:val="000556ED"/>
    <w:rsid w:val="00055FE2"/>
    <w:rsid w:val="0005616F"/>
    <w:rsid w:val="00060C2E"/>
    <w:rsid w:val="00061033"/>
    <w:rsid w:val="000619E9"/>
    <w:rsid w:val="000622D4"/>
    <w:rsid w:val="0006357D"/>
    <w:rsid w:val="00067F1E"/>
    <w:rsid w:val="00071CC0"/>
    <w:rsid w:val="00073C8C"/>
    <w:rsid w:val="00077B64"/>
    <w:rsid w:val="00080A1C"/>
    <w:rsid w:val="00082317"/>
    <w:rsid w:val="00083D2C"/>
    <w:rsid w:val="00084098"/>
    <w:rsid w:val="00086AA1"/>
    <w:rsid w:val="00087A77"/>
    <w:rsid w:val="00090CA6"/>
    <w:rsid w:val="00092057"/>
    <w:rsid w:val="00092B8A"/>
    <w:rsid w:val="00092FB0"/>
    <w:rsid w:val="000934C5"/>
    <w:rsid w:val="00093D25"/>
    <w:rsid w:val="00093DAB"/>
    <w:rsid w:val="00094040"/>
    <w:rsid w:val="00094D73"/>
    <w:rsid w:val="00095B0A"/>
    <w:rsid w:val="00096D63"/>
    <w:rsid w:val="00097176"/>
    <w:rsid w:val="00097C78"/>
    <w:rsid w:val="000A0B60"/>
    <w:rsid w:val="000A0EB8"/>
    <w:rsid w:val="000A19FC"/>
    <w:rsid w:val="000A25B9"/>
    <w:rsid w:val="000A296B"/>
    <w:rsid w:val="000A49D1"/>
    <w:rsid w:val="000A5A1C"/>
    <w:rsid w:val="000A7311"/>
    <w:rsid w:val="000B060F"/>
    <w:rsid w:val="000B1592"/>
    <w:rsid w:val="000B1FF2"/>
    <w:rsid w:val="000B3CDA"/>
    <w:rsid w:val="000B3D74"/>
    <w:rsid w:val="000B60A3"/>
    <w:rsid w:val="000B6A0B"/>
    <w:rsid w:val="000C0F6C"/>
    <w:rsid w:val="000C11DB"/>
    <w:rsid w:val="000C1492"/>
    <w:rsid w:val="000C1C5D"/>
    <w:rsid w:val="000C2FBD"/>
    <w:rsid w:val="000C3C4D"/>
    <w:rsid w:val="000C4B41"/>
    <w:rsid w:val="000C57D6"/>
    <w:rsid w:val="000C6362"/>
    <w:rsid w:val="000C7666"/>
    <w:rsid w:val="000D0A9C"/>
    <w:rsid w:val="000D1795"/>
    <w:rsid w:val="000D329A"/>
    <w:rsid w:val="000D4B9C"/>
    <w:rsid w:val="000D4EB6"/>
    <w:rsid w:val="000D53C5"/>
    <w:rsid w:val="000D553E"/>
    <w:rsid w:val="000D5DCB"/>
    <w:rsid w:val="000D753B"/>
    <w:rsid w:val="000E44B6"/>
    <w:rsid w:val="000E4C9E"/>
    <w:rsid w:val="000E6FD7"/>
    <w:rsid w:val="000E7B78"/>
    <w:rsid w:val="000F06E1"/>
    <w:rsid w:val="000F0E3C"/>
    <w:rsid w:val="000F19D5"/>
    <w:rsid w:val="000F4611"/>
    <w:rsid w:val="000F4AEA"/>
    <w:rsid w:val="000F633F"/>
    <w:rsid w:val="000F67E9"/>
    <w:rsid w:val="000F6E0A"/>
    <w:rsid w:val="0010053A"/>
    <w:rsid w:val="00104926"/>
    <w:rsid w:val="0011242F"/>
    <w:rsid w:val="001136CC"/>
    <w:rsid w:val="001136F1"/>
    <w:rsid w:val="00113B1E"/>
    <w:rsid w:val="0011711C"/>
    <w:rsid w:val="0012059C"/>
    <w:rsid w:val="001208F3"/>
    <w:rsid w:val="0012325A"/>
    <w:rsid w:val="00124E4F"/>
    <w:rsid w:val="00125F6C"/>
    <w:rsid w:val="001260B7"/>
    <w:rsid w:val="001265CB"/>
    <w:rsid w:val="001321C6"/>
    <w:rsid w:val="001325C4"/>
    <w:rsid w:val="00133010"/>
    <w:rsid w:val="001338EE"/>
    <w:rsid w:val="00133AAE"/>
    <w:rsid w:val="00135323"/>
    <w:rsid w:val="001356C4"/>
    <w:rsid w:val="00141114"/>
    <w:rsid w:val="00141503"/>
    <w:rsid w:val="001417D5"/>
    <w:rsid w:val="00142969"/>
    <w:rsid w:val="00143565"/>
    <w:rsid w:val="001446C2"/>
    <w:rsid w:val="001457E7"/>
    <w:rsid w:val="00145D9D"/>
    <w:rsid w:val="00146388"/>
    <w:rsid w:val="001529E5"/>
    <w:rsid w:val="00153C7E"/>
    <w:rsid w:val="00154761"/>
    <w:rsid w:val="001556D2"/>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67951"/>
    <w:rsid w:val="00167E6B"/>
    <w:rsid w:val="00170804"/>
    <w:rsid w:val="001708E9"/>
    <w:rsid w:val="0017340B"/>
    <w:rsid w:val="001738FB"/>
    <w:rsid w:val="00173FB1"/>
    <w:rsid w:val="00176B44"/>
    <w:rsid w:val="00176DFD"/>
    <w:rsid w:val="001775FA"/>
    <w:rsid w:val="00180FDA"/>
    <w:rsid w:val="00183236"/>
    <w:rsid w:val="001852C9"/>
    <w:rsid w:val="00186536"/>
    <w:rsid w:val="00190087"/>
    <w:rsid w:val="001913C4"/>
    <w:rsid w:val="0019348F"/>
    <w:rsid w:val="00193A07"/>
    <w:rsid w:val="00194C95"/>
    <w:rsid w:val="00195C34"/>
    <w:rsid w:val="00196EF5"/>
    <w:rsid w:val="001A01EA"/>
    <w:rsid w:val="001A029F"/>
    <w:rsid w:val="001A09EA"/>
    <w:rsid w:val="001A1A53"/>
    <w:rsid w:val="001A234A"/>
    <w:rsid w:val="001A2809"/>
    <w:rsid w:val="001A38BE"/>
    <w:rsid w:val="001A4410"/>
    <w:rsid w:val="001A4CF3"/>
    <w:rsid w:val="001B06E8"/>
    <w:rsid w:val="001B264E"/>
    <w:rsid w:val="001B5BEA"/>
    <w:rsid w:val="001B71D0"/>
    <w:rsid w:val="001B71EE"/>
    <w:rsid w:val="001B759C"/>
    <w:rsid w:val="001B781C"/>
    <w:rsid w:val="001C04A8"/>
    <w:rsid w:val="001C1F75"/>
    <w:rsid w:val="001C2C03"/>
    <w:rsid w:val="001C42F7"/>
    <w:rsid w:val="001C49E5"/>
    <w:rsid w:val="001C680C"/>
    <w:rsid w:val="001C7E32"/>
    <w:rsid w:val="001C7FEA"/>
    <w:rsid w:val="001D0499"/>
    <w:rsid w:val="001D0BBE"/>
    <w:rsid w:val="001D0ED4"/>
    <w:rsid w:val="001D212F"/>
    <w:rsid w:val="001D29D7"/>
    <w:rsid w:val="001D2DE7"/>
    <w:rsid w:val="001D411C"/>
    <w:rsid w:val="001D453C"/>
    <w:rsid w:val="001D75D5"/>
    <w:rsid w:val="001E1B6A"/>
    <w:rsid w:val="001E2484"/>
    <w:rsid w:val="001E32B7"/>
    <w:rsid w:val="001E3CC4"/>
    <w:rsid w:val="001E4882"/>
    <w:rsid w:val="001E4FBA"/>
    <w:rsid w:val="001E73AB"/>
    <w:rsid w:val="001E7FCB"/>
    <w:rsid w:val="001F092D"/>
    <w:rsid w:val="001F143A"/>
    <w:rsid w:val="001F1605"/>
    <w:rsid w:val="001F1DAC"/>
    <w:rsid w:val="001F2508"/>
    <w:rsid w:val="001F2A5F"/>
    <w:rsid w:val="001F3336"/>
    <w:rsid w:val="001F3779"/>
    <w:rsid w:val="001F4816"/>
    <w:rsid w:val="001F4EE9"/>
    <w:rsid w:val="001F69B4"/>
    <w:rsid w:val="001F77C7"/>
    <w:rsid w:val="00200183"/>
    <w:rsid w:val="00200333"/>
    <w:rsid w:val="002005CF"/>
    <w:rsid w:val="0020107D"/>
    <w:rsid w:val="00202AA4"/>
    <w:rsid w:val="002031F7"/>
    <w:rsid w:val="002040E6"/>
    <w:rsid w:val="00204DCC"/>
    <w:rsid w:val="0020527B"/>
    <w:rsid w:val="00205F2C"/>
    <w:rsid w:val="00210B15"/>
    <w:rsid w:val="002142EA"/>
    <w:rsid w:val="002204BB"/>
    <w:rsid w:val="00221B79"/>
    <w:rsid w:val="00221C6B"/>
    <w:rsid w:val="00221D7B"/>
    <w:rsid w:val="00222DA8"/>
    <w:rsid w:val="002253A1"/>
    <w:rsid w:val="00225CF8"/>
    <w:rsid w:val="0022794E"/>
    <w:rsid w:val="00233D64"/>
    <w:rsid w:val="0023482A"/>
    <w:rsid w:val="00235309"/>
    <w:rsid w:val="002359CB"/>
    <w:rsid w:val="002367E3"/>
    <w:rsid w:val="00243540"/>
    <w:rsid w:val="0024497B"/>
    <w:rsid w:val="0024515B"/>
    <w:rsid w:val="00245573"/>
    <w:rsid w:val="00246021"/>
    <w:rsid w:val="0024666E"/>
    <w:rsid w:val="00247D5A"/>
    <w:rsid w:val="00247F52"/>
    <w:rsid w:val="00250B25"/>
    <w:rsid w:val="00250BBE"/>
    <w:rsid w:val="002515C2"/>
    <w:rsid w:val="0025194F"/>
    <w:rsid w:val="00256CEF"/>
    <w:rsid w:val="0026148A"/>
    <w:rsid w:val="00262696"/>
    <w:rsid w:val="00263D25"/>
    <w:rsid w:val="002643C3"/>
    <w:rsid w:val="00264A0C"/>
    <w:rsid w:val="00266EEB"/>
    <w:rsid w:val="00267096"/>
    <w:rsid w:val="00267EF4"/>
    <w:rsid w:val="00270CB8"/>
    <w:rsid w:val="00272B08"/>
    <w:rsid w:val="002730F6"/>
    <w:rsid w:val="002738C9"/>
    <w:rsid w:val="00273F41"/>
    <w:rsid w:val="002771AC"/>
    <w:rsid w:val="00280568"/>
    <w:rsid w:val="002808D3"/>
    <w:rsid w:val="00281BB8"/>
    <w:rsid w:val="00281E9E"/>
    <w:rsid w:val="00282405"/>
    <w:rsid w:val="00284BAF"/>
    <w:rsid w:val="00285170"/>
    <w:rsid w:val="00285361"/>
    <w:rsid w:val="002915F8"/>
    <w:rsid w:val="00291C73"/>
    <w:rsid w:val="00292D60"/>
    <w:rsid w:val="0029377E"/>
    <w:rsid w:val="00293B30"/>
    <w:rsid w:val="00293BB7"/>
    <w:rsid w:val="002946BB"/>
    <w:rsid w:val="00294D34"/>
    <w:rsid w:val="00294E3B"/>
    <w:rsid w:val="00295B3A"/>
    <w:rsid w:val="00296193"/>
    <w:rsid w:val="00296C66"/>
    <w:rsid w:val="00296EBE"/>
    <w:rsid w:val="002974E3"/>
    <w:rsid w:val="00297A5D"/>
    <w:rsid w:val="002A084B"/>
    <w:rsid w:val="002A1260"/>
    <w:rsid w:val="002A1589"/>
    <w:rsid w:val="002A1608"/>
    <w:rsid w:val="002A25DC"/>
    <w:rsid w:val="002A34D0"/>
    <w:rsid w:val="002A3AAB"/>
    <w:rsid w:val="002A4CEA"/>
    <w:rsid w:val="002A5977"/>
    <w:rsid w:val="002A5A13"/>
    <w:rsid w:val="002A6FA2"/>
    <w:rsid w:val="002A757F"/>
    <w:rsid w:val="002A7F44"/>
    <w:rsid w:val="002B048D"/>
    <w:rsid w:val="002B0C40"/>
    <w:rsid w:val="002B1966"/>
    <w:rsid w:val="002B1C8A"/>
    <w:rsid w:val="002B3B2D"/>
    <w:rsid w:val="002B4508"/>
    <w:rsid w:val="002B5779"/>
    <w:rsid w:val="002B7332"/>
    <w:rsid w:val="002B7AD4"/>
    <w:rsid w:val="002B7F51"/>
    <w:rsid w:val="002C09E7"/>
    <w:rsid w:val="002C1E06"/>
    <w:rsid w:val="002C1E1C"/>
    <w:rsid w:val="002C3F07"/>
    <w:rsid w:val="002C440B"/>
    <w:rsid w:val="002C5278"/>
    <w:rsid w:val="002C57D1"/>
    <w:rsid w:val="002C6609"/>
    <w:rsid w:val="002C7503"/>
    <w:rsid w:val="002C7EBB"/>
    <w:rsid w:val="002D06C1"/>
    <w:rsid w:val="002D134C"/>
    <w:rsid w:val="002D42B5"/>
    <w:rsid w:val="002D4F1A"/>
    <w:rsid w:val="002D6EC6"/>
    <w:rsid w:val="002D79AC"/>
    <w:rsid w:val="002E039D"/>
    <w:rsid w:val="002E176D"/>
    <w:rsid w:val="002E4D5A"/>
    <w:rsid w:val="002E5283"/>
    <w:rsid w:val="002E6326"/>
    <w:rsid w:val="002E6631"/>
    <w:rsid w:val="002E7235"/>
    <w:rsid w:val="002F0DDA"/>
    <w:rsid w:val="002F187A"/>
    <w:rsid w:val="002F30E0"/>
    <w:rsid w:val="002F35E4"/>
    <w:rsid w:val="002F3730"/>
    <w:rsid w:val="002F38E1"/>
    <w:rsid w:val="002F69F2"/>
    <w:rsid w:val="002F7AF6"/>
    <w:rsid w:val="00300E63"/>
    <w:rsid w:val="00302DDA"/>
    <w:rsid w:val="00302F5F"/>
    <w:rsid w:val="0030441D"/>
    <w:rsid w:val="0030490B"/>
    <w:rsid w:val="00306063"/>
    <w:rsid w:val="003131F6"/>
    <w:rsid w:val="00313B85"/>
    <w:rsid w:val="00313E0E"/>
    <w:rsid w:val="0031601C"/>
    <w:rsid w:val="00317988"/>
    <w:rsid w:val="00317C3A"/>
    <w:rsid w:val="0032077D"/>
    <w:rsid w:val="00321DD6"/>
    <w:rsid w:val="00321FB2"/>
    <w:rsid w:val="003221B4"/>
    <w:rsid w:val="0032258D"/>
    <w:rsid w:val="00322E62"/>
    <w:rsid w:val="00324D13"/>
    <w:rsid w:val="00324D2A"/>
    <w:rsid w:val="00324EDD"/>
    <w:rsid w:val="00327039"/>
    <w:rsid w:val="00331E9D"/>
    <w:rsid w:val="003331E4"/>
    <w:rsid w:val="003334F3"/>
    <w:rsid w:val="00333844"/>
    <w:rsid w:val="0033483B"/>
    <w:rsid w:val="00335149"/>
    <w:rsid w:val="00336524"/>
    <w:rsid w:val="00336C64"/>
    <w:rsid w:val="00337162"/>
    <w:rsid w:val="00337BF1"/>
    <w:rsid w:val="0034194F"/>
    <w:rsid w:val="00344605"/>
    <w:rsid w:val="00346626"/>
    <w:rsid w:val="003474AA"/>
    <w:rsid w:val="00350D1D"/>
    <w:rsid w:val="00352C83"/>
    <w:rsid w:val="00357519"/>
    <w:rsid w:val="003615D2"/>
    <w:rsid w:val="0036429C"/>
    <w:rsid w:val="003646BD"/>
    <w:rsid w:val="00364A53"/>
    <w:rsid w:val="00364B56"/>
    <w:rsid w:val="003654CB"/>
    <w:rsid w:val="00365AA9"/>
    <w:rsid w:val="00365F86"/>
    <w:rsid w:val="00365F87"/>
    <w:rsid w:val="00366724"/>
    <w:rsid w:val="00366E89"/>
    <w:rsid w:val="003705F4"/>
    <w:rsid w:val="00370B22"/>
    <w:rsid w:val="00370D58"/>
    <w:rsid w:val="00371316"/>
    <w:rsid w:val="00373D86"/>
    <w:rsid w:val="00376713"/>
    <w:rsid w:val="00376FE6"/>
    <w:rsid w:val="00381815"/>
    <w:rsid w:val="003819AF"/>
    <w:rsid w:val="003820E9"/>
    <w:rsid w:val="00382DE7"/>
    <w:rsid w:val="0038415A"/>
    <w:rsid w:val="00384856"/>
    <w:rsid w:val="00384FFC"/>
    <w:rsid w:val="0038548C"/>
    <w:rsid w:val="00385C84"/>
    <w:rsid w:val="003872FC"/>
    <w:rsid w:val="00387ADC"/>
    <w:rsid w:val="00390020"/>
    <w:rsid w:val="003903D6"/>
    <w:rsid w:val="00390EE6"/>
    <w:rsid w:val="0039118F"/>
    <w:rsid w:val="00392AD7"/>
    <w:rsid w:val="0039349C"/>
    <w:rsid w:val="003938D9"/>
    <w:rsid w:val="00394376"/>
    <w:rsid w:val="003943FF"/>
    <w:rsid w:val="00395700"/>
    <w:rsid w:val="00395AD0"/>
    <w:rsid w:val="00396CC5"/>
    <w:rsid w:val="00396F4E"/>
    <w:rsid w:val="003974EB"/>
    <w:rsid w:val="00397A07"/>
    <w:rsid w:val="00397CC5"/>
    <w:rsid w:val="00397FB6"/>
    <w:rsid w:val="003A0BCE"/>
    <w:rsid w:val="003A1582"/>
    <w:rsid w:val="003A2FC9"/>
    <w:rsid w:val="003A4077"/>
    <w:rsid w:val="003A5B26"/>
    <w:rsid w:val="003B09AD"/>
    <w:rsid w:val="003B1F18"/>
    <w:rsid w:val="003B240D"/>
    <w:rsid w:val="003B5BF0"/>
    <w:rsid w:val="003B60BF"/>
    <w:rsid w:val="003B6BE3"/>
    <w:rsid w:val="003C010C"/>
    <w:rsid w:val="003C0A6C"/>
    <w:rsid w:val="003C0B86"/>
    <w:rsid w:val="003C14F8"/>
    <w:rsid w:val="003C5A43"/>
    <w:rsid w:val="003C5FDC"/>
    <w:rsid w:val="003C6AAF"/>
    <w:rsid w:val="003C7309"/>
    <w:rsid w:val="003D0519"/>
    <w:rsid w:val="003D0FF6"/>
    <w:rsid w:val="003D262C"/>
    <w:rsid w:val="003D3FE2"/>
    <w:rsid w:val="003D58AF"/>
    <w:rsid w:val="003D65EE"/>
    <w:rsid w:val="003D6D61"/>
    <w:rsid w:val="003D79C6"/>
    <w:rsid w:val="003E091D"/>
    <w:rsid w:val="003E1C53"/>
    <w:rsid w:val="003E2A69"/>
    <w:rsid w:val="003E2D49"/>
    <w:rsid w:val="003E2FD4"/>
    <w:rsid w:val="003E49F6"/>
    <w:rsid w:val="003E4AF7"/>
    <w:rsid w:val="003E5063"/>
    <w:rsid w:val="003E660F"/>
    <w:rsid w:val="003F0841"/>
    <w:rsid w:val="003F23D3"/>
    <w:rsid w:val="003F3F08"/>
    <w:rsid w:val="003F49F1"/>
    <w:rsid w:val="003F6272"/>
    <w:rsid w:val="00400E72"/>
    <w:rsid w:val="00401400"/>
    <w:rsid w:val="00402877"/>
    <w:rsid w:val="0040330F"/>
    <w:rsid w:val="00404869"/>
    <w:rsid w:val="00404F45"/>
    <w:rsid w:val="00405884"/>
    <w:rsid w:val="00407D39"/>
    <w:rsid w:val="00411BDE"/>
    <w:rsid w:val="004124F3"/>
    <w:rsid w:val="00413C0B"/>
    <w:rsid w:val="0041477A"/>
    <w:rsid w:val="004167A3"/>
    <w:rsid w:val="00416CC2"/>
    <w:rsid w:val="0041785D"/>
    <w:rsid w:val="00422FBC"/>
    <w:rsid w:val="00423EA3"/>
    <w:rsid w:val="00426450"/>
    <w:rsid w:val="0043200B"/>
    <w:rsid w:val="004320E0"/>
    <w:rsid w:val="00432108"/>
    <w:rsid w:val="00432DAA"/>
    <w:rsid w:val="00434305"/>
    <w:rsid w:val="00435DF7"/>
    <w:rsid w:val="004361F8"/>
    <w:rsid w:val="0044083F"/>
    <w:rsid w:val="00441AE7"/>
    <w:rsid w:val="00444A0B"/>
    <w:rsid w:val="00445574"/>
    <w:rsid w:val="004460F0"/>
    <w:rsid w:val="004467FB"/>
    <w:rsid w:val="00452D6B"/>
    <w:rsid w:val="00453DBE"/>
    <w:rsid w:val="00454484"/>
    <w:rsid w:val="0045517B"/>
    <w:rsid w:val="0045705A"/>
    <w:rsid w:val="0046076C"/>
    <w:rsid w:val="00460F76"/>
    <w:rsid w:val="00463B77"/>
    <w:rsid w:val="00463C7B"/>
    <w:rsid w:val="0046439B"/>
    <w:rsid w:val="004644A6"/>
    <w:rsid w:val="004659BD"/>
    <w:rsid w:val="00467942"/>
    <w:rsid w:val="00470428"/>
    <w:rsid w:val="00470775"/>
    <w:rsid w:val="00471F7D"/>
    <w:rsid w:val="00474226"/>
    <w:rsid w:val="004746B1"/>
    <w:rsid w:val="0047583F"/>
    <w:rsid w:val="00475DE8"/>
    <w:rsid w:val="00481B19"/>
    <w:rsid w:val="00481C44"/>
    <w:rsid w:val="004835CC"/>
    <w:rsid w:val="00484936"/>
    <w:rsid w:val="0048523A"/>
    <w:rsid w:val="00485C89"/>
    <w:rsid w:val="00486BE3"/>
    <w:rsid w:val="004905E4"/>
    <w:rsid w:val="00490A89"/>
    <w:rsid w:val="00490AB4"/>
    <w:rsid w:val="00492F02"/>
    <w:rsid w:val="004939AE"/>
    <w:rsid w:val="00495853"/>
    <w:rsid w:val="0049668C"/>
    <w:rsid w:val="00497E85"/>
    <w:rsid w:val="004A12DF"/>
    <w:rsid w:val="004A17E6"/>
    <w:rsid w:val="004A1BA8"/>
    <w:rsid w:val="004A2852"/>
    <w:rsid w:val="004A348A"/>
    <w:rsid w:val="004A4B57"/>
    <w:rsid w:val="004A63FA"/>
    <w:rsid w:val="004A7631"/>
    <w:rsid w:val="004B0272"/>
    <w:rsid w:val="004B2701"/>
    <w:rsid w:val="004B2E1B"/>
    <w:rsid w:val="004B2E6C"/>
    <w:rsid w:val="004B3AA8"/>
    <w:rsid w:val="004B3E93"/>
    <w:rsid w:val="004C1FBC"/>
    <w:rsid w:val="004C3F1D"/>
    <w:rsid w:val="004C458D"/>
    <w:rsid w:val="004C6B1A"/>
    <w:rsid w:val="004C7556"/>
    <w:rsid w:val="004C79AE"/>
    <w:rsid w:val="004C7E8B"/>
    <w:rsid w:val="004C7E9D"/>
    <w:rsid w:val="004C7F67"/>
    <w:rsid w:val="004D076D"/>
    <w:rsid w:val="004D0EF1"/>
    <w:rsid w:val="004D2253"/>
    <w:rsid w:val="004D4406"/>
    <w:rsid w:val="004D7C42"/>
    <w:rsid w:val="004E0465"/>
    <w:rsid w:val="004E1023"/>
    <w:rsid w:val="004E127B"/>
    <w:rsid w:val="004E1C0A"/>
    <w:rsid w:val="004E2B06"/>
    <w:rsid w:val="004E30C5"/>
    <w:rsid w:val="004E34FD"/>
    <w:rsid w:val="004E4AA5"/>
    <w:rsid w:val="004E4AEE"/>
    <w:rsid w:val="004E59E3"/>
    <w:rsid w:val="004E5F93"/>
    <w:rsid w:val="004E67C0"/>
    <w:rsid w:val="004F391A"/>
    <w:rsid w:val="004F3CFB"/>
    <w:rsid w:val="004F4A70"/>
    <w:rsid w:val="004F584C"/>
    <w:rsid w:val="004F6456"/>
    <w:rsid w:val="004F696E"/>
    <w:rsid w:val="004F6C71"/>
    <w:rsid w:val="00501139"/>
    <w:rsid w:val="00501F35"/>
    <w:rsid w:val="00502369"/>
    <w:rsid w:val="00502904"/>
    <w:rsid w:val="00502B19"/>
    <w:rsid w:val="0050363E"/>
    <w:rsid w:val="005039BC"/>
    <w:rsid w:val="0050412D"/>
    <w:rsid w:val="005043BB"/>
    <w:rsid w:val="00504A3D"/>
    <w:rsid w:val="00504A9A"/>
    <w:rsid w:val="00505767"/>
    <w:rsid w:val="005073F0"/>
    <w:rsid w:val="00510A7B"/>
    <w:rsid w:val="00512F6E"/>
    <w:rsid w:val="00513038"/>
    <w:rsid w:val="005135DB"/>
    <w:rsid w:val="00514174"/>
    <w:rsid w:val="00514385"/>
    <w:rsid w:val="00516088"/>
    <w:rsid w:val="0051614F"/>
    <w:rsid w:val="0051636C"/>
    <w:rsid w:val="00516B0B"/>
    <w:rsid w:val="005220EC"/>
    <w:rsid w:val="00523787"/>
    <w:rsid w:val="00523F95"/>
    <w:rsid w:val="00524D65"/>
    <w:rsid w:val="00525B16"/>
    <w:rsid w:val="00533D04"/>
    <w:rsid w:val="00534804"/>
    <w:rsid w:val="00534BDF"/>
    <w:rsid w:val="005354EA"/>
    <w:rsid w:val="0053585F"/>
    <w:rsid w:val="00535EC4"/>
    <w:rsid w:val="00535ED9"/>
    <w:rsid w:val="005364A6"/>
    <w:rsid w:val="0053692B"/>
    <w:rsid w:val="0054051D"/>
    <w:rsid w:val="00541853"/>
    <w:rsid w:val="00541CF1"/>
    <w:rsid w:val="00543BDA"/>
    <w:rsid w:val="005441CC"/>
    <w:rsid w:val="005479DA"/>
    <w:rsid w:val="00547BCC"/>
    <w:rsid w:val="00550008"/>
    <w:rsid w:val="0055013B"/>
    <w:rsid w:val="00550A4A"/>
    <w:rsid w:val="00551F6F"/>
    <w:rsid w:val="00552DCE"/>
    <w:rsid w:val="00555044"/>
    <w:rsid w:val="00557B8A"/>
    <w:rsid w:val="0056112F"/>
    <w:rsid w:val="00561475"/>
    <w:rsid w:val="005631E6"/>
    <w:rsid w:val="0056487B"/>
    <w:rsid w:val="00564FB9"/>
    <w:rsid w:val="00565B34"/>
    <w:rsid w:val="00567AB2"/>
    <w:rsid w:val="0057104A"/>
    <w:rsid w:val="005714B3"/>
    <w:rsid w:val="005716E4"/>
    <w:rsid w:val="00573D9E"/>
    <w:rsid w:val="005801E3"/>
    <w:rsid w:val="00581802"/>
    <w:rsid w:val="005836A8"/>
    <w:rsid w:val="00583724"/>
    <w:rsid w:val="0058409C"/>
    <w:rsid w:val="00584262"/>
    <w:rsid w:val="005860B9"/>
    <w:rsid w:val="00586630"/>
    <w:rsid w:val="00587ADD"/>
    <w:rsid w:val="00590DD4"/>
    <w:rsid w:val="00591E27"/>
    <w:rsid w:val="00592AA8"/>
    <w:rsid w:val="00595535"/>
    <w:rsid w:val="00596160"/>
    <w:rsid w:val="005966E2"/>
    <w:rsid w:val="00597007"/>
    <w:rsid w:val="005974FC"/>
    <w:rsid w:val="005A0966"/>
    <w:rsid w:val="005A11B7"/>
    <w:rsid w:val="005A260B"/>
    <w:rsid w:val="005A4A1B"/>
    <w:rsid w:val="005A7830"/>
    <w:rsid w:val="005A7FCE"/>
    <w:rsid w:val="005B0AFD"/>
    <w:rsid w:val="005B0F3F"/>
    <w:rsid w:val="005B1954"/>
    <w:rsid w:val="005B4903"/>
    <w:rsid w:val="005B51CE"/>
    <w:rsid w:val="005B5885"/>
    <w:rsid w:val="005B5CD7"/>
    <w:rsid w:val="005B6CF6"/>
    <w:rsid w:val="005B7422"/>
    <w:rsid w:val="005C23A1"/>
    <w:rsid w:val="005C29B8"/>
    <w:rsid w:val="005C332B"/>
    <w:rsid w:val="005C5F21"/>
    <w:rsid w:val="005C7156"/>
    <w:rsid w:val="005D0C75"/>
    <w:rsid w:val="005D2978"/>
    <w:rsid w:val="005D4171"/>
    <w:rsid w:val="005D4937"/>
    <w:rsid w:val="005D4D17"/>
    <w:rsid w:val="005D6A95"/>
    <w:rsid w:val="005D6B2C"/>
    <w:rsid w:val="005D6D9C"/>
    <w:rsid w:val="005E2335"/>
    <w:rsid w:val="005E34CA"/>
    <w:rsid w:val="005E3C18"/>
    <w:rsid w:val="005E6812"/>
    <w:rsid w:val="005E7881"/>
    <w:rsid w:val="005E78E0"/>
    <w:rsid w:val="005F0C2A"/>
    <w:rsid w:val="005F0D9C"/>
    <w:rsid w:val="005F284E"/>
    <w:rsid w:val="005F3B71"/>
    <w:rsid w:val="005F4712"/>
    <w:rsid w:val="005F69EA"/>
    <w:rsid w:val="005F7661"/>
    <w:rsid w:val="006015CE"/>
    <w:rsid w:val="006023CE"/>
    <w:rsid w:val="00604784"/>
    <w:rsid w:val="00606419"/>
    <w:rsid w:val="00607D29"/>
    <w:rsid w:val="00612952"/>
    <w:rsid w:val="00614CC1"/>
    <w:rsid w:val="00615042"/>
    <w:rsid w:val="00615A9D"/>
    <w:rsid w:val="00616D11"/>
    <w:rsid w:val="00617387"/>
    <w:rsid w:val="00620087"/>
    <w:rsid w:val="006204A3"/>
    <w:rsid w:val="006205D6"/>
    <w:rsid w:val="00623032"/>
    <w:rsid w:val="0062428F"/>
    <w:rsid w:val="006244B5"/>
    <w:rsid w:val="006252D8"/>
    <w:rsid w:val="006259BC"/>
    <w:rsid w:val="0062636B"/>
    <w:rsid w:val="00626B16"/>
    <w:rsid w:val="0062778D"/>
    <w:rsid w:val="00632182"/>
    <w:rsid w:val="006323FF"/>
    <w:rsid w:val="00632AE0"/>
    <w:rsid w:val="00633C17"/>
    <w:rsid w:val="00634D9E"/>
    <w:rsid w:val="00635CCC"/>
    <w:rsid w:val="00636E3E"/>
    <w:rsid w:val="006379F7"/>
    <w:rsid w:val="00637E4D"/>
    <w:rsid w:val="00640620"/>
    <w:rsid w:val="006417E6"/>
    <w:rsid w:val="00641A1F"/>
    <w:rsid w:val="006423D6"/>
    <w:rsid w:val="00643550"/>
    <w:rsid w:val="00645904"/>
    <w:rsid w:val="00651ACB"/>
    <w:rsid w:val="00651C47"/>
    <w:rsid w:val="00652AB2"/>
    <w:rsid w:val="00653FED"/>
    <w:rsid w:val="00654EC0"/>
    <w:rsid w:val="0065525B"/>
    <w:rsid w:val="00655D4F"/>
    <w:rsid w:val="00656D29"/>
    <w:rsid w:val="006570DB"/>
    <w:rsid w:val="00660FFC"/>
    <w:rsid w:val="00662058"/>
    <w:rsid w:val="006640E5"/>
    <w:rsid w:val="006641F0"/>
    <w:rsid w:val="00664213"/>
    <w:rsid w:val="006646F1"/>
    <w:rsid w:val="00664929"/>
    <w:rsid w:val="00664F62"/>
    <w:rsid w:val="006655E1"/>
    <w:rsid w:val="006657CF"/>
    <w:rsid w:val="00672060"/>
    <w:rsid w:val="00672BFD"/>
    <w:rsid w:val="006730D5"/>
    <w:rsid w:val="006770F4"/>
    <w:rsid w:val="00677440"/>
    <w:rsid w:val="00677A84"/>
    <w:rsid w:val="0068026D"/>
    <w:rsid w:val="00680A27"/>
    <w:rsid w:val="006816A4"/>
    <w:rsid w:val="006819B8"/>
    <w:rsid w:val="00681F79"/>
    <w:rsid w:val="00683775"/>
    <w:rsid w:val="006840A6"/>
    <w:rsid w:val="00684276"/>
    <w:rsid w:val="006850CD"/>
    <w:rsid w:val="00685AAB"/>
    <w:rsid w:val="00694232"/>
    <w:rsid w:val="00695D22"/>
    <w:rsid w:val="006A07AA"/>
    <w:rsid w:val="006A25E5"/>
    <w:rsid w:val="006A2B46"/>
    <w:rsid w:val="006A336D"/>
    <w:rsid w:val="006A37B9"/>
    <w:rsid w:val="006B0C92"/>
    <w:rsid w:val="006B2672"/>
    <w:rsid w:val="006B4171"/>
    <w:rsid w:val="006B5275"/>
    <w:rsid w:val="006B54BF"/>
    <w:rsid w:val="006B5F44"/>
    <w:rsid w:val="006B5F90"/>
    <w:rsid w:val="006B62E4"/>
    <w:rsid w:val="006C1BBA"/>
    <w:rsid w:val="006C2079"/>
    <w:rsid w:val="006C3F0B"/>
    <w:rsid w:val="006C5526"/>
    <w:rsid w:val="006C5A62"/>
    <w:rsid w:val="006C5D68"/>
    <w:rsid w:val="006C6976"/>
    <w:rsid w:val="006C6DD0"/>
    <w:rsid w:val="006C7B9C"/>
    <w:rsid w:val="006D04EA"/>
    <w:rsid w:val="006D0AB7"/>
    <w:rsid w:val="006D16C4"/>
    <w:rsid w:val="006D21A0"/>
    <w:rsid w:val="006D3E96"/>
    <w:rsid w:val="006D4515"/>
    <w:rsid w:val="006D4BB1"/>
    <w:rsid w:val="006D6593"/>
    <w:rsid w:val="006D6F69"/>
    <w:rsid w:val="006D7F69"/>
    <w:rsid w:val="006E0C7A"/>
    <w:rsid w:val="006E23EA"/>
    <w:rsid w:val="006E31F6"/>
    <w:rsid w:val="006F03A8"/>
    <w:rsid w:val="006F1243"/>
    <w:rsid w:val="006F22EE"/>
    <w:rsid w:val="006F2ACA"/>
    <w:rsid w:val="006F2ADC"/>
    <w:rsid w:val="006F2BFE"/>
    <w:rsid w:val="006F31E9"/>
    <w:rsid w:val="006F36AD"/>
    <w:rsid w:val="006F4E4F"/>
    <w:rsid w:val="006F5759"/>
    <w:rsid w:val="006F6284"/>
    <w:rsid w:val="007002C5"/>
    <w:rsid w:val="00700D9B"/>
    <w:rsid w:val="00704387"/>
    <w:rsid w:val="00704EF9"/>
    <w:rsid w:val="00707669"/>
    <w:rsid w:val="00711CBA"/>
    <w:rsid w:val="00711FB5"/>
    <w:rsid w:val="00712A01"/>
    <w:rsid w:val="00714F58"/>
    <w:rsid w:val="007170D5"/>
    <w:rsid w:val="00717ED8"/>
    <w:rsid w:val="007202A4"/>
    <w:rsid w:val="00722FBF"/>
    <w:rsid w:val="00722FC2"/>
    <w:rsid w:val="00724879"/>
    <w:rsid w:val="00724E1B"/>
    <w:rsid w:val="00725949"/>
    <w:rsid w:val="00726C68"/>
    <w:rsid w:val="00727FA2"/>
    <w:rsid w:val="0073086C"/>
    <w:rsid w:val="007322D9"/>
    <w:rsid w:val="00732BC0"/>
    <w:rsid w:val="0073575A"/>
    <w:rsid w:val="00736792"/>
    <w:rsid w:val="0073720F"/>
    <w:rsid w:val="00737796"/>
    <w:rsid w:val="00737EB2"/>
    <w:rsid w:val="0074165C"/>
    <w:rsid w:val="00741784"/>
    <w:rsid w:val="00742C35"/>
    <w:rsid w:val="00742D0F"/>
    <w:rsid w:val="007432CA"/>
    <w:rsid w:val="007439EB"/>
    <w:rsid w:val="00743CB4"/>
    <w:rsid w:val="00743F0A"/>
    <w:rsid w:val="007444E8"/>
    <w:rsid w:val="007453BE"/>
    <w:rsid w:val="0074548E"/>
    <w:rsid w:val="00745566"/>
    <w:rsid w:val="00745773"/>
    <w:rsid w:val="00746800"/>
    <w:rsid w:val="00746C7D"/>
    <w:rsid w:val="00746F79"/>
    <w:rsid w:val="0074734D"/>
    <w:rsid w:val="007476DA"/>
    <w:rsid w:val="007501A8"/>
    <w:rsid w:val="00750D61"/>
    <w:rsid w:val="00750EE1"/>
    <w:rsid w:val="0075265B"/>
    <w:rsid w:val="00752B4D"/>
    <w:rsid w:val="00755402"/>
    <w:rsid w:val="00756B26"/>
    <w:rsid w:val="00756EDF"/>
    <w:rsid w:val="007600E3"/>
    <w:rsid w:val="007601A8"/>
    <w:rsid w:val="00765C43"/>
    <w:rsid w:val="00765EFB"/>
    <w:rsid w:val="007671CA"/>
    <w:rsid w:val="00767C61"/>
    <w:rsid w:val="0077008A"/>
    <w:rsid w:val="00771075"/>
    <w:rsid w:val="00773C1F"/>
    <w:rsid w:val="00774DA4"/>
    <w:rsid w:val="00776599"/>
    <w:rsid w:val="00776C9A"/>
    <w:rsid w:val="0078114B"/>
    <w:rsid w:val="00781DD2"/>
    <w:rsid w:val="00783ECF"/>
    <w:rsid w:val="0078413A"/>
    <w:rsid w:val="00792E75"/>
    <w:rsid w:val="007959E8"/>
    <w:rsid w:val="00795E9C"/>
    <w:rsid w:val="007A0521"/>
    <w:rsid w:val="007A2E12"/>
    <w:rsid w:val="007A3475"/>
    <w:rsid w:val="007A359E"/>
    <w:rsid w:val="007A41C8"/>
    <w:rsid w:val="007A43B2"/>
    <w:rsid w:val="007A54CE"/>
    <w:rsid w:val="007A5625"/>
    <w:rsid w:val="007A6FD9"/>
    <w:rsid w:val="007A7FFA"/>
    <w:rsid w:val="007B04EB"/>
    <w:rsid w:val="007B0D4F"/>
    <w:rsid w:val="007B2A9C"/>
    <w:rsid w:val="007B2BBD"/>
    <w:rsid w:val="007B3B39"/>
    <w:rsid w:val="007B5A3D"/>
    <w:rsid w:val="007B5B95"/>
    <w:rsid w:val="007B68EA"/>
    <w:rsid w:val="007B7453"/>
    <w:rsid w:val="007C1236"/>
    <w:rsid w:val="007C1E8B"/>
    <w:rsid w:val="007C2D89"/>
    <w:rsid w:val="007C4593"/>
    <w:rsid w:val="007C5309"/>
    <w:rsid w:val="007C6069"/>
    <w:rsid w:val="007C6A59"/>
    <w:rsid w:val="007C76C0"/>
    <w:rsid w:val="007D06C4"/>
    <w:rsid w:val="007D1352"/>
    <w:rsid w:val="007D2508"/>
    <w:rsid w:val="007D2AFF"/>
    <w:rsid w:val="007D346A"/>
    <w:rsid w:val="007D4D5B"/>
    <w:rsid w:val="007D6518"/>
    <w:rsid w:val="007D7393"/>
    <w:rsid w:val="007D76BD"/>
    <w:rsid w:val="007E0BF1"/>
    <w:rsid w:val="007F0ED8"/>
    <w:rsid w:val="007F0F63"/>
    <w:rsid w:val="007F2C6F"/>
    <w:rsid w:val="007F75CE"/>
    <w:rsid w:val="008013A4"/>
    <w:rsid w:val="008027CE"/>
    <w:rsid w:val="00802F42"/>
    <w:rsid w:val="00804383"/>
    <w:rsid w:val="00804BB7"/>
    <w:rsid w:val="00804D41"/>
    <w:rsid w:val="008051A0"/>
    <w:rsid w:val="00806F22"/>
    <w:rsid w:val="00810257"/>
    <w:rsid w:val="008104F5"/>
    <w:rsid w:val="00811072"/>
    <w:rsid w:val="00811369"/>
    <w:rsid w:val="00813617"/>
    <w:rsid w:val="00813AC1"/>
    <w:rsid w:val="00815127"/>
    <w:rsid w:val="00815419"/>
    <w:rsid w:val="008163C8"/>
    <w:rsid w:val="0081642B"/>
    <w:rsid w:val="008164A1"/>
    <w:rsid w:val="00817325"/>
    <w:rsid w:val="008209E6"/>
    <w:rsid w:val="00823303"/>
    <w:rsid w:val="008233B2"/>
    <w:rsid w:val="00823A9F"/>
    <w:rsid w:val="00823C85"/>
    <w:rsid w:val="00825138"/>
    <w:rsid w:val="00825942"/>
    <w:rsid w:val="008269DD"/>
    <w:rsid w:val="00830621"/>
    <w:rsid w:val="0083348C"/>
    <w:rsid w:val="00833E63"/>
    <w:rsid w:val="008373D3"/>
    <w:rsid w:val="00840617"/>
    <w:rsid w:val="00840F84"/>
    <w:rsid w:val="008419F4"/>
    <w:rsid w:val="00842A47"/>
    <w:rsid w:val="00843C13"/>
    <w:rsid w:val="00843F0B"/>
    <w:rsid w:val="0084480C"/>
    <w:rsid w:val="00844867"/>
    <w:rsid w:val="008452CA"/>
    <w:rsid w:val="008454F8"/>
    <w:rsid w:val="0084607F"/>
    <w:rsid w:val="00847FDE"/>
    <w:rsid w:val="0085173A"/>
    <w:rsid w:val="00854FF7"/>
    <w:rsid w:val="00856316"/>
    <w:rsid w:val="0086014D"/>
    <w:rsid w:val="008603CE"/>
    <w:rsid w:val="00860591"/>
    <w:rsid w:val="00861B7A"/>
    <w:rsid w:val="008620FC"/>
    <w:rsid w:val="008627A5"/>
    <w:rsid w:val="008639ED"/>
    <w:rsid w:val="00863E05"/>
    <w:rsid w:val="00865475"/>
    <w:rsid w:val="00865666"/>
    <w:rsid w:val="00865ACA"/>
    <w:rsid w:val="00865D28"/>
    <w:rsid w:val="00865F85"/>
    <w:rsid w:val="008666FB"/>
    <w:rsid w:val="00867006"/>
    <w:rsid w:val="00867C10"/>
    <w:rsid w:val="00870439"/>
    <w:rsid w:val="00870DA1"/>
    <w:rsid w:val="00871731"/>
    <w:rsid w:val="00871D47"/>
    <w:rsid w:val="008729F9"/>
    <w:rsid w:val="00874DE5"/>
    <w:rsid w:val="00875CA4"/>
    <w:rsid w:val="00883A9C"/>
    <w:rsid w:val="00883F1E"/>
    <w:rsid w:val="00883F93"/>
    <w:rsid w:val="00884DB3"/>
    <w:rsid w:val="008855DA"/>
    <w:rsid w:val="00885A9D"/>
    <w:rsid w:val="008864F6"/>
    <w:rsid w:val="0089049D"/>
    <w:rsid w:val="00890BA0"/>
    <w:rsid w:val="008928C9"/>
    <w:rsid w:val="008930CB"/>
    <w:rsid w:val="008938DC"/>
    <w:rsid w:val="00893FD1"/>
    <w:rsid w:val="0089445E"/>
    <w:rsid w:val="00894836"/>
    <w:rsid w:val="00895172"/>
    <w:rsid w:val="00895680"/>
    <w:rsid w:val="00896303"/>
    <w:rsid w:val="00896DFF"/>
    <w:rsid w:val="0089762C"/>
    <w:rsid w:val="008A1893"/>
    <w:rsid w:val="008A3215"/>
    <w:rsid w:val="008A57E6"/>
    <w:rsid w:val="008A5F55"/>
    <w:rsid w:val="008A64AE"/>
    <w:rsid w:val="008A66FE"/>
    <w:rsid w:val="008A6F81"/>
    <w:rsid w:val="008A769A"/>
    <w:rsid w:val="008B0A35"/>
    <w:rsid w:val="008B0C9C"/>
    <w:rsid w:val="008B166D"/>
    <w:rsid w:val="008B17F4"/>
    <w:rsid w:val="008B2C78"/>
    <w:rsid w:val="008B3615"/>
    <w:rsid w:val="008B3900"/>
    <w:rsid w:val="008B4AC4"/>
    <w:rsid w:val="008B50C8"/>
    <w:rsid w:val="008B5281"/>
    <w:rsid w:val="008B5619"/>
    <w:rsid w:val="008B7E05"/>
    <w:rsid w:val="008C0B1F"/>
    <w:rsid w:val="008C1797"/>
    <w:rsid w:val="008C1D02"/>
    <w:rsid w:val="008C219C"/>
    <w:rsid w:val="008C40E6"/>
    <w:rsid w:val="008C475E"/>
    <w:rsid w:val="008C619A"/>
    <w:rsid w:val="008C66FE"/>
    <w:rsid w:val="008C68CC"/>
    <w:rsid w:val="008C7BDB"/>
    <w:rsid w:val="008D0CE8"/>
    <w:rsid w:val="008D2D1D"/>
    <w:rsid w:val="008D38F3"/>
    <w:rsid w:val="008D453D"/>
    <w:rsid w:val="008D53AD"/>
    <w:rsid w:val="008D562B"/>
    <w:rsid w:val="008D5733"/>
    <w:rsid w:val="008D622B"/>
    <w:rsid w:val="008D666C"/>
    <w:rsid w:val="008D7B54"/>
    <w:rsid w:val="008E057D"/>
    <w:rsid w:val="008E0C9D"/>
    <w:rsid w:val="008E0DD7"/>
    <w:rsid w:val="008E1648"/>
    <w:rsid w:val="008E1B3E"/>
    <w:rsid w:val="008E2319"/>
    <w:rsid w:val="008E456A"/>
    <w:rsid w:val="008E4BB6"/>
    <w:rsid w:val="008E5518"/>
    <w:rsid w:val="008E5F8C"/>
    <w:rsid w:val="008E6A84"/>
    <w:rsid w:val="008F0CDC"/>
    <w:rsid w:val="008F17A3"/>
    <w:rsid w:val="008F1ED3"/>
    <w:rsid w:val="008F23A5"/>
    <w:rsid w:val="008F276B"/>
    <w:rsid w:val="008F317D"/>
    <w:rsid w:val="008F4B37"/>
    <w:rsid w:val="008F4C29"/>
    <w:rsid w:val="008F50FE"/>
    <w:rsid w:val="008F70BD"/>
    <w:rsid w:val="008F788F"/>
    <w:rsid w:val="008F7EA2"/>
    <w:rsid w:val="00902722"/>
    <w:rsid w:val="009027BC"/>
    <w:rsid w:val="009031B1"/>
    <w:rsid w:val="00904857"/>
    <w:rsid w:val="009062E6"/>
    <w:rsid w:val="00910957"/>
    <w:rsid w:val="00911BE5"/>
    <w:rsid w:val="009122B8"/>
    <w:rsid w:val="0091236E"/>
    <w:rsid w:val="00913CA9"/>
    <w:rsid w:val="009145AE"/>
    <w:rsid w:val="009146CE"/>
    <w:rsid w:val="00914CA7"/>
    <w:rsid w:val="00915C3E"/>
    <w:rsid w:val="00915C69"/>
    <w:rsid w:val="009161A8"/>
    <w:rsid w:val="009218D2"/>
    <w:rsid w:val="009232CC"/>
    <w:rsid w:val="0092397E"/>
    <w:rsid w:val="009245F5"/>
    <w:rsid w:val="009249EC"/>
    <w:rsid w:val="00926010"/>
    <w:rsid w:val="00926288"/>
    <w:rsid w:val="00926FEA"/>
    <w:rsid w:val="0092720E"/>
    <w:rsid w:val="009273B3"/>
    <w:rsid w:val="009305B5"/>
    <w:rsid w:val="009429D5"/>
    <w:rsid w:val="00942BF1"/>
    <w:rsid w:val="00943B7C"/>
    <w:rsid w:val="00945067"/>
    <w:rsid w:val="00945180"/>
    <w:rsid w:val="00945428"/>
    <w:rsid w:val="0094607B"/>
    <w:rsid w:val="00953604"/>
    <w:rsid w:val="009547C7"/>
    <w:rsid w:val="0095496B"/>
    <w:rsid w:val="009610DC"/>
    <w:rsid w:val="00961456"/>
    <w:rsid w:val="00961490"/>
    <w:rsid w:val="0096381A"/>
    <w:rsid w:val="00964A5C"/>
    <w:rsid w:val="00965E04"/>
    <w:rsid w:val="009674AD"/>
    <w:rsid w:val="00970C9F"/>
    <w:rsid w:val="00970CDC"/>
    <w:rsid w:val="00973ED7"/>
    <w:rsid w:val="009758DB"/>
    <w:rsid w:val="0097662B"/>
    <w:rsid w:val="00977010"/>
    <w:rsid w:val="00977D02"/>
    <w:rsid w:val="009809BB"/>
    <w:rsid w:val="0098364B"/>
    <w:rsid w:val="009911AF"/>
    <w:rsid w:val="00991875"/>
    <w:rsid w:val="00991DCE"/>
    <w:rsid w:val="00991F92"/>
    <w:rsid w:val="0099224B"/>
    <w:rsid w:val="00992985"/>
    <w:rsid w:val="00993889"/>
    <w:rsid w:val="0099551B"/>
    <w:rsid w:val="00996F68"/>
    <w:rsid w:val="0099738D"/>
    <w:rsid w:val="00997BF1"/>
    <w:rsid w:val="009A089C"/>
    <w:rsid w:val="009A118E"/>
    <w:rsid w:val="009A21CD"/>
    <w:rsid w:val="009A278C"/>
    <w:rsid w:val="009A2B9A"/>
    <w:rsid w:val="009A2BC2"/>
    <w:rsid w:val="009A3906"/>
    <w:rsid w:val="009A42C1"/>
    <w:rsid w:val="009A5429"/>
    <w:rsid w:val="009A58C7"/>
    <w:rsid w:val="009A72AD"/>
    <w:rsid w:val="009B09E0"/>
    <w:rsid w:val="009B0BC5"/>
    <w:rsid w:val="009B1247"/>
    <w:rsid w:val="009B2CC3"/>
    <w:rsid w:val="009B46F9"/>
    <w:rsid w:val="009B4B0C"/>
    <w:rsid w:val="009B6029"/>
    <w:rsid w:val="009B65B2"/>
    <w:rsid w:val="009B6971"/>
    <w:rsid w:val="009B7476"/>
    <w:rsid w:val="009C0DC4"/>
    <w:rsid w:val="009C27F1"/>
    <w:rsid w:val="009C3152"/>
    <w:rsid w:val="009C4CFA"/>
    <w:rsid w:val="009C5070"/>
    <w:rsid w:val="009D0776"/>
    <w:rsid w:val="009D112C"/>
    <w:rsid w:val="009D19C0"/>
    <w:rsid w:val="009D1EA3"/>
    <w:rsid w:val="009D2BBA"/>
    <w:rsid w:val="009D47FA"/>
    <w:rsid w:val="009D4C5B"/>
    <w:rsid w:val="009D50D2"/>
    <w:rsid w:val="009D6BCA"/>
    <w:rsid w:val="009E0193"/>
    <w:rsid w:val="009E0F62"/>
    <w:rsid w:val="009E36CA"/>
    <w:rsid w:val="009E4A58"/>
    <w:rsid w:val="009E5A2D"/>
    <w:rsid w:val="009E5AB2"/>
    <w:rsid w:val="009E6219"/>
    <w:rsid w:val="009F03B3"/>
    <w:rsid w:val="009F510B"/>
    <w:rsid w:val="00A0096C"/>
    <w:rsid w:val="00A00C54"/>
    <w:rsid w:val="00A01757"/>
    <w:rsid w:val="00A028C0"/>
    <w:rsid w:val="00A02BAE"/>
    <w:rsid w:val="00A06A6B"/>
    <w:rsid w:val="00A07E47"/>
    <w:rsid w:val="00A129D0"/>
    <w:rsid w:val="00A12C33"/>
    <w:rsid w:val="00A13294"/>
    <w:rsid w:val="00A138BA"/>
    <w:rsid w:val="00A14C8E"/>
    <w:rsid w:val="00A153D9"/>
    <w:rsid w:val="00A15858"/>
    <w:rsid w:val="00A15F09"/>
    <w:rsid w:val="00A169B6"/>
    <w:rsid w:val="00A1791C"/>
    <w:rsid w:val="00A2271D"/>
    <w:rsid w:val="00A22A59"/>
    <w:rsid w:val="00A237D5"/>
    <w:rsid w:val="00A2703B"/>
    <w:rsid w:val="00A27066"/>
    <w:rsid w:val="00A307E4"/>
    <w:rsid w:val="00A30D4E"/>
    <w:rsid w:val="00A30EFC"/>
    <w:rsid w:val="00A31984"/>
    <w:rsid w:val="00A319B4"/>
    <w:rsid w:val="00A3214E"/>
    <w:rsid w:val="00A32D73"/>
    <w:rsid w:val="00A3367B"/>
    <w:rsid w:val="00A3597D"/>
    <w:rsid w:val="00A36DD1"/>
    <w:rsid w:val="00A37316"/>
    <w:rsid w:val="00A40000"/>
    <w:rsid w:val="00A4006C"/>
    <w:rsid w:val="00A40091"/>
    <w:rsid w:val="00A4030F"/>
    <w:rsid w:val="00A41C79"/>
    <w:rsid w:val="00A41CB5"/>
    <w:rsid w:val="00A42CDF"/>
    <w:rsid w:val="00A4452E"/>
    <w:rsid w:val="00A4472C"/>
    <w:rsid w:val="00A44E69"/>
    <w:rsid w:val="00A453C9"/>
    <w:rsid w:val="00A45A12"/>
    <w:rsid w:val="00A4661E"/>
    <w:rsid w:val="00A530BC"/>
    <w:rsid w:val="00A534D5"/>
    <w:rsid w:val="00A536EB"/>
    <w:rsid w:val="00A53FA7"/>
    <w:rsid w:val="00A55BD6"/>
    <w:rsid w:val="00A55D50"/>
    <w:rsid w:val="00A56E04"/>
    <w:rsid w:val="00A57142"/>
    <w:rsid w:val="00A62C9C"/>
    <w:rsid w:val="00A648CD"/>
    <w:rsid w:val="00A6537A"/>
    <w:rsid w:val="00A65E62"/>
    <w:rsid w:val="00A67866"/>
    <w:rsid w:val="00A70B07"/>
    <w:rsid w:val="00A723F8"/>
    <w:rsid w:val="00A741C2"/>
    <w:rsid w:val="00A75B0C"/>
    <w:rsid w:val="00A75C1D"/>
    <w:rsid w:val="00A7607F"/>
    <w:rsid w:val="00A7703C"/>
    <w:rsid w:val="00A77CCB"/>
    <w:rsid w:val="00A83D8D"/>
    <w:rsid w:val="00A8446B"/>
    <w:rsid w:val="00A84607"/>
    <w:rsid w:val="00A8473F"/>
    <w:rsid w:val="00A84D89"/>
    <w:rsid w:val="00A862D6"/>
    <w:rsid w:val="00A86845"/>
    <w:rsid w:val="00A86AC9"/>
    <w:rsid w:val="00A8715E"/>
    <w:rsid w:val="00A9035B"/>
    <w:rsid w:val="00A90541"/>
    <w:rsid w:val="00A9275C"/>
    <w:rsid w:val="00A9295B"/>
    <w:rsid w:val="00A93B09"/>
    <w:rsid w:val="00A94247"/>
    <w:rsid w:val="00A952D7"/>
    <w:rsid w:val="00A963F7"/>
    <w:rsid w:val="00A96AD8"/>
    <w:rsid w:val="00AA052C"/>
    <w:rsid w:val="00AA1E45"/>
    <w:rsid w:val="00AA4286"/>
    <w:rsid w:val="00AA456B"/>
    <w:rsid w:val="00AA57F5"/>
    <w:rsid w:val="00AA672E"/>
    <w:rsid w:val="00AA6EC9"/>
    <w:rsid w:val="00AB41D5"/>
    <w:rsid w:val="00AB4C8F"/>
    <w:rsid w:val="00AB5191"/>
    <w:rsid w:val="00AB6309"/>
    <w:rsid w:val="00AB6C5F"/>
    <w:rsid w:val="00AB7129"/>
    <w:rsid w:val="00AB7D91"/>
    <w:rsid w:val="00AC1892"/>
    <w:rsid w:val="00AC27A6"/>
    <w:rsid w:val="00AC30F7"/>
    <w:rsid w:val="00AC3A5A"/>
    <w:rsid w:val="00AC426F"/>
    <w:rsid w:val="00AC4D95"/>
    <w:rsid w:val="00AC50AB"/>
    <w:rsid w:val="00AC5DF4"/>
    <w:rsid w:val="00AC67E2"/>
    <w:rsid w:val="00AD0AEF"/>
    <w:rsid w:val="00AD11B7"/>
    <w:rsid w:val="00AD1A94"/>
    <w:rsid w:val="00AD1C05"/>
    <w:rsid w:val="00AD222A"/>
    <w:rsid w:val="00AD2713"/>
    <w:rsid w:val="00AD3883"/>
    <w:rsid w:val="00AD4126"/>
    <w:rsid w:val="00AD421C"/>
    <w:rsid w:val="00AD44FA"/>
    <w:rsid w:val="00AE070A"/>
    <w:rsid w:val="00AE101C"/>
    <w:rsid w:val="00AE30D2"/>
    <w:rsid w:val="00AE3520"/>
    <w:rsid w:val="00AE37E5"/>
    <w:rsid w:val="00AE5EB4"/>
    <w:rsid w:val="00AE79C7"/>
    <w:rsid w:val="00AF0C18"/>
    <w:rsid w:val="00AF47C5"/>
    <w:rsid w:val="00AF5398"/>
    <w:rsid w:val="00AF6821"/>
    <w:rsid w:val="00B01F50"/>
    <w:rsid w:val="00B0265E"/>
    <w:rsid w:val="00B049AF"/>
    <w:rsid w:val="00B06608"/>
    <w:rsid w:val="00B06C23"/>
    <w:rsid w:val="00B07242"/>
    <w:rsid w:val="00B10534"/>
    <w:rsid w:val="00B10A37"/>
    <w:rsid w:val="00B113DB"/>
    <w:rsid w:val="00B11D8A"/>
    <w:rsid w:val="00B1286B"/>
    <w:rsid w:val="00B12981"/>
    <w:rsid w:val="00B147DD"/>
    <w:rsid w:val="00B149D5"/>
    <w:rsid w:val="00B156FD"/>
    <w:rsid w:val="00B20D0E"/>
    <w:rsid w:val="00B21F61"/>
    <w:rsid w:val="00B21FD4"/>
    <w:rsid w:val="00B23EDB"/>
    <w:rsid w:val="00B24193"/>
    <w:rsid w:val="00B261F1"/>
    <w:rsid w:val="00B265BC"/>
    <w:rsid w:val="00B31FB1"/>
    <w:rsid w:val="00B33952"/>
    <w:rsid w:val="00B33C5E"/>
    <w:rsid w:val="00B342E6"/>
    <w:rsid w:val="00B342F4"/>
    <w:rsid w:val="00B34369"/>
    <w:rsid w:val="00B34DC2"/>
    <w:rsid w:val="00B351B3"/>
    <w:rsid w:val="00B35AD9"/>
    <w:rsid w:val="00B378E5"/>
    <w:rsid w:val="00B42DD3"/>
    <w:rsid w:val="00B4346D"/>
    <w:rsid w:val="00B440F4"/>
    <w:rsid w:val="00B447A5"/>
    <w:rsid w:val="00B45DCD"/>
    <w:rsid w:val="00B4654C"/>
    <w:rsid w:val="00B46AF0"/>
    <w:rsid w:val="00B47293"/>
    <w:rsid w:val="00B50649"/>
    <w:rsid w:val="00B50E50"/>
    <w:rsid w:val="00B51E84"/>
    <w:rsid w:val="00B52120"/>
    <w:rsid w:val="00B52E69"/>
    <w:rsid w:val="00B53ED2"/>
    <w:rsid w:val="00B54ABC"/>
    <w:rsid w:val="00B54DDE"/>
    <w:rsid w:val="00B54F3D"/>
    <w:rsid w:val="00B56FBE"/>
    <w:rsid w:val="00B57DEB"/>
    <w:rsid w:val="00B60ACF"/>
    <w:rsid w:val="00B6101A"/>
    <w:rsid w:val="00B62B58"/>
    <w:rsid w:val="00B64416"/>
    <w:rsid w:val="00B65149"/>
    <w:rsid w:val="00B66567"/>
    <w:rsid w:val="00B66CDF"/>
    <w:rsid w:val="00B66F52"/>
    <w:rsid w:val="00B66FE5"/>
    <w:rsid w:val="00B72880"/>
    <w:rsid w:val="00B72B6C"/>
    <w:rsid w:val="00B731DB"/>
    <w:rsid w:val="00B758BF"/>
    <w:rsid w:val="00B77EC8"/>
    <w:rsid w:val="00B8086D"/>
    <w:rsid w:val="00B827A6"/>
    <w:rsid w:val="00B831CE"/>
    <w:rsid w:val="00B85D59"/>
    <w:rsid w:val="00B86001"/>
    <w:rsid w:val="00B86677"/>
    <w:rsid w:val="00B87131"/>
    <w:rsid w:val="00B91FF8"/>
    <w:rsid w:val="00B920A3"/>
    <w:rsid w:val="00B923CC"/>
    <w:rsid w:val="00B924CC"/>
    <w:rsid w:val="00B939B1"/>
    <w:rsid w:val="00B93F38"/>
    <w:rsid w:val="00B94496"/>
    <w:rsid w:val="00B95037"/>
    <w:rsid w:val="00B96D40"/>
    <w:rsid w:val="00B97386"/>
    <w:rsid w:val="00BA03D5"/>
    <w:rsid w:val="00BA0790"/>
    <w:rsid w:val="00BA263B"/>
    <w:rsid w:val="00BA2994"/>
    <w:rsid w:val="00BA42B2"/>
    <w:rsid w:val="00BA58D4"/>
    <w:rsid w:val="00BA5B9E"/>
    <w:rsid w:val="00BA7C9A"/>
    <w:rsid w:val="00BB203B"/>
    <w:rsid w:val="00BB4572"/>
    <w:rsid w:val="00BB527A"/>
    <w:rsid w:val="00BB5F8F"/>
    <w:rsid w:val="00BB657A"/>
    <w:rsid w:val="00BC1865"/>
    <w:rsid w:val="00BC1A4E"/>
    <w:rsid w:val="00BC4790"/>
    <w:rsid w:val="00BC5DC7"/>
    <w:rsid w:val="00BC6344"/>
    <w:rsid w:val="00BC6B8B"/>
    <w:rsid w:val="00BC73D8"/>
    <w:rsid w:val="00BD03B6"/>
    <w:rsid w:val="00BD2AA8"/>
    <w:rsid w:val="00BD39EB"/>
    <w:rsid w:val="00BD52D7"/>
    <w:rsid w:val="00BD5AD2"/>
    <w:rsid w:val="00BD7AFA"/>
    <w:rsid w:val="00BE03AC"/>
    <w:rsid w:val="00BE22F3"/>
    <w:rsid w:val="00BE234A"/>
    <w:rsid w:val="00BE29F2"/>
    <w:rsid w:val="00BE485B"/>
    <w:rsid w:val="00BE5B52"/>
    <w:rsid w:val="00BE7A8C"/>
    <w:rsid w:val="00BE7B03"/>
    <w:rsid w:val="00BE7B8D"/>
    <w:rsid w:val="00BF0993"/>
    <w:rsid w:val="00BF0BA3"/>
    <w:rsid w:val="00BF10A9"/>
    <w:rsid w:val="00BF1703"/>
    <w:rsid w:val="00BF231C"/>
    <w:rsid w:val="00BF51E5"/>
    <w:rsid w:val="00BF74A6"/>
    <w:rsid w:val="00C002D0"/>
    <w:rsid w:val="00C013AD"/>
    <w:rsid w:val="00C01800"/>
    <w:rsid w:val="00C02B83"/>
    <w:rsid w:val="00C04904"/>
    <w:rsid w:val="00C056B3"/>
    <w:rsid w:val="00C06C2E"/>
    <w:rsid w:val="00C070C2"/>
    <w:rsid w:val="00C103E5"/>
    <w:rsid w:val="00C13319"/>
    <w:rsid w:val="00C13EE9"/>
    <w:rsid w:val="00C14412"/>
    <w:rsid w:val="00C1698F"/>
    <w:rsid w:val="00C204D2"/>
    <w:rsid w:val="00C21540"/>
    <w:rsid w:val="00C21906"/>
    <w:rsid w:val="00C21BFA"/>
    <w:rsid w:val="00C22148"/>
    <w:rsid w:val="00C22326"/>
    <w:rsid w:val="00C23689"/>
    <w:rsid w:val="00C24C8D"/>
    <w:rsid w:val="00C25FE2"/>
    <w:rsid w:val="00C26B53"/>
    <w:rsid w:val="00C271B1"/>
    <w:rsid w:val="00C279B2"/>
    <w:rsid w:val="00C31C0C"/>
    <w:rsid w:val="00C32A24"/>
    <w:rsid w:val="00C32D7D"/>
    <w:rsid w:val="00C33E50"/>
    <w:rsid w:val="00C34127"/>
    <w:rsid w:val="00C34C20"/>
    <w:rsid w:val="00C35A3E"/>
    <w:rsid w:val="00C3698C"/>
    <w:rsid w:val="00C42130"/>
    <w:rsid w:val="00C423A4"/>
    <w:rsid w:val="00C439DD"/>
    <w:rsid w:val="00C439FD"/>
    <w:rsid w:val="00C44BF5"/>
    <w:rsid w:val="00C50AF8"/>
    <w:rsid w:val="00C514D1"/>
    <w:rsid w:val="00C521D6"/>
    <w:rsid w:val="00C55232"/>
    <w:rsid w:val="00C553A4"/>
    <w:rsid w:val="00C55A06"/>
    <w:rsid w:val="00C55D03"/>
    <w:rsid w:val="00C601BC"/>
    <w:rsid w:val="00C61430"/>
    <w:rsid w:val="00C6329F"/>
    <w:rsid w:val="00C63340"/>
    <w:rsid w:val="00C643F9"/>
    <w:rsid w:val="00C64E95"/>
    <w:rsid w:val="00C65132"/>
    <w:rsid w:val="00C66548"/>
    <w:rsid w:val="00C668E4"/>
    <w:rsid w:val="00C71372"/>
    <w:rsid w:val="00C72410"/>
    <w:rsid w:val="00C7287F"/>
    <w:rsid w:val="00C80982"/>
    <w:rsid w:val="00C80CB8"/>
    <w:rsid w:val="00C819F8"/>
    <w:rsid w:val="00C8248C"/>
    <w:rsid w:val="00C82D78"/>
    <w:rsid w:val="00C84E33"/>
    <w:rsid w:val="00C86D6F"/>
    <w:rsid w:val="00C870E3"/>
    <w:rsid w:val="00C90275"/>
    <w:rsid w:val="00C905FC"/>
    <w:rsid w:val="00C91DD1"/>
    <w:rsid w:val="00C92D03"/>
    <w:rsid w:val="00C9319C"/>
    <w:rsid w:val="00C9435D"/>
    <w:rsid w:val="00C94DF2"/>
    <w:rsid w:val="00C954F6"/>
    <w:rsid w:val="00C96741"/>
    <w:rsid w:val="00C97DC1"/>
    <w:rsid w:val="00CA1E9D"/>
    <w:rsid w:val="00CA2808"/>
    <w:rsid w:val="00CA2D1B"/>
    <w:rsid w:val="00CA33AB"/>
    <w:rsid w:val="00CA375D"/>
    <w:rsid w:val="00CA4D83"/>
    <w:rsid w:val="00CA662A"/>
    <w:rsid w:val="00CA6DBC"/>
    <w:rsid w:val="00CA7AFD"/>
    <w:rsid w:val="00CA7C3C"/>
    <w:rsid w:val="00CB0189"/>
    <w:rsid w:val="00CB0BA2"/>
    <w:rsid w:val="00CB1A42"/>
    <w:rsid w:val="00CB1AA6"/>
    <w:rsid w:val="00CB1B0C"/>
    <w:rsid w:val="00CB2402"/>
    <w:rsid w:val="00CB2C0B"/>
    <w:rsid w:val="00CB40C5"/>
    <w:rsid w:val="00CB517D"/>
    <w:rsid w:val="00CB666F"/>
    <w:rsid w:val="00CC038D"/>
    <w:rsid w:val="00CC08DB"/>
    <w:rsid w:val="00CC0FA9"/>
    <w:rsid w:val="00CC39FF"/>
    <w:rsid w:val="00CC3C2F"/>
    <w:rsid w:val="00CC4AC8"/>
    <w:rsid w:val="00CC5233"/>
    <w:rsid w:val="00CC5DE6"/>
    <w:rsid w:val="00CC6E4E"/>
    <w:rsid w:val="00CC6FE8"/>
    <w:rsid w:val="00CC7202"/>
    <w:rsid w:val="00CD12D7"/>
    <w:rsid w:val="00CD12F1"/>
    <w:rsid w:val="00CD2808"/>
    <w:rsid w:val="00CD28BF"/>
    <w:rsid w:val="00CD3267"/>
    <w:rsid w:val="00CD4092"/>
    <w:rsid w:val="00CD4A20"/>
    <w:rsid w:val="00CD50A1"/>
    <w:rsid w:val="00CD519E"/>
    <w:rsid w:val="00CD561D"/>
    <w:rsid w:val="00CD7C38"/>
    <w:rsid w:val="00CE0C4F"/>
    <w:rsid w:val="00CE30EA"/>
    <w:rsid w:val="00CE3AA2"/>
    <w:rsid w:val="00CE5208"/>
    <w:rsid w:val="00CF048A"/>
    <w:rsid w:val="00CF155A"/>
    <w:rsid w:val="00CF1E47"/>
    <w:rsid w:val="00CF2947"/>
    <w:rsid w:val="00CF562B"/>
    <w:rsid w:val="00CF686F"/>
    <w:rsid w:val="00CF6DB5"/>
    <w:rsid w:val="00CF6E60"/>
    <w:rsid w:val="00CF79EC"/>
    <w:rsid w:val="00CF7BCA"/>
    <w:rsid w:val="00D008FD"/>
    <w:rsid w:val="00D0321C"/>
    <w:rsid w:val="00D035EC"/>
    <w:rsid w:val="00D040F3"/>
    <w:rsid w:val="00D052B0"/>
    <w:rsid w:val="00D06AB1"/>
    <w:rsid w:val="00D072ED"/>
    <w:rsid w:val="00D07410"/>
    <w:rsid w:val="00D0789D"/>
    <w:rsid w:val="00D07A16"/>
    <w:rsid w:val="00D1067E"/>
    <w:rsid w:val="00D10F50"/>
    <w:rsid w:val="00D11272"/>
    <w:rsid w:val="00D126F5"/>
    <w:rsid w:val="00D12EC7"/>
    <w:rsid w:val="00D1489E"/>
    <w:rsid w:val="00D156F9"/>
    <w:rsid w:val="00D20737"/>
    <w:rsid w:val="00D21E81"/>
    <w:rsid w:val="00D223DE"/>
    <w:rsid w:val="00D25E37"/>
    <w:rsid w:val="00D2661A"/>
    <w:rsid w:val="00D27233"/>
    <w:rsid w:val="00D27582"/>
    <w:rsid w:val="00D27EC4"/>
    <w:rsid w:val="00D32719"/>
    <w:rsid w:val="00D33333"/>
    <w:rsid w:val="00D33457"/>
    <w:rsid w:val="00D348EE"/>
    <w:rsid w:val="00D352A2"/>
    <w:rsid w:val="00D3660F"/>
    <w:rsid w:val="00D4162B"/>
    <w:rsid w:val="00D432C4"/>
    <w:rsid w:val="00D4514F"/>
    <w:rsid w:val="00D451E2"/>
    <w:rsid w:val="00D45E89"/>
    <w:rsid w:val="00D45E8D"/>
    <w:rsid w:val="00D466AE"/>
    <w:rsid w:val="00D46B45"/>
    <w:rsid w:val="00D46CE5"/>
    <w:rsid w:val="00D4734F"/>
    <w:rsid w:val="00D51BF3"/>
    <w:rsid w:val="00D54326"/>
    <w:rsid w:val="00D56CF9"/>
    <w:rsid w:val="00D57AC3"/>
    <w:rsid w:val="00D61CC4"/>
    <w:rsid w:val="00D654D2"/>
    <w:rsid w:val="00D65BDE"/>
    <w:rsid w:val="00D66846"/>
    <w:rsid w:val="00D675FB"/>
    <w:rsid w:val="00D71F25"/>
    <w:rsid w:val="00D72A9C"/>
    <w:rsid w:val="00D73190"/>
    <w:rsid w:val="00D73D65"/>
    <w:rsid w:val="00D77031"/>
    <w:rsid w:val="00D84941"/>
    <w:rsid w:val="00D84FA1"/>
    <w:rsid w:val="00D851F0"/>
    <w:rsid w:val="00D86DB7"/>
    <w:rsid w:val="00D91F96"/>
    <w:rsid w:val="00D926D0"/>
    <w:rsid w:val="00D93030"/>
    <w:rsid w:val="00D93353"/>
    <w:rsid w:val="00D93F6D"/>
    <w:rsid w:val="00D943EA"/>
    <w:rsid w:val="00D950E1"/>
    <w:rsid w:val="00D952A6"/>
    <w:rsid w:val="00D95C67"/>
    <w:rsid w:val="00D97F99"/>
    <w:rsid w:val="00DA148C"/>
    <w:rsid w:val="00DA1E08"/>
    <w:rsid w:val="00DA24F8"/>
    <w:rsid w:val="00DA28E8"/>
    <w:rsid w:val="00DA38D3"/>
    <w:rsid w:val="00DA3932"/>
    <w:rsid w:val="00DA3AFC"/>
    <w:rsid w:val="00DA5191"/>
    <w:rsid w:val="00DA64F8"/>
    <w:rsid w:val="00DA6C15"/>
    <w:rsid w:val="00DB0258"/>
    <w:rsid w:val="00DB237D"/>
    <w:rsid w:val="00DB262F"/>
    <w:rsid w:val="00DB38EE"/>
    <w:rsid w:val="00DB498B"/>
    <w:rsid w:val="00DB66CA"/>
    <w:rsid w:val="00DB6BCA"/>
    <w:rsid w:val="00DB73F7"/>
    <w:rsid w:val="00DB7E4D"/>
    <w:rsid w:val="00DC0321"/>
    <w:rsid w:val="00DC09ED"/>
    <w:rsid w:val="00DC0A0A"/>
    <w:rsid w:val="00DC3067"/>
    <w:rsid w:val="00DC3210"/>
    <w:rsid w:val="00DC370B"/>
    <w:rsid w:val="00DC3D4F"/>
    <w:rsid w:val="00DC5B90"/>
    <w:rsid w:val="00DC77F2"/>
    <w:rsid w:val="00DD00FF"/>
    <w:rsid w:val="00DD0619"/>
    <w:rsid w:val="00DD078A"/>
    <w:rsid w:val="00DD07FB"/>
    <w:rsid w:val="00DD1818"/>
    <w:rsid w:val="00DD25C6"/>
    <w:rsid w:val="00DD4FE5"/>
    <w:rsid w:val="00DD54B0"/>
    <w:rsid w:val="00DD57EE"/>
    <w:rsid w:val="00DD6BCC"/>
    <w:rsid w:val="00DD715F"/>
    <w:rsid w:val="00DE0A4B"/>
    <w:rsid w:val="00DE0C56"/>
    <w:rsid w:val="00DE2410"/>
    <w:rsid w:val="00DE2939"/>
    <w:rsid w:val="00DE4B1D"/>
    <w:rsid w:val="00DE510E"/>
    <w:rsid w:val="00DE675D"/>
    <w:rsid w:val="00DE6E81"/>
    <w:rsid w:val="00DE703F"/>
    <w:rsid w:val="00DE7595"/>
    <w:rsid w:val="00DF023D"/>
    <w:rsid w:val="00DF1961"/>
    <w:rsid w:val="00DF1ECE"/>
    <w:rsid w:val="00DF44DE"/>
    <w:rsid w:val="00DF4AF5"/>
    <w:rsid w:val="00DF50A3"/>
    <w:rsid w:val="00DF5F11"/>
    <w:rsid w:val="00DF5F67"/>
    <w:rsid w:val="00DF66A6"/>
    <w:rsid w:val="00DF78A7"/>
    <w:rsid w:val="00E007E1"/>
    <w:rsid w:val="00E01138"/>
    <w:rsid w:val="00E02DFB"/>
    <w:rsid w:val="00E030F9"/>
    <w:rsid w:val="00E0311A"/>
    <w:rsid w:val="00E03138"/>
    <w:rsid w:val="00E06404"/>
    <w:rsid w:val="00E065D2"/>
    <w:rsid w:val="00E11A85"/>
    <w:rsid w:val="00E11F58"/>
    <w:rsid w:val="00E123E6"/>
    <w:rsid w:val="00E12495"/>
    <w:rsid w:val="00E12E19"/>
    <w:rsid w:val="00E15CCD"/>
    <w:rsid w:val="00E200E4"/>
    <w:rsid w:val="00E202EF"/>
    <w:rsid w:val="00E210B5"/>
    <w:rsid w:val="00E2231C"/>
    <w:rsid w:val="00E23D99"/>
    <w:rsid w:val="00E24E6A"/>
    <w:rsid w:val="00E2552F"/>
    <w:rsid w:val="00E25CDC"/>
    <w:rsid w:val="00E2651D"/>
    <w:rsid w:val="00E3137A"/>
    <w:rsid w:val="00E32CCF"/>
    <w:rsid w:val="00E34A98"/>
    <w:rsid w:val="00E35D1E"/>
    <w:rsid w:val="00E35D7F"/>
    <w:rsid w:val="00E364F9"/>
    <w:rsid w:val="00E365FA"/>
    <w:rsid w:val="00E36789"/>
    <w:rsid w:val="00E44A83"/>
    <w:rsid w:val="00E45F71"/>
    <w:rsid w:val="00E502C1"/>
    <w:rsid w:val="00E502DD"/>
    <w:rsid w:val="00E50D3A"/>
    <w:rsid w:val="00E512B4"/>
    <w:rsid w:val="00E51387"/>
    <w:rsid w:val="00E51DE4"/>
    <w:rsid w:val="00E51E68"/>
    <w:rsid w:val="00E52EFD"/>
    <w:rsid w:val="00E5408A"/>
    <w:rsid w:val="00E56800"/>
    <w:rsid w:val="00E60C63"/>
    <w:rsid w:val="00E62FF9"/>
    <w:rsid w:val="00E635D6"/>
    <w:rsid w:val="00E639BC"/>
    <w:rsid w:val="00E664CC"/>
    <w:rsid w:val="00E70388"/>
    <w:rsid w:val="00E70F92"/>
    <w:rsid w:val="00E74C54"/>
    <w:rsid w:val="00E77A03"/>
    <w:rsid w:val="00E80785"/>
    <w:rsid w:val="00E80D2A"/>
    <w:rsid w:val="00E822E8"/>
    <w:rsid w:val="00E82554"/>
    <w:rsid w:val="00E82606"/>
    <w:rsid w:val="00E832DC"/>
    <w:rsid w:val="00E846C8"/>
    <w:rsid w:val="00E84957"/>
    <w:rsid w:val="00E84A55"/>
    <w:rsid w:val="00E855C0"/>
    <w:rsid w:val="00E85BFF"/>
    <w:rsid w:val="00E90391"/>
    <w:rsid w:val="00E906C2"/>
    <w:rsid w:val="00E9135F"/>
    <w:rsid w:val="00E9311F"/>
    <w:rsid w:val="00E934D1"/>
    <w:rsid w:val="00E94AF0"/>
    <w:rsid w:val="00E95D13"/>
    <w:rsid w:val="00E95DD3"/>
    <w:rsid w:val="00E95FF6"/>
    <w:rsid w:val="00E969D5"/>
    <w:rsid w:val="00EA20C9"/>
    <w:rsid w:val="00EA58D1"/>
    <w:rsid w:val="00EA60A9"/>
    <w:rsid w:val="00EA61BC"/>
    <w:rsid w:val="00EA681A"/>
    <w:rsid w:val="00EA735B"/>
    <w:rsid w:val="00EB17DE"/>
    <w:rsid w:val="00EB1E69"/>
    <w:rsid w:val="00EB2086"/>
    <w:rsid w:val="00EB5EDF"/>
    <w:rsid w:val="00EB60FE"/>
    <w:rsid w:val="00EB63A0"/>
    <w:rsid w:val="00EB74DB"/>
    <w:rsid w:val="00EB7DEB"/>
    <w:rsid w:val="00EC2A85"/>
    <w:rsid w:val="00EC4412"/>
    <w:rsid w:val="00EC4E3E"/>
    <w:rsid w:val="00EC5359"/>
    <w:rsid w:val="00EC562A"/>
    <w:rsid w:val="00ED067A"/>
    <w:rsid w:val="00ED0BBA"/>
    <w:rsid w:val="00ED0D80"/>
    <w:rsid w:val="00ED2AA8"/>
    <w:rsid w:val="00ED2B50"/>
    <w:rsid w:val="00ED2D3D"/>
    <w:rsid w:val="00ED46EC"/>
    <w:rsid w:val="00ED47C3"/>
    <w:rsid w:val="00ED77F5"/>
    <w:rsid w:val="00EE0350"/>
    <w:rsid w:val="00EE0719"/>
    <w:rsid w:val="00EE0E80"/>
    <w:rsid w:val="00EE54A6"/>
    <w:rsid w:val="00EE613F"/>
    <w:rsid w:val="00EE7295"/>
    <w:rsid w:val="00EE7869"/>
    <w:rsid w:val="00EF054A"/>
    <w:rsid w:val="00EF3235"/>
    <w:rsid w:val="00EF4A8D"/>
    <w:rsid w:val="00EF7E72"/>
    <w:rsid w:val="00F00EA5"/>
    <w:rsid w:val="00F04C71"/>
    <w:rsid w:val="00F06D37"/>
    <w:rsid w:val="00F0717A"/>
    <w:rsid w:val="00F07B9D"/>
    <w:rsid w:val="00F11586"/>
    <w:rsid w:val="00F1183B"/>
    <w:rsid w:val="00F11C9F"/>
    <w:rsid w:val="00F12263"/>
    <w:rsid w:val="00F12B30"/>
    <w:rsid w:val="00F12FA4"/>
    <w:rsid w:val="00F13369"/>
    <w:rsid w:val="00F1409D"/>
    <w:rsid w:val="00F14214"/>
    <w:rsid w:val="00F157A9"/>
    <w:rsid w:val="00F15995"/>
    <w:rsid w:val="00F20B07"/>
    <w:rsid w:val="00F25BB6"/>
    <w:rsid w:val="00F26B7E"/>
    <w:rsid w:val="00F27A3B"/>
    <w:rsid w:val="00F33817"/>
    <w:rsid w:val="00F420D5"/>
    <w:rsid w:val="00F43173"/>
    <w:rsid w:val="00F4436E"/>
    <w:rsid w:val="00F451EA"/>
    <w:rsid w:val="00F45447"/>
    <w:rsid w:val="00F456C6"/>
    <w:rsid w:val="00F4577B"/>
    <w:rsid w:val="00F46496"/>
    <w:rsid w:val="00F4725F"/>
    <w:rsid w:val="00F474D0"/>
    <w:rsid w:val="00F50179"/>
    <w:rsid w:val="00F515EE"/>
    <w:rsid w:val="00F5582C"/>
    <w:rsid w:val="00F56511"/>
    <w:rsid w:val="00F6194E"/>
    <w:rsid w:val="00F61D45"/>
    <w:rsid w:val="00F6204B"/>
    <w:rsid w:val="00F623AC"/>
    <w:rsid w:val="00F6412A"/>
    <w:rsid w:val="00F65893"/>
    <w:rsid w:val="00F66A4A"/>
    <w:rsid w:val="00F67E8F"/>
    <w:rsid w:val="00F71E22"/>
    <w:rsid w:val="00F72142"/>
    <w:rsid w:val="00F72AE7"/>
    <w:rsid w:val="00F81141"/>
    <w:rsid w:val="00F821C8"/>
    <w:rsid w:val="00F833BA"/>
    <w:rsid w:val="00F8432E"/>
    <w:rsid w:val="00F84C36"/>
    <w:rsid w:val="00F84FD0"/>
    <w:rsid w:val="00F859A8"/>
    <w:rsid w:val="00F85BE9"/>
    <w:rsid w:val="00F86875"/>
    <w:rsid w:val="00F86D87"/>
    <w:rsid w:val="00F9108B"/>
    <w:rsid w:val="00F91349"/>
    <w:rsid w:val="00F93A8A"/>
    <w:rsid w:val="00F95248"/>
    <w:rsid w:val="00F956A9"/>
    <w:rsid w:val="00F963ED"/>
    <w:rsid w:val="00F966CF"/>
    <w:rsid w:val="00F96CAE"/>
    <w:rsid w:val="00F9788C"/>
    <w:rsid w:val="00F97C99"/>
    <w:rsid w:val="00FA4DAC"/>
    <w:rsid w:val="00FA662D"/>
    <w:rsid w:val="00FA73B1"/>
    <w:rsid w:val="00FB0CB9"/>
    <w:rsid w:val="00FB16FE"/>
    <w:rsid w:val="00FB1D1F"/>
    <w:rsid w:val="00FB22CC"/>
    <w:rsid w:val="00FB231D"/>
    <w:rsid w:val="00FB45F1"/>
    <w:rsid w:val="00FB4A72"/>
    <w:rsid w:val="00FB54E8"/>
    <w:rsid w:val="00FB55CA"/>
    <w:rsid w:val="00FB6000"/>
    <w:rsid w:val="00FB644D"/>
    <w:rsid w:val="00FB7054"/>
    <w:rsid w:val="00FB7C79"/>
    <w:rsid w:val="00FC17B7"/>
    <w:rsid w:val="00FC2CB7"/>
    <w:rsid w:val="00FC4090"/>
    <w:rsid w:val="00FC4175"/>
    <w:rsid w:val="00FC55B4"/>
    <w:rsid w:val="00FC64C4"/>
    <w:rsid w:val="00FD00E6"/>
    <w:rsid w:val="00FD09A1"/>
    <w:rsid w:val="00FD2A7C"/>
    <w:rsid w:val="00FD41C9"/>
    <w:rsid w:val="00FD59EB"/>
    <w:rsid w:val="00FD71BE"/>
    <w:rsid w:val="00FD71E1"/>
    <w:rsid w:val="00FD7299"/>
    <w:rsid w:val="00FE1FBE"/>
    <w:rsid w:val="00FE3901"/>
    <w:rsid w:val="00FE39D3"/>
    <w:rsid w:val="00FE4BCE"/>
    <w:rsid w:val="00FE54AE"/>
    <w:rsid w:val="00FE576A"/>
    <w:rsid w:val="00FE7E79"/>
    <w:rsid w:val="00FF2BD1"/>
    <w:rsid w:val="00FF2EFF"/>
    <w:rsid w:val="00FF3E7D"/>
    <w:rsid w:val="00FF5B99"/>
    <w:rsid w:val="00FF730C"/>
    <w:rsid w:val="00FF73F4"/>
    <w:rsid w:val="00FF7CE4"/>
    <w:rsid w:val="00FF7E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903C3D"/>
  <w15:docId w15:val="{917BD92F-3753-4E7E-8D45-CDD920A21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iPriority="0" w:unhideWhenUsed="1" w:qFormat="1"/>
    <w:lsdException w:name="footnote text" w:semiHidden="1" w:uiPriority="0"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ff5">
    <w:name w:val="Normal"/>
    <w:qFormat/>
    <w:rsid w:val="009B46F9"/>
    <w:pPr>
      <w:widowControl w:val="0"/>
      <w:adjustRightInd w:val="0"/>
      <w:spacing w:line="400" w:lineRule="exact"/>
      <w:jc w:val="both"/>
    </w:pPr>
    <w:rPr>
      <w:kern w:val="2"/>
      <w:sz w:val="21"/>
      <w:szCs w:val="21"/>
    </w:rPr>
  </w:style>
  <w:style w:type="paragraph" w:styleId="1">
    <w:name w:val="heading 1"/>
    <w:basedOn w:val="afff5"/>
    <w:next w:val="afff5"/>
    <w:link w:val="10"/>
    <w:qFormat/>
    <w:rsid w:val="009B46F9"/>
    <w:pPr>
      <w:keepNext/>
      <w:keepLines/>
      <w:spacing w:before="340" w:after="330" w:line="578" w:lineRule="auto"/>
      <w:outlineLvl w:val="0"/>
    </w:pPr>
    <w:rPr>
      <w:b/>
      <w:bCs/>
      <w:kern w:val="44"/>
      <w:sz w:val="44"/>
      <w:szCs w:val="44"/>
    </w:rPr>
  </w:style>
  <w:style w:type="paragraph" w:styleId="23">
    <w:name w:val="heading 2"/>
    <w:basedOn w:val="afff5"/>
    <w:next w:val="afff5"/>
    <w:link w:val="24"/>
    <w:qFormat/>
    <w:rsid w:val="009B46F9"/>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qFormat/>
    <w:rsid w:val="009B46F9"/>
    <w:pPr>
      <w:keepNext/>
      <w:keepLines/>
      <w:spacing w:before="260" w:after="260" w:line="416" w:lineRule="auto"/>
      <w:outlineLvl w:val="2"/>
    </w:pPr>
    <w:rPr>
      <w:b/>
      <w:bCs/>
      <w:sz w:val="32"/>
      <w:szCs w:val="32"/>
    </w:rPr>
  </w:style>
  <w:style w:type="paragraph" w:styleId="4">
    <w:name w:val="heading 4"/>
    <w:basedOn w:val="afff5"/>
    <w:next w:val="afff5"/>
    <w:link w:val="40"/>
    <w:qFormat/>
    <w:rsid w:val="009B46F9"/>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rsid w:val="009B46F9"/>
    <w:pPr>
      <w:keepNext/>
      <w:keepLines/>
      <w:adjustRightInd/>
      <w:spacing w:before="280" w:after="290" w:line="376" w:lineRule="auto"/>
      <w:outlineLvl w:val="4"/>
    </w:pPr>
    <w:rPr>
      <w:b/>
      <w:bCs/>
      <w:sz w:val="28"/>
      <w:szCs w:val="28"/>
    </w:rPr>
  </w:style>
  <w:style w:type="paragraph" w:styleId="6">
    <w:name w:val="heading 6"/>
    <w:basedOn w:val="afff5"/>
    <w:next w:val="afff5"/>
    <w:link w:val="60"/>
    <w:qFormat/>
    <w:rsid w:val="009B46F9"/>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rsid w:val="009B46F9"/>
    <w:pPr>
      <w:keepNext/>
      <w:keepLines/>
      <w:adjustRightInd/>
      <w:spacing w:before="240" w:after="64" w:line="320" w:lineRule="auto"/>
      <w:outlineLvl w:val="6"/>
    </w:pPr>
    <w:rPr>
      <w:b/>
      <w:bCs/>
      <w:sz w:val="24"/>
      <w:szCs w:val="24"/>
    </w:rPr>
  </w:style>
  <w:style w:type="paragraph" w:styleId="8">
    <w:name w:val="heading 8"/>
    <w:basedOn w:val="afff5"/>
    <w:next w:val="afff5"/>
    <w:link w:val="80"/>
    <w:qFormat/>
    <w:rsid w:val="009B46F9"/>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rsid w:val="009B46F9"/>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character" w:customStyle="1" w:styleId="10">
    <w:name w:val="标题 1 字符"/>
    <w:link w:val="1"/>
    <w:qFormat/>
    <w:rsid w:val="009B46F9"/>
    <w:rPr>
      <w:b/>
      <w:bCs/>
      <w:kern w:val="44"/>
      <w:sz w:val="44"/>
      <w:szCs w:val="44"/>
    </w:rPr>
  </w:style>
  <w:style w:type="character" w:customStyle="1" w:styleId="24">
    <w:name w:val="标题 2 字符"/>
    <w:link w:val="23"/>
    <w:qFormat/>
    <w:rsid w:val="009B46F9"/>
    <w:rPr>
      <w:rFonts w:ascii="Arial" w:eastAsia="黑体" w:hAnsi="Arial"/>
      <w:b/>
      <w:bCs/>
      <w:kern w:val="2"/>
      <w:sz w:val="32"/>
      <w:szCs w:val="32"/>
    </w:rPr>
  </w:style>
  <w:style w:type="character" w:customStyle="1" w:styleId="30">
    <w:name w:val="标题 3 字符"/>
    <w:link w:val="3"/>
    <w:qFormat/>
    <w:rsid w:val="009B46F9"/>
    <w:rPr>
      <w:b/>
      <w:bCs/>
      <w:kern w:val="2"/>
      <w:sz w:val="32"/>
      <w:szCs w:val="32"/>
    </w:rPr>
  </w:style>
  <w:style w:type="character" w:customStyle="1" w:styleId="40">
    <w:name w:val="标题 4 字符"/>
    <w:link w:val="4"/>
    <w:qFormat/>
    <w:rsid w:val="009B46F9"/>
    <w:rPr>
      <w:rFonts w:ascii="Arial" w:eastAsia="黑体" w:hAnsi="Arial"/>
      <w:b/>
      <w:bCs/>
      <w:kern w:val="2"/>
      <w:sz w:val="28"/>
      <w:szCs w:val="28"/>
    </w:rPr>
  </w:style>
  <w:style w:type="character" w:customStyle="1" w:styleId="50">
    <w:name w:val="标题 5 字符"/>
    <w:link w:val="5"/>
    <w:qFormat/>
    <w:rsid w:val="009B46F9"/>
    <w:rPr>
      <w:b/>
      <w:bCs/>
      <w:kern w:val="2"/>
      <w:sz w:val="28"/>
      <w:szCs w:val="28"/>
    </w:rPr>
  </w:style>
  <w:style w:type="character" w:customStyle="1" w:styleId="60">
    <w:name w:val="标题 6 字符"/>
    <w:link w:val="6"/>
    <w:qFormat/>
    <w:rsid w:val="009B46F9"/>
    <w:rPr>
      <w:rFonts w:ascii="Arial" w:eastAsia="黑体" w:hAnsi="Arial"/>
      <w:b/>
      <w:bCs/>
      <w:kern w:val="2"/>
      <w:sz w:val="24"/>
      <w:szCs w:val="24"/>
    </w:rPr>
  </w:style>
  <w:style w:type="character" w:customStyle="1" w:styleId="70">
    <w:name w:val="标题 7 字符"/>
    <w:link w:val="7"/>
    <w:qFormat/>
    <w:rsid w:val="009B46F9"/>
    <w:rPr>
      <w:b/>
      <w:bCs/>
      <w:kern w:val="2"/>
      <w:sz w:val="24"/>
      <w:szCs w:val="24"/>
    </w:rPr>
  </w:style>
  <w:style w:type="character" w:customStyle="1" w:styleId="80">
    <w:name w:val="标题 8 字符"/>
    <w:link w:val="8"/>
    <w:qFormat/>
    <w:rsid w:val="009B46F9"/>
    <w:rPr>
      <w:rFonts w:ascii="Arial" w:eastAsia="黑体" w:hAnsi="Arial"/>
      <w:kern w:val="2"/>
      <w:sz w:val="24"/>
      <w:szCs w:val="24"/>
    </w:rPr>
  </w:style>
  <w:style w:type="character" w:customStyle="1" w:styleId="90">
    <w:name w:val="标题 9 字符"/>
    <w:link w:val="9"/>
    <w:qFormat/>
    <w:rsid w:val="009B46F9"/>
    <w:rPr>
      <w:rFonts w:ascii="Arial" w:eastAsia="黑体" w:hAnsi="Arial"/>
      <w:kern w:val="2"/>
      <w:sz w:val="21"/>
      <w:szCs w:val="21"/>
    </w:rPr>
  </w:style>
  <w:style w:type="paragraph" w:styleId="afff9">
    <w:name w:val="header"/>
    <w:basedOn w:val="afff5"/>
    <w:link w:val="afffa"/>
    <w:uiPriority w:val="99"/>
    <w:qFormat/>
    <w:rsid w:val="009B46F9"/>
    <w:pPr>
      <w:tabs>
        <w:tab w:val="center" w:pos="4153"/>
        <w:tab w:val="right" w:pos="8306"/>
      </w:tabs>
      <w:adjustRightInd/>
      <w:snapToGrid w:val="0"/>
      <w:jc w:val="center"/>
    </w:pPr>
    <w:rPr>
      <w:sz w:val="18"/>
      <w:szCs w:val="18"/>
    </w:rPr>
  </w:style>
  <w:style w:type="character" w:customStyle="1" w:styleId="afffa">
    <w:name w:val="页眉 字符"/>
    <w:link w:val="afff9"/>
    <w:uiPriority w:val="99"/>
    <w:qFormat/>
    <w:rsid w:val="009B46F9"/>
    <w:rPr>
      <w:kern w:val="2"/>
      <w:sz w:val="18"/>
      <w:szCs w:val="18"/>
    </w:rPr>
  </w:style>
  <w:style w:type="paragraph" w:styleId="afffb">
    <w:name w:val="footer"/>
    <w:basedOn w:val="afff5"/>
    <w:link w:val="afffc"/>
    <w:uiPriority w:val="99"/>
    <w:qFormat/>
    <w:rsid w:val="009B46F9"/>
    <w:pPr>
      <w:tabs>
        <w:tab w:val="center" w:pos="4153"/>
        <w:tab w:val="right" w:pos="8306"/>
      </w:tabs>
      <w:adjustRightInd/>
      <w:snapToGrid w:val="0"/>
      <w:spacing w:line="240" w:lineRule="auto"/>
      <w:jc w:val="right"/>
    </w:pPr>
    <w:rPr>
      <w:rFonts w:ascii="宋体"/>
      <w:sz w:val="18"/>
      <w:szCs w:val="18"/>
    </w:rPr>
  </w:style>
  <w:style w:type="character" w:customStyle="1" w:styleId="afffc">
    <w:name w:val="页脚 字符"/>
    <w:link w:val="afffb"/>
    <w:uiPriority w:val="99"/>
    <w:qFormat/>
    <w:rsid w:val="009B46F9"/>
    <w:rPr>
      <w:rFonts w:ascii="宋体"/>
      <w:kern w:val="2"/>
      <w:sz w:val="18"/>
      <w:szCs w:val="18"/>
    </w:rPr>
  </w:style>
  <w:style w:type="paragraph" w:styleId="afffd">
    <w:name w:val="Balloon Text"/>
    <w:basedOn w:val="afff5"/>
    <w:link w:val="afffe"/>
    <w:uiPriority w:val="99"/>
    <w:semiHidden/>
    <w:unhideWhenUsed/>
    <w:qFormat/>
    <w:rsid w:val="009B46F9"/>
    <w:rPr>
      <w:sz w:val="18"/>
      <w:szCs w:val="18"/>
    </w:rPr>
  </w:style>
  <w:style w:type="character" w:customStyle="1" w:styleId="afffe">
    <w:name w:val="批注框文本 字符"/>
    <w:link w:val="afffd"/>
    <w:uiPriority w:val="99"/>
    <w:semiHidden/>
    <w:qFormat/>
    <w:rsid w:val="009B46F9"/>
    <w:rPr>
      <w:kern w:val="2"/>
      <w:sz w:val="18"/>
      <w:szCs w:val="18"/>
    </w:rPr>
  </w:style>
  <w:style w:type="paragraph" w:styleId="affff">
    <w:name w:val="Quote"/>
    <w:basedOn w:val="afff5"/>
    <w:next w:val="afff5"/>
    <w:link w:val="affff0"/>
    <w:uiPriority w:val="29"/>
    <w:qFormat/>
    <w:rsid w:val="009B46F9"/>
    <w:rPr>
      <w:i/>
      <w:iCs/>
      <w:color w:val="000000"/>
    </w:rPr>
  </w:style>
  <w:style w:type="character" w:customStyle="1" w:styleId="affff0">
    <w:name w:val="引用 字符"/>
    <w:link w:val="affff"/>
    <w:uiPriority w:val="29"/>
    <w:qFormat/>
    <w:rsid w:val="009B46F9"/>
    <w:rPr>
      <w:i/>
      <w:iCs/>
      <w:color w:val="000000"/>
      <w:kern w:val="2"/>
      <w:sz w:val="21"/>
      <w:szCs w:val="21"/>
    </w:rPr>
  </w:style>
  <w:style w:type="character" w:styleId="affff1">
    <w:name w:val="Strong"/>
    <w:uiPriority w:val="22"/>
    <w:qFormat/>
    <w:rsid w:val="009B46F9"/>
    <w:rPr>
      <w:b/>
      <w:bCs/>
    </w:rPr>
  </w:style>
  <w:style w:type="character" w:styleId="affff2">
    <w:name w:val="Emphasis"/>
    <w:uiPriority w:val="20"/>
    <w:qFormat/>
    <w:rsid w:val="009B46F9"/>
    <w:rPr>
      <w:i/>
      <w:iCs/>
    </w:rPr>
  </w:style>
  <w:style w:type="paragraph" w:styleId="affff3">
    <w:name w:val="Title"/>
    <w:basedOn w:val="afff5"/>
    <w:link w:val="affff4"/>
    <w:qFormat/>
    <w:rsid w:val="009B46F9"/>
    <w:pPr>
      <w:spacing w:before="240" w:after="60"/>
      <w:jc w:val="center"/>
      <w:outlineLvl w:val="0"/>
    </w:pPr>
    <w:rPr>
      <w:rFonts w:ascii="Arial" w:hAnsi="Arial" w:cs="Arial"/>
      <w:b/>
      <w:bCs/>
      <w:sz w:val="32"/>
      <w:szCs w:val="32"/>
    </w:rPr>
  </w:style>
  <w:style w:type="character" w:customStyle="1" w:styleId="affff4">
    <w:name w:val="标题 字符"/>
    <w:link w:val="affff3"/>
    <w:qFormat/>
    <w:rsid w:val="009B46F9"/>
    <w:rPr>
      <w:rFonts w:ascii="Arial" w:hAnsi="Arial" w:cs="Arial"/>
      <w:b/>
      <w:bCs/>
      <w:kern w:val="2"/>
      <w:sz w:val="32"/>
      <w:szCs w:val="32"/>
    </w:rPr>
  </w:style>
  <w:style w:type="paragraph" w:customStyle="1" w:styleId="affff5">
    <w:name w:val="标准标志"/>
    <w:next w:val="afff5"/>
    <w:qFormat/>
    <w:rsid w:val="009B46F9"/>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6">
    <w:name w:val="标准称谓"/>
    <w:next w:val="afff5"/>
    <w:qFormat/>
    <w:rsid w:val="009B46F9"/>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7">
    <w:name w:val="标准文件_页脚偶数页"/>
    <w:qFormat/>
    <w:rsid w:val="009B46F9"/>
    <w:pPr>
      <w:ind w:left="198"/>
    </w:pPr>
    <w:rPr>
      <w:rFonts w:ascii="宋体" w:hAnsi="Times New Roman"/>
      <w:sz w:val="18"/>
    </w:rPr>
  </w:style>
  <w:style w:type="paragraph" w:customStyle="1" w:styleId="affff8">
    <w:name w:val="标准文件_页脚奇数页"/>
    <w:qFormat/>
    <w:rsid w:val="009B46F9"/>
    <w:pPr>
      <w:ind w:right="227"/>
      <w:jc w:val="right"/>
    </w:pPr>
    <w:rPr>
      <w:rFonts w:ascii="宋体" w:hAnsi="Times New Roman"/>
      <w:sz w:val="18"/>
    </w:rPr>
  </w:style>
  <w:style w:type="paragraph" w:customStyle="1" w:styleId="affff9">
    <w:name w:val="标准书眉一"/>
    <w:qFormat/>
    <w:rsid w:val="009B46F9"/>
    <w:pPr>
      <w:jc w:val="both"/>
    </w:pPr>
    <w:rPr>
      <w:rFonts w:ascii="Times New Roman" w:hAnsi="Times New Roman"/>
    </w:rPr>
  </w:style>
  <w:style w:type="paragraph" w:customStyle="1" w:styleId="ICS">
    <w:name w:val="标准文件_ICS"/>
    <w:basedOn w:val="afff5"/>
    <w:qFormat/>
    <w:rsid w:val="009B46F9"/>
    <w:pPr>
      <w:spacing w:line="0" w:lineRule="atLeast"/>
    </w:pPr>
    <w:rPr>
      <w:rFonts w:ascii="黑体" w:eastAsia="黑体" w:hAnsi="宋体"/>
    </w:rPr>
  </w:style>
  <w:style w:type="paragraph" w:customStyle="1" w:styleId="affffa">
    <w:name w:val="标准文件_标准正文"/>
    <w:basedOn w:val="afff5"/>
    <w:next w:val="affffb"/>
    <w:qFormat/>
    <w:rsid w:val="009B46F9"/>
    <w:pPr>
      <w:snapToGrid w:val="0"/>
      <w:ind w:firstLineChars="200" w:firstLine="200"/>
    </w:pPr>
    <w:rPr>
      <w:kern w:val="0"/>
    </w:rPr>
  </w:style>
  <w:style w:type="paragraph" w:customStyle="1" w:styleId="affffc">
    <w:name w:val="标准文件_版本"/>
    <w:basedOn w:val="affffa"/>
    <w:qFormat/>
    <w:rsid w:val="009B46F9"/>
    <w:pPr>
      <w:adjustRightInd/>
      <w:snapToGrid/>
      <w:ind w:firstLineChars="0" w:firstLine="0"/>
    </w:pPr>
    <w:rPr>
      <w:rFonts w:ascii="宋体" w:hAnsi="宋体"/>
      <w:kern w:val="2"/>
    </w:rPr>
  </w:style>
  <w:style w:type="paragraph" w:customStyle="1" w:styleId="affffd">
    <w:name w:val="标准文件_标准部门"/>
    <w:basedOn w:val="afff5"/>
    <w:qFormat/>
    <w:rsid w:val="009B46F9"/>
    <w:pPr>
      <w:jc w:val="center"/>
    </w:pPr>
    <w:rPr>
      <w:rFonts w:ascii="黑体" w:eastAsia="黑体"/>
      <w:kern w:val="0"/>
      <w:sz w:val="44"/>
    </w:rPr>
  </w:style>
  <w:style w:type="paragraph" w:customStyle="1" w:styleId="affffe">
    <w:name w:val="标准文件_标准代替"/>
    <w:basedOn w:val="afff5"/>
    <w:next w:val="afff5"/>
    <w:qFormat/>
    <w:rsid w:val="009B46F9"/>
    <w:pPr>
      <w:spacing w:line="310" w:lineRule="exact"/>
      <w:jc w:val="right"/>
    </w:pPr>
    <w:rPr>
      <w:rFonts w:ascii="宋体" w:hAnsi="宋体"/>
      <w:kern w:val="0"/>
    </w:rPr>
  </w:style>
  <w:style w:type="paragraph" w:customStyle="1" w:styleId="afffff">
    <w:name w:val="标准文件_标准名称标题"/>
    <w:basedOn w:val="afff5"/>
    <w:next w:val="afff5"/>
    <w:qFormat/>
    <w:rsid w:val="009B46F9"/>
    <w:pPr>
      <w:widowControl/>
      <w:shd w:val="clear" w:color="FFFFFF" w:fill="FFFFFF"/>
      <w:adjustRightInd/>
      <w:spacing w:before="640" w:after="100"/>
      <w:jc w:val="center"/>
    </w:pPr>
    <w:rPr>
      <w:rFonts w:ascii="黑体" w:eastAsia="黑体"/>
      <w:kern w:val="0"/>
      <w:sz w:val="32"/>
    </w:rPr>
  </w:style>
  <w:style w:type="paragraph" w:customStyle="1" w:styleId="afffff0">
    <w:name w:val="标准文件_页眉奇数页"/>
    <w:next w:val="afff5"/>
    <w:qFormat/>
    <w:rsid w:val="009B46F9"/>
    <w:pPr>
      <w:tabs>
        <w:tab w:val="center" w:pos="4154"/>
        <w:tab w:val="right" w:pos="8306"/>
      </w:tabs>
      <w:spacing w:after="120"/>
      <w:jc w:val="right"/>
    </w:pPr>
    <w:rPr>
      <w:rFonts w:ascii="黑体" w:eastAsia="黑体" w:hAnsi="宋体"/>
      <w:noProof/>
      <w:sz w:val="21"/>
    </w:rPr>
  </w:style>
  <w:style w:type="paragraph" w:customStyle="1" w:styleId="afffff1">
    <w:name w:val="标准文件_页眉偶数页"/>
    <w:basedOn w:val="afffff0"/>
    <w:next w:val="afff5"/>
    <w:qFormat/>
    <w:rsid w:val="009B46F9"/>
    <w:pPr>
      <w:jc w:val="left"/>
    </w:pPr>
  </w:style>
  <w:style w:type="paragraph" w:customStyle="1" w:styleId="afffff2">
    <w:name w:val="标准文件_参考文献标题"/>
    <w:basedOn w:val="afff5"/>
    <w:next w:val="afff5"/>
    <w:qFormat/>
    <w:rsid w:val="00CD561D"/>
    <w:pPr>
      <w:widowControl/>
      <w:shd w:val="clear" w:color="FFFFFF" w:fill="FFFFFF"/>
      <w:adjustRightInd/>
      <w:spacing w:before="580" w:afterLines="50" w:after="50" w:line="240" w:lineRule="auto"/>
      <w:jc w:val="center"/>
      <w:outlineLvl w:val="0"/>
    </w:pPr>
    <w:rPr>
      <w:rFonts w:ascii="黑体" w:eastAsia="黑体"/>
      <w:kern w:val="0"/>
    </w:rPr>
  </w:style>
  <w:style w:type="paragraph" w:customStyle="1" w:styleId="a0">
    <w:name w:val="标准文件_参考文献条目"/>
    <w:qFormat/>
    <w:rsid w:val="009B46F9"/>
    <w:pPr>
      <w:numPr>
        <w:numId w:val="1"/>
      </w:numPr>
    </w:pPr>
    <w:rPr>
      <w:rFonts w:ascii="宋体" w:hAnsi="Times New Roman"/>
    </w:rPr>
  </w:style>
  <w:style w:type="paragraph" w:customStyle="1" w:styleId="affffb">
    <w:name w:val="标准文件_段"/>
    <w:link w:val="Char"/>
    <w:qFormat/>
    <w:rsid w:val="009B46F9"/>
    <w:pPr>
      <w:autoSpaceDE w:val="0"/>
      <w:autoSpaceDN w:val="0"/>
      <w:ind w:firstLineChars="200" w:firstLine="200"/>
      <w:jc w:val="both"/>
    </w:pPr>
    <w:rPr>
      <w:rFonts w:ascii="宋体" w:hAnsi="Times New Roman"/>
      <w:noProof/>
      <w:sz w:val="21"/>
    </w:rPr>
  </w:style>
  <w:style w:type="paragraph" w:customStyle="1" w:styleId="22">
    <w:name w:val="标准文件_二级条标题2"/>
    <w:next w:val="affffb"/>
    <w:qFormat/>
    <w:rsid w:val="00B93F38"/>
    <w:pPr>
      <w:widowControl w:val="0"/>
      <w:numPr>
        <w:ilvl w:val="3"/>
        <w:numId w:val="28"/>
      </w:numPr>
      <w:snapToGrid w:val="0"/>
      <w:ind w:left="0"/>
      <w:contextualSpacing/>
      <w:jc w:val="both"/>
      <w:outlineLvl w:val="2"/>
    </w:pPr>
    <w:rPr>
      <w:rFonts w:ascii="宋体" w:hAnsi="宋体" w:cs="宋体"/>
      <w:sz w:val="21"/>
    </w:rPr>
  </w:style>
  <w:style w:type="character" w:customStyle="1" w:styleId="afffff3">
    <w:name w:val="标准文件_发布"/>
    <w:qFormat/>
    <w:rsid w:val="009B46F9"/>
    <w:rPr>
      <w:rFonts w:ascii="黑体" w:eastAsia="黑体"/>
      <w:spacing w:val="0"/>
      <w:w w:val="100"/>
      <w:position w:val="3"/>
      <w:sz w:val="28"/>
    </w:rPr>
  </w:style>
  <w:style w:type="paragraph" w:customStyle="1" w:styleId="ae">
    <w:name w:val="标准文件_方框数字列项"/>
    <w:basedOn w:val="affffb"/>
    <w:qFormat/>
    <w:rsid w:val="009B46F9"/>
    <w:pPr>
      <w:numPr>
        <w:numId w:val="3"/>
      </w:numPr>
      <w:ind w:firstLineChars="0" w:firstLine="0"/>
    </w:pPr>
  </w:style>
  <w:style w:type="paragraph" w:customStyle="1" w:styleId="afffff4">
    <w:name w:val="标准文件_封面标准编号"/>
    <w:basedOn w:val="afff5"/>
    <w:next w:val="affffe"/>
    <w:qFormat/>
    <w:rsid w:val="009B46F9"/>
    <w:pPr>
      <w:spacing w:line="310" w:lineRule="exact"/>
      <w:jc w:val="right"/>
    </w:pPr>
    <w:rPr>
      <w:rFonts w:ascii="黑体" w:eastAsia="黑体"/>
      <w:kern w:val="0"/>
      <w:sz w:val="28"/>
    </w:rPr>
  </w:style>
  <w:style w:type="paragraph" w:customStyle="1" w:styleId="afffff5">
    <w:name w:val="标准文件_封面标准分类号"/>
    <w:basedOn w:val="afff5"/>
    <w:qFormat/>
    <w:rsid w:val="009B46F9"/>
    <w:rPr>
      <w:rFonts w:ascii="黑体" w:eastAsia="黑体"/>
      <w:b/>
      <w:kern w:val="0"/>
      <w:sz w:val="28"/>
    </w:rPr>
  </w:style>
  <w:style w:type="paragraph" w:customStyle="1" w:styleId="afffff6">
    <w:name w:val="标准文件_封面标准名称"/>
    <w:basedOn w:val="afff5"/>
    <w:qFormat/>
    <w:rsid w:val="009B46F9"/>
    <w:pPr>
      <w:spacing w:line="240" w:lineRule="auto"/>
      <w:jc w:val="center"/>
    </w:pPr>
    <w:rPr>
      <w:rFonts w:ascii="黑体" w:eastAsia="黑体"/>
      <w:kern w:val="0"/>
      <w:sz w:val="52"/>
    </w:rPr>
  </w:style>
  <w:style w:type="paragraph" w:customStyle="1" w:styleId="afffff7">
    <w:name w:val="标准文件_封面标准英文名称"/>
    <w:basedOn w:val="afff5"/>
    <w:qFormat/>
    <w:rsid w:val="009B46F9"/>
    <w:pPr>
      <w:spacing w:line="240" w:lineRule="auto"/>
      <w:jc w:val="center"/>
    </w:pPr>
    <w:rPr>
      <w:rFonts w:ascii="黑体" w:eastAsia="黑体"/>
      <w:b/>
      <w:sz w:val="28"/>
    </w:rPr>
  </w:style>
  <w:style w:type="paragraph" w:customStyle="1" w:styleId="afffff8">
    <w:name w:val="标准文件_封面发布日期"/>
    <w:basedOn w:val="afff5"/>
    <w:qFormat/>
    <w:rsid w:val="009B46F9"/>
    <w:pPr>
      <w:spacing w:line="310" w:lineRule="exact"/>
    </w:pPr>
    <w:rPr>
      <w:rFonts w:ascii="黑体" w:eastAsia="黑体"/>
      <w:kern w:val="0"/>
      <w:sz w:val="28"/>
    </w:rPr>
  </w:style>
  <w:style w:type="paragraph" w:customStyle="1" w:styleId="afffff9">
    <w:name w:val="标准文件_封面密级"/>
    <w:basedOn w:val="afff5"/>
    <w:qFormat/>
    <w:rsid w:val="009B46F9"/>
    <w:rPr>
      <w:rFonts w:eastAsia="黑体"/>
      <w:sz w:val="32"/>
    </w:rPr>
  </w:style>
  <w:style w:type="paragraph" w:customStyle="1" w:styleId="afffffa">
    <w:name w:val="标准文件_封面实施日期"/>
    <w:basedOn w:val="afff5"/>
    <w:qFormat/>
    <w:rsid w:val="009B46F9"/>
    <w:pPr>
      <w:spacing w:line="310" w:lineRule="exact"/>
      <w:jc w:val="right"/>
    </w:pPr>
    <w:rPr>
      <w:rFonts w:ascii="黑体" w:eastAsia="黑体"/>
      <w:sz w:val="28"/>
    </w:rPr>
  </w:style>
  <w:style w:type="paragraph" w:customStyle="1" w:styleId="afffffb">
    <w:name w:val="标准文件_封面抬头"/>
    <w:basedOn w:val="affffb"/>
    <w:qFormat/>
    <w:rsid w:val="009B46F9"/>
    <w:pPr>
      <w:adjustRightInd w:val="0"/>
      <w:spacing w:line="800" w:lineRule="exact"/>
      <w:ind w:firstLineChars="0" w:firstLine="0"/>
      <w:jc w:val="distribute"/>
    </w:pPr>
    <w:rPr>
      <w:rFonts w:ascii="黑体" w:eastAsia="黑体"/>
      <w:b/>
      <w:sz w:val="64"/>
    </w:rPr>
  </w:style>
  <w:style w:type="paragraph" w:customStyle="1" w:styleId="aff4">
    <w:name w:val="标准文件_附录标识"/>
    <w:next w:val="affffb"/>
    <w:qFormat/>
    <w:rsid w:val="009B46F9"/>
    <w:pPr>
      <w:numPr>
        <w:numId w:val="6"/>
      </w:numPr>
      <w:shd w:val="clear" w:color="FFFFFF" w:fill="FFFFFF"/>
      <w:tabs>
        <w:tab w:val="left" w:pos="6406"/>
      </w:tabs>
      <w:spacing w:before="560" w:afterLines="50" w:after="50"/>
      <w:jc w:val="center"/>
      <w:outlineLvl w:val="0"/>
    </w:pPr>
    <w:rPr>
      <w:rFonts w:ascii="黑体" w:eastAsia="黑体" w:hAnsi="Times New Roman"/>
      <w:noProof/>
      <w:sz w:val="21"/>
    </w:rPr>
  </w:style>
  <w:style w:type="paragraph" w:customStyle="1" w:styleId="aff0">
    <w:name w:val="标准文件_附录表标题"/>
    <w:next w:val="affffb"/>
    <w:qFormat/>
    <w:rsid w:val="009B46F9"/>
    <w:pPr>
      <w:numPr>
        <w:ilvl w:val="1"/>
        <w:numId w:val="4"/>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5">
    <w:name w:val="标准文件_附录一级条标题"/>
    <w:next w:val="affffb"/>
    <w:qFormat/>
    <w:rsid w:val="009B46F9"/>
    <w:pPr>
      <w:widowControl w:val="0"/>
      <w:numPr>
        <w:ilvl w:val="1"/>
        <w:numId w:val="6"/>
      </w:numPr>
      <w:spacing w:beforeLines="50" w:before="50" w:afterLines="50" w:after="50"/>
      <w:jc w:val="both"/>
      <w:outlineLvl w:val="2"/>
    </w:pPr>
    <w:rPr>
      <w:rFonts w:ascii="黑体" w:eastAsia="黑体" w:hAnsi="Times New Roman"/>
      <w:kern w:val="21"/>
      <w:sz w:val="21"/>
    </w:rPr>
  </w:style>
  <w:style w:type="paragraph" w:customStyle="1" w:styleId="aff6">
    <w:name w:val="标准文件_附录二级条标题"/>
    <w:basedOn w:val="aff5"/>
    <w:next w:val="affffb"/>
    <w:qFormat/>
    <w:rsid w:val="009B46F9"/>
    <w:pPr>
      <w:widowControl/>
      <w:numPr>
        <w:ilvl w:val="2"/>
      </w:numPr>
      <w:wordWrap w:val="0"/>
      <w:overflowPunct w:val="0"/>
      <w:autoSpaceDE w:val="0"/>
      <w:autoSpaceDN w:val="0"/>
      <w:textAlignment w:val="baseline"/>
      <w:outlineLvl w:val="3"/>
    </w:pPr>
  </w:style>
  <w:style w:type="paragraph" w:customStyle="1" w:styleId="afffffc">
    <w:name w:val="标准文件_附录公式"/>
    <w:basedOn w:val="affffa"/>
    <w:next w:val="affffa"/>
    <w:qFormat/>
    <w:rsid w:val="009B46F9"/>
    <w:pPr>
      <w:tabs>
        <w:tab w:val="center" w:pos="4678"/>
        <w:tab w:val="right" w:leader="middleDot" w:pos="9356"/>
      </w:tabs>
      <w:spacing w:line="240" w:lineRule="auto"/>
      <w:ind w:right="-51" w:firstLineChars="0" w:firstLine="0"/>
    </w:pPr>
    <w:rPr>
      <w:rFonts w:ascii="宋体" w:hAnsi="宋体"/>
    </w:rPr>
  </w:style>
  <w:style w:type="paragraph" w:customStyle="1" w:styleId="aff7">
    <w:name w:val="标准文件_附录三级条标题"/>
    <w:next w:val="affffb"/>
    <w:qFormat/>
    <w:rsid w:val="009B46F9"/>
    <w:pPr>
      <w:widowControl w:val="0"/>
      <w:numPr>
        <w:ilvl w:val="3"/>
        <w:numId w:val="6"/>
      </w:numPr>
      <w:spacing w:beforeLines="50" w:before="50" w:afterLines="50" w:after="50"/>
      <w:jc w:val="both"/>
      <w:outlineLvl w:val="4"/>
    </w:pPr>
    <w:rPr>
      <w:rFonts w:ascii="黑体" w:eastAsia="黑体" w:hAnsi="Times New Roman"/>
      <w:kern w:val="21"/>
      <w:sz w:val="21"/>
    </w:rPr>
  </w:style>
  <w:style w:type="paragraph" w:customStyle="1" w:styleId="aff8">
    <w:name w:val="标准文件_附录四级条标题"/>
    <w:next w:val="affffb"/>
    <w:qFormat/>
    <w:rsid w:val="009B46F9"/>
    <w:pPr>
      <w:widowControl w:val="0"/>
      <w:numPr>
        <w:ilvl w:val="4"/>
        <w:numId w:val="6"/>
      </w:numPr>
      <w:spacing w:beforeLines="50" w:before="50" w:afterLines="50" w:after="50"/>
      <w:jc w:val="both"/>
      <w:outlineLvl w:val="5"/>
    </w:pPr>
    <w:rPr>
      <w:rFonts w:ascii="黑体" w:eastAsia="黑体" w:hAnsi="Times New Roman"/>
      <w:kern w:val="21"/>
      <w:sz w:val="21"/>
    </w:rPr>
  </w:style>
  <w:style w:type="paragraph" w:customStyle="1" w:styleId="afa">
    <w:name w:val="标准文件_附录图标题"/>
    <w:next w:val="affffb"/>
    <w:qFormat/>
    <w:rsid w:val="009B46F9"/>
    <w:pPr>
      <w:numPr>
        <w:ilvl w:val="1"/>
        <w:numId w:val="5"/>
      </w:numPr>
      <w:adjustRightInd w:val="0"/>
      <w:snapToGrid w:val="0"/>
      <w:spacing w:beforeLines="50" w:before="50" w:afterLines="50" w:after="50"/>
      <w:jc w:val="center"/>
    </w:pPr>
    <w:rPr>
      <w:rFonts w:ascii="黑体" w:eastAsia="黑体" w:hAnsi="Times New Roman"/>
      <w:sz w:val="21"/>
    </w:rPr>
  </w:style>
  <w:style w:type="paragraph" w:customStyle="1" w:styleId="aff9">
    <w:name w:val="标准文件_附录五级条标题"/>
    <w:next w:val="affffb"/>
    <w:qFormat/>
    <w:rsid w:val="009B46F9"/>
    <w:pPr>
      <w:widowControl w:val="0"/>
      <w:numPr>
        <w:ilvl w:val="5"/>
        <w:numId w:val="6"/>
      </w:numPr>
      <w:spacing w:beforeLines="50" w:before="50" w:afterLines="50" w:after="50"/>
      <w:jc w:val="both"/>
      <w:outlineLvl w:val="6"/>
    </w:pPr>
    <w:rPr>
      <w:rFonts w:ascii="黑体" w:eastAsia="黑体" w:hAnsi="Times New Roman"/>
      <w:kern w:val="21"/>
      <w:sz w:val="21"/>
    </w:rPr>
  </w:style>
  <w:style w:type="paragraph" w:customStyle="1" w:styleId="af1">
    <w:name w:val="标准文件_附录英文标识"/>
    <w:next w:val="afffffd"/>
    <w:qFormat/>
    <w:rsid w:val="009B46F9"/>
    <w:pPr>
      <w:numPr>
        <w:numId w:val="7"/>
      </w:numPr>
      <w:tabs>
        <w:tab w:val="left" w:pos="6406"/>
      </w:tabs>
      <w:spacing w:before="220" w:after="320"/>
      <w:jc w:val="center"/>
      <w:outlineLvl w:val="0"/>
    </w:pPr>
    <w:rPr>
      <w:rFonts w:ascii="黑体" w:eastAsia="黑体" w:hAnsi="Times New Roman"/>
      <w:sz w:val="21"/>
    </w:rPr>
  </w:style>
  <w:style w:type="paragraph" w:styleId="afffffd">
    <w:name w:val="Body Text"/>
    <w:basedOn w:val="afff5"/>
    <w:link w:val="afffffe"/>
    <w:qFormat/>
    <w:rsid w:val="009B46F9"/>
    <w:pPr>
      <w:spacing w:after="120"/>
    </w:pPr>
  </w:style>
  <w:style w:type="character" w:customStyle="1" w:styleId="afffffe">
    <w:name w:val="正文文本 字符"/>
    <w:link w:val="afffffd"/>
    <w:qFormat/>
    <w:rsid w:val="009B46F9"/>
    <w:rPr>
      <w:kern w:val="2"/>
      <w:sz w:val="21"/>
      <w:szCs w:val="21"/>
    </w:rPr>
  </w:style>
  <w:style w:type="paragraph" w:customStyle="1" w:styleId="affffff">
    <w:name w:val="标准文件_附录章标题"/>
    <w:next w:val="affffb"/>
    <w:qFormat/>
    <w:rsid w:val="009B46F9"/>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0">
    <w:name w:val="标准文件_公式后的破折号"/>
    <w:basedOn w:val="affffb"/>
    <w:next w:val="affffb"/>
    <w:qFormat/>
    <w:rsid w:val="009B46F9"/>
    <w:pPr>
      <w:ind w:leftChars="200" w:left="488" w:hangingChars="290" w:hanging="289"/>
    </w:pPr>
  </w:style>
  <w:style w:type="paragraph" w:customStyle="1" w:styleId="a7">
    <w:name w:val="标准文件_前言、引言标题"/>
    <w:next w:val="afff5"/>
    <w:qFormat/>
    <w:rsid w:val="00CD561D"/>
    <w:pPr>
      <w:numPr>
        <w:numId w:val="18"/>
      </w:numPr>
      <w:shd w:val="clear" w:color="FFFFFF" w:fill="FFFFFF"/>
      <w:spacing w:before="480" w:afterLines="150" w:after="150"/>
      <w:jc w:val="center"/>
      <w:outlineLvl w:val="0"/>
    </w:pPr>
    <w:rPr>
      <w:rFonts w:ascii="黑体" w:eastAsia="黑体" w:hAnsi="Times New Roman"/>
      <w:sz w:val="32"/>
    </w:rPr>
  </w:style>
  <w:style w:type="paragraph" w:customStyle="1" w:styleId="affffff1">
    <w:name w:val="标准文件_目次、标准名称标题"/>
    <w:basedOn w:val="a7"/>
    <w:next w:val="affffb"/>
    <w:qFormat/>
    <w:rsid w:val="009B46F9"/>
    <w:pPr>
      <w:spacing w:line="460" w:lineRule="exact"/>
      <w:ind w:left="0" w:firstLine="0"/>
    </w:pPr>
  </w:style>
  <w:style w:type="paragraph" w:customStyle="1" w:styleId="affffff2">
    <w:name w:val="标准文件_目录标题"/>
    <w:basedOn w:val="afff5"/>
    <w:qFormat/>
    <w:rsid w:val="00CD561D"/>
    <w:pPr>
      <w:spacing w:before="480" w:afterLines="150" w:after="150" w:line="240" w:lineRule="auto"/>
      <w:jc w:val="center"/>
    </w:pPr>
    <w:rPr>
      <w:rFonts w:ascii="黑体" w:eastAsia="黑体"/>
      <w:sz w:val="32"/>
    </w:rPr>
  </w:style>
  <w:style w:type="paragraph" w:customStyle="1" w:styleId="af2">
    <w:name w:val="标准文件_破折号列项"/>
    <w:qFormat/>
    <w:rsid w:val="009B46F9"/>
    <w:pPr>
      <w:numPr>
        <w:numId w:val="8"/>
      </w:numPr>
      <w:adjustRightInd w:val="0"/>
      <w:snapToGrid w:val="0"/>
      <w:ind w:firstLineChars="200" w:firstLine="200"/>
    </w:pPr>
    <w:rPr>
      <w:rFonts w:ascii="Times New Roman" w:hAnsi="Times New Roman"/>
      <w:sz w:val="21"/>
    </w:rPr>
  </w:style>
  <w:style w:type="paragraph" w:customStyle="1" w:styleId="afd">
    <w:name w:val="标准文件_破折号列项（二级）"/>
    <w:basedOn w:val="af2"/>
    <w:qFormat/>
    <w:rsid w:val="009B46F9"/>
    <w:pPr>
      <w:numPr>
        <w:numId w:val="9"/>
      </w:numPr>
    </w:pPr>
  </w:style>
  <w:style w:type="paragraph" w:customStyle="1" w:styleId="afff">
    <w:name w:val="标准文件_三级条标题"/>
    <w:basedOn w:val="22"/>
    <w:next w:val="affffb"/>
    <w:qFormat/>
    <w:rsid w:val="009B46F9"/>
    <w:pPr>
      <w:widowControl/>
      <w:numPr>
        <w:ilvl w:val="4"/>
      </w:numPr>
      <w:outlineLvl w:val="3"/>
    </w:pPr>
  </w:style>
  <w:style w:type="character" w:styleId="affffff3">
    <w:name w:val="Subtle Reference"/>
    <w:uiPriority w:val="31"/>
    <w:qFormat/>
    <w:rsid w:val="009B46F9"/>
    <w:rPr>
      <w:smallCaps/>
      <w:color w:val="C0504D"/>
      <w:u w:val="single"/>
    </w:rPr>
  </w:style>
  <w:style w:type="paragraph" w:customStyle="1" w:styleId="affffff4">
    <w:name w:val="标准文件_示例后续"/>
    <w:basedOn w:val="afff5"/>
    <w:qFormat/>
    <w:rsid w:val="009B46F9"/>
    <w:pPr>
      <w:adjustRightInd/>
      <w:spacing w:line="240" w:lineRule="auto"/>
      <w:ind w:firstLineChars="200" w:firstLine="200"/>
    </w:pPr>
    <w:rPr>
      <w:sz w:val="18"/>
      <w:szCs w:val="24"/>
    </w:rPr>
  </w:style>
  <w:style w:type="paragraph" w:customStyle="1" w:styleId="affa">
    <w:name w:val="标准文件_数字编号列项"/>
    <w:qFormat/>
    <w:rsid w:val="009B46F9"/>
    <w:pPr>
      <w:numPr>
        <w:numId w:val="13"/>
      </w:numPr>
      <w:jc w:val="both"/>
    </w:pPr>
    <w:rPr>
      <w:rFonts w:ascii="宋体" w:hAnsi="宋体"/>
      <w:sz w:val="21"/>
    </w:rPr>
  </w:style>
  <w:style w:type="paragraph" w:customStyle="1" w:styleId="afff0">
    <w:name w:val="标准文件_四级条标题"/>
    <w:next w:val="affffb"/>
    <w:qFormat/>
    <w:rsid w:val="009B46F9"/>
    <w:pPr>
      <w:widowControl w:val="0"/>
      <w:numPr>
        <w:ilvl w:val="5"/>
        <w:numId w:val="28"/>
      </w:numPr>
      <w:spacing w:beforeLines="50" w:before="50" w:afterLines="50" w:after="50"/>
      <w:jc w:val="both"/>
      <w:outlineLvl w:val="4"/>
    </w:pPr>
    <w:rPr>
      <w:rFonts w:ascii="黑体" w:eastAsia="黑体" w:hAnsi="Times New Roman"/>
      <w:sz w:val="21"/>
    </w:rPr>
  </w:style>
  <w:style w:type="paragraph" w:styleId="affffff5">
    <w:name w:val="footnote text"/>
    <w:basedOn w:val="afff5"/>
    <w:next w:val="afff5"/>
    <w:link w:val="affffff6"/>
    <w:semiHidden/>
    <w:qFormat/>
    <w:rsid w:val="009B46F9"/>
    <w:pPr>
      <w:adjustRightInd/>
      <w:snapToGrid w:val="0"/>
      <w:spacing w:line="300" w:lineRule="exact"/>
      <w:ind w:leftChars="200" w:left="400" w:hangingChars="200" w:hanging="200"/>
      <w:jc w:val="left"/>
    </w:pPr>
    <w:rPr>
      <w:rFonts w:ascii="宋体"/>
      <w:sz w:val="18"/>
      <w:szCs w:val="18"/>
    </w:rPr>
  </w:style>
  <w:style w:type="character" w:customStyle="1" w:styleId="affffff6">
    <w:name w:val="脚注文本 字符"/>
    <w:link w:val="affffff5"/>
    <w:semiHidden/>
    <w:qFormat/>
    <w:rsid w:val="009B46F9"/>
    <w:rPr>
      <w:rFonts w:ascii="宋体"/>
      <w:kern w:val="2"/>
      <w:sz w:val="18"/>
      <w:szCs w:val="18"/>
    </w:rPr>
  </w:style>
  <w:style w:type="paragraph" w:customStyle="1" w:styleId="affffff7">
    <w:name w:val="标准文件_条文脚注"/>
    <w:basedOn w:val="affffff5"/>
    <w:qFormat/>
    <w:rsid w:val="009B46F9"/>
    <w:pPr>
      <w:adjustRightInd w:val="0"/>
      <w:spacing w:line="240" w:lineRule="auto"/>
      <w:ind w:leftChars="0" w:left="0" w:firstLineChars="200" w:firstLine="200"/>
      <w:jc w:val="both"/>
    </w:pPr>
    <w:rPr>
      <w:rFonts w:hAnsi="宋体"/>
    </w:rPr>
  </w:style>
  <w:style w:type="paragraph" w:customStyle="1" w:styleId="af5">
    <w:name w:val="标准文件_图表脚注"/>
    <w:basedOn w:val="afff5"/>
    <w:next w:val="affffb"/>
    <w:qFormat/>
    <w:rsid w:val="009B46F9"/>
    <w:pPr>
      <w:numPr>
        <w:numId w:val="14"/>
      </w:numPr>
      <w:spacing w:line="240" w:lineRule="auto"/>
      <w:jc w:val="left"/>
    </w:pPr>
    <w:rPr>
      <w:rFonts w:ascii="宋体" w:hAnsi="宋体"/>
      <w:sz w:val="18"/>
    </w:rPr>
  </w:style>
  <w:style w:type="character" w:styleId="affffff8">
    <w:name w:val="footnote reference"/>
    <w:aliases w:val="标准文件_脚注引用"/>
    <w:semiHidden/>
    <w:qFormat/>
    <w:rsid w:val="009B46F9"/>
    <w:rPr>
      <w:rFonts w:ascii="宋体" w:eastAsia="宋体" w:hAnsi="宋体" w:cs="Times New Roman"/>
      <w:spacing w:val="0"/>
      <w:sz w:val="18"/>
      <w:vertAlign w:val="superscript"/>
    </w:rPr>
  </w:style>
  <w:style w:type="character" w:customStyle="1" w:styleId="affffff9">
    <w:name w:val="标准文件_图表脚注内容"/>
    <w:qFormat/>
    <w:rsid w:val="009B46F9"/>
    <w:rPr>
      <w:rFonts w:ascii="宋体" w:eastAsia="宋体" w:hAnsi="宋体" w:cs="Times New Roman"/>
      <w:spacing w:val="0"/>
      <w:sz w:val="18"/>
      <w:vertAlign w:val="superscript"/>
    </w:rPr>
  </w:style>
  <w:style w:type="paragraph" w:customStyle="1" w:styleId="afff1">
    <w:name w:val="标准文件_五级条标题"/>
    <w:next w:val="affffb"/>
    <w:qFormat/>
    <w:rsid w:val="009B46F9"/>
    <w:pPr>
      <w:widowControl w:val="0"/>
      <w:numPr>
        <w:ilvl w:val="6"/>
        <w:numId w:val="28"/>
      </w:numPr>
      <w:spacing w:beforeLines="50" w:before="50" w:afterLines="50" w:after="50"/>
      <w:jc w:val="both"/>
      <w:outlineLvl w:val="5"/>
    </w:pPr>
    <w:rPr>
      <w:rFonts w:ascii="黑体" w:eastAsia="黑体" w:hAnsi="Times New Roman"/>
      <w:sz w:val="21"/>
    </w:rPr>
  </w:style>
  <w:style w:type="paragraph" w:customStyle="1" w:styleId="affd">
    <w:name w:val="标准文件_章标题"/>
    <w:next w:val="affffb"/>
    <w:qFormat/>
    <w:rsid w:val="009B46F9"/>
    <w:pPr>
      <w:numPr>
        <w:ilvl w:val="1"/>
        <w:numId w:val="28"/>
      </w:numPr>
      <w:spacing w:beforeLines="100" w:before="100" w:afterLines="100" w:after="100"/>
      <w:jc w:val="both"/>
      <w:outlineLvl w:val="0"/>
    </w:pPr>
    <w:rPr>
      <w:rFonts w:ascii="黑体" w:eastAsia="黑体" w:hAnsi="Times New Roman"/>
      <w:sz w:val="21"/>
    </w:rPr>
  </w:style>
  <w:style w:type="paragraph" w:customStyle="1" w:styleId="affe">
    <w:name w:val="标准文件_一级条标题"/>
    <w:basedOn w:val="affd"/>
    <w:next w:val="affffb"/>
    <w:qFormat/>
    <w:rsid w:val="009B46F9"/>
    <w:pPr>
      <w:numPr>
        <w:ilvl w:val="2"/>
      </w:numPr>
      <w:spacing w:beforeLines="50" w:before="50" w:afterLines="50" w:after="50"/>
      <w:outlineLvl w:val="1"/>
    </w:pPr>
  </w:style>
  <w:style w:type="paragraph" w:customStyle="1" w:styleId="affffffa">
    <w:name w:val="标准文件_一致程度"/>
    <w:basedOn w:val="afff5"/>
    <w:qFormat/>
    <w:rsid w:val="009B46F9"/>
    <w:pPr>
      <w:spacing w:line="440" w:lineRule="exact"/>
      <w:jc w:val="center"/>
    </w:pPr>
    <w:rPr>
      <w:sz w:val="28"/>
    </w:rPr>
  </w:style>
  <w:style w:type="paragraph" w:customStyle="1" w:styleId="affffffb">
    <w:name w:val="标准文件_引言标题"/>
    <w:next w:val="afff5"/>
    <w:qFormat/>
    <w:rsid w:val="009B46F9"/>
    <w:pPr>
      <w:shd w:val="clear" w:color="FFFFFF" w:fill="FFFFFF"/>
      <w:spacing w:before="540" w:after="600"/>
      <w:jc w:val="center"/>
      <w:outlineLvl w:val="0"/>
    </w:pPr>
    <w:rPr>
      <w:rFonts w:ascii="黑体" w:eastAsia="黑体" w:hAnsi="Times New Roman"/>
      <w:sz w:val="32"/>
    </w:rPr>
  </w:style>
  <w:style w:type="paragraph" w:customStyle="1" w:styleId="affffffc">
    <w:name w:val="标准文件_英文图表脚注"/>
    <w:basedOn w:val="affffa"/>
    <w:qFormat/>
    <w:rsid w:val="009B46F9"/>
    <w:pPr>
      <w:widowControl/>
      <w:adjustRightInd/>
      <w:snapToGrid/>
      <w:spacing w:line="240" w:lineRule="auto"/>
      <w:ind w:left="79" w:hangingChars="80" w:hanging="79"/>
    </w:pPr>
    <w:rPr>
      <w:rFonts w:ascii="宋体" w:hAnsi="宋体"/>
    </w:rPr>
  </w:style>
  <w:style w:type="paragraph" w:customStyle="1" w:styleId="af7">
    <w:name w:val="标准文件_数字编号列项（二级）"/>
    <w:qFormat/>
    <w:rsid w:val="00D12EC7"/>
    <w:pPr>
      <w:numPr>
        <w:ilvl w:val="1"/>
        <w:numId w:val="32"/>
      </w:numPr>
      <w:jc w:val="both"/>
    </w:pPr>
    <w:rPr>
      <w:rFonts w:ascii="宋体" w:hAnsi="Times New Roman"/>
      <w:sz w:val="21"/>
    </w:rPr>
  </w:style>
  <w:style w:type="paragraph" w:customStyle="1" w:styleId="af0">
    <w:name w:val="标准文件_英文注："/>
    <w:basedOn w:val="afff5"/>
    <w:next w:val="affffb"/>
    <w:qFormat/>
    <w:rsid w:val="009B46F9"/>
    <w:pPr>
      <w:numPr>
        <w:numId w:val="19"/>
      </w:numPr>
      <w:tabs>
        <w:tab w:val="left" w:pos="420"/>
      </w:tabs>
      <w:autoSpaceDE w:val="0"/>
      <w:autoSpaceDN w:val="0"/>
      <w:spacing w:line="240" w:lineRule="auto"/>
    </w:pPr>
    <w:rPr>
      <w:rFonts w:ascii="宋体" w:hAnsi="宋体"/>
      <w:kern w:val="0"/>
      <w:sz w:val="18"/>
      <w:szCs w:val="20"/>
    </w:rPr>
  </w:style>
  <w:style w:type="paragraph" w:customStyle="1" w:styleId="aff1">
    <w:name w:val="标准文件_英文注×："/>
    <w:basedOn w:val="afff5"/>
    <w:qFormat/>
    <w:rsid w:val="009B46F9"/>
    <w:pPr>
      <w:numPr>
        <w:numId w:val="20"/>
      </w:numPr>
      <w:tabs>
        <w:tab w:val="left" w:pos="210"/>
      </w:tabs>
      <w:autoSpaceDE w:val="0"/>
      <w:autoSpaceDN w:val="0"/>
      <w:spacing w:line="240" w:lineRule="auto"/>
    </w:pPr>
    <w:rPr>
      <w:rFonts w:ascii="宋体" w:hAnsi="宋体"/>
      <w:kern w:val="0"/>
      <w:szCs w:val="20"/>
    </w:rPr>
  </w:style>
  <w:style w:type="paragraph" w:customStyle="1" w:styleId="aff3">
    <w:name w:val="标准文件_正文表标题"/>
    <w:next w:val="affffb"/>
    <w:qFormat/>
    <w:rsid w:val="009B46F9"/>
    <w:pPr>
      <w:numPr>
        <w:numId w:val="21"/>
      </w:numPr>
      <w:tabs>
        <w:tab w:val="left" w:pos="0"/>
      </w:tabs>
      <w:spacing w:beforeLines="50" w:before="50" w:afterLines="50" w:after="50"/>
      <w:jc w:val="center"/>
    </w:pPr>
    <w:rPr>
      <w:rFonts w:ascii="黑体" w:eastAsia="黑体" w:hAnsi="Times New Roman"/>
      <w:sz w:val="21"/>
    </w:rPr>
  </w:style>
  <w:style w:type="paragraph" w:customStyle="1" w:styleId="affffffd">
    <w:name w:val="标准文件_正文公式"/>
    <w:basedOn w:val="afff5"/>
    <w:next w:val="affffa"/>
    <w:qFormat/>
    <w:rsid w:val="009B46F9"/>
    <w:pPr>
      <w:tabs>
        <w:tab w:val="center" w:pos="4678"/>
        <w:tab w:val="right" w:leader="middleDot" w:pos="9356"/>
      </w:tabs>
      <w:spacing w:line="240" w:lineRule="auto"/>
    </w:pPr>
    <w:rPr>
      <w:rFonts w:ascii="宋体" w:hAnsi="宋体"/>
    </w:rPr>
  </w:style>
  <w:style w:type="paragraph" w:customStyle="1" w:styleId="afe">
    <w:name w:val="标准文件_正文图标题"/>
    <w:next w:val="affffb"/>
    <w:qFormat/>
    <w:rsid w:val="009B46F9"/>
    <w:pPr>
      <w:numPr>
        <w:numId w:val="22"/>
      </w:numPr>
      <w:spacing w:beforeLines="50" w:before="50" w:afterLines="50" w:after="50"/>
      <w:jc w:val="center"/>
    </w:pPr>
    <w:rPr>
      <w:rFonts w:ascii="黑体" w:eastAsia="黑体" w:hAnsi="Times New Roman"/>
      <w:sz w:val="21"/>
    </w:rPr>
  </w:style>
  <w:style w:type="paragraph" w:customStyle="1" w:styleId="afff3">
    <w:name w:val="标准文件_正文英文表标题"/>
    <w:next w:val="affffb"/>
    <w:qFormat/>
    <w:rsid w:val="009B46F9"/>
    <w:pPr>
      <w:numPr>
        <w:numId w:val="23"/>
      </w:numPr>
      <w:jc w:val="center"/>
    </w:pPr>
    <w:rPr>
      <w:rFonts w:ascii="黑体" w:eastAsia="黑体" w:hAnsi="Times New Roman"/>
      <w:sz w:val="21"/>
    </w:rPr>
  </w:style>
  <w:style w:type="paragraph" w:customStyle="1" w:styleId="afc">
    <w:name w:val="标准文件_正文英文图标题"/>
    <w:next w:val="affffb"/>
    <w:qFormat/>
    <w:rsid w:val="009B46F9"/>
    <w:pPr>
      <w:numPr>
        <w:numId w:val="24"/>
      </w:numPr>
      <w:jc w:val="center"/>
    </w:pPr>
    <w:rPr>
      <w:rFonts w:ascii="黑体" w:eastAsia="黑体" w:hAnsi="Times New Roman"/>
      <w:sz w:val="21"/>
    </w:rPr>
  </w:style>
  <w:style w:type="paragraph" w:customStyle="1" w:styleId="af8">
    <w:name w:val="标准文件_编号列项（三级）"/>
    <w:qFormat/>
    <w:rsid w:val="009B46F9"/>
    <w:pPr>
      <w:numPr>
        <w:ilvl w:val="2"/>
        <w:numId w:val="32"/>
      </w:numPr>
    </w:pPr>
    <w:rPr>
      <w:rFonts w:ascii="宋体" w:hAnsi="Times New Roman"/>
      <w:sz w:val="21"/>
    </w:rPr>
  </w:style>
  <w:style w:type="character" w:styleId="affffffe">
    <w:name w:val="Hyperlink"/>
    <w:uiPriority w:val="99"/>
    <w:qFormat/>
    <w:rsid w:val="009B46F9"/>
    <w:rPr>
      <w:rFonts w:ascii="宋体" w:eastAsia="宋体" w:hAnsi="Times New Roman"/>
      <w:dstrike w:val="0"/>
      <w:color w:val="auto"/>
      <w:spacing w:val="0"/>
      <w:w w:val="100"/>
      <w:position w:val="0"/>
      <w:sz w:val="21"/>
      <w:u w:val="none"/>
      <w:vertAlign w:val="baseline"/>
    </w:rPr>
  </w:style>
  <w:style w:type="paragraph" w:customStyle="1" w:styleId="a2">
    <w:name w:val="二级无标题条"/>
    <w:basedOn w:val="afff5"/>
    <w:qFormat/>
    <w:rsid w:val="009B46F9"/>
    <w:pPr>
      <w:numPr>
        <w:ilvl w:val="3"/>
        <w:numId w:val="30"/>
      </w:numPr>
      <w:adjustRightInd/>
      <w:spacing w:line="240" w:lineRule="auto"/>
    </w:pPr>
    <w:rPr>
      <w:rFonts w:ascii="宋体" w:hAnsi="宋体"/>
      <w:szCs w:val="24"/>
    </w:rPr>
  </w:style>
  <w:style w:type="paragraph" w:customStyle="1" w:styleId="afffffff">
    <w:name w:val="发布部门"/>
    <w:next w:val="affffb"/>
    <w:qFormat/>
    <w:rsid w:val="009B46F9"/>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0">
    <w:name w:val="发布日期"/>
    <w:qFormat/>
    <w:rsid w:val="009B46F9"/>
    <w:pPr>
      <w:framePr w:w="4000" w:h="473" w:hRule="exact" w:hSpace="180" w:vSpace="180" w:wrap="around" w:hAnchor="margin" w:y="13511" w:anchorLock="1"/>
    </w:pPr>
    <w:rPr>
      <w:rFonts w:ascii="Times New Roman" w:eastAsia="黑体" w:hAnsi="Times New Roman"/>
      <w:sz w:val="28"/>
    </w:rPr>
  </w:style>
  <w:style w:type="paragraph" w:customStyle="1" w:styleId="afffffff1">
    <w:name w:val="封面标准代替信息"/>
    <w:basedOn w:val="afff5"/>
    <w:qFormat/>
    <w:rsid w:val="009B46F9"/>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2">
    <w:name w:val="封面标准名称"/>
    <w:qFormat/>
    <w:rsid w:val="009B46F9"/>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3">
    <w:name w:val="封面标准文稿编辑信息"/>
    <w:qFormat/>
    <w:rsid w:val="009B46F9"/>
    <w:pPr>
      <w:spacing w:before="180" w:line="180" w:lineRule="exact"/>
      <w:jc w:val="center"/>
    </w:pPr>
    <w:rPr>
      <w:rFonts w:ascii="宋体" w:hAnsi="Times New Roman"/>
      <w:sz w:val="21"/>
    </w:rPr>
  </w:style>
  <w:style w:type="paragraph" w:customStyle="1" w:styleId="afffffff4">
    <w:name w:val="封面标准文稿类别"/>
    <w:qFormat/>
    <w:rsid w:val="009B46F9"/>
    <w:pPr>
      <w:spacing w:before="440" w:line="400" w:lineRule="exact"/>
      <w:jc w:val="center"/>
    </w:pPr>
    <w:rPr>
      <w:rFonts w:ascii="宋体" w:hAnsi="Times New Roman"/>
      <w:sz w:val="24"/>
    </w:rPr>
  </w:style>
  <w:style w:type="paragraph" w:customStyle="1" w:styleId="afffffff5">
    <w:name w:val="封面标准英文名称"/>
    <w:qFormat/>
    <w:rsid w:val="009B46F9"/>
    <w:pPr>
      <w:widowControl w:val="0"/>
      <w:spacing w:line="360" w:lineRule="exact"/>
      <w:jc w:val="center"/>
    </w:pPr>
    <w:rPr>
      <w:rFonts w:ascii="Times New Roman" w:hAnsi="Times New Roman"/>
      <w:sz w:val="28"/>
    </w:rPr>
  </w:style>
  <w:style w:type="paragraph" w:customStyle="1" w:styleId="afffffff6">
    <w:name w:val="封面一致性程度标识"/>
    <w:qFormat/>
    <w:rsid w:val="009B46F9"/>
    <w:pPr>
      <w:spacing w:before="440" w:line="440" w:lineRule="exact"/>
      <w:jc w:val="center"/>
    </w:pPr>
    <w:rPr>
      <w:rFonts w:ascii="Times New Roman" w:hAnsi="Times New Roman"/>
      <w:sz w:val="28"/>
    </w:rPr>
  </w:style>
  <w:style w:type="paragraph" w:customStyle="1" w:styleId="afffffff7">
    <w:name w:val="封面正文"/>
    <w:qFormat/>
    <w:rsid w:val="009B46F9"/>
    <w:pPr>
      <w:jc w:val="both"/>
    </w:pPr>
    <w:rPr>
      <w:rFonts w:ascii="Times New Roman" w:hAnsi="Times New Roman"/>
    </w:rPr>
  </w:style>
  <w:style w:type="paragraph" w:customStyle="1" w:styleId="afffffff8">
    <w:name w:val="附录二级无标题条"/>
    <w:basedOn w:val="afff5"/>
    <w:next w:val="affffb"/>
    <w:qFormat/>
    <w:rsid w:val="009B46F9"/>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9">
    <w:name w:val="附录三级无标题条"/>
    <w:basedOn w:val="afffffff8"/>
    <w:next w:val="affffb"/>
    <w:qFormat/>
    <w:rsid w:val="009B46F9"/>
    <w:pPr>
      <w:outlineLvl w:val="4"/>
    </w:pPr>
  </w:style>
  <w:style w:type="paragraph" w:customStyle="1" w:styleId="afffffffa">
    <w:name w:val="附录四级无标题条"/>
    <w:basedOn w:val="afffffff9"/>
    <w:next w:val="affffb"/>
    <w:qFormat/>
    <w:rsid w:val="009B46F9"/>
    <w:pPr>
      <w:outlineLvl w:val="5"/>
    </w:pPr>
  </w:style>
  <w:style w:type="paragraph" w:customStyle="1" w:styleId="afffffffb">
    <w:name w:val="附录图"/>
    <w:next w:val="affffb"/>
    <w:qFormat/>
    <w:rsid w:val="009B46F9"/>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3">
    <w:name w:val="标准文件_一级项"/>
    <w:qFormat/>
    <w:rsid w:val="009B46F9"/>
    <w:pPr>
      <w:numPr>
        <w:numId w:val="16"/>
      </w:numPr>
    </w:pPr>
    <w:rPr>
      <w:rFonts w:ascii="宋体" w:hAnsi="Times New Roman"/>
      <w:sz w:val="21"/>
    </w:rPr>
  </w:style>
  <w:style w:type="paragraph" w:customStyle="1" w:styleId="afffffffc">
    <w:name w:val="附录五级无标题条"/>
    <w:basedOn w:val="afffffffa"/>
    <w:next w:val="affffb"/>
    <w:qFormat/>
    <w:rsid w:val="009B46F9"/>
    <w:pPr>
      <w:outlineLvl w:val="6"/>
    </w:pPr>
  </w:style>
  <w:style w:type="paragraph" w:customStyle="1" w:styleId="afffffffd">
    <w:name w:val="附录性质"/>
    <w:basedOn w:val="afff5"/>
    <w:qFormat/>
    <w:rsid w:val="009B46F9"/>
    <w:pPr>
      <w:widowControl/>
      <w:adjustRightInd/>
      <w:jc w:val="center"/>
    </w:pPr>
    <w:rPr>
      <w:rFonts w:ascii="黑体" w:eastAsia="黑体"/>
    </w:rPr>
  </w:style>
  <w:style w:type="paragraph" w:customStyle="1" w:styleId="afffffffe">
    <w:name w:val="附录一级无标题条"/>
    <w:basedOn w:val="affffff"/>
    <w:next w:val="affffb"/>
    <w:qFormat/>
    <w:rsid w:val="009B46F9"/>
    <w:pPr>
      <w:autoSpaceDN w:val="0"/>
      <w:outlineLvl w:val="2"/>
    </w:pPr>
    <w:rPr>
      <w:rFonts w:ascii="宋体" w:eastAsia="宋体" w:hAnsi="宋体"/>
    </w:rPr>
  </w:style>
  <w:style w:type="character" w:customStyle="1" w:styleId="affffffff">
    <w:name w:val="个人答复风格"/>
    <w:qFormat/>
    <w:rsid w:val="009B46F9"/>
    <w:rPr>
      <w:rFonts w:ascii="Arial" w:eastAsia="宋体" w:hAnsi="Arial" w:cs="Arial"/>
      <w:color w:val="auto"/>
      <w:spacing w:val="0"/>
      <w:sz w:val="20"/>
    </w:rPr>
  </w:style>
  <w:style w:type="character" w:customStyle="1" w:styleId="affffffff0">
    <w:name w:val="个人撰写风格"/>
    <w:qFormat/>
    <w:rsid w:val="009B46F9"/>
    <w:rPr>
      <w:rFonts w:ascii="Arial" w:eastAsia="宋体" w:hAnsi="Arial" w:cs="Arial"/>
      <w:color w:val="auto"/>
      <w:spacing w:val="0"/>
      <w:sz w:val="20"/>
    </w:rPr>
  </w:style>
  <w:style w:type="paragraph" w:customStyle="1" w:styleId="affffffff1">
    <w:name w:val="脚注后续"/>
    <w:qFormat/>
    <w:rsid w:val="009B46F9"/>
    <w:pPr>
      <w:ind w:leftChars="350" w:left="350"/>
      <w:jc w:val="both"/>
    </w:pPr>
    <w:rPr>
      <w:rFonts w:ascii="宋体" w:hAnsi="Times New Roman"/>
      <w:sz w:val="18"/>
    </w:rPr>
  </w:style>
  <w:style w:type="paragraph" w:customStyle="1" w:styleId="afff4">
    <w:name w:val="列项——"/>
    <w:qFormat/>
    <w:rsid w:val="009B46F9"/>
    <w:pPr>
      <w:widowControl w:val="0"/>
      <w:numPr>
        <w:numId w:val="27"/>
      </w:numPr>
      <w:jc w:val="both"/>
    </w:pPr>
    <w:rPr>
      <w:rFonts w:ascii="宋体" w:hAnsi="宋体"/>
      <w:sz w:val="21"/>
    </w:rPr>
  </w:style>
  <w:style w:type="paragraph" w:customStyle="1" w:styleId="affffffff2">
    <w:name w:val="列项·"/>
    <w:basedOn w:val="affffb"/>
    <w:qFormat/>
    <w:rsid w:val="009B46F9"/>
    <w:pPr>
      <w:tabs>
        <w:tab w:val="left" w:pos="840"/>
      </w:tabs>
    </w:pPr>
  </w:style>
  <w:style w:type="paragraph" w:customStyle="1" w:styleId="affffffff3">
    <w:name w:val="目次、索引正文"/>
    <w:qFormat/>
    <w:rsid w:val="009B46F9"/>
    <w:pPr>
      <w:spacing w:line="320" w:lineRule="exact"/>
      <w:jc w:val="both"/>
    </w:pPr>
    <w:rPr>
      <w:rFonts w:ascii="宋体" w:hAnsi="Times New Roman"/>
      <w:sz w:val="21"/>
    </w:rPr>
  </w:style>
  <w:style w:type="paragraph" w:customStyle="1" w:styleId="210">
    <w:name w:val="目录 21"/>
    <w:basedOn w:val="afff5"/>
    <w:next w:val="afff5"/>
    <w:autoRedefine/>
    <w:semiHidden/>
    <w:qFormat/>
    <w:rsid w:val="009B46F9"/>
    <w:pPr>
      <w:adjustRightInd/>
      <w:spacing w:line="240" w:lineRule="auto"/>
      <w:jc w:val="left"/>
    </w:pPr>
    <w:rPr>
      <w:bCs/>
      <w:iCs/>
    </w:rPr>
  </w:style>
  <w:style w:type="paragraph" w:customStyle="1" w:styleId="31">
    <w:name w:val="目录 31"/>
    <w:basedOn w:val="afff5"/>
    <w:next w:val="afff5"/>
    <w:autoRedefine/>
    <w:semiHidden/>
    <w:qFormat/>
    <w:rsid w:val="009B46F9"/>
    <w:pPr>
      <w:spacing w:line="240" w:lineRule="auto"/>
    </w:pPr>
    <w:rPr>
      <w:rFonts w:ascii="宋体" w:hAnsi="宋体"/>
      <w:iCs/>
    </w:rPr>
  </w:style>
  <w:style w:type="paragraph" w:customStyle="1" w:styleId="41">
    <w:name w:val="目录 41"/>
    <w:basedOn w:val="afff5"/>
    <w:next w:val="afff5"/>
    <w:autoRedefine/>
    <w:semiHidden/>
    <w:qFormat/>
    <w:rsid w:val="009B46F9"/>
    <w:pPr>
      <w:adjustRightInd/>
      <w:spacing w:line="240" w:lineRule="auto"/>
      <w:jc w:val="left"/>
    </w:pPr>
  </w:style>
  <w:style w:type="paragraph" w:customStyle="1" w:styleId="51">
    <w:name w:val="目录 51"/>
    <w:basedOn w:val="afff5"/>
    <w:next w:val="afff5"/>
    <w:autoRedefine/>
    <w:semiHidden/>
    <w:qFormat/>
    <w:rsid w:val="009B46F9"/>
    <w:pPr>
      <w:spacing w:line="240" w:lineRule="auto"/>
    </w:pPr>
    <w:rPr>
      <w:rFonts w:ascii="宋体" w:hAnsi="宋体"/>
    </w:rPr>
  </w:style>
  <w:style w:type="paragraph" w:customStyle="1" w:styleId="61">
    <w:name w:val="目录 61"/>
    <w:basedOn w:val="afff5"/>
    <w:next w:val="afff5"/>
    <w:autoRedefine/>
    <w:semiHidden/>
    <w:qFormat/>
    <w:rsid w:val="009B46F9"/>
    <w:pPr>
      <w:adjustRightInd/>
      <w:spacing w:line="240" w:lineRule="auto"/>
      <w:jc w:val="left"/>
    </w:pPr>
  </w:style>
  <w:style w:type="paragraph" w:customStyle="1" w:styleId="71">
    <w:name w:val="目录 71"/>
    <w:basedOn w:val="61"/>
    <w:autoRedefine/>
    <w:semiHidden/>
    <w:qFormat/>
    <w:rsid w:val="009B46F9"/>
    <w:pPr>
      <w:ind w:left="1260"/>
    </w:pPr>
  </w:style>
  <w:style w:type="paragraph" w:customStyle="1" w:styleId="81">
    <w:name w:val="目录 81"/>
    <w:basedOn w:val="71"/>
    <w:autoRedefine/>
    <w:semiHidden/>
    <w:qFormat/>
    <w:rsid w:val="009B46F9"/>
    <w:pPr>
      <w:ind w:left="1470"/>
    </w:pPr>
  </w:style>
  <w:style w:type="paragraph" w:customStyle="1" w:styleId="91">
    <w:name w:val="目录 91"/>
    <w:basedOn w:val="81"/>
    <w:autoRedefine/>
    <w:semiHidden/>
    <w:qFormat/>
    <w:rsid w:val="009B46F9"/>
    <w:pPr>
      <w:ind w:left="1680"/>
    </w:pPr>
  </w:style>
  <w:style w:type="paragraph" w:customStyle="1" w:styleId="affffffff4">
    <w:name w:val="其他标准称谓"/>
    <w:qFormat/>
    <w:rsid w:val="009B46F9"/>
    <w:pPr>
      <w:spacing w:line="0" w:lineRule="atLeast"/>
      <w:jc w:val="distribute"/>
    </w:pPr>
    <w:rPr>
      <w:rFonts w:ascii="黑体" w:eastAsia="黑体" w:hAnsi="宋体"/>
      <w:sz w:val="52"/>
    </w:rPr>
  </w:style>
  <w:style w:type="paragraph" w:customStyle="1" w:styleId="affffffff5">
    <w:name w:val="其他发布部门"/>
    <w:basedOn w:val="afffffff"/>
    <w:qFormat/>
    <w:rsid w:val="009B46F9"/>
    <w:pPr>
      <w:framePr w:wrap="around"/>
      <w:spacing w:line="0" w:lineRule="atLeast"/>
    </w:pPr>
    <w:rPr>
      <w:rFonts w:ascii="黑体" w:eastAsia="黑体"/>
      <w:b w:val="0"/>
    </w:rPr>
  </w:style>
  <w:style w:type="paragraph" w:customStyle="1" w:styleId="affc">
    <w:name w:val="前言标题"/>
    <w:next w:val="afff5"/>
    <w:qFormat/>
    <w:rsid w:val="009B46F9"/>
    <w:pPr>
      <w:numPr>
        <w:numId w:val="28"/>
      </w:numPr>
      <w:shd w:val="clear" w:color="FFFFFF" w:fill="FFFFFF"/>
      <w:spacing w:before="540" w:after="600"/>
      <w:jc w:val="center"/>
      <w:outlineLvl w:val="0"/>
    </w:pPr>
    <w:rPr>
      <w:rFonts w:ascii="黑体" w:eastAsia="黑体" w:hAnsi="Times New Roman"/>
      <w:sz w:val="32"/>
    </w:rPr>
  </w:style>
  <w:style w:type="paragraph" w:customStyle="1" w:styleId="a3">
    <w:name w:val="三级无标题条"/>
    <w:basedOn w:val="afff5"/>
    <w:qFormat/>
    <w:rsid w:val="009B46F9"/>
    <w:pPr>
      <w:numPr>
        <w:ilvl w:val="4"/>
        <w:numId w:val="30"/>
      </w:numPr>
      <w:adjustRightInd/>
      <w:spacing w:line="240" w:lineRule="auto"/>
    </w:pPr>
    <w:rPr>
      <w:rFonts w:ascii="宋体" w:hAnsi="宋体"/>
      <w:szCs w:val="24"/>
    </w:rPr>
  </w:style>
  <w:style w:type="paragraph" w:customStyle="1" w:styleId="affffffff6">
    <w:name w:val="实施日期"/>
    <w:basedOn w:val="afffffff0"/>
    <w:qFormat/>
    <w:rsid w:val="009B46F9"/>
    <w:pPr>
      <w:framePr w:hSpace="0" w:wrap="around" w:xAlign="right"/>
      <w:jc w:val="right"/>
    </w:pPr>
  </w:style>
  <w:style w:type="paragraph" w:customStyle="1" w:styleId="a4">
    <w:name w:val="四级无标题条"/>
    <w:basedOn w:val="afff5"/>
    <w:qFormat/>
    <w:rsid w:val="009B46F9"/>
    <w:pPr>
      <w:numPr>
        <w:ilvl w:val="5"/>
        <w:numId w:val="30"/>
      </w:numPr>
      <w:adjustRightInd/>
      <w:spacing w:line="240" w:lineRule="auto"/>
    </w:pPr>
    <w:rPr>
      <w:rFonts w:ascii="宋体" w:hAnsi="宋体"/>
      <w:szCs w:val="24"/>
    </w:rPr>
  </w:style>
  <w:style w:type="paragraph" w:styleId="affffffff7">
    <w:name w:val="table of figures"/>
    <w:basedOn w:val="afff5"/>
    <w:next w:val="afff5"/>
    <w:semiHidden/>
    <w:qFormat/>
    <w:rsid w:val="009B46F9"/>
    <w:pPr>
      <w:adjustRightInd/>
      <w:spacing w:line="240" w:lineRule="auto"/>
      <w:jc w:val="left"/>
    </w:pPr>
    <w:rPr>
      <w:szCs w:val="24"/>
    </w:rPr>
  </w:style>
  <w:style w:type="paragraph" w:customStyle="1" w:styleId="affffffff8">
    <w:name w:val="文献分类号"/>
    <w:qFormat/>
    <w:rsid w:val="009B46F9"/>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9">
    <w:name w:val="无标题条"/>
    <w:next w:val="affffb"/>
    <w:qFormat/>
    <w:rsid w:val="009B46F9"/>
    <w:pPr>
      <w:jc w:val="both"/>
    </w:pPr>
    <w:rPr>
      <w:rFonts w:ascii="宋体" w:hAnsi="宋体"/>
      <w:sz w:val="21"/>
    </w:rPr>
  </w:style>
  <w:style w:type="paragraph" w:customStyle="1" w:styleId="a5">
    <w:name w:val="五级无标题条"/>
    <w:basedOn w:val="afff5"/>
    <w:qFormat/>
    <w:rsid w:val="009B46F9"/>
    <w:pPr>
      <w:numPr>
        <w:ilvl w:val="6"/>
        <w:numId w:val="30"/>
      </w:numPr>
      <w:adjustRightInd/>
    </w:pPr>
    <w:rPr>
      <w:szCs w:val="24"/>
    </w:rPr>
  </w:style>
  <w:style w:type="character" w:styleId="affffffffa">
    <w:name w:val="page number"/>
    <w:qFormat/>
    <w:rsid w:val="009B46F9"/>
    <w:rPr>
      <w:rFonts w:ascii="宋体" w:eastAsia="宋体" w:hAnsi="Times New Roman"/>
      <w:sz w:val="18"/>
    </w:rPr>
  </w:style>
  <w:style w:type="paragraph" w:customStyle="1" w:styleId="a1">
    <w:name w:val="一级无标题条"/>
    <w:basedOn w:val="afff5"/>
    <w:qFormat/>
    <w:rsid w:val="009B46F9"/>
    <w:pPr>
      <w:numPr>
        <w:ilvl w:val="2"/>
        <w:numId w:val="30"/>
      </w:numPr>
      <w:adjustRightInd/>
      <w:spacing w:before="10" w:after="10" w:line="240" w:lineRule="auto"/>
    </w:pPr>
    <w:rPr>
      <w:rFonts w:ascii="宋体" w:hAnsi="宋体"/>
      <w:szCs w:val="24"/>
    </w:rPr>
  </w:style>
  <w:style w:type="paragraph" w:styleId="affffffffb">
    <w:name w:val="Normal Indent"/>
    <w:basedOn w:val="afff5"/>
    <w:qFormat/>
    <w:rsid w:val="009B46F9"/>
    <w:pPr>
      <w:ind w:firstLine="420"/>
    </w:pPr>
  </w:style>
  <w:style w:type="paragraph" w:customStyle="1" w:styleId="affffffffc">
    <w:name w:val="注:后续"/>
    <w:qFormat/>
    <w:rsid w:val="009B46F9"/>
    <w:pPr>
      <w:spacing w:line="300" w:lineRule="exact"/>
      <w:ind w:leftChars="400" w:left="600" w:hangingChars="200" w:hanging="200"/>
      <w:jc w:val="both"/>
    </w:pPr>
    <w:rPr>
      <w:rFonts w:ascii="宋体" w:hAnsi="Times New Roman"/>
      <w:sz w:val="18"/>
    </w:rPr>
  </w:style>
  <w:style w:type="paragraph" w:customStyle="1" w:styleId="affffffffd">
    <w:name w:val="注×:后续"/>
    <w:basedOn w:val="affffffffc"/>
    <w:qFormat/>
    <w:rsid w:val="009B46F9"/>
    <w:pPr>
      <w:ind w:leftChars="0" w:left="1406" w:firstLineChars="0" w:hanging="499"/>
    </w:pPr>
  </w:style>
  <w:style w:type="paragraph" w:customStyle="1" w:styleId="affffffffe">
    <w:name w:val="标准文件_一级无标题"/>
    <w:basedOn w:val="affe"/>
    <w:qFormat/>
    <w:rsid w:val="009B46F9"/>
    <w:pPr>
      <w:spacing w:beforeLines="0" w:before="0" w:afterLines="0" w:after="0"/>
      <w:outlineLvl w:val="9"/>
    </w:pPr>
    <w:rPr>
      <w:rFonts w:ascii="宋体" w:eastAsia="宋体"/>
    </w:rPr>
  </w:style>
  <w:style w:type="paragraph" w:customStyle="1" w:styleId="afffffffff">
    <w:name w:val="标准文件_五级无标题"/>
    <w:basedOn w:val="afff1"/>
    <w:qFormat/>
    <w:rsid w:val="009B46F9"/>
    <w:pPr>
      <w:spacing w:beforeLines="0" w:before="0" w:afterLines="0" w:after="0"/>
      <w:outlineLvl w:val="9"/>
    </w:pPr>
    <w:rPr>
      <w:rFonts w:ascii="宋体" w:eastAsia="宋体"/>
    </w:rPr>
  </w:style>
  <w:style w:type="paragraph" w:customStyle="1" w:styleId="afffffffff0">
    <w:name w:val="标准文件_三级无标题"/>
    <w:basedOn w:val="afff"/>
    <w:qFormat/>
    <w:rsid w:val="009B46F9"/>
    <w:pPr>
      <w:outlineLvl w:val="9"/>
    </w:pPr>
  </w:style>
  <w:style w:type="paragraph" w:customStyle="1" w:styleId="afffffffff1">
    <w:name w:val="标准文件_二级无标题"/>
    <w:basedOn w:val="22"/>
    <w:qFormat/>
    <w:rsid w:val="009B46F9"/>
    <w:pPr>
      <w:outlineLvl w:val="9"/>
    </w:pPr>
  </w:style>
  <w:style w:type="paragraph" w:customStyle="1" w:styleId="afffffffff2">
    <w:name w:val="标准_四级无标题"/>
    <w:basedOn w:val="afff0"/>
    <w:next w:val="affffb"/>
    <w:qFormat/>
    <w:rsid w:val="009B46F9"/>
    <w:rPr>
      <w:rFonts w:eastAsia="宋体"/>
    </w:rPr>
  </w:style>
  <w:style w:type="paragraph" w:customStyle="1" w:styleId="afffffffff3">
    <w:name w:val="标准文件_四级无标题"/>
    <w:basedOn w:val="afff0"/>
    <w:qFormat/>
    <w:rsid w:val="009B46F9"/>
    <w:pPr>
      <w:spacing w:beforeLines="0" w:before="0" w:afterLines="0" w:after="0"/>
      <w:outlineLvl w:val="9"/>
    </w:pPr>
    <w:rPr>
      <w:rFonts w:ascii="宋体" w:eastAsia="宋体" w:hAnsi="黑体"/>
      <w:szCs w:val="52"/>
    </w:rPr>
  </w:style>
  <w:style w:type="paragraph" w:customStyle="1" w:styleId="aff2">
    <w:name w:val="标准文件_大写罗马数字编号列项"/>
    <w:basedOn w:val="affffb"/>
    <w:qFormat/>
    <w:rsid w:val="009B46F9"/>
    <w:pPr>
      <w:numPr>
        <w:numId w:val="2"/>
      </w:numPr>
      <w:ind w:firstLineChars="0" w:firstLine="0"/>
    </w:pPr>
    <w:rPr>
      <w:rFonts w:ascii="Times New Roman" w:cs="Arial"/>
      <w:szCs w:val="28"/>
    </w:rPr>
  </w:style>
  <w:style w:type="paragraph" w:customStyle="1" w:styleId="af">
    <w:name w:val="标准文件_小写罗马数字编号列项"/>
    <w:basedOn w:val="affffb"/>
    <w:qFormat/>
    <w:rsid w:val="009B46F9"/>
    <w:pPr>
      <w:numPr>
        <w:numId w:val="15"/>
      </w:numPr>
      <w:ind w:firstLineChars="0" w:firstLine="0"/>
    </w:pPr>
    <w:rPr>
      <w:rFonts w:cs="Arial"/>
      <w:szCs w:val="28"/>
    </w:rPr>
  </w:style>
  <w:style w:type="paragraph" w:customStyle="1" w:styleId="afffffffff4">
    <w:name w:val="标准文件_附录标题"/>
    <w:basedOn w:val="aff4"/>
    <w:qFormat/>
    <w:rsid w:val="009B46F9"/>
    <w:pPr>
      <w:numPr>
        <w:numId w:val="0"/>
      </w:numPr>
      <w:spacing w:after="280"/>
      <w:outlineLvl w:val="9"/>
    </w:pPr>
  </w:style>
  <w:style w:type="paragraph" w:customStyle="1" w:styleId="afffffffff5">
    <w:name w:val="标准文件_二级项"/>
    <w:qFormat/>
    <w:rsid w:val="009B46F9"/>
    <w:rPr>
      <w:rFonts w:ascii="宋体" w:hAnsi="Times New Roman"/>
      <w:sz w:val="21"/>
    </w:rPr>
  </w:style>
  <w:style w:type="paragraph" w:customStyle="1" w:styleId="af4">
    <w:name w:val="标准文件_三级项"/>
    <w:basedOn w:val="afff5"/>
    <w:qFormat/>
    <w:rsid w:val="009B46F9"/>
    <w:pPr>
      <w:numPr>
        <w:ilvl w:val="2"/>
        <w:numId w:val="16"/>
      </w:numPr>
      <w:spacing w:line="-300" w:lineRule="auto"/>
    </w:pPr>
    <w:rPr>
      <w:rFonts w:ascii="Times New Roman" w:hAnsi="Times New Roman"/>
    </w:rPr>
  </w:style>
  <w:style w:type="paragraph" w:customStyle="1" w:styleId="affb">
    <w:name w:val="图表脚注说明"/>
    <w:basedOn w:val="afff5"/>
    <w:next w:val="affffb"/>
    <w:qFormat/>
    <w:rsid w:val="009B46F9"/>
    <w:pPr>
      <w:numPr>
        <w:numId w:val="29"/>
      </w:numPr>
      <w:adjustRightInd/>
      <w:spacing w:line="240" w:lineRule="auto"/>
    </w:pPr>
    <w:rPr>
      <w:rFonts w:ascii="宋体" w:hAnsi="Times New Roman"/>
      <w:sz w:val="18"/>
      <w:szCs w:val="18"/>
    </w:rPr>
  </w:style>
  <w:style w:type="paragraph" w:customStyle="1" w:styleId="af6">
    <w:name w:val="标准文件_字母编号列项（一级）"/>
    <w:qFormat/>
    <w:rsid w:val="009B46F9"/>
    <w:pPr>
      <w:numPr>
        <w:numId w:val="32"/>
      </w:numPr>
      <w:jc w:val="both"/>
    </w:pPr>
    <w:rPr>
      <w:rFonts w:ascii="宋体" w:hAnsi="Times New Roman"/>
      <w:sz w:val="21"/>
    </w:rPr>
  </w:style>
  <w:style w:type="paragraph" w:customStyle="1" w:styleId="afffffffff6">
    <w:name w:val="标准文件_索引字母"/>
    <w:next w:val="affffb"/>
    <w:qFormat/>
    <w:rsid w:val="009B46F9"/>
    <w:pPr>
      <w:jc w:val="center"/>
    </w:pPr>
    <w:rPr>
      <w:rFonts w:ascii="宋体" w:eastAsia="Times New Roman" w:hAnsi="宋体"/>
      <w:b/>
      <w:kern w:val="2"/>
      <w:sz w:val="21"/>
    </w:rPr>
  </w:style>
  <w:style w:type="paragraph" w:customStyle="1" w:styleId="afffffffff7">
    <w:name w:val="标准文件_附录前"/>
    <w:next w:val="affffb"/>
    <w:qFormat/>
    <w:rsid w:val="009B46F9"/>
    <w:pPr>
      <w:spacing w:line="20" w:lineRule="atLeast"/>
      <w:ind w:firstLine="200"/>
    </w:pPr>
    <w:rPr>
      <w:rFonts w:ascii="宋体" w:hAnsi="宋体"/>
      <w:kern w:val="2"/>
      <w:sz w:val="10"/>
    </w:rPr>
  </w:style>
  <w:style w:type="paragraph" w:customStyle="1" w:styleId="afffffffff8">
    <w:name w:val="标准文件_正文标准名称"/>
    <w:qFormat/>
    <w:rsid w:val="009B46F9"/>
    <w:pPr>
      <w:spacing w:before="560" w:after="640" w:line="400" w:lineRule="exact"/>
      <w:jc w:val="center"/>
    </w:pPr>
    <w:rPr>
      <w:rFonts w:ascii="黑体" w:eastAsia="黑体" w:hAnsi="黑体"/>
      <w:kern w:val="2"/>
      <w:sz w:val="32"/>
      <w:szCs w:val="32"/>
    </w:rPr>
  </w:style>
  <w:style w:type="paragraph" w:customStyle="1" w:styleId="afffffffff9">
    <w:name w:val="标准文件_表格"/>
    <w:basedOn w:val="affffb"/>
    <w:qFormat/>
    <w:rsid w:val="009B46F9"/>
    <w:pPr>
      <w:ind w:firstLineChars="0" w:firstLine="0"/>
      <w:jc w:val="center"/>
    </w:pPr>
    <w:rPr>
      <w:sz w:val="18"/>
    </w:rPr>
  </w:style>
  <w:style w:type="paragraph" w:customStyle="1" w:styleId="afff2">
    <w:name w:val="标准文件_注："/>
    <w:next w:val="affffb"/>
    <w:qFormat/>
    <w:rsid w:val="009B46F9"/>
    <w:pPr>
      <w:widowControl w:val="0"/>
      <w:numPr>
        <w:numId w:val="25"/>
      </w:numPr>
      <w:autoSpaceDE w:val="0"/>
      <w:autoSpaceDN w:val="0"/>
      <w:jc w:val="both"/>
    </w:pPr>
    <w:rPr>
      <w:rFonts w:ascii="宋体" w:hAnsi="Times New Roman"/>
      <w:sz w:val="18"/>
      <w:szCs w:val="18"/>
    </w:rPr>
  </w:style>
  <w:style w:type="paragraph" w:customStyle="1" w:styleId="a6">
    <w:name w:val="标准文件_注×："/>
    <w:qFormat/>
    <w:rsid w:val="009B46F9"/>
    <w:pPr>
      <w:widowControl w:val="0"/>
      <w:numPr>
        <w:numId w:val="26"/>
      </w:numPr>
      <w:autoSpaceDE w:val="0"/>
      <w:autoSpaceDN w:val="0"/>
      <w:jc w:val="both"/>
    </w:pPr>
    <w:rPr>
      <w:rFonts w:ascii="宋体" w:hAnsi="Times New Roman"/>
      <w:sz w:val="18"/>
      <w:szCs w:val="18"/>
    </w:rPr>
  </w:style>
  <w:style w:type="paragraph" w:customStyle="1" w:styleId="ad">
    <w:name w:val="标准文件_示例："/>
    <w:next w:val="afffffffffa"/>
    <w:qFormat/>
    <w:rsid w:val="009B46F9"/>
    <w:pPr>
      <w:widowControl w:val="0"/>
      <w:numPr>
        <w:numId w:val="11"/>
      </w:numPr>
      <w:jc w:val="both"/>
    </w:pPr>
    <w:rPr>
      <w:rFonts w:ascii="宋体" w:hAnsi="Times New Roman"/>
      <w:sz w:val="18"/>
      <w:szCs w:val="18"/>
    </w:rPr>
  </w:style>
  <w:style w:type="paragraph" w:customStyle="1" w:styleId="afb">
    <w:name w:val="标准文件_示例×："/>
    <w:basedOn w:val="afff5"/>
    <w:next w:val="afffffffffa"/>
    <w:qFormat/>
    <w:rsid w:val="009B46F9"/>
    <w:pPr>
      <w:widowControl/>
      <w:numPr>
        <w:numId w:val="12"/>
      </w:numPr>
      <w:adjustRightInd/>
      <w:spacing w:line="240" w:lineRule="auto"/>
    </w:pPr>
    <w:rPr>
      <w:rFonts w:ascii="宋体" w:hAnsi="Times New Roman"/>
      <w:kern w:val="0"/>
      <w:sz w:val="18"/>
      <w:szCs w:val="18"/>
    </w:rPr>
  </w:style>
  <w:style w:type="character" w:customStyle="1" w:styleId="Char">
    <w:name w:val="标准文件_段 Char"/>
    <w:link w:val="affffb"/>
    <w:qFormat/>
    <w:rsid w:val="009B46F9"/>
    <w:rPr>
      <w:rFonts w:ascii="宋体" w:hAnsi="Times New Roman"/>
      <w:noProof/>
      <w:sz w:val="21"/>
    </w:rPr>
  </w:style>
  <w:style w:type="paragraph" w:customStyle="1" w:styleId="afffffffffb">
    <w:name w:val="标准文件_表格续"/>
    <w:basedOn w:val="affffb"/>
    <w:next w:val="affffb"/>
    <w:qFormat/>
    <w:rsid w:val="009B46F9"/>
    <w:pPr>
      <w:jc w:val="center"/>
    </w:pPr>
    <w:rPr>
      <w:rFonts w:ascii="黑体" w:eastAsia="黑体" w:hAnsi="黑体"/>
    </w:rPr>
  </w:style>
  <w:style w:type="paragraph" w:styleId="TOC1">
    <w:name w:val="toc 1"/>
    <w:basedOn w:val="afff5"/>
    <w:next w:val="afff5"/>
    <w:autoRedefine/>
    <w:uiPriority w:val="39"/>
    <w:unhideWhenUsed/>
    <w:qFormat/>
    <w:rsid w:val="009B46F9"/>
    <w:rPr>
      <w:rFonts w:ascii="宋体"/>
    </w:rPr>
  </w:style>
  <w:style w:type="table" w:styleId="afffffffffc">
    <w:name w:val="Table Grid"/>
    <w:basedOn w:val="afff7"/>
    <w:qFormat/>
    <w:rsid w:val="009B46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d">
    <w:name w:val="Placeholder Text"/>
    <w:basedOn w:val="afff6"/>
    <w:uiPriority w:val="99"/>
    <w:semiHidden/>
    <w:qFormat/>
    <w:rsid w:val="009B46F9"/>
    <w:rPr>
      <w:color w:val="808080"/>
    </w:rPr>
  </w:style>
  <w:style w:type="paragraph" w:customStyle="1" w:styleId="2">
    <w:name w:val="标准文件_二级项2"/>
    <w:basedOn w:val="affffb"/>
    <w:qFormat/>
    <w:rsid w:val="009B46F9"/>
    <w:pPr>
      <w:numPr>
        <w:ilvl w:val="1"/>
        <w:numId w:val="16"/>
      </w:numPr>
      <w:ind w:firstLineChars="0" w:firstLine="0"/>
    </w:pPr>
  </w:style>
  <w:style w:type="paragraph" w:customStyle="1" w:styleId="21">
    <w:name w:val="标准文件_三级项2"/>
    <w:basedOn w:val="affffb"/>
    <w:qFormat/>
    <w:rsid w:val="009B46F9"/>
    <w:pPr>
      <w:numPr>
        <w:numId w:val="10"/>
      </w:numPr>
      <w:spacing w:line="300" w:lineRule="exact"/>
      <w:ind w:firstLineChars="0"/>
    </w:pPr>
    <w:rPr>
      <w:rFonts w:ascii="Times New Roman"/>
    </w:rPr>
  </w:style>
  <w:style w:type="paragraph" w:customStyle="1" w:styleId="20">
    <w:name w:val="标准文件_一级项2"/>
    <w:basedOn w:val="affffb"/>
    <w:qFormat/>
    <w:rsid w:val="009B46F9"/>
    <w:pPr>
      <w:numPr>
        <w:numId w:val="17"/>
      </w:numPr>
      <w:spacing w:line="300" w:lineRule="exact"/>
      <w:ind w:firstLineChars="0"/>
    </w:pPr>
    <w:rPr>
      <w:rFonts w:ascii="Times New Roman"/>
    </w:rPr>
  </w:style>
  <w:style w:type="paragraph" w:customStyle="1" w:styleId="afffffffffe">
    <w:name w:val="标准文件_提示"/>
    <w:basedOn w:val="affffb"/>
    <w:next w:val="affffb"/>
    <w:qFormat/>
    <w:rsid w:val="009B46F9"/>
    <w:pPr>
      <w:ind w:firstLine="420"/>
    </w:pPr>
    <w:rPr>
      <w:rFonts w:ascii="黑体" w:eastAsia="黑体"/>
    </w:rPr>
  </w:style>
  <w:style w:type="character" w:customStyle="1" w:styleId="affffffffff">
    <w:name w:val="标准文件_来源"/>
    <w:basedOn w:val="afff6"/>
    <w:uiPriority w:val="1"/>
    <w:qFormat/>
    <w:rsid w:val="009B46F9"/>
    <w:rPr>
      <w:rFonts w:eastAsia="宋体"/>
      <w:sz w:val="21"/>
    </w:rPr>
  </w:style>
  <w:style w:type="paragraph" w:customStyle="1" w:styleId="affffffffff0">
    <w:name w:val="标准文件_图表说明"/>
    <w:qFormat/>
    <w:rsid w:val="009B46F9"/>
    <w:pPr>
      <w:spacing w:line="276" w:lineRule="auto"/>
      <w:ind w:firstLine="420"/>
    </w:pPr>
    <w:rPr>
      <w:rFonts w:ascii="宋体" w:hAnsi="宋体"/>
      <w:kern w:val="2"/>
      <w:sz w:val="18"/>
    </w:rPr>
  </w:style>
  <w:style w:type="paragraph" w:customStyle="1" w:styleId="affffffffff1">
    <w:name w:val="其他发布日期"/>
    <w:basedOn w:val="afffffff0"/>
    <w:qFormat/>
    <w:rsid w:val="009B46F9"/>
    <w:pPr>
      <w:framePr w:w="3997" w:h="471" w:hRule="exact" w:hSpace="0" w:vSpace="181" w:wrap="around" w:vAnchor="page" w:hAnchor="page" w:x="1419" w:y="14097"/>
    </w:pPr>
  </w:style>
  <w:style w:type="paragraph" w:customStyle="1" w:styleId="affffffffff2">
    <w:name w:val="其他实施日期"/>
    <w:basedOn w:val="affffffff6"/>
    <w:qFormat/>
    <w:rsid w:val="009B46F9"/>
    <w:pPr>
      <w:framePr w:w="3997" w:h="471" w:hRule="exact" w:vSpace="181" w:wrap="around" w:vAnchor="page" w:hAnchor="page" w:x="7089" w:y="14097"/>
    </w:pPr>
  </w:style>
  <w:style w:type="paragraph" w:customStyle="1" w:styleId="affffffffff3">
    <w:name w:val="标准文件_文件编号"/>
    <w:basedOn w:val="affffb"/>
    <w:qFormat/>
    <w:rsid w:val="009B46F9"/>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4">
    <w:name w:val="标准文件_替换文件编号"/>
    <w:basedOn w:val="affffffffff3"/>
    <w:qFormat/>
    <w:rsid w:val="009B46F9"/>
    <w:pPr>
      <w:framePr w:wrap="auto"/>
      <w:spacing w:before="57"/>
    </w:pPr>
    <w:rPr>
      <w:sz w:val="21"/>
    </w:rPr>
  </w:style>
  <w:style w:type="paragraph" w:customStyle="1" w:styleId="affffffffff5">
    <w:name w:val="标准文件_文件名称"/>
    <w:basedOn w:val="affffb"/>
    <w:next w:val="affffb"/>
    <w:qFormat/>
    <w:rsid w:val="009B46F9"/>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TOC3">
    <w:name w:val="toc 3"/>
    <w:basedOn w:val="afff5"/>
    <w:next w:val="afff5"/>
    <w:autoRedefine/>
    <w:uiPriority w:val="39"/>
    <w:unhideWhenUsed/>
    <w:qFormat/>
    <w:rsid w:val="009B46F9"/>
    <w:pPr>
      <w:spacing w:line="300" w:lineRule="exact"/>
      <w:ind w:left="420"/>
    </w:pPr>
    <w:rPr>
      <w:rFonts w:ascii="宋体"/>
    </w:rPr>
  </w:style>
  <w:style w:type="paragraph" w:styleId="TOC4">
    <w:name w:val="toc 4"/>
    <w:basedOn w:val="afff5"/>
    <w:next w:val="afff5"/>
    <w:autoRedefine/>
    <w:uiPriority w:val="39"/>
    <w:unhideWhenUsed/>
    <w:qFormat/>
    <w:rsid w:val="009B46F9"/>
    <w:pPr>
      <w:tabs>
        <w:tab w:val="right" w:leader="dot" w:pos="9344"/>
      </w:tabs>
      <w:spacing w:line="300" w:lineRule="exact"/>
      <w:ind w:left="629"/>
    </w:pPr>
    <w:rPr>
      <w:rFonts w:ascii="宋体"/>
    </w:rPr>
  </w:style>
  <w:style w:type="paragraph" w:styleId="TOC5">
    <w:name w:val="toc 5"/>
    <w:basedOn w:val="afff5"/>
    <w:next w:val="afff5"/>
    <w:autoRedefine/>
    <w:uiPriority w:val="39"/>
    <w:unhideWhenUsed/>
    <w:qFormat/>
    <w:rsid w:val="009B46F9"/>
    <w:pPr>
      <w:ind w:left="839"/>
    </w:pPr>
    <w:rPr>
      <w:rFonts w:ascii="宋体"/>
    </w:rPr>
  </w:style>
  <w:style w:type="paragraph" w:styleId="TOC6">
    <w:name w:val="toc 6"/>
    <w:basedOn w:val="afff5"/>
    <w:next w:val="afff5"/>
    <w:autoRedefine/>
    <w:uiPriority w:val="39"/>
    <w:unhideWhenUsed/>
    <w:qFormat/>
    <w:rsid w:val="009B46F9"/>
    <w:pPr>
      <w:spacing w:line="300" w:lineRule="exact"/>
      <w:ind w:left="1049"/>
    </w:pPr>
    <w:rPr>
      <w:rFonts w:ascii="宋体"/>
    </w:rPr>
  </w:style>
  <w:style w:type="paragraph" w:styleId="TOC7">
    <w:name w:val="toc 7"/>
    <w:basedOn w:val="afff5"/>
    <w:next w:val="afff5"/>
    <w:autoRedefine/>
    <w:uiPriority w:val="39"/>
    <w:unhideWhenUsed/>
    <w:qFormat/>
    <w:rsid w:val="009B46F9"/>
    <w:pPr>
      <w:tabs>
        <w:tab w:val="right" w:leader="dot" w:pos="9344"/>
      </w:tabs>
      <w:spacing w:line="300" w:lineRule="exact"/>
      <w:ind w:left="1259"/>
    </w:pPr>
    <w:rPr>
      <w:rFonts w:ascii="宋体"/>
    </w:rPr>
  </w:style>
  <w:style w:type="paragraph" w:customStyle="1" w:styleId="af9">
    <w:name w:val="标准文件_附录图标号"/>
    <w:basedOn w:val="affffb"/>
    <w:next w:val="affffb"/>
    <w:qFormat/>
    <w:rsid w:val="009B46F9"/>
    <w:pPr>
      <w:numPr>
        <w:numId w:val="5"/>
      </w:numPr>
      <w:spacing w:line="14" w:lineRule="exact"/>
      <w:ind w:firstLineChars="0" w:firstLine="0"/>
      <w:jc w:val="center"/>
    </w:pPr>
    <w:rPr>
      <w:rFonts w:ascii="黑体" w:eastAsia="黑体" w:hAnsi="黑体"/>
      <w:vanish/>
      <w:sz w:val="2"/>
      <w:szCs w:val="21"/>
    </w:rPr>
  </w:style>
  <w:style w:type="paragraph" w:customStyle="1" w:styleId="aff">
    <w:name w:val="标准文件_附录表标号"/>
    <w:basedOn w:val="affffb"/>
    <w:next w:val="affffb"/>
    <w:qFormat/>
    <w:rsid w:val="009B46F9"/>
    <w:pPr>
      <w:numPr>
        <w:numId w:val="4"/>
      </w:numPr>
      <w:spacing w:line="14" w:lineRule="exact"/>
      <w:ind w:firstLineChars="0" w:firstLine="0"/>
      <w:jc w:val="center"/>
    </w:pPr>
    <w:rPr>
      <w:rFonts w:eastAsia="黑体"/>
      <w:vanish/>
      <w:sz w:val="2"/>
    </w:rPr>
  </w:style>
  <w:style w:type="paragraph" w:styleId="TOC2">
    <w:name w:val="toc 2"/>
    <w:basedOn w:val="afff5"/>
    <w:next w:val="afff5"/>
    <w:autoRedefine/>
    <w:uiPriority w:val="39"/>
    <w:unhideWhenUsed/>
    <w:qFormat/>
    <w:rsid w:val="009B46F9"/>
    <w:pPr>
      <w:tabs>
        <w:tab w:val="right" w:leader="dot" w:pos="9344"/>
      </w:tabs>
      <w:spacing w:line="300" w:lineRule="exact"/>
      <w:ind w:left="210"/>
    </w:pPr>
    <w:rPr>
      <w:rFonts w:ascii="宋体"/>
    </w:rPr>
  </w:style>
  <w:style w:type="paragraph" w:customStyle="1" w:styleId="a8">
    <w:name w:val="标准文件_引言一级条标题"/>
    <w:basedOn w:val="affffb"/>
    <w:next w:val="affffb"/>
    <w:qFormat/>
    <w:rsid w:val="009B46F9"/>
    <w:pPr>
      <w:numPr>
        <w:ilvl w:val="1"/>
        <w:numId w:val="18"/>
      </w:numPr>
      <w:spacing w:beforeLines="50" w:before="50" w:afterLines="50" w:after="50"/>
      <w:ind w:firstLineChars="0"/>
    </w:pPr>
    <w:rPr>
      <w:rFonts w:ascii="黑体" w:eastAsia="黑体"/>
    </w:rPr>
  </w:style>
  <w:style w:type="paragraph" w:customStyle="1" w:styleId="a9">
    <w:name w:val="标准文件_引言二级条标题"/>
    <w:basedOn w:val="affffb"/>
    <w:next w:val="affffb"/>
    <w:qFormat/>
    <w:rsid w:val="009B46F9"/>
    <w:pPr>
      <w:numPr>
        <w:ilvl w:val="2"/>
        <w:numId w:val="18"/>
      </w:numPr>
      <w:spacing w:beforeLines="50" w:before="50" w:afterLines="50" w:after="50"/>
      <w:ind w:firstLineChars="0"/>
    </w:pPr>
    <w:rPr>
      <w:rFonts w:ascii="黑体" w:eastAsia="黑体"/>
    </w:rPr>
  </w:style>
  <w:style w:type="paragraph" w:customStyle="1" w:styleId="aa">
    <w:name w:val="标准文件_引言三级条标题"/>
    <w:basedOn w:val="affffb"/>
    <w:next w:val="affffb"/>
    <w:qFormat/>
    <w:rsid w:val="009B46F9"/>
    <w:pPr>
      <w:numPr>
        <w:ilvl w:val="3"/>
        <w:numId w:val="18"/>
      </w:numPr>
      <w:spacing w:beforeLines="50" w:before="50" w:afterLines="50" w:after="50"/>
      <w:ind w:firstLineChars="0"/>
    </w:pPr>
    <w:rPr>
      <w:rFonts w:ascii="黑体" w:eastAsia="黑体"/>
    </w:rPr>
  </w:style>
  <w:style w:type="paragraph" w:customStyle="1" w:styleId="ab">
    <w:name w:val="标准文件_引言四级条标题"/>
    <w:basedOn w:val="affffb"/>
    <w:next w:val="affffb"/>
    <w:qFormat/>
    <w:rsid w:val="009B46F9"/>
    <w:pPr>
      <w:numPr>
        <w:ilvl w:val="4"/>
        <w:numId w:val="18"/>
      </w:numPr>
      <w:spacing w:beforeLines="50" w:before="50" w:afterLines="50" w:after="50"/>
      <w:ind w:firstLineChars="0"/>
    </w:pPr>
    <w:rPr>
      <w:rFonts w:ascii="黑体" w:eastAsia="黑体"/>
    </w:rPr>
  </w:style>
  <w:style w:type="paragraph" w:customStyle="1" w:styleId="ac">
    <w:name w:val="标准文件_引言五级条标题"/>
    <w:basedOn w:val="affffb"/>
    <w:next w:val="affffb"/>
    <w:qFormat/>
    <w:rsid w:val="009B46F9"/>
    <w:pPr>
      <w:numPr>
        <w:ilvl w:val="5"/>
        <w:numId w:val="18"/>
      </w:numPr>
      <w:spacing w:beforeLines="50" w:before="50" w:afterLines="50" w:after="50"/>
      <w:ind w:firstLineChars="0"/>
    </w:pPr>
    <w:rPr>
      <w:rFonts w:ascii="黑体" w:eastAsia="黑体"/>
    </w:rPr>
  </w:style>
  <w:style w:type="paragraph" w:customStyle="1" w:styleId="affffffffff6">
    <w:name w:val="标准文件_注后"/>
    <w:basedOn w:val="affffb"/>
    <w:qFormat/>
    <w:rsid w:val="009B46F9"/>
    <w:pPr>
      <w:ind w:left="811" w:firstLineChars="0" w:firstLine="0"/>
    </w:pPr>
    <w:rPr>
      <w:sz w:val="18"/>
    </w:rPr>
  </w:style>
  <w:style w:type="paragraph" w:customStyle="1" w:styleId="X">
    <w:name w:val="标准文件_注X后"/>
    <w:basedOn w:val="affffb"/>
    <w:qFormat/>
    <w:rsid w:val="009B46F9"/>
    <w:pPr>
      <w:ind w:left="811" w:firstLineChars="0" w:firstLine="0"/>
    </w:pPr>
    <w:rPr>
      <w:sz w:val="18"/>
    </w:rPr>
  </w:style>
  <w:style w:type="paragraph" w:customStyle="1" w:styleId="affffffffff7">
    <w:name w:val="标准文件_示例后"/>
    <w:basedOn w:val="affffb"/>
    <w:qFormat/>
    <w:rsid w:val="009B46F9"/>
    <w:pPr>
      <w:ind w:left="964" w:firstLineChars="0" w:firstLine="0"/>
    </w:pPr>
    <w:rPr>
      <w:sz w:val="18"/>
    </w:rPr>
  </w:style>
  <w:style w:type="paragraph" w:customStyle="1" w:styleId="X0">
    <w:name w:val="标准文件_示例X后"/>
    <w:basedOn w:val="affffb"/>
    <w:link w:val="X1"/>
    <w:qFormat/>
    <w:rsid w:val="009B46F9"/>
    <w:pPr>
      <w:ind w:left="1049" w:firstLineChars="0" w:firstLine="0"/>
    </w:pPr>
    <w:rPr>
      <w:sz w:val="18"/>
    </w:rPr>
  </w:style>
  <w:style w:type="character" w:customStyle="1" w:styleId="X1">
    <w:name w:val="标准文件_示例X后 字符"/>
    <w:basedOn w:val="Char"/>
    <w:link w:val="X0"/>
    <w:qFormat/>
    <w:rsid w:val="009B46F9"/>
    <w:rPr>
      <w:rFonts w:ascii="宋体" w:hAnsi="Times New Roman"/>
      <w:noProof/>
      <w:sz w:val="18"/>
    </w:rPr>
  </w:style>
  <w:style w:type="paragraph" w:customStyle="1" w:styleId="affffffffff8">
    <w:name w:val="标准文件_索引项"/>
    <w:basedOn w:val="affffb"/>
    <w:next w:val="affffb"/>
    <w:qFormat/>
    <w:rsid w:val="009B46F9"/>
    <w:pPr>
      <w:tabs>
        <w:tab w:val="right" w:leader="dot" w:pos="9356"/>
      </w:tabs>
      <w:ind w:left="210" w:firstLineChars="0" w:hanging="210"/>
      <w:jc w:val="left"/>
    </w:pPr>
  </w:style>
  <w:style w:type="paragraph" w:customStyle="1" w:styleId="affffffffff9">
    <w:name w:val="标准文件_附录一级无标题"/>
    <w:basedOn w:val="aff5"/>
    <w:qFormat/>
    <w:rsid w:val="009B46F9"/>
    <w:pPr>
      <w:spacing w:beforeLines="0" w:before="0" w:afterLines="0" w:after="0" w:line="276" w:lineRule="auto"/>
      <w:outlineLvl w:val="9"/>
    </w:pPr>
    <w:rPr>
      <w:rFonts w:ascii="宋体" w:eastAsia="宋体"/>
    </w:rPr>
  </w:style>
  <w:style w:type="paragraph" w:customStyle="1" w:styleId="affffffffffa">
    <w:name w:val="标准文件_附录二级无标题"/>
    <w:basedOn w:val="aff6"/>
    <w:qFormat/>
    <w:rsid w:val="009B46F9"/>
    <w:pPr>
      <w:spacing w:beforeLines="0" w:before="0" w:afterLines="0" w:after="0" w:line="276" w:lineRule="auto"/>
      <w:outlineLvl w:val="9"/>
    </w:pPr>
    <w:rPr>
      <w:rFonts w:ascii="宋体" w:eastAsia="宋体"/>
    </w:rPr>
  </w:style>
  <w:style w:type="paragraph" w:customStyle="1" w:styleId="affffffffffb">
    <w:name w:val="标准文件_附录三级无标题"/>
    <w:basedOn w:val="aff7"/>
    <w:qFormat/>
    <w:rsid w:val="009B46F9"/>
    <w:pPr>
      <w:spacing w:beforeLines="0" w:before="0" w:afterLines="0" w:after="0" w:line="276" w:lineRule="auto"/>
      <w:outlineLvl w:val="9"/>
    </w:pPr>
    <w:rPr>
      <w:rFonts w:ascii="宋体" w:eastAsia="宋体"/>
    </w:rPr>
  </w:style>
  <w:style w:type="paragraph" w:customStyle="1" w:styleId="affffffffffc">
    <w:name w:val="标准文件_附录四级无标题"/>
    <w:basedOn w:val="aff8"/>
    <w:qFormat/>
    <w:rsid w:val="009B46F9"/>
    <w:pPr>
      <w:spacing w:beforeLines="0" w:before="0" w:afterLines="0" w:after="0" w:line="276" w:lineRule="auto"/>
      <w:outlineLvl w:val="9"/>
    </w:pPr>
    <w:rPr>
      <w:rFonts w:ascii="宋体" w:eastAsia="宋体"/>
    </w:rPr>
  </w:style>
  <w:style w:type="paragraph" w:customStyle="1" w:styleId="affffffffffd">
    <w:name w:val="标准文件_附录五级无标题"/>
    <w:basedOn w:val="aff9"/>
    <w:qFormat/>
    <w:rsid w:val="009B46F9"/>
    <w:pPr>
      <w:spacing w:beforeLines="0" w:before="0" w:afterLines="0" w:after="0" w:line="276" w:lineRule="auto"/>
      <w:outlineLvl w:val="9"/>
    </w:pPr>
    <w:rPr>
      <w:rFonts w:ascii="宋体" w:eastAsia="宋体"/>
    </w:rPr>
  </w:style>
  <w:style w:type="paragraph" w:customStyle="1" w:styleId="afffffffffa">
    <w:name w:val="标准文件_示例内容"/>
    <w:basedOn w:val="affffb"/>
    <w:qFormat/>
    <w:rsid w:val="009B46F9"/>
    <w:pPr>
      <w:ind w:firstLine="420"/>
    </w:pPr>
    <w:rPr>
      <w:sz w:val="18"/>
    </w:rPr>
  </w:style>
  <w:style w:type="paragraph" w:customStyle="1" w:styleId="affffffffffe">
    <w:name w:val="标准文件_引言一级无标题"/>
    <w:basedOn w:val="a8"/>
    <w:next w:val="affffb"/>
    <w:qFormat/>
    <w:rsid w:val="009B46F9"/>
    <w:pPr>
      <w:spacing w:beforeLines="0" w:before="0" w:afterLines="0" w:after="0" w:line="276" w:lineRule="auto"/>
    </w:pPr>
    <w:rPr>
      <w:rFonts w:ascii="宋体" w:eastAsia="宋体"/>
    </w:rPr>
  </w:style>
  <w:style w:type="paragraph" w:customStyle="1" w:styleId="afffffffffff">
    <w:name w:val="标准文件_引言二级无标题"/>
    <w:basedOn w:val="a9"/>
    <w:next w:val="affffb"/>
    <w:qFormat/>
    <w:rsid w:val="009B46F9"/>
    <w:pPr>
      <w:spacing w:beforeLines="0" w:before="0" w:afterLines="0" w:after="0" w:line="276" w:lineRule="auto"/>
    </w:pPr>
    <w:rPr>
      <w:rFonts w:ascii="宋体" w:eastAsia="宋体"/>
    </w:rPr>
  </w:style>
  <w:style w:type="paragraph" w:customStyle="1" w:styleId="afffffffffff0">
    <w:name w:val="标准文件_引言三级无标题"/>
    <w:basedOn w:val="aa"/>
    <w:qFormat/>
    <w:rsid w:val="009B46F9"/>
    <w:pPr>
      <w:spacing w:beforeLines="0" w:before="0" w:afterLines="0" w:after="0" w:line="276" w:lineRule="auto"/>
    </w:pPr>
    <w:rPr>
      <w:rFonts w:ascii="宋体" w:eastAsia="宋体"/>
    </w:rPr>
  </w:style>
  <w:style w:type="paragraph" w:customStyle="1" w:styleId="afffffffffff1">
    <w:name w:val="标准文件_引言四级无标题"/>
    <w:basedOn w:val="ab"/>
    <w:next w:val="affffb"/>
    <w:qFormat/>
    <w:rsid w:val="009B46F9"/>
    <w:pPr>
      <w:spacing w:beforeLines="0" w:before="0" w:afterLines="0" w:after="0" w:line="276" w:lineRule="auto"/>
    </w:pPr>
    <w:rPr>
      <w:rFonts w:ascii="宋体" w:eastAsia="宋体"/>
    </w:rPr>
  </w:style>
  <w:style w:type="paragraph" w:customStyle="1" w:styleId="afffffffffff2">
    <w:name w:val="标准文件_引言五级无标题"/>
    <w:basedOn w:val="ac"/>
    <w:next w:val="affffb"/>
    <w:qFormat/>
    <w:rsid w:val="009B46F9"/>
    <w:pPr>
      <w:spacing w:beforeLines="0" w:before="0" w:afterLines="0" w:after="0" w:line="276" w:lineRule="auto"/>
    </w:pPr>
    <w:rPr>
      <w:rFonts w:ascii="宋体" w:eastAsia="宋体"/>
    </w:rPr>
  </w:style>
  <w:style w:type="paragraph" w:customStyle="1" w:styleId="afffffffffff3">
    <w:name w:val="标准文件_索引标题"/>
    <w:basedOn w:val="afffff2"/>
    <w:next w:val="affffb"/>
    <w:qFormat/>
    <w:rsid w:val="00CD561D"/>
    <w:rPr>
      <w:rFonts w:hAnsi="黑体"/>
    </w:rPr>
  </w:style>
  <w:style w:type="paragraph" w:customStyle="1" w:styleId="afffffffffff4">
    <w:name w:val="标准文件_脚注内容"/>
    <w:basedOn w:val="affffb"/>
    <w:qFormat/>
    <w:rsid w:val="009B46F9"/>
    <w:pPr>
      <w:ind w:leftChars="200" w:left="400" w:hangingChars="200" w:hanging="200"/>
    </w:pPr>
    <w:rPr>
      <w:sz w:val="15"/>
    </w:rPr>
  </w:style>
  <w:style w:type="paragraph" w:customStyle="1" w:styleId="afffffffffff5">
    <w:name w:val="标准文件_术语条一"/>
    <w:basedOn w:val="affffffffe"/>
    <w:next w:val="affffb"/>
    <w:qFormat/>
    <w:rsid w:val="009B46F9"/>
  </w:style>
  <w:style w:type="paragraph" w:customStyle="1" w:styleId="afffffffffff6">
    <w:name w:val="标准文件_术语条二"/>
    <w:basedOn w:val="afffffffff1"/>
    <w:next w:val="affffb"/>
    <w:qFormat/>
    <w:rsid w:val="009B46F9"/>
  </w:style>
  <w:style w:type="paragraph" w:customStyle="1" w:styleId="afffffffffff7">
    <w:name w:val="标准文件_术语条三"/>
    <w:basedOn w:val="afffffffff0"/>
    <w:next w:val="affffb"/>
    <w:qFormat/>
    <w:rsid w:val="009B46F9"/>
  </w:style>
  <w:style w:type="paragraph" w:customStyle="1" w:styleId="afffffffffff8">
    <w:name w:val="标准文件_术语条四"/>
    <w:basedOn w:val="afffffffff3"/>
    <w:next w:val="affffb"/>
    <w:qFormat/>
    <w:rsid w:val="009B46F9"/>
  </w:style>
  <w:style w:type="paragraph" w:customStyle="1" w:styleId="afffffffffff9">
    <w:name w:val="标准文件_术语条五"/>
    <w:basedOn w:val="afffffffff"/>
    <w:next w:val="affffb"/>
    <w:qFormat/>
    <w:rsid w:val="009B46F9"/>
  </w:style>
  <w:style w:type="paragraph" w:customStyle="1" w:styleId="Default">
    <w:name w:val="Default"/>
    <w:qFormat/>
    <w:rsid w:val="009B46F9"/>
    <w:pPr>
      <w:widowControl w:val="0"/>
      <w:autoSpaceDE w:val="0"/>
      <w:autoSpaceDN w:val="0"/>
      <w:adjustRightInd w:val="0"/>
    </w:pPr>
    <w:rPr>
      <w:rFonts w:ascii="宋体" w:cs="宋体"/>
      <w:color w:val="000000"/>
      <w:sz w:val="24"/>
      <w:szCs w:val="24"/>
    </w:rPr>
  </w:style>
  <w:style w:type="character" w:customStyle="1" w:styleId="afffffffffffa">
    <w:name w:val="发布"/>
    <w:basedOn w:val="afff6"/>
    <w:qFormat/>
    <w:rsid w:val="007B7453"/>
    <w:rPr>
      <w:rFonts w:ascii="黑体" w:eastAsia="黑体"/>
      <w:spacing w:val="85"/>
      <w:w w:val="100"/>
      <w:position w:val="3"/>
      <w:sz w:val="28"/>
      <w:szCs w:val="28"/>
    </w:rPr>
  </w:style>
  <w:style w:type="paragraph" w:styleId="a">
    <w:name w:val="List Bullet"/>
    <w:basedOn w:val="afff5"/>
    <w:uiPriority w:val="99"/>
    <w:unhideWhenUsed/>
    <w:qFormat/>
    <w:rsid w:val="00737EB2"/>
    <w:pPr>
      <w:numPr>
        <w:numId w:val="31"/>
      </w:numPr>
      <w:contextualSpacing/>
    </w:pPr>
  </w:style>
  <w:style w:type="paragraph" w:styleId="afffffffffffb">
    <w:name w:val="annotation text"/>
    <w:basedOn w:val="afff5"/>
    <w:link w:val="afffffffffffc"/>
    <w:uiPriority w:val="99"/>
    <w:unhideWhenUsed/>
    <w:qFormat/>
    <w:rsid w:val="00737EB2"/>
    <w:pPr>
      <w:jc w:val="left"/>
    </w:pPr>
  </w:style>
  <w:style w:type="character" w:customStyle="1" w:styleId="afffffffffffc">
    <w:name w:val="批注文字 字符"/>
    <w:basedOn w:val="afff6"/>
    <w:link w:val="afffffffffffb"/>
    <w:uiPriority w:val="99"/>
    <w:qFormat/>
    <w:rsid w:val="00737EB2"/>
    <w:rPr>
      <w:kern w:val="2"/>
      <w:sz w:val="21"/>
      <w:szCs w:val="21"/>
    </w:rPr>
  </w:style>
  <w:style w:type="paragraph" w:styleId="TOC8">
    <w:name w:val="toc 8"/>
    <w:basedOn w:val="afff5"/>
    <w:next w:val="afff5"/>
    <w:uiPriority w:val="39"/>
    <w:unhideWhenUsed/>
    <w:qFormat/>
    <w:rsid w:val="00737EB2"/>
    <w:pPr>
      <w:adjustRightInd/>
      <w:spacing w:line="240" w:lineRule="auto"/>
      <w:ind w:leftChars="1400" w:left="2940"/>
    </w:pPr>
    <w:rPr>
      <w:rFonts w:asciiTheme="minorHAnsi" w:eastAsiaTheme="minorEastAsia" w:hAnsiTheme="minorHAnsi" w:cstheme="minorBidi"/>
      <w:szCs w:val="22"/>
    </w:rPr>
  </w:style>
  <w:style w:type="paragraph" w:styleId="TOC9">
    <w:name w:val="toc 9"/>
    <w:basedOn w:val="afff5"/>
    <w:next w:val="afff5"/>
    <w:uiPriority w:val="39"/>
    <w:unhideWhenUsed/>
    <w:qFormat/>
    <w:rsid w:val="00737EB2"/>
    <w:pPr>
      <w:adjustRightInd/>
      <w:spacing w:line="240" w:lineRule="auto"/>
      <w:ind w:leftChars="1600" w:left="3360"/>
    </w:pPr>
    <w:rPr>
      <w:rFonts w:asciiTheme="minorHAnsi" w:eastAsiaTheme="minorEastAsia" w:hAnsiTheme="minorHAnsi" w:cstheme="minorBidi"/>
      <w:szCs w:val="22"/>
    </w:rPr>
  </w:style>
  <w:style w:type="paragraph" w:styleId="afffffffffffd">
    <w:name w:val="Normal (Web)"/>
    <w:basedOn w:val="afff5"/>
    <w:qFormat/>
    <w:rsid w:val="00737EB2"/>
    <w:pPr>
      <w:adjustRightInd/>
      <w:spacing w:before="100" w:beforeAutospacing="1" w:after="100" w:afterAutospacing="1" w:line="240" w:lineRule="auto"/>
      <w:jc w:val="left"/>
    </w:pPr>
    <w:rPr>
      <w:kern w:val="0"/>
      <w:sz w:val="24"/>
      <w:szCs w:val="24"/>
    </w:rPr>
  </w:style>
  <w:style w:type="paragraph" w:styleId="afffffffffffe">
    <w:name w:val="annotation subject"/>
    <w:basedOn w:val="afffffffffffb"/>
    <w:next w:val="afffffffffffb"/>
    <w:link w:val="affffffffffff"/>
    <w:uiPriority w:val="99"/>
    <w:semiHidden/>
    <w:unhideWhenUsed/>
    <w:qFormat/>
    <w:rsid w:val="00737EB2"/>
    <w:rPr>
      <w:b/>
      <w:bCs/>
    </w:rPr>
  </w:style>
  <w:style w:type="character" w:customStyle="1" w:styleId="affffffffffff">
    <w:name w:val="批注主题 字符"/>
    <w:basedOn w:val="afffffffffffc"/>
    <w:link w:val="afffffffffffe"/>
    <w:uiPriority w:val="99"/>
    <w:semiHidden/>
    <w:qFormat/>
    <w:rsid w:val="00737EB2"/>
    <w:rPr>
      <w:b/>
      <w:bCs/>
      <w:kern w:val="2"/>
      <w:sz w:val="21"/>
      <w:szCs w:val="21"/>
    </w:rPr>
  </w:style>
  <w:style w:type="character" w:styleId="affffffffffff0">
    <w:name w:val="FollowedHyperlink"/>
    <w:basedOn w:val="afff6"/>
    <w:uiPriority w:val="99"/>
    <w:semiHidden/>
    <w:unhideWhenUsed/>
    <w:qFormat/>
    <w:rsid w:val="00737EB2"/>
    <w:rPr>
      <w:color w:val="954F72" w:themeColor="followedHyperlink"/>
      <w:u w:val="single"/>
    </w:rPr>
  </w:style>
  <w:style w:type="character" w:styleId="affffffffffff1">
    <w:name w:val="annotation reference"/>
    <w:basedOn w:val="afff6"/>
    <w:uiPriority w:val="99"/>
    <w:semiHidden/>
    <w:unhideWhenUsed/>
    <w:qFormat/>
    <w:rsid w:val="00737EB2"/>
    <w:rPr>
      <w:sz w:val="21"/>
      <w:szCs w:val="21"/>
    </w:rPr>
  </w:style>
  <w:style w:type="character" w:customStyle="1" w:styleId="11">
    <w:name w:val="不明显参考1"/>
    <w:uiPriority w:val="31"/>
    <w:qFormat/>
    <w:rsid w:val="00737EB2"/>
    <w:rPr>
      <w:smallCaps/>
      <w:color w:val="C0504D"/>
      <w:u w:val="single"/>
    </w:rPr>
  </w:style>
  <w:style w:type="paragraph" w:customStyle="1" w:styleId="affffffffffff2">
    <w:name w:val="列项——（一级）"/>
    <w:qFormat/>
    <w:rsid w:val="00737EB2"/>
    <w:pPr>
      <w:widowControl w:val="0"/>
      <w:jc w:val="both"/>
    </w:pPr>
    <w:rPr>
      <w:rFonts w:ascii="宋体" w:hAnsi="Times New Roman"/>
      <w:sz w:val="21"/>
    </w:rPr>
  </w:style>
  <w:style w:type="table" w:customStyle="1" w:styleId="12">
    <w:name w:val="网格型1"/>
    <w:basedOn w:val="afff7"/>
    <w:qFormat/>
    <w:rsid w:val="00737EB2"/>
    <w:rPr>
      <w:rFonts w:ascii="等线" w:eastAsia="等线" w:hAnsi="等线"/>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网格型2"/>
    <w:basedOn w:val="afff7"/>
    <w:qFormat/>
    <w:rsid w:val="00737EB2"/>
    <w:rPr>
      <w:rFonts w:ascii="等线" w:eastAsia="等线" w:hAnsi="等线"/>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网格型3"/>
    <w:basedOn w:val="afff7"/>
    <w:qFormat/>
    <w:rsid w:val="00737EB2"/>
    <w:rPr>
      <w:rFonts w:ascii="等线" w:eastAsia="等线" w:hAnsi="等线"/>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网格型4"/>
    <w:basedOn w:val="afff7"/>
    <w:qFormat/>
    <w:rsid w:val="00737EB2"/>
    <w:rPr>
      <w:rFonts w:ascii="等线" w:eastAsia="等线" w:hAnsi="等线"/>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ffff3">
    <w:name w:val="List Paragraph"/>
    <w:basedOn w:val="afff5"/>
    <w:uiPriority w:val="34"/>
    <w:qFormat/>
    <w:rsid w:val="00737EB2"/>
    <w:pPr>
      <w:snapToGrid w:val="0"/>
      <w:spacing w:line="240" w:lineRule="auto"/>
      <w:ind w:firstLineChars="200" w:firstLine="200"/>
      <w:contextualSpacing/>
    </w:pPr>
  </w:style>
  <w:style w:type="paragraph" w:customStyle="1" w:styleId="affffffffffff4">
    <w:name w:val="段"/>
    <w:link w:val="Char0"/>
    <w:qFormat/>
    <w:rsid w:val="00737EB2"/>
    <w:pPr>
      <w:tabs>
        <w:tab w:val="center" w:pos="4201"/>
        <w:tab w:val="right" w:leader="dot" w:pos="9298"/>
      </w:tabs>
      <w:autoSpaceDE w:val="0"/>
      <w:autoSpaceDN w:val="0"/>
      <w:ind w:firstLineChars="200" w:firstLine="420"/>
      <w:jc w:val="both"/>
    </w:pPr>
    <w:rPr>
      <w:rFonts w:ascii="宋体" w:hAnsi="Times New Roman"/>
      <w:sz w:val="21"/>
    </w:rPr>
  </w:style>
  <w:style w:type="character" w:customStyle="1" w:styleId="Char0">
    <w:name w:val="段 Char"/>
    <w:link w:val="affffffffffff4"/>
    <w:qFormat/>
    <w:rsid w:val="00737EB2"/>
    <w:rPr>
      <w:rFonts w:ascii="宋体" w:hAnsi="Times New Roman"/>
      <w:sz w:val="21"/>
    </w:rPr>
  </w:style>
  <w:style w:type="character" w:customStyle="1" w:styleId="13">
    <w:name w:val="未处理的提及1"/>
    <w:basedOn w:val="afff6"/>
    <w:uiPriority w:val="99"/>
    <w:semiHidden/>
    <w:unhideWhenUsed/>
    <w:qFormat/>
    <w:rsid w:val="00737EB2"/>
    <w:rPr>
      <w:color w:val="605E5C"/>
      <w:shd w:val="clear" w:color="auto" w:fill="E1DFDD"/>
    </w:rPr>
  </w:style>
  <w:style w:type="character" w:customStyle="1" w:styleId="new">
    <w:name w:val="正文new 字符"/>
    <w:link w:val="new0"/>
    <w:qFormat/>
    <w:rsid w:val="00737EB2"/>
    <w:rPr>
      <w:rFonts w:ascii="宋体" w:hAnsi="宋体"/>
      <w:szCs w:val="28"/>
    </w:rPr>
  </w:style>
  <w:style w:type="paragraph" w:customStyle="1" w:styleId="new0">
    <w:name w:val="正文new"/>
    <w:basedOn w:val="afff5"/>
    <w:link w:val="new"/>
    <w:qFormat/>
    <w:rsid w:val="00737EB2"/>
    <w:pPr>
      <w:adjustRightInd/>
      <w:spacing w:line="240" w:lineRule="auto"/>
      <w:ind w:firstLineChars="200" w:firstLine="422"/>
    </w:pPr>
    <w:rPr>
      <w:rFonts w:ascii="宋体" w:hAnsi="宋体"/>
      <w:kern w:val="0"/>
      <w:sz w:val="20"/>
      <w:szCs w:val="28"/>
    </w:rPr>
  </w:style>
  <w:style w:type="character" w:customStyle="1" w:styleId="26">
    <w:name w:val="未处理的提及2"/>
    <w:basedOn w:val="afff6"/>
    <w:uiPriority w:val="99"/>
    <w:semiHidden/>
    <w:unhideWhenUsed/>
    <w:rsid w:val="00737EB2"/>
    <w:rPr>
      <w:color w:val="605E5C"/>
      <w:shd w:val="clear" w:color="auto" w:fill="E1DFDD"/>
    </w:rPr>
  </w:style>
  <w:style w:type="paragraph" w:styleId="affffffffffff5">
    <w:name w:val="Revision"/>
    <w:hidden/>
    <w:uiPriority w:val="99"/>
    <w:semiHidden/>
    <w:rsid w:val="00737EB2"/>
    <w:rPr>
      <w:kern w:val="2"/>
      <w:sz w:val="21"/>
      <w:szCs w:val="21"/>
    </w:rPr>
  </w:style>
  <w:style w:type="character" w:customStyle="1" w:styleId="33">
    <w:name w:val="未处理的提及3"/>
    <w:basedOn w:val="afff6"/>
    <w:uiPriority w:val="99"/>
    <w:semiHidden/>
    <w:unhideWhenUsed/>
    <w:rsid w:val="00235309"/>
    <w:rPr>
      <w:color w:val="605E5C"/>
      <w:shd w:val="clear" w:color="auto" w:fill="E1DFDD"/>
    </w:rPr>
  </w:style>
  <w:style w:type="paragraph" w:customStyle="1" w:styleId="-">
    <w:name w:val="缩进-正文"/>
    <w:basedOn w:val="afff5"/>
    <w:link w:val="-Char"/>
    <w:qFormat/>
    <w:rsid w:val="006D21A0"/>
    <w:pPr>
      <w:adjustRightInd/>
      <w:spacing w:line="240" w:lineRule="auto"/>
      <w:ind w:firstLine="420"/>
      <w:textAlignment w:val="center"/>
    </w:pPr>
    <w:rPr>
      <w:rFonts w:ascii="Times New Roman" w:hAnsi="Times New Roman"/>
      <w:szCs w:val="24"/>
    </w:rPr>
  </w:style>
  <w:style w:type="character" w:customStyle="1" w:styleId="-Char">
    <w:name w:val="缩进-正文 Char"/>
    <w:link w:val="-"/>
    <w:qFormat/>
    <w:rsid w:val="006D21A0"/>
    <w:rPr>
      <w:rFonts w:ascii="Times New Roman" w:hAnsi="Times New Roman"/>
      <w:kern w:val="2"/>
      <w:sz w:val="21"/>
      <w:szCs w:val="24"/>
    </w:rPr>
  </w:style>
  <w:style w:type="paragraph" w:customStyle="1" w:styleId="affffffffffff6">
    <w:name w:val="注"/>
    <w:basedOn w:val="afff5"/>
    <w:qFormat/>
    <w:rsid w:val="006D21A0"/>
    <w:pPr>
      <w:topLinePunct/>
      <w:adjustRightInd/>
      <w:spacing w:line="240" w:lineRule="auto"/>
      <w:ind w:firstLineChars="500" w:firstLine="973"/>
      <w:textAlignment w:val="center"/>
    </w:pPr>
    <w:rPr>
      <w:rFonts w:ascii="Times New Roman" w:hAnsi="Times New Roman" w:hint="eastAsia"/>
      <w:sz w:val="18"/>
      <w:szCs w:val="24"/>
    </w:rPr>
  </w:style>
  <w:style w:type="paragraph" w:customStyle="1" w:styleId="affffffffffff7">
    <w:name w:val="表格正文"/>
    <w:basedOn w:val="afff5"/>
    <w:qFormat/>
    <w:rsid w:val="006D21A0"/>
    <w:pPr>
      <w:spacing w:line="240" w:lineRule="auto"/>
      <w:jc w:val="center"/>
      <w:textAlignment w:val="center"/>
    </w:pPr>
    <w:rPr>
      <w:rFonts w:ascii="Times New Roman" w:hAnsi="Times New Roman"/>
      <w:sz w:val="18"/>
      <w:szCs w:val="24"/>
    </w:rPr>
  </w:style>
  <w:style w:type="character" w:customStyle="1" w:styleId="43">
    <w:name w:val="未处理的提及4"/>
    <w:basedOn w:val="afff6"/>
    <w:uiPriority w:val="99"/>
    <w:semiHidden/>
    <w:unhideWhenUsed/>
    <w:rsid w:val="00333844"/>
    <w:rPr>
      <w:color w:val="605E5C"/>
      <w:shd w:val="clear" w:color="auto" w:fill="E1DFDD"/>
    </w:rPr>
  </w:style>
  <w:style w:type="character" w:customStyle="1" w:styleId="52">
    <w:name w:val="未处理的提及5"/>
    <w:basedOn w:val="afff6"/>
    <w:uiPriority w:val="99"/>
    <w:semiHidden/>
    <w:unhideWhenUsed/>
    <w:rsid w:val="00B85D5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89696">
      <w:bodyDiv w:val="1"/>
      <w:marLeft w:val="0"/>
      <w:marRight w:val="0"/>
      <w:marTop w:val="0"/>
      <w:marBottom w:val="0"/>
      <w:divBdr>
        <w:top w:val="none" w:sz="0" w:space="0" w:color="auto"/>
        <w:left w:val="none" w:sz="0" w:space="0" w:color="auto"/>
        <w:bottom w:val="none" w:sz="0" w:space="0" w:color="auto"/>
        <w:right w:val="none" w:sz="0" w:space="0" w:color="auto"/>
      </w:divBdr>
    </w:div>
    <w:div w:id="24798501">
      <w:bodyDiv w:val="1"/>
      <w:marLeft w:val="0"/>
      <w:marRight w:val="0"/>
      <w:marTop w:val="0"/>
      <w:marBottom w:val="0"/>
      <w:divBdr>
        <w:top w:val="none" w:sz="0" w:space="0" w:color="auto"/>
        <w:left w:val="none" w:sz="0" w:space="0" w:color="auto"/>
        <w:bottom w:val="none" w:sz="0" w:space="0" w:color="auto"/>
        <w:right w:val="none" w:sz="0" w:space="0" w:color="auto"/>
      </w:divBdr>
    </w:div>
    <w:div w:id="634411416">
      <w:bodyDiv w:val="1"/>
      <w:marLeft w:val="0"/>
      <w:marRight w:val="0"/>
      <w:marTop w:val="0"/>
      <w:marBottom w:val="0"/>
      <w:divBdr>
        <w:top w:val="none" w:sz="0" w:space="0" w:color="auto"/>
        <w:left w:val="none" w:sz="0" w:space="0" w:color="auto"/>
        <w:bottom w:val="none" w:sz="0" w:space="0" w:color="auto"/>
        <w:right w:val="none" w:sz="0" w:space="0" w:color="auto"/>
      </w:divBdr>
    </w:div>
    <w:div w:id="934899204">
      <w:bodyDiv w:val="1"/>
      <w:marLeft w:val="0"/>
      <w:marRight w:val="0"/>
      <w:marTop w:val="0"/>
      <w:marBottom w:val="0"/>
      <w:divBdr>
        <w:top w:val="none" w:sz="0" w:space="0" w:color="auto"/>
        <w:left w:val="none" w:sz="0" w:space="0" w:color="auto"/>
        <w:bottom w:val="none" w:sz="0" w:space="0" w:color="auto"/>
        <w:right w:val="none" w:sz="0" w:space="0" w:color="auto"/>
      </w:divBdr>
    </w:div>
    <w:div w:id="2054576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21" Type="http://schemas.openxmlformats.org/officeDocument/2006/relationships/image" Target="media/image2.wmf"/><Relationship Id="rId42" Type="http://schemas.openxmlformats.org/officeDocument/2006/relationships/image" Target="media/image14.png"/><Relationship Id="rId47" Type="http://schemas.openxmlformats.org/officeDocument/2006/relationships/image" Target="media/image19.png"/><Relationship Id="rId63" Type="http://schemas.openxmlformats.org/officeDocument/2006/relationships/oleObject" Target="embeddings/oleObject15.bin"/><Relationship Id="rId68" Type="http://schemas.openxmlformats.org/officeDocument/2006/relationships/image" Target="media/image32.wmf"/><Relationship Id="rId84" Type="http://schemas.openxmlformats.org/officeDocument/2006/relationships/header" Target="header10.xml"/><Relationship Id="rId89" Type="http://schemas.openxmlformats.org/officeDocument/2006/relationships/header" Target="header12.xml"/><Relationship Id="rId112" Type="http://schemas.openxmlformats.org/officeDocument/2006/relationships/image" Target="media/image42.jpg"/><Relationship Id="rId16" Type="http://schemas.openxmlformats.org/officeDocument/2006/relationships/footer" Target="footer4.xml"/><Relationship Id="rId107" Type="http://schemas.openxmlformats.org/officeDocument/2006/relationships/image" Target="media/image41.png"/><Relationship Id="rId11" Type="http://schemas.openxmlformats.org/officeDocument/2006/relationships/header" Target="header2.xml"/><Relationship Id="rId32" Type="http://schemas.openxmlformats.org/officeDocument/2006/relationships/oleObject" Target="embeddings/oleObject6.bin"/><Relationship Id="rId37" Type="http://schemas.openxmlformats.org/officeDocument/2006/relationships/image" Target="media/image10.emf"/><Relationship Id="rId53" Type="http://schemas.openxmlformats.org/officeDocument/2006/relationships/oleObject" Target="embeddings/oleObject11.bin"/><Relationship Id="rId58" Type="http://schemas.openxmlformats.org/officeDocument/2006/relationships/image" Target="media/image26.wmf"/><Relationship Id="rId74" Type="http://schemas.openxmlformats.org/officeDocument/2006/relationships/image" Target="media/image35.wmf"/><Relationship Id="rId79" Type="http://schemas.openxmlformats.org/officeDocument/2006/relationships/header" Target="header8.xml"/><Relationship Id="rId102" Type="http://schemas.openxmlformats.org/officeDocument/2006/relationships/image" Target="media/image40.wmf"/><Relationship Id="rId5" Type="http://schemas.openxmlformats.org/officeDocument/2006/relationships/webSettings" Target="webSettings.xml"/><Relationship Id="rId90" Type="http://schemas.openxmlformats.org/officeDocument/2006/relationships/footer" Target="footer11.xml"/><Relationship Id="rId95" Type="http://schemas.openxmlformats.org/officeDocument/2006/relationships/footer" Target="footer13.xml"/><Relationship Id="rId22" Type="http://schemas.openxmlformats.org/officeDocument/2006/relationships/oleObject" Target="embeddings/oleObject1.bin"/><Relationship Id="rId27" Type="http://schemas.openxmlformats.org/officeDocument/2006/relationships/image" Target="media/image5.wmf"/><Relationship Id="rId43" Type="http://schemas.openxmlformats.org/officeDocument/2006/relationships/image" Target="media/image15.png"/><Relationship Id="rId48" Type="http://schemas.openxmlformats.org/officeDocument/2006/relationships/image" Target="media/image20.png"/><Relationship Id="rId64" Type="http://schemas.openxmlformats.org/officeDocument/2006/relationships/image" Target="media/image30.wmf"/><Relationship Id="rId69" Type="http://schemas.openxmlformats.org/officeDocument/2006/relationships/oleObject" Target="embeddings/oleObject18.bin"/><Relationship Id="rId113" Type="http://schemas.openxmlformats.org/officeDocument/2006/relationships/fontTable" Target="fontTable.xml"/><Relationship Id="rId80" Type="http://schemas.openxmlformats.org/officeDocument/2006/relationships/footer" Target="footer7.xml"/><Relationship Id="rId85" Type="http://schemas.openxmlformats.org/officeDocument/2006/relationships/footer" Target="footer9.xml"/><Relationship Id="rId12" Type="http://schemas.openxmlformats.org/officeDocument/2006/relationships/footer" Target="footer2.xml"/><Relationship Id="rId17" Type="http://schemas.openxmlformats.org/officeDocument/2006/relationships/header" Target="header5.xml"/><Relationship Id="rId33" Type="http://schemas.openxmlformats.org/officeDocument/2006/relationships/image" Target="media/image8.emf"/><Relationship Id="rId38" Type="http://schemas.openxmlformats.org/officeDocument/2006/relationships/oleObject" Target="embeddings/oleObject9.bin"/><Relationship Id="rId59" Type="http://schemas.openxmlformats.org/officeDocument/2006/relationships/oleObject" Target="embeddings/oleObject14.bin"/><Relationship Id="rId103" Type="http://schemas.openxmlformats.org/officeDocument/2006/relationships/header" Target="header17.xml"/><Relationship Id="rId108" Type="http://schemas.openxmlformats.org/officeDocument/2006/relationships/header" Target="header19.xml"/><Relationship Id="rId54" Type="http://schemas.openxmlformats.org/officeDocument/2006/relationships/image" Target="media/image24.wmf"/><Relationship Id="rId70" Type="http://schemas.openxmlformats.org/officeDocument/2006/relationships/image" Target="media/image33.wmf"/><Relationship Id="rId75" Type="http://schemas.openxmlformats.org/officeDocument/2006/relationships/oleObject" Target="embeddings/oleObject21.bin"/><Relationship Id="rId91" Type="http://schemas.openxmlformats.org/officeDocument/2006/relationships/footer" Target="footer12.xml"/><Relationship Id="rId96" Type="http://schemas.openxmlformats.org/officeDocument/2006/relationships/footer" Target="footer1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3.wmf"/><Relationship Id="rId28" Type="http://schemas.openxmlformats.org/officeDocument/2006/relationships/oleObject" Target="embeddings/oleObject4.bin"/><Relationship Id="rId36" Type="http://schemas.openxmlformats.org/officeDocument/2006/relationships/oleObject" Target="embeddings/oleObject8.bin"/><Relationship Id="rId49" Type="http://schemas.openxmlformats.org/officeDocument/2006/relationships/image" Target="media/image21.png"/><Relationship Id="rId57" Type="http://schemas.openxmlformats.org/officeDocument/2006/relationships/oleObject" Target="embeddings/oleObject13.bin"/><Relationship Id="rId106" Type="http://schemas.openxmlformats.org/officeDocument/2006/relationships/footer" Target="footer18.xml"/><Relationship Id="rId114" Type="http://schemas.openxmlformats.org/officeDocument/2006/relationships/glossaryDocument" Target="glossary/document.xml"/><Relationship Id="rId10" Type="http://schemas.openxmlformats.org/officeDocument/2006/relationships/footer" Target="footer1.xml"/><Relationship Id="rId31" Type="http://schemas.openxmlformats.org/officeDocument/2006/relationships/image" Target="media/image7.wmf"/><Relationship Id="rId44" Type="http://schemas.openxmlformats.org/officeDocument/2006/relationships/image" Target="media/image16.png"/><Relationship Id="rId52" Type="http://schemas.openxmlformats.org/officeDocument/2006/relationships/image" Target="media/image23.wmf"/><Relationship Id="rId60" Type="http://schemas.openxmlformats.org/officeDocument/2006/relationships/image" Target="media/image27.emf"/><Relationship Id="rId65" Type="http://schemas.openxmlformats.org/officeDocument/2006/relationships/oleObject" Target="embeddings/oleObject16.bin"/><Relationship Id="rId73" Type="http://schemas.openxmlformats.org/officeDocument/2006/relationships/oleObject" Target="embeddings/oleObject20.bin"/><Relationship Id="rId78" Type="http://schemas.openxmlformats.org/officeDocument/2006/relationships/header" Target="header7.xml"/><Relationship Id="rId81" Type="http://schemas.openxmlformats.org/officeDocument/2006/relationships/footer" Target="footer8.xml"/><Relationship Id="rId86" Type="http://schemas.openxmlformats.org/officeDocument/2006/relationships/footer" Target="footer10.xml"/><Relationship Id="rId94" Type="http://schemas.openxmlformats.org/officeDocument/2006/relationships/header" Target="header14.xml"/><Relationship Id="rId99" Type="http://schemas.openxmlformats.org/officeDocument/2006/relationships/header" Target="header16.xml"/><Relationship Id="rId101" Type="http://schemas.openxmlformats.org/officeDocument/2006/relationships/footer" Target="footer16.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6.xml"/><Relationship Id="rId39" Type="http://schemas.openxmlformats.org/officeDocument/2006/relationships/image" Target="media/image11.jpeg"/><Relationship Id="rId109" Type="http://schemas.openxmlformats.org/officeDocument/2006/relationships/header" Target="header20.xml"/><Relationship Id="rId34" Type="http://schemas.openxmlformats.org/officeDocument/2006/relationships/oleObject" Target="embeddings/oleObject7.bin"/><Relationship Id="rId50" Type="http://schemas.openxmlformats.org/officeDocument/2006/relationships/image" Target="media/image22.wmf"/><Relationship Id="rId55" Type="http://schemas.openxmlformats.org/officeDocument/2006/relationships/oleObject" Target="embeddings/oleObject12.bin"/><Relationship Id="rId76" Type="http://schemas.openxmlformats.org/officeDocument/2006/relationships/oleObject" Target="embeddings/oleObject22.bin"/><Relationship Id="rId97" Type="http://schemas.openxmlformats.org/officeDocument/2006/relationships/image" Target="media/image39.wmf"/><Relationship Id="rId104" Type="http://schemas.openxmlformats.org/officeDocument/2006/relationships/header" Target="header18.xml"/><Relationship Id="rId7" Type="http://schemas.openxmlformats.org/officeDocument/2006/relationships/endnotes" Target="endnotes.xml"/><Relationship Id="rId71" Type="http://schemas.openxmlformats.org/officeDocument/2006/relationships/oleObject" Target="embeddings/oleObject19.bin"/><Relationship Id="rId92" Type="http://schemas.openxmlformats.org/officeDocument/2006/relationships/image" Target="media/image38.wmf"/><Relationship Id="rId2" Type="http://schemas.openxmlformats.org/officeDocument/2006/relationships/numbering" Target="numbering.xml"/><Relationship Id="rId29" Type="http://schemas.openxmlformats.org/officeDocument/2006/relationships/image" Target="media/image6.wmf"/><Relationship Id="rId24" Type="http://schemas.openxmlformats.org/officeDocument/2006/relationships/oleObject" Target="embeddings/oleObject2.bin"/><Relationship Id="rId40" Type="http://schemas.openxmlformats.org/officeDocument/2006/relationships/image" Target="media/image12.png"/><Relationship Id="rId45" Type="http://schemas.openxmlformats.org/officeDocument/2006/relationships/image" Target="media/image17.png"/><Relationship Id="rId66" Type="http://schemas.openxmlformats.org/officeDocument/2006/relationships/image" Target="media/image31.wmf"/><Relationship Id="rId87" Type="http://schemas.openxmlformats.org/officeDocument/2006/relationships/image" Target="media/image37.wmf"/><Relationship Id="rId110" Type="http://schemas.openxmlformats.org/officeDocument/2006/relationships/footer" Target="footer19.xml"/><Relationship Id="rId115" Type="http://schemas.openxmlformats.org/officeDocument/2006/relationships/theme" Target="theme/theme1.xml"/><Relationship Id="rId61" Type="http://schemas.openxmlformats.org/officeDocument/2006/relationships/image" Target="media/image28.emf"/><Relationship Id="rId82" Type="http://schemas.openxmlformats.org/officeDocument/2006/relationships/image" Target="media/image36.wmf"/><Relationship Id="rId19" Type="http://schemas.openxmlformats.org/officeDocument/2006/relationships/footer" Target="footer5.xml"/><Relationship Id="rId14" Type="http://schemas.openxmlformats.org/officeDocument/2006/relationships/header" Target="header4.xml"/><Relationship Id="rId30" Type="http://schemas.openxmlformats.org/officeDocument/2006/relationships/oleObject" Target="embeddings/oleObject5.bin"/><Relationship Id="rId35" Type="http://schemas.openxmlformats.org/officeDocument/2006/relationships/image" Target="media/image9.emf"/><Relationship Id="rId56" Type="http://schemas.openxmlformats.org/officeDocument/2006/relationships/image" Target="media/image25.wmf"/><Relationship Id="rId77" Type="http://schemas.openxmlformats.org/officeDocument/2006/relationships/oleObject" Target="embeddings/oleObject23.bin"/><Relationship Id="rId100" Type="http://schemas.openxmlformats.org/officeDocument/2006/relationships/footer" Target="footer15.xml"/><Relationship Id="rId105" Type="http://schemas.openxmlformats.org/officeDocument/2006/relationships/footer" Target="footer17.xml"/><Relationship Id="rId8" Type="http://schemas.openxmlformats.org/officeDocument/2006/relationships/image" Target="media/image1.tiff"/><Relationship Id="rId51" Type="http://schemas.openxmlformats.org/officeDocument/2006/relationships/oleObject" Target="embeddings/oleObject10.bin"/><Relationship Id="rId72" Type="http://schemas.openxmlformats.org/officeDocument/2006/relationships/image" Target="media/image34.wmf"/><Relationship Id="rId93" Type="http://schemas.openxmlformats.org/officeDocument/2006/relationships/header" Target="header13.xml"/><Relationship Id="rId98" Type="http://schemas.openxmlformats.org/officeDocument/2006/relationships/header" Target="header15.xml"/><Relationship Id="rId3" Type="http://schemas.openxmlformats.org/officeDocument/2006/relationships/styles" Target="styles.xml"/><Relationship Id="rId25" Type="http://schemas.openxmlformats.org/officeDocument/2006/relationships/image" Target="media/image4.wmf"/><Relationship Id="rId46" Type="http://schemas.openxmlformats.org/officeDocument/2006/relationships/image" Target="media/image18.png"/><Relationship Id="rId67" Type="http://schemas.openxmlformats.org/officeDocument/2006/relationships/oleObject" Target="embeddings/oleObject17.bin"/><Relationship Id="rId20" Type="http://schemas.openxmlformats.org/officeDocument/2006/relationships/footer" Target="footer6.xml"/><Relationship Id="rId41" Type="http://schemas.openxmlformats.org/officeDocument/2006/relationships/image" Target="media/image13.png"/><Relationship Id="rId62" Type="http://schemas.openxmlformats.org/officeDocument/2006/relationships/image" Target="media/image29.wmf"/><Relationship Id="rId83" Type="http://schemas.openxmlformats.org/officeDocument/2006/relationships/header" Target="header9.xml"/><Relationship Id="rId88" Type="http://schemas.openxmlformats.org/officeDocument/2006/relationships/header" Target="header11.xml"/><Relationship Id="rId111" Type="http://schemas.openxmlformats.org/officeDocument/2006/relationships/footer" Target="footer20.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21B105CBC4448ABA2C3CA624B15FAF0"/>
        <w:category>
          <w:name w:val="常规"/>
          <w:gallery w:val="placeholder"/>
        </w:category>
        <w:types>
          <w:type w:val="bbPlcHdr"/>
        </w:types>
        <w:behaviors>
          <w:behavior w:val="content"/>
        </w:behaviors>
        <w:guid w:val="{BC970B8F-2924-4D5F-BD3A-21F262AF5075}"/>
      </w:docPartPr>
      <w:docPartBody>
        <w:p w:rsidR="00A747A6" w:rsidRDefault="00D1649C">
          <w:pPr>
            <w:pStyle w:val="621B105CBC4448ABA2C3CA624B15FAF0"/>
          </w:pPr>
          <w:r w:rsidRPr="00751A05">
            <w:rPr>
              <w:rStyle w:val="a3"/>
              <w:rFonts w:hint="eastAsia"/>
            </w:rPr>
            <w:t>单击或点击此处输入文字。</w:t>
          </w:r>
        </w:p>
      </w:docPartBody>
    </w:docPart>
    <w:docPart>
      <w:docPartPr>
        <w:name w:val="E4B42A1F48514467953FA3D33C739F7A"/>
        <w:category>
          <w:name w:val="常规"/>
          <w:gallery w:val="placeholder"/>
        </w:category>
        <w:types>
          <w:type w:val="bbPlcHdr"/>
        </w:types>
        <w:behaviors>
          <w:behavior w:val="content"/>
        </w:behaviors>
        <w:guid w:val="{35EAA550-508B-400D-A85E-E7BB4930BFCB}"/>
      </w:docPartPr>
      <w:docPartBody>
        <w:p w:rsidR="00A747A6" w:rsidRDefault="00D1649C">
          <w:pPr>
            <w:pStyle w:val="E4B42A1F48514467953FA3D33C739F7A"/>
          </w:pPr>
          <w:r w:rsidRPr="00FB6243">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default"/>
    <w:sig w:usb0="00000000" w:usb1="00000000"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Courier New">
    <w:panose1 w:val="02070309020205020404"/>
    <w:charset w:val="01"/>
    <w:family w:val="modern"/>
    <w:pitch w:val="default"/>
    <w:sig w:usb0="E0002EFF" w:usb1="C0007843" w:usb2="00000009" w:usb3="00000000" w:csb0="400001FF" w:csb1="FFFF0000"/>
  </w:font>
  <w:font w:name="Calibri Light">
    <w:panose1 w:val="020F0302020204030204"/>
    <w:charset w:val="00"/>
    <w:family w:val="swiss"/>
    <w:pitch w:val="default"/>
    <w:sig w:usb0="E4002EFF" w:usb1="C000247B" w:usb2="00000009" w:usb3="00000000" w:csb0="2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revisionView w:inkAnnotations="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649C"/>
    <w:rsid w:val="00037BCE"/>
    <w:rsid w:val="000420BD"/>
    <w:rsid w:val="00047D6B"/>
    <w:rsid w:val="00084855"/>
    <w:rsid w:val="000926A3"/>
    <w:rsid w:val="000D45CD"/>
    <w:rsid w:val="0010126D"/>
    <w:rsid w:val="0010138F"/>
    <w:rsid w:val="00122FFA"/>
    <w:rsid w:val="00126117"/>
    <w:rsid w:val="00133024"/>
    <w:rsid w:val="001645D9"/>
    <w:rsid w:val="00177BB2"/>
    <w:rsid w:val="0018605A"/>
    <w:rsid w:val="001B7163"/>
    <w:rsid w:val="001E05E7"/>
    <w:rsid w:val="0022504F"/>
    <w:rsid w:val="0025120A"/>
    <w:rsid w:val="002C273B"/>
    <w:rsid w:val="002D5104"/>
    <w:rsid w:val="002E6E68"/>
    <w:rsid w:val="002F0FFB"/>
    <w:rsid w:val="002F1151"/>
    <w:rsid w:val="00301E9A"/>
    <w:rsid w:val="00311349"/>
    <w:rsid w:val="00345EBB"/>
    <w:rsid w:val="00370EAB"/>
    <w:rsid w:val="0038580A"/>
    <w:rsid w:val="003944F9"/>
    <w:rsid w:val="003E1C6F"/>
    <w:rsid w:val="003F0440"/>
    <w:rsid w:val="003F6BBD"/>
    <w:rsid w:val="00483EFC"/>
    <w:rsid w:val="004A1720"/>
    <w:rsid w:val="004B7DA5"/>
    <w:rsid w:val="004D2B74"/>
    <w:rsid w:val="004F3248"/>
    <w:rsid w:val="004F585D"/>
    <w:rsid w:val="004F7488"/>
    <w:rsid w:val="00521669"/>
    <w:rsid w:val="00564CEB"/>
    <w:rsid w:val="005F2A00"/>
    <w:rsid w:val="006236FA"/>
    <w:rsid w:val="00625372"/>
    <w:rsid w:val="006341AD"/>
    <w:rsid w:val="0063570C"/>
    <w:rsid w:val="0063595B"/>
    <w:rsid w:val="00637CD3"/>
    <w:rsid w:val="006835A5"/>
    <w:rsid w:val="006E6103"/>
    <w:rsid w:val="00780D54"/>
    <w:rsid w:val="007B4CE6"/>
    <w:rsid w:val="007C22C3"/>
    <w:rsid w:val="008021C1"/>
    <w:rsid w:val="00836789"/>
    <w:rsid w:val="008873B9"/>
    <w:rsid w:val="008C73F8"/>
    <w:rsid w:val="008D40B4"/>
    <w:rsid w:val="009005F8"/>
    <w:rsid w:val="009056C1"/>
    <w:rsid w:val="009612B6"/>
    <w:rsid w:val="00961889"/>
    <w:rsid w:val="00984FA3"/>
    <w:rsid w:val="009C26B1"/>
    <w:rsid w:val="009C37C0"/>
    <w:rsid w:val="009F0F7F"/>
    <w:rsid w:val="009F1C65"/>
    <w:rsid w:val="00A35A3A"/>
    <w:rsid w:val="00A46FD5"/>
    <w:rsid w:val="00A470BE"/>
    <w:rsid w:val="00A50AA7"/>
    <w:rsid w:val="00A65341"/>
    <w:rsid w:val="00A71221"/>
    <w:rsid w:val="00A747A6"/>
    <w:rsid w:val="00A821CF"/>
    <w:rsid w:val="00AC5993"/>
    <w:rsid w:val="00B31A1E"/>
    <w:rsid w:val="00B46C42"/>
    <w:rsid w:val="00B6577F"/>
    <w:rsid w:val="00BA5325"/>
    <w:rsid w:val="00BC44C2"/>
    <w:rsid w:val="00BD40AC"/>
    <w:rsid w:val="00BE10F8"/>
    <w:rsid w:val="00BF6E6F"/>
    <w:rsid w:val="00C341F0"/>
    <w:rsid w:val="00C7307C"/>
    <w:rsid w:val="00C93A83"/>
    <w:rsid w:val="00CA12F0"/>
    <w:rsid w:val="00CB2311"/>
    <w:rsid w:val="00CB6B5D"/>
    <w:rsid w:val="00CD18FA"/>
    <w:rsid w:val="00D1649C"/>
    <w:rsid w:val="00D16800"/>
    <w:rsid w:val="00D30919"/>
    <w:rsid w:val="00D33F0A"/>
    <w:rsid w:val="00D36082"/>
    <w:rsid w:val="00D51E94"/>
    <w:rsid w:val="00D666AA"/>
    <w:rsid w:val="00D91D18"/>
    <w:rsid w:val="00DB1FE1"/>
    <w:rsid w:val="00DB4E90"/>
    <w:rsid w:val="00DD0A54"/>
    <w:rsid w:val="00E00867"/>
    <w:rsid w:val="00E277A7"/>
    <w:rsid w:val="00E34AA1"/>
    <w:rsid w:val="00E65247"/>
    <w:rsid w:val="00E71C18"/>
    <w:rsid w:val="00E87C3A"/>
    <w:rsid w:val="00EA081D"/>
    <w:rsid w:val="00F20153"/>
    <w:rsid w:val="00F311E0"/>
    <w:rsid w:val="00F552AD"/>
    <w:rsid w:val="00FA7699"/>
    <w:rsid w:val="00FB6C78"/>
    <w:rsid w:val="00FB73F4"/>
    <w:rsid w:val="00FD7D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621B105CBC4448ABA2C3CA624B15FAF0">
    <w:name w:val="621B105CBC4448ABA2C3CA624B15FAF0"/>
    <w:pPr>
      <w:widowControl w:val="0"/>
      <w:jc w:val="both"/>
    </w:pPr>
  </w:style>
  <w:style w:type="paragraph" w:customStyle="1" w:styleId="E4B42A1F48514467953FA3D33C739F7A">
    <w:name w:val="E4B42A1F48514467953FA3D33C739F7A"/>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94EFBD-9D6E-44F0-9C82-D8BBB901FF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地方标准</Template>
  <TotalTime>234</TotalTime>
  <Pages>165</Pages>
  <Words>29271</Words>
  <Characters>166850</Characters>
  <Application>Microsoft Office Word</Application>
  <DocSecurity>0</DocSecurity>
  <Lines>1390</Lines>
  <Paragraphs>391</Paragraphs>
  <ScaleCrop>false</ScaleCrop>
  <Company>PCMI</Company>
  <LinksUpToDate>false</LinksUpToDate>
  <CharactersWithSpaces>195730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地方标准</dc:title>
  <dc:subject/>
  <dc:creator>Administrator</dc:creator>
  <cp:keywords/>
  <dc:description>&lt;config cover="true" show_menu="true" version="1.0.0" doctype="SDKXY"&gt;_x000d_
&lt;/config&gt;</dc:description>
  <cp:lastModifiedBy>葛佳辉</cp:lastModifiedBy>
  <cp:revision>23</cp:revision>
  <cp:lastPrinted>2024-11-15T05:36:00Z</cp:lastPrinted>
  <dcterms:created xsi:type="dcterms:W3CDTF">2024-11-14T01:16:00Z</dcterms:created>
  <dcterms:modified xsi:type="dcterms:W3CDTF">2024-11-22T07:00:00Z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ies>
</file>