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8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江苏省钢铁企业超低排放改造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奖励</w:t>
      </w:r>
      <w:r>
        <w:rPr>
          <w:rFonts w:hint="eastAsia" w:ascii="方正小标宋_GBK" w:eastAsia="方正小标宋_GBK"/>
          <w:sz w:val="44"/>
          <w:szCs w:val="44"/>
        </w:rPr>
        <w:t>资金管理办法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第一条  </w:t>
      </w:r>
      <w:r>
        <w:rPr>
          <w:rFonts w:hint="eastAsia" w:ascii="方正仿宋_GBK" w:eastAsia="方正仿宋_GBK"/>
          <w:sz w:val="32"/>
          <w:szCs w:val="32"/>
        </w:rPr>
        <w:t>为进一步推动钢铁行业超低排放改造及稳定运行，促进环境空气质量持续改善，根据《江苏省省级财政专项资金管理办法》《江苏省生态环境保护专项资金管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理办法》等有关规定，制定本办法。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第二条</w:t>
      </w:r>
      <w:r>
        <w:rPr>
          <w:rFonts w:hint="eastAsia" w:ascii="方正仿宋_GBK" w:eastAsia="方正仿宋_GBK"/>
          <w:sz w:val="32"/>
          <w:szCs w:val="32"/>
        </w:rPr>
        <w:t xml:space="preserve">  钢铁企业是实施超低排放改造工作的责任主体，应加大力度推进超低排放改造、评估监测并确保稳定运行。省财政安排资金对</w:t>
      </w:r>
      <w:r>
        <w:rPr>
          <w:rFonts w:hint="eastAsia" w:ascii="方正仿宋_GBK" w:eastAsia="方正仿宋_GBK"/>
          <w:sz w:val="32"/>
          <w:szCs w:val="32"/>
          <w:lang w:eastAsia="zh-CN"/>
        </w:rPr>
        <w:t>完成超低排放改造的钢铁</w:t>
      </w:r>
      <w:r>
        <w:rPr>
          <w:rFonts w:hint="eastAsia" w:ascii="方正仿宋_GBK" w:eastAsia="方正仿宋_GBK"/>
          <w:sz w:val="32"/>
          <w:szCs w:val="32"/>
        </w:rPr>
        <w:t>企业给予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第三条 </w:t>
      </w:r>
      <w:r>
        <w:rPr>
          <w:rFonts w:hint="eastAsia" w:ascii="方正仿宋_GBK" w:eastAsia="方正仿宋_GBK"/>
          <w:sz w:val="32"/>
          <w:szCs w:val="32"/>
        </w:rPr>
        <w:t xml:space="preserve"> 钢铁企业超低排放改造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资金由省财政厅、省生态环境厅共同管理。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省财政厅负责：年度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资金预算安排，组织开展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资金绩效评价和监督检查工作。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省生态环境厅负责：提出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资金拨付建议方案，组织开展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资金绩效自评价工作和监督检查工作。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第四条  </w:t>
      </w:r>
      <w:r>
        <w:rPr>
          <w:rFonts w:hint="eastAsia" w:ascii="方正仿宋_GBK" w:eastAsia="方正仿宋_GBK"/>
          <w:sz w:val="32"/>
          <w:szCs w:val="32"/>
          <w:lang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资金以钢铁企业完成超低排放改造情况、上缴差别化电价金额等因素予以分配，兼顾</w:t>
      </w:r>
      <w:r>
        <w:rPr>
          <w:rFonts w:hint="eastAsia" w:ascii="方正仿宋_GBK" w:eastAsia="方正仿宋_GBK"/>
          <w:sz w:val="32"/>
          <w:szCs w:val="32"/>
          <w:lang w:eastAsia="zh-CN"/>
        </w:rPr>
        <w:t>考虑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已安排支持钢铁企业的中央及省级大气污染防治资金总额。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第五条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资金是对完成超低排放改造工作的钢铁企业的激励性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，由钢铁企业用于污染治理及维持治理设施稳定运行。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 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年4月底前，</w:t>
      </w:r>
      <w:r>
        <w:rPr>
          <w:rFonts w:hint="eastAsia" w:ascii="方正仿宋_GBK" w:eastAsia="方正仿宋_GBK"/>
          <w:sz w:val="32"/>
          <w:szCs w:val="32"/>
        </w:rPr>
        <w:t>省生态环境厅对钢铁企业超低排放改造完成情况进行复核，向省财政厅提出资金拨付建议方案。省财政厅审核后下达</w:t>
      </w:r>
      <w:r>
        <w:rPr>
          <w:rFonts w:hint="eastAsia" w:ascii="方正仿宋_GBK" w:eastAsia="方正仿宋_GBK"/>
          <w:sz w:val="32"/>
          <w:szCs w:val="32"/>
          <w:lang w:val="en" w:eastAsia="zh-CN"/>
        </w:rPr>
        <w:t>奖励</w:t>
      </w:r>
      <w:r>
        <w:rPr>
          <w:rFonts w:hint="eastAsia" w:ascii="方正仿宋_GBK" w:eastAsia="方正仿宋_GBK"/>
          <w:sz w:val="32"/>
          <w:szCs w:val="32"/>
        </w:rPr>
        <w:t>资金。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 省生态环境厅于每年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月底前开展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钢铁企业超低排放改造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评价和监督检查。检查发现企业材料造假、超低</w:t>
      </w:r>
      <w:r>
        <w:rPr>
          <w:rFonts w:hint="default" w:ascii="方正仿宋_GBK" w:hAnsi="Calibri" w:eastAsia="方正仿宋_GBK" w:cs="Times New Roman"/>
          <w:sz w:val="32"/>
          <w:szCs w:val="32"/>
        </w:rPr>
        <w:t>排放</w:t>
      </w:r>
      <w:r>
        <w:rPr>
          <w:rFonts w:hint="default" w:ascii="方正仿宋_GBK" w:hAnsi="Calibri" w:eastAsia="方正仿宋_GBK" w:cs="Times New Roman"/>
          <w:color w:val="auto"/>
          <w:sz w:val="32"/>
          <w:szCs w:val="32"/>
          <w:highlight w:val="none"/>
          <w:lang w:eastAsia="zh-CN"/>
        </w:rPr>
        <w:t>改造</w:t>
      </w:r>
      <w:r>
        <w:rPr>
          <w:rFonts w:hint="default" w:ascii="方正仿宋_GBK" w:hAnsi="Calibri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弄虚作假、设施未正常运行等行为，经核实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取消完成超低排放改造资格，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视情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收回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" w:eastAsia="zh-CN"/>
        </w:rPr>
        <w:t>奖励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，并予以惩戒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资金实行专款专用，严禁截留、挤占、挪用。对违法违规使用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资金的，按照《财政违法行为处罚处分条例》《江苏省财政监督条例》等有关规定予以处理处罚。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本办法由省财政厅、省生态环境厅负责解释。</w:t>
      </w:r>
    </w:p>
    <w:p>
      <w:pPr>
        <w:spacing w:line="580" w:lineRule="exact"/>
        <w:ind w:firstLine="640" w:firstLineChars="200"/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本办法自印发之日起施行，施行期为3年</w:t>
      </w:r>
      <w:r>
        <w:rPr>
          <w:rFonts w:hint="eastAsia" w:ascii="方正仿宋_GBK" w:eastAsia="方正仿宋_GBK"/>
          <w:sz w:val="32"/>
          <w:szCs w:val="32"/>
        </w:rPr>
        <w:t>。</w:t>
      </w:r>
    </w:p>
    <w:sectPr>
      <w:pgSz w:w="11906" w:h="16838"/>
      <w:pgMar w:top="1985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84BD3"/>
    <w:rsid w:val="60B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2024-12-31T05:15:00Z</dcterms:created>
  <dc:creator>海龙</dc:creator>
  <cp:lastModifiedBy>海龙</cp:lastModifiedBy>
  <dcterms:modified xsi:type="dcterms:W3CDTF">2024-12-31T05:17:00Z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F46DAC4FA3224388AEB27ED53863C5EE</vt:lpwstr>
  </property>
</Properties>
</file>