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0F02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0"/>
        </w:rPr>
      </w:pPr>
      <w:r>
        <w:rPr>
          <w:rFonts w:hint="eastAsia" w:ascii="方正小标宋_GBK" w:hAnsi="方正小标宋_GBK" w:eastAsia="方正小标宋_GBK" w:cs="方正小标宋_GBK"/>
          <w:sz w:val="36"/>
          <w:szCs w:val="30"/>
        </w:rPr>
        <w:t>2024年度医疗器械经营企业自查填报手册</w:t>
      </w:r>
    </w:p>
    <w:p w14:paraId="0760A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一、整体步骤：</w:t>
      </w:r>
    </w:p>
    <w:p w14:paraId="2C4ED6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）登录系统；（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确认是医疗器械经营企业；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完善企业基本信息；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（4）检查企业有效证书信息；（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及时更新医疗器械经营环节重点监管目录；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:lang w:eastAsia="zh-Hans"/>
          <w14:textFill>
            <w14:solidFill>
              <w14:schemeClr w14:val="tx1"/>
            </w14:solidFill>
          </w14:textFill>
        </w:rPr>
        <w:t>（6）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填写自查年报；（7）填写年度经济指标。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</w:rPr>
        <w:t>请按照以上顺序进行填写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 w14:paraId="5E6438B0">
      <w:pPr>
        <w:pStyle w:val="5"/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二、填写</w:t>
      </w:r>
    </w:p>
    <w:p w14:paraId="5A38CDA0">
      <w:pPr>
        <w:pStyle w:val="5"/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0"/>
          <w:szCs w:val="30"/>
        </w:rPr>
        <w:t>系统登录</w:t>
      </w:r>
    </w:p>
    <w:p w14:paraId="33203E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在浏览器中输入苏州市市场监督管理局药械化企业客户端地址：http://yxhkhd.scjgj.suzhou.gov.cn:8030/Default.html；如下图：</w:t>
      </w:r>
    </w:p>
    <w:p w14:paraId="4D52C631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615940" cy="338582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8DA3">
      <w:pPr>
        <w:spacing w:line="360" w:lineRule="auto"/>
        <w:ind w:left="300" w:hanging="300" w:hangingChars="100"/>
        <w:rPr>
          <w:rFonts w:asciiTheme="minorEastAsia" w:hAnsiTheme="minorEastAsia" w:eastAsiaTheme="minorEastAsia"/>
          <w:sz w:val="30"/>
          <w:szCs w:val="30"/>
        </w:rPr>
      </w:pPr>
    </w:p>
    <w:p w14:paraId="461825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300" w:hangingChars="1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FF0000"/>
          <w:sz w:val="30"/>
          <w:szCs w:val="30"/>
        </w:rPr>
        <w:t>1）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如果往年已经填报过</w:t>
      </w:r>
      <w:r>
        <w:rPr>
          <w:rFonts w:hint="eastAsia" w:ascii="仿宋_GB2312" w:hAnsi="仿宋_GB2312" w:eastAsia="仿宋_GB2312" w:cs="仿宋_GB2312"/>
          <w:sz w:val="30"/>
          <w:szCs w:val="30"/>
        </w:rPr>
        <w:t>并且记得账号与密码的，可以直接输入账号、密码登录系统后进行填报即可；</w:t>
      </w:r>
    </w:p>
    <w:p w14:paraId="314D57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300" w:hangingChars="1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2）如果未填注册过或忘记账号</w:t>
      </w:r>
      <w:r>
        <w:rPr>
          <w:rFonts w:hint="eastAsia" w:ascii="仿宋_GB2312" w:hAnsi="仿宋_GB2312" w:eastAsia="仿宋_GB2312" w:cs="仿宋_GB2312"/>
          <w:sz w:val="30"/>
          <w:szCs w:val="30"/>
        </w:rPr>
        <w:t>与登录密码的企业，点击按钮“苏州市场监管服务云平台登录按钮”，通过苏州市场监管服务云平台登录即可，如下图：</w:t>
      </w:r>
    </w:p>
    <w:p w14:paraId="16D1B353">
      <w:pPr>
        <w:spacing w:line="360" w:lineRule="auto"/>
        <w:ind w:left="300" w:hanging="300" w:hangingChars="100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615940" cy="3253740"/>
            <wp:effectExtent l="0" t="0" r="1016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72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00" w:hanging="600" w:hanging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具体使用，请“系统登录说明”，或打开地址：</w:t>
      </w:r>
    </w:p>
    <w:p w14:paraId="467C3E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hanging="600" w:hanging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sz w:val="30"/>
          <w:szCs w:val="30"/>
        </w:rPr>
        <w:instrText xml:space="preserve"> HYPERLINK "http://scfw.scjgj.suzhou.gov.cn:34567/" \l "/loginInstruction" </w:instrText>
      </w:r>
      <w:r>
        <w:rPr>
          <w:rFonts w:hint="eastAsia" w:ascii="仿宋_GB2312" w:hAnsi="仿宋_GB2312" w:eastAsia="仿宋_GB2312" w:cs="仿宋_GB2312"/>
          <w:sz w:val="30"/>
          <w:szCs w:val="30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0"/>
          <w:szCs w:val="30"/>
        </w:rPr>
        <w:t>http://scfw.scjgj.suzhou.gov.cn:34567/#/loginInstruction</w:t>
      </w:r>
      <w:r>
        <w:rPr>
          <w:rStyle w:val="4"/>
          <w:rFonts w:hint="eastAsia" w:ascii="仿宋_GB2312" w:hAnsi="仿宋_GB2312" w:eastAsia="仿宋_GB2312" w:cs="仿宋_GB2312"/>
          <w:sz w:val="30"/>
          <w:szCs w:val="30"/>
        </w:rPr>
        <w:fldChar w:fldCharType="end"/>
      </w:r>
    </w:p>
    <w:p w14:paraId="436D9A0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通过苏州市场监管服务云平台登录后，是系统显示如下图：</w:t>
      </w:r>
    </w:p>
    <w:p w14:paraId="01F1DBCB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1678940"/>
            <wp:effectExtent l="0" t="0" r="889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F4B9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2389505"/>
            <wp:effectExtent l="0" t="0" r="88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1105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</w:p>
    <w:p w14:paraId="74743CF3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2766695"/>
            <wp:effectExtent l="0" t="0" r="889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0EB0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</w:p>
    <w:p w14:paraId="6FEDE43A">
      <w:pPr>
        <w:widowControl/>
        <w:spacing w:line="360" w:lineRule="auto"/>
        <w:jc w:val="left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br w:type="page"/>
      </w:r>
    </w:p>
    <w:p w14:paraId="1D3F3C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0"/>
          <w:szCs w:val="30"/>
        </w:rPr>
        <w:t>完善企业区域信息与类别设置：</w:t>
      </w:r>
    </w:p>
    <w:p w14:paraId="742705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点击“业务办理”即可跳转到“苏州市市场监督管理局企业客户端”，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第一次使用的</w:t>
      </w:r>
      <w:r>
        <w:rPr>
          <w:rFonts w:hint="eastAsia" w:ascii="仿宋_GB2312" w:hAnsi="仿宋_GB2312" w:eastAsia="仿宋_GB2312" w:cs="仿宋_GB2312"/>
          <w:sz w:val="30"/>
          <w:szCs w:val="30"/>
        </w:rPr>
        <w:t>，完善区域信息并确认有勾选”医疗器械经营”，显示下图：</w:t>
      </w:r>
    </w:p>
    <w:p w14:paraId="274354EB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</w:p>
    <w:p w14:paraId="7606CDB9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2870835"/>
            <wp:effectExtent l="0" t="0" r="889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FC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然后点击“保存”按钮即可。</w:t>
      </w:r>
    </w:p>
    <w:p w14:paraId="348942D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Chars="0"/>
        <w:textAlignment w:val="auto"/>
        <w:rPr>
          <w:rFonts w:hint="eastAsia" w:ascii="仿宋_GB2312" w:hAnsi="仿宋_GB2312" w:eastAsia="仿宋_GB2312" w:cs="仿宋_GB2312"/>
          <w:color w:val="FF0000"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color w:val="FF0000"/>
          <w:sz w:val="30"/>
          <w:szCs w:val="30"/>
          <w:lang w:eastAsia="zh-Hans"/>
        </w:rPr>
        <w:t>如果未出现上面的页面，请在”登录账号维护”中确认，没有的话，请勾选并提交，然后退出重新登录系统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；</w:t>
      </w:r>
    </w:p>
    <w:p w14:paraId="5CE926ED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sz w:val="28"/>
        </w:rPr>
        <w:drawing>
          <wp:inline distT="0" distB="0" distL="0" distR="0">
            <wp:extent cx="5274310" cy="935990"/>
            <wp:effectExtent l="0" t="0" r="889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54BF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sz w:val="28"/>
        </w:rPr>
        <w:drawing>
          <wp:inline distT="0" distB="0" distL="0" distR="0">
            <wp:extent cx="5274310" cy="1193800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8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0"/>
          <w:szCs w:val="30"/>
        </w:rPr>
        <w:t>进入企业客户端首页，如下图：</w:t>
      </w:r>
    </w:p>
    <w:p w14:paraId="0969F393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</w:p>
    <w:p w14:paraId="0D506F4F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3032125"/>
            <wp:effectExtent l="0" t="0" r="8890" b="3175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8822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</w:p>
    <w:p w14:paraId="28DE44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0"/>
          <w:szCs w:val="30"/>
        </w:rPr>
        <w:t>企业客户端查看企业类型</w:t>
      </w:r>
    </w:p>
    <w:p w14:paraId="0C2D27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点击右侧菜单，打开登录账号维护菜单，如下图：</w:t>
      </w:r>
    </w:p>
    <w:p w14:paraId="1C739496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2394585"/>
            <wp:effectExtent l="0" t="0" r="889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334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确认是否勾选医疗器械经营，如上图，没有勾选的，请勾选并点击提交按钮，保存数据，</w:t>
      </w:r>
      <w:r>
        <w:rPr>
          <w:rFonts w:hint="eastAsia" w:ascii="仿宋_GB2312" w:hAnsi="仿宋_GB2312" w:eastAsia="仿宋_GB2312" w:cs="仿宋_GB2312"/>
          <w:bCs/>
          <w:color w:val="FF0000"/>
          <w:sz w:val="30"/>
          <w:szCs w:val="30"/>
          <w:lang w:eastAsia="zh-Hans"/>
        </w:rPr>
        <w:t>然后退出重新登录系统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；</w:t>
      </w:r>
    </w:p>
    <w:p w14:paraId="2BA91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63078093">
      <w:pPr>
        <w:pStyle w:val="5"/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5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0"/>
          <w:szCs w:val="30"/>
        </w:rPr>
        <w:t>企业基本信息维护</w:t>
      </w:r>
    </w:p>
    <w:p w14:paraId="091F9E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点击右侧菜单，打开医疗器械=》经营企业信息采集菜单，如下图：</w:t>
      </w:r>
    </w:p>
    <w:p w14:paraId="16F2F193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2585720"/>
            <wp:effectExtent l="0" t="0" r="8890" b="508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C21B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完善企业基本信息并保存。</w:t>
      </w:r>
    </w:p>
    <w:p w14:paraId="0FD9E9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asciiTheme="minorEastAsia" w:hAnsiTheme="minorEastAsia" w:eastAsiaTheme="minorEastAsia"/>
          <w:sz w:val="30"/>
          <w:szCs w:val="30"/>
        </w:rPr>
      </w:pPr>
    </w:p>
    <w:p w14:paraId="025F592F">
      <w:pPr>
        <w:pStyle w:val="5"/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6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0"/>
          <w:szCs w:val="30"/>
        </w:rPr>
        <w:t>检查企业相关证书是否有误</w:t>
      </w:r>
    </w:p>
    <w:p w14:paraId="6800D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6.1 点击右侧菜单，打开医疗器械=》医疗器械经营许可菜单，如下图：</w:t>
      </w:r>
    </w:p>
    <w:p w14:paraId="7DBD2F7D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2241550"/>
            <wp:effectExtent l="0" t="0" r="8890" b="635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40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6.2 点击右侧菜单，打开医疗器械=》医疗器械经营备案菜单，如下图：</w:t>
      </w:r>
    </w:p>
    <w:p w14:paraId="1B00C3BA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2238375"/>
            <wp:effectExtent l="0" t="0" r="8890" b="952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B2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6.3点击右侧菜单，打开医疗器械=》医疗器械网络销售备案菜单，如下图：</w:t>
      </w:r>
    </w:p>
    <w:p w14:paraId="70BDD744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2391410"/>
            <wp:effectExtent l="0" t="0" r="8890" b="889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D8D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点击编号，查看证书详细信息；</w:t>
      </w:r>
    </w:p>
    <w:p w14:paraId="61E341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color w:val="FF000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color w:val="FF0000"/>
          <w:sz w:val="30"/>
          <w:szCs w:val="30"/>
        </w:rPr>
        <w:t>如果与现有证书数据不一致，请联系当地市场局监管人员进行维护。企业不提供修改功能。</w:t>
      </w:r>
    </w:p>
    <w:p w14:paraId="1DA3C934">
      <w:pPr>
        <w:pStyle w:val="5"/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7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0"/>
          <w:szCs w:val="30"/>
        </w:rPr>
        <w:t>经营企业年度自查填写</w:t>
      </w:r>
    </w:p>
    <w:p w14:paraId="3B200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7.1点击右侧菜单，打开网上填报=》医疗器械经营企业自查填报菜单，如下图：</w:t>
      </w:r>
    </w:p>
    <w:p w14:paraId="2387D7F8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drawing>
          <wp:inline distT="0" distB="0" distL="0" distR="0">
            <wp:extent cx="5615940" cy="2344420"/>
            <wp:effectExtent l="0" t="0" r="1016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EE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按照要求填写红框中的内容。</w:t>
      </w:r>
    </w:p>
    <w:p w14:paraId="34D8BD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如果医疗器械经营企业信息未填写完善，系统提示，如下图：</w:t>
      </w:r>
    </w:p>
    <w:p w14:paraId="41EE9C1D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3407410"/>
            <wp:effectExtent l="0" t="0" r="8890" b="88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2D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按照要求完善即可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 w14:paraId="7D1E5B84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3211195"/>
            <wp:effectExtent l="0" t="0" r="8890" b="1905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C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按照条款进行填写，然后点击提交按钮即可。如果填错了，请联系当地市场局监管人员进行退回。</w:t>
      </w:r>
    </w:p>
    <w:p w14:paraId="6496C3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7.2医疗器械经营环节重点监管目录完善：</w:t>
      </w:r>
    </w:p>
    <w:p w14:paraId="2049D3FB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615940" cy="2431415"/>
            <wp:effectExtent l="0" t="0" r="1016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AE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勾选经营产品，然后点击提交按钮即可。</w:t>
      </w:r>
    </w:p>
    <w:p w14:paraId="6AD43A4D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3308985"/>
            <wp:effectExtent l="0" t="0" r="8890" b="5715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C0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如果之前已经勾选过了，请确认过后再次提交。</w:t>
      </w:r>
    </w:p>
    <w:p w14:paraId="6E0F9357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drawing>
          <wp:inline distT="0" distB="0" distL="0" distR="0">
            <wp:extent cx="5615940" cy="2073275"/>
            <wp:effectExtent l="0" t="0" r="1016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B5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asciiTheme="minorEastAsia" w:hAnsiTheme="minorEastAsia" w:eastAsiaTheme="minorEastAsia"/>
          <w:sz w:val="30"/>
          <w:szCs w:val="30"/>
        </w:rPr>
      </w:pPr>
    </w:p>
    <w:p w14:paraId="53D2310D">
      <w:pPr>
        <w:pStyle w:val="5"/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8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0"/>
          <w:szCs w:val="30"/>
        </w:rPr>
        <w:t>年度经济报告填写</w:t>
      </w:r>
    </w:p>
    <w:p w14:paraId="1D560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点击右侧菜单，打开网上填报=》医疗器械=》医疗器械经营企业年度经济报告菜单，如下图：</w:t>
      </w:r>
    </w:p>
    <w:p w14:paraId="4E4BCB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asciiTheme="minorEastAsia" w:hAnsiTheme="minorEastAsia" w:eastAsiaTheme="minorEastAsia"/>
          <w:sz w:val="30"/>
          <w:szCs w:val="30"/>
        </w:rPr>
      </w:pPr>
    </w:p>
    <w:p w14:paraId="5BF7A3E3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615940" cy="1882140"/>
            <wp:effectExtent l="0" t="0" r="1016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E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asciiTheme="minorEastAsia" w:hAnsiTheme="minorEastAsia" w:eastAsiaTheme="minorEastAsia"/>
          <w:sz w:val="30"/>
          <w:szCs w:val="30"/>
        </w:rPr>
      </w:pPr>
    </w:p>
    <w:p w14:paraId="2CF00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点击填写链接，输入相关信息即可，如下图：</w:t>
      </w:r>
    </w:p>
    <w:p w14:paraId="62DA6EF6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615940" cy="2264410"/>
            <wp:effectExtent l="0" t="0" r="1016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51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color w:val="FF0000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填写后，点击提交按钮即可。也可以将往年数据补全。</w:t>
      </w:r>
      <w:r>
        <w:rPr>
          <w:rFonts w:hint="eastAsia" w:ascii="仿宋_GB2312" w:hAnsi="仿宋_GB2312" w:eastAsia="仿宋_GB2312" w:cs="仿宋_GB2312"/>
          <w:b/>
          <w:color w:val="FF0000"/>
          <w:sz w:val="30"/>
          <w:szCs w:val="30"/>
        </w:rPr>
        <w:t>请注意：单位为万元。</w:t>
      </w:r>
    </w:p>
    <w:p w14:paraId="1E2BB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20" w:lineRule="exact"/>
        <w:jc w:val="center"/>
        <w:textAlignment w:val="auto"/>
        <w:rPr>
          <w:rFonts w:cs="方正仿宋_GBK" w:asciiTheme="minorEastAsia" w:hAnsiTheme="minorEastAsia" w:eastAsiaTheme="minorEastAsia"/>
          <w:bCs/>
          <w:color w:val="000000"/>
          <w:sz w:val="30"/>
          <w:szCs w:val="30"/>
        </w:rPr>
      </w:pPr>
    </w:p>
    <w:p w14:paraId="7A3825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sz w:val="36"/>
          <w:szCs w:val="30"/>
        </w:rPr>
      </w:pPr>
    </w:p>
    <w:p w14:paraId="6594F379">
      <w:pPr>
        <w:rPr>
          <w:rFonts w:hint="eastAsia" w:ascii="方正小标宋_GBK" w:hAnsi="方正小标宋_GBK" w:eastAsia="方正小标宋_GBK" w:cs="方正小标宋_GBK"/>
          <w:bCs/>
          <w:color w:val="000000"/>
          <w:sz w:val="36"/>
          <w:szCs w:val="30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sz w:val="36"/>
          <w:szCs w:val="30"/>
        </w:rPr>
        <w:br w:type="page"/>
      </w:r>
    </w:p>
    <w:p w14:paraId="233A85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sz w:val="36"/>
          <w:szCs w:val="30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sz w:val="36"/>
          <w:szCs w:val="30"/>
        </w:rPr>
        <w:t>云平台使用与年报填写注意事项</w:t>
      </w:r>
    </w:p>
    <w:p w14:paraId="397F2AF1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  <w:r>
        <w:rPr>
          <w:rFonts w:cs="方正仿宋_GBK" w:asciiTheme="minorEastAsia" w:hAnsiTheme="minorEastAsia" w:eastAsiaTheme="minorEastAsia"/>
          <w:bCs/>
          <w:color w:val="000000"/>
          <w:sz w:val="30"/>
          <w:szCs w:val="30"/>
        </w:rPr>
        <w:t xml:space="preserve"> </w:t>
      </w:r>
    </w:p>
    <w:p w14:paraId="3E8D65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Cs/>
          <w:sz w:val="30"/>
          <w:szCs w:val="30"/>
          <w:lang w:eastAsia="zh-Hans"/>
        </w:rPr>
      </w:pPr>
      <w:r>
        <w:rPr>
          <w:rFonts w:hint="eastAsia" w:ascii="黑体" w:hAnsi="黑体" w:eastAsia="黑体" w:cs="黑体"/>
          <w:bCs/>
          <w:sz w:val="30"/>
          <w:szCs w:val="30"/>
          <w:lang w:eastAsia="zh-Hans"/>
        </w:rPr>
        <w:t>云平台使用注意事项</w:t>
      </w:r>
    </w:p>
    <w:p w14:paraId="5EB0887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市场主体登录云平台（</w:t>
      </w:r>
      <w:r>
        <w:rPr>
          <w:rFonts w:hint="eastAsia" w:ascii="仿宋_GB2312" w:hAnsi="仿宋_GB2312" w:eastAsia="仿宋_GB2312" w:cs="仿宋_GB2312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sz w:val="30"/>
          <w:szCs w:val="30"/>
        </w:rPr>
        <w:instrText xml:space="preserve"> HYPERLINK "http://scfw.scjgj.suzhou.gov.cn:34567/" \l "/login" </w:instrText>
      </w:r>
      <w:r>
        <w:rPr>
          <w:rFonts w:hint="eastAsia" w:ascii="仿宋_GB2312" w:hAnsi="仿宋_GB2312" w:eastAsia="仿宋_GB2312" w:cs="仿宋_GB2312"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http://scfw.scjgj.suzhou.gov.cn:34567/#/login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）办理业务，</w:t>
      </w:r>
      <w:r>
        <w:rPr>
          <w:rFonts w:hint="eastAsia" w:ascii="仿宋_GB2312" w:hAnsi="仿宋_GB2312" w:eastAsia="仿宋_GB2312" w:cs="仿宋_GB2312"/>
          <w:bCs/>
          <w:color w:val="0000FF"/>
          <w:sz w:val="30"/>
          <w:szCs w:val="30"/>
          <w:lang w:eastAsia="zh-Hans"/>
        </w:rPr>
        <w:t>企业办事需要法人或证照管理员授予相关事项权限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方可办理，请仔细阅读登录说明（http://scfw.scjgj.suzhou.gov.cn:34567/#/loginInstruction）。如下图所示：</w:t>
      </w:r>
    </w:p>
    <w:p w14:paraId="220A52AA">
      <w:pPr>
        <w:spacing w:line="360" w:lineRule="auto"/>
        <w:jc w:val="left"/>
        <w:rPr>
          <w:rFonts w:asciiTheme="minorEastAsia" w:hAnsiTheme="minorEastAsia" w:eastAsiaTheme="minorEastAsia"/>
          <w:bCs/>
          <w:sz w:val="30"/>
          <w:szCs w:val="30"/>
          <w:lang w:eastAsia="zh-Hans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2894330" cy="3244850"/>
            <wp:effectExtent l="0" t="0" r="12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9F65">
      <w:pPr>
        <w:numPr>
          <w:ilvl w:val="0"/>
          <w:numId w:val="2"/>
        </w:numPr>
        <w:spacing w:line="360" w:lineRule="auto"/>
        <w:jc w:val="left"/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企业登录平台办事时需注意办事身份，需选择</w:t>
      </w:r>
      <w:r>
        <w:rPr>
          <w:rFonts w:hint="eastAsia" w:ascii="仿宋_GB2312" w:hAnsi="仿宋_GB2312" w:eastAsia="仿宋_GB2312" w:cs="仿宋_GB2312"/>
          <w:bCs/>
          <w:color w:val="0000FF"/>
          <w:sz w:val="30"/>
          <w:szCs w:val="30"/>
          <w:lang w:eastAsia="zh-Hans"/>
        </w:rPr>
        <w:t>二维码扫描登录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，而非账号登录。</w:t>
      </w:r>
      <w:r>
        <w:rPr>
          <w:rFonts w:hint="eastAsia" w:ascii="仿宋_GB2312" w:hAnsi="仿宋_GB2312" w:eastAsia="仿宋_GB2312" w:cs="仿宋_GB2312"/>
          <w:bCs/>
          <w:color w:val="0000FF"/>
          <w:sz w:val="30"/>
          <w:szCs w:val="30"/>
          <w:lang w:eastAsia="zh-Hans"/>
        </w:rPr>
        <w:t>扫描登录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为</w:t>
      </w:r>
      <w:r>
        <w:rPr>
          <w:rFonts w:hint="eastAsia" w:ascii="仿宋_GB2312" w:hAnsi="仿宋_GB2312" w:eastAsia="仿宋_GB2312" w:cs="仿宋_GB2312"/>
          <w:bCs/>
          <w:color w:val="0000FF"/>
          <w:sz w:val="30"/>
          <w:szCs w:val="30"/>
          <w:lang w:eastAsia="zh-Hans"/>
        </w:rPr>
        <w:t>企业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办事身份认证入口，</w:t>
      </w:r>
      <w:r>
        <w:rPr>
          <w:rFonts w:hint="eastAsia" w:ascii="仿宋_GB2312" w:hAnsi="仿宋_GB2312" w:eastAsia="仿宋_GB2312" w:cs="仿宋_GB2312"/>
          <w:bCs/>
          <w:color w:val="0000FF"/>
          <w:sz w:val="30"/>
          <w:szCs w:val="30"/>
          <w:lang w:eastAsia="zh-Hans"/>
        </w:rPr>
        <w:t>账号登录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为</w:t>
      </w:r>
      <w:r>
        <w:rPr>
          <w:rFonts w:hint="eastAsia" w:ascii="仿宋_GB2312" w:hAnsi="仿宋_GB2312" w:eastAsia="仿宋_GB2312" w:cs="仿宋_GB2312"/>
          <w:bCs/>
          <w:color w:val="0000FF"/>
          <w:sz w:val="30"/>
          <w:szCs w:val="30"/>
          <w:lang w:eastAsia="zh-Hans"/>
        </w:rPr>
        <w:t>非市场主体身份认证入口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（如事业单位、高校）和个人身份认证入口。如下图所示：</w:t>
      </w:r>
    </w:p>
    <w:p w14:paraId="180DD57C">
      <w:pPr>
        <w:spacing w:line="360" w:lineRule="auto"/>
        <w:jc w:val="left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114300" distR="114300">
            <wp:extent cx="3482975" cy="1305560"/>
            <wp:effectExtent l="0" t="0" r="9525" b="254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 w:val="30"/>
          <w:szCs w:val="30"/>
        </w:rPr>
        <w:t xml:space="preserve">    </w:t>
      </w:r>
    </w:p>
    <w:p w14:paraId="11CABFF3">
      <w:pPr>
        <w:numPr>
          <w:ilvl w:val="0"/>
          <w:numId w:val="2"/>
        </w:numPr>
        <w:spacing w:line="360" w:lineRule="auto"/>
        <w:jc w:val="left"/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登陆成功后，请点击</w:t>
      </w:r>
      <w:r>
        <w:rPr>
          <w:rFonts w:hint="eastAsia" w:ascii="仿宋_GB2312" w:hAnsi="仿宋_GB2312" w:eastAsia="仿宋_GB2312" w:cs="仿宋_GB2312"/>
          <w:bCs/>
          <w:color w:val="0000FF"/>
          <w:sz w:val="30"/>
          <w:szCs w:val="30"/>
          <w:lang w:eastAsia="zh-Hans"/>
        </w:rPr>
        <w:t>法人空间</w:t>
      </w:r>
      <w:r>
        <w:rPr>
          <w:rFonts w:hint="eastAsia" w:ascii="仿宋_GB2312" w:hAnsi="仿宋_GB2312" w:eastAsia="仿宋_GB2312" w:cs="仿宋_GB2312"/>
          <w:bCs/>
          <w:sz w:val="30"/>
          <w:szCs w:val="30"/>
          <w:lang w:eastAsia="zh-Hans"/>
        </w:rPr>
        <w:t>按钮检查企业办事身份权限。两种授权方式实现业务办理：1.如果是管理员身份，即可办理一切业务2.如果是办事人身份，需要在云平台的授权审批中让法人或管理员同意权限，即可办理。</w:t>
      </w:r>
    </w:p>
    <w:p w14:paraId="60E4DFEA">
      <w:pPr>
        <w:spacing w:line="360" w:lineRule="auto"/>
        <w:jc w:val="left"/>
        <w:rPr>
          <w:rFonts w:hint="eastAsia" w:ascii="仿宋_GB2312" w:hAnsi="仿宋_GB2312" w:eastAsia="仿宋_GB2312" w:cs="仿宋_GB2312"/>
          <w:bCs/>
          <w:color w:val="0000FF"/>
          <w:sz w:val="30"/>
          <w:szCs w:val="30"/>
          <w:lang w:eastAsia="zh-Hans"/>
        </w:rPr>
      </w:pPr>
      <w:r>
        <w:rPr>
          <w:rFonts w:hint="eastAsia" w:ascii="仿宋_GB2312" w:hAnsi="仿宋_GB2312" w:eastAsia="仿宋_GB2312" w:cs="仿宋_GB2312"/>
          <w:bCs/>
          <w:color w:val="0000FF"/>
          <w:sz w:val="30"/>
          <w:szCs w:val="30"/>
          <w:lang w:eastAsia="zh-Hans"/>
        </w:rPr>
        <w:t>当出现以下提示</w:t>
      </w:r>
    </w:p>
    <w:p w14:paraId="03F5A06D">
      <w:pPr>
        <w:spacing w:line="360" w:lineRule="auto"/>
        <w:jc w:val="left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114300" distR="114300">
            <wp:extent cx="5271770" cy="3396615"/>
            <wp:effectExtent l="0" t="0" r="11430" b="698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F2C1">
      <w:pPr>
        <w:spacing w:line="360" w:lineRule="auto"/>
        <w:jc w:val="left"/>
        <w:rPr>
          <w:rFonts w:asciiTheme="minorEastAsia" w:hAnsiTheme="minorEastAsia" w:eastAsiaTheme="minorEastAsia"/>
          <w:sz w:val="30"/>
          <w:szCs w:val="30"/>
          <w:lang w:eastAsia="zh-Hans"/>
        </w:rPr>
      </w:pPr>
    </w:p>
    <w:p w14:paraId="2427D4F7">
      <w:pPr>
        <w:spacing w:line="360" w:lineRule="auto"/>
        <w:jc w:val="left"/>
        <w:rPr>
          <w:rFonts w:cs="宋体" w:asciiTheme="minorEastAsia" w:hAnsiTheme="minorEastAsia" w:eastAsiaTheme="minorEastAsia"/>
          <w:bCs/>
          <w:sz w:val="30"/>
          <w:szCs w:val="30"/>
          <w:lang w:eastAsia="zh-Hans"/>
        </w:rPr>
      </w:pPr>
      <w:r>
        <w:rPr>
          <w:rFonts w:hint="eastAsia" w:ascii="仿宋_GB2312" w:hAnsi="仿宋_GB2312" w:eastAsia="仿宋_GB2312" w:cs="仿宋_GB2312"/>
          <w:bCs/>
          <w:color w:val="0000FF"/>
          <w:sz w:val="30"/>
          <w:szCs w:val="30"/>
          <w:lang w:eastAsia="zh-Hans"/>
        </w:rPr>
        <w:t>请法人或管理员参考下图进行相关授权处理：</w:t>
      </w:r>
      <w:r>
        <w:rPr>
          <w:rFonts w:cs="宋体" w:asciiTheme="minorEastAsia" w:hAnsiTheme="minorEastAsia" w:eastAsiaTheme="minorEastAsia"/>
          <w:bCs/>
          <w:sz w:val="30"/>
          <w:szCs w:val="30"/>
          <w:lang w:eastAsia="zh-Hans"/>
        </w:rPr>
        <w:t xml:space="preserve">     </w:t>
      </w:r>
    </w:p>
    <w:p w14:paraId="52CFA56D">
      <w:pPr>
        <w:spacing w:line="360" w:lineRule="auto"/>
        <w:jc w:val="left"/>
        <w:rPr>
          <w:rFonts w:cs="宋体" w:asciiTheme="minorEastAsia" w:hAnsiTheme="minorEastAsia" w:eastAsiaTheme="minorEastAsia"/>
          <w:bCs/>
          <w:sz w:val="30"/>
          <w:szCs w:val="30"/>
          <w:lang w:eastAsia="zh-Hans"/>
        </w:rPr>
      </w:pPr>
      <w:r>
        <w:rPr>
          <w:rFonts w:cs="宋体" w:asciiTheme="minorEastAsia" w:hAnsiTheme="minorEastAsia" w:eastAsiaTheme="minorEastAsia"/>
          <w:bCs/>
          <w:sz w:val="30"/>
          <w:szCs w:val="30"/>
          <w:lang w:eastAsia="zh-Hans"/>
        </w:rPr>
        <w:t xml:space="preserve">                      </w:t>
      </w:r>
    </w:p>
    <w:p w14:paraId="3E367A7B">
      <w:pPr>
        <w:spacing w:line="360" w:lineRule="auto"/>
        <w:jc w:val="left"/>
        <w:rPr>
          <w:rFonts w:cs="宋体" w:asciiTheme="minorEastAsia" w:hAnsiTheme="minorEastAsia" w:eastAsiaTheme="minorEastAsia"/>
          <w:bCs/>
          <w:sz w:val="30"/>
          <w:szCs w:val="30"/>
          <w:lang w:eastAsia="zh-Hans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114300" distR="114300">
            <wp:extent cx="5272405" cy="2212975"/>
            <wp:effectExtent l="0" t="0" r="10795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82A8">
      <w:pPr>
        <w:spacing w:line="360" w:lineRule="auto"/>
        <w:jc w:val="left"/>
        <w:rPr>
          <w:rFonts w:asciiTheme="minorEastAsia" w:hAnsiTheme="minorEastAsia" w:eastAsiaTheme="minorEastAsia"/>
          <w:bCs/>
          <w:sz w:val="30"/>
          <w:szCs w:val="30"/>
          <w:lang w:eastAsia="zh-Hans"/>
        </w:rPr>
      </w:pPr>
    </w:p>
    <w:p w14:paraId="32E133D6">
      <w:pPr>
        <w:spacing w:line="360" w:lineRule="auto"/>
        <w:jc w:val="left"/>
        <w:rPr>
          <w:rFonts w:asciiTheme="minorEastAsia" w:hAnsiTheme="minorEastAsia" w:eastAsiaTheme="minorEastAsia"/>
          <w:bCs/>
          <w:sz w:val="30"/>
          <w:szCs w:val="30"/>
          <w:lang w:eastAsia="zh-Hans"/>
        </w:rPr>
      </w:pPr>
      <w:r>
        <w:rPr>
          <w:rFonts w:asciiTheme="minorEastAsia" w:hAnsiTheme="minorEastAsia" w:eastAsiaTheme="minorEastAsia"/>
          <w:sz w:val="30"/>
          <w:szCs w:val="30"/>
        </w:rPr>
        <w:drawing>
          <wp:inline distT="0" distB="0" distL="0" distR="0">
            <wp:extent cx="5274310" cy="2448560"/>
            <wp:effectExtent l="0" t="0" r="8890" b="2540"/>
            <wp:docPr id="28" name="图片 28" descr="C:\Users\chenyuan\AppData\Roaming\Tencent\Users\593676732\QQ\WinTemp\RichOle\_ILDO12K@1%@@`2[$AH{J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henyuan\AppData\Roaming\Tencent\Users\593676732\QQ\WinTemp\RichOle\_ILDO12K@1%@@`2[$AH{JI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8CCB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</w:p>
    <w:p w14:paraId="35254C5E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</w:p>
    <w:p w14:paraId="2C6D840F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</w:p>
    <w:p w14:paraId="741ECD98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</w:p>
    <w:p w14:paraId="6840B20F">
      <w:pPr>
        <w:spacing w:line="360" w:lineRule="auto"/>
        <w:rPr>
          <w:rFonts w:asciiTheme="minorEastAsia" w:hAnsiTheme="minorEastAsia" w:eastAsiaTheme="minorEastAsia"/>
          <w:sz w:val="30"/>
          <w:szCs w:val="30"/>
        </w:rPr>
      </w:pPr>
    </w:p>
    <w:p w14:paraId="18E1590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7BF12F8-3706-4733-AC63-EC173AA9CE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7579ABE5-9251-459E-9D53-B7C836D33361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14F239FB-3A81-450F-8054-55B6E30DE76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8B0935B5-E1B3-4043-984D-F85031A67545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5" w:fontKey="{733D76FE-5B49-4D78-AB19-1CC61125342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36DBF2"/>
    <w:multiLevelType w:val="singleLevel"/>
    <w:tmpl w:val="AA36DB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FBA5152"/>
    <w:multiLevelType w:val="singleLevel"/>
    <w:tmpl w:val="7FBA51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yYjU5ZjM2NGIwMzA3MWNhNzNiYjJmYzZlYmFmMWUifQ=="/>
  </w:docVars>
  <w:rsids>
    <w:rsidRoot w:val="00000000"/>
    <w:rsid w:val="08D42BF4"/>
    <w:rsid w:val="09C76B6A"/>
    <w:rsid w:val="34864E01"/>
    <w:rsid w:val="489A0F0E"/>
    <w:rsid w:val="7A5C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3A3A3A"/>
      <w:u w:val="none"/>
    </w:rPr>
  </w:style>
  <w:style w:type="paragraph" w:styleId="5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1393</Words>
  <Characters>1620</Characters>
  <Lines>0</Lines>
  <Paragraphs>0</Paragraphs>
  <TotalTime>2</TotalTime>
  <ScaleCrop>false</ScaleCrop>
  <LinksUpToDate>false</LinksUpToDate>
  <CharactersWithSpaces>1654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2024-12-31T05:29:00Z</dcterms:created>
  <dc:creator>器械处</dc:creator>
  <cp:lastModifiedBy>郑通</cp:lastModifiedBy>
  <dcterms:modified xsi:type="dcterms:W3CDTF">2025-01-02T02:54:53Z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34A589D5FF6B463DAD8C4F70569168A5_13</vt:lpwstr>
  </property>
</Properties>
</file>