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2E024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u w:val="none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0"/>
          <w:szCs w:val="40"/>
          <w:u w:val="none"/>
        </w:rPr>
        <w:t>镇江市科技创新券实施管理办法</w:t>
      </w:r>
    </w:p>
    <w:p w14:paraId="7637083D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textAlignment w:val="auto"/>
        <w:rPr>
          <w:rFonts w:hint="eastAsia" w:ascii="Times New Roman" w:hAnsi="Times New Roman" w:eastAsia="方正楷体_GBK" w:cs="Times New Roman"/>
          <w:color w:val="auto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28"/>
          <w:szCs w:val="28"/>
          <w:u w:val="none"/>
          <w:lang w:val="en-US" w:eastAsia="zh-CN"/>
        </w:rPr>
        <w:t>征求意见稿</w:t>
      </w:r>
      <w:r>
        <w:rPr>
          <w:rFonts w:hint="eastAsia" w:ascii="Times New Roman" w:hAnsi="Times New Roman" w:eastAsia="方正楷体_GBK" w:cs="Times New Roman"/>
          <w:color w:val="auto"/>
          <w:sz w:val="28"/>
          <w:szCs w:val="28"/>
          <w:u w:val="none"/>
          <w:lang w:eastAsia="zh-CN"/>
        </w:rPr>
        <w:t>）</w:t>
      </w:r>
    </w:p>
    <w:p w14:paraId="08DF2D67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4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4"/>
          <w:u w:val="none"/>
        </w:rPr>
        <w:t>第一章  总  则</w:t>
      </w:r>
    </w:p>
    <w:p w14:paraId="78FDADC7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>为深入实施创新驱动发展战略，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推进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科技创新引领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产业强市，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助力经济社会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高质量发展，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进一步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激发创新活力，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培育壮大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创新主体，鼓励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引导全社会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加大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创新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投入，决定实施科技创新券（以下简称“创新券”）制度。为切实加强管理，充分发挥创新券作用，特制定本办法。</w:t>
      </w:r>
    </w:p>
    <w:p w14:paraId="246ECCD7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创新券是一种事前发放、事后兑现的科技创新政策兑现券。</w:t>
      </w:r>
    </w:p>
    <w:p w14:paraId="6C415F52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创新券的使用和管理坚持依法管理、广泛引导、科学组织、专款专用的原则。</w:t>
      </w:r>
    </w:p>
    <w:p w14:paraId="439F5BF6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4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4"/>
          <w:u w:val="none"/>
        </w:rPr>
        <w:t>第二章  管理机构及职责</w:t>
      </w:r>
    </w:p>
    <w:p w14:paraId="7507F1BC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市科技局、市财政局为市创新券的管理部门，共同负责创新券的政策制定、资金安排、组织实施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、绩效监督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等工作，研究确定创新券施行过程中的有关事项。</w:t>
      </w:r>
    </w:p>
    <w:p w14:paraId="1F0AA679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市科技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创新券管理办公室设在市科技局综合计划处，负责创新券的经费预算、组织管理、发放、兑现审核和绩效评价等日常管理工作。</w:t>
      </w:r>
    </w:p>
    <w:p w14:paraId="7720A05E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各辖区主管部门负责本地区创新券的发放、兑现初审等工作，协助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市科技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创新券管理办公室开展其他日常工作。</w:t>
      </w:r>
    </w:p>
    <w:p w14:paraId="03F02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4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4"/>
          <w:u w:val="none"/>
        </w:rPr>
        <w:t>第三章  创新券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4"/>
          <w:u w:val="none"/>
          <w:lang w:eastAsia="zh-CN"/>
        </w:rPr>
        <w:t>分类、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4"/>
          <w:u w:val="none"/>
        </w:rPr>
        <w:t>使用及资金来源</w:t>
      </w:r>
    </w:p>
    <w:p w14:paraId="7AE074C5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创新券支持对象为在镇江开展生产经营及科技创新活动、财务机构健全、管理规范、无不良信用记录的企事业单位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。</w:t>
      </w:r>
    </w:p>
    <w:p w14:paraId="11C92BD1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</w:rPr>
        <w:t>创新券分为创新A券和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>创新B券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eastAsia="zh-CN"/>
        </w:rPr>
        <w:t>两种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</w:rPr>
        <w:t>。</w:t>
      </w:r>
    </w:p>
    <w:p w14:paraId="1F9C9483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</w:rPr>
        <w:t>创新A券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用于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支持制造业企业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向高校、科研院所购买技术成果或科研服务等创新投入。科研服务是指企业在研究开发等科技创新活动中开展工艺验证、检验检测等，不包括非创新活动，如法定认定、强制检测、商业验货等。</w:t>
      </w:r>
    </w:p>
    <w:p w14:paraId="49A79E5C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</w:rPr>
        <w:t>创新B券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>用于对获得积分的创新主体进行资助。其中：①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eastAsia="zh-CN"/>
        </w:rPr>
        <w:t>研发内部支出经费百强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>规上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eastAsia="zh-CN"/>
        </w:rPr>
        <w:t>企业中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>研发投入强度不低于3%或有基础研究经费支出的企业计3分；②基础研究经费支出前10位的科研院所计3分。③技术合同成交额达到500万元以上的技术输出企业，按技术合同成交额每100万元计0.1分，最高计3分，各类科技计划项目合同成交额不计分。</w:t>
      </w:r>
    </w:p>
    <w:p w14:paraId="55368C5F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</w:t>
      </w:r>
      <w:r>
        <w:rPr>
          <w:rFonts w:hint="eastAsia" w:ascii="Times New Roman" w:hAnsi="Times New Roman" w:eastAsia="黑体" w:cs="Times New Roman"/>
          <w:color w:val="auto"/>
          <w:sz w:val="28"/>
          <w:szCs w:val="24"/>
          <w:u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创新券有效期1年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资金来源于市科技创新专项资金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。</w:t>
      </w:r>
    </w:p>
    <w:p w14:paraId="047B3A55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4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4"/>
          <w:u w:val="none"/>
        </w:rPr>
        <w:t>第四章  创新券管理</w:t>
      </w:r>
    </w:p>
    <w:p w14:paraId="1A7547FF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</w:t>
      </w:r>
      <w:r>
        <w:rPr>
          <w:rFonts w:hint="eastAsia" w:ascii="Times New Roman" w:hAnsi="Times New Roman" w:eastAsia="黑体" w:cs="Times New Roman"/>
          <w:color w:val="auto"/>
          <w:sz w:val="28"/>
          <w:szCs w:val="24"/>
          <w:u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市科技创新券管理办公室每年发布年度创新券工作通知，辖区主管部门接通知后，组织企业申领创新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  <w:t>A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券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  <w:t>创新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  <w:t>B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  <w:t>券免申直享。</w:t>
      </w:r>
    </w:p>
    <w:p w14:paraId="04007273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</w:t>
      </w:r>
      <w:r>
        <w:rPr>
          <w:rFonts w:hint="eastAsia" w:ascii="Times New Roman" w:hAnsi="Times New Roman" w:eastAsia="黑体" w:cs="Times New Roman"/>
          <w:color w:val="auto"/>
          <w:sz w:val="28"/>
          <w:szCs w:val="24"/>
          <w:u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创新券的申领材料经辖区主管部门初审通过后，由市科技创新券管理办公室审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核，并确认发放。一个年度内，创新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  <w:t>A劵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对单个企业发放额度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  <w:t>最高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不超过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  <w:t>，创新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  <w:t>B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  <w:t>券额度，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  <w:t>每获得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>1分支持不超过1万元，累计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  <w:t>最高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不超过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>。</w:t>
      </w:r>
    </w:p>
    <w:p w14:paraId="645908A6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领取创新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val="en-US" w:eastAsia="zh-CN"/>
        </w:rPr>
        <w:t>A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券的企业，符合兑现条件的，根据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市科技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创新券管理办公室的通知，及时申请兑现。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>符合创新B券兑现条件的，由市科技局、市财政局根据上一年度规上企业研发年报填报情况、列统科研院所年报填报情况和技术合同成交额直接兑现。</w:t>
      </w:r>
    </w:p>
    <w:p w14:paraId="5DF8D79E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highlight w:val="none"/>
          <w:u w:val="none"/>
        </w:rPr>
        <w:t>第十</w:t>
      </w:r>
      <w:r>
        <w:rPr>
          <w:rFonts w:hint="eastAsia" w:ascii="Times New Roman" w:hAnsi="Times New Roman" w:eastAsia="黑体" w:cs="Times New Roman"/>
          <w:color w:val="auto"/>
          <w:sz w:val="28"/>
          <w:szCs w:val="24"/>
          <w:highlight w:val="none"/>
          <w:u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28"/>
          <w:szCs w:val="24"/>
          <w:highlight w:val="none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highlight w:val="none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企业申请兑现创新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  <w:t>A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券时，申请兑现金额不得高于购买技术成果和科研服务实际支出的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%（向在镇高校购买技术成果和科研服务的，不得高于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%）。</w:t>
      </w:r>
    </w:p>
    <w:p w14:paraId="081C73BC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highlight w:val="none"/>
          <w:u w:val="none"/>
        </w:rPr>
        <w:t>第十</w:t>
      </w:r>
      <w:r>
        <w:rPr>
          <w:rFonts w:hint="eastAsia" w:ascii="Times New Roman" w:hAnsi="Times New Roman" w:eastAsia="黑体" w:cs="Times New Roman"/>
          <w:color w:val="auto"/>
          <w:sz w:val="28"/>
          <w:szCs w:val="24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28"/>
          <w:szCs w:val="24"/>
          <w:highlight w:val="none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highlight w:val="none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申请兑现创新券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>A券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需提交的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  <w:t>资料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包括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  <w:t>：</w:t>
      </w:r>
    </w:p>
    <w:p w14:paraId="4B2E61D5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（一）创新券兑现基本信息表（含科研诚信承诺书）；</w:t>
      </w:r>
    </w:p>
    <w:p w14:paraId="2C5FE8F7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（二）科研服务合同、技术成果交易合同、技术方案、工作总结等；</w:t>
      </w:r>
    </w:p>
    <w:p w14:paraId="77518611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（三）相关支出证明材料（发票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银行凭证等）；</w:t>
      </w:r>
    </w:p>
    <w:p w14:paraId="5182C513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（四）创新活动产出相关材料（专利、著作权、新产品、新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  <w:t>工艺、样机等）。</w:t>
      </w:r>
    </w:p>
    <w:p w14:paraId="2B121554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highlight w:val="none"/>
          <w:u w:val="none"/>
        </w:rPr>
        <w:t>第十</w:t>
      </w:r>
      <w:r>
        <w:rPr>
          <w:rFonts w:hint="eastAsia" w:ascii="Times New Roman" w:hAnsi="Times New Roman" w:eastAsia="黑体" w:cs="Times New Roman"/>
          <w:color w:val="auto"/>
          <w:sz w:val="28"/>
          <w:szCs w:val="24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28"/>
          <w:szCs w:val="24"/>
          <w:highlight w:val="none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highlight w:val="none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当年立项且资助经费超过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万元的市级科技计划项目承担单位，不再享受创新券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  <w:t>A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  <w:t>券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政策。已获得过市科技创新专项资金支持的项目，不再享受创新券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val="en-US" w:eastAsia="zh-CN"/>
        </w:rPr>
        <w:t>A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  <w:t>券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政策。</w:t>
      </w:r>
    </w:p>
    <w:p w14:paraId="0841035E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highlight w:val="none"/>
          <w:u w:val="none"/>
        </w:rPr>
        <w:t>第十</w:t>
      </w:r>
      <w:r>
        <w:rPr>
          <w:rFonts w:hint="eastAsia" w:ascii="Times New Roman" w:hAnsi="Times New Roman" w:eastAsia="黑体" w:cs="Times New Roman"/>
          <w:color w:val="auto"/>
          <w:sz w:val="28"/>
          <w:szCs w:val="24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28"/>
          <w:szCs w:val="24"/>
          <w:highlight w:val="none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highlight w:val="none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辖区主管部门对创新券申请兑现材料进行初审，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科技创新券管理办公室进行审核。在审核材料过程中，认为有必要的，可对申请兑现的企业进行现场核查或第三方咨询。</w:t>
      </w:r>
    </w:p>
    <w:p w14:paraId="0F944146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现场核查或第三方咨询由相关专业领域的技术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  <w:t>（管理）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专家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highlight w:val="none"/>
          <w:u w:val="none"/>
        </w:rPr>
        <w:t>财务专家组成，主要核查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兑现内容的真实性。</w:t>
      </w:r>
    </w:p>
    <w:p w14:paraId="6CFB4E44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</w:pPr>
    </w:p>
    <w:p w14:paraId="51B7357D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第十</w:t>
      </w:r>
      <w:r>
        <w:rPr>
          <w:rFonts w:hint="eastAsia" w:ascii="Times New Roman" w:hAnsi="Times New Roman" w:eastAsia="黑体" w:cs="Times New Roman"/>
          <w:color w:val="auto"/>
          <w:sz w:val="28"/>
          <w:szCs w:val="24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市科技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创新券管理办公室根据审核情况，提出兑现名单和金额建议，经市科技局和市财政局会商通过后，进行公示。公示无异议的，由市财政局、市科技局联合下达创新券兑现资金。</w:t>
      </w:r>
    </w:p>
    <w:p w14:paraId="0F570743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4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4"/>
          <w:u w:val="none"/>
        </w:rPr>
        <w:t>第五章  监督与绩效评价</w:t>
      </w:r>
    </w:p>
    <w:p w14:paraId="2B4C6372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第十</w:t>
      </w:r>
      <w:r>
        <w:rPr>
          <w:rFonts w:hint="eastAsia" w:ascii="Times New Roman" w:hAnsi="Times New Roman" w:eastAsia="黑体" w:cs="Times New Roman"/>
          <w:color w:val="auto"/>
          <w:sz w:val="28"/>
          <w:szCs w:val="24"/>
          <w:u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市科技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创新券管理办公室不定期对企业申领和兑现创新券情况进行核查。对骗取创新券资金的企业，由辖区科技部门和财政部门联合追回被骗取资金，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纳入科研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失信记录，3年内不得享受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市级科技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创新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专项资金支持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。</w:t>
      </w:r>
    </w:p>
    <w:p w14:paraId="5A512A83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</w:pPr>
    </w:p>
    <w:p w14:paraId="1F451534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第十</w:t>
      </w:r>
      <w:r>
        <w:rPr>
          <w:rFonts w:hint="eastAsia" w:ascii="Times New Roman" w:hAnsi="Times New Roman" w:eastAsia="黑体" w:cs="Times New Roman"/>
          <w:color w:val="auto"/>
          <w:sz w:val="28"/>
          <w:szCs w:val="24"/>
          <w:u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市财政局对创新券资金使用情况进行监管，根据资金使用绩效对创新券实施管理适时提出调整意见。</w:t>
      </w:r>
    </w:p>
    <w:p w14:paraId="4D65A54D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4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4"/>
          <w:u w:val="none"/>
        </w:rPr>
        <w:t>第六章  附  则</w:t>
      </w:r>
    </w:p>
    <w:p w14:paraId="496A381E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第十</w:t>
      </w:r>
      <w:r>
        <w:rPr>
          <w:rFonts w:hint="eastAsia" w:ascii="Times New Roman" w:hAnsi="Times New Roman" w:eastAsia="黑体" w:cs="Times New Roman"/>
          <w:color w:val="auto"/>
          <w:sz w:val="28"/>
          <w:szCs w:val="24"/>
          <w:u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条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本办法自发布之日起执行。原《镇江市科技创新券实施管理办法》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镇科计〔2020〕40号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）同时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废止。</w:t>
      </w:r>
    </w:p>
    <w:p w14:paraId="5FF0448F">
      <w:pPr>
        <w:ind w:firstLine="560" w:firstLineChars="200"/>
        <w:rPr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第</w:t>
      </w:r>
      <w:r>
        <w:rPr>
          <w:rFonts w:hint="eastAsia" w:ascii="Times New Roman" w:hAnsi="Times New Roman" w:eastAsia="黑体" w:cs="Times New Roman"/>
          <w:color w:val="auto"/>
          <w:sz w:val="28"/>
          <w:szCs w:val="24"/>
          <w:u w:val="none"/>
          <w:lang w:val="en-US" w:eastAsia="zh-CN"/>
        </w:rPr>
        <w:t>十九</w:t>
      </w:r>
      <w:r>
        <w:rPr>
          <w:rFonts w:hint="default" w:ascii="Times New Roman" w:hAnsi="Times New Roman" w:eastAsia="黑体" w:cs="Times New Roman"/>
          <w:color w:val="auto"/>
          <w:sz w:val="28"/>
          <w:szCs w:val="24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28"/>
          <w:szCs w:val="24"/>
          <w:u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本办法由市科技局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  <w:lang w:eastAsia="zh-CN"/>
        </w:rPr>
        <w:t>、市财政局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4"/>
          <w:u w:val="none"/>
        </w:rPr>
        <w:t>负责解释。</w:t>
      </w:r>
    </w:p>
    <w:sectPr>
      <w:pgSz w:w="11906" w:h="16838"/>
      <w:pgMar w:top="2041" w:right="1633" w:bottom="1928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jA2NjU5OTU2ZWRiODc1MjdmZDgxNjk0Y2IzYzYifQ=="/>
  </w:docVars>
  <w:rsids>
    <w:rsidRoot w:val="217C4671"/>
    <w:rsid w:val="02183B46"/>
    <w:rsid w:val="1799400E"/>
    <w:rsid w:val="217C4671"/>
    <w:rsid w:val="3C6D442B"/>
    <w:rsid w:val="4D1A0E7E"/>
    <w:rsid w:val="52A6003D"/>
    <w:rsid w:val="59B92E3F"/>
    <w:rsid w:val="5B207496"/>
    <w:rsid w:val="6A9068AE"/>
    <w:rsid w:val="73F3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1772</Words>
  <Characters>1790</Characters>
  <Lines>0</Lines>
  <Paragraphs>0</Paragraphs>
  <TotalTime>13</TotalTime>
  <ScaleCrop>false</ScaleCrop>
  <LinksUpToDate>false</LinksUpToDate>
  <CharactersWithSpaces>1825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2024-10-28T06:18:00Z</dcterms:created>
  <dc:creator>chris滢</dc:creator>
  <cp:lastModifiedBy>MC.CHEN</cp:lastModifiedBy>
  <dcterms:modified xsi:type="dcterms:W3CDTF">2025-01-09T08:32:24Z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DB242860E6914CB597D141E716D4B421_13</vt:lpwstr>
  </property>
  <property fmtid="{D5CDD505-2E9C-101B-9397-08002B2CF9AE}" pid="4" name="KSOTemplateDocerSaveRecord">
    <vt:lpwstr>eyJoZGlkIjoiZTdjZjA2NjU5OTU2ZWRiODc1MjdmZDgxNjk0Y2IzYzYiLCJ1c2VySWQiOiIzODU0NjM3MjAifQ==</vt:lpwstr>
  </property>
</Properties>
</file>