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828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附件1</w:t>
      </w:r>
    </w:p>
    <w:p w14:paraId="04D49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全市服务业发展目标体系</w:t>
      </w:r>
    </w:p>
    <w:tbl>
      <w:tblPr>
        <w:tblW w:w="7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849"/>
        <w:gridCol w:w="1101"/>
        <w:gridCol w:w="1236"/>
        <w:gridCol w:w="1497"/>
      </w:tblGrid>
      <w:tr w14:paraId="4DAE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4B9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45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7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ED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2025年</w:t>
            </w:r>
          </w:p>
          <w:p w14:paraId="386EC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目标</w:t>
            </w:r>
          </w:p>
        </w:tc>
        <w:tc>
          <w:tcPr>
            <w:tcW w:w="8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9B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2028年</w:t>
            </w:r>
          </w:p>
          <w:p w14:paraId="55176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目标</w:t>
            </w:r>
          </w:p>
        </w:tc>
        <w:tc>
          <w:tcPr>
            <w:tcW w:w="10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0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牵头部门</w:t>
            </w:r>
          </w:p>
        </w:tc>
      </w:tr>
      <w:tr w14:paraId="23A5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EF7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AF2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服务业增加值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9F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4050亿元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EE9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5000亿元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38B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1976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8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93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服务业增加值年均增速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CF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6%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69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6%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B08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55FB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B1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04E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生产性服务业增加值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DE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2450亿元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D2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3000亿元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E0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3472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6C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3A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生产性服务业增加值占服务业增加值比重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2C1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60%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38D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60%以上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35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0133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7C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57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服务业开票销售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7B2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5300亿元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81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6000亿元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38E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70A2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9DA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E6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涉核规模以上服务业</w:t>
            </w:r>
          </w:p>
          <w:p w14:paraId="7CCD1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营业收入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13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950亿元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8E7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1300亿元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598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12FD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CAD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F8E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服务业固定资产投资增速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D71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5%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5D5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5%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621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1F00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B5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58E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规模以上服务业</w:t>
            </w:r>
          </w:p>
          <w:p w14:paraId="45EB5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（限额以上商贸）企业数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2D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7800家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27D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8500家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5D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  <w:p w14:paraId="7810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市商务局</w:t>
            </w:r>
          </w:p>
        </w:tc>
      </w:tr>
      <w:tr w14:paraId="3F63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E04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A3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培育服务业集聚区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20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50家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07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80家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BD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6C9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35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C8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社会物流总费用占地区生产总值的比率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FA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13%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B7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12%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3A1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市发改委</w:t>
            </w:r>
          </w:p>
        </w:tc>
      </w:tr>
      <w:tr w14:paraId="2903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599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E8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年接待游客人次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1AE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1.2亿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99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1.3亿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A77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市文广旅局</w:t>
            </w:r>
          </w:p>
        </w:tc>
      </w:tr>
      <w:tr w14:paraId="3791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33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CF7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新增亿元以上文旅项目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090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25个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59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30个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BC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市文广旅局</w:t>
            </w:r>
          </w:p>
        </w:tc>
      </w:tr>
      <w:tr w14:paraId="5F8E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2BB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C18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社会消费品零售总额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63B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1800亿元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94E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2000亿元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D6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市商务局</w:t>
            </w:r>
          </w:p>
        </w:tc>
      </w:tr>
      <w:tr w14:paraId="6DD6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84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C9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规上软件和信息服务业</w:t>
            </w:r>
          </w:p>
          <w:p w14:paraId="2DB8F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营业收入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E03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20亿元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08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35亿元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681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市工信局</w:t>
            </w:r>
          </w:p>
        </w:tc>
      </w:tr>
      <w:tr w14:paraId="1B87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32D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087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电商网络零售额</w:t>
            </w:r>
          </w:p>
        </w:tc>
        <w:tc>
          <w:tcPr>
            <w:tcW w:w="7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8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360亿元</w:t>
            </w:r>
          </w:p>
        </w:tc>
        <w:tc>
          <w:tcPr>
            <w:tcW w:w="8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C29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430亿元</w:t>
            </w:r>
          </w:p>
        </w:tc>
        <w:tc>
          <w:tcPr>
            <w:tcW w:w="10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E57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  <w:sz w:val="24"/>
                <w:szCs w:val="24"/>
                <w:bdr w:val="none" w:color="auto" w:sz="0" w:space="0"/>
              </w:rPr>
              <w:t>市商务局</w:t>
            </w:r>
          </w:p>
        </w:tc>
      </w:tr>
    </w:tbl>
    <w:p w14:paraId="0866F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</w:p>
    <w:p w14:paraId="440D3CE5">
      <w:pP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br w:type="page"/>
      </w:r>
    </w:p>
    <w:p w14:paraId="7716B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附件2</w:t>
      </w:r>
    </w:p>
    <w:p w14:paraId="4E3BA8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关于推动服务业高质量发展的若干保障措施</w:t>
      </w:r>
    </w:p>
    <w:p w14:paraId="42CC5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为进一步完善发展服务业体制机制，聚焦重点环节、重点领域，推动全市服务业高质量发展，结合我市实际情况，制定如下保障措施。</w:t>
      </w:r>
    </w:p>
    <w:p w14:paraId="60729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一、完善体制机制。对服务业重点发展的15个细分领域，建立市领导和市直相关单位挂钩联系推进的工作制度，定期召开工作推进会议，研究制定具体政策，统筹协调解决重大问题。各地各部门组建专门工作组，加强组织实施、跟踪评估、总结反馈，扎实推动各项任务落地见效。</w:t>
      </w:r>
    </w:p>
    <w:p w14:paraId="0ECC5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二、加大资金支持。由市级财政预算安排，每年设立5000万元专项资金，用于引导和扶持全市现代服务业发展。鼓励各地根据实际情况，安排不低于1000万元的服务业专项资金，有条件的地区可扩大资金规模，加大服务业支持力度。</w:t>
      </w:r>
    </w:p>
    <w:p w14:paraId="05A35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三、发挥基金作用。建立完善全市服务业产业基金体系，分领域设立生产性服务业和生活性服务业产业基金，专项支持服务业发展。</w:t>
      </w:r>
    </w:p>
    <w:p w14:paraId="0C38D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四、加强要素保障。对服务业企业用地，延长土地出让金缴纳时间，待缴期间不计利息。实行项目分级管理，压缩审批时间，推行“拿地即开工”。探索业态复合、功能混合、弹性灵活的创新型服务业产业用地模式，鼓励采用长期租赁、先租后让、弹性年期出让、产权分割等灵活的供地方式支持服务业发展。</w:t>
      </w:r>
    </w:p>
    <w:p w14:paraId="7D406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五、优化审批服务。保障各类经营主体公平参与市场竞争，对不涉及国家安全和社会稳定，可以依靠市场充分竞争提升供给质量的服务业行业领域，逐步取消准入限制。放宽服务业经营主体从事经营活动的资质、股权比例、注册资金、从业人员、营业场所、经营范围等要求，全面清理在环保、安保、质检、消防等领域违规设置准入障碍。推行“信用+承诺”审批服务，推动市场准入相关中介服务事项网上公开办理。</w:t>
      </w:r>
    </w:p>
    <w:p w14:paraId="6B83B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六、加强人才支撑。为全市服务业领域高层次人才子女“就近、免试”协调保障幼儿园、小学、初中就读，普通高中按照相关政策实行优先录取。全市生产性服务业重点企业每年新全职引进毕业2年内大专（高级工）及以上毕业生超过30人的，超出人员按2000元/人的标准奖励企业，每家企业最高奖励200万元。</w:t>
      </w:r>
    </w:p>
    <w:p w14:paraId="3DCC91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12529"/>
          <w:spacing w:val="0"/>
          <w:bdr w:val="none" w:color="auto" w:sz="0" w:space="0"/>
          <w:shd w:val="clear" w:fill="FFFFFF"/>
        </w:rPr>
        <w:t>本文件自发布之日起执行，扬州市发展和改革委员会负责政策解释。执行期间如国家法律法规和政策另有规定的，以国家法律法规和政策为准。</w:t>
      </w:r>
    </w:p>
    <w:p w14:paraId="05E9B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2025-01-16T07:54:02Z</dcterms:created>
  <dc:creator>lenovo</dc:creator>
  <cp:lastModifiedBy>8198309937</cp:lastModifiedBy>
  <dcterms:modified xsi:type="dcterms:W3CDTF">2025-01-16T07:54:37Z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eyJoZGlkIjoiNjUwMzk1Nzg1MTJiOGI2NTgxMzlkOTAwNzg4OGY1MmEiLCJ1c2VySWQiOiIxNjYxMTUzMDM4In0=</vt:lpwstr>
  </property>
  <property fmtid="{D5CDD505-2E9C-101B-9397-08002B2CF9AE}" pid="4" name="ICV">
    <vt:lpwstr>4E36BF14C08443419049C75E91D56101_12</vt:lpwstr>
  </property>
</Properties>
</file>