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rPr>
          <w:rFonts w:hint="default"/>
        </w:rPr>
      </w:pPr>
    </w:p>
    <w:p>
      <w:pPr>
        <w:pStyle w:val="5"/>
        <w:snapToGrid/>
        <w:rPr>
          <w:rFonts w:hint="default"/>
        </w:rPr>
      </w:pPr>
      <w:r>
        <w:t>扬州市2025年节能降碳行动计划</w:t>
      </w:r>
    </w:p>
    <w:p>
      <w:pPr>
        <w:pStyle w:val="7"/>
        <w:spacing w:line="600" w:lineRule="exact"/>
        <w:ind w:firstLine="0" w:firstLineChars="0"/>
        <w:jc w:val="center"/>
      </w:pPr>
      <w:r>
        <w:rPr>
          <w:rFonts w:hint="eastAsia"/>
        </w:rPr>
        <w:t>（征求意见稿）</w:t>
      </w:r>
    </w:p>
    <w:p>
      <w:pPr>
        <w:spacing w:line="600" w:lineRule="exact"/>
      </w:pPr>
    </w:p>
    <w:p>
      <w:pPr>
        <w:spacing w:line="600" w:lineRule="exact"/>
      </w:pPr>
      <w:r>
        <w:rPr>
          <w:rFonts w:hint="eastAsia"/>
        </w:rPr>
        <w:t>以习近平新时代中国特色社会主义思想为指导，深入贯彻党的二十大、二十届三中全会精神，落实</w:t>
      </w:r>
      <w:r>
        <w:rPr>
          <w:rFonts w:hint="eastAsia"/>
          <w:lang w:eastAsia="zh-CN"/>
        </w:rPr>
        <w:t>国家和省</w:t>
      </w:r>
      <w:r>
        <w:rPr>
          <w:rFonts w:hint="eastAsia"/>
        </w:rPr>
        <w:t>《2024-2025年节能降碳行动方案》，完善化石能源消耗总量和强度调控，实施重点领域重点行业节能降碳行动，压实节能降碳目标责任，尽最大努力完成“十四五”节能降碳约束性指标，为积极稳妥推进碳达峰碳中和提供有力支撑。</w:t>
      </w:r>
    </w:p>
    <w:p>
      <w:pPr>
        <w:pStyle w:val="6"/>
        <w:numPr>
          <w:ilvl w:val="0"/>
          <w:numId w:val="1"/>
        </w:numPr>
        <w:spacing w:line="600" w:lineRule="exact"/>
        <w:ind w:firstLine="640"/>
      </w:pPr>
      <w:r>
        <w:rPr>
          <w:rFonts w:hint="eastAsia"/>
        </w:rPr>
        <w:t>主要目标</w:t>
      </w:r>
    </w:p>
    <w:p>
      <w:pPr>
        <w:spacing w:line="600" w:lineRule="exact"/>
      </w:pPr>
      <w:r>
        <w:rPr>
          <w:rFonts w:hint="eastAsia"/>
        </w:rPr>
        <w:t>2025年全市非化石能源消费占比达到2</w:t>
      </w:r>
      <w:r>
        <w:rPr>
          <w:rFonts w:hint="eastAsia"/>
          <w:lang w:val="en-US" w:eastAsia="zh-CN"/>
        </w:rPr>
        <w:t>0</w:t>
      </w:r>
      <w:r>
        <w:rPr>
          <w:rFonts w:hint="eastAsia"/>
        </w:rPr>
        <w:t>%左右，非化石能源消费扣减量达550万吨标准煤，重点领域和行业节能降碳改造形成节能量约10万吨标准煤、减排二氧化碳约26万吨，尽最大努力完成“十四五”节能降碳约束性指标。</w:t>
      </w:r>
    </w:p>
    <w:p>
      <w:pPr>
        <w:pStyle w:val="6"/>
        <w:numPr>
          <w:ilvl w:val="0"/>
          <w:numId w:val="1"/>
        </w:numPr>
        <w:spacing w:line="600" w:lineRule="exact"/>
        <w:ind w:firstLine="640"/>
      </w:pPr>
      <w:r>
        <w:rPr>
          <w:rFonts w:hint="eastAsia"/>
        </w:rPr>
        <w:t>重点任务</w:t>
      </w:r>
    </w:p>
    <w:p>
      <w:pPr>
        <w:pStyle w:val="7"/>
        <w:numPr>
          <w:ilvl w:val="0"/>
          <w:numId w:val="2"/>
        </w:numPr>
        <w:spacing w:line="600" w:lineRule="exact"/>
      </w:pPr>
      <w:r>
        <w:rPr>
          <w:rFonts w:hint="eastAsia"/>
          <w:lang w:eastAsia="zh-CN"/>
        </w:rPr>
        <w:t>推动</w:t>
      </w:r>
      <w:r>
        <w:rPr>
          <w:rFonts w:hint="eastAsia"/>
        </w:rPr>
        <w:t>能源</w:t>
      </w:r>
      <w:r>
        <w:rPr>
          <w:rFonts w:hint="eastAsia"/>
          <w:lang w:eastAsia="zh-CN"/>
        </w:rPr>
        <w:t>结构</w:t>
      </w:r>
      <w:r>
        <w:rPr>
          <w:rFonts w:hint="eastAsia"/>
        </w:rPr>
        <w:t>绿色低碳转型</w:t>
      </w:r>
    </w:p>
    <w:p>
      <w:pPr>
        <w:pStyle w:val="2"/>
        <w:ind w:firstLine="643"/>
        <w:rPr>
          <w:rStyle w:val="13"/>
        </w:rPr>
      </w:pPr>
      <w:r>
        <w:rPr>
          <w:rFonts w:hint="eastAsia"/>
          <w:b/>
          <w:bCs/>
        </w:rPr>
        <w:t>1.严格合理控制煤炭消费。</w:t>
      </w:r>
      <w:r>
        <w:rPr>
          <w:rFonts w:hint="eastAsia"/>
        </w:rPr>
        <w:t>全力推动扬州国信100万千瓦时超超临界机组建设，加快扬州华电、</w:t>
      </w:r>
      <w:r>
        <w:rPr>
          <w:rFonts w:hint="eastAsia"/>
          <w:lang w:eastAsia="zh-CN"/>
        </w:rPr>
        <w:t>国信仪征热电、</w:t>
      </w:r>
      <w:r>
        <w:rPr>
          <w:rFonts w:hint="eastAsia"/>
        </w:rPr>
        <w:t>仪征化纤、港口热电等小型燃煤机组和</w:t>
      </w:r>
      <w:r>
        <w:rPr>
          <w:rFonts w:hint="eastAsia"/>
          <w:lang w:eastAsia="zh-CN"/>
        </w:rPr>
        <w:t>实友化工</w:t>
      </w:r>
      <w:r>
        <w:rPr>
          <w:rFonts w:hint="eastAsia"/>
        </w:rPr>
        <w:t>自备燃煤锅炉关停退出。全市范围内新建、改扩建耗煤项目严格执行煤炭替代政策，深入推进煤电机组“三改联动”，因地制宜实施煤电机组节能降碳改造，有序推进35蒸吨/小时及以上燃煤锅炉节能和超低排放改造。到2025年，煤炭占一次能源消费比重下降至50%左右、电煤占煤炭消费比重提升至75%左右，全市综合发电效率达到290克标准煤/千瓦时。</w:t>
      </w:r>
      <w:r>
        <w:rPr>
          <w:rStyle w:val="13"/>
          <w:rFonts w:hint="eastAsia"/>
        </w:rPr>
        <w:t>（市</w:t>
      </w:r>
      <w:r>
        <w:rPr>
          <w:rStyle w:val="13"/>
          <w:rFonts w:hint="eastAsia"/>
          <w:lang w:eastAsia="zh-CN"/>
        </w:rPr>
        <w:t>发改委</w:t>
      </w:r>
      <w:r>
        <w:rPr>
          <w:rStyle w:val="13"/>
          <w:rFonts w:hint="eastAsia"/>
        </w:rPr>
        <w:t>牵头，市</w:t>
      </w:r>
      <w:r>
        <w:rPr>
          <w:rStyle w:val="13"/>
          <w:rFonts w:hint="eastAsia"/>
          <w:lang w:eastAsia="zh-CN"/>
        </w:rPr>
        <w:t>工信局</w:t>
      </w:r>
      <w:r>
        <w:rPr>
          <w:rStyle w:val="13"/>
          <w:rFonts w:hint="eastAsia"/>
        </w:rPr>
        <w:t>、生态环境局等部门按职责分工负责）</w:t>
      </w:r>
    </w:p>
    <w:p>
      <w:pPr>
        <w:pStyle w:val="2"/>
        <w:ind w:firstLine="643"/>
        <w:rPr>
          <w:rStyle w:val="13"/>
        </w:rPr>
      </w:pPr>
      <w:r>
        <w:rPr>
          <w:rFonts w:hint="eastAsia"/>
          <w:b/>
          <w:bCs/>
        </w:rPr>
        <w:t>2.加强非化石能源供给。</w:t>
      </w:r>
      <w:r>
        <w:rPr>
          <w:rFonts w:hint="eastAsia"/>
        </w:rPr>
        <w:t>因地制宜开展“光伏、风电+”项目建设，加快各类园区、公共机构和公共设施、交通运输基础设施、城市建筑、农村等建设分布式光伏。因地制宜发展生物质能、地热能，构建氢能研、产、用产业集群，探索推进氢能在交通、能源、工业领域试点应用。到2025年底，全市非化石能源发电量占比达到39%左右。</w:t>
      </w:r>
      <w:r>
        <w:rPr>
          <w:rStyle w:val="13"/>
          <w:rFonts w:hint="eastAsia"/>
        </w:rPr>
        <w:t>（市</w:t>
      </w:r>
      <w:r>
        <w:rPr>
          <w:rStyle w:val="13"/>
          <w:rFonts w:hint="eastAsia"/>
          <w:lang w:eastAsia="zh-CN"/>
        </w:rPr>
        <w:t>发改委</w:t>
      </w:r>
      <w:r>
        <w:rPr>
          <w:rStyle w:val="13"/>
          <w:rFonts w:hint="eastAsia"/>
        </w:rPr>
        <w:t>牵头，市</w:t>
      </w:r>
      <w:r>
        <w:rPr>
          <w:rStyle w:val="13"/>
          <w:rFonts w:hint="default"/>
          <w:lang w:val="en"/>
        </w:rPr>
        <w:t>住建局</w:t>
      </w:r>
      <w:r>
        <w:rPr>
          <w:rStyle w:val="13"/>
          <w:rFonts w:hint="eastAsia"/>
        </w:rPr>
        <w:t>、农业农村局等部门按职责分工负责）</w:t>
      </w:r>
    </w:p>
    <w:p>
      <w:pPr>
        <w:pStyle w:val="2"/>
        <w:ind w:firstLine="643"/>
      </w:pPr>
      <w:r>
        <w:rPr>
          <w:rFonts w:hint="eastAsia"/>
          <w:b/>
          <w:bCs/>
        </w:rPr>
        <w:t>3.促进可再生能源</w:t>
      </w:r>
      <w:r>
        <w:rPr>
          <w:rFonts w:hint="eastAsia"/>
          <w:b/>
          <w:bCs/>
          <w:lang w:eastAsia="zh-CN"/>
        </w:rPr>
        <w:t>应用</w:t>
      </w:r>
      <w:r>
        <w:rPr>
          <w:rFonts w:hint="eastAsia"/>
          <w:b/>
          <w:bCs/>
        </w:rPr>
        <w:t>。</w:t>
      </w:r>
      <w:r>
        <w:rPr>
          <w:rFonts w:hint="eastAsia"/>
        </w:rPr>
        <w:t>打造适应大规模分布式可再生能源并网和多元负荷需要的智能配电网，大力发展新型储能、智能微电网、虚拟电厂、车网互动等新技术新模式，提升绿色电力消纳能力。“十四五”前三年节能降碳指标进度滞后的地区，新上高耗能项目的非化石能源消费比例不得低于20%。</w:t>
      </w:r>
      <w:r>
        <w:rPr>
          <w:rFonts w:hint="eastAsia"/>
          <w:lang w:eastAsia="zh-CN"/>
        </w:rPr>
        <w:t>大力推行绿电绿证交易，积极争取市外绿电。2025年</w:t>
      </w:r>
      <w:r>
        <w:rPr>
          <w:rFonts w:hint="eastAsia"/>
        </w:rPr>
        <w:t>全市非化石能源消费占比达到2</w:t>
      </w:r>
      <w:r>
        <w:rPr>
          <w:rFonts w:hint="eastAsia"/>
          <w:lang w:val="en-US" w:eastAsia="zh-CN"/>
        </w:rPr>
        <w:t>0</w:t>
      </w:r>
      <w:r>
        <w:rPr>
          <w:rFonts w:hint="eastAsia"/>
        </w:rPr>
        <w:t>%左右</w:t>
      </w:r>
      <w:r>
        <w:rPr>
          <w:rFonts w:hint="eastAsia"/>
          <w:lang w:eastAsia="zh-CN"/>
        </w:rPr>
        <w:t>，按照单位GDP化石能源消费量（新口径）核算，</w:t>
      </w:r>
      <w:r>
        <w:rPr>
          <w:rFonts w:hint="eastAsia"/>
        </w:rPr>
        <w:t>非化石能源消费扣减量达550万吨标准煤</w:t>
      </w:r>
      <w:r>
        <w:rPr>
          <w:rFonts w:hint="eastAsia"/>
          <w:lang w:eastAsia="zh-CN"/>
        </w:rPr>
        <w:t>。</w:t>
      </w:r>
      <w:r>
        <w:rPr>
          <w:rStyle w:val="13"/>
          <w:rFonts w:hint="eastAsia"/>
        </w:rPr>
        <w:t>（市</w:t>
      </w:r>
      <w:r>
        <w:rPr>
          <w:rStyle w:val="13"/>
          <w:rFonts w:hint="eastAsia"/>
          <w:lang w:eastAsia="zh-CN"/>
        </w:rPr>
        <w:t>发改委</w:t>
      </w:r>
      <w:r>
        <w:rPr>
          <w:rStyle w:val="13"/>
          <w:rFonts w:hint="eastAsia"/>
        </w:rPr>
        <w:t>牵头，市科技局、</w:t>
      </w:r>
      <w:r>
        <w:rPr>
          <w:rStyle w:val="13"/>
          <w:rFonts w:hint="eastAsia"/>
          <w:lang w:eastAsia="zh-CN"/>
        </w:rPr>
        <w:t>工信局</w:t>
      </w:r>
      <w:r>
        <w:rPr>
          <w:rStyle w:val="13"/>
          <w:rFonts w:hint="eastAsia"/>
        </w:rPr>
        <w:t>等部门按职责分工负责）</w:t>
      </w:r>
    </w:p>
    <w:p>
      <w:pPr>
        <w:pStyle w:val="7"/>
        <w:numPr>
          <w:ilvl w:val="0"/>
          <w:numId w:val="2"/>
        </w:numPr>
        <w:spacing w:line="600" w:lineRule="exact"/>
      </w:pPr>
      <w:r>
        <w:rPr>
          <w:rFonts w:hint="eastAsia"/>
          <w:lang w:eastAsia="zh-CN"/>
        </w:rPr>
        <w:t>推进</w:t>
      </w:r>
      <w:r>
        <w:rPr>
          <w:rFonts w:hint="eastAsia"/>
        </w:rPr>
        <w:t>工业</w:t>
      </w:r>
      <w:r>
        <w:rPr>
          <w:rFonts w:hint="eastAsia"/>
          <w:lang w:eastAsia="zh-CN"/>
        </w:rPr>
        <w:t>绿色低碳发展</w:t>
      </w:r>
    </w:p>
    <w:p>
      <w:pPr>
        <w:spacing w:line="600" w:lineRule="exact"/>
        <w:ind w:firstLine="643"/>
        <w:rPr>
          <w:rStyle w:val="13"/>
        </w:rPr>
      </w:pPr>
      <w:r>
        <w:rPr>
          <w:rFonts w:hint="eastAsia"/>
          <w:b/>
          <w:bCs/>
        </w:rPr>
        <w:t>1.大力推进</w:t>
      </w:r>
      <w:r>
        <w:rPr>
          <w:rFonts w:hint="eastAsia"/>
          <w:b/>
          <w:bCs/>
          <w:lang w:eastAsia="zh-CN"/>
        </w:rPr>
        <w:t>节能降碳</w:t>
      </w:r>
      <w:r>
        <w:rPr>
          <w:rFonts w:hint="eastAsia"/>
          <w:b/>
          <w:bCs/>
        </w:rPr>
        <w:t>改造。</w:t>
      </w:r>
      <w:r>
        <w:rPr>
          <w:rFonts w:hint="eastAsia"/>
          <w:b w:val="0"/>
          <w:bCs w:val="0"/>
          <w:lang w:eastAsia="zh-CN"/>
        </w:rPr>
        <w:t>推进落实《</w:t>
      </w:r>
      <w:r>
        <w:rPr>
          <w:rFonts w:hint="eastAsia"/>
          <w:b w:val="0"/>
          <w:bCs w:val="0"/>
          <w:color w:val="auto"/>
        </w:rPr>
        <w:t>“十四五”</w:t>
      </w:r>
      <w:r>
        <w:rPr>
          <w:rFonts w:hint="eastAsia"/>
          <w:b w:val="0"/>
          <w:bCs w:val="0"/>
          <w:color w:val="auto"/>
          <w:lang w:val="en"/>
        </w:rPr>
        <w:t>重点用能企业节能降碳改造计划</w:t>
      </w:r>
      <w:r>
        <w:rPr>
          <w:rFonts w:hint="eastAsia"/>
          <w:b w:val="0"/>
          <w:bCs w:val="0"/>
          <w:color w:val="auto"/>
          <w:lang w:val="en" w:eastAsia="zh-CN"/>
        </w:rPr>
        <w:t>表</w:t>
      </w:r>
      <w:r>
        <w:rPr>
          <w:rFonts w:hint="eastAsia"/>
          <w:b w:val="0"/>
          <w:bCs w:val="0"/>
          <w:lang w:eastAsia="zh-CN"/>
        </w:rPr>
        <w:t>》，</w:t>
      </w:r>
      <w:r>
        <w:rPr>
          <w:color w:val="000000" w:themeColor="text1"/>
          <w:szCs w:val="32"/>
          <w14:textFill>
            <w14:solidFill>
              <w14:schemeClr w14:val="tx1"/>
            </w14:solidFill>
          </w14:textFill>
        </w:rPr>
        <w:t>聚焦</w:t>
      </w:r>
      <w:r>
        <w:rPr>
          <w:color w:val="000000" w:themeColor="text1"/>
          <w:szCs w:val="32"/>
          <w:shd w:val="clear" w:color="auto" w:fill="FFFFFF"/>
          <w14:textFill>
            <w14:solidFill>
              <w14:schemeClr w14:val="tx1"/>
            </w14:solidFill>
          </w14:textFill>
        </w:rPr>
        <w:t>钢铁、石化化工、有色金属、造纸等重点行业，</w:t>
      </w:r>
      <w:r>
        <w:rPr>
          <w:color w:val="000000" w:themeColor="text1"/>
          <w:szCs w:val="32"/>
          <w14:textFill>
            <w14:solidFill>
              <w14:schemeClr w14:val="tx1"/>
            </w14:solidFill>
          </w14:textFill>
        </w:rPr>
        <w:t>围绕重点用能环节、主要用能工艺及生产装置深挖节能降碳潜力</w:t>
      </w:r>
      <w:r>
        <w:rPr>
          <w:szCs w:val="32"/>
        </w:rPr>
        <w:t>，制定节能改造方案并组织实施</w:t>
      </w:r>
      <w:r>
        <w:rPr>
          <w:rFonts w:hint="eastAsia"/>
          <w:szCs w:val="32"/>
        </w:rPr>
        <w:t>。分行业、分领域开展专题节能技术推介和供需对接</w:t>
      </w:r>
      <w:r>
        <w:rPr>
          <w:rFonts w:hint="eastAsia"/>
        </w:rPr>
        <w:t>，</w:t>
      </w:r>
      <w:r>
        <w:rPr>
          <w:color w:val="000000" w:themeColor="text1"/>
          <w:szCs w:val="32"/>
          <w14:textFill>
            <w14:solidFill>
              <w14:schemeClr w14:val="tx1"/>
            </w14:solidFill>
          </w14:textFill>
        </w:rPr>
        <w:t>宣传推广重点工业节能技术应用典型案例，</w:t>
      </w:r>
      <w:r>
        <w:rPr>
          <w:rFonts w:hint="eastAsia"/>
        </w:rPr>
        <w:t>推行合同能源管理，</w:t>
      </w:r>
      <w:r>
        <w:rPr>
          <w:color w:val="000000" w:themeColor="text1"/>
          <w:szCs w:val="32"/>
          <w14:textFill>
            <w14:solidFill>
              <w14:schemeClr w14:val="tx1"/>
            </w14:solidFill>
          </w14:textFill>
        </w:rPr>
        <w:t>推进重点行业节能降碳改造</w:t>
      </w:r>
      <w:r>
        <w:rPr>
          <w:rFonts w:hint="eastAsia"/>
        </w:rPr>
        <w:t>。举办绿色发展和大规模设备更新政策县市行活动，分地区系统宣讲绿色低碳发展相关支持政策，发挥政策引导激励作用。全年组织实施绿色化改造项目100项以上，实现节能10万吨标煤。</w:t>
      </w:r>
      <w:r>
        <w:rPr>
          <w:rStyle w:val="13"/>
          <w:lang w:val="en"/>
        </w:rPr>
        <w:t>（</w:t>
      </w:r>
      <w:r>
        <w:rPr>
          <w:rStyle w:val="13"/>
          <w:rFonts w:hint="eastAsia"/>
        </w:rPr>
        <w:t>市</w:t>
      </w:r>
      <w:r>
        <w:rPr>
          <w:rStyle w:val="13"/>
          <w:rFonts w:hint="eastAsia"/>
          <w:lang w:eastAsia="zh-CN"/>
        </w:rPr>
        <w:t>工信局</w:t>
      </w:r>
      <w:r>
        <w:rPr>
          <w:rStyle w:val="13"/>
        </w:rPr>
        <w:t>牵头，</w:t>
      </w:r>
      <w:r>
        <w:rPr>
          <w:rStyle w:val="13"/>
          <w:rFonts w:hint="eastAsia"/>
        </w:rPr>
        <w:t>市</w:t>
      </w:r>
      <w:r>
        <w:rPr>
          <w:rStyle w:val="13"/>
        </w:rPr>
        <w:t>各有关部门按职责分工负责</w:t>
      </w:r>
      <w:r>
        <w:rPr>
          <w:rStyle w:val="13"/>
          <w:lang w:val="en"/>
        </w:rPr>
        <w:t>）</w:t>
      </w:r>
    </w:p>
    <w:p>
      <w:pPr>
        <w:spacing w:line="600" w:lineRule="exact"/>
        <w:ind w:firstLine="643"/>
      </w:pPr>
      <w:r>
        <w:rPr>
          <w:rFonts w:hint="eastAsia"/>
          <w:b/>
          <w:bCs/>
        </w:rPr>
        <w:t>2.开展绿色制造体系建设。</w:t>
      </w:r>
      <w:r>
        <w:rPr>
          <w:rFonts w:hint="eastAsia"/>
        </w:rPr>
        <w:t>围绕6群13链重点骨干企业和专精特新中小企业，建立绿色工厂培育企业库，通过专题培训、现场诊断、对标找差，引导企业以厂房集约化、原料无害化、生产洁净化、废物资源化、能源低碳化为目标，开展绿色工厂建设，提升绿色发展竞争力。选择基础条件好的省级以上开发园区，对照《绿色工业园区评价要求》，从基础设施、能源资源利用、产业发展、生态环境、运行管理等方面提升绿色发展水平，开展绿色园区建设。</w:t>
      </w:r>
      <w:r>
        <w:rPr>
          <w:rStyle w:val="13"/>
          <w:lang w:val="en"/>
        </w:rPr>
        <w:t>（</w:t>
      </w:r>
      <w:r>
        <w:rPr>
          <w:rStyle w:val="13"/>
          <w:rFonts w:hint="eastAsia"/>
        </w:rPr>
        <w:t>市</w:t>
      </w:r>
      <w:r>
        <w:rPr>
          <w:rStyle w:val="13"/>
          <w:rFonts w:hint="eastAsia"/>
          <w:lang w:eastAsia="zh-CN"/>
        </w:rPr>
        <w:t>工信局</w:t>
      </w:r>
      <w:r>
        <w:rPr>
          <w:rStyle w:val="13"/>
        </w:rPr>
        <w:t>牵头，</w:t>
      </w:r>
      <w:r>
        <w:rPr>
          <w:rStyle w:val="13"/>
          <w:rFonts w:hint="eastAsia"/>
        </w:rPr>
        <w:t>市</w:t>
      </w:r>
      <w:r>
        <w:rPr>
          <w:rStyle w:val="13"/>
        </w:rPr>
        <w:t>各有关部门按职责分工负责</w:t>
      </w:r>
      <w:r>
        <w:rPr>
          <w:rStyle w:val="13"/>
          <w:lang w:val="en"/>
        </w:rPr>
        <w:t>）</w:t>
      </w:r>
    </w:p>
    <w:p>
      <w:pPr>
        <w:pStyle w:val="4"/>
        <w:spacing w:after="0" w:line="600" w:lineRule="exact"/>
        <w:ind w:left="0" w:leftChars="0" w:right="0" w:rightChars="0" w:firstLine="643"/>
        <w:rPr>
          <w:rStyle w:val="13"/>
        </w:rPr>
      </w:pPr>
      <w:r>
        <w:rPr>
          <w:rFonts w:hint="eastAsia"/>
          <w:b/>
          <w:bCs/>
        </w:rPr>
        <w:t>3.推进钢铁行业节能降碳。</w:t>
      </w:r>
      <w:r>
        <w:rPr>
          <w:rFonts w:hint="eastAsia"/>
        </w:rPr>
        <w:t>严格执行产能调控，落实国家粗钢产量调控政策。深入调整产品结构，重点发展高性能特殊钢等高端冶金产品。大力推进废钢循环利用，提升短流程电炉炼钢比重。推进高炉炉顶煤气、焦炉煤气余热、低品位余热综合利用，推广铁水一罐到底、铸坯热装热送等工序衔接技术。加快发展氢冶金等低碳冶炼新模式，推动冶炼全流程余能利用。到2025年底，全市钢铁企业完成超低排放改造，吨钢综合能耗较2023年降低2%左右。</w:t>
      </w:r>
      <w:r>
        <w:rPr>
          <w:rStyle w:val="13"/>
          <w:rFonts w:hint="eastAsia"/>
        </w:rPr>
        <w:t>（市</w:t>
      </w:r>
      <w:r>
        <w:rPr>
          <w:rStyle w:val="13"/>
          <w:rFonts w:hint="eastAsia"/>
          <w:lang w:eastAsia="zh-CN"/>
        </w:rPr>
        <w:t>工信局</w:t>
      </w:r>
      <w:r>
        <w:rPr>
          <w:rStyle w:val="13"/>
          <w:rFonts w:hint="eastAsia"/>
        </w:rPr>
        <w:t>、</w:t>
      </w:r>
      <w:r>
        <w:rPr>
          <w:rStyle w:val="13"/>
          <w:rFonts w:hint="eastAsia"/>
          <w:lang w:eastAsia="zh-CN"/>
        </w:rPr>
        <w:t>发改委</w:t>
      </w:r>
      <w:r>
        <w:rPr>
          <w:rStyle w:val="13"/>
          <w:rFonts w:hint="eastAsia"/>
        </w:rPr>
        <w:t>、生态环境局等部门按职责分工负责）</w:t>
      </w:r>
    </w:p>
    <w:p>
      <w:pPr>
        <w:pStyle w:val="4"/>
        <w:spacing w:after="0" w:line="600" w:lineRule="exact"/>
        <w:ind w:left="0" w:leftChars="0" w:right="0" w:rightChars="0" w:firstLine="643"/>
        <w:rPr>
          <w:rStyle w:val="13"/>
          <w:lang w:val="en"/>
        </w:rPr>
      </w:pPr>
      <w:r>
        <w:rPr>
          <w:rFonts w:hint="eastAsia"/>
          <w:b/>
          <w:bCs/>
        </w:rPr>
        <w:t>4.推进化工行业节能降碳。</w:t>
      </w:r>
      <w:r>
        <w:rPr>
          <w:rFonts w:hint="eastAsia"/>
          <w:bCs/>
        </w:rPr>
        <w:t>强化石化产业规划布局刚性约束，</w:t>
      </w:r>
      <w:r>
        <w:rPr>
          <w:rFonts w:hint="eastAsia"/>
        </w:rPr>
        <w:t>新建和改扩建石化化工项目须达到能效标杆水平和环保绩效A级水平。积极开展CO</w:t>
      </w:r>
      <w:r>
        <w:rPr>
          <w:rFonts w:hint="eastAsia"/>
          <w:vertAlign w:val="subscript"/>
        </w:rPr>
        <w:t>2</w:t>
      </w:r>
      <w:r>
        <w:rPr>
          <w:rFonts w:hint="eastAsia"/>
        </w:rPr>
        <w:t>捕集工程建设，推动CO</w:t>
      </w:r>
      <w:r>
        <w:rPr>
          <w:rFonts w:hint="eastAsia"/>
          <w:vertAlign w:val="subscript"/>
        </w:rPr>
        <w:t>2</w:t>
      </w:r>
      <w:r>
        <w:rPr>
          <w:rFonts w:hint="eastAsia"/>
        </w:rPr>
        <w:t>化工利用、生物利用以及提高油气采收率等技术示范应用，推进碳捕集、利用和封存</w:t>
      </w:r>
      <w:r>
        <w:rPr>
          <w:lang w:val="en"/>
        </w:rPr>
        <w:t>（</w:t>
      </w:r>
      <w:r>
        <w:rPr>
          <w:rFonts w:hint="eastAsia"/>
        </w:rPr>
        <w:t>CCUS</w:t>
      </w:r>
      <w:r>
        <w:rPr>
          <w:lang w:val="en"/>
        </w:rPr>
        <w:t>）</w:t>
      </w:r>
      <w:r>
        <w:rPr>
          <w:rFonts w:hint="eastAsia"/>
        </w:rPr>
        <w:t>产业发展。开发应用可再生能源制取高值化学品技术、短流程合成技术，推进石化化工与“绿电”“绿氢”等产业耦合。发展高效精馏系统、高效先进煤氧化、氧阴极离子膜电解等技术。加强高压低压蒸汽、驰放气、余热余压回收利用，推广大型高效压缩机、先进气化炉等节能设备。到2025年底，P</w:t>
      </w:r>
      <w:r>
        <w:t>TA</w:t>
      </w:r>
      <w:r>
        <w:rPr>
          <w:rFonts w:hint="eastAsia"/>
        </w:rPr>
        <w:t>、烧碱行业能效标杆水平以上产能占比超过30%，能效基准水平以下产能完成技术改造或淘汰退出。</w:t>
      </w:r>
      <w:r>
        <w:rPr>
          <w:rStyle w:val="13"/>
          <w:lang w:val="en"/>
        </w:rPr>
        <w:t>（</w:t>
      </w:r>
      <w:r>
        <w:rPr>
          <w:rStyle w:val="13"/>
          <w:rFonts w:hint="eastAsia"/>
        </w:rPr>
        <w:t>市</w:t>
      </w:r>
      <w:r>
        <w:rPr>
          <w:rStyle w:val="13"/>
          <w:rFonts w:hint="eastAsia"/>
          <w:lang w:eastAsia="zh-CN"/>
        </w:rPr>
        <w:t>工信局</w:t>
      </w:r>
      <w:r>
        <w:rPr>
          <w:rStyle w:val="13"/>
          <w:rFonts w:hint="eastAsia"/>
        </w:rPr>
        <w:t>、</w:t>
      </w:r>
      <w:r>
        <w:rPr>
          <w:rStyle w:val="13"/>
          <w:rFonts w:hint="eastAsia"/>
          <w:lang w:eastAsia="zh-CN"/>
        </w:rPr>
        <w:t>发改委</w:t>
      </w:r>
      <w:r>
        <w:rPr>
          <w:rStyle w:val="13"/>
          <w:rFonts w:hint="eastAsia"/>
        </w:rPr>
        <w:t>、生态环境局等部门按职责分工负责</w:t>
      </w:r>
      <w:r>
        <w:rPr>
          <w:rStyle w:val="13"/>
          <w:lang w:val="en"/>
        </w:rPr>
        <w:t>）</w:t>
      </w:r>
    </w:p>
    <w:p>
      <w:pPr>
        <w:pStyle w:val="4"/>
        <w:spacing w:after="0" w:line="600" w:lineRule="exact"/>
        <w:ind w:left="0" w:leftChars="0" w:right="0" w:rightChars="0"/>
        <w:rPr>
          <w:rFonts w:hint="eastAsia" w:ascii="方正楷体_GBK" w:eastAsia="方正楷体_GBK"/>
          <w:bCs/>
          <w:lang w:eastAsia="zh-CN"/>
        </w:rPr>
      </w:pPr>
      <w:r>
        <w:rPr>
          <w:rFonts w:hint="eastAsia" w:ascii="方正楷体_GBK" w:eastAsia="方正楷体_GBK"/>
          <w:bCs/>
        </w:rPr>
        <w:t>（三）</w:t>
      </w:r>
      <w:r>
        <w:rPr>
          <w:rFonts w:hint="eastAsia" w:ascii="方正楷体_GBK" w:eastAsia="方正楷体_GBK"/>
          <w:bCs/>
          <w:lang w:eastAsia="zh-CN"/>
        </w:rPr>
        <w:t>提升</w:t>
      </w:r>
      <w:r>
        <w:rPr>
          <w:rFonts w:hint="eastAsia" w:ascii="方正楷体_GBK" w:eastAsia="方正楷体_GBK"/>
          <w:bCs/>
        </w:rPr>
        <w:t>服务业节能降碳</w:t>
      </w:r>
      <w:r>
        <w:rPr>
          <w:rFonts w:hint="eastAsia" w:ascii="方正楷体_GBK" w:eastAsia="方正楷体_GBK"/>
          <w:bCs/>
          <w:lang w:eastAsia="zh-CN"/>
        </w:rPr>
        <w:t>水平</w:t>
      </w:r>
    </w:p>
    <w:p>
      <w:pPr>
        <w:spacing w:line="600" w:lineRule="exact"/>
        <w:ind w:firstLine="643"/>
        <w:rPr>
          <w:rStyle w:val="13"/>
          <w:lang w:val="en"/>
        </w:rPr>
      </w:pPr>
      <w:r>
        <w:rPr>
          <w:rFonts w:hint="eastAsia"/>
          <w:b/>
          <w:lang w:val="en"/>
        </w:rPr>
        <w:t>1、推进商贸服务业节能降碳。</w:t>
      </w:r>
      <w:r>
        <w:rPr>
          <w:lang w:val="en"/>
        </w:rPr>
        <w:t>牢固树立节约意识，建立节约机制，创新经营方式。加强商业企业和商业场所的督促检查，倡导鼓励商家积极践行低碳营销行动，开展用电、用水、用气等节能减排活动。</w:t>
      </w:r>
      <w:r>
        <w:rPr>
          <w:rFonts w:hint="eastAsia"/>
          <w:lang w:val="en"/>
        </w:rPr>
        <w:t>引导鼓励大型商场、超市、商业综合体根据客流量因时、因地制宜，实行弹性营业时间，并对空调、电梯、照明等用能系统实施分区域、分时段智能控制。指导督促大型商超、商业综合体</w:t>
      </w:r>
      <w:r>
        <w:rPr>
          <w:lang w:val="en"/>
        </w:rPr>
        <w:t>加强用能设备运行状况的检查，包括照明、空调、电梯、冷冻冷藏等系统，重点检查高效照明灯具、分项计量仪器、热回收系统、冷冻机组等设备，加快淘汰高耗能设备，推广采用智能控制系统、变频技术、高效照明产品、可再生能源系统等节能技术和产品，对能耗偏高的商业设施、设备采用合同能源管理方式实施节能改造。</w:t>
      </w:r>
      <w:r>
        <w:rPr>
          <w:szCs w:val="32"/>
        </w:rPr>
        <w:t>加强城市道路及景观照明的用电管理，</w:t>
      </w:r>
      <w:r>
        <w:rPr>
          <w:rFonts w:hint="eastAsia"/>
          <w:szCs w:val="32"/>
        </w:rPr>
        <w:t>根据季节、时段、区域，实行智能化的节能控制策略</w:t>
      </w:r>
      <w:r>
        <w:rPr>
          <w:szCs w:val="32"/>
          <w:lang w:val="en"/>
        </w:rPr>
        <w:t>。</w:t>
      </w:r>
      <w:r>
        <w:rPr>
          <w:rFonts w:hint="eastAsia"/>
        </w:rPr>
        <w:t>2025年，服务业能耗增速不高于其增加值增速。</w:t>
      </w:r>
      <w:r>
        <w:rPr>
          <w:rStyle w:val="13"/>
          <w:rFonts w:hint="eastAsia"/>
          <w:lang w:val="en"/>
        </w:rPr>
        <w:t>（</w:t>
      </w:r>
      <w:r>
        <w:rPr>
          <w:rStyle w:val="13"/>
          <w:rFonts w:hint="eastAsia"/>
        </w:rPr>
        <w:t>市</w:t>
      </w:r>
      <w:r>
        <w:rPr>
          <w:rStyle w:val="13"/>
          <w:rFonts w:hint="eastAsia"/>
          <w:lang w:eastAsia="zh-CN"/>
        </w:rPr>
        <w:t>发改委牵头，市</w:t>
      </w:r>
      <w:r>
        <w:rPr>
          <w:rStyle w:val="13"/>
          <w:rFonts w:hint="eastAsia"/>
        </w:rPr>
        <w:t>商务局</w:t>
      </w:r>
      <w:r>
        <w:rPr>
          <w:rStyle w:val="13"/>
          <w:rFonts w:hint="eastAsia"/>
          <w:lang w:eastAsia="zh-CN"/>
        </w:rPr>
        <w:t>、住建局</w:t>
      </w:r>
      <w:r>
        <w:rPr>
          <w:rStyle w:val="13"/>
          <w:rFonts w:hint="eastAsia"/>
        </w:rPr>
        <w:t>等部门按职责分工负责</w:t>
      </w:r>
      <w:r>
        <w:rPr>
          <w:rStyle w:val="13"/>
          <w:rFonts w:hint="eastAsia"/>
          <w:lang w:val="en"/>
        </w:rPr>
        <w:t>）</w:t>
      </w:r>
    </w:p>
    <w:p>
      <w:pPr>
        <w:pStyle w:val="4"/>
        <w:spacing w:after="0" w:line="600" w:lineRule="exact"/>
        <w:ind w:left="0" w:leftChars="0" w:right="0" w:rightChars="0" w:firstLine="643"/>
        <w:rPr>
          <w:rStyle w:val="13"/>
          <w:lang w:val="en"/>
        </w:rPr>
      </w:pPr>
      <w:r>
        <w:rPr>
          <w:b/>
          <w:bCs/>
        </w:rPr>
        <w:t>2</w:t>
      </w:r>
      <w:r>
        <w:rPr>
          <w:rFonts w:hint="eastAsia"/>
          <w:b/>
          <w:bCs/>
        </w:rPr>
        <w:t>.</w:t>
      </w:r>
      <w:r>
        <w:rPr>
          <w:rFonts w:hint="eastAsia"/>
          <w:b/>
          <w:bCs/>
          <w:lang w:eastAsia="zh-CN"/>
        </w:rPr>
        <w:t>大力开展绿色</w:t>
      </w:r>
      <w:r>
        <w:rPr>
          <w:rFonts w:hint="eastAsia"/>
          <w:b/>
          <w:bCs/>
        </w:rPr>
        <w:t>数据中心</w:t>
      </w:r>
      <w:r>
        <w:rPr>
          <w:rFonts w:hint="eastAsia"/>
          <w:b/>
          <w:bCs/>
          <w:lang w:eastAsia="zh-CN"/>
        </w:rPr>
        <w:t>建设</w:t>
      </w:r>
      <w:r>
        <w:rPr>
          <w:rFonts w:hint="eastAsia"/>
          <w:b/>
          <w:bCs/>
        </w:rPr>
        <w:t>。</w:t>
      </w:r>
      <w:r>
        <w:rPr>
          <w:rFonts w:hint="eastAsia"/>
        </w:rPr>
        <w:t>严格落实国家算力规划建设方案和《江苏省算力基础设施发展专项规划》相关要求，</w:t>
      </w:r>
      <w:r>
        <w:rPr>
          <w:szCs w:val="32"/>
        </w:rPr>
        <w:t>对已立项审批的拟建、在建数据中心一律按照国家绿色数据中心标准设计建设。</w:t>
      </w:r>
      <w:r>
        <w:rPr>
          <w:rFonts w:hint="eastAsia"/>
        </w:rPr>
        <w:t>加快存量数据中心节能降碳改造，鼓励采取高端替换、增减挂钩、重组整合等方式，促进小规模、低效率存量分散数据中心向集约化、高效率转变。推进设备布局、制冷架构、气流组织、外围护结构、供配电方式、单机柜功率密度及系统智能运行策略等方面的技术改造和优化升级，减少冗余设备。到2025年，新建及改扩建数据中心电能利用效率须低于1.2。</w:t>
      </w:r>
      <w:r>
        <w:rPr>
          <w:rStyle w:val="13"/>
          <w:lang w:val="en"/>
        </w:rPr>
        <w:t>（</w:t>
      </w:r>
      <w:r>
        <w:rPr>
          <w:rStyle w:val="13"/>
          <w:rFonts w:hint="eastAsia"/>
        </w:rPr>
        <w:t>市数据局牵头，市</w:t>
      </w:r>
      <w:r>
        <w:rPr>
          <w:rStyle w:val="13"/>
          <w:rFonts w:hint="eastAsia"/>
          <w:lang w:eastAsia="zh-CN"/>
        </w:rPr>
        <w:t>发改委</w:t>
      </w:r>
      <w:r>
        <w:rPr>
          <w:rStyle w:val="13"/>
          <w:rFonts w:hint="eastAsia"/>
        </w:rPr>
        <w:t>、</w:t>
      </w:r>
      <w:r>
        <w:rPr>
          <w:rStyle w:val="13"/>
          <w:rFonts w:hint="eastAsia"/>
          <w:lang w:eastAsia="zh-CN"/>
        </w:rPr>
        <w:t>工信局</w:t>
      </w:r>
      <w:r>
        <w:rPr>
          <w:rStyle w:val="13"/>
          <w:rFonts w:hint="eastAsia"/>
        </w:rPr>
        <w:t>等部门按职责分工负责</w:t>
      </w:r>
      <w:r>
        <w:rPr>
          <w:rStyle w:val="13"/>
          <w:lang w:val="en"/>
        </w:rPr>
        <w:t>）</w:t>
      </w:r>
    </w:p>
    <w:p>
      <w:pPr>
        <w:pStyle w:val="7"/>
        <w:spacing w:line="600" w:lineRule="exact"/>
      </w:pPr>
      <w:r>
        <w:rPr>
          <w:rFonts w:hint="eastAsia"/>
        </w:rPr>
        <w:t>（四）促进建筑领域绿色低碳发展</w:t>
      </w:r>
    </w:p>
    <w:p>
      <w:pPr>
        <w:spacing w:line="600" w:lineRule="exact"/>
        <w:rPr>
          <w:rStyle w:val="13"/>
          <w:lang w:val="en"/>
        </w:rPr>
      </w:pPr>
      <w:r>
        <w:t>推进既有建筑改造。推进既有居住建筑绿色化改造，对既有公共建筑中使用年限长、能效低、节能潜力大的建筑能源设备等开展更新改造。对能耗超限额的公共建筑，鼓励通过合同能源管理等市场化形式开展节能改造。提升新建建筑节能水平。城镇新建民用建筑全面按照绿色建筑标准设计建造，大力发展装配化装修，加强绿色建材、节能装备、数字化管理技术应用。积极推动光伏瓦、光伏幕墙等建材型光伏技术应用。推动超低能耗建筑规模化发展。持续推进建筑领域节能降碳。支持“光储直柔”“智能微电网”等绿色低碳关键技术研究和项目示范，积极推进中深层、浅层地热能应用，推广空气源热泵等技术应用。严格公共建筑室内温度控制，在大型公共建筑中探索推广用电设备智能群控技术，提高建筑用能智能化管理水平。到2025年，完成既有建筑节能改造面积</w:t>
      </w:r>
      <w:r>
        <w:rPr>
          <w:rFonts w:hint="eastAsia"/>
        </w:rPr>
        <w:t>X</w:t>
      </w:r>
      <w:r>
        <w:t>XX万平方米以上</w:t>
      </w:r>
      <w:r>
        <w:rPr>
          <w:rFonts w:hint="eastAsia" w:ascii="方正楷体_GBK" w:hAnsi="方正楷体_GBK" w:eastAsia="方正楷体_GBK" w:cs="方正楷体_GBK"/>
          <w:color w:val="auto"/>
          <w:u w:val="single"/>
        </w:rPr>
        <w:t>（全省目标为</w:t>
      </w:r>
      <w:r>
        <w:rPr>
          <w:rFonts w:hint="default" w:ascii="Times New Roman" w:hAnsi="Times New Roman" w:eastAsia="方正楷体_GBK" w:cs="Times New Roman"/>
          <w:color w:val="auto"/>
          <w:u w:val="single"/>
        </w:rPr>
        <w:t>1000万</w:t>
      </w:r>
      <w:r>
        <w:rPr>
          <w:rFonts w:hint="eastAsia" w:ascii="方正楷体_GBK" w:hAnsi="方正楷体_GBK" w:eastAsia="方正楷体_GBK" w:cs="方正楷体_GBK"/>
          <w:color w:val="auto"/>
          <w:u w:val="single"/>
        </w:rPr>
        <w:t>平方米以上）</w:t>
      </w:r>
      <w:r>
        <w:t>，新建公共机构建筑屋顶光伏覆盖率力争达到50%，城镇建筑可再生能源替代率达到8%。</w:t>
      </w:r>
      <w:r>
        <w:rPr>
          <w:rStyle w:val="13"/>
          <w:lang w:val="en"/>
        </w:rPr>
        <w:t>（</w:t>
      </w:r>
      <w:r>
        <w:rPr>
          <w:rStyle w:val="13"/>
          <w:rFonts w:hint="eastAsia"/>
          <w:lang w:val="en"/>
        </w:rPr>
        <w:t>市</w:t>
      </w:r>
      <w:r>
        <w:rPr>
          <w:rStyle w:val="13"/>
          <w:lang w:val="en"/>
        </w:rPr>
        <w:t>住建局</w:t>
      </w:r>
      <w:r>
        <w:rPr>
          <w:rStyle w:val="13"/>
        </w:rPr>
        <w:t>牵头，</w:t>
      </w:r>
      <w:r>
        <w:rPr>
          <w:rStyle w:val="13"/>
          <w:rFonts w:hint="eastAsia" w:eastAsia="方正楷体_GBK"/>
          <w:lang w:eastAsia="zh-CN"/>
        </w:rPr>
        <w:t>市</w:t>
      </w:r>
      <w:r>
        <w:rPr>
          <w:rStyle w:val="13"/>
          <w:rFonts w:hint="eastAsia"/>
        </w:rPr>
        <w:t>供电公司</w:t>
      </w:r>
      <w:r>
        <w:rPr>
          <w:rStyle w:val="13"/>
        </w:rPr>
        <w:t>等部门</w:t>
      </w:r>
      <w:r>
        <w:rPr>
          <w:rStyle w:val="13"/>
          <w:lang w:val="en"/>
        </w:rPr>
        <w:t>（</w:t>
      </w:r>
      <w:r>
        <w:rPr>
          <w:rStyle w:val="13"/>
        </w:rPr>
        <w:t>单位</w:t>
      </w:r>
      <w:r>
        <w:rPr>
          <w:rStyle w:val="13"/>
          <w:lang w:val="en"/>
        </w:rPr>
        <w:t>）</w:t>
      </w:r>
      <w:r>
        <w:rPr>
          <w:rStyle w:val="13"/>
        </w:rPr>
        <w:t>按职责分工负责</w:t>
      </w:r>
      <w:r>
        <w:rPr>
          <w:rStyle w:val="13"/>
          <w:lang w:val="en"/>
        </w:rPr>
        <w:t>）</w:t>
      </w:r>
    </w:p>
    <w:p>
      <w:pPr>
        <w:pStyle w:val="7"/>
        <w:spacing w:line="600" w:lineRule="exact"/>
      </w:pPr>
      <w:r>
        <w:rPr>
          <w:rFonts w:hint="eastAsia"/>
        </w:rPr>
        <w:t>（五）加快交通运输领域绿色低碳转型</w:t>
      </w:r>
    </w:p>
    <w:p>
      <w:pPr>
        <w:spacing w:line="600" w:lineRule="exact"/>
        <w:rPr>
          <w:rStyle w:val="13"/>
          <w:lang w:val="en"/>
        </w:rPr>
      </w:pPr>
      <w:r>
        <w:t>推进交通基础设施和装备低碳转型。推动综合交通枢纽场站绿色化改造，加快推进新能源和清洁能源补能设施建设，持续推进城市公共服务车辆电气化替代，推动新能源、清洁能源、可再生合成燃料在中重型卡车、船舶领域的应用。推动绿色高效货物运输体系建设。支持大宗货物和中长途运输“公转铁”“公转水”，因地制宜推进公铁水空多式联运发展。推广高效运输组织模式，发展智慧物流，持续推进城市绿色货运配送。完善城市绿色低碳出行体系。到2025年，营运交通工具单位周转量碳排放强度比2020年下降5%，集装箱铁水联运量较2020年增长16%以上。</w:t>
      </w:r>
      <w:r>
        <w:rPr>
          <w:rStyle w:val="13"/>
          <w:lang w:val="en"/>
        </w:rPr>
        <w:t>（</w:t>
      </w:r>
      <w:r>
        <w:rPr>
          <w:rStyle w:val="13"/>
          <w:rFonts w:hint="eastAsia"/>
          <w:lang w:val="en"/>
        </w:rPr>
        <w:t>市</w:t>
      </w:r>
      <w:r>
        <w:rPr>
          <w:rStyle w:val="13"/>
          <w:lang w:val="en"/>
        </w:rPr>
        <w:t>交通局</w:t>
      </w:r>
      <w:r>
        <w:rPr>
          <w:rStyle w:val="13"/>
        </w:rPr>
        <w:t>牵头，</w:t>
      </w:r>
      <w:r>
        <w:rPr>
          <w:rStyle w:val="13"/>
          <w:rFonts w:hint="eastAsia"/>
        </w:rPr>
        <w:t>市</w:t>
      </w:r>
      <w:r>
        <w:rPr>
          <w:rStyle w:val="13"/>
          <w:rFonts w:hint="eastAsia"/>
          <w:lang w:eastAsia="zh-CN"/>
        </w:rPr>
        <w:t>发改委</w:t>
      </w:r>
      <w:r>
        <w:rPr>
          <w:rStyle w:val="13"/>
        </w:rPr>
        <w:t>、公安</w:t>
      </w:r>
      <w:r>
        <w:rPr>
          <w:rStyle w:val="13"/>
          <w:rFonts w:hint="eastAsia"/>
        </w:rPr>
        <w:t>局</w:t>
      </w:r>
      <w:r>
        <w:rPr>
          <w:rStyle w:val="13"/>
        </w:rPr>
        <w:t>、</w:t>
      </w:r>
      <w:r>
        <w:rPr>
          <w:rStyle w:val="13"/>
          <w:lang w:val="en"/>
        </w:rPr>
        <w:t>住建局</w:t>
      </w:r>
      <w:r>
        <w:rPr>
          <w:rStyle w:val="13"/>
        </w:rPr>
        <w:t>等部门按职责分工负责</w:t>
      </w:r>
      <w:r>
        <w:rPr>
          <w:rStyle w:val="13"/>
          <w:lang w:val="en"/>
        </w:rPr>
        <w:t>）</w:t>
      </w:r>
    </w:p>
    <w:p>
      <w:pPr>
        <w:pStyle w:val="7"/>
        <w:spacing w:line="600" w:lineRule="exact"/>
      </w:pPr>
      <w:r>
        <w:rPr>
          <w:rFonts w:hint="eastAsia"/>
        </w:rPr>
        <w:t>（六）强化公共机构领域节能降碳管理</w:t>
      </w:r>
    </w:p>
    <w:p>
      <w:pPr>
        <w:spacing w:line="600" w:lineRule="exact"/>
        <w:rPr>
          <w:rStyle w:val="13"/>
          <w:lang w:val="en"/>
        </w:rPr>
      </w:pPr>
      <w:r>
        <w:t>加强公共机构用能精细化管理。落实公共机构节能目标责任评估与激励，修订公共机构能耗定额省地方标准，开展能耗定额预算制度研究，加强能源消费数据监测与预警。加快试点并逐步推广公共机构碳普惠活动。推进公共机构节能降碳改造。深化节电、节水、节气专项行动，实施公共机构既有建筑节能技改。因地制宜推动公共机构应用可再生能源。到2025年底，完成公共机构单位建筑面积能耗、单位建筑面积碳排放、人均综合能耗分别下降6%、7%、7%的既定目标，党政机关新增公务用车除特殊情况，原则上要采用新能源车。</w:t>
      </w:r>
      <w:r>
        <w:rPr>
          <w:rStyle w:val="13"/>
          <w:lang w:val="en"/>
        </w:rPr>
        <w:t>（</w:t>
      </w:r>
      <w:r>
        <w:rPr>
          <w:rStyle w:val="13"/>
          <w:rFonts w:hint="eastAsia"/>
        </w:rPr>
        <w:t>市</w:t>
      </w:r>
      <w:r>
        <w:rPr>
          <w:rStyle w:val="13"/>
        </w:rPr>
        <w:t>机关事务管理局牵头，</w:t>
      </w:r>
      <w:r>
        <w:rPr>
          <w:rStyle w:val="13"/>
          <w:rFonts w:hint="eastAsia"/>
        </w:rPr>
        <w:t>市</w:t>
      </w:r>
      <w:r>
        <w:rPr>
          <w:rStyle w:val="13"/>
        </w:rPr>
        <w:t>各有关部门按职责分工负责</w:t>
      </w:r>
      <w:r>
        <w:rPr>
          <w:rStyle w:val="13"/>
          <w:lang w:val="en"/>
        </w:rPr>
        <w:t>）</w:t>
      </w:r>
    </w:p>
    <w:p>
      <w:pPr>
        <w:pStyle w:val="7"/>
        <w:spacing w:line="600" w:lineRule="exact"/>
      </w:pPr>
      <w:r>
        <w:rPr>
          <w:rFonts w:hint="eastAsia"/>
        </w:rPr>
        <w:t>（七）加强设备更新与资源循环利用</w:t>
      </w:r>
    </w:p>
    <w:p>
      <w:pPr>
        <w:spacing w:line="600" w:lineRule="exact"/>
        <w:rPr>
          <w:rStyle w:val="13"/>
          <w:lang w:val="en"/>
        </w:rPr>
      </w:pPr>
      <w:r>
        <w:t>加快用能产品设备更新改造。聚焦工业及民用领域锅炉、电机、变压器、空压机、换热器、泵等重点用能设备加快更新改造。积极开展汽车、电动自行车、家电产品以旧换新，提升节能家电产品应用比例。加强废旧物资循环利用体系。强化一般工业固体废弃物全过程追溯，推进分类收集与梯级利用。强化数字化智能化技术在循环利用领域的应用，建立重要资源消耗、回收利用、处理处置、再生原料消费等基础数据库。到2025年，一般工业固体废弃物资源综合利用率达95%。</w:t>
      </w:r>
      <w:r>
        <w:rPr>
          <w:rStyle w:val="13"/>
          <w:lang w:val="en"/>
        </w:rPr>
        <w:t>（</w:t>
      </w:r>
      <w:r>
        <w:rPr>
          <w:rStyle w:val="13"/>
          <w:rFonts w:hint="eastAsia"/>
        </w:rPr>
        <w:t>市</w:t>
      </w:r>
      <w:r>
        <w:rPr>
          <w:rStyle w:val="13"/>
          <w:rFonts w:hint="eastAsia"/>
          <w:lang w:eastAsia="zh-CN"/>
        </w:rPr>
        <w:t>发改委</w:t>
      </w:r>
      <w:r>
        <w:rPr>
          <w:rStyle w:val="13"/>
        </w:rPr>
        <w:t>、</w:t>
      </w:r>
      <w:r>
        <w:rPr>
          <w:rStyle w:val="13"/>
          <w:rFonts w:hint="eastAsia"/>
          <w:lang w:eastAsia="zh-CN"/>
        </w:rPr>
        <w:t>工信局</w:t>
      </w:r>
      <w:r>
        <w:rPr>
          <w:rStyle w:val="13"/>
        </w:rPr>
        <w:t>、商务</w:t>
      </w:r>
      <w:r>
        <w:rPr>
          <w:rStyle w:val="13"/>
          <w:rFonts w:hint="eastAsia"/>
        </w:rPr>
        <w:t>局</w:t>
      </w:r>
      <w:r>
        <w:rPr>
          <w:rStyle w:val="13"/>
        </w:rPr>
        <w:t>等部门按职责分工负责</w:t>
      </w:r>
      <w:r>
        <w:rPr>
          <w:rStyle w:val="13"/>
          <w:lang w:val="en"/>
        </w:rPr>
        <w:t>）</w:t>
      </w:r>
    </w:p>
    <w:p>
      <w:pPr>
        <w:pStyle w:val="6"/>
        <w:numPr>
          <w:ilvl w:val="0"/>
          <w:numId w:val="1"/>
        </w:numPr>
        <w:spacing w:line="600" w:lineRule="exact"/>
        <w:ind w:firstLine="640"/>
      </w:pPr>
      <w:r>
        <w:rPr>
          <w:rFonts w:hint="eastAsia"/>
        </w:rPr>
        <w:t>管理机制</w:t>
      </w:r>
    </w:p>
    <w:p>
      <w:pPr>
        <w:pStyle w:val="7"/>
        <w:numPr>
          <w:ilvl w:val="0"/>
          <w:numId w:val="3"/>
        </w:numPr>
        <w:spacing w:line="600" w:lineRule="exact"/>
      </w:pPr>
      <w:r>
        <w:rPr>
          <w:rFonts w:hint="eastAsia"/>
        </w:rPr>
        <w:t>强化节能降碳目标责任和</w:t>
      </w:r>
      <w:r>
        <w:rPr>
          <w:rFonts w:hint="eastAsia"/>
          <w:lang w:eastAsia="zh-CN"/>
        </w:rPr>
        <w:t>评价考核</w:t>
      </w:r>
    </w:p>
    <w:p>
      <w:pPr>
        <w:spacing w:line="600" w:lineRule="exact"/>
        <w:rPr>
          <w:rStyle w:val="13"/>
          <w:lang w:val="en"/>
        </w:rPr>
      </w:pPr>
      <w:r>
        <w:rPr>
          <w:rFonts w:hint="eastAsia"/>
        </w:rPr>
        <w:t>加强绿色电力证书与节能降碳政策衔接，原料用能和非化石能源不纳入能源消耗总量和强度调控</w:t>
      </w:r>
      <w:r>
        <w:rPr>
          <w:rFonts w:hint="eastAsia"/>
          <w:lang w:eastAsia="zh-CN"/>
        </w:rPr>
        <w:t>，细化分解各地区和重点领域、重点行业节能降碳目标任务</w:t>
      </w:r>
      <w:r>
        <w:rPr>
          <w:rFonts w:hint="eastAsia"/>
        </w:rPr>
        <w:t>。</w:t>
      </w:r>
      <w:r>
        <w:rPr>
          <w:rFonts w:hint="eastAsia"/>
          <w:lang w:eastAsia="zh-CN"/>
        </w:rPr>
        <w:t>严格实施节能目标责任评价考核，统筹考核节能改造量和非化石能源消费量。加强节能降碳形势分析，实施能耗强度降低提醒预警，强化碳排放强度降低进展评估，加大对节能降碳约束性指标进度滞后地区的督促指导。</w:t>
      </w:r>
      <w:r>
        <w:rPr>
          <w:rStyle w:val="13"/>
          <w:lang w:val="en"/>
        </w:rPr>
        <w:t>（</w:t>
      </w:r>
      <w:r>
        <w:rPr>
          <w:rStyle w:val="13"/>
          <w:rFonts w:hint="eastAsia"/>
        </w:rPr>
        <w:t>市</w:t>
      </w:r>
      <w:r>
        <w:rPr>
          <w:rStyle w:val="13"/>
          <w:rFonts w:hint="eastAsia"/>
          <w:lang w:eastAsia="zh-CN"/>
        </w:rPr>
        <w:t>发改委</w:t>
      </w:r>
      <w:r>
        <w:rPr>
          <w:rStyle w:val="13"/>
          <w:rFonts w:hint="eastAsia"/>
        </w:rPr>
        <w:t>、</w:t>
      </w:r>
      <w:r>
        <w:rPr>
          <w:rStyle w:val="13"/>
          <w:rFonts w:hint="eastAsia"/>
          <w:lang w:eastAsia="zh-CN"/>
        </w:rPr>
        <w:t>工信局</w:t>
      </w:r>
      <w:r>
        <w:rPr>
          <w:rStyle w:val="13"/>
          <w:rFonts w:hint="eastAsia"/>
        </w:rPr>
        <w:t>、生态环境局等部门按职责分工负责</w:t>
      </w:r>
      <w:r>
        <w:rPr>
          <w:rStyle w:val="13"/>
          <w:lang w:val="en"/>
        </w:rPr>
        <w:t>）</w:t>
      </w:r>
    </w:p>
    <w:p>
      <w:pPr>
        <w:pStyle w:val="7"/>
        <w:numPr>
          <w:ilvl w:val="0"/>
          <w:numId w:val="3"/>
        </w:numPr>
        <w:spacing w:line="600" w:lineRule="exact"/>
      </w:pPr>
      <w:r>
        <w:rPr>
          <w:rFonts w:hint="eastAsia"/>
        </w:rPr>
        <w:t>严格固定资产投资项目节能审查和环评审批</w:t>
      </w:r>
    </w:p>
    <w:p>
      <w:pPr>
        <w:spacing w:line="600" w:lineRule="exact"/>
        <w:rPr>
          <w:rStyle w:val="13"/>
          <w:lang w:val="en"/>
        </w:rPr>
      </w:pPr>
      <w:r>
        <w:rPr>
          <w:rFonts w:hint="eastAsia"/>
        </w:rPr>
        <w:t>加强节能审查源头把关，严格落实建设项目环境影响评价制度，新建和改扩建重点高耗能项目须达到能效标杆水平和环保绩效A级水平，加强项目节能验收，坚决遏制高耗能、高排放、低水平项目盲目上马。将碳排放评价纳入节能审查，</w:t>
      </w:r>
      <w:r>
        <w:rPr>
          <w:rFonts w:hint="eastAsia"/>
          <w:lang w:eastAsia="zh-CN"/>
        </w:rPr>
        <w:t>对项目用能和碳排放情况开展综合评价，</w:t>
      </w:r>
      <w:r>
        <w:rPr>
          <w:rFonts w:hint="eastAsia"/>
        </w:rPr>
        <w:t>指导企业通过</w:t>
      </w:r>
      <w:r>
        <w:rPr>
          <w:rFonts w:hint="eastAsia"/>
          <w:lang w:eastAsia="zh-CN"/>
        </w:rPr>
        <w:t>建设分布式光伏发电系统、</w:t>
      </w:r>
      <w:r>
        <w:rPr>
          <w:rFonts w:hint="eastAsia"/>
        </w:rPr>
        <w:t>购买绿电绿证、能耗替代等措施降低项目化石能耗强度对区域的影响。</w:t>
      </w:r>
      <w:r>
        <w:rPr>
          <w:rStyle w:val="13"/>
          <w:lang w:val="en"/>
        </w:rPr>
        <w:t>（</w:t>
      </w:r>
      <w:r>
        <w:rPr>
          <w:rStyle w:val="13"/>
          <w:rFonts w:hint="eastAsia"/>
        </w:rPr>
        <w:t>市</w:t>
      </w:r>
      <w:r>
        <w:rPr>
          <w:rStyle w:val="13"/>
          <w:rFonts w:hint="eastAsia"/>
          <w:lang w:eastAsia="zh-CN"/>
        </w:rPr>
        <w:t>发改委</w:t>
      </w:r>
      <w:r>
        <w:rPr>
          <w:rStyle w:val="13"/>
          <w:rFonts w:hint="eastAsia"/>
        </w:rPr>
        <w:t>、</w:t>
      </w:r>
      <w:r>
        <w:rPr>
          <w:rStyle w:val="13"/>
          <w:rFonts w:hint="eastAsia"/>
          <w:lang w:eastAsia="zh-CN"/>
        </w:rPr>
        <w:t>数据局、工信局</w:t>
      </w:r>
      <w:r>
        <w:rPr>
          <w:rStyle w:val="13"/>
          <w:rFonts w:hint="eastAsia"/>
        </w:rPr>
        <w:t>、生态环境局等部门按职责分工负责</w:t>
      </w:r>
      <w:r>
        <w:rPr>
          <w:rStyle w:val="13"/>
          <w:lang w:val="en"/>
        </w:rPr>
        <w:t>）</w:t>
      </w:r>
    </w:p>
    <w:p>
      <w:pPr>
        <w:pStyle w:val="7"/>
        <w:numPr>
          <w:ilvl w:val="0"/>
          <w:numId w:val="3"/>
        </w:numPr>
        <w:spacing w:line="600" w:lineRule="exact"/>
      </w:pPr>
      <w:r>
        <w:rPr>
          <w:rFonts w:hint="eastAsia"/>
        </w:rPr>
        <w:t>推动重点用能单位节能降碳精细化管理</w:t>
      </w:r>
    </w:p>
    <w:p>
      <w:pPr>
        <w:spacing w:line="600" w:lineRule="exact"/>
        <w:rPr>
          <w:rStyle w:val="13"/>
          <w:lang w:val="en"/>
        </w:rPr>
      </w:pPr>
      <w:r>
        <w:rPr>
          <w:szCs w:val="32"/>
        </w:rPr>
        <w:t>推进落实</w:t>
      </w:r>
      <w:r>
        <w:rPr>
          <w:rFonts w:hint="eastAsia"/>
          <w:spacing w:val="-28"/>
          <w:szCs w:val="32"/>
        </w:rPr>
        <w:t>《“</w:t>
      </w:r>
      <w:r>
        <w:rPr>
          <w:szCs w:val="32"/>
        </w:rPr>
        <w:t>十四五</w:t>
      </w:r>
      <w:r>
        <w:rPr>
          <w:rFonts w:hint="eastAsia"/>
          <w:spacing w:val="-28"/>
          <w:szCs w:val="32"/>
        </w:rPr>
        <w:t>”</w:t>
      </w:r>
      <w:r>
        <w:rPr>
          <w:szCs w:val="32"/>
        </w:rPr>
        <w:t>重点用能单位节能低碳行动方案</w:t>
      </w:r>
      <w:r>
        <w:rPr>
          <w:rFonts w:hint="eastAsia"/>
          <w:spacing w:val="-28"/>
          <w:szCs w:val="32"/>
        </w:rPr>
        <w:t>》</w:t>
      </w:r>
      <w:r>
        <w:rPr>
          <w:spacing w:val="-57"/>
          <w:szCs w:val="32"/>
        </w:rPr>
        <w:t>，</w:t>
      </w:r>
      <w:r>
        <w:rPr>
          <w:szCs w:val="32"/>
        </w:rPr>
        <w:t>从强化能耗源头管理</w:t>
      </w:r>
      <w:r>
        <w:rPr>
          <w:spacing w:val="-57"/>
          <w:szCs w:val="32"/>
        </w:rPr>
        <w:t>、</w:t>
      </w:r>
      <w:r>
        <w:rPr>
          <w:szCs w:val="32"/>
        </w:rPr>
        <w:t>推进能效对标达标、积极开展能源审计等十个方面，指导推动全市年耗能5000吨标准煤以上的100家重点用能企业提升能效水平。</w:t>
      </w:r>
      <w:r>
        <w:rPr>
          <w:rFonts w:hint="eastAsia"/>
          <w:lang w:eastAsia="zh-CN"/>
        </w:rPr>
        <w:t>加强</w:t>
      </w:r>
      <w:r>
        <w:rPr>
          <w:rFonts w:hint="eastAsia"/>
        </w:rPr>
        <w:t>重点用能单位节能管理，</w:t>
      </w:r>
      <w:r>
        <w:rPr>
          <w:rFonts w:hint="eastAsia"/>
          <w:lang w:eastAsia="zh-CN"/>
        </w:rPr>
        <w:t>对钢铁、化工等高耗能行业重点用能企业实行能耗预算管理。</w:t>
      </w:r>
      <w:r>
        <w:rPr>
          <w:rFonts w:hint="eastAsia"/>
        </w:rPr>
        <w:t>重点用能单位按月度将能耗碳排放数据报入全省碳排放监测系统，建立重点用能单位能源利用状况动态调度机制。</w:t>
      </w:r>
      <w:r>
        <w:rPr>
          <w:rStyle w:val="13"/>
          <w:lang w:val="en"/>
        </w:rPr>
        <w:t>（</w:t>
      </w:r>
      <w:r>
        <w:rPr>
          <w:rStyle w:val="13"/>
          <w:rFonts w:hint="eastAsia"/>
        </w:rPr>
        <w:t>市</w:t>
      </w:r>
      <w:r>
        <w:rPr>
          <w:rStyle w:val="13"/>
          <w:rFonts w:hint="eastAsia"/>
          <w:lang w:eastAsia="zh-CN"/>
        </w:rPr>
        <w:t>工信局</w:t>
      </w:r>
      <w:r>
        <w:rPr>
          <w:rStyle w:val="13"/>
          <w:rFonts w:hint="eastAsia"/>
        </w:rPr>
        <w:t>、</w:t>
      </w:r>
      <w:r>
        <w:rPr>
          <w:rStyle w:val="13"/>
          <w:rFonts w:hint="eastAsia"/>
          <w:lang w:eastAsia="zh-CN"/>
        </w:rPr>
        <w:t>发改委</w:t>
      </w:r>
      <w:r>
        <w:rPr>
          <w:rStyle w:val="13"/>
          <w:rFonts w:hint="eastAsia"/>
        </w:rPr>
        <w:t>、生态环境局等部门按职责分工负责</w:t>
      </w:r>
      <w:r>
        <w:rPr>
          <w:rStyle w:val="13"/>
          <w:lang w:val="en"/>
        </w:rPr>
        <w:t>）</w:t>
      </w:r>
    </w:p>
    <w:p>
      <w:pPr>
        <w:pStyle w:val="7"/>
        <w:numPr>
          <w:ilvl w:val="0"/>
          <w:numId w:val="3"/>
        </w:numPr>
        <w:spacing w:line="600" w:lineRule="exact"/>
      </w:pPr>
      <w:r>
        <w:rPr>
          <w:rFonts w:hint="eastAsia"/>
        </w:rPr>
        <w:t>完善重点领域节能监管和服务机制</w:t>
      </w:r>
    </w:p>
    <w:p>
      <w:pPr>
        <w:spacing w:line="600" w:lineRule="exact"/>
        <w:rPr>
          <w:rStyle w:val="13"/>
          <w:lang w:val="en"/>
        </w:rPr>
      </w:pPr>
      <w:r>
        <w:rPr>
          <w:rFonts w:hint="eastAsia"/>
        </w:rPr>
        <w:t>开展公益性节能诊断，</w:t>
      </w:r>
      <w:r>
        <w:rPr>
          <w:rFonts w:hint="eastAsia"/>
          <w:lang w:eastAsia="zh-CN"/>
        </w:rPr>
        <w:t>选择重点用能设备开展能效监测，指导企业制定节能改造方案，挖掘节能潜力。</w:t>
      </w:r>
      <w:r>
        <w:rPr>
          <w:rFonts w:hint="eastAsia"/>
        </w:rPr>
        <w:t>完善省、市、县三级节能监察体系</w:t>
      </w:r>
      <w:r>
        <w:rPr>
          <w:rFonts w:hint="eastAsia"/>
          <w:lang w:eastAsia="zh-CN"/>
        </w:rPr>
        <w:t>，</w:t>
      </w:r>
      <w:r>
        <w:rPr>
          <w:rFonts w:hint="eastAsia"/>
        </w:rPr>
        <w:t>强化监察执法人员力量保障。统筹运用综合行政执法、市场监管执法、特种设备监察、信用管理等手段,加强节能法律法规政策标准执行情况监督检查</w:t>
      </w:r>
      <w:r>
        <w:rPr>
          <w:rFonts w:hint="eastAsia"/>
          <w:lang w:eastAsia="zh-CN"/>
        </w:rPr>
        <w:t>，</w:t>
      </w:r>
      <w:r>
        <w:rPr>
          <w:rFonts w:hint="eastAsia"/>
        </w:rPr>
        <w:t>重点检查强制性能耗限额标准、节能审查制度、用能产品设备淘汰制度执行情况。到2025年底，实现重点用能单位节能监察全覆盖。</w:t>
      </w:r>
      <w:r>
        <w:rPr>
          <w:rStyle w:val="13"/>
          <w:lang w:val="en"/>
        </w:rPr>
        <w:t>（</w:t>
      </w:r>
      <w:r>
        <w:rPr>
          <w:rStyle w:val="13"/>
          <w:rFonts w:hint="eastAsia"/>
        </w:rPr>
        <w:t>市</w:t>
      </w:r>
      <w:r>
        <w:rPr>
          <w:rStyle w:val="13"/>
          <w:rFonts w:hint="eastAsia"/>
          <w:lang w:eastAsia="zh-CN"/>
        </w:rPr>
        <w:t>工信局</w:t>
      </w:r>
      <w:r>
        <w:rPr>
          <w:rStyle w:val="13"/>
          <w:rFonts w:hint="eastAsia"/>
        </w:rPr>
        <w:t>牵头，市</w:t>
      </w:r>
      <w:r>
        <w:rPr>
          <w:rStyle w:val="13"/>
          <w:rFonts w:hint="eastAsia"/>
          <w:lang w:eastAsia="zh-CN"/>
        </w:rPr>
        <w:t>发改委、</w:t>
      </w:r>
      <w:r>
        <w:rPr>
          <w:rStyle w:val="13"/>
          <w:rFonts w:hint="eastAsia"/>
        </w:rPr>
        <w:t>市场监管局等部门按职责分工负责</w:t>
      </w:r>
      <w:r>
        <w:rPr>
          <w:rStyle w:val="13"/>
          <w:lang w:val="en"/>
        </w:rPr>
        <w:t>）</w:t>
      </w:r>
    </w:p>
    <w:p>
      <w:pPr>
        <w:pStyle w:val="7"/>
        <w:numPr>
          <w:ilvl w:val="0"/>
          <w:numId w:val="3"/>
        </w:numPr>
        <w:spacing w:line="600" w:lineRule="exact"/>
      </w:pPr>
      <w:r>
        <w:rPr>
          <w:rFonts w:hint="eastAsia"/>
        </w:rPr>
        <w:t>加强能源消费和碳排放统计核算</w:t>
      </w:r>
    </w:p>
    <w:p>
      <w:pPr>
        <w:spacing w:line="600" w:lineRule="exact"/>
        <w:rPr>
          <w:rStyle w:val="13"/>
          <w:lang w:val="en"/>
        </w:rPr>
      </w:pPr>
      <w:r>
        <w:rPr>
          <w:rFonts w:hint="eastAsia"/>
        </w:rPr>
        <w:t>推动完善能源消费量和碳排放数据监测机制，深入开展重点领域重点产品碳排放数据摸底，夯实化石能源、非化石能源、原料用能等统计核算基础。加强（县、市）区碳排放统计核算基层机构和队伍建设。积极开展以电力等为基础的能源消费和碳排放监测分析，逐步构建精准高效的能源消费和碳排放统计核算体系。</w:t>
      </w:r>
      <w:r>
        <w:rPr>
          <w:rStyle w:val="13"/>
          <w:lang w:val="en"/>
        </w:rPr>
        <w:t>（</w:t>
      </w:r>
      <w:r>
        <w:rPr>
          <w:rStyle w:val="13"/>
          <w:rFonts w:hint="eastAsia"/>
        </w:rPr>
        <w:t>市统计局牵头，市</w:t>
      </w:r>
      <w:r>
        <w:rPr>
          <w:rStyle w:val="13"/>
          <w:rFonts w:hint="eastAsia"/>
          <w:lang w:eastAsia="zh-CN"/>
        </w:rPr>
        <w:t>发改委</w:t>
      </w:r>
      <w:r>
        <w:rPr>
          <w:rStyle w:val="13"/>
          <w:rFonts w:hint="eastAsia"/>
        </w:rPr>
        <w:t>、</w:t>
      </w:r>
      <w:r>
        <w:rPr>
          <w:rStyle w:val="13"/>
          <w:rFonts w:hint="eastAsia"/>
          <w:lang w:eastAsia="zh-CN"/>
        </w:rPr>
        <w:t>工信局</w:t>
      </w:r>
      <w:r>
        <w:rPr>
          <w:rStyle w:val="13"/>
          <w:rFonts w:hint="eastAsia"/>
        </w:rPr>
        <w:t>、生态环境局等部门按职责分工负责</w:t>
      </w:r>
      <w:r>
        <w:rPr>
          <w:rStyle w:val="13"/>
          <w:lang w:val="en"/>
        </w:rPr>
        <w:t>）</w:t>
      </w:r>
    </w:p>
    <w:p>
      <w:pPr>
        <w:pStyle w:val="6"/>
        <w:numPr>
          <w:ilvl w:val="0"/>
          <w:numId w:val="1"/>
        </w:numPr>
        <w:spacing w:line="600" w:lineRule="exact"/>
        <w:ind w:firstLine="640"/>
      </w:pPr>
      <w:r>
        <w:rPr>
          <w:rFonts w:hint="eastAsia"/>
        </w:rPr>
        <w:t>保障措施</w:t>
      </w:r>
    </w:p>
    <w:p>
      <w:pPr>
        <w:pStyle w:val="7"/>
        <w:numPr>
          <w:ilvl w:val="0"/>
          <w:numId w:val="4"/>
        </w:numPr>
        <w:spacing w:line="600" w:lineRule="exact"/>
      </w:pPr>
      <w:r>
        <w:rPr>
          <w:rFonts w:hint="eastAsia"/>
        </w:rPr>
        <w:t>贯彻制度标准</w:t>
      </w:r>
    </w:p>
    <w:p>
      <w:pPr>
        <w:spacing w:line="600" w:lineRule="exact"/>
        <w:rPr>
          <w:rStyle w:val="13"/>
          <w:rFonts w:hint="eastAsia"/>
        </w:rPr>
      </w:pPr>
      <w:r>
        <w:rPr>
          <w:rFonts w:hint="eastAsia"/>
        </w:rPr>
        <w:t>贯彻落实节约能源法、固定资产投资项目节能审查实施办法、重点用能单位节能管理实施办法、节能监察办法等制度，严格落实国家能耗限额、产品设备能效强制性国家标准要求</w:t>
      </w:r>
      <w:r>
        <w:rPr>
          <w:rFonts w:hint="eastAsia"/>
          <w:lang w:eastAsia="zh-CN"/>
        </w:rPr>
        <w:t>，</w:t>
      </w:r>
      <w:r>
        <w:rPr>
          <w:rFonts w:hint="eastAsia"/>
        </w:rPr>
        <w:t>强化</w:t>
      </w:r>
      <w:r>
        <w:rPr>
          <w:rFonts w:hint="eastAsia"/>
          <w:lang w:eastAsia="zh-CN"/>
        </w:rPr>
        <w:t>法律法规</w:t>
      </w:r>
      <w:r>
        <w:rPr>
          <w:rFonts w:hint="eastAsia"/>
        </w:rPr>
        <w:t>约束，</w:t>
      </w:r>
      <w:r>
        <w:rPr>
          <w:rFonts w:hint="eastAsia"/>
          <w:lang w:eastAsia="zh-CN"/>
        </w:rPr>
        <w:t>落实企业主体责任，</w:t>
      </w:r>
      <w:r>
        <w:rPr>
          <w:rFonts w:hint="eastAsia"/>
        </w:rPr>
        <w:t>实施能源消费全链条管理。</w:t>
      </w:r>
      <w:r>
        <w:rPr>
          <w:rStyle w:val="13"/>
          <w:lang w:val="en"/>
        </w:rPr>
        <w:t>（</w:t>
      </w:r>
      <w:r>
        <w:rPr>
          <w:rStyle w:val="13"/>
          <w:rFonts w:hint="eastAsia"/>
        </w:rPr>
        <w:t>市</w:t>
      </w:r>
      <w:r>
        <w:rPr>
          <w:rStyle w:val="13"/>
          <w:rFonts w:hint="eastAsia"/>
          <w:lang w:eastAsia="zh-CN"/>
        </w:rPr>
        <w:t>工信局</w:t>
      </w:r>
      <w:r>
        <w:rPr>
          <w:rStyle w:val="13"/>
          <w:rFonts w:hint="eastAsia"/>
        </w:rPr>
        <w:t>、</w:t>
      </w:r>
      <w:r>
        <w:rPr>
          <w:rStyle w:val="13"/>
          <w:rFonts w:hint="eastAsia"/>
          <w:lang w:eastAsia="zh-CN"/>
        </w:rPr>
        <w:t>发改委</w:t>
      </w:r>
      <w:r>
        <w:rPr>
          <w:rStyle w:val="13"/>
          <w:rFonts w:hint="eastAsia"/>
        </w:rPr>
        <w:t>、市场监管局等部门按职责分工负责</w:t>
      </w:r>
      <w:r>
        <w:rPr>
          <w:rStyle w:val="13"/>
          <w:lang w:val="en"/>
        </w:rPr>
        <w:t>）</w:t>
      </w:r>
    </w:p>
    <w:p>
      <w:pPr>
        <w:pStyle w:val="7"/>
        <w:numPr>
          <w:ilvl w:val="0"/>
          <w:numId w:val="4"/>
        </w:numPr>
        <w:spacing w:line="600" w:lineRule="exact"/>
        <w:rPr>
          <w:rFonts w:hint="eastAsia" w:ascii="Times New Roman" w:hAnsi="Times New Roman" w:cs="Times New Roman"/>
          <w:lang w:eastAsia="zh-CN"/>
        </w:rPr>
      </w:pPr>
      <w:r>
        <w:rPr>
          <w:rFonts w:hint="eastAsia" w:ascii="Times New Roman" w:hAnsi="Times New Roman" w:cs="Times New Roman"/>
          <w:lang w:eastAsia="zh-CN"/>
        </w:rPr>
        <w:t>健全市场机制</w:t>
      </w:r>
    </w:p>
    <w:p>
      <w:pPr>
        <w:spacing w:line="600" w:lineRule="exact"/>
        <w:rPr>
          <w:rStyle w:val="13"/>
          <w:lang w:val="en"/>
        </w:rPr>
      </w:pPr>
      <w:r>
        <w:rPr>
          <w:rFonts w:hint="eastAsia"/>
          <w:lang w:eastAsia="zh-CN"/>
        </w:rPr>
        <w:t>积极推行用能权、绿电</w:t>
      </w:r>
      <w:r>
        <w:rPr>
          <w:rFonts w:hint="eastAsia"/>
        </w:rPr>
        <w:t>绿证</w:t>
      </w:r>
      <w:r>
        <w:rPr>
          <w:rFonts w:hint="eastAsia"/>
          <w:lang w:eastAsia="zh-CN"/>
        </w:rPr>
        <w:t>交易，促进绿电</w:t>
      </w:r>
      <w:r>
        <w:rPr>
          <w:rFonts w:hint="eastAsia"/>
        </w:rPr>
        <w:t>绿证</w:t>
      </w:r>
      <w:r>
        <w:rPr>
          <w:rFonts w:hint="eastAsia"/>
          <w:lang w:eastAsia="zh-CN"/>
        </w:rPr>
        <w:t>交易</w:t>
      </w:r>
      <w:r>
        <w:rPr>
          <w:rFonts w:hint="eastAsia"/>
        </w:rPr>
        <w:t>与碳交易机制的衔接协调，</w:t>
      </w:r>
      <w:r>
        <w:rPr>
          <w:rFonts w:hint="eastAsia"/>
          <w:lang w:eastAsia="zh-CN"/>
        </w:rPr>
        <w:t>引导能耗和碳排放指标向优势产业、企业项目集聚</w:t>
      </w:r>
      <w:r>
        <w:rPr>
          <w:rFonts w:hint="eastAsia"/>
        </w:rPr>
        <w:t>。</w:t>
      </w:r>
      <w:r>
        <w:rPr>
          <w:rFonts w:hint="eastAsia"/>
          <w:lang w:eastAsia="zh-CN"/>
        </w:rPr>
        <w:t>积极推行合同能源管理，推广“一站式”综合服务模式。</w:t>
      </w:r>
      <w:r>
        <w:rPr>
          <w:rFonts w:hint="eastAsia"/>
        </w:rPr>
        <w:t>落实煤电容量电价、深化新能源上网电价市场化改革、</w:t>
      </w:r>
      <w:r>
        <w:rPr>
          <w:rFonts w:hint="eastAsia"/>
          <w:lang w:eastAsia="zh-CN"/>
        </w:rPr>
        <w:t>建立健全储能价格机制，严禁对高耗能、高排放行业实施水电气价格优惠政策。</w:t>
      </w:r>
      <w:r>
        <w:rPr>
          <w:rStyle w:val="13"/>
          <w:lang w:val="en"/>
        </w:rPr>
        <w:t>（</w:t>
      </w:r>
      <w:r>
        <w:rPr>
          <w:rStyle w:val="13"/>
          <w:rFonts w:hint="eastAsia"/>
        </w:rPr>
        <w:t>市</w:t>
      </w:r>
      <w:r>
        <w:rPr>
          <w:rStyle w:val="13"/>
          <w:rFonts w:hint="eastAsia"/>
          <w:lang w:eastAsia="zh-CN"/>
        </w:rPr>
        <w:t>发改委</w:t>
      </w:r>
      <w:r>
        <w:rPr>
          <w:rStyle w:val="13"/>
          <w:rFonts w:hint="eastAsia"/>
        </w:rPr>
        <w:t>、</w:t>
      </w:r>
      <w:r>
        <w:rPr>
          <w:rStyle w:val="13"/>
          <w:rFonts w:hint="eastAsia"/>
          <w:lang w:eastAsia="zh-CN"/>
        </w:rPr>
        <w:t>工信局</w:t>
      </w:r>
      <w:r>
        <w:rPr>
          <w:rStyle w:val="13"/>
          <w:rFonts w:hint="eastAsia"/>
        </w:rPr>
        <w:t>、</w:t>
      </w:r>
      <w:r>
        <w:rPr>
          <w:rStyle w:val="13"/>
          <w:rFonts w:hint="eastAsia"/>
          <w:lang w:eastAsia="zh-CN"/>
        </w:rPr>
        <w:t>生态环境</w:t>
      </w:r>
      <w:r>
        <w:rPr>
          <w:rStyle w:val="13"/>
          <w:rFonts w:hint="eastAsia"/>
        </w:rPr>
        <w:t>局等部门按职责分工负责</w:t>
      </w:r>
      <w:r>
        <w:rPr>
          <w:rStyle w:val="13"/>
          <w:lang w:val="en"/>
        </w:rPr>
        <w:t>）</w:t>
      </w:r>
    </w:p>
    <w:p>
      <w:pPr>
        <w:pStyle w:val="7"/>
        <w:numPr>
          <w:ilvl w:val="0"/>
          <w:numId w:val="4"/>
        </w:numPr>
        <w:spacing w:line="600" w:lineRule="exact"/>
      </w:pPr>
      <w:r>
        <w:rPr>
          <w:rFonts w:hint="eastAsia"/>
        </w:rPr>
        <w:t>加大资金投入</w:t>
      </w:r>
    </w:p>
    <w:p>
      <w:pPr>
        <w:spacing w:line="600" w:lineRule="exact"/>
        <w:rPr>
          <w:rStyle w:val="13"/>
          <w:lang w:val="en"/>
        </w:rPr>
      </w:pPr>
      <w:r>
        <w:t>落实好有利于节能降碳的财税政策，发挥省</w:t>
      </w:r>
      <w:r>
        <w:rPr>
          <w:rFonts w:hint="eastAsia"/>
        </w:rPr>
        <w:t>、市、县三级政策资金</w:t>
      </w:r>
      <w:r>
        <w:t>作用，积极支持节能降碳改造和用能设备更新，支持申报相关领域的“两重两新”超长期特别国债资金支持项目和中央预算内资金项目。发挥绿色金融作用，鼓励金融机构支持传统行业节能降碳改造，支持节能减排企业发行绿色债券、利用资本市场融资。</w:t>
      </w:r>
      <w:r>
        <w:rPr>
          <w:rStyle w:val="13"/>
          <w:lang w:val="en"/>
        </w:rPr>
        <w:t>（</w:t>
      </w:r>
      <w:r>
        <w:rPr>
          <w:rStyle w:val="13"/>
          <w:rFonts w:hint="eastAsia"/>
        </w:rPr>
        <w:t>市</w:t>
      </w:r>
      <w:r>
        <w:rPr>
          <w:rStyle w:val="13"/>
        </w:rPr>
        <w:t>财政</w:t>
      </w:r>
      <w:r>
        <w:rPr>
          <w:rStyle w:val="13"/>
          <w:rFonts w:hint="eastAsia"/>
        </w:rPr>
        <w:t>局</w:t>
      </w:r>
      <w:r>
        <w:rPr>
          <w:rStyle w:val="13"/>
        </w:rPr>
        <w:t>、</w:t>
      </w:r>
      <w:r>
        <w:rPr>
          <w:rStyle w:val="13"/>
          <w:rFonts w:hint="eastAsia"/>
        </w:rPr>
        <w:t>市</w:t>
      </w:r>
      <w:r>
        <w:rPr>
          <w:rStyle w:val="13"/>
        </w:rPr>
        <w:t>委金融办、</w:t>
      </w:r>
      <w:r>
        <w:rPr>
          <w:rStyle w:val="13"/>
          <w:rFonts w:hint="eastAsia"/>
          <w:lang w:eastAsia="zh-CN"/>
        </w:rPr>
        <w:t>发改委</w:t>
      </w:r>
      <w:r>
        <w:rPr>
          <w:rStyle w:val="13"/>
        </w:rPr>
        <w:t>、</w:t>
      </w:r>
      <w:r>
        <w:rPr>
          <w:rStyle w:val="13"/>
          <w:rFonts w:hint="eastAsia"/>
          <w:lang w:eastAsia="zh-CN"/>
        </w:rPr>
        <w:t>工信局、</w:t>
      </w:r>
      <w:r>
        <w:rPr>
          <w:rStyle w:val="13"/>
        </w:rPr>
        <w:t>税务局、人民银行</w:t>
      </w:r>
      <w:r>
        <w:rPr>
          <w:rStyle w:val="13"/>
          <w:rFonts w:hint="eastAsia"/>
        </w:rPr>
        <w:t>扬州</w:t>
      </w:r>
      <w:r>
        <w:rPr>
          <w:rStyle w:val="13"/>
        </w:rPr>
        <w:t>分行、金融监管局、证监局等部门按职责分工负责</w:t>
      </w:r>
      <w:r>
        <w:rPr>
          <w:rStyle w:val="13"/>
          <w:lang w:val="en"/>
        </w:rPr>
        <w:t>）</w:t>
      </w:r>
    </w:p>
    <w:p>
      <w:pPr>
        <w:pStyle w:val="7"/>
        <w:numPr>
          <w:ilvl w:val="0"/>
          <w:numId w:val="4"/>
        </w:numPr>
        <w:spacing w:line="600" w:lineRule="exact"/>
      </w:pPr>
      <w:r>
        <w:rPr>
          <w:rFonts w:hint="eastAsia"/>
        </w:rPr>
        <w:t>强化科技引领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lang w:val="en"/>
        </w:rPr>
      </w:pPr>
      <w:r>
        <w:t>依托和整合高水平研究型大学、科研机构和科技领军企业力量</w:t>
      </w:r>
      <w:r>
        <w:rPr>
          <w:lang w:val="en"/>
        </w:rPr>
        <w:t>，</w:t>
      </w:r>
      <w:r>
        <w:t>加强绿色关键技术研发和应用示范。加快畅通节能降碳领域重大科技成果转移转化的便捷通道，大幅提高科技成果转移转化效率。</w:t>
      </w:r>
      <w:r>
        <w:rPr>
          <w:rFonts w:hint="eastAsia"/>
          <w:lang w:eastAsia="zh-CN"/>
        </w:rPr>
        <w:t>扎实推进绿色低碳先进技术示范工程建设，加大先进节能技术推广应用力度，运用科技专项支持一批</w:t>
      </w:r>
      <w:r>
        <w:rPr>
          <w:rFonts w:hint="default" w:ascii="Times New Roman" w:hAnsi="Times New Roman" w:eastAsia="方正仿宋_GBK" w:cs="Times New Roman"/>
          <w:sz w:val="32"/>
          <w:szCs w:val="32"/>
        </w:rPr>
        <w:t>工业智能微电网、二氧化碳捕集利用、信息化绿色化融合等</w:t>
      </w:r>
      <w:r>
        <w:rPr>
          <w:rFonts w:hint="eastAsia" w:cs="Times New Roman"/>
          <w:sz w:val="32"/>
          <w:szCs w:val="32"/>
          <w:lang w:eastAsia="zh-CN"/>
        </w:rPr>
        <w:t>节能降碳</w:t>
      </w:r>
      <w:r>
        <w:rPr>
          <w:rFonts w:hint="default" w:ascii="Times New Roman" w:hAnsi="Times New Roman" w:eastAsia="方正仿宋_GBK" w:cs="Times New Roman"/>
          <w:sz w:val="32"/>
          <w:szCs w:val="32"/>
        </w:rPr>
        <w:t>示范项目</w:t>
      </w:r>
      <w:r>
        <w:rPr>
          <w:rStyle w:val="13"/>
          <w:lang w:val="en"/>
        </w:rPr>
        <w:t>（</w:t>
      </w:r>
      <w:r>
        <w:rPr>
          <w:rStyle w:val="13"/>
          <w:rFonts w:hint="eastAsia"/>
        </w:rPr>
        <w:t>市</w:t>
      </w:r>
      <w:r>
        <w:rPr>
          <w:rStyle w:val="13"/>
        </w:rPr>
        <w:t>科技</w:t>
      </w:r>
      <w:r>
        <w:rPr>
          <w:rStyle w:val="13"/>
          <w:rFonts w:hint="eastAsia"/>
        </w:rPr>
        <w:t>局</w:t>
      </w:r>
      <w:r>
        <w:rPr>
          <w:rStyle w:val="13"/>
          <w:rFonts w:hint="eastAsia"/>
          <w:lang w:eastAsia="zh-CN"/>
        </w:rPr>
        <w:t>牵头，市发改委、工信局</w:t>
      </w:r>
      <w:r>
        <w:rPr>
          <w:rStyle w:val="13"/>
        </w:rPr>
        <w:t>等部门按职责分工负责</w:t>
      </w:r>
      <w:r>
        <w:rPr>
          <w:rStyle w:val="13"/>
          <w:lang w:val="en"/>
        </w:rPr>
        <w:t>）</w:t>
      </w:r>
    </w:p>
    <w:p>
      <w:pPr>
        <w:pStyle w:val="7"/>
        <w:numPr>
          <w:ilvl w:val="0"/>
          <w:numId w:val="4"/>
        </w:numPr>
        <w:spacing w:line="600" w:lineRule="exact"/>
      </w:pPr>
      <w:r>
        <w:rPr>
          <w:rFonts w:hint="eastAsia"/>
        </w:rPr>
        <w:t>实施全民行动</w:t>
      </w:r>
    </w:p>
    <w:p>
      <w:pPr>
        <w:spacing w:line="600" w:lineRule="exact"/>
        <w:rPr>
          <w:rStyle w:val="13"/>
          <w:rFonts w:hint="eastAsia"/>
        </w:rPr>
      </w:pPr>
      <w:r>
        <w:t>结合全国生态日、全国节能宣传周、全国低碳日等活动，加大节能降碳宣传力度，倡导简约适度、绿色低碳的生活方式，增强全民节能降碳意识和能力。充分发挥媒体作用，完善公众参与制度，加大对能源浪费行为的曝光力度，营造人人、事事、时时参与节能降碳的新风尚。</w:t>
      </w:r>
      <w:r>
        <w:rPr>
          <w:rStyle w:val="13"/>
          <w:rFonts w:hint="eastAsia"/>
        </w:rPr>
        <w:t>（市生态环境局、</w:t>
      </w:r>
      <w:r>
        <w:rPr>
          <w:rStyle w:val="13"/>
          <w:rFonts w:hint="eastAsia"/>
          <w:lang w:eastAsia="zh-CN"/>
        </w:rPr>
        <w:t>工信局</w:t>
      </w:r>
      <w:r>
        <w:rPr>
          <w:rStyle w:val="13"/>
          <w:rFonts w:hint="eastAsia"/>
        </w:rPr>
        <w:t>、</w:t>
      </w:r>
      <w:r>
        <w:rPr>
          <w:rStyle w:val="13"/>
          <w:rFonts w:hint="eastAsia"/>
          <w:lang w:eastAsia="zh-CN"/>
        </w:rPr>
        <w:t>发改委</w:t>
      </w:r>
      <w:r>
        <w:rPr>
          <w:rStyle w:val="13"/>
          <w:rFonts w:hint="eastAsia"/>
        </w:rPr>
        <w:t>等部门按职责分工负责）</w:t>
      </w:r>
    </w:p>
    <w:p>
      <w:pPr>
        <w:pStyle w:val="3"/>
        <w:rPr>
          <w:rStyle w:val="19"/>
          <w:lang w:val="en-US" w:eastAsia="zh-CN" w:bidi="ar"/>
        </w:rPr>
      </w:pPr>
    </w:p>
    <w:p>
      <w:pPr>
        <w:pStyle w:val="3"/>
        <w:rPr>
          <w:rStyle w:val="19"/>
          <w:rFonts w:hint="eastAsia"/>
          <w:lang w:val="en-US" w:eastAsia="zh-CN" w:bidi="ar"/>
        </w:rPr>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851" w:footer="992" w:gutter="0"/>
          <w:cols w:space="425" w:num="1"/>
          <w:docGrid w:type="lines" w:linePitch="312" w:charSpace="0"/>
        </w:sectPr>
      </w:pPr>
    </w:p>
    <w:tbl>
      <w:tblPr>
        <w:tblW w:w="13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3"/>
        <w:gridCol w:w="10982"/>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3575" w:type="dxa"/>
            <w:gridSpan w:val="3"/>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r>
              <w:rPr>
                <w:rStyle w:val="15"/>
                <w:rFonts w:hint="default" w:ascii="Times New Roman" w:hAnsi="Times New Roman" w:cs="Times New Roman"/>
                <w:bdr w:val="none" w:color="auto" w:sz="0" w:space="0"/>
                <w:lang w:val="en-US" w:eastAsia="zh-CN" w:bidi="ar"/>
              </w:rPr>
              <w:t>扬州市</w:t>
            </w:r>
            <w:r>
              <w:rPr>
                <w:rStyle w:val="16"/>
                <w:rFonts w:hint="default" w:ascii="Times New Roman" w:hAnsi="Times New Roman" w:eastAsia="宋体" w:cs="Times New Roman"/>
                <w:bdr w:val="none" w:color="auto" w:sz="0" w:space="0"/>
                <w:lang w:val="en-US" w:eastAsia="zh-CN" w:bidi="ar"/>
              </w:rPr>
              <w:t>2025</w:t>
            </w:r>
            <w:r>
              <w:rPr>
                <w:rStyle w:val="15"/>
                <w:rFonts w:hint="default" w:ascii="Times New Roman" w:hAnsi="Times New Roman" w:cs="Times New Roman"/>
                <w:bdr w:val="none" w:color="auto" w:sz="0" w:space="0"/>
                <w:lang w:val="en-US" w:eastAsia="zh-CN" w:bidi="ar"/>
              </w:rPr>
              <w:t>年节能降碳行动计划重点工作目标分解表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sz w:val="24"/>
                <w:szCs w:val="24"/>
                <w:u w:val="none"/>
              </w:rPr>
            </w:pPr>
            <w:r>
              <w:rPr>
                <w:rStyle w:val="17"/>
                <w:rFonts w:hint="default" w:ascii="Times New Roman" w:hAnsi="Times New Roman" w:cs="Times New Roman"/>
                <w:bdr w:val="none" w:color="auto" w:sz="0" w:space="0"/>
                <w:lang w:val="en-US" w:eastAsia="zh-CN" w:bidi="ar"/>
              </w:rPr>
              <w:t>序号</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sz w:val="24"/>
                <w:szCs w:val="24"/>
                <w:u w:val="none"/>
              </w:rPr>
            </w:pPr>
            <w:r>
              <w:rPr>
                <w:rStyle w:val="17"/>
                <w:rFonts w:hint="default" w:ascii="Times New Roman" w:hAnsi="Times New Roman" w:cs="Times New Roman"/>
                <w:bdr w:val="none" w:color="auto" w:sz="0" w:space="0"/>
                <w:lang w:val="en-US" w:eastAsia="zh-CN" w:bidi="ar"/>
              </w:rPr>
              <w:t>事项名称</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sz w:val="24"/>
                <w:szCs w:val="24"/>
                <w:u w:val="none"/>
              </w:rPr>
            </w:pPr>
            <w:r>
              <w:rPr>
                <w:rStyle w:val="17"/>
                <w:rFonts w:hint="default" w:ascii="Times New Roman" w:hAnsi="Times New Roman" w:cs="Times New Roman"/>
                <w:bdr w:val="none" w:color="auto" w:sz="0" w:space="0"/>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2"/>
                <w:szCs w:val="22"/>
                <w:u w:val="none"/>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（一）推动能源结构绿色低碳转型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严格合理控制煤炭消费，到2025年煤炭占一次能源消费比重下降至50%左右、电煤占煤炭消费比重提升至75%左右，全市综合发电效率达到290克标准煤/千瓦时。</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加强非化石能源供给，到2025年底全市非化石能源发电量占比达到39%左右。</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促进可再生能源应用，2025年全市非化石能源消费占比达到20%左右，按照单位GDP化石能源消费量（新口径）核算，非化石能源扣减量达550万吨标准煤。</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（二）推进工业绿色低碳发展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大力推进节能降碳改造，全年组织实施绿色化改造项目100项以上，实现节能10万吨标煤。</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开展绿色制造体系建设，大力开展绿色工厂、绿色园区建设。</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推进钢铁行业节能降碳，到2025年底全市钢铁企业完成超低排放改造，吨钢综合能耗较2023年降低2%左右。</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市工信局</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推进化工行业节能降碳，到2025年底，PTA、烧碱行业能效标杆水平以上产能占比超过30%，能效基准水平以下产能完成技术改造或淘汰退出。</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市工信局</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（三）提升服务业节能降碳水平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推进商贸服务业节能降碳，2025年服务业能耗增速不高于其增加值增速。</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大力开展绿色数据中心建设，到2025年新建及改扩建数据中心电能利用效率须低于1.2。</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市数据局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（四）促进建筑领域绿色低碳发展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推进既有建筑改造，提升新建建筑节能水平，持续推进建筑领域节能降碳，严格公共建筑室内温度控制，到2025年完成既有建筑节能改造面积XXX万平方米以上（全省目标为1000万平方米以上），新建公共机构建筑屋顶光伏覆盖率力争达到50%，城镇建筑可再生能源替代率达到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（五）加快交通运输领域绿色低碳转型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11</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推进交通基础设施和装备低碳转型，推动绿色高效货物运输体系建设，到2025年营运交通工具单位周转量碳排放强度比2020年下降5%，集装箱铁水联运量较2020年增长16%以上。</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（六）强化公共机构领域节能降碳管理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加强公共机构用能精细化管理，推进公共机构节能降碳改造，到2025年底完成公共机构单位建筑面积能耗、单位建筑面积碳排放、人均综合能耗分别下降6%、7%、7%的既定目标，党政机关新增公务用车除特殊情况，原则上要采用新能源车。</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市机关事务局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128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Style w:val="18"/>
                <w:rFonts w:hint="default" w:ascii="Times New Roman" w:hAnsi="Times New Roman" w:cs="Times New Roman"/>
                <w:bdr w:val="none" w:color="auto" w:sz="0" w:space="0"/>
                <w:lang w:val="en-US" w:eastAsia="zh-CN" w:bidi="ar"/>
              </w:rPr>
              <w:t>（七）加强设备更新与资源循环利用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w:t>
            </w:r>
          </w:p>
        </w:tc>
        <w:tc>
          <w:tcPr>
            <w:tcW w:w="10982"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加快用能产品设备更新改造，加强废旧物资循环利用体系，到2025年一般工业固体废弃物资源综合利用率达95%。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市发改委</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市工信局</w:t>
            </w:r>
          </w:p>
          <w:p>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Style w:val="19"/>
                <w:rFonts w:hint="default" w:ascii="Times New Roman" w:hAnsi="Times New Roman" w:cs="Times New Roman"/>
                <w:i w:val="0"/>
                <w:color w:val="000000"/>
                <w:u w:val="none"/>
                <w:lang w:val="en-US" w:eastAsia="zh-CN" w:bidi="ar"/>
              </w:rPr>
            </w:pPr>
            <w:r>
              <w:rPr>
                <w:rStyle w:val="19"/>
                <w:rFonts w:hint="default" w:ascii="Times New Roman" w:hAnsi="Times New Roman" w:cs="Times New Roman"/>
                <w:i w:val="0"/>
                <w:color w:val="000000"/>
                <w:u w:val="none"/>
                <w:lang w:val="en-US" w:eastAsia="zh-CN" w:bidi="ar"/>
              </w:rPr>
              <w:t>市商务局</w:t>
            </w:r>
          </w:p>
        </w:tc>
      </w:tr>
    </w:tbl>
    <w:p>
      <w:pPr>
        <w:pStyle w:val="2"/>
        <w:ind w:left="0" w:leftChars="0" w:firstLine="0" w:firstLineChars="0"/>
      </w:pPr>
    </w:p>
    <w:sectPr>
      <w:pgSz w:w="16838" w:h="11906" w:orient="landscape"/>
      <w:pgMar w:top="1701"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7</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ind w:firstLine="0" w:firstLineChars="0"/>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7</w:t>
                    </w:r>
                    <w:r>
                      <w:rPr>
                        <w:sz w:val="28"/>
                        <w:szCs w:val="44"/>
                      </w:rPr>
                      <w:fldChar w:fldCharType="end"/>
                    </w:r>
                    <w:r>
                      <w:rPr>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FD52A"/>
    <w:multiLevelType w:val="singleLevel"/>
    <w:tmpl w:val="CFBFD52A"/>
    <w:lvl w:ilvl="0" w:tentative="0">
      <w:start w:val="1"/>
      <w:numFmt w:val="chineseCounting"/>
      <w:suff w:val="nothing"/>
      <w:lvlText w:val="（%1）"/>
      <w:lvlJc w:val="left"/>
      <w:rPr>
        <w:rFonts w:hint="eastAsia"/>
      </w:rPr>
    </w:lvl>
  </w:abstractNum>
  <w:abstractNum w:abstractNumId="1">
    <w:nsid w:val="FFF2FDFB"/>
    <w:multiLevelType w:val="singleLevel"/>
    <w:tmpl w:val="FFF2FDFB"/>
    <w:lvl w:ilvl="0" w:tentative="0">
      <w:start w:val="1"/>
      <w:numFmt w:val="chineseCounting"/>
      <w:suff w:val="nothing"/>
      <w:lvlText w:val="%1、"/>
      <w:lvlJc w:val="left"/>
      <w:rPr>
        <w:rFonts w:hint="eastAsia"/>
      </w:rPr>
    </w:lvl>
  </w:abstractNum>
  <w:abstractNum w:abstractNumId="2">
    <w:nsid w:val="5F77E5A0"/>
    <w:multiLevelType w:val="singleLevel"/>
    <w:tmpl w:val="5F77E5A0"/>
    <w:lvl w:ilvl="0" w:tentative="0">
      <w:start w:val="1"/>
      <w:numFmt w:val="chineseCounting"/>
      <w:suff w:val="nothing"/>
      <w:lvlText w:val="（%1）"/>
      <w:lvlJc w:val="left"/>
      <w:rPr>
        <w:rFonts w:hint="eastAsia"/>
      </w:rPr>
    </w:lvl>
  </w:abstractNum>
  <w:abstractNum w:abstractNumId="3">
    <w:nsid w:val="7EFF39C4"/>
    <w:multiLevelType w:val="singleLevel"/>
    <w:tmpl w:val="7EFF39C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5F830F"/>
    <w:rsid w:val="00091A15"/>
    <w:rsid w:val="000A091C"/>
    <w:rsid w:val="001451CC"/>
    <w:rsid w:val="00151B19"/>
    <w:rsid w:val="001B42C2"/>
    <w:rsid w:val="001E1EB5"/>
    <w:rsid w:val="002951A3"/>
    <w:rsid w:val="00374550"/>
    <w:rsid w:val="003E4C78"/>
    <w:rsid w:val="00413CD9"/>
    <w:rsid w:val="007E52C9"/>
    <w:rsid w:val="008A290D"/>
    <w:rsid w:val="00C56BF2"/>
    <w:rsid w:val="00D32F6A"/>
    <w:rsid w:val="00F53112"/>
    <w:rsid w:val="00F84559"/>
    <w:rsid w:val="00F85D98"/>
    <w:rsid w:val="00FC5E03"/>
    <w:rsid w:val="127F605C"/>
    <w:rsid w:val="197D520D"/>
    <w:rsid w:val="1D7CF999"/>
    <w:rsid w:val="27DFB9F7"/>
    <w:rsid w:val="2FBB1239"/>
    <w:rsid w:val="3577D88E"/>
    <w:rsid w:val="3AFB1188"/>
    <w:rsid w:val="3B656F06"/>
    <w:rsid w:val="3BEA65AB"/>
    <w:rsid w:val="3FEFCF67"/>
    <w:rsid w:val="47BF35B0"/>
    <w:rsid w:val="59BFABD5"/>
    <w:rsid w:val="5D7977F7"/>
    <w:rsid w:val="5FBF0223"/>
    <w:rsid w:val="63DB1469"/>
    <w:rsid w:val="6AE31B6B"/>
    <w:rsid w:val="6BF6640C"/>
    <w:rsid w:val="6DBF610C"/>
    <w:rsid w:val="6FBFB7FF"/>
    <w:rsid w:val="76FE2048"/>
    <w:rsid w:val="7A7741C2"/>
    <w:rsid w:val="7BFF2EF4"/>
    <w:rsid w:val="7C5F830F"/>
    <w:rsid w:val="7DFB2CE7"/>
    <w:rsid w:val="7DFF2CF4"/>
    <w:rsid w:val="7E5F3FF9"/>
    <w:rsid w:val="7FBE55A8"/>
    <w:rsid w:val="7FBF93B8"/>
    <w:rsid w:val="9FCBC156"/>
    <w:rsid w:val="BDDF07EF"/>
    <w:rsid w:val="CE740033"/>
    <w:rsid w:val="DAFE8DA9"/>
    <w:rsid w:val="DDF728DF"/>
    <w:rsid w:val="DFFF7797"/>
    <w:rsid w:val="E7EFA07E"/>
    <w:rsid w:val="EBF3E098"/>
    <w:rsid w:val="EEFF80B7"/>
    <w:rsid w:val="EF3F4B4F"/>
    <w:rsid w:val="EFAD6368"/>
    <w:rsid w:val="F6DE5F95"/>
    <w:rsid w:val="F7DD6B0E"/>
    <w:rsid w:val="FB6C469F"/>
    <w:rsid w:val="FB9F2E6D"/>
    <w:rsid w:val="FEFFB91F"/>
    <w:rsid w:val="FF1EB2BE"/>
    <w:rsid w:val="FFCF02D5"/>
    <w:rsid w:val="FFD31563"/>
    <w:rsid w:val="FFDF354F"/>
    <w:rsid w:val="FFED16DD"/>
    <w:rsid w:val="FFF3B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方正仿宋_GBK" w:cs="Times New Roman"/>
      <w:kern w:val="2"/>
      <w:sz w:val="32"/>
      <w:szCs w:val="24"/>
      <w:lang w:val="en-US" w:eastAsia="zh-CN" w:bidi="ar-SA"/>
    </w:rPr>
  </w:style>
  <w:style w:type="paragraph" w:styleId="5">
    <w:name w:val="heading 1"/>
    <w:basedOn w:val="1"/>
    <w:next w:val="1"/>
    <w:qFormat/>
    <w:uiPriority w:val="0"/>
    <w:pPr>
      <w:snapToGrid w:val="0"/>
      <w:spacing w:line="600" w:lineRule="exact"/>
      <w:ind w:firstLine="0" w:firstLineChars="0"/>
      <w:jc w:val="center"/>
      <w:outlineLvl w:val="0"/>
    </w:pPr>
    <w:rPr>
      <w:rFonts w:hint="eastAsia" w:ascii="宋体" w:hAnsi="宋体" w:eastAsia="方正小标宋_GBK"/>
      <w:kern w:val="44"/>
      <w:sz w:val="44"/>
      <w:szCs w:val="48"/>
    </w:rPr>
  </w:style>
  <w:style w:type="paragraph" w:styleId="6">
    <w:name w:val="heading 2"/>
    <w:basedOn w:val="1"/>
    <w:next w:val="1"/>
    <w:unhideWhenUsed/>
    <w:qFormat/>
    <w:uiPriority w:val="0"/>
    <w:pPr>
      <w:keepNext/>
      <w:keepLines/>
      <w:spacing w:line="560" w:lineRule="exact"/>
      <w:ind w:firstLine="880"/>
      <w:outlineLvl w:val="1"/>
    </w:pPr>
    <w:rPr>
      <w:rFonts w:eastAsia="方正黑体_GBK" w:cstheme="minorBidi"/>
      <w:szCs w:val="22"/>
    </w:rPr>
  </w:style>
  <w:style w:type="paragraph" w:styleId="7">
    <w:name w:val="heading 3"/>
    <w:basedOn w:val="1"/>
    <w:next w:val="1"/>
    <w:link w:val="13"/>
    <w:unhideWhenUsed/>
    <w:qFormat/>
    <w:uiPriority w:val="0"/>
    <w:pPr>
      <w:keepNext/>
      <w:keepLines/>
      <w:spacing w:line="560" w:lineRule="exact"/>
      <w:outlineLvl w:val="2"/>
    </w:pPr>
    <w:rPr>
      <w:rFonts w:eastAsia="方正楷体_GBK"/>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qFormat/>
    <w:uiPriority w:val="0"/>
    <w:pPr>
      <w:spacing w:line="600" w:lineRule="exact"/>
    </w:pPr>
  </w:style>
  <w:style w:type="paragraph" w:styleId="4">
    <w:name w:val="Block Text"/>
    <w:basedOn w:val="1"/>
    <w:next w:val="3"/>
    <w:qFormat/>
    <w:uiPriority w:val="0"/>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customStyle="1" w:styleId="13">
    <w:name w:val="标题 3 字符"/>
    <w:link w:val="7"/>
    <w:qFormat/>
    <w:uiPriority w:val="0"/>
    <w:rPr>
      <w:rFonts w:ascii="Times New Roman" w:hAnsi="Times New Roman" w:eastAsia="方正楷体_GBK" w:cs="Times New Roman"/>
      <w:sz w:val="32"/>
      <w:szCs w:val="22"/>
    </w:rPr>
  </w:style>
  <w:style w:type="paragraph" w:styleId="14">
    <w:name w:val="List Paragraph"/>
    <w:basedOn w:val="1"/>
    <w:qFormat/>
    <w:uiPriority w:val="99"/>
    <w:pPr>
      <w:ind w:firstLine="420"/>
    </w:pPr>
  </w:style>
  <w:style w:type="character" w:customStyle="1" w:styleId="15">
    <w:name w:val="font11"/>
    <w:basedOn w:val="12"/>
    <w:uiPriority w:val="0"/>
    <w:rPr>
      <w:rFonts w:ascii="方正小标宋_GBK" w:hAnsi="方正小标宋_GBK" w:eastAsia="方正小标宋_GBK" w:cs="方正小标宋_GBK"/>
      <w:color w:val="000000"/>
      <w:sz w:val="40"/>
      <w:szCs w:val="40"/>
      <w:u w:val="none"/>
    </w:rPr>
  </w:style>
  <w:style w:type="character" w:customStyle="1" w:styleId="16">
    <w:name w:val="font91"/>
    <w:basedOn w:val="12"/>
    <w:uiPriority w:val="0"/>
    <w:rPr>
      <w:rFonts w:hint="default" w:ascii="Times New Roman" w:hAnsi="Times New Roman" w:cs="Times New Roman"/>
      <w:color w:val="000000"/>
      <w:sz w:val="40"/>
      <w:szCs w:val="40"/>
      <w:u w:val="none"/>
    </w:rPr>
  </w:style>
  <w:style w:type="character" w:customStyle="1" w:styleId="17">
    <w:name w:val="font01"/>
    <w:basedOn w:val="12"/>
    <w:uiPriority w:val="0"/>
    <w:rPr>
      <w:rFonts w:ascii="方正黑体_GBK" w:hAnsi="方正黑体_GBK" w:eastAsia="方正黑体_GBK" w:cs="方正黑体_GBK"/>
      <w:color w:val="000000"/>
      <w:sz w:val="24"/>
      <w:szCs w:val="24"/>
      <w:u w:val="none"/>
    </w:rPr>
  </w:style>
  <w:style w:type="character" w:customStyle="1" w:styleId="18">
    <w:name w:val="font71"/>
    <w:basedOn w:val="12"/>
    <w:uiPriority w:val="0"/>
    <w:rPr>
      <w:rFonts w:hint="eastAsia" w:ascii="宋体" w:hAnsi="宋体" w:eastAsia="宋体" w:cs="宋体"/>
      <w:b/>
      <w:color w:val="000000"/>
      <w:sz w:val="22"/>
      <w:szCs w:val="22"/>
      <w:u w:val="none"/>
    </w:rPr>
  </w:style>
  <w:style w:type="character" w:customStyle="1" w:styleId="19">
    <w:name w:val="font21"/>
    <w:basedOn w:val="12"/>
    <w:uiPriority w:val="0"/>
    <w:rPr>
      <w:rFonts w:hint="eastAsia" w:ascii="宋体" w:hAnsi="宋体" w:eastAsia="宋体" w:cs="宋体"/>
      <w:color w:val="000000"/>
      <w:sz w:val="22"/>
      <w:szCs w:val="22"/>
      <w:u w:val="none"/>
    </w:rPr>
  </w:style>
  <w:style w:type="character" w:customStyle="1" w:styleId="20">
    <w:name w:val="font61"/>
    <w:basedOn w:val="12"/>
    <w:uiPriority w:val="0"/>
    <w:rPr>
      <w:rFonts w:hint="default" w:ascii="Times New Roman" w:hAnsi="Times New Roman" w:cs="Times New Roman"/>
      <w:color w:val="000000"/>
      <w:sz w:val="22"/>
      <w:szCs w:val="22"/>
      <w:u w:val="none"/>
    </w:rPr>
  </w:style>
  <w:style w:type="character" w:customStyle="1" w:styleId="21">
    <w:name w:val="font31"/>
    <w:basedOn w:val="12"/>
    <w:uiPriority w:val="0"/>
    <w:rPr>
      <w:rFonts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893</Words>
  <Characters>5092</Characters>
  <Lines>42</Lines>
  <Paragraphs>11</Paragraphs>
  <TotalTime>3</TotalTime>
  <ScaleCrop>false</ScaleCrop>
  <LinksUpToDate>false</LinksUpToDate>
  <CharactersWithSpaces>5974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2025-02-08T01:38:00Z</dcterms:created>
  <dc:creator>user</dc:creator>
  <cp:lastModifiedBy>user</cp:lastModifiedBy>
  <cp:lastPrinted>2025-02-10T14:08:31Z</cp:lastPrinted>
  <dcterms:modified xsi:type="dcterms:W3CDTF">2025-02-10T14:46:46Z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