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ind w:firstLine="0" w:firstLineChars="0"/>
        <w:outlineLvl w:val="0"/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附件2</w:t>
      </w:r>
    </w:p>
    <w:p>
      <w:pPr>
        <w:pStyle w:val="11"/>
        <w:spacing w:line="285" w:lineRule="auto"/>
        <w:ind w:firstLine="420"/>
        <w:rPr>
          <w:lang w:eastAsia="zh-CN"/>
        </w:rPr>
      </w:pPr>
    </w:p>
    <w:p>
      <w:pPr>
        <w:pStyle w:val="11"/>
        <w:spacing w:line="285" w:lineRule="auto"/>
        <w:ind w:firstLine="420"/>
        <w:rPr>
          <w:lang w:eastAsia="zh-CN"/>
        </w:rPr>
      </w:pPr>
    </w:p>
    <w:p>
      <w:pPr>
        <w:pStyle w:val="11"/>
        <w:spacing w:line="286" w:lineRule="auto"/>
        <w:ind w:firstLine="420"/>
        <w:rPr>
          <w:lang w:eastAsia="zh-CN"/>
        </w:rPr>
      </w:pPr>
    </w:p>
    <w:p>
      <w:pPr>
        <w:pStyle w:val="11"/>
        <w:spacing w:line="286" w:lineRule="auto"/>
        <w:ind w:firstLine="420"/>
        <w:rPr>
          <w:lang w:eastAsia="zh-CN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hAnsi="Calibri" w:eastAsia="方正小标宋_GBK"/>
          <w:color w:val="000000"/>
          <w:kern w:val="0"/>
          <w:sz w:val="48"/>
          <w:szCs w:val="44"/>
        </w:rPr>
      </w:pPr>
      <w:r>
        <w:rPr>
          <w:rFonts w:hint="eastAsia" w:ascii="方正小标宋_GBK" w:hAnsi="Calibri" w:eastAsia="方正小标宋_GBK"/>
          <w:color w:val="000000"/>
          <w:kern w:val="0"/>
          <w:sz w:val="48"/>
          <w:szCs w:val="44"/>
        </w:rPr>
        <w:t>算力强基揭榜单位申报材料</w:t>
      </w: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5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lang w:eastAsia="zh-CN"/>
        </w:rPr>
      </w:pPr>
    </w:p>
    <w:p>
      <w:pPr>
        <w:pStyle w:val="11"/>
        <w:spacing w:line="246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ind w:firstLine="2416" w:firstLineChars="800"/>
        <w:textAlignment w:val="baseline"/>
        <w:rPr>
          <w:rFonts w:ascii="方正黑体_GBK" w:hAnsi="方正黑体_GBK" w:eastAsia="方正黑体_GBK" w:cs="方正黑体_GBK"/>
          <w:snapToGrid w:val="0"/>
          <w:color w:val="000000"/>
          <w:kern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揭榜方向：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1"/>
          <w:szCs w:val="31"/>
          <w:u w:val="single"/>
        </w:rPr>
        <w:t xml:space="preserve">                    </w:t>
      </w:r>
    </w:p>
    <w:p>
      <w:pPr>
        <w:pStyle w:val="11"/>
        <w:spacing w:line="357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pStyle w:val="11"/>
        <w:spacing w:line="358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ind w:firstLine="2416" w:firstLineChars="800"/>
        <w:textAlignment w:val="baseline"/>
        <w:rPr>
          <w:rFonts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揭榜单位：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  <w:t xml:space="preserve"> （加盖单位公章）   </w:t>
      </w:r>
    </w:p>
    <w:p>
      <w:pPr>
        <w:pStyle w:val="11"/>
        <w:spacing w:line="357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pStyle w:val="11"/>
        <w:spacing w:line="357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ind w:firstLine="2416" w:firstLineChars="800"/>
        <w:textAlignment w:val="baseline"/>
        <w:rPr>
          <w:rFonts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推荐单位：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  <w:t xml:space="preserve"> （加盖单位公章）   </w:t>
      </w:r>
    </w:p>
    <w:p>
      <w:pPr>
        <w:pStyle w:val="11"/>
        <w:spacing w:line="356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pStyle w:val="11"/>
        <w:spacing w:line="357" w:lineRule="auto"/>
        <w:ind w:firstLine="420"/>
        <w:rPr>
          <w:rFonts w:ascii="方正黑体_GBK" w:hAnsi="方正黑体_GBK" w:eastAsia="方正黑体_GBK" w:cs="方正黑体_GBK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ind w:firstLine="2416" w:firstLineChars="800"/>
        <w:textAlignment w:val="baseline"/>
        <w:rPr>
          <w:rFonts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申报日期：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年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  <w:t xml:space="preserve">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月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  <w:u w:val="single"/>
        </w:rPr>
        <w:t xml:space="preserve">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ind w:firstLine="2416" w:firstLineChars="800"/>
        <w:textAlignment w:val="baseline"/>
        <w:rPr>
          <w:rFonts w:ascii="方正黑体_GBK" w:hAnsi="方正黑体_GBK" w:eastAsia="方正黑体_GBK" w:cs="方正黑体_GBK"/>
          <w:snapToGrid w:val="0"/>
          <w:color w:val="000000"/>
          <w:spacing w:val="-4"/>
          <w:kern w:val="0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1440" w:right="1803" w:bottom="1440" w:left="1803" w:header="0" w:footer="0" w:gutter="0"/>
          <w:cols w:space="720" w:num="1"/>
        </w:sectPr>
      </w:pPr>
    </w:p>
    <w:p>
      <w:pPr>
        <w:pStyle w:val="11"/>
        <w:spacing w:line="375" w:lineRule="auto"/>
        <w:ind w:firstLine="420"/>
        <w:rPr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填报须知</w:t>
      </w:r>
    </w:p>
    <w:p>
      <w:pPr>
        <w:pStyle w:val="11"/>
        <w:spacing w:line="309" w:lineRule="auto"/>
        <w:ind w:firstLine="420"/>
        <w:rPr>
          <w:lang w:eastAsia="zh-CN"/>
        </w:rPr>
      </w:pPr>
    </w:p>
    <w:p>
      <w:pPr>
        <w:pStyle w:val="11"/>
        <w:spacing w:line="310" w:lineRule="auto"/>
        <w:ind w:firstLine="420"/>
        <w:rPr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72"/>
        <w:textAlignment w:val="baseline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8"/>
          <w:kern w:val="0"/>
          <w:sz w:val="32"/>
          <w:szCs w:val="32"/>
        </w:rPr>
        <w:t>一、揭榜单位应仔细阅读算力强基揭榜单位申报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</w:rPr>
        <w:t>材料的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8"/>
          <w:kern w:val="0"/>
          <w:sz w:val="32"/>
          <w:szCs w:val="32"/>
        </w:rPr>
        <w:t>有关说明，如实、详细地填写每一部分内容。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60"/>
        <w:textAlignment w:val="baseline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5"/>
          <w:kern w:val="0"/>
          <w:sz w:val="32"/>
          <w:szCs w:val="32"/>
        </w:rPr>
        <w:t>二、除另有说明外，申报表中栏目不得空缺。申报表要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</w:rPr>
        <w:t>求提供证明材料处，请补充附件。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68"/>
        <w:textAlignment w:val="baseline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</w:rPr>
        <w:t>三、揭榜主体所申报的产品需拥有知识产权，对报送的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9"/>
          <w:kern w:val="0"/>
          <w:sz w:val="32"/>
          <w:szCs w:val="32"/>
        </w:rPr>
        <w:t>全部资料真实性负责，对能否按计划完成重点揭榜任务作出有效承诺，并签署企业承诺声明（见“揭榜任务承诺书”模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8"/>
          <w:kern w:val="0"/>
          <w:sz w:val="32"/>
          <w:szCs w:val="32"/>
        </w:rPr>
        <w:t>板）。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40"/>
        <w:textAlignment w:val="baseline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7" w:type="default"/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1" w:lineRule="auto"/>
        <w:ind w:firstLine="40"/>
        <w:textAlignment w:val="baseline"/>
        <w:rPr>
          <w:rFonts w:ascii="Arial" w:hAnsi="Arial" w:eastAsia="方正仿宋_GBK" w:cs="Arial"/>
          <w:snapToGrid w:val="0"/>
          <w:color w:val="000000"/>
          <w:kern w:val="0"/>
          <w:sz w:val="2"/>
          <w:szCs w:val="21"/>
        </w:rPr>
      </w:pPr>
    </w:p>
    <w:tbl>
      <w:tblPr>
        <w:tblStyle w:val="23"/>
        <w:tblW w:w="83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069"/>
        <w:gridCol w:w="1416"/>
        <w:gridCol w:w="708"/>
        <w:gridCol w:w="1206"/>
        <w:gridCol w:w="69"/>
        <w:gridCol w:w="18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310" w:type="dxa"/>
            <w:gridSpan w:val="7"/>
            <w:shd w:val="clear" w:color="auto" w:fill="BFBFBF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7"/>
                <w:sz w:val="32"/>
                <w:szCs w:val="32"/>
              </w:rPr>
              <w:t>一、单位基本情况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  <w:szCs w:val="32"/>
              </w:rPr>
              <w:t>单位名称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Merge w:val="restart"/>
            <w:tcBorders>
              <w:bottom w:val="nil"/>
            </w:tcBorders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揭榜负责人</w:t>
            </w:r>
          </w:p>
        </w:tc>
        <w:tc>
          <w:tcPr>
            <w:tcW w:w="106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7"/>
                <w:sz w:val="32"/>
                <w:szCs w:val="32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4"/>
                <w:sz w:val="32"/>
                <w:szCs w:val="32"/>
              </w:rPr>
              <w:t>职务职称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8"/>
                <w:sz w:val="32"/>
                <w:szCs w:val="32"/>
              </w:rPr>
              <w:t>邮箱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联系方式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Merge w:val="restart"/>
            <w:tcBorders>
              <w:bottom w:val="nil"/>
            </w:tcBorders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3"/>
                <w:sz w:val="32"/>
                <w:szCs w:val="32"/>
              </w:rPr>
              <w:t>申报联系人</w:t>
            </w:r>
          </w:p>
        </w:tc>
        <w:tc>
          <w:tcPr>
            <w:tcW w:w="106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7"/>
                <w:sz w:val="32"/>
                <w:szCs w:val="32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联系方式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8"/>
                <w:sz w:val="32"/>
                <w:szCs w:val="32"/>
              </w:rPr>
              <w:t>邮箱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 w:val="32"/>
                <w:szCs w:val="32"/>
              </w:rPr>
              <w:t>传真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  <w:szCs w:val="32"/>
              </w:rPr>
              <w:t>法定代表人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7"/>
                <w:sz w:val="32"/>
                <w:szCs w:val="32"/>
              </w:rPr>
              <w:t>注册资本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3"/>
                <w:sz w:val="32"/>
                <w:szCs w:val="32"/>
              </w:rPr>
              <w:t>（万元）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  <w:szCs w:val="32"/>
              </w:rPr>
              <w:t>单位地址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  <w:szCs w:val="32"/>
                <w:lang w:eastAsia="zh-CN"/>
              </w:rPr>
              <w:t>组</w:t>
            </w:r>
            <w:r>
              <w:rPr>
                <w:rFonts w:ascii="Times New Roman" w:hAnsi="Times New Roman" w:eastAsia="方正仿宋_GBK"/>
                <w:spacing w:val="-5"/>
                <w:sz w:val="32"/>
                <w:szCs w:val="32"/>
                <w:lang w:eastAsia="zh-CN"/>
              </w:rPr>
              <w:t>织机构代码</w:t>
            </w:r>
            <w:r>
              <w:rPr>
                <w:rFonts w:ascii="Times New Roman" w:hAnsi="Times New Roman" w:eastAsia="方正仿宋_GBK" w:cs="Times New Roman"/>
                <w:spacing w:val="-4"/>
                <w:sz w:val="32"/>
                <w:szCs w:val="32"/>
                <w:lang w:eastAsia="zh-CN"/>
              </w:rPr>
              <w:t>/</w:t>
            </w:r>
            <w:r>
              <w:rPr>
                <w:rFonts w:ascii="Times New Roman" w:hAnsi="Times New Roman" w:eastAsia="方正仿宋_GBK"/>
                <w:spacing w:val="-6"/>
                <w:sz w:val="32"/>
                <w:szCs w:val="32"/>
                <w:lang w:eastAsia="zh-CN"/>
              </w:rPr>
              <w:t>三证合一码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  <w:szCs w:val="32"/>
              </w:rPr>
              <w:t>单位性质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pStyle w:val="22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spacing w:val="-9"/>
                <w:sz w:val="32"/>
                <w:szCs w:val="32"/>
                <w:lang w:eastAsia="zh-CN"/>
              </w:rPr>
              <w:t>国有企业</w:t>
            </w: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spacing w:val="-9"/>
                <w:sz w:val="32"/>
                <w:szCs w:val="32"/>
                <w:lang w:eastAsia="zh-CN"/>
              </w:rPr>
              <w:t>民营企业</w:t>
            </w: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spacing w:val="-9"/>
                <w:sz w:val="32"/>
                <w:szCs w:val="32"/>
                <w:lang w:eastAsia="zh-CN"/>
              </w:rPr>
              <w:t>外资企业</w:t>
            </w: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spacing w:val="-9"/>
                <w:sz w:val="32"/>
                <w:szCs w:val="32"/>
                <w:lang w:eastAsia="zh-CN"/>
              </w:rPr>
              <w:t>事</w:t>
            </w:r>
            <w:r>
              <w:rPr>
                <w:rFonts w:ascii="Times New Roman" w:hAnsi="Times New Roman" w:eastAsia="方正仿宋_GBK"/>
                <w:spacing w:val="-10"/>
                <w:sz w:val="32"/>
                <w:szCs w:val="32"/>
                <w:lang w:eastAsia="zh-CN"/>
              </w:rPr>
              <w:t>业单位</w:t>
            </w:r>
          </w:p>
          <w:p>
            <w:pPr>
              <w:spacing w:line="578" w:lineRule="exact"/>
              <w:ind w:firstLine="0" w:firstLineChars="0"/>
              <w:jc w:val="left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eastAsia="方正仿宋_GBK" w:cs="Arial"/>
                <w:snapToGrid w:val="0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其他（请注明</w:t>
            </w:r>
            <w:r>
              <w:rPr>
                <w:rFonts w:eastAsia="方正仿宋_GBK" w:cs="Arial"/>
                <w:snapToGrid w:val="0"/>
                <w:color w:val="000000"/>
                <w:spacing w:val="-86"/>
                <w:w w:val="98"/>
                <w:kern w:val="0"/>
                <w:sz w:val="32"/>
                <w:szCs w:val="32"/>
                <w:lang w:eastAsia="en-US"/>
              </w:rPr>
              <w:t>）：</w:t>
            </w:r>
            <w:r>
              <w:rPr>
                <w:rFonts w:hint="eastAsia" w:eastAsia="方正仿宋_GBK" w:cs="Arial"/>
                <w:snapToGrid w:val="0"/>
                <w:color w:val="000000"/>
                <w:spacing w:val="-86"/>
                <w:kern w:val="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hint="eastAsia" w:eastAsia="方正仿宋_GBK" w:cs="仿宋"/>
                <w:snapToGrid w:val="0"/>
                <w:color w:val="000000"/>
                <w:spacing w:val="-4"/>
                <w:kern w:val="0"/>
                <w:sz w:val="32"/>
                <w:szCs w:val="32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4"/>
                <w:sz w:val="32"/>
                <w:szCs w:val="32"/>
              </w:rPr>
              <w:t>是否上市公司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pStyle w:val="22"/>
              <w:spacing w:line="240" w:lineRule="auto"/>
              <w:ind w:firstLine="604"/>
              <w:jc w:val="left"/>
              <w:rPr>
                <w:rFonts w:ascii="Times New Roman" w:hAnsi="Times New Roman" w:eastAsia="方正仿宋_GBK"/>
                <w:spacing w:val="-19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pacing w:val="-19"/>
                <w:sz w:val="32"/>
                <w:szCs w:val="32"/>
              </w:rPr>
              <w:t>否</w:t>
            </w:r>
          </w:p>
          <w:p>
            <w:pPr>
              <w:pStyle w:val="22"/>
              <w:spacing w:line="240" w:lineRule="auto"/>
              <w:ind w:firstLine="604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pacing w:val="-9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  <w:szCs w:val="32"/>
              </w:rPr>
              <w:t>单位人数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4"/>
                <w:sz w:val="32"/>
                <w:szCs w:val="32"/>
              </w:rPr>
              <w:t>研发人员人数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揭榜单位简介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pStyle w:val="22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包括成立时间、主营业务、主要产品、技术实力、发展历程等基本情况，以及所获专利、标准、知识产权、所获竞赛类奖励荣誉等情况（需提供证明材料附后）（本部分内容不超过500字）。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959" w:type="dxa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  <w:t>参与单位一</w:t>
            </w:r>
          </w:p>
        </w:tc>
        <w:tc>
          <w:tcPr>
            <w:tcW w:w="6351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pStyle w:val="11"/>
        <w:ind w:firstLine="420"/>
      </w:pPr>
    </w:p>
    <w:p>
      <w:pPr>
        <w:sectPr>
          <w:footerReference r:id="rId8" w:type="default"/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1" w:lineRule="auto"/>
        <w:ind w:firstLine="40"/>
        <w:textAlignment w:val="baseline"/>
        <w:rPr>
          <w:rFonts w:ascii="Arial" w:hAnsi="Arial" w:eastAsia="方正仿宋_GBK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23"/>
        <w:tblW w:w="8308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6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58" w:type="dxa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  <w:t>参与单位二</w:t>
            </w:r>
          </w:p>
        </w:tc>
        <w:tc>
          <w:tcPr>
            <w:tcW w:w="6350" w:type="dxa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58" w:type="dxa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  <w:t>......</w:t>
            </w:r>
          </w:p>
        </w:tc>
        <w:tc>
          <w:tcPr>
            <w:tcW w:w="6350" w:type="dxa"/>
          </w:tcPr>
          <w:p>
            <w:pPr>
              <w:pStyle w:val="22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08" w:type="dxa"/>
            <w:gridSpan w:val="2"/>
            <w:shd w:val="clear" w:color="auto" w:fill="BFBFBF"/>
            <w:vAlign w:val="center"/>
          </w:tcPr>
          <w:p>
            <w:pPr>
              <w:pStyle w:val="22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7"/>
                <w:sz w:val="32"/>
                <w:szCs w:val="32"/>
              </w:rPr>
              <w:t>二、揭榜任务信息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3" w:hRule="atLeast"/>
        </w:trPr>
        <w:tc>
          <w:tcPr>
            <w:tcW w:w="1958" w:type="dxa"/>
            <w:vAlign w:val="center"/>
          </w:tcPr>
          <w:p>
            <w:pPr>
              <w:pStyle w:val="22"/>
              <w:spacing w:line="228" w:lineRule="auto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揭榜任务方向</w:t>
            </w:r>
          </w:p>
        </w:tc>
        <w:tc>
          <w:tcPr>
            <w:tcW w:w="6350" w:type="dxa"/>
          </w:tcPr>
          <w:p>
            <w:pPr>
              <w:pStyle w:val="22"/>
              <w:ind w:firstLine="0" w:firstLineChars="0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10"/>
                <w:sz w:val="32"/>
                <w:szCs w:val="32"/>
                <w:lang w:eastAsia="zh-CN"/>
              </w:rPr>
              <w:t>计算</w:t>
            </w:r>
          </w:p>
          <w:p>
            <w:pPr>
              <w:spacing w:line="578" w:lineRule="exact"/>
              <w:ind w:firstLine="0" w:firstLineChars="0"/>
              <w:rPr>
                <w:rFonts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 w:cs="方正仿宋_GBK"/>
                <w:snapToGrid w:val="0"/>
                <w:color w:val="000000"/>
                <w:spacing w:val="-8"/>
                <w:kern w:val="0"/>
                <w:sz w:val="32"/>
                <w:szCs w:val="32"/>
              </w:rPr>
              <w:t>方向1：云边端算网协同管理系统</w:t>
            </w:r>
          </w:p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eastAsia="方正仿宋_GBK" w:cs="方正仿宋_GBK"/>
                <w:snapToGrid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 w:cs="方正仿宋_GBK"/>
                <w:snapToGrid w:val="0"/>
                <w:color w:val="000000"/>
                <w:spacing w:val="-8"/>
                <w:kern w:val="0"/>
                <w:sz w:val="32"/>
                <w:szCs w:val="32"/>
              </w:rPr>
              <w:t>方向2：支持超大规模参数模型的训推一体化 异构智算平台</w:t>
            </w:r>
          </w:p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方向3：异构算力跨域任务编排系统</w:t>
            </w:r>
          </w:p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方向4：训推算力一体机</w:t>
            </w:r>
          </w:p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方向5：大规模异构算力集群推理加速技术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12"/>
                <w:sz w:val="32"/>
                <w:szCs w:val="32"/>
                <w:lang w:eastAsia="zh-CN"/>
              </w:rPr>
              <w:t>存储</w:t>
            </w:r>
          </w:p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方向6：磁光电融合存储系统</w:t>
            </w:r>
          </w:p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snapToGrid w:val="0"/>
                <w:color w:val="000000"/>
                <w:spacing w:val="-9"/>
                <w:kern w:val="0"/>
                <w:sz w:val="32"/>
                <w:szCs w:val="32"/>
              </w:rPr>
              <w:t>方向7：存储调度管理及应用技术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27"/>
                <w:sz w:val="32"/>
                <w:szCs w:val="32"/>
                <w:lang w:eastAsia="zh-CN"/>
              </w:rPr>
              <w:t>网络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方向8：高性能数据处理器（DPU）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方向9：基于RoCE的智算网络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方向10：光交换智算网络技术研究与验证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方向11：面向分布式智算中心的网络关键技术研究与验证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10"/>
                <w:sz w:val="32"/>
                <w:szCs w:val="32"/>
                <w:lang w:eastAsia="zh-CN"/>
              </w:rPr>
              <w:t>应用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方向12：智算中心跨域互联应用</w:t>
            </w:r>
          </w:p>
          <w:p>
            <w:pPr>
              <w:pStyle w:val="22"/>
              <w:widowControl w:val="0"/>
              <w:kinsoku/>
              <w:autoSpaceDE/>
              <w:autoSpaceDN/>
              <w:ind w:firstLine="0" w:firstLineChars="0"/>
              <w:textAlignment w:val="auto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方向13：算力电力协同应用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6" w:hRule="atLeast"/>
        </w:trPr>
        <w:tc>
          <w:tcPr>
            <w:tcW w:w="195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firstLine="0" w:firstLineChars="0"/>
              <w:textAlignment w:val="baseline"/>
              <w:rPr>
                <w:rFonts w:eastAsia="方正仿宋_GBK" w:cs="Arial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50" w:type="dxa"/>
          </w:tcPr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方向14：大规模通信业务场景中的算力应用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8"/>
                <w:sz w:val="32"/>
                <w:szCs w:val="32"/>
                <w:lang w:eastAsia="zh-CN"/>
              </w:rPr>
              <w:t>绿色低碳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方向15：绿色算力技术研究及应用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方向16：企业绿色计算碳感知平台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方向17：冷板式液冷原生整机柜服务器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方向18：算力中心节能调优平台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方向19：新型制冷系统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8"/>
                <w:sz w:val="32"/>
                <w:szCs w:val="32"/>
                <w:lang w:eastAsia="zh-CN"/>
              </w:rPr>
              <w:t>安全可靠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方向20：算力中心智能运维机器人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方向21：云边端一体化智能监测平台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11"/>
                <w:sz w:val="32"/>
                <w:szCs w:val="32"/>
                <w:lang w:eastAsia="zh-CN"/>
              </w:rPr>
              <w:t>其他</w:t>
            </w:r>
          </w:p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8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方向22：算力领域的其他技术、产品、服务和平台等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1958" w:type="dxa"/>
            <w:vAlign w:val="center"/>
          </w:tcPr>
          <w:p>
            <w:pPr>
              <w:pStyle w:val="22"/>
              <w:spacing w:line="228" w:lineRule="auto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揭榜产品概述</w:t>
            </w:r>
          </w:p>
        </w:tc>
        <w:tc>
          <w:tcPr>
            <w:tcW w:w="6350" w:type="dxa"/>
          </w:tcPr>
          <w:p>
            <w:pPr>
              <w:pStyle w:val="22"/>
              <w:ind w:firstLine="0" w:firstLineChars="0"/>
              <w:rPr>
                <w:rFonts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9"/>
                <w:sz w:val="32"/>
                <w:szCs w:val="32"/>
                <w:lang w:eastAsia="zh-CN"/>
              </w:rPr>
              <w:t>包括揭榜产品/服务简介、投融资概况、相关研发和应用水平，2026年预期将达到的技术及产业化应用水平等情况（多个领域产品可分别描述）（不超过1000字）</w:t>
            </w:r>
          </w:p>
        </w:tc>
      </w:tr>
    </w:tbl>
    <w:p>
      <w:pPr>
        <w:pStyle w:val="11"/>
        <w:ind w:firstLine="420"/>
        <w:rPr>
          <w:lang w:eastAsia="zh-CN"/>
        </w:rPr>
      </w:pP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11"/>
        <w:spacing w:line="375" w:lineRule="auto"/>
        <w:ind w:firstLine="420"/>
        <w:rPr>
          <w:lang w:eastAsia="zh-CN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hAnsi="Calibri" w:eastAsia="方正小标宋_GBK"/>
          <w:color w:val="000000"/>
          <w:kern w:val="0"/>
          <w:sz w:val="44"/>
          <w:szCs w:val="40"/>
        </w:rPr>
      </w:pPr>
      <w:r>
        <w:rPr>
          <w:rFonts w:hint="eastAsia" w:ascii="方正小标宋_GBK" w:hAnsi="Calibri" w:eastAsia="方正小标宋_GBK"/>
          <w:color w:val="000000"/>
          <w:kern w:val="0"/>
          <w:sz w:val="44"/>
          <w:szCs w:val="40"/>
        </w:rPr>
        <w:t>揭榜任务申报书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40"/>
        <w:textAlignment w:val="baseline"/>
        <w:rPr>
          <w:rFonts w:eastAsia="方正仿宋_GBK" w:cs="Arial"/>
          <w:snapToGrid w:val="0"/>
          <w:color w:val="000000"/>
          <w:kern w:val="0"/>
          <w:sz w:val="32"/>
          <w:szCs w:val="21"/>
        </w:rPr>
      </w:pPr>
    </w:p>
    <w:p>
      <w:pPr>
        <w:spacing w:line="578" w:lineRule="exact"/>
        <w:ind w:firstLine="640" w:firstLineChars="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一、揭榜任务介绍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（一）揭榜任务名称及简介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（二）适用范围/预期用途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预期的适用范围、应用场景、目标人群等。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（三）任务价值及效益等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包括预期经济效益情况、社会效益以及其他方面等情况。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52"/>
        <w:textAlignment w:val="baseline"/>
        <w:rPr>
          <w:rFonts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eastAsia="黑体" w:cs="黑体"/>
          <w:snapToGrid w:val="0"/>
          <w:color w:val="000000"/>
          <w:spacing w:val="8"/>
          <w:kern w:val="0"/>
          <w:sz w:val="31"/>
          <w:szCs w:val="31"/>
        </w:rPr>
        <w:t>二、揭榜单位现有基础及相关进展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（一）现有基础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揭榜单位行业地位、科研资质（如高新技术企业、企业技术中心、重点实验室等）、技术基础、人才与团队实力、主要优势等。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揭榜单位创新能力，如获得论文、专利、软件著作权、标准、专著、比赛奖励等。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揭榜负责人资质及工作经验。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项目团队承担国家相关项目情况等。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（二）相关进展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揭榜单位现有技术水平（对比国际先进水平）、创新及应用情况、相关研发人员、资金投入情况等。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52"/>
        <w:textAlignment w:val="baseline"/>
        <w:rPr>
          <w:rFonts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eastAsia="黑体" w:cs="黑体"/>
          <w:snapToGrid w:val="0"/>
          <w:color w:val="000000"/>
          <w:spacing w:val="8"/>
          <w:kern w:val="0"/>
          <w:sz w:val="31"/>
          <w:szCs w:val="31"/>
        </w:rPr>
        <w:t>三、重点攻关目标及计划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（一）2026年预期目标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主要技术指标、功能指标及性能指标等数值、含义，测试场景及评价方式等。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（二）重点任务攻关计划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时间进度、阶段性任务、细化目标等。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（三）组织保障机制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攻关团队、组织方式、协调机制、产学研用情况（如参与单位工作基础、支撑能力等）、协同创新能力（如团队成员项目合作、联合实验室等）。</w:t>
      </w:r>
    </w:p>
    <w:p>
      <w:pPr>
        <w:spacing w:line="578" w:lineRule="exact"/>
        <w:ind w:firstLine="640" w:firstLineChars="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b/>
          <w:color w:val="000000"/>
          <w:sz w:val="32"/>
          <w:szCs w:val="32"/>
        </w:rPr>
        <w:t>（四）潜在问题及应对举措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8" w:lineRule="exact"/>
        <w:ind w:firstLine="644"/>
        <w:textAlignment w:val="baseline"/>
        <w:rPr>
          <w:rFonts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eastAsia="黑体" w:cs="黑体"/>
          <w:snapToGrid w:val="0"/>
          <w:color w:val="000000"/>
          <w:spacing w:val="6"/>
          <w:kern w:val="0"/>
          <w:sz w:val="31"/>
          <w:szCs w:val="31"/>
        </w:rPr>
        <w:t>四、其他相关事项说明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注：任务书篇幅不宜过长，原则上不超过5000字，重点讲述攻关目标及计划部分；如果申报多个领域，请按此模板分别填报任务书。</w:t>
      </w:r>
    </w:p>
    <w:p>
      <w:pPr>
        <w:spacing w:line="578" w:lineRule="exact"/>
        <w:ind w:firstLine="640"/>
        <w:rPr>
          <w:rFonts w:eastAsia="方正仿宋_GBK" w:cs="方正仿宋_GBK"/>
          <w:sz w:val="32"/>
          <w:szCs w:val="32"/>
        </w:rPr>
        <w:sectPr>
          <w:pgSz w:w="11906" w:h="16839"/>
          <w:pgMar w:top="1440" w:right="1803" w:bottom="1440" w:left="1803" w:header="0" w:footer="0" w:gutter="0"/>
          <w:cols w:space="720" w:num="1"/>
        </w:sectPr>
      </w:pPr>
    </w:p>
    <w:p>
      <w:pPr>
        <w:pStyle w:val="11"/>
        <w:spacing w:line="253" w:lineRule="auto"/>
        <w:ind w:firstLine="420"/>
        <w:rPr>
          <w:lang w:eastAsia="zh-CN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hAnsi="Calibri" w:eastAsia="方正小标宋_GBK"/>
          <w:color w:val="000000"/>
          <w:kern w:val="0"/>
          <w:sz w:val="44"/>
          <w:szCs w:val="40"/>
        </w:rPr>
      </w:pPr>
      <w:r>
        <w:rPr>
          <w:rFonts w:hint="eastAsia" w:ascii="方正小标宋_GBK" w:hAnsi="Calibri" w:eastAsia="方正小标宋_GBK"/>
          <w:color w:val="000000"/>
          <w:kern w:val="0"/>
          <w:sz w:val="44"/>
          <w:szCs w:val="40"/>
        </w:rPr>
        <w:t>揭榜单位相关证明材料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一、揭榜单位研发能力证明材料。（获得专利、标准、知识产权等相关证明材料，承担国家重点研发计划、“揭榜挂帅”等项目的相关证明材料）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二、揭榜单位相关荣誉证明材料。（高新技术企业、企业技术中心、重点实验室、比赛奖励等相关证明材料）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三、攻关产品/服务当前性能指标及应用推广效果证明材料。（如第三方测试材料等）</w:t>
      </w:r>
    </w:p>
    <w:p>
      <w:pPr>
        <w:spacing w:line="578" w:lineRule="exact"/>
        <w:ind w:firstLine="640"/>
        <w:rPr>
          <w:rFonts w:eastAsia="方正仿宋_GBK" w:cs="方正仿宋_GBK"/>
          <w:sz w:val="32"/>
          <w:szCs w:val="32"/>
        </w:rPr>
        <w:sectPr>
          <w:pgSz w:w="11906" w:h="16839"/>
          <w:pgMar w:top="1440" w:right="1803" w:bottom="1440" w:left="1803" w:header="0" w:footer="0" w:gutter="0"/>
          <w:cols w:space="720" w:num="1"/>
        </w:sectPr>
      </w:pPr>
    </w:p>
    <w:p>
      <w:pPr>
        <w:pStyle w:val="11"/>
        <w:spacing w:line="253" w:lineRule="auto"/>
        <w:ind w:firstLine="420"/>
        <w:rPr>
          <w:lang w:eastAsia="zh-CN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hAnsi="Calibri" w:eastAsia="方正小标宋_GBK"/>
          <w:color w:val="000000"/>
          <w:kern w:val="0"/>
          <w:sz w:val="44"/>
          <w:szCs w:val="40"/>
        </w:rPr>
      </w:pPr>
      <w:r>
        <w:rPr>
          <w:rFonts w:hint="eastAsia" w:ascii="方正小标宋_GBK" w:hAnsi="Calibri" w:eastAsia="方正小标宋_GBK"/>
          <w:color w:val="000000"/>
          <w:kern w:val="0"/>
          <w:sz w:val="44"/>
          <w:szCs w:val="40"/>
        </w:rPr>
        <w:t>揭榜任务承诺书</w:t>
      </w:r>
    </w:p>
    <w:p>
      <w:pPr>
        <w:pStyle w:val="11"/>
        <w:spacing w:line="309" w:lineRule="auto"/>
        <w:ind w:firstLine="420"/>
        <w:rPr>
          <w:lang w:eastAsia="zh-CN"/>
        </w:rPr>
      </w:pPr>
    </w:p>
    <w:p>
      <w:pPr>
        <w:pStyle w:val="11"/>
        <w:spacing w:line="309" w:lineRule="auto"/>
        <w:ind w:firstLine="420"/>
        <w:rPr>
          <w:lang w:eastAsia="zh-CN"/>
        </w:rPr>
      </w:pP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根据《工业和信息化部办公厅关于组织开展算力强基揭榜行动的通知》要求，我单位提交了XXX任务参评。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现就有关情况承诺如下：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1.我单位对所报送的全部资料真实性负责，保证所报送的产品和应用解决方案拥有知识产权，所报送产品和服务符合国家有关法律法规及相关产业政策要求。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2.我单位所报送的产品和服务符合国家保密规定，未涉及国家秘密、个人隐私和其他敏感信息。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3.相关材料中的文字和图片已经由我单位审核，确认无误。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我单位对违反上述承诺导致的后果承担全部法律责任。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我单位将根据揭榜工作方案要求，增强大局意识，切实承担主体责任，在揭榜任务实施期间认真组织、重点推进、加强保障，全力完成重点任务攻关，力求在2026年底取得实质进展，达到或超过预期目标。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联 系 人：</w:t>
      </w:r>
    </w:p>
    <w:p>
      <w:pPr>
        <w:spacing w:line="578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联系电话：</w:t>
      </w:r>
    </w:p>
    <w:p>
      <w:pPr>
        <w:widowControl/>
        <w:wordWrap w:val="0"/>
        <w:spacing w:line="578" w:lineRule="exact"/>
        <w:ind w:firstLine="4800" w:firstLineChars="1500"/>
        <w:rPr>
          <w:rFonts w:eastAsia="方正仿宋_GBK"/>
          <w:color w:val="070707"/>
          <w:kern w:val="0"/>
          <w:sz w:val="32"/>
          <w:szCs w:val="32"/>
        </w:rPr>
      </w:pPr>
      <w:r>
        <w:rPr>
          <w:rFonts w:hint="eastAsia" w:eastAsia="方正仿宋_GBK"/>
          <w:color w:val="070707"/>
          <w:kern w:val="0"/>
          <w:sz w:val="32"/>
          <w:szCs w:val="32"/>
        </w:rPr>
        <w:t>法定代表人：（签字）</w:t>
      </w:r>
    </w:p>
    <w:p>
      <w:pPr>
        <w:widowControl/>
        <w:spacing w:line="578" w:lineRule="exact"/>
        <w:ind w:firstLine="4800" w:firstLineChars="1500"/>
        <w:jc w:val="left"/>
        <w:rPr>
          <w:rFonts w:eastAsia="方正仿宋_GBK"/>
          <w:color w:val="070707"/>
          <w:kern w:val="0"/>
          <w:sz w:val="32"/>
          <w:szCs w:val="32"/>
        </w:rPr>
      </w:pPr>
      <w:r>
        <w:rPr>
          <w:rFonts w:hint="eastAsia" w:eastAsia="方正仿宋_GBK"/>
          <w:color w:val="070707"/>
          <w:kern w:val="0"/>
          <w:sz w:val="32"/>
          <w:szCs w:val="32"/>
        </w:rPr>
        <w:t>公司（企业盖章）</w:t>
      </w:r>
    </w:p>
    <w:p>
      <w:pPr>
        <w:widowControl/>
        <w:wordWrap w:val="0"/>
        <w:spacing w:line="578" w:lineRule="exact"/>
        <w:ind w:firstLine="4800" w:firstLineChars="1500"/>
        <w:rPr>
          <w:rFonts w:eastAsia="方正仿宋_GBK"/>
          <w:snapToGrid w:val="0"/>
          <w:color w:val="000000"/>
          <w:spacing w:val="5"/>
          <w:kern w:val="0"/>
          <w:sz w:val="31"/>
          <w:szCs w:val="31"/>
        </w:rPr>
      </w:pPr>
      <w:r>
        <w:rPr>
          <w:rFonts w:hint="eastAsia" w:eastAsia="方正仿宋_GBK"/>
          <w:color w:val="070707"/>
          <w:kern w:val="0"/>
          <w:sz w:val="32"/>
          <w:szCs w:val="32"/>
        </w:rPr>
        <w:t>2025年  月  日</w:t>
      </w: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1" w:lineRule="auto"/>
      <w:ind w:left="4246" w:firstLine="0" w:firstLineChars="0"/>
      <w:jc w:val="left"/>
      <w:textAlignment w:val="baseline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none"/>
      <w:lvlText w:val="%1."/>
      <w:lvlJc w:val="left"/>
      <w:pPr>
        <w:ind w:left="575" w:hanging="575"/>
      </w:pPr>
      <w:rPr>
        <w:rFonts w:hint="default" w:ascii="宋体" w:hAnsi="宋体" w:eastAsia="宋体" w:cs="宋体"/>
        <w:sz w:val="30"/>
      </w:rPr>
    </w:lvl>
    <w:lvl w:ilvl="2" w:tentative="0">
      <w:start w:val="1"/>
      <w:numFmt w:val="decimal"/>
      <w:lvlText w:val="%1.%3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C1"/>
    <w:rsid w:val="00720879"/>
    <w:rsid w:val="008322C1"/>
    <w:rsid w:val="00CC5B91"/>
    <w:rsid w:val="04B72E2B"/>
    <w:rsid w:val="19FF5BA7"/>
    <w:rsid w:val="37CB08CA"/>
    <w:rsid w:val="3E8F4849"/>
    <w:rsid w:val="55AA688C"/>
    <w:rsid w:val="644C5C6C"/>
    <w:rsid w:val="7D9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widowControl/>
      <w:numPr>
        <w:ilvl w:val="1"/>
        <w:numId w:val="1"/>
      </w:numPr>
      <w:adjustRightInd w:val="0"/>
      <w:snapToGrid w:val="0"/>
      <w:ind w:left="575" w:hanging="575" w:firstLineChars="0"/>
      <w:outlineLvl w:val="1"/>
    </w:pPr>
    <w:rPr>
      <w:rFonts w:cs="宋体"/>
      <w:b/>
      <w:bCs/>
      <w:kern w:val="0"/>
      <w:szCs w:val="32"/>
    </w:rPr>
  </w:style>
  <w:style w:type="paragraph" w:styleId="4">
    <w:name w:val="heading 3"/>
    <w:basedOn w:val="5"/>
    <w:next w:val="1"/>
    <w:link w:val="21"/>
    <w:qFormat/>
    <w:uiPriority w:val="0"/>
    <w:pPr>
      <w:numPr>
        <w:ilvl w:val="0"/>
        <w:numId w:val="2"/>
      </w:numPr>
      <w:adjustRightInd w:val="0"/>
      <w:snapToGrid w:val="0"/>
      <w:spacing w:before="0" w:after="0" w:line="720" w:lineRule="exact"/>
      <w:outlineLvl w:val="2"/>
    </w:pPr>
    <w:rPr>
      <w:rFonts w:ascii="方正楷体_GBK" w:hAnsi="方正楷体_GBK" w:eastAsia="宋体" w:cs="方正楷体_GBK"/>
      <w:color w:val="000000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3"/>
      </w:numPr>
      <w:spacing w:before="280" w:after="290" w:line="372" w:lineRule="auto"/>
      <w:ind w:left="864" w:hanging="864"/>
      <w:outlineLvl w:val="3"/>
    </w:pPr>
    <w:rPr>
      <w:rFonts w:ascii="Arial" w:hAnsi="Arial" w:eastAsia="黑体"/>
      <w:b/>
      <w:sz w:val="28"/>
      <w:szCs w:val="21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4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4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4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4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4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kinsoku w:val="0"/>
      <w:autoSpaceDE w:val="0"/>
      <w:autoSpaceDN w:val="0"/>
      <w:adjustRightInd w:val="0"/>
      <w:snapToGrid w:val="0"/>
      <w:spacing w:line="578" w:lineRule="exact"/>
      <w:ind w:firstLine="640" w:firstLineChars="200"/>
      <w:jc w:val="both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12">
    <w:name w:val="Balloon Text"/>
    <w:basedOn w:val="1"/>
    <w:link w:val="24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2 Char"/>
    <w:link w:val="3"/>
    <w:qFormat/>
    <w:uiPriority w:val="0"/>
    <w:rPr>
      <w:rFonts w:ascii="Times New Roman" w:hAnsi="Times New Roman" w:eastAsia="宋体" w:cs="Times New Roman"/>
      <w:bCs/>
      <w:kern w:val="2"/>
      <w:sz w:val="24"/>
      <w:szCs w:val="32"/>
    </w:rPr>
  </w:style>
  <w:style w:type="character" w:customStyle="1" w:styleId="21">
    <w:name w:val="标题 3 Char"/>
    <w:basedOn w:val="17"/>
    <w:link w:val="4"/>
    <w:qFormat/>
    <w:uiPriority w:val="0"/>
    <w:rPr>
      <w:rFonts w:ascii="方正楷体_GBK" w:hAnsi="方正楷体_GBK" w:eastAsia="宋体" w:cs="方正楷体_GBK"/>
      <w:color w:val="000000"/>
      <w:kern w:val="2"/>
      <w:sz w:val="28"/>
      <w:szCs w:val="28"/>
    </w:rPr>
  </w:style>
  <w:style w:type="paragraph" w:customStyle="1" w:styleId="22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578" w:lineRule="exact"/>
      <w:ind w:firstLine="640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sz w:val="31"/>
      <w:szCs w:val="31"/>
      <w:lang w:val="en-US" w:eastAsia="en-US" w:bidi="ar-SA"/>
    </w:rPr>
  </w:style>
  <w:style w:type="table" w:customStyle="1" w:styleId="2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7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10827</Words>
  <Characters>11273</Characters>
  <Lines>85</Lines>
  <Paragraphs>24</Paragraphs>
  <TotalTime>170</TotalTime>
  <ScaleCrop>false</ScaleCrop>
  <LinksUpToDate>false</LinksUpToDate>
  <CharactersWithSpaces>11561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2025-02-22T22:27:00Z</dcterms:created>
  <dc:creator>改个名字</dc:creator>
  <cp:lastModifiedBy>uos</cp:lastModifiedBy>
  <cp:lastPrinted>2025-03-03T11:46:00Z</cp:lastPrinted>
  <dcterms:modified xsi:type="dcterms:W3CDTF">2025-03-03T15:19:47Z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892B071DC9714136BDE79713A6EAD339_13</vt:lpwstr>
  </property>
  <property fmtid="{D5CDD505-2E9C-101B-9397-08002B2CF9AE}" pid="4" name="KSOTemplateDocerSaveRecord">
    <vt:lpwstr>eyJoZGlkIjoiZTRjMWExNjE2OWUzYTljMmEyOGYwNDAwZTA5ZTQwZjIiLCJ1c2VySWQiOiIyODM3NzkxODYifQ==</vt:lpwstr>
  </property>
</Properties>
</file>