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E1137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  <w:highlight w:val="none"/>
        </w:rPr>
      </w:pPr>
      <w:bookmarkStart w:id="0" w:name="_Hlk102806834"/>
      <w:bookmarkEnd w:id="0"/>
    </w:p>
    <w:p w14:paraId="4DFDCAF8">
      <w:pPr>
        <w:spacing w:line="560" w:lineRule="exact"/>
        <w:jc w:val="center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无锡市市场监督管理局2025年助推</w:t>
      </w:r>
    </w:p>
    <w:p w14:paraId="415EBD6A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新质生产力发展若干措施</w:t>
      </w:r>
    </w:p>
    <w:p w14:paraId="38337F02">
      <w:pPr>
        <w:spacing w:line="560" w:lineRule="exact"/>
        <w:rPr>
          <w:rFonts w:ascii="方正小标宋_GBK" w:eastAsia="方正小标宋_GBK"/>
          <w:sz w:val="44"/>
          <w:szCs w:val="44"/>
          <w:highlight w:val="none"/>
        </w:rPr>
      </w:pPr>
    </w:p>
    <w:p w14:paraId="48B675AB">
      <w:pPr>
        <w:spacing w:line="560" w:lineRule="exact"/>
        <w:ind w:firstLine="576"/>
        <w:jc w:val="both"/>
        <w:rPr>
          <w:rFonts w:hint="default" w:ascii="方正楷体_GBK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为全面贯彻落实党的二十大和二十届二中、三中全会精神，认真贯彻落实市委、市政府关于扎实推进高质量发展、培育发展新质生产力的有关部署，充分发挥市场监管职能优势，助力深化提升“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465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”现代产业集群和“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3010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”重点产业链，制定本工作措施。</w:t>
      </w:r>
    </w:p>
    <w:p w14:paraId="4C54263D">
      <w:pPr>
        <w:pStyle w:val="11"/>
        <w:spacing w:line="560" w:lineRule="exact"/>
        <w:ind w:left="0" w:firstLine="640" w:firstLineChars="200"/>
        <w:jc w:val="both"/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</w:rPr>
        <w:t>、聚力点上突破，助力建设特色产业园区</w:t>
      </w:r>
    </w:p>
    <w:p w14:paraId="2FADB63C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支持食品产业园区建设和发展。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支持重点食品产业项目扩产，壮大头部企业规模。在特殊食品产业领域构建“技术研发+概念验证+中试平台+投资基金+应用场景”创新生态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，助力更多研究成果通过概念验证中心走向市场。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持续推进美食工坊集中加工区建设发展。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新增食品生产企业不少于30家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新增10亿级食品生产企业1家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、新获批特殊医学用途配方食品注册证不少于3张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强化食品全链条质量安全监管，压紧压实食品安全属地管理和企业主体“两个责任”，以食品安全保障食品产业高质量发展。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（食品生产安全监督管理处牵头，行政审批处、特殊食品安全监督管理处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市食品安全检验检测中心配合）</w:t>
      </w:r>
    </w:p>
    <w:p w14:paraId="6ED272AC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加强省仪器仪表产业园培育和建设。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支持新吴区微纳传感仪器仪表产业园创新发展，推动仪器仪表质量提升和国产化替代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服务新增仪器仪表企业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家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。围绕未来科技发展，支持有条件的市（县）、区培育申报江苏省量子测量仪器仪表产业园，着力打造具有核心竞争力的仪器仪表品牌和特色产业集群。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（计量处牵头）</w:t>
      </w:r>
    </w:p>
    <w:p w14:paraId="0B514138">
      <w:pPr>
        <w:spacing w:line="560" w:lineRule="exact"/>
        <w:ind w:firstLine="640" w:firstLineChars="200"/>
        <w:jc w:val="both"/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推动国家级、省级知识产权服务业集聚区建设。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</w:rPr>
        <w:t>深入推进滨湖区建设国家知识产权服务业高质量集聚发展示范区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</w:rPr>
        <w:t>江阴高新区建设江苏省知识产权服务业集聚发展区，支持有条件的市（县）、区和开发区申报江苏省知识产权服务集聚发展区，高质量集聚创新资源，高水平服务创新创造。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（知识产权服务处牵头）</w:t>
      </w:r>
    </w:p>
    <w:p w14:paraId="2CD316D4">
      <w:pPr>
        <w:spacing w:line="560" w:lineRule="exact"/>
        <w:ind w:firstLine="640" w:firstLineChars="200"/>
        <w:jc w:val="both"/>
        <w:rPr>
          <w:rFonts w:hint="eastAsia" w:ascii="方正黑体_GBK" w:eastAsia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支持特色产业园区建设发展。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充分发挥市场监管质量、标准、检验检测、认证认可等“工具箱”作用，积极参与全市特色产业园区建设和绩效评估，“一园区一方案”支持指导特色产业园区发展。集成资源常态化走进特色产业园区，组织开展检企对接、平台推介和服务沙龙等活动</w:t>
      </w:r>
      <w:r>
        <w:rPr>
          <w:rFonts w:hint="default" w:ascii="方正仿宋_GBK" w:eastAsia="方正仿宋_GBK"/>
          <w:color w:val="auto"/>
          <w:sz w:val="32"/>
          <w:szCs w:val="32"/>
          <w:highlight w:val="none"/>
          <w:lang w:val="en-US" w:eastAsia="zh-CN"/>
        </w:rPr>
        <w:t>不少于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方正仿宋_GBK" w:eastAsia="方正仿宋_GBK"/>
          <w:color w:val="auto"/>
          <w:sz w:val="32"/>
          <w:szCs w:val="32"/>
          <w:highlight w:val="none"/>
          <w:lang w:val="en-US" w:eastAsia="zh-CN"/>
        </w:rPr>
        <w:t>场次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，新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增3个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质量基础设施“一站式”服务站。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（质量发展处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认可与检验检测监督管理处</w:t>
      </w:r>
      <w:r>
        <w:rPr>
          <w:rFonts w:hint="eastAsia" w:ascii="方正楷体_GBK" w:eastAsia="方正楷体_GBK" w:cs="Times New Roman"/>
          <w:color w:val="auto"/>
          <w:sz w:val="32"/>
          <w:szCs w:val="32"/>
          <w:highlight w:val="none"/>
          <w:lang w:val="en-US" w:eastAsia="zh-CN"/>
        </w:rPr>
        <w:t>牵头，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标准化管理处、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认证监督管理处、</w:t>
      </w:r>
      <w:r>
        <w:rPr>
          <w:rFonts w:ascii="Times New Roman" w:hAnsi="Times New Roman" w:eastAsia="方正楷体_GBK"/>
          <w:color w:val="auto"/>
          <w:sz w:val="32"/>
          <w:szCs w:val="32"/>
          <w:highlight w:val="none"/>
        </w:rPr>
        <w:t>产品质量安全监督管理处</w:t>
      </w:r>
      <w:r>
        <w:rPr>
          <w:rFonts w:hint="eastAsia" w:ascii="方正楷体_GBK" w:eastAsia="方正楷体_GBK" w:cs="Times New Roman"/>
          <w:color w:val="auto"/>
          <w:sz w:val="32"/>
          <w:szCs w:val="32"/>
          <w:highlight w:val="none"/>
          <w:lang w:val="en-US" w:eastAsia="zh-CN"/>
        </w:rPr>
        <w:t>配合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 w14:paraId="2D515489">
      <w:pPr>
        <w:pStyle w:val="11"/>
        <w:spacing w:line="560" w:lineRule="exact"/>
        <w:ind w:left="0" w:firstLine="640" w:firstLineChars="200"/>
        <w:jc w:val="both"/>
        <w:rPr>
          <w:rFonts w:ascii="方正黑体_GBK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</w:rPr>
        <w:t>聚力强链稳链，协同推动产业能级提升</w:t>
      </w:r>
    </w:p>
    <w:p w14:paraId="41AB1CBB">
      <w:pPr>
        <w:spacing w:line="560" w:lineRule="exact"/>
        <w:ind w:firstLine="640" w:firstLineChars="200"/>
        <w:jc w:val="both"/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大力推进质量强链项目。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深入推进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全国质量强链项目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飞机配套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建设。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制订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出台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飞机配套、集成电路、生物医药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医疗器械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省重点产业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链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质量强链实施方案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组建质量创新联合体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对120家以上企业开展共性质量问题调研，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梳理形成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政策清单、问题清单、攻关清单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，针对性实施一批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质量改进、质量攻关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揭榜挂帅项目，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</w:rPr>
        <w:t>“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一链一策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推动质量提升。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探索组建先进制造业集群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质量标准创新联盟，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开展产业（制造业）质量竞争力评价和分析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。全力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争取市场监管总局、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江苏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省市场监管局质量强链标志性项目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组织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开展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市级质量强链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试点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项目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（质量发展处牵头）</w:t>
      </w:r>
    </w:p>
    <w:p w14:paraId="56F9A2BE">
      <w:pPr>
        <w:spacing w:line="560" w:lineRule="exact"/>
        <w:ind w:firstLine="640" w:firstLineChars="200"/>
        <w:jc w:val="both"/>
        <w:rPr>
          <w:rFonts w:ascii="方正楷体_GBK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深入实施标准稳链工程。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依托专业标准化技术组织和龙头骨干企业，开展标准体系研究。发布集成电路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特钢材料标准提升行动计划，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鼓励支持链主企业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主导和参与制修订各级各类标准200项以上。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充分发挥国际电工委员会（IEC）国际标准促进中心（南京）无锡培训基地作用，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开展标准国际化交流合作，组织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企业国际标准制定能力与需求调研，建立国际标准培育库，力争在物联网、新材料、智慧水务、深海载人潜水器、金属制品等优势产业领域提出一批国际标准提案，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推动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主导和参与制修订国际标准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项以上。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在低空经济、“两机”（航空发动机和燃气轮机）等领域成立标准化技术联盟。建成国家级技术标准创新平台（水环境技术与装备）。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支持有条件的市（县）、区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和企事业单位申报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国家标准验证点</w:t>
      </w:r>
      <w:r>
        <w:rPr>
          <w:rFonts w:hint="eastAsia" w:ascii="方正楷体_GBK" w:eastAsia="方正楷体_GBK" w:cs="Times New Roman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全国特殊食品标准化技术委员会特医食品工作组</w:t>
      </w:r>
      <w:r>
        <w:rPr>
          <w:rFonts w:hint="eastAsia" w:ascii="方正楷体_GBK" w:eastAsia="方正楷体_GBK" w:cs="Times New Roman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江苏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省轻型电动车标准化技术委员会</w:t>
      </w:r>
      <w:r>
        <w:rPr>
          <w:rFonts w:hint="eastAsia" w:ascii="方正楷体_GBK" w:hAnsi="Times New Roman" w:eastAsia="方正楷体_GBK" w:cs="Times New Roman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标准化管理处牵头）</w:t>
      </w:r>
    </w:p>
    <w:p w14:paraId="7A0BD0E5">
      <w:pPr>
        <w:spacing w:line="560" w:lineRule="exact"/>
        <w:ind w:firstLine="640" w:firstLineChars="200"/>
        <w:jc w:val="both"/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推进重点产业知识产权强链增效。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</w:rPr>
        <w:t>推进高价值专利培育工程，面向物联网、集成电路、生物医药等重点产业领域，新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建3个高价值专利培育中心项目。充分发挥专利导航对产业创新发展的支撑作用，组织开展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个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</w:rPr>
        <w:t>专利导航项目，发布共享导航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成果，提升服务重点产业创新发展综合效能。面向人形机器人等未来产业，鼓励符合条件的组织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或者单位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建设产业知识产权联盟，促进产业协同创新。</w:t>
      </w:r>
      <w:r>
        <w:rPr>
          <w:rFonts w:ascii="Times New Roman" w:hAnsi="Times New Roman" w:eastAsia="方正仿宋_GBK" w:cs="Times New Roman"/>
          <w:sz w:val="32"/>
          <w:highlight w:val="none"/>
        </w:rPr>
        <w:t>面向人工智能（AI）等新产业</w:t>
      </w:r>
      <w:r>
        <w:rPr>
          <w:rFonts w:hint="eastAsia" w:ascii="Times New Roman" w:hAnsi="Times New Roman" w:eastAsia="方正仿宋_GBK" w:cs="Times New Roman"/>
          <w:sz w:val="32"/>
          <w:highlight w:val="none"/>
        </w:rPr>
        <w:t>新赛道</w:t>
      </w:r>
      <w:r>
        <w:rPr>
          <w:rFonts w:ascii="Times New Roman" w:hAnsi="Times New Roman" w:eastAsia="方正仿宋_GBK" w:cs="Times New Roman"/>
          <w:sz w:val="32"/>
          <w:highlight w:val="none"/>
        </w:rPr>
        <w:t>，编制专利布局与申请指引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支持有条件的市（县）、区申报建设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国家级知识产权快速维权中心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积极推动</w:t>
      </w:r>
      <w:bookmarkStart w:id="1" w:name="_GoBack"/>
      <w:bookmarkEnd w:id="1"/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长三角知识产权中心载体建设，引导建设半导体产业专利池。深化实施专利转化运用专项行动，促进知识产权成果转化和产业化。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</w:rPr>
        <w:t>推动标准与专利融合创新，鼓励“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3010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</w:rPr>
        <w:t>”重点产业链企业积极参与相关国际国内技术标准制定。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（知识产权促进处</w:t>
      </w:r>
      <w:r>
        <w:rPr>
          <w:rFonts w:hint="eastAsia" w:ascii="方正楷体_GBK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知识产权服务处、知识产权保护处、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标准化管理处</w:t>
      </w:r>
      <w:r>
        <w:rPr>
          <w:rFonts w:hint="eastAsia" w:ascii="方正楷体_GBK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市知识产权保护中心按职责分工负责）</w:t>
      </w:r>
    </w:p>
    <w:p w14:paraId="7B8669D9">
      <w:pPr>
        <w:spacing w:line="560" w:lineRule="exact"/>
        <w:ind w:left="576"/>
        <w:jc w:val="both"/>
        <w:rPr>
          <w:rFonts w:ascii="方正黑体_GBK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</w:rPr>
        <w:t>三、聚力梯次培育，着力壮大优质企业主体</w:t>
      </w:r>
    </w:p>
    <w:p w14:paraId="643D3132">
      <w:pPr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培育壮大质量领军企业。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聚焦专精特新企业、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高新技术企业、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新锐企业，建立完善多层次质量品牌培育梯队，服务20家以上企业导入卓越绩效管理模式，支持企业申报各类质量品牌项目，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</w:rPr>
        <w:t>年内新增“江苏精品”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不少于15个。指导2家企业导入应用《质量强国建设领军企业培育导则》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在航空航天、高端医疗器械等产业选树一批代表无锡质量的领军企业，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引领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产业链质量提升。支持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“465”现代产业集群链主企业申报第6届中国质量奖、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江苏省省长质量奖。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（质量发展处牵头）</w:t>
      </w:r>
    </w:p>
    <w:p w14:paraId="3B77FD9E">
      <w:pPr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培育壮大国家知识产权优势、示范企业。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以高新技术企业、专精特新企业等为重点，推进知识产权合规管理国家标准贯标工作。加强对专利产业化样板企业培育库入库企业的服务、指导，培育国家知识产权优势、示范企业。促进关键领域高质量知识产权供给，推动每万人口高价值发明专利拥有量达42件以上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（知识产权促进处、知识产权服务处按职责分工负责）</w:t>
      </w:r>
    </w:p>
    <w:p w14:paraId="754DEE4D">
      <w:pPr>
        <w:spacing w:line="560" w:lineRule="exact"/>
        <w:ind w:firstLine="640" w:firstLineChars="200"/>
        <w:jc w:val="both"/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促进大中小企业融通发展。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持续开展“计量服务中小企业行”“中小企业计量伙伴计划”，走访服务企业600家以上。支持江阴市、新吴区、锡山区开展纺织行业质量认证服务矩阵构建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可降解塑料制品认证项目等3个省级质量认证创新项目建设。在高端纺织、高端装备等重点产业开展“小微企业质量管理体系认证提升行动”。组织开展产品质量技术帮扶“你点我帮”活动，为全市100家企业提供“点单”服务，按“一品一策”“一企一策”提供合理化建议和改进措施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聚焦专精特新企业，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分产业链培训首席质量官800名以上，组织开展首席质量官职业技能竞赛，促进区域产品质量整体水平提升。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（计量处、认证监督管理处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楷体_GBK"/>
          <w:color w:val="auto"/>
          <w:sz w:val="32"/>
          <w:szCs w:val="32"/>
          <w:highlight w:val="none"/>
        </w:rPr>
        <w:t>产品质量安全监督管理处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、质量发展处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按职责分工负责）</w:t>
      </w:r>
    </w:p>
    <w:p w14:paraId="5AC5538A">
      <w:pPr>
        <w:spacing w:line="560" w:lineRule="exact"/>
        <w:ind w:firstLine="640" w:firstLineChars="200"/>
        <w:jc w:val="both"/>
        <w:rPr>
          <w:rFonts w:ascii="方正黑体_GBK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Times New Roman" w:eastAsia="方正黑体_GBK" w:cs="Times New Roman"/>
          <w:color w:val="auto"/>
          <w:sz w:val="32"/>
          <w:szCs w:val="32"/>
          <w:highlight w:val="none"/>
        </w:rPr>
        <w:t>四、</w:t>
      </w:r>
      <w:r>
        <w:rPr>
          <w:rFonts w:hint="eastAsia" w:ascii="方正黑体_GBK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聚力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</w:rPr>
        <w:t>需求牵引，巩固提升质量基础设施</w:t>
      </w:r>
    </w:p>
    <w:p w14:paraId="1B9F7064">
      <w:pPr>
        <w:spacing w:line="560" w:lineRule="exact"/>
        <w:ind w:firstLine="640" w:firstLineChars="200"/>
        <w:jc w:val="both"/>
        <w:rPr>
          <w:rFonts w:ascii="方正楷体_GBK" w:hAnsi="方正楷体_GBK" w:eastAsia="方正楷体_GBK" w:cs="方正楷体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加强质检中心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布局建设。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</w:rPr>
        <w:t>聚焦航空装备、先进材料、特殊食品等战略性新兴产业和未来产业加强检验检测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  <w:lang w:val="en-US" w:eastAsia="zh-CN"/>
        </w:rPr>
        <w:t>公共服务平台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</w:rPr>
        <w:t>布局建设，支持传统领域质检中心转型发展。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  <w:lang w:val="en-US" w:eastAsia="zh-CN"/>
        </w:rPr>
        <w:t>建成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</w:rPr>
        <w:t>国家智能汽车交通运行安全质量检验检测中心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</w:rPr>
        <w:t>江苏省先进通信系统与终端设备产品质量检验检测中心、江苏省特殊化妆品质量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  <w:lang w:val="en-US" w:eastAsia="zh-CN"/>
        </w:rPr>
        <w:t>检验检测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</w:rPr>
        <w:t>中心。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支持锡山区建设国家级检验检测认证公共服务平台示范区，为产业链上下游提供一体化服务。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充分发挥全市22个国家级和省级质检中心技术优势，定期开展产业链质量分析。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（认可与检验检测监督管理处牵头）</w:t>
      </w:r>
    </w:p>
    <w:p w14:paraId="4A1365A0">
      <w:pPr>
        <w:spacing w:line="560" w:lineRule="exact"/>
        <w:ind w:firstLine="640" w:firstLineChars="200"/>
        <w:jc w:val="both"/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健全产业计量测试体系。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加快推进国家新能源汽车零部件产业计量测试中心、江苏省人形机器人产业计量测试中心建设，打造具备前瞻性的“一站式”计量检测高端公共服务平台。成立新能源汽车零部件产业计量测试联盟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在人工智能、集成电路、双碳环保、生物医药等新兴领域制定一批计量技术规范，新建社会公用计量标准15项。积极主导制定人工智能领域江苏省自驱动式管道CCTV检测机器人校准规范。积极推动新能源汽车、智能充电桩等关键计量测试技术研究和应用。开展一级标准物质（标准光伏电池片）和国家计量副基准（巴氏硬度计）研究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（计量处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牵头，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市检验检测认证研究院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配合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）</w:t>
      </w:r>
    </w:p>
    <w:p w14:paraId="7582D5F2">
      <w:pPr>
        <w:spacing w:line="560" w:lineRule="exact"/>
        <w:ind w:firstLine="640" w:firstLineChars="200"/>
        <w:jc w:val="both"/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助力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关键核心技术攻关。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深入实施全市市场监管系统科技创新三年行动计划，</w:t>
      </w:r>
      <w:r>
        <w:rPr>
          <w:rFonts w:ascii="Times New Roman" w:eastAsia="方正仿宋_GBK" w:cs="Times New Roman"/>
          <w:color w:val="auto"/>
          <w:sz w:val="32"/>
          <w:szCs w:val="32"/>
          <w:highlight w:val="none"/>
        </w:rPr>
        <w:t>进一步深化检验检测方法及装备研究应用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新承担市场监管总局科技项目、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江苏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省市场监管局重大科技项目不少于2项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加快推进江苏省市场监管重点实验室（电化学储能）建设。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  <w:lang w:val="en-US" w:eastAsia="zh-CN"/>
        </w:rPr>
        <w:t>支持有条件的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企事业单位申报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eastAsia="zh-CN"/>
        </w:rPr>
        <w:t>市场监管总局首台（套）重大技术装备检测评审机构。</w:t>
      </w:r>
      <w:r>
        <w:rPr>
          <w:rFonts w:ascii="Times New Roman" w:eastAsia="方正仿宋_GBK" w:cs="Times New Roman"/>
          <w:color w:val="auto"/>
          <w:sz w:val="32"/>
          <w:szCs w:val="32"/>
          <w:highlight w:val="none"/>
        </w:rPr>
        <w:t>搭建皮肤外用制剂检测等技术平台，支持技术机构与高校、科研机构、企业联合开展技术攻关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</w:rPr>
        <w:t>（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科技与信息化处牵头，市检验检测认证研究院</w:t>
      </w:r>
      <w:r>
        <w:rPr>
          <w:rFonts w:hint="eastAsia" w:ascii="方正楷体_GBK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市食品安全检验检测中心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市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  <w:lang w:val="en-US" w:eastAsia="zh-CN"/>
        </w:rPr>
        <w:t>药品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安全检验检测中心</w:t>
      </w:r>
      <w:r>
        <w:rPr>
          <w:rFonts w:hint="eastAsia" w:ascii="方正楷体_GBK" w:eastAsia="方正楷体_GBK" w:cs="Times New Roman"/>
          <w:color w:val="auto"/>
          <w:sz w:val="32"/>
          <w:szCs w:val="32"/>
          <w:highlight w:val="none"/>
          <w:lang w:val="en-US" w:eastAsia="zh-CN"/>
        </w:rPr>
        <w:t>配合</w:t>
      </w:r>
      <w:r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</w:rPr>
        <w:t>）</w:t>
      </w:r>
    </w:p>
    <w:p w14:paraId="29D33B34">
      <w:pPr>
        <w:pStyle w:val="11"/>
        <w:spacing w:line="560" w:lineRule="exact"/>
        <w:jc w:val="both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</w:rPr>
        <w:t>、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lang w:val="en-US" w:eastAsia="zh-CN"/>
        </w:rPr>
        <w:t>聚力融合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</w:rPr>
        <w:t>发展，加力拓展开放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lang w:val="en-US" w:eastAsia="zh-CN"/>
        </w:rPr>
        <w:t>合作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</w:rPr>
        <w:t>深度</w:t>
      </w:r>
    </w:p>
    <w:p w14:paraId="5BEB7A8F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优化涉外检验检测认证认可服务供给。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充分发挥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合格评定服务贸易便利化信息平台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作用，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持续优化“锡企服务平台”质量认证涉外服务，提高CCC免办审批效率，助力企业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突破技术性贸易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壁垒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TBT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，促进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内外贸一体发展。支持电动两轮车出口东盟地区合格评定制度输出项目建设，引导质量认证机构积极参与质量认证“小而美”国际互认合作。深入开展“检验检测促进产业优化升级行动”，支持检验检测机构拓展与国际知名认证机构的采信互认，在光伏、储能等领域为企业“走出去”提供“一测多证”服务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（认证监督管理处、认可与检验检测监督管理处按职能分工负责）</w:t>
      </w:r>
    </w:p>
    <w:p w14:paraId="49C2FD98">
      <w:pPr>
        <w:spacing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15.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highlight w:val="none"/>
        </w:rPr>
        <w:t>强化海外知识产权保护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与服务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依托国家级海外知识产权纠纷应对指导中心无锡分中心，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开展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重点出口产业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产品海外知识产权预警分析与商标监测，加强企业海外知识产权纠纷应对指导和援助，为外向型企业提供高质量的海外知识产权分析预警不少于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份，对20件以上易被侵权商标分别提供30个以上国家（地区）的海外监测预警服务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助力企业开展知识产权海外布局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高标准完成世界知识产权组织技术与创新支持中心（TISC）筹建机构建设任务。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（知识产权保护处、市知识产权保护中心按职能分工负责）</w:t>
      </w:r>
    </w:p>
    <w:p w14:paraId="40A6E59E">
      <w:pPr>
        <w:pStyle w:val="11"/>
        <w:spacing w:line="560" w:lineRule="exact"/>
        <w:jc w:val="both"/>
        <w:rPr>
          <w:rFonts w:hint="default" w:ascii="方正黑体_GBK" w:eastAsia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lang w:val="en-US" w:eastAsia="zh-CN"/>
        </w:rPr>
        <w:t>六、聚力绿色发展，积极助推美丽城市建设</w:t>
      </w:r>
    </w:p>
    <w:p w14:paraId="5C86C63F">
      <w:pPr>
        <w:spacing w:line="560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大力推动碳足迹碳标识认证。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持续推动输配电、电动两轮车等省级碳标识认证试点项目提质扩面，将碳标识认证范围拓展至纺织、塑料制品、储能产品等8个江苏省重点行业产品类别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。探索搭建欧盟碳关税（CBAM）国际贸易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一站式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公共服务平台（无锡），助力企业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应对绿色贸易壁垒。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充分发挥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国家产品碳足迹标识认证试点参与机构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作用，推动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更多认证机构提升能力，为绿色发展提供质量认证技术支撑。（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认证监督管理处牵头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，市检验检测认证研究院配合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</w:p>
    <w:p w14:paraId="01D7F82E">
      <w:pPr>
        <w:spacing w:line="560" w:lineRule="exact"/>
        <w:ind w:firstLine="640" w:firstLineChars="200"/>
        <w:jc w:val="both"/>
        <w:rPr>
          <w:rFonts w:hint="eastAsia" w:ascii="方正仿宋_GBK" w:hAnsi="方正楷体_GBK" w:eastAsia="方正仿宋_GBK" w:cs="方正楷体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推动特种设备绿色低碳转型。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探索建立特种设备制造企业数据库，积极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培育领航企业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，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带动产业链上下游发展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。指导企业推广应用先进焊接和无损检测技术，提高制造精度和生产效率。积极申报建设市场监管总局锅炉绿色低碳高质量示范工程。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开展加氢站和输送氢气压力管道风险分析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，提升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涉氢特种设备安全管理水平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。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针对采用新材料、新技术、新工艺的特种设备，试点开展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“沙盒监管”新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模式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，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护航特种设备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产业</w:t>
      </w:r>
      <w:r>
        <w:rPr>
          <w:rFonts w:ascii="方正仿宋_GBK" w:eastAsia="方正仿宋_GBK"/>
          <w:color w:val="auto"/>
          <w:sz w:val="32"/>
          <w:szCs w:val="32"/>
          <w:highlight w:val="none"/>
        </w:rPr>
        <w:t>高质量发展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。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（特种设备安全监察处牵头）</w:t>
      </w:r>
    </w:p>
    <w:p w14:paraId="42515452">
      <w:pPr>
        <w:pStyle w:val="11"/>
        <w:spacing w:line="560" w:lineRule="exact"/>
        <w:jc w:val="both"/>
        <w:rPr>
          <w:rFonts w:ascii="方正黑体_GBK" w:eastAsia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</w:rPr>
        <w:t>、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lang w:val="en-US" w:eastAsia="zh-CN"/>
        </w:rPr>
        <w:t>聚力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</w:rPr>
        <w:t>系统集成，持续优化产业发展生态</w:t>
      </w:r>
    </w:p>
    <w:p w14:paraId="4B8601A5">
      <w:pPr>
        <w:spacing w:line="560" w:lineRule="exact"/>
        <w:ind w:firstLine="640" w:firstLineChars="200"/>
        <w:jc w:val="both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18.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促进数实融合赋能发展。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深化推广省级质量管理数字化升级试点（汽车零部件产业链）建设经验，引导企业加快建立数字化、网络化、智能化质量管控模式，引导和支持企业开展质量管理数字化赋能不少于3家。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引导企业开展数据知识产权的挖掘与登记，探索数据知识产权制度在人工智能领域、数字化产业转型的应用。深入开展“人工智能+”行动，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建立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应用模型，进一步深化食品、药品、特种设备、工业产品监管和消费者保护等场景风险评估预警，提升智能化计量、智能化检测和智能化服务水平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（质量发展处、知识产权保护处、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科技与信息化处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市知识产权保护中心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按职责分工负责）</w:t>
      </w:r>
    </w:p>
    <w:p w14:paraId="59460CC1">
      <w:pPr>
        <w:spacing w:line="560" w:lineRule="exact"/>
        <w:ind w:firstLine="640" w:firstLineChars="200"/>
        <w:jc w:val="both"/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19.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优化知识产权和质量金融服务供给。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出台知识产权质物处置工作方案，升级拓展质押融资、证券、基金、保险等知识产权金融供给，鼓励银行、保险等金融机构开展数据知识产权金融创新，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扎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实开展知识产权金融服务助力现代化产业体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系建设“知惠行”专项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行动。推动设立运行规模为10亿元的知识产权科创基金。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分产业集群推广“苏质贷”“苏质融”质量金融产品，组织开展“质投相融”活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动不少于3场。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highlight w:val="none"/>
        </w:rPr>
        <w:t>（知识产权服务处、质量发展处按职责分工负责）</w:t>
      </w:r>
    </w:p>
    <w:p w14:paraId="0147D088">
      <w:pPr>
        <w:spacing w:line="560" w:lineRule="exact"/>
        <w:ind w:firstLine="640" w:firstLineChars="200"/>
        <w:jc w:val="both"/>
        <w:rPr>
          <w:rFonts w:hint="eastAsia" w:ascii="方正楷体_GBK" w:eastAsia="方正楷体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20.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</w:rPr>
        <w:t>加强检验检测机构服务创新场景应用。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建立检验检测场景能力清单与需求对接机制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支持检验检测机构联合科研院所、骨干企业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在先进通信、集成电路等领域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组建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检验检测联盟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依托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“锡企服务平台”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持续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推动高端储能、特殊食品、新能源汽车零部件、低空经济等检验检测机构服务创新场景能力开放推广，链接更多优质资源，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val="en-US" w:eastAsia="zh-CN"/>
        </w:rPr>
        <w:t>为各类新技术、新方法提供应用验证机会，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促进场景贯通技术研发、中试熟化、项目落地。</w:t>
      </w:r>
      <w:r>
        <w:rPr>
          <w:rFonts w:hint="eastAsia" w:ascii="方正楷体_GBK" w:eastAsia="方正楷体_GBK"/>
          <w:color w:val="auto"/>
          <w:sz w:val="32"/>
          <w:szCs w:val="32"/>
          <w:highlight w:val="none"/>
        </w:rPr>
        <w:t>（认可与检验检测监督管理处牵头）</w:t>
      </w:r>
    </w:p>
    <w:p w14:paraId="5F2D258E">
      <w:pPr>
        <w:spacing w:line="560" w:lineRule="exact"/>
        <w:ind w:right="798"/>
        <w:jc w:val="both"/>
        <w:rPr>
          <w:rFonts w:ascii="Times New Roman" w:eastAsia="方正仿宋_GBK" w:cs="Times New Roman"/>
          <w:sz w:val="32"/>
          <w:szCs w:val="32"/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59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DA043">
    <w:pPr>
      <w:tabs>
        <w:tab w:val="center" w:pos="4153"/>
        <w:tab w:val="right" w:pos="8306"/>
      </w:tabs>
      <w:snapToGrid w:val="0"/>
      <w:ind w:right="210" w:rightChars="100"/>
      <w:jc w:val="right"/>
      <w:rPr>
        <w:rFonts w:cs="Times New Roman"/>
        <w:sz w:val="18"/>
      </w:rPr>
    </w:pPr>
    <w:sdt>
      <w:sdtPr>
        <w:rPr>
          <w:rFonts w:cs="Times New Roman"/>
          <w:sz w:val="18"/>
          <w:szCs w:val="18"/>
        </w:rPr>
        <w:id w:val="-582631057"/>
        <w:docPartObj>
          <w:docPartGallery w:val="autotext"/>
        </w:docPartObj>
      </w:sdtPr>
      <w:sdtEndPr>
        <w:rPr>
          <w:rFonts w:cs="Times New Roman"/>
          <w:sz w:val="18"/>
          <w:szCs w:val="18"/>
        </w:rPr>
      </w:sdtEndPr>
      <w:sdtContent>
        <w:r>
          <w:rPr>
            <w:rFonts w:hint="eastAsia" w:ascii="宋体" w:eastAsia="宋体" w:cs="Times New Roman"/>
            <w:color w:val="000000"/>
            <w:kern w:val="0"/>
            <w:sz w:val="28"/>
            <w:szCs w:val="28"/>
          </w:rPr>
          <w:t xml:space="preserve">— </w:t>
        </w:r>
        <w:r>
          <w:rPr>
            <w:rFonts w:hint="eastAsia" w:ascii="宋体" w:eastAsia="宋体" w:cs="Times New Roman"/>
            <w:color w:val="000000"/>
            <w:kern w:val="0"/>
            <w:sz w:val="28"/>
            <w:szCs w:val="18"/>
          </w:rPr>
          <w:fldChar w:fldCharType="begin"/>
        </w:r>
        <w:r>
          <w:rPr>
            <w:rFonts w:hint="eastAsia" w:ascii="宋体" w:eastAsia="宋体" w:cs="Times New Roman"/>
            <w:color w:val="000000"/>
            <w:kern w:val="0"/>
            <w:sz w:val="28"/>
            <w:szCs w:val="18"/>
          </w:rPr>
          <w:instrText xml:space="preserve"> PAGE </w:instrText>
        </w:r>
        <w:r>
          <w:rPr>
            <w:rFonts w:hint="eastAsia" w:ascii="宋体" w:eastAsia="宋体" w:cs="Times New Roman"/>
            <w:color w:val="000000"/>
            <w:kern w:val="0"/>
            <w:sz w:val="28"/>
            <w:szCs w:val="28"/>
          </w:rPr>
          <w:fldChar w:fldCharType="separate"/>
        </w:r>
        <w:r>
          <w:rPr>
            <w:rFonts w:ascii="宋体" w:eastAsia="宋体" w:cs="Times New Roman"/>
            <w:color w:val="000000"/>
            <w:kern w:val="0"/>
            <w:sz w:val="28"/>
            <w:szCs w:val="18"/>
          </w:rPr>
          <w:t>3</w:t>
        </w:r>
        <w:r>
          <w:rPr>
            <w:rFonts w:hint="eastAsia" w:ascii="宋体" w:eastAsia="宋体" w:cs="Times New Roman"/>
            <w:color w:val="000000"/>
            <w:kern w:val="0"/>
            <w:sz w:val="28"/>
            <w:szCs w:val="28"/>
          </w:rPr>
          <w:fldChar w:fldCharType="end"/>
        </w:r>
        <w:r>
          <w:rPr>
            <w:rFonts w:hint="eastAsia" w:ascii="宋体" w:eastAsia="宋体" w:cs="Times New Roman"/>
            <w:color w:val="000000"/>
            <w:kern w:val="0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43394">
    <w:pPr>
      <w:tabs>
        <w:tab w:val="center" w:pos="4153"/>
        <w:tab w:val="right" w:pos="8306"/>
      </w:tabs>
      <w:snapToGrid w:val="0"/>
      <w:ind w:left="210" w:leftChars="100"/>
      <w:jc w:val="left"/>
      <w:rPr>
        <w:rFonts w:cs="Times New Roman"/>
        <w:sz w:val="18"/>
        <w:szCs w:val="18"/>
      </w:rPr>
    </w:pPr>
    <w:r>
      <w:rPr>
        <w:rFonts w:hint="eastAsia" w:ascii="宋体" w:eastAsia="宋体" w:cs="Times New Roman"/>
        <w:color w:val="000000"/>
        <w:kern w:val="0"/>
        <w:sz w:val="28"/>
        <w:szCs w:val="28"/>
      </w:rPr>
      <w:t xml:space="preserve">— </w:t>
    </w:r>
    <w:r>
      <w:rPr>
        <w:rFonts w:hint="eastAsia" w:ascii="宋体" w:eastAsia="宋体" w:cs="Times New Roman"/>
        <w:color w:val="000000"/>
        <w:kern w:val="0"/>
        <w:sz w:val="28"/>
        <w:szCs w:val="18"/>
      </w:rPr>
      <w:fldChar w:fldCharType="begin"/>
    </w:r>
    <w:r>
      <w:rPr>
        <w:rFonts w:hint="eastAsia" w:ascii="宋体" w:eastAsia="宋体" w:cs="Times New Roman"/>
        <w:color w:val="000000"/>
        <w:kern w:val="0"/>
        <w:sz w:val="28"/>
        <w:szCs w:val="18"/>
      </w:rPr>
      <w:instrText xml:space="preserve"> PAGE </w:instrText>
    </w:r>
    <w:r>
      <w:rPr>
        <w:rFonts w:hint="eastAsia" w:ascii="宋体" w:eastAsia="宋体" w:cs="Times New Roman"/>
        <w:color w:val="000000"/>
        <w:kern w:val="0"/>
        <w:sz w:val="28"/>
        <w:szCs w:val="28"/>
      </w:rPr>
      <w:fldChar w:fldCharType="separate"/>
    </w:r>
    <w:r>
      <w:rPr>
        <w:rFonts w:ascii="宋体" w:eastAsia="宋体" w:cs="Times New Roman"/>
        <w:color w:val="000000"/>
        <w:kern w:val="0"/>
        <w:sz w:val="28"/>
        <w:szCs w:val="18"/>
      </w:rPr>
      <w:t>4</w:t>
    </w:r>
    <w:r>
      <w:rPr>
        <w:rFonts w:hint="eastAsia" w:ascii="宋体" w:eastAsia="宋体" w:cs="Times New Roman"/>
        <w:color w:val="000000"/>
        <w:kern w:val="0"/>
        <w:sz w:val="28"/>
        <w:szCs w:val="28"/>
      </w:rPr>
      <w:fldChar w:fldCharType="end"/>
    </w:r>
    <w:r>
      <w:rPr>
        <w:rFonts w:hint="eastAsia" w:ascii="宋体" w:eastAsia="宋体" w:cs="Times New Roman"/>
        <w:color w:val="000000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4DF94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A4097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68"/>
    <w:rsid w:val="00032D7D"/>
    <w:rsid w:val="001F6294"/>
    <w:rsid w:val="00247D5C"/>
    <w:rsid w:val="003D62F4"/>
    <w:rsid w:val="004613C3"/>
    <w:rsid w:val="005C4E41"/>
    <w:rsid w:val="005D42AD"/>
    <w:rsid w:val="00687157"/>
    <w:rsid w:val="006D6CB7"/>
    <w:rsid w:val="006E16FC"/>
    <w:rsid w:val="00894931"/>
    <w:rsid w:val="00984DF9"/>
    <w:rsid w:val="009D2A59"/>
    <w:rsid w:val="00A37118"/>
    <w:rsid w:val="00AC2144"/>
    <w:rsid w:val="00AC5C5E"/>
    <w:rsid w:val="00AF7268"/>
    <w:rsid w:val="00B25424"/>
    <w:rsid w:val="00B63734"/>
    <w:rsid w:val="00CC3C7A"/>
    <w:rsid w:val="00E553E0"/>
    <w:rsid w:val="00F81EB5"/>
    <w:rsid w:val="00FE75F2"/>
    <w:rsid w:val="0D64656B"/>
    <w:rsid w:val="1013796A"/>
    <w:rsid w:val="13CA7D8C"/>
    <w:rsid w:val="15872FCF"/>
    <w:rsid w:val="19C97B76"/>
    <w:rsid w:val="1ADD6614"/>
    <w:rsid w:val="1B0A193F"/>
    <w:rsid w:val="1B4A71A2"/>
    <w:rsid w:val="1D1941E0"/>
    <w:rsid w:val="1D195453"/>
    <w:rsid w:val="20D46DA3"/>
    <w:rsid w:val="2918027D"/>
    <w:rsid w:val="2B760E86"/>
    <w:rsid w:val="30BA7AE6"/>
    <w:rsid w:val="332905D8"/>
    <w:rsid w:val="33B026C0"/>
    <w:rsid w:val="36DB5CA6"/>
    <w:rsid w:val="3E872588"/>
    <w:rsid w:val="3FEE07F8"/>
    <w:rsid w:val="417D3142"/>
    <w:rsid w:val="458A3AAF"/>
    <w:rsid w:val="4608280A"/>
    <w:rsid w:val="46103044"/>
    <w:rsid w:val="4618069A"/>
    <w:rsid w:val="4E073513"/>
    <w:rsid w:val="5906675A"/>
    <w:rsid w:val="5964463E"/>
    <w:rsid w:val="5E7E63F9"/>
    <w:rsid w:val="5F90774D"/>
    <w:rsid w:val="64783BF7"/>
    <w:rsid w:val="65F30067"/>
    <w:rsid w:val="67B536C5"/>
    <w:rsid w:val="695E1B9A"/>
    <w:rsid w:val="69F47ED8"/>
    <w:rsid w:val="6A4C5F75"/>
    <w:rsid w:val="6EF47115"/>
    <w:rsid w:val="7D0E6D53"/>
    <w:rsid w:val="7F411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4591</Words>
  <Characters>4675</Characters>
  <Lines>13</Lines>
  <Paragraphs>3</Paragraphs>
  <TotalTime>63</TotalTime>
  <ScaleCrop>false</ScaleCrop>
  <LinksUpToDate>false</LinksUpToDate>
  <CharactersWithSpaces>4675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2024-02-18T08:33:00Z</dcterms:created>
  <dc:creator>Admin</dc:creator>
  <cp:lastModifiedBy>墨轩</cp:lastModifiedBy>
  <cp:lastPrinted>2025-02-25T03:00:00Z</cp:lastPrinted>
  <dcterms:modified xsi:type="dcterms:W3CDTF">2025-03-05T08:07:43Z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eyJoZGlkIjoiNGY4MjJiZTE0ZDU3ZjZjZTM2YmQzODBhZjFlNDdjYzUiLCJ1c2VySWQiOiIzNDc3NDE3NjUifQ==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8BCDFB81C8B64DCBA13638AD6D4E3D5C_12</vt:lpwstr>
  </property>
</Properties>
</file>