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12AA4">
      <w:pPr>
        <w:widowControl/>
        <w:spacing w:line="480" w:lineRule="exact"/>
        <w:ind w:firstLine="0" w:firstLineChars="0"/>
        <w:jc w:val="left"/>
        <w:rPr>
          <w:rFonts w:ascii="黑体" w:eastAsia="黑体" w:cs="宋体"/>
          <w:kern w:val="0"/>
          <w:sz w:val="30"/>
          <w:szCs w:val="30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附件3 </w:t>
      </w:r>
    </w:p>
    <w:p w14:paraId="7B5E0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南京市科普教育示范基地自评表</w:t>
      </w:r>
    </w:p>
    <w:p w14:paraId="5FD193D6">
      <w:pPr>
        <w:widowControl/>
        <w:spacing w:line="480" w:lineRule="exact"/>
        <w:ind w:firstLine="0" w:firstLineChars="0"/>
        <w:jc w:val="left"/>
        <w:rPr>
          <w:rFonts w:ascii="宋体" w:eastAsia="宋体" w:cs="宋体"/>
          <w:kern w:val="0"/>
          <w:sz w:val="21"/>
          <w:szCs w:val="21"/>
        </w:rPr>
      </w:pPr>
      <w:r>
        <w:rPr>
          <w:rFonts w:ascii="宋体" w:eastAsia="宋体" w:cs="宋体"/>
          <w:kern w:val="0"/>
          <w:sz w:val="21"/>
          <w:szCs w:val="21"/>
        </w:rPr>
        <w:t>申报单位</w:t>
      </w:r>
      <w:r>
        <w:rPr>
          <w:rFonts w:hint="eastAsia" w:ascii="宋体" w:eastAsia="宋体" w:cs="宋体"/>
          <w:kern w:val="0"/>
          <w:sz w:val="21"/>
          <w:szCs w:val="21"/>
        </w:rPr>
        <w:t>（盖章）</w:t>
      </w:r>
      <w:r>
        <w:rPr>
          <w:rFonts w:ascii="宋体" w:eastAsia="宋体" w:cs="宋体"/>
          <w:kern w:val="0"/>
          <w:sz w:val="21"/>
          <w:szCs w:val="21"/>
        </w:rPr>
        <w:t>：</w:t>
      </w:r>
    </w:p>
    <w:tbl>
      <w:tblPr>
        <w:tblStyle w:val="9"/>
        <w:tblW w:w="100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843"/>
        <w:gridCol w:w="1843"/>
        <w:gridCol w:w="1989"/>
        <w:gridCol w:w="2405"/>
        <w:gridCol w:w="812"/>
      </w:tblGrid>
      <w:tr w14:paraId="213E6F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29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ED81269">
            <w:pPr>
              <w:widowControl/>
              <w:tabs>
                <w:tab w:val="left" w:pos="1246"/>
              </w:tabs>
              <w:spacing w:line="240" w:lineRule="exact"/>
              <w:ind w:firstLine="0" w:firstLineChars="0"/>
              <w:jc w:val="center"/>
              <w:rPr>
                <w:rFonts w:asci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b/>
                <w:kern w:val="0"/>
                <w:sz w:val="18"/>
                <w:szCs w:val="18"/>
              </w:rPr>
              <w:t>测评指标（分值）</w:t>
            </w:r>
          </w:p>
        </w:tc>
        <w:tc>
          <w:tcPr>
            <w:tcW w:w="704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125B235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b/>
                <w:kern w:val="0"/>
                <w:sz w:val="18"/>
                <w:szCs w:val="18"/>
              </w:rPr>
              <w:t>得分标准</w:t>
            </w:r>
            <w:r>
              <w:rPr>
                <w:rFonts w:hint="eastAsia" w:ascii="宋体" w:eastAsia="宋体" w:cs="宋体"/>
                <w:b/>
                <w:kern w:val="0"/>
                <w:sz w:val="18"/>
                <w:szCs w:val="18"/>
              </w:rPr>
              <w:t>（权重）</w:t>
            </w:r>
          </w:p>
        </w:tc>
      </w:tr>
      <w:tr w14:paraId="484B1B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0F31CEB">
            <w:pPr>
              <w:widowControl/>
              <w:tabs>
                <w:tab w:val="left" w:pos="215"/>
              </w:tabs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51E3ADE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0763628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4C37027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0.8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29A5314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1.0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7D3238E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自评分</w:t>
            </w:r>
          </w:p>
        </w:tc>
      </w:tr>
      <w:tr w14:paraId="50EC35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F9D473A">
            <w:pPr>
              <w:widowControl/>
              <w:tabs>
                <w:tab w:val="left" w:pos="179"/>
              </w:tabs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1、基本条件（30分）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C48AD3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1.1 建筑面积（6分）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34E83DC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300-500（含）平方米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E093B81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500-2000（含）平方米，且户外面积超过50000平方米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502D3E0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超过2000平方米，且户外面积超过60000平方米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CF81735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4E47CD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B51717B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7FC6076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1.2 展教面积（6分）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93A629D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达到300平方米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EB112CC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300-5000平方米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CCE4288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超过5000平方米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6564B8C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54205B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1B3D2FC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1F68BE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1.3 展教内容（6分）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16D7750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展教品超过100件，具有特色，知识性、科学性强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7E55324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展教品100-500件，内容系统，知识性、趣味性、科学性强，展示手段先进，具有一定互动功能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CD6F6D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展教品超过500件，设有观众体验互动、培训等功能区，其他同左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3E72041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3167CE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1E9E373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BBD276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1.4 配套设施（4分）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53DBFD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具备基本水电配套设施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3EF7F95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配有消防等安全设施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CB508F5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还有餐饮、娱乐、休闲等服务设施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767C770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5E9EBF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7619ECF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0CB71E2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1.5 工作人员（4分）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04ABA72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配备专职或兼职科普人员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E17D771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配备专职科普人员2—4人、兼职人员若干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6573E20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专职科普人员5人以上、兼职人员若干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CC84081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6F05CD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EFAC9F2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D56944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1.6 经费支出（4分）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7F09119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2万-10（含）万/年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B0EBE08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10万-100（含）万/年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448A953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100万/年以上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E44768B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135F2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62D7B02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2、管理工作（20分）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9F2E2DA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2.1 工作计划（6分）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1C7C68D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已制订年度科普工作计划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1BFA9D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并且有中长期科普工作规划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447C0F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工作计划或规划纳入上级部门科普年度工作计划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CB5212C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693B07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B6D298B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64CFE8A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2.2 管理制度（6分）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4EDC6F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有管理制度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1EAF85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并且建立岗位责任制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B32E08C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还建立有安全保障责任等制度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0800660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1B4FF4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4F4881D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72EED14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2.3 服务质量（4分）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0E1D78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提供导览或咨询服务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621D820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提供导览和咨询服务，无重大投诉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C1C1811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提供导览和咨询服务，无投诉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4ED028A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568B0C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630430E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60864E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2.4 遵纪守法（4分）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A5D6A35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41182D4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962768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严守法律、法规及有关行政部门管理规定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C6F3462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520FA7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CCF038D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3、科普工作开展情况（30分）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344FF1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3.1 接待规模（6分）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BA8ADD2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1000-2000（含）人次/年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F09F586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2000-10000（含）人次/年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33D5052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超过10000人次/年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E19DF69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0A15BF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700FD81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D2F2D94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3.2 开放时间（8分）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D6FB362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达到基本要求,优惠或免费开放超过20天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46C849D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超200天，设有免费开放日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1F0F029">
            <w:pPr>
              <w:widowControl/>
              <w:spacing w:line="240" w:lineRule="exact"/>
              <w:ind w:firstLine="0" w:firstLineChars="0"/>
              <w:jc w:val="center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常年免费开放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55CFEE5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279AF5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A2FFFB5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82FBE9E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3.3 举办活动（6分）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DF19E8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积极参与社区、学校科普活动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BEFEFA6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自主举办特色明显、成效显著的系列科普活动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7E2802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并结合市科技活动周与全国科普活动日开展专题活动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0E1C5DD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3DC871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E5F6F3B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1079BB0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3.4 培训讲座（4分）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E6BFA08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200-1000（含）人次/年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D3316C2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1000-8000（含）人次/年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1CE87E7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8000人次/年以上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AE4A780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18273B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C9DD513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CC1D242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3.5 科普作品（6分）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E05CAE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编印手册、展版、宣传画等科普资料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90A2D55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编印具有刊号的图书、影视等科普作品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8971E5D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展教品研发创新取得重要成果，获得知识产权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9071281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 w14:paraId="3CDDC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A53ECAC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4、工作成效</w:t>
            </w:r>
          </w:p>
          <w:p w14:paraId="0DAB7674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与社会影响</w:t>
            </w:r>
          </w:p>
          <w:p w14:paraId="2862E636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8CBA14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4.1 媒体宣传（5分）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0B0DA21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在市、区级媒体宣传报道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5F0F3C1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在省级主流媒体宣传报道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5B90F8C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在国家重要媒体宣传报道，并使用新媒体手段宣传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2017320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14:paraId="7FE70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71478A3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6D9403F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4.2 命名情况（10分）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F87FBB0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获得区级科普基地授牌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15801DD6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获得市级科普基地授牌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30CA7E4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获得省级以上科普基地授牌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5C3A2669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14:paraId="2BB276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" w:hRule="atLeast"/>
          <w:tblCellSpacing w:w="0" w:type="dxa"/>
          <w:jc w:val="center"/>
        </w:trPr>
        <w:tc>
          <w:tcPr>
            <w:tcW w:w="1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28EAEEED">
            <w:pPr>
              <w:ind w:firstLine="640"/>
            </w:pP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8B7670C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4.3 综合评价及意识形态（5分）</w:t>
            </w:r>
          </w:p>
        </w:tc>
        <w:tc>
          <w:tcPr>
            <w:tcW w:w="18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9290469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在当地有较大的社会影响，公众评价好，意识形态工作开展好。</w:t>
            </w:r>
          </w:p>
        </w:tc>
        <w:tc>
          <w:tcPr>
            <w:tcW w:w="19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6BFD3CDB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在本市有较大社会影响，公众评价好，意识形态工作开展较好。</w:t>
            </w:r>
          </w:p>
        </w:tc>
        <w:tc>
          <w:tcPr>
            <w:tcW w:w="24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FD5D343">
            <w:pPr>
              <w:widowControl/>
              <w:spacing w:line="240" w:lineRule="exact"/>
              <w:ind w:firstLine="0" w:firstLineChars="0"/>
              <w:jc w:val="left"/>
              <w:rPr>
                <w:rFonts w:eastAsia="宋体" w:cs="Times New Roman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kern w:val="0"/>
                <w:sz w:val="18"/>
                <w:szCs w:val="18"/>
              </w:rPr>
              <w:t>在全省有广泛社会影响，公众评价高，在国内有较高知名度，意识形态工作台账健全。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729DBED7">
            <w:pPr>
              <w:widowControl/>
              <w:spacing w:line="240" w:lineRule="exact"/>
              <w:ind w:firstLine="0" w:firstLineChars="0"/>
              <w:jc w:val="center"/>
              <w:rPr>
                <w:rFonts w:ascii="宋体" w:eastAsia="宋体" w:cs="宋体"/>
                <w:kern w:val="0"/>
                <w:sz w:val="18"/>
                <w:szCs w:val="18"/>
              </w:rPr>
            </w:pPr>
          </w:p>
        </w:tc>
      </w:tr>
      <w:tr w14:paraId="19C9C7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tblCellSpacing w:w="0" w:type="dxa"/>
          <w:jc w:val="center"/>
        </w:trPr>
        <w:tc>
          <w:tcPr>
            <w:tcW w:w="920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4FB08648">
            <w:pPr>
              <w:widowControl/>
              <w:spacing w:line="240" w:lineRule="exact"/>
              <w:ind w:firstLine="0" w:firstLineChars="0"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得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分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合</w:t>
            </w:r>
            <w:r>
              <w:rPr>
                <w:rFonts w:hint="eastAsia" w:ascii="Verdana" w:hAnsi="Verdana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Verdana" w:hAnsi="Verdana" w:cs="宋体"/>
                <w:b/>
                <w:kern w:val="0"/>
                <w:sz w:val="18"/>
                <w:szCs w:val="18"/>
              </w:rPr>
              <w:t>计</w:t>
            </w:r>
          </w:p>
        </w:tc>
        <w:tc>
          <w:tcPr>
            <w:tcW w:w="8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 w14:paraId="04647C33">
            <w:pPr>
              <w:widowControl/>
              <w:spacing w:line="240" w:lineRule="exact"/>
              <w:ind w:firstLine="0" w:firstLineChars="0"/>
              <w:jc w:val="center"/>
              <w:rPr>
                <w:rFonts w:ascii="Verdana" w:hAnsi="Verdana" w:cs="宋体"/>
                <w:b/>
                <w:kern w:val="0"/>
                <w:sz w:val="18"/>
                <w:szCs w:val="18"/>
              </w:rPr>
            </w:pPr>
          </w:p>
        </w:tc>
      </w:tr>
    </w:tbl>
    <w:p w14:paraId="561BCCE5">
      <w:pPr>
        <w:widowControl/>
        <w:spacing w:line="280" w:lineRule="exact"/>
        <w:ind w:left="-1078" w:leftChars="-337" w:right="-1088" w:rightChars="-340" w:firstLine="361"/>
        <w:jc w:val="left"/>
        <w:rPr>
          <w:rFonts w:eastAsia="宋体" w:cs="Times New Roman"/>
          <w:b/>
          <w:kern w:val="0"/>
          <w:sz w:val="18"/>
          <w:szCs w:val="18"/>
        </w:rPr>
      </w:pPr>
    </w:p>
    <w:p w14:paraId="515D2EEA">
      <w:pPr>
        <w:widowControl/>
        <w:spacing w:line="280" w:lineRule="exact"/>
        <w:ind w:left="-1078" w:leftChars="-337" w:right="-1088" w:rightChars="-340" w:firstLine="361"/>
        <w:jc w:val="left"/>
        <w:rPr>
          <w:rFonts w:eastAsia="宋体" w:cs="Times New Roman"/>
          <w:kern w:val="0"/>
          <w:sz w:val="18"/>
          <w:szCs w:val="18"/>
        </w:rPr>
      </w:pPr>
      <w:r>
        <w:rPr>
          <w:rFonts w:eastAsia="宋体" w:cs="Times New Roman"/>
          <w:b/>
          <w:kern w:val="0"/>
          <w:sz w:val="18"/>
          <w:szCs w:val="18"/>
        </w:rPr>
        <w:t>说明：</w:t>
      </w:r>
      <w:r>
        <w:rPr>
          <w:rFonts w:eastAsia="宋体" w:cs="Times New Roman"/>
          <w:kern w:val="0"/>
          <w:sz w:val="18"/>
          <w:szCs w:val="18"/>
        </w:rPr>
        <w:t>1、测评内容包括4项一级指标18项二级指标，各项得分为项目分值乘以得分标准权重，总分值为100分，达标分为70分。2、“遵纪守法”</w:t>
      </w:r>
      <w:r>
        <w:rPr>
          <w:rFonts w:hint="eastAsia" w:eastAsia="宋体" w:cs="Times New Roman"/>
          <w:kern w:val="0"/>
          <w:sz w:val="18"/>
          <w:szCs w:val="18"/>
        </w:rPr>
        <w:t>和“意识形态”</w:t>
      </w:r>
      <w:r>
        <w:rPr>
          <w:rFonts w:eastAsia="宋体" w:cs="Times New Roman"/>
          <w:kern w:val="0"/>
          <w:sz w:val="18"/>
          <w:szCs w:val="18"/>
        </w:rPr>
        <w:t>为一票否决项；其余未达到最低“得分标准”的为0分。</w:t>
      </w:r>
    </w:p>
    <w:p w14:paraId="58669EE8">
      <w:pPr>
        <w:widowControl/>
        <w:spacing w:line="280" w:lineRule="exact"/>
        <w:ind w:firstLine="630" w:firstLineChars="350"/>
        <w:jc w:val="left"/>
        <w:rPr>
          <w:rFonts w:eastAsia="宋体" w:cs="Times New Roman"/>
          <w:kern w:val="0"/>
          <w:sz w:val="18"/>
          <w:szCs w:val="18"/>
        </w:rPr>
      </w:pPr>
    </w:p>
    <w:p w14:paraId="4ACD8D42">
      <w:pPr>
        <w:widowControl/>
        <w:spacing w:line="280" w:lineRule="exact"/>
        <w:ind w:firstLine="630" w:firstLineChars="350"/>
        <w:jc w:val="left"/>
        <w:rPr>
          <w:rFonts w:eastAsia="宋体" w:cs="Times New Roman"/>
          <w:kern w:val="0"/>
          <w:sz w:val="18"/>
          <w:szCs w:val="18"/>
        </w:rPr>
      </w:pPr>
      <w:r>
        <w:rPr>
          <w:rFonts w:eastAsia="宋体" w:cs="Times New Roman"/>
          <w:kern w:val="0"/>
          <w:sz w:val="18"/>
          <w:szCs w:val="18"/>
        </w:rPr>
        <w:t>自  评  人：             联系电话：                    年    月    日</w:t>
      </w:r>
    </w:p>
    <w:p w14:paraId="3A983626">
      <w:pPr>
        <w:tabs>
          <w:tab w:val="left" w:pos="4895"/>
        </w:tabs>
        <w:spacing w:line="400" w:lineRule="exact"/>
        <w:ind w:firstLine="0" w:firstLineChars="0"/>
        <w:jc w:val="left"/>
        <w:rPr>
          <w:rFonts w:hint="default" w:ascii="仿宋" w:eastAsia="方正仿宋_GBK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4" w:right="1474" w:bottom="1701" w:left="1588" w:header="851" w:footer="992" w:gutter="0"/>
      <w:pgNumType w:fmt="decimal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BCEF">
    <w:pPr>
      <w:pStyle w:val="7"/>
      <w:tabs>
        <w:tab w:val="center" w:pos="6979"/>
        <w:tab w:val="clear" w:pos="4153"/>
      </w:tabs>
      <w:ind w:firstLine="360"/>
    </w:pP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55416"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1D"/>
    <w:rsid w:val="00060271"/>
    <w:rsid w:val="000735EB"/>
    <w:rsid w:val="00094B3B"/>
    <w:rsid w:val="001613B0"/>
    <w:rsid w:val="0023491F"/>
    <w:rsid w:val="002B58A9"/>
    <w:rsid w:val="00396D01"/>
    <w:rsid w:val="003A2FB1"/>
    <w:rsid w:val="003B3679"/>
    <w:rsid w:val="00436A24"/>
    <w:rsid w:val="004B0EC2"/>
    <w:rsid w:val="005567DD"/>
    <w:rsid w:val="00566C24"/>
    <w:rsid w:val="005F07E4"/>
    <w:rsid w:val="0060158E"/>
    <w:rsid w:val="006317A8"/>
    <w:rsid w:val="006820B7"/>
    <w:rsid w:val="0074281D"/>
    <w:rsid w:val="00817B67"/>
    <w:rsid w:val="008A70EB"/>
    <w:rsid w:val="008D670B"/>
    <w:rsid w:val="00912B41"/>
    <w:rsid w:val="00AC093C"/>
    <w:rsid w:val="00AF02D2"/>
    <w:rsid w:val="00B6243F"/>
    <w:rsid w:val="00C937FA"/>
    <w:rsid w:val="00CC7348"/>
    <w:rsid w:val="00CE0749"/>
    <w:rsid w:val="00D94BFA"/>
    <w:rsid w:val="00E30980"/>
    <w:rsid w:val="00E46F8E"/>
    <w:rsid w:val="00EA36C2"/>
    <w:rsid w:val="00EB4C71"/>
    <w:rsid w:val="00F051D0"/>
    <w:rsid w:val="0D5D37FD"/>
    <w:rsid w:val="11B55E69"/>
    <w:rsid w:val="12DD1C00"/>
    <w:rsid w:val="1736724D"/>
    <w:rsid w:val="1BF73705"/>
    <w:rsid w:val="1C3352DC"/>
    <w:rsid w:val="21093CBF"/>
    <w:rsid w:val="4B302306"/>
    <w:rsid w:val="58BD5526"/>
    <w:rsid w:val="690C1F68"/>
    <w:rsid w:val="70822A24"/>
    <w:rsid w:val="764A782F"/>
    <w:rsid w:val="7D56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Arial"/>
      <w:color w:val="000000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line="578" w:lineRule="atLeas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eastAsia="方正黑体_GBK" w:cs="Times New Roman"/>
      <w:bCs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560" w:lineRule="exact"/>
    </w:pPr>
    <w:rPr>
      <w:rFonts w:ascii="仿宋_GB2312" w:eastAsia="仿宋_GB2312" w:cs="Times New Roman"/>
      <w:color w:val="auto"/>
      <w:sz w:val="30"/>
      <w:szCs w:val="30"/>
    </w:rPr>
  </w:style>
  <w:style w:type="paragraph" w:styleId="6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563C1"/>
      <w:u w:val="single"/>
    </w:rPr>
  </w:style>
  <w:style w:type="paragraph" w:styleId="12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E9A4-8A03-4AA6-8268-C8B1EDCC9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1192</Words>
  <Characters>1236</Characters>
  <Lines>49</Lines>
  <Paragraphs>13</Paragraphs>
  <TotalTime>78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2024-03-21T08:49:00Z</dcterms:created>
  <dc:creator>NTKO</dc:creator>
  <cp:lastModifiedBy>一般般（骆）</cp:lastModifiedBy>
  <cp:lastPrinted>2025-03-25T07:43:00Z</cp:lastPrinted>
  <dcterms:modified xsi:type="dcterms:W3CDTF">2025-03-31T07:13:29Z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D44B1E45F70C43ECB530C339909393A6_13</vt:lpwstr>
  </property>
  <property fmtid="{D5CDD505-2E9C-101B-9397-08002B2CF9AE}" pid="4" name="KSOTemplateDocerSaveRecord">
    <vt:lpwstr>eyJoZGlkIjoiMDI5YjJhZThhZDU2NzIwZjk0MzI4YzA4YzM2ZGE2ZDciLCJ1c2VySWQiOiIzNDIyNzgwOTIifQ==</vt:lpwstr>
  </property>
</Properties>
</file>