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F92E4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6"/>
          <w:szCs w:val="36"/>
        </w:rPr>
      </w:pPr>
      <w:r>
        <w:rPr>
          <w:rFonts w:hint="eastAsia" w:ascii="宋体" w:hAnsi="宋体" w:eastAsia="宋体" w:cs="宋体"/>
          <w:b/>
          <w:bCs/>
          <w:sz w:val="36"/>
          <w:szCs w:val="36"/>
          <w:lang w:val="en-US" w:eastAsia="zh-CN"/>
        </w:rPr>
        <w:t>苏州市市级</w:t>
      </w:r>
      <w:r>
        <w:rPr>
          <w:rFonts w:hint="eastAsia" w:ascii="宋体" w:hAnsi="宋体" w:eastAsia="宋体" w:cs="宋体"/>
          <w:b/>
          <w:bCs/>
          <w:sz w:val="36"/>
          <w:szCs w:val="36"/>
        </w:rPr>
        <w:t>国有资本经营预算收支管理办法</w:t>
      </w:r>
    </w:p>
    <w:p w14:paraId="74629EB5">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sz w:val="32"/>
          <w:szCs w:val="32"/>
          <w:lang w:eastAsia="zh-CN"/>
        </w:rPr>
        <w:t>）</w:t>
      </w:r>
    </w:p>
    <w:p w14:paraId="3A2FA1E0">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第一章 总则</w:t>
      </w:r>
    </w:p>
    <w:p w14:paraId="782C1755">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第一条</w:t>
      </w:r>
      <w:r>
        <w:rPr>
          <w:rFonts w:hint="eastAsia" w:ascii="仿宋_GB2312" w:hAnsi="仿宋_GB2312" w:eastAsia="仿宋_GB2312" w:cs="仿宋_GB2312"/>
          <w:color w:val="auto"/>
          <w:sz w:val="32"/>
          <w:szCs w:val="32"/>
        </w:rPr>
        <w:t xml:space="preserve"> 为进一步规范</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级国有资本经营预算收入和支出管理，增强政府宏观调控能力，推进国有经济布局优化和结构调整，根据《中华人民共和国预算法》《中华人民共和国公司法》《中华人民共和国企业国有资产法》《中华人民共和国预算法实施条例》《国务院关于进一步完善国有资本经营预算制度的意见》等规定，制定本办法。</w:t>
      </w:r>
    </w:p>
    <w:p w14:paraId="50057B1F">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第二条</w:t>
      </w:r>
      <w:r>
        <w:rPr>
          <w:rFonts w:hint="eastAsia" w:ascii="仿宋_GB2312" w:hAnsi="仿宋_GB2312" w:eastAsia="仿宋_GB2312" w:cs="仿宋_GB2312"/>
          <w:color w:val="auto"/>
          <w:sz w:val="32"/>
          <w:szCs w:val="32"/>
        </w:rPr>
        <w:t xml:space="preserve"> 本办法适用于</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级财政部门、</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级国有资本经营预算单位（以下简称“</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级国资预算单位”）和</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级国有资本经营预算企业（以下简称“</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级国资预算企业”）的</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级国有资本经营预算编制、执行、调整、决算、公开、绩效管理、监督检查等事项。</w:t>
      </w:r>
    </w:p>
    <w:p w14:paraId="49C0ECDD">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级国资预算单位，是指代表</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人民政府履行出资人职责的</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级部门、单位，包括履行出资人职责的事业单位的上级主管部门。</w:t>
      </w:r>
    </w:p>
    <w:p w14:paraId="0BF6374C">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级国资预算企业，是指由</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人民政府授权</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级部门履行出资人职责的一级企业和由</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级党政机关、事业单位出资所办的一级企业。包括国有独资企业、国有独资公司、国有资本控股公司和国有资本参股公司。</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级国有一级企业应当全部纳入</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级国有资本经营预算管理范围，法律法规另有规定的除外。</w:t>
      </w:r>
    </w:p>
    <w:p w14:paraId="22CF54C5">
      <w:pPr>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第五条</w:t>
      </w:r>
      <w:r>
        <w:rPr>
          <w:rFonts w:hint="eastAsia" w:ascii="仿宋_GB2312" w:hAnsi="仿宋_GB2312" w:eastAsia="仿宋_GB2312" w:cs="仿宋_GB2312"/>
          <w:color w:val="auto"/>
          <w:sz w:val="32"/>
          <w:szCs w:val="32"/>
          <w:lang w:val="en-US" w:eastAsia="zh-CN"/>
        </w:rPr>
        <w:t xml:space="preserve"> 市级国有资本经营预算由预算收入和预算支出组成，应当按照收支平衡的原则编制，以收定支，不列赤字。</w:t>
      </w:r>
    </w:p>
    <w:p w14:paraId="58C20909">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第二章 管理职责</w:t>
      </w:r>
    </w:p>
    <w:p w14:paraId="3F5558D8">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级国有资本经营预算管理由</w:t>
      </w:r>
      <w:r>
        <w:rPr>
          <w:rFonts w:hint="eastAsia" w:ascii="仿宋_GB2312" w:hAnsi="仿宋_GB2312" w:eastAsia="仿宋_GB2312" w:cs="仿宋_GB2312"/>
          <w:color w:val="auto"/>
          <w:sz w:val="32"/>
          <w:szCs w:val="32"/>
          <w:lang w:val="en-US" w:eastAsia="zh-CN"/>
        </w:rPr>
        <w:t>市财政局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级国资预算单位和</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级国资预算企业各司其职，共同负责。</w:t>
      </w:r>
    </w:p>
    <w:p w14:paraId="457F5676">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是</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级国有资本经营预算的主管部门，主要履行以下职责：</w:t>
      </w:r>
    </w:p>
    <w:p w14:paraId="71B679E0">
      <w:pPr>
        <w:ind w:left="638" w:leftChars="304"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（一）制定</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级国有资本经营预算管理的相关制度规定</w:t>
      </w:r>
      <w:r>
        <w:rPr>
          <w:rFonts w:hint="eastAsia" w:ascii="仿宋_GB2312" w:hAnsi="仿宋_GB2312" w:eastAsia="仿宋_GB2312" w:cs="仿宋_GB2312"/>
          <w:color w:val="auto"/>
          <w:sz w:val="32"/>
          <w:szCs w:val="32"/>
          <w:lang w:eastAsia="zh-CN"/>
        </w:rPr>
        <w:t>。</w:t>
      </w:r>
    </w:p>
    <w:p w14:paraId="5128C85C">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（二）会同有关国资预算单位提出</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级国有独资企业和国有独资公司国有资本经营收益上交比例建议，报</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政府批准后执行。</w:t>
      </w:r>
    </w:p>
    <w:p w14:paraId="2865C37B">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（三）收取</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级国有资本经营预算收入。</w:t>
      </w:r>
    </w:p>
    <w:p w14:paraId="3E679453">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（四）确定</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级国有资本经营预算支出方向和重点。</w:t>
      </w:r>
    </w:p>
    <w:p w14:paraId="1DF6FA86">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（五）布置</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级国有资本经营预（决）算编制，审核</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级国资预算单位预算建议方案，编制预算草案和预算调整方案，并按规定程序报送审议。</w:t>
      </w:r>
    </w:p>
    <w:p w14:paraId="6039B129">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（六）下达</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级国资预算单位国有资本经营预算。</w:t>
      </w:r>
    </w:p>
    <w:p w14:paraId="4114FEBE">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（七）按规定公开</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级国有资本经营预（决）算。</w:t>
      </w:r>
    </w:p>
    <w:p w14:paraId="460B3C50">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（八）组织指导</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级国有资本经营预算绩效管理。</w:t>
      </w:r>
    </w:p>
    <w:p w14:paraId="068DFF54">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（九）组织实施</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级国有资本经营预算监督检查。</w:t>
      </w:r>
    </w:p>
    <w:p w14:paraId="07570D9A">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（十）法律、法规规定的其他职责。</w:t>
      </w:r>
    </w:p>
    <w:p w14:paraId="47C6074C">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级国资预算单位主要履行以下职责：</w:t>
      </w:r>
    </w:p>
    <w:p w14:paraId="3F1AC805">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（一）制定本部门（单位）国有资本经营预算管理制度。</w:t>
      </w:r>
    </w:p>
    <w:p w14:paraId="5DD92C1A">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（二）研究制定本部门（单位）国有经济布局优化、结构调整政策和改革发展规划。</w:t>
      </w:r>
    </w:p>
    <w:p w14:paraId="69D4DE94">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（三）组织其监管（所属）</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级国资预算企业编报国有资本经营收支预算并进行审核，编制并提出本部门（单位）年度国有资本经营预算建议方案。</w:t>
      </w:r>
    </w:p>
    <w:p w14:paraId="3E9B9E07">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（四）组织和监督其监管（所属）</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级国资预算企业国有资本经营预算的执行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及时落实国有资本权益</w:t>
      </w:r>
      <w:r>
        <w:rPr>
          <w:rFonts w:hint="eastAsia" w:ascii="仿宋_GB2312" w:hAnsi="仿宋_GB2312" w:eastAsia="仿宋_GB2312" w:cs="仿宋_GB2312"/>
          <w:color w:val="auto"/>
          <w:sz w:val="32"/>
          <w:szCs w:val="32"/>
        </w:rPr>
        <w:t>。</w:t>
      </w:r>
    </w:p>
    <w:p w14:paraId="061890FB">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（五）组织督促其监管（所属）</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级国资预算企业及时足额上交国有资本经营收入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对企业上交收入进行审核确认</w:t>
      </w:r>
      <w:r>
        <w:rPr>
          <w:rFonts w:hint="eastAsia" w:ascii="仿宋_GB2312" w:hAnsi="仿宋_GB2312" w:eastAsia="仿宋_GB2312" w:cs="仿宋_GB2312"/>
          <w:color w:val="auto"/>
          <w:sz w:val="32"/>
          <w:szCs w:val="32"/>
        </w:rPr>
        <w:t>。</w:t>
      </w:r>
    </w:p>
    <w:p w14:paraId="454E72A8">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（六）组织实施其监管（所属）</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级国资预算企业的国有资本经营预算绩效管理和监督检查。</w:t>
      </w:r>
    </w:p>
    <w:p w14:paraId="56197B8A">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（七）法律、法规规定的其他职责。</w:t>
      </w:r>
    </w:p>
    <w:p w14:paraId="613007A6">
      <w:pPr>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级国资预算企业主要履行以下职责：</w:t>
      </w:r>
    </w:p>
    <w:p w14:paraId="0A67D61A">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（一）编制本企业国有资本经营预算。</w:t>
      </w:r>
    </w:p>
    <w:p w14:paraId="1BE4797F">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（二）按照规定及时足额申报、上交国有资本经营预算收入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对收入数据的真实性和准确性负责</w:t>
      </w:r>
      <w:r>
        <w:rPr>
          <w:rFonts w:hint="eastAsia" w:ascii="仿宋_GB2312" w:hAnsi="仿宋_GB2312" w:eastAsia="仿宋_GB2312" w:cs="仿宋_GB2312"/>
          <w:color w:val="auto"/>
          <w:sz w:val="32"/>
          <w:szCs w:val="32"/>
        </w:rPr>
        <w:t>。</w:t>
      </w:r>
    </w:p>
    <w:p w14:paraId="3645B351">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（三）根据批准的国有资本经营预算安排支出，组织本企业预算执行，确保资金按规定用途使用。</w:t>
      </w:r>
    </w:p>
    <w:p w14:paraId="2451C3D2">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（四）建立健全企业内部国有资本经营预算相关管理制度，规范资金核算，开展绩效管理，并依法接受监督。</w:t>
      </w:r>
    </w:p>
    <w:p w14:paraId="432C1252">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（五）按照相关规定向</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级国资预算单位报送财务会计信息资料等。</w:t>
      </w:r>
    </w:p>
    <w:p w14:paraId="1CE8BFEF">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（六）法律、法规规定的其他职责。</w:t>
      </w:r>
    </w:p>
    <w:p w14:paraId="6D86DB59">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第三章 预算收入</w:t>
      </w:r>
    </w:p>
    <w:p w14:paraId="69D78C06">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十</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级国有资本经营预算收入主要包括：</w:t>
      </w:r>
    </w:p>
    <w:p w14:paraId="4388F644">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（一）应交利润，即国有独资企业和国有独资公司按规定应当上交的利润收入。</w:t>
      </w:r>
    </w:p>
    <w:p w14:paraId="40DBB3A1">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（二）国有股股利、股息，即国有资本控股、参股公司国有股权（股份）获得的股利、股息。</w:t>
      </w:r>
    </w:p>
    <w:p w14:paraId="33CBC2F7">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（三）国有产权转让收入，即转让</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级国资预算企业国有产权、股权（股份）获得的净收入。</w:t>
      </w:r>
    </w:p>
    <w:p w14:paraId="0EFE7C1A">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（四）企业清算收入，即国有独资企业和国有独资公司清算净收益；国有资本控股、参股公司国有股权（股份）分享的企业清算净收益。</w:t>
      </w:r>
    </w:p>
    <w:p w14:paraId="762CE24D">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（五）其他国有资本经营预算收入。</w:t>
      </w:r>
    </w:p>
    <w:p w14:paraId="1DCD199D">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（六）上年结转收入。</w:t>
      </w:r>
    </w:p>
    <w:p w14:paraId="0DA89D74">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第十一条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级国资预算企业按规定上交</w:t>
      </w:r>
      <w:r>
        <w:rPr>
          <w:rFonts w:hint="eastAsia" w:ascii="仿宋_GB2312" w:hAnsi="仿宋_GB2312" w:eastAsia="仿宋_GB2312" w:cs="仿宋_GB2312"/>
          <w:color w:val="auto"/>
          <w:sz w:val="32"/>
          <w:szCs w:val="32"/>
          <w:lang w:val="en-US" w:eastAsia="zh-CN"/>
        </w:rPr>
        <w:t>国有资本经营预算收入，</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级国资预算单位负责组织督促</w:t>
      </w:r>
      <w:r>
        <w:rPr>
          <w:rFonts w:hint="eastAsia" w:ascii="仿宋_GB2312" w:hAnsi="仿宋_GB2312" w:eastAsia="仿宋_GB2312" w:cs="仿宋_GB2312"/>
          <w:color w:val="auto"/>
          <w:sz w:val="32"/>
          <w:szCs w:val="32"/>
          <w:lang w:val="en-US" w:eastAsia="zh-CN"/>
        </w:rPr>
        <w:t>和审核</w:t>
      </w:r>
      <w:r>
        <w:rPr>
          <w:rFonts w:hint="eastAsia" w:ascii="仿宋_GB2312" w:hAnsi="仿宋_GB2312" w:eastAsia="仿宋_GB2312" w:cs="仿宋_GB2312"/>
          <w:color w:val="auto"/>
          <w:sz w:val="32"/>
          <w:szCs w:val="32"/>
        </w:rPr>
        <w:t>其监管（所属）</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级国资预算企业上交，</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级国有资本经营预算收入由</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负责收取入库。</w:t>
      </w:r>
    </w:p>
    <w:p w14:paraId="73648CF1">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（一）国有独资企业和国有独资公司以经审计的年度合并财务会计报表中归属于母公司所有者的净利润为基础，依法扣除以前年度未弥补亏损、提取10%法定公积金后为基数，按规定的上交比例计算。</w:t>
      </w:r>
    </w:p>
    <w:p w14:paraId="03C35A34">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（二）国有资本控股、参股公司，依据股东会决议，按国有股权比例将应分得的股息红利</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color w:val="auto"/>
          <w:sz w:val="32"/>
          <w:szCs w:val="32"/>
        </w:rPr>
        <w:t>全额上交。</w:t>
      </w:r>
    </w:p>
    <w:p w14:paraId="76CB8B80">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（三）转让</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级国资预算企业国有产权、股权（股份）形成的净收入（扣除转让费用）</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color w:val="auto"/>
          <w:sz w:val="32"/>
          <w:szCs w:val="32"/>
        </w:rPr>
        <w:t>全额上交。</w:t>
      </w:r>
    </w:p>
    <w:p w14:paraId="08B1B527">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（四）国有独资企业和国有独资公司清算净收益，以及国有资本控股、参股公司取得的清算净收益（扣除清算费用）中国有股应分享的部分</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color w:val="auto"/>
          <w:sz w:val="32"/>
          <w:szCs w:val="32"/>
        </w:rPr>
        <w:t>全额上交。</w:t>
      </w:r>
    </w:p>
    <w:p w14:paraId="6816B4A2">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级国资预算企业其他需上交的国有资本经营预算收入按有关规定执行。</w:t>
      </w:r>
    </w:p>
    <w:p w14:paraId="7E51BADD">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上年结转收入。</w:t>
      </w:r>
    </w:p>
    <w:p w14:paraId="217B5A82">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第十二条</w:t>
      </w:r>
      <w:r>
        <w:rPr>
          <w:rFonts w:hint="eastAsia" w:ascii="仿宋_GB2312" w:hAnsi="仿宋_GB2312" w:eastAsia="仿宋_GB2312" w:cs="仿宋_GB2312"/>
          <w:color w:val="auto"/>
          <w:sz w:val="32"/>
          <w:szCs w:val="32"/>
        </w:rPr>
        <w:t xml:space="preserve"> 健全国有独资企业和国有独资公司经营收益</w:t>
      </w:r>
      <w:r>
        <w:rPr>
          <w:rFonts w:hint="eastAsia" w:ascii="仿宋_GB2312" w:hAnsi="仿宋_GB2312" w:eastAsia="仿宋_GB2312" w:cs="仿宋_GB2312"/>
          <w:color w:val="auto"/>
          <w:sz w:val="32"/>
          <w:szCs w:val="32"/>
          <w:lang w:val="en-US" w:eastAsia="zh-CN"/>
        </w:rPr>
        <w:t>上交比例</w:t>
      </w:r>
      <w:r>
        <w:rPr>
          <w:rFonts w:hint="eastAsia" w:ascii="仿宋_GB2312" w:hAnsi="仿宋_GB2312" w:eastAsia="仿宋_GB2312" w:cs="仿宋_GB2312"/>
          <w:color w:val="auto"/>
          <w:sz w:val="32"/>
          <w:szCs w:val="32"/>
        </w:rPr>
        <w:t>动态调整机制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根据</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政府有关决策部署</w:t>
      </w:r>
      <w:r>
        <w:rPr>
          <w:rFonts w:hint="eastAsia" w:ascii="仿宋_GB2312" w:hAnsi="仿宋_GB2312" w:eastAsia="仿宋_GB2312" w:cs="仿宋_GB2312"/>
          <w:color w:val="auto"/>
          <w:sz w:val="32"/>
          <w:szCs w:val="32"/>
          <w:lang w:eastAsia="zh-CN"/>
        </w:rPr>
        <w:t>、经济发展需要、企业发展状况等</w:t>
      </w:r>
      <w:r>
        <w:rPr>
          <w:rFonts w:hint="eastAsia" w:ascii="仿宋_GB2312" w:hAnsi="仿宋_GB2312" w:eastAsia="仿宋_GB2312" w:cs="仿宋_GB2312"/>
          <w:color w:val="auto"/>
          <w:sz w:val="32"/>
          <w:szCs w:val="32"/>
          <w:lang w:val="en-US" w:eastAsia="zh-CN"/>
        </w:rPr>
        <w:t>原因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如需调整上交比例，由</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会同有关国资预算单位结合实际情况，提出上交比例调整建议，报请</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政府批准同意后予以实施。探索完善上交比例分类分档规则。</w:t>
      </w:r>
    </w:p>
    <w:p w14:paraId="5ECF0B71">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第十三条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资预算单位研究提出国有控股、参股公司利润分配意见时，应当统筹考虑国有经济布局优化和结构调整总体要求，企业所处行业特点、发展阶段、财务状况、发展规划以及其他股东意见等，所提意见的利润分配原则上不低于同类国有独资企业和国有独资公司经营收益上交水平。当年不予分配的，应当说明不分配的理由和依据，并出具股东会或股东大会（或类似表决机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决议。</w:t>
      </w:r>
    </w:p>
    <w:p w14:paraId="181DD8ED">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第十四条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根据国有资本经营预算收支政策和规定，布置</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级国有资本经营预算收入申报工作。</w:t>
      </w:r>
    </w:p>
    <w:p w14:paraId="5FD8ACA9">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第十五条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级国资预算单位组织</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级国资预算企业申报</w:t>
      </w:r>
      <w:r>
        <w:rPr>
          <w:rFonts w:hint="eastAsia" w:ascii="仿宋_GB2312" w:hAnsi="仿宋_GB2312" w:eastAsia="仿宋_GB2312" w:cs="仿宋_GB2312"/>
          <w:color w:val="auto"/>
          <w:sz w:val="32"/>
          <w:szCs w:val="32"/>
          <w:lang w:val="en-US" w:eastAsia="zh-CN"/>
        </w:rPr>
        <w:t>上缴收益</w:t>
      </w:r>
      <w:r>
        <w:rPr>
          <w:rFonts w:hint="eastAsia" w:ascii="仿宋_GB2312" w:hAnsi="仿宋_GB2312" w:eastAsia="仿宋_GB2312" w:cs="仿宋_GB2312"/>
          <w:color w:val="auto"/>
          <w:sz w:val="32"/>
          <w:szCs w:val="32"/>
        </w:rPr>
        <w:t>并审核后，报送</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国资委监管企业由</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国资委组织申报、审核；</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级文化和金融企业由</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组织申报、审核；</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级党政机关、事业单位出资所办企业由上级主管部门负责组织申报、审核汇总后，向</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申报。具体报送要求如下：</w:t>
      </w:r>
    </w:p>
    <w:p w14:paraId="4AF71F4C">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（一）应交利润，按规定的上交比例申报，并附送经审计的年度财务会计报告及相关材料；</w:t>
      </w:r>
    </w:p>
    <w:p w14:paraId="202E17C9">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（二）国有股股利、股息，在股东会或者股东大会（没有设立股东会或者股东大会的为董事会，下同）表决日起 30 个工作日内申报，并附送经审计的年度合并财务会计报告、股东会或股东大会决议文件及相关材料；</w:t>
      </w:r>
    </w:p>
    <w:p w14:paraId="36922E64">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（三）国有产权转让收入，在签订产权转让合同之日起 30个工作日内申报，并附送批准文件、产权转让合同、经核准或备案的资产评估报告及相关材料；</w:t>
      </w:r>
    </w:p>
    <w:p w14:paraId="57CD0B40">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（四）企业清算收入，在清算组或者管理人编制剩余财产分配方案之日起 30 个工作日内申报，并附送关于实施清算的文件或决议、清算人或管理人组织成立的文件、清算审计报告、企业清算报告及其他资料；</w:t>
      </w:r>
    </w:p>
    <w:p w14:paraId="052377D9">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（五）其他国有资本经营预算收入，在收益确定之日起 30个工作日内申报，并附送有关经济事项发生和金额确认的资料。</w:t>
      </w:r>
    </w:p>
    <w:p w14:paraId="7BB70171">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第四章 预算支出</w:t>
      </w:r>
    </w:p>
    <w:p w14:paraId="3FC3954A">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级国有资本经营预算主要用于以下几个方面支出：</w:t>
      </w:r>
    </w:p>
    <w:p w14:paraId="4F7668AE">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（一）资本性支出。主要是向国有企业注入资本金，用于落实</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政府有关决策部署,根据产业发展规划、国有经济布局和结构调整、国有企业改革发展要求，安排的资本性支出；</w:t>
      </w:r>
    </w:p>
    <w:p w14:paraId="4F9D4CDE">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（二）费用性支出。主要是解决国有企业历史遗留问题及相关改革成本支出，用于支持</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属企业剥离国有企业办社会职能、解决体制机制性问题、弥补改革发展成本等方面的支出；</w:t>
      </w:r>
    </w:p>
    <w:p w14:paraId="5A7F6E40">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（三）与一般公共预算统筹支出。根据国有资本经营预算结余情况，安排一定资金调入一般公共预算。</w:t>
      </w:r>
    </w:p>
    <w:p w14:paraId="24F4CEB1">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其他支出。主要是用于国有资产日常监管、专项审计以及其他方面的支出。</w:t>
      </w:r>
    </w:p>
    <w:p w14:paraId="685188A6">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有资本经营预算支出要切实贯彻党的路线方针政策，聚焦关键领域和薄弱环节，增强对国家重大战略任务的财力保障，强化支持国有企业高质量发展的资本金注入，推进国有经济布局优化和结构调整，按规定将部分资金调入一般公共预算统筹用于保障和改善民生等。市级国有资本经营预算支出方向和重点，可根据市委、市政府宏观经济政策需要以及不同时期国有企业改革发展任务适时进行调整。</w:t>
      </w:r>
    </w:p>
    <w:p w14:paraId="546B8F03">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级国有资本经营预算支出实行项目管理。支出项目由</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级国资预算企业根据国有资本经营预算重点支持方向和企业改革发展需要提出项目申请。</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级国资预算单位根据产业发展、国资国企改革发展以及国资监管等要求和相关工作需要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审核</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rPr>
        <w:t>提出项目建议。</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根据政策导向、区分轻重缓急编制项目计划。</w:t>
      </w:r>
    </w:p>
    <w:p w14:paraId="5103A745">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级国资预算单位、</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级国资预算企业申报的项目应当同时具备以下条件：</w:t>
      </w:r>
    </w:p>
    <w:p w14:paraId="216E7D1E">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（一）符合国家和</w:t>
      </w:r>
      <w:r>
        <w:rPr>
          <w:rFonts w:hint="eastAsia" w:ascii="仿宋_GB2312" w:hAnsi="仿宋_GB2312" w:eastAsia="仿宋_GB2312" w:cs="仿宋_GB2312"/>
          <w:color w:val="auto"/>
          <w:sz w:val="32"/>
          <w:szCs w:val="32"/>
          <w:lang w:val="en-US" w:eastAsia="zh-CN"/>
        </w:rPr>
        <w:t>省、</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的方针政策；</w:t>
      </w:r>
    </w:p>
    <w:p w14:paraId="2596125C">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（二）符合本办法规定的国有资本经营预算支出范围；</w:t>
      </w:r>
    </w:p>
    <w:p w14:paraId="75586B2D">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（三）符合</w:t>
      </w:r>
      <w:r>
        <w:rPr>
          <w:rFonts w:hint="eastAsia" w:ascii="仿宋_GB2312" w:hAnsi="仿宋_GB2312" w:eastAsia="仿宋_GB2312" w:cs="仿宋_GB2312"/>
          <w:color w:val="auto"/>
          <w:sz w:val="32"/>
          <w:szCs w:val="32"/>
          <w:lang w:val="en-US" w:eastAsia="zh-CN"/>
        </w:rPr>
        <w:t>国家和省、</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lang w:val="en-US" w:eastAsia="zh-CN"/>
        </w:rPr>
        <w:t>产业导向及</w:t>
      </w:r>
      <w:r>
        <w:rPr>
          <w:rFonts w:hint="eastAsia" w:ascii="仿宋_GB2312" w:hAnsi="仿宋_GB2312" w:eastAsia="仿宋_GB2312" w:cs="仿宋_GB2312"/>
          <w:color w:val="auto"/>
          <w:sz w:val="32"/>
          <w:szCs w:val="32"/>
        </w:rPr>
        <w:t>国资国企相关管理规定；</w:t>
      </w:r>
    </w:p>
    <w:p w14:paraId="5E7354F4">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（四）项目要素信息规范、完整、准确。项目金额、资金测算、绩效目标等科学、合理、可行。项目应当有明确的实施计划和实施期限。</w:t>
      </w:r>
    </w:p>
    <w:p w14:paraId="1DAEC696">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第五章 预算编制</w:t>
      </w:r>
    </w:p>
    <w:p w14:paraId="0766734F">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级国有资本经营预算按年度单独编制，与一般公共预算编制同时进行，纳入</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级政府预算，报</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人民代表大会批准。</w:t>
      </w:r>
    </w:p>
    <w:p w14:paraId="1300FDCB">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级国有资本经营预算应当按照收支平衡原则编制，不列赤字。收入预算应按行业或企业编列，并说明企业上年总体经营财务状况；支出预算应按使用方向和用途编列，并说明项目安排的依据和绩效目标。</w:t>
      </w:r>
    </w:p>
    <w:p w14:paraId="595143B5">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级国资预算企业根据当年经营情况，预测下一年度应上交的国有资本经营预算收入，编制下一年度预算收入和支出计划，于10月底前报送</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级国资预算单位。报送的资料包括：企业经营财务状况，应交国有资本经营预算收入及测算明细，预算支出项目、依据、方向、用途和绩效目标等。</w:t>
      </w:r>
    </w:p>
    <w:p w14:paraId="1217CEE7">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级国资预算单位按照</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要求，审核汇总相关</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级国资预算企业报送的预算收支计划，提出预算建议，于11月底前报送</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w:t>
      </w:r>
    </w:p>
    <w:p w14:paraId="53E09689">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政府有关</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属企业发展战略、国有企业历史遗留问题及改革发展进程等情况，对</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级预算单位申报的预算建议进行审核，汇总编制</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级国有资本经营预算草案，报送</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人民代表大会审议。</w:t>
      </w:r>
    </w:p>
    <w:p w14:paraId="201025E5">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第六章 预算执行及调整</w:t>
      </w:r>
    </w:p>
    <w:p w14:paraId="34B9D491">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应严格按照</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人民代表大会批准的</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级国有资本经营预算执行，遵循先收后支的原则，区分轻重缓急。</w:t>
      </w:r>
    </w:p>
    <w:p w14:paraId="577494D3">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lang w:val="en-US" w:eastAsia="zh-CN"/>
        </w:rPr>
        <w:t>负责国有资本经营预算收入征收，市级国资预算单位负责具体组织、审核和监督</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级国资预算企业按</w:t>
      </w:r>
      <w:r>
        <w:rPr>
          <w:rFonts w:hint="eastAsia" w:ascii="仿宋_GB2312" w:hAnsi="仿宋_GB2312" w:eastAsia="仿宋_GB2312" w:cs="仿宋_GB2312"/>
          <w:color w:val="auto"/>
          <w:sz w:val="32"/>
          <w:szCs w:val="32"/>
          <w:lang w:val="en-US" w:eastAsia="zh-CN"/>
        </w:rPr>
        <w:t>规定上交收入</w:t>
      </w:r>
      <w:r>
        <w:rPr>
          <w:rFonts w:hint="eastAsia" w:ascii="仿宋_GB2312" w:hAnsi="仿宋_GB2312" w:eastAsia="仿宋_GB2312" w:cs="仿宋_GB2312"/>
          <w:color w:val="auto"/>
          <w:sz w:val="32"/>
          <w:szCs w:val="32"/>
        </w:rPr>
        <w:t>，于</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日前将国有资本经营预算收入足额缴入</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级金库。</w:t>
      </w:r>
    </w:p>
    <w:p w14:paraId="60A3811B">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级国资预算单位</w:t>
      </w:r>
      <w:r>
        <w:rPr>
          <w:rFonts w:hint="eastAsia" w:ascii="仿宋_GB2312" w:hAnsi="仿宋_GB2312" w:eastAsia="仿宋_GB2312" w:cs="仿宋_GB2312"/>
          <w:color w:val="auto"/>
          <w:sz w:val="32"/>
          <w:szCs w:val="32"/>
          <w:lang w:val="en-US" w:eastAsia="zh-CN"/>
        </w:rPr>
        <w:t>在经</w:t>
      </w:r>
      <w:r>
        <w:rPr>
          <w:rFonts w:hint="eastAsia" w:ascii="仿宋_GB2312" w:hAnsi="仿宋_GB2312" w:eastAsia="仿宋_GB2312" w:cs="仿宋_GB2312"/>
          <w:color w:val="auto"/>
          <w:sz w:val="32"/>
          <w:szCs w:val="32"/>
        </w:rPr>
        <w:t>批准的预算</w:t>
      </w:r>
      <w:r>
        <w:rPr>
          <w:rFonts w:hint="eastAsia" w:ascii="仿宋_GB2312" w:hAnsi="仿宋_GB2312" w:eastAsia="仿宋_GB2312" w:cs="仿宋_GB2312"/>
          <w:color w:val="auto"/>
          <w:sz w:val="32"/>
          <w:szCs w:val="32"/>
          <w:lang w:val="en-US" w:eastAsia="zh-CN"/>
        </w:rPr>
        <w:t>内</w:t>
      </w:r>
      <w:r>
        <w:rPr>
          <w:rFonts w:hint="eastAsia" w:ascii="仿宋_GB2312" w:hAnsi="仿宋_GB2312" w:eastAsia="仿宋_GB2312" w:cs="仿宋_GB2312"/>
          <w:color w:val="auto"/>
          <w:sz w:val="32"/>
          <w:szCs w:val="32"/>
        </w:rPr>
        <w:t>，汇总审核所监管</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级国资预算企业的预算支出项目</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rPr>
        <w:t>报送</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w:t>
      </w:r>
    </w:p>
    <w:p w14:paraId="78610EFB">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十</w:t>
      </w:r>
      <w:r>
        <w:rPr>
          <w:rFonts w:hint="eastAsia" w:ascii="仿宋_GB2312" w:hAnsi="仿宋_GB2312" w:eastAsia="仿宋_GB2312" w:cs="仿宋_GB2312"/>
          <w:b/>
          <w:bCs/>
          <w:color w:val="auto"/>
          <w:sz w:val="32"/>
          <w:szCs w:val="32"/>
          <w:lang w:val="en-US" w:eastAsia="zh-CN"/>
        </w:rPr>
        <w:t>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lang w:val="en-US" w:eastAsia="zh-CN"/>
        </w:rPr>
        <w:t>在经批准的预算内</w:t>
      </w:r>
      <w:r>
        <w:rPr>
          <w:rFonts w:hint="eastAsia" w:ascii="仿宋_GB2312" w:hAnsi="仿宋_GB2312" w:eastAsia="仿宋_GB2312" w:cs="仿宋_GB2312"/>
          <w:color w:val="auto"/>
          <w:sz w:val="32"/>
          <w:szCs w:val="32"/>
        </w:rPr>
        <w:t>，按照国库集中支付管理的规定，将资金拨付至</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级国资预算单位或</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级国资预算企业。</w:t>
      </w:r>
    </w:p>
    <w:p w14:paraId="2B278923">
      <w:pPr>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十</w:t>
      </w:r>
      <w:r>
        <w:rPr>
          <w:rFonts w:hint="eastAsia" w:ascii="仿宋_GB2312" w:hAnsi="仿宋_GB2312" w:eastAsia="仿宋_GB2312" w:cs="仿宋_GB2312"/>
          <w:b/>
          <w:bCs/>
          <w:color w:val="auto"/>
          <w:sz w:val="32"/>
          <w:szCs w:val="32"/>
          <w:lang w:val="en-US" w:eastAsia="zh-CN"/>
        </w:rPr>
        <w:t>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级国资预算单位或</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资预算企业应严格按照批准下达用途使用资金。属于国有企业资本金注入的，应及时按程序用于增加资本金，严格执行企业增资有关规定，原则上应于收到资金之日起一年内完成股权变更，落实国有资本权益。属于费用性支出的，要严格按规定使用，结余资金主动交回财政。市级国资预算单位</w:t>
      </w:r>
      <w:r>
        <w:rPr>
          <w:rFonts w:hint="eastAsia" w:ascii="仿宋_GB2312" w:hAnsi="仿宋_GB2312" w:eastAsia="仿宋_GB2312" w:cs="仿宋_GB2312"/>
          <w:color w:val="auto"/>
          <w:sz w:val="32"/>
          <w:szCs w:val="32"/>
          <w:lang w:val="en-US" w:eastAsia="zh-CN"/>
        </w:rPr>
        <w:t>汇总确认所属</w:t>
      </w:r>
      <w:r>
        <w:rPr>
          <w:rFonts w:hint="eastAsia" w:ascii="仿宋_GB2312" w:hAnsi="仿宋_GB2312" w:eastAsia="仿宋_GB2312" w:cs="仿宋_GB2312"/>
          <w:color w:val="auto"/>
          <w:sz w:val="32"/>
          <w:szCs w:val="32"/>
        </w:rPr>
        <w:t>市级国资预算企业</w:t>
      </w:r>
      <w:r>
        <w:rPr>
          <w:rFonts w:hint="eastAsia" w:ascii="仿宋_GB2312" w:hAnsi="仿宋_GB2312" w:eastAsia="仿宋_GB2312" w:cs="仿宋_GB2312"/>
          <w:color w:val="auto"/>
          <w:sz w:val="32"/>
          <w:szCs w:val="32"/>
          <w:lang w:val="en-US" w:eastAsia="zh-CN"/>
        </w:rPr>
        <w:t>上年度国有资本确权情况，并向市财政局报送。</w:t>
      </w:r>
    </w:p>
    <w:p w14:paraId="4718C8A8">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第三十条</w:t>
      </w:r>
      <w:r>
        <w:rPr>
          <w:rFonts w:hint="eastAsia" w:ascii="仿宋_GB2312" w:hAnsi="仿宋_GB2312" w:eastAsia="仿宋_GB2312" w:cs="仿宋_GB2312"/>
          <w:color w:val="auto"/>
          <w:sz w:val="32"/>
          <w:szCs w:val="32"/>
        </w:rPr>
        <w:t xml:space="preserve"> 在预算年度内，遇有重大事件、政策调整等因素，对预算执行产生较大影响时，可以进行预算调整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根据以收定支原则，增加支出，应有相应的收入来源弥补；出现短收，通过削减当年支出实现收支平衡，市级国资预算单位、市级国资预算企业负责详细说明增支、减收的原因。</w:t>
      </w:r>
      <w:r>
        <w:rPr>
          <w:rFonts w:hint="eastAsia" w:ascii="仿宋_GB2312" w:hAnsi="仿宋_GB2312" w:eastAsia="仿宋_GB2312" w:cs="仿宋_GB2312"/>
          <w:color w:val="auto"/>
          <w:sz w:val="32"/>
          <w:szCs w:val="32"/>
        </w:rPr>
        <w:t>国有资本经营预算调整方案，由</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按规定程序报送</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人大常委会批准后执行。</w:t>
      </w:r>
    </w:p>
    <w:p w14:paraId="33C69DBF">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第七章 决算</w:t>
      </w:r>
    </w:p>
    <w:p w14:paraId="575A5A34">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按照</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级决算编制统一要求，组织编制年度</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级国有资本经营决算草案。</w:t>
      </w:r>
    </w:p>
    <w:p w14:paraId="6419D807">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级国有资本经营预算决算草案应按规定提请</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人民代表大会常务委员会审查和批准。</w:t>
      </w:r>
    </w:p>
    <w:p w14:paraId="267AF27A">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第八章 绩效管理</w:t>
      </w:r>
    </w:p>
    <w:p w14:paraId="58F83A1A">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级国资预算单位、</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级国资预算企业应当建立健全对重大支出政策的事前绩效评估机制，强化绩效目标管理，做好绩效运行监控，加强绩效评价和结果应用。</w:t>
      </w:r>
    </w:p>
    <w:p w14:paraId="6919FA65">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级国资预算单位应将绩效评价结果作为安排国有资本经营预算支出的重要依据。</w:t>
      </w:r>
    </w:p>
    <w:p w14:paraId="66224A30">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eastAsia="zh-CN"/>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探索开展</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级国有资本经营预算整体绩效评价，重点关注落实国家战略和</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政府部署情况、支出结构、政策效果等，全面提升政策效能和资金效益。</w:t>
      </w:r>
    </w:p>
    <w:p w14:paraId="3419D50C">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第九章 监督检查</w:t>
      </w:r>
    </w:p>
    <w:p w14:paraId="3693D88D">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级国有资本经营预算主动接受人大和审计监督。</w:t>
      </w:r>
    </w:p>
    <w:p w14:paraId="1FDB9E28">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三十七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级国资预算单位应加强对</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级国有资本经营预算全过程管理，对重大政策执行情况、重点资金收支情况和重要管理环节</w:t>
      </w:r>
      <w:r>
        <w:rPr>
          <w:rFonts w:hint="eastAsia" w:ascii="仿宋_GB2312" w:hAnsi="仿宋_GB2312" w:eastAsia="仿宋_GB2312" w:cs="仿宋_GB2312"/>
          <w:color w:val="auto"/>
          <w:sz w:val="32"/>
          <w:szCs w:val="32"/>
          <w:lang w:eastAsia="zh-CN"/>
        </w:rPr>
        <w:t>、国有资本权益</w:t>
      </w:r>
      <w:r>
        <w:rPr>
          <w:rFonts w:hint="eastAsia" w:ascii="仿宋_GB2312" w:hAnsi="仿宋_GB2312" w:eastAsia="仿宋_GB2312" w:cs="仿宋_GB2312"/>
          <w:color w:val="auto"/>
          <w:sz w:val="32"/>
          <w:szCs w:val="32"/>
          <w:lang w:val="en-US" w:eastAsia="zh-CN"/>
        </w:rPr>
        <w:t>落实情况</w:t>
      </w:r>
      <w:r>
        <w:rPr>
          <w:rFonts w:hint="eastAsia" w:ascii="仿宋_GB2312" w:hAnsi="仿宋_GB2312" w:eastAsia="仿宋_GB2312" w:cs="仿宋_GB2312"/>
          <w:color w:val="auto"/>
          <w:sz w:val="32"/>
          <w:szCs w:val="32"/>
        </w:rPr>
        <w:t>开展监督检查，监督检查结果作为安排国有资本经营预算支出的重要依据。</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级国资预算企业应遵守各项法律法规和财经纪律，自觉接受财政、审计等部门监督检查。</w:t>
      </w:r>
    </w:p>
    <w:p w14:paraId="0F94EA82">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十</w:t>
      </w:r>
      <w:r>
        <w:rPr>
          <w:rFonts w:hint="eastAsia" w:ascii="仿宋_GB2312" w:hAnsi="仿宋_GB2312" w:eastAsia="仿宋_GB2312" w:cs="仿宋_GB2312"/>
          <w:b/>
          <w:bCs/>
          <w:color w:val="auto"/>
          <w:sz w:val="32"/>
          <w:szCs w:val="32"/>
          <w:lang w:val="en-US" w:eastAsia="zh-CN"/>
        </w:rPr>
        <w:t>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应按照政府信息公开有关规定及时向社会公开</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级国有资本经营预（决）算</w:t>
      </w:r>
      <w:r>
        <w:rPr>
          <w:rFonts w:hint="eastAsia" w:ascii="仿宋_GB2312" w:hAnsi="仿宋_GB2312" w:eastAsia="仿宋_GB2312" w:cs="仿宋_GB2312"/>
          <w:color w:val="auto"/>
          <w:sz w:val="32"/>
          <w:szCs w:val="32"/>
          <w:lang w:val="en-US" w:eastAsia="zh-CN"/>
        </w:rPr>
        <w:t>情况</w:t>
      </w:r>
      <w:r>
        <w:rPr>
          <w:rFonts w:hint="eastAsia" w:ascii="仿宋_GB2312" w:hAnsi="仿宋_GB2312" w:eastAsia="仿宋_GB2312" w:cs="仿宋_GB2312"/>
          <w:color w:val="auto"/>
          <w:sz w:val="32"/>
          <w:szCs w:val="32"/>
        </w:rPr>
        <w:t>。</w:t>
      </w:r>
    </w:p>
    <w:p w14:paraId="723A8F08">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十</w:t>
      </w:r>
      <w:r>
        <w:rPr>
          <w:rFonts w:hint="eastAsia" w:ascii="仿宋_GB2312" w:hAnsi="仿宋_GB2312" w:eastAsia="仿宋_GB2312" w:cs="仿宋_GB2312"/>
          <w:b/>
          <w:bCs/>
          <w:color w:val="auto"/>
          <w:sz w:val="32"/>
          <w:szCs w:val="32"/>
          <w:lang w:val="en-US" w:eastAsia="zh-CN"/>
        </w:rPr>
        <w:t>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对在</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级国有资本经营预算管理和执行过程中</w:t>
      </w:r>
      <w:r>
        <w:rPr>
          <w:rFonts w:hint="eastAsia" w:ascii="仿宋_GB2312" w:hAnsi="仿宋_GB2312" w:eastAsia="仿宋_GB2312" w:cs="仿宋_GB2312"/>
          <w:color w:val="auto"/>
          <w:sz w:val="32"/>
          <w:szCs w:val="32"/>
          <w:lang w:val="en-US" w:eastAsia="zh-CN"/>
        </w:rPr>
        <w:t>出现</w:t>
      </w:r>
      <w:r>
        <w:rPr>
          <w:rFonts w:hint="eastAsia" w:ascii="仿宋_GB2312" w:hAnsi="仿宋_GB2312" w:eastAsia="仿宋_GB2312" w:cs="仿宋_GB2312"/>
          <w:color w:val="auto"/>
          <w:sz w:val="32"/>
          <w:szCs w:val="32"/>
        </w:rPr>
        <w:t>的违法违规违纪行为，依照《中华人民共和国预算法》《财政违法行为处罚处分条例》《江苏</w:t>
      </w:r>
      <w:r>
        <w:rPr>
          <w:rFonts w:hint="eastAsia" w:ascii="仿宋_GB2312" w:hAnsi="仿宋_GB2312" w:eastAsia="仿宋_GB2312" w:cs="仿宋_GB2312"/>
          <w:color w:val="auto"/>
          <w:sz w:val="32"/>
          <w:szCs w:val="32"/>
          <w:lang w:val="en-US" w:eastAsia="zh-CN"/>
        </w:rPr>
        <w:t>省</w:t>
      </w:r>
      <w:r>
        <w:rPr>
          <w:rFonts w:hint="eastAsia" w:ascii="仿宋_GB2312" w:hAnsi="仿宋_GB2312" w:eastAsia="仿宋_GB2312" w:cs="仿宋_GB2312"/>
          <w:color w:val="auto"/>
          <w:sz w:val="32"/>
          <w:szCs w:val="32"/>
        </w:rPr>
        <w:t>财政监督条例》等</w:t>
      </w:r>
      <w:r>
        <w:rPr>
          <w:rFonts w:hint="eastAsia" w:ascii="仿宋_GB2312" w:hAnsi="仿宋_GB2312" w:eastAsia="仿宋_GB2312" w:cs="仿宋_GB2312"/>
          <w:color w:val="auto"/>
          <w:sz w:val="32"/>
          <w:szCs w:val="32"/>
          <w:lang w:val="en-US" w:eastAsia="zh-CN"/>
        </w:rPr>
        <w:t>法律法规，</w:t>
      </w:r>
      <w:r>
        <w:rPr>
          <w:rFonts w:hint="eastAsia" w:ascii="仿宋_GB2312" w:hAnsi="仿宋_GB2312" w:eastAsia="仿宋_GB2312" w:cs="仿宋_GB2312"/>
          <w:color w:val="auto"/>
          <w:sz w:val="32"/>
          <w:szCs w:val="32"/>
        </w:rPr>
        <w:t>追究</w:t>
      </w:r>
      <w:r>
        <w:rPr>
          <w:rFonts w:hint="eastAsia" w:ascii="仿宋_GB2312" w:hAnsi="仿宋_GB2312" w:eastAsia="仿宋_GB2312" w:cs="仿宋_GB2312"/>
          <w:color w:val="auto"/>
          <w:sz w:val="32"/>
          <w:szCs w:val="32"/>
          <w:lang w:val="en-US" w:eastAsia="zh-CN"/>
        </w:rPr>
        <w:t>相关部门及人员的</w:t>
      </w:r>
      <w:r>
        <w:rPr>
          <w:rFonts w:hint="eastAsia" w:ascii="仿宋_GB2312" w:hAnsi="仿宋_GB2312" w:eastAsia="仿宋_GB2312" w:cs="仿宋_GB2312"/>
          <w:color w:val="auto"/>
          <w:sz w:val="32"/>
          <w:szCs w:val="32"/>
        </w:rPr>
        <w:t>相应责任。涉嫌犯罪的，移送司法机关处理。</w:t>
      </w:r>
    </w:p>
    <w:p w14:paraId="6BA234E9">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第十章 附则</w:t>
      </w:r>
    </w:p>
    <w:p w14:paraId="60102CD4">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第四十条</w:t>
      </w:r>
      <w:r>
        <w:rPr>
          <w:rFonts w:hint="eastAsia" w:ascii="仿宋_GB2312" w:hAnsi="仿宋_GB2312" w:eastAsia="仿宋_GB2312" w:cs="仿宋_GB2312"/>
          <w:color w:val="auto"/>
          <w:sz w:val="32"/>
          <w:szCs w:val="32"/>
        </w:rPr>
        <w:t xml:space="preserve"> 各县（市）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财政部门可参照本办法制定本级国有资本经营预算管理办法。</w:t>
      </w:r>
    </w:p>
    <w:p w14:paraId="2668A3C8">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第四十</w:t>
      </w:r>
      <w:r>
        <w:rPr>
          <w:rFonts w:hint="eastAsia" w:ascii="仿宋_GB2312" w:hAnsi="仿宋_GB2312" w:eastAsia="仿宋_GB2312" w:cs="仿宋_GB2312"/>
          <w:b/>
          <w:bCs/>
          <w:color w:val="auto"/>
          <w:sz w:val="32"/>
          <w:szCs w:val="32"/>
          <w:lang w:eastAsia="zh-CN"/>
        </w:rPr>
        <w:t>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本办法自</w:t>
      </w:r>
      <w:r>
        <w:rPr>
          <w:rFonts w:hint="eastAsia"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rPr>
        <w:t>年 月 日起施行。《</w:t>
      </w:r>
      <w:r>
        <w:rPr>
          <w:rFonts w:hint="eastAsia" w:ascii="仿宋_GB2312" w:hAnsi="仿宋_GB2312" w:eastAsia="仿宋_GB2312" w:cs="仿宋_GB2312"/>
          <w:color w:val="auto"/>
          <w:sz w:val="32"/>
          <w:szCs w:val="32"/>
          <w:lang w:val="en-US" w:eastAsia="zh-CN"/>
        </w:rPr>
        <w:t>苏州</w:t>
      </w:r>
      <w:r>
        <w:rPr>
          <w:rFonts w:hint="eastAsia" w:ascii="仿宋_GB2312" w:hAnsi="仿宋_GB2312" w:eastAsia="仿宋_GB2312" w:cs="仿宋_GB2312"/>
          <w:color w:val="auto"/>
          <w:sz w:val="32"/>
          <w:szCs w:val="32"/>
          <w:lang w:eastAsia="zh-CN"/>
        </w:rPr>
        <w:t>市市</w:t>
      </w:r>
      <w:r>
        <w:rPr>
          <w:rFonts w:hint="eastAsia" w:ascii="仿宋_GB2312" w:hAnsi="仿宋_GB2312" w:eastAsia="仿宋_GB2312" w:cs="仿宋_GB2312"/>
          <w:color w:val="auto"/>
          <w:sz w:val="32"/>
          <w:szCs w:val="32"/>
        </w:rPr>
        <w:t>级国有资本经营预算支出管理暂行办法（苏财规〔20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号）》同时废止。</w:t>
      </w:r>
    </w:p>
    <w:p w14:paraId="106FF37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B82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2025-04-02T01:00:44Z</dcterms:created>
  <dc:creator>759-1</dc:creator>
  <cp:lastModifiedBy>GFO</cp:lastModifiedBy>
  <dcterms:modified xsi:type="dcterms:W3CDTF">2025-04-02T01:00:49Z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eyJoZGlkIjoiNWI5YTgxNjQ1YmZlMTAwZTBjYWFhNTIzZDYyY2IxYzUiLCJ1c2VySWQiOiIzMTMyMjIwMjEifQ==</vt:lpwstr>
  </property>
  <property fmtid="{D5CDD505-2E9C-101B-9397-08002B2CF9AE}" pid="4" name="ICV">
    <vt:lpwstr>F8FA9F9117A049F5BCC30EBD6C6CBDAB_12</vt:lpwstr>
  </property>
</Properties>
</file>