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sz w:val="32"/>
          <w:szCs w:val="32"/>
        </w:rPr>
      </w:pPr>
      <w:r>
        <w:rPr>
          <w:rFonts w:hint="eastAsia" w:ascii="黑体" w:hAnsi="黑体" w:eastAsia="黑体" w:cs="黑体"/>
          <w:b w:val="0"/>
          <w:bCs/>
          <w:sz w:val="32"/>
          <w:szCs w:val="32"/>
        </w:rPr>
        <w:t>附件</w:t>
      </w:r>
    </w:p>
    <w:p>
      <w:pPr>
        <w:jc w:val="center"/>
        <w:rPr>
          <w:rFonts w:ascii="黑体" w:hAnsi="黑体" w:eastAsia="黑体" w:cs="黑体"/>
          <w:sz w:val="36"/>
          <w:szCs w:val="36"/>
        </w:rPr>
      </w:pPr>
    </w:p>
    <w:p>
      <w:pPr>
        <w:keepNext w:val="0"/>
        <w:keepLines w:val="0"/>
        <w:pageBreakBefore w:val="0"/>
        <w:widowControl w:val="0"/>
        <w:kinsoku/>
        <w:wordWrap/>
        <w:overflowPunct/>
        <w:topLinePunct w:val="0"/>
        <w:autoSpaceDE/>
        <w:autoSpaceDN/>
        <w:bidi w:val="0"/>
        <w:adjustRightInd/>
        <w:snapToGrid/>
        <w:spacing w:after="164" w:afterLines="50"/>
        <w:jc w:val="center"/>
        <w:textAlignment w:val="auto"/>
        <w:rPr>
          <w:rFonts w:hint="eastAsia" w:ascii="黑体" w:hAnsi="黑体" w:eastAsia="黑体" w:cs="黑体"/>
          <w:sz w:val="36"/>
          <w:szCs w:val="36"/>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年交通运输标准化计划项目（第</w:t>
      </w: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z w:val="44"/>
          <w:szCs w:val="44"/>
        </w:rPr>
        <w:t>批）</w:t>
      </w:r>
    </w:p>
    <w:p>
      <w:pPr>
        <w:ind w:firstLine="0" w:firstLineChars="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一、行业标准</w:t>
      </w:r>
    </w:p>
    <w:tbl>
      <w:tblPr>
        <w:tblStyle w:val="13"/>
        <w:tblW w:w="153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527"/>
        <w:gridCol w:w="1423"/>
        <w:gridCol w:w="2170"/>
        <w:gridCol w:w="3480"/>
        <w:gridCol w:w="976"/>
        <w:gridCol w:w="1438"/>
        <w:gridCol w:w="1049"/>
        <w:gridCol w:w="1109"/>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67" w:hRule="atLeast"/>
          <w:tblHeader/>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bookmarkStart w:id="0" w:name="OLE_LINK11"/>
            <w:r>
              <w:rPr>
                <w:rFonts w:hint="eastAsia" w:ascii="黑体" w:hAnsi="黑体" w:eastAsia="黑体" w:cs="黑体"/>
                <w:b w:val="0"/>
                <w:bCs w:val="0"/>
                <w:sz w:val="21"/>
                <w:szCs w:val="21"/>
              </w:rPr>
              <w:t>序号</w:t>
            </w:r>
          </w:p>
        </w:tc>
        <w:tc>
          <w:tcPr>
            <w:tcW w:w="14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计划编号</w:t>
            </w:r>
          </w:p>
        </w:tc>
        <w:tc>
          <w:tcPr>
            <w:tcW w:w="217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项目名称</w:t>
            </w:r>
          </w:p>
        </w:tc>
        <w:tc>
          <w:tcPr>
            <w:tcW w:w="348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范围和主要技术内容</w:t>
            </w:r>
          </w:p>
        </w:tc>
        <w:tc>
          <w:tcPr>
            <w:tcW w:w="9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制修订</w:t>
            </w:r>
          </w:p>
        </w:tc>
        <w:tc>
          <w:tcPr>
            <w:tcW w:w="143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代替标准</w:t>
            </w:r>
          </w:p>
        </w:tc>
        <w:tc>
          <w:tcPr>
            <w:tcW w:w="104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完成周期(月)</w:t>
            </w:r>
          </w:p>
        </w:tc>
        <w:tc>
          <w:tcPr>
            <w:tcW w:w="110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技术归口</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单位</w:t>
            </w:r>
          </w:p>
        </w:tc>
        <w:tc>
          <w:tcPr>
            <w:tcW w:w="320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主要起草单位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118"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1</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bookmarkStart w:id="1" w:name="OLE_LINK1"/>
            <w:r>
              <w:rPr>
                <w:rFonts w:hint="default" w:ascii="Times New Roman" w:hAnsi="Times New Roman" w:eastAsia="宋体" w:cs="Times New Roman"/>
                <w:bCs/>
                <w:sz w:val="21"/>
                <w:szCs w:val="21"/>
                <w:lang w:val="en-US" w:eastAsia="zh-CN"/>
              </w:rPr>
              <w:t>JT 2025-01</w:t>
            </w:r>
            <w:bookmarkEnd w:id="1"/>
          </w:p>
        </w:tc>
        <w:tc>
          <w:tcPr>
            <w:tcW w:w="217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综合运输通道评价技术导则</w:t>
            </w:r>
          </w:p>
        </w:tc>
        <w:tc>
          <w:tcPr>
            <w:tcW w:w="34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拟规定综合运输通道的评价对象、评价内容、评价指标体系和成果要求。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适用于全国、区域、省域综合运输通道体系，以及单条综合运输通道的评价。</w:t>
            </w:r>
          </w:p>
        </w:tc>
        <w:tc>
          <w:tcPr>
            <w:tcW w:w="9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制</w:t>
            </w:r>
            <w:bookmarkStart w:id="12" w:name="_GoBack"/>
            <w:bookmarkEnd w:id="12"/>
            <w:r>
              <w:rPr>
                <w:rFonts w:hint="eastAsia" w:ascii="宋体" w:hAnsi="宋体" w:eastAsia="宋体" w:cs="宋体"/>
                <w:bCs/>
                <w:sz w:val="21"/>
                <w:szCs w:val="21"/>
                <w:lang w:val="en-US" w:eastAsia="zh-CN"/>
              </w:rPr>
              <w:t>定</w:t>
            </w:r>
          </w:p>
        </w:tc>
        <w:tc>
          <w:tcPr>
            <w:tcW w:w="143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p>
        </w:tc>
        <w:tc>
          <w:tcPr>
            <w:tcW w:w="104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18</w:t>
            </w:r>
          </w:p>
        </w:tc>
        <w:tc>
          <w:tcPr>
            <w:tcW w:w="1109"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综合运输标委会</w:t>
            </w:r>
          </w:p>
        </w:tc>
        <w:tc>
          <w:tcPr>
            <w:tcW w:w="3201"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交通运输部规划研究院、交通运输部科学研究院、国家铁路局规划与标准研究院、浙江数智交院科技股份有限公司、东南大学</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118"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2</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bookmarkStart w:id="2" w:name="OLE_LINK2"/>
            <w:r>
              <w:rPr>
                <w:rFonts w:hint="default" w:ascii="Times New Roman" w:hAnsi="Times New Roman" w:eastAsia="宋体" w:cs="Times New Roman"/>
                <w:bCs/>
                <w:sz w:val="21"/>
                <w:szCs w:val="21"/>
                <w:lang w:val="en-US" w:eastAsia="zh-CN"/>
              </w:rPr>
              <w:t>JT 2025-02</w:t>
            </w:r>
            <w:bookmarkEnd w:id="2"/>
          </w:p>
        </w:tc>
        <w:tc>
          <w:tcPr>
            <w:tcW w:w="217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交通运输分级分类运行监测通用要求</w:t>
            </w:r>
          </w:p>
        </w:tc>
        <w:tc>
          <w:tcPr>
            <w:tcW w:w="34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拟规定交通运输分级分类运行监测的总体原则，以及运行监测对象、分级分类运行监测内容、运行监测异常预警、数据安全及管理。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适用于公路、水路运输领域的运行监测和管理，铁路、民航、邮政领域参照使用。</w:t>
            </w:r>
          </w:p>
        </w:tc>
        <w:tc>
          <w:tcPr>
            <w:tcW w:w="9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制定</w:t>
            </w:r>
          </w:p>
        </w:tc>
        <w:tc>
          <w:tcPr>
            <w:tcW w:w="143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p>
        </w:tc>
        <w:tc>
          <w:tcPr>
            <w:tcW w:w="104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18</w:t>
            </w:r>
          </w:p>
        </w:tc>
        <w:tc>
          <w:tcPr>
            <w:tcW w:w="1109"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综合运输标委会</w:t>
            </w:r>
          </w:p>
        </w:tc>
        <w:tc>
          <w:tcPr>
            <w:tcW w:w="3201"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交通运输部科学研究院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1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eastAsia="zh-CN"/>
              </w:rPr>
            </w:pPr>
            <w:r>
              <w:rPr>
                <w:rFonts w:hint="default" w:ascii="Times New Roman" w:hAnsi="Times New Roman" w:eastAsia="宋体" w:cs="Times New Roman"/>
                <w:bCs/>
                <w:sz w:val="21"/>
                <w:szCs w:val="21"/>
                <w:lang w:val="en-US" w:eastAsia="zh-CN"/>
              </w:rPr>
              <w:t>3</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2025-03</w:t>
            </w:r>
          </w:p>
        </w:tc>
        <w:tc>
          <w:tcPr>
            <w:tcW w:w="217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公路铁路并行路段设计技术规范</w:t>
            </w:r>
          </w:p>
        </w:tc>
        <w:tc>
          <w:tcPr>
            <w:tcW w:w="3480"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现行标准规定了公路与铁路并行路段工程设计的基本规定、总体路线（线路）、路基及排水、桥梁涵洞、安全防护设施、特殊公铁并行、一般建设规定等技术要求。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适用于公路与铁路并行路段的公路、铁路设计，涵盖的公路包括高速公路、一级公路、二级公路、三级公路、四级公路，涵盖的铁路包括高速铁路、城际铁路、客货共线铁路、重载铁路。</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主要修订内容：1.更改了公铁并行分级和分类的规定；2.更改了公铁并行间距要求；3.更改了公路护栏与防撞设施的设置要求；4.增加了安全性评价章节；5.更改了公铁并行工程建设管理规定。</w:t>
            </w:r>
          </w:p>
        </w:tc>
        <w:tc>
          <w:tcPr>
            <w:tcW w:w="9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修订</w:t>
            </w:r>
          </w:p>
        </w:tc>
        <w:tc>
          <w:tcPr>
            <w:tcW w:w="143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bookmarkStart w:id="3" w:name="OLE_LINK13"/>
            <w:r>
              <w:rPr>
                <w:rFonts w:hint="default" w:ascii="Times New Roman" w:hAnsi="Times New Roman" w:eastAsia="宋体" w:cs="Times New Roman"/>
                <w:bCs/>
                <w:sz w:val="21"/>
                <w:szCs w:val="21"/>
                <w:lang w:val="en-US" w:eastAsia="zh-CN"/>
              </w:rPr>
              <w:t>JT/T 1116</w:t>
            </w:r>
            <w:r>
              <w:rPr>
                <w:rFonts w:hint="eastAsia" w:ascii="Times New Roman" w:hAnsi="Times New Roman" w:eastAsia="宋体" w:cs="Times New Roman"/>
                <w:bCs/>
                <w:sz w:val="21"/>
                <w:szCs w:val="21"/>
                <w:lang w:val="en-US" w:eastAsia="zh-CN"/>
              </w:rPr>
              <w:t>—</w:t>
            </w:r>
            <w:r>
              <w:rPr>
                <w:rFonts w:hint="default" w:ascii="Times New Roman" w:hAnsi="Times New Roman" w:eastAsia="宋体" w:cs="Times New Roman"/>
                <w:bCs/>
                <w:sz w:val="21"/>
                <w:szCs w:val="21"/>
                <w:lang w:val="en-US" w:eastAsia="zh-CN"/>
              </w:rPr>
              <w:t>2017</w:t>
            </w:r>
            <w:bookmarkEnd w:id="3"/>
          </w:p>
        </w:tc>
        <w:tc>
          <w:tcPr>
            <w:tcW w:w="104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lang w:val="en-US" w:eastAsia="zh-CN"/>
              </w:rPr>
              <w:t>12</w:t>
            </w:r>
          </w:p>
        </w:tc>
        <w:tc>
          <w:tcPr>
            <w:tcW w:w="1109"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rPr>
            </w:pPr>
            <w:r>
              <w:rPr>
                <w:rFonts w:hint="eastAsia" w:ascii="宋体" w:hAnsi="宋体" w:eastAsia="宋体" w:cs="宋体"/>
                <w:bCs/>
                <w:sz w:val="21"/>
                <w:szCs w:val="21"/>
                <w:lang w:val="en-US" w:eastAsia="zh-CN"/>
              </w:rPr>
              <w:t>综合运输标委会</w:t>
            </w:r>
          </w:p>
        </w:tc>
        <w:tc>
          <w:tcPr>
            <w:tcW w:w="3201"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rPr>
            </w:pPr>
            <w:r>
              <w:rPr>
                <w:rFonts w:hint="eastAsia" w:ascii="宋体" w:hAnsi="宋体" w:eastAsia="宋体" w:cs="宋体"/>
                <w:bCs/>
                <w:sz w:val="21"/>
                <w:szCs w:val="21"/>
                <w:lang w:val="en-US" w:eastAsia="zh-CN"/>
              </w:rPr>
              <w:t>中交第一公路勘察设计研究院有限公司、中铁第一勘察设计院集团有限公司、交通运输部科学研究院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7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4</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sz w:val="21"/>
                <w:szCs w:val="21"/>
                <w:lang w:val="en-US" w:eastAsia="zh-CN"/>
              </w:rPr>
              <w:t>JT 2025-04</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bCs/>
                <w:sz w:val="21"/>
                <w:szCs w:val="21"/>
                <w:lang w:val="en-US" w:eastAsia="zh-CN"/>
              </w:rPr>
            </w:pPr>
            <w:r>
              <w:rPr>
                <w:rFonts w:hint="eastAsia" w:ascii="宋体" w:hAnsi="宋体" w:eastAsia="宋体" w:cs="宋体"/>
                <w:color w:val="000000"/>
                <w:kern w:val="0"/>
                <w:sz w:val="21"/>
                <w:szCs w:val="21"/>
                <w:lang w:val="en-US" w:eastAsia="zh-CN" w:bidi="ar"/>
              </w:rPr>
              <w:t>冷藏集装箱运输温控管理技术要求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拟规定冷藏集装箱运输作业流程、人员、提箱作业、装箱作业、堆场作业、运输作业、交接检查、拆箱作业和还箱作业的温控管理要求。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bCs/>
                <w:sz w:val="21"/>
                <w:szCs w:val="21"/>
                <w:lang w:val="en-US" w:eastAsia="zh-CN"/>
              </w:rPr>
            </w:pPr>
            <w:r>
              <w:rPr>
                <w:rFonts w:hint="eastAsia" w:ascii="宋体" w:hAnsi="宋体" w:eastAsia="宋体" w:cs="宋体"/>
                <w:color w:val="000000"/>
                <w:kern w:val="0"/>
                <w:sz w:val="21"/>
                <w:szCs w:val="21"/>
                <w:lang w:val="en-US" w:eastAsia="zh-CN" w:bidi="ar"/>
              </w:rPr>
              <w:t>适用于冷藏集装箱运输温控管理。</w:t>
            </w:r>
          </w:p>
        </w:tc>
        <w:tc>
          <w:tcPr>
            <w:tcW w:w="9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宋体" w:hAnsi="宋体" w:eastAsia="宋体" w:cs="宋体"/>
                <w:bCs/>
                <w:sz w:val="21"/>
                <w:szCs w:val="21"/>
                <w:lang w:val="en-US" w:eastAsia="zh-CN"/>
              </w:rPr>
            </w:pPr>
            <w:r>
              <w:rPr>
                <w:rFonts w:hint="eastAsia" w:ascii="宋体" w:hAnsi="宋体" w:eastAsia="宋体" w:cs="宋体"/>
                <w:color w:val="000000"/>
                <w:sz w:val="21"/>
                <w:szCs w:val="21"/>
                <w:lang w:val="en-US" w:eastAsia="zh-CN" w:bidi="ar"/>
              </w:rPr>
              <w:t>制定</w:t>
            </w:r>
          </w:p>
        </w:tc>
        <w:tc>
          <w:tcPr>
            <w:tcW w:w="1438"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rPr>
                <w:rFonts w:hint="eastAsia" w:ascii="宋体" w:hAnsi="宋体" w:eastAsia="宋体" w:cs="宋体"/>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2"/>
                <w:sz w:val="21"/>
                <w:szCs w:val="21"/>
                <w:lang w:val="en-US" w:eastAsia="zh-CN" w:bidi="ar"/>
              </w:rPr>
              <w:t>16</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bCs/>
                <w:sz w:val="21"/>
                <w:szCs w:val="21"/>
                <w:lang w:val="en-US" w:eastAsia="zh-CN"/>
              </w:rPr>
            </w:pPr>
            <w:r>
              <w:rPr>
                <w:rFonts w:hint="eastAsia" w:ascii="宋体" w:hAnsi="宋体" w:eastAsia="宋体" w:cs="宋体"/>
                <w:color w:val="000000"/>
                <w:kern w:val="0"/>
                <w:sz w:val="21"/>
                <w:szCs w:val="21"/>
                <w:lang w:val="en-US" w:eastAsia="zh-CN" w:bidi="ar"/>
              </w:rPr>
              <w:t>集装箱标委会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bCs/>
                <w:sz w:val="21"/>
                <w:szCs w:val="21"/>
                <w:lang w:val="en-US" w:eastAsia="zh-CN"/>
              </w:rPr>
            </w:pPr>
            <w:r>
              <w:rPr>
                <w:rFonts w:hint="eastAsia" w:ascii="宋体" w:hAnsi="宋体" w:eastAsia="宋体" w:cs="宋体"/>
                <w:color w:val="000000"/>
                <w:kern w:val="0"/>
                <w:sz w:val="21"/>
                <w:szCs w:val="21"/>
                <w:lang w:val="en-US" w:eastAsia="zh-CN" w:bidi="ar"/>
              </w:rPr>
              <w:t>上海海联智通信息科技有限公司、交通运输部水运科学研究所、中远海运集装箱运输有限公司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7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5</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sz w:val="21"/>
                <w:szCs w:val="21"/>
                <w:lang w:val="en-US" w:eastAsia="zh-CN"/>
              </w:rPr>
              <w:t>JT 2025-05</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沿海干散货水路运输电子运单  第1部分：水路货物运单</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拟规定沿海干散货运输电子水路货物运单的总体要求、数据交互要求和使用要求。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适用于沿海干散货运输电子水路货物运单的数据交换与共享。</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eastAsia" w:ascii="宋体" w:hAnsi="宋体" w:eastAsia="宋体" w:cs="宋体"/>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内河船与水路运输标委会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中远海运散货运输有限公司、广州振华航科有限公司、交通运输部水运科学研究所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70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6</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sz w:val="21"/>
                <w:szCs w:val="21"/>
                <w:lang w:val="en-US" w:eastAsia="zh-CN"/>
              </w:rPr>
              <w:t>JT 2025-06</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沿海干散货水路运输电子运单  第2部分：货物交接清单</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拟规定沿海干散货运输电子货物交接清单的总体要求、数据交互要求和使用要求。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适用于沿海干散货运输电子货物交接清单的数据交换与共享。</w:t>
            </w:r>
          </w:p>
        </w:tc>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内河船与水路运输标委会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中远海运散货运输有限公司、广州振华航科有限公司、交通运输部水运科学研究所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70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7</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bCs/>
                <w:sz w:val="21"/>
                <w:szCs w:val="21"/>
                <w:lang w:val="en-US" w:eastAsia="zh-CN"/>
              </w:rPr>
              <w:t>JT 2025-07</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沿海干散货水路运输电子运单 第3部分：装卸时间事实记录</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拟规定沿海干散货运输电子装卸时间事实记录的总体要求、数据交互要求和使用要求。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适用于沿海干散货运输电子装卸时间事实记录的数据交换与共享。</w:t>
            </w:r>
          </w:p>
        </w:tc>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内河船与水路运输标委会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中远海运散货运输有限公司、广州振华航科有限公司、交通运输部水运科学研究所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70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8</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bookmarkStart w:id="4" w:name="OLE_LINK3"/>
            <w:r>
              <w:rPr>
                <w:rFonts w:hint="default" w:ascii="Times New Roman" w:hAnsi="Times New Roman" w:eastAsia="宋体" w:cs="Times New Roman"/>
                <w:bCs/>
                <w:sz w:val="21"/>
                <w:szCs w:val="21"/>
                <w:lang w:val="en-US" w:eastAsia="zh-CN"/>
              </w:rPr>
              <w:t>JT 2025-08</w:t>
            </w:r>
            <w:bookmarkEnd w:id="4"/>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电动船舶应急响应计划编制要求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拟规定电动船舶应急响应计划编制程序和内容要求。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适用于新建电动船舶。</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内河船与水路运输标委会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交通运输部水运科学研究所等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70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9</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2025-09</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桥梁风障</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现行标准规定了桥梁风障的分类、型号、结构形式及规格、技术要求、试验方法、检验规则、标志、包装、运输和储存等。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适用于共挤UV聚碳酸酯（PC）耐力板和聚甲基丙烯酸甲酯（PMMA）板制作的桥梁风障，其他材料制作的桥梁风障可参照使用。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主要修订内容：1.增加桥梁风障的典型形式；2.梳理桥梁风障的参数指标；3.完善桥梁风障的力学性能要求。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修订</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2"/>
                <w:sz w:val="21"/>
                <w:szCs w:val="21"/>
                <w:lang w:val="en-US" w:eastAsia="zh-CN" w:bidi="ar"/>
              </w:rPr>
              <w:t>JT/T 870</w:t>
            </w:r>
            <w:r>
              <w:rPr>
                <w:rFonts w:hint="eastAsia" w:ascii="Times New Roman" w:hAnsi="Times New Roman" w:eastAsia="宋体" w:cs="Times New Roman"/>
                <w:color w:val="000000"/>
                <w:kern w:val="2"/>
                <w:sz w:val="21"/>
                <w:szCs w:val="21"/>
                <w:lang w:val="en-US" w:eastAsia="zh-CN" w:bidi="ar"/>
              </w:rPr>
              <w:t>—</w:t>
            </w:r>
            <w:r>
              <w:rPr>
                <w:rFonts w:hint="default" w:ascii="Times New Roman" w:hAnsi="Times New Roman" w:eastAsia="宋体" w:cs="Times New Roman"/>
                <w:color w:val="000000"/>
                <w:kern w:val="2"/>
                <w:sz w:val="21"/>
                <w:szCs w:val="21"/>
                <w:lang w:val="en-US" w:eastAsia="zh-CN" w:bidi="ar"/>
              </w:rPr>
              <w:t>2013</w:t>
            </w: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18</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交通工程标委会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中交公路规划设计院有限公司、浙江交工集团股份有限公司、同济大学、西南交通大学、浙江华帅特新材料科技有限公司、上海品诚控股集团有限公司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98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bookmarkStart w:id="5" w:name="OLE_LINK4" w:colFirst="4" w:colLast="5"/>
            <w:r>
              <w:rPr>
                <w:rFonts w:hint="default" w:ascii="Times New Roman" w:hAnsi="Times New Roman" w:eastAsia="宋体" w:cs="Times New Roman"/>
                <w:bCs/>
                <w:sz w:val="21"/>
                <w:szCs w:val="21"/>
                <w:lang w:val="en-US" w:eastAsia="zh-CN"/>
              </w:rPr>
              <w:t>10</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宋体" w:hAnsi="宋体" w:eastAsia="宋体" w:cs="宋体"/>
                <w:bCs/>
                <w:sz w:val="21"/>
                <w:szCs w:val="21"/>
                <w:lang w:val="en-US" w:eastAsia="zh-CN"/>
              </w:rPr>
            </w:pPr>
            <w:bookmarkStart w:id="6" w:name="OLE_LINK5"/>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10</w:t>
            </w:r>
            <w:bookmarkEnd w:id="6"/>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营运车辆遇险主动报警示位终端 第1部分：总体技术要求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拟规定营运车辆遇险主动报警示位终端的总体技术要求，包括一般要求、结构要求、环境条件及安装、使用、维护要求等。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适用于安装在营运车辆上的遇险主动报警示位终端，也可用于相关设备的设计、制造、检测和使用。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智能运输标委会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中路高科交通科技集团有限公司、北京交通大学、新疆交通投资（集团）有限责任公司、中国汽车工程研究院股份有限公司、中国交通信息通信中心、交信北斗科技有限公司、交通运输部公路科学研究所</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98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11</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11</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营运车辆遇险主动报警示位终端 第2部分：功能和性能要求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拟规定营运车辆遇险主动报警示位终端的功能和性能要求，包括自检、遇险事件识别、北斗定位与自动示位、通信、自动报警、电气性能要求和环境适应性要求等。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适用于安装在营运车辆上的遇险主动报警示位终端，也可用于相关设备的设计、制造、检测和使用。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智能运输标委会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中路高科交通科技集团有限公司、北京交通大学、新疆交通投资（集团）有限责任公司、中国汽车工程研究院股份有限公司、中国交通信息通信中心、交信北斗科技有限公司、交通运输部公路科学研究所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98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12</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bookmarkStart w:id="7" w:name="OLE_LINK6"/>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12</w:t>
            </w:r>
            <w:bookmarkEnd w:id="7"/>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营运车辆遇险主动报警示位终端 第3部分：测试规程</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拟规定营运车辆遇险主动报警示位终端的测试规程，包括测试规则、外观及结构测试、功能及性能测试、环境适应性测试、安装后测试等。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适用于在规定测试环境对遇险主动报警示位终端进行规范性测试。</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智能运输标委会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中路高科交通科技集团有限公司、北京交通大学、新疆交通投资（集团）有限责任公司、中国汽车工程研究院股份有限公司、中国交通信息通信中心、交信北斗科技有限公司、交通运输部公路科学研究所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98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13</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13</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多功能交通调查站 第1部分：建设技术要求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拟规定多功能交通调查站的布局和选址、建设、站点编码、站点基础信息、验收和维护等要求。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适用于多功能交通调查站的布局、建设、验收和维护工作。</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智能运输标委会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交通运输部规划研究院、交通运输部公路科学研究所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58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14</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14</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多功能交通调查站 第2部分：采集技术要求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拟规定多功能交通调查站的一般要求、功能要求、性能要求、采集装置、辅助照明装置要求。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适用于多功能交通调查站采集数据过程中要满足功能和性能要求。</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智能运输标委会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交通运输部规划研究院、交通运输部公路科学研究所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58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15</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bookmarkStart w:id="8" w:name="OLE_LINK7"/>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15</w:t>
            </w:r>
            <w:bookmarkEnd w:id="8"/>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多功能交通调查站 第3部分：数据传输技术要求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拟规定多功能交通调查站数据预处理、数据传输、数据汇总、数据存储等。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适用于多功能交通调查站的数据管理、数据处理工作。</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eastAsia" w:ascii="宋体" w:hAnsi="宋体" w:eastAsia="宋体" w:cs="宋体"/>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智能运输标委会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交通运输部规划研究院、交通运输部公路科学研究所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58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16</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16</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港口散杂货车辆集疏港电子计划单</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拟规定港口散杂货车辆在集疏港作业中电子计划单的总体要求与数据交换要求。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适用于散杂货在港口出口集港入货与进口疏港提货业务中的数据交换。</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港口标委会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山东港口青岛港集团有限公司、交通运输部水运科学研究所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58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17</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bookmarkStart w:id="9" w:name="OLE_LINK8"/>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17</w:t>
            </w:r>
            <w:bookmarkEnd w:id="9"/>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港口散杂货汽车电子磅单</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拟规定港口散杂货汽车电子磅单的总体要求与数据交换要求。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适用于散杂货汽车电子磅单在港口集港和疏港业务中的数据交换。</w:t>
            </w:r>
          </w:p>
        </w:tc>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港口标委会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交通运输部水运科学研究所、山东港口青岛港集团有限公司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58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18</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18</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水上业务无线电监测站建设规范</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拟规定水上业务无线电监测站的建设和技术要求，包括所承担的监测业务、所涉及的监测系统、基础设施和安全维护等。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适用于各级水上业务无线电监测站的建设。</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航海安全标委会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交通运输部水运科学研究所、国家无线电监测中心、交通运输部南海航海保障中心、交通运输部东海航海保障中心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1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19</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bookmarkStart w:id="10" w:name="OLE_LINK9"/>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19</w:t>
            </w:r>
            <w:bookmarkEnd w:id="10"/>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载运危险货物干货集装箱追踪和监控设备安全技术规范</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拟规定安装在载运危险货物的干货集装箱上的追踪和监控设备的功能要求、数据项要求、性能要求、工作环境要求、安全要求、安装要求、标识要求。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适用于安装有追踪和监控设备的载运危险货物干货集装箱的水路运输和多式联运及其作业过程的追踪和监控。</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航海安全标委会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中远海运集装箱运输有限公司、上海海事局、上海海联智通信息科技有限公司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1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bookmarkStart w:id="11" w:name="OLE_LINK10" w:colFirst="0" w:colLast="1"/>
            <w:r>
              <w:rPr>
                <w:rFonts w:hint="eastAsia" w:ascii="Times New Roman" w:hAnsi="Times New Roman" w:eastAsia="宋体" w:cs="Times New Roman"/>
                <w:bCs/>
                <w:sz w:val="21"/>
                <w:szCs w:val="21"/>
                <w:lang w:val="en-US" w:eastAsia="zh-CN"/>
              </w:rPr>
              <w:t>20</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20</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内河船舶船员实操考试船舶、码头及水域技术要求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拟规定内河船舶船员实操考试船舶技术要求、设备和人员配置以及监督检查标准，考试码头及水域的技术要求，实船考试安全应急和突发事件应对准备。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适用于规范使用实船进行内河船舶船员实际操作考试。</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eastAsia" w:ascii="宋体" w:hAnsi="宋体" w:eastAsia="宋体" w:cs="宋体"/>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航海安全标委会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广东省内河港航产业研究有限公司、广东海事局</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1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21</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21</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自主式无缆潜航器海上搜救作业要求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拟规定自主式无缆潜航器在海上搜救过程中的总体要求、作业前准备、搜救方法、现场作业，以及数据处理与资料归档等要求。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适用于200m以深海域的甲板布放式大型自主式无缆潜航器海上搜救作业，其他自主式无缆潜航器海上搜救作业可参照使用。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救捞标委会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交通运输部南海救助局、交通运输部科学研究院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1814"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22</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22</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翻扣船被困人员救助技术要求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拟规定翻扣船被困人员救助的基本要求、救助程序和现场管理等。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适用于海上翻扣船被困人员的应急救援。内河翻扣船被困人员的应急救援可参照执行。</w:t>
            </w:r>
          </w:p>
        </w:tc>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救捞标委会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交通运输部北海救助局</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交通运输部科学研究院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778"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23</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23</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救助直升机夜间海上搜救技术要求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拟规定救助直升机夜间海上搜救一般要求和运行条件、救助直升机及机载设备、救生装备、机组人员、搜救飞行作业等技术要求。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适用于交通运输主管部门所属救助飞行机构执行直升机搜救任务</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涉及直升机救援的其他机构可参照使用。</w:t>
            </w:r>
          </w:p>
        </w:tc>
        <w:tc>
          <w:tcPr>
            <w:tcW w:w="97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救捞标委会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交通运输部北海第一救助飞行队</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交通运输部水运科学研究所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778"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24</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24</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搁浅船舶出浅作业技术要求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拟规定搁浅船舶出浅作业的适用场景、出浅计划、出浅准备、出浅作业的技术要求。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适用于中国近海、沿海及与海相通的可航水域的船舶发生搁浅事故后无法在高潮时通过本船车舵配合出浅，需借助专用救助拖轮通过拖缆拖其出浅的作业。</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救捞标委会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交通运输部东海救助局、武汉理工大学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778"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25</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25</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公路水路运行状态视频识别应用技术要求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拟规定对高速公路、国省干线、高等级航道运行状态视频进行识别应用的总体技术要求、视频质量要求、特征提取及分析要求、数据安全和识别能力评价方法。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适用于指导企业开展公路水路视频识别产品的开发，支撑行业管理部门开展公路水路视频识别应用系统的建设和产品选型。</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交通运输部科学研究院、中国交通通信信息中心、交通运输部规划研究院、交通运输部水运科学研究所、交通运输部珠江航务管理局、河南省交通运输厅 、四川省交通运输厅、广西壮族自治区交通运输厅、交通运输部路网监测与应急处置中心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72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26</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26</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跨省道路运输重点营运车辆异常行为监测预警技术要求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拟规定跨省道路运输重点营运车辆异常行为监测预警的总体流程、所需数据要求、线索生成要求、线索共享要求、线索应用要求、线索反馈要求和安全要求。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适用于跨省道路运输重点营运车辆异常行为的监测预警与应用过程。</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交通运输部科学研究院、四川省交通运输厅、河南省交通运输厅、广西壮族自治区交通运输厅、中国交通通信信息中心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72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27</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27</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交通运输综合执法终端接入国家综合运输信息平台通信技术要求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拟规定交通运输综合执法终端接入国家综合运输信息平台的系统架构、功能要求、部级系统与省级系统通信、省级系统与终端设备通信和通用安全要求等</w:t>
            </w:r>
            <w:r>
              <w:rPr>
                <w:rFonts w:hint="eastAsia" w:ascii="Times New Roman" w:hAnsi="Times New Roman" w:eastAsia="宋体" w:cs="Times New Roman"/>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适用于交通运输综合执法终端的音视频接入国家综合运输信息平台，综合交通运输执法省级系统中音视频通信功能的设计、研发、生产与运行参照使用。</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中国交通通信信息中心、北京数字认证股份有限公司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2721"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28</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-28</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交通运输综合执法协作技术要求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拟规定交通运输综合执法协作总体要求、执法协查、跨省信息抄告、数据存储与备份要求、网络与安全要求。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适用于交通运输综合执法协作。</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交通运输部科学研究院、交科院数智科技(北京)有限公司、交科院科技集团有限公司、四川省交通运输综合行政执法总队、宁夏回族自治区交通运输综合执法监督局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139"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29</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29</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国家综合交通运输信息平台数据流通安全技术要求</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拟确立国家综合交通运输信息平台数据流通安全目标，规定平台数据流通技术理要求。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指导国家综合交通运输信息平台采集、传输、存储、处理、交换、销毁等数据流通过程的安全防控，数据流通过程安全可控、可追溯，网络、平台、物理设施等数据流通设施的安全防护，为开展数据流通安全防护提供依据，供主管监管部门参考使用。交通运输行业其他信息系统建设可参考本标准开展数据流通安全技术工作。</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规划研究院、北京易华录信息技术股份有限公司、交通运输部科学研究院、中国交通通信信息中心、交通运输部路网监测与应急处置中心、北京中交国通智能交通系统技术有限公司、北京交科公路勘察设计研究院有限公司、交通运输部水运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4139"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30</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30</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国家综合交通运输信息平台应用系统运维管理规范</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w:t>
            </w:r>
            <w:r>
              <w:rPr>
                <w:rFonts w:hint="eastAsia" w:ascii="Times New Roman" w:hAnsi="Times New Roman" w:eastAsia="宋体" w:cs="Times New Roman"/>
                <w:color w:val="000000"/>
                <w:kern w:val="0"/>
                <w:sz w:val="21"/>
                <w:szCs w:val="21"/>
                <w:lang w:val="en-US" w:eastAsia="zh-CN" w:bidi="ar"/>
              </w:rPr>
              <w:t>规定</w:t>
            </w:r>
            <w:r>
              <w:rPr>
                <w:rFonts w:hint="default" w:ascii="Times New Roman" w:hAnsi="Times New Roman" w:eastAsia="宋体" w:cs="Times New Roman"/>
                <w:color w:val="000000"/>
                <w:kern w:val="0"/>
                <w:sz w:val="21"/>
                <w:szCs w:val="21"/>
                <w:lang w:val="en-US" w:eastAsia="zh-CN" w:bidi="ar"/>
              </w:rPr>
              <w:t>国家综合交通运输信息平台应用系统运维管理的基本</w:t>
            </w:r>
            <w:r>
              <w:rPr>
                <w:rFonts w:hint="eastAsia" w:ascii="Times New Roman" w:hAnsi="Times New Roman" w:eastAsia="宋体" w:cs="Times New Roman"/>
                <w:color w:val="000000"/>
                <w:kern w:val="0"/>
                <w:sz w:val="21"/>
                <w:szCs w:val="21"/>
                <w:lang w:val="en-US" w:eastAsia="zh-CN" w:bidi="ar"/>
              </w:rPr>
              <w:t>要求</w:t>
            </w:r>
            <w:r>
              <w:rPr>
                <w:rFonts w:hint="default" w:ascii="Times New Roman" w:hAnsi="Times New Roman" w:eastAsia="宋体" w:cs="Times New Roman"/>
                <w:color w:val="000000"/>
                <w:kern w:val="0"/>
                <w:sz w:val="21"/>
                <w:szCs w:val="21"/>
                <w:lang w:val="en-US" w:eastAsia="zh-CN" w:bidi="ar"/>
              </w:rPr>
              <w:t>，提出国家综合交通运输信息平台应用系统运维模型。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适用于国家综合交通运输信息平台上运行的应用系统运维管理工作。</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路网监测与应急处置中心、云南公路联网收费管理有限公司、云南省交通投资建设集团有限公司、交通运输部科学研究院、中国交通通信信息中心、交通运输部规划研究院、北京中交国通智能交通系统技术有限公司、北京交科公路勘察设计研究院有限公司、扬州海事局、交通运输部水运科学研究所、山东高速信息集团有限公司、四川智能交通系统管理有限责任公司、国家信息中心、北京安信天行科技有限公司、深信服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912"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31</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31</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国家综合交通运输信息平台软件供应链安全评估规范</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拟确立国家综合交通运输信息平台软件供应链安全目标，规定平台软件供应链安全组织管理要求、平台软件供应活动管理要求和平台软件供应链安全评估要求。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指导国家综合交通运输信息平台软件供应链中的供需双方开展风险管理、组织管理、供应活动管理，为第三方机构开展软件供应链安全检测和评估提供依据，供主管监管部门参考使用。交通运输行业其他信息系统建设开展软件供应链安全管理和安全评估工作</w:t>
            </w:r>
            <w:r>
              <w:rPr>
                <w:rFonts w:hint="eastAsia" w:ascii="Times New Roman" w:hAnsi="Times New Roman" w:eastAsia="宋体" w:cs="Times New Roman"/>
                <w:color w:val="000000"/>
                <w:kern w:val="0"/>
                <w:sz w:val="21"/>
                <w:szCs w:val="21"/>
                <w:lang w:val="en-US" w:eastAsia="zh-CN" w:bidi="ar"/>
              </w:rPr>
              <w:t>时可参照使用</w:t>
            </w:r>
            <w:r>
              <w:rPr>
                <w:rFonts w:hint="default" w:ascii="Times New Roman" w:hAnsi="Times New Roman" w:eastAsia="宋体" w:cs="Times New Roman"/>
                <w:color w:val="000000"/>
                <w:kern w:val="0"/>
                <w:sz w:val="21"/>
                <w:szCs w:val="21"/>
                <w:lang w:val="en-US" w:eastAsia="zh-CN" w:bidi="ar"/>
              </w:rPr>
              <w:t>。</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交通运输部科学研究院、交科院科技集团有限公司、交通运输信息安全中心有限公司、国家数据局、交通运输部规划研究院、中国交通通信信息中心、交通运输部路网监测与应急处置中心、北京中交国通智能交通系统技术有限公司、北京交科公路勘察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3118"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32</w:t>
            </w:r>
          </w:p>
        </w:tc>
        <w:tc>
          <w:tcPr>
            <w:tcW w:w="14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JT 2025-</w:t>
            </w:r>
            <w:r>
              <w:rPr>
                <w:rFonts w:hint="eastAsia" w:ascii="Times New Roman" w:hAnsi="Times New Roman" w:eastAsia="宋体" w:cs="Times New Roman"/>
                <w:bCs/>
                <w:sz w:val="21"/>
                <w:szCs w:val="21"/>
                <w:lang w:val="en-US" w:eastAsia="zh-CN"/>
              </w:rPr>
              <w:t>32</w:t>
            </w:r>
          </w:p>
        </w:tc>
        <w:tc>
          <w:tcPr>
            <w:tcW w:w="2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国家综合交通运输信息平台移动端页面设计技术规范</w:t>
            </w:r>
          </w:p>
        </w:tc>
        <w:tc>
          <w:tcPr>
            <w:tcW w:w="348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拟规定国家综合交通运输信息平台移动端页面设计的基本功能、接入及服务界面展现要求。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适用于国家综合交通运输信息平台移动端页面设计、开发、管理。</w:t>
            </w:r>
          </w:p>
        </w:tc>
        <w:tc>
          <w:tcPr>
            <w:tcW w:w="976"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制定</w:t>
            </w:r>
          </w:p>
        </w:tc>
        <w:tc>
          <w:tcPr>
            <w:tcW w:w="143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lang w:val="en-US" w:eastAsia="zh-CN"/>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lang w:val="en-US" w:eastAsia="zh-CN" w:bidi="ar"/>
              </w:rPr>
            </w:pPr>
            <w:r>
              <w:rPr>
                <w:rFonts w:hint="default" w:ascii="Times New Roman" w:hAnsi="Times New Roman" w:eastAsia="宋体" w:cs="Times New Roman"/>
                <w:color w:val="000000"/>
                <w:kern w:val="2"/>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信息通导标委会</w:t>
            </w:r>
          </w:p>
        </w:tc>
        <w:tc>
          <w:tcPr>
            <w:tcW w:w="320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北京交科公路勘察设计研究院有限公司、交通运输部公路科学研究所、北京中交国通智能交通系统技术有限公司、交通运输部科学研究院、中国交通通信信息中心、交通运输部规划研究院、交通运输部路网监测与应急处置中心、交通运输部水运科学研究所、扬州海事局、北京久其软件股份有限公司、太极计算机股份有限公司</w:t>
            </w:r>
          </w:p>
        </w:tc>
      </w:tr>
    </w:tbl>
    <w:p>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二、部门计量检定规程</w:t>
      </w:r>
    </w:p>
    <w:tbl>
      <w:tblPr>
        <w:tblStyle w:val="13"/>
        <w:tblW w:w="15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527"/>
        <w:gridCol w:w="1423"/>
        <w:gridCol w:w="2171"/>
        <w:gridCol w:w="3481"/>
        <w:gridCol w:w="975"/>
        <w:gridCol w:w="1440"/>
        <w:gridCol w:w="1049"/>
        <w:gridCol w:w="1109"/>
        <w:gridCol w:w="3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67" w:hRule="atLeast"/>
          <w:tblHeader/>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序号</w:t>
            </w:r>
          </w:p>
        </w:tc>
        <w:tc>
          <w:tcPr>
            <w:tcW w:w="142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计划编号</w:t>
            </w:r>
          </w:p>
        </w:tc>
        <w:tc>
          <w:tcPr>
            <w:tcW w:w="217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项目名称</w:t>
            </w:r>
          </w:p>
        </w:tc>
        <w:tc>
          <w:tcPr>
            <w:tcW w:w="3481"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范围和主要技术内容</w:t>
            </w:r>
          </w:p>
        </w:tc>
        <w:tc>
          <w:tcPr>
            <w:tcW w:w="97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制修订</w:t>
            </w:r>
          </w:p>
        </w:tc>
        <w:tc>
          <w:tcPr>
            <w:tcW w:w="1440"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rPr>
              <w:t>代替</w:t>
            </w:r>
            <w:r>
              <w:rPr>
                <w:rFonts w:hint="eastAsia" w:ascii="黑体" w:hAnsi="黑体" w:eastAsia="黑体" w:cs="黑体"/>
                <w:b w:val="0"/>
                <w:bCs w:val="0"/>
                <w:sz w:val="21"/>
                <w:szCs w:val="21"/>
                <w:lang w:val="en-US" w:eastAsia="zh-CN"/>
              </w:rPr>
              <w:t>规程</w:t>
            </w:r>
          </w:p>
        </w:tc>
        <w:tc>
          <w:tcPr>
            <w:tcW w:w="104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完成周期(月)</w:t>
            </w:r>
          </w:p>
        </w:tc>
        <w:tc>
          <w:tcPr>
            <w:tcW w:w="1109"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技术归口</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单位</w:t>
            </w:r>
          </w:p>
        </w:tc>
        <w:tc>
          <w:tcPr>
            <w:tcW w:w="3203"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黑体" w:hAnsi="黑体" w:eastAsia="黑体" w:cs="黑体"/>
                <w:b w:val="0"/>
                <w:bCs w:val="0"/>
                <w:sz w:val="21"/>
                <w:szCs w:val="21"/>
              </w:rPr>
            </w:pPr>
            <w:r>
              <w:rPr>
                <w:rFonts w:hint="eastAsia" w:ascii="黑体" w:hAnsi="黑体" w:eastAsia="黑体" w:cs="黑体"/>
                <w:b w:val="0"/>
                <w:bCs w:val="0"/>
                <w:sz w:val="21"/>
                <w:szCs w:val="21"/>
              </w:rPr>
              <w:t>主要起草单位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6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1</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2025-0</w:t>
            </w:r>
            <w:r>
              <w:rPr>
                <w:rFonts w:hint="eastAsia" w:ascii="Times New Roman" w:hAnsi="Times New Roman" w:eastAsia="宋体" w:cs="Times New Roman"/>
                <w:bCs/>
                <w:sz w:val="21"/>
                <w:szCs w:val="21"/>
                <w:lang w:val="en-US" w:eastAsia="zh-CN"/>
              </w:rPr>
              <w:t>1</w:t>
            </w:r>
          </w:p>
        </w:tc>
        <w:tc>
          <w:tcPr>
            <w:tcW w:w="21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赛波特重质油黏度仪</w:t>
            </w:r>
          </w:p>
        </w:tc>
        <w:tc>
          <w:tcPr>
            <w:tcW w:w="34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拟规定赛波特重质油黏度仪的范围、概述、计量性能要求、通用技术要求和计量器具控制等。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适用于赛波特重质油黏度仪的首次检定、后续检定和使用中检查。</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制定</w:t>
            </w:r>
          </w:p>
        </w:tc>
        <w:tc>
          <w:tcPr>
            <w:tcW w:w="14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kern w:val="2"/>
                <w:sz w:val="21"/>
                <w:szCs w:val="21"/>
                <w:lang w:val="en-US" w:eastAsia="zh-CN" w:bidi="ar-SA"/>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kern w:val="0"/>
                <w:sz w:val="21"/>
                <w:szCs w:val="21"/>
                <w:lang w:val="en-US" w:eastAsia="zh-CN" w:bidi="ar"/>
              </w:rPr>
              <w:t>18</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公路计量</w:t>
            </w:r>
          </w:p>
        </w:tc>
        <w:tc>
          <w:tcPr>
            <w:tcW w:w="32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交通运输部公路科学研究所</w:t>
            </w:r>
            <w:r>
              <w:rPr>
                <w:rFonts w:hint="eastAsia" w:ascii="Times New Roman" w:hAnsi="Times New Roman" w:eastAsia="宋体" w:cs="Times New Roman"/>
                <w:color w:val="000000"/>
                <w:kern w:val="0"/>
                <w:sz w:val="21"/>
                <w:szCs w:val="21"/>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6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2</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2025-0</w:t>
            </w:r>
            <w:r>
              <w:rPr>
                <w:rFonts w:hint="eastAsia" w:ascii="Times New Roman" w:hAnsi="Times New Roman" w:eastAsia="宋体" w:cs="Times New Roman"/>
                <w:bCs/>
                <w:sz w:val="21"/>
                <w:szCs w:val="21"/>
                <w:lang w:val="en-US" w:eastAsia="zh-CN"/>
              </w:rPr>
              <w:t>2</w:t>
            </w:r>
          </w:p>
        </w:tc>
        <w:tc>
          <w:tcPr>
            <w:tcW w:w="21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车载式道路几何数据仪</w:t>
            </w:r>
          </w:p>
        </w:tc>
        <w:tc>
          <w:tcPr>
            <w:tcW w:w="34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拟规定车载式道路几何数据仪的范围、概述、计量性能要求、通用技术要求和计量器具控制等。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适用于车载式道路几何数据仪的首次检定、后续检定和使用中检查。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主要修订内容</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修改检定仪器和器具</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修改横坡测角误差的试验方法</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修改平面转角测量一周的试验方法</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修改测试速度影响的试验方法等。</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修订</w:t>
            </w:r>
          </w:p>
        </w:tc>
        <w:tc>
          <w:tcPr>
            <w:tcW w:w="144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JJG（交通） 110</w:t>
            </w:r>
            <w:r>
              <w:rPr>
                <w:rFonts w:hint="eastAsia" w:ascii="Times New Roman" w:hAnsi="Times New Roman" w:eastAsia="宋体" w:cs="Times New Roman"/>
                <w:color w:val="000000"/>
                <w:kern w:val="0"/>
                <w:sz w:val="21"/>
                <w:szCs w:val="21"/>
                <w:lang w:val="en-US" w:eastAsia="zh-CN" w:bidi="ar"/>
              </w:rPr>
              <w:t>—2012</w:t>
            </w: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kern w:val="0"/>
                <w:sz w:val="21"/>
                <w:szCs w:val="21"/>
                <w:lang w:val="en-US" w:eastAsia="zh-CN" w:bidi="ar"/>
              </w:rPr>
              <w:t>18</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公路计量</w:t>
            </w:r>
          </w:p>
        </w:tc>
        <w:tc>
          <w:tcPr>
            <w:tcW w:w="32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color w:val="000000"/>
                <w:kern w:val="0"/>
                <w:sz w:val="21"/>
                <w:szCs w:val="21"/>
                <w:lang w:val="en-US" w:eastAsia="zh-CN" w:bidi="ar"/>
              </w:rPr>
              <w:t>交通运输部公路科学研究所</w:t>
            </w:r>
            <w:r>
              <w:rPr>
                <w:rFonts w:hint="eastAsia" w:ascii="Times New Roman" w:hAnsi="Times New Roman" w:eastAsia="宋体" w:cs="Times New Roman"/>
                <w:color w:val="000000"/>
                <w:kern w:val="0"/>
                <w:sz w:val="21"/>
                <w:szCs w:val="21"/>
                <w:lang w:val="en-US" w:eastAsia="zh-CN" w:bidi="ar"/>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6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3</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2025-0</w:t>
            </w:r>
            <w:r>
              <w:rPr>
                <w:rFonts w:hint="eastAsia" w:ascii="Times New Roman" w:hAnsi="Times New Roman" w:eastAsia="宋体" w:cs="Times New Roman"/>
                <w:bCs/>
                <w:sz w:val="21"/>
                <w:szCs w:val="21"/>
                <w:lang w:val="en-US" w:eastAsia="zh-CN"/>
              </w:rPr>
              <w:t>3</w:t>
            </w:r>
          </w:p>
        </w:tc>
        <w:tc>
          <w:tcPr>
            <w:tcW w:w="21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钻孔电视成像仪</w:t>
            </w:r>
          </w:p>
        </w:tc>
        <w:tc>
          <w:tcPr>
            <w:tcW w:w="34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eastAsia"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拟规定钻孔电视成像仪的概述、计量性能要求、通用技术要求、计量器具控制等</w:t>
            </w:r>
            <w:r>
              <w:rPr>
                <w:rFonts w:hint="eastAsia" w:ascii="Times New Roman" w:hAnsi="Times New Roman" w:eastAsia="宋体" w:cs="Times New Roman"/>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适用于钻孔电视成像仪的首次检定、后续检定和使用中检验。</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制定</w:t>
            </w:r>
          </w:p>
        </w:tc>
        <w:tc>
          <w:tcPr>
            <w:tcW w:w="14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kern w:val="0"/>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水运计量</w:t>
            </w:r>
          </w:p>
        </w:tc>
        <w:tc>
          <w:tcPr>
            <w:tcW w:w="32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交通运输部天津水运工程科学研究所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Ex>
        <w:trPr>
          <w:cantSplit/>
          <w:trHeight w:val="567" w:hRule="atLeast"/>
          <w:jc w:val="center"/>
        </w:trPr>
        <w:tc>
          <w:tcPr>
            <w:tcW w:w="527"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4</w:t>
            </w:r>
          </w:p>
        </w:tc>
        <w:tc>
          <w:tcPr>
            <w:tcW w:w="1423" w:type="dxa"/>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J</w:t>
            </w:r>
            <w:r>
              <w:rPr>
                <w:rFonts w:hint="eastAsia" w:ascii="Times New Roman" w:hAnsi="Times New Roman" w:eastAsia="宋体" w:cs="Times New Roman"/>
                <w:bCs/>
                <w:sz w:val="21"/>
                <w:szCs w:val="21"/>
                <w:lang w:val="en-US" w:eastAsia="zh-CN"/>
              </w:rPr>
              <w:t>JG</w:t>
            </w:r>
            <w:r>
              <w:rPr>
                <w:rFonts w:hint="default" w:ascii="Times New Roman" w:hAnsi="Times New Roman" w:eastAsia="宋体" w:cs="Times New Roman"/>
                <w:bCs/>
                <w:sz w:val="21"/>
                <w:szCs w:val="21"/>
                <w:lang w:val="en-US" w:eastAsia="zh-CN"/>
              </w:rPr>
              <w:t xml:space="preserve"> 2025-0</w:t>
            </w:r>
            <w:r>
              <w:rPr>
                <w:rFonts w:hint="eastAsia" w:ascii="Times New Roman" w:hAnsi="Times New Roman" w:eastAsia="宋体" w:cs="Times New Roman"/>
                <w:bCs/>
                <w:sz w:val="21"/>
                <w:szCs w:val="21"/>
                <w:lang w:val="en-US" w:eastAsia="zh-CN"/>
              </w:rPr>
              <w:t>4</w:t>
            </w:r>
          </w:p>
        </w:tc>
        <w:tc>
          <w:tcPr>
            <w:tcW w:w="217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港口起重机 速度位移测量仪</w:t>
            </w:r>
          </w:p>
        </w:tc>
        <w:tc>
          <w:tcPr>
            <w:tcW w:w="348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拟规定港口起重机速度位移测量仪的范围、用途、结构原理、计量性能要求、通用技术要求、计量器具控制等。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 xml:space="preserve">适用于速度位移检测仪的首次检定、后续检定和使用中检查。 </w:t>
            </w:r>
          </w:p>
        </w:tc>
        <w:tc>
          <w:tcPr>
            <w:tcW w:w="97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制定</w:t>
            </w:r>
          </w:p>
        </w:tc>
        <w:tc>
          <w:tcPr>
            <w:tcW w:w="14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rPr>
                <w:rFonts w:hint="default" w:ascii="Times New Roman" w:hAnsi="Times New Roman" w:eastAsia="宋体" w:cs="Times New Roman"/>
                <w:bCs/>
                <w:sz w:val="21"/>
                <w:szCs w:val="21"/>
              </w:rPr>
            </w:pPr>
          </w:p>
        </w:tc>
        <w:tc>
          <w:tcPr>
            <w:tcW w:w="10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kern w:val="0"/>
                <w:sz w:val="21"/>
                <w:szCs w:val="21"/>
                <w:lang w:val="en-US" w:eastAsia="zh-CN" w:bidi="ar"/>
              </w:rPr>
              <w:t>12</w:t>
            </w:r>
          </w:p>
        </w:tc>
        <w:tc>
          <w:tcPr>
            <w:tcW w:w="11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水运计量</w:t>
            </w:r>
          </w:p>
        </w:tc>
        <w:tc>
          <w:tcPr>
            <w:tcW w:w="320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color w:val="000000"/>
                <w:kern w:val="0"/>
                <w:sz w:val="21"/>
                <w:szCs w:val="21"/>
                <w:lang w:val="en-US" w:eastAsia="zh-CN" w:bidi="ar"/>
              </w:rPr>
              <w:t>交通运输部天津水运工程科学研究所</w:t>
            </w:r>
          </w:p>
        </w:tc>
      </w:tr>
    </w:tbl>
    <w:p>
      <w:pPr>
        <w:widowControl/>
        <w:jc w:val="left"/>
        <w:rPr>
          <w:rFonts w:ascii="仿宋_GB2312" w:hAnsi="Times New Roman" w:eastAsia="仿宋_GB2312"/>
          <w:sz w:val="30"/>
          <w:szCs w:val="30"/>
        </w:rPr>
      </w:pPr>
    </w:p>
    <w:p>
      <w:pPr>
        <w:pStyle w:val="2"/>
        <w:sectPr>
          <w:headerReference r:id="rId3" w:type="default"/>
          <w:footerReference r:id="rId4" w:type="default"/>
          <w:pgSz w:w="16838" w:h="11906" w:orient="landscape"/>
          <w:pgMar w:top="851" w:right="851" w:bottom="851" w:left="851" w:header="851" w:footer="992" w:gutter="0"/>
          <w:pgNumType w:fmt="decimal"/>
          <w:cols w:space="425" w:num="1"/>
          <w:docGrid w:linePitch="326" w:charSpace="0"/>
        </w:sectPr>
      </w:pPr>
    </w:p>
    <w:p>
      <w:pPr>
        <w:pStyle w:val="2"/>
      </w:pPr>
    </w:p>
    <w:p>
      <w:pPr>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注：技术归口单位列仅列出了简称，其全称如下所示。</w:t>
      </w:r>
    </w:p>
    <w:tbl>
      <w:tblPr>
        <w:tblStyle w:val="12"/>
        <w:tblW w:w="93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839"/>
        <w:gridCol w:w="2988"/>
        <w:gridCol w:w="5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tblHeader/>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黑体" w:hAnsi="黑体" w:eastAsia="黑体" w:cs="黑体"/>
                <w:b w:val="0"/>
                <w:bCs/>
                <w:sz w:val="21"/>
                <w:szCs w:val="21"/>
              </w:rPr>
            </w:pPr>
            <w:r>
              <w:rPr>
                <w:rFonts w:hint="eastAsia" w:ascii="黑体" w:hAnsi="黑体" w:eastAsia="黑体" w:cs="黑体"/>
                <w:b w:val="0"/>
                <w:bCs/>
                <w:sz w:val="21"/>
                <w:szCs w:val="21"/>
              </w:rPr>
              <w:t>序号</w:t>
            </w:r>
          </w:p>
        </w:tc>
        <w:tc>
          <w:tcPr>
            <w:tcW w:w="2988"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黑体" w:hAnsi="黑体" w:eastAsia="黑体" w:cs="黑体"/>
                <w:b w:val="0"/>
                <w:bCs/>
                <w:sz w:val="21"/>
                <w:szCs w:val="21"/>
              </w:rPr>
            </w:pPr>
            <w:r>
              <w:rPr>
                <w:rFonts w:hint="eastAsia" w:ascii="黑体" w:hAnsi="黑体" w:eastAsia="黑体" w:cs="黑体"/>
                <w:b w:val="0"/>
                <w:bCs/>
                <w:sz w:val="21"/>
                <w:szCs w:val="21"/>
              </w:rPr>
              <w:t>简</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称</w:t>
            </w:r>
          </w:p>
        </w:tc>
        <w:tc>
          <w:tcPr>
            <w:tcW w:w="5572"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黑体" w:hAnsi="黑体" w:eastAsia="黑体" w:cs="黑体"/>
                <w:b w:val="0"/>
                <w:bCs/>
                <w:sz w:val="21"/>
                <w:szCs w:val="21"/>
              </w:rPr>
            </w:pPr>
            <w:r>
              <w:rPr>
                <w:rFonts w:hint="eastAsia" w:ascii="黑体" w:hAnsi="黑体" w:eastAsia="黑体" w:cs="黑体"/>
                <w:b w:val="0"/>
                <w:bCs/>
                <w:sz w:val="21"/>
                <w:szCs w:val="21"/>
              </w:rPr>
              <w:t>全</w:t>
            </w:r>
            <w:r>
              <w:rPr>
                <w:rFonts w:hint="eastAsia" w:ascii="黑体" w:hAnsi="黑体" w:eastAsia="黑体" w:cs="黑体"/>
                <w:b w:val="0"/>
                <w:bCs/>
                <w:sz w:val="21"/>
                <w:szCs w:val="21"/>
                <w:lang w:val="en-US" w:eastAsia="zh-CN"/>
              </w:rPr>
              <w:t xml:space="preserve">    </w:t>
            </w:r>
            <w:r>
              <w:rPr>
                <w:rFonts w:hint="eastAsia" w:ascii="黑体" w:hAnsi="黑体" w:eastAsia="黑体" w:cs="黑体"/>
                <w:b w:val="0"/>
                <w:bCs/>
                <w:sz w:val="21"/>
                <w:szCs w:val="21"/>
              </w:rPr>
              <w:t>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综合运输标委会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全国综合交通运输标准化技术委员会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2</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集装箱标委会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全国集装箱标准化技术委员会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3</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内河船与水路运输标委会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全国内河船与水路运输标准化技术委员会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rPr>
            </w:pPr>
            <w:r>
              <w:rPr>
                <w:rFonts w:hint="eastAsia" w:ascii="宋体" w:hAnsi="宋体" w:eastAsia="宋体" w:cs="宋体"/>
                <w:sz w:val="21"/>
                <w:szCs w:val="21"/>
              </w:rPr>
              <w:t>4</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交通工程标委会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全国交通工程设施（公路）标准化技术委员会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智能运输标委会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全国智能运输系统标准化技术委员会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港口标委会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全国港口标准化技术委员会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航海安全标委会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交通运输航海安全标准化技术委员会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救捞标委会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交通运输救捞与水下工程标准化技术委员会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信息通导标委会</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交通运输信息通信及导航标准化技术委员会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27"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公路计量</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全国公路专用计量器具计量技术委员会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Ex>
        <w:trPr>
          <w:trHeight w:val="742" w:hRule="atLeast"/>
          <w:jc w:val="center"/>
        </w:trPr>
        <w:tc>
          <w:tcPr>
            <w:tcW w:w="839" w:type="dxa"/>
            <w:vAlign w:val="center"/>
          </w:tcPr>
          <w:p>
            <w:pPr>
              <w:keepNext w:val="0"/>
              <w:keepLines w:val="0"/>
              <w:suppressLineNumbers w:val="0"/>
              <w:autoSpaceDN w:val="0"/>
              <w:spacing w:before="0" w:beforeAutospacing="0" w:after="0" w:afterAutospacing="0" w:line="400" w:lineRule="exact"/>
              <w:ind w:left="0" w:right="0"/>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988" w:type="dxa"/>
            <w:vAlign w:val="center"/>
          </w:tcPr>
          <w:p>
            <w:pPr>
              <w:keepNext w:val="0"/>
              <w:keepLines w:val="0"/>
              <w:widowControl/>
              <w:suppressLineNumbers w:val="0"/>
              <w:spacing w:before="0" w:beforeAutospacing="0" w:after="0" w:afterAutospacing="0" w:line="440" w:lineRule="exact"/>
              <w:ind w:left="0" w:leftChars="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水运计量</w:t>
            </w:r>
          </w:p>
        </w:tc>
        <w:tc>
          <w:tcPr>
            <w:tcW w:w="5572" w:type="dxa"/>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40" w:lineRule="exact"/>
              <w:ind w:left="105" w:leftChars="50" w:right="0" w:rightChars="0"/>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全国水运专用计量器具计量技术委员会</w:t>
            </w:r>
          </w:p>
        </w:tc>
      </w:tr>
    </w:tbl>
    <w:p>
      <w:pPr>
        <w:widowControl/>
        <w:jc w:val="center"/>
        <w:rPr>
          <w:rFonts w:hint="eastAsia" w:ascii="宋体" w:hAnsi="宋体" w:eastAsia="宋体" w:cs="宋体"/>
          <w:sz w:val="21"/>
          <w:szCs w:val="21"/>
        </w:rPr>
      </w:pPr>
    </w:p>
    <w:sectPr>
      <w:pgSz w:w="11906" w:h="16838"/>
      <w:pgMar w:top="851" w:right="851" w:bottom="851" w:left="851" w:header="851" w:footer="992" w:gutter="0"/>
      <w:pgNumType w:fmt="decimal"/>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cumentProtection w:enforcement="0"/>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YjNiNTRlM2VlOThlNjZkMTM1Y2RjZTQ0NTE0MjcifQ=="/>
  </w:docVars>
  <w:rsids>
    <w:rsidRoot w:val="005933E3"/>
    <w:rsid w:val="0000314B"/>
    <w:rsid w:val="00003981"/>
    <w:rsid w:val="000119B5"/>
    <w:rsid w:val="000135D4"/>
    <w:rsid w:val="0001368C"/>
    <w:rsid w:val="000155EB"/>
    <w:rsid w:val="00023F02"/>
    <w:rsid w:val="00030311"/>
    <w:rsid w:val="00030FE2"/>
    <w:rsid w:val="00032283"/>
    <w:rsid w:val="00033557"/>
    <w:rsid w:val="00042221"/>
    <w:rsid w:val="00042263"/>
    <w:rsid w:val="00043F0E"/>
    <w:rsid w:val="00043F1B"/>
    <w:rsid w:val="00044785"/>
    <w:rsid w:val="0005261A"/>
    <w:rsid w:val="00056BF1"/>
    <w:rsid w:val="000620A4"/>
    <w:rsid w:val="00065F78"/>
    <w:rsid w:val="000670B7"/>
    <w:rsid w:val="0008398A"/>
    <w:rsid w:val="0008626D"/>
    <w:rsid w:val="00087E2E"/>
    <w:rsid w:val="00093CA6"/>
    <w:rsid w:val="00094560"/>
    <w:rsid w:val="00094B70"/>
    <w:rsid w:val="000A091F"/>
    <w:rsid w:val="000A3135"/>
    <w:rsid w:val="000A6851"/>
    <w:rsid w:val="000B0A0D"/>
    <w:rsid w:val="000D1648"/>
    <w:rsid w:val="000D6B5D"/>
    <w:rsid w:val="000E098F"/>
    <w:rsid w:val="000E61B1"/>
    <w:rsid w:val="000E6711"/>
    <w:rsid w:val="000E7068"/>
    <w:rsid w:val="000F6169"/>
    <w:rsid w:val="00101255"/>
    <w:rsid w:val="0010666C"/>
    <w:rsid w:val="001167C8"/>
    <w:rsid w:val="00116FC8"/>
    <w:rsid w:val="00117C89"/>
    <w:rsid w:val="0012447B"/>
    <w:rsid w:val="001272D3"/>
    <w:rsid w:val="00145984"/>
    <w:rsid w:val="00151BAB"/>
    <w:rsid w:val="001520F5"/>
    <w:rsid w:val="00155450"/>
    <w:rsid w:val="001659B5"/>
    <w:rsid w:val="0017125C"/>
    <w:rsid w:val="00171FD9"/>
    <w:rsid w:val="00173468"/>
    <w:rsid w:val="00180E0C"/>
    <w:rsid w:val="001946E7"/>
    <w:rsid w:val="00195B9F"/>
    <w:rsid w:val="00195F9F"/>
    <w:rsid w:val="001A0F15"/>
    <w:rsid w:val="001A2AFF"/>
    <w:rsid w:val="001B2149"/>
    <w:rsid w:val="001B574C"/>
    <w:rsid w:val="001C1B10"/>
    <w:rsid w:val="001C2838"/>
    <w:rsid w:val="001D7FDB"/>
    <w:rsid w:val="001E2A06"/>
    <w:rsid w:val="001E4D70"/>
    <w:rsid w:val="001F0A5A"/>
    <w:rsid w:val="001F3127"/>
    <w:rsid w:val="001F52A5"/>
    <w:rsid w:val="0020350A"/>
    <w:rsid w:val="00203592"/>
    <w:rsid w:val="002102EE"/>
    <w:rsid w:val="00211F23"/>
    <w:rsid w:val="00220F3B"/>
    <w:rsid w:val="00221560"/>
    <w:rsid w:val="00225BA1"/>
    <w:rsid w:val="00232EC4"/>
    <w:rsid w:val="002335EB"/>
    <w:rsid w:val="00234A31"/>
    <w:rsid w:val="00242316"/>
    <w:rsid w:val="00244D08"/>
    <w:rsid w:val="0024644A"/>
    <w:rsid w:val="0025203F"/>
    <w:rsid w:val="002524F2"/>
    <w:rsid w:val="002541DE"/>
    <w:rsid w:val="002546B5"/>
    <w:rsid w:val="00254702"/>
    <w:rsid w:val="00264133"/>
    <w:rsid w:val="002651F7"/>
    <w:rsid w:val="00267F81"/>
    <w:rsid w:val="002755AF"/>
    <w:rsid w:val="00286E67"/>
    <w:rsid w:val="00293A3F"/>
    <w:rsid w:val="002971CD"/>
    <w:rsid w:val="00297ABD"/>
    <w:rsid w:val="002B028E"/>
    <w:rsid w:val="002B2BD2"/>
    <w:rsid w:val="002C7367"/>
    <w:rsid w:val="002D14B9"/>
    <w:rsid w:val="002E0C59"/>
    <w:rsid w:val="002F64AC"/>
    <w:rsid w:val="002F7D97"/>
    <w:rsid w:val="003026FC"/>
    <w:rsid w:val="003054D0"/>
    <w:rsid w:val="00310A48"/>
    <w:rsid w:val="00317B80"/>
    <w:rsid w:val="00317E4D"/>
    <w:rsid w:val="0032034F"/>
    <w:rsid w:val="003215F0"/>
    <w:rsid w:val="00324589"/>
    <w:rsid w:val="00325D6D"/>
    <w:rsid w:val="003304FB"/>
    <w:rsid w:val="00333016"/>
    <w:rsid w:val="00357939"/>
    <w:rsid w:val="003579ED"/>
    <w:rsid w:val="00363ED8"/>
    <w:rsid w:val="003677CA"/>
    <w:rsid w:val="00372BB8"/>
    <w:rsid w:val="00375165"/>
    <w:rsid w:val="00377AB1"/>
    <w:rsid w:val="00381106"/>
    <w:rsid w:val="0038658B"/>
    <w:rsid w:val="003976E3"/>
    <w:rsid w:val="003A334F"/>
    <w:rsid w:val="003B2421"/>
    <w:rsid w:val="003B341A"/>
    <w:rsid w:val="003B3C6A"/>
    <w:rsid w:val="003B565F"/>
    <w:rsid w:val="003C3AA4"/>
    <w:rsid w:val="003D02AF"/>
    <w:rsid w:val="003D087C"/>
    <w:rsid w:val="003E3D24"/>
    <w:rsid w:val="003E5250"/>
    <w:rsid w:val="003E6A97"/>
    <w:rsid w:val="003E72B6"/>
    <w:rsid w:val="003E7F9D"/>
    <w:rsid w:val="00401002"/>
    <w:rsid w:val="004039E1"/>
    <w:rsid w:val="00431436"/>
    <w:rsid w:val="00435ACA"/>
    <w:rsid w:val="00436A6B"/>
    <w:rsid w:val="004400CA"/>
    <w:rsid w:val="0044113D"/>
    <w:rsid w:val="00447719"/>
    <w:rsid w:val="004522E8"/>
    <w:rsid w:val="004539CC"/>
    <w:rsid w:val="004542B1"/>
    <w:rsid w:val="004554F2"/>
    <w:rsid w:val="00456A15"/>
    <w:rsid w:val="00461183"/>
    <w:rsid w:val="004616AD"/>
    <w:rsid w:val="0046634C"/>
    <w:rsid w:val="004729CC"/>
    <w:rsid w:val="00474FC8"/>
    <w:rsid w:val="004834FB"/>
    <w:rsid w:val="004909B0"/>
    <w:rsid w:val="00495ED1"/>
    <w:rsid w:val="004B22C8"/>
    <w:rsid w:val="004B4FEB"/>
    <w:rsid w:val="004C583C"/>
    <w:rsid w:val="004C61DA"/>
    <w:rsid w:val="004E013C"/>
    <w:rsid w:val="004E3C4D"/>
    <w:rsid w:val="004E467B"/>
    <w:rsid w:val="004E49FA"/>
    <w:rsid w:val="004E506B"/>
    <w:rsid w:val="004E647A"/>
    <w:rsid w:val="004F096F"/>
    <w:rsid w:val="0050185A"/>
    <w:rsid w:val="00507EC0"/>
    <w:rsid w:val="00511A79"/>
    <w:rsid w:val="00515DD3"/>
    <w:rsid w:val="005235BE"/>
    <w:rsid w:val="00523F6B"/>
    <w:rsid w:val="00524945"/>
    <w:rsid w:val="0052682C"/>
    <w:rsid w:val="005273C3"/>
    <w:rsid w:val="0054368D"/>
    <w:rsid w:val="00543D9A"/>
    <w:rsid w:val="00555DF1"/>
    <w:rsid w:val="00556FC3"/>
    <w:rsid w:val="00562F46"/>
    <w:rsid w:val="00565D62"/>
    <w:rsid w:val="00566285"/>
    <w:rsid w:val="00567199"/>
    <w:rsid w:val="00571676"/>
    <w:rsid w:val="00574FD5"/>
    <w:rsid w:val="0057637F"/>
    <w:rsid w:val="0058544A"/>
    <w:rsid w:val="00591D16"/>
    <w:rsid w:val="00592540"/>
    <w:rsid w:val="005926E8"/>
    <w:rsid w:val="005933E3"/>
    <w:rsid w:val="00594EC0"/>
    <w:rsid w:val="005B4940"/>
    <w:rsid w:val="005B4DD4"/>
    <w:rsid w:val="005C0A1A"/>
    <w:rsid w:val="005C0A54"/>
    <w:rsid w:val="005C24D6"/>
    <w:rsid w:val="005C2E2C"/>
    <w:rsid w:val="005C3789"/>
    <w:rsid w:val="005C3F06"/>
    <w:rsid w:val="005C73F9"/>
    <w:rsid w:val="005D564E"/>
    <w:rsid w:val="005D6D2A"/>
    <w:rsid w:val="005E3D1C"/>
    <w:rsid w:val="005E4C81"/>
    <w:rsid w:val="005E5198"/>
    <w:rsid w:val="005E777C"/>
    <w:rsid w:val="005F10E3"/>
    <w:rsid w:val="006005FC"/>
    <w:rsid w:val="00607DF9"/>
    <w:rsid w:val="0061769C"/>
    <w:rsid w:val="00627865"/>
    <w:rsid w:val="00631953"/>
    <w:rsid w:val="00632DB8"/>
    <w:rsid w:val="006348B6"/>
    <w:rsid w:val="00637606"/>
    <w:rsid w:val="006409BD"/>
    <w:rsid w:val="0064697F"/>
    <w:rsid w:val="00650C27"/>
    <w:rsid w:val="00652287"/>
    <w:rsid w:val="00653502"/>
    <w:rsid w:val="00657F56"/>
    <w:rsid w:val="00660BD4"/>
    <w:rsid w:val="00662898"/>
    <w:rsid w:val="0066492C"/>
    <w:rsid w:val="006755DB"/>
    <w:rsid w:val="00675C82"/>
    <w:rsid w:val="00682FC9"/>
    <w:rsid w:val="00683765"/>
    <w:rsid w:val="006844F1"/>
    <w:rsid w:val="0068608C"/>
    <w:rsid w:val="0069445E"/>
    <w:rsid w:val="00694C8C"/>
    <w:rsid w:val="006A39CA"/>
    <w:rsid w:val="006A7548"/>
    <w:rsid w:val="006A7B3F"/>
    <w:rsid w:val="006B08E1"/>
    <w:rsid w:val="006B3DA1"/>
    <w:rsid w:val="006B7F9D"/>
    <w:rsid w:val="006C2DCD"/>
    <w:rsid w:val="006C378B"/>
    <w:rsid w:val="006C4DB8"/>
    <w:rsid w:val="006C4E86"/>
    <w:rsid w:val="006C7B18"/>
    <w:rsid w:val="006C7D6A"/>
    <w:rsid w:val="006D03B6"/>
    <w:rsid w:val="006D0E7D"/>
    <w:rsid w:val="006E54C7"/>
    <w:rsid w:val="00702849"/>
    <w:rsid w:val="00714BC5"/>
    <w:rsid w:val="00734B0F"/>
    <w:rsid w:val="00747A36"/>
    <w:rsid w:val="00753E06"/>
    <w:rsid w:val="00755A62"/>
    <w:rsid w:val="00760FE7"/>
    <w:rsid w:val="007618B5"/>
    <w:rsid w:val="00762F2D"/>
    <w:rsid w:val="00763107"/>
    <w:rsid w:val="00773F62"/>
    <w:rsid w:val="00774FD2"/>
    <w:rsid w:val="007819BB"/>
    <w:rsid w:val="00782D43"/>
    <w:rsid w:val="00784CB6"/>
    <w:rsid w:val="00790172"/>
    <w:rsid w:val="00790236"/>
    <w:rsid w:val="00791BCB"/>
    <w:rsid w:val="00797E46"/>
    <w:rsid w:val="007A3884"/>
    <w:rsid w:val="007A66ED"/>
    <w:rsid w:val="007B44F3"/>
    <w:rsid w:val="007C1018"/>
    <w:rsid w:val="007C4F90"/>
    <w:rsid w:val="007C6610"/>
    <w:rsid w:val="007D16AF"/>
    <w:rsid w:val="007D42C8"/>
    <w:rsid w:val="007D5321"/>
    <w:rsid w:val="007D757F"/>
    <w:rsid w:val="007E3E6F"/>
    <w:rsid w:val="007F2036"/>
    <w:rsid w:val="007F28FE"/>
    <w:rsid w:val="008039C9"/>
    <w:rsid w:val="008047D3"/>
    <w:rsid w:val="008175CA"/>
    <w:rsid w:val="00824A2C"/>
    <w:rsid w:val="008275ED"/>
    <w:rsid w:val="00833216"/>
    <w:rsid w:val="008336A9"/>
    <w:rsid w:val="00841496"/>
    <w:rsid w:val="00843C49"/>
    <w:rsid w:val="0084426C"/>
    <w:rsid w:val="008533B5"/>
    <w:rsid w:val="00866D7A"/>
    <w:rsid w:val="0086779E"/>
    <w:rsid w:val="00870504"/>
    <w:rsid w:val="00871895"/>
    <w:rsid w:val="00873996"/>
    <w:rsid w:val="00873CF8"/>
    <w:rsid w:val="00877250"/>
    <w:rsid w:val="00877F75"/>
    <w:rsid w:val="00881856"/>
    <w:rsid w:val="00885242"/>
    <w:rsid w:val="00885887"/>
    <w:rsid w:val="0088700D"/>
    <w:rsid w:val="008920EE"/>
    <w:rsid w:val="0089301D"/>
    <w:rsid w:val="00897621"/>
    <w:rsid w:val="008B5057"/>
    <w:rsid w:val="008B710A"/>
    <w:rsid w:val="008C7043"/>
    <w:rsid w:val="008D10EF"/>
    <w:rsid w:val="008E0000"/>
    <w:rsid w:val="008E16CD"/>
    <w:rsid w:val="008E2D52"/>
    <w:rsid w:val="008E729B"/>
    <w:rsid w:val="008F1C1F"/>
    <w:rsid w:val="008F29C3"/>
    <w:rsid w:val="008F7A15"/>
    <w:rsid w:val="00906F2D"/>
    <w:rsid w:val="009132EE"/>
    <w:rsid w:val="009160AB"/>
    <w:rsid w:val="00916B39"/>
    <w:rsid w:val="00922EE5"/>
    <w:rsid w:val="00924485"/>
    <w:rsid w:val="00926452"/>
    <w:rsid w:val="0094291D"/>
    <w:rsid w:val="009457D8"/>
    <w:rsid w:val="009478C6"/>
    <w:rsid w:val="009506CD"/>
    <w:rsid w:val="00954EFD"/>
    <w:rsid w:val="00961E75"/>
    <w:rsid w:val="00963B51"/>
    <w:rsid w:val="00966493"/>
    <w:rsid w:val="00966521"/>
    <w:rsid w:val="00972FF2"/>
    <w:rsid w:val="009777C2"/>
    <w:rsid w:val="0098165B"/>
    <w:rsid w:val="00981E95"/>
    <w:rsid w:val="009820EC"/>
    <w:rsid w:val="00985C86"/>
    <w:rsid w:val="009918EF"/>
    <w:rsid w:val="00991B9F"/>
    <w:rsid w:val="009A1F09"/>
    <w:rsid w:val="009A3776"/>
    <w:rsid w:val="009A6716"/>
    <w:rsid w:val="009A7283"/>
    <w:rsid w:val="009B24F1"/>
    <w:rsid w:val="009B686D"/>
    <w:rsid w:val="009C60C3"/>
    <w:rsid w:val="009D3132"/>
    <w:rsid w:val="009E093A"/>
    <w:rsid w:val="009E19BC"/>
    <w:rsid w:val="009E1F7A"/>
    <w:rsid w:val="009E2E87"/>
    <w:rsid w:val="009F6503"/>
    <w:rsid w:val="00A03F12"/>
    <w:rsid w:val="00A06DA7"/>
    <w:rsid w:val="00A127F7"/>
    <w:rsid w:val="00A12D64"/>
    <w:rsid w:val="00A15A42"/>
    <w:rsid w:val="00A16C95"/>
    <w:rsid w:val="00A175B3"/>
    <w:rsid w:val="00A22EC0"/>
    <w:rsid w:val="00A25A85"/>
    <w:rsid w:val="00A26DD5"/>
    <w:rsid w:val="00A3596E"/>
    <w:rsid w:val="00A41AD8"/>
    <w:rsid w:val="00A4384B"/>
    <w:rsid w:val="00A54C90"/>
    <w:rsid w:val="00A6016F"/>
    <w:rsid w:val="00A657AF"/>
    <w:rsid w:val="00A65E20"/>
    <w:rsid w:val="00A70A7C"/>
    <w:rsid w:val="00A74168"/>
    <w:rsid w:val="00A7496E"/>
    <w:rsid w:val="00A7614E"/>
    <w:rsid w:val="00A860AD"/>
    <w:rsid w:val="00A965FD"/>
    <w:rsid w:val="00AA0B2F"/>
    <w:rsid w:val="00AA190D"/>
    <w:rsid w:val="00AA2A3D"/>
    <w:rsid w:val="00AB3E26"/>
    <w:rsid w:val="00AB5CB4"/>
    <w:rsid w:val="00AC2C98"/>
    <w:rsid w:val="00AC36E7"/>
    <w:rsid w:val="00AD2168"/>
    <w:rsid w:val="00AD2649"/>
    <w:rsid w:val="00AD3218"/>
    <w:rsid w:val="00AD5EAD"/>
    <w:rsid w:val="00AF2F8C"/>
    <w:rsid w:val="00B003ED"/>
    <w:rsid w:val="00B01F35"/>
    <w:rsid w:val="00B03128"/>
    <w:rsid w:val="00B03197"/>
    <w:rsid w:val="00B0662F"/>
    <w:rsid w:val="00B13A87"/>
    <w:rsid w:val="00B15320"/>
    <w:rsid w:val="00B15473"/>
    <w:rsid w:val="00B2045A"/>
    <w:rsid w:val="00B23500"/>
    <w:rsid w:val="00B240C8"/>
    <w:rsid w:val="00B24186"/>
    <w:rsid w:val="00B3491D"/>
    <w:rsid w:val="00B354A8"/>
    <w:rsid w:val="00B358AC"/>
    <w:rsid w:val="00B47397"/>
    <w:rsid w:val="00B5007B"/>
    <w:rsid w:val="00B50706"/>
    <w:rsid w:val="00B55B64"/>
    <w:rsid w:val="00B62A3C"/>
    <w:rsid w:val="00B65886"/>
    <w:rsid w:val="00B65EDA"/>
    <w:rsid w:val="00B74888"/>
    <w:rsid w:val="00B80521"/>
    <w:rsid w:val="00B81C77"/>
    <w:rsid w:val="00B869CC"/>
    <w:rsid w:val="00B907A3"/>
    <w:rsid w:val="00B9289E"/>
    <w:rsid w:val="00B933E2"/>
    <w:rsid w:val="00B9393A"/>
    <w:rsid w:val="00B95D44"/>
    <w:rsid w:val="00B95FB4"/>
    <w:rsid w:val="00BA2994"/>
    <w:rsid w:val="00BA59F0"/>
    <w:rsid w:val="00BA5EA9"/>
    <w:rsid w:val="00BB6896"/>
    <w:rsid w:val="00BC08D9"/>
    <w:rsid w:val="00BD2D32"/>
    <w:rsid w:val="00BD5A28"/>
    <w:rsid w:val="00BD7E27"/>
    <w:rsid w:val="00BE1D6B"/>
    <w:rsid w:val="00BE7A03"/>
    <w:rsid w:val="00BF04B3"/>
    <w:rsid w:val="00BF780E"/>
    <w:rsid w:val="00C00B88"/>
    <w:rsid w:val="00C10B90"/>
    <w:rsid w:val="00C12F61"/>
    <w:rsid w:val="00C14046"/>
    <w:rsid w:val="00C16BCB"/>
    <w:rsid w:val="00C2305A"/>
    <w:rsid w:val="00C2780C"/>
    <w:rsid w:val="00C27EDE"/>
    <w:rsid w:val="00C3698F"/>
    <w:rsid w:val="00C36CAB"/>
    <w:rsid w:val="00C376F1"/>
    <w:rsid w:val="00C46AF5"/>
    <w:rsid w:val="00C473A3"/>
    <w:rsid w:val="00C537C0"/>
    <w:rsid w:val="00C57579"/>
    <w:rsid w:val="00C67933"/>
    <w:rsid w:val="00C82404"/>
    <w:rsid w:val="00C82615"/>
    <w:rsid w:val="00C87774"/>
    <w:rsid w:val="00C87851"/>
    <w:rsid w:val="00C90B1D"/>
    <w:rsid w:val="00C97F0C"/>
    <w:rsid w:val="00CA1B61"/>
    <w:rsid w:val="00CB3C68"/>
    <w:rsid w:val="00CB7C28"/>
    <w:rsid w:val="00CD2547"/>
    <w:rsid w:val="00CD3FAC"/>
    <w:rsid w:val="00CD7C5D"/>
    <w:rsid w:val="00CD7DB3"/>
    <w:rsid w:val="00CD7E75"/>
    <w:rsid w:val="00CE0250"/>
    <w:rsid w:val="00CF266C"/>
    <w:rsid w:val="00CF726E"/>
    <w:rsid w:val="00CF7E5E"/>
    <w:rsid w:val="00D020F0"/>
    <w:rsid w:val="00D02A65"/>
    <w:rsid w:val="00D033FC"/>
    <w:rsid w:val="00D216A7"/>
    <w:rsid w:val="00D25773"/>
    <w:rsid w:val="00D353A2"/>
    <w:rsid w:val="00D43D7E"/>
    <w:rsid w:val="00D44BEC"/>
    <w:rsid w:val="00D66703"/>
    <w:rsid w:val="00D74E6B"/>
    <w:rsid w:val="00D764C0"/>
    <w:rsid w:val="00D764FA"/>
    <w:rsid w:val="00D84958"/>
    <w:rsid w:val="00D900F9"/>
    <w:rsid w:val="00D91592"/>
    <w:rsid w:val="00D923C5"/>
    <w:rsid w:val="00DB057A"/>
    <w:rsid w:val="00DC3A98"/>
    <w:rsid w:val="00DD084E"/>
    <w:rsid w:val="00DD7132"/>
    <w:rsid w:val="00DE1328"/>
    <w:rsid w:val="00DE30A4"/>
    <w:rsid w:val="00DE7950"/>
    <w:rsid w:val="00DE7C85"/>
    <w:rsid w:val="00DF3705"/>
    <w:rsid w:val="00DF51A8"/>
    <w:rsid w:val="00DF723F"/>
    <w:rsid w:val="00E03BC7"/>
    <w:rsid w:val="00E10774"/>
    <w:rsid w:val="00E109F0"/>
    <w:rsid w:val="00E16A97"/>
    <w:rsid w:val="00E17BE9"/>
    <w:rsid w:val="00E26AF8"/>
    <w:rsid w:val="00E2792F"/>
    <w:rsid w:val="00E30455"/>
    <w:rsid w:val="00E323EB"/>
    <w:rsid w:val="00E37957"/>
    <w:rsid w:val="00E40371"/>
    <w:rsid w:val="00E46120"/>
    <w:rsid w:val="00E507DE"/>
    <w:rsid w:val="00E55BBD"/>
    <w:rsid w:val="00E56C59"/>
    <w:rsid w:val="00E57498"/>
    <w:rsid w:val="00E57CB8"/>
    <w:rsid w:val="00E60BF7"/>
    <w:rsid w:val="00E669A0"/>
    <w:rsid w:val="00E707C7"/>
    <w:rsid w:val="00E77B61"/>
    <w:rsid w:val="00E862D0"/>
    <w:rsid w:val="00E9538F"/>
    <w:rsid w:val="00E95CF2"/>
    <w:rsid w:val="00E97C15"/>
    <w:rsid w:val="00EA1E00"/>
    <w:rsid w:val="00EA3D8B"/>
    <w:rsid w:val="00EA5673"/>
    <w:rsid w:val="00EB0BF6"/>
    <w:rsid w:val="00EB1925"/>
    <w:rsid w:val="00EB26EB"/>
    <w:rsid w:val="00EB4708"/>
    <w:rsid w:val="00EB73E2"/>
    <w:rsid w:val="00EB7C74"/>
    <w:rsid w:val="00EB7E03"/>
    <w:rsid w:val="00EC54E4"/>
    <w:rsid w:val="00EC6F1F"/>
    <w:rsid w:val="00EC6F26"/>
    <w:rsid w:val="00EC73D7"/>
    <w:rsid w:val="00EC7AD4"/>
    <w:rsid w:val="00ED188C"/>
    <w:rsid w:val="00EE6828"/>
    <w:rsid w:val="00EF515D"/>
    <w:rsid w:val="00F04357"/>
    <w:rsid w:val="00F05E1A"/>
    <w:rsid w:val="00F12510"/>
    <w:rsid w:val="00F148CD"/>
    <w:rsid w:val="00F1706F"/>
    <w:rsid w:val="00F17467"/>
    <w:rsid w:val="00F27098"/>
    <w:rsid w:val="00F307B3"/>
    <w:rsid w:val="00F31336"/>
    <w:rsid w:val="00F3746F"/>
    <w:rsid w:val="00F50293"/>
    <w:rsid w:val="00F5627B"/>
    <w:rsid w:val="00F747D2"/>
    <w:rsid w:val="00F85023"/>
    <w:rsid w:val="00F86332"/>
    <w:rsid w:val="00F957D2"/>
    <w:rsid w:val="00F97CA8"/>
    <w:rsid w:val="00FA41D1"/>
    <w:rsid w:val="00FA4B54"/>
    <w:rsid w:val="00FA5C91"/>
    <w:rsid w:val="00FB0AD5"/>
    <w:rsid w:val="00FB35BE"/>
    <w:rsid w:val="00FC2212"/>
    <w:rsid w:val="00FD28A8"/>
    <w:rsid w:val="00FE0F25"/>
    <w:rsid w:val="00FE60F3"/>
    <w:rsid w:val="00FE63C9"/>
    <w:rsid w:val="00FF408D"/>
    <w:rsid w:val="064BDC85"/>
    <w:rsid w:val="07861284"/>
    <w:rsid w:val="08D34C8E"/>
    <w:rsid w:val="09E33BB4"/>
    <w:rsid w:val="0BB0283D"/>
    <w:rsid w:val="0C3333AD"/>
    <w:rsid w:val="0C7F313B"/>
    <w:rsid w:val="0D2A362A"/>
    <w:rsid w:val="1104487A"/>
    <w:rsid w:val="12A15165"/>
    <w:rsid w:val="12C02EFB"/>
    <w:rsid w:val="149C1746"/>
    <w:rsid w:val="15961BA5"/>
    <w:rsid w:val="15D267B1"/>
    <w:rsid w:val="173E47CB"/>
    <w:rsid w:val="1E536D58"/>
    <w:rsid w:val="1FA808F8"/>
    <w:rsid w:val="1FEF8090"/>
    <w:rsid w:val="21D203E2"/>
    <w:rsid w:val="22BE48B8"/>
    <w:rsid w:val="23EF0944"/>
    <w:rsid w:val="25EB2085"/>
    <w:rsid w:val="264178F5"/>
    <w:rsid w:val="27FF7B75"/>
    <w:rsid w:val="27FF9D63"/>
    <w:rsid w:val="28C90A0F"/>
    <w:rsid w:val="297818D2"/>
    <w:rsid w:val="2B924BFC"/>
    <w:rsid w:val="2CE56965"/>
    <w:rsid w:val="2D481437"/>
    <w:rsid w:val="2FC5DB72"/>
    <w:rsid w:val="2FCE5204"/>
    <w:rsid w:val="306545D8"/>
    <w:rsid w:val="308C5395"/>
    <w:rsid w:val="3348DB83"/>
    <w:rsid w:val="33DDE0A9"/>
    <w:rsid w:val="34B775B3"/>
    <w:rsid w:val="37891A2B"/>
    <w:rsid w:val="3BBB7418"/>
    <w:rsid w:val="3DFF6498"/>
    <w:rsid w:val="3EFBC689"/>
    <w:rsid w:val="3F4FEB26"/>
    <w:rsid w:val="3FF72EBB"/>
    <w:rsid w:val="3FF7B56B"/>
    <w:rsid w:val="3FFE52B5"/>
    <w:rsid w:val="450D70E6"/>
    <w:rsid w:val="46C978C9"/>
    <w:rsid w:val="47724F1D"/>
    <w:rsid w:val="478855D9"/>
    <w:rsid w:val="4CE67A6A"/>
    <w:rsid w:val="4CF5E955"/>
    <w:rsid w:val="4DFFAEAC"/>
    <w:rsid w:val="4F7BB938"/>
    <w:rsid w:val="4FB6134B"/>
    <w:rsid w:val="5708517E"/>
    <w:rsid w:val="5776022B"/>
    <w:rsid w:val="57D91936"/>
    <w:rsid w:val="599571AD"/>
    <w:rsid w:val="5B77A964"/>
    <w:rsid w:val="5BFCDF15"/>
    <w:rsid w:val="5BFEDCCF"/>
    <w:rsid w:val="5CE70834"/>
    <w:rsid w:val="5CFD472C"/>
    <w:rsid w:val="5ED46278"/>
    <w:rsid w:val="62057497"/>
    <w:rsid w:val="66B86D80"/>
    <w:rsid w:val="67EC054E"/>
    <w:rsid w:val="67EF5316"/>
    <w:rsid w:val="67EF6ED6"/>
    <w:rsid w:val="6A603A3E"/>
    <w:rsid w:val="6BBE2FE7"/>
    <w:rsid w:val="6BDF2719"/>
    <w:rsid w:val="6D811851"/>
    <w:rsid w:val="6DBDF444"/>
    <w:rsid w:val="6EFF2683"/>
    <w:rsid w:val="6FB3038B"/>
    <w:rsid w:val="6FBF1A19"/>
    <w:rsid w:val="6FCB89FB"/>
    <w:rsid w:val="6FDDB92B"/>
    <w:rsid w:val="6FEB0E02"/>
    <w:rsid w:val="74DA0CE9"/>
    <w:rsid w:val="74F27FD0"/>
    <w:rsid w:val="75F49043"/>
    <w:rsid w:val="7637C928"/>
    <w:rsid w:val="76F6723F"/>
    <w:rsid w:val="77BAACE3"/>
    <w:rsid w:val="77E71078"/>
    <w:rsid w:val="77FFD22B"/>
    <w:rsid w:val="78BF8EDD"/>
    <w:rsid w:val="79E36C80"/>
    <w:rsid w:val="7A7EB085"/>
    <w:rsid w:val="7B3E8DCA"/>
    <w:rsid w:val="7B674F07"/>
    <w:rsid w:val="7E7D2C64"/>
    <w:rsid w:val="7F1E775C"/>
    <w:rsid w:val="7F6FE420"/>
    <w:rsid w:val="7F7C8ED9"/>
    <w:rsid w:val="7F7CEC1D"/>
    <w:rsid w:val="7F7D0DA2"/>
    <w:rsid w:val="7F9F63B8"/>
    <w:rsid w:val="7FB34D8F"/>
    <w:rsid w:val="7FC889EB"/>
    <w:rsid w:val="7FCEE45F"/>
    <w:rsid w:val="7FF73E45"/>
    <w:rsid w:val="7FFA76BE"/>
    <w:rsid w:val="7FFB6B58"/>
    <w:rsid w:val="7FFF98EC"/>
    <w:rsid w:val="85D6BB07"/>
    <w:rsid w:val="8FEF33DB"/>
    <w:rsid w:val="9D6E8B7E"/>
    <w:rsid w:val="9F6EF53A"/>
    <w:rsid w:val="9FCF404A"/>
    <w:rsid w:val="A73E2A82"/>
    <w:rsid w:val="ABFB4751"/>
    <w:rsid w:val="ADBE81A3"/>
    <w:rsid w:val="AF4F9C80"/>
    <w:rsid w:val="AFFF4DE7"/>
    <w:rsid w:val="B3C67109"/>
    <w:rsid w:val="B5DEE6D8"/>
    <w:rsid w:val="BAFF195F"/>
    <w:rsid w:val="BEA5BE6D"/>
    <w:rsid w:val="BFBDB795"/>
    <w:rsid w:val="CBFB8B46"/>
    <w:rsid w:val="CDBF59B0"/>
    <w:rsid w:val="CFCF5B15"/>
    <w:rsid w:val="D5F787CE"/>
    <w:rsid w:val="D773DB70"/>
    <w:rsid w:val="D7DFCBBB"/>
    <w:rsid w:val="D7FF57D5"/>
    <w:rsid w:val="DA661EE1"/>
    <w:rsid w:val="DBCDBF0B"/>
    <w:rsid w:val="DDED3058"/>
    <w:rsid w:val="DEBDB9CD"/>
    <w:rsid w:val="DEDFC572"/>
    <w:rsid w:val="DEE282FF"/>
    <w:rsid w:val="DEFD1C5C"/>
    <w:rsid w:val="DF999B77"/>
    <w:rsid w:val="DFDB958D"/>
    <w:rsid w:val="DFFF53EF"/>
    <w:rsid w:val="E4FEB457"/>
    <w:rsid w:val="E7FCAAFF"/>
    <w:rsid w:val="E7FF1738"/>
    <w:rsid w:val="EA7FC693"/>
    <w:rsid w:val="EBE7C443"/>
    <w:rsid w:val="EBFF7F33"/>
    <w:rsid w:val="EDE770B2"/>
    <w:rsid w:val="EEEE21E4"/>
    <w:rsid w:val="EEEF0BAD"/>
    <w:rsid w:val="EEFA5EC0"/>
    <w:rsid w:val="EF75857D"/>
    <w:rsid w:val="EFBFB49E"/>
    <w:rsid w:val="EFF7A740"/>
    <w:rsid w:val="F1DE2247"/>
    <w:rsid w:val="F5B9954C"/>
    <w:rsid w:val="F5BEAE28"/>
    <w:rsid w:val="F69F0BAF"/>
    <w:rsid w:val="F6FB4BE5"/>
    <w:rsid w:val="F77F9E18"/>
    <w:rsid w:val="F7836608"/>
    <w:rsid w:val="F7DF5D44"/>
    <w:rsid w:val="F7DFDC6A"/>
    <w:rsid w:val="F7EF4329"/>
    <w:rsid w:val="F7FF17AE"/>
    <w:rsid w:val="FB6D2048"/>
    <w:rsid w:val="FB9A3FEF"/>
    <w:rsid w:val="FBAEF959"/>
    <w:rsid w:val="FC755660"/>
    <w:rsid w:val="FCFDEFAA"/>
    <w:rsid w:val="FDBD148E"/>
    <w:rsid w:val="FDBD79D4"/>
    <w:rsid w:val="FDF7FD48"/>
    <w:rsid w:val="FE4FB1D8"/>
    <w:rsid w:val="FE531B2C"/>
    <w:rsid w:val="FEBD0A1C"/>
    <w:rsid w:val="FEBEB224"/>
    <w:rsid w:val="FEF6199D"/>
    <w:rsid w:val="FF6F482F"/>
    <w:rsid w:val="FF789142"/>
    <w:rsid w:val="FF9FFE4B"/>
    <w:rsid w:val="FFAF6732"/>
    <w:rsid w:val="FFFE271D"/>
    <w:rsid w:val="FFFEE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57"/>
    <w:semiHidden/>
    <w:unhideWhenUsed/>
    <w:qFormat/>
    <w:uiPriority w:val="99"/>
    <w:pPr>
      <w:spacing w:after="120" w:afterLines="0" w:afterAutospacing="0"/>
    </w:pPr>
  </w:style>
  <w:style w:type="paragraph" w:styleId="4">
    <w:name w:val="annotation text"/>
    <w:basedOn w:val="1"/>
    <w:link w:val="41"/>
    <w:semiHidden/>
    <w:unhideWhenUsed/>
    <w:qFormat/>
    <w:uiPriority w:val="99"/>
    <w:pPr>
      <w:jc w:val="left"/>
    </w:pPr>
  </w:style>
  <w:style w:type="paragraph" w:styleId="5">
    <w:name w:val="Balloon Text"/>
    <w:basedOn w:val="1"/>
    <w:link w:val="44"/>
    <w:semiHidden/>
    <w:unhideWhenUsed/>
    <w:qFormat/>
    <w:uiPriority w:val="99"/>
    <w:rPr>
      <w:sz w:val="18"/>
      <w:szCs w:val="18"/>
    </w:rPr>
  </w:style>
  <w:style w:type="paragraph" w:styleId="6">
    <w:name w:val="footer"/>
    <w:basedOn w:val="1"/>
    <w:link w:val="32"/>
    <w:unhideWhenUsed/>
    <w:qFormat/>
    <w:uiPriority w:val="99"/>
    <w:pPr>
      <w:tabs>
        <w:tab w:val="center" w:pos="4153"/>
        <w:tab w:val="right" w:pos="8306"/>
      </w:tabs>
      <w:snapToGrid w:val="0"/>
      <w:jc w:val="left"/>
    </w:pPr>
    <w:rPr>
      <w:sz w:val="18"/>
      <w:szCs w:val="18"/>
    </w:rPr>
  </w:style>
  <w:style w:type="paragraph" w:styleId="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47"/>
    <w:semiHidden/>
    <w:unhideWhenUsed/>
    <w:qFormat/>
    <w:uiPriority w:val="0"/>
    <w:pPr>
      <w:snapToGrid w:val="0"/>
      <w:jc w:val="left"/>
    </w:pPr>
    <w:rPr>
      <w:rFonts w:ascii="Calibri" w:hAnsi="Calibri" w:eastAsia="宋体" w:cs="Times New Roman"/>
      <w:sz w:val="18"/>
    </w:rPr>
  </w:style>
  <w:style w:type="paragraph" w:styleId="9">
    <w:name w:val="HTML Preformatted"/>
    <w:basedOn w:val="1"/>
    <w:link w:val="5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annotation subject"/>
    <w:basedOn w:val="4"/>
    <w:next w:val="4"/>
    <w:link w:val="42"/>
    <w:semiHidden/>
    <w:unhideWhenUsed/>
    <w:qFormat/>
    <w:uiPriority w:val="99"/>
    <w:rPr>
      <w:b/>
      <w:bCs/>
    </w:rPr>
  </w:style>
  <w:style w:type="paragraph" w:styleId="11">
    <w:name w:val="Body Text First Indent"/>
    <w:basedOn w:val="2"/>
    <w:link w:val="58"/>
    <w:semiHidden/>
    <w:unhideWhenUsed/>
    <w:qFormat/>
    <w:uiPriority w:val="99"/>
    <w:pPr>
      <w:ind w:firstLine="420" w:firstLineChars="1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FollowedHyperlink"/>
    <w:basedOn w:val="14"/>
    <w:semiHidden/>
    <w:unhideWhenUsed/>
    <w:qFormat/>
    <w:uiPriority w:val="99"/>
    <w:rPr>
      <w:color w:val="954F72"/>
      <w:u w:val="single"/>
    </w:rPr>
  </w:style>
  <w:style w:type="character" w:styleId="16">
    <w:name w:val="Hyperlink"/>
    <w:basedOn w:val="14"/>
    <w:semiHidden/>
    <w:unhideWhenUsed/>
    <w:qFormat/>
    <w:uiPriority w:val="99"/>
    <w:rPr>
      <w:color w:val="0563C1"/>
      <w:u w:val="single"/>
    </w:rPr>
  </w:style>
  <w:style w:type="character" w:styleId="17">
    <w:name w:val="annotation reference"/>
    <w:basedOn w:val="14"/>
    <w:semiHidden/>
    <w:unhideWhenUsed/>
    <w:qFormat/>
    <w:uiPriority w:val="99"/>
    <w:rPr>
      <w:sz w:val="21"/>
      <w:szCs w:val="21"/>
    </w:rPr>
  </w:style>
  <w:style w:type="character" w:styleId="18">
    <w:name w:val="footnote reference"/>
    <w:basedOn w:val="14"/>
    <w:semiHidden/>
    <w:unhideWhenUsed/>
    <w:qFormat/>
    <w:uiPriority w:val="0"/>
    <w:rPr>
      <w:vertAlign w:val="superscript"/>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1">
    <w:name w:val="font6"/>
    <w:basedOn w:val="1"/>
    <w:qFormat/>
    <w:uiPriority w:val="0"/>
    <w:pPr>
      <w:widowControl/>
      <w:spacing w:before="100" w:beforeAutospacing="1" w:after="100" w:afterAutospacing="1"/>
      <w:jc w:val="left"/>
    </w:pPr>
    <w:rPr>
      <w:rFonts w:ascii="仿宋_GB2312" w:hAnsi="宋体" w:eastAsia="仿宋_GB2312" w:cs="宋体"/>
      <w:color w:val="000000"/>
      <w:kern w:val="0"/>
      <w:sz w:val="22"/>
    </w:rPr>
  </w:style>
  <w:style w:type="paragraph" w:customStyle="1" w:styleId="22">
    <w:name w:val="font7"/>
    <w:basedOn w:val="1"/>
    <w:qFormat/>
    <w:uiPriority w:val="0"/>
    <w:pPr>
      <w:widowControl/>
      <w:spacing w:before="100" w:beforeAutospacing="1" w:after="100" w:afterAutospacing="1"/>
      <w:jc w:val="left"/>
    </w:pPr>
    <w:rPr>
      <w:rFonts w:ascii="仿宋_GB2312" w:hAnsi="宋体" w:eastAsia="仿宋_GB2312" w:cs="宋体"/>
      <w:b/>
      <w:bCs/>
      <w:color w:val="000000"/>
      <w:kern w:val="0"/>
      <w:sz w:val="22"/>
    </w:rPr>
  </w:style>
  <w:style w:type="paragraph" w:customStyle="1" w:styleId="23">
    <w:name w:val="xl65"/>
    <w:basedOn w:val="1"/>
    <w:qFormat/>
    <w:uiPriority w:val="0"/>
    <w:pPr>
      <w:widowControl/>
      <w:spacing w:before="100" w:beforeAutospacing="1" w:after="100" w:afterAutospacing="1"/>
      <w:jc w:val="left"/>
    </w:pPr>
    <w:rPr>
      <w:rFonts w:ascii="仿宋_GB2312" w:hAnsi="宋体" w:eastAsia="仿宋_GB2312" w:cs="宋体"/>
      <w:kern w:val="0"/>
      <w:sz w:val="24"/>
      <w:szCs w:val="24"/>
    </w:rPr>
  </w:style>
  <w:style w:type="paragraph" w:customStyle="1" w:styleId="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szCs w:val="24"/>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宋体" w:eastAsia="仿宋_GB2312" w:cs="宋体"/>
      <w:color w:val="000000"/>
      <w:kern w:val="0"/>
      <w:sz w:val="24"/>
      <w:szCs w:val="24"/>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4"/>
      <w:szCs w:val="24"/>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仿宋_GB2312" w:hAnsi="宋体" w:eastAsia="仿宋_GB2312" w:cs="宋体"/>
      <w:kern w:val="0"/>
      <w:sz w:val="24"/>
      <w:szCs w:val="24"/>
    </w:rPr>
  </w:style>
  <w:style w:type="paragraph" w:customStyle="1" w:styleId="29">
    <w:name w:val="xl71"/>
    <w:basedOn w:val="1"/>
    <w:qFormat/>
    <w:uiPriority w:val="0"/>
    <w:pPr>
      <w:widowControl/>
      <w:spacing w:before="100" w:beforeAutospacing="1" w:after="100" w:afterAutospacing="1"/>
      <w:jc w:val="center"/>
    </w:pPr>
    <w:rPr>
      <w:rFonts w:ascii="仿宋_GB2312" w:hAnsi="宋体" w:eastAsia="仿宋_GB2312" w:cs="宋体"/>
      <w:kern w:val="0"/>
      <w:sz w:val="24"/>
      <w:szCs w:val="24"/>
    </w:rPr>
  </w:style>
  <w:style w:type="paragraph" w:styleId="30">
    <w:name w:val="List Paragraph"/>
    <w:basedOn w:val="1"/>
    <w:qFormat/>
    <w:uiPriority w:val="34"/>
    <w:pPr>
      <w:ind w:firstLine="420" w:firstLineChars="200"/>
    </w:pPr>
  </w:style>
  <w:style w:type="character" w:customStyle="1" w:styleId="31">
    <w:name w:val="页眉 字符"/>
    <w:basedOn w:val="14"/>
    <w:link w:val="7"/>
    <w:qFormat/>
    <w:uiPriority w:val="99"/>
    <w:rPr>
      <w:sz w:val="18"/>
      <w:szCs w:val="18"/>
    </w:rPr>
  </w:style>
  <w:style w:type="character" w:customStyle="1" w:styleId="32">
    <w:name w:val="页脚 字符"/>
    <w:basedOn w:val="14"/>
    <w:link w:val="6"/>
    <w:qFormat/>
    <w:uiPriority w:val="99"/>
    <w:rPr>
      <w:sz w:val="18"/>
      <w:szCs w:val="18"/>
    </w:rPr>
  </w:style>
  <w:style w:type="paragraph" w:customStyle="1" w:styleId="33">
    <w:name w:val="列出段落1"/>
    <w:basedOn w:val="1"/>
    <w:qFormat/>
    <w:uiPriority w:val="34"/>
    <w:pPr>
      <w:ind w:firstLine="420" w:firstLineChars="200"/>
    </w:pPr>
    <w:rPr>
      <w:rFonts w:ascii="Calibri" w:hAnsi="Calibri" w:eastAsia="宋体" w:cs="Times New Roman"/>
    </w:rPr>
  </w:style>
  <w:style w:type="paragraph" w:customStyle="1" w:styleId="34">
    <w:name w:val="xl63"/>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35">
    <w:name w:val="xl64"/>
    <w:basedOn w:val="1"/>
    <w:qFormat/>
    <w:uiPriority w:val="0"/>
    <w:pPr>
      <w:widowControl/>
      <w:spacing w:before="100" w:beforeAutospacing="1" w:after="100" w:afterAutospacing="1"/>
      <w:jc w:val="left"/>
      <w:textAlignment w:val="bottom"/>
    </w:pPr>
    <w:rPr>
      <w:rFonts w:ascii="仿宋_GB2312" w:hAnsi="宋体" w:eastAsia="仿宋_GB2312" w:cs="宋体"/>
      <w:kern w:val="0"/>
      <w:sz w:val="24"/>
      <w:szCs w:val="24"/>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szCs w:val="24"/>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color w:val="000000"/>
      <w:kern w:val="0"/>
      <w:sz w:val="24"/>
      <w:szCs w:val="24"/>
    </w:rPr>
  </w:style>
  <w:style w:type="paragraph" w:customStyle="1" w:styleId="38">
    <w:name w:val="xl74"/>
    <w:basedOn w:val="1"/>
    <w:qFormat/>
    <w:uiPriority w:val="0"/>
    <w:pPr>
      <w:widowControl/>
      <w:spacing w:before="100" w:beforeAutospacing="1" w:after="100" w:afterAutospacing="1"/>
      <w:jc w:val="center"/>
      <w:textAlignment w:val="bottom"/>
    </w:pPr>
    <w:rPr>
      <w:rFonts w:ascii="仿宋_GB2312" w:hAnsi="宋体" w:eastAsia="仿宋_GB2312" w:cs="宋体"/>
      <w:kern w:val="0"/>
      <w:sz w:val="24"/>
      <w:szCs w:val="24"/>
    </w:rPr>
  </w:style>
  <w:style w:type="paragraph" w:customStyle="1" w:styleId="3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批注文字 字符"/>
    <w:basedOn w:val="14"/>
    <w:link w:val="4"/>
    <w:semiHidden/>
    <w:qFormat/>
    <w:uiPriority w:val="99"/>
    <w:rPr>
      <w:kern w:val="2"/>
      <w:sz w:val="21"/>
      <w:szCs w:val="22"/>
    </w:rPr>
  </w:style>
  <w:style w:type="character" w:customStyle="1" w:styleId="42">
    <w:name w:val="批注主题 字符"/>
    <w:basedOn w:val="41"/>
    <w:link w:val="10"/>
    <w:semiHidden/>
    <w:qFormat/>
    <w:uiPriority w:val="99"/>
    <w:rPr>
      <w:b/>
      <w:bCs/>
      <w:kern w:val="2"/>
      <w:sz w:val="21"/>
      <w:szCs w:val="22"/>
    </w:rPr>
  </w:style>
  <w:style w:type="paragraph" w:customStyle="1" w:styleId="43">
    <w:name w:val="修订3"/>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框文本 字符"/>
    <w:basedOn w:val="14"/>
    <w:link w:val="5"/>
    <w:semiHidden/>
    <w:qFormat/>
    <w:uiPriority w:val="99"/>
    <w:rPr>
      <w:rFonts w:asciiTheme="minorHAnsi" w:hAnsiTheme="minorHAnsi" w:eastAsiaTheme="minorEastAsia" w:cstheme="minorBidi"/>
      <w:kern w:val="2"/>
      <w:sz w:val="18"/>
      <w:szCs w:val="18"/>
    </w:rPr>
  </w:style>
  <w:style w:type="paragraph" w:customStyle="1" w:styleId="45">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6">
    <w:name w:val="修订5"/>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7">
    <w:name w:val="脚注文本 字符"/>
    <w:basedOn w:val="14"/>
    <w:link w:val="8"/>
    <w:semiHidden/>
    <w:qFormat/>
    <w:uiPriority w:val="0"/>
    <w:rPr>
      <w:rFonts w:ascii="Calibri" w:hAnsi="Calibri"/>
      <w:kern w:val="2"/>
      <w:sz w:val="18"/>
      <w:szCs w:val="22"/>
    </w:rPr>
  </w:style>
  <w:style w:type="paragraph" w:customStyle="1" w:styleId="48">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7"/>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1">
    <w:name w:val="修订8"/>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2">
    <w:name w:val="修订9"/>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HTML 预设格式 字符"/>
    <w:basedOn w:val="14"/>
    <w:link w:val="9"/>
    <w:qFormat/>
    <w:uiPriority w:val="99"/>
    <w:rPr>
      <w:rFonts w:ascii="宋体" w:hAnsi="宋体"/>
      <w:sz w:val="24"/>
      <w:szCs w:val="24"/>
    </w:rPr>
  </w:style>
  <w:style w:type="paragraph" w:customStyle="1" w:styleId="54">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5">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标题 1 字符"/>
    <w:basedOn w:val="14"/>
    <w:link w:val="3"/>
    <w:qFormat/>
    <w:uiPriority w:val="0"/>
    <w:rPr>
      <w:b/>
      <w:bCs/>
      <w:kern w:val="44"/>
      <w:sz w:val="44"/>
      <w:szCs w:val="44"/>
    </w:rPr>
  </w:style>
  <w:style w:type="character" w:customStyle="1" w:styleId="57">
    <w:name w:val="正文文本 字符"/>
    <w:basedOn w:val="14"/>
    <w:link w:val="2"/>
    <w:qFormat/>
    <w:uiPriority w:val="0"/>
    <w:rPr>
      <w:rFonts w:hint="default" w:ascii="Calibri" w:hAnsi="Calibri" w:cs="Calibri"/>
      <w:kern w:val="2"/>
      <w:sz w:val="21"/>
      <w:szCs w:val="22"/>
    </w:rPr>
  </w:style>
  <w:style w:type="character" w:customStyle="1" w:styleId="58">
    <w:name w:val="正文首行缩进 字符"/>
    <w:basedOn w:val="57"/>
    <w:link w:val="11"/>
    <w:qFormat/>
    <w:uiPriority w:val="0"/>
    <w:rPr>
      <w:rFonts w:hint="default" w:ascii="Calibri" w:hAnsi="Calibri" w:cs="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686</Words>
  <Characters>721</Characters>
  <Lines>17</Lines>
  <Paragraphs>4</Paragraphs>
  <TotalTime>11</TotalTime>
  <ScaleCrop>false</ScaleCrop>
  <LinksUpToDate>false</LinksUpToDate>
  <CharactersWithSpaces>725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2024-11-06T09:30:00Z</dcterms:created>
  <dc:creator>wwei</dc:creator>
  <cp:lastModifiedBy>yw</cp:lastModifiedBy>
  <cp:lastPrinted>2023-11-02T00:57:00Z</cp:lastPrinted>
  <dcterms:modified xsi:type="dcterms:W3CDTF">2025-04-23T06:06:22Z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4258F6EAFA42424CB225432F7750D812_13</vt:lpwstr>
  </property>
  <property fmtid="{D5CDD505-2E9C-101B-9397-08002B2CF9AE}" pid="4" name="KSOTemplateDocerSaveRecord">
    <vt:lpwstr>eyJoZGlkIjoiODVhYjNiNTRlM2VlOThlNjZkMTM1Y2RjZTQ0NTE0MjciLCJ1c2VySWQiOiIzODk3NjQ2OTYifQ==</vt:lpwstr>
  </property>
</Properties>
</file>