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3D3D3D"/>
          <w:kern w:val="0"/>
          <w:sz w:val="44"/>
          <w:szCs w:val="44"/>
          <w:shd w:val="clear" w:color="auto" w:fill="FFFFFF"/>
          <w:lang w:val="en-US" w:eastAsia="zh-CN"/>
        </w:rPr>
      </w:pPr>
      <w:r>
        <w:rPr>
          <w:rFonts w:hint="eastAsia" w:ascii="方正小标宋简体" w:hAnsi="方正小标宋简体" w:eastAsia="方正小标宋简体" w:cs="方正小标宋简体"/>
          <w:bCs/>
          <w:color w:val="3D3D3D"/>
          <w:kern w:val="0"/>
          <w:sz w:val="44"/>
          <w:szCs w:val="44"/>
          <w:shd w:val="clear" w:color="auto" w:fill="FFFFFF"/>
        </w:rPr>
        <w:t>南京市</w:t>
      </w:r>
      <w:r>
        <w:rPr>
          <w:rFonts w:hint="eastAsia" w:ascii="方正小标宋简体" w:hAnsi="方正小标宋简体" w:eastAsia="方正小标宋简体" w:cs="方正小标宋简体"/>
          <w:bCs/>
          <w:color w:val="3D3D3D"/>
          <w:kern w:val="0"/>
          <w:sz w:val="44"/>
          <w:szCs w:val="44"/>
          <w:shd w:val="clear" w:color="auto" w:fill="FFFFFF"/>
          <w:lang w:val="en-US" w:eastAsia="zh-CN"/>
        </w:rPr>
        <w:t>发展和改革委员会2025年度</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3D3D3D"/>
          <w:kern w:val="0"/>
          <w:sz w:val="44"/>
          <w:szCs w:val="44"/>
          <w:shd w:val="clear" w:color="auto" w:fill="FFFFFF"/>
          <w:lang w:val="en-US" w:eastAsia="zh-CN"/>
        </w:rPr>
        <w:t>重点</w:t>
      </w:r>
      <w:r>
        <w:rPr>
          <w:rFonts w:hint="eastAsia" w:ascii="方正小标宋简体" w:hAnsi="方正小标宋简体" w:eastAsia="方正小标宋简体" w:cs="方正小标宋简体"/>
          <w:bCs/>
          <w:color w:val="3D3D3D"/>
          <w:kern w:val="0"/>
          <w:sz w:val="44"/>
          <w:szCs w:val="44"/>
          <w:shd w:val="clear" w:color="auto" w:fill="FFFFFF"/>
        </w:rPr>
        <w:t>课题研究要点</w:t>
      </w:r>
    </w:p>
    <w:p>
      <w:pPr>
        <w:keepNext w:val="0"/>
        <w:keepLines w:val="0"/>
        <w:pageBreakBefore w:val="0"/>
        <w:kinsoku/>
        <w:wordWrap/>
        <w:overflowPunct/>
        <w:topLinePunct w:val="0"/>
        <w:autoSpaceDE/>
        <w:autoSpaceDN/>
        <w:bidi w:val="0"/>
        <w:adjustRightInd/>
        <w:snapToGrid/>
        <w:spacing w:line="660" w:lineRule="exact"/>
        <w:textAlignment w:val="auto"/>
        <w:rPr>
          <w:rFonts w:ascii="Times New Roman" w:hAnsi="Times New Roman" w:cs="Times New Roman"/>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黑体_GBK"/>
          <w:sz w:val="32"/>
          <w:szCs w:val="32"/>
        </w:rPr>
      </w:pPr>
      <w:r>
        <w:rPr>
          <w:rFonts w:hint="eastAsia" w:ascii="Times New Roman" w:hAnsi="Times New Roman" w:eastAsia="方正黑体_GBK"/>
          <w:color w:val="111111"/>
          <w:sz w:val="32"/>
          <w:szCs w:val="32"/>
          <w:shd w:val="clear" w:color="auto" w:fill="FFFFFF"/>
        </w:rPr>
        <w:t>一</w:t>
      </w:r>
      <w:r>
        <w:rPr>
          <w:rFonts w:ascii="Times New Roman" w:hAnsi="Times New Roman" w:eastAsia="方正黑体_GBK"/>
          <w:sz w:val="32"/>
          <w:szCs w:val="32"/>
        </w:rPr>
        <w:t>、</w:t>
      </w:r>
      <w:r>
        <w:rPr>
          <w:rFonts w:hint="eastAsia" w:ascii="Times New Roman" w:hAnsi="Times New Roman" w:eastAsia="方正黑体_GBK"/>
          <w:color w:val="111111"/>
          <w:sz w:val="32"/>
          <w:szCs w:val="32"/>
          <w:shd w:val="clear" w:color="auto" w:fill="FFFFFF"/>
        </w:rPr>
        <w:t>副省级城市经济争先进位的形势分析和策略研究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default" w:ascii="Times New Roman" w:hAnsi="方正楷体_GBK" w:eastAsia="方正楷体_GBK"/>
          <w:color w:val="111111"/>
          <w:sz w:val="32"/>
          <w:szCs w:val="32"/>
          <w:shd w:val="clear" w:color="auto" w:fill="FFFFFF"/>
          <w:lang w:val="en-US" w:eastAsia="zh-CN"/>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深度梳理近十年来副省级城市的经济体量格局变化，研判未来五年的竞争态势；</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深刻剖析南京在经济总量、产业发展、科技创新、企业培育、政策实施等方面取得的成绩和不足；</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精准总结深圳、成都、杭州、武汉、宁波等副省级城市的发展经验及启示；</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因地制宜在经济强基、产业规划、科技创新、政策保障等方面研提南京争先进位的策略建议。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不超过</w:t>
      </w:r>
      <w:r>
        <w:rPr>
          <w:rFonts w:hint="eastAsia" w:ascii="Times New Roman" w:hAnsi="Times New Roman" w:eastAsia="方正仿宋_GBK"/>
          <w:sz w:val="32"/>
          <w:szCs w:val="32"/>
        </w:rPr>
        <w:t>20</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lang w:val="en-US" w:eastAsia="zh-CN"/>
        </w:rPr>
        <w:t>二、</w:t>
      </w:r>
      <w:r>
        <w:rPr>
          <w:rFonts w:hint="eastAsia" w:ascii="Times New Roman" w:hAnsi="Times New Roman" w:eastAsia="方正黑体_GBK"/>
          <w:color w:val="111111"/>
          <w:sz w:val="32"/>
          <w:szCs w:val="32"/>
          <w:shd w:val="clear" w:color="auto" w:fill="FFFFFF"/>
        </w:rPr>
        <w:t>南京市经济增长的中长期趋势和高质量发展政策体系研究</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0" w:lineRule="exact"/>
        <w:ind w:firstLine="320" w:firstLineChars="10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default" w:ascii="Times New Roman" w:hAnsi="方正楷体_GBK" w:eastAsia="方正楷体_GBK"/>
          <w:color w:val="111111"/>
          <w:sz w:val="32"/>
          <w:szCs w:val="32"/>
          <w:shd w:val="clear" w:color="auto" w:fill="FFFFFF"/>
          <w:lang w:val="en-US" w:eastAsia="zh-CN"/>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从全要素生产率、资本积累、知识存量、创新能力等角度分析</w:t>
      </w:r>
      <w:r>
        <w:rPr>
          <w:rFonts w:hint="eastAsia" w:ascii="Times New Roman" w:hAnsi="Times New Roman" w:eastAsia="方正仿宋_GBK"/>
          <w:sz w:val="32"/>
          <w:szCs w:val="32"/>
          <w:lang w:val="en-US" w:eastAsia="zh-CN"/>
        </w:rPr>
        <w:t>南京</w:t>
      </w:r>
      <w:r>
        <w:rPr>
          <w:rFonts w:ascii="Times New Roman" w:hAnsi="Times New Roman" w:eastAsia="方正仿宋_GBK"/>
          <w:sz w:val="32"/>
          <w:szCs w:val="32"/>
        </w:rPr>
        <w:t>长远发展的战略性优势</w:t>
      </w:r>
      <w:r>
        <w:rPr>
          <w:rFonts w:hint="eastAsia" w:ascii="Times New Roman" w:hAnsi="Times New Roman" w:eastAsia="方正仿宋_GBK"/>
          <w:sz w:val="32"/>
          <w:szCs w:val="32"/>
          <w:lang w:val="en-US" w:eastAsia="zh-CN"/>
        </w:rPr>
        <w:t>和制约</w:t>
      </w:r>
      <w:r>
        <w:rPr>
          <w:rFonts w:ascii="Times New Roman" w:hAnsi="Times New Roman" w:eastAsia="方正仿宋_GBK"/>
          <w:sz w:val="32"/>
          <w:szCs w:val="32"/>
        </w:rPr>
        <w:t>南京</w:t>
      </w:r>
      <w:r>
        <w:rPr>
          <w:rFonts w:hint="eastAsia" w:ascii="Times New Roman" w:hAnsi="Times New Roman" w:eastAsia="方正仿宋_GBK"/>
          <w:sz w:val="32"/>
          <w:szCs w:val="32"/>
          <w:lang w:val="en-US" w:eastAsia="zh-CN"/>
        </w:rPr>
        <w:t>经济</w:t>
      </w:r>
      <w:r>
        <w:rPr>
          <w:rFonts w:ascii="Times New Roman" w:hAnsi="Times New Roman" w:eastAsia="方正仿宋_GBK"/>
          <w:sz w:val="32"/>
          <w:szCs w:val="32"/>
        </w:rPr>
        <w:t>增</w:t>
      </w:r>
      <w:r>
        <w:rPr>
          <w:rFonts w:hint="eastAsia" w:ascii="Times New Roman" w:hAnsi="Times New Roman" w:eastAsia="方正仿宋_GBK"/>
          <w:sz w:val="32"/>
          <w:szCs w:val="32"/>
          <w:lang w:val="en-US" w:eastAsia="zh-CN"/>
        </w:rPr>
        <w:t>长的</w:t>
      </w:r>
      <w:r>
        <w:rPr>
          <w:rFonts w:ascii="Times New Roman" w:hAnsi="Times New Roman" w:eastAsia="方正仿宋_GBK"/>
          <w:sz w:val="32"/>
          <w:szCs w:val="32"/>
        </w:rPr>
        <w:t>深层次原因；</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系统分析有效市场和有为政府的耦合机理，综合提炼推动南京经济中长期增长的关键要素及其动力机制；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ascii="Times New Roman" w:hAnsi="Times New Roman" w:eastAsia="方正仿宋_GBK"/>
          <w:sz w:val="32"/>
          <w:szCs w:val="32"/>
        </w:rPr>
        <w:t>探索构建推动南京经济高质量发展的政策体系，创新提出南京经济中长期持续稳健增长的总体策略和政策建议。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不超过</w:t>
      </w:r>
      <w:r>
        <w:rPr>
          <w:rFonts w:hint="eastAsia" w:ascii="Times New Roman" w:hAnsi="Times New Roman" w:eastAsia="方正仿宋_GBK"/>
          <w:sz w:val="32"/>
          <w:szCs w:val="32"/>
          <w:lang w:val="en-US" w:eastAsia="zh-CN"/>
        </w:rPr>
        <w:t>12.5</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lang w:val="en-US" w:eastAsia="zh-CN"/>
        </w:rPr>
        <w:t>三、</w:t>
      </w:r>
      <w:r>
        <w:rPr>
          <w:rFonts w:hint="eastAsia" w:ascii="Times New Roman" w:hAnsi="Times New Roman" w:eastAsia="方正黑体_GBK"/>
          <w:color w:val="111111"/>
          <w:sz w:val="32"/>
          <w:szCs w:val="32"/>
          <w:shd w:val="clear" w:color="auto" w:fill="FFFFFF"/>
        </w:rPr>
        <w:t>南京市第三代半导体产业研究与分析</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0" w:lineRule="exact"/>
        <w:ind w:left="645" w:leftChars="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1、聚焦第三代半导体全产业链，研究设计、制造、封测等产业环节国内外市场应用、生产供给、龙头企业、技术进展等情况</w:t>
      </w:r>
      <w:r>
        <w:rPr>
          <w:rFonts w:ascii="Times New Roman" w:hAnsi="Times New Roman" w:eastAsia="方正仿宋_GBK"/>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2、分析南京市第三代半导体产业发展优劣势，并从产业布局、企业招引、生态打造等方面提出</w:t>
      </w:r>
      <w:r>
        <w:rPr>
          <w:rFonts w:hint="eastAsia" w:ascii="Times New Roman" w:hAnsi="Times New Roman" w:eastAsia="方正仿宋_GBK"/>
          <w:sz w:val="32"/>
          <w:szCs w:val="32"/>
          <w:lang w:val="en-US" w:eastAsia="zh-CN"/>
        </w:rPr>
        <w:t>促进</w:t>
      </w:r>
      <w:r>
        <w:rPr>
          <w:rFonts w:hint="eastAsia" w:ascii="Times New Roman" w:hAnsi="Times New Roman" w:eastAsia="方正仿宋_GBK"/>
          <w:sz w:val="32"/>
          <w:szCs w:val="32"/>
        </w:rPr>
        <w:t>南京市第三代半导体产业</w:t>
      </w:r>
      <w:r>
        <w:rPr>
          <w:rFonts w:hint="eastAsia" w:ascii="Times New Roman" w:hAnsi="Times New Roman" w:eastAsia="方正仿宋_GBK"/>
          <w:sz w:val="32"/>
          <w:szCs w:val="32"/>
          <w:lang w:val="en-US" w:eastAsia="zh-CN"/>
        </w:rPr>
        <w:t>的</w:t>
      </w:r>
      <w:r>
        <w:rPr>
          <w:rFonts w:hint="eastAsia" w:ascii="Times New Roman" w:hAnsi="Times New Roman" w:eastAsia="方正仿宋_GBK"/>
          <w:sz w:val="32"/>
          <w:szCs w:val="32"/>
        </w:rPr>
        <w:t>相关建议。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ascii="Times New Roman" w:hAnsi="Times New Roman" w:eastAsia="方正仿宋_GBK"/>
          <w:sz w:val="32"/>
          <w:szCs w:val="32"/>
        </w:rPr>
        <w:t>不超过1</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rPr>
        <w:t>四</w:t>
      </w:r>
      <w:r>
        <w:rPr>
          <w:rFonts w:ascii="Times New Roman" w:hAnsi="Times New Roman" w:eastAsia="方正黑体_GBK"/>
          <w:color w:val="111111"/>
          <w:sz w:val="32"/>
          <w:szCs w:val="32"/>
          <w:shd w:val="clear" w:color="auto" w:fill="FFFFFF"/>
        </w:rPr>
        <w:t>、</w:t>
      </w:r>
      <w:r>
        <w:rPr>
          <w:rFonts w:hint="eastAsia" w:ascii="Times New Roman" w:hAnsi="Times New Roman" w:eastAsia="方正黑体_GBK"/>
          <w:color w:val="111111"/>
          <w:sz w:val="32"/>
          <w:szCs w:val="32"/>
          <w:shd w:val="clear" w:color="auto" w:fill="FFFFFF"/>
        </w:rPr>
        <w:t>南京市生产性服务业高质量发展路径研究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1、着眼推动我市生产性服务业向专业化和价值链高端延伸，提高产业集聚辐射能力，系统梳理我市生产性服务业发展优势、主要行业领域及龙头企业等基础现状；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2、通过与先进城市的比较分析，找出</w:t>
      </w:r>
      <w:r>
        <w:rPr>
          <w:rFonts w:hint="eastAsia" w:ascii="Times New Roman" w:hAnsi="Times New Roman" w:eastAsia="方正仿宋_GBK"/>
          <w:sz w:val="32"/>
          <w:szCs w:val="32"/>
          <w:lang w:val="en-US" w:eastAsia="zh-CN"/>
        </w:rPr>
        <w:t>我市生产性服务业发展</w:t>
      </w:r>
      <w:r>
        <w:rPr>
          <w:rFonts w:hint="eastAsia" w:ascii="Times New Roman" w:hAnsi="Times New Roman" w:eastAsia="方正仿宋_GBK"/>
          <w:sz w:val="32"/>
          <w:szCs w:val="32"/>
        </w:rPr>
        <w:t>存在的问题短板；</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方正楷体_GBK" w:eastAsia="方正楷体_GBK"/>
          <w:color w:val="111111"/>
          <w:sz w:val="32"/>
          <w:szCs w:val="32"/>
          <w:shd w:val="clear" w:color="auto" w:fill="FFFFFF"/>
          <w:lang w:val="en-US" w:eastAsia="zh-CN"/>
        </w:rPr>
      </w:pPr>
      <w:r>
        <w:rPr>
          <w:rFonts w:hint="eastAsia" w:ascii="Times New Roman" w:hAnsi="Times New Roman" w:eastAsia="方正仿宋_GBK"/>
          <w:sz w:val="32"/>
          <w:szCs w:val="32"/>
        </w:rPr>
        <w:t>3、借鉴其他地区先进经验做法，提出我市生产性服务业发展的重点领域、推进路径、建议举措等。</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不超过</w:t>
      </w:r>
      <w:r>
        <w:rPr>
          <w:rFonts w:hint="eastAsia" w:ascii="Times New Roman" w:hAnsi="Times New Roman" w:eastAsia="方正仿宋_GBK"/>
          <w:sz w:val="32"/>
          <w:szCs w:val="32"/>
          <w:lang w:val="en-US" w:eastAsia="zh-CN"/>
        </w:rPr>
        <w:t>12.5</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rPr>
        <w:t>五</w:t>
      </w:r>
      <w:r>
        <w:rPr>
          <w:rFonts w:ascii="Times New Roman" w:hAnsi="Times New Roman" w:eastAsia="方正黑体_GBK"/>
          <w:color w:val="111111"/>
          <w:sz w:val="32"/>
          <w:szCs w:val="32"/>
          <w:shd w:val="clear" w:color="auto" w:fill="FFFFFF"/>
        </w:rPr>
        <w:t>、</w:t>
      </w:r>
      <w:r>
        <w:rPr>
          <w:rFonts w:hint="eastAsia" w:ascii="Times New Roman" w:hAnsi="Times New Roman" w:eastAsia="方正黑体_GBK"/>
          <w:color w:val="111111"/>
          <w:sz w:val="32"/>
          <w:szCs w:val="32"/>
          <w:shd w:val="clear" w:color="auto" w:fill="FFFFFF"/>
        </w:rPr>
        <w:t>南京市关于建设国际物流枢纽中心的路径探索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围绕</w:t>
      </w:r>
      <w:r>
        <w:rPr>
          <w:rFonts w:hint="eastAsia" w:ascii="Times New Roman" w:hAnsi="Times New Roman" w:eastAsia="方正仿宋_GBK"/>
          <w:sz w:val="32"/>
          <w:szCs w:val="32"/>
        </w:rPr>
        <w:t>提升南京在国家物流枢纽战略中的位势，发挥我市作为华东地区唯一拥有港口型、空港型、陆港型、生产服务型、商贸服务型国家物流枢纽优势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系统分析我市在国际国内双循环的战略定位</w:t>
      </w:r>
      <w:r>
        <w:rPr>
          <w:rFonts w:hint="eastAsia" w:ascii="Times New Roman" w:hAnsi="Times New Roman" w:eastAsia="方正仿宋_GBK"/>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2、找准我市在支持打造具有世界聚合力的双向开放枢纽的着力点和方向；</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提出我市打造国际物流枢纽中心的战略定位、发展重点、实施路径、建议举措等。</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不超过</w:t>
      </w:r>
      <w:r>
        <w:rPr>
          <w:rFonts w:hint="eastAsia" w:ascii="Times New Roman" w:hAnsi="Times New Roman" w:eastAsia="方正仿宋_GBK"/>
          <w:sz w:val="32"/>
          <w:szCs w:val="32"/>
          <w:lang w:val="en-US" w:eastAsia="zh-CN"/>
        </w:rPr>
        <w:t>8.3</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rPr>
        <w:t>六、南京市低空经济立法研究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根据中央相关规章制度，聚焦南京实践，从制度协同、风险管控、创新激励等方面开展相关研究，明确政府、企业、科研机构权责；</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2、构建“飞行安全—空域开放—产业创新”三位一体的法治框架；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3、建立包容审慎的安全管理机制，规范数据隐私保护、应急处置等环节；保障自主开发、产学研合作、技术转化、人才引育等政策落地，巩固南京在低空智联网、无人机管控等领域的技术优势；</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4、研究成果将探索低空经济法律框架设计，为南京市低空经济立法提供理论支撑、实践路径以及建议文本，并为国家层面立法积累经验。</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不超过1</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hint="eastAsia" w:ascii="Times New Roman" w:hAnsi="Times New Roman" w:eastAsia="方正黑体_GBK"/>
          <w:color w:val="111111"/>
          <w:sz w:val="32"/>
          <w:szCs w:val="32"/>
          <w:shd w:val="clear" w:color="auto" w:fill="FFFFFF"/>
        </w:rPr>
      </w:pPr>
      <w:r>
        <w:rPr>
          <w:rFonts w:hint="eastAsia" w:ascii="Times New Roman" w:hAnsi="Times New Roman" w:eastAsia="方正黑体_GBK"/>
          <w:color w:val="111111"/>
          <w:sz w:val="32"/>
          <w:szCs w:val="32"/>
          <w:shd w:val="clear" w:color="auto" w:fill="FFFFFF"/>
          <w:lang w:val="en-US" w:eastAsia="zh-CN"/>
        </w:rPr>
        <w:t>七、</w:t>
      </w:r>
      <w:r>
        <w:rPr>
          <w:rFonts w:hint="eastAsia" w:ascii="Times New Roman" w:hAnsi="Times New Roman" w:eastAsia="方正黑体_GBK"/>
          <w:color w:val="111111"/>
          <w:sz w:val="32"/>
          <w:szCs w:val="32"/>
          <w:shd w:val="clear" w:color="auto" w:fill="FFFFFF"/>
        </w:rPr>
        <w:t>构建特大城市资源集聚通道 提升南京“两地三中心”核心功能研究</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（一）研究要点</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lang w:val="en-US" w:eastAsia="zh-CN"/>
        </w:rPr>
        <w:t>本课题将重点研究但不限于以下方面：</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基于要素流动理论、区域经济增长极理论等，探讨资源集聚通道形成和变化的原因，构建理论框架</w:t>
      </w:r>
      <w:r>
        <w:rPr>
          <w:rFonts w:hint="eastAsia" w:ascii="Times New Roman" w:hAnsi="Times New Roman" w:eastAsia="方正仿宋_GBK"/>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分析南京“两地三中心”核心功能的发展现状，剖析薄弱环节及制约因素</w:t>
      </w:r>
      <w:r>
        <w:rPr>
          <w:rFonts w:hint="eastAsia" w:ascii="Times New Roman" w:hAnsi="Times New Roman" w:eastAsia="方正仿宋_GBK"/>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选取国内外特大城市典型范例，研究其资源集聚通道构建模式及成功经验，总结提炼对南京的启示意义</w:t>
      </w:r>
      <w:r>
        <w:rPr>
          <w:rFonts w:hint="eastAsia" w:ascii="Times New Roman" w:hAnsi="Times New Roman" w:eastAsia="方正仿宋_GBK"/>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研究南京构建资源集聚通道与提升“两地三中心”核心功能的耦合机制，提出如何通过资源集聚通道提升“两地三中心”核心功能的路径及政策建议。</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方正楷体_GBK" w:eastAsia="方正楷体_GBK"/>
          <w:color w:val="111111"/>
          <w:sz w:val="32"/>
          <w:szCs w:val="32"/>
          <w:shd w:val="clear" w:color="auto" w:fill="FFFFFF"/>
        </w:rPr>
      </w:pPr>
      <w:r>
        <w:rPr>
          <w:rFonts w:ascii="Times New Roman" w:hAnsi="方正楷体_GBK" w:eastAsia="方正楷体_GBK"/>
          <w:color w:val="111111"/>
          <w:sz w:val="32"/>
          <w:szCs w:val="32"/>
          <w:shd w:val="clear" w:color="auto" w:fill="FFFFFF"/>
        </w:rPr>
        <w:t>（二）经费预算</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不超过</w:t>
      </w:r>
      <w:r>
        <w:rPr>
          <w:rFonts w:hint="eastAsia" w:ascii="Times New Roman" w:hAnsi="Times New Roman" w:eastAsia="方正仿宋_GBK"/>
          <w:sz w:val="32"/>
          <w:szCs w:val="32"/>
          <w:lang w:val="en-US" w:eastAsia="zh-CN"/>
        </w:rPr>
        <w:t>8.3</w:t>
      </w:r>
      <w:r>
        <w:rPr>
          <w:rFonts w:ascii="Times New Roman" w:hAnsi="Times New Roman" w:eastAsia="方正仿宋_GBK"/>
          <w:sz w:val="32"/>
          <w:szCs w:val="32"/>
        </w:rPr>
        <w:t>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方正楷体_GBK" w:eastAsia="方正楷体_GBK"/>
          <w:color w:val="111111"/>
          <w:sz w:val="32"/>
          <w:szCs w:val="32"/>
          <w:shd w:val="clear" w:color="auto" w:fill="FFFFFF"/>
        </w:rPr>
      </w:pPr>
      <w:r>
        <w:rPr>
          <w:rFonts w:hint="eastAsia" w:ascii="Times New Roman" w:hAnsi="方正楷体_GBK" w:eastAsia="方正楷体_GBK"/>
          <w:color w:val="111111"/>
          <w:sz w:val="32"/>
          <w:szCs w:val="32"/>
          <w:shd w:val="clear" w:color="auto" w:fill="FFFFFF"/>
        </w:rPr>
        <w:t>（三）完成时限</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5"/>
        <w:textAlignment w:val="auto"/>
        <w:rPr>
          <w:rFonts w:ascii="Times New Roman" w:hAnsi="Times New Roman"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8564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251D"/>
    <w:rsid w:val="000154B9"/>
    <w:rsid w:val="0007154A"/>
    <w:rsid w:val="00084DF0"/>
    <w:rsid w:val="00090375"/>
    <w:rsid w:val="000B09E5"/>
    <w:rsid w:val="000F6762"/>
    <w:rsid w:val="001257BE"/>
    <w:rsid w:val="001622D5"/>
    <w:rsid w:val="001A72DD"/>
    <w:rsid w:val="002017F5"/>
    <w:rsid w:val="0020532A"/>
    <w:rsid w:val="002119EE"/>
    <w:rsid w:val="0026543D"/>
    <w:rsid w:val="00271B0C"/>
    <w:rsid w:val="00291DC7"/>
    <w:rsid w:val="00325141"/>
    <w:rsid w:val="00363051"/>
    <w:rsid w:val="003954B2"/>
    <w:rsid w:val="004059CD"/>
    <w:rsid w:val="0046091B"/>
    <w:rsid w:val="00477C44"/>
    <w:rsid w:val="004952DF"/>
    <w:rsid w:val="00496D99"/>
    <w:rsid w:val="004B7541"/>
    <w:rsid w:val="004F2E57"/>
    <w:rsid w:val="005308FE"/>
    <w:rsid w:val="00561A20"/>
    <w:rsid w:val="005B3566"/>
    <w:rsid w:val="005D0A62"/>
    <w:rsid w:val="00646DD2"/>
    <w:rsid w:val="006E47E5"/>
    <w:rsid w:val="00700DA7"/>
    <w:rsid w:val="00700E1F"/>
    <w:rsid w:val="00723B11"/>
    <w:rsid w:val="00725E0B"/>
    <w:rsid w:val="00734F9E"/>
    <w:rsid w:val="00774857"/>
    <w:rsid w:val="007F5F21"/>
    <w:rsid w:val="00840DE6"/>
    <w:rsid w:val="00857542"/>
    <w:rsid w:val="008F60A3"/>
    <w:rsid w:val="00906805"/>
    <w:rsid w:val="00983E4B"/>
    <w:rsid w:val="009907B1"/>
    <w:rsid w:val="009A3455"/>
    <w:rsid w:val="009D13B0"/>
    <w:rsid w:val="00A003ED"/>
    <w:rsid w:val="00A24C27"/>
    <w:rsid w:val="00A24CA4"/>
    <w:rsid w:val="00A9072D"/>
    <w:rsid w:val="00AA70E2"/>
    <w:rsid w:val="00B53156"/>
    <w:rsid w:val="00B72F31"/>
    <w:rsid w:val="00C2251D"/>
    <w:rsid w:val="00C4549C"/>
    <w:rsid w:val="00CE7D3A"/>
    <w:rsid w:val="00CF783F"/>
    <w:rsid w:val="00D008AB"/>
    <w:rsid w:val="00D151F0"/>
    <w:rsid w:val="00D41228"/>
    <w:rsid w:val="00D7301E"/>
    <w:rsid w:val="00DC3BD3"/>
    <w:rsid w:val="00E23AA6"/>
    <w:rsid w:val="00E31837"/>
    <w:rsid w:val="00E827B3"/>
    <w:rsid w:val="00E9014A"/>
    <w:rsid w:val="00EA589A"/>
    <w:rsid w:val="00EC478B"/>
    <w:rsid w:val="00EC53EF"/>
    <w:rsid w:val="00ED2720"/>
    <w:rsid w:val="00F135A9"/>
    <w:rsid w:val="00F663BD"/>
    <w:rsid w:val="00FC225C"/>
    <w:rsid w:val="03794E84"/>
    <w:rsid w:val="06F802FF"/>
    <w:rsid w:val="09713C56"/>
    <w:rsid w:val="09B026D8"/>
    <w:rsid w:val="13872AD1"/>
    <w:rsid w:val="176108A5"/>
    <w:rsid w:val="1D784CFE"/>
    <w:rsid w:val="22810FF0"/>
    <w:rsid w:val="36062A6B"/>
    <w:rsid w:val="63CA64DC"/>
    <w:rsid w:val="65982261"/>
    <w:rsid w:val="751E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1725</Words>
  <Characters>1779</Characters>
  <Lines>20</Lines>
  <Paragraphs>5</Paragraphs>
  <TotalTime>8</TotalTime>
  <ScaleCrop>false</ScaleCrop>
  <LinksUpToDate>false</LinksUpToDate>
  <CharactersWithSpaces>1780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2020-05-06T10:54:00Z</dcterms:created>
  <dc:creator>NTKO</dc:creator>
  <cp:lastModifiedBy>Administrator</cp:lastModifiedBy>
  <cp:lastPrinted>2025-04-24T09:34:00Z</cp:lastPrinted>
  <dcterms:modified xsi:type="dcterms:W3CDTF">2025-04-28T01:09:29Z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eyJoZGlkIjoiMzAxMWQwZWExOTRmNDQ4ZGNkOTY5YjljN2ZhZjU2YzMiLCJ1c2VySWQiOiI0NDIzOTY0OTgifQ==</vt:lpwstr>
  </property>
  <property fmtid="{D5CDD505-2E9C-101B-9397-08002B2CF9AE}" pid="3" name="KSOProductBuildVer">
    <vt:lpwstr>2052-11.1.0.10314</vt:lpwstr>
  </property>
  <property fmtid="{D5CDD505-2E9C-101B-9397-08002B2CF9AE}" pid="4" name="ICV">
    <vt:lpwstr>6235884379EC45F184C159359835DD9E_12</vt:lpwstr>
  </property>
</Properties>
</file>