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2C24A">
      <w:pPr>
        <w:keepNext w:val="0"/>
        <w:keepLines w:val="0"/>
        <w:pageBreakBefore w:val="0"/>
        <w:kinsoku/>
        <w:wordWrap/>
        <w:overflowPunct/>
        <w:topLinePunct w:val="0"/>
        <w:autoSpaceDE/>
        <w:autoSpaceDN/>
        <w:bidi w:val="0"/>
        <w:spacing w:line="560" w:lineRule="exact"/>
        <w:textAlignment w:val="auto"/>
        <w:rPr>
          <w:rFonts w:ascii="Times New Roman" w:hAnsi="Times New Roman" w:eastAsia="方正黑体_GBK"/>
          <w:sz w:val="32"/>
          <w:szCs w:val="32"/>
        </w:rPr>
      </w:pPr>
      <w:r>
        <w:rPr>
          <w:rFonts w:ascii="Times New Roman" w:hAnsi="Times New Roman" w:eastAsia="方正黑体_GBK"/>
          <w:sz w:val="32"/>
          <w:szCs w:val="32"/>
        </w:rPr>
        <w:t>附件4</w:t>
      </w:r>
    </w:p>
    <w:p w14:paraId="6F15BED6">
      <w:pPr>
        <w:keepNext w:val="0"/>
        <w:keepLines w:val="0"/>
        <w:pageBreakBefore w:val="0"/>
        <w:kinsoku/>
        <w:wordWrap/>
        <w:overflowPunct/>
        <w:topLinePunct w:val="0"/>
        <w:autoSpaceDE/>
        <w:autoSpaceDN/>
        <w:bidi w:val="0"/>
        <w:spacing w:line="560" w:lineRule="exact"/>
        <w:jc w:val="center"/>
        <w:textAlignment w:val="auto"/>
        <w:rPr>
          <w:rFonts w:ascii="方正小标宋_GBK" w:eastAsia="方正小标宋_GBK"/>
          <w:spacing w:val="4"/>
          <w:w w:val="90"/>
          <w:sz w:val="44"/>
          <w:szCs w:val="44"/>
        </w:rPr>
      </w:pPr>
    </w:p>
    <w:p w14:paraId="1896F9C9">
      <w:pPr>
        <w:keepNext w:val="0"/>
        <w:keepLines w:val="0"/>
        <w:pageBreakBefore w:val="0"/>
        <w:kinsoku/>
        <w:wordWrap/>
        <w:overflowPunct/>
        <w:topLinePunct w:val="0"/>
        <w:autoSpaceDE/>
        <w:autoSpaceDN/>
        <w:bidi w:val="0"/>
        <w:spacing w:line="560" w:lineRule="exact"/>
        <w:jc w:val="center"/>
        <w:textAlignment w:val="auto"/>
        <w:rPr>
          <w:rFonts w:ascii="方正小标宋_GBK" w:eastAsia="方正小标宋_GBK"/>
          <w:spacing w:val="4"/>
          <w:w w:val="90"/>
          <w:sz w:val="44"/>
          <w:szCs w:val="44"/>
        </w:rPr>
      </w:pPr>
      <w:r>
        <w:rPr>
          <w:rFonts w:hint="eastAsia" w:ascii="方正小标宋_GBK" w:eastAsia="方正小标宋_GBK"/>
          <w:spacing w:val="4"/>
          <w:w w:val="100"/>
          <w:sz w:val="44"/>
          <w:szCs w:val="44"/>
        </w:rPr>
        <w:t>2025年度市重点研发计划（现代农业）项目指南</w:t>
      </w:r>
      <w:bookmarkStart w:id="0" w:name="_GoBack"/>
      <w:bookmarkEnd w:id="0"/>
    </w:p>
    <w:p w14:paraId="7A16060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p>
    <w:p w14:paraId="1ECA34A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一、种业种苗专题</w:t>
      </w:r>
    </w:p>
    <w:p w14:paraId="3EEFC40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2101</w:t>
      </w:r>
      <w:r>
        <w:rPr>
          <w:rFonts w:hint="eastAsia" w:ascii="方正仿宋_GBK" w:hAnsi="Times New Roman" w:eastAsia="方正仿宋_GBK"/>
          <w:color w:val="000000"/>
          <w:sz w:val="32"/>
          <w:szCs w:val="32"/>
        </w:rPr>
        <w:t>聚焦粮油果蔬优异基因挖掘与种质创新、丰产优质新品种选育、精准育种及高产栽培技术研究，开展特色作物分子设计育种与规模化繁育技术研发。</w:t>
      </w:r>
    </w:p>
    <w:p w14:paraId="29B7F47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102</w:t>
      </w:r>
      <w:r>
        <w:rPr>
          <w:rFonts w:hint="eastAsia" w:ascii="方正仿宋_GBK" w:hAnsi="Times New Roman" w:eastAsia="方正仿宋_GBK"/>
          <w:color w:val="000000"/>
          <w:sz w:val="32"/>
          <w:szCs w:val="32"/>
        </w:rPr>
        <w:t>青贮玉米多抗品种选育、耐盐碱作物种质驯化与栽培技术、耐盐碱粮油品种创制及种业智能化技术研发。</w:t>
      </w:r>
    </w:p>
    <w:p w14:paraId="271AB3A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103</w:t>
      </w:r>
      <w:r>
        <w:rPr>
          <w:rFonts w:hint="eastAsia" w:ascii="方正仿宋_GBK" w:hAnsi="Times New Roman" w:eastAsia="方正仿宋_GBK"/>
          <w:color w:val="000000"/>
          <w:sz w:val="32"/>
          <w:szCs w:val="32"/>
        </w:rPr>
        <w:t>滨海盐碱地作物产能提升关键技术研发</w:t>
      </w:r>
    </w:p>
    <w:p w14:paraId="6027B2E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研发内容：针对江苏中重度盐碱地改良利用及产能提升问题，围绕“以种适地、以地适种”方向，开展耐盐作物品种选育及抗盐高产栽培技术、盐碱障碍因子消减、盐碱耕地地力提升等技术研发，实现盐碱地综合产能提升，为江苏滨海盐碱地高效利用提供技术方案。</w:t>
      </w:r>
    </w:p>
    <w:p w14:paraId="52B1BCD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考核指标：筛选耐盐作物品种（审定或登记）</w:t>
      </w:r>
      <w:r>
        <w:rPr>
          <w:rFonts w:hint="eastAsia" w:ascii="Times New Roman" w:hAnsi="Times New Roman" w:eastAsia="方正仿宋_GBK"/>
          <w:color w:val="000000"/>
          <w:sz w:val="32"/>
          <w:szCs w:val="32"/>
        </w:rPr>
        <w:t>2-3</w:t>
      </w:r>
      <w:r>
        <w:rPr>
          <w:rFonts w:hint="eastAsia" w:ascii="方正仿宋_GBK" w:hAnsi="Times New Roman" w:eastAsia="方正仿宋_GBK"/>
          <w:color w:val="000000"/>
          <w:sz w:val="32"/>
          <w:szCs w:val="32"/>
        </w:rPr>
        <w:t>个，作物单产提升</w:t>
      </w:r>
      <w:r>
        <w:rPr>
          <w:rFonts w:hint="eastAsia" w:ascii="Times New Roman" w:hAnsi="Times New Roman" w:eastAsia="方正仿宋_GBK"/>
          <w:color w:val="000000"/>
          <w:sz w:val="32"/>
          <w:szCs w:val="32"/>
        </w:rPr>
        <w:t>10%</w:t>
      </w:r>
      <w:r>
        <w:rPr>
          <w:rFonts w:hint="eastAsia" w:ascii="方正仿宋_GBK" w:hAnsi="Times New Roman" w:eastAsia="方正仿宋_GBK"/>
          <w:color w:val="000000"/>
          <w:sz w:val="32"/>
          <w:szCs w:val="32"/>
        </w:rPr>
        <w:t>以上；建立盐碱地周年轮作高效栽培体</w:t>
      </w:r>
      <w:r>
        <w:rPr>
          <w:rFonts w:hint="eastAsia" w:ascii="Times New Roman" w:hAnsi="Times New Roman" w:eastAsia="方正仿宋_GBK"/>
          <w:color w:val="000000"/>
          <w:sz w:val="32"/>
          <w:szCs w:val="32"/>
        </w:rPr>
        <w:t>系1</w:t>
      </w:r>
      <w:r>
        <w:rPr>
          <w:rFonts w:hint="eastAsia" w:ascii="方正仿宋_GBK" w:hAnsi="Times New Roman" w:eastAsia="方正仿宋_GBK"/>
          <w:color w:val="000000"/>
          <w:sz w:val="32"/>
          <w:szCs w:val="32"/>
        </w:rPr>
        <w:t>套，作物产量及直接经济效益提</w:t>
      </w:r>
      <w:r>
        <w:rPr>
          <w:rFonts w:hint="eastAsia" w:ascii="Times New Roman" w:hAnsi="Times New Roman" w:eastAsia="方正仿宋_GBK"/>
          <w:color w:val="000000"/>
          <w:sz w:val="32"/>
          <w:szCs w:val="32"/>
        </w:rPr>
        <w:t>升15%</w:t>
      </w:r>
      <w:r>
        <w:rPr>
          <w:rFonts w:hint="eastAsia" w:ascii="方正仿宋_GBK" w:hAnsi="Times New Roman" w:eastAsia="方正仿宋_GBK"/>
          <w:color w:val="000000"/>
          <w:sz w:val="32"/>
          <w:szCs w:val="32"/>
        </w:rPr>
        <w:t>以上；申请相关发明专利</w:t>
      </w:r>
      <w:r>
        <w:rPr>
          <w:rFonts w:hint="eastAsia" w:ascii="Times New Roman" w:hAnsi="Times New Roman" w:eastAsia="方正仿宋_GBK"/>
          <w:color w:val="000000"/>
          <w:sz w:val="32"/>
          <w:szCs w:val="32"/>
        </w:rPr>
        <w:t>3-4</w:t>
      </w:r>
      <w:r>
        <w:rPr>
          <w:rFonts w:hint="eastAsia" w:ascii="方正仿宋_GBK" w:hAnsi="Times New Roman" w:eastAsia="方正仿宋_GBK"/>
          <w:color w:val="000000"/>
          <w:sz w:val="32"/>
          <w:szCs w:val="32"/>
        </w:rPr>
        <w:t>件，制定技术规程</w:t>
      </w:r>
      <w:r>
        <w:rPr>
          <w:rFonts w:hint="eastAsia" w:ascii="Times New Roman" w:hAnsi="Times New Roman" w:eastAsia="方正仿宋_GBK"/>
          <w:color w:val="000000"/>
          <w:sz w:val="32"/>
          <w:szCs w:val="32"/>
        </w:rPr>
        <w:t>1-2</w:t>
      </w:r>
      <w:r>
        <w:rPr>
          <w:rFonts w:hint="eastAsia" w:ascii="方正仿宋_GBK" w:hAnsi="Times New Roman" w:eastAsia="方正仿宋_GBK"/>
          <w:color w:val="000000"/>
          <w:sz w:val="32"/>
          <w:szCs w:val="32"/>
        </w:rPr>
        <w:t>项。</w:t>
      </w:r>
    </w:p>
    <w:p w14:paraId="3873BBA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二、食品加工专题</w:t>
      </w:r>
    </w:p>
    <w:p w14:paraId="7F98BB3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201农产品自动化加工与食品智能制造数字控制技术，特色粮油果蔬作物采后保鲜储运、精深加工与高值化利用关键技术。</w:t>
      </w:r>
    </w:p>
    <w:p w14:paraId="56ED890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202</w:t>
      </w:r>
      <w:r>
        <w:rPr>
          <w:rFonts w:hint="eastAsia" w:ascii="方正仿宋_GBK" w:hAnsi="Times New Roman" w:eastAsia="方正仿宋_GBK"/>
          <w:color w:val="000000"/>
          <w:sz w:val="32"/>
          <w:szCs w:val="32"/>
        </w:rPr>
        <w:t>肉制品微生物快速检测技术、肉制品防腐保鲜技术、水产品仓储保鲜保活技术及畜禽水产重要疫病免疫防控技术。</w:t>
      </w:r>
    </w:p>
    <w:p w14:paraId="4E7C04F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203</w:t>
      </w:r>
      <w:r>
        <w:rPr>
          <w:rFonts w:hint="eastAsia" w:ascii="方正仿宋_GBK" w:hAnsi="Times New Roman" w:eastAsia="方正仿宋_GBK"/>
          <w:color w:val="000000"/>
          <w:sz w:val="32"/>
          <w:szCs w:val="32"/>
        </w:rPr>
        <w:t>水产冷冻食品加工技术、水产干制品加工技术、水产加工副产物综合利用技术、海洋生物功能性成分高效提制与产品研发。</w:t>
      </w:r>
    </w:p>
    <w:p w14:paraId="22ADAEF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三、海洋生物专题</w:t>
      </w:r>
    </w:p>
    <w:p w14:paraId="068AE89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301</w:t>
      </w:r>
      <w:r>
        <w:rPr>
          <w:rFonts w:hint="eastAsia" w:ascii="方正仿宋_GBK" w:hAnsi="Times New Roman" w:eastAsia="方正仿宋_GBK"/>
          <w:color w:val="000000"/>
          <w:sz w:val="32"/>
          <w:szCs w:val="32"/>
        </w:rPr>
        <w:t>特色海洋生物种质资源库建设、良种选育与种苗规模化繁育、海洋珍稀濒危物种繁育增殖</w:t>
      </w:r>
      <w:r>
        <w:rPr>
          <w:rFonts w:hint="eastAsia" w:ascii="方正仿宋_GBK" w:hAnsi="Times New Roman" w:eastAsia="方正仿宋_GBK"/>
          <w:color w:val="000000"/>
          <w:sz w:val="32"/>
          <w:szCs w:val="32"/>
          <w:lang w:eastAsia="zh-CN"/>
        </w:rPr>
        <w:t>，以</w:t>
      </w:r>
      <w:r>
        <w:rPr>
          <w:rFonts w:hint="eastAsia" w:ascii="方正仿宋_GBK" w:hAnsi="Times New Roman" w:eastAsia="方正仿宋_GBK"/>
          <w:color w:val="000000"/>
          <w:sz w:val="32"/>
          <w:szCs w:val="32"/>
        </w:rPr>
        <w:t>及质量安全监测与开发利用。</w:t>
      </w:r>
    </w:p>
    <w:p w14:paraId="46748BF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302</w:t>
      </w:r>
      <w:r>
        <w:rPr>
          <w:rFonts w:hint="eastAsia" w:ascii="方正仿宋_GBK" w:hAnsi="Times New Roman" w:eastAsia="方正仿宋_GBK"/>
          <w:color w:val="000000"/>
          <w:sz w:val="32"/>
          <w:szCs w:val="32"/>
        </w:rPr>
        <w:t>开展海洋牧场生态养殖与病害防控技术研究，推进海</w:t>
      </w:r>
      <w:r>
        <w:rPr>
          <w:rFonts w:hint="eastAsia" w:ascii="Times New Roman" w:hAnsi="Times New Roman" w:eastAsia="方正仿宋_GBK"/>
          <w:color w:val="000000"/>
          <w:sz w:val="32"/>
          <w:szCs w:val="32"/>
        </w:rPr>
        <w:t>洋生物来源的功能食品、化妆品、新材料及农用制剂研发。</w:t>
      </w:r>
    </w:p>
    <w:p w14:paraId="31B2323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303</w:t>
      </w:r>
      <w:r>
        <w:rPr>
          <w:rFonts w:hint="eastAsia" w:ascii="方正仿宋_GBK" w:hAnsi="Times New Roman" w:eastAsia="方正仿宋_GBK"/>
          <w:color w:val="000000"/>
          <w:sz w:val="32"/>
          <w:szCs w:val="32"/>
        </w:rPr>
        <w:t>滩涂埋栖贝类智能化采收装备研发、海洋微藻种质资源库构建及功能化利用关键技术、海洋经济生物驯化与试种技术。</w:t>
      </w:r>
    </w:p>
    <w:p w14:paraId="0BF8D64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黑体_GBK" w:eastAsia="方正黑体_GBK"/>
          <w:sz w:val="32"/>
          <w:szCs w:val="32"/>
        </w:rPr>
      </w:pPr>
      <w:r>
        <w:rPr>
          <w:rFonts w:hint="eastAsia" w:ascii="方正黑体_GBK" w:eastAsia="方正黑体_GBK"/>
          <w:sz w:val="32"/>
          <w:szCs w:val="32"/>
        </w:rPr>
        <w:t>四、面源污染防控专题</w:t>
      </w:r>
    </w:p>
    <w:p w14:paraId="0ED1862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24</w:t>
      </w:r>
      <w:r>
        <w:rPr>
          <w:rFonts w:hint="eastAsia" w:ascii="Times New Roman" w:hAnsi="Times New Roman" w:eastAsia="方正仿宋_GBK"/>
          <w:color w:val="000000"/>
          <w:sz w:val="32"/>
          <w:szCs w:val="32"/>
        </w:rPr>
        <w:t>01</w:t>
      </w:r>
      <w:r>
        <w:rPr>
          <w:rFonts w:hint="eastAsia" w:ascii="方正仿宋_GBK" w:hAnsi="Times New Roman" w:eastAsia="方正仿宋_GBK"/>
          <w:color w:val="000000"/>
          <w:sz w:val="32"/>
          <w:szCs w:val="32"/>
        </w:rPr>
        <w:t>农业面源污染监测与智能防控系统、农业废弃物高值化利用关键技术及粮油果蔬生产面源污染防控技术研发。</w:t>
      </w:r>
    </w:p>
    <w:p w14:paraId="7BF6156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24</w:t>
      </w:r>
      <w:r>
        <w:rPr>
          <w:rFonts w:hint="eastAsia" w:ascii="Times New Roman" w:hAnsi="Times New Roman" w:eastAsia="方正仿宋_GBK"/>
          <w:color w:val="000000"/>
          <w:sz w:val="32"/>
          <w:szCs w:val="32"/>
        </w:rPr>
        <w:t>02</w:t>
      </w:r>
      <w:r>
        <w:rPr>
          <w:rFonts w:hint="eastAsia" w:ascii="方正仿宋_GBK" w:hAnsi="Times New Roman" w:eastAsia="方正仿宋_GBK"/>
          <w:color w:val="000000"/>
          <w:sz w:val="32"/>
          <w:szCs w:val="32"/>
        </w:rPr>
        <w:t>种养结合循环农业模式的减排增效技术，畜禽水产养殖废弃物资源化利用技术，近海养殖面源污染防控与生态修复技术。</w:t>
      </w:r>
    </w:p>
    <w:p w14:paraId="12C59E5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ascii="Times New Roman" w:hAnsi="Times New Roman" w:eastAsia="方正仿宋_GBK"/>
          <w:color w:val="000000"/>
          <w:sz w:val="32"/>
          <w:szCs w:val="32"/>
        </w:rPr>
        <w:t>24</w:t>
      </w:r>
      <w:r>
        <w:rPr>
          <w:rFonts w:hint="eastAsia" w:ascii="Times New Roman" w:hAnsi="Times New Roman" w:eastAsia="方正仿宋_GBK"/>
          <w:color w:val="000000"/>
          <w:sz w:val="32"/>
          <w:szCs w:val="32"/>
        </w:rPr>
        <w:t>03</w:t>
      </w:r>
      <w:r>
        <w:rPr>
          <w:rFonts w:hint="eastAsia" w:ascii="方正仿宋_GBK" w:hAnsi="Times New Roman" w:eastAsia="方正仿宋_GBK"/>
          <w:color w:val="000000"/>
          <w:sz w:val="32"/>
          <w:szCs w:val="32"/>
        </w:rPr>
        <w:t>优质安全桃果质量管控平台与溯源体系技术研发</w:t>
      </w:r>
    </w:p>
    <w:p w14:paraId="4ACD0F6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研发内容：针对当前桃树病虫害种类多、发生规律复杂、分散栽培用药指导难、登记农药短缺等问题，以及桃果产地重金属、塑化剂等污染物风险与质量安全信息技术不完善等现象，围绕安全危害风险预警技术与快速检测技术两大核心内容，开展优质安全桃果质量管控平台与溯源体系技术研究。通过平台构建与技术应用，实现化学农药与肥料减量使用，提升桃果质量安全水平。</w:t>
      </w:r>
    </w:p>
    <w:p w14:paraId="5A189D0C">
      <w:r>
        <w:rPr>
          <w:rFonts w:hint="eastAsia" w:ascii="方正仿宋_GBK" w:hAnsi="Times New Roman" w:eastAsia="方正仿宋_GBK"/>
          <w:color w:val="000000"/>
          <w:sz w:val="32"/>
          <w:szCs w:val="32"/>
        </w:rPr>
        <w:t>考核指标：建成桃果质量安全智能化管控与溯源平台</w:t>
      </w:r>
      <w:r>
        <w:rPr>
          <w:rFonts w:hint="eastAsia" w:ascii="Times New Roman" w:hAnsi="Times New Roman" w:eastAsia="方正仿宋_GBK"/>
          <w:color w:val="000000"/>
          <w:sz w:val="32"/>
          <w:szCs w:val="32"/>
        </w:rPr>
        <w:t>1个，实现农药使用监控、风险预警、快速检测数据管理及全流程溯源功能；制定优质桃果安全生产与溯源技术规程1个；建立示范基地50亩，化学农药使用量减少35%以上；申请专利1项。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B355E"/>
    <w:rsid w:val="3D8B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2025-06-04T06:56:00Z</dcterms:created>
  <dc:creator>卞太煜</dc:creator>
  <cp:lastModifiedBy>卞太煜</cp:lastModifiedBy>
  <dcterms:modified xsi:type="dcterms:W3CDTF">2025-06-04T06:56:38Z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D24A673EB3F34B3394B72AE1CE3A0B09_11</vt:lpwstr>
  </property>
  <property fmtid="{D5CDD505-2E9C-101B-9397-08002B2CF9AE}" pid="4" name="KSOTemplateDocerSaveRecord">
    <vt:lpwstr>eyJoZGlkIjoiZTQ5MjE5ZjMxOTE5ODM2MGJhODEzYzY0NjI0ZjNlNzYiLCJ1c2VySWQiOiIxNjI2MDk1ODk4In0=</vt:lpwstr>
  </property>
</Properties>
</file>