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5FCF5">
      <w:pPr>
        <w:overflowPunct w:val="0"/>
        <w:spacing w:line="570" w:lineRule="exact"/>
        <w:ind w:firstLine="0"/>
        <w:rPr>
          <w:rFonts w:ascii="宋体" w:hAnsi="宋体" w:eastAsia="方正黑体_GBK"/>
          <w:szCs w:val="44"/>
        </w:rPr>
      </w:pPr>
      <w:r>
        <w:rPr>
          <w:rFonts w:hint="eastAsia" w:ascii="宋体" w:hAnsi="宋体" w:eastAsia="方正黑体_GBK"/>
          <w:szCs w:val="44"/>
        </w:rPr>
        <w:t>附件</w:t>
      </w:r>
    </w:p>
    <w:p w14:paraId="3C765DE8">
      <w:pPr>
        <w:overflowPunct w:val="0"/>
        <w:spacing w:line="570" w:lineRule="exact"/>
        <w:ind w:firstLine="0"/>
        <w:rPr>
          <w:rFonts w:ascii="宋体" w:hAnsi="宋体" w:eastAsia="方正黑体_GBK"/>
          <w:szCs w:val="44"/>
        </w:rPr>
      </w:pPr>
    </w:p>
    <w:p w14:paraId="7C6AF200">
      <w:pPr>
        <w:overflowPunct w:val="0"/>
        <w:spacing w:line="570" w:lineRule="exact"/>
        <w:ind w:firstLine="0"/>
        <w:jc w:val="center"/>
        <w:rPr>
          <w:rFonts w:ascii="宋体" w:hAnsi="宋体" w:eastAsia="方正小标宋_GBK"/>
          <w:sz w:val="44"/>
          <w:szCs w:val="44"/>
        </w:rPr>
      </w:pPr>
      <w:r>
        <w:rPr>
          <w:rFonts w:hint="eastAsia" w:ascii="宋体" w:hAnsi="宋体" w:eastAsia="方正小标宋_GBK"/>
          <w:sz w:val="44"/>
          <w:szCs w:val="44"/>
        </w:rPr>
        <w:t>江苏省“专利产业化+认股权”工作方案</w:t>
      </w:r>
    </w:p>
    <w:p w14:paraId="6E1A1B57">
      <w:pPr>
        <w:overflowPunct w:val="0"/>
        <w:spacing w:line="570" w:lineRule="exact"/>
        <w:rPr>
          <w:rFonts w:ascii="宋体" w:hAnsi="宋体"/>
        </w:rPr>
      </w:pPr>
    </w:p>
    <w:p w14:paraId="29C64FED">
      <w:pPr>
        <w:overflowPunct w:val="0"/>
        <w:spacing w:line="570" w:lineRule="exact"/>
        <w:ind w:firstLine="632" w:firstLineChars="200"/>
        <w:rPr>
          <w:rFonts w:ascii="宋体" w:hAnsi="宋体"/>
        </w:rPr>
      </w:pPr>
      <w:r>
        <w:rPr>
          <w:rFonts w:hint="eastAsia" w:ascii="宋体" w:hAnsi="宋体"/>
        </w:rPr>
        <w:t>为有效拓展认股权在专利产业化中的应用场景，积极探索“专利产业化+认股权”模式，着力提升专利转化运用和产业化水平，根据《江苏省专利转化运用专项行动实施方案》《关于促进江苏省区域性股权市场高质量发展的意见》《关于印发提升高校专利转化运用效益若干措施的通知》部署要求，现就开展我省“专利产业化+认股权”工作制定本工作方案。</w:t>
      </w:r>
    </w:p>
    <w:p w14:paraId="5EF6CBED">
      <w:pPr>
        <w:overflowPunct w:val="0"/>
        <w:spacing w:line="570" w:lineRule="exact"/>
        <w:ind w:firstLine="632" w:firstLineChars="200"/>
        <w:rPr>
          <w:rFonts w:ascii="方正黑体_GBK" w:hAnsi="宋体" w:eastAsia="方正黑体_GBK"/>
        </w:rPr>
      </w:pPr>
      <w:r>
        <w:rPr>
          <w:rFonts w:hint="eastAsia" w:ascii="方正黑体_GBK" w:hAnsi="宋体" w:eastAsia="方正黑体_GBK"/>
        </w:rPr>
        <w:t>一、适用主体</w:t>
      </w:r>
    </w:p>
    <w:p w14:paraId="3C476827">
      <w:pPr>
        <w:overflowPunct w:val="0"/>
        <w:spacing w:line="570" w:lineRule="exact"/>
        <w:ind w:firstLine="632" w:firstLineChars="200"/>
        <w:rPr>
          <w:rFonts w:ascii="宋体" w:hAnsi="宋体"/>
        </w:rPr>
      </w:pPr>
      <w:r>
        <w:rPr>
          <w:rFonts w:hint="eastAsia" w:ascii="宋体" w:hAnsi="宋体"/>
        </w:rPr>
        <w:t>江苏省“专利产业化+认股权”工作重点面向拥有专利成果的省内高等院校、科研院所等单位开展。鼓励创新能力突出、转化机制完备、科技成果转化示范效应明显的单位以及科研人员在运行模式、激励机制等方面积极探索，率先取得突破。</w:t>
      </w:r>
    </w:p>
    <w:p w14:paraId="1141114A">
      <w:pPr>
        <w:overflowPunct w:val="0"/>
        <w:spacing w:line="570" w:lineRule="exact"/>
        <w:ind w:firstLine="632" w:firstLineChars="200"/>
        <w:rPr>
          <w:rFonts w:ascii="宋体" w:hAnsi="宋体" w:eastAsia="方正黑体_GBK"/>
        </w:rPr>
      </w:pPr>
      <w:r>
        <w:rPr>
          <w:rFonts w:hint="eastAsia" w:ascii="宋体" w:hAnsi="宋体" w:eastAsia="方正黑体_GBK"/>
        </w:rPr>
        <w:t>二、主要任务</w:t>
      </w:r>
    </w:p>
    <w:p w14:paraId="1AC230F1">
      <w:pPr>
        <w:overflowPunct w:val="0"/>
        <w:spacing w:line="570" w:lineRule="exact"/>
        <w:ind w:firstLine="632" w:firstLineChars="200"/>
        <w:rPr>
          <w:rFonts w:ascii="宋体" w:hAnsi="宋体"/>
        </w:rPr>
      </w:pPr>
      <w:r>
        <w:rPr>
          <w:rFonts w:hint="eastAsia" w:ascii="宋体" w:hAnsi="宋体" w:eastAsia="方正楷体_GBK"/>
        </w:rPr>
        <w:t>（一）探索“专利产业化+认股权”工作模式</w:t>
      </w:r>
    </w:p>
    <w:p w14:paraId="4A49DBD9">
      <w:pPr>
        <w:overflowPunct w:val="0"/>
        <w:spacing w:line="570" w:lineRule="exact"/>
        <w:ind w:firstLine="632" w:firstLineChars="200"/>
        <w:rPr>
          <w:rFonts w:ascii="宋体" w:hAnsi="宋体"/>
        </w:rPr>
      </w:pPr>
      <w:r>
        <w:rPr>
          <w:rFonts w:hint="eastAsia" w:ascii="宋体" w:hAnsi="宋体"/>
        </w:rPr>
        <w:t>高校院所在使用单位所有的专利权投资入股企业，特别是科研人员创办的企业时，可以选择不立即获取企业股权（含股份、股权、份额，以下统称股权），而是与企业签订认股权协议，获取在未来某一时期认购一定数量或一定金额的企业股权的选择权，待专利成果完成产品化验证或企业获得外部融资时，根据认股权协议约定获取相应股权，以分享企业未来成长带来的收益，有效保障国有资产保值增值。</w:t>
      </w:r>
    </w:p>
    <w:p w14:paraId="7294A4B1">
      <w:pPr>
        <w:overflowPunct w:val="0"/>
        <w:spacing w:line="570" w:lineRule="exact"/>
        <w:ind w:firstLine="632" w:firstLineChars="200"/>
        <w:rPr>
          <w:rFonts w:ascii="宋体" w:hAnsi="宋体"/>
        </w:rPr>
      </w:pPr>
      <w:r>
        <w:rPr>
          <w:rFonts w:hint="eastAsia" w:ascii="宋体" w:hAnsi="宋体"/>
        </w:rPr>
        <w:t>在开展“专利产业化+认股权”的过程中，高校院所应当与企业或者相关方签署书面协议，合理约定行权条件、行权价格、存续期间、行权期间或行权日、行权比例，以及知识产权维持费用等，明确各方的权利和义务，并按要求进行公示。</w:t>
      </w:r>
    </w:p>
    <w:p w14:paraId="60D5DCB7">
      <w:pPr>
        <w:overflowPunct w:val="0"/>
        <w:spacing w:line="570" w:lineRule="exact"/>
        <w:ind w:firstLine="632" w:firstLineChars="200"/>
        <w:rPr>
          <w:rFonts w:ascii="宋体" w:hAnsi="宋体"/>
        </w:rPr>
      </w:pPr>
      <w:r>
        <w:rPr>
          <w:rFonts w:hint="eastAsia" w:ascii="宋体" w:hAnsi="宋体"/>
        </w:rPr>
        <w:t>高校院所与企业完成认股权协议签署后，可以在江苏股权交易中心进行认股权登记，江苏股权交易中心应严格按照相关法律法规和规章制度，对认股权的持有主体、持股数量、行权条件等关键信息进行准确记录，并确保信息的真实性和完整性。</w:t>
      </w:r>
    </w:p>
    <w:p w14:paraId="4556E470">
      <w:pPr>
        <w:overflowPunct w:val="0"/>
        <w:spacing w:line="570" w:lineRule="exact"/>
        <w:ind w:firstLine="632" w:firstLineChars="200"/>
        <w:rPr>
          <w:rFonts w:ascii="宋体" w:hAnsi="宋体"/>
        </w:rPr>
      </w:pPr>
      <w:r>
        <w:rPr>
          <w:rFonts w:hint="eastAsia" w:ascii="宋体" w:hAnsi="宋体"/>
        </w:rPr>
        <w:t>为推动专利技术加快实现转移转化和产业化，高校院所可以将相关专利权部分赋予企业，与企业成为共同所有权人；也可以通过独占许可的方式，赋予企业在专利权期限内的长期使用权，待满足行权条件后，再将专利转让至企业。</w:t>
      </w:r>
    </w:p>
    <w:p w14:paraId="537A00BE">
      <w:pPr>
        <w:overflowPunct w:val="0"/>
        <w:spacing w:line="570" w:lineRule="exact"/>
        <w:ind w:firstLine="632" w:firstLineChars="200"/>
        <w:rPr>
          <w:rFonts w:ascii="宋体" w:hAnsi="宋体" w:eastAsia="方正楷体_GBK"/>
        </w:rPr>
      </w:pPr>
      <w:r>
        <w:rPr>
          <w:rFonts w:hint="eastAsia" w:ascii="宋体" w:hAnsi="宋体" w:eastAsia="方正楷体_GBK"/>
        </w:rPr>
        <w:t>（二）强化“专利产业化+认股权”管理服务</w:t>
      </w:r>
    </w:p>
    <w:p w14:paraId="41ED3990">
      <w:pPr>
        <w:overflowPunct w:val="0"/>
        <w:spacing w:line="570" w:lineRule="exact"/>
        <w:ind w:firstLine="632" w:firstLineChars="200"/>
        <w:rPr>
          <w:rFonts w:ascii="宋体" w:hAnsi="宋体"/>
        </w:rPr>
      </w:pPr>
      <w:r>
        <w:rPr>
          <w:rFonts w:hint="eastAsia" w:ascii="宋体" w:hAnsi="宋体"/>
        </w:rPr>
        <w:t>高校院所应当加强知识产权运营中心、技术转移中心等技术转移机构（部门）建设，探索建立“专利产业化+认股权”工作协调机制，积极做好内部科研、财务、国资、人事、纪检、审计等部门协调工作，研究制定相关配套管理办法或细则，着力解决工作开展过程中的难点问题。</w:t>
      </w:r>
    </w:p>
    <w:p w14:paraId="28BC9EC0">
      <w:pPr>
        <w:overflowPunct w:val="0"/>
        <w:spacing w:line="570" w:lineRule="exact"/>
        <w:ind w:firstLine="632" w:firstLineChars="200"/>
        <w:rPr>
          <w:rFonts w:ascii="宋体" w:hAnsi="宋体"/>
        </w:rPr>
      </w:pPr>
      <w:r>
        <w:rPr>
          <w:rFonts w:hint="eastAsia" w:ascii="宋体" w:hAnsi="宋体"/>
        </w:rPr>
        <w:t>江苏股权交易中心应当加强与高校院所的服务对接，主动开展政策咨询、需求对接、交易签约等服务，为高校院所提供交易和行权保障，确保高校院所合规免责交易。高校院所应当积极与江苏股权交易中心合作对接，依托江苏股权交易中心持续开展估值跟踪、行权转让等工作。</w:t>
      </w:r>
    </w:p>
    <w:p w14:paraId="40A3EB0A">
      <w:pPr>
        <w:overflowPunct w:val="0"/>
        <w:spacing w:line="570" w:lineRule="exact"/>
        <w:ind w:firstLine="632" w:firstLineChars="200"/>
        <w:rPr>
          <w:rFonts w:ascii="宋体" w:hAnsi="宋体"/>
        </w:rPr>
      </w:pPr>
      <w:r>
        <w:rPr>
          <w:rFonts w:hint="eastAsia" w:ascii="宋体" w:hAnsi="宋体"/>
        </w:rPr>
        <w:t>省知识产权局、省地方金融管理局、江苏股权交易中心等建立“专利产业化+认股权”工作协调机制，及时研究有关政策问题，统筹推进工作任务落实。各级知识产权和地方金融管理部门积极开展工作协调和推进，加强监管与风险防范，健全完善服务体系，保障相关工作顺利开展。</w:t>
      </w:r>
    </w:p>
    <w:p w14:paraId="72390331">
      <w:pPr>
        <w:overflowPunct w:val="0"/>
        <w:spacing w:line="570" w:lineRule="exact"/>
        <w:ind w:firstLine="632" w:firstLineChars="200"/>
        <w:rPr>
          <w:rFonts w:ascii="宋体" w:hAnsi="宋体" w:eastAsia="方正楷体_GBK"/>
        </w:rPr>
      </w:pPr>
      <w:r>
        <w:rPr>
          <w:rFonts w:hint="eastAsia" w:ascii="宋体" w:hAnsi="宋体" w:eastAsia="方正楷体_GBK"/>
        </w:rPr>
        <w:t>（三）完善“专利产业化+认股权”激励机制</w:t>
      </w:r>
    </w:p>
    <w:p w14:paraId="0417EF23">
      <w:pPr>
        <w:overflowPunct w:val="0"/>
        <w:spacing w:line="570" w:lineRule="exact"/>
        <w:ind w:firstLine="632" w:firstLineChars="200"/>
        <w:rPr>
          <w:rFonts w:ascii="宋体" w:hAnsi="宋体"/>
        </w:rPr>
      </w:pPr>
      <w:r>
        <w:rPr>
          <w:rFonts w:hint="eastAsia" w:ascii="宋体" w:hAnsi="宋体"/>
        </w:rPr>
        <w:t>鼓励高校院所探索建立符合认股权特点的考核评价机制，综合运用“专利产业化+认股权”、赋予</w:t>
      </w:r>
      <w:bookmarkStart w:id="0" w:name="_Hlk185780454"/>
      <w:r>
        <w:rPr>
          <w:rFonts w:hint="eastAsia" w:ascii="宋体" w:hAnsi="宋体"/>
        </w:rPr>
        <w:t>科研人员职务科技成果所有权</w:t>
      </w:r>
      <w:bookmarkEnd w:id="0"/>
      <w:r>
        <w:rPr>
          <w:rFonts w:hint="eastAsia" w:ascii="宋体" w:hAnsi="宋体"/>
        </w:rPr>
        <w:t>或长期使用权、科技成果单列管理、科技成果“先使用后付费”等措施，打通专利转化运用和科研人员创办企业通道。</w:t>
      </w:r>
    </w:p>
    <w:p w14:paraId="360ADD13">
      <w:pPr>
        <w:overflowPunct w:val="0"/>
        <w:spacing w:line="570" w:lineRule="exact"/>
        <w:ind w:firstLine="632" w:firstLineChars="200"/>
        <w:rPr>
          <w:rFonts w:ascii="宋体" w:hAnsi="宋体"/>
        </w:rPr>
      </w:pPr>
      <w:r>
        <w:rPr>
          <w:rFonts w:hint="eastAsia" w:ascii="宋体" w:hAnsi="宋体"/>
        </w:rPr>
        <w:t>高校院所在行权获取企业股权后，可以依据国家法律法规对专利发明人等科研人员（团队）进行股权和分红权激励，以合理的方式确认其在企业中的股权，并依法享受相应税收优惠。</w:t>
      </w:r>
    </w:p>
    <w:p w14:paraId="40425FCD">
      <w:pPr>
        <w:overflowPunct w:val="0"/>
        <w:spacing w:line="570" w:lineRule="exact"/>
        <w:ind w:firstLine="632" w:firstLineChars="200"/>
        <w:rPr>
          <w:rFonts w:ascii="宋体" w:hAnsi="宋体"/>
        </w:rPr>
      </w:pPr>
      <w:r>
        <w:rPr>
          <w:rFonts w:hint="eastAsia" w:ascii="宋体" w:hAnsi="宋体"/>
        </w:rPr>
        <w:t>被赋予职务科技成果所有权的科研人员（团队）可以参照高校院所的方式，直接作为认股权的参与方，与企业或者相关方签署书面协议，开展“专利产业化+认股权”工作。</w:t>
      </w:r>
    </w:p>
    <w:p w14:paraId="4F2CEE19">
      <w:pPr>
        <w:overflowPunct w:val="0"/>
        <w:spacing w:line="570" w:lineRule="exact"/>
        <w:ind w:firstLine="632" w:firstLineChars="200"/>
        <w:rPr>
          <w:rFonts w:ascii="宋体" w:hAnsi="宋体"/>
        </w:rPr>
      </w:pPr>
      <w:r>
        <w:rPr>
          <w:rFonts w:hint="eastAsia" w:ascii="宋体" w:hAnsi="宋体"/>
        </w:rPr>
        <w:t>鼓励有条件的地区根据“专利产业化+认股权”工作落地成效，为高校院所、相关企业、担保机构或保险机构等参与方提供一定的补贴或奖励。</w:t>
      </w:r>
    </w:p>
    <w:p w14:paraId="1F69945C">
      <w:pPr>
        <w:overflowPunct w:val="0"/>
        <w:spacing w:line="570" w:lineRule="exact"/>
        <w:ind w:firstLine="632" w:firstLineChars="200"/>
        <w:rPr>
          <w:rFonts w:ascii="宋体" w:hAnsi="宋体"/>
        </w:rPr>
      </w:pPr>
      <w:r>
        <w:rPr>
          <w:rFonts w:hint="eastAsia" w:ascii="宋体" w:hAnsi="宋体"/>
        </w:rPr>
        <w:t>鼓励担保机构或保险机构为采用“专利产业化+认股权”方式实施专利转化的高校院所、企业等提供担保或保险服务，降低工作过程中的风险和成本。</w:t>
      </w:r>
    </w:p>
    <w:p w14:paraId="5222A79D">
      <w:pPr>
        <w:overflowPunct w:val="0"/>
        <w:spacing w:line="570" w:lineRule="exact"/>
        <w:ind w:firstLine="632" w:firstLineChars="200"/>
        <w:rPr>
          <w:rFonts w:ascii="宋体" w:hAnsi="宋体" w:eastAsia="方正黑体_GBK"/>
        </w:rPr>
      </w:pPr>
      <w:r>
        <w:rPr>
          <w:rFonts w:hint="eastAsia" w:ascii="宋体" w:hAnsi="宋体" w:eastAsia="方正黑体_GBK"/>
        </w:rPr>
        <w:t>三、组织保障</w:t>
      </w:r>
    </w:p>
    <w:p w14:paraId="3ACE3057">
      <w:pPr>
        <w:overflowPunct w:val="0"/>
        <w:spacing w:line="570" w:lineRule="exact"/>
        <w:ind w:firstLine="632" w:firstLineChars="200"/>
        <w:rPr>
          <w:rFonts w:ascii="宋体" w:hAnsi="宋体"/>
        </w:rPr>
      </w:pPr>
      <w:r>
        <w:rPr>
          <w:rFonts w:hint="eastAsia" w:ascii="宋体" w:hAnsi="宋体"/>
        </w:rPr>
        <w:t>省知识产权局、省地方金融管理局等部门加强工作统筹和监测分析，指导江苏股权交易中心定期开展统计和评估，及时指导和协调解决遇到的问题。江苏股权交易中心要强化资源配置，优化服务流程，为开展“专利产业化+认股权”工作提供有力支撑保障。各地知识产权和地方金融管理部门要加大政策宣传力度，进一步提升高校院所、企业单位、科研人员等参与“专利产业化+认股权”工作的积极性、主动性和创造性。</w:t>
      </w:r>
    </w:p>
    <w:p w14:paraId="1FA3FB3C">
      <w:pPr>
        <w:overflowPunct w:val="0"/>
        <w:spacing w:line="570" w:lineRule="exact"/>
        <w:rPr>
          <w:rFonts w:ascii="宋体" w:hAnsi="宋体"/>
        </w:rPr>
      </w:pPr>
    </w:p>
    <w:p w14:paraId="0463E54D">
      <w:pPr>
        <w:overflowPunct w:val="0"/>
        <w:spacing w:line="570" w:lineRule="exact"/>
        <w:rPr>
          <w:rFonts w:ascii="宋体" w:hAnsi="宋体"/>
        </w:rPr>
      </w:pPr>
      <w:r>
        <w:rPr>
          <w:rFonts w:hint="eastAsia" w:ascii="宋体" w:hAnsi="宋体"/>
        </w:rPr>
        <w:t>附件：江苏省“专利产业化+认股权”操作指引</w:t>
      </w:r>
    </w:p>
    <w:p w14:paraId="1B0CD9D6">
      <w:pPr>
        <w:overflowPunct w:val="0"/>
        <w:autoSpaceDE/>
        <w:autoSpaceDN/>
        <w:snapToGrid/>
        <w:spacing w:line="570" w:lineRule="exact"/>
        <w:ind w:firstLine="0"/>
        <w:jc w:val="left"/>
        <w:rPr>
          <w:rFonts w:ascii="宋体" w:hAnsi="宋体" w:eastAsia="方正黑体_GBK"/>
        </w:rPr>
      </w:pPr>
      <w:r>
        <w:rPr>
          <w:rFonts w:hint="eastAsia" w:ascii="宋体" w:hAnsi="宋体"/>
        </w:rPr>
        <w:br w:type="page"/>
      </w:r>
      <w:r>
        <w:rPr>
          <w:rFonts w:hint="eastAsia" w:ascii="宋体" w:hAnsi="宋体" w:eastAsia="方正黑体_GBK"/>
        </w:rPr>
        <w:t>附件</w:t>
      </w:r>
    </w:p>
    <w:p w14:paraId="24F5CFE1">
      <w:pPr>
        <w:overflowPunct w:val="0"/>
        <w:spacing w:line="570" w:lineRule="exact"/>
        <w:rPr>
          <w:rFonts w:ascii="宋体" w:hAnsi="宋体"/>
        </w:rPr>
      </w:pPr>
    </w:p>
    <w:p w14:paraId="25BDDBDC">
      <w:pPr>
        <w:overflowPunct w:val="0"/>
        <w:spacing w:line="570" w:lineRule="exact"/>
        <w:ind w:firstLine="0"/>
        <w:jc w:val="center"/>
        <w:rPr>
          <w:rFonts w:ascii="宋体" w:hAnsi="宋体" w:eastAsia="方正小标宋_GBK"/>
          <w:sz w:val="44"/>
          <w:szCs w:val="44"/>
        </w:rPr>
      </w:pPr>
      <w:r>
        <w:rPr>
          <w:rFonts w:hint="eastAsia" w:ascii="宋体" w:hAnsi="宋体" w:eastAsia="方正小标宋_GBK"/>
          <w:sz w:val="44"/>
          <w:szCs w:val="44"/>
        </w:rPr>
        <w:t>江苏省“专利产业化+认股权”操作指引</w:t>
      </w:r>
    </w:p>
    <w:p w14:paraId="63CB195A">
      <w:pPr>
        <w:overflowPunct w:val="0"/>
        <w:spacing w:line="570" w:lineRule="exact"/>
        <w:ind w:firstLine="0"/>
        <w:jc w:val="center"/>
        <w:rPr>
          <w:rFonts w:ascii="宋体" w:hAnsi="宋体" w:eastAsia="方正小标宋_GBK"/>
          <w:sz w:val="44"/>
          <w:szCs w:val="44"/>
          <w:shd w:val="clear" w:color="auto" w:fill="FFFFFF"/>
        </w:rPr>
      </w:pPr>
    </w:p>
    <w:p w14:paraId="40E9870F">
      <w:pPr>
        <w:overflowPunct w:val="0"/>
        <w:spacing w:line="570" w:lineRule="exact"/>
        <w:ind w:firstLine="632" w:firstLineChars="200"/>
        <w:rPr>
          <w:rFonts w:ascii="宋体" w:hAnsi="宋体"/>
        </w:rPr>
      </w:pPr>
      <w:r>
        <w:rPr>
          <w:rFonts w:hint="eastAsia" w:ascii="宋体" w:hAnsi="宋体"/>
        </w:rPr>
        <w:t>为深化科技成果转化机制改革，鼓励和引导高校院所运用认股权方式，解决专利等科技成果估值难、转让难的问题，降低专利产业化过程中可能发生的风险，促进专利转化运用和产业化，特制定本指引。</w:t>
      </w:r>
    </w:p>
    <w:p w14:paraId="3932E493">
      <w:pPr>
        <w:overflowPunct w:val="0"/>
        <w:spacing w:line="570" w:lineRule="exact"/>
        <w:ind w:firstLine="632" w:firstLineChars="200"/>
        <w:rPr>
          <w:rFonts w:ascii="宋体" w:hAnsi="宋体" w:eastAsia="方正黑体_GBK"/>
        </w:rPr>
      </w:pPr>
      <w:r>
        <w:rPr>
          <w:rFonts w:hint="eastAsia" w:ascii="宋体" w:hAnsi="宋体" w:eastAsia="方正黑体_GBK"/>
        </w:rPr>
        <w:t>一、概念界定</w:t>
      </w:r>
    </w:p>
    <w:p w14:paraId="1037264F">
      <w:pPr>
        <w:overflowPunct w:val="0"/>
        <w:spacing w:line="570" w:lineRule="exact"/>
        <w:ind w:firstLine="632" w:firstLineChars="200"/>
        <w:rPr>
          <w:rFonts w:ascii="宋体" w:hAnsi="宋体"/>
        </w:rPr>
      </w:pPr>
      <w:r>
        <w:rPr>
          <w:rFonts w:hint="eastAsia" w:ascii="宋体" w:hAnsi="宋体"/>
        </w:rPr>
        <w:t>认股权是指企业或者相关方授予外部主体在未来某一时期认购一定数量或者一定金额企业股权（含股份、股权、份额，以下统称股权）的选择权。</w:t>
      </w:r>
    </w:p>
    <w:p w14:paraId="0CED888F">
      <w:pPr>
        <w:overflowPunct w:val="0"/>
        <w:spacing w:line="570" w:lineRule="exact"/>
        <w:ind w:firstLine="632" w:firstLineChars="200"/>
        <w:rPr>
          <w:rFonts w:ascii="宋体" w:hAnsi="宋体"/>
        </w:rPr>
      </w:pPr>
      <w:r>
        <w:rPr>
          <w:rFonts w:hint="eastAsia" w:ascii="宋体" w:hAnsi="宋体"/>
        </w:rPr>
        <w:t>“专利产业化+认股权”是指高校院所或者其赋予职务科技成果所有权的科研人员（以下统称为“高校院所”）拟采取专利作价入股企业的方式推动专利转化时，不立即获取企业的股权，而是约定在专利等科技成果完成产品化验证、企业获得外部融资等时间节点，以特定价格认购企业股权。</w:t>
      </w:r>
    </w:p>
    <w:p w14:paraId="0A428248">
      <w:pPr>
        <w:overflowPunct w:val="0"/>
        <w:spacing w:line="570" w:lineRule="exact"/>
        <w:ind w:firstLine="632" w:firstLineChars="200"/>
        <w:rPr>
          <w:rFonts w:ascii="宋体" w:hAnsi="宋体"/>
        </w:rPr>
      </w:pPr>
      <w:r>
        <w:rPr>
          <w:rFonts w:hint="eastAsia" w:ascii="宋体" w:hAnsi="宋体"/>
        </w:rPr>
        <w:t>高校院所在持有认股权期间，经企业或相关方确认，可随时转让认股权；在专利产业化成功时，行使认股权，取得企业股权，分享企业成长收益，实现专利的社会价值和经济价值；在专利产业化失败时，可选择放弃行权，无需承担额外成本。同时，企业能够在前期以较低成本使用专利，有利于提升专利产业化效率。</w:t>
      </w:r>
    </w:p>
    <w:p w14:paraId="233A415A">
      <w:pPr>
        <w:overflowPunct w:val="0"/>
        <w:spacing w:line="570" w:lineRule="exact"/>
        <w:ind w:firstLine="632" w:firstLineChars="200"/>
        <w:rPr>
          <w:rFonts w:ascii="宋体" w:hAnsi="宋体" w:eastAsia="方正黑体_GBK"/>
        </w:rPr>
      </w:pPr>
      <w:r>
        <w:rPr>
          <w:rFonts w:hint="eastAsia" w:ascii="宋体" w:hAnsi="宋体" w:eastAsia="方正黑体_GBK"/>
        </w:rPr>
        <w:t>二、服务平台</w:t>
      </w:r>
    </w:p>
    <w:p w14:paraId="61524071">
      <w:pPr>
        <w:overflowPunct w:val="0"/>
        <w:spacing w:line="570" w:lineRule="exact"/>
        <w:ind w:firstLine="632" w:firstLineChars="200"/>
        <w:rPr>
          <w:rFonts w:ascii="宋体" w:hAnsi="宋体"/>
        </w:rPr>
      </w:pPr>
      <w:r>
        <w:rPr>
          <w:rFonts w:hint="eastAsia" w:ascii="宋体" w:hAnsi="宋体"/>
        </w:rPr>
        <w:t>高校院所可以通过省技术产权交易市场、江苏国际知识产权运营交易中心，以及各类科技或知识产权服务平台等发布拟转化实施的专利技术和成果。</w:t>
      </w:r>
    </w:p>
    <w:p w14:paraId="614C1152">
      <w:pPr>
        <w:overflowPunct w:val="0"/>
        <w:spacing w:line="570" w:lineRule="exact"/>
        <w:ind w:firstLine="632" w:firstLineChars="200"/>
        <w:rPr>
          <w:rFonts w:ascii="宋体" w:hAnsi="宋体"/>
        </w:rPr>
      </w:pPr>
      <w:r>
        <w:rPr>
          <w:rFonts w:hint="eastAsia" w:ascii="宋体" w:hAnsi="宋体"/>
        </w:rPr>
        <w:t>江苏股权交易中心为高校院所提供认股权创设、管理、流转，以及需求对接、交易签约、登记托管、行权保障等全链条服务，并为合规免责交易提供保障。</w:t>
      </w:r>
    </w:p>
    <w:p w14:paraId="502F9BAB">
      <w:pPr>
        <w:overflowPunct w:val="0"/>
        <w:spacing w:line="570" w:lineRule="exact"/>
        <w:ind w:firstLine="632" w:firstLineChars="200"/>
        <w:rPr>
          <w:rFonts w:ascii="宋体" w:hAnsi="宋体" w:eastAsia="方正黑体_GBK"/>
        </w:rPr>
      </w:pPr>
      <w:r>
        <w:rPr>
          <w:rFonts w:hint="eastAsia" w:ascii="宋体" w:hAnsi="宋体" w:eastAsia="方正黑体_GBK"/>
        </w:rPr>
        <w:t>三、操作流程</w:t>
      </w:r>
    </w:p>
    <w:p w14:paraId="7AE99F4A">
      <w:pPr>
        <w:overflowPunct w:val="0"/>
        <w:spacing w:line="570" w:lineRule="exact"/>
        <w:ind w:firstLine="632" w:firstLineChars="200"/>
        <w:rPr>
          <w:rFonts w:ascii="宋体" w:hAnsi="宋体"/>
        </w:rPr>
      </w:pPr>
      <w:r>
        <w:rPr>
          <w:rFonts w:hint="eastAsia" w:ascii="宋体" w:hAnsi="宋体" w:eastAsia="方正楷体_GBK"/>
        </w:rPr>
        <w:t>（一）需求撮合。</w:t>
      </w:r>
      <w:r>
        <w:rPr>
          <w:rFonts w:hint="eastAsia" w:ascii="宋体" w:hAnsi="宋体"/>
        </w:rPr>
        <w:t>高校院所与拟投资入股企业达成初步合作意向，选择采用“专利产业化+认股权”方式，实施专利转化运用或产业化。</w:t>
      </w:r>
    </w:p>
    <w:p w14:paraId="21B71BD5">
      <w:pPr>
        <w:overflowPunct w:val="0"/>
        <w:spacing w:line="570" w:lineRule="exact"/>
        <w:ind w:firstLine="632" w:firstLineChars="200"/>
        <w:rPr>
          <w:rFonts w:ascii="宋体" w:hAnsi="宋体"/>
        </w:rPr>
      </w:pPr>
      <w:r>
        <w:rPr>
          <w:rFonts w:hint="eastAsia" w:ascii="宋体" w:hAnsi="宋体" w:eastAsia="方正楷体_GBK"/>
        </w:rPr>
        <w:t>（二）方案设计。</w:t>
      </w:r>
      <w:r>
        <w:rPr>
          <w:rFonts w:hint="eastAsia" w:ascii="宋体" w:hAnsi="宋体"/>
        </w:rPr>
        <w:t>高校院所与企业协商确定认股权的比例、行权条件、行权期限等事项，江苏股权交易中心协同双方共同拟定认股权方案。</w:t>
      </w:r>
    </w:p>
    <w:p w14:paraId="48077E71">
      <w:pPr>
        <w:overflowPunct w:val="0"/>
        <w:spacing w:line="570" w:lineRule="exact"/>
        <w:ind w:firstLine="632" w:firstLineChars="200"/>
        <w:rPr>
          <w:rFonts w:ascii="宋体" w:hAnsi="宋体"/>
        </w:rPr>
      </w:pPr>
      <w:r>
        <w:rPr>
          <w:rFonts w:hint="eastAsia" w:ascii="宋体" w:hAnsi="宋体" w:eastAsia="方正楷体_GBK"/>
        </w:rPr>
        <w:t>（三）审批公示。</w:t>
      </w:r>
      <w:r>
        <w:rPr>
          <w:rFonts w:hint="eastAsia" w:ascii="宋体" w:hAnsi="宋体"/>
        </w:rPr>
        <w:t>认股权方案达成一致后，高校院所按照程序进行内部审批，并按照要求在规定范围内进行公示，公示时间不少于15天。</w:t>
      </w:r>
    </w:p>
    <w:p w14:paraId="2F8639D4">
      <w:pPr>
        <w:overflowPunct w:val="0"/>
        <w:spacing w:line="570" w:lineRule="exact"/>
        <w:ind w:firstLine="632" w:firstLineChars="200"/>
        <w:rPr>
          <w:rFonts w:ascii="宋体" w:hAnsi="宋体"/>
        </w:rPr>
      </w:pPr>
      <w:r>
        <w:rPr>
          <w:rFonts w:hint="eastAsia" w:ascii="宋体" w:hAnsi="宋体" w:eastAsia="方正楷体_GBK"/>
        </w:rPr>
        <w:t>（四）签署协议。</w:t>
      </w:r>
      <w:r>
        <w:rPr>
          <w:rFonts w:hint="eastAsia" w:ascii="宋体" w:hAnsi="宋体"/>
        </w:rPr>
        <w:t>高校院所与企业签订认股权协议，合作协议应明确双方的权利和义务、科技成果的使用范围和方式、合作的期限、认股权的具体条款等。</w:t>
      </w:r>
    </w:p>
    <w:p w14:paraId="0E2035C6">
      <w:pPr>
        <w:overflowPunct w:val="0"/>
        <w:spacing w:line="570" w:lineRule="exact"/>
        <w:ind w:firstLine="632" w:firstLineChars="200"/>
        <w:rPr>
          <w:rFonts w:ascii="宋体" w:hAnsi="宋体"/>
        </w:rPr>
      </w:pPr>
      <w:r>
        <w:rPr>
          <w:rFonts w:hint="eastAsia" w:ascii="宋体" w:hAnsi="宋体" w:eastAsia="方正楷体_GBK"/>
        </w:rPr>
        <w:t>（五）登记托管。</w:t>
      </w:r>
      <w:r>
        <w:rPr>
          <w:rFonts w:hint="eastAsia" w:ascii="宋体" w:hAnsi="宋体"/>
        </w:rPr>
        <w:t>协议签订后，高校院所将相关协议材料提交给江苏股权交易中心，进行认股权登记托管，并按照规定发布登记托管公告。</w:t>
      </w:r>
    </w:p>
    <w:p w14:paraId="15F5D721">
      <w:pPr>
        <w:overflowPunct w:val="0"/>
        <w:spacing w:line="570" w:lineRule="exact"/>
        <w:ind w:firstLine="632" w:firstLineChars="200"/>
        <w:rPr>
          <w:rFonts w:ascii="宋体" w:hAnsi="宋体"/>
        </w:rPr>
      </w:pPr>
      <w:r>
        <w:rPr>
          <w:rFonts w:hint="eastAsia" w:ascii="宋体" w:hAnsi="宋体" w:eastAsia="方正楷体_GBK"/>
        </w:rPr>
        <w:t>（六）专利实施。</w:t>
      </w:r>
      <w:r>
        <w:rPr>
          <w:rFonts w:hint="eastAsia" w:ascii="宋体" w:hAnsi="宋体"/>
        </w:rPr>
        <w:t>高校院所协助企业组织实施专利技术，推动专利产业化。企业及时向高校院所和江苏股权交易中心反馈专利产业化进展情况及成效。</w:t>
      </w:r>
    </w:p>
    <w:p w14:paraId="39B83661">
      <w:pPr>
        <w:overflowPunct w:val="0"/>
        <w:spacing w:line="570" w:lineRule="exact"/>
        <w:ind w:firstLine="632" w:firstLineChars="200"/>
        <w:rPr>
          <w:rFonts w:ascii="宋体" w:hAnsi="宋体"/>
        </w:rPr>
      </w:pPr>
      <w:r>
        <w:rPr>
          <w:rFonts w:hint="eastAsia" w:ascii="宋体" w:hAnsi="宋体" w:eastAsia="方正楷体_GBK"/>
        </w:rPr>
        <w:t>（七）转让行权。</w:t>
      </w:r>
      <w:r>
        <w:rPr>
          <w:rFonts w:hint="eastAsia" w:ascii="宋体" w:hAnsi="宋体"/>
        </w:rPr>
        <w:t>高校院所根据专利产业化成效决定是否进行转让或者行权。江苏股权交易中心协助高校院所完成认股权转让或者行权。</w:t>
      </w:r>
    </w:p>
    <w:p w14:paraId="7BAC15C4">
      <w:pPr>
        <w:overflowPunct w:val="0"/>
        <w:spacing w:line="570" w:lineRule="exact"/>
        <w:ind w:firstLine="632" w:firstLineChars="200"/>
        <w:rPr>
          <w:rFonts w:ascii="宋体" w:hAnsi="宋体"/>
        </w:rPr>
      </w:pPr>
      <w:r>
        <w:rPr>
          <w:rFonts w:hint="eastAsia" w:ascii="宋体" w:hAnsi="宋体"/>
        </w:rPr>
        <w:t>被赋予职务科技成果所有权的科研人员（团队）可以参照上述操作流程实施。</w:t>
      </w:r>
    </w:p>
    <w:p w14:paraId="31261B86">
      <w:pPr>
        <w:autoSpaceDE/>
        <w:autoSpaceDN/>
        <w:snapToGrid/>
        <w:spacing w:line="580" w:lineRule="exact"/>
        <w:ind w:firstLine="632" w:firstLineChars="200"/>
        <w:rPr>
          <w:rFonts w:ascii="方正仿宋_GBK" w:hAnsi="方正仿宋_GBK" w:cs="方正仿宋_GBK"/>
          <w:snapToGrid/>
          <w:kern w:val="2"/>
          <w:szCs w:val="32"/>
        </w:rPr>
      </w:pPr>
    </w:p>
    <w:p w14:paraId="490B3A00">
      <w:pPr>
        <w:spacing w:line="590" w:lineRule="exact"/>
        <w:ind w:firstLine="0"/>
        <w:rPr>
          <w:rFonts w:ascii="宋体" w:hAnsi="宋体"/>
        </w:rPr>
      </w:pPr>
    </w:p>
    <w:p w14:paraId="4823C1D8">
      <w:pPr>
        <w:spacing w:line="590" w:lineRule="exact"/>
        <w:ind w:firstLine="0"/>
        <w:rPr>
          <w:rFonts w:ascii="宋体" w:hAnsi="宋体"/>
        </w:rPr>
      </w:pPr>
    </w:p>
    <w:p w14:paraId="167A9CFF">
      <w:pPr>
        <w:spacing w:line="590" w:lineRule="exact"/>
        <w:ind w:firstLine="0"/>
        <w:rPr>
          <w:rFonts w:ascii="宋体" w:hAnsi="宋体"/>
        </w:rPr>
      </w:pPr>
    </w:p>
    <w:p w14:paraId="5555E6CF">
      <w:pPr>
        <w:spacing w:line="590" w:lineRule="exact"/>
        <w:ind w:firstLine="0"/>
        <w:rPr>
          <w:rFonts w:ascii="宋体" w:hAnsi="宋体"/>
        </w:rPr>
      </w:pPr>
    </w:p>
    <w:p w14:paraId="5D35AE6B">
      <w:pPr>
        <w:spacing w:line="590" w:lineRule="exact"/>
        <w:ind w:firstLine="0"/>
        <w:rPr>
          <w:rFonts w:ascii="宋体" w:hAnsi="宋体"/>
        </w:rPr>
      </w:pPr>
    </w:p>
    <w:p w14:paraId="1F892141">
      <w:pPr>
        <w:spacing w:line="590" w:lineRule="exact"/>
        <w:ind w:firstLine="0"/>
        <w:rPr>
          <w:rFonts w:ascii="宋体" w:hAnsi="宋体"/>
        </w:rPr>
      </w:pPr>
    </w:p>
    <w:p w14:paraId="6360CD82">
      <w:pPr>
        <w:spacing w:line="590" w:lineRule="exact"/>
        <w:ind w:firstLine="0"/>
        <w:rPr>
          <w:rFonts w:ascii="宋体" w:hAnsi="宋体"/>
        </w:rPr>
      </w:pPr>
    </w:p>
    <w:p w14:paraId="06EF1663">
      <w:pPr>
        <w:spacing w:line="590" w:lineRule="exact"/>
        <w:ind w:firstLine="0"/>
        <w:rPr>
          <w:rFonts w:ascii="宋体" w:hAnsi="宋体"/>
        </w:rPr>
      </w:pPr>
    </w:p>
    <w:p w14:paraId="557E7B52">
      <w:pPr>
        <w:spacing w:line="590" w:lineRule="exact"/>
        <w:ind w:firstLine="0"/>
        <w:rPr>
          <w:rFonts w:ascii="宋体" w:hAnsi="宋体"/>
        </w:rPr>
      </w:pPr>
    </w:p>
    <w:p w14:paraId="1ACDB0CA">
      <w:pPr>
        <w:spacing w:line="590" w:lineRule="exact"/>
        <w:ind w:firstLine="0"/>
        <w:rPr>
          <w:rFonts w:ascii="宋体" w:hAnsi="宋体"/>
        </w:rPr>
      </w:pPr>
    </w:p>
    <w:p w14:paraId="6A581372">
      <w:pPr>
        <w:spacing w:line="590" w:lineRule="exact"/>
        <w:ind w:firstLine="0"/>
        <w:rPr>
          <w:rFonts w:ascii="宋体" w:hAnsi="宋体"/>
        </w:rPr>
      </w:pPr>
    </w:p>
    <w:p w14:paraId="6B6094CF">
      <w:pPr>
        <w:spacing w:line="590" w:lineRule="exact"/>
        <w:ind w:firstLine="0"/>
        <w:rPr>
          <w:rFonts w:ascii="宋体" w:hAnsi="宋体"/>
        </w:rPr>
      </w:pPr>
    </w:p>
    <w:tbl>
      <w:tblPr>
        <w:tblStyle w:val="3"/>
        <w:tblpPr w:leftFromText="454" w:rightFromText="454" w:horzAnchor="margin" w:tblpXSpec="center" w:tblpYSpec="bottom"/>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40"/>
        <w:gridCol w:w="8165"/>
        <w:gridCol w:w="340"/>
      </w:tblGrid>
      <w:tr w14:paraId="7D65FD23">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0" w:type="dxa"/>
            <w:noWrap w:val="0"/>
            <w:vAlign w:val="top"/>
          </w:tcPr>
          <w:p w14:paraId="39AACEE0">
            <w:pPr>
              <w:adjustRightInd w:val="0"/>
              <w:spacing w:before="59" w:beforeLines="10" w:after="59" w:afterLines="10" w:line="400" w:lineRule="exact"/>
              <w:rPr>
                <w:rFonts w:ascii="宋体" w:hAnsi="宋体"/>
                <w:sz w:val="28"/>
                <w:szCs w:val="28"/>
              </w:rPr>
            </w:pPr>
          </w:p>
        </w:tc>
        <w:tc>
          <w:tcPr>
            <w:tcW w:w="8165" w:type="dxa"/>
            <w:noWrap w:val="0"/>
            <w:vAlign w:val="top"/>
          </w:tcPr>
          <w:p w14:paraId="1361832C">
            <w:pPr>
              <w:tabs>
                <w:tab w:val="right" w:pos="8033"/>
              </w:tabs>
              <w:adjustRightInd w:val="0"/>
              <w:spacing w:before="59" w:beforeLines="10" w:after="59" w:afterLines="10" w:line="400" w:lineRule="exact"/>
              <w:ind w:right="-63" w:rightChars="-20" w:firstLine="0"/>
              <w:rPr>
                <w:rFonts w:ascii="宋体" w:hAnsi="宋体"/>
                <w:sz w:val="28"/>
                <w:szCs w:val="28"/>
              </w:rPr>
            </w:pPr>
            <w:r>
              <w:rPr>
                <w:rFonts w:hint="eastAsia" w:ascii="宋体" w:hAnsi="宋体"/>
                <w:sz w:val="28"/>
                <w:szCs w:val="28"/>
              </w:rPr>
              <w:t>抄送：江苏股权交易中心。</w:t>
            </w:r>
          </w:p>
        </w:tc>
        <w:tc>
          <w:tcPr>
            <w:tcW w:w="340" w:type="dxa"/>
            <w:noWrap w:val="0"/>
            <w:vAlign w:val="top"/>
          </w:tcPr>
          <w:p w14:paraId="776A77C4">
            <w:pPr>
              <w:adjustRightInd w:val="0"/>
              <w:spacing w:before="59" w:beforeLines="10" w:after="59" w:afterLines="10" w:line="288" w:lineRule="auto"/>
              <w:rPr>
                <w:rFonts w:ascii="宋体" w:hAnsi="宋体"/>
                <w:sz w:val="28"/>
                <w:szCs w:val="28"/>
              </w:rPr>
            </w:pPr>
          </w:p>
        </w:tc>
      </w:tr>
      <w:tr w14:paraId="061937F4">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0" w:type="dxa"/>
            <w:noWrap w:val="0"/>
            <w:vAlign w:val="top"/>
          </w:tcPr>
          <w:p w14:paraId="3EE2B1A3">
            <w:pPr>
              <w:adjustRightInd w:val="0"/>
              <w:spacing w:before="59" w:beforeLines="10" w:after="59" w:afterLines="10" w:line="400" w:lineRule="exact"/>
              <w:rPr>
                <w:rFonts w:ascii="宋体" w:hAnsi="宋体"/>
                <w:sz w:val="28"/>
                <w:szCs w:val="28"/>
              </w:rPr>
            </w:pPr>
          </w:p>
        </w:tc>
        <w:tc>
          <w:tcPr>
            <w:tcW w:w="8165" w:type="dxa"/>
            <w:noWrap w:val="0"/>
            <w:vAlign w:val="top"/>
          </w:tcPr>
          <w:p w14:paraId="00C52D17">
            <w:pPr>
              <w:tabs>
                <w:tab w:val="right" w:pos="8033"/>
              </w:tabs>
              <w:adjustRightInd w:val="0"/>
              <w:spacing w:before="59" w:beforeLines="10" w:after="59" w:afterLines="10" w:line="400" w:lineRule="exact"/>
              <w:ind w:right="-63" w:rightChars="-20" w:firstLine="0"/>
              <w:rPr>
                <w:rFonts w:ascii="宋体" w:hAnsi="宋体"/>
                <w:sz w:val="28"/>
                <w:szCs w:val="28"/>
              </w:rPr>
            </w:pPr>
            <w:r>
              <w:rPr>
                <w:rFonts w:hint="eastAsia" w:ascii="宋体" w:hAnsi="宋体"/>
                <w:sz w:val="28"/>
                <w:szCs w:val="28"/>
              </w:rPr>
              <w:t>江苏省知识产权局办公室</w:t>
            </w:r>
            <w:r>
              <w:rPr>
                <w:rFonts w:ascii="宋体" w:hAnsi="宋体"/>
                <w:sz w:val="28"/>
                <w:szCs w:val="28"/>
              </w:rPr>
              <w:tab/>
            </w:r>
            <w:r>
              <w:rPr>
                <w:rFonts w:hint="eastAsia" w:ascii="宋体" w:hAnsi="宋体"/>
                <w:sz w:val="28"/>
                <w:szCs w:val="28"/>
              </w:rPr>
              <w:t>2025年6月16日印发</w:t>
            </w:r>
          </w:p>
        </w:tc>
        <w:tc>
          <w:tcPr>
            <w:tcW w:w="340" w:type="dxa"/>
            <w:noWrap w:val="0"/>
            <w:vAlign w:val="top"/>
          </w:tcPr>
          <w:p w14:paraId="23BA701F">
            <w:pPr>
              <w:adjustRightInd w:val="0"/>
              <w:spacing w:before="59" w:beforeLines="10" w:after="59" w:afterLines="10" w:line="288" w:lineRule="auto"/>
              <w:rPr>
                <w:rFonts w:ascii="宋体" w:hAnsi="宋体"/>
                <w:sz w:val="28"/>
                <w:szCs w:val="28"/>
              </w:rPr>
            </w:pPr>
          </w:p>
        </w:tc>
      </w:tr>
    </w:tbl>
    <w:p w14:paraId="1C164A52">
      <w:pPr>
        <w:spacing w:line="590" w:lineRule="exact"/>
        <w:ind w:firstLine="0"/>
        <w:rPr>
          <w:rFonts w:ascii="宋体" w:hAnsi="宋体"/>
        </w:rPr>
      </w:pPr>
    </w:p>
    <w:p w14:paraId="605FF19B">
      <w:pPr>
        <w:rPr>
          <w:rFonts w:hint="eastAsia"/>
        </w:rPr>
      </w:pPr>
      <w:bookmarkStart w:id="1" w:name="_GoBack"/>
      <w:bookmarkEnd w:id="1"/>
    </w:p>
    <w:sectPr>
      <w:pgSz w:w="11906" w:h="16838"/>
      <w:pgMar w:top="2098" w:right="1474" w:bottom="1985" w:left="1587" w:header="850" w:footer="1417"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D3115"/>
    <w:rsid w:val="19CD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unhideWhenUsed/>
    <w:qFormat/>
    <w:uiPriority w:val="99"/>
    <w:pPr>
      <w:widowControl w:val="0"/>
      <w:spacing w:line="351" w:lineRule="atLeast"/>
      <w:ind w:firstLine="623"/>
      <w:jc w:val="both"/>
      <w:textAlignment w:val="baseline"/>
    </w:pPr>
    <w:rPr>
      <w:rFonts w:ascii="Times New Roman" w:hAnsi="Times New Roman" w:eastAsia="仿宋_GB2312" w:cs="Times New Roman"/>
      <w:color w:val="000000"/>
      <w:kern w:val="2"/>
      <w:sz w:val="3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2025-07-04T02:41:00Z</dcterms:created>
  <dc:creator>✨鸿✨</dc:creator>
  <cp:lastModifiedBy>✨鸿✨</cp:lastModifiedBy>
  <dcterms:modified xsi:type="dcterms:W3CDTF">2025-07-04T09:00:23Z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043FEB65B28341C8950E9313D9CD0CFD_11</vt:lpwstr>
  </property>
  <property fmtid="{D5CDD505-2E9C-101B-9397-08002B2CF9AE}" pid="4" name="KSOTemplateDocerSaveRecord">
    <vt:lpwstr>eyJoZGlkIjoiNWY0YTI0OGU0YmVlMzYxZjM0YWU5NjQ5ZWViYjA4MDEiLCJ1c2VySWQiOiIzMTI5NzI2OTkifQ==</vt:lpwstr>
  </property>
</Properties>
</file>