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233D2">
      <w:pPr>
        <w:autoSpaceDE w:val="0"/>
        <w:autoSpaceDN w:val="0"/>
        <w:spacing w:line="560" w:lineRule="exact"/>
        <w:jc w:val="center"/>
        <w:rPr>
          <w:rFonts w:ascii="Times New Roman" w:hAnsi="Times New Roman" w:eastAsia="方正小标宋_GBK" w:cs="Times New Roman"/>
          <w:snapToGrid w:val="0"/>
          <w:kern w:val="0"/>
          <w:sz w:val="44"/>
          <w:szCs w:val="44"/>
        </w:rPr>
      </w:pPr>
    </w:p>
    <w:p w14:paraId="172AB192">
      <w:pPr>
        <w:autoSpaceDE w:val="0"/>
        <w:autoSpaceDN w:val="0"/>
        <w:spacing w:line="560" w:lineRule="exact"/>
        <w:jc w:val="center"/>
        <w:rPr>
          <w:rFonts w:ascii="Times New Roman" w:hAnsi="Times New Roman" w:eastAsia="方正小标宋_GBK" w:cs="Times New Roman"/>
          <w:snapToGrid w:val="0"/>
          <w:kern w:val="0"/>
          <w:sz w:val="44"/>
          <w:szCs w:val="44"/>
        </w:rPr>
      </w:pPr>
      <w:r>
        <w:rPr>
          <w:rFonts w:ascii="Times New Roman" w:hAnsi="Times New Roman" w:eastAsia="方正小标宋_GBK" w:cs="Times New Roman"/>
          <w:snapToGrid w:val="0"/>
          <w:kern w:val="0"/>
          <w:sz w:val="44"/>
          <w:szCs w:val="44"/>
        </w:rPr>
        <w:t>泰州市生态环境分区管控方案</w:t>
      </w:r>
    </w:p>
    <w:p w14:paraId="5BEADCF1">
      <w:pPr>
        <w:autoSpaceDE w:val="0"/>
        <w:autoSpaceDN w:val="0"/>
        <w:spacing w:line="560" w:lineRule="exact"/>
        <w:jc w:val="center"/>
        <w:rPr>
          <w:rFonts w:ascii="Times New Roman" w:hAnsi="Times New Roman" w:eastAsia="方正小标宋_GBK" w:cs="Times New Roman"/>
          <w:snapToGrid w:val="0"/>
          <w:kern w:val="0"/>
          <w:sz w:val="44"/>
          <w:szCs w:val="44"/>
        </w:rPr>
      </w:pPr>
      <w:r>
        <w:rPr>
          <w:rFonts w:ascii="Times New Roman" w:hAnsi="Times New Roman" w:eastAsia="方正小标宋_GBK" w:cs="Times New Roman"/>
          <w:snapToGrid w:val="0"/>
          <w:kern w:val="0"/>
          <w:sz w:val="44"/>
          <w:szCs w:val="44"/>
        </w:rPr>
        <w:t>（2024年版）</w:t>
      </w:r>
    </w:p>
    <w:p w14:paraId="5C2AFE83">
      <w:pPr>
        <w:spacing w:line="560" w:lineRule="exact"/>
        <w:rPr>
          <w:rFonts w:ascii="Times New Roman" w:hAnsi="Times New Roman" w:eastAsia="方正仿宋_GBK" w:cs="Times New Roman"/>
          <w:sz w:val="32"/>
          <w:szCs w:val="32"/>
        </w:rPr>
      </w:pPr>
    </w:p>
    <w:p w14:paraId="7872D62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为深入贯彻“共抓大保护、不搞大开发”要求，精准科学实施生态环境分区域差异化管控，根据《中共中央办公厅 国务院办公厅关于加强生态环境分区管控的意见》（国务院公报 2024年第9号）、《关于印发&lt;生态环境分区管控管理暂行规定&gt;的通知》（环环评〔2024〕41号）、《江苏省“三线一单”生态环境分区管控实施方案》（苏政发〔2020〕49号），结合泰州市经济社会发展和生态环境改善的新形势新任务新要求，制定本方案。</w:t>
      </w:r>
    </w:p>
    <w:p w14:paraId="688FA6CF">
      <w:pPr>
        <w:spacing w:line="560" w:lineRule="exact"/>
        <w:ind w:firstLine="640" w:firstLineChars="200"/>
        <w:rPr>
          <w:rFonts w:ascii="Times New Roman" w:hAnsi="Times New Roman" w:eastAsia="黑体" w:cs="Times New Roman"/>
          <w:sz w:val="32"/>
          <w:szCs w:val="32"/>
        </w:rPr>
      </w:pPr>
      <w:bookmarkStart w:id="0" w:name="_Toc115187563"/>
      <w:r>
        <w:rPr>
          <w:rFonts w:ascii="Times New Roman" w:hAnsi="Times New Roman" w:eastAsia="黑体" w:cs="Times New Roman"/>
          <w:sz w:val="32"/>
          <w:szCs w:val="32"/>
        </w:rPr>
        <w:t>一、</w:t>
      </w:r>
      <w:bookmarkEnd w:id="0"/>
      <w:r>
        <w:rPr>
          <w:rFonts w:ascii="Times New Roman" w:hAnsi="Times New Roman" w:eastAsia="黑体" w:cs="Times New Roman"/>
          <w:sz w:val="32"/>
          <w:szCs w:val="32"/>
        </w:rPr>
        <w:t>总体要求</w:t>
      </w:r>
    </w:p>
    <w:p w14:paraId="69FF3607">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（一）指导思想</w:t>
      </w:r>
    </w:p>
    <w:p w14:paraId="7EC89AC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习近平新时代中国特色社会主义思想为指导，深入践行习近平生态文明思想，全面贯彻党的二十大和二十届二中、三中全会精神，坚持生态优先、绿色发展，协同推进降碳、减污、扩绿、增长，根据国家、江苏省关于生态环境分区管控工作的统一部署，以改善区域环境质量和流域生态功能为目标，建立泰州市生态环境分区管控体系，确保生态功能不降低、环境质量不下降、资源环境承载能力不突破，努力建设人与自然和谐共生的美丽泰州。</w:t>
      </w:r>
    </w:p>
    <w:p w14:paraId="70E6EE9A">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（二）基本原则</w:t>
      </w:r>
    </w:p>
    <w:p w14:paraId="665C8533">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坚守底线，保持稳定。</w:t>
      </w:r>
      <w:bookmarkStart w:id="1" w:name="sys8410144"/>
      <w:r>
        <w:rPr>
          <w:rFonts w:ascii="Times New Roman" w:hAnsi="Times New Roman" w:eastAsia="方正仿宋_GBK" w:cs="Times New Roman"/>
          <w:sz w:val="32"/>
          <w:szCs w:val="32"/>
        </w:rPr>
        <w:t>依据法律法规、政策文件以及生态环境分区管控相关技术规范性文件要求编制生态环境分区管控方案，应以生态功能不降低、环境质量不下降、资源环境承载能力不突破为底线，原则上优先保护单元的空间格局应保持基本稳定，重点管控单元的空间格局与环境治理格局相匹配，生态环境准入清单管理要求应保持一定的延续性。</w:t>
      </w:r>
      <w:bookmarkEnd w:id="1"/>
    </w:p>
    <w:p w14:paraId="066EEE17">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立足实际，提升效能。根据国家生态保护红线、环境质量底线和资源利用上线的最新要求，结合地方实际发展需求，强化区域流域统筹，分区分类编制和更新生态环境分区管控方案相关成果，提升成果时效性和针对性。</w:t>
      </w:r>
    </w:p>
    <w:p w14:paraId="68B0A5CB">
      <w:pPr>
        <w:spacing w:line="59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依法依规，科学规范。应以法律法规为依据，按照相关技术规范要求，对泰州市生态环境管控单元和生态环境准入清单进行调整更新，实施差别化生态环境管控措施，提高区域生态环境管理系统化、精细化水平。上位法律法规有新规定的，从其规定；因重大发展战略、生态环境保护目标等发生变化而需对管控单元、管控要求进行优化的，应组织科学论证后更新。</w:t>
      </w:r>
    </w:p>
    <w:p w14:paraId="5BD55AD9">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（三）总体目标</w:t>
      </w:r>
    </w:p>
    <w:p w14:paraId="230B2B9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——生态保护红线。全市生态空间保护区域总面积1138.67平方公里（去重），占全</w:t>
      </w:r>
      <w:sdt>
        <w:sdtPr>
          <w:rPr>
            <w:rFonts w:ascii="Times New Roman" w:hAnsi="Times New Roman" w:eastAsia="方正仿宋_GBK" w:cs="Times New Roman"/>
            <w:sz w:val="32"/>
            <w:szCs w:val="32"/>
          </w:rPr>
          <w:alias w:val="敏感词检查"/>
          <w:id w:val="3113504"/>
        </w:sdtPr>
        <w:sdtEndPr>
          <w:rPr>
            <w:rFonts w:ascii="Times New Roman" w:hAnsi="Times New Roman" w:eastAsia="方正仿宋_GBK" w:cs="Times New Roman"/>
            <w:sz w:val="32"/>
            <w:szCs w:val="32"/>
          </w:rPr>
        </w:sdtEndPr>
        <w:sdtContent>
          <w:bookmarkStart w:id="2" w:name="bkPolitics3113504"/>
          <w:r>
            <w:rPr>
              <w:rFonts w:ascii="Times New Roman" w:hAnsi="Times New Roman" w:eastAsia="方正仿宋_GBK" w:cs="Times New Roman"/>
              <w:sz w:val="32"/>
              <w:szCs w:val="32"/>
            </w:rPr>
            <w:t>市国土面积</w:t>
          </w:r>
          <w:bookmarkEnd w:id="2"/>
        </w:sdtContent>
      </w:sdt>
      <w:r>
        <w:rPr>
          <w:rFonts w:ascii="Times New Roman" w:hAnsi="Times New Roman" w:eastAsia="方正仿宋_GBK" w:cs="Times New Roman"/>
          <w:sz w:val="32"/>
          <w:szCs w:val="32"/>
        </w:rPr>
        <w:t>的19.67%。</w:t>
      </w:r>
      <w:bookmarkStart w:id="3" w:name="sys1005140"/>
      <w:r>
        <w:rPr>
          <w:rFonts w:ascii="Times New Roman" w:hAnsi="Times New Roman" w:eastAsia="方正仿宋_GBK" w:cs="Times New Roman"/>
          <w:sz w:val="32"/>
          <w:szCs w:val="32"/>
        </w:rPr>
        <w:t>其中，生态保护红线18个，面积115.23平方公里，占全市国土面积的1.99%。</w:t>
      </w:r>
      <w:bookmarkEnd w:id="3"/>
      <w:r>
        <w:rPr>
          <w:rFonts w:ascii="Times New Roman" w:hAnsi="Times New Roman" w:eastAsia="方正仿宋_GBK" w:cs="Times New Roman"/>
          <w:sz w:val="32"/>
          <w:szCs w:val="32"/>
        </w:rPr>
        <w:t>全市一般生态空间（生态空间管控区域）85个，面积1028.33平方公里，占全</w:t>
      </w:r>
      <w:sdt>
        <w:sdtPr>
          <w:rPr>
            <w:rFonts w:ascii="Times New Roman" w:hAnsi="Times New Roman" w:eastAsia="方正仿宋_GBK" w:cs="Times New Roman"/>
            <w:sz w:val="32"/>
            <w:szCs w:val="32"/>
          </w:rPr>
          <w:alias w:val="敏感词检查"/>
          <w:id w:val="2063512"/>
        </w:sdtPr>
        <w:sdtEndPr>
          <w:rPr>
            <w:rFonts w:ascii="Times New Roman" w:hAnsi="Times New Roman" w:eastAsia="方正仿宋_GBK" w:cs="Times New Roman"/>
            <w:sz w:val="32"/>
            <w:szCs w:val="32"/>
          </w:rPr>
        </w:sdtEndPr>
        <w:sdtContent>
          <w:bookmarkStart w:id="4" w:name="bkPolitics2063512"/>
          <w:r>
            <w:rPr>
              <w:rFonts w:ascii="Times New Roman" w:hAnsi="Times New Roman" w:eastAsia="方正仿宋_GBK" w:cs="Times New Roman"/>
              <w:sz w:val="32"/>
              <w:szCs w:val="32"/>
            </w:rPr>
            <w:t>市国土面积</w:t>
          </w:r>
          <w:bookmarkEnd w:id="4"/>
        </w:sdtContent>
      </w:sdt>
      <w:r>
        <w:rPr>
          <w:rFonts w:ascii="Times New Roman" w:hAnsi="Times New Roman" w:eastAsia="方正仿宋_GBK" w:cs="Times New Roman"/>
          <w:sz w:val="32"/>
          <w:szCs w:val="32"/>
        </w:rPr>
        <w:t>的17.77%。</w:t>
      </w:r>
    </w:p>
    <w:p w14:paraId="7E9359B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——环境质量底线。到2025年，水环境质量稳步提升，国考省考断面水质优III比例达到100%。环境空气质量优良天数比例达到86%左右，PM</w:t>
      </w:r>
      <w:r>
        <w:rPr>
          <w:rFonts w:ascii="Times New Roman" w:hAnsi="Times New Roman" w:eastAsia="方正仿宋_GBK" w:cs="Times New Roman"/>
          <w:sz w:val="32"/>
          <w:szCs w:val="32"/>
          <w:vertAlign w:val="subscript"/>
        </w:rPr>
        <w:t>2.5</w:t>
      </w:r>
      <w:r>
        <w:rPr>
          <w:rFonts w:ascii="Times New Roman" w:hAnsi="Times New Roman" w:eastAsia="方正仿宋_GBK" w:cs="Times New Roman"/>
          <w:sz w:val="32"/>
          <w:szCs w:val="32"/>
        </w:rPr>
        <w:t>浓度达到30微克/立方米。土壤安全利用水平进一步巩固提升，受污染耕地安全利用率达到93%，污染地块安全利用率达到95%。</w:t>
      </w:r>
    </w:p>
    <w:p w14:paraId="75E61EA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资源利用上线。到2025年，全市用水总量控制在53.5亿立方米以内，万元国内生产总值用水量比2020年下降20%，农田灌溉水有效利用系数达到0.636以上。碳排放强度持续降低，单位地区生产总值能源消耗、单位地区生产总值二氧化碳排放下降率满足省下达指标要求。</w:t>
      </w:r>
    </w:p>
    <w:p w14:paraId="183367C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到2025年，全市生态环境质量总体改善，生态保护红线得到有效保护，国土空间进一步优化，环境风险有效防控，生态环境分区管控制度基本建立，全域覆盖、精准科学的生态分区管控体系初步形成。</w:t>
      </w:r>
    </w:p>
    <w:p w14:paraId="072024A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到2035年，全市生态环境质量实现根本好转，节约资源和保护生态环境的空间格局、产业结构、生产方式、生活方式总体形成，建成生态健康优美、环境安全整治、人居环境舒适和环境制度完善的现代化美丽泰州。</w:t>
      </w:r>
    </w:p>
    <w:p w14:paraId="772B6785">
      <w:pPr>
        <w:spacing w:line="560" w:lineRule="exact"/>
        <w:ind w:firstLine="640" w:firstLineChars="200"/>
        <w:rPr>
          <w:rFonts w:ascii="Times New Roman" w:hAnsi="Times New Roman" w:eastAsia="黑体" w:cs="Times New Roman"/>
          <w:sz w:val="32"/>
          <w:szCs w:val="32"/>
        </w:rPr>
      </w:pPr>
      <w:bookmarkStart w:id="5" w:name="_Toc115187575"/>
      <w:r>
        <w:rPr>
          <w:rFonts w:ascii="Times New Roman" w:hAnsi="Times New Roman" w:eastAsia="黑体" w:cs="Times New Roman"/>
          <w:sz w:val="32"/>
          <w:szCs w:val="32"/>
        </w:rPr>
        <w:t>二、</w:t>
      </w:r>
      <w:bookmarkEnd w:id="5"/>
      <w:r>
        <w:rPr>
          <w:rFonts w:ascii="Times New Roman" w:hAnsi="Times New Roman" w:eastAsia="黑体" w:cs="Times New Roman"/>
          <w:sz w:val="32"/>
          <w:szCs w:val="32"/>
        </w:rPr>
        <w:t>生态环境分区管控</w:t>
      </w:r>
    </w:p>
    <w:p w14:paraId="572F4A62">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（一）划分环境管控单元</w:t>
      </w:r>
    </w:p>
    <w:p w14:paraId="4C456F30">
      <w:pPr>
        <w:spacing w:line="560" w:lineRule="exact"/>
        <w:ind w:firstLine="640" w:firstLineChars="200"/>
        <w:rPr>
          <w:rFonts w:ascii="Times New Roman" w:hAnsi="Times New Roman" w:eastAsia="方正仿宋_GBK" w:cs="Times New Roman"/>
          <w:snapToGrid w:val="0"/>
          <w:kern w:val="0"/>
          <w:sz w:val="32"/>
          <w:szCs w:val="32"/>
        </w:rPr>
      </w:pPr>
      <w:r>
        <w:rPr>
          <w:rFonts w:ascii="Times New Roman" w:hAnsi="Times New Roman" w:eastAsia="方正仿宋_GBK" w:cs="Times New Roman"/>
          <w:sz w:val="32"/>
          <w:szCs w:val="32"/>
        </w:rPr>
        <w:t>全市共有环境管控单元364个，包括优先保护单元、重点管控单元和一般管控单元三类，实施分类管控。</w:t>
      </w:r>
    </w:p>
    <w:p w14:paraId="1EC75942">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优先保护单元，</w:t>
      </w:r>
      <w:r>
        <w:rPr>
          <w:rFonts w:ascii="Times New Roman" w:hAnsi="Times New Roman" w:eastAsia="方正仿宋_GBK" w:cs="Times New Roman"/>
          <w:sz w:val="32"/>
          <w:szCs w:val="32"/>
        </w:rPr>
        <w:t>指以生态环境保护为主的区域。主要包括生态保护红线和生态空间管控区域。全市划分优先保护单元90个，面积占比19.4%。</w:t>
      </w:r>
    </w:p>
    <w:p w14:paraId="60B80421">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重点管控单元，</w:t>
      </w:r>
      <w:r>
        <w:rPr>
          <w:rFonts w:ascii="Times New Roman" w:hAnsi="Times New Roman" w:eastAsia="方正仿宋_GBK" w:cs="Times New Roman"/>
          <w:sz w:val="32"/>
          <w:szCs w:val="32"/>
        </w:rPr>
        <w:t>指涉及水、大气、土壤、自然资源等资源环境要素重点管控的区域，主要包括人口密集的中心城区和产业园区。全市划分重点管控单元181个，面积占比21.4%。</w:t>
      </w:r>
    </w:p>
    <w:p w14:paraId="0E8346F3">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一般管控单元，</w:t>
      </w:r>
      <w:r>
        <w:rPr>
          <w:rFonts w:ascii="Times New Roman" w:hAnsi="Times New Roman" w:eastAsia="方正仿宋_GBK" w:cs="Times New Roman"/>
          <w:sz w:val="32"/>
          <w:szCs w:val="32"/>
        </w:rPr>
        <w:t>指除优先保护单元、重点管控单元以外的其他区域，衔接街道（乡镇）边界形成管控单元。全市划分一般管控单元93个，面积占比59.2%。</w:t>
      </w:r>
    </w:p>
    <w:p w14:paraId="5D458D66">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（二）落实生态环境管控要求</w:t>
      </w:r>
    </w:p>
    <w:p w14:paraId="504E79F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以环境管控单元为基础，从空间布局约束、污染物排放管控、环境风险防控和资源利用效率要求等方面明确相关要求，建立泰州市生态环境管控总体要求和364个管控单元的生态环境准入清单。</w:t>
      </w:r>
    </w:p>
    <w:p w14:paraId="6DA8DE00">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泰州市生态环境管控总体要求。</w:t>
      </w:r>
      <w:r>
        <w:rPr>
          <w:rFonts w:ascii="Times New Roman" w:hAnsi="Times New Roman" w:eastAsia="方正仿宋_GBK" w:cs="Times New Roman"/>
          <w:sz w:val="32"/>
          <w:szCs w:val="32"/>
        </w:rPr>
        <w:t>在全市域范围内执行的生态环境总体管控要求，由空间布局约束、污染物排放管控、环境风险防控、资源利用效率要求四个维度构成，分别包括：开发建设活动的准入要求；污染物化学需氧量、氨氮、二氧化硫、氮氧化物排放总量限值；饮用水源地等风险防控措施；水资源利用总量、能源利用总量等相关要求。</w:t>
      </w:r>
    </w:p>
    <w:p w14:paraId="0259A2D6">
      <w:pPr>
        <w:spacing w:line="56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环境管控单元的生态环境准入清单。</w:t>
      </w:r>
      <w:r>
        <w:rPr>
          <w:rFonts w:ascii="Times New Roman" w:hAnsi="Times New Roman" w:eastAsia="方正仿宋_GBK" w:cs="Times New Roman"/>
          <w:sz w:val="32"/>
          <w:szCs w:val="32"/>
        </w:rPr>
        <w:t>优先保护单元，严格按照国家生态保护红线和省级生态空间管控区域管理规定进行管控。依法禁止或限制开发建设活动，确保生态环境功能不降低、面积不减少、性质不改变；优先开展生态功能受损区域生态保护修复活动，恢复生态系统服务功能。重点管控单元，主要推进产业布局优化、转型升级，不断提高资源利用效率，加强污染物排放控制和环境风险防控，解决突出生态环境问题。一般管控单元，主要落实生态环境保护基本要求，加强生活污染和农业面源污染治理，推动区域环境质量持续改善。</w:t>
      </w:r>
    </w:p>
    <w:p w14:paraId="43C89088">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三、保障措施</w:t>
      </w:r>
    </w:p>
    <w:p w14:paraId="005D925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各地人民政府（管委会）是本辖区生态环境分区管控实施的主体，要切实落实主体责任。各市（区）人民政府、各有关部门要加强对生态环境分区管控工作的组织领导和统筹协调，进一步完善工作推进机制，做好信息共享和工作联动，定期研究生态环境分区管控工作、报告重要工作进展。市生态环境局要制定完善生态环境分区管控相关制度机制，统筹协调生态环境分区管控更新调整工作。市发展改革委要积极推动生态环境分区管控成果与国民经济和社会发展相关规划、区域规划编制实施充分衔接。市自然资源和规划局要共享生态保护红线等数据，加强生态环境分区管控方案与国土空间规划的衔接，强化各类自然保护地管理与生态环境分区管控的协调联动。市财政局按照财政事权和支出责任划分原则，做好资金保障。市水利局要做好水资源管理、水域岸线管理等有关工作，实施水资源差别化管理，合理控制水资源开发利用规模，与生态环境分区管控联动。工信、住建、交通运输、农业农村等行业主管部门要根据职责分工，加强本领域相关工作与生态环境分区管控协调联动。</w:t>
      </w:r>
    </w:p>
    <w:p w14:paraId="20C4EC47">
      <w:pPr>
        <w:spacing w:line="560" w:lineRule="exact"/>
        <w:ind w:firstLine="640" w:firstLineChars="200"/>
        <w:rPr>
          <w:rFonts w:ascii="Times New Roman" w:hAnsi="Times New Roman" w:eastAsia="方正仿宋_GBK" w:cs="Times New Roman"/>
          <w:sz w:val="32"/>
          <w:szCs w:val="32"/>
        </w:rPr>
      </w:pPr>
    </w:p>
    <w:p w14:paraId="3DA92840">
      <w:pPr>
        <w:spacing w:line="560" w:lineRule="exact"/>
        <w:ind w:firstLine="640" w:firstLineChars="200"/>
        <w:rPr>
          <w:rFonts w:ascii="Times New Roman" w:hAnsi="Times New Roman" w:eastAsia="方正仿宋_GBK" w:cs="Times New Roman"/>
          <w:sz w:val="32"/>
          <w:szCs w:val="32"/>
        </w:rPr>
      </w:pPr>
    </w:p>
    <w:p w14:paraId="1D79F9E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附件：1.泰州市环境管控单元图（更新后）</w:t>
      </w:r>
    </w:p>
    <w:p w14:paraId="6B75579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2.泰州市环境管控单元汇总表</w:t>
      </w:r>
    </w:p>
    <w:p w14:paraId="0FAEA7B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3.泰州市环境管控单元名录</w:t>
      </w:r>
    </w:p>
    <w:p w14:paraId="3A65834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4.泰州市生态环境管控总体要求</w:t>
      </w:r>
    </w:p>
    <w:p w14:paraId="6B503378">
      <w:pPr>
        <w:spacing w:line="560" w:lineRule="exact"/>
        <w:ind w:firstLine="640" w:firstLineChars="200"/>
        <w:rPr>
          <w:rFonts w:ascii="Times New Roman" w:hAnsi="Times New Roman" w:eastAsia="方正仿宋_GBK" w:cs="Times New Roman"/>
          <w:b/>
          <w:bCs/>
          <w:sz w:val="28"/>
          <w:szCs w:val="28"/>
        </w:rPr>
        <w:sectPr>
          <w:footerReference r:id="rId3" w:type="default"/>
          <w:pgSz w:w="11906" w:h="16838"/>
          <w:pgMar w:top="2098" w:right="1474" w:bottom="1985" w:left="1588" w:header="851" w:footer="992" w:gutter="0"/>
          <w:cols w:space="425" w:num="1"/>
          <w:docGrid w:type="lines" w:linePitch="312" w:charSpace="0"/>
        </w:sectPr>
      </w:pPr>
      <w:r>
        <w:rPr>
          <w:rFonts w:ascii="Times New Roman" w:hAnsi="Times New Roman" w:eastAsia="方正仿宋_GBK" w:cs="Times New Roman"/>
          <w:sz w:val="32"/>
          <w:szCs w:val="32"/>
        </w:rPr>
        <w:t xml:space="preserve">      5.泰州市生态环境管控单元生态环境准入清单更新</w:t>
      </w:r>
    </w:p>
    <w:p w14:paraId="7B3B5344">
      <w:pPr>
        <w:spacing w:after="156" w:afterLines="50" w:line="590" w:lineRule="exact"/>
        <w:outlineLvl w:val="0"/>
        <w:rPr>
          <w:rFonts w:ascii="Times New Roman" w:hAnsi="Times New Roman" w:eastAsia="方正黑体_GBK" w:cs="Times New Roman"/>
          <w:snapToGrid w:val="0"/>
          <w:kern w:val="0"/>
          <w:sz w:val="30"/>
          <w:szCs w:val="30"/>
        </w:rPr>
      </w:pPr>
      <w:r>
        <w:rPr>
          <w:rFonts w:ascii="Times New Roman" w:hAnsi="Times New Roman" w:eastAsia="方正黑体_GBK" w:cs="Times New Roman"/>
          <w:sz w:val="28"/>
          <w:szCs w:val="28"/>
        </w:rPr>
        <w:t xml:space="preserve">附件１ </w:t>
      </w:r>
      <w:r>
        <w:rPr>
          <w:rFonts w:ascii="Times New Roman" w:hAnsi="Times New Roman" w:eastAsia="方正黑体_GBK" w:cs="Times New Roman"/>
          <w:snapToGrid w:val="0"/>
          <w:kern w:val="0"/>
          <w:sz w:val="30"/>
          <w:szCs w:val="30"/>
        </w:rPr>
        <w:t>泰州市环境管控单元图（更新后）</w:t>
      </w:r>
    </w:p>
    <w:p w14:paraId="2DF64D31">
      <w:pPr>
        <w:jc w:val="center"/>
        <w:rPr>
          <w:rFonts w:ascii="Times New Roman" w:hAnsi="Times New Roman" w:eastAsia="方正仿宋_GBK" w:cs="Times New Roman"/>
          <w:sz w:val="32"/>
          <w:szCs w:val="32"/>
        </w:rPr>
      </w:pPr>
      <w:r>
        <w:rPr>
          <w:rFonts w:ascii="Times New Roman" w:hAnsi="Times New Roman" w:cs="Times New Roman"/>
        </w:rPr>
        <w:drawing>
          <wp:inline distT="0" distB="0" distL="0" distR="0">
            <wp:extent cx="7543165" cy="5071110"/>
            <wp:effectExtent l="19050" t="19050" r="19685" b="152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 cstate="print">
                      <a:extLst>
                        <a:ext uri="{28A0092B-C50C-407E-A947-70E740481C1C}">
                          <a14:useLocalDpi xmlns:a14="http://schemas.microsoft.com/office/drawing/2010/main" val="0"/>
                        </a:ext>
                      </a:extLst>
                    </a:blip>
                    <a:srcRect t="4997"/>
                    <a:stretch>
                      <a:fillRect/>
                    </a:stretch>
                  </pic:blipFill>
                  <pic:spPr>
                    <a:xfrm>
                      <a:off x="0" y="0"/>
                      <a:ext cx="7543663" cy="5071110"/>
                    </a:xfrm>
                    <a:prstGeom prst="rect">
                      <a:avLst/>
                    </a:prstGeom>
                    <a:noFill/>
                    <a:ln w="6350">
                      <a:solidFill>
                        <a:schemeClr val="tx1"/>
                      </a:solidFill>
                    </a:ln>
                  </pic:spPr>
                </pic:pic>
              </a:graphicData>
            </a:graphic>
          </wp:inline>
        </w:drawing>
      </w:r>
    </w:p>
    <w:p w14:paraId="5CFC2372">
      <w:pPr>
        <w:spacing w:after="156" w:afterLines="50" w:line="590" w:lineRule="exact"/>
        <w:outlineLvl w:val="0"/>
        <w:rPr>
          <w:rFonts w:ascii="Times New Roman" w:hAnsi="Times New Roman" w:eastAsia="方正黑体_GBK" w:cs="Times New Roman"/>
          <w:sz w:val="28"/>
          <w:szCs w:val="28"/>
        </w:rPr>
      </w:pPr>
      <w:r>
        <w:rPr>
          <w:rFonts w:ascii="Times New Roman" w:hAnsi="Times New Roman" w:eastAsia="方正黑体_GBK" w:cs="Times New Roman"/>
          <w:sz w:val="28"/>
          <w:szCs w:val="28"/>
        </w:rPr>
        <w:t>附件2 泰州市环境管控单元汇总表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2363"/>
        <w:gridCol w:w="2677"/>
        <w:gridCol w:w="2571"/>
        <w:gridCol w:w="2641"/>
        <w:gridCol w:w="1661"/>
      </w:tblGrid>
      <w:tr w14:paraId="098A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restart"/>
            <w:vAlign w:val="center"/>
          </w:tcPr>
          <w:p w14:paraId="4FE8B3AA">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序号</w:t>
            </w:r>
          </w:p>
        </w:tc>
        <w:tc>
          <w:tcPr>
            <w:tcW w:w="911" w:type="pct"/>
            <w:vMerge w:val="restart"/>
            <w:vAlign w:val="center"/>
          </w:tcPr>
          <w:p w14:paraId="2D416623">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区域</w:t>
            </w:r>
          </w:p>
        </w:tc>
        <w:tc>
          <w:tcPr>
            <w:tcW w:w="3681" w:type="pct"/>
            <w:gridSpan w:val="4"/>
            <w:vAlign w:val="center"/>
          </w:tcPr>
          <w:p w14:paraId="40F81D57">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单元数量（个）</w:t>
            </w:r>
          </w:p>
        </w:tc>
      </w:tr>
      <w:tr w14:paraId="0F5E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vAlign w:val="center"/>
          </w:tcPr>
          <w:p w14:paraId="1B3EC7D1">
            <w:pPr>
              <w:adjustRightInd w:val="0"/>
              <w:snapToGrid w:val="0"/>
              <w:spacing w:line="480" w:lineRule="exact"/>
              <w:jc w:val="center"/>
              <w:rPr>
                <w:rFonts w:ascii="Times New Roman" w:hAnsi="Times New Roman" w:eastAsia="方正仿宋_GBK" w:cs="Times New Roman"/>
                <w:b/>
                <w:bCs/>
                <w:snapToGrid w:val="0"/>
                <w:kern w:val="0"/>
                <w:sz w:val="24"/>
                <w:szCs w:val="24"/>
              </w:rPr>
            </w:pPr>
          </w:p>
        </w:tc>
        <w:tc>
          <w:tcPr>
            <w:tcW w:w="911" w:type="pct"/>
            <w:vMerge w:val="continue"/>
            <w:vAlign w:val="center"/>
          </w:tcPr>
          <w:p w14:paraId="5284636F">
            <w:pPr>
              <w:adjustRightInd w:val="0"/>
              <w:snapToGrid w:val="0"/>
              <w:spacing w:line="480" w:lineRule="exact"/>
              <w:jc w:val="center"/>
              <w:rPr>
                <w:rFonts w:ascii="Times New Roman" w:hAnsi="Times New Roman" w:eastAsia="方正仿宋_GBK" w:cs="Times New Roman"/>
                <w:b/>
                <w:bCs/>
                <w:snapToGrid w:val="0"/>
                <w:kern w:val="0"/>
                <w:sz w:val="24"/>
                <w:szCs w:val="24"/>
              </w:rPr>
            </w:pPr>
          </w:p>
        </w:tc>
        <w:tc>
          <w:tcPr>
            <w:tcW w:w="1032" w:type="pct"/>
            <w:vAlign w:val="center"/>
          </w:tcPr>
          <w:p w14:paraId="3BE7703E">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优先保护单元</w:t>
            </w:r>
          </w:p>
        </w:tc>
        <w:tc>
          <w:tcPr>
            <w:tcW w:w="991" w:type="pct"/>
            <w:vAlign w:val="center"/>
          </w:tcPr>
          <w:p w14:paraId="38C9C8F9">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重点管控单元</w:t>
            </w:r>
          </w:p>
        </w:tc>
        <w:tc>
          <w:tcPr>
            <w:tcW w:w="1018" w:type="pct"/>
            <w:vAlign w:val="center"/>
          </w:tcPr>
          <w:p w14:paraId="302FD91E">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一般管控单元</w:t>
            </w:r>
          </w:p>
        </w:tc>
        <w:tc>
          <w:tcPr>
            <w:tcW w:w="640" w:type="pct"/>
            <w:vAlign w:val="center"/>
          </w:tcPr>
          <w:p w14:paraId="36A91383">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总计</w:t>
            </w:r>
          </w:p>
        </w:tc>
      </w:tr>
      <w:tr w14:paraId="07BA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14:paraId="342C398A">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1</w:t>
            </w:r>
          </w:p>
        </w:tc>
        <w:tc>
          <w:tcPr>
            <w:tcW w:w="911" w:type="pct"/>
            <w:vAlign w:val="center"/>
          </w:tcPr>
          <w:p w14:paraId="1FA82153">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靖江市</w:t>
            </w:r>
          </w:p>
        </w:tc>
        <w:tc>
          <w:tcPr>
            <w:tcW w:w="1032" w:type="pct"/>
            <w:vAlign w:val="center"/>
          </w:tcPr>
          <w:p w14:paraId="10133DDA">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10</w:t>
            </w:r>
          </w:p>
        </w:tc>
        <w:tc>
          <w:tcPr>
            <w:tcW w:w="991" w:type="pct"/>
            <w:vAlign w:val="center"/>
          </w:tcPr>
          <w:p w14:paraId="4D389FB9">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36</w:t>
            </w:r>
          </w:p>
        </w:tc>
        <w:tc>
          <w:tcPr>
            <w:tcW w:w="1018" w:type="pct"/>
            <w:vAlign w:val="center"/>
          </w:tcPr>
          <w:p w14:paraId="105459A5">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15</w:t>
            </w:r>
          </w:p>
        </w:tc>
        <w:tc>
          <w:tcPr>
            <w:tcW w:w="640" w:type="pct"/>
            <w:vAlign w:val="center"/>
          </w:tcPr>
          <w:p w14:paraId="0EFFD5D4">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61</w:t>
            </w:r>
          </w:p>
        </w:tc>
      </w:tr>
      <w:tr w14:paraId="5B1D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14:paraId="253F5392">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2</w:t>
            </w:r>
          </w:p>
        </w:tc>
        <w:tc>
          <w:tcPr>
            <w:tcW w:w="911" w:type="pct"/>
            <w:vAlign w:val="center"/>
          </w:tcPr>
          <w:p w14:paraId="0975C436">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泰兴市</w:t>
            </w:r>
          </w:p>
        </w:tc>
        <w:tc>
          <w:tcPr>
            <w:tcW w:w="1032" w:type="pct"/>
            <w:vAlign w:val="center"/>
          </w:tcPr>
          <w:p w14:paraId="05F4F9A1">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22</w:t>
            </w:r>
          </w:p>
        </w:tc>
        <w:tc>
          <w:tcPr>
            <w:tcW w:w="991" w:type="pct"/>
            <w:vAlign w:val="center"/>
          </w:tcPr>
          <w:p w14:paraId="221936D5">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37</w:t>
            </w:r>
          </w:p>
        </w:tc>
        <w:tc>
          <w:tcPr>
            <w:tcW w:w="1018" w:type="pct"/>
            <w:vAlign w:val="center"/>
          </w:tcPr>
          <w:p w14:paraId="3C595CB3">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17</w:t>
            </w:r>
          </w:p>
        </w:tc>
        <w:tc>
          <w:tcPr>
            <w:tcW w:w="640" w:type="pct"/>
            <w:vAlign w:val="center"/>
          </w:tcPr>
          <w:p w14:paraId="4B461844">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76</w:t>
            </w:r>
          </w:p>
        </w:tc>
      </w:tr>
      <w:tr w14:paraId="0AEF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14:paraId="21A8AA0E">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3</w:t>
            </w:r>
          </w:p>
        </w:tc>
        <w:tc>
          <w:tcPr>
            <w:tcW w:w="911" w:type="pct"/>
            <w:vAlign w:val="center"/>
          </w:tcPr>
          <w:p w14:paraId="5E90A650">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兴化市</w:t>
            </w:r>
          </w:p>
        </w:tc>
        <w:tc>
          <w:tcPr>
            <w:tcW w:w="1032" w:type="pct"/>
            <w:vAlign w:val="center"/>
          </w:tcPr>
          <w:p w14:paraId="6E4932FC">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21</w:t>
            </w:r>
          </w:p>
        </w:tc>
        <w:tc>
          <w:tcPr>
            <w:tcW w:w="991" w:type="pct"/>
            <w:vAlign w:val="center"/>
          </w:tcPr>
          <w:p w14:paraId="0935EB48">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38</w:t>
            </w:r>
          </w:p>
        </w:tc>
        <w:tc>
          <w:tcPr>
            <w:tcW w:w="1018" w:type="pct"/>
            <w:vAlign w:val="center"/>
          </w:tcPr>
          <w:p w14:paraId="748FD4D6">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28</w:t>
            </w:r>
          </w:p>
        </w:tc>
        <w:tc>
          <w:tcPr>
            <w:tcW w:w="640" w:type="pct"/>
            <w:vAlign w:val="center"/>
          </w:tcPr>
          <w:p w14:paraId="4CE511F9">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87</w:t>
            </w:r>
          </w:p>
        </w:tc>
      </w:tr>
      <w:tr w14:paraId="0EA7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14:paraId="1BE6456C">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4</w:t>
            </w:r>
          </w:p>
        </w:tc>
        <w:tc>
          <w:tcPr>
            <w:tcW w:w="911" w:type="pct"/>
            <w:vAlign w:val="center"/>
          </w:tcPr>
          <w:p w14:paraId="6C01F25C">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海陵区</w:t>
            </w:r>
          </w:p>
        </w:tc>
        <w:tc>
          <w:tcPr>
            <w:tcW w:w="1032" w:type="pct"/>
            <w:vAlign w:val="center"/>
          </w:tcPr>
          <w:p w14:paraId="21BBA11E">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7</w:t>
            </w:r>
          </w:p>
        </w:tc>
        <w:tc>
          <w:tcPr>
            <w:tcW w:w="991" w:type="pct"/>
            <w:vAlign w:val="center"/>
          </w:tcPr>
          <w:p w14:paraId="3620D2BE">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13</w:t>
            </w:r>
          </w:p>
        </w:tc>
        <w:tc>
          <w:tcPr>
            <w:tcW w:w="1018" w:type="pct"/>
            <w:vAlign w:val="center"/>
          </w:tcPr>
          <w:p w14:paraId="24418A82">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7</w:t>
            </w:r>
          </w:p>
        </w:tc>
        <w:tc>
          <w:tcPr>
            <w:tcW w:w="640" w:type="pct"/>
            <w:vAlign w:val="center"/>
          </w:tcPr>
          <w:p w14:paraId="016B5BA5">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27</w:t>
            </w:r>
          </w:p>
        </w:tc>
      </w:tr>
      <w:tr w14:paraId="0435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14:paraId="4C20323D">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5</w:t>
            </w:r>
          </w:p>
        </w:tc>
        <w:tc>
          <w:tcPr>
            <w:tcW w:w="911" w:type="pct"/>
            <w:vAlign w:val="center"/>
          </w:tcPr>
          <w:p w14:paraId="0A34383A">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医药高新区</w:t>
            </w:r>
          </w:p>
        </w:tc>
        <w:tc>
          <w:tcPr>
            <w:tcW w:w="1032" w:type="pct"/>
            <w:vAlign w:val="center"/>
          </w:tcPr>
          <w:p w14:paraId="105DADA3">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4</w:t>
            </w:r>
          </w:p>
        </w:tc>
        <w:tc>
          <w:tcPr>
            <w:tcW w:w="991" w:type="pct"/>
            <w:vAlign w:val="center"/>
          </w:tcPr>
          <w:p w14:paraId="74DB1244">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1</w:t>
            </w:r>
          </w:p>
        </w:tc>
        <w:tc>
          <w:tcPr>
            <w:tcW w:w="1018" w:type="pct"/>
            <w:vAlign w:val="center"/>
          </w:tcPr>
          <w:p w14:paraId="1358A28F">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4</w:t>
            </w:r>
          </w:p>
        </w:tc>
        <w:tc>
          <w:tcPr>
            <w:tcW w:w="640" w:type="pct"/>
            <w:vAlign w:val="center"/>
          </w:tcPr>
          <w:p w14:paraId="4A60F222">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9</w:t>
            </w:r>
          </w:p>
        </w:tc>
      </w:tr>
      <w:tr w14:paraId="5815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14:paraId="22D12404">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6</w:t>
            </w:r>
          </w:p>
        </w:tc>
        <w:tc>
          <w:tcPr>
            <w:tcW w:w="911" w:type="pct"/>
            <w:vAlign w:val="center"/>
          </w:tcPr>
          <w:p w14:paraId="4C5F7396">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高港区</w:t>
            </w:r>
          </w:p>
        </w:tc>
        <w:tc>
          <w:tcPr>
            <w:tcW w:w="1032" w:type="pct"/>
            <w:vAlign w:val="center"/>
          </w:tcPr>
          <w:p w14:paraId="04E21BEF">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11</w:t>
            </w:r>
          </w:p>
        </w:tc>
        <w:tc>
          <w:tcPr>
            <w:tcW w:w="991" w:type="pct"/>
            <w:vAlign w:val="center"/>
          </w:tcPr>
          <w:p w14:paraId="71565C83">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16</w:t>
            </w:r>
          </w:p>
        </w:tc>
        <w:tc>
          <w:tcPr>
            <w:tcW w:w="1018" w:type="pct"/>
            <w:vAlign w:val="center"/>
          </w:tcPr>
          <w:p w14:paraId="192812BD">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8</w:t>
            </w:r>
          </w:p>
        </w:tc>
        <w:tc>
          <w:tcPr>
            <w:tcW w:w="640" w:type="pct"/>
            <w:vAlign w:val="center"/>
          </w:tcPr>
          <w:p w14:paraId="3163ADF5">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35</w:t>
            </w:r>
          </w:p>
        </w:tc>
      </w:tr>
      <w:tr w14:paraId="38DE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14:paraId="49002FD7">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7</w:t>
            </w:r>
          </w:p>
        </w:tc>
        <w:tc>
          <w:tcPr>
            <w:tcW w:w="911" w:type="pct"/>
            <w:vAlign w:val="center"/>
          </w:tcPr>
          <w:p w14:paraId="273814FD">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姜堰区</w:t>
            </w:r>
          </w:p>
        </w:tc>
        <w:tc>
          <w:tcPr>
            <w:tcW w:w="1032" w:type="pct"/>
            <w:vAlign w:val="center"/>
          </w:tcPr>
          <w:p w14:paraId="2D89E522">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15</w:t>
            </w:r>
          </w:p>
        </w:tc>
        <w:tc>
          <w:tcPr>
            <w:tcW w:w="991" w:type="pct"/>
            <w:vAlign w:val="center"/>
          </w:tcPr>
          <w:p w14:paraId="1E281E2C">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40</w:t>
            </w:r>
          </w:p>
        </w:tc>
        <w:tc>
          <w:tcPr>
            <w:tcW w:w="1018" w:type="pct"/>
            <w:vAlign w:val="center"/>
          </w:tcPr>
          <w:p w14:paraId="041A4924">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14</w:t>
            </w:r>
          </w:p>
        </w:tc>
        <w:tc>
          <w:tcPr>
            <w:tcW w:w="640" w:type="pct"/>
            <w:vAlign w:val="center"/>
          </w:tcPr>
          <w:p w14:paraId="7F74A4AB">
            <w:pPr>
              <w:adjustRightInd w:val="0"/>
              <w:snapToGrid w:val="0"/>
              <w:spacing w:line="480" w:lineRule="exact"/>
              <w:jc w:val="center"/>
              <w:rPr>
                <w:rFonts w:ascii="Times New Roman" w:hAnsi="Times New Roman" w:eastAsia="方正仿宋_GBK" w:cs="Times New Roman"/>
                <w:snapToGrid w:val="0"/>
                <w:kern w:val="0"/>
                <w:sz w:val="24"/>
                <w:szCs w:val="24"/>
              </w:rPr>
            </w:pPr>
            <w:r>
              <w:rPr>
                <w:rFonts w:ascii="Times New Roman" w:hAnsi="Times New Roman" w:eastAsia="方正仿宋_GBK" w:cs="Times New Roman"/>
                <w:snapToGrid w:val="0"/>
                <w:kern w:val="0"/>
                <w:sz w:val="24"/>
                <w:szCs w:val="24"/>
              </w:rPr>
              <w:t>69</w:t>
            </w:r>
          </w:p>
        </w:tc>
      </w:tr>
      <w:tr w14:paraId="7357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gridSpan w:val="2"/>
            <w:vAlign w:val="center"/>
          </w:tcPr>
          <w:p w14:paraId="3FC9630E">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合计</w:t>
            </w:r>
          </w:p>
        </w:tc>
        <w:tc>
          <w:tcPr>
            <w:tcW w:w="1032" w:type="pct"/>
            <w:vAlign w:val="center"/>
          </w:tcPr>
          <w:p w14:paraId="2BE9E282">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90</w:t>
            </w:r>
          </w:p>
        </w:tc>
        <w:tc>
          <w:tcPr>
            <w:tcW w:w="991" w:type="pct"/>
            <w:vAlign w:val="center"/>
          </w:tcPr>
          <w:p w14:paraId="46A36793">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181</w:t>
            </w:r>
          </w:p>
        </w:tc>
        <w:tc>
          <w:tcPr>
            <w:tcW w:w="1018" w:type="pct"/>
            <w:vAlign w:val="center"/>
          </w:tcPr>
          <w:p w14:paraId="05C93DC9">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93</w:t>
            </w:r>
          </w:p>
        </w:tc>
        <w:tc>
          <w:tcPr>
            <w:tcW w:w="640" w:type="pct"/>
            <w:vAlign w:val="center"/>
          </w:tcPr>
          <w:p w14:paraId="1453F128">
            <w:pPr>
              <w:adjustRightInd w:val="0"/>
              <w:snapToGrid w:val="0"/>
              <w:spacing w:line="480" w:lineRule="exact"/>
              <w:jc w:val="center"/>
              <w:rPr>
                <w:rFonts w:ascii="Times New Roman" w:hAnsi="Times New Roman" w:eastAsia="方正仿宋_GBK" w:cs="Times New Roman"/>
                <w:b/>
                <w:bCs/>
                <w:snapToGrid w:val="0"/>
                <w:kern w:val="0"/>
                <w:sz w:val="24"/>
                <w:szCs w:val="24"/>
              </w:rPr>
            </w:pPr>
            <w:r>
              <w:rPr>
                <w:rFonts w:ascii="Times New Roman" w:hAnsi="Times New Roman" w:eastAsia="方正仿宋_GBK" w:cs="Times New Roman"/>
                <w:b/>
                <w:bCs/>
                <w:snapToGrid w:val="0"/>
                <w:kern w:val="0"/>
                <w:sz w:val="24"/>
                <w:szCs w:val="24"/>
              </w:rPr>
              <w:t>364</w:t>
            </w:r>
          </w:p>
        </w:tc>
      </w:tr>
    </w:tbl>
    <w:p w14:paraId="793DB1AD">
      <w:pPr>
        <w:spacing w:line="590" w:lineRule="exact"/>
        <w:rPr>
          <w:rFonts w:ascii="Times New Roman" w:hAnsi="Times New Roman" w:eastAsia="方正仿宋_GBK" w:cs="Times New Roman"/>
          <w:snapToGrid w:val="0"/>
          <w:kern w:val="0"/>
          <w:sz w:val="32"/>
          <w:szCs w:val="32"/>
        </w:rPr>
      </w:pPr>
    </w:p>
    <w:p w14:paraId="728A13AD">
      <w:pPr>
        <w:autoSpaceDE w:val="0"/>
        <w:autoSpaceDN w:val="0"/>
        <w:snapToGrid w:val="0"/>
        <w:spacing w:line="600" w:lineRule="exact"/>
        <w:rPr>
          <w:rFonts w:ascii="Times New Roman" w:hAnsi="Times New Roman" w:eastAsia="仿宋" w:cs="Times New Roman"/>
          <w:snapToGrid w:val="0"/>
          <w:kern w:val="0"/>
          <w:sz w:val="32"/>
          <w:szCs w:val="32"/>
        </w:rPr>
        <w:sectPr>
          <w:pgSz w:w="16838" w:h="11906" w:orient="landscape"/>
          <w:pgMar w:top="1588" w:right="2098" w:bottom="1474" w:left="1985" w:header="851" w:footer="992" w:gutter="0"/>
          <w:cols w:space="425" w:num="1"/>
          <w:docGrid w:type="lines" w:linePitch="312" w:charSpace="0"/>
        </w:sectPr>
      </w:pPr>
    </w:p>
    <w:p w14:paraId="07C38169">
      <w:pPr>
        <w:spacing w:after="156" w:afterLines="50" w:line="590" w:lineRule="exact"/>
        <w:outlineLvl w:val="0"/>
        <w:rPr>
          <w:rFonts w:ascii="Times New Roman" w:hAnsi="Times New Roman" w:eastAsia="方正黑体_GBK" w:cs="Times New Roman"/>
          <w:sz w:val="28"/>
          <w:szCs w:val="28"/>
        </w:rPr>
      </w:pPr>
      <w:bookmarkStart w:id="6" w:name="_Toc115187579"/>
      <w:r>
        <w:rPr>
          <w:rFonts w:ascii="Times New Roman" w:hAnsi="Times New Roman" w:eastAsia="方正黑体_GBK" w:cs="Times New Roman"/>
          <w:sz w:val="28"/>
          <w:szCs w:val="28"/>
        </w:rPr>
        <w:t>附件3 泰州市环境管控单元名录</w:t>
      </w:r>
    </w:p>
    <w:bookmarkEnd w:id="6"/>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80"/>
        <w:gridCol w:w="1135"/>
        <w:gridCol w:w="5311"/>
        <w:gridCol w:w="3901"/>
        <w:gridCol w:w="2787"/>
      </w:tblGrid>
      <w:tr w14:paraId="2EF9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blHeader/>
          <w:jc w:val="center"/>
        </w:trPr>
        <w:tc>
          <w:tcPr>
            <w:tcW w:w="314" w:type="pct"/>
            <w:vAlign w:val="center"/>
          </w:tcPr>
          <w:p w14:paraId="72484640">
            <w:pPr>
              <w:widowControl/>
              <w:adjustRightInd w:val="0"/>
              <w:snapToGrid w:val="0"/>
              <w:ind w:left="0"/>
              <w:jc w:val="center"/>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区域</w:t>
            </w:r>
          </w:p>
        </w:tc>
        <w:tc>
          <w:tcPr>
            <w:tcW w:w="405" w:type="pct"/>
            <w:vAlign w:val="center"/>
          </w:tcPr>
          <w:p w14:paraId="59BBEC6D">
            <w:pPr>
              <w:widowControl/>
              <w:adjustRightInd w:val="0"/>
              <w:snapToGrid w:val="0"/>
              <w:ind w:left="0"/>
              <w:jc w:val="center"/>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单元总数</w:t>
            </w:r>
          </w:p>
        </w:tc>
        <w:tc>
          <w:tcPr>
            <w:tcW w:w="1895" w:type="pct"/>
            <w:vAlign w:val="center"/>
          </w:tcPr>
          <w:p w14:paraId="1969F016">
            <w:pPr>
              <w:widowControl/>
              <w:adjustRightInd w:val="0"/>
              <w:snapToGrid w:val="0"/>
              <w:ind w:left="0"/>
              <w:jc w:val="center"/>
              <w:rPr>
                <w:rFonts w:ascii="Times New Roman" w:hAnsi="Times New Roman" w:eastAsia="方正仿宋_GBK" w:cs="Times New Roman"/>
                <w:b/>
                <w:sz w:val="24"/>
                <w:szCs w:val="24"/>
              </w:rPr>
            </w:pPr>
            <w:r>
              <w:rPr>
                <w:rFonts w:ascii="Times New Roman" w:hAnsi="Times New Roman" w:eastAsia="方正仿宋_GBK" w:cs="Times New Roman"/>
                <w:b/>
                <w:sz w:val="24"/>
                <w:szCs w:val="24"/>
              </w:rPr>
              <w:t>优先保护单元</w:t>
            </w:r>
          </w:p>
        </w:tc>
        <w:tc>
          <w:tcPr>
            <w:tcW w:w="1392" w:type="pct"/>
            <w:vAlign w:val="center"/>
          </w:tcPr>
          <w:p w14:paraId="102C3158">
            <w:pPr>
              <w:widowControl/>
              <w:adjustRightInd w:val="0"/>
              <w:snapToGrid w:val="0"/>
              <w:ind w:left="0"/>
              <w:jc w:val="center"/>
              <w:rPr>
                <w:rFonts w:ascii="Times New Roman" w:hAnsi="Times New Roman" w:eastAsia="方正仿宋_GBK" w:cs="Times New Roman"/>
                <w:b/>
                <w:sz w:val="24"/>
                <w:szCs w:val="24"/>
              </w:rPr>
            </w:pPr>
            <w:r>
              <w:rPr>
                <w:rFonts w:ascii="Times New Roman" w:hAnsi="Times New Roman" w:eastAsia="方正仿宋_GBK" w:cs="Times New Roman"/>
                <w:b/>
                <w:sz w:val="24"/>
                <w:szCs w:val="24"/>
              </w:rPr>
              <w:t>重点管控单元</w:t>
            </w:r>
          </w:p>
        </w:tc>
        <w:tc>
          <w:tcPr>
            <w:tcW w:w="994" w:type="pct"/>
            <w:vAlign w:val="center"/>
          </w:tcPr>
          <w:p w14:paraId="0A6DBD09">
            <w:pPr>
              <w:widowControl/>
              <w:adjustRightInd w:val="0"/>
              <w:snapToGrid w:val="0"/>
              <w:ind w:left="0"/>
              <w:jc w:val="center"/>
              <w:rPr>
                <w:rFonts w:ascii="Times New Roman" w:hAnsi="Times New Roman" w:eastAsia="方正仿宋_GBK" w:cs="Times New Roman"/>
                <w:b/>
                <w:sz w:val="24"/>
                <w:szCs w:val="24"/>
              </w:rPr>
            </w:pPr>
            <w:r>
              <w:rPr>
                <w:rFonts w:ascii="Times New Roman" w:hAnsi="Times New Roman" w:eastAsia="方正仿宋_GBK" w:cs="Times New Roman"/>
                <w:b/>
                <w:sz w:val="24"/>
                <w:szCs w:val="24"/>
              </w:rPr>
              <w:t>一般管控单元</w:t>
            </w:r>
          </w:p>
        </w:tc>
      </w:tr>
      <w:tr w14:paraId="4C5E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314" w:type="pct"/>
            <w:vAlign w:val="center"/>
          </w:tcPr>
          <w:p w14:paraId="3E7BBE03">
            <w:pPr>
              <w:widowControl/>
              <w:adjustRightInd w:val="0"/>
              <w:snapToGrid w:val="0"/>
              <w:ind w:left="0"/>
              <w:jc w:val="center"/>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靖江市</w:t>
            </w:r>
          </w:p>
        </w:tc>
        <w:tc>
          <w:tcPr>
            <w:tcW w:w="405" w:type="pct"/>
            <w:vAlign w:val="center"/>
          </w:tcPr>
          <w:p w14:paraId="2C355FE5">
            <w:pPr>
              <w:widowControl/>
              <w:adjustRightInd w:val="0"/>
              <w:snapToGrid w:val="0"/>
              <w:ind w:left="0"/>
              <w:jc w:val="center"/>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61个</w:t>
            </w:r>
          </w:p>
        </w:tc>
        <w:tc>
          <w:tcPr>
            <w:tcW w:w="1895" w:type="pct"/>
          </w:tcPr>
          <w:p w14:paraId="16AC8FC3">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共计10个</w:t>
            </w:r>
          </w:p>
          <w:p w14:paraId="7513EED3">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滨江风景名胜区</w:t>
            </w:r>
          </w:p>
          <w:p w14:paraId="18BDFD5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孤山风景名胜区</w:t>
            </w:r>
          </w:p>
          <w:p w14:paraId="4BAC4FEA">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江心洲重要湿地</w:t>
            </w:r>
          </w:p>
          <w:p w14:paraId="2C829A0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靖江市明湖应急水源地水源保护区</w:t>
            </w:r>
          </w:p>
          <w:p w14:paraId="295BC61A">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靖江香沙芋种质资源保护区</w:t>
            </w:r>
          </w:p>
          <w:p w14:paraId="40CB98D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夏仕港清水通道维护区</w:t>
            </w:r>
          </w:p>
          <w:p w14:paraId="5DB2DE7F">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长江（靖江市）重要湿地</w:t>
            </w:r>
          </w:p>
          <w:p w14:paraId="320E940A">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长江靖江段中华绒螯蟹鳜鱼国家级水产种质资源保护区（生态保护红线）</w:t>
            </w:r>
          </w:p>
          <w:p w14:paraId="74521EA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长江靖江段中华绒螯蟹鳜鱼国家级水产种质资源保护区（生态空间管控区域）</w:t>
            </w:r>
          </w:p>
          <w:p w14:paraId="0D6F7A90">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长江蟛蜞港饮用水水源保护区</w:t>
            </w:r>
          </w:p>
        </w:tc>
        <w:tc>
          <w:tcPr>
            <w:tcW w:w="1392" w:type="pct"/>
          </w:tcPr>
          <w:p w14:paraId="08BDA448">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共计36个</w:t>
            </w:r>
          </w:p>
          <w:p w14:paraId="6E5419F2">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北矿产业园</w:t>
            </w:r>
          </w:p>
          <w:p w14:paraId="2B74572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东部合作经济产业园</w:t>
            </w:r>
          </w:p>
          <w:p w14:paraId="2940E902">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东兴工业园</w:t>
            </w:r>
          </w:p>
          <w:p w14:paraId="3A37CA2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东兴海工产业园</w:t>
            </w:r>
          </w:p>
          <w:p w14:paraId="0952ADCF">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东兴科技产业创新基地</w:t>
            </w:r>
          </w:p>
          <w:p w14:paraId="43E292CD">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东兴新型建材产业园</w:t>
            </w:r>
          </w:p>
          <w:p w14:paraId="6626899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港城科技产业园</w:t>
            </w:r>
          </w:p>
          <w:p w14:paraId="6F78DB10">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孤山空调产业园</w:t>
            </w:r>
          </w:p>
          <w:p w14:paraId="0A78EF06">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恒艾大健康产业园</w:t>
            </w:r>
          </w:p>
          <w:p w14:paraId="5C76768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季市镇集镇工业集中区</w:t>
            </w:r>
          </w:p>
          <w:p w14:paraId="47AEA9A2">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季市镇三元桥工业集中区</w:t>
            </w:r>
          </w:p>
          <w:p w14:paraId="12AE7E5A">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季市镇长安工业集中区</w:t>
            </w:r>
          </w:p>
          <w:p w14:paraId="4B31F5A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江苏江阴-靖江工业园区</w:t>
            </w:r>
          </w:p>
          <w:p w14:paraId="56A9A88F">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靖城街道电商物流产业园</w:t>
            </w:r>
          </w:p>
          <w:p w14:paraId="45B46C30">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靖城街道东郊工业园</w:t>
            </w:r>
          </w:p>
          <w:p w14:paraId="35A7390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靖城街道靖西工业园（靖西村、正西村、正南社区（环城路））</w:t>
            </w:r>
          </w:p>
          <w:p w14:paraId="6B441909">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靖江电镀集中区</w:t>
            </w:r>
          </w:p>
          <w:p w14:paraId="2E81576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靖江经济技术开发区</w:t>
            </w:r>
          </w:p>
          <w:p w14:paraId="3302918A">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靖江市中心城区</w:t>
            </w:r>
          </w:p>
          <w:p w14:paraId="0496186E">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马桥镇经伦工业集中区</w:t>
            </w:r>
          </w:p>
          <w:p w14:paraId="0D33D768">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马桥镇正北工业集中区</w:t>
            </w:r>
          </w:p>
          <w:p w14:paraId="18DB610A">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南矿产业园</w:t>
            </w:r>
          </w:p>
          <w:p w14:paraId="33266F36">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生祠镇创新创业产业园</w:t>
            </w:r>
          </w:p>
          <w:p w14:paraId="6485356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生祠镇红光工业园</w:t>
            </w:r>
          </w:p>
          <w:p w14:paraId="655E482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生祠镇江平路工业产业园</w:t>
            </w:r>
          </w:p>
          <w:p w14:paraId="6D0389B6">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生祠镇新夹线工业集中区</w:t>
            </w:r>
          </w:p>
          <w:p w14:paraId="3BC7012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团结产业园</w:t>
            </w:r>
          </w:p>
          <w:p w14:paraId="5C832C1F">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西来镇敦义工业集中区</w:t>
            </w:r>
          </w:p>
          <w:p w14:paraId="2F409900">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西来镇工业集中区</w:t>
            </w:r>
          </w:p>
          <w:p w14:paraId="5C3A528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西来镇土桥工业集中区</w:t>
            </w:r>
          </w:p>
          <w:p w14:paraId="447C70AA">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西来镇新型建材集中区</w:t>
            </w:r>
          </w:p>
          <w:p w14:paraId="74FAF402">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新桥园区东部片区</w:t>
            </w:r>
          </w:p>
          <w:p w14:paraId="5A6FF12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新桥园区西部片区</w:t>
            </w:r>
          </w:p>
          <w:p w14:paraId="13834BE6">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新桥镇老工业集中区</w:t>
            </w:r>
          </w:p>
          <w:p w14:paraId="2F036B28">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新桥镇三兴工业集中区</w:t>
            </w:r>
          </w:p>
          <w:p w14:paraId="3132A4A4">
            <w:pPr>
              <w:widowControl/>
              <w:adjustRightInd w:val="0"/>
              <w:snapToGrid w:val="0"/>
              <w:ind w:left="0"/>
              <w:rPr>
                <w:rFonts w:ascii="Times New Roman" w:hAnsi="Times New Roman" w:eastAsia="方正仿宋_GBK" w:cs="Times New Roman"/>
                <w:spacing w:val="-10"/>
                <w:sz w:val="24"/>
                <w:szCs w:val="24"/>
                <w:highlight w:val="lightGray"/>
              </w:rPr>
            </w:pPr>
            <w:r>
              <w:rPr>
                <w:rFonts w:ascii="Times New Roman" w:hAnsi="Times New Roman" w:eastAsia="方正仿宋_GBK" w:cs="Times New Roman"/>
                <w:spacing w:val="-10"/>
                <w:sz w:val="24"/>
                <w:szCs w:val="24"/>
              </w:rPr>
              <w:t>新桥镇孝化中小企业创业园</w:t>
            </w:r>
          </w:p>
        </w:tc>
        <w:tc>
          <w:tcPr>
            <w:tcW w:w="994" w:type="pct"/>
          </w:tcPr>
          <w:p w14:paraId="7EE2E983">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共计15个</w:t>
            </w:r>
          </w:p>
          <w:p w14:paraId="622540CC">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东兴镇</w:t>
            </w:r>
          </w:p>
          <w:p w14:paraId="4A33B5D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孤山镇</w:t>
            </w:r>
          </w:p>
          <w:p w14:paraId="3CD3C9E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候河农场</w:t>
            </w:r>
          </w:p>
          <w:p w14:paraId="23F48F3D">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季市镇</w:t>
            </w:r>
          </w:p>
          <w:p w14:paraId="7827CA1C">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江滩办事处</w:t>
            </w:r>
          </w:p>
          <w:p w14:paraId="298181C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靖城街道</w:t>
            </w:r>
          </w:p>
          <w:p w14:paraId="685D18B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马桥镇</w:t>
            </w:r>
          </w:p>
          <w:p w14:paraId="5689373C">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生祠镇</w:t>
            </w:r>
          </w:p>
          <w:p w14:paraId="6918D91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水产养殖场</w:t>
            </w:r>
          </w:p>
          <w:p w14:paraId="794CBDC3">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西来镇</w:t>
            </w:r>
          </w:p>
          <w:p w14:paraId="1018D87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斜桥镇</w:t>
            </w:r>
          </w:p>
          <w:p w14:paraId="2434A24C">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新桥镇</w:t>
            </w:r>
          </w:p>
          <w:p w14:paraId="1243146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渔业农场</w:t>
            </w:r>
          </w:p>
          <w:p w14:paraId="32718DC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长江（靖江）</w:t>
            </w:r>
          </w:p>
          <w:p w14:paraId="4957E7A6">
            <w:pPr>
              <w:widowControl/>
              <w:adjustRightInd w:val="0"/>
              <w:snapToGrid w:val="0"/>
              <w:ind w:left="0"/>
              <w:rPr>
                <w:rFonts w:ascii="Times New Roman" w:hAnsi="Times New Roman" w:eastAsia="方正仿宋_GBK" w:cs="Times New Roman"/>
                <w:spacing w:val="-10"/>
                <w:sz w:val="24"/>
                <w:szCs w:val="24"/>
                <w:highlight w:val="lightGray"/>
              </w:rPr>
            </w:pPr>
            <w:r>
              <w:rPr>
                <w:rFonts w:ascii="Times New Roman" w:hAnsi="Times New Roman" w:eastAsia="方正仿宋_GBK" w:cs="Times New Roman"/>
                <w:spacing w:val="-10"/>
                <w:sz w:val="24"/>
                <w:szCs w:val="24"/>
              </w:rPr>
              <w:t>长江农场</w:t>
            </w:r>
          </w:p>
        </w:tc>
      </w:tr>
      <w:tr w14:paraId="499C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314" w:type="pct"/>
            <w:vAlign w:val="center"/>
          </w:tcPr>
          <w:p w14:paraId="67A73A74">
            <w:pPr>
              <w:widowControl/>
              <w:adjustRightInd w:val="0"/>
              <w:snapToGrid w:val="0"/>
              <w:ind w:left="0"/>
              <w:jc w:val="center"/>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泰兴市</w:t>
            </w:r>
          </w:p>
        </w:tc>
        <w:tc>
          <w:tcPr>
            <w:tcW w:w="405" w:type="pct"/>
            <w:vAlign w:val="center"/>
          </w:tcPr>
          <w:p w14:paraId="157A674F">
            <w:pPr>
              <w:widowControl/>
              <w:adjustRightInd w:val="0"/>
              <w:snapToGrid w:val="0"/>
              <w:ind w:left="0"/>
              <w:jc w:val="center"/>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76个</w:t>
            </w:r>
          </w:p>
        </w:tc>
        <w:tc>
          <w:tcPr>
            <w:tcW w:w="1895" w:type="pct"/>
            <w:vAlign w:val="center"/>
          </w:tcPr>
          <w:p w14:paraId="13D9FC2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b/>
                <w:spacing w:val="-10"/>
                <w:sz w:val="24"/>
                <w:szCs w:val="24"/>
              </w:rPr>
              <w:t>共计22个</w:t>
            </w:r>
          </w:p>
          <w:p w14:paraId="2CAAE4FE">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分界镇湖头村香荷芋种质资源保护区</w:t>
            </w:r>
          </w:p>
          <w:p w14:paraId="331FBE0A">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古马干河清水通道维护区</w:t>
            </w:r>
          </w:p>
          <w:p w14:paraId="63CA5056">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古溪镇风景名胜区</w:t>
            </w:r>
          </w:p>
          <w:p w14:paraId="6378D0C0">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广陵镇顾周村、木行村风景名胜区</w:t>
            </w:r>
          </w:p>
          <w:p w14:paraId="2CED49F7">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广陵镇兴宁社区、联吴村、马庄村香荷芋种质资源保护区</w:t>
            </w:r>
          </w:p>
          <w:p w14:paraId="263B5802">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黄桥镇祁巷风景名胜区</w:t>
            </w:r>
          </w:p>
          <w:p w14:paraId="4DABFEF2">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黄桥镇香荷芋种质资源保护区</w:t>
            </w:r>
          </w:p>
          <w:p w14:paraId="5A6068EC">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江苏泰州泰兴天星洲省级湿地公园</w:t>
            </w:r>
          </w:p>
          <w:p w14:paraId="3FA60BDD">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焦土港清水通道维护区</w:t>
            </w:r>
          </w:p>
          <w:p w14:paraId="6021E6DD">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靖泰界河清水通道维护区</w:t>
            </w:r>
          </w:p>
          <w:p w14:paraId="0FA2945D">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两泰官河清水通道维护区</w:t>
            </w:r>
          </w:p>
          <w:p w14:paraId="6B2272B9">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曲霞镇印达村、丁桥村风景名胜区</w:t>
            </w:r>
          </w:p>
          <w:p w14:paraId="2398133A">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如泰运河（泰兴市）清水通道维护区</w:t>
            </w:r>
          </w:p>
          <w:p w14:paraId="1C2660D4">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珊瑚镇香荷芋种质资源保护区</w:t>
            </w:r>
          </w:p>
          <w:p w14:paraId="075D66CE">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泰兴国家古银杏公园（专类园）</w:t>
            </w:r>
          </w:p>
          <w:p w14:paraId="253DB2BF">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泰兴市生态公益林区</w:t>
            </w:r>
          </w:p>
          <w:p w14:paraId="4AFF0EEB">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天星港清水通道维护区</w:t>
            </w:r>
          </w:p>
          <w:p w14:paraId="35EC3CCA">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西姜黄河－季黄河清水通道维护区</w:t>
            </w:r>
          </w:p>
          <w:p w14:paraId="42E4EF0B">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新街镇银杏种质资源保护区</w:t>
            </w:r>
          </w:p>
          <w:p w14:paraId="63B354C8">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元竹镇银杏种质资源保护区</w:t>
            </w:r>
          </w:p>
          <w:p w14:paraId="71C86A0D">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增产港清水通道维护区</w:t>
            </w:r>
          </w:p>
          <w:p w14:paraId="3099560E">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Cs/>
                <w:spacing w:val="-10"/>
                <w:sz w:val="24"/>
                <w:szCs w:val="24"/>
              </w:rPr>
              <w:t>张桥镇西桥古银杏种质资源保护区</w:t>
            </w:r>
          </w:p>
        </w:tc>
        <w:tc>
          <w:tcPr>
            <w:tcW w:w="1392" w:type="pct"/>
            <w:vAlign w:val="center"/>
          </w:tcPr>
          <w:p w14:paraId="05872F21">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共计37个</w:t>
            </w:r>
          </w:p>
          <w:p w14:paraId="2E27C8E0">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城北工业聚集区</w:t>
            </w:r>
          </w:p>
          <w:p w14:paraId="4752029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大生工业集聚区</w:t>
            </w:r>
          </w:p>
          <w:p w14:paraId="3039D35D">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分界工业园区</w:t>
            </w:r>
          </w:p>
          <w:p w14:paraId="356E6A5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副中心老工业园区</w:t>
            </w:r>
          </w:p>
          <w:p w14:paraId="67F206A8">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根思老工业区</w:t>
            </w:r>
          </w:p>
          <w:p w14:paraId="4AF65BAF">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古溪工业聚集区</w:t>
            </w:r>
          </w:p>
          <w:p w14:paraId="68281DB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官庄工业集聚区</w:t>
            </w:r>
          </w:p>
          <w:p w14:paraId="6607F653">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广陵镇工业集聚区</w:t>
            </w:r>
          </w:p>
          <w:p w14:paraId="5A81C4FD">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广陵镇兴宁工业集聚区</w:t>
            </w:r>
          </w:p>
          <w:p w14:paraId="3F6EFAE6">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河失常周工业集聚区</w:t>
            </w:r>
          </w:p>
          <w:p w14:paraId="1F9C0CFE">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河失镇工业集聚区</w:t>
            </w:r>
          </w:p>
          <w:p w14:paraId="40AB3208">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横垛工业聚集区</w:t>
            </w:r>
          </w:p>
          <w:p w14:paraId="02AB3ADF">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虹桥蒋华工业聚集区</w:t>
            </w:r>
          </w:p>
          <w:p w14:paraId="7DFE27F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黄桥镇南沙工业聚集区</w:t>
            </w:r>
          </w:p>
          <w:p w14:paraId="1A4F4BD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黄桥镇溪桥工业聚集区</w:t>
            </w:r>
          </w:p>
          <w:p w14:paraId="6F1CD78F">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江苏省泰兴虹桥工业园区</w:t>
            </w:r>
          </w:p>
          <w:p w14:paraId="40867718">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江苏省泰兴黄桥工业园区</w:t>
            </w:r>
          </w:p>
          <w:p w14:paraId="0193AE29">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江苏泰兴黄桥经济开发区</w:t>
            </w:r>
          </w:p>
          <w:p w14:paraId="198D179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老叶工业集聚区</w:t>
            </w:r>
          </w:p>
          <w:p w14:paraId="54CEB44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刘陈工业集聚区</w:t>
            </w:r>
          </w:p>
          <w:p w14:paraId="18E6E48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南新工业集聚区</w:t>
            </w:r>
          </w:p>
          <w:p w14:paraId="6CD9808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曲霞镇工业集聚区</w:t>
            </w:r>
          </w:p>
          <w:p w14:paraId="6F23CBEC">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三里工业集聚区</w:t>
            </w:r>
          </w:p>
          <w:p w14:paraId="4B530EB3">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珊瑚镇工业集聚区</w:t>
            </w:r>
          </w:p>
          <w:p w14:paraId="4C67CD8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泰兴城区工业园</w:t>
            </w:r>
          </w:p>
          <w:p w14:paraId="4543BDF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泰兴高新技术产业开发区</w:t>
            </w:r>
          </w:p>
          <w:p w14:paraId="52DB2FA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泰兴经济开发区高新技术产业园</w:t>
            </w:r>
          </w:p>
          <w:p w14:paraId="3DBFF6B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泰兴经济开发区静脉产业园</w:t>
            </w:r>
          </w:p>
          <w:p w14:paraId="08692E5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泰兴经济开发区药妆产业集聚区</w:t>
            </w:r>
          </w:p>
          <w:p w14:paraId="4623813E">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泰兴经济开发区中国精细化工（泰兴）开发园区</w:t>
            </w:r>
          </w:p>
          <w:p w14:paraId="5B2205D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泰兴市农产品加工园（新竹科技工业园）</w:t>
            </w:r>
          </w:p>
          <w:p w14:paraId="434796B3">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泰兴循环经济产业园</w:t>
            </w:r>
          </w:p>
          <w:p w14:paraId="2C6D1956">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宣堡镇工业聚集区</w:t>
            </w:r>
          </w:p>
          <w:p w14:paraId="7071B69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姚王镇阳江路南侧工业集聚区</w:t>
            </w:r>
          </w:p>
          <w:p w14:paraId="557650C3">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张桥工业聚集区</w:t>
            </w:r>
          </w:p>
          <w:p w14:paraId="3705329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长生工业集聚区</w:t>
            </w:r>
          </w:p>
          <w:p w14:paraId="5D71A377">
            <w:pPr>
              <w:widowControl/>
              <w:adjustRightInd w:val="0"/>
              <w:snapToGrid w:val="0"/>
              <w:ind w:left="0"/>
              <w:rPr>
                <w:rFonts w:ascii="Times New Roman" w:hAnsi="Times New Roman" w:eastAsia="方正仿宋_GBK" w:cs="Times New Roman"/>
                <w:bCs/>
                <w:spacing w:val="-10"/>
                <w:sz w:val="24"/>
                <w:szCs w:val="24"/>
                <w:highlight w:val="lightGray"/>
              </w:rPr>
            </w:pPr>
            <w:r>
              <w:rPr>
                <w:rFonts w:ascii="Times New Roman" w:hAnsi="Times New Roman" w:eastAsia="方正仿宋_GBK" w:cs="Times New Roman"/>
                <w:spacing w:val="-10"/>
                <w:sz w:val="24"/>
                <w:szCs w:val="24"/>
              </w:rPr>
              <w:t>众创集聚区</w:t>
            </w:r>
          </w:p>
        </w:tc>
        <w:tc>
          <w:tcPr>
            <w:tcW w:w="994" w:type="pct"/>
            <w:vAlign w:val="center"/>
          </w:tcPr>
          <w:p w14:paraId="6B98EE4F">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共计17个</w:t>
            </w:r>
          </w:p>
          <w:p w14:paraId="64FB43FC">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滨江镇</w:t>
            </w:r>
          </w:p>
          <w:p w14:paraId="166BFAFC">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分界镇</w:t>
            </w:r>
          </w:p>
          <w:p w14:paraId="47884042">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根思乡</w:t>
            </w:r>
          </w:p>
          <w:p w14:paraId="5115EBFB">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古溪镇</w:t>
            </w:r>
          </w:p>
          <w:p w14:paraId="510AEB60">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广陵镇</w:t>
            </w:r>
          </w:p>
          <w:p w14:paraId="2AF4B0FF">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河失镇</w:t>
            </w:r>
          </w:p>
          <w:p w14:paraId="0836E86D">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虹桥镇</w:t>
            </w:r>
          </w:p>
          <w:p w14:paraId="3D7F6382">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黄桥镇</w:t>
            </w:r>
          </w:p>
          <w:p w14:paraId="5B1937C2">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济川街道</w:t>
            </w:r>
          </w:p>
          <w:p w14:paraId="717CFCE4">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曲霞镇</w:t>
            </w:r>
          </w:p>
          <w:p w14:paraId="62FEBADA">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珊瑚镇</w:t>
            </w:r>
          </w:p>
          <w:p w14:paraId="61531921">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新街镇</w:t>
            </w:r>
          </w:p>
          <w:p w14:paraId="4BF80252">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宣堡镇</w:t>
            </w:r>
          </w:p>
          <w:p w14:paraId="047DDCE2">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延令街道</w:t>
            </w:r>
          </w:p>
          <w:p w14:paraId="6B8F7C73">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姚王街道</w:t>
            </w:r>
          </w:p>
          <w:p w14:paraId="7AA64A60">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元竹镇</w:t>
            </w:r>
          </w:p>
          <w:p w14:paraId="588035CA">
            <w:pPr>
              <w:widowControl/>
              <w:adjustRightInd w:val="0"/>
              <w:snapToGrid w:val="0"/>
              <w:ind w:left="0"/>
              <w:rPr>
                <w:rFonts w:ascii="Times New Roman" w:hAnsi="Times New Roman" w:eastAsia="方正仿宋_GBK" w:cs="Times New Roman"/>
                <w:bCs/>
                <w:spacing w:val="-10"/>
                <w:sz w:val="24"/>
                <w:szCs w:val="24"/>
                <w:highlight w:val="lightGray"/>
              </w:rPr>
            </w:pPr>
            <w:r>
              <w:rPr>
                <w:rFonts w:ascii="Times New Roman" w:hAnsi="Times New Roman" w:eastAsia="方正仿宋_GBK" w:cs="Times New Roman"/>
                <w:bCs/>
                <w:spacing w:val="-10"/>
                <w:sz w:val="24"/>
                <w:szCs w:val="24"/>
              </w:rPr>
              <w:t>张桥镇</w:t>
            </w:r>
          </w:p>
        </w:tc>
      </w:tr>
      <w:tr w14:paraId="00F6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314" w:type="pct"/>
            <w:vAlign w:val="center"/>
          </w:tcPr>
          <w:p w14:paraId="135D0BC1">
            <w:pPr>
              <w:widowControl/>
              <w:adjustRightInd w:val="0"/>
              <w:snapToGrid w:val="0"/>
              <w:ind w:left="0"/>
              <w:jc w:val="center"/>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兴化市</w:t>
            </w:r>
          </w:p>
        </w:tc>
        <w:tc>
          <w:tcPr>
            <w:tcW w:w="405" w:type="pct"/>
            <w:vAlign w:val="center"/>
          </w:tcPr>
          <w:p w14:paraId="7398B584">
            <w:pPr>
              <w:widowControl/>
              <w:adjustRightInd w:val="0"/>
              <w:snapToGrid w:val="0"/>
              <w:ind w:left="0"/>
              <w:jc w:val="center"/>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87个</w:t>
            </w:r>
          </w:p>
        </w:tc>
        <w:tc>
          <w:tcPr>
            <w:tcW w:w="1895" w:type="pct"/>
            <w:vAlign w:val="center"/>
          </w:tcPr>
          <w:p w14:paraId="447870F4">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共计21个</w:t>
            </w:r>
          </w:p>
          <w:p w14:paraId="5B921EF9">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白涂河洪水调蓄区</w:t>
            </w:r>
          </w:p>
          <w:p w14:paraId="0FBB2A99">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车路河清水通道维护区</w:t>
            </w:r>
          </w:p>
          <w:p w14:paraId="1A5DF7E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陈堡草荡重要湿地</w:t>
            </w:r>
          </w:p>
          <w:p w14:paraId="21FBA42C">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大纵湖重要湿地</w:t>
            </w:r>
          </w:p>
          <w:p w14:paraId="4DD5E44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缸顾饮用水水源保护区</w:t>
            </w:r>
          </w:p>
          <w:p w14:paraId="21A27B4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海河洪水调蓄区</w:t>
            </w:r>
          </w:p>
          <w:p w14:paraId="715F9786">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纪庄前河洪水调蓄区</w:t>
            </w:r>
          </w:p>
          <w:p w14:paraId="7B44D5E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江苏兴化里下河国家湿地公园</w:t>
            </w:r>
          </w:p>
          <w:p w14:paraId="1ACE0FA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卤汀河（兴化市）清水通道维护区</w:t>
            </w:r>
          </w:p>
          <w:p w14:paraId="6E3B375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卤汀河饮用水水源保护区（生态保护红线）</w:t>
            </w:r>
          </w:p>
          <w:p w14:paraId="70C6A486">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卤汀河饮用水水源保护区（生态空间管控区域）</w:t>
            </w:r>
          </w:p>
          <w:p w14:paraId="0FA2913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上官河清水通道维护区</w:t>
            </w:r>
          </w:p>
          <w:p w14:paraId="6AA960B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通榆河（兴化市）清水通道维护区</w:t>
            </w:r>
          </w:p>
          <w:p w14:paraId="7EF02ABD">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通榆河（大丰区）清水通道维护区</w:t>
            </w:r>
          </w:p>
          <w:p w14:paraId="5EA481D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蜈蚣湖重要湿地</w:t>
            </w:r>
          </w:p>
          <w:p w14:paraId="681594E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下官河清水通道维护区</w:t>
            </w:r>
          </w:p>
          <w:p w14:paraId="1EFD670A">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兴化市东部水田重要湿地</w:t>
            </w:r>
          </w:p>
          <w:p w14:paraId="7A66A24D">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兴化市通榆河合陈水源地水源保护区</w:t>
            </w:r>
          </w:p>
          <w:p w14:paraId="4E6D629A">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兴化市西北湖荡重要湿地（生态保护红线）</w:t>
            </w:r>
          </w:p>
          <w:p w14:paraId="556C86E2">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兴化市西北湖荡重要湿地（生态空间管控区域）</w:t>
            </w:r>
          </w:p>
          <w:p w14:paraId="3F7F7D3E">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兴化市有机农业产业区</w:t>
            </w:r>
          </w:p>
        </w:tc>
        <w:tc>
          <w:tcPr>
            <w:tcW w:w="1392" w:type="pct"/>
            <w:vAlign w:val="center"/>
          </w:tcPr>
          <w:p w14:paraId="18F49801">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共计38个</w:t>
            </w:r>
          </w:p>
          <w:p w14:paraId="7A782817">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昌荣镇富民工业集中区</w:t>
            </w:r>
          </w:p>
          <w:p w14:paraId="6EA6F05D">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昌荣镇工业集中区</w:t>
            </w:r>
          </w:p>
          <w:p w14:paraId="1560234A">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大营镇工业集中区</w:t>
            </w:r>
          </w:p>
          <w:p w14:paraId="243678F8">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大邹镇工业集中区</w:t>
            </w:r>
          </w:p>
          <w:p w14:paraId="58CB8694">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大邹镇化建园区</w:t>
            </w:r>
          </w:p>
          <w:p w14:paraId="12F6B65B">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戴窑镇北李工业集中区</w:t>
            </w:r>
          </w:p>
          <w:p w14:paraId="1DBE8BB1">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戴窑镇工业集中区</w:t>
            </w:r>
          </w:p>
          <w:p w14:paraId="3201B57B">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稻米科技产业园</w:t>
            </w:r>
          </w:p>
          <w:p w14:paraId="069C01A9">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钓鱼镇工业集中区</w:t>
            </w:r>
          </w:p>
          <w:p w14:paraId="29F858EF">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缸顾乡工业集中区</w:t>
            </w:r>
          </w:p>
          <w:p w14:paraId="37788691">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江苏兴化经济开发区</w:t>
            </w:r>
          </w:p>
          <w:p w14:paraId="25CF35EE">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江苏兴化经济开发区（非省级）</w:t>
            </w:r>
          </w:p>
          <w:p w14:paraId="1954A95B">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江苏张郭科技园区</w:t>
            </w:r>
          </w:p>
          <w:p w14:paraId="5FF1BCE2">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老圩乡工业集中区</w:t>
            </w:r>
          </w:p>
          <w:p w14:paraId="57E8061D">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粮食物流集聚区</w:t>
            </w:r>
          </w:p>
          <w:p w14:paraId="7B3F6278">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林湖乡工业集中区</w:t>
            </w:r>
          </w:p>
          <w:p w14:paraId="49B190ED">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沙沟镇工业集中区</w:t>
            </w:r>
          </w:p>
          <w:p w14:paraId="3C11AD56">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下圩镇工业集中区</w:t>
            </w:r>
          </w:p>
          <w:p w14:paraId="0D33A2E6">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新垛镇工业集中区</w:t>
            </w:r>
          </w:p>
          <w:p w14:paraId="10FCFF30">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新型建材产业园</w:t>
            </w:r>
          </w:p>
          <w:p w14:paraId="54D69FAA">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兴东镇工业园区</w:t>
            </w:r>
          </w:p>
          <w:p w14:paraId="48B824AF">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兴化市安丰镇工业园区</w:t>
            </w:r>
          </w:p>
          <w:p w14:paraId="5B6424F0">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兴化市陈堡镇工业园区</w:t>
            </w:r>
          </w:p>
          <w:p w14:paraId="2BEA0373">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兴化市大垛镇工业集中区</w:t>
            </w:r>
          </w:p>
          <w:p w14:paraId="4B931AB5">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兴化市戴南科技园区</w:t>
            </w:r>
          </w:p>
          <w:p w14:paraId="657479FA">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兴化市戴南循环经济产业园</w:t>
            </w:r>
          </w:p>
          <w:p w14:paraId="40785F0F">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兴化市荻垛镇工业园区</w:t>
            </w:r>
          </w:p>
          <w:p w14:paraId="64E3AA39">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兴化市光伏制品产业园</w:t>
            </w:r>
          </w:p>
          <w:p w14:paraId="0D063C81">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兴化市合陈镇工业集中区</w:t>
            </w:r>
          </w:p>
          <w:p w14:paraId="434BD4A4">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兴化市茅山镇工业集中区</w:t>
            </w:r>
          </w:p>
          <w:p w14:paraId="4F295EC2">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兴化市沈伦镇工业园区</w:t>
            </w:r>
          </w:p>
          <w:p w14:paraId="012527C0">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兴化市台商工业园</w:t>
            </w:r>
          </w:p>
          <w:p w14:paraId="09729A1D">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兴化市陶庄镇工业园区</w:t>
            </w:r>
          </w:p>
          <w:p w14:paraId="0C8F0835">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兴化市周庄镇工业园区</w:t>
            </w:r>
          </w:p>
          <w:p w14:paraId="663A84AC">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兴化市竹泓镇传统文化产业园</w:t>
            </w:r>
          </w:p>
          <w:p w14:paraId="6E00B181">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永丰镇工业集中区</w:t>
            </w:r>
          </w:p>
          <w:p w14:paraId="2BA6A37E">
            <w:pPr>
              <w:widowControl/>
              <w:adjustRightInd w:val="0"/>
              <w:snapToGrid w:val="0"/>
              <w:ind w:left="0"/>
              <w:rPr>
                <w:rFonts w:ascii="Times New Roman" w:hAnsi="Times New Roman" w:eastAsia="方正仿宋_GBK" w:cs="Times New Roman"/>
                <w:bCs/>
                <w:spacing w:val="-10"/>
                <w:sz w:val="24"/>
                <w:szCs w:val="24"/>
              </w:rPr>
            </w:pPr>
            <w:r>
              <w:rPr>
                <w:rFonts w:ascii="Times New Roman" w:hAnsi="Times New Roman" w:eastAsia="方正仿宋_GBK" w:cs="Times New Roman"/>
                <w:bCs/>
                <w:spacing w:val="-10"/>
                <w:sz w:val="24"/>
                <w:szCs w:val="24"/>
              </w:rPr>
              <w:t>中堡镇工业集中区</w:t>
            </w:r>
          </w:p>
          <w:p w14:paraId="32DAD58B">
            <w:pPr>
              <w:widowControl/>
              <w:adjustRightInd w:val="0"/>
              <w:snapToGrid w:val="0"/>
              <w:ind w:left="0"/>
              <w:rPr>
                <w:rFonts w:ascii="Times New Roman" w:hAnsi="Times New Roman" w:eastAsia="方正仿宋_GBK" w:cs="Times New Roman"/>
                <w:spacing w:val="-10"/>
                <w:sz w:val="24"/>
                <w:szCs w:val="24"/>
                <w:highlight w:val="lightGray"/>
              </w:rPr>
            </w:pPr>
            <w:r>
              <w:rPr>
                <w:rFonts w:ascii="Times New Roman" w:hAnsi="Times New Roman" w:eastAsia="方正仿宋_GBK" w:cs="Times New Roman"/>
                <w:bCs/>
                <w:spacing w:val="-10"/>
                <w:sz w:val="24"/>
                <w:szCs w:val="24"/>
              </w:rPr>
              <w:t>周庄镇私营工业园区</w:t>
            </w:r>
          </w:p>
        </w:tc>
        <w:tc>
          <w:tcPr>
            <w:tcW w:w="994" w:type="pct"/>
            <w:vAlign w:val="center"/>
          </w:tcPr>
          <w:p w14:paraId="103EF4E4">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共计28个</w:t>
            </w:r>
          </w:p>
          <w:p w14:paraId="5A45759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安丰镇</w:t>
            </w:r>
          </w:p>
          <w:p w14:paraId="35BC11FE">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昌荣镇</w:t>
            </w:r>
          </w:p>
          <w:p w14:paraId="0B0B20B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陈堡镇</w:t>
            </w:r>
          </w:p>
          <w:p w14:paraId="44F274A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大垛镇</w:t>
            </w:r>
          </w:p>
          <w:p w14:paraId="24720DA6">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大营镇</w:t>
            </w:r>
          </w:p>
          <w:p w14:paraId="4682711F">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大邹镇</w:t>
            </w:r>
          </w:p>
          <w:p w14:paraId="153A879C">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戴南镇</w:t>
            </w:r>
          </w:p>
          <w:p w14:paraId="01711AE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戴窑镇</w:t>
            </w:r>
          </w:p>
          <w:p w14:paraId="6B20EDD9">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荻垛镇</w:t>
            </w:r>
          </w:p>
          <w:p w14:paraId="69517BF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钓鱼镇</w:t>
            </w:r>
          </w:p>
          <w:p w14:paraId="760CB752">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垛田街道</w:t>
            </w:r>
          </w:p>
          <w:p w14:paraId="60E1BEC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海南镇</w:t>
            </w:r>
          </w:p>
          <w:p w14:paraId="4F6080AE">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合陈镇</w:t>
            </w:r>
          </w:p>
          <w:p w14:paraId="44356961">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经济技术开发区（行政区划乡镇部分）</w:t>
            </w:r>
          </w:p>
          <w:p w14:paraId="501883B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林湖乡</w:t>
            </w:r>
          </w:p>
          <w:p w14:paraId="57828070">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千垛镇</w:t>
            </w:r>
          </w:p>
          <w:p w14:paraId="44862AE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沙沟镇</w:t>
            </w:r>
          </w:p>
          <w:p w14:paraId="6A29583A">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沈伦镇</w:t>
            </w:r>
          </w:p>
          <w:p w14:paraId="4F2AA7A0">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市果园场</w:t>
            </w:r>
          </w:p>
          <w:p w14:paraId="326D76F3">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市良种场</w:t>
            </w:r>
          </w:p>
          <w:p w14:paraId="2C79093E">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陶庄镇</w:t>
            </w:r>
          </w:p>
          <w:p w14:paraId="3A645582">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新垛镇</w:t>
            </w:r>
          </w:p>
          <w:p w14:paraId="363128BB">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兴东镇</w:t>
            </w:r>
          </w:p>
          <w:p w14:paraId="16F452DF">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永丰镇</w:t>
            </w:r>
          </w:p>
          <w:p w14:paraId="361BECAF">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昭阳镇</w:t>
            </w:r>
          </w:p>
          <w:p w14:paraId="6853CDD6">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中堡镇</w:t>
            </w:r>
          </w:p>
          <w:p w14:paraId="720C89E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周庄镇</w:t>
            </w:r>
          </w:p>
          <w:p w14:paraId="6612F965">
            <w:pPr>
              <w:widowControl/>
              <w:adjustRightInd w:val="0"/>
              <w:snapToGrid w:val="0"/>
              <w:ind w:left="0"/>
              <w:rPr>
                <w:rFonts w:ascii="Times New Roman" w:hAnsi="Times New Roman" w:eastAsia="方正仿宋_GBK" w:cs="Times New Roman"/>
                <w:spacing w:val="-10"/>
                <w:sz w:val="24"/>
                <w:szCs w:val="24"/>
                <w:highlight w:val="lightGray"/>
              </w:rPr>
            </w:pPr>
            <w:r>
              <w:rPr>
                <w:rFonts w:ascii="Times New Roman" w:hAnsi="Times New Roman" w:eastAsia="方正仿宋_GBK" w:cs="Times New Roman"/>
                <w:spacing w:val="-10"/>
                <w:sz w:val="24"/>
                <w:szCs w:val="24"/>
              </w:rPr>
              <w:t>竹泓镇</w:t>
            </w:r>
          </w:p>
        </w:tc>
      </w:tr>
      <w:tr w14:paraId="4E75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314" w:type="pct"/>
            <w:vAlign w:val="center"/>
          </w:tcPr>
          <w:p w14:paraId="0C429F7E">
            <w:pPr>
              <w:widowControl/>
              <w:adjustRightInd w:val="0"/>
              <w:snapToGrid w:val="0"/>
              <w:ind w:left="0"/>
              <w:jc w:val="center"/>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海陵区</w:t>
            </w:r>
          </w:p>
        </w:tc>
        <w:tc>
          <w:tcPr>
            <w:tcW w:w="405" w:type="pct"/>
            <w:vAlign w:val="center"/>
          </w:tcPr>
          <w:p w14:paraId="72ED551A">
            <w:pPr>
              <w:widowControl/>
              <w:adjustRightInd w:val="0"/>
              <w:snapToGrid w:val="0"/>
              <w:ind w:left="0"/>
              <w:jc w:val="center"/>
              <w:rPr>
                <w:rFonts w:ascii="Times New Roman" w:hAnsi="Times New Roman" w:eastAsia="方正仿宋_GBK" w:cs="Times New Roman"/>
                <w:b/>
                <w:sz w:val="24"/>
                <w:szCs w:val="24"/>
              </w:rPr>
            </w:pPr>
            <w:r>
              <w:rPr>
                <w:rFonts w:ascii="Times New Roman" w:hAnsi="Times New Roman" w:eastAsia="方正仿宋_GBK" w:cs="Times New Roman"/>
                <w:b/>
                <w:sz w:val="24"/>
                <w:szCs w:val="24"/>
              </w:rPr>
              <w:t>27个</w:t>
            </w:r>
          </w:p>
        </w:tc>
        <w:tc>
          <w:tcPr>
            <w:tcW w:w="1895" w:type="pct"/>
          </w:tcPr>
          <w:p w14:paraId="15E6B1DC">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共计7个</w:t>
            </w:r>
          </w:p>
          <w:p w14:paraId="4E41F3E7">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环城河景区</w:t>
            </w:r>
          </w:p>
          <w:p w14:paraId="5336BA7C">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华阳河（海陵区）清水通道维护区</w:t>
            </w:r>
          </w:p>
          <w:p w14:paraId="759D1184">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杜东河（海陵区）清水通道维护区</w:t>
            </w:r>
          </w:p>
          <w:p w14:paraId="25B5F96E">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卤汀河（海陵区）清水通道维护区</w:t>
            </w:r>
          </w:p>
          <w:p w14:paraId="512EA9D5">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泰东河（海陵区）清水通道维护区</w:t>
            </w:r>
          </w:p>
          <w:p w14:paraId="0636250D">
            <w:pPr>
              <w:widowControl/>
              <w:adjustRightInd w:val="0"/>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新通扬运河（海陵区）清水通道维护区</w:t>
            </w:r>
          </w:p>
          <w:p w14:paraId="663820F0">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spacing w:val="-10"/>
                <w:sz w:val="24"/>
                <w:szCs w:val="24"/>
              </w:rPr>
              <w:t>引江河（海陵区）清水通道维护区</w:t>
            </w:r>
          </w:p>
        </w:tc>
        <w:tc>
          <w:tcPr>
            <w:tcW w:w="1392" w:type="pct"/>
          </w:tcPr>
          <w:p w14:paraId="12548064">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共计13个</w:t>
            </w:r>
          </w:p>
          <w:p w14:paraId="4ECE30B4">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罡杨科技工业园</w:t>
            </w:r>
          </w:p>
          <w:p w14:paraId="572F41F4">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华港镇飞船工业集中区</w:t>
            </w:r>
          </w:p>
          <w:p w14:paraId="4B02224E">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江苏省现代农业综合开发示范区</w:t>
            </w:r>
          </w:p>
          <w:p w14:paraId="2BEADD0F">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江苏泰州海陵工业园区</w:t>
            </w:r>
          </w:p>
          <w:p w14:paraId="6C2F504E">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江苏泰州海陵工业园区（市级园区）</w:t>
            </w:r>
          </w:p>
          <w:p w14:paraId="6E28A197">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江苏泰州海陵新材料环保产业园</w:t>
            </w:r>
          </w:p>
          <w:p w14:paraId="27CC155E">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龙溪工业集中区（华港）</w:t>
            </w:r>
          </w:p>
          <w:p w14:paraId="5B5C8632">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苏陈镇工业聚集区</w:t>
            </w:r>
          </w:p>
          <w:p w14:paraId="07951E35">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泰州市城北物流园区</w:t>
            </w:r>
          </w:p>
          <w:p w14:paraId="7EB49C42">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泰州市海陵现代农业科技示范园区</w:t>
            </w:r>
          </w:p>
          <w:p w14:paraId="71DB9B57">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泰州市新能源产业园</w:t>
            </w:r>
          </w:p>
          <w:p w14:paraId="10E3531E">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泰州市循环经济产业园</w:t>
            </w:r>
          </w:p>
          <w:p w14:paraId="7BF858C5">
            <w:pPr>
              <w:widowControl/>
              <w:adjustRightInd w:val="0"/>
              <w:snapToGrid w:val="0"/>
              <w:ind w:left="0"/>
              <w:rPr>
                <w:rFonts w:ascii="Times New Roman" w:hAnsi="Times New Roman" w:eastAsia="方正仿宋_GBK" w:cs="Times New Roman"/>
                <w:spacing w:val="-10"/>
                <w:sz w:val="24"/>
                <w:szCs w:val="24"/>
                <w:highlight w:val="lightGray"/>
              </w:rPr>
            </w:pPr>
            <w:r>
              <w:rPr>
                <w:rFonts w:ascii="Times New Roman" w:hAnsi="Times New Roman" w:eastAsia="方正仿宋_GBK" w:cs="Times New Roman"/>
                <w:sz w:val="24"/>
                <w:szCs w:val="24"/>
              </w:rPr>
              <w:t>泰州市中心城区（海陵区）</w:t>
            </w:r>
          </w:p>
        </w:tc>
        <w:tc>
          <w:tcPr>
            <w:tcW w:w="994" w:type="pct"/>
          </w:tcPr>
          <w:p w14:paraId="01728A96">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共计7个</w:t>
            </w:r>
          </w:p>
          <w:p w14:paraId="223B4A47">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城东街道</w:t>
            </w:r>
          </w:p>
          <w:p w14:paraId="579D3898">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城西街道</w:t>
            </w:r>
          </w:p>
          <w:p w14:paraId="45910A67">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罡杨镇</w:t>
            </w:r>
          </w:p>
          <w:p w14:paraId="6848F838">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红旗街道</w:t>
            </w:r>
          </w:p>
          <w:p w14:paraId="52675E46">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华港镇</w:t>
            </w:r>
          </w:p>
          <w:p w14:paraId="62988CC7">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九龙镇</w:t>
            </w:r>
          </w:p>
          <w:p w14:paraId="115D96F9">
            <w:pPr>
              <w:widowControl/>
              <w:adjustRightInd w:val="0"/>
              <w:snapToGrid w:val="0"/>
              <w:ind w:left="0"/>
              <w:rPr>
                <w:rFonts w:ascii="Times New Roman" w:hAnsi="Times New Roman" w:eastAsia="方正仿宋_GBK" w:cs="Times New Roman"/>
                <w:spacing w:val="-10"/>
                <w:sz w:val="24"/>
                <w:szCs w:val="24"/>
                <w:highlight w:val="lightGray"/>
              </w:rPr>
            </w:pPr>
            <w:r>
              <w:rPr>
                <w:rFonts w:ascii="Times New Roman" w:hAnsi="Times New Roman" w:eastAsia="方正仿宋_GBK" w:cs="Times New Roman"/>
                <w:sz w:val="24"/>
                <w:szCs w:val="24"/>
              </w:rPr>
              <w:t>苏陈镇</w:t>
            </w:r>
          </w:p>
        </w:tc>
      </w:tr>
      <w:tr w14:paraId="048A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314" w:type="pct"/>
            <w:vAlign w:val="center"/>
          </w:tcPr>
          <w:p w14:paraId="0B996FED">
            <w:pPr>
              <w:widowControl/>
              <w:adjustRightInd w:val="0"/>
              <w:snapToGrid w:val="0"/>
              <w:ind w:left="0"/>
              <w:jc w:val="center"/>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医药高新区</w:t>
            </w:r>
          </w:p>
        </w:tc>
        <w:tc>
          <w:tcPr>
            <w:tcW w:w="405" w:type="pct"/>
            <w:vAlign w:val="center"/>
          </w:tcPr>
          <w:p w14:paraId="18677C6A">
            <w:pPr>
              <w:widowControl/>
              <w:adjustRightInd w:val="0"/>
              <w:snapToGrid w:val="0"/>
              <w:ind w:left="0"/>
              <w:jc w:val="center"/>
              <w:rPr>
                <w:rFonts w:ascii="Times New Roman" w:hAnsi="Times New Roman" w:eastAsia="方正仿宋_GBK" w:cs="Times New Roman"/>
                <w:b/>
                <w:sz w:val="24"/>
                <w:szCs w:val="24"/>
              </w:rPr>
            </w:pPr>
            <w:r>
              <w:rPr>
                <w:rFonts w:ascii="Times New Roman" w:hAnsi="Times New Roman" w:eastAsia="方正仿宋_GBK" w:cs="Times New Roman"/>
                <w:b/>
                <w:sz w:val="24"/>
                <w:szCs w:val="24"/>
              </w:rPr>
              <w:t>9个</w:t>
            </w:r>
          </w:p>
        </w:tc>
        <w:tc>
          <w:tcPr>
            <w:tcW w:w="1895" w:type="pct"/>
          </w:tcPr>
          <w:p w14:paraId="551CB384">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共计4个</w:t>
            </w:r>
          </w:p>
          <w:p w14:paraId="491FB3F5">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南官河（高新区）清水通道维护区</w:t>
            </w:r>
          </w:p>
          <w:p w14:paraId="60479226">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引江河（高新区）清水通道维护区</w:t>
            </w:r>
          </w:p>
          <w:p w14:paraId="34BE94F8">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引江河备用水源地水源保护区</w:t>
            </w:r>
          </w:p>
          <w:p w14:paraId="0E65CDC8">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Cs/>
                <w:sz w:val="24"/>
                <w:szCs w:val="24"/>
              </w:rPr>
              <w:t>周山河（高新区）清水通道维护区</w:t>
            </w:r>
          </w:p>
        </w:tc>
        <w:tc>
          <w:tcPr>
            <w:tcW w:w="1392" w:type="pct"/>
          </w:tcPr>
          <w:p w14:paraId="72942368">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共计1个</w:t>
            </w:r>
          </w:p>
          <w:p w14:paraId="381F3E00">
            <w:pPr>
              <w:widowControl/>
              <w:adjustRightInd w:val="0"/>
              <w:snapToGrid w:val="0"/>
              <w:ind w:left="0"/>
              <w:rPr>
                <w:rFonts w:ascii="Times New Roman" w:hAnsi="Times New Roman" w:eastAsia="方正仿宋_GBK" w:cs="Times New Roman"/>
                <w:bCs/>
                <w:sz w:val="24"/>
                <w:szCs w:val="24"/>
                <w:highlight w:val="lightGray"/>
              </w:rPr>
            </w:pPr>
            <w:r>
              <w:rPr>
                <w:rFonts w:ascii="Times New Roman" w:hAnsi="Times New Roman" w:eastAsia="方正仿宋_GBK" w:cs="Times New Roman"/>
                <w:sz w:val="24"/>
                <w:szCs w:val="24"/>
              </w:rPr>
              <w:t>泰州医药高新技术产业开发区</w:t>
            </w:r>
          </w:p>
        </w:tc>
        <w:tc>
          <w:tcPr>
            <w:tcW w:w="994" w:type="pct"/>
          </w:tcPr>
          <w:p w14:paraId="219A4B29">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共计4个</w:t>
            </w:r>
          </w:p>
          <w:p w14:paraId="37423079">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凤凰街道</w:t>
            </w:r>
          </w:p>
          <w:p w14:paraId="014A5DDD">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寺巷街道</w:t>
            </w:r>
          </w:p>
          <w:p w14:paraId="1CFF9AD7">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沿江街道</w:t>
            </w:r>
          </w:p>
          <w:p w14:paraId="14E3DC63">
            <w:pPr>
              <w:widowControl/>
              <w:adjustRightInd w:val="0"/>
              <w:snapToGrid w:val="0"/>
              <w:ind w:left="0"/>
              <w:rPr>
                <w:rFonts w:ascii="Times New Roman" w:hAnsi="Times New Roman" w:eastAsia="方正仿宋_GBK" w:cs="Times New Roman"/>
                <w:bCs/>
                <w:sz w:val="24"/>
                <w:szCs w:val="24"/>
                <w:highlight w:val="lightGray"/>
              </w:rPr>
            </w:pPr>
            <w:r>
              <w:rPr>
                <w:rFonts w:ascii="Times New Roman" w:hAnsi="Times New Roman" w:eastAsia="方正仿宋_GBK" w:cs="Times New Roman"/>
                <w:bCs/>
                <w:sz w:val="24"/>
                <w:szCs w:val="24"/>
              </w:rPr>
              <w:t>野徐镇</w:t>
            </w:r>
          </w:p>
        </w:tc>
      </w:tr>
      <w:tr w14:paraId="59B9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314" w:type="pct"/>
            <w:vAlign w:val="center"/>
          </w:tcPr>
          <w:p w14:paraId="4FD225C2">
            <w:pPr>
              <w:widowControl/>
              <w:adjustRightInd w:val="0"/>
              <w:snapToGrid w:val="0"/>
              <w:ind w:left="0"/>
              <w:jc w:val="center"/>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高港区</w:t>
            </w:r>
          </w:p>
        </w:tc>
        <w:tc>
          <w:tcPr>
            <w:tcW w:w="405" w:type="pct"/>
            <w:vAlign w:val="center"/>
          </w:tcPr>
          <w:p w14:paraId="4BFF727B">
            <w:pPr>
              <w:widowControl/>
              <w:adjustRightInd w:val="0"/>
              <w:snapToGrid w:val="0"/>
              <w:ind w:left="0"/>
              <w:jc w:val="center"/>
              <w:rPr>
                <w:rFonts w:ascii="Times New Roman" w:hAnsi="Times New Roman" w:eastAsia="方正仿宋_GBK" w:cs="Times New Roman"/>
                <w:b/>
                <w:sz w:val="24"/>
                <w:szCs w:val="24"/>
              </w:rPr>
            </w:pPr>
            <w:r>
              <w:rPr>
                <w:rFonts w:ascii="Times New Roman" w:hAnsi="Times New Roman" w:eastAsia="方正仿宋_GBK" w:cs="Times New Roman"/>
                <w:b/>
                <w:sz w:val="24"/>
                <w:szCs w:val="24"/>
              </w:rPr>
              <w:t>35个</w:t>
            </w:r>
          </w:p>
        </w:tc>
        <w:tc>
          <w:tcPr>
            <w:tcW w:w="1895" w:type="pct"/>
          </w:tcPr>
          <w:p w14:paraId="21D7C987">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共11个</w:t>
            </w:r>
          </w:p>
          <w:p w14:paraId="6E5B08A5">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高港区胡庄镇古银杏种质资源保护区</w:t>
            </w:r>
          </w:p>
          <w:p w14:paraId="3567A285">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江苏泰州春江省级湿地公园</w:t>
            </w:r>
          </w:p>
          <w:p w14:paraId="63D29677">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老通扬运河（高新区）清水通道维护区</w:t>
            </w:r>
          </w:p>
          <w:p w14:paraId="20E33E61">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南官河（高港区）清水通道维护区</w:t>
            </w:r>
          </w:p>
          <w:p w14:paraId="48DCDF56">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泰州市长江永安州永正水源地</w:t>
            </w:r>
          </w:p>
          <w:p w14:paraId="5C70C6C0">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引江河（高港区）清水通道维护区</w:t>
            </w:r>
          </w:p>
          <w:p w14:paraId="6D858BCA">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引江河调水口清水通道维护区</w:t>
            </w:r>
          </w:p>
          <w:p w14:paraId="3750AEA2">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长江（高港区）重要湿地</w:t>
            </w:r>
          </w:p>
          <w:p w14:paraId="2D484635">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西干河（高港区）清水通道维护区</w:t>
            </w:r>
          </w:p>
          <w:p w14:paraId="48BA326D">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生产河（高港区）清水通道维护区</w:t>
            </w:r>
          </w:p>
          <w:p w14:paraId="2A2D4AE7">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Cs/>
                <w:sz w:val="24"/>
                <w:szCs w:val="24"/>
              </w:rPr>
              <w:t>周山河（高港区）清水通道维护区</w:t>
            </w:r>
          </w:p>
        </w:tc>
        <w:tc>
          <w:tcPr>
            <w:tcW w:w="1392" w:type="pct"/>
          </w:tcPr>
          <w:p w14:paraId="269F4873">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共计16个</w:t>
            </w:r>
          </w:p>
          <w:p w14:paraId="47AB3706">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大泗镇工业集中区</w:t>
            </w:r>
          </w:p>
          <w:p w14:paraId="0E6AB374">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港口码头工业区</w:t>
            </w:r>
          </w:p>
          <w:p w14:paraId="2E732D8D">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高港高新区医疗器械产业园</w:t>
            </w:r>
          </w:p>
          <w:p w14:paraId="13A74DD8">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江苏泰州港经济开发区</w:t>
            </w:r>
          </w:p>
          <w:p w14:paraId="14622639">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江苏泰州港经济开发区（非省级）</w:t>
            </w:r>
          </w:p>
          <w:p w14:paraId="14610884">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口岸工业集中区</w:t>
            </w:r>
          </w:p>
          <w:p w14:paraId="69905F15">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口岸私营园区</w:t>
            </w:r>
          </w:p>
          <w:p w14:paraId="629C8C22">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泰州高永化工集中区</w:t>
            </w:r>
          </w:p>
          <w:p w14:paraId="2AB8D696">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泰州核心港区粮油食品产业园</w:t>
            </w:r>
          </w:p>
          <w:p w14:paraId="100CF0FE">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泰州市白马镇工业园区</w:t>
            </w:r>
          </w:p>
          <w:p w14:paraId="5B85F219">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泰州市高港区临港经济园</w:t>
            </w:r>
          </w:p>
          <w:p w14:paraId="3CA5A144">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泰州市胡庄镇工业集中区（含汪群工业规划区）</w:t>
            </w:r>
          </w:p>
          <w:p w14:paraId="39289508">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泰州市泰州港核心港区中部工业区</w:t>
            </w:r>
          </w:p>
          <w:p w14:paraId="64EA19E3">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泰州市中心城区（高港区）</w:t>
            </w:r>
          </w:p>
          <w:p w14:paraId="03F00C55">
            <w:pPr>
              <w:widowControl/>
              <w:adjustRightInd w:val="0"/>
              <w:snapToGrid w:val="0"/>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圩岸工业集中区</w:t>
            </w:r>
          </w:p>
          <w:p w14:paraId="2B15DDD1">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sz w:val="24"/>
                <w:szCs w:val="24"/>
              </w:rPr>
              <w:t>扬子江药业集团</w:t>
            </w:r>
          </w:p>
        </w:tc>
        <w:tc>
          <w:tcPr>
            <w:tcW w:w="994" w:type="pct"/>
          </w:tcPr>
          <w:p w14:paraId="00EB529A">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
                <w:sz w:val="24"/>
                <w:szCs w:val="24"/>
              </w:rPr>
              <w:t>共计8个</w:t>
            </w:r>
          </w:p>
          <w:p w14:paraId="5ECC8FD9">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白马镇</w:t>
            </w:r>
          </w:p>
          <w:p w14:paraId="68B7509F">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大泗镇</w:t>
            </w:r>
          </w:p>
          <w:p w14:paraId="5B9CD26E">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刁铺街道</w:t>
            </w:r>
          </w:p>
          <w:p w14:paraId="2A41AAAB">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胡庄镇</w:t>
            </w:r>
          </w:p>
          <w:p w14:paraId="343D1A65">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口岸街道</w:t>
            </w:r>
          </w:p>
          <w:p w14:paraId="272A57FB">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许庄街道</w:t>
            </w:r>
          </w:p>
          <w:p w14:paraId="1E7DF002">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永安洲镇</w:t>
            </w:r>
          </w:p>
          <w:p w14:paraId="606D3C90">
            <w:pPr>
              <w:widowControl/>
              <w:adjustRightInd w:val="0"/>
              <w:snapToGrid w:val="0"/>
              <w:ind w:left="0"/>
              <w:rPr>
                <w:rFonts w:ascii="Times New Roman" w:hAnsi="Times New Roman" w:eastAsia="方正仿宋_GBK" w:cs="Times New Roman"/>
                <w:b/>
                <w:sz w:val="24"/>
                <w:szCs w:val="24"/>
              </w:rPr>
            </w:pPr>
            <w:r>
              <w:rPr>
                <w:rFonts w:ascii="Times New Roman" w:hAnsi="Times New Roman" w:eastAsia="方正仿宋_GBK" w:cs="Times New Roman"/>
                <w:bCs/>
                <w:sz w:val="24"/>
                <w:szCs w:val="24"/>
              </w:rPr>
              <w:t>长江（高港）</w:t>
            </w:r>
          </w:p>
        </w:tc>
      </w:tr>
      <w:tr w14:paraId="5F28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314" w:type="pct"/>
            <w:vAlign w:val="center"/>
          </w:tcPr>
          <w:p w14:paraId="365409AA">
            <w:pPr>
              <w:widowControl/>
              <w:adjustRightInd w:val="0"/>
              <w:snapToGrid w:val="0"/>
              <w:ind w:left="0"/>
              <w:jc w:val="center"/>
              <w:rPr>
                <w:rFonts w:ascii="Times New Roman" w:hAnsi="Times New Roman" w:eastAsia="方正仿宋_GBK" w:cs="Times New Roman"/>
                <w:spacing w:val="-10"/>
                <w:sz w:val="24"/>
                <w:szCs w:val="24"/>
              </w:rPr>
            </w:pPr>
            <w:r>
              <w:rPr>
                <w:rFonts w:ascii="Times New Roman" w:hAnsi="Times New Roman" w:eastAsia="方正仿宋_GBK" w:cs="Times New Roman"/>
                <w:spacing w:val="-10"/>
                <w:sz w:val="24"/>
                <w:szCs w:val="24"/>
              </w:rPr>
              <w:t>姜堰区</w:t>
            </w:r>
          </w:p>
        </w:tc>
        <w:tc>
          <w:tcPr>
            <w:tcW w:w="405" w:type="pct"/>
            <w:vAlign w:val="center"/>
          </w:tcPr>
          <w:p w14:paraId="51037E12">
            <w:pPr>
              <w:widowControl/>
              <w:adjustRightInd w:val="0"/>
              <w:snapToGrid w:val="0"/>
              <w:ind w:left="0"/>
              <w:jc w:val="center"/>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69个</w:t>
            </w:r>
          </w:p>
        </w:tc>
        <w:tc>
          <w:tcPr>
            <w:tcW w:w="1895" w:type="pct"/>
          </w:tcPr>
          <w:p w14:paraId="0E08650A">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共计15个</w:t>
            </w:r>
          </w:p>
          <w:p w14:paraId="7318E4B5">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鲍老湖森林公园</w:t>
            </w:r>
          </w:p>
          <w:p w14:paraId="1D0AD6D0">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大伦森林公园</w:t>
            </w:r>
          </w:p>
          <w:p w14:paraId="43DFA222">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东姜黄河清水通道维护区</w:t>
            </w:r>
          </w:p>
          <w:p w14:paraId="755BD182">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江苏姜堰溱湖国家湿地公园</w:t>
            </w:r>
          </w:p>
          <w:p w14:paraId="5E815C4A">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姜溱河清水通道维护区</w:t>
            </w:r>
          </w:p>
          <w:p w14:paraId="23BE6AA9">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姜堰白米省级森林公园</w:t>
            </w:r>
          </w:p>
          <w:p w14:paraId="5B0E9ED3">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蒋垛森林公园</w:t>
            </w:r>
          </w:p>
          <w:p w14:paraId="5AEFDECA">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卤汀河（姜堰区）清水通道维护区</w:t>
            </w:r>
          </w:p>
          <w:p w14:paraId="3F42D8EE">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南干河清水通道维护区</w:t>
            </w:r>
          </w:p>
          <w:p w14:paraId="0288EB5F">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泰东河（姜堰区）清水通道维护区</w:t>
            </w:r>
          </w:p>
          <w:p w14:paraId="59BA44DF">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新通扬运河（姜堰区）清水通道维护区</w:t>
            </w:r>
          </w:p>
          <w:p w14:paraId="59F1030B">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张甸森林公园</w:t>
            </w:r>
          </w:p>
          <w:p w14:paraId="0E0E9A49">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中干河清水通道维护区</w:t>
            </w:r>
          </w:p>
          <w:p w14:paraId="61419B77">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周山河清水通道维护区</w:t>
            </w:r>
          </w:p>
          <w:p w14:paraId="2CF5FFDF">
            <w:pPr>
              <w:widowControl/>
              <w:adjustRightInd w:val="0"/>
              <w:snapToGrid w:val="0"/>
              <w:ind w:left="0"/>
              <w:rPr>
                <w:rFonts w:ascii="Times New Roman" w:hAnsi="Times New Roman" w:eastAsia="方正仿宋_GBK" w:cs="Times New Roman"/>
                <w:b/>
                <w:spacing w:val="-10"/>
                <w:sz w:val="24"/>
                <w:szCs w:val="24"/>
                <w:highlight w:val="yellow"/>
              </w:rPr>
            </w:pPr>
            <w:r>
              <w:rPr>
                <w:rFonts w:ascii="Times New Roman" w:hAnsi="Times New Roman" w:eastAsia="方正仿宋_GBK" w:cs="Times New Roman"/>
                <w:bCs/>
                <w:sz w:val="24"/>
                <w:szCs w:val="24"/>
              </w:rPr>
              <w:t>周山河应急备用水源地水源保护区</w:t>
            </w:r>
          </w:p>
        </w:tc>
        <w:tc>
          <w:tcPr>
            <w:tcW w:w="1392" w:type="pct"/>
          </w:tcPr>
          <w:p w14:paraId="7465C71B">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共计40个</w:t>
            </w:r>
          </w:p>
          <w:p w14:paraId="7F944061">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卞庄工业集中区</w:t>
            </w:r>
          </w:p>
          <w:p w14:paraId="7576C6E4">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大伦镇大伦村工业区</w:t>
            </w:r>
          </w:p>
          <w:p w14:paraId="68B90A31">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大伦镇工业集中区</w:t>
            </w:r>
          </w:p>
          <w:p w14:paraId="1DC8F343">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大伦镇桥东村工业区</w:t>
            </w:r>
          </w:p>
          <w:p w14:paraId="412915AD">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顾高镇工业集中区</w:t>
            </w:r>
          </w:p>
          <w:p w14:paraId="60315A7F">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江村三园区</w:t>
            </w:r>
          </w:p>
          <w:p w14:paraId="6069B35E">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江苏姜堰经济开发区</w:t>
            </w:r>
          </w:p>
          <w:p w14:paraId="5213194E">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江苏泰州城北龙溪工业园区</w:t>
            </w:r>
          </w:p>
          <w:p w14:paraId="41BE9E5A">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姜堰区高新技术装备产业园</w:t>
            </w:r>
          </w:p>
          <w:p w14:paraId="48CDB471">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姜堰区沈高镇农产品加工集中区</w:t>
            </w:r>
          </w:p>
          <w:p w14:paraId="16903369">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姜堰区中心城区</w:t>
            </w:r>
          </w:p>
          <w:p w14:paraId="35110D40">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蒋垛工业园</w:t>
            </w:r>
          </w:p>
          <w:p w14:paraId="6A361C60">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蒋垛镇许庄工业集中区</w:t>
            </w:r>
          </w:p>
          <w:p w14:paraId="38EB7DB2">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梁徐街道双登科工园北园区</w:t>
            </w:r>
          </w:p>
          <w:p w14:paraId="3D41E1F1">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娄庄镇东部干线集镇段西侧工业集聚区</w:t>
            </w:r>
          </w:p>
          <w:p w14:paraId="2385B0F2">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娄庄镇放牛村工业集聚区</w:t>
            </w:r>
          </w:p>
          <w:p w14:paraId="5AE1F7F3">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娄庄镇红庙村工业集聚区</w:t>
            </w:r>
          </w:p>
          <w:p w14:paraId="29F1FC6C">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娄庄镇洪林村工业集聚区</w:t>
            </w:r>
          </w:p>
          <w:p w14:paraId="436D783A">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娄庄镇李庄村工业集聚区</w:t>
            </w:r>
          </w:p>
          <w:p w14:paraId="59AA1D5D">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娄庄镇娄东村工业集聚区</w:t>
            </w:r>
          </w:p>
          <w:p w14:paraId="6E355FE2">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娄庄镇娄庄村白龙路南侧工业集聚区</w:t>
            </w:r>
          </w:p>
          <w:p w14:paraId="10AC5EE9">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娄庄镇娄庄村工业集聚区</w:t>
            </w:r>
          </w:p>
          <w:p w14:paraId="3FC1C339">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娄庄镇团结村工业集聚区</w:t>
            </w:r>
          </w:p>
          <w:p w14:paraId="076B2C7D">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娄庄镇先进村工业集聚区</w:t>
            </w:r>
          </w:p>
          <w:p w14:paraId="35967587">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娄庄镇袁联村工业集聚区</w:t>
            </w:r>
          </w:p>
          <w:p w14:paraId="682785C5">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娄庄镇朱翟村工业集聚区</w:t>
            </w:r>
          </w:p>
          <w:p w14:paraId="4F43CC94">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桥头镇工业园区</w:t>
            </w:r>
          </w:p>
          <w:p w14:paraId="770C26D3">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溱湖大健康产业园</w:t>
            </w:r>
          </w:p>
          <w:p w14:paraId="283A5D6C">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溱潼镇孙楼村工业集聚区</w:t>
            </w:r>
          </w:p>
          <w:p w14:paraId="621EB9F2">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溱潼镇西工业集中区</w:t>
            </w:r>
          </w:p>
          <w:p w14:paraId="4FD05E37">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溱潼镇兴泰工业集中区（甸址村、尤庄村）</w:t>
            </w:r>
          </w:p>
          <w:p w14:paraId="07BB5401">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溱潼镇薛何村工业集聚区</w:t>
            </w:r>
          </w:p>
          <w:p w14:paraId="38924CAE">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沈高镇镇区工业集中区</w:t>
            </w:r>
          </w:p>
          <w:p w14:paraId="5F949064">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双登科工园</w:t>
            </w:r>
          </w:p>
          <w:p w14:paraId="61743CB8">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泰州市姜堰区现代科技产业园区</w:t>
            </w:r>
          </w:p>
          <w:p w14:paraId="434A4A5E">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泰州市姜堰区张甸镇工业园区</w:t>
            </w:r>
          </w:p>
          <w:p w14:paraId="1413C4BA">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泰州市张甸热处理装备产业园</w:t>
            </w:r>
          </w:p>
          <w:p w14:paraId="556EDF79">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天目街道万众创业园</w:t>
            </w:r>
          </w:p>
          <w:p w14:paraId="197FFEE0">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俞垛新材料科技产业园</w:t>
            </w:r>
          </w:p>
          <w:p w14:paraId="5E6189A6">
            <w:pPr>
              <w:widowControl/>
              <w:adjustRightInd w:val="0"/>
              <w:snapToGrid w:val="0"/>
              <w:ind w:left="0"/>
              <w:rPr>
                <w:rFonts w:ascii="Times New Roman" w:hAnsi="Times New Roman" w:eastAsia="方正仿宋_GBK" w:cs="Times New Roman"/>
                <w:bCs/>
                <w:spacing w:val="-10"/>
                <w:sz w:val="24"/>
                <w:szCs w:val="24"/>
                <w:highlight w:val="lightGray"/>
              </w:rPr>
            </w:pPr>
            <w:r>
              <w:rPr>
                <w:rFonts w:ascii="Times New Roman" w:hAnsi="Times New Roman" w:eastAsia="方正仿宋_GBK" w:cs="Times New Roman"/>
                <w:bCs/>
                <w:sz w:val="24"/>
                <w:szCs w:val="24"/>
              </w:rPr>
              <w:t>俞垛镇南北工业集中区</w:t>
            </w:r>
          </w:p>
        </w:tc>
        <w:tc>
          <w:tcPr>
            <w:tcW w:w="994" w:type="pct"/>
          </w:tcPr>
          <w:p w14:paraId="5EEAA0EF">
            <w:pPr>
              <w:widowControl/>
              <w:adjustRightInd w:val="0"/>
              <w:snapToGrid w:val="0"/>
              <w:ind w:left="0"/>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共计14个</w:t>
            </w:r>
          </w:p>
          <w:p w14:paraId="6A2CE5C9">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白米镇</w:t>
            </w:r>
          </w:p>
          <w:p w14:paraId="57783E9D">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大伦镇</w:t>
            </w:r>
          </w:p>
          <w:p w14:paraId="3B06EAC5">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顾高镇</w:t>
            </w:r>
          </w:p>
          <w:p w14:paraId="13696A53">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蒋垛镇</w:t>
            </w:r>
          </w:p>
          <w:p w14:paraId="4E20B510">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梁徐街道</w:t>
            </w:r>
          </w:p>
          <w:p w14:paraId="57CF0885">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娄庄镇</w:t>
            </w:r>
          </w:p>
          <w:p w14:paraId="3C86AAC3">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罗塘街道</w:t>
            </w:r>
          </w:p>
          <w:p w14:paraId="1551C984">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溱潼镇</w:t>
            </w:r>
          </w:p>
          <w:p w14:paraId="7DAC9C26">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三水街道</w:t>
            </w:r>
          </w:p>
          <w:p w14:paraId="61EF5DC8">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市直属</w:t>
            </w:r>
          </w:p>
          <w:p w14:paraId="36EDA4CA">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天目山街道</w:t>
            </w:r>
          </w:p>
          <w:p w14:paraId="55D798C5">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淤溪镇</w:t>
            </w:r>
          </w:p>
          <w:p w14:paraId="4B0CB108">
            <w:pPr>
              <w:widowControl/>
              <w:adjustRightInd w:val="0"/>
              <w:snapToGrid w:val="0"/>
              <w:ind w:left="0"/>
              <w:rPr>
                <w:rFonts w:ascii="Times New Roman" w:hAnsi="Times New Roman" w:eastAsia="方正仿宋_GBK" w:cs="Times New Roman"/>
                <w:bCs/>
                <w:sz w:val="24"/>
                <w:szCs w:val="24"/>
              </w:rPr>
            </w:pPr>
            <w:r>
              <w:rPr>
                <w:rFonts w:ascii="Times New Roman" w:hAnsi="Times New Roman" w:eastAsia="方正仿宋_GBK" w:cs="Times New Roman"/>
                <w:bCs/>
                <w:sz w:val="24"/>
                <w:szCs w:val="24"/>
              </w:rPr>
              <w:t>俞垛镇</w:t>
            </w:r>
          </w:p>
          <w:p w14:paraId="40F05639">
            <w:pPr>
              <w:widowControl/>
              <w:adjustRightInd w:val="0"/>
              <w:snapToGrid w:val="0"/>
              <w:ind w:left="0"/>
              <w:rPr>
                <w:rFonts w:ascii="Times New Roman" w:hAnsi="Times New Roman" w:eastAsia="方正仿宋_GBK" w:cs="Times New Roman"/>
                <w:bCs/>
                <w:spacing w:val="-10"/>
                <w:sz w:val="24"/>
                <w:szCs w:val="24"/>
                <w:highlight w:val="lightGray"/>
              </w:rPr>
            </w:pPr>
            <w:r>
              <w:rPr>
                <w:rFonts w:ascii="Times New Roman" w:hAnsi="Times New Roman" w:eastAsia="方正仿宋_GBK" w:cs="Times New Roman"/>
                <w:bCs/>
                <w:sz w:val="24"/>
                <w:szCs w:val="24"/>
              </w:rPr>
              <w:t>张甸镇</w:t>
            </w:r>
          </w:p>
        </w:tc>
      </w:tr>
    </w:tbl>
    <w:p w14:paraId="4EA1C7C5">
      <w:pPr>
        <w:spacing w:after="156" w:afterLines="50" w:line="590" w:lineRule="exact"/>
        <w:outlineLvl w:val="0"/>
        <w:rPr>
          <w:rFonts w:ascii="Times New Roman" w:hAnsi="Times New Roman" w:eastAsia="方正黑体_GBK" w:cs="Times New Roman"/>
          <w:sz w:val="28"/>
          <w:szCs w:val="28"/>
        </w:rPr>
        <w:sectPr>
          <w:pgSz w:w="16838" w:h="11906" w:orient="landscape"/>
          <w:pgMar w:top="1800" w:right="1440" w:bottom="1800" w:left="1440" w:header="851" w:footer="992" w:gutter="0"/>
          <w:cols w:space="425" w:num="1"/>
          <w:docGrid w:type="lines" w:linePitch="312" w:charSpace="0"/>
        </w:sectPr>
      </w:pPr>
      <w:bookmarkStart w:id="7" w:name="_Toc115187582"/>
    </w:p>
    <w:p w14:paraId="32667ACD">
      <w:pPr>
        <w:spacing w:after="156" w:afterLines="50" w:line="590" w:lineRule="exact"/>
        <w:outlineLvl w:val="0"/>
        <w:rPr>
          <w:rFonts w:ascii="Times New Roman" w:hAnsi="Times New Roman" w:eastAsia="方正黑体_GBK" w:cs="Times New Roman"/>
          <w:sz w:val="28"/>
          <w:szCs w:val="28"/>
        </w:rPr>
      </w:pPr>
      <w:r>
        <w:rPr>
          <w:rFonts w:ascii="Times New Roman" w:hAnsi="Times New Roman" w:eastAsia="方正黑体_GBK" w:cs="Times New Roman"/>
          <w:sz w:val="28"/>
          <w:szCs w:val="28"/>
        </w:rPr>
        <w:t>附件</w:t>
      </w:r>
      <w:bookmarkEnd w:id="7"/>
      <w:bookmarkStart w:id="8" w:name="_Toc104997317"/>
      <w:bookmarkStart w:id="9" w:name="_Toc111215923"/>
      <w:r>
        <w:rPr>
          <w:rFonts w:ascii="Times New Roman" w:hAnsi="Times New Roman" w:eastAsia="方正黑体_GBK" w:cs="Times New Roman"/>
          <w:sz w:val="28"/>
          <w:szCs w:val="28"/>
        </w:rPr>
        <w:t>4 泰州市生态环境管控总体要求</w:t>
      </w:r>
    </w:p>
    <w:bookmarkEnd w:id="8"/>
    <w:bookmarkEnd w:id="9"/>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21"/>
        <w:gridCol w:w="12993"/>
      </w:tblGrid>
      <w:tr w14:paraId="07A2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blHeader/>
        </w:trPr>
        <w:tc>
          <w:tcPr>
            <w:tcW w:w="364" w:type="pct"/>
            <w:vAlign w:val="center"/>
          </w:tcPr>
          <w:p w14:paraId="2081E24A">
            <w:pPr>
              <w:widowControl/>
              <w:snapToGrid w:val="0"/>
              <w:ind w:left="0"/>
              <w:jc w:val="center"/>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管控类别</w:t>
            </w:r>
          </w:p>
        </w:tc>
        <w:tc>
          <w:tcPr>
            <w:tcW w:w="4636" w:type="pct"/>
            <w:vAlign w:val="center"/>
          </w:tcPr>
          <w:p w14:paraId="31D3063A">
            <w:pPr>
              <w:widowControl/>
              <w:snapToGrid w:val="0"/>
              <w:ind w:left="0"/>
              <w:jc w:val="center"/>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管控要求</w:t>
            </w:r>
          </w:p>
        </w:tc>
      </w:tr>
      <w:tr w14:paraId="64A9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8" w:hRule="atLeast"/>
        </w:trPr>
        <w:tc>
          <w:tcPr>
            <w:tcW w:w="364" w:type="pct"/>
            <w:vAlign w:val="center"/>
          </w:tcPr>
          <w:p w14:paraId="07F8BBB1">
            <w:pPr>
              <w:widowControl/>
              <w:snapToGrid w:val="0"/>
              <w:ind w:left="0"/>
              <w:jc w:val="center"/>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空间布局约束</w:t>
            </w:r>
          </w:p>
        </w:tc>
        <w:tc>
          <w:tcPr>
            <w:tcW w:w="4636" w:type="pct"/>
            <w:vAlign w:val="center"/>
          </w:tcPr>
          <w:p w14:paraId="6C452D0C">
            <w:pPr>
              <w:adjustRightInd w:val="0"/>
              <w:spacing w:line="320" w:lineRule="exact"/>
              <w:ind w:left="0"/>
              <w:rPr>
                <w:rFonts w:ascii="Times New Roman" w:hAnsi="Times New Roman" w:eastAsia="方正仿宋_GBK" w:cs="Times New Roman"/>
                <w:sz w:val="24"/>
                <w:szCs w:val="24"/>
              </w:rPr>
            </w:pPr>
            <w:bookmarkStart w:id="10" w:name="sys8280134"/>
            <w:r>
              <w:rPr>
                <w:rFonts w:ascii="Times New Roman" w:hAnsi="Times New Roman" w:eastAsia="方正仿宋_GBK" w:cs="Times New Roman"/>
                <w:sz w:val="24"/>
                <w:szCs w:val="24"/>
              </w:rPr>
              <w:t>1、严格执行《泰州市国土空间总体规划（2021-2035年）》（苏政复〔2023〕19号）、《泰州市国民经济和社会发展第十四个五年规划和二〇三五年远景目标纲要》（泰政发〔2021〕18号）、《泰州市“十四五”生态环境保护规划》（泰政发〔2021〕129号）等文件要求。</w:t>
            </w:r>
            <w:bookmarkEnd w:id="10"/>
          </w:p>
          <w:p w14:paraId="34DE0498">
            <w:pPr>
              <w:autoSpaceDE w:val="0"/>
              <w:autoSpaceDN w:val="0"/>
              <w:adjustRightInd w:val="0"/>
              <w:spacing w:line="320" w:lineRule="exact"/>
              <w:ind w:left="0"/>
              <w:rPr>
                <w:rFonts w:ascii="Times New Roman" w:hAnsi="Times New Roman" w:eastAsia="方正仿宋_GBK" w:cs="Times New Roman"/>
                <w:sz w:val="24"/>
                <w:szCs w:val="24"/>
              </w:rPr>
            </w:pPr>
            <w:bookmarkStart w:id="11" w:name="sys829086"/>
            <w:r>
              <w:rPr>
                <w:rFonts w:ascii="Times New Roman" w:hAnsi="Times New Roman" w:eastAsia="方正仿宋_GBK" w:cs="Times New Roman"/>
                <w:sz w:val="24"/>
                <w:szCs w:val="24"/>
              </w:rPr>
              <w:t>2、禁止引进：列入《产业结构调整指导目录（2024年本）》《江苏省产业结构调整限制、淘汰和禁止目录》《江苏省工业和信息产业结构调整、限制、淘汰目录及能耗限额》淘汰类的产业；</w:t>
            </w:r>
            <w:bookmarkEnd w:id="11"/>
            <w:r>
              <w:rPr>
                <w:rFonts w:ascii="Times New Roman" w:hAnsi="Times New Roman" w:eastAsia="方正仿宋_GBK" w:cs="Times New Roman"/>
                <w:sz w:val="24"/>
                <w:szCs w:val="24"/>
              </w:rPr>
              <w:t>列入《外商投资产业指导目录》禁止类的产业。</w:t>
            </w:r>
          </w:p>
          <w:p w14:paraId="44630FF6">
            <w:pPr>
              <w:adjustRightInd w:val="0"/>
              <w:spacing w:line="320" w:lineRule="exact"/>
              <w:ind w:left="0"/>
              <w:rPr>
                <w:rFonts w:ascii="Times New Roman" w:hAnsi="Times New Roman" w:eastAsia="方正仿宋_GBK" w:cs="Times New Roman"/>
                <w:sz w:val="24"/>
                <w:szCs w:val="24"/>
              </w:rPr>
            </w:pPr>
            <w:bookmarkStart w:id="12" w:name="sys830040"/>
            <w:r>
              <w:rPr>
                <w:rFonts w:ascii="Times New Roman" w:hAnsi="Times New Roman" w:eastAsia="方正仿宋_GBK" w:cs="Times New Roman"/>
                <w:sz w:val="24"/>
                <w:szCs w:val="24"/>
              </w:rPr>
              <w:t>3、贯彻落实《长江经济带发展负面清单指南（试行，2022年版）》江苏省实施细则。</w:t>
            </w:r>
            <w:bookmarkEnd w:id="12"/>
          </w:p>
          <w:p w14:paraId="27683AEB">
            <w:pPr>
              <w:widowControl/>
              <w:snapToGrid w:val="0"/>
              <w:ind w:left="0"/>
              <w:rPr>
                <w:rFonts w:ascii="Times New Roman" w:hAnsi="Times New Roman" w:eastAsia="方正仿宋_GBK" w:cs="Times New Roman"/>
                <w:spacing w:val="-10"/>
                <w:sz w:val="24"/>
                <w:szCs w:val="24"/>
                <w:highlight w:val="yellow"/>
              </w:rPr>
            </w:pPr>
            <w:r>
              <w:rPr>
                <w:rFonts w:ascii="Times New Roman" w:hAnsi="Times New Roman" w:eastAsia="方正仿宋_GBK" w:cs="Times New Roman"/>
                <w:sz w:val="24"/>
                <w:szCs w:val="24"/>
              </w:rPr>
              <w:t>4、执行《泰州市地下水污染防治重点区及其配套环境管理要求（试行）》。落实划定的地下水污染防治重点区（保护类区域和管控类区域）环境准入要求。</w:t>
            </w:r>
          </w:p>
        </w:tc>
      </w:tr>
      <w:tr w14:paraId="5495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4" w:hRule="atLeast"/>
        </w:trPr>
        <w:tc>
          <w:tcPr>
            <w:tcW w:w="364" w:type="pct"/>
            <w:vAlign w:val="center"/>
          </w:tcPr>
          <w:p w14:paraId="43A80F1B">
            <w:pPr>
              <w:widowControl/>
              <w:snapToGrid w:val="0"/>
              <w:ind w:left="0"/>
              <w:jc w:val="center"/>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污染物排放管控</w:t>
            </w:r>
          </w:p>
        </w:tc>
        <w:tc>
          <w:tcPr>
            <w:tcW w:w="4636" w:type="pct"/>
            <w:vAlign w:val="center"/>
          </w:tcPr>
          <w:p w14:paraId="215853DB">
            <w:pPr>
              <w:snapToGrid w:val="0"/>
              <w:ind w:left="0"/>
              <w:rPr>
                <w:rFonts w:ascii="Times New Roman" w:hAnsi="Times New Roman" w:eastAsia="方正仿宋_GBK" w:cs="Times New Roman"/>
                <w:spacing w:val="-10"/>
                <w:sz w:val="24"/>
                <w:szCs w:val="24"/>
                <w:highlight w:val="yellow"/>
              </w:rPr>
            </w:pPr>
            <w:bookmarkStart w:id="13" w:name="sys8360142"/>
            <w:r>
              <w:rPr>
                <w:rFonts w:ascii="Times New Roman" w:hAnsi="Times New Roman" w:eastAsia="方正仿宋_GBK" w:cs="Times New Roman"/>
                <w:sz w:val="24"/>
                <w:szCs w:val="24"/>
              </w:rPr>
              <w:t>根据《泰州市“十四五”生态环境保护规划》，到2025年，泰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bookmarkEnd w:id="13"/>
          </w:p>
        </w:tc>
      </w:tr>
      <w:tr w14:paraId="4688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6" w:hRule="atLeast"/>
        </w:trPr>
        <w:tc>
          <w:tcPr>
            <w:tcW w:w="364" w:type="pct"/>
            <w:vAlign w:val="center"/>
          </w:tcPr>
          <w:p w14:paraId="0DE43C36">
            <w:pPr>
              <w:widowControl/>
              <w:snapToGrid w:val="0"/>
              <w:ind w:left="0"/>
              <w:jc w:val="center"/>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环境风险防控</w:t>
            </w:r>
          </w:p>
        </w:tc>
        <w:tc>
          <w:tcPr>
            <w:tcW w:w="4636" w:type="pct"/>
          </w:tcPr>
          <w:p w14:paraId="07E699DE">
            <w:pPr>
              <w:adjustRightInd w:val="0"/>
              <w:spacing w:line="320" w:lineRule="exact"/>
              <w:ind w:left="0"/>
              <w:rPr>
                <w:rFonts w:ascii="Times New Roman" w:hAnsi="Times New Roman" w:eastAsia="方正仿宋_GBK" w:cs="Times New Roman"/>
                <w:sz w:val="24"/>
                <w:szCs w:val="24"/>
              </w:rPr>
            </w:pPr>
            <w:bookmarkStart w:id="14" w:name="sys8410191"/>
            <w:r>
              <w:rPr>
                <w:rFonts w:ascii="Times New Roman" w:hAnsi="Times New Roman" w:eastAsia="方正仿宋_GBK" w:cs="Times New Roman"/>
                <w:sz w:val="24"/>
                <w:szCs w:val="24"/>
              </w:rPr>
              <w:t>1、严格执行《泰州市突发环境事件应急预案（修订）》（泰政办发〔2020〕11号）、《泰州市集中式饮用水源突发环境事件应急预案（修订）》（泰政办函〔2021〕7号）、《泰州市辐射事故应急预案》（泰政办函〔2021〕22号）、《泰州市重污染天气应急预案》（泰政办函〔2022〕3号）等文件要求，建立区域监测预警系统，建立省市县上下联动、区域之间左右联动等联动应急响应体系，实行联防联控。</w:t>
            </w:r>
            <w:bookmarkEnd w:id="14"/>
          </w:p>
          <w:p w14:paraId="34A9A09B">
            <w:pPr>
              <w:adjustRightInd w:val="0"/>
              <w:spacing w:line="320" w:lineRule="exact"/>
              <w:ind w:left="0"/>
              <w:rPr>
                <w:rFonts w:ascii="Times New Roman" w:hAnsi="Times New Roman" w:eastAsia="方正仿宋_GBK" w:cs="Times New Roman"/>
                <w:sz w:val="24"/>
                <w:szCs w:val="24"/>
              </w:rPr>
            </w:pPr>
            <w:r>
              <w:rPr>
                <w:rFonts w:ascii="Times New Roman" w:hAnsi="Times New Roman" w:eastAsia="方正仿宋_GBK" w:cs="Times New Roman"/>
                <w:sz w:val="24"/>
                <w:szCs w:val="24"/>
              </w:rPr>
              <w:t>2、落实《省生态环境厅关于&lt;泰州港总体规划（修订）环境影响报告书&gt;的审查意见》《关于泰州内河港总体规划（2035年）环境影响报告书的审查意见》等相关要求，加强港区环境风险事故防范和应急措施。</w:t>
            </w:r>
          </w:p>
          <w:p w14:paraId="6A8334AB">
            <w:pPr>
              <w:widowControl/>
              <w:snapToGrid w:val="0"/>
              <w:ind w:left="0"/>
              <w:rPr>
                <w:rFonts w:ascii="Times New Roman" w:hAnsi="Times New Roman" w:eastAsia="方正仿宋_GBK" w:cs="Times New Roman"/>
                <w:spacing w:val="-10"/>
                <w:sz w:val="24"/>
                <w:szCs w:val="24"/>
              </w:rPr>
            </w:pPr>
            <w:r>
              <w:rPr>
                <w:rFonts w:ascii="Times New Roman" w:hAnsi="Times New Roman" w:eastAsia="方正仿宋_GBK" w:cs="Times New Roman"/>
                <w:sz w:val="24"/>
                <w:szCs w:val="24"/>
              </w:rPr>
              <w:t>3、落实《泰州市地下水污染防治重点区及其配套环境管理要求（试行）》（泰环函〔2024〕1号）文件里的环境风险防控要求。</w:t>
            </w:r>
          </w:p>
        </w:tc>
      </w:tr>
      <w:tr w14:paraId="4D85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364" w:type="pct"/>
            <w:vAlign w:val="center"/>
          </w:tcPr>
          <w:p w14:paraId="7E9F71F1">
            <w:pPr>
              <w:widowControl/>
              <w:snapToGrid w:val="0"/>
              <w:ind w:left="0"/>
              <w:jc w:val="center"/>
              <w:rPr>
                <w:rFonts w:ascii="Times New Roman" w:hAnsi="Times New Roman" w:eastAsia="方正仿宋_GBK" w:cs="Times New Roman"/>
                <w:b/>
                <w:spacing w:val="-10"/>
                <w:sz w:val="24"/>
                <w:szCs w:val="24"/>
              </w:rPr>
            </w:pPr>
            <w:r>
              <w:rPr>
                <w:rFonts w:ascii="Times New Roman" w:hAnsi="Times New Roman" w:eastAsia="方正仿宋_GBK" w:cs="Times New Roman"/>
                <w:b/>
                <w:spacing w:val="-10"/>
                <w:sz w:val="24"/>
                <w:szCs w:val="24"/>
              </w:rPr>
              <w:t>资源利用效率要求</w:t>
            </w:r>
          </w:p>
        </w:tc>
        <w:tc>
          <w:tcPr>
            <w:tcW w:w="4636" w:type="pct"/>
            <w:vAlign w:val="center"/>
          </w:tcPr>
          <w:p w14:paraId="45E321C3">
            <w:pPr>
              <w:widowControl/>
              <w:snapToGrid w:val="0"/>
              <w:spacing w:line="320" w:lineRule="exact"/>
              <w:ind w:left="0"/>
              <w:rPr>
                <w:rFonts w:ascii="Times New Roman" w:hAnsi="Times New Roman" w:eastAsia="方正仿宋_GBK" w:cs="Times New Roman"/>
                <w:sz w:val="24"/>
                <w:szCs w:val="24"/>
              </w:rPr>
            </w:pPr>
            <w:bookmarkStart w:id="15" w:name="sys8500119"/>
            <w:r>
              <w:rPr>
                <w:rFonts w:ascii="Times New Roman" w:hAnsi="Times New Roman" w:eastAsia="方正仿宋_GBK" w:cs="Times New Roman"/>
                <w:sz w:val="24"/>
                <w:szCs w:val="24"/>
              </w:rPr>
              <w:t>1、根据《江苏省水利厅 江苏省发展和改革委员会关于印发“十四五”用水总量和强度控制目标的通知》，到2025年，全市用水总量控制在53.5亿立方米以内，万元国内生产总值用水量比2020年下降20%，农田灌溉水有效利用系数达到0.636以上。</w:t>
            </w:r>
            <w:bookmarkEnd w:id="15"/>
          </w:p>
          <w:p w14:paraId="35930F61">
            <w:pPr>
              <w:widowControl/>
              <w:snapToGrid w:val="0"/>
              <w:spacing w:line="320" w:lineRule="exact"/>
              <w:ind w:left="0"/>
              <w:rPr>
                <w:rFonts w:ascii="Times New Roman" w:hAnsi="Times New Roman" w:eastAsia="方正仿宋_GBK" w:cs="Times New Roman"/>
                <w:sz w:val="24"/>
                <w:szCs w:val="24"/>
              </w:rPr>
            </w:pPr>
            <w:bookmarkStart w:id="16" w:name="sys851068"/>
            <w:r>
              <w:rPr>
                <w:rFonts w:ascii="Times New Roman" w:hAnsi="Times New Roman" w:eastAsia="方正仿宋_GBK" w:cs="Times New Roman"/>
                <w:sz w:val="24"/>
                <w:szCs w:val="24"/>
              </w:rPr>
              <w:t>2、根据《泰州市国土空间总体规划（2021-2035年）》（苏政复〔2023〕19号），永久基本农田保护面积不低于355.0010万亩。</w:t>
            </w:r>
            <w:bookmarkEnd w:id="16"/>
          </w:p>
          <w:p w14:paraId="65C1D866">
            <w:pPr>
              <w:widowControl/>
              <w:snapToGrid w:val="0"/>
              <w:spacing w:line="320" w:lineRule="exact"/>
              <w:ind w:left="0"/>
              <w:rPr>
                <w:rFonts w:ascii="Times New Roman" w:hAnsi="Times New Roman" w:eastAsia="方正仿宋_GBK" w:cs="Times New Roman"/>
                <w:sz w:val="24"/>
                <w:szCs w:val="24"/>
              </w:rPr>
            </w:pPr>
            <w:bookmarkStart w:id="17" w:name="sys852073"/>
            <w:r>
              <w:rPr>
                <w:rFonts w:ascii="Times New Roman" w:hAnsi="Times New Roman" w:eastAsia="方正仿宋_GBK" w:cs="Times New Roman"/>
                <w:sz w:val="24"/>
                <w:szCs w:val="24"/>
              </w:rPr>
              <w:t>3、根据《泰州市“十四五”生态环境保护规划》，到2025年，泰州市单位地区生产总值能源消耗、单位地区生产总值二氧化碳排放下降率满足省下达指标要求。</w:t>
            </w:r>
            <w:bookmarkEnd w:id="17"/>
          </w:p>
          <w:p w14:paraId="5897AAED">
            <w:pPr>
              <w:widowControl/>
              <w:snapToGrid w:val="0"/>
              <w:ind w:left="0"/>
              <w:rPr>
                <w:rFonts w:ascii="Times New Roman" w:hAnsi="Times New Roman" w:eastAsia="方正仿宋_GBK" w:cs="Times New Roman"/>
                <w:spacing w:val="-10"/>
                <w:sz w:val="24"/>
                <w:szCs w:val="24"/>
              </w:rPr>
            </w:pPr>
            <w:bookmarkStart w:id="18" w:name="sys853095"/>
            <w:r>
              <w:rPr>
                <w:rFonts w:ascii="Times New Roman" w:hAnsi="Times New Roman" w:eastAsia="方正仿宋_GBK" w:cs="Times New Roman"/>
                <w:sz w:val="24"/>
                <w:szCs w:val="24"/>
              </w:rPr>
              <w:t>4、根据《江苏省大气污染防治条例》，禁燃区内禁止新建、扩建燃用高污染燃料的设施，各类在用的高污染燃料燃用设施，应当在规定期限内停止使用，或者改用天然气、页岩气、液化石油气、电等其他清洁能源。</w:t>
            </w:r>
            <w:bookmarkEnd w:id="18"/>
          </w:p>
        </w:tc>
      </w:tr>
    </w:tbl>
    <w:p w14:paraId="0AEFC048">
      <w:pPr>
        <w:widowControl/>
        <w:jc w:val="left"/>
        <w:rPr>
          <w:rFonts w:ascii="Times New Roman" w:hAnsi="Times New Roman" w:eastAsia="方正仿宋_GBK" w:cs="Times New Roman"/>
          <w:snapToGrid w:val="0"/>
          <w:kern w:val="0"/>
          <w:sz w:val="32"/>
          <w:szCs w:val="32"/>
        </w:rPr>
      </w:pPr>
      <w:r>
        <w:rPr>
          <w:rFonts w:ascii="Times New Roman" w:hAnsi="Times New Roman" w:eastAsia="方正仿宋_GBK" w:cs="Times New Roman"/>
          <w:snapToGrid w:val="0"/>
          <w:kern w:val="0"/>
          <w:sz w:val="32"/>
          <w:szCs w:val="32"/>
        </w:rPr>
        <w:br w:type="page"/>
      </w:r>
    </w:p>
    <w:p w14:paraId="2AB03577">
      <w:pPr>
        <w:spacing w:after="156" w:afterLines="50" w:line="590" w:lineRule="exact"/>
        <w:outlineLvl w:val="0"/>
        <w:rPr>
          <w:rFonts w:ascii="Times New Roman" w:hAnsi="Times New Roman" w:eastAsia="方正黑体_GBK" w:cs="Times New Roman"/>
          <w:sz w:val="28"/>
          <w:szCs w:val="28"/>
        </w:rPr>
      </w:pPr>
      <w:bookmarkStart w:id="19" w:name="_Toc111215924"/>
      <w:bookmarkStart w:id="20" w:name="_Toc104997319"/>
      <w:r>
        <w:rPr>
          <w:rFonts w:ascii="Times New Roman" w:hAnsi="Times New Roman" w:eastAsia="方正黑体_GBK" w:cs="Times New Roman"/>
          <w:sz w:val="28"/>
          <w:szCs w:val="28"/>
        </w:rPr>
        <w:t>附件5 泰州市生态环境管控单元生态环境准入清单更新</w:t>
      </w:r>
    </w:p>
    <w:bookmarkEnd w:id="19"/>
    <w:bookmarkEnd w:id="20"/>
    <w:tbl>
      <w:tblPr>
        <w:tblStyle w:val="23"/>
        <w:tblW w:w="50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69"/>
        <w:gridCol w:w="470"/>
        <w:gridCol w:w="530"/>
        <w:gridCol w:w="1145"/>
        <w:gridCol w:w="761"/>
        <w:gridCol w:w="2459"/>
        <w:gridCol w:w="2695"/>
        <w:gridCol w:w="2125"/>
        <w:gridCol w:w="1872"/>
        <w:gridCol w:w="1718"/>
      </w:tblGrid>
      <w:tr w14:paraId="3E70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516" w:type="pct"/>
            <w:gridSpan w:val="3"/>
            <w:vMerge w:val="restart"/>
            <w:tcMar>
              <w:left w:w="57" w:type="dxa"/>
              <w:right w:w="57" w:type="dxa"/>
            </w:tcMar>
            <w:vAlign w:val="center"/>
          </w:tcPr>
          <w:p w14:paraId="44FFEF9F">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区域</w:t>
            </w:r>
          </w:p>
        </w:tc>
        <w:tc>
          <w:tcPr>
            <w:tcW w:w="402" w:type="pct"/>
            <w:vMerge w:val="restart"/>
            <w:tcMar>
              <w:left w:w="57" w:type="dxa"/>
              <w:right w:w="57" w:type="dxa"/>
            </w:tcMar>
            <w:vAlign w:val="center"/>
          </w:tcPr>
          <w:p w14:paraId="299874FD">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环境管控单元名称</w:t>
            </w:r>
          </w:p>
        </w:tc>
        <w:tc>
          <w:tcPr>
            <w:tcW w:w="267" w:type="pct"/>
            <w:vMerge w:val="restart"/>
            <w:tcMar>
              <w:left w:w="57" w:type="dxa"/>
              <w:right w:w="57" w:type="dxa"/>
            </w:tcMar>
            <w:vAlign w:val="center"/>
          </w:tcPr>
          <w:p w14:paraId="58CCD9A9">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类型</w:t>
            </w:r>
          </w:p>
        </w:tc>
        <w:tc>
          <w:tcPr>
            <w:tcW w:w="3212" w:type="pct"/>
            <w:gridSpan w:val="4"/>
            <w:tcMar>
              <w:left w:w="57" w:type="dxa"/>
              <w:right w:w="57" w:type="dxa"/>
            </w:tcMar>
            <w:vAlign w:val="center"/>
          </w:tcPr>
          <w:p w14:paraId="45C71ABC">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生态环境准入清单</w:t>
            </w:r>
          </w:p>
        </w:tc>
        <w:tc>
          <w:tcPr>
            <w:tcW w:w="603" w:type="pct"/>
            <w:vMerge w:val="restart"/>
            <w:tcMar>
              <w:left w:w="57" w:type="dxa"/>
              <w:right w:w="57" w:type="dxa"/>
            </w:tcMar>
            <w:vAlign w:val="center"/>
          </w:tcPr>
          <w:p w14:paraId="02597F2F">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依据</w:t>
            </w:r>
          </w:p>
        </w:tc>
      </w:tr>
      <w:tr w14:paraId="02CD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tblHeader/>
          <w:jc w:val="center"/>
        </w:trPr>
        <w:tc>
          <w:tcPr>
            <w:tcW w:w="516" w:type="pct"/>
            <w:gridSpan w:val="3"/>
            <w:vMerge w:val="continue"/>
            <w:tcMar>
              <w:left w:w="57" w:type="dxa"/>
              <w:right w:w="57" w:type="dxa"/>
            </w:tcMar>
            <w:vAlign w:val="center"/>
          </w:tcPr>
          <w:p w14:paraId="0ABD9915">
            <w:pPr>
              <w:adjustRightInd w:val="0"/>
              <w:spacing w:line="320" w:lineRule="exact"/>
              <w:jc w:val="center"/>
              <w:rPr>
                <w:rFonts w:ascii="Times New Roman" w:hAnsi="Times New Roman" w:eastAsia="方正仿宋_GBK" w:cs="Times New Roman"/>
                <w:b/>
                <w:bCs/>
              </w:rPr>
            </w:pPr>
          </w:p>
        </w:tc>
        <w:tc>
          <w:tcPr>
            <w:tcW w:w="402" w:type="pct"/>
            <w:vMerge w:val="continue"/>
            <w:tcMar>
              <w:left w:w="57" w:type="dxa"/>
              <w:right w:w="57" w:type="dxa"/>
            </w:tcMar>
            <w:vAlign w:val="center"/>
          </w:tcPr>
          <w:p w14:paraId="26A67659">
            <w:pPr>
              <w:adjustRightInd w:val="0"/>
              <w:spacing w:line="320" w:lineRule="exact"/>
              <w:jc w:val="center"/>
              <w:rPr>
                <w:rFonts w:ascii="Times New Roman" w:hAnsi="Times New Roman" w:eastAsia="方正仿宋_GBK" w:cs="Times New Roman"/>
                <w:b/>
                <w:bCs/>
              </w:rPr>
            </w:pPr>
          </w:p>
        </w:tc>
        <w:tc>
          <w:tcPr>
            <w:tcW w:w="267" w:type="pct"/>
            <w:vMerge w:val="continue"/>
            <w:tcMar>
              <w:left w:w="57" w:type="dxa"/>
              <w:right w:w="57" w:type="dxa"/>
            </w:tcMar>
            <w:vAlign w:val="center"/>
          </w:tcPr>
          <w:p w14:paraId="5B170541">
            <w:pPr>
              <w:adjustRightInd w:val="0"/>
              <w:spacing w:line="320" w:lineRule="exact"/>
              <w:jc w:val="center"/>
              <w:rPr>
                <w:rFonts w:ascii="Times New Roman" w:hAnsi="Times New Roman" w:eastAsia="方正仿宋_GBK" w:cs="Times New Roman"/>
                <w:b/>
                <w:bCs/>
              </w:rPr>
            </w:pPr>
          </w:p>
        </w:tc>
        <w:tc>
          <w:tcPr>
            <w:tcW w:w="863" w:type="pct"/>
            <w:vMerge w:val="restart"/>
            <w:tcMar>
              <w:left w:w="57" w:type="dxa"/>
              <w:right w:w="57" w:type="dxa"/>
            </w:tcMar>
            <w:vAlign w:val="center"/>
          </w:tcPr>
          <w:p w14:paraId="1D316F0C">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空间布局约束</w:t>
            </w:r>
          </w:p>
        </w:tc>
        <w:tc>
          <w:tcPr>
            <w:tcW w:w="946" w:type="pct"/>
            <w:vMerge w:val="restart"/>
            <w:tcMar>
              <w:left w:w="57" w:type="dxa"/>
              <w:right w:w="57" w:type="dxa"/>
            </w:tcMar>
            <w:vAlign w:val="center"/>
          </w:tcPr>
          <w:p w14:paraId="0C7DF06F">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污染物排放管控</w:t>
            </w:r>
          </w:p>
        </w:tc>
        <w:tc>
          <w:tcPr>
            <w:tcW w:w="746" w:type="pct"/>
            <w:vMerge w:val="restart"/>
            <w:tcMar>
              <w:left w:w="57" w:type="dxa"/>
              <w:right w:w="57" w:type="dxa"/>
            </w:tcMar>
            <w:vAlign w:val="center"/>
          </w:tcPr>
          <w:p w14:paraId="567D9A54">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环境风险防控</w:t>
            </w:r>
          </w:p>
        </w:tc>
        <w:tc>
          <w:tcPr>
            <w:tcW w:w="657" w:type="pct"/>
            <w:vMerge w:val="restart"/>
            <w:tcMar>
              <w:left w:w="57" w:type="dxa"/>
              <w:right w:w="57" w:type="dxa"/>
            </w:tcMar>
            <w:vAlign w:val="center"/>
          </w:tcPr>
          <w:p w14:paraId="2B9677B6">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资源利用效率要求</w:t>
            </w:r>
          </w:p>
        </w:tc>
        <w:tc>
          <w:tcPr>
            <w:tcW w:w="603" w:type="pct"/>
            <w:vMerge w:val="continue"/>
            <w:tcMar>
              <w:left w:w="57" w:type="dxa"/>
              <w:right w:w="57" w:type="dxa"/>
            </w:tcMar>
            <w:vAlign w:val="center"/>
          </w:tcPr>
          <w:p w14:paraId="467B49DF">
            <w:pPr>
              <w:adjustRightInd w:val="0"/>
              <w:spacing w:line="320" w:lineRule="exact"/>
              <w:jc w:val="center"/>
              <w:rPr>
                <w:rFonts w:ascii="Times New Roman" w:hAnsi="Times New Roman" w:eastAsia="方正仿宋_GBK" w:cs="Times New Roman"/>
                <w:b/>
                <w:bCs/>
              </w:rPr>
            </w:pPr>
          </w:p>
        </w:tc>
      </w:tr>
      <w:tr w14:paraId="06E1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blHeader/>
          <w:jc w:val="center"/>
        </w:trPr>
        <w:tc>
          <w:tcPr>
            <w:tcW w:w="165" w:type="pct"/>
            <w:tcMar>
              <w:left w:w="57" w:type="dxa"/>
              <w:right w:w="57" w:type="dxa"/>
            </w:tcMar>
            <w:vAlign w:val="center"/>
          </w:tcPr>
          <w:p w14:paraId="2DEA892B">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省</w:t>
            </w:r>
          </w:p>
        </w:tc>
        <w:tc>
          <w:tcPr>
            <w:tcW w:w="165" w:type="pct"/>
            <w:tcMar>
              <w:left w:w="57" w:type="dxa"/>
              <w:right w:w="57" w:type="dxa"/>
            </w:tcMar>
            <w:vAlign w:val="center"/>
          </w:tcPr>
          <w:p w14:paraId="199CFC29">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市</w:t>
            </w:r>
          </w:p>
        </w:tc>
        <w:tc>
          <w:tcPr>
            <w:tcW w:w="186" w:type="pct"/>
            <w:tcMar>
              <w:left w:w="57" w:type="dxa"/>
              <w:right w:w="57" w:type="dxa"/>
            </w:tcMar>
            <w:vAlign w:val="center"/>
          </w:tcPr>
          <w:p w14:paraId="36826A97">
            <w:pPr>
              <w:adjustRightInd w:val="0"/>
              <w:spacing w:line="320" w:lineRule="exact"/>
              <w:jc w:val="center"/>
              <w:rPr>
                <w:rFonts w:ascii="Times New Roman" w:hAnsi="Times New Roman" w:eastAsia="方正仿宋_GBK" w:cs="Times New Roman"/>
                <w:b/>
                <w:bCs/>
              </w:rPr>
            </w:pPr>
            <w:r>
              <w:rPr>
                <w:rFonts w:ascii="Times New Roman" w:hAnsi="Times New Roman" w:eastAsia="方正仿宋_GBK" w:cs="Times New Roman"/>
                <w:b/>
                <w:bCs/>
              </w:rPr>
              <w:t>县</w:t>
            </w:r>
          </w:p>
        </w:tc>
        <w:tc>
          <w:tcPr>
            <w:tcW w:w="402" w:type="pct"/>
            <w:vMerge w:val="continue"/>
            <w:tcMar>
              <w:left w:w="57" w:type="dxa"/>
              <w:right w:w="57" w:type="dxa"/>
            </w:tcMar>
            <w:vAlign w:val="center"/>
          </w:tcPr>
          <w:p w14:paraId="443FF773">
            <w:pPr>
              <w:adjustRightInd w:val="0"/>
              <w:spacing w:line="320" w:lineRule="exact"/>
              <w:jc w:val="center"/>
              <w:rPr>
                <w:rFonts w:ascii="Times New Roman" w:hAnsi="Times New Roman" w:eastAsia="方正仿宋_GBK" w:cs="Times New Roman"/>
                <w:b/>
                <w:bCs/>
              </w:rPr>
            </w:pPr>
          </w:p>
        </w:tc>
        <w:tc>
          <w:tcPr>
            <w:tcW w:w="267" w:type="pct"/>
            <w:vMerge w:val="continue"/>
            <w:tcMar>
              <w:left w:w="57" w:type="dxa"/>
              <w:right w:w="57" w:type="dxa"/>
            </w:tcMar>
            <w:vAlign w:val="center"/>
          </w:tcPr>
          <w:p w14:paraId="6504D363">
            <w:pPr>
              <w:adjustRightInd w:val="0"/>
              <w:spacing w:line="320" w:lineRule="exact"/>
              <w:jc w:val="center"/>
              <w:rPr>
                <w:rFonts w:ascii="Times New Roman" w:hAnsi="Times New Roman" w:eastAsia="方正仿宋_GBK" w:cs="Times New Roman"/>
                <w:b/>
                <w:bCs/>
              </w:rPr>
            </w:pPr>
          </w:p>
        </w:tc>
        <w:tc>
          <w:tcPr>
            <w:tcW w:w="863" w:type="pct"/>
            <w:vMerge w:val="continue"/>
            <w:tcMar>
              <w:left w:w="57" w:type="dxa"/>
              <w:right w:w="57" w:type="dxa"/>
            </w:tcMar>
            <w:vAlign w:val="center"/>
          </w:tcPr>
          <w:p w14:paraId="052E6A4A">
            <w:pPr>
              <w:adjustRightInd w:val="0"/>
              <w:spacing w:line="320" w:lineRule="exact"/>
              <w:jc w:val="center"/>
              <w:rPr>
                <w:rFonts w:ascii="Times New Roman" w:hAnsi="Times New Roman" w:eastAsia="方正仿宋_GBK" w:cs="Times New Roman"/>
                <w:b/>
                <w:bCs/>
              </w:rPr>
            </w:pPr>
          </w:p>
        </w:tc>
        <w:tc>
          <w:tcPr>
            <w:tcW w:w="946" w:type="pct"/>
            <w:vMerge w:val="continue"/>
            <w:tcMar>
              <w:left w:w="57" w:type="dxa"/>
              <w:right w:w="57" w:type="dxa"/>
            </w:tcMar>
            <w:vAlign w:val="center"/>
          </w:tcPr>
          <w:p w14:paraId="60B04CE2">
            <w:pPr>
              <w:adjustRightInd w:val="0"/>
              <w:spacing w:line="320" w:lineRule="exact"/>
              <w:jc w:val="center"/>
              <w:rPr>
                <w:rFonts w:ascii="Times New Roman" w:hAnsi="Times New Roman" w:eastAsia="方正仿宋_GBK" w:cs="Times New Roman"/>
                <w:b/>
                <w:bCs/>
              </w:rPr>
            </w:pPr>
          </w:p>
        </w:tc>
        <w:tc>
          <w:tcPr>
            <w:tcW w:w="746" w:type="pct"/>
            <w:vMerge w:val="continue"/>
            <w:tcMar>
              <w:left w:w="57" w:type="dxa"/>
              <w:right w:w="57" w:type="dxa"/>
            </w:tcMar>
            <w:vAlign w:val="center"/>
          </w:tcPr>
          <w:p w14:paraId="66825630">
            <w:pPr>
              <w:adjustRightInd w:val="0"/>
              <w:spacing w:line="320" w:lineRule="exact"/>
              <w:jc w:val="center"/>
              <w:rPr>
                <w:rFonts w:ascii="Times New Roman" w:hAnsi="Times New Roman" w:eastAsia="方正仿宋_GBK" w:cs="Times New Roman"/>
                <w:b/>
                <w:bCs/>
              </w:rPr>
            </w:pPr>
          </w:p>
        </w:tc>
        <w:tc>
          <w:tcPr>
            <w:tcW w:w="657" w:type="pct"/>
            <w:vMerge w:val="continue"/>
            <w:tcMar>
              <w:left w:w="57" w:type="dxa"/>
              <w:right w:w="57" w:type="dxa"/>
            </w:tcMar>
            <w:vAlign w:val="center"/>
          </w:tcPr>
          <w:p w14:paraId="31315258">
            <w:pPr>
              <w:adjustRightInd w:val="0"/>
              <w:spacing w:line="320" w:lineRule="exact"/>
              <w:jc w:val="center"/>
              <w:rPr>
                <w:rFonts w:ascii="Times New Roman" w:hAnsi="Times New Roman" w:eastAsia="方正仿宋_GBK" w:cs="Times New Roman"/>
                <w:b/>
                <w:bCs/>
              </w:rPr>
            </w:pPr>
          </w:p>
        </w:tc>
        <w:tc>
          <w:tcPr>
            <w:tcW w:w="603" w:type="pct"/>
            <w:vMerge w:val="continue"/>
            <w:tcMar>
              <w:left w:w="57" w:type="dxa"/>
              <w:right w:w="57" w:type="dxa"/>
            </w:tcMar>
            <w:vAlign w:val="center"/>
          </w:tcPr>
          <w:p w14:paraId="4C30CAD1">
            <w:pPr>
              <w:adjustRightInd w:val="0"/>
              <w:spacing w:line="320" w:lineRule="exact"/>
              <w:jc w:val="center"/>
              <w:rPr>
                <w:rFonts w:ascii="Times New Roman" w:hAnsi="Times New Roman" w:eastAsia="方正仿宋_GBK" w:cs="Times New Roman"/>
                <w:b/>
                <w:bCs/>
              </w:rPr>
            </w:pPr>
          </w:p>
        </w:tc>
      </w:tr>
      <w:tr w14:paraId="7CB1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8" w:hRule="atLeast"/>
          <w:jc w:val="center"/>
        </w:trPr>
        <w:tc>
          <w:tcPr>
            <w:tcW w:w="165" w:type="pct"/>
            <w:tcMar>
              <w:left w:w="57" w:type="dxa"/>
              <w:right w:w="57" w:type="dxa"/>
            </w:tcMar>
            <w:vAlign w:val="center"/>
          </w:tcPr>
          <w:p w14:paraId="15FA0A86">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34727E5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27648F6B">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海陵</w:t>
            </w:r>
          </w:p>
        </w:tc>
        <w:tc>
          <w:tcPr>
            <w:tcW w:w="402" w:type="pct"/>
            <w:tcMar>
              <w:left w:w="57" w:type="dxa"/>
              <w:right w:w="57" w:type="dxa"/>
            </w:tcMar>
            <w:vAlign w:val="center"/>
          </w:tcPr>
          <w:p w14:paraId="57DEB2DE">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环城河景区</w:t>
            </w:r>
          </w:p>
        </w:tc>
        <w:tc>
          <w:tcPr>
            <w:tcW w:w="267" w:type="pct"/>
            <w:tcMar>
              <w:left w:w="57" w:type="dxa"/>
              <w:right w:w="57" w:type="dxa"/>
            </w:tcMar>
            <w:vAlign w:val="center"/>
          </w:tcPr>
          <w:p w14:paraId="1580D4EE">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优先保护单元</w:t>
            </w:r>
          </w:p>
        </w:tc>
        <w:tc>
          <w:tcPr>
            <w:tcW w:w="863" w:type="pct"/>
            <w:tcMar>
              <w:left w:w="57" w:type="dxa"/>
              <w:right w:w="57" w:type="dxa"/>
            </w:tcMar>
            <w:vAlign w:val="center"/>
          </w:tcPr>
          <w:p w14:paraId="0A755F9E">
            <w:pPr>
              <w:widowControl/>
              <w:rPr>
                <w:rFonts w:ascii="Times New Roman" w:hAnsi="Times New Roman" w:eastAsia="等线" w:cs="Times New Roman"/>
                <w:kern w:val="0"/>
              </w:rPr>
            </w:pPr>
            <w:bookmarkStart w:id="21" w:name="sys1706053"/>
            <w:r>
              <w:rPr>
                <w:rFonts w:ascii="Times New Roman" w:hAnsi="Times New Roman" w:eastAsia="方正仿宋_GBK" w:cs="Times New Roman"/>
              </w:rPr>
              <w:t>（</w:t>
            </w:r>
            <w:r>
              <w:rPr>
                <w:rFonts w:ascii="Times New Roman" w:hAnsi="Times New Roman" w:eastAsia="等线" w:cs="Times New Roman"/>
              </w:rPr>
              <w:t>1</w:t>
            </w:r>
            <w:r>
              <w:rPr>
                <w:rFonts w:ascii="Times New Roman" w:hAnsi="Times New Roman" w:eastAsia="方正仿宋_GBK" w:cs="Times New Roman"/>
              </w:rPr>
              <w:t>）生态空间管控区域以生态保护为重点，原则上不得开展有损主导生态功能的开发建设活动，不得随意占用和调整。</w:t>
            </w:r>
            <w:bookmarkEnd w:id="21"/>
            <w:bookmarkStart w:id="22" w:name="sys17065396"/>
            <w:r>
              <w:rPr>
                <w:rFonts w:ascii="Times New Roman" w:hAnsi="Times New Roman" w:eastAsia="方正仿宋_GBK" w:cs="Times New Roman"/>
              </w:rPr>
              <w:t>（</w:t>
            </w:r>
            <w:r>
              <w:rPr>
                <w:rFonts w:ascii="Times New Roman" w:hAnsi="Times New Roman" w:eastAsia="等线" w:cs="Times New Roman"/>
              </w:rPr>
              <w:t>2</w:t>
            </w:r>
            <w:r>
              <w:rPr>
                <w:rFonts w:ascii="Times New Roman" w:hAnsi="Times New Roman" w:eastAsia="方正仿宋_GBK" w:cs="Times New Roman"/>
              </w:rPr>
              <w:t>）按照《江苏省生态空间管控区域规划》《省政府办公厅关于印发江苏省生态空间管控区域调整管理办法的通知》《省政府办公厅关于印发江苏省生态空间管控监督管理办法的通知》及相关法律法规实施保护管理。</w:t>
            </w:r>
            <w:bookmarkEnd w:id="22"/>
          </w:p>
        </w:tc>
        <w:tc>
          <w:tcPr>
            <w:tcW w:w="946" w:type="pct"/>
            <w:tcMar>
              <w:left w:w="57" w:type="dxa"/>
              <w:right w:w="57" w:type="dxa"/>
            </w:tcMar>
            <w:vAlign w:val="center"/>
          </w:tcPr>
          <w:p w14:paraId="53E1E9DE">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746" w:type="pct"/>
            <w:tcMar>
              <w:left w:w="57" w:type="dxa"/>
              <w:right w:w="57" w:type="dxa"/>
            </w:tcMar>
            <w:vAlign w:val="center"/>
          </w:tcPr>
          <w:p w14:paraId="1CD5CFB4">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57" w:type="pct"/>
            <w:tcMar>
              <w:left w:w="57" w:type="dxa"/>
              <w:right w:w="57" w:type="dxa"/>
            </w:tcMar>
            <w:vAlign w:val="center"/>
          </w:tcPr>
          <w:p w14:paraId="518DEF0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03" w:type="pct"/>
            <w:vMerge w:val="restart"/>
            <w:tcMar>
              <w:left w:w="57" w:type="dxa"/>
              <w:right w:w="57" w:type="dxa"/>
            </w:tcMar>
            <w:vAlign w:val="center"/>
          </w:tcPr>
          <w:p w14:paraId="4D16BF32">
            <w:pPr>
              <w:adjustRightInd w:val="0"/>
              <w:spacing w:line="320" w:lineRule="exact"/>
              <w:jc w:val="center"/>
              <w:rPr>
                <w:rFonts w:ascii="Times New Roman" w:hAnsi="Times New Roman" w:eastAsia="方正仿宋_GBK" w:cs="Times New Roman"/>
              </w:rPr>
            </w:pPr>
            <w:bookmarkStart w:id="23" w:name="sys1710048"/>
            <w:r>
              <w:rPr>
                <w:rFonts w:ascii="Times New Roman" w:hAnsi="Times New Roman" w:eastAsia="方正仿宋_GBK" w:cs="Times New Roman"/>
              </w:rPr>
              <w:t>江苏省自然资源厅关于泰州市海陵区生态空间管控区域调整方案的复函（苏自然资函〔2024〕363号）</w:t>
            </w:r>
            <w:bookmarkEnd w:id="23"/>
          </w:p>
        </w:tc>
      </w:tr>
      <w:tr w14:paraId="7EDD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8" w:hRule="atLeast"/>
          <w:jc w:val="center"/>
        </w:trPr>
        <w:tc>
          <w:tcPr>
            <w:tcW w:w="165" w:type="pct"/>
            <w:tcMar>
              <w:left w:w="57" w:type="dxa"/>
              <w:right w:w="57" w:type="dxa"/>
            </w:tcMar>
            <w:vAlign w:val="center"/>
          </w:tcPr>
          <w:p w14:paraId="4B0953E5">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3FE455A1">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35B5C85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海陵</w:t>
            </w:r>
          </w:p>
        </w:tc>
        <w:tc>
          <w:tcPr>
            <w:tcW w:w="402" w:type="pct"/>
            <w:tcMar>
              <w:left w:w="57" w:type="dxa"/>
              <w:right w:w="57" w:type="dxa"/>
            </w:tcMar>
            <w:vAlign w:val="center"/>
          </w:tcPr>
          <w:p w14:paraId="19D4B7E9">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华阳河（海陵区）清水通道维护区</w:t>
            </w:r>
          </w:p>
        </w:tc>
        <w:tc>
          <w:tcPr>
            <w:tcW w:w="267" w:type="pct"/>
            <w:tcMar>
              <w:left w:w="57" w:type="dxa"/>
              <w:right w:w="57" w:type="dxa"/>
            </w:tcMar>
            <w:vAlign w:val="center"/>
          </w:tcPr>
          <w:p w14:paraId="10A01F7E">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优先保护单元</w:t>
            </w:r>
          </w:p>
        </w:tc>
        <w:tc>
          <w:tcPr>
            <w:tcW w:w="863" w:type="pct"/>
            <w:tcMar>
              <w:left w:w="57" w:type="dxa"/>
              <w:right w:w="57" w:type="dxa"/>
            </w:tcMar>
            <w:vAlign w:val="center"/>
          </w:tcPr>
          <w:p w14:paraId="69E4E0F0">
            <w:pPr>
              <w:widowControl/>
              <w:rPr>
                <w:rFonts w:ascii="Times New Roman" w:hAnsi="Times New Roman" w:eastAsia="方正仿宋_GBK" w:cs="Times New Roman"/>
              </w:rPr>
            </w:pPr>
            <w:bookmarkStart w:id="24" w:name="sys1716053"/>
            <w:r>
              <w:rPr>
                <w:rFonts w:ascii="Times New Roman" w:hAnsi="Times New Roman" w:eastAsia="方正仿宋_GBK" w:cs="Times New Roman"/>
              </w:rPr>
              <w:t>（1）生态空间管控区域以生态保护为重点，原则上不得开展有损主导生态功能的开发建设活动，不得随意占用和调整。</w:t>
            </w:r>
            <w:bookmarkEnd w:id="24"/>
            <w:bookmarkStart w:id="25" w:name="sys171653165"/>
            <w:r>
              <w:rPr>
                <w:rFonts w:ascii="Times New Roman" w:hAnsi="Times New Roman" w:eastAsia="方正仿宋_GBK" w:cs="Times New Roman"/>
              </w:rPr>
              <w:t>（2）严格执行《南水北调工程供用水管理条例》《江苏省河道管理条例》《江苏省太湖水污染防治条例》和《江苏省通榆河水污染防治条例》等有关规定。</w:t>
            </w:r>
            <w:bookmarkStart w:id="26" w:name="sys171612296"/>
            <w:r>
              <w:rPr>
                <w:rFonts w:ascii="Times New Roman" w:hAnsi="Times New Roman" w:eastAsia="方正仿宋_GBK" w:cs="Times New Roman"/>
              </w:rPr>
              <w:t>（3）按照《江苏省生态空间管控区域规划》《省政府办公厅关于印发江苏省生态空间管控区域调整管理办法的通知》《省政府办公厅关于印发江苏省生态空间管控监督管理办法的通知》及相关法律法规实施保护管理。</w:t>
            </w:r>
            <w:bookmarkEnd w:id="25"/>
            <w:bookmarkEnd w:id="26"/>
          </w:p>
        </w:tc>
        <w:tc>
          <w:tcPr>
            <w:tcW w:w="946" w:type="pct"/>
            <w:tcMar>
              <w:left w:w="57" w:type="dxa"/>
              <w:right w:w="57" w:type="dxa"/>
            </w:tcMar>
            <w:vAlign w:val="center"/>
          </w:tcPr>
          <w:p w14:paraId="0C9651EC">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746" w:type="pct"/>
            <w:tcMar>
              <w:left w:w="57" w:type="dxa"/>
              <w:right w:w="57" w:type="dxa"/>
            </w:tcMar>
            <w:vAlign w:val="center"/>
          </w:tcPr>
          <w:p w14:paraId="7DD1927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57" w:type="pct"/>
            <w:tcMar>
              <w:left w:w="57" w:type="dxa"/>
              <w:right w:w="57" w:type="dxa"/>
            </w:tcMar>
            <w:vAlign w:val="center"/>
          </w:tcPr>
          <w:p w14:paraId="6BEBCC5E">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03" w:type="pct"/>
            <w:vMerge w:val="continue"/>
            <w:tcMar>
              <w:left w:w="57" w:type="dxa"/>
              <w:right w:w="57" w:type="dxa"/>
            </w:tcMar>
            <w:vAlign w:val="center"/>
          </w:tcPr>
          <w:p w14:paraId="500C31C0">
            <w:pPr>
              <w:adjustRightInd w:val="0"/>
              <w:spacing w:line="320" w:lineRule="exact"/>
              <w:jc w:val="center"/>
              <w:rPr>
                <w:rFonts w:ascii="Times New Roman" w:hAnsi="Times New Roman" w:eastAsia="方正仿宋_GBK" w:cs="Times New Roman"/>
              </w:rPr>
            </w:pPr>
          </w:p>
        </w:tc>
      </w:tr>
      <w:tr w14:paraId="5B79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8" w:hRule="atLeast"/>
          <w:jc w:val="center"/>
        </w:trPr>
        <w:tc>
          <w:tcPr>
            <w:tcW w:w="165" w:type="pct"/>
            <w:tcMar>
              <w:left w:w="57" w:type="dxa"/>
              <w:right w:w="57" w:type="dxa"/>
            </w:tcMar>
            <w:vAlign w:val="center"/>
          </w:tcPr>
          <w:p w14:paraId="118A1849">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79D26FC6">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1916F52B">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海陵</w:t>
            </w:r>
          </w:p>
        </w:tc>
        <w:tc>
          <w:tcPr>
            <w:tcW w:w="402" w:type="pct"/>
            <w:tcMar>
              <w:left w:w="57" w:type="dxa"/>
              <w:right w:w="57" w:type="dxa"/>
            </w:tcMar>
            <w:vAlign w:val="center"/>
          </w:tcPr>
          <w:p w14:paraId="20C83E6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杜东河（海陵区）清水通道维护区</w:t>
            </w:r>
          </w:p>
        </w:tc>
        <w:tc>
          <w:tcPr>
            <w:tcW w:w="267" w:type="pct"/>
            <w:tcMar>
              <w:left w:w="57" w:type="dxa"/>
              <w:right w:w="57" w:type="dxa"/>
            </w:tcMar>
            <w:vAlign w:val="center"/>
          </w:tcPr>
          <w:p w14:paraId="3D0DB4DA">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优先保护单元</w:t>
            </w:r>
          </w:p>
        </w:tc>
        <w:tc>
          <w:tcPr>
            <w:tcW w:w="863" w:type="pct"/>
            <w:tcMar>
              <w:left w:w="57" w:type="dxa"/>
              <w:right w:w="57" w:type="dxa"/>
            </w:tcMar>
            <w:vAlign w:val="center"/>
          </w:tcPr>
          <w:p w14:paraId="51DFF014">
            <w:pPr>
              <w:widowControl/>
              <w:rPr>
                <w:rFonts w:ascii="Times New Roman" w:hAnsi="Times New Roman" w:eastAsia="方正仿宋_GBK" w:cs="Times New Roman"/>
              </w:rPr>
            </w:pPr>
            <w:bookmarkStart w:id="27" w:name="sys1726053"/>
            <w:r>
              <w:rPr>
                <w:rFonts w:ascii="Times New Roman" w:hAnsi="Times New Roman" w:eastAsia="方正仿宋_GBK" w:cs="Times New Roman"/>
              </w:rPr>
              <w:t>（1）生态空间管控区域以生态保护为重点，原则上不得开展有损主导生态功能的开发建设活动，不得随意占用和调整。</w:t>
            </w:r>
            <w:bookmarkEnd w:id="27"/>
            <w:bookmarkStart w:id="28" w:name="sys172653165"/>
            <w:r>
              <w:rPr>
                <w:rFonts w:ascii="Times New Roman" w:hAnsi="Times New Roman" w:eastAsia="方正仿宋_GBK" w:cs="Times New Roman"/>
              </w:rPr>
              <w:t>（2）严格执行《南水北调工程供用水管理条例》《江苏省河道管理条例》《江苏省太湖水污染防治条例》和《江苏省通榆河水污染防治条例》等有关规定。</w:t>
            </w:r>
            <w:bookmarkStart w:id="29" w:name="sys172612296"/>
            <w:r>
              <w:rPr>
                <w:rFonts w:ascii="Times New Roman" w:hAnsi="Times New Roman" w:eastAsia="方正仿宋_GBK" w:cs="Times New Roman"/>
              </w:rPr>
              <w:t>（3）按照《江苏省生态空间管控区域规划》《省政府办公厅关于印发江苏省生态空间管控区域调整管理办法的通知》《省政府办公厅关于印发江苏省生态空间管控监督管理办法的通知》及相关法律法规实施保护管理。</w:t>
            </w:r>
            <w:bookmarkEnd w:id="28"/>
            <w:bookmarkEnd w:id="29"/>
          </w:p>
        </w:tc>
        <w:tc>
          <w:tcPr>
            <w:tcW w:w="946" w:type="pct"/>
            <w:tcMar>
              <w:left w:w="57" w:type="dxa"/>
              <w:right w:w="57" w:type="dxa"/>
            </w:tcMar>
            <w:vAlign w:val="center"/>
          </w:tcPr>
          <w:p w14:paraId="170A03CA">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746" w:type="pct"/>
            <w:tcMar>
              <w:left w:w="57" w:type="dxa"/>
              <w:right w:w="57" w:type="dxa"/>
            </w:tcMar>
            <w:vAlign w:val="center"/>
          </w:tcPr>
          <w:p w14:paraId="76400BA9">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57" w:type="pct"/>
            <w:tcMar>
              <w:left w:w="57" w:type="dxa"/>
              <w:right w:w="57" w:type="dxa"/>
            </w:tcMar>
            <w:vAlign w:val="center"/>
          </w:tcPr>
          <w:p w14:paraId="120C43D7">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03" w:type="pct"/>
            <w:vMerge w:val="continue"/>
            <w:tcMar>
              <w:left w:w="57" w:type="dxa"/>
              <w:right w:w="57" w:type="dxa"/>
            </w:tcMar>
            <w:vAlign w:val="center"/>
          </w:tcPr>
          <w:p w14:paraId="7B9342E1">
            <w:pPr>
              <w:adjustRightInd w:val="0"/>
              <w:spacing w:line="320" w:lineRule="exact"/>
              <w:jc w:val="center"/>
              <w:rPr>
                <w:rFonts w:ascii="Times New Roman" w:hAnsi="Times New Roman" w:eastAsia="方正仿宋_GBK" w:cs="Times New Roman"/>
              </w:rPr>
            </w:pPr>
          </w:p>
        </w:tc>
      </w:tr>
      <w:tr w14:paraId="5F9D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8" w:hRule="atLeast"/>
          <w:jc w:val="center"/>
        </w:trPr>
        <w:tc>
          <w:tcPr>
            <w:tcW w:w="165" w:type="pct"/>
            <w:tcMar>
              <w:left w:w="57" w:type="dxa"/>
              <w:right w:w="57" w:type="dxa"/>
            </w:tcMar>
            <w:vAlign w:val="center"/>
          </w:tcPr>
          <w:p w14:paraId="63E07C93">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3617F11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4F87CE99">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高港</w:t>
            </w:r>
          </w:p>
        </w:tc>
        <w:tc>
          <w:tcPr>
            <w:tcW w:w="402" w:type="pct"/>
            <w:tcMar>
              <w:left w:w="57" w:type="dxa"/>
              <w:right w:w="57" w:type="dxa"/>
            </w:tcMar>
            <w:vAlign w:val="center"/>
          </w:tcPr>
          <w:p w14:paraId="280DB0FB">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西干河（高港区）清水通道维护区</w:t>
            </w:r>
          </w:p>
        </w:tc>
        <w:tc>
          <w:tcPr>
            <w:tcW w:w="267" w:type="pct"/>
            <w:tcMar>
              <w:left w:w="57" w:type="dxa"/>
              <w:right w:w="57" w:type="dxa"/>
            </w:tcMar>
            <w:vAlign w:val="center"/>
          </w:tcPr>
          <w:p w14:paraId="304B4827">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优先保护单元</w:t>
            </w:r>
          </w:p>
        </w:tc>
        <w:tc>
          <w:tcPr>
            <w:tcW w:w="863" w:type="pct"/>
            <w:tcMar>
              <w:left w:w="57" w:type="dxa"/>
              <w:right w:w="57" w:type="dxa"/>
            </w:tcMar>
            <w:vAlign w:val="center"/>
          </w:tcPr>
          <w:p w14:paraId="531BD822">
            <w:pPr>
              <w:widowControl/>
              <w:rPr>
                <w:rFonts w:ascii="Times New Roman" w:hAnsi="Times New Roman" w:eastAsia="方正仿宋_GBK" w:cs="Times New Roman"/>
              </w:rPr>
            </w:pPr>
            <w:bookmarkStart w:id="30" w:name="sys1736053"/>
            <w:r>
              <w:rPr>
                <w:rFonts w:ascii="Times New Roman" w:hAnsi="Times New Roman" w:eastAsia="方正仿宋_GBK" w:cs="Times New Roman"/>
              </w:rPr>
              <w:t>（1）生态空间管控区域以生态保护为重点，原则上不得开展有损主导生态功能的开发建设活动，不得随意占用和调整。</w:t>
            </w:r>
            <w:bookmarkEnd w:id="30"/>
            <w:bookmarkStart w:id="31" w:name="sys173653165"/>
            <w:r>
              <w:rPr>
                <w:rFonts w:ascii="Times New Roman" w:hAnsi="Times New Roman" w:eastAsia="方正仿宋_GBK" w:cs="Times New Roman"/>
              </w:rPr>
              <w:t>（2）严格执行《南水北调工程供用水管理条例》《江苏省河道管理条例》《江苏省太湖水污染防治条例》和《江苏省通榆河水污染防治条例》等有关规定。</w:t>
            </w:r>
            <w:bookmarkStart w:id="32" w:name="sys173612296"/>
            <w:r>
              <w:rPr>
                <w:rFonts w:ascii="Times New Roman" w:hAnsi="Times New Roman" w:eastAsia="方正仿宋_GBK" w:cs="Times New Roman"/>
              </w:rPr>
              <w:t>（3）按照《江苏省生态空间管控区域规划》《省政府办公厅关于印发江苏省生态空间管控区域调整管理办法的通知》《省政府办公厅关于印发江苏省生态空间管控监督管理办法的通知》及相关法律法规实施保护管理。</w:t>
            </w:r>
            <w:bookmarkEnd w:id="31"/>
            <w:bookmarkEnd w:id="32"/>
          </w:p>
        </w:tc>
        <w:tc>
          <w:tcPr>
            <w:tcW w:w="946" w:type="pct"/>
            <w:tcMar>
              <w:left w:w="57" w:type="dxa"/>
              <w:right w:w="57" w:type="dxa"/>
            </w:tcMar>
            <w:vAlign w:val="center"/>
          </w:tcPr>
          <w:p w14:paraId="6E3F73A1">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746" w:type="pct"/>
            <w:tcMar>
              <w:left w:w="57" w:type="dxa"/>
              <w:right w:w="57" w:type="dxa"/>
            </w:tcMar>
            <w:vAlign w:val="center"/>
          </w:tcPr>
          <w:p w14:paraId="1343DB2E">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57" w:type="pct"/>
            <w:tcMar>
              <w:left w:w="57" w:type="dxa"/>
              <w:right w:w="57" w:type="dxa"/>
            </w:tcMar>
            <w:vAlign w:val="center"/>
          </w:tcPr>
          <w:p w14:paraId="2D3C3892">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03" w:type="pct"/>
            <w:vMerge w:val="continue"/>
            <w:tcMar>
              <w:left w:w="57" w:type="dxa"/>
              <w:right w:w="57" w:type="dxa"/>
            </w:tcMar>
            <w:vAlign w:val="center"/>
          </w:tcPr>
          <w:p w14:paraId="7A53101A">
            <w:pPr>
              <w:adjustRightInd w:val="0"/>
              <w:spacing w:line="320" w:lineRule="exact"/>
              <w:jc w:val="center"/>
              <w:rPr>
                <w:rFonts w:ascii="Times New Roman" w:hAnsi="Times New Roman" w:eastAsia="方正仿宋_GBK" w:cs="Times New Roman"/>
              </w:rPr>
            </w:pPr>
          </w:p>
        </w:tc>
      </w:tr>
      <w:tr w14:paraId="1BBF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8" w:hRule="atLeast"/>
          <w:jc w:val="center"/>
        </w:trPr>
        <w:tc>
          <w:tcPr>
            <w:tcW w:w="165" w:type="pct"/>
            <w:tcMar>
              <w:left w:w="57" w:type="dxa"/>
              <w:right w:w="57" w:type="dxa"/>
            </w:tcMar>
            <w:vAlign w:val="center"/>
          </w:tcPr>
          <w:p w14:paraId="40B02EA8">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41FAAA5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486688A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高港</w:t>
            </w:r>
          </w:p>
        </w:tc>
        <w:tc>
          <w:tcPr>
            <w:tcW w:w="402" w:type="pct"/>
            <w:tcMar>
              <w:left w:w="57" w:type="dxa"/>
              <w:right w:w="57" w:type="dxa"/>
            </w:tcMar>
            <w:vAlign w:val="center"/>
          </w:tcPr>
          <w:p w14:paraId="20944FF9">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生产河（高港区）清水通道维护区</w:t>
            </w:r>
          </w:p>
        </w:tc>
        <w:tc>
          <w:tcPr>
            <w:tcW w:w="267" w:type="pct"/>
            <w:tcMar>
              <w:left w:w="57" w:type="dxa"/>
              <w:right w:w="57" w:type="dxa"/>
            </w:tcMar>
            <w:vAlign w:val="center"/>
          </w:tcPr>
          <w:p w14:paraId="74CCC1D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优先保护单元</w:t>
            </w:r>
          </w:p>
        </w:tc>
        <w:tc>
          <w:tcPr>
            <w:tcW w:w="863" w:type="pct"/>
            <w:tcMar>
              <w:left w:w="57" w:type="dxa"/>
              <w:right w:w="57" w:type="dxa"/>
            </w:tcMar>
            <w:vAlign w:val="center"/>
          </w:tcPr>
          <w:p w14:paraId="6E366D9D">
            <w:pPr>
              <w:widowControl/>
              <w:rPr>
                <w:rFonts w:ascii="Times New Roman" w:hAnsi="Times New Roman" w:eastAsia="方正仿宋_GBK" w:cs="Times New Roman"/>
              </w:rPr>
            </w:pPr>
            <w:bookmarkStart w:id="33" w:name="sys1746053"/>
            <w:r>
              <w:rPr>
                <w:rFonts w:ascii="Times New Roman" w:hAnsi="Times New Roman" w:eastAsia="方正仿宋_GBK" w:cs="Times New Roman"/>
              </w:rPr>
              <w:t>（1）生态空间管控区域以生态保护为重点，原则上不得开展有损主导生态功能的开发建设活动，不得随意占用和调整。</w:t>
            </w:r>
            <w:bookmarkEnd w:id="33"/>
            <w:bookmarkStart w:id="34" w:name="sys174653165"/>
            <w:r>
              <w:rPr>
                <w:rFonts w:ascii="Times New Roman" w:hAnsi="Times New Roman" w:eastAsia="方正仿宋_GBK" w:cs="Times New Roman"/>
              </w:rPr>
              <w:t>（2）严格执行《南水北调工程供用水管理条例》《江苏省河道管理条例》《江苏省太湖水污染防治条例》和《江苏省通榆河水污染防治条例》等有关规定。</w:t>
            </w:r>
            <w:bookmarkStart w:id="35" w:name="sys174612296"/>
            <w:r>
              <w:rPr>
                <w:rFonts w:ascii="Times New Roman" w:hAnsi="Times New Roman" w:eastAsia="方正仿宋_GBK" w:cs="Times New Roman"/>
              </w:rPr>
              <w:t>（3）按照《江苏省生态空间管控区域规划》《省政府办公厅关于印发江苏省生态空间管控区域调整管理办法的通知》《省政府办公厅关于印发江苏省生态空间管控监督管理办法的通知》及相关法律法规实施保护管理。</w:t>
            </w:r>
            <w:bookmarkEnd w:id="34"/>
            <w:bookmarkEnd w:id="35"/>
          </w:p>
        </w:tc>
        <w:tc>
          <w:tcPr>
            <w:tcW w:w="946" w:type="pct"/>
            <w:tcMar>
              <w:left w:w="57" w:type="dxa"/>
              <w:right w:w="57" w:type="dxa"/>
            </w:tcMar>
            <w:vAlign w:val="center"/>
          </w:tcPr>
          <w:p w14:paraId="3918059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746" w:type="pct"/>
            <w:tcMar>
              <w:left w:w="57" w:type="dxa"/>
              <w:right w:w="57" w:type="dxa"/>
            </w:tcMar>
            <w:vAlign w:val="center"/>
          </w:tcPr>
          <w:p w14:paraId="699A43F2">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57" w:type="pct"/>
            <w:tcMar>
              <w:left w:w="57" w:type="dxa"/>
              <w:right w:w="57" w:type="dxa"/>
            </w:tcMar>
            <w:vAlign w:val="center"/>
          </w:tcPr>
          <w:p w14:paraId="5E2D849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03" w:type="pct"/>
            <w:vMerge w:val="continue"/>
            <w:tcMar>
              <w:left w:w="57" w:type="dxa"/>
              <w:right w:w="57" w:type="dxa"/>
            </w:tcMar>
            <w:vAlign w:val="center"/>
          </w:tcPr>
          <w:p w14:paraId="13436680">
            <w:pPr>
              <w:adjustRightInd w:val="0"/>
              <w:spacing w:line="320" w:lineRule="exact"/>
              <w:jc w:val="center"/>
              <w:rPr>
                <w:rFonts w:ascii="Times New Roman" w:hAnsi="Times New Roman" w:eastAsia="方正仿宋_GBK" w:cs="Times New Roman"/>
              </w:rPr>
            </w:pPr>
          </w:p>
        </w:tc>
      </w:tr>
      <w:tr w14:paraId="14AB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9" w:hRule="atLeast"/>
          <w:jc w:val="center"/>
        </w:trPr>
        <w:tc>
          <w:tcPr>
            <w:tcW w:w="165" w:type="pct"/>
            <w:tcMar>
              <w:left w:w="57" w:type="dxa"/>
              <w:right w:w="57" w:type="dxa"/>
            </w:tcMar>
            <w:vAlign w:val="center"/>
          </w:tcPr>
          <w:p w14:paraId="2F406628">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549BCA1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77A5ECF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兴化</w:t>
            </w:r>
          </w:p>
        </w:tc>
        <w:tc>
          <w:tcPr>
            <w:tcW w:w="402" w:type="pct"/>
            <w:tcMar>
              <w:left w:w="57" w:type="dxa"/>
              <w:right w:w="57" w:type="dxa"/>
            </w:tcMar>
            <w:vAlign w:val="center"/>
          </w:tcPr>
          <w:p w14:paraId="337F9FA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通榆河（大丰区）清水通道维护区</w:t>
            </w:r>
          </w:p>
        </w:tc>
        <w:tc>
          <w:tcPr>
            <w:tcW w:w="267" w:type="pct"/>
            <w:tcMar>
              <w:left w:w="57" w:type="dxa"/>
              <w:right w:w="57" w:type="dxa"/>
            </w:tcMar>
            <w:vAlign w:val="center"/>
          </w:tcPr>
          <w:p w14:paraId="421DD703">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优先保护单元</w:t>
            </w:r>
          </w:p>
        </w:tc>
        <w:tc>
          <w:tcPr>
            <w:tcW w:w="863" w:type="pct"/>
            <w:tcMar>
              <w:left w:w="57" w:type="dxa"/>
              <w:right w:w="57" w:type="dxa"/>
            </w:tcMar>
            <w:vAlign w:val="center"/>
          </w:tcPr>
          <w:p w14:paraId="0DCE7126">
            <w:pPr>
              <w:adjustRightInd w:val="0"/>
              <w:spacing w:line="320" w:lineRule="exact"/>
              <w:rPr>
                <w:rFonts w:ascii="Times New Roman" w:hAnsi="Times New Roman" w:eastAsia="方正仿宋_GBK" w:cs="Times New Roman"/>
              </w:rPr>
            </w:pPr>
            <w:bookmarkStart w:id="36" w:name="sys1756053"/>
            <w:r>
              <w:rPr>
                <w:rFonts w:ascii="Times New Roman" w:hAnsi="Times New Roman" w:eastAsia="方正仿宋_GBK" w:cs="Times New Roman"/>
              </w:rPr>
              <w:t>（1）生态空间管控区域以生态保护为重点，原则上不得开展有损主导生态功能的开发建设活动，不得随意占用和调整。</w:t>
            </w:r>
            <w:bookmarkEnd w:id="36"/>
            <w:bookmarkStart w:id="37" w:name="sys175653165"/>
            <w:r>
              <w:rPr>
                <w:rFonts w:ascii="Times New Roman" w:hAnsi="Times New Roman" w:eastAsia="方正仿宋_GBK" w:cs="Times New Roman"/>
              </w:rPr>
              <w:t>（2）严格执行《南水北调工程供用水管理条例》《江苏省河道管理条例》《江苏省太湖水污染防治条例》和《江苏省通榆河水污染防治条例》等有关规定。</w:t>
            </w:r>
            <w:bookmarkStart w:id="38" w:name="sys175612296"/>
            <w:r>
              <w:rPr>
                <w:rFonts w:ascii="Times New Roman" w:hAnsi="Times New Roman" w:eastAsia="方正仿宋_GBK" w:cs="Times New Roman"/>
              </w:rPr>
              <w:t>（3）按照《江苏省生态空间管控区域规划》《省政府办公厅关于印发江苏省生态空间管控区域调整管理办法的通知》《省政府办公厅关于印发江苏省生态空间管控监督管理办法的通知》及相关法律法规实施保护管理。</w:t>
            </w:r>
            <w:bookmarkEnd w:id="37"/>
            <w:bookmarkEnd w:id="38"/>
          </w:p>
        </w:tc>
        <w:tc>
          <w:tcPr>
            <w:tcW w:w="946" w:type="pct"/>
            <w:tcMar>
              <w:left w:w="57" w:type="dxa"/>
              <w:right w:w="57" w:type="dxa"/>
            </w:tcMar>
            <w:vAlign w:val="center"/>
          </w:tcPr>
          <w:p w14:paraId="43D7773A">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746" w:type="pct"/>
            <w:tcMar>
              <w:left w:w="57" w:type="dxa"/>
              <w:right w:w="57" w:type="dxa"/>
            </w:tcMar>
            <w:vAlign w:val="center"/>
          </w:tcPr>
          <w:p w14:paraId="3C05BD4B">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57" w:type="pct"/>
            <w:tcMar>
              <w:left w:w="57" w:type="dxa"/>
              <w:right w:w="57" w:type="dxa"/>
            </w:tcMar>
            <w:vAlign w:val="center"/>
          </w:tcPr>
          <w:p w14:paraId="433BBC3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03" w:type="pct"/>
            <w:tcMar>
              <w:left w:w="57" w:type="dxa"/>
              <w:right w:w="57" w:type="dxa"/>
            </w:tcMar>
            <w:vAlign w:val="center"/>
          </w:tcPr>
          <w:p w14:paraId="65AF6463">
            <w:pPr>
              <w:adjustRightInd w:val="0"/>
              <w:spacing w:line="320" w:lineRule="exact"/>
              <w:jc w:val="center"/>
              <w:rPr>
                <w:rFonts w:ascii="Times New Roman" w:hAnsi="Times New Roman" w:eastAsia="方正仿宋_GBK" w:cs="Times New Roman"/>
              </w:rPr>
            </w:pPr>
            <w:bookmarkStart w:id="39" w:name="sys1760049"/>
            <w:r>
              <w:rPr>
                <w:rFonts w:ascii="Times New Roman" w:hAnsi="Times New Roman" w:eastAsia="方正仿宋_GBK" w:cs="Times New Roman"/>
              </w:rPr>
              <w:t>省自然资源厅关于兴化市2024年度生态空间管控区域调整方案的复函（苏自然资函〔2024〕297号）</w:t>
            </w:r>
            <w:bookmarkEnd w:id="39"/>
          </w:p>
        </w:tc>
      </w:tr>
      <w:tr w14:paraId="60BD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4" w:hRule="atLeast"/>
          <w:jc w:val="center"/>
        </w:trPr>
        <w:tc>
          <w:tcPr>
            <w:tcW w:w="165" w:type="pct"/>
            <w:tcMar>
              <w:left w:w="57" w:type="dxa"/>
              <w:right w:w="57" w:type="dxa"/>
            </w:tcMar>
            <w:vAlign w:val="center"/>
          </w:tcPr>
          <w:p w14:paraId="030AE17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53793B78">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6CEB5A3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高港</w:t>
            </w:r>
          </w:p>
        </w:tc>
        <w:tc>
          <w:tcPr>
            <w:tcW w:w="402" w:type="pct"/>
            <w:tcMar>
              <w:left w:w="57" w:type="dxa"/>
              <w:right w:w="57" w:type="dxa"/>
            </w:tcMar>
            <w:vAlign w:val="center"/>
          </w:tcPr>
          <w:p w14:paraId="1BF1B95E">
            <w:pPr>
              <w:adjustRightInd w:val="0"/>
              <w:spacing w:line="320" w:lineRule="exact"/>
              <w:jc w:val="center"/>
              <w:rPr>
                <w:rFonts w:ascii="Times New Roman" w:hAnsi="Times New Roman" w:eastAsia="方正仿宋_GBK" w:cs="Times New Roman"/>
              </w:rPr>
            </w:pPr>
            <w:bookmarkStart w:id="40" w:name="_Hlk173401165"/>
            <w:r>
              <w:rPr>
                <w:rFonts w:ascii="Times New Roman" w:hAnsi="Times New Roman" w:eastAsia="方正仿宋_GBK" w:cs="Times New Roman"/>
              </w:rPr>
              <w:t>泰州市泰州港核心港区中部工业区</w:t>
            </w:r>
            <w:bookmarkEnd w:id="40"/>
          </w:p>
        </w:tc>
        <w:tc>
          <w:tcPr>
            <w:tcW w:w="267" w:type="pct"/>
            <w:tcMar>
              <w:left w:w="57" w:type="dxa"/>
              <w:right w:w="57" w:type="dxa"/>
            </w:tcMar>
            <w:vAlign w:val="center"/>
          </w:tcPr>
          <w:p w14:paraId="23611182">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5DE97135">
            <w:pPr>
              <w:adjustRightInd w:val="0"/>
              <w:spacing w:line="320" w:lineRule="exact"/>
              <w:rPr>
                <w:rFonts w:ascii="Times New Roman" w:hAnsi="Times New Roman" w:eastAsia="方正仿宋_GBK" w:cs="Times New Roman"/>
              </w:rPr>
            </w:pPr>
            <w:bookmarkStart w:id="41" w:name="sys1776061"/>
            <w:r>
              <w:rPr>
                <w:rFonts w:ascii="Times New Roman" w:hAnsi="Times New Roman" w:eastAsia="方正仿宋_GBK" w:cs="Times New Roman"/>
              </w:rPr>
              <w:t>1、产业发展方向：主要发展大健康产业、高技术船舶与海工装备产业、粮油加工产业、临港制造产业、科技孵化产业及现代物流等产业。</w:t>
            </w:r>
            <w:bookmarkEnd w:id="41"/>
            <w:r>
              <w:rPr>
                <w:rFonts w:ascii="Times New Roman" w:hAnsi="Times New Roman" w:eastAsia="方正仿宋_GBK" w:cs="Times New Roman"/>
              </w:rPr>
              <w:t>2、水域面积171.21公顷，绿地及广场用地42.22公顷，限制占用。3、古马于河沿线两侧布局应满足县级以上地方人民政府编制的国土空间规划、内河港总体规划（修订）等规划及《关于进一步明确生态环境监测设施保护范围的通知》（苏环办</w:t>
            </w:r>
            <w:sdt>
              <w:sdtPr>
                <w:rPr>
                  <w:rFonts w:ascii="Times New Roman" w:hAnsi="Times New Roman" w:cs="Times New Roman"/>
                </w:rPr>
                <w:alias w:val="易错词检查"/>
                <w:id w:val="2013626"/>
              </w:sdtPr>
              <w:sdtEndPr>
                <w:rPr>
                  <w:rFonts w:ascii="Times New Roman" w:hAnsi="Times New Roman" w:cs="Times New Roman"/>
                </w:rPr>
              </w:sdtEndPr>
              <w:sdtContent>
                <w:bookmarkStart w:id="42" w:name="bkReivew2013626"/>
                <w:r>
                  <w:rPr>
                    <w:rFonts w:ascii="Times New Roman" w:hAnsi="Times New Roman" w:eastAsia="方正仿宋_GBK" w:cs="Times New Roman"/>
                  </w:rPr>
                  <w:t>〔2020〕</w:t>
                </w:r>
                <w:bookmarkEnd w:id="42"/>
              </w:sdtContent>
            </w:sdt>
            <w:r>
              <w:rPr>
                <w:rFonts w:ascii="Times New Roman" w:hAnsi="Times New Roman" w:eastAsia="方正仿宋_GBK" w:cs="Times New Roman"/>
              </w:rPr>
              <w:t>286号）等管理文件要求，区内疏港三路-高港大道古马干河两侧沿线50m范围内禁止产业开发。4、严格对古马干河马甸闸西国考断面的保护措施和要求，不得建设影响考核断面水质的相关工程。</w:t>
            </w:r>
            <w:bookmarkStart w:id="43" w:name="sys177626961"/>
            <w:r>
              <w:rPr>
                <w:rFonts w:ascii="Times New Roman" w:hAnsi="Times New Roman" w:eastAsia="方正仿宋_GBK" w:cs="Times New Roman"/>
              </w:rPr>
              <w:t>5、区内高港港区永安作业区布局应满足《泰州港总体规划（2035年）》相关要求，位于国家生态保护红线内岸线禁止新建扩建码头。</w:t>
            </w:r>
            <w:bookmarkEnd w:id="43"/>
            <w:r>
              <w:rPr>
                <w:rFonts w:ascii="Times New Roman" w:hAnsi="Times New Roman" w:eastAsia="方正仿宋_GBK" w:cs="Times New Roman"/>
              </w:rPr>
              <w:t>通用及多用途码头区位于水源地准保护区范围内的，不得建设有毒有害物品仓库、堆栈，或者设置煤场、灰场、垃圾填埋场，禁止承担煤炭运输。</w:t>
            </w:r>
          </w:p>
        </w:tc>
        <w:tc>
          <w:tcPr>
            <w:tcW w:w="946" w:type="pct"/>
            <w:tcMar>
              <w:left w:w="57" w:type="dxa"/>
              <w:right w:w="57" w:type="dxa"/>
            </w:tcMar>
            <w:vAlign w:val="center"/>
          </w:tcPr>
          <w:p w14:paraId="5FA8D4F2">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1、新建排放二氧化硫、氮氧化物、烟粉尘、挥发性有机物的项目，实行现役源2倍削减量替代。新建项目禁止配套建设自备燃煤电站。除热电联产外，禁止审批新建燃煤发电项目。</w:t>
            </w:r>
            <w:bookmarkStart w:id="44" w:name="sys177780103"/>
            <w:r>
              <w:rPr>
                <w:rFonts w:ascii="Times New Roman" w:hAnsi="Times New Roman" w:eastAsia="方正仿宋_GBK" w:cs="Times New Roman"/>
              </w:rPr>
              <w:t>2、</w:t>
            </w:r>
            <w:r>
              <w:rPr>
                <w:rFonts w:hint="eastAsia" w:ascii="宋体" w:hAnsi="宋体" w:cs="宋体"/>
              </w:rPr>
              <w:t>①</w:t>
            </w:r>
            <w:r>
              <w:rPr>
                <w:rFonts w:ascii="Times New Roman" w:hAnsi="Times New Roman" w:eastAsia="方正仿宋_GBK" w:cs="Times New Roman"/>
              </w:rPr>
              <w:t>大气环境质量达到环境空气质量二类区，《环境空气质量标准》（GB3095-2012）及其修改单中二级标准、《环境影响评价技术导则大气环境》（HJ2.2-2018）附录D其他污染物空气质量浓度参考限值等。</w:t>
            </w:r>
            <w:bookmarkEnd w:id="44"/>
            <w:r>
              <w:rPr>
                <w:rFonts w:hint="eastAsia" w:ascii="宋体" w:hAnsi="宋体" w:cs="宋体"/>
              </w:rPr>
              <w:t>②</w:t>
            </w:r>
            <w:r>
              <w:rPr>
                <w:rFonts w:ascii="Times New Roman" w:hAnsi="Times New Roman" w:eastAsia="方正仿宋_GBK" w:cs="Times New Roman"/>
              </w:rPr>
              <w:t>长江、古马干河执行《地表水环境质量标准》（GB3838-2002）中的Ⅱ、Ⅲ类标准。</w:t>
            </w:r>
            <w:r>
              <w:rPr>
                <w:rFonts w:hint="eastAsia" w:ascii="宋体" w:hAnsi="宋体" w:cs="宋体"/>
              </w:rPr>
              <w:t>③</w:t>
            </w:r>
            <w:r>
              <w:rPr>
                <w:rFonts w:ascii="Times New Roman" w:hAnsi="Times New Roman" w:eastAsia="方正仿宋_GBK" w:cs="Times New Roman"/>
              </w:rPr>
              <w:t>声环境达到《声环境质量标准》（GB3096-2008）2、3、4a类区标准；</w:t>
            </w:r>
            <w:bookmarkStart w:id="45" w:name="sys177726562"/>
            <w:r>
              <w:rPr>
                <w:rFonts w:hint="eastAsia" w:ascii="宋体" w:hAnsi="宋体" w:cs="宋体"/>
              </w:rPr>
              <w:t>④</w:t>
            </w:r>
            <w:r>
              <w:rPr>
                <w:rFonts w:ascii="Times New Roman" w:hAnsi="Times New Roman" w:eastAsia="方正仿宋_GBK" w:cs="Times New Roman"/>
              </w:rPr>
              <w:t>土壤达到《土壤环境质量建设用地土壤污染风险管控标准（试行）》（GB36600-2018）筛选值中的第一类、第二类用地标准。</w:t>
            </w:r>
            <w:bookmarkEnd w:id="45"/>
            <w:bookmarkStart w:id="46" w:name="sys1777327113"/>
            <w:r>
              <w:rPr>
                <w:rFonts w:ascii="Times New Roman" w:hAnsi="Times New Roman" w:eastAsia="方正仿宋_GBK" w:cs="Times New Roman"/>
              </w:rPr>
              <w:t>3、区域大气污染物排放量：SO</w:t>
            </w:r>
            <w:r>
              <w:rPr>
                <w:rFonts w:ascii="Times New Roman" w:hAnsi="Times New Roman" w:eastAsia="方正仿宋_GBK" w:cs="Times New Roman"/>
                <w:vertAlign w:val="subscript"/>
              </w:rPr>
              <w:t>2</w:t>
            </w:r>
            <w:r>
              <w:rPr>
                <w:rFonts w:ascii="Times New Roman" w:hAnsi="Times New Roman" w:eastAsia="方正仿宋_GBK" w:cs="Times New Roman"/>
              </w:rPr>
              <w:t>7.3t/a、NOx31.98t/a、烟尘4.9t/a、工业粉尘114.18t/a、VOCs29.61t/a、氯化氢7.32t/a、硫酸雾2.44t/a、氨2.0t/a、二甲苯22.08t/a。</w:t>
            </w:r>
            <w:bookmarkEnd w:id="46"/>
            <w:bookmarkStart w:id="47" w:name="sys177744088"/>
            <w:r>
              <w:rPr>
                <w:rFonts w:ascii="Times New Roman" w:hAnsi="Times New Roman" w:eastAsia="方正仿宋_GBK" w:cs="Times New Roman"/>
              </w:rPr>
              <w:t>水污染物排放量：COD242.55t/a、SS80.85t/a、氨氮12.13t/a、总氮121.27t/a、总磷2.43t/a、石油类8.08t/a、动植物油8.08t/a。</w:t>
            </w:r>
            <w:bookmarkEnd w:id="47"/>
            <w:bookmarkStart w:id="48" w:name="sys177752858"/>
            <w:r>
              <w:rPr>
                <w:rFonts w:ascii="Times New Roman" w:hAnsi="Times New Roman" w:eastAsia="方正仿宋_GBK" w:cs="Times New Roman"/>
              </w:rPr>
              <w:t>4、区内高港港区永安作业区</w:t>
            </w:r>
            <w:bookmarkEnd w:id="48"/>
            <w:r>
              <w:rPr>
                <w:rFonts w:ascii="Times New Roman" w:hAnsi="Times New Roman" w:eastAsia="方正仿宋_GBK" w:cs="Times New Roman"/>
              </w:rPr>
              <w:t>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6AFE27D2">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规划项目涉及到的主要危险物质有甲醇、醋酸丁酯、苯、乙酸乙酯、丙酮、异丙醇、二氯甲烷、乙醇、叔丁醇、正丁醇、甲苯、二甲苯、硫酸、盐酸等。永安洲镇已编制环境风险应急预案，对于符合《企业事业单位突发环境事件应急预案备案管理办法（试行）》中要求的企业，要求其编制环境风险应急预案，对重点风险源编制环境风险评估报告。2、</w:t>
            </w:r>
            <w:r>
              <w:rPr>
                <w:rFonts w:hint="eastAsia" w:ascii="宋体" w:hAnsi="宋体" w:cs="宋体"/>
              </w:rPr>
              <w:t>①</w:t>
            </w:r>
            <w:r>
              <w:rPr>
                <w:rFonts w:ascii="Times New Roman" w:hAnsi="Times New Roman" w:eastAsia="方正仿宋_GBK" w:cs="Times New Roman"/>
              </w:rPr>
              <w:t>除工艺有特殊要求外禁止露天和敞开式喷涂作业，加强有机废气分类收集与处理，对喷漆、流平、烘干等环节产生的废气，采取高效末端治理技术，无溶剂、水性胶等环境友好型复合技术替代比例高于70%。</w:t>
            </w:r>
            <w:r>
              <w:rPr>
                <w:rFonts w:hint="eastAsia" w:ascii="宋体" w:hAnsi="宋体" w:cs="宋体"/>
              </w:rPr>
              <w:t>②</w:t>
            </w:r>
            <w:r>
              <w:rPr>
                <w:rFonts w:ascii="Times New Roman" w:hAnsi="Times New Roman" w:eastAsia="方正仿宋_GBK" w:cs="Times New Roman"/>
              </w:rPr>
              <w:t>建筑内外墙装饰全面使用低（无）VOCs含量的涂料。</w:t>
            </w:r>
            <w:bookmarkStart w:id="49" w:name="sys177827634"/>
            <w:r>
              <w:rPr>
                <w:rFonts w:hint="eastAsia" w:ascii="宋体" w:hAnsi="宋体" w:cs="宋体"/>
              </w:rPr>
              <w:t>③</w:t>
            </w:r>
            <w:r>
              <w:rPr>
                <w:rFonts w:ascii="Times New Roman" w:hAnsi="Times New Roman" w:eastAsia="方正仿宋_GBK" w:cs="Times New Roman"/>
              </w:rPr>
              <w:t>禁止建设生产和使用高VOCs含量的溶剂型涂料、油墨、胶粘剂等项目。</w:t>
            </w:r>
            <w:bookmarkEnd w:id="49"/>
            <w:r>
              <w:rPr>
                <w:rFonts w:hint="eastAsia" w:ascii="宋体" w:hAnsi="宋体" w:cs="宋体"/>
              </w:rPr>
              <w:t>④</w:t>
            </w:r>
            <w:r>
              <w:rPr>
                <w:rFonts w:ascii="Times New Roman" w:hAnsi="Times New Roman" w:eastAsia="方正仿宋_GBK" w:cs="Times New Roman"/>
              </w:rPr>
              <w:t>禁止建设不符合法律法规及行政法规、国家和地方产业政策限制、禁止或淘汰类的项目。3、布局管控，园区内部的功能布局应充分考虑风险源对区内及周边环境的影响，设置的储罐区应远离村镇集中区、区内人群聚集的办公楼、周边村庄及河流，且应在园区的下风向布局，以减少对其他项目的影响；园区内不同企业风险源之间应尽量远离，防止其中某一风险源发生风险事故引起其他风险源爆发带来的连锁反应，降低风险事故发生的范围。4、做好围护与警示标识。若设置罐区，罐区按相关要求设置围堰、围护</w:t>
            </w:r>
            <w:sdt>
              <w:sdtPr>
                <w:rPr>
                  <w:rFonts w:ascii="Times New Roman" w:hAnsi="Times New Roman" w:cs="Times New Roman"/>
                </w:rPr>
                <w:alias w:val="易错词检查"/>
                <w:id w:val="2032253"/>
              </w:sdtPr>
              <w:sdtEndPr>
                <w:rPr>
                  <w:rFonts w:ascii="Times New Roman" w:hAnsi="Times New Roman" w:cs="Times New Roman"/>
                </w:rPr>
              </w:sdtEndPr>
              <w:sdtContent>
                <w:bookmarkStart w:id="50" w:name="bkReivew2032253"/>
                <w:r>
                  <w:rPr>
                    <w:rFonts w:ascii="Times New Roman" w:hAnsi="Times New Roman" w:eastAsia="方正仿宋_GBK" w:cs="Times New Roman"/>
                  </w:rPr>
                  <w:t>拦杆</w:t>
                </w:r>
                <w:bookmarkEnd w:id="50"/>
              </w:sdtContent>
            </w:sdt>
            <w:r>
              <w:rPr>
                <w:rFonts w:ascii="Times New Roman" w:hAnsi="Times New Roman" w:eastAsia="方正仿宋_GBK" w:cs="Times New Roman"/>
              </w:rPr>
              <w:t>区，设置危险区、安全区，采取红线、黄线和安全线进行区分：《储罐区防火设计规范》的有关规定，在原料罐区、中间罐区、成品罐区应设置防火堤和防火隔堤，远离火种、热源，并设置防日晒的固定式冷却水喷雾系统。5、废水泄漏安全防范。尽量增加可能发生液体泄漏或者火灾事故的罐区围堰面积，尽可能将罐区事故下产生的废水控制在罐区围堰内，降低事故状态下废水转移，输送的风险。合理设置应急事故池。根据污水产生、排放、存放特点，划分污染防治区，提出和落实不同区域面防渗方案，企业内部重点做好生产装置区、罐区、废水事故池及输水管道的防渗工作。</w:t>
            </w:r>
            <w:bookmarkStart w:id="51" w:name="sys177879766"/>
            <w:r>
              <w:rPr>
                <w:rFonts w:ascii="Times New Roman" w:hAnsi="Times New Roman" w:eastAsia="方正仿宋_GBK" w:cs="Times New Roman"/>
              </w:rPr>
              <w:t>6、区内高港港区永安作业区</w:t>
            </w:r>
            <w:bookmarkEnd w:id="51"/>
            <w:r>
              <w:rPr>
                <w:rFonts w:ascii="Times New Roman" w:hAnsi="Times New Roman" w:eastAsia="方正仿宋_GBK" w:cs="Times New Roman"/>
              </w:rPr>
              <w:t>应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p>
        </w:tc>
        <w:tc>
          <w:tcPr>
            <w:tcW w:w="657" w:type="pct"/>
            <w:tcMar>
              <w:left w:w="57" w:type="dxa"/>
              <w:right w:w="57" w:type="dxa"/>
            </w:tcMar>
            <w:vAlign w:val="center"/>
          </w:tcPr>
          <w:p w14:paraId="334A9050">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1、水资源可开发或利用总量：6.69万吨/天，约2442万吨/年。2、土地资源可利用开发区总面积上线23.45km</w:t>
            </w:r>
            <w:r>
              <w:rPr>
                <w:rFonts w:ascii="Times New Roman" w:hAnsi="Times New Roman" w:eastAsia="方正仿宋_GBK" w:cs="Times New Roman"/>
                <w:vertAlign w:val="superscript"/>
              </w:rPr>
              <w:t>2</w:t>
            </w:r>
            <w:r>
              <w:rPr>
                <w:rFonts w:ascii="Times New Roman" w:hAnsi="Times New Roman" w:eastAsia="方正仿宋_GBK" w:cs="Times New Roman"/>
              </w:rPr>
              <w:t>，建设用地总面积上线21.74km</w:t>
            </w:r>
            <w:r>
              <w:rPr>
                <w:rFonts w:ascii="Times New Roman" w:hAnsi="Times New Roman" w:eastAsia="方正仿宋_GBK" w:cs="Times New Roman"/>
                <w:vertAlign w:val="superscript"/>
              </w:rPr>
              <w:t>2</w:t>
            </w:r>
            <w:r>
              <w:rPr>
                <w:rFonts w:ascii="Times New Roman" w:hAnsi="Times New Roman" w:eastAsia="方正仿宋_GBK" w:cs="Times New Roman"/>
              </w:rPr>
              <w:t>，工业用地总面积上线9.27km</w:t>
            </w:r>
            <w:r>
              <w:rPr>
                <w:rFonts w:ascii="Times New Roman" w:hAnsi="Times New Roman" w:eastAsia="方正仿宋_GBK" w:cs="Times New Roman"/>
                <w:vertAlign w:val="superscript"/>
              </w:rPr>
              <w:t>2</w:t>
            </w:r>
            <w:r>
              <w:rPr>
                <w:rFonts w:ascii="Times New Roman" w:hAnsi="Times New Roman" w:eastAsia="方正仿宋_GBK" w:cs="Times New Roman"/>
              </w:rPr>
              <w:t>。3、规划能源利用主要为电能和天然气等清洁能源，视发展需求由市场配置供应。能源利用上线：单位工业增加值综合能耗0.5吨标煤/万元；单位工业用地面积工业增加值9亿元/平方公里。4、严格控制利用地下水的高耗水产业准入，禁止新扩建高耗水（地下水）产业。</w:t>
            </w:r>
            <w:bookmarkStart w:id="52" w:name="sys177921682"/>
            <w:r>
              <w:rPr>
                <w:rFonts w:ascii="Times New Roman" w:hAnsi="Times New Roman" w:eastAsia="方正仿宋_GBK" w:cs="Times New Roman"/>
              </w:rPr>
              <w:t>5、产业发展方向为主要发展高技术船舶与海工装备产业、粮油加工产业、临港制造产业、科技孵化产业及现代物流等产业，根据园区发展的行业特征，目前暂时未颁布此行业准入条件。</w:t>
            </w:r>
            <w:bookmarkEnd w:id="52"/>
            <w:r>
              <w:rPr>
                <w:rFonts w:ascii="Times New Roman" w:hAnsi="Times New Roman" w:eastAsia="方正仿宋_GBK" w:cs="Times New Roman"/>
              </w:rPr>
              <w:t>6、万元工业增加值新鲜水耗量≤8t/万元，工业用水重复利用率≥75%。7、区内高港港区永安作业区减少对自然岸线的占用，确保自然岸线保有率不低于国家和地方规定的比例。</w:t>
            </w:r>
          </w:p>
        </w:tc>
        <w:tc>
          <w:tcPr>
            <w:tcW w:w="603" w:type="pct"/>
            <w:tcMar>
              <w:left w:w="57" w:type="dxa"/>
              <w:right w:w="57" w:type="dxa"/>
            </w:tcMar>
            <w:vAlign w:val="center"/>
          </w:tcPr>
          <w:p w14:paraId="4E8F0BA1">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178B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9" w:hRule="atLeast"/>
          <w:jc w:val="center"/>
        </w:trPr>
        <w:tc>
          <w:tcPr>
            <w:tcW w:w="165" w:type="pct"/>
            <w:tcMar>
              <w:left w:w="57" w:type="dxa"/>
              <w:right w:w="57" w:type="dxa"/>
            </w:tcMar>
            <w:vAlign w:val="center"/>
          </w:tcPr>
          <w:p w14:paraId="712D130A">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69406C4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6787C7F9">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高港</w:t>
            </w:r>
          </w:p>
        </w:tc>
        <w:tc>
          <w:tcPr>
            <w:tcW w:w="402" w:type="pct"/>
            <w:tcMar>
              <w:left w:w="57" w:type="dxa"/>
              <w:right w:w="57" w:type="dxa"/>
            </w:tcMar>
            <w:vAlign w:val="center"/>
          </w:tcPr>
          <w:p w14:paraId="5F0F7AEA">
            <w:pPr>
              <w:adjustRightInd w:val="0"/>
              <w:spacing w:line="320" w:lineRule="exact"/>
              <w:jc w:val="center"/>
              <w:rPr>
                <w:rFonts w:ascii="Times New Roman" w:hAnsi="Times New Roman" w:eastAsia="方正仿宋_GBK" w:cs="Times New Roman"/>
              </w:rPr>
            </w:pPr>
            <w:bookmarkStart w:id="53" w:name="_Hlk173401172"/>
            <w:r>
              <w:rPr>
                <w:rFonts w:ascii="Times New Roman" w:hAnsi="Times New Roman" w:eastAsia="方正仿宋_GBK" w:cs="Times New Roman"/>
              </w:rPr>
              <w:t>泰州核心港区粮油食品产业园</w:t>
            </w:r>
            <w:bookmarkEnd w:id="53"/>
          </w:p>
        </w:tc>
        <w:tc>
          <w:tcPr>
            <w:tcW w:w="267" w:type="pct"/>
            <w:tcMar>
              <w:left w:w="57" w:type="dxa"/>
              <w:right w:w="57" w:type="dxa"/>
            </w:tcMar>
            <w:vAlign w:val="center"/>
          </w:tcPr>
          <w:p w14:paraId="6FEB4C94">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30E5C759">
            <w:pPr>
              <w:adjustRightInd w:val="0"/>
              <w:spacing w:line="320" w:lineRule="exact"/>
              <w:rPr>
                <w:rFonts w:ascii="Times New Roman" w:hAnsi="Times New Roman" w:eastAsia="方正仿宋_GBK" w:cs="Times New Roman"/>
              </w:rPr>
            </w:pPr>
            <w:r>
              <w:rPr>
                <w:rFonts w:ascii="Times New Roman" w:hAnsi="Times New Roman" w:eastAsia="等线" w:cs="Times New Roman"/>
              </w:rPr>
              <w:t>1</w:t>
            </w:r>
            <w:r>
              <w:rPr>
                <w:rFonts w:ascii="Times New Roman" w:hAnsi="Times New Roman" w:eastAsia="方正仿宋_GBK" w:cs="Times New Roman"/>
              </w:rPr>
              <w:t>、限制发展：农副食品加工业（淀粉及淀粉制品制造、豆制品制造及其他未列明农副食品）；食品制造业（含有酿造发酵工艺的生产项目</w:t>
            </w:r>
            <w:sdt>
              <w:sdtPr>
                <w:rPr>
                  <w:rFonts w:ascii="Times New Roman" w:hAnsi="Times New Roman" w:cs="Times New Roman"/>
                </w:rPr>
                <w:alias w:val="标点符号检查"/>
                <w:id w:val="3131821"/>
              </w:sdtPr>
              <w:sdtEndPr>
                <w:rPr>
                  <w:rFonts w:ascii="Times New Roman" w:hAnsi="Times New Roman" w:cs="Times New Roman"/>
                </w:rPr>
              </w:sdtEndPr>
              <w:sdtContent>
                <w:bookmarkStart w:id="54" w:name="bkReivew3131821"/>
                <w:r>
                  <w:rPr>
                    <w:rFonts w:ascii="Times New Roman" w:hAnsi="Times New Roman" w:eastAsia="方正仿宋_GBK" w:cs="Times New Roman"/>
                  </w:rPr>
                  <w:t>（</w:t>
                </w:r>
                <w:bookmarkEnd w:id="54"/>
              </w:sdtContent>
            </w:sdt>
            <w:r>
              <w:rPr>
                <w:rFonts w:ascii="Times New Roman" w:hAnsi="Times New Roman" w:eastAsia="方正仿宋_GBK" w:cs="Times New Roman"/>
              </w:rPr>
              <w:t>采用全封闭发酵工艺、技术先进的酿造项目除外</w:t>
            </w:r>
            <w:sdt>
              <w:sdtPr>
                <w:rPr>
                  <w:rFonts w:ascii="Times New Roman" w:hAnsi="Times New Roman" w:cs="Times New Roman"/>
                </w:rPr>
                <w:alias w:val="标点符号检查"/>
                <w:id w:val="33424"/>
              </w:sdtPr>
              <w:sdtEndPr>
                <w:rPr>
                  <w:rFonts w:ascii="Times New Roman" w:hAnsi="Times New Roman" w:cs="Times New Roman"/>
                </w:rPr>
              </w:sdtEndPr>
              <w:sdtContent>
                <w:bookmarkStart w:id="55" w:name="bkReivew33424"/>
                <w:r>
                  <w:rPr>
                    <w:rFonts w:ascii="Times New Roman" w:hAnsi="Times New Roman" w:eastAsia="方正仿宋_GBK" w:cs="Times New Roman"/>
                  </w:rPr>
                  <w:t>）</w:t>
                </w:r>
                <w:bookmarkEnd w:id="55"/>
              </w:sdtContent>
            </w:sdt>
            <w:r>
              <w:rPr>
                <w:rFonts w:ascii="Times New Roman" w:hAnsi="Times New Roman" w:eastAsia="方正仿宋_GBK" w:cs="Times New Roman"/>
              </w:rPr>
              <w:t>）；其他不在园区行业定位类的项目。</w:t>
            </w:r>
            <w:r>
              <w:rPr>
                <w:rFonts w:ascii="Times New Roman" w:hAnsi="Times New Roman" w:eastAsia="等线" w:cs="Times New Roman"/>
              </w:rPr>
              <w:t>2</w:t>
            </w:r>
            <w:r>
              <w:rPr>
                <w:rFonts w:ascii="Times New Roman" w:hAnsi="Times New Roman" w:eastAsia="方正仿宋_GBK" w:cs="Times New Roman"/>
              </w:rPr>
              <w:t>、禁止发展：农副食品加工业（动物源性饲料加工、制糖业、屠宰及肉类加工、水产品加工、蔬菜、水果和坚果加工、蛋品制造）；食品制造业（乳制品制造、味精制造、盐加工）；其他（化工、石化、医药、化纤、印染、建材、制革、造纸、冶金、焦化重污染项目等）。</w:t>
            </w:r>
            <w:bookmarkStart w:id="56" w:name="sys178622361"/>
            <w:r>
              <w:rPr>
                <w:rFonts w:ascii="Times New Roman" w:hAnsi="Times New Roman" w:eastAsia="方正仿宋_GBK" w:cs="Times New Roman"/>
              </w:rPr>
              <w:t>3、区内高港港区永安作业区布局应满足《泰州港总体规划（2035年）》相关要求，位于国家生态保护红线内岸线禁止新建扩建码头。通用及多用途码头区位于水源地准保护区范围内的，不得建设有毒有害物品仓库、堆栈，或者设置煤场、灰场、垃圾填埋场，禁止承担煤炭运输。</w:t>
            </w:r>
            <w:bookmarkEnd w:id="56"/>
          </w:p>
        </w:tc>
        <w:tc>
          <w:tcPr>
            <w:tcW w:w="946" w:type="pct"/>
            <w:tcMar>
              <w:left w:w="57" w:type="dxa"/>
              <w:right w:w="57" w:type="dxa"/>
            </w:tcMar>
            <w:vAlign w:val="center"/>
          </w:tcPr>
          <w:p w14:paraId="7A1D654A">
            <w:pPr>
              <w:adjustRightInd w:val="0"/>
              <w:spacing w:line="320" w:lineRule="exact"/>
              <w:rPr>
                <w:rFonts w:ascii="Times New Roman" w:hAnsi="Times New Roman" w:eastAsia="方正仿宋_GBK" w:cs="Times New Roman"/>
              </w:rPr>
            </w:pPr>
            <w:bookmarkStart w:id="57" w:name="sys1787078"/>
            <w:r>
              <w:rPr>
                <w:rFonts w:ascii="Times New Roman" w:hAnsi="Times New Roman" w:eastAsia="方正仿宋_GBK" w:cs="Times New Roman"/>
              </w:rPr>
              <w:t>1、</w:t>
            </w:r>
            <w:r>
              <w:rPr>
                <w:rFonts w:hint="eastAsia" w:ascii="宋体" w:hAnsi="宋体" w:cs="宋体"/>
              </w:rPr>
              <w:t>①</w:t>
            </w:r>
            <w:r>
              <w:rPr>
                <w:rFonts w:ascii="Times New Roman" w:hAnsi="Times New Roman" w:eastAsia="方正仿宋_GBK" w:cs="Times New Roman"/>
              </w:rPr>
              <w:t>废水污染物排放量：</w:t>
            </w:r>
            <w:r>
              <w:rPr>
                <w:rFonts w:ascii="Times New Roman" w:hAnsi="Times New Roman" w:eastAsia="等线" w:cs="Times New Roman"/>
              </w:rPr>
              <w:t>COD40.23t/a</w:t>
            </w:r>
            <w:r>
              <w:rPr>
                <w:rFonts w:ascii="Times New Roman" w:hAnsi="Times New Roman" w:eastAsia="方正仿宋_GBK" w:cs="Times New Roman"/>
              </w:rPr>
              <w:t>、氨氮</w:t>
            </w:r>
            <w:r>
              <w:rPr>
                <w:rFonts w:ascii="Times New Roman" w:hAnsi="Times New Roman" w:eastAsia="等线" w:cs="Times New Roman"/>
              </w:rPr>
              <w:t>4.02t/a</w:t>
            </w:r>
            <w:r>
              <w:rPr>
                <w:rFonts w:ascii="Times New Roman" w:hAnsi="Times New Roman" w:eastAsia="方正仿宋_GBK" w:cs="Times New Roman"/>
              </w:rPr>
              <w:t>、悬浮物</w:t>
            </w:r>
            <w:r>
              <w:rPr>
                <w:rFonts w:ascii="Times New Roman" w:hAnsi="Times New Roman" w:eastAsia="等线" w:cs="Times New Roman"/>
              </w:rPr>
              <w:t>8.05t/a</w:t>
            </w:r>
            <w:r>
              <w:rPr>
                <w:rFonts w:ascii="Times New Roman" w:hAnsi="Times New Roman" w:eastAsia="方正仿宋_GBK" w:cs="Times New Roman"/>
              </w:rPr>
              <w:t>、总磷</w:t>
            </w:r>
            <w:r>
              <w:rPr>
                <w:rFonts w:ascii="Times New Roman" w:hAnsi="Times New Roman" w:eastAsia="等线" w:cs="Times New Roman"/>
              </w:rPr>
              <w:t>0.40t/a</w:t>
            </w:r>
            <w:r>
              <w:rPr>
                <w:rFonts w:ascii="Times New Roman" w:hAnsi="Times New Roman" w:eastAsia="方正仿宋_GBK" w:cs="Times New Roman"/>
              </w:rPr>
              <w:t>、动植物油</w:t>
            </w:r>
            <w:r>
              <w:rPr>
                <w:rFonts w:ascii="Times New Roman" w:hAnsi="Times New Roman" w:eastAsia="等线" w:cs="Times New Roman"/>
              </w:rPr>
              <w:t>0.80t/a</w:t>
            </w:r>
            <w:r>
              <w:rPr>
                <w:rFonts w:ascii="Times New Roman" w:hAnsi="Times New Roman" w:eastAsia="方正仿宋_GBK" w:cs="Times New Roman"/>
              </w:rPr>
              <w:t>、石油类</w:t>
            </w:r>
            <w:r>
              <w:rPr>
                <w:rFonts w:ascii="Times New Roman" w:hAnsi="Times New Roman" w:eastAsia="等线" w:cs="Times New Roman"/>
              </w:rPr>
              <w:t>0.80t/a</w:t>
            </w:r>
            <w:r>
              <w:rPr>
                <w:rFonts w:ascii="Times New Roman" w:hAnsi="Times New Roman" w:eastAsia="方正仿宋_GBK" w:cs="Times New Roman"/>
              </w:rPr>
              <w:t>。</w:t>
            </w:r>
            <w:bookmarkEnd w:id="57"/>
            <w:bookmarkStart w:id="58" w:name="sys17877890"/>
            <w:r>
              <w:rPr>
                <w:rFonts w:hint="eastAsia" w:ascii="宋体" w:hAnsi="宋体" w:cs="宋体"/>
              </w:rPr>
              <w:t>②</w:t>
            </w:r>
            <w:r>
              <w:rPr>
                <w:rFonts w:ascii="Times New Roman" w:hAnsi="Times New Roman" w:eastAsia="方正仿宋_GBK" w:cs="Times New Roman"/>
              </w:rPr>
              <w:t>大气污染物排放量：二氧化硫</w:t>
            </w:r>
            <w:r>
              <w:rPr>
                <w:rFonts w:ascii="Times New Roman" w:hAnsi="Times New Roman" w:eastAsia="等线" w:cs="Times New Roman"/>
              </w:rPr>
              <w:t>2.89t/a</w:t>
            </w:r>
            <w:r>
              <w:rPr>
                <w:rFonts w:ascii="Times New Roman" w:hAnsi="Times New Roman" w:eastAsia="方正仿宋_GBK" w:cs="Times New Roman"/>
              </w:rPr>
              <w:t>、氨氮化物</w:t>
            </w:r>
            <w:r>
              <w:rPr>
                <w:rFonts w:ascii="Times New Roman" w:hAnsi="Times New Roman" w:eastAsia="等线" w:cs="Times New Roman"/>
              </w:rPr>
              <w:t>8.33t/a</w:t>
            </w:r>
            <w:r>
              <w:rPr>
                <w:rFonts w:ascii="Times New Roman" w:hAnsi="Times New Roman" w:eastAsia="方正仿宋_GBK" w:cs="Times New Roman"/>
              </w:rPr>
              <w:t>、烟尘</w:t>
            </w:r>
            <w:r>
              <w:rPr>
                <w:rFonts w:ascii="Times New Roman" w:hAnsi="Times New Roman" w:eastAsia="等线" w:cs="Times New Roman"/>
              </w:rPr>
              <w:t>1.39t/a</w:t>
            </w:r>
            <w:r>
              <w:rPr>
                <w:rFonts w:ascii="Times New Roman" w:hAnsi="Times New Roman" w:eastAsia="方正仿宋_GBK" w:cs="Times New Roman"/>
              </w:rPr>
              <w:t>、粉尘</w:t>
            </w:r>
            <w:r>
              <w:rPr>
                <w:rFonts w:ascii="Times New Roman" w:hAnsi="Times New Roman" w:eastAsia="等线" w:cs="Times New Roman"/>
              </w:rPr>
              <w:t>72.036t/a</w:t>
            </w:r>
            <w:r>
              <w:rPr>
                <w:rFonts w:ascii="Times New Roman" w:hAnsi="Times New Roman" w:eastAsia="方正仿宋_GBK" w:cs="Times New Roman"/>
              </w:rPr>
              <w:t>、</w:t>
            </w:r>
            <w:r>
              <w:rPr>
                <w:rFonts w:ascii="Times New Roman" w:hAnsi="Times New Roman" w:eastAsia="等线" w:cs="Times New Roman"/>
              </w:rPr>
              <w:t>VOCS48.74t/a</w:t>
            </w:r>
            <w:r>
              <w:rPr>
                <w:rFonts w:ascii="Times New Roman" w:hAnsi="Times New Roman" w:eastAsia="方正仿宋_GBK" w:cs="Times New Roman"/>
              </w:rPr>
              <w:t>、氨</w:t>
            </w:r>
            <w:r>
              <w:rPr>
                <w:rFonts w:ascii="Times New Roman" w:hAnsi="Times New Roman" w:eastAsia="等线" w:cs="Times New Roman"/>
              </w:rPr>
              <w:t>0.55t/a</w:t>
            </w:r>
            <w:r>
              <w:rPr>
                <w:rFonts w:ascii="Times New Roman" w:hAnsi="Times New Roman" w:eastAsia="方正仿宋_GBK" w:cs="Times New Roman"/>
              </w:rPr>
              <w:t>、硫化氢</w:t>
            </w:r>
            <w:r>
              <w:rPr>
                <w:rFonts w:ascii="Times New Roman" w:hAnsi="Times New Roman" w:eastAsia="等线" w:cs="Times New Roman"/>
              </w:rPr>
              <w:t>0.403t/a</w:t>
            </w:r>
            <w:r>
              <w:rPr>
                <w:rFonts w:ascii="Times New Roman" w:hAnsi="Times New Roman" w:eastAsia="方正仿宋_GBK" w:cs="Times New Roman"/>
              </w:rPr>
              <w:t>。</w:t>
            </w:r>
            <w:bookmarkEnd w:id="58"/>
            <w:bookmarkStart w:id="59" w:name="sys178716858"/>
            <w:r>
              <w:rPr>
                <w:rFonts w:ascii="Times New Roman" w:hAnsi="Times New Roman" w:eastAsia="方正仿宋_GBK" w:cs="Times New Roman"/>
              </w:rPr>
              <w:t>2、</w:t>
            </w:r>
            <w:bookmarkEnd w:id="59"/>
            <w:r>
              <w:rPr>
                <w:rFonts w:ascii="Times New Roman" w:hAnsi="Times New Roman" w:eastAsia="方正仿宋_GBK" w:cs="Times New Roman"/>
              </w:rPr>
              <w:t>区内高港港区永安作业区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54C3BE6B">
            <w:pPr>
              <w:adjustRightInd w:val="0"/>
              <w:spacing w:line="320" w:lineRule="exact"/>
              <w:rPr>
                <w:rFonts w:ascii="Times New Roman" w:hAnsi="Times New Roman" w:eastAsia="方正仿宋_GBK" w:cs="Times New Roman"/>
              </w:rPr>
            </w:pPr>
            <w:bookmarkStart w:id="60" w:name="sys1788051"/>
            <w:r>
              <w:rPr>
                <w:rFonts w:ascii="Times New Roman" w:hAnsi="Times New Roman" w:eastAsia="方正仿宋_GBK" w:cs="Times New Roman"/>
              </w:rPr>
              <w:t>1、建立并完善区域环境风险防范体系，制定完备的事故应急预案，贮存必要的应急物资，定期开展事故应急演练。</w:t>
            </w:r>
            <w:bookmarkEnd w:id="60"/>
            <w:bookmarkStart w:id="61" w:name="sys17885166"/>
            <w:r>
              <w:rPr>
                <w:rFonts w:ascii="Times New Roman" w:hAnsi="Times New Roman" w:eastAsia="方正仿宋_GBK" w:cs="Times New Roman"/>
              </w:rPr>
              <w:t>2、</w:t>
            </w:r>
            <w:bookmarkEnd w:id="61"/>
            <w:r>
              <w:rPr>
                <w:rFonts w:ascii="Times New Roman" w:hAnsi="Times New Roman" w:eastAsia="方正仿宋_GBK" w:cs="Times New Roman"/>
              </w:rPr>
              <w:t>区内高港港区永安作业区应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p>
        </w:tc>
        <w:tc>
          <w:tcPr>
            <w:tcW w:w="657" w:type="pct"/>
            <w:tcMar>
              <w:left w:w="57" w:type="dxa"/>
              <w:right w:w="57" w:type="dxa"/>
            </w:tcMar>
            <w:vAlign w:val="center"/>
          </w:tcPr>
          <w:p w14:paraId="746CF67E">
            <w:pPr>
              <w:adjustRightInd w:val="0"/>
              <w:spacing w:line="320" w:lineRule="exact"/>
              <w:rPr>
                <w:rFonts w:ascii="Times New Roman" w:hAnsi="Times New Roman" w:eastAsia="方正仿宋_GBK" w:cs="Times New Roman"/>
              </w:rPr>
            </w:pPr>
            <w:bookmarkStart w:id="62" w:name="sys1789066"/>
            <w:r>
              <w:rPr>
                <w:rFonts w:ascii="Times New Roman" w:hAnsi="Times New Roman" w:eastAsia="方正仿宋_GBK" w:cs="Times New Roman"/>
              </w:rPr>
              <w:t>1、禁止销售使用燃料为</w:t>
            </w:r>
            <w:r>
              <w:rPr>
                <w:rFonts w:ascii="Times New Roman" w:hAnsi="Times New Roman" w:eastAsia="等线" w:cs="Times New Roman"/>
              </w:rPr>
              <w:t>“</w:t>
            </w:r>
            <w:r>
              <w:rPr>
                <w:rFonts w:ascii="Times New Roman" w:hAnsi="Times New Roman" w:eastAsia="方正仿宋_GBK" w:cs="Times New Roman"/>
              </w:rPr>
              <w:t>Ⅲ类</w:t>
            </w:r>
            <w:r>
              <w:rPr>
                <w:rFonts w:ascii="Times New Roman" w:hAnsi="Times New Roman" w:eastAsia="等线" w:cs="Times New Roman"/>
              </w:rPr>
              <w:t>”</w:t>
            </w:r>
            <w:r>
              <w:rPr>
                <w:rFonts w:ascii="Times New Roman" w:hAnsi="Times New Roman" w:eastAsia="方正仿宋_GBK" w:cs="Times New Roman"/>
              </w:rPr>
              <w:t>（严格），具体包括：</w:t>
            </w:r>
            <w:r>
              <w:rPr>
                <w:rFonts w:hint="eastAsia" w:ascii="宋体" w:hAnsi="宋体" w:cs="宋体"/>
              </w:rPr>
              <w:t>①</w:t>
            </w:r>
            <w:r>
              <w:rPr>
                <w:rFonts w:ascii="Times New Roman" w:hAnsi="Times New Roman" w:eastAsia="方正仿宋_GBK" w:cs="Times New Roman"/>
              </w:rPr>
              <w:t>煤炭及其制品（包括原煤、散煤、煤矸石、煤泥、煤粉、水煤浆、型煤、焦炭、兰炭等）；</w:t>
            </w:r>
            <w:bookmarkEnd w:id="62"/>
            <w:r>
              <w:rPr>
                <w:rFonts w:hint="eastAsia" w:ascii="宋体" w:hAnsi="宋体" w:cs="宋体"/>
              </w:rPr>
              <w:t>②</w:t>
            </w:r>
            <w:r>
              <w:rPr>
                <w:rFonts w:ascii="Times New Roman" w:hAnsi="Times New Roman" w:eastAsia="方正仿宋_GBK" w:cs="Times New Roman"/>
              </w:rPr>
              <w:t>石油焦、油页岩、原油、重油、渣油、煤焦油；</w:t>
            </w:r>
            <w:bookmarkStart w:id="63" w:name="sys17898832"/>
            <w:r>
              <w:rPr>
                <w:rFonts w:hint="eastAsia" w:ascii="宋体" w:hAnsi="宋体" w:cs="宋体"/>
              </w:rPr>
              <w:t>③</w:t>
            </w:r>
            <w:r>
              <w:rPr>
                <w:rFonts w:ascii="Times New Roman" w:hAnsi="Times New Roman" w:eastAsia="方正仿宋_GBK" w:cs="Times New Roman"/>
              </w:rPr>
              <w:t>非专用锅炉或未配置高效除尘设施的专用锅炉燃用的生物质成型燃料；</w:t>
            </w:r>
            <w:bookmarkEnd w:id="63"/>
            <w:r>
              <w:rPr>
                <w:rFonts w:hint="eastAsia" w:ascii="宋体" w:hAnsi="宋体" w:cs="宋体"/>
              </w:rPr>
              <w:t>④</w:t>
            </w:r>
            <w:r>
              <w:rPr>
                <w:rFonts w:ascii="Times New Roman" w:hAnsi="Times New Roman" w:eastAsia="方正仿宋_GBK" w:cs="Times New Roman"/>
              </w:rPr>
              <w:t>国家规定的其它高污染燃料。2、区内高港港区永安作业区减少对自然岸线的占用，确保自然岸线保有率不低于国家和地方规定的比例。</w:t>
            </w:r>
          </w:p>
        </w:tc>
        <w:tc>
          <w:tcPr>
            <w:tcW w:w="603" w:type="pct"/>
            <w:tcMar>
              <w:left w:w="57" w:type="dxa"/>
              <w:right w:w="57" w:type="dxa"/>
            </w:tcMar>
            <w:vAlign w:val="center"/>
          </w:tcPr>
          <w:p w14:paraId="133947F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31C6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1" w:hRule="atLeast"/>
          <w:jc w:val="center"/>
        </w:trPr>
        <w:tc>
          <w:tcPr>
            <w:tcW w:w="165" w:type="pct"/>
            <w:tcMar>
              <w:left w:w="57" w:type="dxa"/>
              <w:right w:w="57" w:type="dxa"/>
            </w:tcMar>
            <w:vAlign w:val="center"/>
          </w:tcPr>
          <w:p w14:paraId="66FD5C34">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20C724F6">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12E1C4B1">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高港</w:t>
            </w:r>
          </w:p>
        </w:tc>
        <w:tc>
          <w:tcPr>
            <w:tcW w:w="402" w:type="pct"/>
            <w:tcMar>
              <w:left w:w="57" w:type="dxa"/>
              <w:right w:w="57" w:type="dxa"/>
            </w:tcMar>
            <w:vAlign w:val="center"/>
          </w:tcPr>
          <w:p w14:paraId="7A436D2D">
            <w:pPr>
              <w:adjustRightInd w:val="0"/>
              <w:spacing w:line="320" w:lineRule="exact"/>
              <w:jc w:val="center"/>
              <w:rPr>
                <w:rFonts w:ascii="Times New Roman" w:hAnsi="Times New Roman" w:eastAsia="方正仿宋_GBK" w:cs="Times New Roman"/>
              </w:rPr>
            </w:pPr>
            <w:bookmarkStart w:id="64" w:name="_Hlk173401179"/>
            <w:r>
              <w:rPr>
                <w:rFonts w:ascii="Times New Roman" w:hAnsi="Times New Roman" w:eastAsia="方正仿宋_GBK" w:cs="Times New Roman"/>
              </w:rPr>
              <w:t>港口码头工业</w:t>
            </w:r>
            <w:bookmarkEnd w:id="64"/>
            <w:r>
              <w:rPr>
                <w:rFonts w:ascii="Times New Roman" w:hAnsi="Times New Roman" w:eastAsia="方正仿宋_GBK" w:cs="Times New Roman"/>
              </w:rPr>
              <w:t>区</w:t>
            </w:r>
          </w:p>
        </w:tc>
        <w:tc>
          <w:tcPr>
            <w:tcW w:w="267" w:type="pct"/>
            <w:tcMar>
              <w:left w:w="57" w:type="dxa"/>
              <w:right w:w="57" w:type="dxa"/>
            </w:tcMar>
            <w:vAlign w:val="center"/>
          </w:tcPr>
          <w:p w14:paraId="07C03E01">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75175A24">
            <w:pPr>
              <w:adjustRightInd w:val="0"/>
              <w:spacing w:line="320" w:lineRule="exact"/>
              <w:rPr>
                <w:rFonts w:ascii="Times New Roman" w:hAnsi="Times New Roman" w:eastAsia="等线" w:cs="Times New Roman"/>
              </w:rPr>
            </w:pPr>
            <w:r>
              <w:rPr>
                <w:rFonts w:ascii="Times New Roman" w:hAnsi="Times New Roman" w:eastAsia="方正仿宋_GBK" w:cs="Times New Roman"/>
              </w:rPr>
              <w:t>1、新材料、新医药（化学药品原料药制造；化学药品制剂制造；兽用医药制造；生物化学药品、基因工程药物制造；化学新材料原料生产；含化工过程的项目）；重型装备（废旧船舶滩涂拆解工艺；船长大于</w:t>
            </w:r>
            <w:r>
              <w:rPr>
                <w:rFonts w:ascii="Times New Roman" w:hAnsi="Times New Roman" w:eastAsia="等线" w:cs="Times New Roman"/>
              </w:rPr>
              <w:t>80</w:t>
            </w:r>
            <w:r>
              <w:rPr>
                <w:rFonts w:ascii="Times New Roman" w:hAnsi="Times New Roman" w:eastAsia="方正仿宋_GBK" w:cs="Times New Roman"/>
              </w:rPr>
              <w:t>米的船舶整体建造工艺）；现代物流（油气、液体化工码头；涉及有毒、有害及危险品的仓储、物流配送）；粮油食品（白酒、酒精、糖精、味精、制糖生产等）；机械加工（电镀）；轻工加工（造纸、皮革、铅蓄电池、屠宰）禁止在长江干流自然保护区、风景名胜区、</w:t>
            </w:r>
            <w:r>
              <w:rPr>
                <w:rFonts w:ascii="Times New Roman" w:hAnsi="Times New Roman" w:eastAsia="等线" w:cs="Times New Roman"/>
              </w:rPr>
              <w:t>“</w:t>
            </w:r>
            <w:r>
              <w:rPr>
                <w:rFonts w:ascii="Times New Roman" w:hAnsi="Times New Roman" w:eastAsia="方正仿宋_GBK" w:cs="Times New Roman"/>
              </w:rPr>
              <w:t>四大家鱼</w:t>
            </w:r>
            <w:r>
              <w:rPr>
                <w:rFonts w:ascii="Times New Roman" w:hAnsi="Times New Roman" w:eastAsia="等线" w:cs="Times New Roman"/>
              </w:rPr>
              <w:t>”</w:t>
            </w:r>
            <w:r>
              <w:rPr>
                <w:rFonts w:ascii="Times New Roman" w:hAnsi="Times New Roman" w:eastAsia="方正仿宋_GBK" w:cs="Times New Roman"/>
              </w:rPr>
              <w:t>产卵场等管控重点区域新建工业类和污染类项目。</w:t>
            </w:r>
            <w:bookmarkStart w:id="65" w:name="sys179624161"/>
            <w:r>
              <w:rPr>
                <w:rFonts w:ascii="Times New Roman" w:hAnsi="Times New Roman" w:eastAsia="方正仿宋_GBK" w:cs="Times New Roman"/>
              </w:rPr>
              <w:t>2、区内高港港区永安作业区布局应满足《泰州港总体规划（2035年）》相关要求，位于国家生态保护红线内岸线禁止新建扩建码头。通用及多用途码头区位于水源地准保护区范围内的，不得建设有毒有害物品仓库、堆栈，或者设置煤场、灰场、垃圾填埋场，禁止承担煤炭运输。</w:t>
            </w:r>
            <w:bookmarkEnd w:id="65"/>
          </w:p>
        </w:tc>
        <w:tc>
          <w:tcPr>
            <w:tcW w:w="946" w:type="pct"/>
            <w:tcMar>
              <w:left w:w="57" w:type="dxa"/>
              <w:right w:w="57" w:type="dxa"/>
            </w:tcMar>
            <w:vAlign w:val="center"/>
          </w:tcPr>
          <w:p w14:paraId="1BEA169C">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w:t>
            </w:r>
            <w:r>
              <w:rPr>
                <w:rFonts w:hint="eastAsia" w:ascii="宋体" w:hAnsi="宋体" w:cs="宋体"/>
              </w:rPr>
              <w:t>①</w:t>
            </w:r>
            <w:r>
              <w:rPr>
                <w:rFonts w:ascii="Times New Roman" w:hAnsi="Times New Roman" w:eastAsia="方正仿宋_GBK" w:cs="Times New Roman"/>
              </w:rPr>
              <w:t>加强工业园区水污染防治。</w:t>
            </w:r>
            <w:bookmarkStart w:id="66" w:name="sys17971542"/>
            <w:r>
              <w:rPr>
                <w:rFonts w:ascii="Times New Roman" w:hAnsi="Times New Roman" w:eastAsia="方正仿宋_GBK" w:cs="Times New Roman"/>
              </w:rPr>
              <w:t>全面推动专业化废水集中处理和雨污分流设施建设，逐步实现与生活污水分开收集、分质处理。</w:t>
            </w:r>
            <w:bookmarkEnd w:id="66"/>
            <w:r>
              <w:rPr>
                <w:rFonts w:ascii="Times New Roman" w:hAnsi="Times New Roman" w:eastAsia="方正仿宋_GBK" w:cs="Times New Roman"/>
              </w:rPr>
              <w:t>推进污水处理厂水平衡核算，倒逼提高运行管理水平。</w:t>
            </w:r>
            <w:bookmarkStart w:id="67" w:name="sys17978166"/>
            <w:r>
              <w:rPr>
                <w:rFonts w:ascii="Times New Roman" w:hAnsi="Times New Roman" w:eastAsia="方正仿宋_GBK" w:cs="Times New Roman"/>
              </w:rPr>
              <w:t>推动企业预处理设施全部建设到位、重点污染行业废水明管输送、重点企业预处理污水排口和园区污水集中处理设施进出水口全部安装在线监控装置。</w:t>
            </w:r>
            <w:bookmarkEnd w:id="67"/>
            <w:bookmarkStart w:id="68" w:name="sys179714792"/>
            <w:r>
              <w:rPr>
                <w:rFonts w:hint="eastAsia" w:ascii="宋体" w:hAnsi="宋体" w:cs="宋体"/>
              </w:rPr>
              <w:t>②</w:t>
            </w:r>
            <w:r>
              <w:rPr>
                <w:rFonts w:ascii="Times New Roman" w:hAnsi="Times New Roman" w:eastAsia="方正仿宋_GBK" w:cs="Times New Roman"/>
              </w:rPr>
              <w:t>加强园区废气污染防治，持续推进工业污染源全面达标排放，二氧化硫、氮氧化物、颗粒物、</w:t>
            </w:r>
            <w:r>
              <w:rPr>
                <w:rFonts w:ascii="Times New Roman" w:hAnsi="Times New Roman" w:eastAsia="等线" w:cs="Times New Roman"/>
              </w:rPr>
              <w:t>VOCs</w:t>
            </w:r>
            <w:r>
              <w:rPr>
                <w:rFonts w:ascii="Times New Roman" w:hAnsi="Times New Roman" w:eastAsia="方正仿宋_GBK" w:cs="Times New Roman"/>
              </w:rPr>
              <w:t>全面执行大气污染物特别排放限值，无组织排放较为严重的重点企业开展颗粒物无组织排放深度整治等。</w:t>
            </w:r>
            <w:bookmarkEnd w:id="68"/>
            <w:bookmarkStart w:id="69" w:name="sys179723958"/>
            <w:r>
              <w:rPr>
                <w:rFonts w:ascii="Times New Roman" w:hAnsi="Times New Roman" w:eastAsia="方正仿宋_GBK" w:cs="Times New Roman"/>
              </w:rPr>
              <w:t>2、</w:t>
            </w:r>
            <w:bookmarkEnd w:id="69"/>
            <w:r>
              <w:rPr>
                <w:rFonts w:ascii="Times New Roman" w:hAnsi="Times New Roman" w:eastAsia="方正仿宋_GBK" w:cs="Times New Roman"/>
              </w:rPr>
              <w:t>区内高港港区永安作业区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7E721823">
            <w:pPr>
              <w:adjustRightInd w:val="0"/>
              <w:spacing w:line="320" w:lineRule="exact"/>
              <w:rPr>
                <w:rFonts w:ascii="Times New Roman" w:hAnsi="Times New Roman" w:eastAsia="方正仿宋_GBK" w:cs="Times New Roman"/>
              </w:rPr>
            </w:pPr>
            <w:bookmarkStart w:id="70" w:name="sys1798051"/>
            <w:r>
              <w:rPr>
                <w:rFonts w:ascii="Times New Roman" w:hAnsi="Times New Roman" w:eastAsia="方正仿宋_GBK" w:cs="Times New Roman"/>
              </w:rPr>
              <w:t>1、建立并完善区域环境风险防范体系，制定完备的事故应急预案，贮存必要的应急物资，定期开展事故应急演练。</w:t>
            </w:r>
            <w:bookmarkEnd w:id="70"/>
            <w:bookmarkStart w:id="71" w:name="sys17985166"/>
            <w:r>
              <w:rPr>
                <w:rFonts w:ascii="Times New Roman" w:hAnsi="Times New Roman" w:eastAsia="方正仿宋_GBK" w:cs="Times New Roman"/>
              </w:rPr>
              <w:t>2、</w:t>
            </w:r>
            <w:bookmarkEnd w:id="71"/>
            <w:r>
              <w:rPr>
                <w:rFonts w:ascii="Times New Roman" w:hAnsi="Times New Roman" w:eastAsia="方正仿宋_GBK" w:cs="Times New Roman"/>
              </w:rPr>
              <w:t>区内高港港区永安作业区应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p>
        </w:tc>
        <w:tc>
          <w:tcPr>
            <w:tcW w:w="657" w:type="pct"/>
            <w:tcMar>
              <w:left w:w="57" w:type="dxa"/>
              <w:right w:w="57" w:type="dxa"/>
            </w:tcMar>
            <w:vAlign w:val="center"/>
          </w:tcPr>
          <w:p w14:paraId="7A150321">
            <w:pPr>
              <w:adjustRightInd w:val="0"/>
              <w:spacing w:line="320" w:lineRule="exact"/>
              <w:rPr>
                <w:rFonts w:ascii="Times New Roman" w:hAnsi="Times New Roman" w:eastAsia="方正仿宋_GBK" w:cs="Times New Roman"/>
              </w:rPr>
            </w:pPr>
            <w:bookmarkStart w:id="72" w:name="sys1799066"/>
            <w:r>
              <w:rPr>
                <w:rFonts w:ascii="Times New Roman" w:hAnsi="Times New Roman" w:eastAsia="方正仿宋_GBK" w:cs="Times New Roman"/>
              </w:rPr>
              <w:t>1、禁止销售使用燃料为</w:t>
            </w:r>
            <w:r>
              <w:rPr>
                <w:rFonts w:ascii="Times New Roman" w:hAnsi="Times New Roman" w:eastAsia="等线" w:cs="Times New Roman"/>
              </w:rPr>
              <w:t>“</w:t>
            </w:r>
            <w:r>
              <w:rPr>
                <w:rFonts w:ascii="Times New Roman" w:hAnsi="Times New Roman" w:eastAsia="方正仿宋_GBK" w:cs="Times New Roman"/>
              </w:rPr>
              <w:t>Ⅲ类</w:t>
            </w:r>
            <w:r>
              <w:rPr>
                <w:rFonts w:ascii="Times New Roman" w:hAnsi="Times New Roman" w:eastAsia="等线" w:cs="Times New Roman"/>
              </w:rPr>
              <w:t>”</w:t>
            </w:r>
            <w:r>
              <w:rPr>
                <w:rFonts w:ascii="Times New Roman" w:hAnsi="Times New Roman" w:eastAsia="方正仿宋_GBK" w:cs="Times New Roman"/>
              </w:rPr>
              <w:t>（严格），具体包括：</w:t>
            </w:r>
            <w:r>
              <w:rPr>
                <w:rFonts w:hint="eastAsia" w:ascii="宋体" w:hAnsi="宋体" w:cs="宋体"/>
              </w:rPr>
              <w:t>①</w:t>
            </w:r>
            <w:r>
              <w:rPr>
                <w:rFonts w:ascii="Times New Roman" w:hAnsi="Times New Roman" w:eastAsia="方正仿宋_GBK" w:cs="Times New Roman"/>
              </w:rPr>
              <w:t>煤炭及其制品（包括原煤、散煤、煤矸石、煤泥、煤粉、水煤浆、型煤、焦炭、兰炭等）；</w:t>
            </w:r>
            <w:bookmarkEnd w:id="72"/>
            <w:r>
              <w:rPr>
                <w:rFonts w:hint="eastAsia" w:ascii="宋体" w:hAnsi="宋体" w:cs="宋体"/>
              </w:rPr>
              <w:t>②</w:t>
            </w:r>
            <w:r>
              <w:rPr>
                <w:rFonts w:ascii="Times New Roman" w:hAnsi="Times New Roman" w:eastAsia="方正仿宋_GBK" w:cs="Times New Roman"/>
              </w:rPr>
              <w:t>石油焦、油页岩、原油、重油、渣油、煤焦油；</w:t>
            </w:r>
            <w:bookmarkStart w:id="73" w:name="sys17998832"/>
            <w:r>
              <w:rPr>
                <w:rFonts w:hint="eastAsia" w:ascii="宋体" w:hAnsi="宋体" w:cs="宋体"/>
              </w:rPr>
              <w:t>③</w:t>
            </w:r>
            <w:r>
              <w:rPr>
                <w:rFonts w:ascii="Times New Roman" w:hAnsi="Times New Roman" w:eastAsia="方正仿宋_GBK" w:cs="Times New Roman"/>
              </w:rPr>
              <w:t>非专用锅炉或未配置高效除尘设施的专用锅炉燃用的生物质成型燃料；</w:t>
            </w:r>
            <w:bookmarkEnd w:id="73"/>
            <w:r>
              <w:rPr>
                <w:rFonts w:hint="eastAsia" w:ascii="宋体" w:hAnsi="宋体" w:cs="宋体"/>
              </w:rPr>
              <w:t>④</w:t>
            </w:r>
            <w:r>
              <w:rPr>
                <w:rFonts w:ascii="Times New Roman" w:hAnsi="Times New Roman" w:eastAsia="方正仿宋_GBK" w:cs="Times New Roman"/>
              </w:rPr>
              <w:t>国家规定的其它高污染燃料。2、区内高港港区永安作业区减少对自然岸线的占用，确保自然岸线保有率不低于国家和地方规定的比例。</w:t>
            </w:r>
          </w:p>
        </w:tc>
        <w:tc>
          <w:tcPr>
            <w:tcW w:w="603" w:type="pct"/>
            <w:tcMar>
              <w:left w:w="57" w:type="dxa"/>
              <w:right w:w="57" w:type="dxa"/>
            </w:tcMar>
            <w:vAlign w:val="center"/>
          </w:tcPr>
          <w:p w14:paraId="1325F21E">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014B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9" w:hRule="atLeast"/>
          <w:jc w:val="center"/>
        </w:trPr>
        <w:tc>
          <w:tcPr>
            <w:tcW w:w="165" w:type="pct"/>
            <w:tcMar>
              <w:left w:w="57" w:type="dxa"/>
              <w:right w:w="57" w:type="dxa"/>
            </w:tcMar>
            <w:vAlign w:val="center"/>
          </w:tcPr>
          <w:p w14:paraId="17556AE5">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42F29CF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707DB94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泰州医药高新区</w:t>
            </w:r>
          </w:p>
        </w:tc>
        <w:tc>
          <w:tcPr>
            <w:tcW w:w="402" w:type="pct"/>
            <w:tcMar>
              <w:left w:w="57" w:type="dxa"/>
              <w:right w:w="57" w:type="dxa"/>
            </w:tcMar>
            <w:vAlign w:val="center"/>
          </w:tcPr>
          <w:p w14:paraId="2238CB8E">
            <w:pPr>
              <w:adjustRightInd w:val="0"/>
              <w:spacing w:line="320" w:lineRule="exact"/>
              <w:jc w:val="center"/>
              <w:rPr>
                <w:rFonts w:ascii="Times New Roman" w:hAnsi="Times New Roman" w:eastAsia="方正仿宋_GBK" w:cs="Times New Roman"/>
              </w:rPr>
            </w:pPr>
            <w:bookmarkStart w:id="74" w:name="_Hlk173401924"/>
            <w:r>
              <w:rPr>
                <w:rFonts w:ascii="Times New Roman" w:hAnsi="Times New Roman" w:eastAsia="方正仿宋_GBK" w:cs="Times New Roman"/>
              </w:rPr>
              <w:t>泰州医药高新技术产业开发区</w:t>
            </w:r>
            <w:bookmarkEnd w:id="74"/>
          </w:p>
        </w:tc>
        <w:tc>
          <w:tcPr>
            <w:tcW w:w="267" w:type="pct"/>
            <w:tcMar>
              <w:left w:w="57" w:type="dxa"/>
              <w:right w:w="57" w:type="dxa"/>
            </w:tcMar>
            <w:vAlign w:val="center"/>
          </w:tcPr>
          <w:p w14:paraId="77E5D17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46A0A122">
            <w:pPr>
              <w:adjustRightInd w:val="0"/>
              <w:spacing w:line="320" w:lineRule="exact"/>
              <w:rPr>
                <w:rFonts w:ascii="Times New Roman" w:hAnsi="Times New Roman" w:eastAsia="方正仿宋_GBK" w:cs="Times New Roman"/>
              </w:rPr>
            </w:pPr>
            <w:r>
              <w:rPr>
                <w:rFonts w:ascii="Times New Roman" w:hAnsi="Times New Roman" w:eastAsia="等线" w:cs="Times New Roman"/>
              </w:rPr>
              <w:t>1</w:t>
            </w:r>
            <w:r>
              <w:rPr>
                <w:rFonts w:ascii="Times New Roman" w:hAnsi="Times New Roman" w:eastAsia="方正仿宋_GBK" w:cs="Times New Roman"/>
              </w:rPr>
              <w:t>、泰州医药高新技术产业开发区（高端健康产业集聚区</w:t>
            </w:r>
            <w:sdt>
              <w:sdtPr>
                <w:rPr>
                  <w:rFonts w:ascii="Times New Roman" w:hAnsi="Times New Roman" w:cs="Times New Roman"/>
                </w:rPr>
                <w:alias w:val="标点符号检查"/>
                <w:id w:val="2062451"/>
              </w:sdtPr>
              <w:sdtEndPr>
                <w:rPr>
                  <w:rFonts w:ascii="Times New Roman" w:hAnsi="Times New Roman" w:cs="Times New Roman"/>
                </w:rPr>
              </w:sdtEndPr>
              <w:sdtContent>
                <w:bookmarkStart w:id="75" w:name="bkReivew2062451"/>
                <w:r>
                  <w:rPr>
                    <w:rFonts w:ascii="Times New Roman" w:hAnsi="Times New Roman" w:eastAsia="方正仿宋_GBK" w:cs="Times New Roman"/>
                  </w:rPr>
                  <w:t>（</w:t>
                </w:r>
                <w:bookmarkEnd w:id="75"/>
              </w:sdtContent>
            </w:sdt>
            <w:r>
              <w:rPr>
                <w:rFonts w:ascii="Times New Roman" w:hAnsi="Times New Roman" w:eastAsia="方正仿宋_GBK" w:cs="Times New Roman"/>
              </w:rPr>
              <w:t>野徐南片</w:t>
            </w:r>
            <w:sdt>
              <w:sdtPr>
                <w:rPr>
                  <w:rFonts w:ascii="Times New Roman" w:hAnsi="Times New Roman" w:cs="Times New Roman"/>
                </w:rPr>
                <w:alias w:val="标点符号检查"/>
                <w:id w:val="1123256"/>
              </w:sdtPr>
              <w:sdtEndPr>
                <w:rPr>
                  <w:rFonts w:ascii="Times New Roman" w:hAnsi="Times New Roman" w:cs="Times New Roman"/>
                </w:rPr>
              </w:sdtEndPr>
              <w:sdtContent>
                <w:bookmarkStart w:id="76" w:name="bkReivew1123256"/>
                <w:r>
                  <w:rPr>
                    <w:rFonts w:ascii="Times New Roman" w:hAnsi="Times New Roman" w:eastAsia="方正仿宋_GBK" w:cs="Times New Roman"/>
                  </w:rPr>
                  <w:t>）</w:t>
                </w:r>
                <w:bookmarkEnd w:id="76"/>
              </w:sdtContent>
            </w:sdt>
            <w:r>
              <w:rPr>
                <w:rFonts w:ascii="Times New Roman" w:hAnsi="Times New Roman" w:eastAsia="方正仿宋_GBK" w:cs="Times New Roman"/>
              </w:rPr>
              <w:t>）限制发展：含电镀工艺的项目；专门从事喷涂、酸洗等表面处理加工的项目；以化学试验为主要工艺的检验检测项目；落后工艺、产能类：</w:t>
            </w:r>
            <w:r>
              <w:rPr>
                <w:rFonts w:hint="eastAsia" w:ascii="宋体" w:hAnsi="宋体" w:cs="宋体"/>
              </w:rPr>
              <w:t>①</w:t>
            </w:r>
            <w:r>
              <w:rPr>
                <w:rFonts w:ascii="Times New Roman" w:hAnsi="Times New Roman" w:eastAsia="方正仿宋_GBK" w:cs="Times New Roman"/>
              </w:rPr>
              <w:t>列入《野生药材资源保护条例》和《中国珍稀、濒危保护植物名录》的中药材加工。</w:t>
            </w:r>
            <w:r>
              <w:rPr>
                <w:rFonts w:hint="eastAsia" w:ascii="宋体" w:hAnsi="宋体" w:cs="宋体"/>
              </w:rPr>
              <w:t>②</w:t>
            </w:r>
            <w:r>
              <w:rPr>
                <w:rFonts w:ascii="Times New Roman" w:hAnsi="Times New Roman" w:eastAsia="方正仿宋_GBK" w:cs="Times New Roman"/>
              </w:rPr>
              <w:t>含手工胶囊填充工艺、软木塞烫腊包装药品工艺；铁粉还原法对乙酰氨基酚（扑热息痛）、咖啡因装置。</w:t>
            </w:r>
            <w:r>
              <w:rPr>
                <w:rFonts w:hint="eastAsia" w:ascii="宋体" w:hAnsi="宋体" w:cs="宋体"/>
              </w:rPr>
              <w:t>③</w:t>
            </w:r>
            <w:r>
              <w:rPr>
                <w:rFonts w:ascii="Times New Roman" w:hAnsi="Times New Roman" w:eastAsia="方正仿宋_GBK" w:cs="Times New Roman"/>
              </w:rPr>
              <w:t>使用氯氟烃（</w:t>
            </w:r>
            <w:sdt>
              <w:sdtPr>
                <w:rPr>
                  <w:rFonts w:ascii="Times New Roman" w:hAnsi="Times New Roman" w:cs="Times New Roman"/>
                </w:rPr>
                <w:alias w:val="译文检查"/>
                <w:id w:val="1130713"/>
              </w:sdtPr>
              <w:sdtEndPr>
                <w:rPr>
                  <w:rFonts w:ascii="Times New Roman" w:hAnsi="Times New Roman" w:cs="Times New Roman"/>
                </w:rPr>
              </w:sdtEndPr>
              <w:sdtContent>
                <w:bookmarkStart w:id="77" w:name="bkReivew1130713"/>
                <w:r>
                  <w:rPr>
                    <w:rFonts w:ascii="Times New Roman" w:hAnsi="Times New Roman" w:eastAsia="等线" w:cs="Times New Roman"/>
                  </w:rPr>
                  <w:t>CFCs</w:t>
                </w:r>
                <w:bookmarkEnd w:id="77"/>
              </w:sdtContent>
            </w:sdt>
            <w:r>
              <w:rPr>
                <w:rFonts w:ascii="Times New Roman" w:hAnsi="Times New Roman" w:eastAsia="方正仿宋_GBK" w:cs="Times New Roman"/>
              </w:rPr>
              <w:t>）作为气雾剂、推进剂、抛射剂或分散剂的医药用品生产工艺；铅锡软膏管、单层聚烯烃软膏管（肛肠、腔道给药除外）；输液用聚氯乙烯（</w:t>
            </w:r>
            <w:r>
              <w:rPr>
                <w:rFonts w:ascii="Times New Roman" w:hAnsi="Times New Roman" w:eastAsia="等线" w:cs="Times New Roman"/>
              </w:rPr>
              <w:t>PVC</w:t>
            </w:r>
            <w:r>
              <w:rPr>
                <w:rFonts w:ascii="Times New Roman" w:hAnsi="Times New Roman" w:eastAsia="方正仿宋_GBK" w:cs="Times New Roman"/>
              </w:rPr>
              <w:t>）软袋（不包括腹膜透析液、冲洗液用）；其他属于国家、江苏省及泰州市现行产业政策淘汰类或禁止类范畴。</w:t>
            </w:r>
            <w:r>
              <w:rPr>
                <w:rFonts w:ascii="Times New Roman" w:hAnsi="Times New Roman" w:eastAsia="等线" w:cs="Times New Roman"/>
              </w:rPr>
              <w:t>2</w:t>
            </w:r>
            <w:r>
              <w:rPr>
                <w:rFonts w:ascii="Times New Roman" w:hAnsi="Times New Roman" w:eastAsia="方正仿宋_GBK" w:cs="Times New Roman"/>
              </w:rPr>
              <w:t>、泰州医药高新技术产业园区：环境准入限制：</w:t>
            </w:r>
            <w:r>
              <w:rPr>
                <w:rFonts w:hint="eastAsia" w:ascii="宋体" w:hAnsi="宋体" w:cs="宋体"/>
              </w:rPr>
              <w:t>①</w:t>
            </w:r>
            <w:r>
              <w:rPr>
                <w:rFonts w:ascii="Times New Roman" w:hAnsi="Times New Roman" w:eastAsia="方正仿宋_GBK" w:cs="Times New Roman"/>
              </w:rPr>
              <w:t>高毒、高残留以及对环境影响大的农药原药项目，禁止新建、扩建农药、医药和染料中间体化工项目（《省政府印发关于促进全省生物医药产业高质量发展若干政策措施的通知》</w:t>
            </w:r>
            <w:sdt>
              <w:sdtPr>
                <w:rPr>
                  <w:rFonts w:ascii="Times New Roman" w:hAnsi="Times New Roman" w:cs="Times New Roman"/>
                </w:rPr>
                <w:alias w:val="标点符号检查"/>
                <w:id w:val="3160411"/>
              </w:sdtPr>
              <w:sdtEndPr>
                <w:rPr>
                  <w:rFonts w:ascii="Times New Roman" w:hAnsi="Times New Roman" w:cs="Times New Roman"/>
                </w:rPr>
              </w:sdtEndPr>
              <w:sdtContent>
                <w:bookmarkStart w:id="78" w:name="bkReivew3160411"/>
                <w:r>
                  <w:rPr>
                    <w:rFonts w:ascii="Times New Roman" w:hAnsi="Times New Roman" w:eastAsia="方正仿宋_GBK" w:cs="Times New Roman"/>
                  </w:rPr>
                  <w:t>（</w:t>
                </w:r>
                <w:bookmarkEnd w:id="78"/>
              </w:sdtContent>
            </w:sdt>
            <w:r>
              <w:rPr>
                <w:rFonts w:ascii="Times New Roman" w:hAnsi="Times New Roman" w:eastAsia="方正仿宋_GBK" w:cs="Times New Roman"/>
              </w:rPr>
              <w:t>苏政发〔</w:t>
            </w:r>
            <w:r>
              <w:rPr>
                <w:rFonts w:ascii="Times New Roman" w:hAnsi="Times New Roman" w:eastAsia="等线" w:cs="Times New Roman"/>
              </w:rPr>
              <w:t>2021</w:t>
            </w:r>
            <w:r>
              <w:rPr>
                <w:rFonts w:ascii="Times New Roman" w:hAnsi="Times New Roman" w:eastAsia="方正仿宋_GBK" w:cs="Times New Roman"/>
              </w:rPr>
              <w:t>〕</w:t>
            </w:r>
            <w:r>
              <w:rPr>
                <w:rFonts w:ascii="Times New Roman" w:hAnsi="Times New Roman" w:eastAsia="等线" w:cs="Times New Roman"/>
              </w:rPr>
              <w:t>59</w:t>
            </w:r>
            <w:r>
              <w:rPr>
                <w:rFonts w:ascii="Times New Roman" w:hAnsi="Times New Roman" w:eastAsia="方正仿宋_GBK" w:cs="Times New Roman"/>
              </w:rPr>
              <w:t>号</w:t>
            </w:r>
            <w:sdt>
              <w:sdtPr>
                <w:rPr>
                  <w:rFonts w:ascii="Times New Roman" w:hAnsi="Times New Roman" w:cs="Times New Roman"/>
                </w:rPr>
                <w:alias w:val="标点符号检查"/>
                <w:id w:val="2181101"/>
              </w:sdtPr>
              <w:sdtEndPr>
                <w:rPr>
                  <w:rFonts w:ascii="Times New Roman" w:hAnsi="Times New Roman" w:cs="Times New Roman"/>
                </w:rPr>
              </w:sdtEndPr>
              <w:sdtContent>
                <w:bookmarkStart w:id="79" w:name="bkReivew2181101"/>
                <w:r>
                  <w:rPr>
                    <w:rFonts w:ascii="Times New Roman" w:hAnsi="Times New Roman" w:eastAsia="方正仿宋_GBK" w:cs="Times New Roman"/>
                  </w:rPr>
                  <w:t>）</w:t>
                </w:r>
                <w:bookmarkEnd w:id="79"/>
              </w:sdtContent>
            </w:sdt>
            <w:r>
              <w:rPr>
                <w:rFonts w:ascii="Times New Roman" w:hAnsi="Times New Roman" w:eastAsia="方正仿宋_GBK" w:cs="Times New Roman"/>
              </w:rPr>
              <w:t>中鼓励项目除外）；</w:t>
            </w:r>
            <w:r>
              <w:rPr>
                <w:rFonts w:hint="eastAsia" w:ascii="宋体" w:hAnsi="宋体" w:cs="宋体"/>
              </w:rPr>
              <w:t>②</w:t>
            </w:r>
            <w:r>
              <w:rPr>
                <w:rFonts w:ascii="Times New Roman" w:hAnsi="Times New Roman" w:eastAsia="方正仿宋_GBK" w:cs="Times New Roman"/>
              </w:rPr>
              <w:t>高端医疗器械产业片区（引江河</w:t>
            </w:r>
            <w:r>
              <w:rPr>
                <w:rFonts w:ascii="Times New Roman" w:hAnsi="Times New Roman" w:eastAsia="等线" w:cs="Times New Roman"/>
              </w:rPr>
              <w:t>1km</w:t>
            </w:r>
            <w:r>
              <w:rPr>
                <w:rFonts w:ascii="Times New Roman" w:hAnsi="Times New Roman" w:eastAsia="方正仿宋_GBK" w:cs="Times New Roman"/>
              </w:rPr>
              <w:t>）内严格执行《江苏省通榆河水污染防治条例》要求；《产业结构调整指导目录（</w:t>
            </w:r>
            <w:r>
              <w:rPr>
                <w:rFonts w:ascii="Times New Roman" w:hAnsi="Times New Roman" w:eastAsia="等线" w:cs="Times New Roman"/>
              </w:rPr>
              <w:t>2019</w:t>
            </w:r>
            <w:r>
              <w:rPr>
                <w:rFonts w:ascii="Times New Roman" w:hAnsi="Times New Roman" w:eastAsia="方正仿宋_GBK" w:cs="Times New Roman"/>
              </w:rPr>
              <w:t>年本）》《外商投资准入特别管理措施（负面清单）（</w:t>
            </w:r>
            <w:r>
              <w:rPr>
                <w:rFonts w:ascii="Times New Roman" w:hAnsi="Times New Roman" w:eastAsia="等线" w:cs="Times New Roman"/>
              </w:rPr>
              <w:t>2020</w:t>
            </w:r>
            <w:r>
              <w:rPr>
                <w:rFonts w:ascii="Times New Roman" w:hAnsi="Times New Roman" w:eastAsia="方正仿宋_GBK" w:cs="Times New Roman"/>
              </w:rPr>
              <w:t>年版）》《江苏省工业和信息产业结构调整指导目录（</w:t>
            </w:r>
            <w:r>
              <w:rPr>
                <w:rFonts w:ascii="Times New Roman" w:hAnsi="Times New Roman" w:eastAsia="等线" w:cs="Times New Roman"/>
              </w:rPr>
              <w:t>2012</w:t>
            </w:r>
            <w:r>
              <w:rPr>
                <w:rFonts w:ascii="Times New Roman" w:hAnsi="Times New Roman" w:eastAsia="方正仿宋_GBK" w:cs="Times New Roman"/>
              </w:rPr>
              <w:t>年本）》及其修订（苏经信产业〔</w:t>
            </w:r>
            <w:r>
              <w:rPr>
                <w:rFonts w:ascii="Times New Roman" w:hAnsi="Times New Roman" w:eastAsia="等线" w:cs="Times New Roman"/>
              </w:rPr>
              <w:t>2013</w:t>
            </w:r>
            <w:r>
              <w:rPr>
                <w:rFonts w:ascii="Times New Roman" w:hAnsi="Times New Roman" w:eastAsia="方正仿宋_GBK" w:cs="Times New Roman"/>
              </w:rPr>
              <w:t>〕</w:t>
            </w:r>
            <w:r>
              <w:rPr>
                <w:rFonts w:ascii="Times New Roman" w:hAnsi="Times New Roman" w:eastAsia="等线" w:cs="Times New Roman"/>
              </w:rPr>
              <w:t>183</w:t>
            </w:r>
            <w:r>
              <w:rPr>
                <w:rFonts w:ascii="Times New Roman" w:hAnsi="Times New Roman" w:eastAsia="方正仿宋_GBK" w:cs="Times New Roman"/>
              </w:rPr>
              <w:t>号）、《江苏省工业和信息产业结构调整限制、淘汰目录和能耗限额》（苏政办发〔</w:t>
            </w:r>
            <w:r>
              <w:rPr>
                <w:rFonts w:ascii="Times New Roman" w:hAnsi="Times New Roman" w:eastAsia="等线" w:cs="Times New Roman"/>
              </w:rPr>
              <w:t>2015</w:t>
            </w:r>
            <w:r>
              <w:rPr>
                <w:rFonts w:ascii="Times New Roman" w:hAnsi="Times New Roman" w:eastAsia="方正仿宋_GBK" w:cs="Times New Roman"/>
              </w:rPr>
              <w:t>〕</w:t>
            </w:r>
            <w:r>
              <w:rPr>
                <w:rFonts w:ascii="Times New Roman" w:hAnsi="Times New Roman" w:eastAsia="等线" w:cs="Times New Roman"/>
              </w:rPr>
              <w:t>118</w:t>
            </w:r>
            <w:r>
              <w:rPr>
                <w:rFonts w:ascii="Times New Roman" w:hAnsi="Times New Roman" w:eastAsia="方正仿宋_GBK" w:cs="Times New Roman"/>
              </w:rPr>
              <w:t>号）、《泰州市产业结构调整指导目录（</w:t>
            </w:r>
            <w:r>
              <w:rPr>
                <w:rFonts w:ascii="Times New Roman" w:hAnsi="Times New Roman" w:eastAsia="等线" w:cs="Times New Roman"/>
              </w:rPr>
              <w:t>2016</w:t>
            </w:r>
            <w:r>
              <w:rPr>
                <w:rFonts w:ascii="Times New Roman" w:hAnsi="Times New Roman" w:eastAsia="方正仿宋_GBK" w:cs="Times New Roman"/>
              </w:rPr>
              <w:t>年本）》禁止、限制及淘汰类项目。</w:t>
            </w:r>
            <w:bookmarkStart w:id="80" w:name="sys181664830"/>
            <w:r>
              <w:rPr>
                <w:rFonts w:hint="eastAsia" w:ascii="宋体" w:hAnsi="宋体" w:cs="宋体"/>
              </w:rPr>
              <w:t>③</w:t>
            </w:r>
            <w:r>
              <w:rPr>
                <w:rFonts w:ascii="Times New Roman" w:hAnsi="Times New Roman" w:eastAsia="方正仿宋_GBK" w:cs="Times New Roman"/>
              </w:rPr>
              <w:t>生产和使用高</w:t>
            </w:r>
            <w:r>
              <w:rPr>
                <w:rFonts w:ascii="Times New Roman" w:hAnsi="Times New Roman" w:eastAsia="等线" w:cs="Times New Roman"/>
              </w:rPr>
              <w:t>VOCs</w:t>
            </w:r>
            <w:r>
              <w:rPr>
                <w:rFonts w:ascii="Times New Roman" w:hAnsi="Times New Roman" w:eastAsia="方正仿宋_GBK" w:cs="Times New Roman"/>
              </w:rPr>
              <w:t>含量的溶剂型涂料、油墨、胶粘剂等项目。</w:t>
            </w:r>
            <w:bookmarkEnd w:id="80"/>
            <w:r>
              <w:rPr>
                <w:rFonts w:hint="eastAsia" w:ascii="宋体" w:hAnsi="宋体" w:cs="宋体"/>
              </w:rPr>
              <w:t>④</w:t>
            </w:r>
            <w:r>
              <w:rPr>
                <w:rFonts w:ascii="Times New Roman" w:hAnsi="Times New Roman" w:eastAsia="方正仿宋_GBK" w:cs="Times New Roman"/>
              </w:rPr>
              <w:t>生产抗生素类产品的项目。</w:t>
            </w:r>
            <w:r>
              <w:rPr>
                <w:rFonts w:hint="eastAsia" w:ascii="宋体" w:hAnsi="宋体" w:cs="宋体"/>
              </w:rPr>
              <w:t>⑤</w:t>
            </w:r>
            <w:r>
              <w:rPr>
                <w:rFonts w:ascii="Times New Roman" w:hAnsi="Times New Roman" w:eastAsia="方正仿宋_GBK" w:cs="Times New Roman"/>
              </w:rPr>
              <w:t>采用落后的生产工艺或生产设备，高水耗、高物耗、高能耗，清洁生产低于国家清洁生产先进水平或行业先进水平的项目。</w:t>
            </w:r>
            <w:r>
              <w:rPr>
                <w:rFonts w:hint="eastAsia" w:ascii="宋体" w:hAnsi="宋体" w:cs="宋体"/>
              </w:rPr>
              <w:t>⑥</w:t>
            </w:r>
            <w:r>
              <w:rPr>
                <w:rFonts w:ascii="Times New Roman" w:hAnsi="Times New Roman" w:eastAsia="方正仿宋_GBK" w:cs="Times New Roman"/>
              </w:rPr>
              <w:t>燃用高污染燃料的项目和设施。3、区内高港港区杨湾作业区：长江岸线保护和开发利用总体规划中的岸线保护区内禁止建设内容按照长江经济带负面清单指南执行。杨湾作业区1000米岸线以及后方陆域45公顷位于通榆河一级保护区内，限制新建、扩建码头。杨湾港务5万吨级码头禁止新建、扩建。4、区内高港港区高港作业区：饮用水源准保护区内禁止新建、扩建危险化学品码头，不得建设有毒有害物品仓库、堆栈，或者设置煤场、灰场、垃圾填埋场，禁止承担煤炭运输。海泰油品码头、通江油品码头、东联油品码头维持现状吞吐量水平、不得扩建，改建不得增加排污量及水环境风险。海泰油品码头、通江油品码头调整的货种不突破油品类，东联油品码头货种仅保留现有的柴油、汽油、原油。5、严格执行《江苏省通榆河水污染防治条例》要求。</w:t>
            </w:r>
          </w:p>
        </w:tc>
        <w:tc>
          <w:tcPr>
            <w:tcW w:w="946" w:type="pct"/>
            <w:tcMar>
              <w:left w:w="57" w:type="dxa"/>
              <w:right w:w="57" w:type="dxa"/>
            </w:tcMar>
            <w:vAlign w:val="center"/>
          </w:tcPr>
          <w:p w14:paraId="1B52817A">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泰州医药高新技术产业开发区高端健康产业集聚区（野徐南片）废气污染物排放量：二氧化硫1.64吨/年，NOx3.14吨/年，烟粉尘8.97吨/年，二甲苯2.24吨/年，VOCs11.51吨/年，HCL0.39吨/年，硫酸雾0.3吨/年。废水污染物排放量：COD38.2吨/年，BOD57.6吨/年，SS7.6吨/年，氨氮3.8吨/年，总磷0.4吨/年，石油类0.8吨/年。</w:t>
            </w:r>
            <w:bookmarkStart w:id="81" w:name="sys1817186118"/>
            <w:r>
              <w:rPr>
                <w:rFonts w:ascii="Times New Roman" w:hAnsi="Times New Roman" w:eastAsia="方正仿宋_GBK" w:cs="Times New Roman"/>
              </w:rPr>
              <w:t>2、泰州医药高新技术产业园区：近期（2025年）SO</w:t>
            </w:r>
            <w:r>
              <w:rPr>
                <w:rFonts w:ascii="Times New Roman" w:hAnsi="Times New Roman" w:eastAsia="方正仿宋_GBK" w:cs="Times New Roman"/>
                <w:vertAlign w:val="subscript"/>
              </w:rPr>
              <w:t>2</w:t>
            </w:r>
            <w:r>
              <w:rPr>
                <w:rFonts w:ascii="Times New Roman" w:hAnsi="Times New Roman" w:eastAsia="方正仿宋_GBK" w:cs="Times New Roman"/>
              </w:rPr>
              <w:t>7.14t/a、NOx34.21t/a、颗粒物12.81t/a、硫化氢4.77t/a，氨6.70t/a，甲苯0.62t/a，非甲烷总烃121.41t/a</w:t>
            </w:r>
            <w:sdt>
              <w:sdtPr>
                <w:rPr>
                  <w:rFonts w:ascii="Times New Roman" w:hAnsi="Times New Roman" w:cs="Times New Roman"/>
                </w:rPr>
                <w:alias w:val="标点符号检查"/>
                <w:id w:val="1083240"/>
              </w:sdtPr>
              <w:sdtEndPr>
                <w:rPr>
                  <w:rFonts w:ascii="Times New Roman" w:hAnsi="Times New Roman" w:cs="Times New Roman"/>
                </w:rPr>
              </w:sdtEndPr>
              <w:sdtContent>
                <w:r>
                  <w:rPr>
                    <w:rFonts w:ascii="Times New Roman" w:hAnsi="Times New Roman" w:cs="Times New Roman"/>
                  </w:rPr>
                  <w:t>，</w:t>
                </w:r>
              </w:sdtContent>
            </w:sdt>
            <w:r>
              <w:rPr>
                <w:rFonts w:ascii="Times New Roman" w:hAnsi="Times New Roman" w:eastAsia="方正仿宋_GBK" w:cs="Times New Roman"/>
              </w:rPr>
              <w:t>VOCs151.76t/a。</w:t>
            </w:r>
            <w:bookmarkEnd w:id="81"/>
            <w:bookmarkStart w:id="82" w:name="sys181730451"/>
            <w:r>
              <w:rPr>
                <w:rFonts w:ascii="Times New Roman" w:hAnsi="Times New Roman" w:eastAsia="方正仿宋_GBK" w:cs="Times New Roman"/>
              </w:rPr>
              <w:t>废水污染物COD328.06t/a、氨氮27.79t/a、总氮118.47t/a、总磷3.27t/a。</w:t>
            </w:r>
            <w:bookmarkEnd w:id="82"/>
            <w:bookmarkStart w:id="83" w:name="sys1817355114"/>
            <w:r>
              <w:rPr>
                <w:rFonts w:ascii="Times New Roman" w:hAnsi="Times New Roman" w:eastAsia="方正仿宋_GBK" w:cs="Times New Roman"/>
              </w:rPr>
              <w:t>远期（2035年）SO27.68t/a、NOx36.54t/a、颗粒物23.83t/a、硫化氢5.24t/a，氨7.16t/a，甲苯0.7t/a，非甲烷总烃136.98t/a</w:t>
            </w:r>
            <w:sdt>
              <w:sdtPr>
                <w:rPr>
                  <w:rFonts w:ascii="Times New Roman" w:hAnsi="Times New Roman" w:cs="Times New Roman"/>
                </w:rPr>
                <w:alias w:val="标点符号检查"/>
                <w:id w:val="3172253"/>
              </w:sdtPr>
              <w:sdtEndPr>
                <w:rPr>
                  <w:rFonts w:ascii="Times New Roman" w:hAnsi="Times New Roman" w:cs="Times New Roman"/>
                </w:rPr>
              </w:sdtEndPr>
              <w:sdtContent>
                <w:r>
                  <w:rPr>
                    <w:rFonts w:ascii="Times New Roman" w:hAnsi="Times New Roman" w:cs="Times New Roman"/>
                  </w:rPr>
                  <w:t>，</w:t>
                </w:r>
              </w:sdtContent>
            </w:sdt>
            <w:r>
              <w:rPr>
                <w:rFonts w:ascii="Times New Roman" w:hAnsi="Times New Roman" w:eastAsia="方正仿宋_GBK" w:cs="Times New Roman"/>
              </w:rPr>
              <w:t>VOCs171.23t/a，氯化氢21.70t/a。</w:t>
            </w:r>
            <w:bookmarkEnd w:id="83"/>
            <w:bookmarkStart w:id="84" w:name="sys181746951"/>
            <w:r>
              <w:rPr>
                <w:rFonts w:ascii="Times New Roman" w:hAnsi="Times New Roman" w:eastAsia="方正仿宋_GBK" w:cs="Times New Roman"/>
              </w:rPr>
              <w:t>废水污染物COD345.11t/a、氨氮28.64t/a、总氮126.99t/a、总磷3.44t/a。</w:t>
            </w:r>
            <w:bookmarkEnd w:id="84"/>
            <w:bookmarkStart w:id="85" w:name="sys181752064"/>
            <w:r>
              <w:rPr>
                <w:rFonts w:ascii="Times New Roman" w:hAnsi="Times New Roman" w:eastAsia="方正仿宋_GBK" w:cs="Times New Roman"/>
              </w:rPr>
              <w:t>3、区内高港港区杨湾作业区和高港作业区</w:t>
            </w:r>
            <w:bookmarkEnd w:id="85"/>
            <w:r>
              <w:rPr>
                <w:rFonts w:ascii="Times New Roman" w:hAnsi="Times New Roman" w:eastAsia="方正仿宋_GBK" w:cs="Times New Roman"/>
              </w:rPr>
              <w:t>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473DDCEB">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1、园区应建立事故风险应急体系，园区内企业开展危险化学品环境管理登记、新化学物质申报和有毒化学品进，出口环境管理登记。</w:t>
            </w:r>
            <w:bookmarkStart w:id="86" w:name="sys18185930"/>
            <w:r>
              <w:rPr>
                <w:rFonts w:ascii="Times New Roman" w:hAnsi="Times New Roman" w:eastAsia="方正仿宋_GBK" w:cs="Times New Roman"/>
              </w:rPr>
              <w:t>2、区内高港港区杨湾作业区</w:t>
            </w:r>
            <w:bookmarkEnd w:id="86"/>
            <w:bookmarkStart w:id="87" w:name="sys18188964"/>
            <w:r>
              <w:rPr>
                <w:rFonts w:ascii="Times New Roman" w:hAnsi="Times New Roman" w:eastAsia="方正仿宋_GBK" w:cs="Times New Roman"/>
              </w:rPr>
              <w:t>和高港作业区</w:t>
            </w:r>
            <w:bookmarkEnd w:id="87"/>
            <w:r>
              <w:rPr>
                <w:rFonts w:ascii="Times New Roman" w:hAnsi="Times New Roman" w:eastAsia="方正仿宋_GBK" w:cs="Times New Roman"/>
              </w:rPr>
              <w:t>应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重点推进危化品码头、涉及或临近生态敏感区的码头的环境风险防控和应急能力的进一步提升，定期开展高港作业区危化品码头与下游泰州三水厂水源地、应急备用水源地的联合应急演练。</w:t>
            </w:r>
          </w:p>
        </w:tc>
        <w:tc>
          <w:tcPr>
            <w:tcW w:w="657" w:type="pct"/>
            <w:tcMar>
              <w:left w:w="57" w:type="dxa"/>
              <w:right w:w="57" w:type="dxa"/>
            </w:tcMar>
            <w:vAlign w:val="center"/>
          </w:tcPr>
          <w:p w14:paraId="2B50F4AB">
            <w:pPr>
              <w:adjustRightInd w:val="0"/>
              <w:spacing w:line="320" w:lineRule="exact"/>
              <w:rPr>
                <w:rFonts w:ascii="Times New Roman" w:hAnsi="Times New Roman" w:eastAsia="方正仿宋_GBK" w:cs="Times New Roman"/>
              </w:rPr>
            </w:pPr>
            <w:r>
              <w:rPr>
                <w:rFonts w:ascii="Times New Roman" w:hAnsi="Times New Roman" w:eastAsia="等线" w:cs="Times New Roman"/>
              </w:rPr>
              <w:t>1</w:t>
            </w:r>
            <w:r>
              <w:rPr>
                <w:rFonts w:ascii="Times New Roman" w:hAnsi="Times New Roman" w:eastAsia="方正仿宋_GBK" w:cs="Times New Roman"/>
              </w:rPr>
              <w:t>、泰州医药高新技术产业开发区（高端健康产业集聚区</w:t>
            </w:r>
            <w:sdt>
              <w:sdtPr>
                <w:rPr>
                  <w:rFonts w:ascii="Times New Roman" w:hAnsi="Times New Roman" w:cs="Times New Roman"/>
                </w:rPr>
                <w:alias w:val="标点符号检查"/>
                <w:id w:val="2001031"/>
              </w:sdtPr>
              <w:sdtEndPr>
                <w:rPr>
                  <w:rFonts w:ascii="Times New Roman" w:hAnsi="Times New Roman" w:cs="Times New Roman"/>
                </w:rPr>
              </w:sdtEndPr>
              <w:sdtContent>
                <w:bookmarkStart w:id="88" w:name="bkReivew2001031"/>
                <w:r>
                  <w:rPr>
                    <w:rFonts w:ascii="Times New Roman" w:hAnsi="Times New Roman" w:eastAsia="方正仿宋_GBK" w:cs="Times New Roman"/>
                  </w:rPr>
                  <w:t>（</w:t>
                </w:r>
                <w:bookmarkEnd w:id="88"/>
              </w:sdtContent>
            </w:sdt>
            <w:r>
              <w:rPr>
                <w:rFonts w:ascii="Times New Roman" w:hAnsi="Times New Roman" w:eastAsia="方正仿宋_GBK" w:cs="Times New Roman"/>
              </w:rPr>
              <w:t>野徐南片</w:t>
            </w:r>
            <w:sdt>
              <w:sdtPr>
                <w:rPr>
                  <w:rFonts w:ascii="Times New Roman" w:hAnsi="Times New Roman" w:cs="Times New Roman"/>
                </w:rPr>
                <w:alias w:val="标点符号检查"/>
                <w:id w:val="1113513"/>
              </w:sdtPr>
              <w:sdtEndPr>
                <w:rPr>
                  <w:rFonts w:ascii="Times New Roman" w:hAnsi="Times New Roman" w:cs="Times New Roman"/>
                </w:rPr>
              </w:sdtEndPr>
              <w:sdtContent>
                <w:bookmarkStart w:id="89" w:name="bkReivew1113513"/>
                <w:r>
                  <w:rPr>
                    <w:rFonts w:ascii="Times New Roman" w:hAnsi="Times New Roman" w:eastAsia="方正仿宋_GBK" w:cs="Times New Roman"/>
                  </w:rPr>
                  <w:t>）</w:t>
                </w:r>
                <w:bookmarkEnd w:id="89"/>
              </w:sdtContent>
            </w:sdt>
            <w:r>
              <w:rPr>
                <w:rFonts w:ascii="Times New Roman" w:hAnsi="Times New Roman" w:eastAsia="方正仿宋_GBK" w:cs="Times New Roman"/>
              </w:rPr>
              <w:t>）单位工业增加值水耗不高于</w:t>
            </w:r>
            <w:r>
              <w:rPr>
                <w:rFonts w:ascii="Times New Roman" w:hAnsi="Times New Roman" w:eastAsia="等线" w:cs="Times New Roman"/>
              </w:rPr>
              <w:t>8</w:t>
            </w:r>
            <w:r>
              <w:rPr>
                <w:rFonts w:ascii="Times New Roman" w:hAnsi="Times New Roman" w:eastAsia="方正仿宋_GBK" w:cs="Times New Roman"/>
              </w:rPr>
              <w:t>吨</w:t>
            </w:r>
            <w:r>
              <w:rPr>
                <w:rFonts w:ascii="Times New Roman" w:hAnsi="Times New Roman" w:eastAsia="等线" w:cs="Times New Roman"/>
              </w:rPr>
              <w:t>/</w:t>
            </w:r>
            <w:r>
              <w:rPr>
                <w:rFonts w:ascii="Times New Roman" w:hAnsi="Times New Roman" w:eastAsia="方正仿宋_GBK" w:cs="Times New Roman"/>
              </w:rPr>
              <w:t>万元；单位工业增加值综合能耗指标值不高于</w:t>
            </w:r>
            <w:r>
              <w:rPr>
                <w:rFonts w:ascii="Times New Roman" w:hAnsi="Times New Roman" w:eastAsia="等线" w:cs="Times New Roman"/>
              </w:rPr>
              <w:t>0.5</w:t>
            </w:r>
            <w:r>
              <w:rPr>
                <w:rFonts w:ascii="Times New Roman" w:hAnsi="Times New Roman" w:eastAsia="方正仿宋_GBK" w:cs="Times New Roman"/>
              </w:rPr>
              <w:t>吨标煤</w:t>
            </w:r>
            <w:r>
              <w:rPr>
                <w:rFonts w:ascii="Times New Roman" w:hAnsi="Times New Roman" w:eastAsia="等线" w:cs="Times New Roman"/>
              </w:rPr>
              <w:t>/</w:t>
            </w:r>
            <w:r>
              <w:rPr>
                <w:rFonts w:ascii="Times New Roman" w:hAnsi="Times New Roman" w:eastAsia="方正仿宋_GBK" w:cs="Times New Roman"/>
              </w:rPr>
              <w:t>万元。</w:t>
            </w:r>
            <w:r>
              <w:rPr>
                <w:rFonts w:ascii="Times New Roman" w:hAnsi="Times New Roman" w:eastAsia="等线" w:cs="Times New Roman"/>
              </w:rPr>
              <w:t>2</w:t>
            </w:r>
            <w:r>
              <w:rPr>
                <w:rFonts w:ascii="Times New Roman" w:hAnsi="Times New Roman" w:eastAsia="方正仿宋_GBK" w:cs="Times New Roman"/>
              </w:rPr>
              <w:t>、泰州医药高新技术产业园区单位工业增加值水耗不高于</w:t>
            </w:r>
            <w:r>
              <w:rPr>
                <w:rFonts w:ascii="Times New Roman" w:hAnsi="Times New Roman" w:eastAsia="等线" w:cs="Times New Roman"/>
              </w:rPr>
              <w:t>8</w:t>
            </w:r>
            <w:r>
              <w:rPr>
                <w:rFonts w:ascii="Times New Roman" w:hAnsi="Times New Roman" w:eastAsia="方正仿宋_GBK" w:cs="Times New Roman"/>
              </w:rPr>
              <w:t>吨</w:t>
            </w:r>
            <w:r>
              <w:rPr>
                <w:rFonts w:ascii="Times New Roman" w:hAnsi="Times New Roman" w:eastAsia="等线" w:cs="Times New Roman"/>
              </w:rPr>
              <w:t>/</w:t>
            </w:r>
            <w:r>
              <w:rPr>
                <w:rFonts w:ascii="Times New Roman" w:hAnsi="Times New Roman" w:eastAsia="方正仿宋_GBK" w:cs="Times New Roman"/>
              </w:rPr>
              <w:t>万元；单位工业增加值综合能耗指标值不高于</w:t>
            </w:r>
            <w:r>
              <w:rPr>
                <w:rFonts w:ascii="Times New Roman" w:hAnsi="Times New Roman" w:eastAsia="等线" w:cs="Times New Roman"/>
              </w:rPr>
              <w:t>0.5</w:t>
            </w:r>
            <w:r>
              <w:rPr>
                <w:rFonts w:ascii="Times New Roman" w:hAnsi="Times New Roman" w:eastAsia="方正仿宋_GBK" w:cs="Times New Roman"/>
              </w:rPr>
              <w:t>吨标煤</w:t>
            </w:r>
            <w:r>
              <w:rPr>
                <w:rFonts w:ascii="Times New Roman" w:hAnsi="Times New Roman" w:eastAsia="等线" w:cs="Times New Roman"/>
              </w:rPr>
              <w:t>/</w:t>
            </w:r>
            <w:r>
              <w:rPr>
                <w:rFonts w:ascii="Times New Roman" w:hAnsi="Times New Roman" w:eastAsia="方正仿宋_GBK" w:cs="Times New Roman"/>
              </w:rPr>
              <w:t>万元。3、区内高港港区杨湾作业区和高港作业区减少对自然岸线的占用，确保自然岸线保有率不低于国家和地方规定的比例。</w:t>
            </w:r>
          </w:p>
        </w:tc>
        <w:tc>
          <w:tcPr>
            <w:tcW w:w="603" w:type="pct"/>
            <w:tcMar>
              <w:left w:w="57" w:type="dxa"/>
              <w:right w:w="57" w:type="dxa"/>
            </w:tcMar>
            <w:vAlign w:val="center"/>
          </w:tcPr>
          <w:p w14:paraId="5BC72108">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12DA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9" w:hRule="atLeast"/>
          <w:jc w:val="center"/>
        </w:trPr>
        <w:tc>
          <w:tcPr>
            <w:tcW w:w="165" w:type="pct"/>
            <w:tcMar>
              <w:left w:w="57" w:type="dxa"/>
              <w:right w:w="57" w:type="dxa"/>
            </w:tcMar>
            <w:vAlign w:val="center"/>
          </w:tcPr>
          <w:p w14:paraId="381AA68A">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7173D9B7">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04744821">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海陵</w:t>
            </w:r>
          </w:p>
        </w:tc>
        <w:tc>
          <w:tcPr>
            <w:tcW w:w="402" w:type="pct"/>
            <w:tcMar>
              <w:left w:w="57" w:type="dxa"/>
              <w:right w:w="57" w:type="dxa"/>
            </w:tcMar>
            <w:vAlign w:val="center"/>
          </w:tcPr>
          <w:p w14:paraId="7BFFDD32">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泰州市中心城区（海陵区）</w:t>
            </w:r>
          </w:p>
        </w:tc>
        <w:tc>
          <w:tcPr>
            <w:tcW w:w="267" w:type="pct"/>
            <w:tcMar>
              <w:left w:w="57" w:type="dxa"/>
              <w:right w:w="57" w:type="dxa"/>
            </w:tcMar>
            <w:vAlign w:val="center"/>
          </w:tcPr>
          <w:p w14:paraId="21D5C4B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20E99759">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1、不得在城市主次干道两侧、居民居住区露天烧烤。建筑内外墙装饰全面使用低（无）VOCs含量的涂料。城市建成区所有干洗经营单位禁止使用开启式干洗机。</w:t>
            </w:r>
          </w:p>
          <w:p w14:paraId="3C600181">
            <w:pPr>
              <w:rPr>
                <w:rFonts w:ascii="Times New Roman" w:hAnsi="Times New Roman" w:eastAsia="方正仿宋_GBK" w:cs="Times New Roman"/>
              </w:rPr>
            </w:pPr>
            <w:r>
              <w:rPr>
                <w:rFonts w:ascii="Times New Roman" w:hAnsi="Times New Roman" w:eastAsia="方正仿宋_GBK" w:cs="Times New Roman"/>
              </w:rPr>
              <w:t>2、严格执行《江苏省通榆河水污染防治条例》要求。</w:t>
            </w:r>
          </w:p>
        </w:tc>
        <w:tc>
          <w:tcPr>
            <w:tcW w:w="946" w:type="pct"/>
            <w:tcMar>
              <w:left w:w="57" w:type="dxa"/>
              <w:right w:w="57" w:type="dxa"/>
            </w:tcMar>
            <w:vAlign w:val="center"/>
          </w:tcPr>
          <w:p w14:paraId="4A269957">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746" w:type="pct"/>
            <w:tcMar>
              <w:left w:w="57" w:type="dxa"/>
              <w:right w:w="57" w:type="dxa"/>
            </w:tcMar>
            <w:vAlign w:val="center"/>
          </w:tcPr>
          <w:p w14:paraId="45D57286">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w:t>
            </w:r>
          </w:p>
        </w:tc>
        <w:tc>
          <w:tcPr>
            <w:tcW w:w="657" w:type="pct"/>
            <w:tcMar>
              <w:left w:w="57" w:type="dxa"/>
              <w:right w:w="57" w:type="dxa"/>
            </w:tcMar>
            <w:vAlign w:val="center"/>
          </w:tcPr>
          <w:p w14:paraId="2897694E">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禁止销售使用燃料为“Ⅲ类”（严格），具体包括：1、煤炭及其制品（包括原煤、散煤、煤矸石、煤泥、煤粉、水煤浆、型煤、焦炭、兰炭等）；2、石油焦、油页岩、原油、重油、渣油、煤焦油；3、非专用锅炉或未配置高效除尘设施的专用锅炉燃用的生物质成型燃料；4、国家规定的其它高污染燃料。</w:t>
            </w:r>
          </w:p>
        </w:tc>
        <w:tc>
          <w:tcPr>
            <w:tcW w:w="603" w:type="pct"/>
            <w:tcMar>
              <w:left w:w="57" w:type="dxa"/>
              <w:right w:w="57" w:type="dxa"/>
            </w:tcMar>
            <w:vAlign w:val="center"/>
          </w:tcPr>
          <w:p w14:paraId="53AF9B05">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江苏省自然资源厅关于泰州市海陵区生态空间管控区域调整方案的复函（苏自然资函〔2024〕363号）</w:t>
            </w:r>
          </w:p>
        </w:tc>
      </w:tr>
      <w:tr w14:paraId="4E21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1" w:hRule="atLeast"/>
          <w:jc w:val="center"/>
        </w:trPr>
        <w:tc>
          <w:tcPr>
            <w:tcW w:w="165" w:type="pct"/>
            <w:tcMar>
              <w:left w:w="57" w:type="dxa"/>
              <w:right w:w="57" w:type="dxa"/>
            </w:tcMar>
            <w:vAlign w:val="center"/>
          </w:tcPr>
          <w:p w14:paraId="72AF0B9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405D88E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5F5B1F4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靖江</w:t>
            </w:r>
          </w:p>
        </w:tc>
        <w:tc>
          <w:tcPr>
            <w:tcW w:w="402" w:type="pct"/>
            <w:tcMar>
              <w:left w:w="57" w:type="dxa"/>
              <w:right w:w="57" w:type="dxa"/>
            </w:tcMar>
            <w:vAlign w:val="center"/>
          </w:tcPr>
          <w:p w14:paraId="45CABFB4">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东兴新型建材产业园</w:t>
            </w:r>
          </w:p>
        </w:tc>
        <w:tc>
          <w:tcPr>
            <w:tcW w:w="267" w:type="pct"/>
            <w:tcMar>
              <w:left w:w="57" w:type="dxa"/>
              <w:right w:w="57" w:type="dxa"/>
            </w:tcMar>
            <w:vAlign w:val="center"/>
          </w:tcPr>
          <w:p w14:paraId="0E2933FC">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5DBC0AFC">
            <w:pPr>
              <w:adjustRightInd w:val="0"/>
              <w:spacing w:line="320" w:lineRule="exact"/>
              <w:rPr>
                <w:rFonts w:ascii="Times New Roman" w:hAnsi="Times New Roman" w:eastAsia="等线" w:cs="Times New Roman"/>
              </w:rPr>
            </w:pPr>
            <w:r>
              <w:rPr>
                <w:rFonts w:ascii="Times New Roman" w:hAnsi="Times New Roman" w:eastAsia="方正仿宋_GBK" w:cs="Times New Roman"/>
              </w:rPr>
              <w:t>禁止化工、印染、电镀、高耗能等国家明令禁止、淘汰的项目。</w:t>
            </w:r>
          </w:p>
        </w:tc>
        <w:tc>
          <w:tcPr>
            <w:tcW w:w="946" w:type="pct"/>
            <w:tcMar>
              <w:left w:w="57" w:type="dxa"/>
              <w:right w:w="57" w:type="dxa"/>
            </w:tcMar>
            <w:vAlign w:val="center"/>
          </w:tcPr>
          <w:p w14:paraId="11FE477B">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w:t>
            </w:r>
            <w:r>
              <w:rPr>
                <w:rFonts w:hint="eastAsia" w:ascii="宋体" w:hAnsi="宋体" w:cs="宋体"/>
              </w:rPr>
              <w:t>①</w:t>
            </w:r>
            <w:r>
              <w:rPr>
                <w:rFonts w:ascii="Times New Roman" w:hAnsi="Times New Roman" w:eastAsia="方正仿宋_GBK" w:cs="Times New Roman"/>
              </w:rPr>
              <w:t>加强工业园区水污染防治。</w:t>
            </w:r>
            <w:bookmarkStart w:id="90" w:name="sys18271542"/>
            <w:r>
              <w:rPr>
                <w:rFonts w:ascii="Times New Roman" w:hAnsi="Times New Roman" w:eastAsia="方正仿宋_GBK" w:cs="Times New Roman"/>
              </w:rPr>
              <w:t>全面推动专业化废水集中处理和雨污分流设施建设，逐步实现与生活污水分开收集、分质处理。</w:t>
            </w:r>
            <w:bookmarkEnd w:id="90"/>
            <w:r>
              <w:rPr>
                <w:rFonts w:ascii="Times New Roman" w:hAnsi="Times New Roman" w:eastAsia="方正仿宋_GBK" w:cs="Times New Roman"/>
              </w:rPr>
              <w:t>推进污水处理厂水平衡核算，倒逼提高运行管理水平。</w:t>
            </w:r>
            <w:bookmarkStart w:id="91" w:name="sys18278166"/>
            <w:r>
              <w:rPr>
                <w:rFonts w:ascii="Times New Roman" w:hAnsi="Times New Roman" w:eastAsia="方正仿宋_GBK" w:cs="Times New Roman"/>
              </w:rPr>
              <w:t>推动企业预处理设施全部建设到位、重点污染行业废水明管输送、重点企业预处理污水排口和园区污水集中处理设施进出水口全部安装在线监控装置。</w:t>
            </w:r>
            <w:bookmarkEnd w:id="91"/>
            <w:bookmarkStart w:id="92" w:name="sys182714792"/>
            <w:r>
              <w:rPr>
                <w:rFonts w:hint="eastAsia" w:ascii="宋体" w:hAnsi="宋体" w:cs="宋体"/>
              </w:rPr>
              <w:t>②</w:t>
            </w:r>
            <w:r>
              <w:rPr>
                <w:rFonts w:ascii="Times New Roman" w:hAnsi="Times New Roman" w:eastAsia="方正仿宋_GBK" w:cs="Times New Roman"/>
              </w:rPr>
              <w:t>加强园区废气污染防治，持续推进工业污染源全面达标排放，二氧化硫、氮氧化物、颗粒物、VOCs全面执行大气污染物特别排放限值，无组织排放较为严重的重点企业开展颗粒物无组织排放深度整治等。</w:t>
            </w:r>
            <w:bookmarkEnd w:id="92"/>
            <w:bookmarkStart w:id="93" w:name="sys182723956"/>
            <w:r>
              <w:rPr>
                <w:rFonts w:ascii="Times New Roman" w:hAnsi="Times New Roman" w:eastAsia="方正仿宋_GBK" w:cs="Times New Roman"/>
              </w:rPr>
              <w:t>2、靖江港区夹港作业区</w:t>
            </w:r>
            <w:bookmarkEnd w:id="93"/>
            <w:r>
              <w:rPr>
                <w:rFonts w:ascii="Times New Roman" w:hAnsi="Times New Roman" w:eastAsia="方正仿宋_GBK" w:cs="Times New Roman"/>
              </w:rPr>
              <w:t>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6308FCAB">
            <w:pPr>
              <w:adjustRightInd w:val="0"/>
              <w:spacing w:line="320" w:lineRule="exact"/>
              <w:rPr>
                <w:rFonts w:ascii="Times New Roman" w:hAnsi="Times New Roman" w:eastAsia="方正仿宋_GBK" w:cs="Times New Roman"/>
              </w:rPr>
            </w:pPr>
            <w:bookmarkStart w:id="94" w:name="sys1828051"/>
            <w:r>
              <w:rPr>
                <w:rFonts w:ascii="Times New Roman" w:hAnsi="Times New Roman" w:eastAsia="方正仿宋_GBK" w:cs="Times New Roman"/>
              </w:rPr>
              <w:t>1、建立并完善区域环境风险防范体系，制定完备的事故应急预案，贮存必要的应急物资，定期开展事故应急演练。</w:t>
            </w:r>
            <w:bookmarkEnd w:id="94"/>
            <w:bookmarkStart w:id="95" w:name="sys18285130"/>
            <w:r>
              <w:rPr>
                <w:rFonts w:ascii="Times New Roman" w:hAnsi="Times New Roman" w:eastAsia="方正仿宋_GBK" w:cs="Times New Roman"/>
              </w:rPr>
              <w:t>2、靖江港区夹港作业区</w:t>
            </w:r>
            <w:bookmarkEnd w:id="95"/>
            <w:r>
              <w:rPr>
                <w:rFonts w:ascii="Times New Roman" w:hAnsi="Times New Roman" w:eastAsia="方正仿宋_GBK" w:cs="Times New Roman"/>
              </w:rPr>
              <w:t>应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p>
        </w:tc>
        <w:tc>
          <w:tcPr>
            <w:tcW w:w="657" w:type="pct"/>
            <w:tcMar>
              <w:left w:w="57" w:type="dxa"/>
              <w:right w:w="57" w:type="dxa"/>
            </w:tcMar>
            <w:vAlign w:val="center"/>
          </w:tcPr>
          <w:p w14:paraId="6AD214CB">
            <w:pPr>
              <w:adjustRightInd w:val="0"/>
              <w:spacing w:line="320" w:lineRule="exact"/>
              <w:rPr>
                <w:rFonts w:ascii="Times New Roman" w:hAnsi="Times New Roman" w:eastAsia="等线" w:cs="Times New Roman"/>
              </w:rPr>
            </w:pPr>
            <w:bookmarkStart w:id="96" w:name="sys1829056"/>
            <w:r>
              <w:rPr>
                <w:rFonts w:ascii="Times New Roman" w:hAnsi="Times New Roman" w:eastAsia="方正仿宋_GBK" w:cs="Times New Roman"/>
              </w:rPr>
              <w:t>1、禁止销售使用燃料为“Ⅱ类”（较严），具体包括：</w:t>
            </w:r>
            <w:r>
              <w:rPr>
                <w:rFonts w:hint="eastAsia" w:ascii="宋体" w:hAnsi="宋体" w:cs="宋体"/>
              </w:rPr>
              <w:t>①</w:t>
            </w:r>
            <w:r>
              <w:rPr>
                <w:rFonts w:ascii="Times New Roman" w:hAnsi="Times New Roman" w:eastAsia="方正仿宋_GBK" w:cs="Times New Roman"/>
              </w:rPr>
              <w:t>除单台出力大于等于20蒸吨/小时锅炉以外燃用的煤炭及其制品。</w:t>
            </w:r>
            <w:bookmarkEnd w:id="96"/>
            <w:r>
              <w:rPr>
                <w:rFonts w:hint="eastAsia" w:ascii="宋体" w:hAnsi="宋体" w:cs="宋体"/>
              </w:rPr>
              <w:t>②</w:t>
            </w:r>
            <w:r>
              <w:rPr>
                <w:rFonts w:ascii="Times New Roman" w:hAnsi="Times New Roman" w:eastAsia="方正仿宋_GBK" w:cs="Times New Roman"/>
              </w:rPr>
              <w:t>石油焦、油页岩、原油、重油、渣油、煤焦油。2、靖江港区夹港作业区减少对自然岸线的占用，确保自然岸线保有率不低于国家和地方规定的比例。</w:t>
            </w:r>
          </w:p>
        </w:tc>
        <w:tc>
          <w:tcPr>
            <w:tcW w:w="603" w:type="pct"/>
            <w:tcMar>
              <w:left w:w="57" w:type="dxa"/>
              <w:right w:w="57" w:type="dxa"/>
            </w:tcMar>
            <w:vAlign w:val="center"/>
          </w:tcPr>
          <w:p w14:paraId="1874A66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3EAB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9" w:hRule="atLeast"/>
          <w:jc w:val="center"/>
        </w:trPr>
        <w:tc>
          <w:tcPr>
            <w:tcW w:w="165" w:type="pct"/>
            <w:tcMar>
              <w:left w:w="57" w:type="dxa"/>
              <w:right w:w="57" w:type="dxa"/>
            </w:tcMar>
            <w:vAlign w:val="center"/>
          </w:tcPr>
          <w:p w14:paraId="7FB7918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4057B998">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0077E14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靖江</w:t>
            </w:r>
          </w:p>
        </w:tc>
        <w:tc>
          <w:tcPr>
            <w:tcW w:w="402" w:type="pct"/>
            <w:tcMar>
              <w:left w:w="57" w:type="dxa"/>
              <w:right w:w="57" w:type="dxa"/>
            </w:tcMar>
            <w:vAlign w:val="center"/>
          </w:tcPr>
          <w:p w14:paraId="120AFBBA">
            <w:pPr>
              <w:adjustRightInd w:val="0"/>
              <w:spacing w:line="320" w:lineRule="exact"/>
              <w:jc w:val="center"/>
              <w:rPr>
                <w:rFonts w:ascii="Times New Roman" w:hAnsi="Times New Roman" w:eastAsia="方正仿宋_GBK" w:cs="Times New Roman"/>
              </w:rPr>
            </w:pPr>
            <w:bookmarkStart w:id="97" w:name="_Hlk173403400"/>
            <w:r>
              <w:rPr>
                <w:rFonts w:ascii="Times New Roman" w:hAnsi="Times New Roman" w:eastAsia="方正仿宋_GBK" w:cs="Times New Roman"/>
              </w:rPr>
              <w:t>靖江市中心城区</w:t>
            </w:r>
            <w:bookmarkEnd w:id="97"/>
          </w:p>
        </w:tc>
        <w:tc>
          <w:tcPr>
            <w:tcW w:w="267" w:type="pct"/>
            <w:tcMar>
              <w:left w:w="57" w:type="dxa"/>
              <w:right w:w="57" w:type="dxa"/>
            </w:tcMar>
            <w:vAlign w:val="center"/>
          </w:tcPr>
          <w:p w14:paraId="4A67BD4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08D42BD0">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不得在城市主次干道两侧、居民居住区露天烧烤。建筑内外墙装饰全面使用低（无）</w:t>
            </w:r>
            <w:r>
              <w:rPr>
                <w:rFonts w:ascii="Times New Roman" w:hAnsi="Times New Roman" w:eastAsia="等线" w:cs="Times New Roman"/>
              </w:rPr>
              <w:t>VOCs</w:t>
            </w:r>
            <w:r>
              <w:rPr>
                <w:rFonts w:ascii="Times New Roman" w:hAnsi="Times New Roman" w:eastAsia="方正仿宋_GBK" w:cs="Times New Roman"/>
              </w:rPr>
              <w:t>含量的涂料。城市建成区所有干洗经营单位禁止使用开启式干洗机。</w:t>
            </w:r>
          </w:p>
        </w:tc>
        <w:tc>
          <w:tcPr>
            <w:tcW w:w="946" w:type="pct"/>
            <w:tcMar>
              <w:left w:w="57" w:type="dxa"/>
              <w:right w:w="57" w:type="dxa"/>
            </w:tcMar>
            <w:vAlign w:val="center"/>
          </w:tcPr>
          <w:p w14:paraId="4EA18767">
            <w:pPr>
              <w:adjustRightInd w:val="0"/>
              <w:spacing w:line="320" w:lineRule="exact"/>
              <w:rPr>
                <w:rFonts w:ascii="Times New Roman" w:hAnsi="Times New Roman" w:eastAsia="方正仿宋_GBK" w:cs="Times New Roman"/>
              </w:rPr>
            </w:pPr>
            <w:bookmarkStart w:id="98" w:name="sys1837040"/>
            <w:r>
              <w:rPr>
                <w:rFonts w:ascii="Times New Roman" w:hAnsi="Times New Roman" w:eastAsia="方正仿宋_GBK" w:cs="Times New Roman"/>
              </w:rPr>
              <w:t>涉及靖江港区夹港作业区、靖江港区八圩作业区的区域，应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bookmarkEnd w:id="98"/>
          </w:p>
        </w:tc>
        <w:tc>
          <w:tcPr>
            <w:tcW w:w="746" w:type="pct"/>
            <w:tcMar>
              <w:left w:w="57" w:type="dxa"/>
              <w:right w:w="57" w:type="dxa"/>
            </w:tcMar>
            <w:vAlign w:val="center"/>
          </w:tcPr>
          <w:p w14:paraId="25D46724">
            <w:pPr>
              <w:adjustRightInd w:val="0"/>
              <w:spacing w:line="320" w:lineRule="exact"/>
              <w:rPr>
                <w:rFonts w:ascii="Times New Roman" w:hAnsi="Times New Roman" w:eastAsia="方正仿宋_GBK" w:cs="Times New Roman"/>
              </w:rPr>
            </w:pPr>
            <w:bookmarkStart w:id="99" w:name="sys1838040"/>
            <w:r>
              <w:rPr>
                <w:rFonts w:ascii="Times New Roman" w:hAnsi="Times New Roman" w:eastAsia="方正仿宋_GBK" w:cs="Times New Roman"/>
              </w:rPr>
              <w:t>涉及靖江港区夹港作业区、靖江港区八圩作业区的区域，应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bookmarkEnd w:id="99"/>
          </w:p>
        </w:tc>
        <w:tc>
          <w:tcPr>
            <w:tcW w:w="657" w:type="pct"/>
            <w:tcMar>
              <w:left w:w="57" w:type="dxa"/>
              <w:right w:w="57" w:type="dxa"/>
            </w:tcMar>
            <w:vAlign w:val="center"/>
          </w:tcPr>
          <w:p w14:paraId="6085990E">
            <w:pPr>
              <w:adjustRightInd w:val="0"/>
              <w:spacing w:line="320" w:lineRule="exact"/>
              <w:rPr>
                <w:rFonts w:ascii="Times New Roman" w:hAnsi="Times New Roman" w:eastAsia="方正仿宋_GBK" w:cs="Times New Roman"/>
              </w:rPr>
            </w:pPr>
            <w:bookmarkStart w:id="100" w:name="sys1839056"/>
            <w:r>
              <w:rPr>
                <w:rFonts w:ascii="Times New Roman" w:hAnsi="Times New Roman" w:eastAsia="方正仿宋_GBK" w:cs="Times New Roman"/>
              </w:rPr>
              <w:t>1、禁止销售使用燃料为</w:t>
            </w:r>
            <w:r>
              <w:rPr>
                <w:rFonts w:ascii="Times New Roman" w:hAnsi="Times New Roman" w:eastAsia="等线" w:cs="Times New Roman"/>
              </w:rPr>
              <w:t>“</w:t>
            </w:r>
            <w:r>
              <w:rPr>
                <w:rFonts w:ascii="Times New Roman" w:hAnsi="Times New Roman" w:eastAsia="方正仿宋_GBK" w:cs="Times New Roman"/>
              </w:rPr>
              <w:t>Ⅱ类</w:t>
            </w:r>
            <w:r>
              <w:rPr>
                <w:rFonts w:ascii="Times New Roman" w:hAnsi="Times New Roman" w:eastAsia="等线" w:cs="Times New Roman"/>
              </w:rPr>
              <w:t>”</w:t>
            </w:r>
            <w:r>
              <w:rPr>
                <w:rFonts w:ascii="Times New Roman" w:hAnsi="Times New Roman" w:eastAsia="方正仿宋_GBK" w:cs="Times New Roman"/>
              </w:rPr>
              <w:t>（较严），具体包括：</w:t>
            </w:r>
            <w:r>
              <w:rPr>
                <w:rFonts w:hint="eastAsia" w:ascii="宋体" w:hAnsi="宋体" w:cs="宋体"/>
              </w:rPr>
              <w:t>①</w:t>
            </w:r>
            <w:r>
              <w:rPr>
                <w:rFonts w:ascii="Times New Roman" w:hAnsi="Times New Roman" w:eastAsia="方正仿宋_GBK" w:cs="Times New Roman"/>
              </w:rPr>
              <w:t>除单台出力大于等于</w:t>
            </w:r>
            <w:r>
              <w:rPr>
                <w:rFonts w:ascii="Times New Roman" w:hAnsi="Times New Roman" w:eastAsia="等线" w:cs="Times New Roman"/>
              </w:rPr>
              <w:t>20</w:t>
            </w:r>
            <w:r>
              <w:rPr>
                <w:rFonts w:ascii="Times New Roman" w:hAnsi="Times New Roman" w:eastAsia="方正仿宋_GBK" w:cs="Times New Roman"/>
              </w:rPr>
              <w:t>蒸吨</w:t>
            </w:r>
            <w:r>
              <w:rPr>
                <w:rFonts w:ascii="Times New Roman" w:hAnsi="Times New Roman" w:eastAsia="等线" w:cs="Times New Roman"/>
              </w:rPr>
              <w:t>/</w:t>
            </w:r>
            <w:r>
              <w:rPr>
                <w:rFonts w:ascii="Times New Roman" w:hAnsi="Times New Roman" w:eastAsia="方正仿宋_GBK" w:cs="Times New Roman"/>
              </w:rPr>
              <w:t>小时锅炉以外燃用的煤炭及其制品。</w:t>
            </w:r>
            <w:bookmarkEnd w:id="100"/>
            <w:r>
              <w:rPr>
                <w:rFonts w:hint="eastAsia" w:ascii="宋体" w:hAnsi="宋体" w:cs="宋体"/>
              </w:rPr>
              <w:t>②</w:t>
            </w:r>
            <w:r>
              <w:rPr>
                <w:rFonts w:ascii="Times New Roman" w:hAnsi="Times New Roman" w:eastAsia="方正仿宋_GBK" w:cs="Times New Roman"/>
              </w:rPr>
              <w:t>石油焦、油页岩、原油、重油、渣油、煤焦油。2、减少港区对自然岸线的占用，确保自然岸线保有率不低于国家和地方规定的比例。</w:t>
            </w:r>
          </w:p>
        </w:tc>
        <w:tc>
          <w:tcPr>
            <w:tcW w:w="603" w:type="pct"/>
            <w:tcMar>
              <w:left w:w="57" w:type="dxa"/>
              <w:right w:w="57" w:type="dxa"/>
            </w:tcMar>
            <w:vAlign w:val="center"/>
          </w:tcPr>
          <w:p w14:paraId="004DAB25">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66D5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165" w:type="pct"/>
            <w:tcMar>
              <w:left w:w="57" w:type="dxa"/>
              <w:right w:w="57" w:type="dxa"/>
            </w:tcMar>
            <w:vAlign w:val="center"/>
          </w:tcPr>
          <w:p w14:paraId="5027A791">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1C5458EB">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6AE3F0C8">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靖江</w:t>
            </w:r>
          </w:p>
        </w:tc>
        <w:tc>
          <w:tcPr>
            <w:tcW w:w="402" w:type="pct"/>
            <w:tcMar>
              <w:left w:w="57" w:type="dxa"/>
              <w:right w:w="57" w:type="dxa"/>
            </w:tcMar>
            <w:vAlign w:val="center"/>
          </w:tcPr>
          <w:p w14:paraId="45991873">
            <w:pPr>
              <w:adjustRightInd w:val="0"/>
              <w:spacing w:line="320" w:lineRule="exact"/>
              <w:jc w:val="center"/>
              <w:rPr>
                <w:rFonts w:ascii="Times New Roman" w:hAnsi="Times New Roman" w:eastAsia="方正仿宋_GBK" w:cs="Times New Roman"/>
              </w:rPr>
            </w:pPr>
            <w:bookmarkStart w:id="101" w:name="_Hlk173403485"/>
            <w:r>
              <w:rPr>
                <w:rFonts w:ascii="Times New Roman" w:hAnsi="Times New Roman" w:eastAsia="方正仿宋_GBK" w:cs="Times New Roman"/>
                <w:snapToGrid w:val="0"/>
                <w:kern w:val="0"/>
              </w:rPr>
              <w:t>江苏江阴-靖江工业园区</w:t>
            </w:r>
            <w:bookmarkEnd w:id="101"/>
          </w:p>
        </w:tc>
        <w:tc>
          <w:tcPr>
            <w:tcW w:w="267" w:type="pct"/>
            <w:tcMar>
              <w:left w:w="57" w:type="dxa"/>
              <w:right w:w="57" w:type="dxa"/>
            </w:tcMar>
            <w:vAlign w:val="center"/>
          </w:tcPr>
          <w:p w14:paraId="1D4BCDEB">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shd w:val="clear" w:color="auto" w:fill="auto"/>
            <w:tcMar>
              <w:left w:w="57" w:type="dxa"/>
              <w:right w:w="57" w:type="dxa"/>
            </w:tcMar>
            <w:vAlign w:val="center"/>
          </w:tcPr>
          <w:p w14:paraId="0027778F">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优先引入：现代船舶与海洋工程装备及配件、汽车配件、重钢结构、新材料、新能源。（2）禁止引入：印刷电路板、电镀项目；工业废水排放不能满足污水处理厂接管要求的项目；工业废气中恶臭、有毒有害物质无法确保稳定达标排放的项目；无可靠的物料泄漏自动监控装置的液体化工品仓储项目；涉铅、汞、镉、铬、砷等重点重金属排放的项目。</w:t>
            </w:r>
          </w:p>
        </w:tc>
        <w:tc>
          <w:tcPr>
            <w:tcW w:w="946" w:type="pct"/>
            <w:shd w:val="clear" w:color="auto" w:fill="auto"/>
            <w:tcMar>
              <w:left w:w="57" w:type="dxa"/>
              <w:right w:w="57" w:type="dxa"/>
            </w:tcMar>
            <w:vAlign w:val="center"/>
          </w:tcPr>
          <w:p w14:paraId="05224B7F">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w:t>
            </w:r>
            <w:r>
              <w:rPr>
                <w:rFonts w:hint="eastAsia" w:ascii="宋体" w:hAnsi="宋体" w:cs="宋体"/>
              </w:rPr>
              <w:t>①</w:t>
            </w:r>
            <w:r>
              <w:rPr>
                <w:rFonts w:ascii="Times New Roman" w:hAnsi="Times New Roman" w:eastAsia="方正仿宋_GBK" w:cs="Times New Roman"/>
              </w:rPr>
              <w:t>废气污染物排放量：二氧化硫539.1</w:t>
            </w:r>
            <w:sdt>
              <w:sdtPr>
                <w:rPr>
                  <w:rFonts w:ascii="Times New Roman" w:hAnsi="Times New Roman" w:cs="Times New Roman"/>
                </w:rPr>
                <w:alias w:val="易错词检查"/>
                <w:id w:val="3121012"/>
              </w:sdtPr>
              <w:sdtEndPr>
                <w:rPr>
                  <w:rFonts w:ascii="Times New Roman" w:hAnsi="Times New Roman" w:eastAsia="方正仿宋_GBK" w:cs="Times New Roman"/>
                </w:rPr>
              </w:sdtEndPr>
              <w:sdtContent>
                <w:r>
                  <w:rPr>
                    <w:rFonts w:ascii="Times New Roman" w:hAnsi="Times New Roman" w:eastAsia="方正仿宋_GBK" w:cs="Times New Roman"/>
                  </w:rPr>
                  <w:t>吨</w:t>
                </w:r>
              </w:sdtContent>
            </w:sdt>
            <w:r>
              <w:rPr>
                <w:rFonts w:ascii="Times New Roman" w:hAnsi="Times New Roman" w:eastAsia="方正仿宋_GBK" w:cs="Times New Roman"/>
              </w:rPr>
              <w:t>/年，氮氧化物1256.2吨/年，颗粒物802.3吨/年，甲苯21.4吨/年，二甲苯26.2吨/年，非甲烷总烃9.4吨/年，挥发性有机物59.1吨/年。</w:t>
            </w:r>
            <w:bookmarkStart w:id="102" w:name="sys18579854"/>
            <w:r>
              <w:rPr>
                <w:rFonts w:hint="eastAsia" w:ascii="宋体" w:hAnsi="宋体" w:cs="宋体"/>
              </w:rPr>
              <w:t>②</w:t>
            </w:r>
            <w:r>
              <w:rPr>
                <w:rFonts w:ascii="Times New Roman" w:hAnsi="Times New Roman" w:eastAsia="方正仿宋_GBK" w:cs="Times New Roman"/>
              </w:rPr>
              <w:t>废水污染物排放量：化学需氧量872.4吨/年，氨氮86.5吨/年，总磷8.8吨/年，总氮261.3吨/年。</w:t>
            </w:r>
            <w:bookmarkEnd w:id="102"/>
            <w:bookmarkStart w:id="103" w:name="sys185715259"/>
            <w:r>
              <w:rPr>
                <w:rFonts w:ascii="Times New Roman" w:hAnsi="Times New Roman" w:eastAsia="方正仿宋_GBK" w:cs="Times New Roman"/>
              </w:rPr>
              <w:t>2、区内</w:t>
            </w:r>
            <w:r>
              <w:rPr>
                <w:rFonts w:ascii="Times New Roman" w:hAnsi="Times New Roman" w:eastAsia="方正仿宋_GBK" w:cs="Times New Roman"/>
                <w:snapToGrid w:val="0"/>
                <w:kern w:val="0"/>
              </w:rPr>
              <w:t>靖江港区八圩作业区</w:t>
            </w:r>
            <w:bookmarkEnd w:id="103"/>
            <w:r>
              <w:rPr>
                <w:rFonts w:ascii="Times New Roman" w:hAnsi="Times New Roman" w:eastAsia="方正仿宋_GBK" w:cs="Times New Roman"/>
              </w:rPr>
              <w:t>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0FB6F080">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1、制定并完善环境风险防控体系，定期组织应急演练，储备环应急物资与设备，完善应急队伍建设，定期对已建企业进行环境风险排查。</w:t>
            </w:r>
            <w:bookmarkStart w:id="104" w:name="sys18586138"/>
            <w:r>
              <w:rPr>
                <w:rFonts w:ascii="Times New Roman" w:hAnsi="Times New Roman" w:eastAsia="方正仿宋_GBK" w:cs="Times New Roman"/>
              </w:rPr>
              <w:t>2、区内</w:t>
            </w:r>
            <w:r>
              <w:rPr>
                <w:rFonts w:ascii="Times New Roman" w:hAnsi="Times New Roman" w:eastAsia="方正仿宋_GBK" w:cs="Times New Roman"/>
                <w:snapToGrid w:val="0"/>
                <w:kern w:val="0"/>
              </w:rPr>
              <w:t>靖江港区八圩作业区</w:t>
            </w:r>
            <w:bookmarkEnd w:id="104"/>
            <w:r>
              <w:rPr>
                <w:rFonts w:ascii="Times New Roman" w:hAnsi="Times New Roman" w:eastAsia="方正仿宋_GBK" w:cs="Times New Roman"/>
              </w:rPr>
              <w:t>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p>
        </w:tc>
        <w:tc>
          <w:tcPr>
            <w:tcW w:w="657" w:type="pct"/>
            <w:tcMar>
              <w:left w:w="57" w:type="dxa"/>
              <w:right w:w="57" w:type="dxa"/>
            </w:tcMar>
            <w:vAlign w:val="center"/>
          </w:tcPr>
          <w:p w14:paraId="78352A89">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w:t>
            </w:r>
            <w:r>
              <w:rPr>
                <w:rFonts w:hint="eastAsia" w:ascii="宋体" w:hAnsi="宋体" w:cs="宋体"/>
              </w:rPr>
              <w:t>①</w:t>
            </w:r>
            <w:r>
              <w:rPr>
                <w:rFonts w:ascii="Times New Roman" w:hAnsi="Times New Roman" w:eastAsia="方正仿宋_GBK" w:cs="Times New Roman"/>
              </w:rPr>
              <w:t>单位工业增加值水耗不高于9吨/万元。</w:t>
            </w:r>
            <w:r>
              <w:rPr>
                <w:rFonts w:hint="eastAsia" w:ascii="宋体" w:hAnsi="宋体" w:cs="宋体"/>
              </w:rPr>
              <w:t>②</w:t>
            </w:r>
            <w:r>
              <w:rPr>
                <w:rFonts w:ascii="Times New Roman" w:hAnsi="Times New Roman" w:eastAsia="方正仿宋_GBK" w:cs="Times New Roman"/>
              </w:rPr>
              <w:t>单位工业增加值综合能耗指标值不高于0.5吨标煤/万元。2、区内</w:t>
            </w:r>
            <w:r>
              <w:rPr>
                <w:rFonts w:ascii="Times New Roman" w:hAnsi="Times New Roman" w:eastAsia="方正仿宋_GBK" w:cs="Times New Roman"/>
                <w:snapToGrid w:val="0"/>
                <w:kern w:val="0"/>
              </w:rPr>
              <w:t>靖江港区八圩作业区</w:t>
            </w:r>
            <w:r>
              <w:rPr>
                <w:rFonts w:ascii="Times New Roman" w:hAnsi="Times New Roman" w:eastAsia="方正仿宋_GBK" w:cs="Times New Roman"/>
              </w:rPr>
              <w:t>减少对自然岸线的占用，确保自然岸线保有率不低于国家和地方规定的比例。</w:t>
            </w:r>
          </w:p>
        </w:tc>
        <w:tc>
          <w:tcPr>
            <w:tcW w:w="603" w:type="pct"/>
            <w:tcMar>
              <w:left w:w="57" w:type="dxa"/>
              <w:right w:w="57" w:type="dxa"/>
            </w:tcMar>
            <w:vAlign w:val="center"/>
          </w:tcPr>
          <w:p w14:paraId="2AADC118">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2099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4" w:hRule="atLeast"/>
          <w:jc w:val="center"/>
        </w:trPr>
        <w:tc>
          <w:tcPr>
            <w:tcW w:w="165" w:type="pct"/>
            <w:tcMar>
              <w:left w:w="57" w:type="dxa"/>
              <w:right w:w="57" w:type="dxa"/>
            </w:tcMar>
            <w:vAlign w:val="center"/>
          </w:tcPr>
          <w:p w14:paraId="28984224">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742E3445">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2B98291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靖江</w:t>
            </w:r>
          </w:p>
        </w:tc>
        <w:tc>
          <w:tcPr>
            <w:tcW w:w="402" w:type="pct"/>
            <w:tcMar>
              <w:left w:w="57" w:type="dxa"/>
              <w:right w:w="57" w:type="dxa"/>
            </w:tcMar>
            <w:vAlign w:val="center"/>
          </w:tcPr>
          <w:p w14:paraId="076C172B">
            <w:pPr>
              <w:adjustRightInd w:val="0"/>
              <w:spacing w:line="320" w:lineRule="exact"/>
              <w:jc w:val="center"/>
              <w:rPr>
                <w:rFonts w:ascii="Times New Roman" w:hAnsi="Times New Roman" w:eastAsia="方正仿宋_GBK" w:cs="Times New Roman"/>
                <w:snapToGrid w:val="0"/>
                <w:kern w:val="0"/>
              </w:rPr>
            </w:pPr>
            <w:bookmarkStart w:id="105" w:name="_Hlk173405191"/>
            <w:r>
              <w:rPr>
                <w:rFonts w:ascii="Times New Roman" w:hAnsi="Times New Roman" w:eastAsia="方正仿宋_GBK" w:cs="Times New Roman"/>
                <w:snapToGrid w:val="0"/>
                <w:kern w:val="0"/>
              </w:rPr>
              <w:t>靖江经济技术开发区</w:t>
            </w:r>
            <w:bookmarkEnd w:id="105"/>
          </w:p>
        </w:tc>
        <w:tc>
          <w:tcPr>
            <w:tcW w:w="267" w:type="pct"/>
            <w:tcMar>
              <w:left w:w="57" w:type="dxa"/>
              <w:right w:w="57" w:type="dxa"/>
            </w:tcMar>
            <w:vAlign w:val="center"/>
          </w:tcPr>
          <w:p w14:paraId="58C1839E">
            <w:pPr>
              <w:adjustRightInd w:val="0"/>
              <w:spacing w:line="320" w:lineRule="exact"/>
              <w:jc w:val="center"/>
              <w:rPr>
                <w:rFonts w:ascii="Times New Roman" w:hAnsi="Times New Roman" w:eastAsia="方正仿宋_GBK" w:cs="Times New Roman"/>
                <w:snapToGrid w:val="0"/>
                <w:kern w:val="0"/>
              </w:rPr>
            </w:pPr>
            <w:r>
              <w:rPr>
                <w:rFonts w:ascii="Times New Roman" w:hAnsi="Times New Roman" w:eastAsia="方正仿宋_GBK" w:cs="Times New Roman"/>
              </w:rPr>
              <w:t>重点管控单元</w:t>
            </w:r>
          </w:p>
        </w:tc>
        <w:tc>
          <w:tcPr>
            <w:tcW w:w="863" w:type="pct"/>
            <w:tcMar>
              <w:left w:w="57" w:type="dxa"/>
              <w:right w:w="57" w:type="dxa"/>
            </w:tcMar>
            <w:vAlign w:val="center"/>
          </w:tcPr>
          <w:p w14:paraId="12E32AAE">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lang w:val="zh-CN"/>
              </w:rPr>
              <w:t>1、总体要求：禁止引入与国家、地方现行产业政策相冲突的项目；禁止引入与各片区规划产业定位或用地性质不符的项目；禁止引入生产工艺及设备落后、风险防范措施弱、抗风险能力差的项目；禁止新建、改建、扩建化工石化（复配类除外）、电镀、印染、纺织、制浆造纸等高污染、高能耗项目，禁止新增炼钢、炼铁产能；禁止新建生产和使用高挥发性有机物含量的溶剂型涂料、油墨、胶粘剂等项目；禁止新建自备燃煤电站和燃煤锅炉。</w:t>
            </w:r>
            <w:r>
              <w:rPr>
                <w:rFonts w:ascii="Times New Roman" w:hAnsi="Times New Roman" w:eastAsia="方正仿宋_GBK" w:cs="Times New Roman"/>
              </w:rPr>
              <w:t>2、新港本部：禁止引入水泥船、船舶滩涂拆解、出口船舶分段建造项目；禁止在沿江或主要支流煤炭码头、储煤场建设开放式的储煤场（有防风环保措施的除外）；禁止在长江干流沿岸1公里范围内引入危险废物和医疗废物处置项目；禁止在长江沿岸1公里范围内新建、扩建危化品仓储码头。3、城南园区：禁止引入排放含重金属、难降解废水、高盐废水的工业企业；禁止引入照明白炽灯、高压汞灯生产线；禁止引入危险废物和医疗废物处置项目。4、城北园区：禁止引入废旧汽车拆解、翻新及拼装项目。5、落实最严格的耕地保护制度，根据新一轮国土空间规划分布成果合理确定用地指标。6、规划居住用地周边尽可能布置低污染项目（无废气或较少废气产生、噪声污染小），且禁止布局排放恶臭或异味、有毒有害气体的建设项目；禁止引进危险物质及工艺系统危险性为高度危害及极高度危害级别的项目。7、加强绿化隔离带建设，有污染工业与居住区之间必须设置空间隔离带。8、规划工业用地建设项目入区时，严格按照建设项目环评批复设置相应的卫生防护距离，确保范围内不涉及规划居住区等敏感目标。</w:t>
            </w:r>
            <w:bookmarkStart w:id="106" w:name="sys187665061"/>
            <w:r>
              <w:rPr>
                <w:rFonts w:ascii="Times New Roman" w:hAnsi="Times New Roman" w:eastAsia="方正仿宋_GBK" w:cs="Times New Roman"/>
              </w:rPr>
              <w:t>9、靖江港区新港作业区：</w:t>
            </w:r>
            <w:bookmarkEnd w:id="106"/>
            <w:r>
              <w:rPr>
                <w:rFonts w:ascii="Times New Roman" w:hAnsi="Times New Roman" w:eastAsia="方正仿宋_GBK" w:cs="Times New Roman"/>
                <w:lang w:val="zh-CN"/>
              </w:rPr>
              <w:t>通用码头区部分位于水源地准保护区范围内的，不得建设有毒有害物品仓库、堆栈，或者设置煤场、灰场、垃圾填埋场，禁止承担煤炭运输。新港作业区临港工业配套码头区建设避让前沿生态空间管控区。</w:t>
            </w:r>
          </w:p>
        </w:tc>
        <w:tc>
          <w:tcPr>
            <w:tcW w:w="946" w:type="pct"/>
            <w:tcMar>
              <w:left w:w="57" w:type="dxa"/>
              <w:right w:w="57" w:type="dxa"/>
            </w:tcMar>
            <w:vAlign w:val="center"/>
          </w:tcPr>
          <w:p w14:paraId="2FE9065D">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1</w:t>
            </w:r>
            <w:r>
              <w:rPr>
                <w:rFonts w:ascii="Times New Roman" w:hAnsi="Times New Roman" w:eastAsia="方正仿宋_GBK" w:cs="Times New Roman"/>
                <w:lang w:val="zh-CN"/>
              </w:rPr>
              <w:t>、大气污染物排放量</w:t>
            </w:r>
            <w:r>
              <w:rPr>
                <w:rFonts w:ascii="Times New Roman" w:hAnsi="Times New Roman" w:eastAsia="方正仿宋_GBK" w:cs="Times New Roman"/>
              </w:rPr>
              <w:t>：近期二氧化硫656.56吨/年、氮氧化物1312.8吨/年、颗粒物390.26吨/年、挥发性有机物177.99吨/年；远期二氧化硫545.58吨/年、氮氧化物1295.73吨/年、颗粒物267.88吨/年、挥发性有机物160.81吨/年。</w:t>
            </w:r>
            <w:bookmarkStart w:id="107" w:name="sys187713053"/>
            <w:r>
              <w:rPr>
                <w:rFonts w:ascii="Times New Roman" w:hAnsi="Times New Roman" w:eastAsia="方正仿宋_GBK" w:cs="Times New Roman"/>
                <w:lang w:val="zh-CN"/>
              </w:rPr>
              <w:t>2、水污染物排放量：近期化学需氧量1505吨/年、氨氮137吨/年、总磷11.7吨/年、总氮637吨/年；</w:t>
            </w:r>
            <w:bookmarkEnd w:id="107"/>
            <w:bookmarkStart w:id="108" w:name="sys187718342"/>
            <w:r>
              <w:rPr>
                <w:rFonts w:ascii="Times New Roman" w:hAnsi="Times New Roman" w:eastAsia="方正仿宋_GBK" w:cs="Times New Roman"/>
                <w:lang w:val="zh-CN"/>
              </w:rPr>
              <w:t>远期化学需氧量1034吨/年、氨氮87吨/年、总磷10.4吨/年、总氮426吨/年。</w:t>
            </w:r>
            <w:bookmarkEnd w:id="108"/>
            <w:r>
              <w:rPr>
                <w:rFonts w:ascii="Times New Roman" w:hAnsi="Times New Roman" w:eastAsia="方正仿宋_GBK" w:cs="Times New Roman"/>
                <w:lang w:val="zh-CN"/>
              </w:rPr>
              <w:t>3、严控新建“两高”项目。</w:t>
            </w:r>
            <w:r>
              <w:rPr>
                <w:rFonts w:ascii="Times New Roman" w:hAnsi="Times New Roman" w:eastAsia="方正仿宋_GBK" w:cs="Times New Roman"/>
              </w:rPr>
              <w:t>4、新增排放二氧化硫、氮氧化物、颗粒物、VOCs的项目，实行现役源2倍削减量替代。5、二氧化硫、氮氧化物、颗粒物、VOCs全面执行大气污染物特别排放限制。6、新引入工业企业废水需全部纳入开发区污染管网系统，并实施分质分类收集处理。7、除开发区集中污水处理厂外，入园企业或项目禁止另设污水外排口。</w:t>
            </w:r>
            <w:bookmarkStart w:id="109" w:name="sys187738556"/>
            <w:r>
              <w:rPr>
                <w:rFonts w:ascii="Times New Roman" w:hAnsi="Times New Roman" w:eastAsia="方正仿宋_GBK" w:cs="Times New Roman"/>
              </w:rPr>
              <w:t>8、靖江港区新港作业区</w:t>
            </w:r>
            <w:bookmarkEnd w:id="109"/>
            <w:r>
              <w:rPr>
                <w:rFonts w:ascii="Times New Roman" w:hAnsi="Times New Roman" w:eastAsia="方正仿宋_GBK" w:cs="Times New Roman"/>
              </w:rPr>
              <w:t>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19A5FD9F">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1、建立健全开发区环境风险管控体系，加强环境风险防范；加快建设开发区环境事故应急物资储备库，定期组织演练，提高应急处置能力。2、建立定期隐患排查治理制度，做好污染防治过程中的安全防范，组织对开发区建设的重点环保治理设施和项目开展安全风险评估和隐患排查治理，督促区内企业对污染防治设施开展安全风险评估和隐患排查治理。3、加强企业关停、搬迁过程中污染防治及环境风险管理工作。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4、加强长江岸线码头溢油风险防范，严控危化品运输，强化对沿江现有德桥仓储、联合安能等危化品码头企业的风险管控。</w:t>
            </w:r>
            <w:bookmarkStart w:id="110" w:name="sys187835237"/>
            <w:r>
              <w:rPr>
                <w:rFonts w:ascii="Times New Roman" w:hAnsi="Times New Roman" w:eastAsia="方正仿宋_GBK" w:cs="Times New Roman"/>
              </w:rPr>
              <w:t>5、靖江港区新港作业区</w:t>
            </w:r>
            <w:bookmarkEnd w:id="110"/>
            <w:r>
              <w:rPr>
                <w:rFonts w:ascii="Times New Roman" w:hAnsi="Times New Roman" w:eastAsia="方正仿宋_GBK" w:cs="Times New Roman"/>
              </w:rPr>
              <w:t>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p>
        </w:tc>
        <w:tc>
          <w:tcPr>
            <w:tcW w:w="657" w:type="pct"/>
            <w:tcMar>
              <w:left w:w="57" w:type="dxa"/>
              <w:right w:w="57" w:type="dxa"/>
            </w:tcMar>
            <w:vAlign w:val="center"/>
          </w:tcPr>
          <w:p w14:paraId="0FFF7C74">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1、禁止新建燃用高污染燃料的项目和设施，区内企业因工艺需要使用工业炉窑应使用天然气、电等清洁能源。单位工业增加值综合能耗不高于0.5吨标煤/万元。</w:t>
            </w:r>
            <w:bookmarkStart w:id="111" w:name="sys18797366"/>
            <w:r>
              <w:rPr>
                <w:rFonts w:ascii="Times New Roman" w:hAnsi="Times New Roman" w:eastAsia="方正仿宋_GBK" w:cs="Times New Roman"/>
              </w:rPr>
              <w:t>2、执行高污染燃料禁燃区Ⅱ类（较严）管理要求，具体为禁止销售使用：（1）除单台出力大于等于20蒸吨/小时锅炉以外燃用的煤炭及其制品；</w:t>
            </w:r>
            <w:bookmarkEnd w:id="111"/>
            <w:r>
              <w:rPr>
                <w:rFonts w:ascii="Times New Roman" w:hAnsi="Times New Roman" w:eastAsia="方正仿宋_GBK" w:cs="Times New Roman"/>
              </w:rPr>
              <w:t>（2）石油焦、油页岩、原油、重油、渣油、煤焦油。3、规划期中水回用率达到30%以上，单位工业增加值新鲜水耗不高于8吨/万元。4、引入项目的生产工艺、设备及污染物排放等应达到同行业国际领先水平。5、靖江港区新港作业区减少对自然岸线的占用，确保自然岸线保有率不低于国家和地方规定的比例。</w:t>
            </w:r>
          </w:p>
        </w:tc>
        <w:tc>
          <w:tcPr>
            <w:tcW w:w="603" w:type="pct"/>
            <w:tcMar>
              <w:left w:w="57" w:type="dxa"/>
              <w:right w:w="57" w:type="dxa"/>
            </w:tcMar>
            <w:vAlign w:val="center"/>
          </w:tcPr>
          <w:p w14:paraId="575630C0">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651F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165" w:type="pct"/>
            <w:tcMar>
              <w:left w:w="57" w:type="dxa"/>
              <w:right w:w="57" w:type="dxa"/>
            </w:tcMar>
            <w:vAlign w:val="center"/>
          </w:tcPr>
          <w:p w14:paraId="2DB825D8">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0C909CA6">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22D6433B">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靖江</w:t>
            </w:r>
          </w:p>
        </w:tc>
        <w:tc>
          <w:tcPr>
            <w:tcW w:w="402" w:type="pct"/>
            <w:tcMar>
              <w:left w:w="57" w:type="dxa"/>
              <w:right w:w="57" w:type="dxa"/>
            </w:tcMar>
            <w:vAlign w:val="center"/>
          </w:tcPr>
          <w:p w14:paraId="10DDE762">
            <w:pPr>
              <w:adjustRightInd w:val="0"/>
              <w:spacing w:line="320" w:lineRule="exact"/>
              <w:jc w:val="center"/>
              <w:rPr>
                <w:rFonts w:ascii="Times New Roman" w:hAnsi="Times New Roman" w:eastAsia="方正仿宋_GBK" w:cs="Times New Roman"/>
                <w:snapToGrid w:val="0"/>
                <w:kern w:val="0"/>
              </w:rPr>
            </w:pPr>
            <w:bookmarkStart w:id="112" w:name="_Hlk173405198"/>
            <w:r>
              <w:rPr>
                <w:rFonts w:ascii="Times New Roman" w:hAnsi="Times New Roman" w:eastAsia="方正仿宋_GBK" w:cs="Times New Roman"/>
                <w:snapToGrid w:val="0"/>
                <w:kern w:val="0"/>
              </w:rPr>
              <w:t>东部合作经济产业园</w:t>
            </w:r>
            <w:bookmarkEnd w:id="112"/>
          </w:p>
        </w:tc>
        <w:tc>
          <w:tcPr>
            <w:tcW w:w="267" w:type="pct"/>
            <w:tcMar>
              <w:left w:w="57" w:type="dxa"/>
              <w:right w:w="57" w:type="dxa"/>
            </w:tcMar>
            <w:vAlign w:val="center"/>
          </w:tcPr>
          <w:p w14:paraId="2C024FE1">
            <w:pPr>
              <w:adjustRightInd w:val="0"/>
              <w:spacing w:line="320" w:lineRule="exact"/>
              <w:jc w:val="center"/>
              <w:rPr>
                <w:rFonts w:ascii="Times New Roman" w:hAnsi="Times New Roman" w:eastAsia="方正仿宋_GBK" w:cs="Times New Roman"/>
                <w:snapToGrid w:val="0"/>
                <w:kern w:val="0"/>
              </w:rPr>
            </w:pPr>
            <w:r>
              <w:rPr>
                <w:rFonts w:ascii="Times New Roman" w:hAnsi="Times New Roman" w:eastAsia="方正仿宋_GBK" w:cs="Times New Roman"/>
              </w:rPr>
              <w:t>重点管控单元</w:t>
            </w:r>
          </w:p>
        </w:tc>
        <w:tc>
          <w:tcPr>
            <w:tcW w:w="863" w:type="pct"/>
            <w:tcMar>
              <w:left w:w="57" w:type="dxa"/>
              <w:right w:w="57" w:type="dxa"/>
            </w:tcMar>
            <w:vAlign w:val="center"/>
          </w:tcPr>
          <w:p w14:paraId="6FBF23D5">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1、禁止引进与规划产业定位或用地性质不符的项目以及国家经济政策、环保政策、技术政策禁止的项目；国家明令禁止、淘汰的项目、工艺、产品禁止入驻。</w:t>
            </w:r>
            <w:bookmarkStart w:id="113" w:name="sys18867061"/>
            <w:r>
              <w:rPr>
                <w:rFonts w:ascii="Times New Roman" w:hAnsi="Times New Roman" w:eastAsia="方正仿宋_GBK" w:cs="Times New Roman"/>
              </w:rPr>
              <w:t>2、靖江港区新港作业区：</w:t>
            </w:r>
            <w:bookmarkEnd w:id="113"/>
            <w:r>
              <w:rPr>
                <w:rFonts w:ascii="Times New Roman" w:hAnsi="Times New Roman" w:eastAsia="方正仿宋_GBK" w:cs="Times New Roman"/>
                <w:lang w:val="zh-CN"/>
              </w:rPr>
              <w:t>通用码头区部分位于水源地准保护区范围内的，不得建设有毒有害物品仓库、堆栈，或者设置煤场、灰场、垃圾填埋场，禁止承担煤炭运输。新港作业区临港工业配套码头区建设避让前沿生态空间管控区。</w:t>
            </w:r>
          </w:p>
        </w:tc>
        <w:tc>
          <w:tcPr>
            <w:tcW w:w="946" w:type="pct"/>
            <w:tcMar>
              <w:left w:w="57" w:type="dxa"/>
              <w:right w:w="57" w:type="dxa"/>
            </w:tcMar>
            <w:vAlign w:val="center"/>
          </w:tcPr>
          <w:p w14:paraId="12CE8BF5">
            <w:pPr>
              <w:adjustRightInd w:val="0"/>
              <w:spacing w:line="320" w:lineRule="exact"/>
              <w:rPr>
                <w:rFonts w:ascii="Times New Roman" w:hAnsi="Times New Roman" w:eastAsia="方正仿宋_GBK" w:cs="Times New Roman"/>
              </w:rPr>
            </w:pPr>
            <w:r>
              <w:rPr>
                <w:rFonts w:ascii="Times New Roman" w:hAnsi="Times New Roman" w:eastAsia="方正仿宋_GBK" w:cs="Times New Roman"/>
              </w:rPr>
              <w:t>1、（1）加强工业园区水污染防治。</w:t>
            </w:r>
            <w:bookmarkStart w:id="114" w:name="sys18871742"/>
            <w:r>
              <w:rPr>
                <w:rFonts w:ascii="Times New Roman" w:hAnsi="Times New Roman" w:eastAsia="方正仿宋_GBK" w:cs="Times New Roman"/>
              </w:rPr>
              <w:t>全面推动专业化废水集中处理和雨污分流设施建设，逐步实现与生活污水分开收集、分质处理。</w:t>
            </w:r>
            <w:bookmarkEnd w:id="114"/>
            <w:r>
              <w:rPr>
                <w:rFonts w:ascii="Times New Roman" w:hAnsi="Times New Roman" w:eastAsia="方正仿宋_GBK" w:cs="Times New Roman"/>
              </w:rPr>
              <w:t>推进污水处理厂水平衡核算，倒逼提高运行管理水平。</w:t>
            </w:r>
            <w:bookmarkStart w:id="115" w:name="sys18878366"/>
            <w:r>
              <w:rPr>
                <w:rFonts w:ascii="Times New Roman" w:hAnsi="Times New Roman" w:eastAsia="方正仿宋_GBK" w:cs="Times New Roman"/>
              </w:rPr>
              <w:t>推动企业预处理设施全部建设到位、重点污染行业废水明管输送、重点企业预处理污水排口和园区污水集中处理设施进出水口全部安装在线监控装置。</w:t>
            </w:r>
            <w:bookmarkEnd w:id="115"/>
            <w:bookmarkStart w:id="116" w:name="sys188714994"/>
            <w:r>
              <w:rPr>
                <w:rFonts w:ascii="Times New Roman" w:hAnsi="Times New Roman" w:eastAsia="方正仿宋_GBK" w:cs="Times New Roman"/>
              </w:rPr>
              <w:t>（2）加强园区废气污染防治，持续推进工业污染源全面达标排放，二氧化硫、氮氧化物、颗粒物、VOCs全面执行大气污染物特别排放限值，无组织排放较为严重的重点企业开展颗粒物无组织排放深度整治等。</w:t>
            </w:r>
            <w:bookmarkEnd w:id="116"/>
            <w:bookmarkStart w:id="117" w:name="sys188724356"/>
            <w:r>
              <w:rPr>
                <w:rFonts w:ascii="Times New Roman" w:hAnsi="Times New Roman" w:eastAsia="方正仿宋_GBK" w:cs="Times New Roman"/>
              </w:rPr>
              <w:t>2、靖江港区新港作业区</w:t>
            </w:r>
            <w:bookmarkEnd w:id="117"/>
            <w:r>
              <w:rPr>
                <w:rFonts w:ascii="Times New Roman" w:hAnsi="Times New Roman" w:eastAsia="方正仿宋_GBK" w:cs="Times New Roman"/>
              </w:rPr>
              <w:t>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18DBE6EF">
            <w:pPr>
              <w:adjustRightInd w:val="0"/>
              <w:spacing w:line="320" w:lineRule="exact"/>
              <w:rPr>
                <w:rFonts w:ascii="Times New Roman" w:hAnsi="Times New Roman" w:eastAsia="方正仿宋_GBK" w:cs="Times New Roman"/>
              </w:rPr>
            </w:pPr>
            <w:bookmarkStart w:id="118" w:name="sys1888051"/>
            <w:r>
              <w:rPr>
                <w:rFonts w:ascii="Times New Roman" w:hAnsi="Times New Roman" w:eastAsia="方正仿宋_GBK" w:cs="Times New Roman"/>
              </w:rPr>
              <w:t>1、建立并完善区域环境风险防范体系，制定完备的事故应急预案，贮存必要的应急物资，定期开展事故应急演练。</w:t>
            </w:r>
            <w:bookmarkEnd w:id="118"/>
            <w:bookmarkStart w:id="119" w:name="sys18885137"/>
            <w:r>
              <w:rPr>
                <w:rFonts w:ascii="Times New Roman" w:hAnsi="Times New Roman" w:eastAsia="方正仿宋_GBK" w:cs="Times New Roman"/>
              </w:rPr>
              <w:t>2、靖江港区新港作业区</w:t>
            </w:r>
            <w:bookmarkEnd w:id="119"/>
            <w:r>
              <w:rPr>
                <w:rFonts w:ascii="Times New Roman" w:hAnsi="Times New Roman" w:eastAsia="方正仿宋_GBK" w:cs="Times New Roman"/>
              </w:rPr>
              <w:t>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p>
        </w:tc>
        <w:tc>
          <w:tcPr>
            <w:tcW w:w="657" w:type="pct"/>
            <w:tcMar>
              <w:left w:w="57" w:type="dxa"/>
              <w:right w:w="57" w:type="dxa"/>
            </w:tcMar>
            <w:vAlign w:val="center"/>
          </w:tcPr>
          <w:p w14:paraId="473729C1">
            <w:pPr>
              <w:adjustRightInd w:val="0"/>
              <w:spacing w:line="320" w:lineRule="exact"/>
              <w:rPr>
                <w:rFonts w:ascii="Times New Roman" w:hAnsi="Times New Roman" w:eastAsia="方正仿宋_GBK" w:cs="Times New Roman"/>
              </w:rPr>
            </w:pPr>
            <w:bookmarkStart w:id="120" w:name="sys1889056"/>
            <w:r>
              <w:rPr>
                <w:rFonts w:ascii="Times New Roman" w:hAnsi="Times New Roman" w:eastAsia="方正仿宋_GBK" w:cs="Times New Roman"/>
              </w:rPr>
              <w:t>1、禁止销售使用燃料为“Ⅱ类”（较严），具体包括：</w:t>
            </w:r>
            <w:r>
              <w:rPr>
                <w:rFonts w:hint="eastAsia" w:ascii="宋体" w:hAnsi="宋体" w:cs="宋体"/>
              </w:rPr>
              <w:t>①</w:t>
            </w:r>
            <w:r>
              <w:rPr>
                <w:rFonts w:ascii="Times New Roman" w:hAnsi="Times New Roman" w:eastAsia="方正仿宋_GBK" w:cs="Times New Roman"/>
              </w:rPr>
              <w:t>除单台出力大于等于20蒸吨/小时锅炉以外燃用的煤炭及其制品。</w:t>
            </w:r>
            <w:bookmarkEnd w:id="120"/>
            <w:r>
              <w:rPr>
                <w:rFonts w:hint="eastAsia" w:ascii="宋体" w:hAnsi="宋体" w:cs="宋体"/>
              </w:rPr>
              <w:t>②</w:t>
            </w:r>
            <w:r>
              <w:rPr>
                <w:rFonts w:ascii="Times New Roman" w:hAnsi="Times New Roman" w:eastAsia="方正仿宋_GBK" w:cs="Times New Roman"/>
              </w:rPr>
              <w:t>石油焦、油页岩、原油、重油、渣油、煤焦油。2、靖江港区新港作业区减少对自然岸线的占用，确保自然岸线保有率不低于国家和地方规定的比例。</w:t>
            </w:r>
          </w:p>
        </w:tc>
        <w:tc>
          <w:tcPr>
            <w:tcW w:w="603" w:type="pct"/>
            <w:tcMar>
              <w:left w:w="57" w:type="dxa"/>
              <w:right w:w="57" w:type="dxa"/>
            </w:tcMar>
            <w:vAlign w:val="center"/>
          </w:tcPr>
          <w:p w14:paraId="2A499D2B">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53C1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165" w:type="pct"/>
            <w:tcMar>
              <w:left w:w="57" w:type="dxa"/>
              <w:right w:w="57" w:type="dxa"/>
            </w:tcMar>
            <w:vAlign w:val="center"/>
          </w:tcPr>
          <w:p w14:paraId="7A51CE91">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2F6E8D0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3F264002">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泰兴</w:t>
            </w:r>
          </w:p>
        </w:tc>
        <w:tc>
          <w:tcPr>
            <w:tcW w:w="402" w:type="pct"/>
            <w:tcMar>
              <w:left w:w="57" w:type="dxa"/>
              <w:right w:w="57" w:type="dxa"/>
            </w:tcMar>
            <w:vAlign w:val="center"/>
          </w:tcPr>
          <w:p w14:paraId="3972521C">
            <w:pPr>
              <w:adjustRightInd w:val="0"/>
              <w:spacing w:line="320" w:lineRule="exact"/>
              <w:jc w:val="center"/>
              <w:rPr>
                <w:rFonts w:ascii="Times New Roman" w:hAnsi="Times New Roman" w:eastAsia="方正仿宋_GBK" w:cs="Times New Roman"/>
              </w:rPr>
            </w:pPr>
            <w:bookmarkStart w:id="121" w:name="_Hlk173405491"/>
            <w:r>
              <w:rPr>
                <w:rFonts w:ascii="Times New Roman" w:hAnsi="Times New Roman" w:eastAsia="方正仿宋_GBK" w:cs="Times New Roman"/>
                <w:snapToGrid w:val="0"/>
                <w:kern w:val="0"/>
              </w:rPr>
              <w:t>泰兴经济开发区中国精细化工（泰兴）开发园区</w:t>
            </w:r>
            <w:bookmarkEnd w:id="121"/>
          </w:p>
        </w:tc>
        <w:tc>
          <w:tcPr>
            <w:tcW w:w="267" w:type="pct"/>
            <w:tcMar>
              <w:left w:w="57" w:type="dxa"/>
              <w:right w:w="57" w:type="dxa"/>
            </w:tcMar>
            <w:vAlign w:val="center"/>
          </w:tcPr>
          <w:p w14:paraId="71C4DDA7">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28783592">
            <w:pPr>
              <w:adjustRightInd w:val="0"/>
              <w:snapToGrid w:val="0"/>
              <w:spacing w:line="320" w:lineRule="exact"/>
              <w:rPr>
                <w:rFonts w:ascii="Times New Roman" w:hAnsi="Times New Roman" w:eastAsia="方正仿宋_GBK" w:cs="Times New Roman"/>
                <w:lang w:val="zh-CN"/>
              </w:rPr>
            </w:pPr>
            <w:r>
              <w:rPr>
                <w:rFonts w:ascii="Times New Roman" w:hAnsi="Times New Roman" w:eastAsia="等线" w:cs="Times New Roman"/>
              </w:rPr>
              <w:t>1</w:t>
            </w:r>
            <w:r>
              <w:rPr>
                <w:rFonts w:ascii="Times New Roman" w:hAnsi="Times New Roman" w:eastAsia="方正仿宋_GBK" w:cs="Times New Roman"/>
              </w:rPr>
              <w:t>、优先引入：重点发展以下符合氯碱、烯烃产业链上补链、延链、强链项目：（</w:t>
            </w:r>
            <w:r>
              <w:rPr>
                <w:rFonts w:ascii="Times New Roman" w:hAnsi="Times New Roman" w:eastAsia="等线" w:cs="Times New Roman"/>
              </w:rPr>
              <w:t>1</w:t>
            </w:r>
            <w:r>
              <w:rPr>
                <w:rFonts w:ascii="Times New Roman" w:hAnsi="Times New Roman" w:eastAsia="方正仿宋_GBK" w:cs="Times New Roman"/>
              </w:rPr>
              <w:t>）化工产业：</w:t>
            </w:r>
            <w:r>
              <w:rPr>
                <w:rFonts w:hint="eastAsia" w:ascii="宋体" w:hAnsi="宋体" w:cs="宋体"/>
              </w:rPr>
              <w:t>①</w:t>
            </w:r>
            <w:r>
              <w:rPr>
                <w:rFonts w:ascii="Times New Roman" w:hAnsi="Times New Roman" w:eastAsia="方正仿宋_GBK" w:cs="Times New Roman"/>
              </w:rPr>
              <w:t>以氢气、氯气、乙烯（环氧乙烷、氯乙烯、苯乙烯）、丙烯（环氧丙烷</w:t>
            </w:r>
            <w:r>
              <w:rPr>
                <w:rFonts w:ascii="Times New Roman" w:hAnsi="Times New Roman" w:eastAsia="等线" w:cs="Times New Roman"/>
              </w:rPr>
              <w:t>/</w:t>
            </w:r>
            <w:r>
              <w:rPr>
                <w:rFonts w:ascii="Times New Roman" w:hAnsi="Times New Roman" w:eastAsia="方正仿宋_GBK" w:cs="Times New Roman"/>
              </w:rPr>
              <w:t>丙烯酸）四大原料资源衍生发展精细化学品、专用化学品、特殊化学品、功能性化学品等；</w:t>
            </w:r>
            <w:r>
              <w:rPr>
                <w:rFonts w:hint="eastAsia" w:ascii="宋体" w:hAnsi="宋体" w:cs="宋体"/>
              </w:rPr>
              <w:t>②</w:t>
            </w:r>
            <w:r>
              <w:rPr>
                <w:rFonts w:ascii="Times New Roman" w:hAnsi="Times New Roman" w:eastAsia="方正仿宋_GBK" w:cs="Times New Roman"/>
              </w:rPr>
              <w:t>化工新材料：高性能树脂、特种合成橡胶、高性能纤维、功能性膜材料、电子化学品、含氟</w:t>
            </w:r>
            <w:r>
              <w:rPr>
                <w:rFonts w:ascii="Times New Roman" w:hAnsi="Times New Roman" w:eastAsia="等线" w:cs="Times New Roman"/>
              </w:rPr>
              <w:t>ODS</w:t>
            </w:r>
            <w:r>
              <w:rPr>
                <w:rFonts w:ascii="Times New Roman" w:hAnsi="Times New Roman" w:eastAsia="方正仿宋_GBK" w:cs="Times New Roman"/>
              </w:rPr>
              <w:t>替代品和含氟高分子材料等氟硅新材料。（</w:t>
            </w:r>
            <w:r>
              <w:rPr>
                <w:rFonts w:ascii="Times New Roman" w:hAnsi="Times New Roman" w:eastAsia="等线" w:cs="Times New Roman"/>
              </w:rPr>
              <w:t>2</w:t>
            </w:r>
            <w:r>
              <w:rPr>
                <w:rFonts w:ascii="Times New Roman" w:hAnsi="Times New Roman" w:eastAsia="方正仿宋_GBK" w:cs="Times New Roman"/>
              </w:rPr>
              <w:t>）高效新能源产业：锂电池正极材料、锂电池电解液、锂电池电解液溶剂、隔膜材料等电池化学品项目。（</w:t>
            </w:r>
            <w:r>
              <w:rPr>
                <w:rFonts w:ascii="Times New Roman" w:hAnsi="Times New Roman" w:eastAsia="等线" w:cs="Times New Roman"/>
              </w:rPr>
              <w:t>3</w:t>
            </w:r>
            <w:r>
              <w:rPr>
                <w:rFonts w:ascii="Times New Roman" w:hAnsi="Times New Roman" w:eastAsia="方正仿宋_GBK" w:cs="Times New Roman"/>
              </w:rPr>
              <w:t>）医药和日化产业：化学和生物制药、油脂化学品、表面活性剂、特种脂肪胺等项目。</w:t>
            </w:r>
            <w:r>
              <w:rPr>
                <w:rFonts w:ascii="Times New Roman" w:hAnsi="Times New Roman" w:eastAsia="等线" w:cs="Times New Roman"/>
              </w:rPr>
              <w:t>2</w:t>
            </w:r>
            <w:r>
              <w:rPr>
                <w:rFonts w:ascii="Times New Roman" w:hAnsi="Times New Roman" w:eastAsia="方正仿宋_GBK" w:cs="Times New Roman"/>
              </w:rPr>
              <w:t>、禁止引入：（</w:t>
            </w:r>
            <w:r>
              <w:rPr>
                <w:rFonts w:ascii="Times New Roman" w:hAnsi="Times New Roman" w:eastAsia="等线" w:cs="Times New Roman"/>
              </w:rPr>
              <w:t>1</w:t>
            </w:r>
            <w:r>
              <w:rPr>
                <w:rFonts w:ascii="Times New Roman" w:hAnsi="Times New Roman" w:eastAsia="方正仿宋_GBK" w:cs="Times New Roman"/>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bookmarkStart w:id="122" w:name="sys190637736"/>
            <w:r>
              <w:rPr>
                <w:rFonts w:ascii="Times New Roman" w:hAnsi="Times New Roman" w:eastAsia="方正仿宋_GBK" w:cs="Times New Roman"/>
              </w:rPr>
              <w:t>（</w:t>
            </w:r>
            <w:r>
              <w:rPr>
                <w:rFonts w:ascii="Times New Roman" w:hAnsi="Times New Roman" w:eastAsia="等线" w:cs="Times New Roman"/>
              </w:rPr>
              <w:t>2</w:t>
            </w:r>
            <w:r>
              <w:rPr>
                <w:rFonts w:ascii="Times New Roman" w:hAnsi="Times New Roman" w:eastAsia="方正仿宋_GBK" w:cs="Times New Roman"/>
              </w:rPr>
              <w:t>）禁止建设生产和使用高</w:t>
            </w:r>
            <w:r>
              <w:rPr>
                <w:rFonts w:ascii="Times New Roman" w:hAnsi="Times New Roman" w:eastAsia="等线" w:cs="Times New Roman"/>
              </w:rPr>
              <w:t>VOCs</w:t>
            </w:r>
            <w:r>
              <w:rPr>
                <w:rFonts w:ascii="Times New Roman" w:hAnsi="Times New Roman" w:eastAsia="方正仿宋_GBK" w:cs="Times New Roman"/>
              </w:rPr>
              <w:t>含量的溶剂型涂料、油墨、胶粘剂等项目。</w:t>
            </w:r>
            <w:bookmarkEnd w:id="122"/>
            <w:bookmarkStart w:id="123" w:name="sys190641367"/>
            <w:r>
              <w:rPr>
                <w:rFonts w:ascii="Times New Roman" w:hAnsi="Times New Roman" w:eastAsia="方正仿宋_GBK" w:cs="Times New Roman"/>
              </w:rPr>
              <w:t>（</w:t>
            </w:r>
            <w:r>
              <w:rPr>
                <w:rFonts w:ascii="Times New Roman" w:hAnsi="Times New Roman" w:eastAsia="等线" w:cs="Times New Roman"/>
              </w:rPr>
              <w:t>3</w:t>
            </w:r>
            <w:r>
              <w:rPr>
                <w:rFonts w:ascii="Times New Roman" w:hAnsi="Times New Roman" w:eastAsia="方正仿宋_GBK" w:cs="Times New Roman"/>
              </w:rPr>
              <w:t>）禁止引入污染治理措施达不到《挥发性有机物（</w:t>
            </w:r>
            <w:r>
              <w:rPr>
                <w:rFonts w:ascii="Times New Roman" w:hAnsi="Times New Roman" w:eastAsia="等线" w:cs="Times New Roman"/>
              </w:rPr>
              <w:t>VOCS</w:t>
            </w:r>
            <w:r>
              <w:rPr>
                <w:rFonts w:ascii="Times New Roman" w:hAnsi="Times New Roman" w:eastAsia="方正仿宋_GBK" w:cs="Times New Roman"/>
              </w:rPr>
              <w:t>）污染防治技术政策》和《江苏省重点行业挥发性有机物污染控制指南》等要求的项目。</w:t>
            </w:r>
            <w:bookmarkEnd w:id="123"/>
            <w:r>
              <w:rPr>
                <w:rFonts w:ascii="Times New Roman" w:hAnsi="Times New Roman" w:eastAsia="等线" w:cs="Times New Roman"/>
              </w:rPr>
              <w:t>3</w:t>
            </w:r>
            <w:r>
              <w:rPr>
                <w:rFonts w:ascii="Times New Roman" w:hAnsi="Times New Roman" w:eastAsia="方正仿宋_GBK" w:cs="Times New Roman"/>
              </w:rPr>
              <w:t>、其他：（</w:t>
            </w:r>
            <w:r>
              <w:rPr>
                <w:rFonts w:ascii="Times New Roman" w:hAnsi="Times New Roman" w:eastAsia="等线" w:cs="Times New Roman"/>
              </w:rPr>
              <w:t>1</w:t>
            </w:r>
            <w:r>
              <w:rPr>
                <w:rFonts w:ascii="Times New Roman" w:hAnsi="Times New Roman" w:eastAsia="方正仿宋_GBK" w:cs="Times New Roman"/>
              </w:rPr>
              <w:t>）项目布局不得违反《</w:t>
            </w:r>
            <w:r>
              <w:rPr>
                <w:rFonts w:ascii="Times New Roman" w:hAnsi="Times New Roman" w:eastAsia="等线" w:cs="Times New Roman"/>
              </w:rPr>
              <w:t>&lt;</w:t>
            </w:r>
            <w:r>
              <w:rPr>
                <w:rFonts w:ascii="Times New Roman" w:hAnsi="Times New Roman" w:eastAsia="方正仿宋_GBK" w:cs="Times New Roman"/>
              </w:rPr>
              <w:t>长江经济带发展负面清单指南（试行，</w:t>
            </w:r>
            <w:r>
              <w:rPr>
                <w:rFonts w:ascii="Times New Roman" w:hAnsi="Times New Roman" w:eastAsia="等线" w:cs="Times New Roman"/>
              </w:rPr>
              <w:t>2022</w:t>
            </w:r>
            <w:r>
              <w:rPr>
                <w:rFonts w:ascii="Times New Roman" w:hAnsi="Times New Roman" w:eastAsia="方正仿宋_GBK" w:cs="Times New Roman"/>
              </w:rPr>
              <w:t>年版）</w:t>
            </w:r>
            <w:r>
              <w:rPr>
                <w:rFonts w:ascii="Times New Roman" w:hAnsi="Times New Roman" w:eastAsia="等线" w:cs="Times New Roman"/>
              </w:rPr>
              <w:t>&gt;</w:t>
            </w:r>
            <w:r>
              <w:rPr>
                <w:rFonts w:ascii="Times New Roman" w:hAnsi="Times New Roman" w:eastAsia="方正仿宋_GBK" w:cs="Times New Roman"/>
              </w:rPr>
              <w:t>江苏省实施细则》规定的河段利用与岸线开发、区域活动、产业发展要求，以及《江苏省</w:t>
            </w:r>
            <w:r>
              <w:rPr>
                <w:rFonts w:ascii="Times New Roman" w:hAnsi="Times New Roman" w:eastAsia="等线" w:cs="Times New Roman"/>
              </w:rPr>
              <w:t>“</w:t>
            </w:r>
            <w:r>
              <w:rPr>
                <w:rFonts w:ascii="Times New Roman" w:hAnsi="Times New Roman" w:eastAsia="方正仿宋_GBK" w:cs="Times New Roman"/>
              </w:rPr>
              <w:t>三线一单</w:t>
            </w:r>
            <w:r>
              <w:rPr>
                <w:rFonts w:ascii="Times New Roman" w:hAnsi="Times New Roman" w:eastAsia="等线" w:cs="Times New Roman"/>
              </w:rPr>
              <w:t>”</w:t>
            </w:r>
            <w:r>
              <w:rPr>
                <w:rFonts w:ascii="Times New Roman" w:hAnsi="Times New Roman" w:eastAsia="方正仿宋_GBK" w:cs="Times New Roman"/>
              </w:rPr>
              <w:t>生态环境分区管控方案》《江苏省国家级生态保护红线规划》《江苏省生态空间管控区域规划》管控要求。（</w:t>
            </w:r>
            <w:r>
              <w:rPr>
                <w:rFonts w:ascii="Times New Roman" w:hAnsi="Times New Roman" w:eastAsia="等线" w:cs="Times New Roman"/>
              </w:rPr>
              <w:t>2</w:t>
            </w:r>
            <w:r>
              <w:rPr>
                <w:rFonts w:ascii="Times New Roman" w:hAnsi="Times New Roman" w:eastAsia="方正仿宋_GBK" w:cs="Times New Roman"/>
              </w:rPr>
              <w:t>）化工区边界与居住区之间设置不少于</w:t>
            </w:r>
            <w:r>
              <w:rPr>
                <w:rFonts w:ascii="Times New Roman" w:hAnsi="Times New Roman" w:eastAsia="等线" w:cs="Times New Roman"/>
              </w:rPr>
              <w:t>500</w:t>
            </w:r>
            <w:r>
              <w:rPr>
                <w:rFonts w:ascii="Times New Roman" w:hAnsi="Times New Roman" w:eastAsia="方正仿宋_GBK" w:cs="Times New Roman"/>
              </w:rPr>
              <w:t>米宽的隔离带，隔离带内不得规划建设学校、医院、居民住宅等环境敏感目标。</w:t>
            </w:r>
          </w:p>
        </w:tc>
        <w:tc>
          <w:tcPr>
            <w:tcW w:w="946" w:type="pct"/>
            <w:tcMar>
              <w:left w:w="57" w:type="dxa"/>
              <w:right w:w="57" w:type="dxa"/>
            </w:tcMar>
            <w:vAlign w:val="center"/>
          </w:tcPr>
          <w:p w14:paraId="26ABFD14">
            <w:pPr>
              <w:adjustRightInd w:val="0"/>
              <w:snapToGrid w:val="0"/>
              <w:spacing w:line="320" w:lineRule="exact"/>
              <w:rPr>
                <w:rFonts w:ascii="Times New Roman" w:hAnsi="Times New Roman" w:eastAsia="方正仿宋_GBK" w:cs="Times New Roman"/>
              </w:rPr>
            </w:pPr>
            <w:r>
              <w:rPr>
                <w:rFonts w:ascii="Times New Roman" w:hAnsi="Times New Roman" w:eastAsia="等线" w:cs="Times New Roman"/>
              </w:rPr>
              <w:t>1</w:t>
            </w:r>
            <w:r>
              <w:rPr>
                <w:rFonts w:ascii="Times New Roman" w:hAnsi="Times New Roman" w:eastAsia="方正仿宋_GBK" w:cs="Times New Roman"/>
              </w:rPr>
              <w:t>、总体要求：（</w:t>
            </w:r>
            <w:r>
              <w:rPr>
                <w:rFonts w:ascii="Times New Roman" w:hAnsi="Times New Roman" w:eastAsia="等线" w:cs="Times New Roman"/>
              </w:rPr>
              <w:t>1</w:t>
            </w:r>
            <w:r>
              <w:rPr>
                <w:rFonts w:ascii="Times New Roman" w:hAnsi="Times New Roman" w:eastAsia="方正仿宋_GBK" w:cs="Times New Roman"/>
              </w:rPr>
              <w:t>）排放污染物必须达到国家和地方规定的污染物排放标准。（</w:t>
            </w:r>
            <w:r>
              <w:rPr>
                <w:rFonts w:ascii="Times New Roman" w:hAnsi="Times New Roman" w:eastAsia="等线" w:cs="Times New Roman"/>
              </w:rPr>
              <w:t>2</w:t>
            </w:r>
            <w:r>
              <w:rPr>
                <w:rFonts w:ascii="Times New Roman" w:hAnsi="Times New Roman" w:eastAsia="方正仿宋_GBK" w:cs="Times New Roman"/>
              </w:rPr>
              <w:t>）新、改、扩建项目应严格采取先进适用工艺技术和装备，新建化工企业达到清洁生产一级水平，对有异味气体（氨、硫化氢等）排放的项目应达到国际先进水平。（</w:t>
            </w:r>
            <w:r>
              <w:rPr>
                <w:rFonts w:ascii="Times New Roman" w:hAnsi="Times New Roman" w:eastAsia="等线" w:cs="Times New Roman"/>
              </w:rPr>
              <w:t>3</w:t>
            </w:r>
            <w:r>
              <w:rPr>
                <w:rFonts w:ascii="Times New Roman" w:hAnsi="Times New Roman" w:eastAsia="方正仿宋_GBK" w:cs="Times New Roman"/>
              </w:rPr>
              <w:t>）化工园区应于</w:t>
            </w:r>
            <w:r>
              <w:rPr>
                <w:rFonts w:ascii="Times New Roman" w:hAnsi="Times New Roman" w:eastAsia="等线" w:cs="Times New Roman"/>
              </w:rPr>
              <w:t>2030</w:t>
            </w:r>
            <w:r>
              <w:rPr>
                <w:rFonts w:ascii="Times New Roman" w:hAnsi="Times New Roman" w:eastAsia="方正仿宋_GBK" w:cs="Times New Roman"/>
              </w:rPr>
              <w:t>年前达到碳排放峰值。</w:t>
            </w:r>
            <w:bookmarkStart w:id="124" w:name="sys190713295"/>
            <w:r>
              <w:rPr>
                <w:rFonts w:ascii="Times New Roman" w:hAnsi="Times New Roman" w:eastAsia="等线" w:cs="Times New Roman"/>
              </w:rPr>
              <w:t>2</w:t>
            </w:r>
            <w:r>
              <w:rPr>
                <w:rFonts w:ascii="Times New Roman" w:hAnsi="Times New Roman" w:eastAsia="方正仿宋_GBK" w:cs="Times New Roman"/>
              </w:rPr>
              <w:t>、环境质量：（</w:t>
            </w:r>
            <w:r>
              <w:rPr>
                <w:rFonts w:ascii="Times New Roman" w:hAnsi="Times New Roman" w:eastAsia="等线" w:cs="Times New Roman"/>
              </w:rPr>
              <w:t>1</w:t>
            </w:r>
            <w:r>
              <w:rPr>
                <w:rFonts w:ascii="Times New Roman" w:hAnsi="Times New Roman" w:eastAsia="方正仿宋_GBK" w:cs="Times New Roman"/>
              </w:rPr>
              <w:t>）大气环境质量达到《环境空气质量标准》（</w:t>
            </w:r>
            <w:r>
              <w:rPr>
                <w:rFonts w:ascii="Times New Roman" w:hAnsi="Times New Roman" w:eastAsia="等线" w:cs="Times New Roman"/>
              </w:rPr>
              <w:t>GB3095-2012</w:t>
            </w:r>
            <w:r>
              <w:rPr>
                <w:rFonts w:ascii="Times New Roman" w:hAnsi="Times New Roman" w:eastAsia="方正仿宋_GBK" w:cs="Times New Roman"/>
              </w:rPr>
              <w:t>）二级标准、《环境影响评价技术导则</w:t>
            </w:r>
            <w:r>
              <w:rPr>
                <w:rFonts w:ascii="Times New Roman" w:hAnsi="Times New Roman" w:eastAsia="等线" w:cs="Times New Roman"/>
              </w:rPr>
              <w:t xml:space="preserve"> </w:t>
            </w:r>
            <w:r>
              <w:rPr>
                <w:rFonts w:ascii="Times New Roman" w:hAnsi="Times New Roman" w:eastAsia="方正仿宋_GBK" w:cs="Times New Roman"/>
              </w:rPr>
              <w:t>大气环境》（</w:t>
            </w:r>
            <w:r>
              <w:rPr>
                <w:rFonts w:ascii="Times New Roman" w:hAnsi="Times New Roman" w:eastAsia="等线" w:cs="Times New Roman"/>
              </w:rPr>
              <w:t>HJ2.2-2018</w:t>
            </w:r>
            <w:r>
              <w:rPr>
                <w:rFonts w:ascii="Times New Roman" w:hAnsi="Times New Roman" w:eastAsia="方正仿宋_GBK" w:cs="Times New Roman"/>
              </w:rPr>
              <w:t>）附录</w:t>
            </w:r>
            <w:r>
              <w:rPr>
                <w:rFonts w:ascii="Times New Roman" w:hAnsi="Times New Roman" w:eastAsia="等线" w:cs="Times New Roman"/>
              </w:rPr>
              <w:t>D</w:t>
            </w:r>
            <w:r>
              <w:rPr>
                <w:rFonts w:ascii="Times New Roman" w:hAnsi="Times New Roman" w:eastAsia="方正仿宋_GBK" w:cs="Times New Roman"/>
              </w:rPr>
              <w:t>其他污染物空气质量浓度参考限值等。</w:t>
            </w:r>
            <w:bookmarkEnd w:id="124"/>
            <w:r>
              <w:rPr>
                <w:rFonts w:ascii="Times New Roman" w:hAnsi="Times New Roman" w:eastAsia="方正仿宋_GBK" w:cs="Times New Roman"/>
              </w:rPr>
              <w:t>（</w:t>
            </w:r>
            <w:r>
              <w:rPr>
                <w:rFonts w:ascii="Times New Roman" w:hAnsi="Times New Roman" w:eastAsia="等线" w:cs="Times New Roman"/>
              </w:rPr>
              <w:t>2</w:t>
            </w:r>
            <w:r>
              <w:rPr>
                <w:rFonts w:ascii="Times New Roman" w:hAnsi="Times New Roman" w:eastAsia="方正仿宋_GBK" w:cs="Times New Roman"/>
              </w:rPr>
              <w:t>）长江断面执行《地表水环境质量标准》（</w:t>
            </w:r>
            <w:r>
              <w:rPr>
                <w:rFonts w:ascii="Times New Roman" w:hAnsi="Times New Roman" w:eastAsia="等线" w:cs="Times New Roman"/>
              </w:rPr>
              <w:t>GB3838-2002</w:t>
            </w:r>
            <w:r>
              <w:rPr>
                <w:rFonts w:ascii="Times New Roman" w:hAnsi="Times New Roman" w:eastAsia="方正仿宋_GBK" w:cs="Times New Roman"/>
              </w:rPr>
              <w:t>）</w:t>
            </w:r>
            <w:sdt>
              <w:sdtPr>
                <w:rPr>
                  <w:rFonts w:ascii="Times New Roman" w:hAnsi="Times New Roman" w:cs="Times New Roman"/>
                </w:rPr>
                <w:alias w:val="易错词检查"/>
                <w:id w:val="1102825"/>
              </w:sdtPr>
              <w:sdtEndPr>
                <w:rPr>
                  <w:rFonts w:ascii="Times New Roman" w:hAnsi="Times New Roman" w:cs="Times New Roman"/>
                </w:rPr>
              </w:sdtEndPr>
              <w:sdtContent>
                <w:r>
                  <w:rPr>
                    <w:rFonts w:ascii="Times New Roman" w:hAnsi="Times New Roman" w:eastAsia="等线" w:cs="Times New Roman"/>
                  </w:rPr>
                  <w:t>Ⅱ</w:t>
                </w:r>
              </w:sdtContent>
            </w:sdt>
            <w:r>
              <w:rPr>
                <w:rFonts w:ascii="Times New Roman" w:hAnsi="Times New Roman" w:eastAsia="方正仿宋_GBK" w:cs="Times New Roman"/>
              </w:rPr>
              <w:t>类水标准，区域内如泰运河、古马干河执行Ⅲ类水标准。</w:t>
            </w:r>
            <w:bookmarkStart w:id="125" w:name="sys190728761"/>
            <w:r>
              <w:rPr>
                <w:rFonts w:ascii="Times New Roman" w:hAnsi="Times New Roman" w:eastAsia="方正仿宋_GBK" w:cs="Times New Roman"/>
              </w:rPr>
              <w:t>（</w:t>
            </w:r>
            <w:r>
              <w:rPr>
                <w:rFonts w:ascii="Times New Roman" w:hAnsi="Times New Roman" w:eastAsia="等线" w:cs="Times New Roman"/>
              </w:rPr>
              <w:t>3</w:t>
            </w:r>
            <w:r>
              <w:rPr>
                <w:rFonts w:ascii="Times New Roman" w:hAnsi="Times New Roman" w:eastAsia="方正仿宋_GBK" w:cs="Times New Roman"/>
              </w:rPr>
              <w:t>）土壤达到《土壤环境质量</w:t>
            </w:r>
            <w:r>
              <w:rPr>
                <w:rFonts w:ascii="Times New Roman" w:hAnsi="Times New Roman" w:eastAsia="等线" w:cs="Times New Roman"/>
              </w:rPr>
              <w:t xml:space="preserve"> </w:t>
            </w:r>
            <w:r>
              <w:rPr>
                <w:rFonts w:ascii="Times New Roman" w:hAnsi="Times New Roman" w:eastAsia="方正仿宋_GBK" w:cs="Times New Roman"/>
              </w:rPr>
              <w:t>建设用地土壤污染风险管控标准（试行）》（</w:t>
            </w:r>
            <w:r>
              <w:rPr>
                <w:rFonts w:ascii="Times New Roman" w:hAnsi="Times New Roman" w:eastAsia="等线" w:cs="Times New Roman"/>
              </w:rPr>
              <w:t>GB36600-2018</w:t>
            </w:r>
            <w:r>
              <w:rPr>
                <w:rFonts w:ascii="Times New Roman" w:hAnsi="Times New Roman" w:eastAsia="方正仿宋_GBK" w:cs="Times New Roman"/>
              </w:rPr>
              <w:t>）筛选值中的第二类用地标准。</w:t>
            </w:r>
            <w:bookmarkEnd w:id="125"/>
            <w:r>
              <w:rPr>
                <w:rFonts w:ascii="Times New Roman" w:hAnsi="Times New Roman" w:eastAsia="等线" w:cs="Times New Roman"/>
              </w:rPr>
              <w:t>3</w:t>
            </w:r>
            <w:r>
              <w:rPr>
                <w:rFonts w:ascii="Times New Roman" w:hAnsi="Times New Roman" w:eastAsia="方正仿宋_GBK" w:cs="Times New Roman"/>
              </w:rPr>
              <w:t>、排污总量：园区污染物排放量严格落实限值限量管理要求，按照环境质量只能更好不能变坏的原则，根据上年度环境质量考核情况，动态确定园区污染物允许排放总量。</w:t>
            </w:r>
            <w:bookmarkStart w:id="126" w:name="sys190742456"/>
            <w:r>
              <w:rPr>
                <w:rFonts w:ascii="Times New Roman" w:hAnsi="Times New Roman" w:eastAsia="方正仿宋_GBK" w:cs="Times New Roman"/>
              </w:rPr>
              <w:t>4、泰兴港区过船作业区</w:t>
            </w:r>
            <w:bookmarkEnd w:id="126"/>
            <w:r>
              <w:rPr>
                <w:rFonts w:ascii="Times New Roman" w:hAnsi="Times New Roman" w:eastAsia="方正仿宋_GBK" w:cs="Times New Roman"/>
              </w:rPr>
              <w:t>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2F18B658">
            <w:pPr>
              <w:pStyle w:val="30"/>
              <w:spacing w:line="320" w:lineRule="exact"/>
              <w:jc w:val="both"/>
              <w:rPr>
                <w:rFonts w:ascii="Times New Roman" w:hAnsi="Calibri" w:eastAsia="方正仿宋_GBK" w:cs="Times New Roman"/>
                <w:color w:val="auto"/>
                <w:sz w:val="21"/>
                <w:szCs w:val="21"/>
              </w:rPr>
            </w:pPr>
            <w:r>
              <w:rPr>
                <w:rFonts w:ascii="Times New Roman" w:hAnsi="Calibri" w:eastAsia="等线" w:cs="Times New Roman"/>
                <w:color w:val="auto"/>
                <w:sz w:val="21"/>
                <w:szCs w:val="21"/>
              </w:rPr>
              <w:t>1</w:t>
            </w:r>
            <w:r>
              <w:rPr>
                <w:rFonts w:ascii="Times New Roman" w:hAnsi="Calibri" w:eastAsia="方正仿宋_GBK" w:cs="Times New Roman"/>
                <w:color w:val="auto"/>
                <w:sz w:val="21"/>
                <w:szCs w:val="21"/>
              </w:rPr>
              <w:t>、健全环境风险防控体系，编制园区环境应急预案，完善环境预警与应急指挥平台，建设园区公共事故应急池，构建园区与企业环境风险联动机制，建立环境应急救援机构。</w:t>
            </w:r>
            <w:r>
              <w:rPr>
                <w:rFonts w:ascii="Times New Roman" w:hAnsi="Calibri" w:eastAsia="等线" w:cs="Times New Roman"/>
                <w:color w:val="auto"/>
                <w:sz w:val="21"/>
                <w:szCs w:val="21"/>
              </w:rPr>
              <w:t>2</w:t>
            </w:r>
            <w:r>
              <w:rPr>
                <w:rFonts w:ascii="Times New Roman" w:hAnsi="Calibri" w:eastAsia="方正仿宋_GBK" w:cs="Times New Roman"/>
                <w:color w:val="auto"/>
                <w:sz w:val="21"/>
                <w:szCs w:val="21"/>
              </w:rPr>
              <w:t>、建设清下水闸控系统，完善厂区、内河、长江三级环境风险防控体系，落实环境风险防控措施。</w:t>
            </w:r>
            <w:r>
              <w:rPr>
                <w:rFonts w:ascii="Times New Roman" w:hAnsi="Calibri" w:eastAsia="等线" w:cs="Times New Roman"/>
                <w:color w:val="auto"/>
                <w:sz w:val="21"/>
                <w:szCs w:val="21"/>
              </w:rPr>
              <w:t>3</w:t>
            </w:r>
            <w:r>
              <w:rPr>
                <w:rFonts w:ascii="Times New Roman" w:hAnsi="Calibri" w:eastAsia="方正仿宋_GBK" w:cs="Times New Roman"/>
                <w:color w:val="auto"/>
                <w:sz w:val="21"/>
                <w:szCs w:val="21"/>
              </w:rPr>
              <w:t>、对生产、使用、存储或释放风险物质的企业，开展突发环境事件风险评估，督促重点环境风险企业开展环境风险隐患排查整改，强化危险化学品运输管理。</w:t>
            </w:r>
            <w:r>
              <w:rPr>
                <w:rFonts w:ascii="Times New Roman" w:hAnsi="Calibri" w:eastAsia="等线" w:cs="Times New Roman"/>
                <w:color w:val="auto"/>
                <w:sz w:val="21"/>
                <w:szCs w:val="21"/>
              </w:rPr>
              <w:t>4</w:t>
            </w:r>
            <w:r>
              <w:rPr>
                <w:rFonts w:ascii="Times New Roman" w:hAnsi="Calibri" w:eastAsia="方正仿宋_GBK" w:cs="Times New Roman"/>
                <w:color w:val="auto"/>
                <w:sz w:val="21"/>
                <w:szCs w:val="21"/>
              </w:rPr>
              <w:t>、制定在产企业土壤和地下水污染隐患排查治理制度及监控预警方案。</w:t>
            </w:r>
            <w:r>
              <w:rPr>
                <w:rFonts w:ascii="Times New Roman" w:hAnsi="Calibri" w:eastAsia="等线" w:cs="Times New Roman"/>
                <w:color w:val="auto"/>
                <w:sz w:val="21"/>
                <w:szCs w:val="21"/>
              </w:rPr>
              <w:t>5</w:t>
            </w:r>
            <w:r>
              <w:rPr>
                <w:rFonts w:ascii="Times New Roman" w:hAnsi="Calibri" w:eastAsia="方正仿宋_GBK" w:cs="Times New Roman"/>
                <w:color w:val="auto"/>
                <w:sz w:val="21"/>
                <w:szCs w:val="21"/>
              </w:rPr>
              <w:t>、加强对关闭搬迁化工企业拆除活动的监管，对搬迁遗留场地开展污染</w:t>
            </w:r>
            <w:r>
              <w:rPr>
                <w:rFonts w:ascii="Times New Roman" w:hAnsi="Calibri" w:eastAsia="方正仿宋_GBK" w:cs="Times New Roman"/>
                <w:color w:val="auto"/>
                <w:kern w:val="2"/>
                <w:sz w:val="21"/>
                <w:szCs w:val="21"/>
              </w:rPr>
              <w:t>调查、风险评估和风险管控。</w:t>
            </w:r>
            <w:bookmarkStart w:id="127" w:name="sys190826837"/>
            <w:r>
              <w:rPr>
                <w:rFonts w:ascii="Times New Roman" w:hAnsi="Calibri" w:eastAsia="方正仿宋_GBK" w:cs="Times New Roman"/>
                <w:color w:val="auto"/>
                <w:kern w:val="2"/>
                <w:sz w:val="21"/>
                <w:szCs w:val="21"/>
              </w:rPr>
              <w:t>6、泰兴港区过船作业区</w:t>
            </w:r>
            <w:bookmarkEnd w:id="127"/>
            <w:r>
              <w:rPr>
                <w:rFonts w:ascii="Times New Roman" w:hAnsi="Calibri" w:eastAsia="方正仿宋_GBK" w:cs="Times New Roman"/>
                <w:color w:val="auto"/>
                <w:sz w:val="21"/>
                <w:szCs w:val="21"/>
              </w:rPr>
              <w:t>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p>
        </w:tc>
        <w:tc>
          <w:tcPr>
            <w:tcW w:w="657" w:type="pct"/>
            <w:tcMar>
              <w:left w:w="57" w:type="dxa"/>
              <w:right w:w="57" w:type="dxa"/>
            </w:tcMar>
            <w:vAlign w:val="center"/>
          </w:tcPr>
          <w:p w14:paraId="62180BC8">
            <w:pPr>
              <w:adjustRightInd w:val="0"/>
              <w:spacing w:line="320" w:lineRule="exact"/>
              <w:rPr>
                <w:rFonts w:ascii="Times New Roman" w:hAnsi="Times New Roman" w:eastAsia="方正仿宋_GBK" w:cs="Times New Roman"/>
              </w:rPr>
            </w:pPr>
            <w:r>
              <w:rPr>
                <w:rFonts w:ascii="Times New Roman" w:hAnsi="Times New Roman" w:eastAsia="等线" w:cs="Times New Roman"/>
              </w:rPr>
              <w:t>1、</w:t>
            </w:r>
            <w:r>
              <w:rPr>
                <w:rFonts w:ascii="Times New Roman" w:hAnsi="Times New Roman" w:eastAsia="方正仿宋_GBK" w:cs="Times New Roman"/>
              </w:rPr>
              <w:t>单位工业增加值水耗不高于</w:t>
            </w:r>
            <w:r>
              <w:rPr>
                <w:rFonts w:ascii="Times New Roman" w:hAnsi="Times New Roman" w:eastAsia="等线" w:cs="Times New Roman"/>
              </w:rPr>
              <w:t>9</w:t>
            </w:r>
            <w:r>
              <w:rPr>
                <w:rFonts w:ascii="Times New Roman" w:hAnsi="Times New Roman" w:eastAsia="方正仿宋_GBK" w:cs="Times New Roman"/>
              </w:rPr>
              <w:t>吨</w:t>
            </w:r>
            <w:r>
              <w:rPr>
                <w:rFonts w:ascii="Times New Roman" w:hAnsi="Times New Roman" w:eastAsia="等线" w:cs="Times New Roman"/>
              </w:rPr>
              <w:t>/</w:t>
            </w:r>
            <w:r>
              <w:rPr>
                <w:rFonts w:ascii="Times New Roman" w:hAnsi="Times New Roman" w:eastAsia="方正仿宋_GBK" w:cs="Times New Roman"/>
              </w:rPr>
              <w:t>万元。</w:t>
            </w:r>
            <w:r>
              <w:rPr>
                <w:rFonts w:ascii="Times New Roman" w:hAnsi="Times New Roman" w:eastAsia="等线" w:cs="Times New Roman"/>
              </w:rPr>
              <w:t>2、</w:t>
            </w:r>
            <w:r>
              <w:rPr>
                <w:rFonts w:ascii="Times New Roman" w:hAnsi="Times New Roman" w:eastAsia="方正仿宋_GBK" w:cs="Times New Roman"/>
              </w:rPr>
              <w:t>单位工业增加值综合能耗指标值不高于</w:t>
            </w:r>
            <w:r>
              <w:rPr>
                <w:rFonts w:ascii="Times New Roman" w:hAnsi="Times New Roman" w:eastAsia="等线" w:cs="Times New Roman"/>
              </w:rPr>
              <w:t>0.5</w:t>
            </w:r>
            <w:r>
              <w:rPr>
                <w:rFonts w:ascii="Times New Roman" w:hAnsi="Times New Roman" w:eastAsia="方正仿宋_GBK" w:cs="Times New Roman"/>
              </w:rPr>
              <w:t>吨标煤</w:t>
            </w:r>
            <w:r>
              <w:rPr>
                <w:rFonts w:ascii="Times New Roman" w:hAnsi="Times New Roman" w:eastAsia="等线" w:cs="Times New Roman"/>
              </w:rPr>
              <w:t>/</w:t>
            </w:r>
            <w:r>
              <w:rPr>
                <w:rFonts w:ascii="Times New Roman" w:hAnsi="Times New Roman" w:eastAsia="方正仿宋_GBK" w:cs="Times New Roman"/>
              </w:rPr>
              <w:t>万元。3、泰兴港区过船作业区减少对自然岸线的占用，确保自然岸线保有率不低于国家和地方规定的比例。</w:t>
            </w:r>
          </w:p>
        </w:tc>
        <w:tc>
          <w:tcPr>
            <w:tcW w:w="603" w:type="pct"/>
            <w:tcMar>
              <w:left w:w="57" w:type="dxa"/>
              <w:right w:w="57" w:type="dxa"/>
            </w:tcMar>
            <w:vAlign w:val="center"/>
          </w:tcPr>
          <w:p w14:paraId="4F88F23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28ED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165" w:type="pct"/>
            <w:tcMar>
              <w:left w:w="57" w:type="dxa"/>
              <w:right w:w="57" w:type="dxa"/>
            </w:tcMar>
            <w:vAlign w:val="center"/>
          </w:tcPr>
          <w:p w14:paraId="51DF8EC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087673B1">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434114A2">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泰兴</w:t>
            </w:r>
          </w:p>
        </w:tc>
        <w:tc>
          <w:tcPr>
            <w:tcW w:w="402" w:type="pct"/>
            <w:tcMar>
              <w:left w:w="57" w:type="dxa"/>
              <w:right w:w="57" w:type="dxa"/>
            </w:tcMar>
            <w:vAlign w:val="center"/>
          </w:tcPr>
          <w:p w14:paraId="32C161B2">
            <w:pPr>
              <w:adjustRightInd w:val="0"/>
              <w:spacing w:line="320" w:lineRule="exact"/>
              <w:jc w:val="center"/>
              <w:rPr>
                <w:rFonts w:ascii="Times New Roman" w:hAnsi="Times New Roman" w:eastAsia="方正仿宋_GBK" w:cs="Times New Roman"/>
              </w:rPr>
            </w:pPr>
            <w:bookmarkStart w:id="128" w:name="_Hlk173405500"/>
            <w:r>
              <w:rPr>
                <w:rFonts w:ascii="Times New Roman" w:hAnsi="Times New Roman" w:eastAsia="方正仿宋_GBK" w:cs="Times New Roman"/>
                <w:snapToGrid w:val="0"/>
                <w:kern w:val="0"/>
              </w:rPr>
              <w:t>泰兴经济开发区高新技术产业园</w:t>
            </w:r>
            <w:bookmarkEnd w:id="128"/>
          </w:p>
        </w:tc>
        <w:tc>
          <w:tcPr>
            <w:tcW w:w="267" w:type="pct"/>
            <w:tcMar>
              <w:left w:w="57" w:type="dxa"/>
              <w:right w:w="57" w:type="dxa"/>
            </w:tcMar>
            <w:vAlign w:val="center"/>
          </w:tcPr>
          <w:p w14:paraId="3FCDB125">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5111BD38">
            <w:pPr>
              <w:adjustRightInd w:val="0"/>
              <w:snapToGrid w:val="0"/>
              <w:spacing w:line="320" w:lineRule="exact"/>
              <w:rPr>
                <w:rFonts w:ascii="Times New Roman" w:hAnsi="Times New Roman" w:eastAsia="方正仿宋_GBK" w:cs="Times New Roman"/>
                <w:lang w:val="zh-CN"/>
              </w:rPr>
            </w:pPr>
            <w:r>
              <w:rPr>
                <w:rFonts w:ascii="Times New Roman" w:hAnsi="Times New Roman" w:eastAsia="方正仿宋_GBK" w:cs="Times New Roman"/>
              </w:rPr>
              <w:t>优先引入：（1）符合产业定位且属于国家</w:t>
            </w:r>
            <w:sdt>
              <w:sdtPr>
                <w:rPr>
                  <w:rFonts w:ascii="Times New Roman" w:hAnsi="Times New Roman" w:cs="Times New Roman"/>
                </w:rPr>
                <w:alias w:val="敏感词检查"/>
                <w:id w:val="1071733"/>
              </w:sdtPr>
              <w:sdtEndPr>
                <w:rPr>
                  <w:rFonts w:ascii="Times New Roman" w:hAnsi="Times New Roman" w:cs="Times New Roman"/>
                </w:rPr>
              </w:sdtEndPr>
              <w:sdtContent>
                <w:bookmarkStart w:id="129" w:name="bkPolitics1071733"/>
                <w:r>
                  <w:rPr>
                    <w:rFonts w:ascii="Times New Roman" w:hAnsi="Times New Roman" w:eastAsia="方正仿宋_GBK" w:cs="Times New Roman"/>
                  </w:rPr>
                  <w:t>发展和改革委</w:t>
                </w:r>
                <w:bookmarkEnd w:id="129"/>
              </w:sdtContent>
            </w:sdt>
            <w:r>
              <w:rPr>
                <w:rFonts w:ascii="Times New Roman" w:hAnsi="Times New Roman" w:eastAsia="方正仿宋_GBK" w:cs="Times New Roman"/>
              </w:rPr>
              <w:t>《产业结构调整指导目录（2019年本）》（2021年修订）、《&lt;中国制造2025&gt;重点领域技术路线图（2015年版）》、工信部、发改委、科技部、财政部《关于印发新材料产业发展指南的通知》（工信部联规</w:t>
            </w:r>
            <w:sdt>
              <w:sdtPr>
                <w:rPr>
                  <w:rFonts w:ascii="Times New Roman" w:hAnsi="Times New Roman" w:cs="Times New Roman"/>
                </w:rPr>
                <w:alias w:val="易错词检查"/>
                <w:id w:val="2071204"/>
              </w:sdtPr>
              <w:sdtEndPr>
                <w:rPr>
                  <w:rFonts w:ascii="Times New Roman" w:hAnsi="Times New Roman" w:cs="Times New Roman"/>
                </w:rPr>
              </w:sdtEndPr>
              <w:sdtContent>
                <w:bookmarkStart w:id="130" w:name="bkReivew2071204"/>
                <w:r>
                  <w:rPr>
                    <w:rFonts w:ascii="Times New Roman" w:hAnsi="Times New Roman" w:eastAsia="方正仿宋_GBK" w:cs="Times New Roman"/>
                  </w:rPr>
                  <w:t>〔2016〕454号</w:t>
                </w:r>
                <w:bookmarkEnd w:id="130"/>
              </w:sdtContent>
            </w:sdt>
            <w:r>
              <w:rPr>
                <w:rFonts w:ascii="Times New Roman" w:hAnsi="Times New Roman" w:eastAsia="方正仿宋_GBK" w:cs="Times New Roman"/>
              </w:rPr>
              <w:t>）等产业政策文件中属于鼓励类和重点发展行业中的产品、工艺和技术；（2）符合产业定位的国家战略需要和尖端科技事业相关的项目，高性能、技术含量高的关键性、基础性、资源优势性的项目；（3）保障医院、军工、科研机构、重点企业应用的项目；（4）有利于构建高新技术产业园主导产业链的项目。禁止引入：（1）化学原料药生产项目；（2）含电镀工序企业；（3）停止燃用生物质燃料；（4）使用高VOCs含量的溶剂型涂料、油墨、胶粘剂等项目，VOCs含量参照《江苏省挥发性有机物清洁原料替代工作方案》的相关要求；</w:t>
            </w:r>
            <w:bookmarkStart w:id="131" w:name="sys191637867"/>
            <w:r>
              <w:rPr>
                <w:rFonts w:ascii="Times New Roman" w:hAnsi="Times New Roman" w:eastAsia="方正仿宋_GBK" w:cs="Times New Roman"/>
              </w:rPr>
              <w:t>（5）禁止引入污染治理措施达不到《挥发性有机物（VOCs）污染防治技术政策》和《江苏省重点行业挥发性有机物污染控制指南》等要求的项目。</w:t>
            </w:r>
            <w:bookmarkEnd w:id="131"/>
          </w:p>
        </w:tc>
        <w:tc>
          <w:tcPr>
            <w:tcW w:w="946" w:type="pct"/>
            <w:tcMar>
              <w:left w:w="57" w:type="dxa"/>
              <w:right w:w="57" w:type="dxa"/>
            </w:tcMar>
            <w:vAlign w:val="center"/>
          </w:tcPr>
          <w:p w14:paraId="3094F2F3">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1、</w:t>
            </w:r>
            <w:r>
              <w:rPr>
                <w:rFonts w:hint="eastAsia" w:ascii="宋体" w:hAnsi="宋体" w:cs="宋体"/>
              </w:rPr>
              <w:t>①</w:t>
            </w:r>
            <w:r>
              <w:rPr>
                <w:rFonts w:ascii="Times New Roman" w:hAnsi="Times New Roman" w:eastAsia="方正仿宋_GBK" w:cs="Times New Roman"/>
              </w:rPr>
              <w:t>规划期末园区水污染物接管/外排总量：近期：排水量7320985.75t/a、CODcr219.630吨/年，NH</w:t>
            </w:r>
            <w:r>
              <w:rPr>
                <w:rFonts w:ascii="Times New Roman" w:hAnsi="Times New Roman" w:eastAsia="方正仿宋_GBK" w:cs="Times New Roman"/>
                <w:vertAlign w:val="subscript"/>
              </w:rPr>
              <w:t>3</w:t>
            </w:r>
            <w:r>
              <w:rPr>
                <w:rFonts w:ascii="Times New Roman" w:hAnsi="Times New Roman" w:eastAsia="方正仿宋_GBK" w:cs="Times New Roman"/>
              </w:rPr>
              <w:t>-N10.981吨/年，TN109.815吨/年，TP2.196吨/年；远期：排水量8675489.8t/a、CODcr260.265吨/年，NH</w:t>
            </w:r>
            <w:r>
              <w:rPr>
                <w:rFonts w:ascii="Times New Roman" w:hAnsi="Times New Roman" w:eastAsia="方正仿宋_GBK" w:cs="Times New Roman"/>
                <w:vertAlign w:val="subscript"/>
              </w:rPr>
              <w:t>3</w:t>
            </w:r>
            <w:r>
              <w:rPr>
                <w:rFonts w:ascii="Times New Roman" w:hAnsi="Times New Roman" w:eastAsia="方正仿宋_GBK" w:cs="Times New Roman"/>
              </w:rPr>
              <w:t>-N13.013吨/年，TN130.132吨/年，TP2.603吨/年。</w:t>
            </w:r>
            <w:r>
              <w:rPr>
                <w:rFonts w:hint="eastAsia" w:ascii="宋体" w:hAnsi="宋体" w:cs="宋体"/>
              </w:rPr>
              <w:t>②</w:t>
            </w:r>
            <w:r>
              <w:rPr>
                <w:rFonts w:ascii="Times New Roman" w:hAnsi="Times New Roman" w:eastAsia="方正仿宋_GBK" w:cs="Times New Roman"/>
              </w:rPr>
              <w:t>园区大气污染物外排总量：近期：二氧化硫79.612吨/年、氮氧化物314.95吨/年、颗粒物86.8吨/年、VOCs103.717吨/年；远期：二氧化硫90.477吨/年、氮氧化物329.647吨/年、颗粒物121.732吨/年、VOCs141.821吨/年。</w:t>
            </w:r>
            <w:r>
              <w:rPr>
                <w:rFonts w:hint="eastAsia" w:ascii="宋体" w:hAnsi="宋体" w:cs="宋体"/>
              </w:rPr>
              <w:t>③</w:t>
            </w:r>
            <w:r>
              <w:rPr>
                <w:rFonts w:ascii="Times New Roman" w:hAnsi="Times New Roman" w:eastAsia="方正仿宋_GBK" w:cs="Times New Roman"/>
              </w:rPr>
              <w:t>涉及重点重金属污染物排放的，应按照《关于进一步加强重金属污染防控的意见》环固体</w:t>
            </w:r>
            <w:sdt>
              <w:sdtPr>
                <w:rPr>
                  <w:rFonts w:ascii="Times New Roman" w:hAnsi="Times New Roman" w:cs="Times New Roman"/>
                </w:rPr>
                <w:alias w:val="易错词检查"/>
                <w:id w:val="21453"/>
              </w:sdtPr>
              <w:sdtEndPr>
                <w:rPr>
                  <w:rFonts w:ascii="Times New Roman" w:hAnsi="Times New Roman" w:cs="Times New Roman"/>
                </w:rPr>
              </w:sdtEndPr>
              <w:sdtContent>
                <w:bookmarkStart w:id="132" w:name="bkReivew21453"/>
                <w:r>
                  <w:rPr>
                    <w:rFonts w:ascii="Times New Roman" w:hAnsi="Times New Roman" w:cs="Times New Roman"/>
                  </w:rPr>
                  <w:t>〔</w:t>
                </w:r>
                <w:r>
                  <w:rPr>
                    <w:rFonts w:ascii="Times New Roman" w:hAnsi="Times New Roman" w:eastAsia="方正仿宋_GBK" w:cs="Times New Roman"/>
                  </w:rPr>
                  <w:t>2022〕17号</w:t>
                </w:r>
                <w:bookmarkEnd w:id="132"/>
              </w:sdtContent>
            </w:sdt>
            <w:r>
              <w:rPr>
                <w:rFonts w:ascii="Times New Roman" w:hAnsi="Times New Roman" w:eastAsia="方正仿宋_GBK" w:cs="Times New Roman"/>
              </w:rPr>
              <w:t>要求，落实总量控制。</w:t>
            </w:r>
            <w:bookmarkStart w:id="133" w:name="sys191736056"/>
            <w:r>
              <w:rPr>
                <w:rFonts w:ascii="Times New Roman" w:hAnsi="Times New Roman" w:eastAsia="方正仿宋_GBK" w:cs="Times New Roman"/>
              </w:rPr>
              <w:t>2、泰兴港区过船作业区</w:t>
            </w:r>
            <w:bookmarkEnd w:id="133"/>
            <w:r>
              <w:rPr>
                <w:rFonts w:ascii="Times New Roman" w:hAnsi="Times New Roman" w:eastAsia="方正仿宋_GBK" w:cs="Times New Roman"/>
              </w:rPr>
              <w:t>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5D391371">
            <w:pPr>
              <w:pStyle w:val="30"/>
              <w:spacing w:line="320" w:lineRule="exact"/>
              <w:jc w:val="both"/>
              <w:rPr>
                <w:rFonts w:ascii="Times New Roman" w:hAnsi="Calibri" w:eastAsia="方正仿宋_GBK" w:cs="Times New Roman"/>
                <w:color w:val="auto"/>
                <w:sz w:val="21"/>
                <w:szCs w:val="21"/>
              </w:rPr>
            </w:pPr>
            <w:r>
              <w:rPr>
                <w:rFonts w:ascii="Times New Roman" w:hAnsi="Calibri" w:eastAsia="方正仿宋_GBK" w:cs="Times New Roman"/>
                <w:color w:val="auto"/>
                <w:sz w:val="21"/>
                <w:szCs w:val="21"/>
              </w:rPr>
              <w:t>1、建立区域监测预警系统，建立省市区上下联动、区域之间左右联动等联动应急响应体系，实行联防联控。生产、使用、储存危险化学品或其他存在环境风险的企业事业单位，应当采取风险防范措施，并根据《企业事业单位突发环境事件应急预案备案管理办法（试行）》的要求编制环境风险应急预案，防止发生环境污染事故。</w:t>
            </w:r>
            <w:bookmarkStart w:id="134" w:name="sys191814537"/>
            <w:r>
              <w:rPr>
                <w:rFonts w:ascii="Times New Roman" w:hAnsi="Calibri" w:eastAsia="方正仿宋_GBK" w:cs="Times New Roman"/>
                <w:color w:val="auto"/>
                <w:sz w:val="21"/>
                <w:szCs w:val="21"/>
              </w:rPr>
              <w:t>2、</w:t>
            </w:r>
            <w:r>
              <w:rPr>
                <w:rFonts w:ascii="Times New Roman" w:hAnsi="Calibri" w:eastAsia="方正仿宋_GBK" w:cs="Times New Roman"/>
                <w:color w:val="auto"/>
                <w:kern w:val="2"/>
                <w:sz w:val="21"/>
                <w:szCs w:val="21"/>
              </w:rPr>
              <w:t>泰兴港区过船作业区</w:t>
            </w:r>
            <w:bookmarkEnd w:id="134"/>
            <w:r>
              <w:rPr>
                <w:rFonts w:ascii="Times New Roman" w:hAnsi="Calibri" w:eastAsia="方正仿宋_GBK" w:cs="Times New Roman"/>
                <w:color w:val="auto"/>
                <w:sz w:val="21"/>
                <w:szCs w:val="21"/>
              </w:rPr>
              <w:t>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p>
        </w:tc>
        <w:tc>
          <w:tcPr>
            <w:tcW w:w="657" w:type="pct"/>
            <w:tcMar>
              <w:left w:w="57" w:type="dxa"/>
              <w:right w:w="57" w:type="dxa"/>
            </w:tcMar>
            <w:vAlign w:val="center"/>
          </w:tcPr>
          <w:p w14:paraId="71ABB49C">
            <w:pPr>
              <w:adjustRightInd w:val="0"/>
              <w:spacing w:line="320" w:lineRule="exact"/>
              <w:rPr>
                <w:rFonts w:ascii="Times New Roman" w:hAnsi="Times New Roman" w:eastAsia="方正仿宋_GBK" w:cs="Times New Roman"/>
              </w:rPr>
            </w:pPr>
            <w:r>
              <w:rPr>
                <w:rFonts w:ascii="Times New Roman" w:hAnsi="Times New Roman" w:eastAsia="等线" w:cs="Times New Roman"/>
              </w:rPr>
              <w:t>1</w:t>
            </w:r>
            <w:r>
              <w:rPr>
                <w:rFonts w:ascii="Times New Roman" w:hAnsi="Times New Roman" w:eastAsia="方正仿宋_GBK" w:cs="Times New Roman"/>
              </w:rPr>
              <w:t>、引进项目的物耗、能耗、水耗等清洁生产指标须达到同行业先进水平。</w:t>
            </w:r>
            <w:r>
              <w:rPr>
                <w:rFonts w:ascii="Times New Roman" w:hAnsi="Times New Roman" w:eastAsia="等线" w:cs="Times New Roman"/>
              </w:rPr>
              <w:t>2</w:t>
            </w:r>
            <w:r>
              <w:rPr>
                <w:rFonts w:ascii="Times New Roman" w:hAnsi="Times New Roman" w:eastAsia="方正仿宋_GBK" w:cs="Times New Roman"/>
              </w:rPr>
              <w:t>、按照国家和省能耗及水耗限额标准执行。3、泰兴港区过船作业区减少对自然岸线的占用，确保自然岸线保有率不低于国家和地方规定的比例。</w:t>
            </w:r>
          </w:p>
        </w:tc>
        <w:tc>
          <w:tcPr>
            <w:tcW w:w="603" w:type="pct"/>
            <w:tcMar>
              <w:left w:w="57" w:type="dxa"/>
              <w:right w:w="57" w:type="dxa"/>
            </w:tcMar>
            <w:vAlign w:val="center"/>
          </w:tcPr>
          <w:p w14:paraId="633CA75A">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2DC2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165" w:type="pct"/>
            <w:tcMar>
              <w:left w:w="57" w:type="dxa"/>
              <w:right w:w="57" w:type="dxa"/>
            </w:tcMar>
            <w:vAlign w:val="center"/>
          </w:tcPr>
          <w:p w14:paraId="28A867B3">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5F9F0DF9">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73E80263">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泰兴</w:t>
            </w:r>
          </w:p>
        </w:tc>
        <w:tc>
          <w:tcPr>
            <w:tcW w:w="402" w:type="pct"/>
            <w:tcMar>
              <w:left w:w="57" w:type="dxa"/>
              <w:right w:w="57" w:type="dxa"/>
            </w:tcMar>
            <w:vAlign w:val="center"/>
          </w:tcPr>
          <w:p w14:paraId="26B0969D">
            <w:pPr>
              <w:adjustRightInd w:val="0"/>
              <w:spacing w:line="320" w:lineRule="exact"/>
              <w:jc w:val="center"/>
              <w:rPr>
                <w:rFonts w:ascii="Times New Roman" w:hAnsi="Times New Roman" w:eastAsia="方正仿宋_GBK" w:cs="Times New Roman"/>
              </w:rPr>
            </w:pPr>
            <w:bookmarkStart w:id="135" w:name="_Hlk173405615"/>
            <w:r>
              <w:rPr>
                <w:rFonts w:ascii="Times New Roman" w:hAnsi="Times New Roman" w:eastAsia="方正仿宋_GBK" w:cs="Times New Roman"/>
              </w:rPr>
              <w:t>江苏省泰兴虹桥工业园区</w:t>
            </w:r>
            <w:bookmarkEnd w:id="135"/>
          </w:p>
        </w:tc>
        <w:tc>
          <w:tcPr>
            <w:tcW w:w="267" w:type="pct"/>
            <w:tcMar>
              <w:left w:w="57" w:type="dxa"/>
              <w:right w:w="57" w:type="dxa"/>
            </w:tcMar>
            <w:vAlign w:val="center"/>
          </w:tcPr>
          <w:p w14:paraId="5F8EC83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03A4F01B">
            <w:pPr>
              <w:adjustRightInd w:val="0"/>
              <w:snapToGrid w:val="0"/>
              <w:spacing w:line="320" w:lineRule="exact"/>
              <w:rPr>
                <w:rFonts w:ascii="Times New Roman" w:hAnsi="Times New Roman" w:eastAsia="方正仿宋_GBK" w:cs="Times New Roman"/>
                <w:lang w:val="zh-CN"/>
              </w:rPr>
            </w:pPr>
            <w:r>
              <w:rPr>
                <w:rFonts w:ascii="Times New Roman" w:hAnsi="Times New Roman" w:eastAsia="方正仿宋_GBK" w:cs="Times New Roman"/>
              </w:rPr>
              <w:t>禁止引入：（</w:t>
            </w:r>
            <w:r>
              <w:rPr>
                <w:rFonts w:ascii="Times New Roman" w:hAnsi="Times New Roman" w:eastAsia="等线" w:cs="Times New Roman"/>
              </w:rPr>
              <w:t>1</w:t>
            </w:r>
            <w:r>
              <w:rPr>
                <w:rFonts w:ascii="Times New Roman" w:hAnsi="Times New Roman" w:eastAsia="方正仿宋_GBK" w:cs="Times New Roman"/>
              </w:rPr>
              <w:t>）高端装备制造产业：禁止使用高</w:t>
            </w:r>
            <w:r>
              <w:rPr>
                <w:rFonts w:ascii="Times New Roman" w:hAnsi="Times New Roman" w:eastAsia="等线" w:cs="Times New Roman"/>
              </w:rPr>
              <w:t>VOCs</w:t>
            </w:r>
            <w:r>
              <w:rPr>
                <w:rFonts w:ascii="Times New Roman" w:hAnsi="Times New Roman" w:eastAsia="方正仿宋_GBK" w:cs="Times New Roman"/>
              </w:rPr>
              <w:t>含量的涂料、胶黏剂、清洗剂、油墨等有机溶剂项目；禁止建设电镀项目，规划主导产业生产过程中的电镀工序除外；禁止化工重点监测点外建设化工项目，化工重点监测点在其既有厂区范围参照化工园区内企业管理，不可增加污染物排放总量。（</w:t>
            </w:r>
            <w:r>
              <w:rPr>
                <w:rFonts w:ascii="Times New Roman" w:hAnsi="Times New Roman" w:eastAsia="等线" w:cs="Times New Roman"/>
              </w:rPr>
              <w:t>2</w:t>
            </w:r>
            <w:r>
              <w:rPr>
                <w:rFonts w:ascii="Times New Roman" w:hAnsi="Times New Roman" w:eastAsia="方正仿宋_GBK" w:cs="Times New Roman"/>
              </w:rPr>
              <w:t>）大健康产业：禁止建设化学药品原料药制造项目；禁止建设电镀项目，规划主导产业生产过程中的电镀工序除外；禁止建设化工项目。（</w:t>
            </w:r>
            <w:r>
              <w:rPr>
                <w:rFonts w:ascii="Times New Roman" w:hAnsi="Times New Roman" w:eastAsia="等线" w:cs="Times New Roman"/>
              </w:rPr>
              <w:t>3</w:t>
            </w:r>
            <w:r>
              <w:rPr>
                <w:rFonts w:ascii="Times New Roman" w:hAnsi="Times New Roman" w:eastAsia="方正仿宋_GBK" w:cs="Times New Roman"/>
              </w:rPr>
              <w:t>）节能环保产业：禁止新（扩）建固体废物焚烧项目，禁止引入高污染高能耗的建材项目；禁止建设电镀项目，规划主导产业生产过程中的电镀工序除外；禁止建设化工项目。（</w:t>
            </w:r>
            <w:r>
              <w:rPr>
                <w:rFonts w:ascii="Times New Roman" w:hAnsi="Times New Roman" w:eastAsia="等线" w:cs="Times New Roman"/>
              </w:rPr>
              <w:t>4</w:t>
            </w:r>
            <w:r>
              <w:rPr>
                <w:rFonts w:ascii="Times New Roman" w:hAnsi="Times New Roman" w:eastAsia="方正仿宋_GBK" w:cs="Times New Roman"/>
              </w:rPr>
              <w:t>）临港产业：禁止涉及危化品及有毒有害化学品的仓储物流项目；禁止建设电镀项目，规划主导产业生产过程中的电镀工序除外；禁止建设化工项目。（</w:t>
            </w:r>
            <w:r>
              <w:rPr>
                <w:rFonts w:ascii="Times New Roman" w:hAnsi="Times New Roman" w:eastAsia="等线" w:cs="Times New Roman"/>
              </w:rPr>
              <w:t>5</w:t>
            </w:r>
            <w:r>
              <w:rPr>
                <w:rFonts w:ascii="Times New Roman" w:hAnsi="Times New Roman" w:eastAsia="方正仿宋_GBK" w:cs="Times New Roman"/>
              </w:rPr>
              <w:t>）禁止引入不符合国家、江苏省及泰州市产业指导政策，或涉及相关限制淘汰类设备和工艺清单的项目。</w:t>
            </w:r>
          </w:p>
        </w:tc>
        <w:tc>
          <w:tcPr>
            <w:tcW w:w="946" w:type="pct"/>
            <w:tcMar>
              <w:left w:w="57" w:type="dxa"/>
              <w:right w:w="57" w:type="dxa"/>
            </w:tcMar>
            <w:vAlign w:val="center"/>
          </w:tcPr>
          <w:p w14:paraId="699BFFC4">
            <w:pPr>
              <w:adjustRightInd w:val="0"/>
              <w:snapToGrid w:val="0"/>
              <w:spacing w:line="320" w:lineRule="exact"/>
              <w:rPr>
                <w:rFonts w:ascii="Times New Roman" w:hAnsi="Times New Roman" w:eastAsia="方正仿宋_GBK" w:cs="Times New Roman"/>
              </w:rPr>
            </w:pPr>
            <w:bookmarkStart w:id="136" w:name="sys1937079"/>
            <w:r>
              <w:rPr>
                <w:rFonts w:ascii="Times New Roman" w:hAnsi="Times New Roman" w:eastAsia="等线" w:cs="Times New Roman"/>
              </w:rPr>
              <w:t>1</w:t>
            </w:r>
            <w:r>
              <w:rPr>
                <w:rFonts w:ascii="Times New Roman" w:hAnsi="Times New Roman" w:eastAsia="方正仿宋_GBK" w:cs="Times New Roman"/>
              </w:rPr>
              <w:t>、大气污染物总量控制目标：近期（</w:t>
            </w:r>
            <w:r>
              <w:rPr>
                <w:rFonts w:ascii="Times New Roman" w:hAnsi="Times New Roman" w:eastAsia="等线" w:cs="Times New Roman"/>
              </w:rPr>
              <w:t>2025</w:t>
            </w:r>
            <w:r>
              <w:rPr>
                <w:rFonts w:ascii="Times New Roman" w:hAnsi="Times New Roman" w:eastAsia="方正仿宋_GBK" w:cs="Times New Roman"/>
              </w:rPr>
              <w:t>年）二氧化硫</w:t>
            </w:r>
            <w:r>
              <w:rPr>
                <w:rFonts w:ascii="Times New Roman" w:hAnsi="Times New Roman" w:eastAsia="等线" w:cs="Times New Roman"/>
              </w:rPr>
              <w:t>445.72t/a</w:t>
            </w:r>
            <w:r>
              <w:rPr>
                <w:rFonts w:ascii="Times New Roman" w:hAnsi="Times New Roman" w:eastAsia="方正仿宋_GBK" w:cs="Times New Roman"/>
              </w:rPr>
              <w:t>、烟（粉）尘</w:t>
            </w:r>
            <w:r>
              <w:rPr>
                <w:rFonts w:ascii="Times New Roman" w:hAnsi="Times New Roman" w:eastAsia="等线" w:cs="Times New Roman"/>
              </w:rPr>
              <w:t>220.63t/a</w:t>
            </w:r>
            <w:r>
              <w:rPr>
                <w:rFonts w:ascii="Times New Roman" w:hAnsi="Times New Roman" w:eastAsia="方正仿宋_GBK" w:cs="Times New Roman"/>
              </w:rPr>
              <w:t>、</w:t>
            </w:r>
            <w:r>
              <w:rPr>
                <w:rFonts w:ascii="Times New Roman" w:hAnsi="Times New Roman" w:eastAsia="等线" w:cs="Times New Roman"/>
              </w:rPr>
              <w:t>NOx681.06t/a</w:t>
            </w:r>
            <w:r>
              <w:rPr>
                <w:rFonts w:ascii="Times New Roman" w:hAnsi="Times New Roman" w:eastAsia="方正仿宋_GBK" w:cs="Times New Roman"/>
              </w:rPr>
              <w:t>、</w:t>
            </w:r>
            <w:r>
              <w:rPr>
                <w:rFonts w:ascii="Times New Roman" w:hAnsi="Times New Roman" w:eastAsia="等线" w:cs="Times New Roman"/>
              </w:rPr>
              <w:t>VOCs348.09t/a</w:t>
            </w:r>
            <w:r>
              <w:rPr>
                <w:rFonts w:ascii="Times New Roman" w:hAnsi="Times New Roman" w:eastAsia="方正仿宋_GBK" w:cs="Times New Roman"/>
              </w:rPr>
              <w:t>；</w:t>
            </w:r>
            <w:bookmarkEnd w:id="136"/>
            <w:bookmarkStart w:id="137" w:name="sys19377965"/>
            <w:r>
              <w:rPr>
                <w:rFonts w:ascii="Times New Roman" w:hAnsi="Times New Roman" w:eastAsia="方正仿宋_GBK" w:cs="Times New Roman"/>
              </w:rPr>
              <w:t>远期（</w:t>
            </w:r>
            <w:r>
              <w:rPr>
                <w:rFonts w:ascii="Times New Roman" w:hAnsi="Times New Roman" w:eastAsia="等线" w:cs="Times New Roman"/>
              </w:rPr>
              <w:t>2035</w:t>
            </w:r>
            <w:r>
              <w:rPr>
                <w:rFonts w:ascii="Times New Roman" w:hAnsi="Times New Roman" w:eastAsia="方正仿宋_GBK" w:cs="Times New Roman"/>
              </w:rPr>
              <w:t>年）二氧化硫</w:t>
            </w:r>
            <w:r>
              <w:rPr>
                <w:rFonts w:ascii="Times New Roman" w:hAnsi="Times New Roman" w:eastAsia="等线" w:cs="Times New Roman"/>
              </w:rPr>
              <w:t>446.09t/a</w:t>
            </w:r>
            <w:r>
              <w:rPr>
                <w:rFonts w:ascii="Times New Roman" w:hAnsi="Times New Roman" w:eastAsia="方正仿宋_GBK" w:cs="Times New Roman"/>
              </w:rPr>
              <w:t>、烟（粉）尘</w:t>
            </w:r>
            <w:r>
              <w:rPr>
                <w:rFonts w:ascii="Times New Roman" w:hAnsi="Times New Roman" w:eastAsia="等线" w:cs="Times New Roman"/>
              </w:rPr>
              <w:t>229.59t/a</w:t>
            </w:r>
            <w:r>
              <w:rPr>
                <w:rFonts w:ascii="Times New Roman" w:hAnsi="Times New Roman" w:eastAsia="方正仿宋_GBK" w:cs="Times New Roman"/>
              </w:rPr>
              <w:t>、</w:t>
            </w:r>
            <w:r>
              <w:rPr>
                <w:rFonts w:ascii="Times New Roman" w:hAnsi="Times New Roman" w:eastAsia="等线" w:cs="Times New Roman"/>
              </w:rPr>
              <w:t>NOx683.39t/a</w:t>
            </w:r>
            <w:r>
              <w:rPr>
                <w:rFonts w:ascii="Times New Roman" w:hAnsi="Times New Roman" w:eastAsia="方正仿宋_GBK" w:cs="Times New Roman"/>
              </w:rPr>
              <w:t>、</w:t>
            </w:r>
            <w:r>
              <w:rPr>
                <w:rFonts w:ascii="Times New Roman" w:hAnsi="Times New Roman" w:eastAsia="等线" w:cs="Times New Roman"/>
              </w:rPr>
              <w:t>VOCs351.03t/a</w:t>
            </w:r>
            <w:r>
              <w:rPr>
                <w:rFonts w:ascii="Times New Roman" w:hAnsi="Times New Roman" w:eastAsia="方正仿宋_GBK" w:cs="Times New Roman"/>
              </w:rPr>
              <w:t>。</w:t>
            </w:r>
            <w:bookmarkEnd w:id="137"/>
            <w:bookmarkStart w:id="138" w:name="sys193714469"/>
            <w:r>
              <w:rPr>
                <w:rFonts w:ascii="Times New Roman" w:hAnsi="Times New Roman" w:eastAsia="等线" w:cs="Times New Roman"/>
              </w:rPr>
              <w:t>2</w:t>
            </w:r>
            <w:r>
              <w:rPr>
                <w:rFonts w:ascii="Times New Roman" w:hAnsi="Times New Roman" w:eastAsia="方正仿宋_GBK" w:cs="Times New Roman"/>
              </w:rPr>
              <w:t>、废水污染物排放总量控制目标：近期（</w:t>
            </w:r>
            <w:r>
              <w:rPr>
                <w:rFonts w:ascii="Times New Roman" w:hAnsi="Times New Roman" w:eastAsia="等线" w:cs="Times New Roman"/>
              </w:rPr>
              <w:t>2025</w:t>
            </w:r>
            <w:r>
              <w:rPr>
                <w:rFonts w:ascii="Times New Roman" w:hAnsi="Times New Roman" w:eastAsia="方正仿宋_GBK" w:cs="Times New Roman"/>
              </w:rPr>
              <w:t>年）</w:t>
            </w:r>
            <w:r>
              <w:rPr>
                <w:rFonts w:ascii="Times New Roman" w:hAnsi="Times New Roman" w:eastAsia="等线" w:cs="Times New Roman"/>
              </w:rPr>
              <w:t>COD194.9t/a</w:t>
            </w:r>
            <w:r>
              <w:rPr>
                <w:rFonts w:ascii="Times New Roman" w:hAnsi="Times New Roman" w:eastAsia="方正仿宋_GBK" w:cs="Times New Roman"/>
              </w:rPr>
              <w:t>、氨氮</w:t>
            </w:r>
            <w:r>
              <w:rPr>
                <w:rFonts w:ascii="Times New Roman" w:hAnsi="Times New Roman" w:eastAsia="等线" w:cs="Times New Roman"/>
              </w:rPr>
              <w:t>14.02t/a</w:t>
            </w:r>
            <w:r>
              <w:rPr>
                <w:rFonts w:ascii="Times New Roman" w:hAnsi="Times New Roman" w:eastAsia="方正仿宋_GBK" w:cs="Times New Roman"/>
              </w:rPr>
              <w:t>、总磷</w:t>
            </w:r>
            <w:r>
              <w:rPr>
                <w:rFonts w:ascii="Times New Roman" w:hAnsi="Times New Roman" w:eastAsia="等线" w:cs="Times New Roman"/>
              </w:rPr>
              <w:t>1.95t/a</w:t>
            </w:r>
            <w:r>
              <w:rPr>
                <w:rFonts w:ascii="Times New Roman" w:hAnsi="Times New Roman" w:eastAsia="方正仿宋_GBK" w:cs="Times New Roman"/>
              </w:rPr>
              <w:t>、总氮</w:t>
            </w:r>
            <w:r>
              <w:rPr>
                <w:rFonts w:ascii="Times New Roman" w:hAnsi="Times New Roman" w:eastAsia="等线" w:cs="Times New Roman"/>
              </w:rPr>
              <w:t>80.36t/a</w:t>
            </w:r>
            <w:r>
              <w:rPr>
                <w:rFonts w:ascii="Times New Roman" w:hAnsi="Times New Roman" w:eastAsia="方正仿宋_GBK" w:cs="Times New Roman"/>
              </w:rPr>
              <w:t>；</w:t>
            </w:r>
            <w:bookmarkEnd w:id="138"/>
            <w:bookmarkStart w:id="139" w:name="sys193721354"/>
            <w:r>
              <w:rPr>
                <w:rFonts w:ascii="Times New Roman" w:hAnsi="Times New Roman" w:eastAsia="方正仿宋_GBK" w:cs="Times New Roman"/>
              </w:rPr>
              <w:t>远期（</w:t>
            </w:r>
            <w:r>
              <w:rPr>
                <w:rFonts w:ascii="Times New Roman" w:hAnsi="Times New Roman" w:eastAsia="等线" w:cs="Times New Roman"/>
              </w:rPr>
              <w:t>2035</w:t>
            </w:r>
            <w:r>
              <w:rPr>
                <w:rFonts w:ascii="Times New Roman" w:hAnsi="Times New Roman" w:eastAsia="方正仿宋_GBK" w:cs="Times New Roman"/>
              </w:rPr>
              <w:t>年）</w:t>
            </w:r>
            <w:r>
              <w:rPr>
                <w:rFonts w:ascii="Times New Roman" w:hAnsi="Times New Roman" w:eastAsia="等线" w:cs="Times New Roman"/>
              </w:rPr>
              <w:t>COD194.39t/a</w:t>
            </w:r>
            <w:r>
              <w:rPr>
                <w:rFonts w:ascii="Times New Roman" w:hAnsi="Times New Roman" w:eastAsia="方正仿宋_GBK" w:cs="Times New Roman"/>
              </w:rPr>
              <w:t>、氨氮</w:t>
            </w:r>
            <w:r>
              <w:rPr>
                <w:rFonts w:ascii="Times New Roman" w:hAnsi="Times New Roman" w:eastAsia="等线" w:cs="Times New Roman"/>
              </w:rPr>
              <w:t>13.72t/a</w:t>
            </w:r>
            <w:r>
              <w:rPr>
                <w:rFonts w:ascii="Times New Roman" w:hAnsi="Times New Roman" w:eastAsia="方正仿宋_GBK" w:cs="Times New Roman"/>
              </w:rPr>
              <w:t>、总磷</w:t>
            </w:r>
            <w:r>
              <w:rPr>
                <w:rFonts w:ascii="Times New Roman" w:hAnsi="Times New Roman" w:eastAsia="等线" w:cs="Times New Roman"/>
              </w:rPr>
              <w:t>1.94t/a</w:t>
            </w:r>
            <w:r>
              <w:rPr>
                <w:rFonts w:ascii="Times New Roman" w:hAnsi="Times New Roman" w:eastAsia="方正仿宋_GBK" w:cs="Times New Roman"/>
              </w:rPr>
              <w:t>、总氮</w:t>
            </w:r>
            <w:r>
              <w:rPr>
                <w:rFonts w:ascii="Times New Roman" w:hAnsi="Times New Roman" w:eastAsia="等线" w:cs="Times New Roman"/>
              </w:rPr>
              <w:t>81.19t/a</w:t>
            </w:r>
            <w:r>
              <w:rPr>
                <w:rFonts w:ascii="Times New Roman" w:hAnsi="Times New Roman" w:eastAsia="方正仿宋_GBK" w:cs="Times New Roman"/>
              </w:rPr>
              <w:t>。</w:t>
            </w:r>
            <w:bookmarkEnd w:id="139"/>
            <w:r>
              <w:rPr>
                <w:rFonts w:ascii="Times New Roman" w:hAnsi="Times New Roman" w:eastAsia="等线" w:cs="Times New Roman"/>
              </w:rPr>
              <w:t>3</w:t>
            </w:r>
            <w:r>
              <w:rPr>
                <w:rFonts w:ascii="Times New Roman" w:hAnsi="Times New Roman" w:eastAsia="方正仿宋_GBK" w:cs="Times New Roman"/>
              </w:rPr>
              <w:t>、碳排放：完成国家及地方下达的相关目标要求。</w:t>
            </w:r>
            <w:bookmarkStart w:id="140" w:name="sys193729056"/>
            <w:r>
              <w:rPr>
                <w:rFonts w:ascii="Times New Roman" w:hAnsi="Times New Roman" w:eastAsia="方正仿宋_GBK" w:cs="Times New Roman"/>
              </w:rPr>
              <w:t>3、泰兴港区七圩作业区</w:t>
            </w:r>
            <w:bookmarkEnd w:id="140"/>
            <w:r>
              <w:rPr>
                <w:rFonts w:ascii="Times New Roman" w:hAnsi="Times New Roman" w:eastAsia="方正仿宋_GBK" w:cs="Times New Roman"/>
              </w:rPr>
              <w:t>完善并落实港口污染控制和船舶污染物接收转运、处置方案，加强全过程监管，确保各类污染物得到妥善处置。作业区初期雨水、冲洗废水经预处理后优先回用，其余废水接管至后方污水处理厂集中处理，暂不具备接管条件的，应提出切实可行的污染治理措施满足环境管理要求；到港船舶生活污水、船舶油污水委托第三方接收清运。加强危化品码头及罐区的挥发性有机物排放管控，强化油气回收和废气处理。严格控制船舶大气污染物排放，干散货装卸、堆存应进一步提升绿色化水平，优先采取全封闭措施。</w:t>
            </w:r>
          </w:p>
        </w:tc>
        <w:tc>
          <w:tcPr>
            <w:tcW w:w="746" w:type="pct"/>
            <w:tcMar>
              <w:left w:w="57" w:type="dxa"/>
              <w:right w:w="57" w:type="dxa"/>
            </w:tcMar>
            <w:vAlign w:val="center"/>
          </w:tcPr>
          <w:p w14:paraId="20AFF8BE">
            <w:pPr>
              <w:pStyle w:val="30"/>
              <w:jc w:val="both"/>
              <w:rPr>
                <w:rFonts w:ascii="Times New Roman" w:hAnsi="Calibri" w:eastAsia="方正仿宋_GBK" w:cs="Times New Roman"/>
                <w:color w:val="auto"/>
                <w:sz w:val="21"/>
                <w:szCs w:val="21"/>
              </w:rPr>
            </w:pPr>
            <w:r>
              <w:rPr>
                <w:rFonts w:ascii="Times New Roman" w:hAnsi="Calibri" w:eastAsia="等线" w:cs="Times New Roman"/>
                <w:color w:val="auto"/>
                <w:sz w:val="21"/>
                <w:szCs w:val="21"/>
              </w:rPr>
              <w:t>1</w:t>
            </w:r>
            <w:r>
              <w:rPr>
                <w:rFonts w:ascii="Times New Roman" w:hAnsi="Calibri" w:eastAsia="方正仿宋_GBK" w:cs="Times New Roman"/>
                <w:color w:val="auto"/>
                <w:sz w:val="21"/>
                <w:szCs w:val="21"/>
              </w:rPr>
              <w:t>、入区企业应规范各项风险防控设施，按相关要求开展风险评估及突发环境事件应急预案编制并备案，配备必要的应急物资，与区内外周边企业建立突发环境事件应急互助协议，定期开展突发环境事件应急演练。</w:t>
            </w:r>
            <w:r>
              <w:rPr>
                <w:rFonts w:ascii="Times New Roman" w:hAnsi="Calibri" w:eastAsia="等线" w:cs="Times New Roman"/>
                <w:color w:val="auto"/>
                <w:sz w:val="21"/>
                <w:szCs w:val="21"/>
              </w:rPr>
              <w:t>2</w:t>
            </w:r>
            <w:r>
              <w:rPr>
                <w:rFonts w:ascii="Times New Roman" w:hAnsi="Calibri" w:eastAsia="方正仿宋_GBK" w:cs="Times New Roman"/>
                <w:color w:val="auto"/>
                <w:sz w:val="21"/>
                <w:szCs w:val="21"/>
              </w:rPr>
              <w:t>、园区定期更新园区应急预案；配备必要的应急物资，通过组织区内相关企业、与周边企事业单位等可调用的应急资源建立突发环境事件应急联动机制等方式完善园区应急队伍、技术与资源储备；定期开展园区突发环境事件演练。3、泰兴港区七圩作业区加强港区环境风险管理，建设与港区环境风险相匹配的应急能力。严格限定港区运输和存储的货种，加强港区安全保障和环境风险防范力度。落实港区环境风险应急能力建设要求，按要求编制环境风险防范和应急预案，建立健全区域环境风险联防联控机制，有效防控区域环境风险。合理配备应急设备设施和物资，加强日常应急管理演练，及时应对可能出现的突发环境事件。强化饮用水水源保护区风险防范应急预案，保障供水安全。</w:t>
            </w:r>
          </w:p>
        </w:tc>
        <w:tc>
          <w:tcPr>
            <w:tcW w:w="657" w:type="pct"/>
            <w:tcMar>
              <w:left w:w="57" w:type="dxa"/>
              <w:right w:w="57" w:type="dxa"/>
            </w:tcMar>
            <w:vAlign w:val="center"/>
          </w:tcPr>
          <w:p w14:paraId="19E65224">
            <w:pPr>
              <w:adjustRightInd w:val="0"/>
              <w:spacing w:line="320" w:lineRule="exact"/>
              <w:rPr>
                <w:rFonts w:ascii="Times New Roman" w:hAnsi="Times New Roman" w:eastAsia="方正仿宋_GBK" w:cs="Times New Roman"/>
              </w:rPr>
            </w:pPr>
            <w:r>
              <w:rPr>
                <w:rFonts w:ascii="Times New Roman" w:hAnsi="Times New Roman" w:eastAsia="等线" w:cs="Times New Roman"/>
              </w:rPr>
              <w:t>1</w:t>
            </w:r>
            <w:r>
              <w:rPr>
                <w:rFonts w:ascii="Times New Roman" w:hAnsi="Times New Roman" w:eastAsia="方正仿宋_GBK" w:cs="Times New Roman"/>
              </w:rPr>
              <w:t>、引进项目清洁生产水平达到国内领先，涉及高能耗、高污染项目的资源和能源消耗指标达到国际先进生产水平。</w:t>
            </w:r>
            <w:r>
              <w:rPr>
                <w:rFonts w:ascii="Times New Roman" w:hAnsi="Times New Roman" w:eastAsia="等线" w:cs="Times New Roman"/>
              </w:rPr>
              <w:t>2</w:t>
            </w:r>
            <w:r>
              <w:rPr>
                <w:rFonts w:ascii="Times New Roman" w:hAnsi="Times New Roman" w:eastAsia="方正仿宋_GBK" w:cs="Times New Roman"/>
              </w:rPr>
              <w:t>、近期：单位工业增加值综合能耗≤</w:t>
            </w:r>
            <w:r>
              <w:rPr>
                <w:rFonts w:ascii="Times New Roman" w:hAnsi="Times New Roman" w:eastAsia="等线" w:cs="Times New Roman"/>
              </w:rPr>
              <w:t>0.57</w:t>
            </w:r>
            <w:r>
              <w:rPr>
                <w:rFonts w:ascii="Times New Roman" w:hAnsi="Times New Roman" w:eastAsia="方正仿宋_GBK" w:cs="Times New Roman"/>
              </w:rPr>
              <w:t>吨标煤</w:t>
            </w:r>
            <w:r>
              <w:rPr>
                <w:rFonts w:ascii="Times New Roman" w:hAnsi="Times New Roman" w:eastAsia="等线" w:cs="Times New Roman"/>
              </w:rPr>
              <w:t>/</w:t>
            </w:r>
            <w:r>
              <w:rPr>
                <w:rFonts w:ascii="Times New Roman" w:hAnsi="Times New Roman" w:eastAsia="方正仿宋_GBK" w:cs="Times New Roman"/>
              </w:rPr>
              <w:t>万元；单位工业增加值新鲜水耗≤</w:t>
            </w:r>
            <w:r>
              <w:rPr>
                <w:rFonts w:ascii="Times New Roman" w:hAnsi="Times New Roman" w:eastAsia="等线" w:cs="Times New Roman"/>
              </w:rPr>
              <w:t>8m</w:t>
            </w:r>
            <w:r>
              <w:rPr>
                <w:rFonts w:ascii="Times New Roman" w:hAnsi="Times New Roman" w:eastAsia="等线" w:cs="Times New Roman"/>
                <w:vertAlign w:val="superscript"/>
              </w:rPr>
              <w:t>3</w:t>
            </w:r>
            <w:r>
              <w:rPr>
                <w:rFonts w:ascii="Times New Roman" w:hAnsi="Times New Roman" w:eastAsia="等线" w:cs="Times New Roman"/>
              </w:rPr>
              <w:t>/</w:t>
            </w:r>
            <w:r>
              <w:rPr>
                <w:rFonts w:ascii="Times New Roman" w:hAnsi="Times New Roman" w:eastAsia="方正仿宋_GBK" w:cs="Times New Roman"/>
              </w:rPr>
              <w:t>万元；污水处理厂尾水回用率达到</w:t>
            </w:r>
            <w:r>
              <w:rPr>
                <w:rFonts w:ascii="Times New Roman" w:hAnsi="Times New Roman" w:eastAsia="等线" w:cs="Times New Roman"/>
              </w:rPr>
              <w:t>25%</w:t>
            </w:r>
            <w:r>
              <w:rPr>
                <w:rFonts w:ascii="Times New Roman" w:hAnsi="Times New Roman" w:eastAsia="方正仿宋_GBK" w:cs="Times New Roman"/>
              </w:rPr>
              <w:t>以上。远期：单位工业增加值综合能耗≤</w:t>
            </w:r>
            <w:r>
              <w:rPr>
                <w:rFonts w:ascii="Times New Roman" w:hAnsi="Times New Roman" w:eastAsia="等线" w:cs="Times New Roman"/>
              </w:rPr>
              <w:t>0.4</w:t>
            </w:r>
            <w:r>
              <w:rPr>
                <w:rFonts w:ascii="Times New Roman" w:hAnsi="Times New Roman" w:eastAsia="方正仿宋_GBK" w:cs="Times New Roman"/>
              </w:rPr>
              <w:t>吨标煤</w:t>
            </w:r>
            <w:r>
              <w:rPr>
                <w:rFonts w:ascii="Times New Roman" w:hAnsi="Times New Roman" w:eastAsia="等线" w:cs="Times New Roman"/>
              </w:rPr>
              <w:t>/</w:t>
            </w:r>
            <w:r>
              <w:rPr>
                <w:rFonts w:ascii="Times New Roman" w:hAnsi="Times New Roman" w:eastAsia="方正仿宋_GBK" w:cs="Times New Roman"/>
              </w:rPr>
              <w:t>万元；单位工业增加值新鲜水耗≤</w:t>
            </w:r>
            <w:r>
              <w:rPr>
                <w:rFonts w:ascii="Times New Roman" w:hAnsi="Times New Roman" w:eastAsia="等线" w:cs="Times New Roman"/>
              </w:rPr>
              <w:t>8m</w:t>
            </w:r>
            <w:r>
              <w:rPr>
                <w:rFonts w:ascii="Times New Roman" w:hAnsi="Times New Roman" w:eastAsia="等线" w:cs="Times New Roman"/>
                <w:vertAlign w:val="superscript"/>
              </w:rPr>
              <w:t>3</w:t>
            </w:r>
            <w:r>
              <w:rPr>
                <w:rFonts w:ascii="Times New Roman" w:hAnsi="Times New Roman" w:eastAsia="等线" w:cs="Times New Roman"/>
              </w:rPr>
              <w:t>/</w:t>
            </w:r>
            <w:r>
              <w:rPr>
                <w:rFonts w:ascii="Times New Roman" w:hAnsi="Times New Roman" w:eastAsia="方正仿宋_GBK" w:cs="Times New Roman"/>
              </w:rPr>
              <w:t>万元；污水处理厂尾水回用率达到</w:t>
            </w:r>
            <w:r>
              <w:rPr>
                <w:rFonts w:ascii="Times New Roman" w:hAnsi="Times New Roman" w:eastAsia="等线" w:cs="Times New Roman"/>
              </w:rPr>
              <w:t>25%</w:t>
            </w:r>
            <w:r>
              <w:rPr>
                <w:rFonts w:ascii="Times New Roman" w:hAnsi="Times New Roman" w:eastAsia="方正仿宋_GBK" w:cs="Times New Roman"/>
              </w:rPr>
              <w:t>以上。3、泰兴港区七圩作业区减少对自然岸线的占用，确保自然岸线保有率不低于国家和地方规定的比例。</w:t>
            </w:r>
          </w:p>
        </w:tc>
        <w:tc>
          <w:tcPr>
            <w:tcW w:w="603" w:type="pct"/>
            <w:tcMar>
              <w:left w:w="57" w:type="dxa"/>
              <w:right w:w="57" w:type="dxa"/>
            </w:tcMar>
            <w:vAlign w:val="center"/>
          </w:tcPr>
          <w:p w14:paraId="33E9DCA3">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《省生态环境厅关于&lt;泰州港总体规划（修订）环境影响报告书&gt;的审查意见》（苏环审〔2024〕38号）</w:t>
            </w:r>
          </w:p>
        </w:tc>
      </w:tr>
      <w:tr w14:paraId="782A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165" w:type="pct"/>
            <w:tcMar>
              <w:left w:w="57" w:type="dxa"/>
              <w:right w:w="57" w:type="dxa"/>
            </w:tcMar>
            <w:vAlign w:val="center"/>
          </w:tcPr>
          <w:p w14:paraId="0AF19702">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713AD85A">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798AF079">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兴化</w:t>
            </w:r>
          </w:p>
        </w:tc>
        <w:tc>
          <w:tcPr>
            <w:tcW w:w="402" w:type="pct"/>
            <w:tcMar>
              <w:left w:w="57" w:type="dxa"/>
              <w:right w:w="57" w:type="dxa"/>
            </w:tcMar>
            <w:vAlign w:val="center"/>
          </w:tcPr>
          <w:p w14:paraId="623854DB">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稻米科技产业园</w:t>
            </w:r>
          </w:p>
        </w:tc>
        <w:tc>
          <w:tcPr>
            <w:tcW w:w="267" w:type="pct"/>
            <w:tcMar>
              <w:left w:w="57" w:type="dxa"/>
              <w:right w:w="57" w:type="dxa"/>
            </w:tcMar>
            <w:vAlign w:val="center"/>
          </w:tcPr>
          <w:p w14:paraId="261C3BF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24361800">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1、禁止化工、印染、电镀、高耗能。</w:t>
            </w:r>
          </w:p>
          <w:p w14:paraId="4A438F97">
            <w:pPr>
              <w:rPr>
                <w:rFonts w:ascii="Times New Roman" w:hAnsi="Times New Roman" w:eastAsia="方正仿宋_GBK" w:cs="Times New Roman"/>
              </w:rPr>
            </w:pPr>
            <w:r>
              <w:rPr>
                <w:rFonts w:ascii="Times New Roman" w:hAnsi="Times New Roman" w:eastAsia="方正仿宋_GBK" w:cs="Times New Roman"/>
              </w:rPr>
              <w:t>2、严格执行《江苏省通榆河水污染防治条例》。</w:t>
            </w:r>
          </w:p>
        </w:tc>
        <w:tc>
          <w:tcPr>
            <w:tcW w:w="946" w:type="pct"/>
            <w:tcMar>
              <w:left w:w="57" w:type="dxa"/>
              <w:right w:w="57" w:type="dxa"/>
            </w:tcMar>
            <w:vAlign w:val="center"/>
          </w:tcPr>
          <w:p w14:paraId="1CE87AA9">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1）加强工业园区水污染防治。全面推动专业化废水集中处理和雨污分流设施建设，逐步实现与生活污水分开收集、分质处理。推进污水处理厂水平衡核算，倒逼提高运行管理水平。推动企业预处理设施全部建设到位、重点污染行业废水明管输送、重点企业预处理污水排口和园区污水集中处理设施进出水口全部安装在线监控装置。（2）加强园区废气污染防治，持续推进工业污染源全面达标排放，二氧化硫、氮氧化物、颗粒物、VOCs全面执行大气污染物特别排放限值，无组织排放较为严重的重点企业开展颗粒物无组织排放深度整治等。</w:t>
            </w:r>
          </w:p>
        </w:tc>
        <w:tc>
          <w:tcPr>
            <w:tcW w:w="746" w:type="pct"/>
            <w:tcMar>
              <w:left w:w="57" w:type="dxa"/>
              <w:right w:w="57" w:type="dxa"/>
            </w:tcMar>
            <w:vAlign w:val="center"/>
          </w:tcPr>
          <w:p w14:paraId="1DB660F7">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建立并完善区域环境风险防范体系，制定完备的事故应急预案，贮存必要的应急物资，定期开展事故应急演练。</w:t>
            </w:r>
          </w:p>
        </w:tc>
        <w:tc>
          <w:tcPr>
            <w:tcW w:w="657" w:type="pct"/>
            <w:tcMar>
              <w:left w:w="57" w:type="dxa"/>
              <w:right w:w="57" w:type="dxa"/>
            </w:tcMar>
            <w:vAlign w:val="center"/>
          </w:tcPr>
          <w:p w14:paraId="78B2A6B7">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禁止销售使用燃料为“Ⅱ类”（较严），具体包括：1、除单台出力大于等于20蒸吨/小时锅炉以外燃用的煤炭及其制品。2、石油焦、油页岩、原油、重油、渣油、煤焦油。</w:t>
            </w:r>
          </w:p>
        </w:tc>
        <w:tc>
          <w:tcPr>
            <w:tcW w:w="603" w:type="pct"/>
            <w:tcMar>
              <w:left w:w="57" w:type="dxa"/>
              <w:right w:w="57" w:type="dxa"/>
            </w:tcMar>
            <w:vAlign w:val="center"/>
          </w:tcPr>
          <w:p w14:paraId="78B2A327">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省自然资源厅关于兴化市2024年度生态空间管控区域调整方案的复函（苏自然资函〔2024〕297号）</w:t>
            </w:r>
          </w:p>
        </w:tc>
      </w:tr>
      <w:tr w14:paraId="15E4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165" w:type="pct"/>
            <w:tcMar>
              <w:left w:w="57" w:type="dxa"/>
              <w:right w:w="57" w:type="dxa"/>
            </w:tcMar>
            <w:vAlign w:val="center"/>
          </w:tcPr>
          <w:p w14:paraId="7F32518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江苏</w:t>
            </w:r>
          </w:p>
        </w:tc>
        <w:tc>
          <w:tcPr>
            <w:tcW w:w="165" w:type="pct"/>
            <w:tcMar>
              <w:left w:w="57" w:type="dxa"/>
              <w:right w:w="57" w:type="dxa"/>
            </w:tcMar>
            <w:vAlign w:val="center"/>
          </w:tcPr>
          <w:p w14:paraId="486F832F">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泰州</w:t>
            </w:r>
          </w:p>
        </w:tc>
        <w:tc>
          <w:tcPr>
            <w:tcW w:w="186" w:type="pct"/>
            <w:tcMar>
              <w:left w:w="57" w:type="dxa"/>
              <w:right w:w="57" w:type="dxa"/>
            </w:tcMar>
            <w:vAlign w:val="center"/>
          </w:tcPr>
          <w:p w14:paraId="790890BD">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兴化</w:t>
            </w:r>
          </w:p>
        </w:tc>
        <w:tc>
          <w:tcPr>
            <w:tcW w:w="402" w:type="pct"/>
            <w:tcMar>
              <w:left w:w="57" w:type="dxa"/>
              <w:right w:w="57" w:type="dxa"/>
            </w:tcMar>
            <w:vAlign w:val="center"/>
          </w:tcPr>
          <w:p w14:paraId="58A5ADBA">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粮食物流集聚区</w:t>
            </w:r>
          </w:p>
        </w:tc>
        <w:tc>
          <w:tcPr>
            <w:tcW w:w="267" w:type="pct"/>
            <w:tcMar>
              <w:left w:w="57" w:type="dxa"/>
              <w:right w:w="57" w:type="dxa"/>
            </w:tcMar>
            <w:vAlign w:val="center"/>
          </w:tcPr>
          <w:p w14:paraId="67069734">
            <w:pPr>
              <w:adjustRightInd w:val="0"/>
              <w:spacing w:line="320" w:lineRule="exact"/>
              <w:jc w:val="center"/>
              <w:rPr>
                <w:rFonts w:ascii="Times New Roman" w:hAnsi="Times New Roman" w:eastAsia="方正仿宋_GBK" w:cs="Times New Roman"/>
              </w:rPr>
            </w:pPr>
            <w:r>
              <w:rPr>
                <w:rFonts w:ascii="Times New Roman" w:hAnsi="Times New Roman" w:eastAsia="方正仿宋_GBK" w:cs="Times New Roman"/>
              </w:rPr>
              <w:t>重点管控单元</w:t>
            </w:r>
          </w:p>
        </w:tc>
        <w:tc>
          <w:tcPr>
            <w:tcW w:w="863" w:type="pct"/>
            <w:tcMar>
              <w:left w:w="57" w:type="dxa"/>
              <w:right w:w="57" w:type="dxa"/>
            </w:tcMar>
            <w:vAlign w:val="center"/>
          </w:tcPr>
          <w:p w14:paraId="02E38F8B">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1、禁止化工、印染、电镀、高耗能。</w:t>
            </w:r>
          </w:p>
          <w:p w14:paraId="6F067F51">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2、严格执行《江苏省通榆河水污染防治条例》。</w:t>
            </w:r>
          </w:p>
        </w:tc>
        <w:tc>
          <w:tcPr>
            <w:tcW w:w="946" w:type="pct"/>
            <w:tcMar>
              <w:left w:w="57" w:type="dxa"/>
              <w:right w:w="57" w:type="dxa"/>
            </w:tcMar>
            <w:vAlign w:val="center"/>
          </w:tcPr>
          <w:p w14:paraId="674F2CA1">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1）加强工业园区水污染防治。全面推动专业化废水集中处理和雨污分流设施建设，逐步实现与生活污水分开收集、分质处理。推进污水处理厂水平衡核算，倒逼提高运行管理水平。推动企业预处理设施全部建设到位、重点污染行业废水明管输送、重点企业预处理污水排口和园区污水集中处理设施进出水口全部安装在线监控装置。（2）加强园区废气污染防治，持续推进工业污染源全面达标排放，二氧化硫、氮氧化物、颗粒物、VOCs全面执行大气污染物特别排放限值，无组织排放较为严重的重点企业开展颗粒物无组织排放深度整治等。</w:t>
            </w:r>
          </w:p>
        </w:tc>
        <w:tc>
          <w:tcPr>
            <w:tcW w:w="746" w:type="pct"/>
            <w:tcMar>
              <w:left w:w="57" w:type="dxa"/>
              <w:right w:w="57" w:type="dxa"/>
            </w:tcMar>
            <w:vAlign w:val="center"/>
          </w:tcPr>
          <w:p w14:paraId="6370041D">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建立并完善区域环境风险防范体系，制定完备的事故应急预案，贮存必要的应急物资，定期开展事故应急演练。</w:t>
            </w:r>
          </w:p>
        </w:tc>
        <w:tc>
          <w:tcPr>
            <w:tcW w:w="657" w:type="pct"/>
            <w:tcMar>
              <w:left w:w="57" w:type="dxa"/>
              <w:right w:w="57" w:type="dxa"/>
            </w:tcMar>
            <w:vAlign w:val="center"/>
          </w:tcPr>
          <w:p w14:paraId="5B5AAE64">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禁止销售使用燃料为“Ⅱ类”（较严），具体包括：1、除单台出力大于等于20蒸吨/小时锅炉以外燃用的煤炭及其制品。2、石油焦、油页岩、原油、重油、渣油、煤焦油。</w:t>
            </w:r>
          </w:p>
        </w:tc>
        <w:tc>
          <w:tcPr>
            <w:tcW w:w="603" w:type="pct"/>
            <w:tcMar>
              <w:left w:w="57" w:type="dxa"/>
              <w:right w:w="57" w:type="dxa"/>
            </w:tcMar>
            <w:vAlign w:val="center"/>
          </w:tcPr>
          <w:p w14:paraId="40E114B6">
            <w:pPr>
              <w:adjustRightInd w:val="0"/>
              <w:snapToGrid w:val="0"/>
              <w:spacing w:line="320" w:lineRule="exact"/>
              <w:rPr>
                <w:rFonts w:ascii="Times New Roman" w:hAnsi="Times New Roman" w:eastAsia="方正仿宋_GBK" w:cs="Times New Roman"/>
              </w:rPr>
            </w:pPr>
            <w:r>
              <w:rPr>
                <w:rFonts w:ascii="Times New Roman" w:hAnsi="Times New Roman" w:eastAsia="方正仿宋_GBK" w:cs="Times New Roman"/>
              </w:rPr>
              <w:t>省自然资源厅关于兴化市2024年度生态空间管控区域调整方案的复函（苏自然资函〔2024〕297号）</w:t>
            </w:r>
          </w:p>
        </w:tc>
      </w:tr>
    </w:tbl>
    <w:p w14:paraId="7DCE69E4">
      <w:pPr>
        <w:spacing w:line="400" w:lineRule="exact"/>
        <w:rPr>
          <w:rFonts w:ascii="Times New Roman" w:hAnsi="Times New Roman" w:eastAsia="仿宋" w:cs="Times New Roman"/>
          <w:snapToGrid w:val="0"/>
          <w:color w:val="FF0000"/>
          <w:kern w:val="0"/>
          <w:sz w:val="32"/>
          <w:szCs w:val="32"/>
        </w:rPr>
        <w:sectPr>
          <w:pgSz w:w="16838" w:h="11906" w:orient="landscape"/>
          <w:pgMar w:top="1800" w:right="1440" w:bottom="1800" w:left="1440" w:header="851" w:footer="992" w:gutter="0"/>
          <w:cols w:space="425" w:num="1"/>
          <w:docGrid w:type="lines" w:linePitch="312" w:charSpace="0"/>
        </w:sectPr>
      </w:pPr>
      <w:r>
        <w:rPr>
          <w:rFonts w:ascii="Times New Roman" w:hAnsi="Times New Roman" w:eastAsia="方正仿宋_GBK" w:cs="Times New Roman"/>
          <w:snapToGrid w:val="0"/>
          <w:kern w:val="0"/>
          <w:sz w:val="18"/>
          <w:szCs w:val="18"/>
        </w:rPr>
        <w:t>注：本表为2024年更新的准入清单，其余按照江苏省生态环境分区管控综合服务平台发布成果执行。</w:t>
      </w:r>
    </w:p>
    <w:p w14:paraId="48F138F5">
      <w:pPr>
        <w:rPr>
          <w:rFonts w:ascii="Times New Roman" w:hAnsi="Times New Roman" w:eastAsia="仿宋" w:cs="Times New Roman"/>
          <w:snapToGrid w:val="0"/>
          <w:color w:val="FF0000"/>
          <w:kern w:val="0"/>
          <w:sz w:val="32"/>
          <w:szCs w:val="32"/>
        </w:rPr>
      </w:pPr>
      <w:bookmarkStart w:id="141" w:name="_GoBack"/>
      <w:bookmarkEnd w:id="14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43A31FD6-E7D2-48F6-A294-5A020918CA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82337BB-3E16-4AAE-9864-FA3E96112E99}"/>
  </w:font>
  <w:font w:name="方正仿宋_GBK">
    <w:panose1 w:val="03000509000000000000"/>
    <w:charset w:val="86"/>
    <w:family w:val="script"/>
    <w:pitch w:val="default"/>
    <w:sig w:usb0="00000001" w:usb1="080E0000" w:usb2="00000000" w:usb3="00000000" w:csb0="00040000" w:csb1="00000000"/>
    <w:embedRegular r:id="rId3" w:fontKey="{BD67195E-A9A4-46F8-9D3A-4E317DD9E104}"/>
  </w:font>
  <w:font w:name="方正小标宋_GBK">
    <w:panose1 w:val="03000509000000000000"/>
    <w:charset w:val="86"/>
    <w:family w:val="script"/>
    <w:pitch w:val="default"/>
    <w:sig w:usb0="00000001" w:usb1="080E0000" w:usb2="00000000" w:usb3="00000000" w:csb0="00040000" w:csb1="00000000"/>
    <w:embedRegular r:id="rId4" w:fontKey="{0E86E621-2349-425A-8D29-C62F553DDCC2}"/>
  </w:font>
  <w:font w:name="方正楷体_GBK">
    <w:panose1 w:val="03000509000000000000"/>
    <w:charset w:val="86"/>
    <w:family w:val="script"/>
    <w:pitch w:val="default"/>
    <w:sig w:usb0="00000001" w:usb1="080E0000" w:usb2="00000000" w:usb3="00000000" w:csb0="00040000" w:csb1="00000000"/>
    <w:embedRegular r:id="rId5" w:fontKey="{EAEB7806-BE7F-44CF-9A61-8F6227059429}"/>
  </w:font>
  <w:font w:name="方正黑体_GBK">
    <w:panose1 w:val="03000509000000000000"/>
    <w:charset w:val="86"/>
    <w:family w:val="script"/>
    <w:pitch w:val="default"/>
    <w:sig w:usb0="00000001" w:usb1="080E0000" w:usb2="00000000" w:usb3="00000000" w:csb0="00040000" w:csb1="00000000"/>
    <w:embedRegular r:id="rId6" w:fontKey="{0707EB51-7F21-4CED-8064-3CF921E3B2A2}"/>
  </w:font>
  <w:font w:name="仿宋">
    <w:panose1 w:val="02010609060101010101"/>
    <w:charset w:val="86"/>
    <w:family w:val="modern"/>
    <w:pitch w:val="default"/>
    <w:sig w:usb0="800002BF" w:usb1="38CF7CFA" w:usb2="00000016" w:usb3="00000000" w:csb0="00040001" w:csb1="00000000"/>
    <w:embedRegular r:id="rId7" w:fontKey="{E7B377EB-BE88-4B60-B1CC-EEBC19227158}"/>
  </w:font>
  <w:font w:name="等线">
    <w:panose1 w:val="02010600030101010101"/>
    <w:charset w:val="86"/>
    <w:family w:val="auto"/>
    <w:pitch w:val="default"/>
    <w:sig w:usb0="A00002BF" w:usb1="38CF7CFA" w:usb2="00000016" w:usb3="00000000" w:csb0="0004000F" w:csb1="00000000"/>
    <w:embedRegular r:id="rId8" w:fontKey="{D3E21B81-D00F-43A5-9F98-7416BF962E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F80F2">
    <w:pPr>
      <w:pStyle w:val="7"/>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6D57F7">
                          <w:pPr>
                            <w:pStyle w:val="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06D57F7">
                    <w:pPr>
                      <w:pStyle w:val="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0NmM0ZTliNzNjODE5ZjUxMWM4MzI1ZDBmMjI0Y2MifQ=="/>
  </w:docVars>
  <w:rsids>
    <w:rsidRoot w:val="004211ED"/>
    <w:rsid w:val="00000B95"/>
    <w:rsid w:val="00000E52"/>
    <w:rsid w:val="00001741"/>
    <w:rsid w:val="00001757"/>
    <w:rsid w:val="0000238A"/>
    <w:rsid w:val="00004A93"/>
    <w:rsid w:val="0000506B"/>
    <w:rsid w:val="00006849"/>
    <w:rsid w:val="0000688C"/>
    <w:rsid w:val="00007925"/>
    <w:rsid w:val="00007E81"/>
    <w:rsid w:val="0001037A"/>
    <w:rsid w:val="00010508"/>
    <w:rsid w:val="00011032"/>
    <w:rsid w:val="00012D98"/>
    <w:rsid w:val="00016E6F"/>
    <w:rsid w:val="000175B6"/>
    <w:rsid w:val="00017B9B"/>
    <w:rsid w:val="00020A6A"/>
    <w:rsid w:val="00021C6D"/>
    <w:rsid w:val="00023524"/>
    <w:rsid w:val="0002354C"/>
    <w:rsid w:val="0002749C"/>
    <w:rsid w:val="00030339"/>
    <w:rsid w:val="00030C9B"/>
    <w:rsid w:val="0003121C"/>
    <w:rsid w:val="00031B0D"/>
    <w:rsid w:val="00032E11"/>
    <w:rsid w:val="00034F97"/>
    <w:rsid w:val="00037372"/>
    <w:rsid w:val="0003748E"/>
    <w:rsid w:val="00037B46"/>
    <w:rsid w:val="00037E32"/>
    <w:rsid w:val="00040234"/>
    <w:rsid w:val="000431EC"/>
    <w:rsid w:val="00043915"/>
    <w:rsid w:val="00044E9F"/>
    <w:rsid w:val="00045001"/>
    <w:rsid w:val="00045B2E"/>
    <w:rsid w:val="0004601D"/>
    <w:rsid w:val="00055A60"/>
    <w:rsid w:val="00055C58"/>
    <w:rsid w:val="0005695A"/>
    <w:rsid w:val="00056B54"/>
    <w:rsid w:val="00061199"/>
    <w:rsid w:val="00062938"/>
    <w:rsid w:val="0006326E"/>
    <w:rsid w:val="00063760"/>
    <w:rsid w:val="00063B27"/>
    <w:rsid w:val="0006405E"/>
    <w:rsid w:val="0006439F"/>
    <w:rsid w:val="00064CA8"/>
    <w:rsid w:val="00065922"/>
    <w:rsid w:val="0007154A"/>
    <w:rsid w:val="00071829"/>
    <w:rsid w:val="0007221E"/>
    <w:rsid w:val="00072D0D"/>
    <w:rsid w:val="00074829"/>
    <w:rsid w:val="000824E5"/>
    <w:rsid w:val="000826B2"/>
    <w:rsid w:val="00083877"/>
    <w:rsid w:val="00083BE3"/>
    <w:rsid w:val="00084144"/>
    <w:rsid w:val="0008666A"/>
    <w:rsid w:val="00087579"/>
    <w:rsid w:val="000908AC"/>
    <w:rsid w:val="0009110D"/>
    <w:rsid w:val="00091ADE"/>
    <w:rsid w:val="0009209D"/>
    <w:rsid w:val="000928DD"/>
    <w:rsid w:val="00095042"/>
    <w:rsid w:val="00095D40"/>
    <w:rsid w:val="00096256"/>
    <w:rsid w:val="00096808"/>
    <w:rsid w:val="00097409"/>
    <w:rsid w:val="000A095E"/>
    <w:rsid w:val="000A1A87"/>
    <w:rsid w:val="000A2CDD"/>
    <w:rsid w:val="000A3430"/>
    <w:rsid w:val="000A4228"/>
    <w:rsid w:val="000A43D1"/>
    <w:rsid w:val="000A45DE"/>
    <w:rsid w:val="000A45FD"/>
    <w:rsid w:val="000A4F78"/>
    <w:rsid w:val="000A5B52"/>
    <w:rsid w:val="000A6AF4"/>
    <w:rsid w:val="000A78A9"/>
    <w:rsid w:val="000B03F0"/>
    <w:rsid w:val="000B19FB"/>
    <w:rsid w:val="000B24F8"/>
    <w:rsid w:val="000B32E4"/>
    <w:rsid w:val="000B3538"/>
    <w:rsid w:val="000B455C"/>
    <w:rsid w:val="000B69DF"/>
    <w:rsid w:val="000B6BD9"/>
    <w:rsid w:val="000C0093"/>
    <w:rsid w:val="000C126C"/>
    <w:rsid w:val="000C17A2"/>
    <w:rsid w:val="000C2933"/>
    <w:rsid w:val="000C416F"/>
    <w:rsid w:val="000C4185"/>
    <w:rsid w:val="000C54E8"/>
    <w:rsid w:val="000C5DC9"/>
    <w:rsid w:val="000C5DFA"/>
    <w:rsid w:val="000C5EF1"/>
    <w:rsid w:val="000C6040"/>
    <w:rsid w:val="000D2EBF"/>
    <w:rsid w:val="000D2F09"/>
    <w:rsid w:val="000D3742"/>
    <w:rsid w:val="000D455E"/>
    <w:rsid w:val="000D6BB6"/>
    <w:rsid w:val="000E156D"/>
    <w:rsid w:val="000E223A"/>
    <w:rsid w:val="000E23E1"/>
    <w:rsid w:val="000E2EE1"/>
    <w:rsid w:val="000E3173"/>
    <w:rsid w:val="000E3377"/>
    <w:rsid w:val="000E3511"/>
    <w:rsid w:val="000E46B1"/>
    <w:rsid w:val="000E6FF2"/>
    <w:rsid w:val="000F053C"/>
    <w:rsid w:val="000F1359"/>
    <w:rsid w:val="000F18F4"/>
    <w:rsid w:val="000F305A"/>
    <w:rsid w:val="000F4EDD"/>
    <w:rsid w:val="000F7999"/>
    <w:rsid w:val="00101E13"/>
    <w:rsid w:val="0010259C"/>
    <w:rsid w:val="00103259"/>
    <w:rsid w:val="00105802"/>
    <w:rsid w:val="00105906"/>
    <w:rsid w:val="0010590D"/>
    <w:rsid w:val="00105FB3"/>
    <w:rsid w:val="00107358"/>
    <w:rsid w:val="00107552"/>
    <w:rsid w:val="00112E09"/>
    <w:rsid w:val="0011470C"/>
    <w:rsid w:val="00115539"/>
    <w:rsid w:val="00116FD2"/>
    <w:rsid w:val="00117884"/>
    <w:rsid w:val="001208A5"/>
    <w:rsid w:val="001209EE"/>
    <w:rsid w:val="00120D0F"/>
    <w:rsid w:val="00121A92"/>
    <w:rsid w:val="00121F05"/>
    <w:rsid w:val="00122733"/>
    <w:rsid w:val="001228CD"/>
    <w:rsid w:val="001233B4"/>
    <w:rsid w:val="001234E6"/>
    <w:rsid w:val="0012425C"/>
    <w:rsid w:val="00126920"/>
    <w:rsid w:val="001278FA"/>
    <w:rsid w:val="001327E0"/>
    <w:rsid w:val="00132919"/>
    <w:rsid w:val="001345EC"/>
    <w:rsid w:val="00134E4C"/>
    <w:rsid w:val="0013607F"/>
    <w:rsid w:val="001405C8"/>
    <w:rsid w:val="00140B32"/>
    <w:rsid w:val="001430C5"/>
    <w:rsid w:val="0014324A"/>
    <w:rsid w:val="00143B62"/>
    <w:rsid w:val="00144018"/>
    <w:rsid w:val="00145ED1"/>
    <w:rsid w:val="00147099"/>
    <w:rsid w:val="0015021A"/>
    <w:rsid w:val="00151241"/>
    <w:rsid w:val="00153390"/>
    <w:rsid w:val="00154ACF"/>
    <w:rsid w:val="0015557A"/>
    <w:rsid w:val="0015566D"/>
    <w:rsid w:val="00161474"/>
    <w:rsid w:val="001630A2"/>
    <w:rsid w:val="0016324D"/>
    <w:rsid w:val="00163B2A"/>
    <w:rsid w:val="00165081"/>
    <w:rsid w:val="0016658E"/>
    <w:rsid w:val="00166CD4"/>
    <w:rsid w:val="00166F3E"/>
    <w:rsid w:val="001677F7"/>
    <w:rsid w:val="00167982"/>
    <w:rsid w:val="001708EA"/>
    <w:rsid w:val="001717F3"/>
    <w:rsid w:val="00171A7D"/>
    <w:rsid w:val="00171C5B"/>
    <w:rsid w:val="001746B8"/>
    <w:rsid w:val="00175CC8"/>
    <w:rsid w:val="00175EB3"/>
    <w:rsid w:val="0017696B"/>
    <w:rsid w:val="00176DBD"/>
    <w:rsid w:val="00177880"/>
    <w:rsid w:val="00177F86"/>
    <w:rsid w:val="00180E5D"/>
    <w:rsid w:val="00181927"/>
    <w:rsid w:val="0018235F"/>
    <w:rsid w:val="001834A0"/>
    <w:rsid w:val="0018516B"/>
    <w:rsid w:val="001854CE"/>
    <w:rsid w:val="00185780"/>
    <w:rsid w:val="00186F7E"/>
    <w:rsid w:val="0019113E"/>
    <w:rsid w:val="00191561"/>
    <w:rsid w:val="00191F14"/>
    <w:rsid w:val="001920F1"/>
    <w:rsid w:val="00192530"/>
    <w:rsid w:val="001936AC"/>
    <w:rsid w:val="00193704"/>
    <w:rsid w:val="0019580E"/>
    <w:rsid w:val="00196AB7"/>
    <w:rsid w:val="00197465"/>
    <w:rsid w:val="001A0112"/>
    <w:rsid w:val="001A03BB"/>
    <w:rsid w:val="001A0A8F"/>
    <w:rsid w:val="001A233B"/>
    <w:rsid w:val="001A30C3"/>
    <w:rsid w:val="001A4201"/>
    <w:rsid w:val="001A496D"/>
    <w:rsid w:val="001A62C6"/>
    <w:rsid w:val="001A64F5"/>
    <w:rsid w:val="001A6545"/>
    <w:rsid w:val="001A7D33"/>
    <w:rsid w:val="001B0197"/>
    <w:rsid w:val="001B033A"/>
    <w:rsid w:val="001B0832"/>
    <w:rsid w:val="001B1381"/>
    <w:rsid w:val="001B2B05"/>
    <w:rsid w:val="001B3178"/>
    <w:rsid w:val="001B3458"/>
    <w:rsid w:val="001B43A1"/>
    <w:rsid w:val="001B51FC"/>
    <w:rsid w:val="001B7F92"/>
    <w:rsid w:val="001C17DC"/>
    <w:rsid w:val="001C24AA"/>
    <w:rsid w:val="001C2B01"/>
    <w:rsid w:val="001C3C2F"/>
    <w:rsid w:val="001C3FEF"/>
    <w:rsid w:val="001C466C"/>
    <w:rsid w:val="001C4A20"/>
    <w:rsid w:val="001C58D6"/>
    <w:rsid w:val="001C5D6D"/>
    <w:rsid w:val="001D098F"/>
    <w:rsid w:val="001D0B58"/>
    <w:rsid w:val="001D0FD3"/>
    <w:rsid w:val="001D125A"/>
    <w:rsid w:val="001D142B"/>
    <w:rsid w:val="001D171A"/>
    <w:rsid w:val="001D3BE4"/>
    <w:rsid w:val="001D5903"/>
    <w:rsid w:val="001D614C"/>
    <w:rsid w:val="001D6D55"/>
    <w:rsid w:val="001D7297"/>
    <w:rsid w:val="001D7FB9"/>
    <w:rsid w:val="001E061A"/>
    <w:rsid w:val="001E08B7"/>
    <w:rsid w:val="001E11C8"/>
    <w:rsid w:val="001E1A68"/>
    <w:rsid w:val="001E2C06"/>
    <w:rsid w:val="001E4A0F"/>
    <w:rsid w:val="001E627E"/>
    <w:rsid w:val="001F098C"/>
    <w:rsid w:val="001F3767"/>
    <w:rsid w:val="001F3993"/>
    <w:rsid w:val="001F4186"/>
    <w:rsid w:val="001F476E"/>
    <w:rsid w:val="001F57BE"/>
    <w:rsid w:val="001F6C18"/>
    <w:rsid w:val="001F7968"/>
    <w:rsid w:val="00200C3D"/>
    <w:rsid w:val="00200CD9"/>
    <w:rsid w:val="00201592"/>
    <w:rsid w:val="00201D93"/>
    <w:rsid w:val="0020218C"/>
    <w:rsid w:val="0020308E"/>
    <w:rsid w:val="00204A35"/>
    <w:rsid w:val="002052C9"/>
    <w:rsid w:val="0020541B"/>
    <w:rsid w:val="002077DC"/>
    <w:rsid w:val="00207E39"/>
    <w:rsid w:val="002118C2"/>
    <w:rsid w:val="002126D8"/>
    <w:rsid w:val="002138D3"/>
    <w:rsid w:val="00213B8D"/>
    <w:rsid w:val="00213FB9"/>
    <w:rsid w:val="002157E3"/>
    <w:rsid w:val="002161BB"/>
    <w:rsid w:val="00216B5D"/>
    <w:rsid w:val="00216BA3"/>
    <w:rsid w:val="002178B5"/>
    <w:rsid w:val="00220BEE"/>
    <w:rsid w:val="00224736"/>
    <w:rsid w:val="002259B0"/>
    <w:rsid w:val="002259F2"/>
    <w:rsid w:val="00227773"/>
    <w:rsid w:val="002279B3"/>
    <w:rsid w:val="00227E8A"/>
    <w:rsid w:val="00230085"/>
    <w:rsid w:val="0023250D"/>
    <w:rsid w:val="0023607A"/>
    <w:rsid w:val="0023709E"/>
    <w:rsid w:val="00240CA6"/>
    <w:rsid w:val="00241D77"/>
    <w:rsid w:val="00244847"/>
    <w:rsid w:val="00245C70"/>
    <w:rsid w:val="00246462"/>
    <w:rsid w:val="00246C51"/>
    <w:rsid w:val="00247D7F"/>
    <w:rsid w:val="00250663"/>
    <w:rsid w:val="00250B45"/>
    <w:rsid w:val="00251AEA"/>
    <w:rsid w:val="002543C7"/>
    <w:rsid w:val="00254700"/>
    <w:rsid w:val="002564D6"/>
    <w:rsid w:val="0025791A"/>
    <w:rsid w:val="002609C0"/>
    <w:rsid w:val="002616F1"/>
    <w:rsid w:val="00264DC6"/>
    <w:rsid w:val="002702F2"/>
    <w:rsid w:val="00271214"/>
    <w:rsid w:val="002716A0"/>
    <w:rsid w:val="00273830"/>
    <w:rsid w:val="00273BB0"/>
    <w:rsid w:val="002757CD"/>
    <w:rsid w:val="0027602F"/>
    <w:rsid w:val="00276895"/>
    <w:rsid w:val="00276993"/>
    <w:rsid w:val="00276CFF"/>
    <w:rsid w:val="00277B82"/>
    <w:rsid w:val="002823C3"/>
    <w:rsid w:val="00282CAF"/>
    <w:rsid w:val="00283551"/>
    <w:rsid w:val="002848A6"/>
    <w:rsid w:val="00285597"/>
    <w:rsid w:val="00285B22"/>
    <w:rsid w:val="00285E70"/>
    <w:rsid w:val="00286608"/>
    <w:rsid w:val="00291BB4"/>
    <w:rsid w:val="00292CB1"/>
    <w:rsid w:val="00292ECA"/>
    <w:rsid w:val="00294D35"/>
    <w:rsid w:val="00295600"/>
    <w:rsid w:val="00295C13"/>
    <w:rsid w:val="00296F3A"/>
    <w:rsid w:val="00297178"/>
    <w:rsid w:val="00297C8A"/>
    <w:rsid w:val="002A0468"/>
    <w:rsid w:val="002A21E7"/>
    <w:rsid w:val="002A272D"/>
    <w:rsid w:val="002A4133"/>
    <w:rsid w:val="002A5E31"/>
    <w:rsid w:val="002A71A4"/>
    <w:rsid w:val="002A7B0E"/>
    <w:rsid w:val="002B0876"/>
    <w:rsid w:val="002B10F1"/>
    <w:rsid w:val="002B3A3B"/>
    <w:rsid w:val="002B4606"/>
    <w:rsid w:val="002B4CB0"/>
    <w:rsid w:val="002B6F16"/>
    <w:rsid w:val="002B7F21"/>
    <w:rsid w:val="002C3B25"/>
    <w:rsid w:val="002C4DBB"/>
    <w:rsid w:val="002C6DC4"/>
    <w:rsid w:val="002C778B"/>
    <w:rsid w:val="002D098C"/>
    <w:rsid w:val="002D227F"/>
    <w:rsid w:val="002D383A"/>
    <w:rsid w:val="002D3CC7"/>
    <w:rsid w:val="002D5A60"/>
    <w:rsid w:val="002D6C16"/>
    <w:rsid w:val="002D733A"/>
    <w:rsid w:val="002E01C2"/>
    <w:rsid w:val="002E27A8"/>
    <w:rsid w:val="002E2EE4"/>
    <w:rsid w:val="002E6B57"/>
    <w:rsid w:val="002E79A0"/>
    <w:rsid w:val="002F254C"/>
    <w:rsid w:val="002F2BF2"/>
    <w:rsid w:val="002F2F6B"/>
    <w:rsid w:val="002F546C"/>
    <w:rsid w:val="002F6CDE"/>
    <w:rsid w:val="002F6D5E"/>
    <w:rsid w:val="002F76D2"/>
    <w:rsid w:val="002F7CFC"/>
    <w:rsid w:val="00301872"/>
    <w:rsid w:val="003032A4"/>
    <w:rsid w:val="003036F9"/>
    <w:rsid w:val="00305AFE"/>
    <w:rsid w:val="00306DC5"/>
    <w:rsid w:val="00307AAA"/>
    <w:rsid w:val="00310E66"/>
    <w:rsid w:val="00310FD4"/>
    <w:rsid w:val="00314015"/>
    <w:rsid w:val="00314109"/>
    <w:rsid w:val="00315508"/>
    <w:rsid w:val="00315938"/>
    <w:rsid w:val="00317634"/>
    <w:rsid w:val="003203A8"/>
    <w:rsid w:val="0032142E"/>
    <w:rsid w:val="003226F5"/>
    <w:rsid w:val="00324254"/>
    <w:rsid w:val="00324C95"/>
    <w:rsid w:val="00324E02"/>
    <w:rsid w:val="003263D1"/>
    <w:rsid w:val="003302A4"/>
    <w:rsid w:val="003326FF"/>
    <w:rsid w:val="00332E8B"/>
    <w:rsid w:val="00336BA3"/>
    <w:rsid w:val="00337A6B"/>
    <w:rsid w:val="00341B89"/>
    <w:rsid w:val="00342E77"/>
    <w:rsid w:val="00344FF8"/>
    <w:rsid w:val="00345597"/>
    <w:rsid w:val="00345E27"/>
    <w:rsid w:val="00347246"/>
    <w:rsid w:val="00347A0B"/>
    <w:rsid w:val="00347FF7"/>
    <w:rsid w:val="0035237D"/>
    <w:rsid w:val="00353755"/>
    <w:rsid w:val="00354C86"/>
    <w:rsid w:val="00355EC4"/>
    <w:rsid w:val="00356B80"/>
    <w:rsid w:val="003573B0"/>
    <w:rsid w:val="003608FF"/>
    <w:rsid w:val="003612D8"/>
    <w:rsid w:val="003617B4"/>
    <w:rsid w:val="00362042"/>
    <w:rsid w:val="0036314D"/>
    <w:rsid w:val="003642E0"/>
    <w:rsid w:val="00364901"/>
    <w:rsid w:val="00365B54"/>
    <w:rsid w:val="0036773B"/>
    <w:rsid w:val="003710C1"/>
    <w:rsid w:val="0037178A"/>
    <w:rsid w:val="003765E7"/>
    <w:rsid w:val="0037750A"/>
    <w:rsid w:val="003808F2"/>
    <w:rsid w:val="00382409"/>
    <w:rsid w:val="00383D1C"/>
    <w:rsid w:val="00384F01"/>
    <w:rsid w:val="00385E31"/>
    <w:rsid w:val="00387D54"/>
    <w:rsid w:val="00387EF4"/>
    <w:rsid w:val="0039087B"/>
    <w:rsid w:val="00391368"/>
    <w:rsid w:val="003916F0"/>
    <w:rsid w:val="0039472C"/>
    <w:rsid w:val="00395B94"/>
    <w:rsid w:val="0039605F"/>
    <w:rsid w:val="00396D34"/>
    <w:rsid w:val="003A0DDC"/>
    <w:rsid w:val="003A146A"/>
    <w:rsid w:val="003A1705"/>
    <w:rsid w:val="003A24C0"/>
    <w:rsid w:val="003A2B34"/>
    <w:rsid w:val="003A2DEE"/>
    <w:rsid w:val="003A311E"/>
    <w:rsid w:val="003A355D"/>
    <w:rsid w:val="003A4CA6"/>
    <w:rsid w:val="003A67A9"/>
    <w:rsid w:val="003A778C"/>
    <w:rsid w:val="003A7D59"/>
    <w:rsid w:val="003B0258"/>
    <w:rsid w:val="003B088F"/>
    <w:rsid w:val="003B3C46"/>
    <w:rsid w:val="003B4376"/>
    <w:rsid w:val="003B4EDA"/>
    <w:rsid w:val="003B52B4"/>
    <w:rsid w:val="003B7B3B"/>
    <w:rsid w:val="003C16E3"/>
    <w:rsid w:val="003C29FD"/>
    <w:rsid w:val="003C3B08"/>
    <w:rsid w:val="003C3F36"/>
    <w:rsid w:val="003C5198"/>
    <w:rsid w:val="003C52DC"/>
    <w:rsid w:val="003C723A"/>
    <w:rsid w:val="003C75CE"/>
    <w:rsid w:val="003C77A4"/>
    <w:rsid w:val="003D0F37"/>
    <w:rsid w:val="003D174C"/>
    <w:rsid w:val="003D4328"/>
    <w:rsid w:val="003D4CB2"/>
    <w:rsid w:val="003D5501"/>
    <w:rsid w:val="003D5C8A"/>
    <w:rsid w:val="003D7B59"/>
    <w:rsid w:val="003E0B19"/>
    <w:rsid w:val="003E0DF9"/>
    <w:rsid w:val="003E24FF"/>
    <w:rsid w:val="003E3C5B"/>
    <w:rsid w:val="003E4C20"/>
    <w:rsid w:val="003E59DA"/>
    <w:rsid w:val="003E651C"/>
    <w:rsid w:val="003E6B65"/>
    <w:rsid w:val="003E765E"/>
    <w:rsid w:val="003F03CA"/>
    <w:rsid w:val="003F05DA"/>
    <w:rsid w:val="003F19C0"/>
    <w:rsid w:val="003F226F"/>
    <w:rsid w:val="003F41B1"/>
    <w:rsid w:val="003F4986"/>
    <w:rsid w:val="003F66F9"/>
    <w:rsid w:val="003F6C1D"/>
    <w:rsid w:val="003F6CA3"/>
    <w:rsid w:val="003F78B6"/>
    <w:rsid w:val="004011E2"/>
    <w:rsid w:val="00401CF4"/>
    <w:rsid w:val="00403297"/>
    <w:rsid w:val="00403CA0"/>
    <w:rsid w:val="00403ED9"/>
    <w:rsid w:val="0040507B"/>
    <w:rsid w:val="00405330"/>
    <w:rsid w:val="0040584A"/>
    <w:rsid w:val="00406CA5"/>
    <w:rsid w:val="00410574"/>
    <w:rsid w:val="00410682"/>
    <w:rsid w:val="00411156"/>
    <w:rsid w:val="004116A7"/>
    <w:rsid w:val="00412DA0"/>
    <w:rsid w:val="004156BB"/>
    <w:rsid w:val="00417F46"/>
    <w:rsid w:val="004200CE"/>
    <w:rsid w:val="00420BFC"/>
    <w:rsid w:val="004211ED"/>
    <w:rsid w:val="0042142A"/>
    <w:rsid w:val="00421D85"/>
    <w:rsid w:val="00422AA9"/>
    <w:rsid w:val="00436644"/>
    <w:rsid w:val="004371A9"/>
    <w:rsid w:val="004373BD"/>
    <w:rsid w:val="00437AA6"/>
    <w:rsid w:val="00437BBE"/>
    <w:rsid w:val="00440323"/>
    <w:rsid w:val="004421A1"/>
    <w:rsid w:val="00443424"/>
    <w:rsid w:val="0044585A"/>
    <w:rsid w:val="0044667B"/>
    <w:rsid w:val="004515D4"/>
    <w:rsid w:val="00451830"/>
    <w:rsid w:val="0045211B"/>
    <w:rsid w:val="004526B9"/>
    <w:rsid w:val="004535BC"/>
    <w:rsid w:val="00453BD1"/>
    <w:rsid w:val="00454E25"/>
    <w:rsid w:val="00455AF5"/>
    <w:rsid w:val="004560D8"/>
    <w:rsid w:val="0045659F"/>
    <w:rsid w:val="00457A22"/>
    <w:rsid w:val="00461371"/>
    <w:rsid w:val="00461E73"/>
    <w:rsid w:val="00463EFF"/>
    <w:rsid w:val="0046430E"/>
    <w:rsid w:val="00464FAD"/>
    <w:rsid w:val="00470621"/>
    <w:rsid w:val="00471986"/>
    <w:rsid w:val="00472020"/>
    <w:rsid w:val="00474CEB"/>
    <w:rsid w:val="004764C9"/>
    <w:rsid w:val="00477865"/>
    <w:rsid w:val="00482C0B"/>
    <w:rsid w:val="00484F0E"/>
    <w:rsid w:val="0048521B"/>
    <w:rsid w:val="004853D5"/>
    <w:rsid w:val="00486100"/>
    <w:rsid w:val="00486CFE"/>
    <w:rsid w:val="0048718B"/>
    <w:rsid w:val="0049021C"/>
    <w:rsid w:val="004916EC"/>
    <w:rsid w:val="00493F38"/>
    <w:rsid w:val="004973DA"/>
    <w:rsid w:val="004976B4"/>
    <w:rsid w:val="004A15AD"/>
    <w:rsid w:val="004A3AF5"/>
    <w:rsid w:val="004A41D6"/>
    <w:rsid w:val="004A4E73"/>
    <w:rsid w:val="004A516F"/>
    <w:rsid w:val="004A74C7"/>
    <w:rsid w:val="004B06A8"/>
    <w:rsid w:val="004B164F"/>
    <w:rsid w:val="004B23BB"/>
    <w:rsid w:val="004B2FCD"/>
    <w:rsid w:val="004B362B"/>
    <w:rsid w:val="004B3684"/>
    <w:rsid w:val="004B3DBA"/>
    <w:rsid w:val="004B4901"/>
    <w:rsid w:val="004B6247"/>
    <w:rsid w:val="004B63F9"/>
    <w:rsid w:val="004B6CCC"/>
    <w:rsid w:val="004C0D48"/>
    <w:rsid w:val="004C1CB1"/>
    <w:rsid w:val="004C203B"/>
    <w:rsid w:val="004C2CEF"/>
    <w:rsid w:val="004C498F"/>
    <w:rsid w:val="004C50F8"/>
    <w:rsid w:val="004C5101"/>
    <w:rsid w:val="004C5116"/>
    <w:rsid w:val="004C56B9"/>
    <w:rsid w:val="004C5A93"/>
    <w:rsid w:val="004C6ABC"/>
    <w:rsid w:val="004C7CC7"/>
    <w:rsid w:val="004D27D1"/>
    <w:rsid w:val="004D3161"/>
    <w:rsid w:val="004D3468"/>
    <w:rsid w:val="004D796F"/>
    <w:rsid w:val="004D799A"/>
    <w:rsid w:val="004E2BE1"/>
    <w:rsid w:val="004E3850"/>
    <w:rsid w:val="004E5812"/>
    <w:rsid w:val="004E757A"/>
    <w:rsid w:val="004F0389"/>
    <w:rsid w:val="004F0CD8"/>
    <w:rsid w:val="004F2270"/>
    <w:rsid w:val="004F2EC2"/>
    <w:rsid w:val="004F4883"/>
    <w:rsid w:val="004F5395"/>
    <w:rsid w:val="004F577A"/>
    <w:rsid w:val="004F7207"/>
    <w:rsid w:val="0050005D"/>
    <w:rsid w:val="00501F38"/>
    <w:rsid w:val="00502355"/>
    <w:rsid w:val="00502E1B"/>
    <w:rsid w:val="00503A0A"/>
    <w:rsid w:val="005066E5"/>
    <w:rsid w:val="00506BE8"/>
    <w:rsid w:val="005075EF"/>
    <w:rsid w:val="00510109"/>
    <w:rsid w:val="0051134A"/>
    <w:rsid w:val="00511AB9"/>
    <w:rsid w:val="005157A6"/>
    <w:rsid w:val="00516091"/>
    <w:rsid w:val="005164D8"/>
    <w:rsid w:val="00516C47"/>
    <w:rsid w:val="005175BA"/>
    <w:rsid w:val="00520B01"/>
    <w:rsid w:val="00520C39"/>
    <w:rsid w:val="00521441"/>
    <w:rsid w:val="00522D40"/>
    <w:rsid w:val="00522FDB"/>
    <w:rsid w:val="00523E50"/>
    <w:rsid w:val="005249E9"/>
    <w:rsid w:val="005253E7"/>
    <w:rsid w:val="005264C9"/>
    <w:rsid w:val="005319E5"/>
    <w:rsid w:val="0053295B"/>
    <w:rsid w:val="00535A0B"/>
    <w:rsid w:val="00536349"/>
    <w:rsid w:val="00536D99"/>
    <w:rsid w:val="00537B8C"/>
    <w:rsid w:val="00540C09"/>
    <w:rsid w:val="0054215B"/>
    <w:rsid w:val="00543F9F"/>
    <w:rsid w:val="005454AC"/>
    <w:rsid w:val="00545E46"/>
    <w:rsid w:val="00550965"/>
    <w:rsid w:val="005510CF"/>
    <w:rsid w:val="00552335"/>
    <w:rsid w:val="005525E9"/>
    <w:rsid w:val="005527DD"/>
    <w:rsid w:val="00553166"/>
    <w:rsid w:val="005534D6"/>
    <w:rsid w:val="00553B55"/>
    <w:rsid w:val="00555A78"/>
    <w:rsid w:val="00556E74"/>
    <w:rsid w:val="005621B5"/>
    <w:rsid w:val="005627AE"/>
    <w:rsid w:val="005629BE"/>
    <w:rsid w:val="0056322D"/>
    <w:rsid w:val="00565FE8"/>
    <w:rsid w:val="00566CC5"/>
    <w:rsid w:val="00567D72"/>
    <w:rsid w:val="00567D8E"/>
    <w:rsid w:val="00571342"/>
    <w:rsid w:val="005719D0"/>
    <w:rsid w:val="005722AB"/>
    <w:rsid w:val="005722EF"/>
    <w:rsid w:val="005723D6"/>
    <w:rsid w:val="0057443D"/>
    <w:rsid w:val="005747C7"/>
    <w:rsid w:val="00574A3C"/>
    <w:rsid w:val="00575270"/>
    <w:rsid w:val="00576E67"/>
    <w:rsid w:val="005834DF"/>
    <w:rsid w:val="00583723"/>
    <w:rsid w:val="0058432D"/>
    <w:rsid w:val="00584494"/>
    <w:rsid w:val="00585865"/>
    <w:rsid w:val="00585EB6"/>
    <w:rsid w:val="0059152F"/>
    <w:rsid w:val="00591F84"/>
    <w:rsid w:val="00593E03"/>
    <w:rsid w:val="0059722B"/>
    <w:rsid w:val="005972D7"/>
    <w:rsid w:val="005A0E09"/>
    <w:rsid w:val="005A27E9"/>
    <w:rsid w:val="005A54AA"/>
    <w:rsid w:val="005A5A36"/>
    <w:rsid w:val="005A6CB9"/>
    <w:rsid w:val="005A7A30"/>
    <w:rsid w:val="005A7E12"/>
    <w:rsid w:val="005B0954"/>
    <w:rsid w:val="005B2391"/>
    <w:rsid w:val="005B34A4"/>
    <w:rsid w:val="005B3787"/>
    <w:rsid w:val="005B40E0"/>
    <w:rsid w:val="005B74F3"/>
    <w:rsid w:val="005C1050"/>
    <w:rsid w:val="005C19E1"/>
    <w:rsid w:val="005C5221"/>
    <w:rsid w:val="005C5E5E"/>
    <w:rsid w:val="005C758D"/>
    <w:rsid w:val="005D201C"/>
    <w:rsid w:val="005D2E92"/>
    <w:rsid w:val="005D3739"/>
    <w:rsid w:val="005D43C6"/>
    <w:rsid w:val="005D4765"/>
    <w:rsid w:val="005D5898"/>
    <w:rsid w:val="005D5DF1"/>
    <w:rsid w:val="005E0451"/>
    <w:rsid w:val="005E1046"/>
    <w:rsid w:val="005E1390"/>
    <w:rsid w:val="005E2D19"/>
    <w:rsid w:val="005F0185"/>
    <w:rsid w:val="005F0DCE"/>
    <w:rsid w:val="005F22BA"/>
    <w:rsid w:val="005F39FB"/>
    <w:rsid w:val="005F432B"/>
    <w:rsid w:val="005F4ADF"/>
    <w:rsid w:val="005F51EC"/>
    <w:rsid w:val="005F75CF"/>
    <w:rsid w:val="006015E3"/>
    <w:rsid w:val="006016CB"/>
    <w:rsid w:val="0060292F"/>
    <w:rsid w:val="00605153"/>
    <w:rsid w:val="0060590E"/>
    <w:rsid w:val="0060693C"/>
    <w:rsid w:val="006071DF"/>
    <w:rsid w:val="00607389"/>
    <w:rsid w:val="006075E5"/>
    <w:rsid w:val="006113BE"/>
    <w:rsid w:val="00611A9E"/>
    <w:rsid w:val="00611FCE"/>
    <w:rsid w:val="00612A2B"/>
    <w:rsid w:val="00613305"/>
    <w:rsid w:val="006137DA"/>
    <w:rsid w:val="00615D18"/>
    <w:rsid w:val="00616CBA"/>
    <w:rsid w:val="006207E3"/>
    <w:rsid w:val="00620B9A"/>
    <w:rsid w:val="006232F9"/>
    <w:rsid w:val="006241E0"/>
    <w:rsid w:val="00624FAE"/>
    <w:rsid w:val="00625994"/>
    <w:rsid w:val="006275ED"/>
    <w:rsid w:val="00627CE7"/>
    <w:rsid w:val="00631872"/>
    <w:rsid w:val="006328C7"/>
    <w:rsid w:val="0063472C"/>
    <w:rsid w:val="00634886"/>
    <w:rsid w:val="00634B23"/>
    <w:rsid w:val="00634B3A"/>
    <w:rsid w:val="006363AB"/>
    <w:rsid w:val="006369B8"/>
    <w:rsid w:val="006372BB"/>
    <w:rsid w:val="00640079"/>
    <w:rsid w:val="006405ED"/>
    <w:rsid w:val="00640BC8"/>
    <w:rsid w:val="006410FB"/>
    <w:rsid w:val="00641F43"/>
    <w:rsid w:val="00642171"/>
    <w:rsid w:val="00643DEB"/>
    <w:rsid w:val="00644CBB"/>
    <w:rsid w:val="00645670"/>
    <w:rsid w:val="00645827"/>
    <w:rsid w:val="00650042"/>
    <w:rsid w:val="0065034B"/>
    <w:rsid w:val="006504BF"/>
    <w:rsid w:val="0065203C"/>
    <w:rsid w:val="00653560"/>
    <w:rsid w:val="006535DB"/>
    <w:rsid w:val="00654342"/>
    <w:rsid w:val="00654D95"/>
    <w:rsid w:val="00654FE7"/>
    <w:rsid w:val="00655B78"/>
    <w:rsid w:val="00656B40"/>
    <w:rsid w:val="00657A51"/>
    <w:rsid w:val="00657A61"/>
    <w:rsid w:val="00660781"/>
    <w:rsid w:val="00662805"/>
    <w:rsid w:val="006633CA"/>
    <w:rsid w:val="006644A1"/>
    <w:rsid w:val="006706DE"/>
    <w:rsid w:val="0067095A"/>
    <w:rsid w:val="00674905"/>
    <w:rsid w:val="00675257"/>
    <w:rsid w:val="00675347"/>
    <w:rsid w:val="006755AC"/>
    <w:rsid w:val="006769A5"/>
    <w:rsid w:val="00680C91"/>
    <w:rsid w:val="0068126F"/>
    <w:rsid w:val="00681E1B"/>
    <w:rsid w:val="0068307A"/>
    <w:rsid w:val="006830D0"/>
    <w:rsid w:val="006856D7"/>
    <w:rsid w:val="00685922"/>
    <w:rsid w:val="00686073"/>
    <w:rsid w:val="006861DC"/>
    <w:rsid w:val="00686353"/>
    <w:rsid w:val="00686CFA"/>
    <w:rsid w:val="00693260"/>
    <w:rsid w:val="00693BF4"/>
    <w:rsid w:val="0069621D"/>
    <w:rsid w:val="0069678B"/>
    <w:rsid w:val="00696885"/>
    <w:rsid w:val="00696A2C"/>
    <w:rsid w:val="006979DA"/>
    <w:rsid w:val="00697B97"/>
    <w:rsid w:val="00697BE3"/>
    <w:rsid w:val="00697C5C"/>
    <w:rsid w:val="00697FC6"/>
    <w:rsid w:val="006A0100"/>
    <w:rsid w:val="006A072A"/>
    <w:rsid w:val="006A2134"/>
    <w:rsid w:val="006A24FB"/>
    <w:rsid w:val="006A31EC"/>
    <w:rsid w:val="006A452A"/>
    <w:rsid w:val="006A5C15"/>
    <w:rsid w:val="006A5D00"/>
    <w:rsid w:val="006A6FD4"/>
    <w:rsid w:val="006B2A68"/>
    <w:rsid w:val="006B452F"/>
    <w:rsid w:val="006B480D"/>
    <w:rsid w:val="006B536B"/>
    <w:rsid w:val="006B7342"/>
    <w:rsid w:val="006C0904"/>
    <w:rsid w:val="006C1AC6"/>
    <w:rsid w:val="006C234A"/>
    <w:rsid w:val="006C6172"/>
    <w:rsid w:val="006C65E6"/>
    <w:rsid w:val="006C7B52"/>
    <w:rsid w:val="006D05D4"/>
    <w:rsid w:val="006D0A37"/>
    <w:rsid w:val="006D0AD2"/>
    <w:rsid w:val="006D3A10"/>
    <w:rsid w:val="006D3F6F"/>
    <w:rsid w:val="006D4AC1"/>
    <w:rsid w:val="006D7DF7"/>
    <w:rsid w:val="006E0B2A"/>
    <w:rsid w:val="006E167E"/>
    <w:rsid w:val="006E2C15"/>
    <w:rsid w:val="006E2C27"/>
    <w:rsid w:val="006E4358"/>
    <w:rsid w:val="006E49EF"/>
    <w:rsid w:val="006F02EF"/>
    <w:rsid w:val="006F109D"/>
    <w:rsid w:val="006F1B74"/>
    <w:rsid w:val="006F2015"/>
    <w:rsid w:val="006F2FA5"/>
    <w:rsid w:val="006F43B7"/>
    <w:rsid w:val="006F4600"/>
    <w:rsid w:val="006F49E3"/>
    <w:rsid w:val="006F5D6D"/>
    <w:rsid w:val="006F6C4C"/>
    <w:rsid w:val="006F7376"/>
    <w:rsid w:val="006F7C8B"/>
    <w:rsid w:val="00700DB1"/>
    <w:rsid w:val="00700E54"/>
    <w:rsid w:val="0070191D"/>
    <w:rsid w:val="00702B63"/>
    <w:rsid w:val="00703B8D"/>
    <w:rsid w:val="00706953"/>
    <w:rsid w:val="007100EF"/>
    <w:rsid w:val="007108C9"/>
    <w:rsid w:val="00711D53"/>
    <w:rsid w:val="007140BB"/>
    <w:rsid w:val="007155DA"/>
    <w:rsid w:val="00715C10"/>
    <w:rsid w:val="00720C70"/>
    <w:rsid w:val="00725734"/>
    <w:rsid w:val="00725B77"/>
    <w:rsid w:val="00725C47"/>
    <w:rsid w:val="0072668F"/>
    <w:rsid w:val="00727F89"/>
    <w:rsid w:val="00731458"/>
    <w:rsid w:val="007318D3"/>
    <w:rsid w:val="0073193B"/>
    <w:rsid w:val="00734320"/>
    <w:rsid w:val="00736F1C"/>
    <w:rsid w:val="00742856"/>
    <w:rsid w:val="007432EA"/>
    <w:rsid w:val="007440A5"/>
    <w:rsid w:val="00744CB4"/>
    <w:rsid w:val="007452B1"/>
    <w:rsid w:val="0074713B"/>
    <w:rsid w:val="00747A28"/>
    <w:rsid w:val="00750F87"/>
    <w:rsid w:val="00751111"/>
    <w:rsid w:val="00753346"/>
    <w:rsid w:val="007541C4"/>
    <w:rsid w:val="00755BC6"/>
    <w:rsid w:val="00755F46"/>
    <w:rsid w:val="007567DB"/>
    <w:rsid w:val="00757ABC"/>
    <w:rsid w:val="00757EC8"/>
    <w:rsid w:val="007611C5"/>
    <w:rsid w:val="00763E18"/>
    <w:rsid w:val="00765105"/>
    <w:rsid w:val="0076541D"/>
    <w:rsid w:val="007655DF"/>
    <w:rsid w:val="00765928"/>
    <w:rsid w:val="00766334"/>
    <w:rsid w:val="00767269"/>
    <w:rsid w:val="00767C64"/>
    <w:rsid w:val="00767FEE"/>
    <w:rsid w:val="007704E8"/>
    <w:rsid w:val="007709D4"/>
    <w:rsid w:val="00770A3D"/>
    <w:rsid w:val="00770C54"/>
    <w:rsid w:val="007718BC"/>
    <w:rsid w:val="007725F3"/>
    <w:rsid w:val="007736E2"/>
    <w:rsid w:val="00773FCD"/>
    <w:rsid w:val="00777114"/>
    <w:rsid w:val="00777F11"/>
    <w:rsid w:val="00780809"/>
    <w:rsid w:val="00780932"/>
    <w:rsid w:val="00780B86"/>
    <w:rsid w:val="0078174B"/>
    <w:rsid w:val="007817CF"/>
    <w:rsid w:val="00783137"/>
    <w:rsid w:val="00783F5E"/>
    <w:rsid w:val="00784067"/>
    <w:rsid w:val="00784168"/>
    <w:rsid w:val="00784BBF"/>
    <w:rsid w:val="00784CB7"/>
    <w:rsid w:val="0078564E"/>
    <w:rsid w:val="00786A28"/>
    <w:rsid w:val="00787420"/>
    <w:rsid w:val="007905F9"/>
    <w:rsid w:val="00790C38"/>
    <w:rsid w:val="00790F86"/>
    <w:rsid w:val="007911F0"/>
    <w:rsid w:val="00791A80"/>
    <w:rsid w:val="00791D5C"/>
    <w:rsid w:val="00792CFF"/>
    <w:rsid w:val="007931D6"/>
    <w:rsid w:val="00793FCB"/>
    <w:rsid w:val="00794596"/>
    <w:rsid w:val="00795A44"/>
    <w:rsid w:val="007961BE"/>
    <w:rsid w:val="00796E91"/>
    <w:rsid w:val="007A249D"/>
    <w:rsid w:val="007A3033"/>
    <w:rsid w:val="007A3DCB"/>
    <w:rsid w:val="007A40D2"/>
    <w:rsid w:val="007A4AAA"/>
    <w:rsid w:val="007A62B4"/>
    <w:rsid w:val="007A65E0"/>
    <w:rsid w:val="007A795C"/>
    <w:rsid w:val="007A7C25"/>
    <w:rsid w:val="007B1589"/>
    <w:rsid w:val="007B15E6"/>
    <w:rsid w:val="007B257E"/>
    <w:rsid w:val="007B3D91"/>
    <w:rsid w:val="007B4234"/>
    <w:rsid w:val="007B4726"/>
    <w:rsid w:val="007B570C"/>
    <w:rsid w:val="007B5DEE"/>
    <w:rsid w:val="007B608A"/>
    <w:rsid w:val="007B6888"/>
    <w:rsid w:val="007B75F5"/>
    <w:rsid w:val="007B7878"/>
    <w:rsid w:val="007B7D80"/>
    <w:rsid w:val="007C2672"/>
    <w:rsid w:val="007C2FDB"/>
    <w:rsid w:val="007C4828"/>
    <w:rsid w:val="007C6C84"/>
    <w:rsid w:val="007C7F2F"/>
    <w:rsid w:val="007D09FA"/>
    <w:rsid w:val="007D0F9D"/>
    <w:rsid w:val="007D1141"/>
    <w:rsid w:val="007D15BE"/>
    <w:rsid w:val="007D2275"/>
    <w:rsid w:val="007D2683"/>
    <w:rsid w:val="007D68C5"/>
    <w:rsid w:val="007D6AFF"/>
    <w:rsid w:val="007E048F"/>
    <w:rsid w:val="007E1123"/>
    <w:rsid w:val="007E152C"/>
    <w:rsid w:val="007E35D9"/>
    <w:rsid w:val="007E411E"/>
    <w:rsid w:val="007E43AF"/>
    <w:rsid w:val="007E4461"/>
    <w:rsid w:val="007E6996"/>
    <w:rsid w:val="007F1E10"/>
    <w:rsid w:val="007F2654"/>
    <w:rsid w:val="007F2B25"/>
    <w:rsid w:val="007F2B43"/>
    <w:rsid w:val="007F30D1"/>
    <w:rsid w:val="007F325B"/>
    <w:rsid w:val="007F33C7"/>
    <w:rsid w:val="007F3AD7"/>
    <w:rsid w:val="007F3E0E"/>
    <w:rsid w:val="007F3F93"/>
    <w:rsid w:val="007F43EB"/>
    <w:rsid w:val="007F4611"/>
    <w:rsid w:val="007F4993"/>
    <w:rsid w:val="007F4AB1"/>
    <w:rsid w:val="007F60B3"/>
    <w:rsid w:val="00800A70"/>
    <w:rsid w:val="00802787"/>
    <w:rsid w:val="00804065"/>
    <w:rsid w:val="00807A56"/>
    <w:rsid w:val="0081055F"/>
    <w:rsid w:val="00811C6D"/>
    <w:rsid w:val="00813B10"/>
    <w:rsid w:val="00814B99"/>
    <w:rsid w:val="00815A48"/>
    <w:rsid w:val="00815D28"/>
    <w:rsid w:val="00816145"/>
    <w:rsid w:val="008163CE"/>
    <w:rsid w:val="00816477"/>
    <w:rsid w:val="0081676C"/>
    <w:rsid w:val="00817187"/>
    <w:rsid w:val="008173A9"/>
    <w:rsid w:val="008201C6"/>
    <w:rsid w:val="008208AB"/>
    <w:rsid w:val="00820D86"/>
    <w:rsid w:val="00821424"/>
    <w:rsid w:val="00823727"/>
    <w:rsid w:val="00824F5F"/>
    <w:rsid w:val="008264A9"/>
    <w:rsid w:val="008267DD"/>
    <w:rsid w:val="008278BA"/>
    <w:rsid w:val="00830F80"/>
    <w:rsid w:val="0083161B"/>
    <w:rsid w:val="00832AE4"/>
    <w:rsid w:val="00833EC1"/>
    <w:rsid w:val="00834F01"/>
    <w:rsid w:val="008358F9"/>
    <w:rsid w:val="00835D3F"/>
    <w:rsid w:val="00840E23"/>
    <w:rsid w:val="008422CA"/>
    <w:rsid w:val="00843767"/>
    <w:rsid w:val="008442A7"/>
    <w:rsid w:val="008462FE"/>
    <w:rsid w:val="00846348"/>
    <w:rsid w:val="00846F50"/>
    <w:rsid w:val="00847B5A"/>
    <w:rsid w:val="00851833"/>
    <w:rsid w:val="00851E67"/>
    <w:rsid w:val="00852A8D"/>
    <w:rsid w:val="008530EC"/>
    <w:rsid w:val="00853380"/>
    <w:rsid w:val="00855206"/>
    <w:rsid w:val="00856976"/>
    <w:rsid w:val="00857507"/>
    <w:rsid w:val="00857745"/>
    <w:rsid w:val="00861B6A"/>
    <w:rsid w:val="00861E5A"/>
    <w:rsid w:val="00863C03"/>
    <w:rsid w:val="00863F27"/>
    <w:rsid w:val="00864660"/>
    <w:rsid w:val="00864E4A"/>
    <w:rsid w:val="008661E1"/>
    <w:rsid w:val="00866E12"/>
    <w:rsid w:val="00870F3F"/>
    <w:rsid w:val="00876784"/>
    <w:rsid w:val="00877064"/>
    <w:rsid w:val="00880523"/>
    <w:rsid w:val="008807F6"/>
    <w:rsid w:val="00881F48"/>
    <w:rsid w:val="0088251C"/>
    <w:rsid w:val="00885AFB"/>
    <w:rsid w:val="008865C9"/>
    <w:rsid w:val="00890122"/>
    <w:rsid w:val="0089018A"/>
    <w:rsid w:val="008906BA"/>
    <w:rsid w:val="00892F50"/>
    <w:rsid w:val="008953A9"/>
    <w:rsid w:val="00895F44"/>
    <w:rsid w:val="008A0152"/>
    <w:rsid w:val="008A038B"/>
    <w:rsid w:val="008A3182"/>
    <w:rsid w:val="008A50E3"/>
    <w:rsid w:val="008A5683"/>
    <w:rsid w:val="008A6F86"/>
    <w:rsid w:val="008A72B2"/>
    <w:rsid w:val="008A7CCA"/>
    <w:rsid w:val="008B31C9"/>
    <w:rsid w:val="008B36F2"/>
    <w:rsid w:val="008B43DE"/>
    <w:rsid w:val="008B54F7"/>
    <w:rsid w:val="008B5BB1"/>
    <w:rsid w:val="008B6A22"/>
    <w:rsid w:val="008B6B6F"/>
    <w:rsid w:val="008B6C31"/>
    <w:rsid w:val="008C0143"/>
    <w:rsid w:val="008C098B"/>
    <w:rsid w:val="008C29AF"/>
    <w:rsid w:val="008C50A1"/>
    <w:rsid w:val="008C5757"/>
    <w:rsid w:val="008C652A"/>
    <w:rsid w:val="008D0059"/>
    <w:rsid w:val="008D0A29"/>
    <w:rsid w:val="008D13FC"/>
    <w:rsid w:val="008D5244"/>
    <w:rsid w:val="008D5CE5"/>
    <w:rsid w:val="008D7187"/>
    <w:rsid w:val="008E1AE9"/>
    <w:rsid w:val="008E1EF0"/>
    <w:rsid w:val="008E229B"/>
    <w:rsid w:val="008E7128"/>
    <w:rsid w:val="008E77A4"/>
    <w:rsid w:val="008E7C4B"/>
    <w:rsid w:val="008E7CAF"/>
    <w:rsid w:val="008F10F6"/>
    <w:rsid w:val="008F240D"/>
    <w:rsid w:val="008F25F8"/>
    <w:rsid w:val="008F28A5"/>
    <w:rsid w:val="008F41EB"/>
    <w:rsid w:val="008F4239"/>
    <w:rsid w:val="008F438E"/>
    <w:rsid w:val="008F5910"/>
    <w:rsid w:val="008F773D"/>
    <w:rsid w:val="008F7BBC"/>
    <w:rsid w:val="00900AC2"/>
    <w:rsid w:val="009018A2"/>
    <w:rsid w:val="00902255"/>
    <w:rsid w:val="0090227B"/>
    <w:rsid w:val="0090544D"/>
    <w:rsid w:val="009061B0"/>
    <w:rsid w:val="00912032"/>
    <w:rsid w:val="009139F7"/>
    <w:rsid w:val="00913D1A"/>
    <w:rsid w:val="00914A02"/>
    <w:rsid w:val="0091506D"/>
    <w:rsid w:val="00915F8E"/>
    <w:rsid w:val="00916805"/>
    <w:rsid w:val="00920257"/>
    <w:rsid w:val="0092080C"/>
    <w:rsid w:val="009210DC"/>
    <w:rsid w:val="00921460"/>
    <w:rsid w:val="00921AAA"/>
    <w:rsid w:val="009223AA"/>
    <w:rsid w:val="00922E69"/>
    <w:rsid w:val="00925644"/>
    <w:rsid w:val="00925A88"/>
    <w:rsid w:val="0092686E"/>
    <w:rsid w:val="009304AB"/>
    <w:rsid w:val="009306FF"/>
    <w:rsid w:val="00932047"/>
    <w:rsid w:val="0093297F"/>
    <w:rsid w:val="009337C9"/>
    <w:rsid w:val="00933F17"/>
    <w:rsid w:val="00934129"/>
    <w:rsid w:val="00936594"/>
    <w:rsid w:val="009412FD"/>
    <w:rsid w:val="009417B6"/>
    <w:rsid w:val="00941BE6"/>
    <w:rsid w:val="0094204F"/>
    <w:rsid w:val="00950C81"/>
    <w:rsid w:val="0095295E"/>
    <w:rsid w:val="00952ED2"/>
    <w:rsid w:val="009549F5"/>
    <w:rsid w:val="00954AEA"/>
    <w:rsid w:val="00956031"/>
    <w:rsid w:val="00956C7B"/>
    <w:rsid w:val="00956E18"/>
    <w:rsid w:val="00957897"/>
    <w:rsid w:val="00960330"/>
    <w:rsid w:val="009607A9"/>
    <w:rsid w:val="00961BE5"/>
    <w:rsid w:val="00961D3C"/>
    <w:rsid w:val="00962C25"/>
    <w:rsid w:val="00963847"/>
    <w:rsid w:val="00963E2F"/>
    <w:rsid w:val="0096453C"/>
    <w:rsid w:val="00964963"/>
    <w:rsid w:val="00964BBC"/>
    <w:rsid w:val="00967206"/>
    <w:rsid w:val="00970189"/>
    <w:rsid w:val="009704F2"/>
    <w:rsid w:val="00971343"/>
    <w:rsid w:val="009715BA"/>
    <w:rsid w:val="00971EA4"/>
    <w:rsid w:val="009726D6"/>
    <w:rsid w:val="0097297E"/>
    <w:rsid w:val="00973AD1"/>
    <w:rsid w:val="00973D49"/>
    <w:rsid w:val="00976AAC"/>
    <w:rsid w:val="00976C40"/>
    <w:rsid w:val="0097772B"/>
    <w:rsid w:val="00980354"/>
    <w:rsid w:val="00980DF0"/>
    <w:rsid w:val="009837C2"/>
    <w:rsid w:val="00985253"/>
    <w:rsid w:val="009872ED"/>
    <w:rsid w:val="00990C16"/>
    <w:rsid w:val="00993ED1"/>
    <w:rsid w:val="00994E6B"/>
    <w:rsid w:val="009966A8"/>
    <w:rsid w:val="0099750F"/>
    <w:rsid w:val="00997CCB"/>
    <w:rsid w:val="009A0358"/>
    <w:rsid w:val="009A0410"/>
    <w:rsid w:val="009A0556"/>
    <w:rsid w:val="009A06F3"/>
    <w:rsid w:val="009A07B2"/>
    <w:rsid w:val="009A1B2D"/>
    <w:rsid w:val="009A1F2C"/>
    <w:rsid w:val="009A273F"/>
    <w:rsid w:val="009A408C"/>
    <w:rsid w:val="009A4D27"/>
    <w:rsid w:val="009A5049"/>
    <w:rsid w:val="009A6B17"/>
    <w:rsid w:val="009A7319"/>
    <w:rsid w:val="009A7AC5"/>
    <w:rsid w:val="009A7C66"/>
    <w:rsid w:val="009B1520"/>
    <w:rsid w:val="009B1599"/>
    <w:rsid w:val="009B29D0"/>
    <w:rsid w:val="009B2C40"/>
    <w:rsid w:val="009B3E58"/>
    <w:rsid w:val="009B4541"/>
    <w:rsid w:val="009B54F4"/>
    <w:rsid w:val="009B5CE1"/>
    <w:rsid w:val="009B5E9E"/>
    <w:rsid w:val="009B5FB2"/>
    <w:rsid w:val="009B60FF"/>
    <w:rsid w:val="009B67BC"/>
    <w:rsid w:val="009B68D7"/>
    <w:rsid w:val="009B6E74"/>
    <w:rsid w:val="009B7654"/>
    <w:rsid w:val="009C07F6"/>
    <w:rsid w:val="009C1014"/>
    <w:rsid w:val="009C201E"/>
    <w:rsid w:val="009C22C2"/>
    <w:rsid w:val="009C2A80"/>
    <w:rsid w:val="009C2B8D"/>
    <w:rsid w:val="009C33A4"/>
    <w:rsid w:val="009C662A"/>
    <w:rsid w:val="009C7EE1"/>
    <w:rsid w:val="009D1335"/>
    <w:rsid w:val="009D17A8"/>
    <w:rsid w:val="009D1E7C"/>
    <w:rsid w:val="009D20AE"/>
    <w:rsid w:val="009D229A"/>
    <w:rsid w:val="009D5C22"/>
    <w:rsid w:val="009D718B"/>
    <w:rsid w:val="009E019F"/>
    <w:rsid w:val="009E1590"/>
    <w:rsid w:val="009E1C37"/>
    <w:rsid w:val="009E2DA4"/>
    <w:rsid w:val="009E2EBC"/>
    <w:rsid w:val="009E5021"/>
    <w:rsid w:val="009E5BEA"/>
    <w:rsid w:val="009E6A18"/>
    <w:rsid w:val="009F098E"/>
    <w:rsid w:val="009F09C7"/>
    <w:rsid w:val="009F2204"/>
    <w:rsid w:val="009F2482"/>
    <w:rsid w:val="009F286F"/>
    <w:rsid w:val="009F3D06"/>
    <w:rsid w:val="009F523F"/>
    <w:rsid w:val="009F6FC5"/>
    <w:rsid w:val="009F7C6F"/>
    <w:rsid w:val="00A023B6"/>
    <w:rsid w:val="00A0367C"/>
    <w:rsid w:val="00A0473F"/>
    <w:rsid w:val="00A0490D"/>
    <w:rsid w:val="00A054EC"/>
    <w:rsid w:val="00A06D44"/>
    <w:rsid w:val="00A070EF"/>
    <w:rsid w:val="00A07CE4"/>
    <w:rsid w:val="00A105D0"/>
    <w:rsid w:val="00A11B2D"/>
    <w:rsid w:val="00A12A01"/>
    <w:rsid w:val="00A12A22"/>
    <w:rsid w:val="00A136F1"/>
    <w:rsid w:val="00A1398D"/>
    <w:rsid w:val="00A1455D"/>
    <w:rsid w:val="00A1518E"/>
    <w:rsid w:val="00A153C6"/>
    <w:rsid w:val="00A162F9"/>
    <w:rsid w:val="00A16BDE"/>
    <w:rsid w:val="00A16D7E"/>
    <w:rsid w:val="00A178E7"/>
    <w:rsid w:val="00A21816"/>
    <w:rsid w:val="00A23FF8"/>
    <w:rsid w:val="00A27785"/>
    <w:rsid w:val="00A27B34"/>
    <w:rsid w:val="00A308DA"/>
    <w:rsid w:val="00A32118"/>
    <w:rsid w:val="00A33A4B"/>
    <w:rsid w:val="00A33D27"/>
    <w:rsid w:val="00A3683E"/>
    <w:rsid w:val="00A36B31"/>
    <w:rsid w:val="00A37A87"/>
    <w:rsid w:val="00A40BFE"/>
    <w:rsid w:val="00A412ED"/>
    <w:rsid w:val="00A413C5"/>
    <w:rsid w:val="00A43F88"/>
    <w:rsid w:val="00A44E23"/>
    <w:rsid w:val="00A44EC4"/>
    <w:rsid w:val="00A46007"/>
    <w:rsid w:val="00A470E4"/>
    <w:rsid w:val="00A526DD"/>
    <w:rsid w:val="00A529AA"/>
    <w:rsid w:val="00A53BFE"/>
    <w:rsid w:val="00A552BA"/>
    <w:rsid w:val="00A55656"/>
    <w:rsid w:val="00A56D8A"/>
    <w:rsid w:val="00A57512"/>
    <w:rsid w:val="00A60076"/>
    <w:rsid w:val="00A61D1C"/>
    <w:rsid w:val="00A61F54"/>
    <w:rsid w:val="00A62325"/>
    <w:rsid w:val="00A64ADA"/>
    <w:rsid w:val="00A65EAD"/>
    <w:rsid w:val="00A662C3"/>
    <w:rsid w:val="00A67481"/>
    <w:rsid w:val="00A704F9"/>
    <w:rsid w:val="00A70911"/>
    <w:rsid w:val="00A7367B"/>
    <w:rsid w:val="00A756E6"/>
    <w:rsid w:val="00A7657F"/>
    <w:rsid w:val="00A800C3"/>
    <w:rsid w:val="00A815DC"/>
    <w:rsid w:val="00A81909"/>
    <w:rsid w:val="00A8292A"/>
    <w:rsid w:val="00A83C2D"/>
    <w:rsid w:val="00A84576"/>
    <w:rsid w:val="00A85698"/>
    <w:rsid w:val="00A86022"/>
    <w:rsid w:val="00A87677"/>
    <w:rsid w:val="00A917FB"/>
    <w:rsid w:val="00A9274E"/>
    <w:rsid w:val="00A92A62"/>
    <w:rsid w:val="00A949F9"/>
    <w:rsid w:val="00A94AD7"/>
    <w:rsid w:val="00A96180"/>
    <w:rsid w:val="00A9682B"/>
    <w:rsid w:val="00A96E3C"/>
    <w:rsid w:val="00A971E0"/>
    <w:rsid w:val="00AA0236"/>
    <w:rsid w:val="00AA2EC0"/>
    <w:rsid w:val="00AA5232"/>
    <w:rsid w:val="00AA66DE"/>
    <w:rsid w:val="00AA79E2"/>
    <w:rsid w:val="00AB1C87"/>
    <w:rsid w:val="00AB2554"/>
    <w:rsid w:val="00AB4CF7"/>
    <w:rsid w:val="00AB57F7"/>
    <w:rsid w:val="00AB68E8"/>
    <w:rsid w:val="00AC1581"/>
    <w:rsid w:val="00AC2D6F"/>
    <w:rsid w:val="00AC3244"/>
    <w:rsid w:val="00AC4AFB"/>
    <w:rsid w:val="00AC510F"/>
    <w:rsid w:val="00AC75C1"/>
    <w:rsid w:val="00AD0077"/>
    <w:rsid w:val="00AD01FC"/>
    <w:rsid w:val="00AD1CED"/>
    <w:rsid w:val="00AD239D"/>
    <w:rsid w:val="00AD3535"/>
    <w:rsid w:val="00AD5031"/>
    <w:rsid w:val="00AD6162"/>
    <w:rsid w:val="00AD7B5D"/>
    <w:rsid w:val="00AE0065"/>
    <w:rsid w:val="00AE09DB"/>
    <w:rsid w:val="00AE0F66"/>
    <w:rsid w:val="00AE259E"/>
    <w:rsid w:val="00AE3F8B"/>
    <w:rsid w:val="00AE432D"/>
    <w:rsid w:val="00AE493B"/>
    <w:rsid w:val="00AE58B5"/>
    <w:rsid w:val="00AE5D11"/>
    <w:rsid w:val="00AE5FB8"/>
    <w:rsid w:val="00AF01E3"/>
    <w:rsid w:val="00AF0943"/>
    <w:rsid w:val="00AF1555"/>
    <w:rsid w:val="00AF2B23"/>
    <w:rsid w:val="00AF3A84"/>
    <w:rsid w:val="00AF45B3"/>
    <w:rsid w:val="00AF564C"/>
    <w:rsid w:val="00AF7368"/>
    <w:rsid w:val="00AF7A26"/>
    <w:rsid w:val="00B00E1F"/>
    <w:rsid w:val="00B00E95"/>
    <w:rsid w:val="00B010E9"/>
    <w:rsid w:val="00B010EE"/>
    <w:rsid w:val="00B02105"/>
    <w:rsid w:val="00B02A97"/>
    <w:rsid w:val="00B034E8"/>
    <w:rsid w:val="00B036F4"/>
    <w:rsid w:val="00B03DD7"/>
    <w:rsid w:val="00B04323"/>
    <w:rsid w:val="00B044BD"/>
    <w:rsid w:val="00B0510A"/>
    <w:rsid w:val="00B06F86"/>
    <w:rsid w:val="00B077BB"/>
    <w:rsid w:val="00B1045B"/>
    <w:rsid w:val="00B111A9"/>
    <w:rsid w:val="00B11237"/>
    <w:rsid w:val="00B117C0"/>
    <w:rsid w:val="00B11C01"/>
    <w:rsid w:val="00B120A5"/>
    <w:rsid w:val="00B1445F"/>
    <w:rsid w:val="00B14BD1"/>
    <w:rsid w:val="00B15288"/>
    <w:rsid w:val="00B17650"/>
    <w:rsid w:val="00B17B2E"/>
    <w:rsid w:val="00B20115"/>
    <w:rsid w:val="00B21935"/>
    <w:rsid w:val="00B219B0"/>
    <w:rsid w:val="00B22C02"/>
    <w:rsid w:val="00B24595"/>
    <w:rsid w:val="00B246FF"/>
    <w:rsid w:val="00B2514A"/>
    <w:rsid w:val="00B25DBC"/>
    <w:rsid w:val="00B269F0"/>
    <w:rsid w:val="00B302CC"/>
    <w:rsid w:val="00B316A4"/>
    <w:rsid w:val="00B3283C"/>
    <w:rsid w:val="00B33F3D"/>
    <w:rsid w:val="00B3476C"/>
    <w:rsid w:val="00B34863"/>
    <w:rsid w:val="00B3495F"/>
    <w:rsid w:val="00B34D9B"/>
    <w:rsid w:val="00B35662"/>
    <w:rsid w:val="00B3609B"/>
    <w:rsid w:val="00B366E4"/>
    <w:rsid w:val="00B36A2D"/>
    <w:rsid w:val="00B40240"/>
    <w:rsid w:val="00B41B5D"/>
    <w:rsid w:val="00B41F02"/>
    <w:rsid w:val="00B43EF4"/>
    <w:rsid w:val="00B44763"/>
    <w:rsid w:val="00B44CF3"/>
    <w:rsid w:val="00B44D0E"/>
    <w:rsid w:val="00B46830"/>
    <w:rsid w:val="00B46AEA"/>
    <w:rsid w:val="00B46FB1"/>
    <w:rsid w:val="00B52A91"/>
    <w:rsid w:val="00B53012"/>
    <w:rsid w:val="00B531DD"/>
    <w:rsid w:val="00B53BF2"/>
    <w:rsid w:val="00B543A1"/>
    <w:rsid w:val="00B54431"/>
    <w:rsid w:val="00B55168"/>
    <w:rsid w:val="00B56450"/>
    <w:rsid w:val="00B56C03"/>
    <w:rsid w:val="00B6248A"/>
    <w:rsid w:val="00B64E57"/>
    <w:rsid w:val="00B662CB"/>
    <w:rsid w:val="00B66C9D"/>
    <w:rsid w:val="00B66F12"/>
    <w:rsid w:val="00B6765C"/>
    <w:rsid w:val="00B67C17"/>
    <w:rsid w:val="00B703E1"/>
    <w:rsid w:val="00B70BFF"/>
    <w:rsid w:val="00B70C52"/>
    <w:rsid w:val="00B7111A"/>
    <w:rsid w:val="00B72585"/>
    <w:rsid w:val="00B74247"/>
    <w:rsid w:val="00B743A7"/>
    <w:rsid w:val="00B747C7"/>
    <w:rsid w:val="00B755EE"/>
    <w:rsid w:val="00B81118"/>
    <w:rsid w:val="00B81AF9"/>
    <w:rsid w:val="00B81C5A"/>
    <w:rsid w:val="00B8342B"/>
    <w:rsid w:val="00B840FF"/>
    <w:rsid w:val="00B8528B"/>
    <w:rsid w:val="00B85C7E"/>
    <w:rsid w:val="00B860BF"/>
    <w:rsid w:val="00B8641F"/>
    <w:rsid w:val="00B86F82"/>
    <w:rsid w:val="00B87822"/>
    <w:rsid w:val="00B902AD"/>
    <w:rsid w:val="00B9104E"/>
    <w:rsid w:val="00B922FA"/>
    <w:rsid w:val="00B92F4B"/>
    <w:rsid w:val="00B93102"/>
    <w:rsid w:val="00B947D5"/>
    <w:rsid w:val="00B94D38"/>
    <w:rsid w:val="00B95506"/>
    <w:rsid w:val="00B96405"/>
    <w:rsid w:val="00B967CA"/>
    <w:rsid w:val="00B96F8F"/>
    <w:rsid w:val="00B97F10"/>
    <w:rsid w:val="00BA0E86"/>
    <w:rsid w:val="00BA10E0"/>
    <w:rsid w:val="00BA1F98"/>
    <w:rsid w:val="00BA37B1"/>
    <w:rsid w:val="00BA5205"/>
    <w:rsid w:val="00BA5708"/>
    <w:rsid w:val="00BA58ED"/>
    <w:rsid w:val="00BA5A6C"/>
    <w:rsid w:val="00BA5CA0"/>
    <w:rsid w:val="00BA6134"/>
    <w:rsid w:val="00BA621F"/>
    <w:rsid w:val="00BA7442"/>
    <w:rsid w:val="00BA79A5"/>
    <w:rsid w:val="00BA7B80"/>
    <w:rsid w:val="00BB0F67"/>
    <w:rsid w:val="00BB1950"/>
    <w:rsid w:val="00BB1DAF"/>
    <w:rsid w:val="00BB3CB9"/>
    <w:rsid w:val="00BB3D81"/>
    <w:rsid w:val="00BB60DF"/>
    <w:rsid w:val="00BB7126"/>
    <w:rsid w:val="00BB7687"/>
    <w:rsid w:val="00BC0091"/>
    <w:rsid w:val="00BC025C"/>
    <w:rsid w:val="00BC0995"/>
    <w:rsid w:val="00BC0C95"/>
    <w:rsid w:val="00BC0E7B"/>
    <w:rsid w:val="00BC26DF"/>
    <w:rsid w:val="00BC2753"/>
    <w:rsid w:val="00BC366E"/>
    <w:rsid w:val="00BC3866"/>
    <w:rsid w:val="00BC7565"/>
    <w:rsid w:val="00BD0174"/>
    <w:rsid w:val="00BD0B9B"/>
    <w:rsid w:val="00BD1613"/>
    <w:rsid w:val="00BD1916"/>
    <w:rsid w:val="00BD1A71"/>
    <w:rsid w:val="00BD2BEB"/>
    <w:rsid w:val="00BD3D84"/>
    <w:rsid w:val="00BD40AB"/>
    <w:rsid w:val="00BD4462"/>
    <w:rsid w:val="00BD56C1"/>
    <w:rsid w:val="00BD686B"/>
    <w:rsid w:val="00BD78D9"/>
    <w:rsid w:val="00BD7BD0"/>
    <w:rsid w:val="00BD7D4B"/>
    <w:rsid w:val="00BE086E"/>
    <w:rsid w:val="00BE3CD4"/>
    <w:rsid w:val="00BE5944"/>
    <w:rsid w:val="00BE5DAA"/>
    <w:rsid w:val="00BE6584"/>
    <w:rsid w:val="00BF0EFE"/>
    <w:rsid w:val="00BF17AB"/>
    <w:rsid w:val="00BF2122"/>
    <w:rsid w:val="00BF2BB9"/>
    <w:rsid w:val="00BF3778"/>
    <w:rsid w:val="00BF3FD8"/>
    <w:rsid w:val="00BF4320"/>
    <w:rsid w:val="00BF570D"/>
    <w:rsid w:val="00C00392"/>
    <w:rsid w:val="00C0100A"/>
    <w:rsid w:val="00C013E7"/>
    <w:rsid w:val="00C01610"/>
    <w:rsid w:val="00C01AC7"/>
    <w:rsid w:val="00C022AA"/>
    <w:rsid w:val="00C03DB0"/>
    <w:rsid w:val="00C03F21"/>
    <w:rsid w:val="00C044CE"/>
    <w:rsid w:val="00C04B32"/>
    <w:rsid w:val="00C05186"/>
    <w:rsid w:val="00C0633B"/>
    <w:rsid w:val="00C07584"/>
    <w:rsid w:val="00C10E5D"/>
    <w:rsid w:val="00C12DF9"/>
    <w:rsid w:val="00C14B11"/>
    <w:rsid w:val="00C166FE"/>
    <w:rsid w:val="00C20870"/>
    <w:rsid w:val="00C20DF2"/>
    <w:rsid w:val="00C218BB"/>
    <w:rsid w:val="00C221BD"/>
    <w:rsid w:val="00C22984"/>
    <w:rsid w:val="00C22E02"/>
    <w:rsid w:val="00C24F29"/>
    <w:rsid w:val="00C270CC"/>
    <w:rsid w:val="00C273AE"/>
    <w:rsid w:val="00C30D84"/>
    <w:rsid w:val="00C322A3"/>
    <w:rsid w:val="00C32DC8"/>
    <w:rsid w:val="00C333FC"/>
    <w:rsid w:val="00C344EC"/>
    <w:rsid w:val="00C3767A"/>
    <w:rsid w:val="00C40586"/>
    <w:rsid w:val="00C44C15"/>
    <w:rsid w:val="00C44E24"/>
    <w:rsid w:val="00C4725B"/>
    <w:rsid w:val="00C47AAD"/>
    <w:rsid w:val="00C47ADC"/>
    <w:rsid w:val="00C501D8"/>
    <w:rsid w:val="00C5028C"/>
    <w:rsid w:val="00C53C9F"/>
    <w:rsid w:val="00C55CC2"/>
    <w:rsid w:val="00C5624B"/>
    <w:rsid w:val="00C56A23"/>
    <w:rsid w:val="00C62BB6"/>
    <w:rsid w:val="00C63093"/>
    <w:rsid w:val="00C655BE"/>
    <w:rsid w:val="00C65988"/>
    <w:rsid w:val="00C6666E"/>
    <w:rsid w:val="00C66B89"/>
    <w:rsid w:val="00C6716F"/>
    <w:rsid w:val="00C6790F"/>
    <w:rsid w:val="00C67B8D"/>
    <w:rsid w:val="00C70F4C"/>
    <w:rsid w:val="00C71FB9"/>
    <w:rsid w:val="00C72215"/>
    <w:rsid w:val="00C73E28"/>
    <w:rsid w:val="00C75483"/>
    <w:rsid w:val="00C75DF4"/>
    <w:rsid w:val="00C76C7C"/>
    <w:rsid w:val="00C770F0"/>
    <w:rsid w:val="00C81286"/>
    <w:rsid w:val="00C81D72"/>
    <w:rsid w:val="00C86C7A"/>
    <w:rsid w:val="00C87B16"/>
    <w:rsid w:val="00C87D9B"/>
    <w:rsid w:val="00C87F40"/>
    <w:rsid w:val="00C90B9F"/>
    <w:rsid w:val="00C91E8D"/>
    <w:rsid w:val="00C92D3B"/>
    <w:rsid w:val="00C93B49"/>
    <w:rsid w:val="00C93B63"/>
    <w:rsid w:val="00C9403C"/>
    <w:rsid w:val="00C940A5"/>
    <w:rsid w:val="00C953D9"/>
    <w:rsid w:val="00C95E21"/>
    <w:rsid w:val="00C9665A"/>
    <w:rsid w:val="00C978CA"/>
    <w:rsid w:val="00C979B2"/>
    <w:rsid w:val="00CA078B"/>
    <w:rsid w:val="00CA09BD"/>
    <w:rsid w:val="00CA0A86"/>
    <w:rsid w:val="00CA15F6"/>
    <w:rsid w:val="00CA1829"/>
    <w:rsid w:val="00CA21B6"/>
    <w:rsid w:val="00CA26E9"/>
    <w:rsid w:val="00CA2B51"/>
    <w:rsid w:val="00CA3265"/>
    <w:rsid w:val="00CA342C"/>
    <w:rsid w:val="00CA38E6"/>
    <w:rsid w:val="00CA4A0A"/>
    <w:rsid w:val="00CA54F9"/>
    <w:rsid w:val="00CA56C6"/>
    <w:rsid w:val="00CA5BC2"/>
    <w:rsid w:val="00CA7000"/>
    <w:rsid w:val="00CB1E46"/>
    <w:rsid w:val="00CB20D4"/>
    <w:rsid w:val="00CB2B03"/>
    <w:rsid w:val="00CB3D91"/>
    <w:rsid w:val="00CB43C0"/>
    <w:rsid w:val="00CB540F"/>
    <w:rsid w:val="00CB65B1"/>
    <w:rsid w:val="00CB75E9"/>
    <w:rsid w:val="00CC1510"/>
    <w:rsid w:val="00CC52AD"/>
    <w:rsid w:val="00CC6918"/>
    <w:rsid w:val="00CC70E9"/>
    <w:rsid w:val="00CC725D"/>
    <w:rsid w:val="00CD3111"/>
    <w:rsid w:val="00CD4697"/>
    <w:rsid w:val="00CD4759"/>
    <w:rsid w:val="00CD4BF1"/>
    <w:rsid w:val="00CD516F"/>
    <w:rsid w:val="00CD56BB"/>
    <w:rsid w:val="00CD6F05"/>
    <w:rsid w:val="00CE151D"/>
    <w:rsid w:val="00CE3082"/>
    <w:rsid w:val="00CE571D"/>
    <w:rsid w:val="00CE6A34"/>
    <w:rsid w:val="00CE7F0E"/>
    <w:rsid w:val="00CF04DF"/>
    <w:rsid w:val="00CF0A13"/>
    <w:rsid w:val="00CF1C4B"/>
    <w:rsid w:val="00CF3B80"/>
    <w:rsid w:val="00CF59C3"/>
    <w:rsid w:val="00CF65F7"/>
    <w:rsid w:val="00CF74EF"/>
    <w:rsid w:val="00CF753F"/>
    <w:rsid w:val="00D00BDE"/>
    <w:rsid w:val="00D02515"/>
    <w:rsid w:val="00D0327B"/>
    <w:rsid w:val="00D03971"/>
    <w:rsid w:val="00D04527"/>
    <w:rsid w:val="00D04DB5"/>
    <w:rsid w:val="00D05A38"/>
    <w:rsid w:val="00D11C16"/>
    <w:rsid w:val="00D121A6"/>
    <w:rsid w:val="00D12323"/>
    <w:rsid w:val="00D125EE"/>
    <w:rsid w:val="00D1284D"/>
    <w:rsid w:val="00D129E8"/>
    <w:rsid w:val="00D12C3C"/>
    <w:rsid w:val="00D12FAC"/>
    <w:rsid w:val="00D14ABB"/>
    <w:rsid w:val="00D15A04"/>
    <w:rsid w:val="00D15F97"/>
    <w:rsid w:val="00D177BE"/>
    <w:rsid w:val="00D20288"/>
    <w:rsid w:val="00D21F3F"/>
    <w:rsid w:val="00D22D02"/>
    <w:rsid w:val="00D233A6"/>
    <w:rsid w:val="00D23A2C"/>
    <w:rsid w:val="00D242F2"/>
    <w:rsid w:val="00D2616B"/>
    <w:rsid w:val="00D30A4D"/>
    <w:rsid w:val="00D30BCC"/>
    <w:rsid w:val="00D31261"/>
    <w:rsid w:val="00D31D63"/>
    <w:rsid w:val="00D31FE6"/>
    <w:rsid w:val="00D3265B"/>
    <w:rsid w:val="00D3321D"/>
    <w:rsid w:val="00D33924"/>
    <w:rsid w:val="00D34133"/>
    <w:rsid w:val="00D34572"/>
    <w:rsid w:val="00D34BE8"/>
    <w:rsid w:val="00D352AC"/>
    <w:rsid w:val="00D357C8"/>
    <w:rsid w:val="00D36442"/>
    <w:rsid w:val="00D3783E"/>
    <w:rsid w:val="00D37C34"/>
    <w:rsid w:val="00D41169"/>
    <w:rsid w:val="00D4130A"/>
    <w:rsid w:val="00D41FA2"/>
    <w:rsid w:val="00D42EAB"/>
    <w:rsid w:val="00D43132"/>
    <w:rsid w:val="00D43A26"/>
    <w:rsid w:val="00D44780"/>
    <w:rsid w:val="00D45713"/>
    <w:rsid w:val="00D46EAD"/>
    <w:rsid w:val="00D5020E"/>
    <w:rsid w:val="00D53148"/>
    <w:rsid w:val="00D53C2A"/>
    <w:rsid w:val="00D53EA9"/>
    <w:rsid w:val="00D54629"/>
    <w:rsid w:val="00D546FE"/>
    <w:rsid w:val="00D54D97"/>
    <w:rsid w:val="00D55EC8"/>
    <w:rsid w:val="00D5617C"/>
    <w:rsid w:val="00D60C15"/>
    <w:rsid w:val="00D60DF1"/>
    <w:rsid w:val="00D6186E"/>
    <w:rsid w:val="00D61E01"/>
    <w:rsid w:val="00D6237F"/>
    <w:rsid w:val="00D62F18"/>
    <w:rsid w:val="00D63B1C"/>
    <w:rsid w:val="00D6522C"/>
    <w:rsid w:val="00D65811"/>
    <w:rsid w:val="00D664D8"/>
    <w:rsid w:val="00D721BE"/>
    <w:rsid w:val="00D7356E"/>
    <w:rsid w:val="00D73C70"/>
    <w:rsid w:val="00D7466D"/>
    <w:rsid w:val="00D75022"/>
    <w:rsid w:val="00D75550"/>
    <w:rsid w:val="00D7670F"/>
    <w:rsid w:val="00D76DCA"/>
    <w:rsid w:val="00D779DD"/>
    <w:rsid w:val="00D77A91"/>
    <w:rsid w:val="00D80125"/>
    <w:rsid w:val="00D8061F"/>
    <w:rsid w:val="00D817B2"/>
    <w:rsid w:val="00D82F3E"/>
    <w:rsid w:val="00D83414"/>
    <w:rsid w:val="00D842AF"/>
    <w:rsid w:val="00D8474A"/>
    <w:rsid w:val="00D84A36"/>
    <w:rsid w:val="00D84EB1"/>
    <w:rsid w:val="00D860CE"/>
    <w:rsid w:val="00D868E7"/>
    <w:rsid w:val="00D86EA1"/>
    <w:rsid w:val="00D86F82"/>
    <w:rsid w:val="00D873C2"/>
    <w:rsid w:val="00D90A24"/>
    <w:rsid w:val="00D90CCC"/>
    <w:rsid w:val="00D910E6"/>
    <w:rsid w:val="00D91EA8"/>
    <w:rsid w:val="00D92B37"/>
    <w:rsid w:val="00D96763"/>
    <w:rsid w:val="00DA14A4"/>
    <w:rsid w:val="00DA1779"/>
    <w:rsid w:val="00DA1D0C"/>
    <w:rsid w:val="00DA249D"/>
    <w:rsid w:val="00DA36E5"/>
    <w:rsid w:val="00DA4532"/>
    <w:rsid w:val="00DA538D"/>
    <w:rsid w:val="00DA59DB"/>
    <w:rsid w:val="00DA7191"/>
    <w:rsid w:val="00DA79D7"/>
    <w:rsid w:val="00DB0754"/>
    <w:rsid w:val="00DB1009"/>
    <w:rsid w:val="00DB123F"/>
    <w:rsid w:val="00DB127D"/>
    <w:rsid w:val="00DB18D2"/>
    <w:rsid w:val="00DB1F2E"/>
    <w:rsid w:val="00DB1F70"/>
    <w:rsid w:val="00DB228F"/>
    <w:rsid w:val="00DB28F8"/>
    <w:rsid w:val="00DB3374"/>
    <w:rsid w:val="00DB42F3"/>
    <w:rsid w:val="00DB5B40"/>
    <w:rsid w:val="00DB6138"/>
    <w:rsid w:val="00DB7441"/>
    <w:rsid w:val="00DB7C0B"/>
    <w:rsid w:val="00DC08B0"/>
    <w:rsid w:val="00DC22AC"/>
    <w:rsid w:val="00DC33F6"/>
    <w:rsid w:val="00DC52AE"/>
    <w:rsid w:val="00DD04B8"/>
    <w:rsid w:val="00DD2640"/>
    <w:rsid w:val="00DD2E26"/>
    <w:rsid w:val="00DD301D"/>
    <w:rsid w:val="00DD3FD7"/>
    <w:rsid w:val="00DD56B7"/>
    <w:rsid w:val="00DD61CD"/>
    <w:rsid w:val="00DD6281"/>
    <w:rsid w:val="00DD690B"/>
    <w:rsid w:val="00DD6997"/>
    <w:rsid w:val="00DD7A38"/>
    <w:rsid w:val="00DE166E"/>
    <w:rsid w:val="00DE51B5"/>
    <w:rsid w:val="00DE567D"/>
    <w:rsid w:val="00DE624B"/>
    <w:rsid w:val="00DE6EB0"/>
    <w:rsid w:val="00DF02E5"/>
    <w:rsid w:val="00DF2B56"/>
    <w:rsid w:val="00DF3E52"/>
    <w:rsid w:val="00DF416D"/>
    <w:rsid w:val="00DF6BBB"/>
    <w:rsid w:val="00DF6E67"/>
    <w:rsid w:val="00DF7181"/>
    <w:rsid w:val="00DF7A85"/>
    <w:rsid w:val="00DF7BE3"/>
    <w:rsid w:val="00E01A2F"/>
    <w:rsid w:val="00E0221E"/>
    <w:rsid w:val="00E034BD"/>
    <w:rsid w:val="00E03B57"/>
    <w:rsid w:val="00E05A0F"/>
    <w:rsid w:val="00E11073"/>
    <w:rsid w:val="00E11BA3"/>
    <w:rsid w:val="00E11E0D"/>
    <w:rsid w:val="00E11E5F"/>
    <w:rsid w:val="00E12093"/>
    <w:rsid w:val="00E1299B"/>
    <w:rsid w:val="00E13681"/>
    <w:rsid w:val="00E13909"/>
    <w:rsid w:val="00E14180"/>
    <w:rsid w:val="00E151FE"/>
    <w:rsid w:val="00E162C1"/>
    <w:rsid w:val="00E17FC3"/>
    <w:rsid w:val="00E208D5"/>
    <w:rsid w:val="00E20C06"/>
    <w:rsid w:val="00E20E8B"/>
    <w:rsid w:val="00E215E2"/>
    <w:rsid w:val="00E21D8C"/>
    <w:rsid w:val="00E230CC"/>
    <w:rsid w:val="00E23F54"/>
    <w:rsid w:val="00E24C16"/>
    <w:rsid w:val="00E25188"/>
    <w:rsid w:val="00E27757"/>
    <w:rsid w:val="00E300C2"/>
    <w:rsid w:val="00E31619"/>
    <w:rsid w:val="00E32247"/>
    <w:rsid w:val="00E33E32"/>
    <w:rsid w:val="00E3411C"/>
    <w:rsid w:val="00E3414A"/>
    <w:rsid w:val="00E34DE5"/>
    <w:rsid w:val="00E35207"/>
    <w:rsid w:val="00E35964"/>
    <w:rsid w:val="00E35969"/>
    <w:rsid w:val="00E35D2D"/>
    <w:rsid w:val="00E37F92"/>
    <w:rsid w:val="00E40185"/>
    <w:rsid w:val="00E41359"/>
    <w:rsid w:val="00E42C68"/>
    <w:rsid w:val="00E4301B"/>
    <w:rsid w:val="00E43E35"/>
    <w:rsid w:val="00E44325"/>
    <w:rsid w:val="00E446CF"/>
    <w:rsid w:val="00E46598"/>
    <w:rsid w:val="00E46A0F"/>
    <w:rsid w:val="00E47357"/>
    <w:rsid w:val="00E47AF3"/>
    <w:rsid w:val="00E50C36"/>
    <w:rsid w:val="00E51579"/>
    <w:rsid w:val="00E517CD"/>
    <w:rsid w:val="00E51AA1"/>
    <w:rsid w:val="00E577A9"/>
    <w:rsid w:val="00E604A4"/>
    <w:rsid w:val="00E60825"/>
    <w:rsid w:val="00E60AC9"/>
    <w:rsid w:val="00E619D8"/>
    <w:rsid w:val="00E67F9B"/>
    <w:rsid w:val="00E7070A"/>
    <w:rsid w:val="00E73B35"/>
    <w:rsid w:val="00E76585"/>
    <w:rsid w:val="00E76D8F"/>
    <w:rsid w:val="00E7780B"/>
    <w:rsid w:val="00E779C7"/>
    <w:rsid w:val="00E77B2C"/>
    <w:rsid w:val="00E77F57"/>
    <w:rsid w:val="00E80523"/>
    <w:rsid w:val="00E82E3C"/>
    <w:rsid w:val="00E8435A"/>
    <w:rsid w:val="00E84BCF"/>
    <w:rsid w:val="00E851AF"/>
    <w:rsid w:val="00E870BD"/>
    <w:rsid w:val="00E90C34"/>
    <w:rsid w:val="00E91C6F"/>
    <w:rsid w:val="00E92405"/>
    <w:rsid w:val="00E93530"/>
    <w:rsid w:val="00E93931"/>
    <w:rsid w:val="00E93C31"/>
    <w:rsid w:val="00E9534E"/>
    <w:rsid w:val="00E95CD9"/>
    <w:rsid w:val="00E96CB6"/>
    <w:rsid w:val="00EA0E1E"/>
    <w:rsid w:val="00EA198F"/>
    <w:rsid w:val="00EA2929"/>
    <w:rsid w:val="00EA4339"/>
    <w:rsid w:val="00EA4A67"/>
    <w:rsid w:val="00EA58F8"/>
    <w:rsid w:val="00EA5F3A"/>
    <w:rsid w:val="00EA7518"/>
    <w:rsid w:val="00EB08AA"/>
    <w:rsid w:val="00EB08DC"/>
    <w:rsid w:val="00EB09B2"/>
    <w:rsid w:val="00EB0D11"/>
    <w:rsid w:val="00EB0DF2"/>
    <w:rsid w:val="00EB1050"/>
    <w:rsid w:val="00EB1D81"/>
    <w:rsid w:val="00EB4D72"/>
    <w:rsid w:val="00EB5804"/>
    <w:rsid w:val="00EB6AF7"/>
    <w:rsid w:val="00EB7686"/>
    <w:rsid w:val="00EB7F76"/>
    <w:rsid w:val="00EC0DDA"/>
    <w:rsid w:val="00EC0F4F"/>
    <w:rsid w:val="00EC1015"/>
    <w:rsid w:val="00EC25ED"/>
    <w:rsid w:val="00EC2BA3"/>
    <w:rsid w:val="00EC41E3"/>
    <w:rsid w:val="00EC4383"/>
    <w:rsid w:val="00EC44AC"/>
    <w:rsid w:val="00EC4C03"/>
    <w:rsid w:val="00EC5FFE"/>
    <w:rsid w:val="00EC6544"/>
    <w:rsid w:val="00EC71F6"/>
    <w:rsid w:val="00ED0B45"/>
    <w:rsid w:val="00ED1092"/>
    <w:rsid w:val="00ED15A9"/>
    <w:rsid w:val="00ED1E4D"/>
    <w:rsid w:val="00ED23D2"/>
    <w:rsid w:val="00ED2A3E"/>
    <w:rsid w:val="00ED309B"/>
    <w:rsid w:val="00ED58CA"/>
    <w:rsid w:val="00ED6C59"/>
    <w:rsid w:val="00ED73D8"/>
    <w:rsid w:val="00ED7A8B"/>
    <w:rsid w:val="00EE0791"/>
    <w:rsid w:val="00EE3C57"/>
    <w:rsid w:val="00EE4400"/>
    <w:rsid w:val="00EE5279"/>
    <w:rsid w:val="00EE607F"/>
    <w:rsid w:val="00EF0E4D"/>
    <w:rsid w:val="00EF25A1"/>
    <w:rsid w:val="00EF3064"/>
    <w:rsid w:val="00EF3D81"/>
    <w:rsid w:val="00EF4857"/>
    <w:rsid w:val="00EF4AE3"/>
    <w:rsid w:val="00EF5635"/>
    <w:rsid w:val="00EF5A7D"/>
    <w:rsid w:val="00EF605D"/>
    <w:rsid w:val="00EF6634"/>
    <w:rsid w:val="00EF759B"/>
    <w:rsid w:val="00EF7A90"/>
    <w:rsid w:val="00F059C1"/>
    <w:rsid w:val="00F072C2"/>
    <w:rsid w:val="00F075BB"/>
    <w:rsid w:val="00F07F6B"/>
    <w:rsid w:val="00F1104F"/>
    <w:rsid w:val="00F1108E"/>
    <w:rsid w:val="00F136A5"/>
    <w:rsid w:val="00F1515F"/>
    <w:rsid w:val="00F159C0"/>
    <w:rsid w:val="00F174F3"/>
    <w:rsid w:val="00F22900"/>
    <w:rsid w:val="00F24EB2"/>
    <w:rsid w:val="00F25EBB"/>
    <w:rsid w:val="00F264E2"/>
    <w:rsid w:val="00F2781F"/>
    <w:rsid w:val="00F3288F"/>
    <w:rsid w:val="00F341BC"/>
    <w:rsid w:val="00F344F7"/>
    <w:rsid w:val="00F34516"/>
    <w:rsid w:val="00F35400"/>
    <w:rsid w:val="00F36AFB"/>
    <w:rsid w:val="00F371EB"/>
    <w:rsid w:val="00F37646"/>
    <w:rsid w:val="00F3790F"/>
    <w:rsid w:val="00F37932"/>
    <w:rsid w:val="00F37A2E"/>
    <w:rsid w:val="00F37A88"/>
    <w:rsid w:val="00F40963"/>
    <w:rsid w:val="00F40D24"/>
    <w:rsid w:val="00F4363A"/>
    <w:rsid w:val="00F44086"/>
    <w:rsid w:val="00F46386"/>
    <w:rsid w:val="00F46C29"/>
    <w:rsid w:val="00F500F0"/>
    <w:rsid w:val="00F50F74"/>
    <w:rsid w:val="00F51B64"/>
    <w:rsid w:val="00F5723F"/>
    <w:rsid w:val="00F57DF9"/>
    <w:rsid w:val="00F57F8A"/>
    <w:rsid w:val="00F602D5"/>
    <w:rsid w:val="00F6048D"/>
    <w:rsid w:val="00F61BEB"/>
    <w:rsid w:val="00F61C7F"/>
    <w:rsid w:val="00F63604"/>
    <w:rsid w:val="00F63737"/>
    <w:rsid w:val="00F644DE"/>
    <w:rsid w:val="00F64BEE"/>
    <w:rsid w:val="00F65431"/>
    <w:rsid w:val="00F66236"/>
    <w:rsid w:val="00F73B97"/>
    <w:rsid w:val="00F73C82"/>
    <w:rsid w:val="00F742B7"/>
    <w:rsid w:val="00F744C7"/>
    <w:rsid w:val="00F74D2F"/>
    <w:rsid w:val="00F75472"/>
    <w:rsid w:val="00F75848"/>
    <w:rsid w:val="00F75FE9"/>
    <w:rsid w:val="00F77F4A"/>
    <w:rsid w:val="00F80344"/>
    <w:rsid w:val="00F80850"/>
    <w:rsid w:val="00F8085D"/>
    <w:rsid w:val="00F810F8"/>
    <w:rsid w:val="00F81264"/>
    <w:rsid w:val="00F845BB"/>
    <w:rsid w:val="00F87780"/>
    <w:rsid w:val="00F9166F"/>
    <w:rsid w:val="00F9238C"/>
    <w:rsid w:val="00F9344F"/>
    <w:rsid w:val="00F9356E"/>
    <w:rsid w:val="00F94723"/>
    <w:rsid w:val="00F96BF9"/>
    <w:rsid w:val="00F97F52"/>
    <w:rsid w:val="00FA0003"/>
    <w:rsid w:val="00FA07D5"/>
    <w:rsid w:val="00FA53AA"/>
    <w:rsid w:val="00FA633D"/>
    <w:rsid w:val="00FA6B57"/>
    <w:rsid w:val="00FA7B63"/>
    <w:rsid w:val="00FB19D3"/>
    <w:rsid w:val="00FB28ED"/>
    <w:rsid w:val="00FB2CDF"/>
    <w:rsid w:val="00FB337C"/>
    <w:rsid w:val="00FB417D"/>
    <w:rsid w:val="00FB5D40"/>
    <w:rsid w:val="00FB676F"/>
    <w:rsid w:val="00FB6E41"/>
    <w:rsid w:val="00FB7CEC"/>
    <w:rsid w:val="00FC00D2"/>
    <w:rsid w:val="00FC0C74"/>
    <w:rsid w:val="00FC12A1"/>
    <w:rsid w:val="00FC18E3"/>
    <w:rsid w:val="00FC1CF0"/>
    <w:rsid w:val="00FC2C07"/>
    <w:rsid w:val="00FC53BA"/>
    <w:rsid w:val="00FC6452"/>
    <w:rsid w:val="00FC6A92"/>
    <w:rsid w:val="00FC7444"/>
    <w:rsid w:val="00FD04E1"/>
    <w:rsid w:val="00FD212F"/>
    <w:rsid w:val="00FD4BF4"/>
    <w:rsid w:val="00FD5DFD"/>
    <w:rsid w:val="00FD761C"/>
    <w:rsid w:val="00FD7954"/>
    <w:rsid w:val="00FE0478"/>
    <w:rsid w:val="00FE16EE"/>
    <w:rsid w:val="00FE180C"/>
    <w:rsid w:val="00FE18FF"/>
    <w:rsid w:val="00FE62E8"/>
    <w:rsid w:val="00FE676E"/>
    <w:rsid w:val="00FE6928"/>
    <w:rsid w:val="00FF105F"/>
    <w:rsid w:val="00FF16FD"/>
    <w:rsid w:val="00FF1D9F"/>
    <w:rsid w:val="00FF3C05"/>
    <w:rsid w:val="00FF51C4"/>
    <w:rsid w:val="00FF5233"/>
    <w:rsid w:val="00FF68B2"/>
    <w:rsid w:val="01A204E1"/>
    <w:rsid w:val="01CE5B04"/>
    <w:rsid w:val="01D7447E"/>
    <w:rsid w:val="0CA47FD9"/>
    <w:rsid w:val="10E87D83"/>
    <w:rsid w:val="15E93042"/>
    <w:rsid w:val="195771EE"/>
    <w:rsid w:val="1AB07A70"/>
    <w:rsid w:val="20751454"/>
    <w:rsid w:val="2D3B1FA7"/>
    <w:rsid w:val="2F724B1F"/>
    <w:rsid w:val="3A45460B"/>
    <w:rsid w:val="3D8B7719"/>
    <w:rsid w:val="430F7A38"/>
    <w:rsid w:val="459E030A"/>
    <w:rsid w:val="474A383B"/>
    <w:rsid w:val="48B97D5E"/>
    <w:rsid w:val="4E414754"/>
    <w:rsid w:val="5BD11EE9"/>
    <w:rsid w:val="63F61B77"/>
    <w:rsid w:val="6BE54BD4"/>
    <w:rsid w:val="6D0A326C"/>
    <w:rsid w:val="6F161EDE"/>
    <w:rsid w:val="71F014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link w:val="33"/>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29"/>
    <w:semiHidden/>
    <w:unhideWhenUsed/>
    <w:qFormat/>
    <w:uiPriority w:val="99"/>
    <w:rPr>
      <w:rFonts w:ascii="宋体"/>
      <w:sz w:val="18"/>
      <w:szCs w:val="18"/>
    </w:rPr>
  </w:style>
  <w:style w:type="paragraph" w:styleId="4">
    <w:name w:val="annotation text"/>
    <w:basedOn w:val="1"/>
    <w:link w:val="25"/>
    <w:semiHidden/>
    <w:unhideWhenUsed/>
    <w:qFormat/>
    <w:uiPriority w:val="99"/>
    <w:pPr>
      <w:jc w:val="left"/>
    </w:pPr>
  </w:style>
  <w:style w:type="paragraph" w:styleId="5">
    <w:name w:val="Body Text Indent"/>
    <w:basedOn w:val="1"/>
    <w:qFormat/>
    <w:uiPriority w:val="0"/>
    <w:pPr>
      <w:spacing w:line="360" w:lineRule="auto"/>
      <w:ind w:firstLine="567"/>
    </w:pPr>
    <w:rPr>
      <w:sz w:val="28"/>
      <w:szCs w:val="20"/>
    </w:rPr>
  </w:style>
  <w:style w:type="paragraph" w:styleId="6">
    <w:name w:val="Date"/>
    <w:basedOn w:val="1"/>
    <w:next w:val="1"/>
    <w:link w:val="22"/>
    <w:semiHidden/>
    <w:unhideWhenUsed/>
    <w:qFormat/>
    <w:uiPriority w:val="99"/>
    <w:pPr>
      <w:ind w:left="100" w:leftChars="2500"/>
    </w:p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296"/>
      </w:tabs>
    </w:pPr>
    <w:rPr>
      <w:rFonts w:ascii="方正仿宋_GBK" w:hAnsi="方正仿宋_GBK" w:eastAsia="方正仿宋_GBK" w:cs="方正仿宋_GBK"/>
      <w:b/>
      <w:bCs/>
      <w:sz w:val="28"/>
      <w:szCs w:val="28"/>
    </w:rPr>
  </w:style>
  <w:style w:type="paragraph" w:styleId="10">
    <w:name w:val="toc 2"/>
    <w:basedOn w:val="1"/>
    <w:next w:val="1"/>
    <w:unhideWhenUsed/>
    <w:qFormat/>
    <w:uiPriority w:val="39"/>
    <w:pPr>
      <w:ind w:left="420" w:leftChars="200"/>
    </w:pPr>
  </w:style>
  <w:style w:type="paragraph" w:styleId="11">
    <w:name w:val="Normal (Web)"/>
    <w:basedOn w:val="1"/>
    <w:qFormat/>
    <w:uiPriority w:val="0"/>
    <w:pPr>
      <w:spacing w:beforeAutospacing="1" w:afterAutospacing="1"/>
      <w:jc w:val="left"/>
    </w:pPr>
    <w:rPr>
      <w:rFonts w:cs="Times New Roman"/>
      <w:kern w:val="0"/>
      <w:sz w:val="24"/>
    </w:rPr>
  </w:style>
  <w:style w:type="paragraph" w:styleId="12">
    <w:name w:val="annotation subject"/>
    <w:basedOn w:val="4"/>
    <w:next w:val="4"/>
    <w:link w:val="26"/>
    <w:semiHidden/>
    <w:unhideWhenUsed/>
    <w:qFormat/>
    <w:uiPriority w:val="99"/>
    <w:rPr>
      <w:b/>
      <w:bCs/>
    </w:rPr>
  </w:style>
  <w:style w:type="paragraph" w:styleId="13">
    <w:name w:val="Body Text First Indent 2"/>
    <w:basedOn w:val="5"/>
    <w:qFormat/>
    <w:uiPriority w:val="0"/>
    <w:pPr>
      <w:ind w:firstLine="420" w:firstLineChars="200"/>
    </w:p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20"/>
    <w:rPr>
      <w:i/>
      <w:iCs/>
    </w:rPr>
  </w:style>
  <w:style w:type="character" w:styleId="18">
    <w:name w:val="annotation reference"/>
    <w:basedOn w:val="16"/>
    <w:semiHidden/>
    <w:unhideWhenUsed/>
    <w:qFormat/>
    <w:uiPriority w:val="99"/>
    <w:rPr>
      <w:sz w:val="21"/>
      <w:szCs w:val="21"/>
    </w:rPr>
  </w:style>
  <w:style w:type="character" w:customStyle="1" w:styleId="19">
    <w:name w:val="页眉 字符"/>
    <w:basedOn w:val="16"/>
    <w:link w:val="8"/>
    <w:qFormat/>
    <w:uiPriority w:val="99"/>
    <w:rPr>
      <w:rFonts w:ascii="Calibri" w:hAnsi="Calibri" w:eastAsia="宋体" w:cs="Calibri"/>
      <w:sz w:val="18"/>
      <w:szCs w:val="18"/>
    </w:rPr>
  </w:style>
  <w:style w:type="character" w:customStyle="1" w:styleId="20">
    <w:name w:val="页脚 字符"/>
    <w:basedOn w:val="16"/>
    <w:link w:val="7"/>
    <w:qFormat/>
    <w:uiPriority w:val="99"/>
    <w:rPr>
      <w:rFonts w:ascii="Calibri" w:hAnsi="Calibri" w:eastAsia="宋体" w:cs="Calibri"/>
      <w:sz w:val="18"/>
      <w:szCs w:val="18"/>
    </w:rPr>
  </w:style>
  <w:style w:type="table" w:customStyle="1" w:styleId="21">
    <w:name w:val="网格型3"/>
    <w:basedOn w:val="14"/>
    <w:qFormat/>
    <w:uiPriority w:val="39"/>
    <w:pPr>
      <w:ind w:left="210"/>
    </w:pPr>
    <w:rPr>
      <w:rFonts w:eastAsia="方正仿宋_GBK"/>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
    <w:name w:val="日期 字符"/>
    <w:basedOn w:val="16"/>
    <w:link w:val="6"/>
    <w:semiHidden/>
    <w:qFormat/>
    <w:uiPriority w:val="99"/>
    <w:rPr>
      <w:rFonts w:ascii="Calibri" w:hAnsi="Calibri" w:eastAsia="宋体" w:cs="Calibri"/>
      <w:szCs w:val="21"/>
    </w:rPr>
  </w:style>
  <w:style w:type="table" w:customStyle="1" w:styleId="23">
    <w:name w:val="网格型9"/>
    <w:basedOn w:val="1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修订1"/>
    <w:hidden/>
    <w:semiHidden/>
    <w:qFormat/>
    <w:uiPriority w:val="99"/>
    <w:rPr>
      <w:rFonts w:ascii="Calibri" w:hAnsi="Calibri" w:eastAsia="宋体" w:cs="Calibri"/>
      <w:kern w:val="2"/>
      <w:sz w:val="21"/>
      <w:szCs w:val="21"/>
      <w:lang w:val="en-US" w:eastAsia="zh-CN" w:bidi="ar-SA"/>
    </w:rPr>
  </w:style>
  <w:style w:type="character" w:customStyle="1" w:styleId="25">
    <w:name w:val="批注文字 字符"/>
    <w:basedOn w:val="16"/>
    <w:link w:val="4"/>
    <w:semiHidden/>
    <w:qFormat/>
    <w:uiPriority w:val="99"/>
    <w:rPr>
      <w:rFonts w:ascii="Calibri" w:hAnsi="Calibri" w:eastAsia="宋体" w:cs="Calibri"/>
      <w:szCs w:val="21"/>
    </w:rPr>
  </w:style>
  <w:style w:type="character" w:customStyle="1" w:styleId="26">
    <w:name w:val="批注主题 字符"/>
    <w:basedOn w:val="25"/>
    <w:link w:val="12"/>
    <w:semiHidden/>
    <w:qFormat/>
    <w:uiPriority w:val="99"/>
    <w:rPr>
      <w:rFonts w:ascii="Calibri" w:hAnsi="Calibri" w:eastAsia="宋体" w:cs="Calibri"/>
      <w:b/>
      <w:bCs/>
      <w:szCs w:val="21"/>
    </w:rPr>
  </w:style>
  <w:style w:type="paragraph" w:styleId="27">
    <w:name w:val="List Paragraph"/>
    <w:basedOn w:val="1"/>
    <w:qFormat/>
    <w:uiPriority w:val="34"/>
    <w:pPr>
      <w:ind w:firstLine="420" w:firstLineChars="200"/>
    </w:pPr>
  </w:style>
  <w:style w:type="paragraph" w:customStyle="1" w:styleId="28">
    <w:name w:val="标题1"/>
    <w:basedOn w:val="1"/>
    <w:next w:val="1"/>
    <w:qFormat/>
    <w:uiPriority w:val="0"/>
    <w:pPr>
      <w:tabs>
        <w:tab w:val="left" w:pos="9193"/>
        <w:tab w:val="left" w:pos="9827"/>
      </w:tabs>
      <w:spacing w:line="700" w:lineRule="atLeast"/>
      <w:jc w:val="center"/>
    </w:pPr>
    <w:rPr>
      <w:rFonts w:eastAsia="方正小标宋_GBK"/>
      <w:sz w:val="44"/>
    </w:rPr>
  </w:style>
  <w:style w:type="character" w:customStyle="1" w:styleId="29">
    <w:name w:val="文档结构图 字符"/>
    <w:basedOn w:val="16"/>
    <w:link w:val="3"/>
    <w:semiHidden/>
    <w:qFormat/>
    <w:uiPriority w:val="99"/>
    <w:rPr>
      <w:rFonts w:ascii="宋体" w:hAnsi="Calibri" w:eastAsia="宋体" w:cs="Calibri"/>
      <w:kern w:val="2"/>
      <w:sz w:val="18"/>
      <w:szCs w:val="18"/>
    </w:rPr>
  </w:style>
  <w:style w:type="paragraph" w:customStyle="1" w:styleId="30">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修订2"/>
    <w:hidden/>
    <w:semiHidden/>
    <w:qFormat/>
    <w:uiPriority w:val="99"/>
    <w:rPr>
      <w:rFonts w:ascii="Calibri" w:hAnsi="Calibri" w:eastAsia="宋体" w:cs="Calibri"/>
      <w:kern w:val="2"/>
      <w:sz w:val="21"/>
      <w:szCs w:val="21"/>
      <w:lang w:val="en-US" w:eastAsia="zh-CN" w:bidi="ar-SA"/>
    </w:rPr>
  </w:style>
  <w:style w:type="paragraph" w:customStyle="1" w:styleId="32">
    <w:name w:val="修订3"/>
    <w:hidden/>
    <w:semiHidden/>
    <w:qFormat/>
    <w:uiPriority w:val="99"/>
    <w:rPr>
      <w:rFonts w:ascii="Calibri" w:hAnsi="Calibri" w:eastAsia="宋体" w:cs="Calibri"/>
      <w:kern w:val="2"/>
      <w:sz w:val="21"/>
      <w:szCs w:val="21"/>
      <w:lang w:val="en-US" w:eastAsia="zh-CN" w:bidi="ar-SA"/>
    </w:rPr>
  </w:style>
  <w:style w:type="character" w:customStyle="1" w:styleId="33">
    <w:name w:val="标题 1 字符"/>
    <w:basedOn w:val="16"/>
    <w:link w:val="2"/>
    <w:qFormat/>
    <w:uiPriority w:val="9"/>
    <w:rPr>
      <w:rFonts w:ascii="宋体" w:hAnsi="宋体" w:cs="宋体"/>
      <w:b/>
      <w:bCs/>
      <w:kern w:val="36"/>
      <w:sz w:val="48"/>
      <w:szCs w:val="4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22750F-2824-430E-AD61-CFE853ED8604}">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56</Pages>
  <Words>3352</Words>
  <Characters>3498</Characters>
  <Lines>217</Lines>
  <Paragraphs>61</Paragraphs>
  <TotalTime>2</TotalTime>
  <ScaleCrop>false</ScaleCrop>
  <LinksUpToDate>false</LinksUpToDate>
  <CharactersWithSpaces>3527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2022-06-01T09:34:00Z</dcterms:created>
  <dc:creator>C Y</dc:creator>
  <cp:lastModifiedBy>Llj</cp:lastModifiedBy>
  <cp:lastPrinted>2025-07-15T01:24:00Z</cp:lastPrinted>
  <dcterms:modified xsi:type="dcterms:W3CDTF">2025-07-16T02:41:49Z</dcterms:modified>
  <cp:revision>5517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74CA605DD77147E2A4F5AE9D3F209737</vt:lpwstr>
  </property>
  <property fmtid="{D5CDD505-2E9C-101B-9397-08002B2CF9AE}" pid="4" name="KSOTemplateDocerSaveRecord">
    <vt:lpwstr>eyJoZGlkIjoiYTk5YjljMjhjOGI2N2JmY2U0MjljNDc2OTM1OWE4OGUiLCJ1c2VySWQiOiI1MTkwNzIwNTYifQ==</vt:lpwstr>
  </property>
</Properties>
</file>