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5F571">
      <w:pPr>
        <w:bidi w:val="0"/>
        <w:rPr>
          <w:rFonts w:hint="eastAsia"/>
          <w:lang w:eastAsia="zh-CN"/>
        </w:rPr>
      </w:pPr>
      <w:bookmarkStart w:id="0" w:name="_Toc3082"/>
    </w:p>
    <w:p w14:paraId="49AF4D5B">
      <w:pPr>
        <w:bidi w:val="0"/>
        <w:rPr>
          <w:rFonts w:hint="eastAsia"/>
          <w:lang w:eastAsia="zh-CN"/>
        </w:rPr>
      </w:pPr>
    </w:p>
    <w:bookmarkEnd w:id="0"/>
    <w:p w14:paraId="2E7B7282">
      <w:pPr>
        <w:pStyle w:val="2"/>
        <w:widowControl/>
        <w:rPr>
          <w:rFonts w:hint="default" w:ascii="Times New Roman" w:hAnsi="Times New Roman" w:eastAsia="黑体" w:cs="宋体"/>
          <w:sz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江苏省零碳（近零碳）工厂培育建设</w:t>
      </w:r>
    </w:p>
    <w:p w14:paraId="74AB9068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黑体" w:cs="宋体"/>
          <w:sz w:val="48"/>
        </w:rPr>
      </w:pPr>
      <w:r>
        <w:rPr>
          <w:rFonts w:hint="eastAsia" w:ascii="Times New Roman" w:hAnsi="Times New Roman" w:eastAsia="黑体" w:cs="黑体"/>
          <w:kern w:val="0"/>
          <w:sz w:val="48"/>
          <w:lang w:bidi="ar"/>
        </w:rPr>
        <w:t>用户手册</w:t>
      </w:r>
    </w:p>
    <w:p w14:paraId="512F3FF6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eastAsia="黑体" w:cs="黑体"/>
          <w:kern w:val="0"/>
          <w:sz w:val="48"/>
          <w:lang w:bidi="ar"/>
        </w:rPr>
        <w:t>（企业端）</w:t>
      </w:r>
    </w:p>
    <w:p w14:paraId="1CFD3F66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3B50190A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61658A17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0243DAF6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155A8912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307A5103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088BB176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617AC3F3">
      <w:pPr>
        <w:widowControl/>
        <w:adjustRightInd w:val="0"/>
        <w:snapToGrid w:val="0"/>
        <w:spacing w:line="360" w:lineRule="auto"/>
        <w:ind w:firstLine="880" w:firstLineChars="200"/>
        <w:jc w:val="center"/>
        <w:rPr>
          <w:rFonts w:ascii="Times New Roman" w:hAnsi="Times New Roman" w:eastAsia="黑体" w:cs="宋体"/>
          <w:sz w:val="44"/>
        </w:rPr>
      </w:pPr>
    </w:p>
    <w:p w14:paraId="76782C08">
      <w:pPr>
        <w:widowControl/>
        <w:spacing w:line="360" w:lineRule="auto"/>
        <w:jc w:val="center"/>
        <w:outlineLvl w:val="0"/>
        <w:rPr>
          <w:rFonts w:ascii="Times New Roman" w:hAnsi="Times New Roman" w:eastAsia="黑体" w:cs="宋体"/>
          <w:sz w:val="36"/>
        </w:rPr>
      </w:pPr>
      <w:bookmarkStart w:id="1" w:name="_Toc23581"/>
      <w:bookmarkStart w:id="2" w:name="_Toc23253"/>
      <w:bookmarkStart w:id="3" w:name="_Toc13602"/>
      <w:bookmarkStart w:id="4" w:name="_Toc801"/>
      <w:r>
        <w:rPr>
          <w:rFonts w:hint="eastAsia" w:ascii="Times New Roman" w:hAnsi="Times New Roman" w:eastAsia="黑体" w:cs="黑体"/>
          <w:kern w:val="0"/>
          <w:sz w:val="36"/>
          <w:lang w:bidi="ar"/>
        </w:rPr>
        <w:t>江苏省工业和信息化厅</w:t>
      </w:r>
      <w:bookmarkEnd w:id="1"/>
      <w:bookmarkEnd w:id="2"/>
      <w:bookmarkEnd w:id="3"/>
      <w:bookmarkEnd w:id="4"/>
    </w:p>
    <w:p w14:paraId="4C2D1E32">
      <w:pPr>
        <w:widowControl/>
        <w:spacing w:line="360" w:lineRule="auto"/>
        <w:ind w:firstLine="720" w:firstLineChars="200"/>
        <w:jc w:val="center"/>
        <w:rPr>
          <w:rFonts w:ascii="Times New Roman" w:hAnsi="Times New Roman" w:eastAsia="黑体" w:cs="宋体"/>
          <w:sz w:val="36"/>
        </w:rPr>
      </w:pPr>
    </w:p>
    <w:p w14:paraId="335AD286">
      <w:pPr>
        <w:widowControl/>
        <w:spacing w:line="360" w:lineRule="auto"/>
        <w:jc w:val="center"/>
        <w:rPr>
          <w:rFonts w:ascii="Times New Roman" w:hAnsi="Times New Roman" w:eastAsia="黑体" w:cs="黑体"/>
          <w:kern w:val="0"/>
          <w:sz w:val="36"/>
          <w:lang w:bidi="ar"/>
        </w:rPr>
        <w:sectPr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Times New Roman" w:hAnsi="Times New Roman" w:eastAsia="黑体" w:cs="宋体"/>
          <w:kern w:val="0"/>
          <w:sz w:val="36"/>
          <w:lang w:bidi="ar"/>
        </w:rPr>
        <w:t>202</w:t>
      </w:r>
      <w:r>
        <w:rPr>
          <w:rFonts w:hint="eastAsia" w:ascii="Times New Roman" w:hAnsi="Times New Roman" w:eastAsia="黑体" w:cs="宋体"/>
          <w:kern w:val="0"/>
          <w:sz w:val="36"/>
          <w:lang w:val="en-US" w:eastAsia="zh-CN" w:bidi="ar"/>
        </w:rPr>
        <w:t>5</w:t>
      </w:r>
      <w:r>
        <w:rPr>
          <w:rFonts w:hint="eastAsia" w:ascii="Times New Roman" w:hAnsi="Times New Roman" w:eastAsia="黑体" w:cs="黑体"/>
          <w:kern w:val="0"/>
          <w:sz w:val="36"/>
          <w:lang w:bidi="ar"/>
        </w:rPr>
        <w:t>年</w:t>
      </w:r>
      <w:r>
        <w:rPr>
          <w:rFonts w:hint="eastAsia" w:ascii="Times New Roman" w:hAnsi="Times New Roman" w:eastAsia="黑体" w:cs="宋体"/>
          <w:kern w:val="0"/>
          <w:sz w:val="36"/>
          <w:lang w:val="en-US" w:eastAsia="zh-CN" w:bidi="ar"/>
        </w:rPr>
        <w:t>7</w:t>
      </w:r>
      <w:r>
        <w:rPr>
          <w:rFonts w:hint="eastAsia" w:ascii="Times New Roman" w:hAnsi="Times New Roman" w:eastAsia="黑体" w:cs="黑体"/>
          <w:kern w:val="0"/>
          <w:sz w:val="36"/>
          <w:lang w:bidi="ar"/>
        </w:rPr>
        <w:t>月</w:t>
      </w:r>
    </w:p>
    <w:p w14:paraId="7B763D12">
      <w:pPr>
        <w:numPr>
          <w:ilvl w:val="0"/>
          <w:numId w:val="1"/>
        </w:numPr>
        <w:outlineLvl w:val="0"/>
        <w:rPr>
          <w:rFonts w:hint="eastAsia"/>
          <w:b/>
          <w:bCs/>
          <w:sz w:val="28"/>
          <w:szCs w:val="28"/>
        </w:rPr>
      </w:pPr>
      <w:bookmarkStart w:id="5" w:name="_Toc5011"/>
      <w:r>
        <w:rPr>
          <w:b/>
          <w:bCs/>
          <w:sz w:val="28"/>
          <w:szCs w:val="28"/>
        </w:rPr>
        <w:t>登录</w:t>
      </w:r>
      <w:bookmarkEnd w:id="5"/>
    </w:p>
    <w:p w14:paraId="5EF8AF63">
      <w:pPr>
        <w:ind w:firstLine="420"/>
      </w:pPr>
      <w:r>
        <w:rPr>
          <w:rFonts w:hint="eastAsia"/>
        </w:rPr>
        <w:t>打开谷歌浏览器或360浏览器极速模式，浏览器输入网址</w:t>
      </w:r>
      <w:r>
        <w:fldChar w:fldCharType="begin"/>
      </w:r>
      <w:r>
        <w:instrText xml:space="preserve"> HYPERLINK "http://221.181.145.5:8090/cjpt%20" </w:instrText>
      </w:r>
      <w:r>
        <w:fldChar w:fldCharType="separate"/>
      </w:r>
      <w:r>
        <w:rPr>
          <w:rFonts w:hint="eastAsia"/>
        </w:rPr>
        <w:t xml:space="preserve">http://www.jszwfw.gov.cn/ </w:t>
      </w:r>
      <w:r>
        <w:rPr>
          <w:rFonts w:hint="eastAsia"/>
        </w:rPr>
        <w:fldChar w:fldCharType="end"/>
      </w:r>
      <w:r>
        <w:rPr>
          <w:rFonts w:hint="eastAsia"/>
        </w:rPr>
        <w:t>打开页面，点击【登录】跳转到登录页面，选择【法人登录】</w:t>
      </w:r>
    </w:p>
    <w:p w14:paraId="6A8E9B18">
      <w:r>
        <w:drawing>
          <wp:inline distT="0" distB="0" distL="114300" distR="114300">
            <wp:extent cx="5266690" cy="328549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F8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若无</w:t>
      </w:r>
      <w:r>
        <w:rPr>
          <w:rFonts w:hint="eastAsia"/>
          <w:color w:val="FF0000"/>
          <w:lang w:val="en-US" w:eastAsia="zh-CN"/>
        </w:rPr>
        <w:t>法人账号</w:t>
      </w:r>
      <w:r>
        <w:rPr>
          <w:rFonts w:hint="eastAsia"/>
          <w:lang w:val="en-US" w:eastAsia="zh-CN"/>
        </w:rPr>
        <w:t>或账号密码忘记，请在网页中根据操作引导进行注册/找回操作。</w:t>
      </w:r>
    </w:p>
    <w:p w14:paraId="739784CD">
      <w:pPr>
        <w:rPr>
          <w:rFonts w:hint="default" w:eastAsia="宋体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如使用个人登录，则无法进行申报</w:t>
      </w:r>
    </w:p>
    <w:p w14:paraId="5F4F3813">
      <w:r>
        <w:drawing>
          <wp:inline distT="0" distB="0" distL="114300" distR="114300">
            <wp:extent cx="5269865" cy="2999105"/>
            <wp:effectExtent l="0" t="0" r="698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6E74">
      <w:pPr>
        <w:numPr>
          <w:ilvl w:val="0"/>
          <w:numId w:val="1"/>
        </w:numPr>
        <w:outlineLvl w:val="0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6" w:name="_Toc31248"/>
    </w:p>
    <w:p w14:paraId="3F4BA2B5">
      <w:pPr>
        <w:numPr>
          <w:ilvl w:val="0"/>
          <w:numId w:val="1"/>
        </w:numPr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企业</w:t>
      </w:r>
      <w:r>
        <w:rPr>
          <w:rFonts w:hint="eastAsia"/>
          <w:b/>
          <w:bCs/>
          <w:sz w:val="28"/>
          <w:szCs w:val="28"/>
        </w:rPr>
        <w:t>申报</w:t>
      </w:r>
      <w:bookmarkEnd w:id="6"/>
    </w:p>
    <w:p w14:paraId="0845BDFC">
      <w:pPr>
        <w:numPr>
          <w:ilvl w:val="0"/>
          <w:numId w:val="0"/>
        </w:numPr>
        <w:ind w:leftChars="0"/>
        <w:outlineLvl w:val="0"/>
        <w:rPr>
          <w:rFonts w:hint="default"/>
          <w:lang w:val="en-US" w:eastAsia="zh-CN"/>
        </w:rPr>
      </w:pPr>
      <w:bookmarkStart w:id="7" w:name="_Toc21548"/>
      <w:r>
        <w:rPr>
          <w:rFonts w:hint="eastAsia"/>
          <w:lang w:val="en-US" w:eastAsia="zh-CN"/>
        </w:rPr>
        <w:t>填报入口</w:t>
      </w:r>
      <w:bookmarkEnd w:id="7"/>
      <w:r>
        <w:rPr>
          <w:rFonts w:hint="eastAsia"/>
          <w:lang w:val="en-US" w:eastAsia="zh-CN"/>
        </w:rPr>
        <w:t>：</w:t>
      </w:r>
    </w:p>
    <w:p w14:paraId="70CA106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登录后，在江苏省工业和信息化厅旗舰店页面上，先选择【认定遴选类申报】，再点击左侧【江苏省零碳工厂】模块进行申报。</w:t>
      </w:r>
    </w:p>
    <w:p w14:paraId="2AF5EACC">
      <w:r>
        <w:drawing>
          <wp:inline distT="0" distB="0" distL="114300" distR="114300">
            <wp:extent cx="5260340" cy="2298700"/>
            <wp:effectExtent l="0" t="0" r="16510" b="635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0D75">
      <w:pPr>
        <w:widowControl w:val="0"/>
        <w:numPr>
          <w:ilvl w:val="0"/>
          <w:numId w:val="0"/>
        </w:numPr>
        <w:jc w:val="both"/>
        <w:outlineLvl w:val="0"/>
        <w:rPr>
          <w:rFonts w:hint="default" w:eastAsia="宋体"/>
          <w:lang w:val="en-US" w:eastAsia="zh-CN"/>
        </w:rPr>
      </w:pPr>
      <w:bookmarkStart w:id="8" w:name="_Toc16529"/>
    </w:p>
    <w:p w14:paraId="08DFA35F">
      <w:pPr>
        <w:widowControl w:val="0"/>
        <w:numPr>
          <w:ilvl w:val="0"/>
          <w:numId w:val="0"/>
        </w:numPr>
        <w:jc w:val="both"/>
        <w:outlineLvl w:val="0"/>
        <w:rPr>
          <w:rFonts w:hint="default" w:eastAsia="宋体"/>
          <w:lang w:val="en-US" w:eastAsia="zh-CN"/>
        </w:rPr>
      </w:pPr>
    </w:p>
    <w:p w14:paraId="22AC3B32">
      <w:pPr>
        <w:widowControl w:val="0"/>
        <w:numPr>
          <w:ilvl w:val="0"/>
          <w:numId w:val="0"/>
        </w:numPr>
        <w:jc w:val="both"/>
        <w:outlineLvl w:val="0"/>
        <w:rPr>
          <w:rFonts w:hint="default" w:eastAsia="宋体"/>
          <w:lang w:val="en-US" w:eastAsia="zh-CN"/>
        </w:rPr>
      </w:pPr>
    </w:p>
    <w:p w14:paraId="79255FE4">
      <w:pPr>
        <w:numPr>
          <w:ilvl w:val="0"/>
          <w:numId w:val="1"/>
        </w:num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填报逻辑</w:t>
      </w:r>
    </w:p>
    <w:p w14:paraId="3DF63DF3">
      <w:pPr>
        <w:widowControl w:val="0"/>
        <w:numPr>
          <w:ilvl w:val="0"/>
          <w:numId w:val="2"/>
        </w:numPr>
        <w:jc w:val="both"/>
        <w:outlineLvl w:val="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color w:val="auto"/>
          <w:sz w:val="24"/>
          <w:szCs w:val="24"/>
        </w:rPr>
        <w:t>江苏省零碳（近零碳）工厂培育建设基本条件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测评合格后方可进行【</w:t>
      </w:r>
      <w:r>
        <w:rPr>
          <w:rFonts w:ascii="宋体" w:hAnsi="宋体" w:eastAsia="宋体" w:cs="宋体"/>
          <w:sz w:val="24"/>
          <w:szCs w:val="24"/>
        </w:rPr>
        <w:t>江苏省零碳（近零碳）工厂入库申报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和【</w:t>
      </w:r>
      <w:r>
        <w:rPr>
          <w:rFonts w:ascii="宋体" w:hAnsi="宋体" w:eastAsia="宋体" w:cs="宋体"/>
          <w:sz w:val="24"/>
          <w:szCs w:val="24"/>
        </w:rPr>
        <w:t>江苏省零碳（近零碳）工厂申报</w:t>
      </w:r>
      <w:r>
        <w:rPr>
          <w:rFonts w:hint="eastAsia" w:ascii="宋体" w:hAnsi="宋体" w:cs="宋体"/>
          <w:sz w:val="24"/>
          <w:szCs w:val="24"/>
          <w:lang w:eastAsia="zh-CN"/>
        </w:rPr>
        <w:t>】。</w:t>
      </w:r>
    </w:p>
    <w:p w14:paraId="5686B54E">
      <w:pPr>
        <w:widowControl w:val="0"/>
        <w:numPr>
          <w:ilvl w:val="0"/>
          <w:numId w:val="0"/>
        </w:numPr>
        <w:jc w:val="both"/>
        <w:outlineLvl w:val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6FA02DC"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cs="宋体"/>
          <w:sz w:val="24"/>
          <w:szCs w:val="24"/>
          <w:lang w:val="en-US"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江苏省零碳（近零碳）工厂培育建设自评指标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】测评大于等于80分方可进行【</w:t>
      </w:r>
      <w:r>
        <w:rPr>
          <w:rFonts w:ascii="宋体" w:hAnsi="宋体" w:eastAsia="宋体" w:cs="宋体"/>
          <w:sz w:val="24"/>
          <w:szCs w:val="24"/>
        </w:rPr>
        <w:t>江苏省零碳（近零碳）工厂申报</w:t>
      </w:r>
      <w:r>
        <w:rPr>
          <w:rFonts w:hint="eastAsia" w:ascii="宋体" w:hAnsi="宋体" w:cs="宋体"/>
          <w:sz w:val="24"/>
          <w:szCs w:val="24"/>
          <w:lang w:eastAsia="zh-CN"/>
        </w:rPr>
        <w:t>】。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如低于80分，只能进行【</w:t>
      </w:r>
      <w:r>
        <w:rPr>
          <w:rFonts w:ascii="宋体" w:hAnsi="宋体" w:eastAsia="宋体" w:cs="宋体"/>
          <w:sz w:val="24"/>
          <w:szCs w:val="24"/>
        </w:rPr>
        <w:t>江苏省零碳（近零碳）工厂入库申报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】。</w:t>
      </w:r>
      <w:bookmarkEnd w:id="8"/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0343A"/>
    <w:multiLevelType w:val="multilevel"/>
    <w:tmpl w:val="EFB0343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282D058F"/>
    <w:multiLevelType w:val="singleLevel"/>
    <w:tmpl w:val="282D058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52F3A"/>
    <w:rsid w:val="329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Autospacing="0" w:after="160" w:afterAutospacing="0" w:line="760" w:lineRule="exact"/>
      <w:ind w:left="0" w:right="0" w:firstLine="0" w:firstLineChars="0"/>
      <w:jc w:val="center"/>
      <w:outlineLvl w:val="0"/>
    </w:pPr>
    <w:rPr>
      <w:rFonts w:hint="default" w:ascii="Times New Roman" w:hAnsi="Times New Roman" w:eastAsia="方正小标宋_GBK" w:cs="Times New Roman"/>
      <w:bCs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2025-07-21T07:48:00Z</dcterms:created>
  <dc:creator>WPS_1718548306</dc:creator>
  <cp:lastModifiedBy>WPS_1718548306</cp:lastModifiedBy>
  <dcterms:modified xsi:type="dcterms:W3CDTF">2025-07-21T07:49:29Z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4798CE5387A747DAB46E23A7623FB6B6_11</vt:lpwstr>
  </property>
  <property fmtid="{D5CDD505-2E9C-101B-9397-08002B2CF9AE}" pid="4" name="KSOTemplateDocerSaveRecord">
    <vt:lpwstr>eyJoZGlkIjoiY2VmODVhNjg3OGExNTZlOTMxMGNmODRmMzQ1NjNmNjQiLCJ1c2VySWQiOiIxNjA3MzA0MTYxIn0=</vt:lpwstr>
  </property>
</Properties>
</file>