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C43C7">
      <w:pPr>
        <w:pStyle w:val="2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</w:pPr>
    </w:p>
    <w:p w14:paraId="731122AD">
      <w:pPr>
        <w:pStyle w:val="2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</w:pPr>
    </w:p>
    <w:p w14:paraId="736C2A93">
      <w:pPr>
        <w:pStyle w:val="2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</w:pPr>
    </w:p>
    <w:p w14:paraId="17AA409E">
      <w:pPr>
        <w:pStyle w:val="2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</w:pPr>
    </w:p>
    <w:p w14:paraId="797DA092">
      <w:pPr>
        <w:pStyle w:val="2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</w:pPr>
    </w:p>
    <w:p w14:paraId="63860390">
      <w:pPr>
        <w:pStyle w:val="2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</w:pPr>
    </w:p>
    <w:p w14:paraId="27439556">
      <w:pPr>
        <w:pStyle w:val="2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  <w:t>关于进一步推进科创金融服务驿站建设</w:t>
      </w:r>
    </w:p>
    <w:p w14:paraId="66C4DEE7">
      <w:pPr>
        <w:pStyle w:val="2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  <w14:textFill>
            <w14:solidFill>
              <w14:schemeClr w14:val="tx1"/>
            </w14:solidFill>
          </w14:textFill>
        </w:rPr>
        <w:t>拓展科技金融服务网络的实施细则</w:t>
      </w:r>
    </w:p>
    <w:p w14:paraId="29A83BE1">
      <w:pPr>
        <w:adjustRightInd w:val="0"/>
        <w:snapToGrid w:val="0"/>
        <w:spacing w:line="54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（征求意见稿）</w:t>
      </w:r>
    </w:p>
    <w:p w14:paraId="360DF929">
      <w:pPr>
        <w:adjustRightInd w:val="0"/>
        <w:snapToGrid w:val="0"/>
        <w:spacing w:line="54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1C6C3D">
      <w:pPr>
        <w:spacing w:before="156" w:beforeLines="50" w:after="156" w:afterLines="50" w:line="580" w:lineRule="exact"/>
        <w:jc w:val="center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第一章  总则</w:t>
      </w:r>
    </w:p>
    <w:p w14:paraId="4A7151E7"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为贯彻落实科技部等七部门《加快构建科技金融体制 有力支撑高水平科技自立自强的若干政策举措》的文件精神，进一步推进国家级科创金融改革试验区建设，拓展全市科技金融服务网络，根据《南京市构建贯通式科技成果转化体系的实施意见》，在市科创金融服务驿站建设取得初步成效基础上，制定本细则。</w:t>
      </w:r>
    </w:p>
    <w:p w14:paraId="785FDA6A">
      <w:pPr>
        <w:spacing w:before="156" w:beforeLines="50" w:after="156" w:afterLines="50" w:line="580" w:lineRule="exact"/>
        <w:jc w:val="center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 xml:space="preserve">第二章 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驿站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建设</w:t>
      </w:r>
    </w:p>
    <w:p w14:paraId="104B0A00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第二条 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市科创金融服务驿站包括：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依托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众创空间、孵化器、加速器、科技园区等各类科创载体的运营机构和有关科技企业服务机构设立，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服务于科技企业的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园区科创金融服务驿站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由高校、科研院所设立或与有关板块、机构合作设立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服务于高校科技成果转化及人才创新创业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高校科技金融工作室。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在此基础上，与“南京金服”平台协同，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构建线上线下联动、高效便捷的全市科技金融服务网络。</w:t>
      </w:r>
    </w:p>
    <w:p w14:paraId="29CB4E49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第三条 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园区科创金融服务驿站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应具备以下建设条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件：</w:t>
      </w:r>
    </w:p>
    <w:p w14:paraId="77870768"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（一）具有一定的科技企业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服务辐射能力，</w:t>
      </w: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服务科技企业数量不低于100家。熟悉辖区科技企业基本情况，能够收集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科技企业融资需求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形成动态清单。</w:t>
      </w:r>
    </w:p>
    <w:p w14:paraId="1234062A"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（二）具有开展对接、路演、宣传等科技金融服务的办公、活动场所及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硬件设施，每年开展多种形式的融资对接活动不低于5场。</w:t>
      </w:r>
    </w:p>
    <w:p w14:paraId="70DD2397"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（三）建立职责明晰、目标明确、流程规范的工作机制，有必要的科技金融工作经费保障。</w:t>
      </w:r>
    </w:p>
    <w:p w14:paraId="6EAB49BE"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（四）至少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配备2名专（兼）职工作人员，能够掌握各类科技金融政策、熟悉金融产品。</w:t>
      </w:r>
    </w:p>
    <w:p w14:paraId="3C3901D3"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（五）至少与5家银行、创投等各类金融机构建立稳定合作关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系，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形成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常态化协同工作机制，</w:t>
      </w: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能够为科技企业提供适合的融资产品，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跟踪企业融资成效。</w:t>
      </w:r>
    </w:p>
    <w:p w14:paraId="7207C29B"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第四条  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高校科技金融工作室</w:t>
      </w:r>
      <w:r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应具备以下建设条</w:t>
      </w: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件：</w:t>
      </w:r>
    </w:p>
    <w:p w14:paraId="2EC1B509"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（一）具有一定的科技（转化）项目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服务辐射能力</w:t>
      </w: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，能够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收集、梳理高校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院所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科技成果转化与融资需求等信息，建立项目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储备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库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积极促进科技成果落地。</w:t>
      </w:r>
    </w:p>
    <w:p w14:paraId="584AF681"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（二）具有开展对接、路演、宣传等科技金融服务的办公、活动场所及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硬件设施。能</w:t>
      </w: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够为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概念验证、</w:t>
      </w: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成果转化、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人才</w:t>
      </w: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创新创业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提供金融政策咨询、培训与融资对接服务等。</w:t>
      </w:r>
    </w:p>
    <w:p w14:paraId="4EDFA3B4"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（三）至少配备2名专（兼）职工作人员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（含技术经理人、</w:t>
      </w: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“百校对接计划”科技人才专员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等）</w:t>
      </w: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，能够掌握各类科技金融政策、熟悉金融产品。</w:t>
      </w:r>
    </w:p>
    <w:p w14:paraId="74981F5B">
      <w:pPr>
        <w:pStyle w:val="2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Cs w:val="32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（四）与银行、创投等金融机构建立稳定合作关系，能够为科技项目提供适合的融资产品。</w:t>
      </w:r>
    </w:p>
    <w:p w14:paraId="0AF7E6A4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第五条  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市科技局牵头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按批次组织开展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市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科创金融服务驿站申报工作，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按照发布通知、受理审核、实地考察、建设运营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流程进行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。由建设主体按通知要求自主申报，经各区（园区）科技主管部门或高校院所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相关部门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书面推荐，市科技局会同人行省分行营管部、市委金融办等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对申报材料进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行受理审核，并组织开展实地考察，会商认定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后，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予以挂牌运营。</w:t>
      </w:r>
    </w:p>
    <w:p w14:paraId="6357C95D">
      <w:pPr>
        <w:spacing w:before="156" w:beforeLines="50" w:after="156" w:afterLines="50" w:line="580" w:lineRule="exact"/>
        <w:jc w:val="center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章 绩效管理</w:t>
      </w:r>
    </w:p>
    <w:p w14:paraId="39D4DFEF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市科技局依据本细则和市科技计划项目管理有关规定，通过日常指导、定期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绩效</w:t>
      </w:r>
      <w:r>
        <w:rPr>
          <w:rFonts w:ascii="Times New Roman" w:hAnsi="Times New Roman" w:eastAsia="方正仿宋_GBK" w:cs="Times New Roman"/>
          <w:sz w:val="32"/>
          <w:szCs w:val="32"/>
        </w:rPr>
        <w:t>考察等工作开展绩效管理。依据绩效情况，建立奖励与退出机制，以激励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、规范</w:t>
      </w:r>
      <w:r>
        <w:rPr>
          <w:rFonts w:ascii="Times New Roman" w:hAnsi="Times New Roman" w:eastAsia="方正仿宋_GBK" w:cs="Times New Roman"/>
          <w:sz w:val="32"/>
          <w:szCs w:val="32"/>
        </w:rPr>
        <w:t>各服务驿站开展融资促进工作。</w:t>
      </w:r>
    </w:p>
    <w:p w14:paraId="369FA3EC"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第七条 </w:t>
      </w:r>
      <w:r>
        <w:rPr>
          <w:rFonts w:ascii="Times New Roman" w:hAnsi="Times New Roman" w:eastAsia="方正仿宋_GBK" w:cs="Times New Roman"/>
          <w:sz w:val="32"/>
          <w:szCs w:val="32"/>
        </w:rPr>
        <w:t>绩效考察的主要工作程序：</w:t>
      </w:r>
    </w:p>
    <w:p w14:paraId="2560753E"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（一）发布通知。市科技局每年度发布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绩效考察</w:t>
      </w:r>
      <w:r>
        <w:rPr>
          <w:rFonts w:ascii="Times New Roman" w:hAnsi="Times New Roman" w:eastAsia="方正仿宋_GBK" w:cs="Times New Roman"/>
          <w:sz w:val="32"/>
          <w:szCs w:val="32"/>
        </w:rPr>
        <w:t>申报通知，明确申报路径。经服务驿站自主申报、形式审查，确定参加绩效考察的驿站名单。</w:t>
      </w:r>
    </w:p>
    <w:p w14:paraId="007EA392"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（二）开展考察。市科技局组织专家通过材料审核、实地走访等方式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对服务驿站开展绩效考察；</w:t>
      </w:r>
    </w:p>
    <w:p w14:paraId="1555B590"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（三）研究审议。市科技局会同人行省分行营管部、市委金融办对考察结果进行会商，形成奖励与退出的建议名单，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由市科技局</w:t>
      </w:r>
      <w:r>
        <w:rPr>
          <w:rFonts w:ascii="Times New Roman" w:hAnsi="Times New Roman" w:eastAsia="方正仿宋_GBK" w:cs="Times New Roman"/>
          <w:sz w:val="32"/>
          <w:szCs w:val="32"/>
        </w:rPr>
        <w:t>局长办公会议审议。</w:t>
      </w:r>
    </w:p>
    <w:p w14:paraId="14231E86"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第八条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绩效考察内容重点包括运营管理、资源链接、成果落地和特色成效四个方面的建设成效，其指标权重分别为30%、30%、30%和10%。重点考察指标说明如下：</w:t>
      </w:r>
    </w:p>
    <w:p w14:paraId="2256A50E"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（一）运营管理：包括基础条件、规范运营及团队建设与保障能力等。</w:t>
      </w:r>
    </w:p>
    <w:p w14:paraId="7106C5EA"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（二）资源对接：包括金融资源的汇集整合情况，以及企业（项目）融资对接服务（活动）开展情况、对科技金融的宣传推广情况等。</w:t>
      </w:r>
    </w:p>
    <w:p w14:paraId="2BE39091"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（三）成果落地：包括促成科技贷款、投资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、债券、上市</w:t>
      </w:r>
      <w:r>
        <w:rPr>
          <w:rFonts w:ascii="Times New Roman" w:hAnsi="Times New Roman" w:eastAsia="方正仿宋_GBK" w:cs="Times New Roman"/>
          <w:sz w:val="32"/>
          <w:szCs w:val="32"/>
        </w:rPr>
        <w:t>等各类实际融资成果成效。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高校科技金融工作室以金融工具促进成果转化落地成效。</w:t>
      </w:r>
    </w:p>
    <w:p w14:paraId="542DD1C8"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（四）特色工作：通过创新服务模式、拓展对接路径、开发融资产品等有成效、可推广的创新性特色工作。</w:t>
      </w:r>
    </w:p>
    <w:p w14:paraId="7CD5CDF4"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绩效考察结果分为优秀、良好、合格和不合格四个等次。对绩效优秀和良好的，给予不高于50万元的绩效奖励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用于支持驿站建设、开展融资对接服务等。奖励资金由市级财政承担，从市科技专项资金中列支。</w:t>
      </w:r>
    </w:p>
    <w:p w14:paraId="314B03DA"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第十条  </w:t>
      </w:r>
      <w:r>
        <w:rPr>
          <w:rFonts w:ascii="Times New Roman" w:hAnsi="Times New Roman" w:eastAsia="方正仿宋_GBK" w:cs="Times New Roman"/>
          <w:sz w:val="32"/>
          <w:szCs w:val="32"/>
        </w:rPr>
        <w:t>对于绩效考察不合格的驿站，督促其整改，提升服务水平。连续2年不合格或不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sz w:val="32"/>
          <w:szCs w:val="32"/>
        </w:rPr>
        <w:t>参加绩效考察的，予以退出。</w:t>
      </w:r>
    </w:p>
    <w:p w14:paraId="25DF7F90">
      <w:pPr>
        <w:spacing w:before="156" w:beforeLines="50" w:after="156" w:afterLines="50" w:line="580" w:lineRule="exact"/>
        <w:jc w:val="center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四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章 组织保障</w:t>
      </w:r>
    </w:p>
    <w:p w14:paraId="0A2D8817"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市科技局会同人行省分行营管部、市委金融办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对全市科技金融服务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驿站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建设情况开展统筹指导、资源协调和金融产品供给等。</w:t>
      </w:r>
    </w:p>
    <w:p w14:paraId="0FCA867E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第十二条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科技局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成果转化服务中心具体负责服务网络的日常联络、工作推进、培训交流和统计分析等工作。各服务驿站应定期向市成果转化服务中心报送运行情况、活动开展情况、投融资数据和典型案例等，形成常态化信息反馈机制。</w:t>
      </w:r>
    </w:p>
    <w:p w14:paraId="679642B9">
      <w:pPr>
        <w:spacing w:line="560" w:lineRule="exact"/>
        <w:ind w:firstLine="640"/>
        <w:rPr>
          <w:rFonts w:ascii="Times New Roman" w:hAnsi="Times New Roman" w:eastAsia="方正黑体_GBK" w:cs="Times New Roman"/>
          <w:color w:val="000000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第十三条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各服务驿站应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依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法建设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和运行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，落实意识形态管控和安全生产管理，遵守市科技专项资金和科技项目有关管理规定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严守科研诚信，确保项目申报数据真实、项目实施和资金使用合法合规。</w:t>
      </w:r>
    </w:p>
    <w:p w14:paraId="0A8AA0D5">
      <w:pPr>
        <w:spacing w:before="156" w:beforeLines="50" w:after="156" w:afterLines="50" w:line="580" w:lineRule="exact"/>
        <w:jc w:val="center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章  附则</w:t>
      </w:r>
    </w:p>
    <w:p w14:paraId="0348B4E5">
      <w:pPr>
        <w:ind w:firstLine="640"/>
        <w:rPr>
          <w:rFonts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第十四条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本细则由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市科技局会同人行省分行营管部、市委金融办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负责解释。</w:t>
      </w:r>
    </w:p>
    <w:p w14:paraId="17505A6F">
      <w:pPr>
        <w:ind w:firstLine="64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第十五条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本细则自2025年 *月*日起施行，有效期3年。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C61A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534BD"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C534BD"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A836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6D7DE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3D34F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7C207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A4724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A56EC"/>
    <w:rsid w:val="00023752"/>
    <w:rsid w:val="000B03C5"/>
    <w:rsid w:val="000C2F5E"/>
    <w:rsid w:val="001C73AC"/>
    <w:rsid w:val="003A0833"/>
    <w:rsid w:val="004F2249"/>
    <w:rsid w:val="00652FF8"/>
    <w:rsid w:val="00865701"/>
    <w:rsid w:val="00866426"/>
    <w:rsid w:val="00A161D0"/>
    <w:rsid w:val="00B343D1"/>
    <w:rsid w:val="00D314C6"/>
    <w:rsid w:val="02F6716B"/>
    <w:rsid w:val="05B07F8C"/>
    <w:rsid w:val="0659081D"/>
    <w:rsid w:val="07515CBA"/>
    <w:rsid w:val="097B1072"/>
    <w:rsid w:val="0F7D69DF"/>
    <w:rsid w:val="111E7CF0"/>
    <w:rsid w:val="114B0C66"/>
    <w:rsid w:val="1303527A"/>
    <w:rsid w:val="21675E05"/>
    <w:rsid w:val="248F6152"/>
    <w:rsid w:val="24B71C84"/>
    <w:rsid w:val="25513035"/>
    <w:rsid w:val="2BA04987"/>
    <w:rsid w:val="2C0166F7"/>
    <w:rsid w:val="30166BA2"/>
    <w:rsid w:val="31B17BC0"/>
    <w:rsid w:val="31E57A38"/>
    <w:rsid w:val="32666DBF"/>
    <w:rsid w:val="32D543A9"/>
    <w:rsid w:val="3E900B33"/>
    <w:rsid w:val="4FB8672C"/>
    <w:rsid w:val="51BA56EC"/>
    <w:rsid w:val="5215372D"/>
    <w:rsid w:val="59ED5C18"/>
    <w:rsid w:val="613A040E"/>
    <w:rsid w:val="621937AF"/>
    <w:rsid w:val="67853112"/>
    <w:rsid w:val="6CB14051"/>
    <w:rsid w:val="70A77EA9"/>
    <w:rsid w:val="740A0CEC"/>
    <w:rsid w:val="7610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jc w:val="left"/>
    </w:pPr>
    <w:rPr>
      <w:rFonts w:cs="Times New Roman"/>
      <w:kern w:val="0"/>
      <w:sz w:val="24"/>
      <w:szCs w:val="24"/>
    </w:rPr>
  </w:style>
  <w:style w:type="paragraph" w:styleId="9">
    <w:name w:val="annotation subject"/>
    <w:basedOn w:val="4"/>
    <w:next w:val="4"/>
    <w:link w:val="15"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批注框文本 字符"/>
    <w:basedOn w:val="11"/>
    <w:link w:val="5"/>
    <w:uiPriority w:val="0"/>
    <w:rPr>
      <w:rFonts w:ascii="Calibri" w:hAnsi="Calibri" w:cs="Calibri"/>
      <w:kern w:val="2"/>
      <w:sz w:val="18"/>
      <w:szCs w:val="18"/>
    </w:rPr>
  </w:style>
  <w:style w:type="character" w:customStyle="1" w:styleId="14">
    <w:name w:val="批注文字 字符"/>
    <w:basedOn w:val="11"/>
    <w:link w:val="4"/>
    <w:uiPriority w:val="0"/>
    <w:rPr>
      <w:rFonts w:ascii="Calibri" w:hAnsi="Calibri" w:cs="Calibri"/>
      <w:kern w:val="2"/>
      <w:sz w:val="21"/>
      <w:szCs w:val="22"/>
    </w:rPr>
  </w:style>
  <w:style w:type="character" w:customStyle="1" w:styleId="15">
    <w:name w:val="批注主题 字符"/>
    <w:basedOn w:val="14"/>
    <w:link w:val="9"/>
    <w:qFormat/>
    <w:uiPriority w:val="0"/>
    <w:rPr>
      <w:rFonts w:ascii="Calibri" w:hAnsi="Calibri" w:cs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391</Words>
  <Characters>391</Characters>
  <Lines>15</Lines>
  <Paragraphs>4</Paragraphs>
  <TotalTime>104</TotalTime>
  <ScaleCrop>false</ScaleCrop>
  <LinksUpToDate>false</LinksUpToDate>
  <CharactersWithSpaces>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2025-06-06T08:31:00Z</dcterms:created>
  <dc:creator>林晓倩</dc:creator>
  <cp:lastModifiedBy>林晓倩</cp:lastModifiedBy>
  <cp:lastPrinted>2025-07-18T06:53:00Z</cp:lastPrinted>
  <dcterms:modified xsi:type="dcterms:W3CDTF">2025-07-29T06:38:47Z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878BBF2591EF4835AD25FE6574C31310_13</vt:lpwstr>
  </property>
  <property fmtid="{D5CDD505-2E9C-101B-9397-08002B2CF9AE}" pid="4" name="KSOTemplateDocerSaveRecord">
    <vt:lpwstr>eyJoZGlkIjoiNTIwMTdiYjE0NmJiY2EyMDU2ZGU4MzFiYWJlYmY0MzYiLCJ1c2VySWQiOiIyNjUzNjA5MDYifQ==</vt:lpwstr>
  </property>
</Properties>
</file>