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8E03B">
      <w:pPr>
        <w:jc w:val="left"/>
        <w:rPr>
          <w:rFonts w:ascii="黑体" w:hAnsi="黑体" w:eastAsia="黑体" w:cs="方正黑体_GBK"/>
          <w:bCs/>
          <w:sz w:val="32"/>
          <w:szCs w:val="32"/>
        </w:rPr>
      </w:pPr>
      <w:r>
        <w:rPr>
          <w:rFonts w:hint="eastAsia" w:ascii="黑体" w:hAnsi="黑体" w:eastAsia="黑体" w:cs="方正黑体_GBK"/>
          <w:bCs/>
          <w:sz w:val="32"/>
          <w:szCs w:val="32"/>
        </w:rPr>
        <w:t>附件</w:t>
      </w:r>
    </w:p>
    <w:p w14:paraId="2F437CC2">
      <w:pPr>
        <w:jc w:val="center"/>
        <w:rPr>
          <w:rFonts w:ascii="方正小标宋简体" w:hAnsi="Times New Roman" w:eastAsia="方正小标宋简体" w:cs="Times New Roman"/>
          <w:bCs/>
          <w:sz w:val="32"/>
          <w:szCs w:val="32"/>
        </w:rPr>
      </w:pPr>
    </w:p>
    <w:p w14:paraId="5CDDF1FE">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Cs/>
          <w:sz w:val="44"/>
          <w:szCs w:val="44"/>
        </w:rPr>
        <w:t>常州市</w:t>
      </w:r>
      <w:r>
        <w:rPr>
          <w:rFonts w:hint="eastAsia" w:ascii="方正小标宋简体" w:hAnsi="方正小标宋简体" w:eastAsia="方正小标宋简体" w:cs="方正小标宋简体"/>
          <w:sz w:val="44"/>
          <w:szCs w:val="44"/>
        </w:rPr>
        <w:t>节水补助资金申报指南</w:t>
      </w:r>
    </w:p>
    <w:bookmarkEnd w:id="0"/>
    <w:p w14:paraId="6315C205">
      <w:pPr>
        <w:jc w:val="center"/>
        <w:rPr>
          <w:rFonts w:ascii="方正小标宋简体" w:hAnsi="Times New Roman" w:eastAsia="方正小标宋简体" w:cs="Times New Roman"/>
          <w:sz w:val="32"/>
          <w:szCs w:val="32"/>
        </w:rPr>
      </w:pPr>
    </w:p>
    <w:p w14:paraId="76F9775D">
      <w:pPr>
        <w:overflowPunct w:val="0"/>
        <w:autoSpaceDE w:val="0"/>
        <w:autoSpaceDN w:val="0"/>
        <w:adjustRightInd w:val="0"/>
        <w:snapToGrid w:val="0"/>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为进一步贯彻落实“节水优先”治水方针，以国家节水行动方案为统领，强化水资源承载能力刚性约束，抓基础、快突破，实行水资源消耗总量和强度双控，高质量深入推进我市节水型社会建设。</w:t>
      </w:r>
    </w:p>
    <w:p w14:paraId="55CC8A14">
      <w:pPr>
        <w:overflowPunct w:val="0"/>
        <w:autoSpaceDE w:val="0"/>
        <w:autoSpaceDN w:val="0"/>
        <w:adjustRightInd w:val="0"/>
        <w:snapToGrid w:val="0"/>
        <w:ind w:firstLine="640" w:firstLineChars="200"/>
        <w:rPr>
          <w:rFonts w:ascii="黑体" w:hAnsi="黑体" w:eastAsia="黑体" w:cs="Times New Roman"/>
          <w:bCs/>
          <w:sz w:val="32"/>
          <w:szCs w:val="32"/>
        </w:rPr>
      </w:pPr>
      <w:r>
        <w:rPr>
          <w:rFonts w:ascii="黑体" w:hAnsi="黑体" w:eastAsia="黑体" w:cs="Times New Roman"/>
          <w:bCs/>
          <w:sz w:val="32"/>
          <w:szCs w:val="32"/>
        </w:rPr>
        <w:t>一、项目补助原则</w:t>
      </w:r>
    </w:p>
    <w:p w14:paraId="6F35FB41">
      <w:pPr>
        <w:overflowPunct w:val="0"/>
        <w:autoSpaceDE w:val="0"/>
        <w:autoSpaceDN w:val="0"/>
        <w:adjustRightInd w:val="0"/>
        <w:snapToGrid w:val="0"/>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bCs/>
          <w:sz w:val="32"/>
          <w:szCs w:val="32"/>
        </w:rPr>
        <w:t>（一）坚持规划引领，突出精准导向。</w:t>
      </w:r>
      <w:r>
        <w:rPr>
          <w:rFonts w:ascii="Times New Roman" w:hAnsi="Times New Roman" w:eastAsia="仿宋_GB2312" w:cs="Times New Roman"/>
          <w:bCs/>
          <w:sz w:val="32"/>
          <w:szCs w:val="32"/>
        </w:rPr>
        <w:t>以</w:t>
      </w:r>
      <w:r>
        <w:rPr>
          <w:rFonts w:ascii="Times New Roman" w:hAnsi="Times New Roman" w:eastAsia="仿宋_GB2312" w:cs="Times New Roman"/>
          <w:sz w:val="32"/>
          <w:szCs w:val="32"/>
        </w:rPr>
        <w:t>节水型社会建设规划为引领，坚持“项目跟着规划走、资金跟着项目走”，推广先进适用的节水技术和工艺，树立各行业节水标杆，协调好农业、工业、服务业和城镇与农村的节水用水关系，实现全市水资源的合理开发、高效利用、全面节约、有效保护和科学管理。</w:t>
      </w:r>
    </w:p>
    <w:p w14:paraId="5F5AABAE">
      <w:pPr>
        <w:overflowPunct w:val="0"/>
        <w:autoSpaceDE w:val="0"/>
        <w:autoSpaceDN w:val="0"/>
        <w:adjustRightInd w:val="0"/>
        <w:snapToGrid w:val="0"/>
        <w:ind w:firstLine="643" w:firstLineChars="200"/>
        <w:rPr>
          <w:rFonts w:ascii="Times New Roman" w:hAnsi="Times New Roman" w:eastAsia="仿宋_GB2312" w:cs="Times New Roman"/>
          <w:sz w:val="32"/>
          <w:szCs w:val="32"/>
        </w:rPr>
      </w:pPr>
      <w:r>
        <w:rPr>
          <w:rFonts w:ascii="楷体_GB2312" w:hAnsi="Times New Roman" w:eastAsia="楷体_GB2312" w:cs="Times New Roman"/>
          <w:b/>
          <w:bCs/>
          <w:sz w:val="32"/>
          <w:szCs w:val="32"/>
        </w:rPr>
        <w:t>（二）坚持“三公”原则，突出诚信导向。</w:t>
      </w:r>
      <w:r>
        <w:rPr>
          <w:rFonts w:ascii="Times New Roman" w:hAnsi="Times New Roman" w:eastAsia="仿宋_GB2312" w:cs="Times New Roman"/>
          <w:sz w:val="32"/>
          <w:szCs w:val="32"/>
        </w:rPr>
        <w:t>坚持“公开、公平、公正”的原则，实行项目指南公开发布，倡导项目申报单位树立诚信意识，据实编制项目申报内容，不弄虚作假、不高估冒算、不重复申报。</w:t>
      </w:r>
    </w:p>
    <w:p w14:paraId="18083A95">
      <w:pPr>
        <w:overflowPunct w:val="0"/>
        <w:autoSpaceDE w:val="0"/>
        <w:autoSpaceDN w:val="0"/>
        <w:adjustRightInd w:val="0"/>
        <w:snapToGrid w:val="0"/>
        <w:ind w:firstLine="643" w:firstLineChars="200"/>
        <w:rPr>
          <w:rFonts w:ascii="Times New Roman" w:hAnsi="Times New Roman" w:eastAsia="仿宋_GB2312" w:cs="Times New Roman"/>
          <w:sz w:val="32"/>
          <w:szCs w:val="32"/>
        </w:rPr>
      </w:pPr>
      <w:r>
        <w:rPr>
          <w:rFonts w:ascii="楷体_GB2312" w:hAnsi="Times New Roman" w:eastAsia="楷体_GB2312" w:cs="Times New Roman"/>
          <w:b/>
          <w:bCs/>
          <w:sz w:val="32"/>
          <w:szCs w:val="32"/>
        </w:rPr>
        <w:t>（三）坚持择优补助，突出重点导向。</w:t>
      </w:r>
      <w:r>
        <w:rPr>
          <w:rFonts w:ascii="Times New Roman" w:hAnsi="Times New Roman" w:eastAsia="仿宋_GB2312" w:cs="Times New Roman"/>
          <w:sz w:val="32"/>
          <w:szCs w:val="32"/>
        </w:rPr>
        <w:t>突出财政资金使用绩效评价，坚持择优扶持，切实发挥财政资金使用效益。优先扶持常州节水重点发展方向、具有引领带动示范作用的省、市级节水项目。</w:t>
      </w:r>
    </w:p>
    <w:p w14:paraId="792C5B2E">
      <w:pPr>
        <w:overflowPunct w:val="0"/>
        <w:autoSpaceDE w:val="0"/>
        <w:autoSpaceDN w:val="0"/>
        <w:adjustRightInd w:val="0"/>
        <w:snapToGrid w:val="0"/>
        <w:ind w:firstLine="640" w:firstLineChars="200"/>
        <w:rPr>
          <w:rFonts w:ascii="黑体" w:hAnsi="黑体" w:eastAsia="黑体" w:cs="Times New Roman"/>
          <w:sz w:val="32"/>
          <w:szCs w:val="32"/>
        </w:rPr>
      </w:pPr>
      <w:r>
        <w:rPr>
          <w:rFonts w:ascii="黑体" w:hAnsi="黑体" w:eastAsia="黑体" w:cs="Times New Roman"/>
          <w:sz w:val="32"/>
          <w:szCs w:val="32"/>
        </w:rPr>
        <w:t>二、项目申报要求</w:t>
      </w:r>
    </w:p>
    <w:p w14:paraId="2ECFF478">
      <w:pPr>
        <w:overflowPunct w:val="0"/>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申报单位需填写《常州市节水补助资金申请表》（附表1），于11月20日前报各辖市、区水行政主管部门。各辖市、区水行政主管部门初审后填写《常州市 区节水补助资金申请汇总表》（附表2），会同各辖区财政局于11月30日前行文上报市水利局、市财政局，逾期不予受理。</w:t>
      </w:r>
    </w:p>
    <w:p w14:paraId="68129F40">
      <w:pPr>
        <w:overflowPunct w:val="0"/>
        <w:autoSpaceDE w:val="0"/>
        <w:autoSpaceDN w:val="0"/>
        <w:adjustRightInd w:val="0"/>
        <w:snapToGrid w:val="0"/>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（一）市级节水技改项目</w:t>
      </w:r>
    </w:p>
    <w:p w14:paraId="5ED7CF89">
      <w:pPr>
        <w:overflowPunct w:val="0"/>
        <w:autoSpaceDE w:val="0"/>
        <w:autoSpaceDN w:val="0"/>
        <w:adjustRightInd w:val="0"/>
        <w:snapToGrid w:val="0"/>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补助对象</w:t>
      </w:r>
    </w:p>
    <w:p w14:paraId="7F88A8C0">
      <w:pPr>
        <w:overflowPunct w:val="0"/>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市范围内的自备水源用水户及使用公共供水的非居民生活用水户对节水设备（用水器具）改造升级，内部供水管网更新改造，冷却水、工艺水、冷凝水等的循环利用、串联使用、废水回用、中水利用等各类节水设施设备和节水新工艺的新建、改建和扩建项目，非常规水源开发利用等。</w:t>
      </w:r>
    </w:p>
    <w:p w14:paraId="646054F8">
      <w:pPr>
        <w:overflowPunct w:val="0"/>
        <w:autoSpaceDE w:val="0"/>
        <w:autoSpaceDN w:val="0"/>
        <w:adjustRightInd w:val="0"/>
        <w:snapToGrid w:val="0"/>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补助条件</w:t>
      </w:r>
    </w:p>
    <w:p w14:paraId="3E267CBD">
      <w:pPr>
        <w:overflowPunct w:val="0"/>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企业（单位）须在本市注册并落户、具有独立法人资格，近三年信用状况良好，未发生重大及以上安全、涉水事故（事件），无违规取水违规减免和拖欠水资源税、超计划、超许可、超定额用水情况发生。企业的生产装置、产品及实施项目符合国家、省、市产业政策。</w:t>
      </w:r>
    </w:p>
    <w:p w14:paraId="49B2C8FB">
      <w:pPr>
        <w:overflowPunct w:val="0"/>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我市范围内实施节水技改项目，前期工作扎实、审批手续完善，且实施后主要产品的水效指标达到省、市用水定额先进值的企业和单位。项目投资审定价应在10万元以上且非财政性资金项目，于2023年、2024年内建成投运并稳定运行，设计年节水能力10万立方米以上且实际年节水量在5万立方米以上。</w:t>
      </w:r>
    </w:p>
    <w:p w14:paraId="3EEC9624">
      <w:pPr>
        <w:overflowPunct w:val="0"/>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（3）已申报水利、工信等部门水效提升、节能改造等项目，并且获得财政补助的，不得重复申报。2023年、2024年已享受节水型企业奖补的不列入本次补助范围。</w:t>
      </w:r>
    </w:p>
    <w:p w14:paraId="65F14CC5">
      <w:pPr>
        <w:overflowPunct w:val="0"/>
        <w:autoSpaceDE w:val="0"/>
        <w:autoSpaceDN w:val="0"/>
        <w:adjustRightInd w:val="0"/>
        <w:snapToGrid w:val="0"/>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补助金额</w:t>
      </w:r>
    </w:p>
    <w:p w14:paraId="15D240B5">
      <w:pPr>
        <w:overflowPunct w:val="0"/>
        <w:autoSpaceDE w:val="0"/>
        <w:autoSpaceDN w:val="0"/>
        <w:adjustRightInd w:val="0"/>
        <w:snapToGrid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实际，根据节水技改项目的年节水量、行业类型、用水定额、表计安装率、投资额、项目类型进行评分，具体评分标准详见下表。根据评分标准，评出各项目的分数，作为项目补助的分配依据。第一等次95分以上，补助8万元；第二等次85分-95分，补助7万元；第三等次75-85分，补助6万元，第四等次65-75分，补助5万元，第五等次60-65分，补助4万元。</w:t>
      </w:r>
    </w:p>
    <w:p w14:paraId="1641604F">
      <w:pPr>
        <w:spacing w:before="120" w:after="120" w:line="4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年节水量评分标准</w:t>
      </w:r>
    </w:p>
    <w:tbl>
      <w:tblPr>
        <w:tblStyle w:val="17"/>
        <w:tblW w:w="8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34"/>
        <w:gridCol w:w="1358"/>
      </w:tblGrid>
      <w:tr w14:paraId="4E726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7034" w:type="dxa"/>
            <w:shd w:val="clear" w:color="auto" w:fill="auto"/>
            <w:vAlign w:val="center"/>
          </w:tcPr>
          <w:p w14:paraId="2A259F1B">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年节水量范围（万立方米）</w:t>
            </w:r>
          </w:p>
        </w:tc>
        <w:tc>
          <w:tcPr>
            <w:tcW w:w="1358" w:type="dxa"/>
            <w:shd w:val="clear" w:color="auto" w:fill="auto"/>
            <w:vAlign w:val="center"/>
          </w:tcPr>
          <w:p w14:paraId="5899D7A4">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分值</w:t>
            </w:r>
          </w:p>
        </w:tc>
      </w:tr>
      <w:tr w14:paraId="2FEF7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4" w:type="dxa"/>
            <w:shd w:val="clear" w:color="auto" w:fill="auto"/>
            <w:vAlign w:val="center"/>
          </w:tcPr>
          <w:p w14:paraId="3DFFE2EE">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5-10</w:t>
            </w:r>
          </w:p>
        </w:tc>
        <w:tc>
          <w:tcPr>
            <w:tcW w:w="1358" w:type="dxa"/>
            <w:shd w:val="clear" w:color="auto" w:fill="auto"/>
            <w:vAlign w:val="center"/>
          </w:tcPr>
          <w:p w14:paraId="29702997">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25</w:t>
            </w:r>
          </w:p>
        </w:tc>
      </w:tr>
      <w:tr w14:paraId="45BC7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034" w:type="dxa"/>
            <w:shd w:val="clear" w:color="auto" w:fill="auto"/>
            <w:vAlign w:val="center"/>
          </w:tcPr>
          <w:p w14:paraId="27DB725E">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10及以上</w:t>
            </w:r>
          </w:p>
        </w:tc>
        <w:tc>
          <w:tcPr>
            <w:tcW w:w="1358" w:type="dxa"/>
            <w:shd w:val="clear" w:color="auto" w:fill="auto"/>
            <w:vAlign w:val="center"/>
          </w:tcPr>
          <w:p w14:paraId="09FA0304">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r>
    </w:tbl>
    <w:p w14:paraId="22E28882">
      <w:pPr>
        <w:spacing w:before="120" w:after="120" w:line="4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行业类型评分标准</w:t>
      </w:r>
    </w:p>
    <w:tbl>
      <w:tblPr>
        <w:tblStyle w:val="17"/>
        <w:tblW w:w="8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34"/>
        <w:gridCol w:w="1358"/>
      </w:tblGrid>
      <w:tr w14:paraId="7591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034" w:type="dxa"/>
            <w:shd w:val="clear" w:color="auto" w:fill="auto"/>
            <w:vAlign w:val="center"/>
          </w:tcPr>
          <w:p w14:paraId="79BBED0B">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是否为高耗水行业企业</w:t>
            </w:r>
          </w:p>
        </w:tc>
        <w:tc>
          <w:tcPr>
            <w:tcW w:w="1358" w:type="dxa"/>
            <w:shd w:val="clear" w:color="auto" w:fill="auto"/>
            <w:vAlign w:val="center"/>
          </w:tcPr>
          <w:p w14:paraId="4527358F">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分值</w:t>
            </w:r>
          </w:p>
        </w:tc>
      </w:tr>
      <w:tr w14:paraId="60F9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034" w:type="dxa"/>
            <w:shd w:val="clear" w:color="auto" w:fill="auto"/>
            <w:vAlign w:val="center"/>
          </w:tcPr>
          <w:p w14:paraId="31109667">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否</w:t>
            </w:r>
          </w:p>
        </w:tc>
        <w:tc>
          <w:tcPr>
            <w:tcW w:w="1358" w:type="dxa"/>
            <w:shd w:val="clear" w:color="auto" w:fill="auto"/>
            <w:vAlign w:val="center"/>
          </w:tcPr>
          <w:p w14:paraId="592EDF23">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w:t>
            </w:r>
          </w:p>
        </w:tc>
      </w:tr>
      <w:tr w14:paraId="5F46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034" w:type="dxa"/>
            <w:shd w:val="clear" w:color="auto" w:fill="auto"/>
            <w:vAlign w:val="center"/>
          </w:tcPr>
          <w:p w14:paraId="434512C5">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w:t>
            </w:r>
          </w:p>
        </w:tc>
        <w:tc>
          <w:tcPr>
            <w:tcW w:w="1358" w:type="dxa"/>
            <w:shd w:val="clear" w:color="auto" w:fill="auto"/>
            <w:vAlign w:val="center"/>
          </w:tcPr>
          <w:p w14:paraId="4934D742">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r>
    </w:tbl>
    <w:p w14:paraId="3F1B9C4F">
      <w:pPr>
        <w:widowControl/>
        <w:spacing w:line="240" w:lineRule="auto"/>
        <w:jc w:val="left"/>
        <w:rPr>
          <w:rFonts w:ascii="Times New Roman" w:hAnsi="Times New Roman" w:eastAsia="仿宋" w:cs="Times New Roman"/>
          <w:b/>
          <w:sz w:val="30"/>
          <w:szCs w:val="30"/>
        </w:rPr>
      </w:pPr>
      <w:r>
        <w:rPr>
          <w:rFonts w:ascii="Times New Roman" w:hAnsi="Times New Roman" w:eastAsia="仿宋" w:cs="Times New Roman"/>
          <w:b/>
          <w:sz w:val="30"/>
          <w:szCs w:val="30"/>
        </w:rPr>
        <w:br w:type="page"/>
      </w:r>
    </w:p>
    <w:p w14:paraId="6D2B98B5">
      <w:pPr>
        <w:spacing w:before="120" w:after="120" w:line="4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用水定额评分标准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7"/>
        <w:gridCol w:w="1467"/>
      </w:tblGrid>
      <w:tr w14:paraId="3D33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7281110A">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单位产品用水量指标水平</w:t>
            </w:r>
          </w:p>
        </w:tc>
        <w:tc>
          <w:tcPr>
            <w:tcW w:w="1358" w:type="dxa"/>
            <w:shd w:val="clear" w:color="auto" w:fill="auto"/>
            <w:vAlign w:val="center"/>
          </w:tcPr>
          <w:p w14:paraId="46E71B41">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分值</w:t>
            </w:r>
          </w:p>
        </w:tc>
      </w:tr>
      <w:tr w14:paraId="3FE9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72CEE3AD">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先进值水平</w:t>
            </w:r>
          </w:p>
        </w:tc>
        <w:tc>
          <w:tcPr>
            <w:tcW w:w="1358" w:type="dxa"/>
            <w:shd w:val="clear" w:color="auto" w:fill="auto"/>
            <w:vAlign w:val="center"/>
          </w:tcPr>
          <w:p w14:paraId="608340AC">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r>
      <w:tr w14:paraId="2F60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57209A88">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领跑值</w:t>
            </w:r>
            <w:r>
              <w:rPr>
                <w:rFonts w:ascii="Times New Roman" w:hAnsi="Times New Roman" w:eastAsia="仿宋_GB2312" w:cs="Times New Roman"/>
                <w:sz w:val="28"/>
                <w:szCs w:val="28"/>
              </w:rPr>
              <w:t>水平</w:t>
            </w:r>
          </w:p>
        </w:tc>
        <w:tc>
          <w:tcPr>
            <w:tcW w:w="1358" w:type="dxa"/>
            <w:shd w:val="clear" w:color="auto" w:fill="auto"/>
            <w:vAlign w:val="center"/>
          </w:tcPr>
          <w:p w14:paraId="098A22E5">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5</w:t>
            </w:r>
          </w:p>
        </w:tc>
      </w:tr>
    </w:tbl>
    <w:p w14:paraId="368BF50A">
      <w:pPr>
        <w:overflowPunct w:val="0"/>
        <w:autoSpaceDE w:val="0"/>
        <w:autoSpaceDN w:val="0"/>
        <w:adjustRightInd w:val="0"/>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w:t>
      </w:r>
    </w:p>
    <w:p w14:paraId="6AF5A9BB">
      <w:pPr>
        <w:overflowPunct w:val="0"/>
        <w:autoSpaceDE w:val="0"/>
        <w:autoSpaceDN w:val="0"/>
        <w:adjustRightInd w:val="0"/>
        <w:snapToGrid w:val="0"/>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企业主要产品的单位产品用水量达到</w:t>
      </w:r>
      <w:r>
        <w:rPr>
          <w:rFonts w:hint="eastAsia" w:ascii="Times New Roman" w:hAnsi="Times New Roman" w:eastAsia="仿宋_GB2312" w:cs="Times New Roman"/>
          <w:sz w:val="32"/>
          <w:szCs w:val="32"/>
        </w:rPr>
        <w:t>国家、省、市最新</w:t>
      </w:r>
      <w:r>
        <w:rPr>
          <w:rFonts w:ascii="Times New Roman" w:hAnsi="Times New Roman" w:eastAsia="仿宋_GB2312" w:cs="Times New Roman"/>
          <w:sz w:val="32"/>
          <w:szCs w:val="32"/>
        </w:rPr>
        <w:t>颁布定额先进值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仅有通用值的，</w:t>
      </w:r>
      <w:r>
        <w:rPr>
          <w:rFonts w:hint="eastAsia" w:ascii="Times New Roman" w:hAnsi="Times New Roman" w:eastAsia="仿宋_GB2312" w:cs="Times New Roman"/>
          <w:sz w:val="32"/>
          <w:szCs w:val="32"/>
        </w:rPr>
        <w:t>则需</w:t>
      </w:r>
      <w:r>
        <w:rPr>
          <w:rFonts w:ascii="Times New Roman" w:hAnsi="Times New Roman" w:eastAsia="仿宋_GB2312" w:cs="Times New Roman"/>
          <w:sz w:val="32"/>
          <w:szCs w:val="32"/>
        </w:rPr>
        <w:t>优于通用值的70%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的，得</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w:t>
      </w:r>
    </w:p>
    <w:p w14:paraId="30551D83">
      <w:pPr>
        <w:overflowPunct w:val="0"/>
        <w:autoSpaceDE w:val="0"/>
        <w:autoSpaceDN w:val="0"/>
        <w:adjustRightInd w:val="0"/>
        <w:snapToGrid w:val="0"/>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rPr>
        <w:t>国家、省、市最新</w:t>
      </w:r>
      <w:r>
        <w:rPr>
          <w:rFonts w:ascii="Times New Roman" w:hAnsi="Times New Roman" w:eastAsia="仿宋_GB2312" w:cs="Times New Roman"/>
          <w:sz w:val="32"/>
          <w:szCs w:val="32"/>
        </w:rPr>
        <w:t>颁布定额</w:t>
      </w:r>
      <w:r>
        <w:rPr>
          <w:rFonts w:hint="eastAsia" w:ascii="Times New Roman" w:hAnsi="Times New Roman" w:eastAsia="仿宋_GB2312" w:cs="Times New Roman"/>
          <w:sz w:val="32"/>
          <w:szCs w:val="32"/>
        </w:rPr>
        <w:t>领跑</w:t>
      </w:r>
      <w:r>
        <w:rPr>
          <w:rFonts w:ascii="Times New Roman" w:hAnsi="Times New Roman" w:eastAsia="仿宋_GB2312" w:cs="Times New Roman"/>
          <w:sz w:val="32"/>
          <w:szCs w:val="32"/>
        </w:rPr>
        <w:t>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仅有</w:t>
      </w:r>
      <w:r>
        <w:rPr>
          <w:rFonts w:hint="eastAsia" w:ascii="Times New Roman" w:hAnsi="Times New Roman" w:eastAsia="仿宋_GB2312" w:cs="Times New Roman"/>
          <w:sz w:val="32"/>
          <w:szCs w:val="32"/>
        </w:rPr>
        <w:t>先进</w:t>
      </w:r>
      <w:r>
        <w:rPr>
          <w:rFonts w:ascii="Times New Roman" w:hAnsi="Times New Roman" w:eastAsia="仿宋_GB2312" w:cs="Times New Roman"/>
          <w:sz w:val="32"/>
          <w:szCs w:val="32"/>
        </w:rPr>
        <w:t>值的，</w:t>
      </w:r>
      <w:r>
        <w:rPr>
          <w:rFonts w:hint="eastAsia" w:ascii="Times New Roman" w:hAnsi="Times New Roman" w:eastAsia="仿宋_GB2312" w:cs="Times New Roman"/>
          <w:sz w:val="32"/>
          <w:szCs w:val="32"/>
        </w:rPr>
        <w:t>则需</w:t>
      </w:r>
      <w:r>
        <w:rPr>
          <w:rFonts w:ascii="Times New Roman" w:hAnsi="Times New Roman" w:eastAsia="仿宋_GB2312" w:cs="Times New Roman"/>
          <w:sz w:val="32"/>
          <w:szCs w:val="32"/>
        </w:rPr>
        <w:t>优于</w:t>
      </w:r>
      <w:r>
        <w:rPr>
          <w:rFonts w:hint="eastAsia" w:ascii="Times New Roman" w:hAnsi="Times New Roman" w:eastAsia="仿宋_GB2312" w:cs="Times New Roman"/>
          <w:sz w:val="32"/>
          <w:szCs w:val="32"/>
        </w:rPr>
        <w:t>先进</w:t>
      </w:r>
      <w:r>
        <w:rPr>
          <w:rFonts w:ascii="Times New Roman" w:hAnsi="Times New Roman" w:eastAsia="仿宋_GB2312" w:cs="Times New Roman"/>
          <w:sz w:val="32"/>
          <w:szCs w:val="32"/>
        </w:rPr>
        <w:t>值的70%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的，得</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w:t>
      </w:r>
    </w:p>
    <w:p w14:paraId="4AD1AD16">
      <w:pPr>
        <w:overflowPunct w:val="0"/>
        <w:autoSpaceDE w:val="0"/>
        <w:autoSpaceDN w:val="0"/>
        <w:adjustRightInd w:val="0"/>
        <w:snapToGrid w:val="0"/>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无定额</w:t>
      </w:r>
      <w:r>
        <w:rPr>
          <w:rFonts w:hint="eastAsia" w:ascii="Times New Roman" w:hAnsi="Times New Roman" w:eastAsia="仿宋_GB2312" w:cs="Times New Roman"/>
          <w:sz w:val="32"/>
          <w:szCs w:val="32"/>
        </w:rPr>
        <w:t>对照</w:t>
      </w:r>
      <w:r>
        <w:rPr>
          <w:rFonts w:ascii="Times New Roman" w:hAnsi="Times New Roman" w:eastAsia="仿宋_GB2312" w:cs="Times New Roman"/>
          <w:sz w:val="32"/>
          <w:szCs w:val="32"/>
        </w:rPr>
        <w:t>的可</w:t>
      </w:r>
      <w:r>
        <w:rPr>
          <w:rFonts w:hint="eastAsia" w:ascii="Times New Roman" w:hAnsi="Times New Roman" w:eastAsia="仿宋_GB2312" w:cs="Times New Roman"/>
          <w:sz w:val="32"/>
          <w:szCs w:val="32"/>
        </w:rPr>
        <w:t>参照其他</w:t>
      </w:r>
      <w:r>
        <w:rPr>
          <w:rFonts w:ascii="Times New Roman" w:hAnsi="Times New Roman" w:eastAsia="仿宋_GB2312" w:cs="Times New Roman"/>
          <w:sz w:val="32"/>
          <w:szCs w:val="32"/>
        </w:rPr>
        <w:t>省市颁布的用水定额，均无参照的需通过专业机构出具的节水量检测报告证明其能够达到同行业先进</w:t>
      </w:r>
      <w:r>
        <w:rPr>
          <w:rFonts w:hint="eastAsia" w:ascii="Times New Roman" w:hAnsi="Times New Roman" w:eastAsia="仿宋_GB2312" w:cs="Times New Roman"/>
          <w:sz w:val="32"/>
          <w:szCs w:val="32"/>
        </w:rPr>
        <w:t>或领跑</w:t>
      </w:r>
      <w:r>
        <w:rPr>
          <w:rFonts w:ascii="Times New Roman" w:hAnsi="Times New Roman" w:eastAsia="仿宋_GB2312" w:cs="Times New Roman"/>
          <w:sz w:val="32"/>
          <w:szCs w:val="32"/>
        </w:rPr>
        <w:t>水平，否则</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不得分。</w:t>
      </w:r>
    </w:p>
    <w:p w14:paraId="76080938">
      <w:pPr>
        <w:spacing w:before="120" w:after="120" w:line="4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表计安装率评分标准</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97"/>
        <w:gridCol w:w="1467"/>
      </w:tblGrid>
      <w:tr w14:paraId="6F6C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45FDC119">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水表计量率</w:t>
            </w:r>
          </w:p>
        </w:tc>
        <w:tc>
          <w:tcPr>
            <w:tcW w:w="1358" w:type="dxa"/>
            <w:shd w:val="clear" w:color="auto" w:fill="auto"/>
            <w:vAlign w:val="center"/>
          </w:tcPr>
          <w:p w14:paraId="2E5EF66B">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分值</w:t>
            </w:r>
          </w:p>
        </w:tc>
      </w:tr>
      <w:tr w14:paraId="296BE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2AA317F6">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二级水表计量</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95%</w:t>
            </w:r>
          </w:p>
        </w:tc>
        <w:tc>
          <w:tcPr>
            <w:tcW w:w="1358" w:type="dxa"/>
            <w:shd w:val="clear" w:color="auto" w:fill="auto"/>
            <w:vAlign w:val="center"/>
          </w:tcPr>
          <w:p w14:paraId="12ABD59B">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r>
      <w:tr w14:paraId="6E37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781FEE08">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级水表计量</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85%</w:t>
            </w:r>
          </w:p>
        </w:tc>
        <w:tc>
          <w:tcPr>
            <w:tcW w:w="1358" w:type="dxa"/>
            <w:shd w:val="clear" w:color="auto" w:fill="auto"/>
            <w:vAlign w:val="center"/>
          </w:tcPr>
          <w:p w14:paraId="2D43437A">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r>
    </w:tbl>
    <w:p w14:paraId="514F50F1">
      <w:pPr>
        <w:adjustRightInd w:val="0"/>
        <w:snapToGrid w:val="0"/>
        <w:spacing w:line="440" w:lineRule="exact"/>
        <w:jc w:val="center"/>
        <w:rPr>
          <w:rFonts w:ascii="Times New Roman" w:hAnsi="Times New Roman" w:eastAsia="仿宋" w:cs="Times New Roman"/>
          <w:b/>
          <w:sz w:val="30"/>
          <w:szCs w:val="30"/>
        </w:rPr>
      </w:pPr>
      <w:r>
        <w:rPr>
          <w:rFonts w:ascii="Times New Roman" w:hAnsi="Times New Roman" w:eastAsia="仿宋_GB2312" w:cs="Times New Roman"/>
          <w:sz w:val="28"/>
          <w:szCs w:val="28"/>
        </w:rPr>
        <w:t>注：</w:t>
      </w:r>
      <w:r>
        <w:rPr>
          <w:rFonts w:hint="eastAsia" w:ascii="Times New Roman" w:hAnsi="Times New Roman" w:eastAsia="仿宋_GB2312" w:cs="Times New Roman"/>
          <w:sz w:val="28"/>
          <w:szCs w:val="28"/>
        </w:rPr>
        <w:t>若</w:t>
      </w:r>
      <w:r>
        <w:rPr>
          <w:rFonts w:ascii="Times New Roman" w:hAnsi="Times New Roman" w:eastAsia="仿宋_GB2312" w:cs="Times New Roman"/>
          <w:sz w:val="28"/>
          <w:szCs w:val="28"/>
        </w:rPr>
        <w:t>二级水表计量</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95%</w:t>
      </w:r>
      <w:r>
        <w:rPr>
          <w:rFonts w:hint="eastAsia" w:ascii="Times New Roman" w:hAnsi="Times New Roman" w:eastAsia="仿宋_GB2312" w:cs="Times New Roman"/>
          <w:sz w:val="28"/>
          <w:szCs w:val="28"/>
        </w:rPr>
        <w:t>且三</w:t>
      </w:r>
      <w:r>
        <w:rPr>
          <w:rFonts w:ascii="Times New Roman" w:hAnsi="Times New Roman" w:eastAsia="仿宋_GB2312" w:cs="Times New Roman"/>
          <w:sz w:val="28"/>
          <w:szCs w:val="28"/>
        </w:rPr>
        <w:t>级水表计量</w:t>
      </w:r>
      <w:r>
        <w:rPr>
          <w:rFonts w:hint="eastAsia" w:ascii="Times New Roman" w:hAnsi="Times New Roman" w:eastAsia="仿宋_GB2312" w:cs="Times New Roman"/>
          <w:sz w:val="28"/>
          <w:szCs w:val="28"/>
        </w:rPr>
        <w:t>率≥</w:t>
      </w:r>
      <w:r>
        <w:rPr>
          <w:rFonts w:ascii="Times New Roman" w:hAnsi="Times New Roman" w:eastAsia="仿宋_GB2312" w:cs="Times New Roman"/>
          <w:sz w:val="28"/>
          <w:szCs w:val="28"/>
        </w:rPr>
        <w:t>85%</w:t>
      </w:r>
      <w:r>
        <w:rPr>
          <w:rFonts w:hint="eastAsia" w:ascii="Times New Roman" w:hAnsi="Times New Roman" w:eastAsia="仿宋_GB2312" w:cs="Times New Roman"/>
          <w:sz w:val="28"/>
          <w:szCs w:val="28"/>
        </w:rPr>
        <w:t>，得5分</w:t>
      </w:r>
      <w:r>
        <w:rPr>
          <w:rFonts w:hint="eastAsia" w:ascii="Times New Roman" w:hAnsi="Times New Roman" w:eastAsia="仿宋" w:cs="Times New Roman"/>
          <w:sz w:val="30"/>
          <w:szCs w:val="30"/>
        </w:rPr>
        <w:t>。</w:t>
      </w:r>
    </w:p>
    <w:p w14:paraId="4F31013C">
      <w:pPr>
        <w:spacing w:before="120" w:after="120" w:line="4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投资</w:t>
      </w:r>
      <w:r>
        <w:rPr>
          <w:rFonts w:hint="eastAsia" w:ascii="Times New Roman" w:hAnsi="Times New Roman" w:eastAsia="仿宋_GB2312" w:cs="Times New Roman"/>
          <w:b/>
          <w:sz w:val="28"/>
          <w:szCs w:val="28"/>
        </w:rPr>
        <w:t>审定价</w:t>
      </w:r>
      <w:r>
        <w:rPr>
          <w:rFonts w:ascii="Times New Roman" w:hAnsi="Times New Roman" w:eastAsia="仿宋_GB2312" w:cs="Times New Roman"/>
          <w:b/>
          <w:sz w:val="28"/>
          <w:szCs w:val="28"/>
        </w:rPr>
        <w:t>评分标准</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97"/>
        <w:gridCol w:w="1467"/>
      </w:tblGrid>
      <w:tr w14:paraId="6ED01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60B98922">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投资</w:t>
            </w:r>
            <w:r>
              <w:rPr>
                <w:rFonts w:hint="eastAsia" w:ascii="黑体" w:hAnsi="黑体" w:eastAsia="黑体" w:cs="Times New Roman"/>
                <w:sz w:val="28"/>
                <w:szCs w:val="28"/>
              </w:rPr>
              <w:t>审定价</w:t>
            </w:r>
            <w:r>
              <w:rPr>
                <w:rFonts w:ascii="黑体" w:hAnsi="黑体" w:eastAsia="黑体" w:cs="Times New Roman"/>
                <w:sz w:val="28"/>
                <w:szCs w:val="28"/>
              </w:rPr>
              <w:t>范围（万元）</w:t>
            </w:r>
          </w:p>
        </w:tc>
        <w:tc>
          <w:tcPr>
            <w:tcW w:w="1358" w:type="dxa"/>
            <w:shd w:val="clear" w:color="auto" w:fill="auto"/>
            <w:vAlign w:val="center"/>
          </w:tcPr>
          <w:p w14:paraId="186383A7">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分值</w:t>
            </w:r>
          </w:p>
        </w:tc>
      </w:tr>
      <w:tr w14:paraId="542C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106BCBB6">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200</w:t>
            </w:r>
          </w:p>
        </w:tc>
        <w:tc>
          <w:tcPr>
            <w:tcW w:w="1358" w:type="dxa"/>
            <w:shd w:val="clear" w:color="auto" w:fill="auto"/>
            <w:vAlign w:val="center"/>
          </w:tcPr>
          <w:p w14:paraId="3503D0AF">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r w14:paraId="66BD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143D3131">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200（含）-</w:t>
            </w:r>
            <w:r>
              <w:rPr>
                <w:rFonts w:hint="eastAsia" w:ascii="Times New Roman" w:hAnsi="Times New Roman" w:eastAsia="仿宋_GB2312" w:cs="Times New Roman"/>
                <w:sz w:val="28"/>
                <w:szCs w:val="28"/>
              </w:rPr>
              <w:t>500</w:t>
            </w:r>
          </w:p>
        </w:tc>
        <w:tc>
          <w:tcPr>
            <w:tcW w:w="1358" w:type="dxa"/>
            <w:shd w:val="clear" w:color="auto" w:fill="auto"/>
            <w:vAlign w:val="center"/>
          </w:tcPr>
          <w:p w14:paraId="4D65A07F">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5</w:t>
            </w:r>
          </w:p>
        </w:tc>
      </w:tr>
      <w:tr w14:paraId="5D93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31818DAB">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500</w:t>
            </w:r>
            <w:r>
              <w:rPr>
                <w:rFonts w:ascii="Times New Roman" w:hAnsi="Times New Roman" w:eastAsia="仿宋_GB2312" w:cs="Times New Roman"/>
                <w:sz w:val="28"/>
                <w:szCs w:val="28"/>
              </w:rPr>
              <w:t>以上</w:t>
            </w:r>
            <w:r>
              <w:rPr>
                <w:rFonts w:hint="eastAsia" w:ascii="Times New Roman" w:hAnsi="Times New Roman" w:eastAsia="仿宋_GB2312" w:cs="Times New Roman"/>
                <w:sz w:val="28"/>
                <w:szCs w:val="28"/>
              </w:rPr>
              <w:t>（含）</w:t>
            </w:r>
          </w:p>
        </w:tc>
        <w:tc>
          <w:tcPr>
            <w:tcW w:w="1358" w:type="dxa"/>
            <w:shd w:val="clear" w:color="auto" w:fill="auto"/>
            <w:vAlign w:val="center"/>
          </w:tcPr>
          <w:p w14:paraId="52F7D5D2">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bl>
    <w:p w14:paraId="6E3AECDA">
      <w:pPr>
        <w:spacing w:before="120" w:after="120" w:line="4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项目类型评分标准</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97"/>
        <w:gridCol w:w="1467"/>
      </w:tblGrid>
      <w:tr w14:paraId="0C17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59EBBE57">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按项目类型</w:t>
            </w:r>
          </w:p>
        </w:tc>
        <w:tc>
          <w:tcPr>
            <w:tcW w:w="1358" w:type="dxa"/>
            <w:shd w:val="clear" w:color="auto" w:fill="auto"/>
            <w:vAlign w:val="center"/>
          </w:tcPr>
          <w:p w14:paraId="1BC1AEE2">
            <w:pPr>
              <w:adjustRightInd w:val="0"/>
              <w:snapToGrid w:val="0"/>
              <w:spacing w:line="440" w:lineRule="exact"/>
              <w:jc w:val="center"/>
              <w:rPr>
                <w:rFonts w:ascii="黑体" w:hAnsi="黑体" w:eastAsia="黑体" w:cs="Times New Roman"/>
                <w:sz w:val="28"/>
                <w:szCs w:val="28"/>
              </w:rPr>
            </w:pPr>
            <w:r>
              <w:rPr>
                <w:rFonts w:ascii="黑体" w:hAnsi="黑体" w:eastAsia="黑体" w:cs="Times New Roman"/>
                <w:sz w:val="28"/>
                <w:szCs w:val="28"/>
              </w:rPr>
              <w:t>分值</w:t>
            </w:r>
          </w:p>
        </w:tc>
      </w:tr>
      <w:tr w14:paraId="0A383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4769EB60">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冷却水循环</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管网改造</w:t>
            </w:r>
          </w:p>
        </w:tc>
        <w:tc>
          <w:tcPr>
            <w:tcW w:w="1358" w:type="dxa"/>
            <w:shd w:val="clear" w:color="auto" w:fill="auto"/>
            <w:vAlign w:val="center"/>
          </w:tcPr>
          <w:p w14:paraId="653043A7">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5</w:t>
            </w:r>
          </w:p>
        </w:tc>
      </w:tr>
      <w:tr w14:paraId="1A8B1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323AAB8E">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冷却水、工艺水、冷凝水</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循环</w:t>
            </w:r>
            <w:r>
              <w:rPr>
                <w:rFonts w:hint="eastAsia" w:ascii="Times New Roman" w:hAnsi="Times New Roman" w:eastAsia="仿宋_GB2312" w:cs="Times New Roman"/>
                <w:sz w:val="28"/>
                <w:szCs w:val="28"/>
              </w:rPr>
              <w:t>/串联</w:t>
            </w:r>
          </w:p>
        </w:tc>
        <w:tc>
          <w:tcPr>
            <w:tcW w:w="1358" w:type="dxa"/>
            <w:shd w:val="clear" w:color="auto" w:fill="auto"/>
            <w:vAlign w:val="center"/>
          </w:tcPr>
          <w:p w14:paraId="4771FCD2">
            <w:pPr>
              <w:adjustRightInd w:val="0"/>
              <w:snapToGrid w:val="0"/>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r w14:paraId="33E79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034" w:type="dxa"/>
            <w:shd w:val="clear" w:color="auto" w:fill="auto"/>
            <w:vAlign w:val="center"/>
          </w:tcPr>
          <w:p w14:paraId="6DCA9FD0">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中</w:t>
            </w:r>
            <w:r>
              <w:rPr>
                <w:rFonts w:ascii="Times New Roman" w:hAnsi="Times New Roman" w:eastAsia="仿宋_GB2312" w:cs="Times New Roman"/>
                <w:sz w:val="28"/>
                <w:szCs w:val="28"/>
              </w:rPr>
              <w:t>水回用/更新生产</w:t>
            </w:r>
            <w:r>
              <w:rPr>
                <w:rFonts w:hint="eastAsia" w:ascii="Times New Roman" w:hAnsi="Times New Roman" w:eastAsia="仿宋_GB2312" w:cs="Times New Roman"/>
                <w:sz w:val="28"/>
                <w:szCs w:val="28"/>
              </w:rPr>
              <w:t>（用水）</w:t>
            </w:r>
            <w:r>
              <w:rPr>
                <w:rFonts w:ascii="Times New Roman" w:hAnsi="Times New Roman" w:eastAsia="仿宋_GB2312" w:cs="Times New Roman"/>
                <w:sz w:val="28"/>
                <w:szCs w:val="28"/>
              </w:rPr>
              <w:t>工艺、技术和装备</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非常规水源开发利用</w:t>
            </w:r>
            <w:r>
              <w:rPr>
                <w:rFonts w:hint="eastAsia" w:ascii="Times New Roman" w:hAnsi="Times New Roman" w:eastAsia="仿宋_GB2312" w:cs="Times New Roman"/>
                <w:sz w:val="28"/>
                <w:szCs w:val="28"/>
              </w:rPr>
              <w:t>（有计量）</w:t>
            </w:r>
          </w:p>
        </w:tc>
        <w:tc>
          <w:tcPr>
            <w:tcW w:w="1358" w:type="dxa"/>
            <w:shd w:val="clear" w:color="auto" w:fill="auto"/>
            <w:vAlign w:val="center"/>
          </w:tcPr>
          <w:p w14:paraId="6564762A">
            <w:pPr>
              <w:adjustRightInd w:val="0"/>
              <w:snapToGrid w:val="0"/>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25</w:t>
            </w:r>
          </w:p>
        </w:tc>
      </w:tr>
    </w:tbl>
    <w:p w14:paraId="58CF67C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注：以本次申报节水量中占比最大的项目类型进行计分。</w:t>
      </w:r>
    </w:p>
    <w:p w14:paraId="7D173D76">
      <w:pPr>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（二）水平衡测</w:t>
      </w:r>
      <w:r>
        <w:rPr>
          <w:rFonts w:ascii="Times New Roman" w:hAnsi="Times New Roman" w:eastAsia="仿宋_GB2312" w:cs="Times New Roman"/>
          <w:sz w:val="32"/>
          <w:szCs w:val="32"/>
        </w:rPr>
        <w:t>试</w:t>
      </w:r>
    </w:p>
    <w:p w14:paraId="6DE32691">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测试对象</w:t>
      </w:r>
    </w:p>
    <w:p w14:paraId="5AE4CF53">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纳入计划用水管理的用水单位。其中，重点计划用水户应当每三年开展一次水平衡测试，其他计划用水户应当每五年开展一次水平衡测试。水平衡测试可以由用水单位自行组织测试或者委托测试服务机构进行。</w:t>
      </w:r>
    </w:p>
    <w:p w14:paraId="4D8CC002">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测试要求</w:t>
      </w:r>
    </w:p>
    <w:p w14:paraId="27140634">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用水单位应当按照国家规范要求自行完善用水计量设施，满足日常用水节水管理和水平衡测试要求。</w:t>
      </w:r>
    </w:p>
    <w:p w14:paraId="7756A73B">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水平衡测试应当配备必要的并经市场监督管理部门检定合格的计量检测仪器设备，直接从事水平衡测试的人员应当具备节水管理、给排水和专业测试、分析技能，熟练掌握相关法律法规和规范标准，必须严格按照</w:t>
      </w:r>
      <w:r>
        <w:rPr>
          <w:rFonts w:ascii="Times New Roman" w:hAnsi="Times New Roman" w:eastAsia="仿宋_GB2312" w:cs="Times New Roman"/>
          <w:snapToGrid w:val="0"/>
          <w:kern w:val="0"/>
          <w:sz w:val="32"/>
          <w:szCs w:val="32"/>
        </w:rPr>
        <w:t>《水平衡测试通则》(GB/T 12452-2022)</w:t>
      </w:r>
      <w:r>
        <w:rPr>
          <w:rFonts w:ascii="Times New Roman" w:hAnsi="Times New Roman" w:eastAsia="仿宋_GB2312" w:cs="Times New Roman"/>
          <w:sz w:val="32"/>
          <w:szCs w:val="32"/>
        </w:rPr>
        <w:t>的技术要求进行水量平衡测试。</w:t>
      </w:r>
    </w:p>
    <w:p w14:paraId="5C82D521">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 xml:space="preserve"> </w:t>
      </w:r>
      <w:r>
        <w:rPr>
          <w:rFonts w:ascii="Times New Roman" w:hAnsi="Times New Roman" w:eastAsia="仿宋_GB2312" w:cs="Times New Roman"/>
          <w:b/>
          <w:bCs/>
          <w:sz w:val="32"/>
          <w:szCs w:val="32"/>
        </w:rPr>
        <w:t>补助标准</w:t>
      </w:r>
    </w:p>
    <w:p w14:paraId="32B50799">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平衡测试通过水行政主管部门验收后，对委托测试服务机构开展测试的用水单位给予一次性资金补助。补助金额标准参照《常州市水平衡测试补助金额测算表》（详见附表3），最终补助额度不高于用水单位和测试服务机构签订的合同价。</w:t>
      </w:r>
    </w:p>
    <w:p w14:paraId="05D68A78">
      <w:pPr>
        <w:ind w:firstLine="640" w:firstLineChars="200"/>
        <w:rPr>
          <w:rFonts w:ascii="黑体" w:hAnsi="黑体" w:eastAsia="黑体" w:cs="Times New Roman"/>
          <w:sz w:val="32"/>
          <w:szCs w:val="32"/>
        </w:rPr>
      </w:pPr>
      <w:r>
        <w:rPr>
          <w:rFonts w:ascii="黑体" w:hAnsi="黑体" w:eastAsia="黑体" w:cs="Times New Roman"/>
          <w:sz w:val="32"/>
          <w:szCs w:val="32"/>
        </w:rPr>
        <w:t>四、其他事项</w:t>
      </w:r>
    </w:p>
    <w:p w14:paraId="0443ECA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资金补助范围为新北区、天宁区、钟楼区及常州经开区。溧阳市、金坛区及武进区可自行制定资金补助标准或参照执行。</w:t>
      </w:r>
    </w:p>
    <w:p w14:paraId="4F3A280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使用节水专项资金必须坚持突出重点、注重实效、科学管理、规范使用、专款专用的原则。各有关单位要严格规范资金使用流程，确保补助资金用于节水工作，不得用于个人奖励，并切实加强节水长效管理。</w:t>
      </w:r>
    </w:p>
    <w:p w14:paraId="31B95811">
      <w:pPr>
        <w:rPr>
          <w:rFonts w:ascii="Times New Roman" w:hAnsi="Times New Roman" w:eastAsia="方正仿宋_GBK" w:cs="Times New Roman"/>
          <w:sz w:val="32"/>
          <w:szCs w:val="32"/>
        </w:rPr>
      </w:pPr>
    </w:p>
    <w:p w14:paraId="4DDBCAFF">
      <w:pPr>
        <w:jc w:val="left"/>
        <w:rPr>
          <w:rFonts w:ascii="Times New Roman" w:hAnsi="Times New Roman" w:eastAsia="方正黑体_GBK" w:cs="Times New Roman"/>
          <w:sz w:val="32"/>
          <w:szCs w:val="32"/>
        </w:rPr>
      </w:pPr>
    </w:p>
    <w:p w14:paraId="3829399E">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14:paraId="697F7929">
      <w:pPr>
        <w:jc w:val="left"/>
        <w:rPr>
          <w:rFonts w:ascii="Times New Roman" w:hAnsi="Times New Roman" w:eastAsia="黑体" w:cs="Times New Roman"/>
          <w:sz w:val="32"/>
          <w:szCs w:val="32"/>
        </w:rPr>
      </w:pPr>
      <w:r>
        <w:rPr>
          <w:rFonts w:ascii="Times New Roman" w:hAnsi="黑体" w:eastAsia="黑体" w:cs="Times New Roman"/>
          <w:sz w:val="32"/>
          <w:szCs w:val="32"/>
        </w:rPr>
        <w:t>附表</w:t>
      </w:r>
      <w:r>
        <w:rPr>
          <w:rFonts w:ascii="Times New Roman" w:hAnsi="Times New Roman" w:eastAsia="黑体" w:cs="Times New Roman"/>
          <w:sz w:val="32"/>
          <w:szCs w:val="32"/>
        </w:rPr>
        <w:t>1</w:t>
      </w:r>
    </w:p>
    <w:p w14:paraId="06656C40">
      <w:pPr>
        <w:spacing w:before="240" w:after="240"/>
        <w:jc w:val="center"/>
        <w:rPr>
          <w:rFonts w:ascii="方正小标宋_GBK" w:hAnsi="Times New Roman" w:eastAsia="方正小标宋_GBK" w:cs="Times New Roman"/>
          <w:color w:val="000000" w:themeColor="text1"/>
          <w:sz w:val="44"/>
          <w:szCs w:val="44"/>
          <w:highlight w:val="yellow"/>
        </w:rPr>
      </w:pPr>
      <w:r>
        <w:rPr>
          <w:rFonts w:hint="eastAsia" w:ascii="方正小标宋_GBK" w:hAnsi="方正小标宋简体" w:eastAsia="方正小标宋_GBK" w:cs="方正小标宋简体"/>
          <w:color w:val="000000" w:themeColor="text1"/>
          <w:sz w:val="44"/>
          <w:szCs w:val="44"/>
        </w:rPr>
        <w:t>常州市节水补助资金申请表</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48"/>
        <w:gridCol w:w="2264"/>
        <w:gridCol w:w="2266"/>
        <w:gridCol w:w="2286"/>
      </w:tblGrid>
      <w:tr w14:paraId="6BEF6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vAlign w:val="center"/>
          </w:tcPr>
          <w:p w14:paraId="6A9E41A1">
            <w:pPr>
              <w:adjustRightInd w:val="0"/>
              <w:snapToGrid w:val="0"/>
              <w:spacing w:line="300" w:lineRule="exact"/>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一、项目基本情况</w:t>
            </w:r>
          </w:p>
        </w:tc>
      </w:tr>
      <w:tr w14:paraId="4CE9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40" w:type="pct"/>
            <w:vAlign w:val="center"/>
          </w:tcPr>
          <w:p w14:paraId="50F11618">
            <w:pPr>
              <w:adjustRightInd w:val="0"/>
              <w:snapToGrid w:val="0"/>
              <w:spacing w:line="300" w:lineRule="exact"/>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申请单位名称</w:t>
            </w:r>
          </w:p>
          <w:p w14:paraId="571431E4">
            <w:pPr>
              <w:adjustRightInd w:val="0"/>
              <w:snapToGrid w:val="0"/>
              <w:spacing w:line="300" w:lineRule="exact"/>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（盖章）</w:t>
            </w:r>
          </w:p>
        </w:tc>
        <w:tc>
          <w:tcPr>
            <w:tcW w:w="3760" w:type="pct"/>
            <w:gridSpan w:val="3"/>
            <w:vAlign w:val="center"/>
          </w:tcPr>
          <w:p w14:paraId="41B95082">
            <w:pPr>
              <w:adjustRightInd w:val="0"/>
              <w:snapToGrid w:val="0"/>
              <w:spacing w:line="300" w:lineRule="exact"/>
              <w:rPr>
                <w:rFonts w:ascii="Times New Roman" w:hAnsi="Times New Roman" w:cs="Times New Roman"/>
                <w:color w:val="000000" w:themeColor="text1"/>
                <w:kern w:val="0"/>
                <w:szCs w:val="21"/>
              </w:rPr>
            </w:pPr>
          </w:p>
          <w:p w14:paraId="2581EDB1">
            <w:pPr>
              <w:adjustRightInd w:val="0"/>
              <w:snapToGrid w:val="0"/>
              <w:spacing w:line="300" w:lineRule="exact"/>
              <w:jc w:val="center"/>
              <w:rPr>
                <w:rFonts w:ascii="Times New Roman" w:hAnsi="Times New Roman" w:cs="Times New Roman"/>
                <w:color w:val="000000" w:themeColor="text1"/>
                <w:kern w:val="0"/>
                <w:szCs w:val="21"/>
              </w:rPr>
            </w:pPr>
          </w:p>
        </w:tc>
      </w:tr>
      <w:tr w14:paraId="0AFF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40" w:type="pct"/>
            <w:vAlign w:val="center"/>
          </w:tcPr>
          <w:p w14:paraId="6BA217AE">
            <w:pPr>
              <w:adjustRightInd w:val="0"/>
              <w:snapToGrid w:val="0"/>
              <w:spacing w:line="300" w:lineRule="exact"/>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申报依据</w:t>
            </w:r>
          </w:p>
        </w:tc>
        <w:tc>
          <w:tcPr>
            <w:tcW w:w="3760" w:type="pct"/>
            <w:gridSpan w:val="3"/>
            <w:vAlign w:val="center"/>
          </w:tcPr>
          <w:p w14:paraId="6064D48C">
            <w:pPr>
              <w:adjustRightInd w:val="0"/>
              <w:snapToGrid w:val="0"/>
              <w:spacing w:line="300" w:lineRule="exact"/>
              <w:rPr>
                <w:rFonts w:ascii="Times New Roman" w:hAnsi="Times New Roman" w:cs="Times New Roman"/>
                <w:color w:val="000000" w:themeColor="text1"/>
                <w:kern w:val="0"/>
                <w:szCs w:val="21"/>
              </w:rPr>
            </w:pPr>
          </w:p>
        </w:tc>
      </w:tr>
      <w:tr w14:paraId="2EE9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40" w:type="pct"/>
            <w:vAlign w:val="center"/>
          </w:tcPr>
          <w:p w14:paraId="3D2052DC">
            <w:pPr>
              <w:adjustRightInd w:val="0"/>
              <w:snapToGrid w:val="0"/>
              <w:spacing w:line="300" w:lineRule="exact"/>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申报项目</w:t>
            </w:r>
          </w:p>
        </w:tc>
        <w:tc>
          <w:tcPr>
            <w:tcW w:w="1249" w:type="pct"/>
            <w:vAlign w:val="center"/>
          </w:tcPr>
          <w:p w14:paraId="33C278B3">
            <w:pPr>
              <w:adjustRightInd w:val="0"/>
              <w:snapToGrid w:val="0"/>
              <w:spacing w:line="300" w:lineRule="exact"/>
              <w:rPr>
                <w:rFonts w:ascii="Times New Roman" w:hAnsi="Times New Roman" w:cs="Times New Roman"/>
                <w:color w:val="000000" w:themeColor="text1"/>
                <w:kern w:val="0"/>
                <w:szCs w:val="21"/>
              </w:rPr>
            </w:pPr>
          </w:p>
        </w:tc>
        <w:tc>
          <w:tcPr>
            <w:tcW w:w="1250" w:type="pct"/>
            <w:vAlign w:val="center"/>
          </w:tcPr>
          <w:p w14:paraId="0E8E704C">
            <w:pPr>
              <w:adjustRightInd w:val="0"/>
              <w:snapToGrid w:val="0"/>
              <w:spacing w:line="300" w:lineRule="exact"/>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申报补助金额</w:t>
            </w:r>
          </w:p>
          <w:p w14:paraId="0FB1C349">
            <w:pPr>
              <w:adjustRightInd w:val="0"/>
              <w:snapToGrid w:val="0"/>
              <w:spacing w:line="300" w:lineRule="exact"/>
              <w:jc w:val="center"/>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（万元）</w:t>
            </w:r>
          </w:p>
        </w:tc>
        <w:tc>
          <w:tcPr>
            <w:tcW w:w="1261" w:type="pct"/>
            <w:vAlign w:val="center"/>
          </w:tcPr>
          <w:p w14:paraId="79A222F5">
            <w:pPr>
              <w:adjustRightInd w:val="0"/>
              <w:snapToGrid w:val="0"/>
              <w:spacing w:line="300" w:lineRule="exact"/>
              <w:rPr>
                <w:rFonts w:ascii="Times New Roman" w:hAnsi="Times New Roman" w:cs="Times New Roman"/>
                <w:color w:val="000000" w:themeColor="text1"/>
                <w:kern w:val="0"/>
                <w:szCs w:val="21"/>
              </w:rPr>
            </w:pPr>
          </w:p>
        </w:tc>
      </w:tr>
      <w:tr w14:paraId="7A3F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4"/>
            <w:vAlign w:val="center"/>
          </w:tcPr>
          <w:p w14:paraId="21F3AF37">
            <w:pPr>
              <w:adjustRightInd w:val="0"/>
              <w:snapToGrid w:val="0"/>
              <w:spacing w:line="300" w:lineRule="exact"/>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二、单位审核意见</w:t>
            </w:r>
          </w:p>
        </w:tc>
      </w:tr>
      <w:tr w14:paraId="21BF1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04" w:hRule="atLeast"/>
          <w:jc w:val="center"/>
        </w:trPr>
        <w:tc>
          <w:tcPr>
            <w:tcW w:w="5000" w:type="pct"/>
            <w:gridSpan w:val="4"/>
          </w:tcPr>
          <w:p w14:paraId="4DF10419">
            <w:pPr>
              <w:adjustRightInd w:val="0"/>
              <w:snapToGrid w:val="0"/>
              <w:spacing w:line="300" w:lineRule="exact"/>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辖区水行政主管部门：</w:t>
            </w:r>
          </w:p>
          <w:p w14:paraId="77D3FE02">
            <w:pPr>
              <w:adjustRightInd w:val="0"/>
              <w:snapToGrid w:val="0"/>
              <w:spacing w:line="300" w:lineRule="exact"/>
              <w:rPr>
                <w:rFonts w:ascii="Times New Roman" w:hAnsi="Times New Roman" w:cs="Times New Roman"/>
                <w:color w:val="000000" w:themeColor="text1"/>
                <w:kern w:val="0"/>
                <w:szCs w:val="21"/>
              </w:rPr>
            </w:pPr>
          </w:p>
          <w:p w14:paraId="61A047BA">
            <w:pPr>
              <w:adjustRightInd w:val="0"/>
              <w:snapToGrid w:val="0"/>
              <w:spacing w:line="300" w:lineRule="exact"/>
              <w:rPr>
                <w:rFonts w:hint="eastAsia" w:ascii="Times New Roman" w:hAnsi="Times New Roman" w:cs="Times New Roman"/>
                <w:color w:val="000000" w:themeColor="text1"/>
                <w:kern w:val="0"/>
                <w:szCs w:val="21"/>
              </w:rPr>
            </w:pPr>
          </w:p>
          <w:p w14:paraId="3774F654">
            <w:pPr>
              <w:adjustRightInd w:val="0"/>
              <w:snapToGrid w:val="0"/>
              <w:spacing w:line="300" w:lineRule="exact"/>
              <w:rPr>
                <w:rFonts w:hint="eastAsia" w:ascii="Times New Roman" w:hAnsi="Times New Roman" w:cs="Times New Roman"/>
                <w:color w:val="000000" w:themeColor="text1"/>
                <w:kern w:val="0"/>
                <w:szCs w:val="21"/>
              </w:rPr>
            </w:pPr>
          </w:p>
          <w:p w14:paraId="4ACBED10">
            <w:pPr>
              <w:adjustRightInd w:val="0"/>
              <w:snapToGrid w:val="0"/>
              <w:spacing w:line="300" w:lineRule="exact"/>
              <w:rPr>
                <w:rFonts w:ascii="Times New Roman" w:hAnsi="Times New Roman" w:cs="Times New Roman"/>
                <w:color w:val="000000" w:themeColor="text1"/>
                <w:kern w:val="0"/>
                <w:szCs w:val="21"/>
              </w:rPr>
            </w:pPr>
          </w:p>
          <w:p w14:paraId="016507B3">
            <w:pPr>
              <w:adjustRightInd w:val="0"/>
              <w:snapToGrid w:val="0"/>
              <w:spacing w:line="300" w:lineRule="exact"/>
              <w:rPr>
                <w:rFonts w:ascii="Times New Roman" w:hAnsi="Times New Roman" w:cs="Times New Roman"/>
                <w:color w:val="000000" w:themeColor="text1"/>
                <w:kern w:val="0"/>
                <w:szCs w:val="21"/>
              </w:rPr>
            </w:pPr>
          </w:p>
          <w:p w14:paraId="7F69649E">
            <w:pPr>
              <w:adjustRightInd w:val="0"/>
              <w:snapToGrid w:val="0"/>
              <w:spacing w:line="300" w:lineRule="exact"/>
              <w:ind w:firstLine="6720" w:firstLineChars="3200"/>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（公章）</w:t>
            </w:r>
          </w:p>
          <w:p w14:paraId="43B7A47C">
            <w:pPr>
              <w:adjustRightInd w:val="0"/>
              <w:snapToGrid w:val="0"/>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年</w:t>
            </w: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月</w:t>
            </w: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日</w:t>
            </w:r>
          </w:p>
        </w:tc>
      </w:tr>
      <w:tr w14:paraId="3383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7" w:hRule="atLeast"/>
          <w:jc w:val="center"/>
        </w:trPr>
        <w:tc>
          <w:tcPr>
            <w:tcW w:w="5000" w:type="pct"/>
            <w:gridSpan w:val="4"/>
          </w:tcPr>
          <w:p w14:paraId="1E83B03B">
            <w:pPr>
              <w:adjustRightInd w:val="0"/>
              <w:snapToGrid w:val="0"/>
              <w:spacing w:line="300" w:lineRule="exact"/>
              <w:rPr>
                <w:rFonts w:ascii="Times New Roman" w:hAnsi="Times New Roman" w:cs="Times New Roman"/>
                <w:color w:val="000000" w:themeColor="text1"/>
                <w:kern w:val="0"/>
                <w:szCs w:val="21"/>
              </w:rPr>
            </w:pPr>
            <w:r>
              <w:rPr>
                <w:rFonts w:ascii="Times New Roman" w:cs="Times New Roman" w:hAnsiTheme="minorEastAsia"/>
                <w:color w:val="000000" w:themeColor="text1"/>
                <w:kern w:val="0"/>
                <w:szCs w:val="21"/>
              </w:rPr>
              <w:t>市水利局：</w:t>
            </w:r>
          </w:p>
          <w:p w14:paraId="0EF05C00">
            <w:pPr>
              <w:adjustRightInd w:val="0"/>
              <w:snapToGrid w:val="0"/>
              <w:spacing w:line="300" w:lineRule="exact"/>
              <w:rPr>
                <w:rFonts w:ascii="Times New Roman" w:hAnsi="Times New Roman" w:cs="Times New Roman"/>
                <w:color w:val="000000" w:themeColor="text1"/>
                <w:kern w:val="0"/>
                <w:szCs w:val="21"/>
              </w:rPr>
            </w:pPr>
          </w:p>
          <w:p w14:paraId="7FDF0A7D">
            <w:pPr>
              <w:adjustRightInd w:val="0"/>
              <w:snapToGrid w:val="0"/>
              <w:spacing w:line="300" w:lineRule="exact"/>
              <w:rPr>
                <w:rFonts w:hint="eastAsia" w:ascii="Times New Roman" w:hAnsi="Times New Roman" w:cs="Times New Roman"/>
                <w:color w:val="000000" w:themeColor="text1"/>
                <w:kern w:val="0"/>
                <w:szCs w:val="21"/>
              </w:rPr>
            </w:pPr>
          </w:p>
          <w:p w14:paraId="4BFC3B19">
            <w:pPr>
              <w:adjustRightInd w:val="0"/>
              <w:snapToGrid w:val="0"/>
              <w:spacing w:line="300" w:lineRule="exact"/>
              <w:rPr>
                <w:rFonts w:hint="eastAsia" w:ascii="Times New Roman" w:hAnsi="Times New Roman" w:cs="Times New Roman"/>
                <w:color w:val="000000" w:themeColor="text1"/>
                <w:kern w:val="0"/>
                <w:szCs w:val="21"/>
              </w:rPr>
            </w:pPr>
          </w:p>
          <w:p w14:paraId="6B662A2F">
            <w:pPr>
              <w:adjustRightInd w:val="0"/>
              <w:snapToGrid w:val="0"/>
              <w:spacing w:line="300" w:lineRule="exact"/>
              <w:rPr>
                <w:rFonts w:ascii="Times New Roman" w:hAnsi="Times New Roman" w:cs="Times New Roman"/>
                <w:color w:val="000000" w:themeColor="text1"/>
                <w:kern w:val="0"/>
                <w:szCs w:val="21"/>
              </w:rPr>
            </w:pPr>
          </w:p>
          <w:p w14:paraId="59EFA818">
            <w:pPr>
              <w:adjustRightInd w:val="0"/>
              <w:snapToGrid w:val="0"/>
              <w:spacing w:line="300" w:lineRule="exact"/>
              <w:rPr>
                <w:rFonts w:ascii="Times New Roman" w:hAnsi="Times New Roman" w:cs="Times New Roman"/>
                <w:color w:val="000000" w:themeColor="text1"/>
                <w:kern w:val="0"/>
                <w:szCs w:val="21"/>
              </w:rPr>
            </w:pPr>
          </w:p>
          <w:p w14:paraId="1B3F7728">
            <w:pPr>
              <w:adjustRightInd w:val="0"/>
              <w:snapToGrid w:val="0"/>
              <w:spacing w:line="300" w:lineRule="exact"/>
              <w:ind w:firstLine="6510" w:firstLineChars="3100"/>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（公章）</w:t>
            </w:r>
          </w:p>
          <w:p w14:paraId="5A553B89">
            <w:pPr>
              <w:adjustRightInd w:val="0"/>
              <w:snapToGrid w:val="0"/>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年</w:t>
            </w: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月</w:t>
            </w:r>
            <w:r>
              <w:rPr>
                <w:rFonts w:ascii="Times New Roman" w:hAnsi="Times New Roman" w:cs="Times New Roman"/>
                <w:color w:val="000000" w:themeColor="text1"/>
                <w:kern w:val="0"/>
                <w:szCs w:val="21"/>
              </w:rPr>
              <w:t xml:space="preserve">   </w:t>
            </w:r>
            <w:r>
              <w:rPr>
                <w:rFonts w:ascii="Times New Roman" w:cs="Times New Roman" w:hAnsiTheme="minorEastAsia"/>
                <w:color w:val="000000" w:themeColor="text1"/>
                <w:kern w:val="0"/>
                <w:szCs w:val="21"/>
              </w:rPr>
              <w:t>日</w:t>
            </w:r>
          </w:p>
          <w:p w14:paraId="74F44376">
            <w:pPr>
              <w:adjustRightInd w:val="0"/>
              <w:snapToGrid w:val="0"/>
              <w:spacing w:line="300" w:lineRule="exact"/>
              <w:rPr>
                <w:rFonts w:ascii="Times New Roman" w:hAnsi="Times New Roman" w:cs="Times New Roman"/>
                <w:color w:val="000000" w:themeColor="text1"/>
                <w:kern w:val="0"/>
                <w:szCs w:val="21"/>
              </w:rPr>
            </w:pPr>
          </w:p>
        </w:tc>
      </w:tr>
    </w:tbl>
    <w:p w14:paraId="68685B11">
      <w:pPr>
        <w:widowControl/>
        <w:spacing w:line="240" w:lineRule="auto"/>
        <w:jc w:val="left"/>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br w:type="page"/>
      </w:r>
    </w:p>
    <w:p w14:paraId="3E884237">
      <w:pPr>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w:t>
      </w:r>
      <w:r>
        <w:rPr>
          <w:rFonts w:ascii="Times New Roman" w:hAnsi="Times New Roman" w:eastAsia="黑体" w:cs="Times New Roman"/>
          <w:sz w:val="32"/>
          <w:szCs w:val="32"/>
        </w:rPr>
        <w:t>2</w:t>
      </w:r>
    </w:p>
    <w:p w14:paraId="74E6F364">
      <w:pPr>
        <w:spacing w:before="240" w:after="240"/>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常州市区节水补助资金申请汇总表</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5"/>
        <w:gridCol w:w="2127"/>
        <w:gridCol w:w="3118"/>
        <w:gridCol w:w="1739"/>
        <w:gridCol w:w="1405"/>
      </w:tblGrid>
      <w:tr w14:paraId="43CD8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Align w:val="center"/>
          </w:tcPr>
          <w:p w14:paraId="44F70227">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序号</w:t>
            </w:r>
          </w:p>
        </w:tc>
        <w:tc>
          <w:tcPr>
            <w:tcW w:w="2127" w:type="dxa"/>
            <w:vAlign w:val="center"/>
          </w:tcPr>
          <w:p w14:paraId="6826CB3D">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项目</w:t>
            </w:r>
          </w:p>
        </w:tc>
        <w:tc>
          <w:tcPr>
            <w:tcW w:w="3118" w:type="dxa"/>
            <w:vAlign w:val="center"/>
          </w:tcPr>
          <w:p w14:paraId="7B5FF4E0">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申请单位</w:t>
            </w:r>
          </w:p>
        </w:tc>
        <w:tc>
          <w:tcPr>
            <w:tcW w:w="1739" w:type="dxa"/>
            <w:vAlign w:val="center"/>
          </w:tcPr>
          <w:p w14:paraId="3961D8BE">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补助金额</w:t>
            </w:r>
          </w:p>
          <w:p w14:paraId="38A88A95">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（万元）</w:t>
            </w:r>
          </w:p>
        </w:tc>
        <w:tc>
          <w:tcPr>
            <w:tcW w:w="1405" w:type="dxa"/>
            <w:vAlign w:val="center"/>
          </w:tcPr>
          <w:p w14:paraId="2125C088">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合计</w:t>
            </w:r>
          </w:p>
          <w:p w14:paraId="2EF842FE">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（万元）</w:t>
            </w:r>
          </w:p>
        </w:tc>
      </w:tr>
      <w:tr w14:paraId="3CB9C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restart"/>
            <w:vAlign w:val="center"/>
          </w:tcPr>
          <w:p w14:paraId="7456282E">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1</w:t>
            </w:r>
          </w:p>
        </w:tc>
        <w:tc>
          <w:tcPr>
            <w:tcW w:w="2127" w:type="dxa"/>
            <w:vMerge w:val="restart"/>
            <w:vAlign w:val="center"/>
          </w:tcPr>
          <w:p w14:paraId="1AC1AA96">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市级节水技改项目</w:t>
            </w:r>
          </w:p>
        </w:tc>
        <w:tc>
          <w:tcPr>
            <w:tcW w:w="3118" w:type="dxa"/>
            <w:vAlign w:val="center"/>
          </w:tcPr>
          <w:p w14:paraId="182B3750">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3E6186BF">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restart"/>
            <w:vAlign w:val="center"/>
          </w:tcPr>
          <w:p w14:paraId="337CE831">
            <w:pPr>
              <w:adjustRightInd w:val="0"/>
              <w:snapToGrid w:val="0"/>
              <w:spacing w:line="400" w:lineRule="exact"/>
              <w:jc w:val="center"/>
              <w:rPr>
                <w:rFonts w:ascii="Times New Roman" w:cs="Times New Roman" w:hAnsiTheme="minorEastAsia"/>
                <w:color w:val="000000" w:themeColor="text1"/>
                <w:kern w:val="0"/>
                <w:szCs w:val="21"/>
              </w:rPr>
            </w:pPr>
          </w:p>
        </w:tc>
      </w:tr>
      <w:tr w14:paraId="5696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14:paraId="6947B19F">
            <w:pPr>
              <w:adjustRightInd w:val="0"/>
              <w:snapToGrid w:val="0"/>
              <w:spacing w:line="400" w:lineRule="exact"/>
              <w:jc w:val="center"/>
              <w:rPr>
                <w:rFonts w:ascii="Times New Roman" w:cs="Times New Roman" w:hAnsiTheme="minorEastAsia"/>
                <w:color w:val="000000" w:themeColor="text1"/>
                <w:kern w:val="0"/>
                <w:szCs w:val="21"/>
              </w:rPr>
            </w:pPr>
          </w:p>
        </w:tc>
        <w:tc>
          <w:tcPr>
            <w:tcW w:w="2127" w:type="dxa"/>
            <w:vMerge w:val="continue"/>
            <w:vAlign w:val="center"/>
          </w:tcPr>
          <w:p w14:paraId="346A1A58">
            <w:pPr>
              <w:adjustRightInd w:val="0"/>
              <w:snapToGrid w:val="0"/>
              <w:spacing w:line="400" w:lineRule="exact"/>
              <w:jc w:val="center"/>
              <w:rPr>
                <w:rFonts w:ascii="Times New Roman" w:cs="Times New Roman" w:hAnsiTheme="minorEastAsia"/>
                <w:color w:val="000000" w:themeColor="text1"/>
                <w:kern w:val="0"/>
                <w:szCs w:val="21"/>
              </w:rPr>
            </w:pPr>
          </w:p>
        </w:tc>
        <w:tc>
          <w:tcPr>
            <w:tcW w:w="3118" w:type="dxa"/>
            <w:vAlign w:val="center"/>
          </w:tcPr>
          <w:p w14:paraId="50583CBA">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602DC027">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continue"/>
            <w:vAlign w:val="center"/>
          </w:tcPr>
          <w:p w14:paraId="474E6065">
            <w:pPr>
              <w:adjustRightInd w:val="0"/>
              <w:snapToGrid w:val="0"/>
              <w:spacing w:line="400" w:lineRule="exact"/>
              <w:jc w:val="center"/>
              <w:rPr>
                <w:rFonts w:ascii="Times New Roman" w:cs="Times New Roman" w:hAnsiTheme="minorEastAsia"/>
                <w:color w:val="000000" w:themeColor="text1"/>
                <w:kern w:val="0"/>
                <w:szCs w:val="21"/>
              </w:rPr>
            </w:pPr>
          </w:p>
        </w:tc>
      </w:tr>
      <w:tr w14:paraId="5EE2F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14:paraId="3CABE097">
            <w:pPr>
              <w:adjustRightInd w:val="0"/>
              <w:snapToGrid w:val="0"/>
              <w:spacing w:line="400" w:lineRule="exact"/>
              <w:jc w:val="center"/>
              <w:rPr>
                <w:rFonts w:ascii="Times New Roman" w:cs="Times New Roman" w:hAnsiTheme="minorEastAsia"/>
                <w:color w:val="000000" w:themeColor="text1"/>
                <w:kern w:val="0"/>
                <w:szCs w:val="21"/>
              </w:rPr>
            </w:pPr>
          </w:p>
        </w:tc>
        <w:tc>
          <w:tcPr>
            <w:tcW w:w="2127" w:type="dxa"/>
            <w:vMerge w:val="continue"/>
            <w:vAlign w:val="center"/>
          </w:tcPr>
          <w:p w14:paraId="16D484DD">
            <w:pPr>
              <w:adjustRightInd w:val="0"/>
              <w:snapToGrid w:val="0"/>
              <w:spacing w:line="400" w:lineRule="exact"/>
              <w:jc w:val="center"/>
              <w:rPr>
                <w:rFonts w:ascii="Times New Roman" w:cs="Times New Roman" w:hAnsiTheme="minorEastAsia"/>
                <w:color w:val="000000" w:themeColor="text1"/>
                <w:kern w:val="0"/>
                <w:szCs w:val="21"/>
              </w:rPr>
            </w:pPr>
          </w:p>
        </w:tc>
        <w:tc>
          <w:tcPr>
            <w:tcW w:w="3118" w:type="dxa"/>
            <w:vAlign w:val="center"/>
          </w:tcPr>
          <w:p w14:paraId="44F122F6">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0D376021">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continue"/>
            <w:vAlign w:val="center"/>
          </w:tcPr>
          <w:p w14:paraId="7884BB01">
            <w:pPr>
              <w:adjustRightInd w:val="0"/>
              <w:snapToGrid w:val="0"/>
              <w:spacing w:line="400" w:lineRule="exact"/>
              <w:jc w:val="center"/>
              <w:rPr>
                <w:rFonts w:ascii="Times New Roman" w:cs="Times New Roman" w:hAnsiTheme="minorEastAsia"/>
                <w:color w:val="000000" w:themeColor="text1"/>
                <w:kern w:val="0"/>
                <w:szCs w:val="21"/>
              </w:rPr>
            </w:pPr>
          </w:p>
        </w:tc>
      </w:tr>
      <w:tr w14:paraId="4793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restart"/>
            <w:vAlign w:val="center"/>
          </w:tcPr>
          <w:p w14:paraId="5E78C078">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2</w:t>
            </w:r>
          </w:p>
        </w:tc>
        <w:tc>
          <w:tcPr>
            <w:tcW w:w="2127" w:type="dxa"/>
            <w:vMerge w:val="restart"/>
            <w:vAlign w:val="center"/>
          </w:tcPr>
          <w:p w14:paraId="3DE6DE1B">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水平衡测试</w:t>
            </w:r>
          </w:p>
        </w:tc>
        <w:tc>
          <w:tcPr>
            <w:tcW w:w="3118" w:type="dxa"/>
            <w:vAlign w:val="center"/>
          </w:tcPr>
          <w:p w14:paraId="4988A197">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7548AD73">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restart"/>
            <w:vAlign w:val="center"/>
          </w:tcPr>
          <w:p w14:paraId="31FF4AA6">
            <w:pPr>
              <w:adjustRightInd w:val="0"/>
              <w:snapToGrid w:val="0"/>
              <w:spacing w:line="400" w:lineRule="exact"/>
              <w:jc w:val="center"/>
              <w:rPr>
                <w:rFonts w:ascii="Times New Roman" w:cs="Times New Roman" w:hAnsiTheme="minorEastAsia"/>
                <w:color w:val="000000" w:themeColor="text1"/>
                <w:kern w:val="0"/>
                <w:szCs w:val="21"/>
              </w:rPr>
            </w:pPr>
          </w:p>
        </w:tc>
      </w:tr>
      <w:tr w14:paraId="23B80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14:paraId="1DDF210E">
            <w:pPr>
              <w:adjustRightInd w:val="0"/>
              <w:snapToGrid w:val="0"/>
              <w:spacing w:line="400" w:lineRule="exact"/>
              <w:jc w:val="center"/>
              <w:rPr>
                <w:rFonts w:ascii="Times New Roman" w:cs="Times New Roman" w:hAnsiTheme="minorEastAsia"/>
                <w:color w:val="000000" w:themeColor="text1"/>
                <w:kern w:val="0"/>
                <w:szCs w:val="21"/>
              </w:rPr>
            </w:pPr>
          </w:p>
        </w:tc>
        <w:tc>
          <w:tcPr>
            <w:tcW w:w="2127" w:type="dxa"/>
            <w:vMerge w:val="continue"/>
            <w:vAlign w:val="center"/>
          </w:tcPr>
          <w:p w14:paraId="2F83C33C">
            <w:pPr>
              <w:adjustRightInd w:val="0"/>
              <w:snapToGrid w:val="0"/>
              <w:spacing w:line="400" w:lineRule="exact"/>
              <w:jc w:val="center"/>
              <w:rPr>
                <w:rFonts w:ascii="Times New Roman" w:cs="Times New Roman" w:hAnsiTheme="minorEastAsia"/>
                <w:color w:val="000000" w:themeColor="text1"/>
                <w:kern w:val="0"/>
                <w:szCs w:val="21"/>
              </w:rPr>
            </w:pPr>
          </w:p>
        </w:tc>
        <w:tc>
          <w:tcPr>
            <w:tcW w:w="3118" w:type="dxa"/>
            <w:vAlign w:val="center"/>
          </w:tcPr>
          <w:p w14:paraId="6B2FACF3">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08363D20">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continue"/>
            <w:vAlign w:val="center"/>
          </w:tcPr>
          <w:p w14:paraId="59EF8857">
            <w:pPr>
              <w:adjustRightInd w:val="0"/>
              <w:snapToGrid w:val="0"/>
              <w:spacing w:line="400" w:lineRule="exact"/>
              <w:jc w:val="center"/>
              <w:rPr>
                <w:rFonts w:ascii="Times New Roman" w:cs="Times New Roman" w:hAnsiTheme="minorEastAsia"/>
                <w:color w:val="000000" w:themeColor="text1"/>
                <w:kern w:val="0"/>
                <w:szCs w:val="21"/>
              </w:rPr>
            </w:pPr>
          </w:p>
        </w:tc>
      </w:tr>
      <w:tr w14:paraId="1546B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14:paraId="3765A23E">
            <w:pPr>
              <w:adjustRightInd w:val="0"/>
              <w:snapToGrid w:val="0"/>
              <w:spacing w:line="400" w:lineRule="exact"/>
              <w:jc w:val="center"/>
              <w:rPr>
                <w:rFonts w:ascii="Times New Roman" w:cs="Times New Roman" w:hAnsiTheme="minorEastAsia"/>
                <w:color w:val="000000" w:themeColor="text1"/>
                <w:kern w:val="0"/>
                <w:szCs w:val="21"/>
              </w:rPr>
            </w:pPr>
          </w:p>
        </w:tc>
        <w:tc>
          <w:tcPr>
            <w:tcW w:w="2127" w:type="dxa"/>
            <w:vMerge w:val="continue"/>
            <w:vAlign w:val="center"/>
          </w:tcPr>
          <w:p w14:paraId="0BEA08DD">
            <w:pPr>
              <w:adjustRightInd w:val="0"/>
              <w:snapToGrid w:val="0"/>
              <w:spacing w:line="400" w:lineRule="exact"/>
              <w:jc w:val="center"/>
              <w:rPr>
                <w:rFonts w:ascii="Times New Roman" w:cs="Times New Roman" w:hAnsiTheme="minorEastAsia"/>
                <w:color w:val="000000" w:themeColor="text1"/>
                <w:kern w:val="0"/>
                <w:szCs w:val="21"/>
              </w:rPr>
            </w:pPr>
          </w:p>
        </w:tc>
        <w:tc>
          <w:tcPr>
            <w:tcW w:w="3118" w:type="dxa"/>
            <w:vAlign w:val="center"/>
          </w:tcPr>
          <w:p w14:paraId="28F3A189">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6088C773">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continue"/>
            <w:vAlign w:val="center"/>
          </w:tcPr>
          <w:p w14:paraId="1DCD2329">
            <w:pPr>
              <w:adjustRightInd w:val="0"/>
              <w:snapToGrid w:val="0"/>
              <w:spacing w:line="400" w:lineRule="exact"/>
              <w:jc w:val="center"/>
              <w:rPr>
                <w:rFonts w:ascii="Times New Roman" w:cs="Times New Roman" w:hAnsiTheme="minorEastAsia"/>
                <w:color w:val="000000" w:themeColor="text1"/>
                <w:kern w:val="0"/>
                <w:szCs w:val="21"/>
              </w:rPr>
            </w:pPr>
          </w:p>
        </w:tc>
      </w:tr>
      <w:tr w14:paraId="4BDB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14:paraId="3B03025E">
            <w:pPr>
              <w:adjustRightInd w:val="0"/>
              <w:snapToGrid w:val="0"/>
              <w:spacing w:line="400" w:lineRule="exact"/>
              <w:jc w:val="center"/>
              <w:rPr>
                <w:rFonts w:ascii="Times New Roman" w:cs="Times New Roman" w:hAnsiTheme="minorEastAsia"/>
                <w:color w:val="000000" w:themeColor="text1"/>
                <w:kern w:val="0"/>
                <w:szCs w:val="21"/>
              </w:rPr>
            </w:pPr>
          </w:p>
        </w:tc>
        <w:tc>
          <w:tcPr>
            <w:tcW w:w="2127" w:type="dxa"/>
            <w:vMerge w:val="continue"/>
            <w:vAlign w:val="center"/>
          </w:tcPr>
          <w:p w14:paraId="443EAA15">
            <w:pPr>
              <w:adjustRightInd w:val="0"/>
              <w:snapToGrid w:val="0"/>
              <w:spacing w:line="400" w:lineRule="exact"/>
              <w:jc w:val="center"/>
              <w:rPr>
                <w:rFonts w:ascii="Times New Roman" w:cs="Times New Roman" w:hAnsiTheme="minorEastAsia"/>
                <w:color w:val="000000" w:themeColor="text1"/>
                <w:kern w:val="0"/>
                <w:szCs w:val="21"/>
              </w:rPr>
            </w:pPr>
          </w:p>
        </w:tc>
        <w:tc>
          <w:tcPr>
            <w:tcW w:w="3118" w:type="dxa"/>
            <w:vAlign w:val="center"/>
          </w:tcPr>
          <w:p w14:paraId="4E069ABD">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4A59EA0D">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continue"/>
            <w:vAlign w:val="center"/>
          </w:tcPr>
          <w:p w14:paraId="5ACC6A18">
            <w:pPr>
              <w:adjustRightInd w:val="0"/>
              <w:snapToGrid w:val="0"/>
              <w:spacing w:line="400" w:lineRule="exact"/>
              <w:jc w:val="center"/>
              <w:rPr>
                <w:rFonts w:ascii="Times New Roman" w:cs="Times New Roman" w:hAnsiTheme="minorEastAsia"/>
                <w:color w:val="000000" w:themeColor="text1"/>
                <w:kern w:val="0"/>
                <w:szCs w:val="21"/>
              </w:rPr>
            </w:pPr>
          </w:p>
        </w:tc>
      </w:tr>
      <w:tr w14:paraId="2D27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75" w:type="dxa"/>
            <w:vMerge w:val="continue"/>
            <w:vAlign w:val="center"/>
          </w:tcPr>
          <w:p w14:paraId="5A2E7615">
            <w:pPr>
              <w:adjustRightInd w:val="0"/>
              <w:snapToGrid w:val="0"/>
              <w:spacing w:line="400" w:lineRule="exact"/>
              <w:jc w:val="center"/>
              <w:rPr>
                <w:rFonts w:ascii="Times New Roman" w:cs="Times New Roman" w:hAnsiTheme="minorEastAsia"/>
                <w:color w:val="000000" w:themeColor="text1"/>
                <w:kern w:val="0"/>
                <w:szCs w:val="21"/>
              </w:rPr>
            </w:pPr>
          </w:p>
        </w:tc>
        <w:tc>
          <w:tcPr>
            <w:tcW w:w="2127" w:type="dxa"/>
            <w:vMerge w:val="continue"/>
            <w:vAlign w:val="center"/>
          </w:tcPr>
          <w:p w14:paraId="7FE29C26">
            <w:pPr>
              <w:adjustRightInd w:val="0"/>
              <w:snapToGrid w:val="0"/>
              <w:spacing w:line="400" w:lineRule="exact"/>
              <w:jc w:val="center"/>
              <w:rPr>
                <w:rFonts w:ascii="Times New Roman" w:cs="Times New Roman" w:hAnsiTheme="minorEastAsia"/>
                <w:color w:val="000000" w:themeColor="text1"/>
                <w:kern w:val="0"/>
                <w:szCs w:val="21"/>
              </w:rPr>
            </w:pPr>
          </w:p>
        </w:tc>
        <w:tc>
          <w:tcPr>
            <w:tcW w:w="3118" w:type="dxa"/>
            <w:vAlign w:val="center"/>
          </w:tcPr>
          <w:p w14:paraId="2D5F2ED5">
            <w:pPr>
              <w:adjustRightInd w:val="0"/>
              <w:snapToGrid w:val="0"/>
              <w:spacing w:line="400" w:lineRule="exact"/>
              <w:jc w:val="center"/>
              <w:rPr>
                <w:rFonts w:ascii="Times New Roman" w:cs="Times New Roman" w:hAnsiTheme="minorEastAsia"/>
                <w:color w:val="000000" w:themeColor="text1"/>
                <w:kern w:val="0"/>
                <w:szCs w:val="21"/>
              </w:rPr>
            </w:pPr>
          </w:p>
        </w:tc>
        <w:tc>
          <w:tcPr>
            <w:tcW w:w="1739" w:type="dxa"/>
            <w:vAlign w:val="center"/>
          </w:tcPr>
          <w:p w14:paraId="303F2BE7">
            <w:pPr>
              <w:adjustRightInd w:val="0"/>
              <w:snapToGrid w:val="0"/>
              <w:spacing w:line="400" w:lineRule="exact"/>
              <w:jc w:val="center"/>
              <w:rPr>
                <w:rFonts w:ascii="Times New Roman" w:cs="Times New Roman" w:hAnsiTheme="minorEastAsia"/>
                <w:color w:val="000000" w:themeColor="text1"/>
                <w:kern w:val="0"/>
                <w:szCs w:val="21"/>
              </w:rPr>
            </w:pPr>
          </w:p>
        </w:tc>
        <w:tc>
          <w:tcPr>
            <w:tcW w:w="1405" w:type="dxa"/>
            <w:vMerge w:val="continue"/>
            <w:vAlign w:val="center"/>
          </w:tcPr>
          <w:p w14:paraId="16F40BA7">
            <w:pPr>
              <w:adjustRightInd w:val="0"/>
              <w:snapToGrid w:val="0"/>
              <w:spacing w:line="400" w:lineRule="exact"/>
              <w:jc w:val="center"/>
              <w:rPr>
                <w:rFonts w:ascii="Times New Roman" w:cs="Times New Roman" w:hAnsiTheme="minorEastAsia"/>
                <w:color w:val="000000" w:themeColor="text1"/>
                <w:kern w:val="0"/>
                <w:szCs w:val="21"/>
              </w:rPr>
            </w:pPr>
          </w:p>
        </w:tc>
      </w:tr>
    </w:tbl>
    <w:p w14:paraId="15A8B21E">
      <w:pPr>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br w:type="page"/>
      </w:r>
    </w:p>
    <w:p w14:paraId="4E8CF1F4">
      <w:pPr>
        <w:jc w:val="lef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表3</w:t>
      </w:r>
    </w:p>
    <w:p w14:paraId="24D4DCBA">
      <w:pPr>
        <w:spacing w:before="240" w:after="24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常州市水平衡测试补助金额测算表</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47"/>
        <w:gridCol w:w="1706"/>
        <w:gridCol w:w="4811"/>
      </w:tblGrid>
      <w:tr w14:paraId="35CC6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47" w:type="dxa"/>
            <w:vAlign w:val="center"/>
          </w:tcPr>
          <w:p w14:paraId="3E7393C0">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上年取用水量区间</w:t>
            </w:r>
          </w:p>
        </w:tc>
        <w:tc>
          <w:tcPr>
            <w:tcW w:w="1706" w:type="dxa"/>
            <w:vAlign w:val="center"/>
          </w:tcPr>
          <w:p w14:paraId="77075832">
            <w:pPr>
              <w:adjustRightInd w:val="0"/>
              <w:snapToGrid w:val="0"/>
              <w:spacing w:line="400" w:lineRule="exact"/>
              <w:jc w:val="center"/>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该区间计价</w:t>
            </w:r>
          </w:p>
        </w:tc>
        <w:tc>
          <w:tcPr>
            <w:tcW w:w="0" w:type="auto"/>
            <w:vAlign w:val="center"/>
          </w:tcPr>
          <w:p w14:paraId="0B5863FC">
            <w:pPr>
              <w:adjustRightInd w:val="0"/>
              <w:snapToGrid w:val="0"/>
              <w:spacing w:line="400" w:lineRule="exact"/>
              <w:jc w:val="center"/>
              <w:rPr>
                <w:rFonts w:ascii="黑体" w:hAnsi="黑体" w:eastAsia="黑体" w:cs="Times New Roman"/>
                <w:color w:val="000000" w:themeColor="text1"/>
                <w:kern w:val="0"/>
                <w:szCs w:val="21"/>
              </w:rPr>
            </w:pPr>
            <w:r>
              <w:rPr>
                <w:rFonts w:hint="eastAsia" w:ascii="黑体" w:hAnsi="黑体" w:eastAsia="黑体" w:cs="Times New Roman"/>
                <w:color w:val="000000" w:themeColor="text1"/>
                <w:kern w:val="0"/>
                <w:szCs w:val="21"/>
              </w:rPr>
              <w:t>补助金额</w:t>
            </w:r>
            <w:r>
              <w:rPr>
                <w:rFonts w:ascii="黑体" w:hAnsi="黑体" w:eastAsia="黑体" w:cs="Times New Roman"/>
                <w:color w:val="000000" w:themeColor="text1"/>
                <w:kern w:val="0"/>
                <w:szCs w:val="21"/>
              </w:rPr>
              <w:t>参考公式（单位：元）</w:t>
            </w:r>
          </w:p>
        </w:tc>
      </w:tr>
      <w:tr w14:paraId="12CF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47" w:type="dxa"/>
            <w:vAlign w:val="center"/>
          </w:tcPr>
          <w:p w14:paraId="0E548C5F">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5万立方米以下</w:t>
            </w:r>
          </w:p>
        </w:tc>
        <w:tc>
          <w:tcPr>
            <w:tcW w:w="1706" w:type="dxa"/>
            <w:vAlign w:val="center"/>
          </w:tcPr>
          <w:p w14:paraId="6D883283">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w:t>
            </w:r>
          </w:p>
        </w:tc>
        <w:tc>
          <w:tcPr>
            <w:tcW w:w="0" w:type="auto"/>
            <w:vAlign w:val="center"/>
          </w:tcPr>
          <w:p w14:paraId="2263F97F">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5000</w:t>
            </w:r>
          </w:p>
        </w:tc>
      </w:tr>
      <w:tr w14:paraId="392C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47" w:type="dxa"/>
            <w:vAlign w:val="center"/>
          </w:tcPr>
          <w:p w14:paraId="78A2CEE0">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5-10万立方米</w:t>
            </w:r>
          </w:p>
        </w:tc>
        <w:tc>
          <w:tcPr>
            <w:tcW w:w="1706" w:type="dxa"/>
            <w:vAlign w:val="center"/>
          </w:tcPr>
          <w:p w14:paraId="4C296C7B">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0.2元/立方米</w:t>
            </w:r>
          </w:p>
        </w:tc>
        <w:tc>
          <w:tcPr>
            <w:tcW w:w="0" w:type="auto"/>
            <w:vAlign w:val="center"/>
          </w:tcPr>
          <w:p w14:paraId="03D1A380">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5000+</w:t>
            </w:r>
            <w:r>
              <w:rPr>
                <w:rFonts w:hint="eastAsia" w:ascii="Times New Roman" w:cs="Times New Roman" w:hAnsiTheme="minorEastAsia"/>
                <w:color w:val="000000" w:themeColor="text1"/>
                <w:kern w:val="0"/>
                <w:szCs w:val="21"/>
              </w:rPr>
              <w:t>（实际水量-50000）</w:t>
            </w:r>
            <w:r>
              <w:rPr>
                <w:rFonts w:ascii="Times New Roman" w:cs="Times New Roman" w:hAnsiTheme="minorEastAsia"/>
                <w:color w:val="000000" w:themeColor="text1"/>
                <w:kern w:val="0"/>
                <w:szCs w:val="21"/>
              </w:rPr>
              <w:t>*0.2</w:t>
            </w:r>
          </w:p>
        </w:tc>
      </w:tr>
      <w:tr w14:paraId="56C8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47" w:type="dxa"/>
            <w:vAlign w:val="center"/>
          </w:tcPr>
          <w:p w14:paraId="4EB942E6">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10-30万立方米</w:t>
            </w:r>
          </w:p>
        </w:tc>
        <w:tc>
          <w:tcPr>
            <w:tcW w:w="1706" w:type="dxa"/>
            <w:vAlign w:val="center"/>
          </w:tcPr>
          <w:p w14:paraId="551FA08B">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0.05元/立方米</w:t>
            </w:r>
          </w:p>
        </w:tc>
        <w:tc>
          <w:tcPr>
            <w:tcW w:w="0" w:type="auto"/>
            <w:vAlign w:val="center"/>
          </w:tcPr>
          <w:p w14:paraId="35A2C262">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15000+</w:t>
            </w:r>
            <w:r>
              <w:rPr>
                <w:rFonts w:hint="eastAsia" w:ascii="Times New Roman" w:cs="Times New Roman" w:hAnsiTheme="minorEastAsia"/>
                <w:color w:val="000000" w:themeColor="text1"/>
                <w:kern w:val="0"/>
                <w:szCs w:val="21"/>
              </w:rPr>
              <w:t>（实际水量-100000）</w:t>
            </w:r>
            <w:r>
              <w:rPr>
                <w:rFonts w:ascii="Times New Roman" w:cs="Times New Roman" w:hAnsiTheme="minorEastAsia"/>
                <w:color w:val="000000" w:themeColor="text1"/>
                <w:kern w:val="0"/>
                <w:szCs w:val="21"/>
              </w:rPr>
              <w:t>*0.05</w:t>
            </w:r>
          </w:p>
        </w:tc>
      </w:tr>
      <w:tr w14:paraId="3ABE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47" w:type="dxa"/>
            <w:vAlign w:val="center"/>
          </w:tcPr>
          <w:p w14:paraId="4316907B">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30-100万立方米</w:t>
            </w:r>
          </w:p>
        </w:tc>
        <w:tc>
          <w:tcPr>
            <w:tcW w:w="1706" w:type="dxa"/>
            <w:vAlign w:val="center"/>
          </w:tcPr>
          <w:p w14:paraId="09B57215">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0.02元/立方米</w:t>
            </w:r>
          </w:p>
        </w:tc>
        <w:tc>
          <w:tcPr>
            <w:tcW w:w="0" w:type="auto"/>
            <w:vAlign w:val="center"/>
          </w:tcPr>
          <w:p w14:paraId="487E4C6A">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25000+</w:t>
            </w:r>
            <w:r>
              <w:rPr>
                <w:rFonts w:hint="eastAsia" w:ascii="Times New Roman" w:cs="Times New Roman" w:hAnsiTheme="minorEastAsia"/>
                <w:color w:val="000000" w:themeColor="text1"/>
                <w:kern w:val="0"/>
                <w:szCs w:val="21"/>
              </w:rPr>
              <w:t>（实际水量-300000）</w:t>
            </w:r>
            <w:r>
              <w:rPr>
                <w:rFonts w:ascii="Times New Roman" w:cs="Times New Roman" w:hAnsiTheme="minorEastAsia"/>
                <w:color w:val="000000" w:themeColor="text1"/>
                <w:kern w:val="0"/>
                <w:szCs w:val="21"/>
              </w:rPr>
              <w:t>*0.02</w:t>
            </w:r>
          </w:p>
        </w:tc>
      </w:tr>
      <w:tr w14:paraId="7A72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47" w:type="dxa"/>
            <w:vAlign w:val="center"/>
          </w:tcPr>
          <w:p w14:paraId="29E84470">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100万立方米以上</w:t>
            </w:r>
          </w:p>
        </w:tc>
        <w:tc>
          <w:tcPr>
            <w:tcW w:w="1706" w:type="dxa"/>
            <w:vAlign w:val="center"/>
          </w:tcPr>
          <w:p w14:paraId="2ACF714D">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0.01元/立方米</w:t>
            </w:r>
          </w:p>
        </w:tc>
        <w:tc>
          <w:tcPr>
            <w:tcW w:w="0" w:type="auto"/>
            <w:vAlign w:val="center"/>
          </w:tcPr>
          <w:p w14:paraId="2F75275E">
            <w:pPr>
              <w:adjustRightInd w:val="0"/>
              <w:snapToGrid w:val="0"/>
              <w:spacing w:line="400" w:lineRule="exact"/>
              <w:jc w:val="center"/>
              <w:rPr>
                <w:rFonts w:ascii="Times New Roman" w:cs="Times New Roman" w:hAnsiTheme="minorEastAsia"/>
                <w:color w:val="000000" w:themeColor="text1"/>
                <w:kern w:val="0"/>
                <w:szCs w:val="21"/>
              </w:rPr>
            </w:pPr>
            <w:r>
              <w:rPr>
                <w:rFonts w:ascii="Times New Roman" w:cs="Times New Roman" w:hAnsiTheme="minorEastAsia"/>
                <w:color w:val="000000" w:themeColor="text1"/>
                <w:kern w:val="0"/>
                <w:szCs w:val="21"/>
              </w:rPr>
              <w:t>39000+</w:t>
            </w:r>
            <w:r>
              <w:rPr>
                <w:rFonts w:hint="eastAsia" w:ascii="Times New Roman" w:cs="Times New Roman" w:hAnsiTheme="minorEastAsia"/>
                <w:color w:val="000000" w:themeColor="text1"/>
                <w:kern w:val="0"/>
                <w:szCs w:val="21"/>
              </w:rPr>
              <w:t>（实际水量-1000000）</w:t>
            </w:r>
            <w:r>
              <w:rPr>
                <w:rFonts w:ascii="Times New Roman" w:cs="Times New Roman" w:hAnsiTheme="minorEastAsia"/>
                <w:color w:val="000000" w:themeColor="text1"/>
                <w:kern w:val="0"/>
                <w:szCs w:val="21"/>
              </w:rPr>
              <w:t>*0.01</w:t>
            </w:r>
          </w:p>
        </w:tc>
      </w:tr>
    </w:tbl>
    <w:p w14:paraId="6F7E7FB2">
      <w:pPr>
        <w:adjustRightInd w:val="0"/>
        <w:snapToGrid w:val="0"/>
        <w:spacing w:line="400" w:lineRule="exact"/>
        <w:rPr>
          <w:rFonts w:ascii="Times New Roman" w:cs="Times New Roman" w:hAnsiTheme="minorEastAsia"/>
          <w:color w:val="000000" w:themeColor="text1"/>
          <w:kern w:val="0"/>
          <w:szCs w:val="21"/>
        </w:rPr>
      </w:pPr>
      <w:r>
        <w:rPr>
          <w:rFonts w:hint="eastAsia" w:ascii="Times New Roman" w:cs="Times New Roman" w:hAnsiTheme="minorEastAsia"/>
          <w:color w:val="000000" w:themeColor="text1"/>
          <w:kern w:val="0"/>
          <w:szCs w:val="21"/>
        </w:rPr>
        <w:t>注：</w:t>
      </w:r>
    </w:p>
    <w:p w14:paraId="34179105">
      <w:pPr>
        <w:adjustRightInd w:val="0"/>
        <w:snapToGrid w:val="0"/>
        <w:spacing w:line="400" w:lineRule="exact"/>
        <w:rPr>
          <w:rFonts w:ascii="Times New Roman" w:cs="Times New Roman" w:hAnsiTheme="minorEastAsia"/>
          <w:color w:val="000000" w:themeColor="text1"/>
          <w:kern w:val="0"/>
          <w:szCs w:val="21"/>
        </w:rPr>
      </w:pPr>
      <w:r>
        <w:rPr>
          <w:rFonts w:hint="eastAsia" w:ascii="Times New Roman" w:cs="Times New Roman" w:hAnsiTheme="minorEastAsia"/>
          <w:color w:val="000000" w:themeColor="text1"/>
          <w:kern w:val="0"/>
          <w:szCs w:val="21"/>
        </w:rPr>
        <w:t>（1）</w:t>
      </w:r>
      <w:r>
        <w:rPr>
          <w:rFonts w:ascii="Times New Roman" w:cs="Times New Roman" w:hAnsiTheme="minorEastAsia"/>
          <w:color w:val="000000" w:themeColor="text1"/>
          <w:kern w:val="0"/>
          <w:szCs w:val="21"/>
        </w:rPr>
        <w:t>水平衡测试</w:t>
      </w:r>
      <w:r>
        <w:rPr>
          <w:rFonts w:hint="eastAsia" w:ascii="Times New Roman" w:cs="Times New Roman" w:hAnsiTheme="minorEastAsia"/>
          <w:color w:val="000000" w:themeColor="text1"/>
          <w:kern w:val="0"/>
          <w:szCs w:val="21"/>
        </w:rPr>
        <w:t>补助标准</w:t>
      </w:r>
      <w:r>
        <w:rPr>
          <w:rFonts w:ascii="Times New Roman" w:cs="Times New Roman" w:hAnsiTheme="minorEastAsia"/>
          <w:color w:val="000000" w:themeColor="text1"/>
          <w:kern w:val="0"/>
          <w:szCs w:val="21"/>
        </w:rPr>
        <w:t>以用水单位上一年度各种水源累计取用水量为依据进行计算，按照不同取用水量区间分别测算</w:t>
      </w:r>
      <w:r>
        <w:rPr>
          <w:rFonts w:hint="eastAsia" w:ascii="Times New Roman" w:cs="Times New Roman" w:hAnsiTheme="minorEastAsia"/>
          <w:color w:val="000000" w:themeColor="text1"/>
          <w:kern w:val="0"/>
          <w:szCs w:val="21"/>
        </w:rPr>
        <w:t>。</w:t>
      </w:r>
    </w:p>
    <w:p w14:paraId="15A4D539">
      <w:pPr>
        <w:adjustRightInd w:val="0"/>
        <w:snapToGrid w:val="0"/>
        <w:spacing w:line="400" w:lineRule="exact"/>
        <w:rPr>
          <w:rFonts w:ascii="Times New Roman" w:cs="Times New Roman" w:hAnsiTheme="minorEastAsia"/>
          <w:color w:val="000000" w:themeColor="text1"/>
          <w:kern w:val="0"/>
          <w:szCs w:val="21"/>
        </w:rPr>
      </w:pPr>
      <w:r>
        <w:rPr>
          <w:rFonts w:hint="eastAsia" w:ascii="Times New Roman" w:cs="Times New Roman" w:hAnsiTheme="minorEastAsia"/>
          <w:color w:val="000000" w:themeColor="text1"/>
          <w:kern w:val="0"/>
          <w:szCs w:val="21"/>
        </w:rPr>
        <w:t>（2）</w:t>
      </w:r>
      <w:r>
        <w:rPr>
          <w:rFonts w:ascii="Times New Roman" w:cs="Times New Roman" w:hAnsiTheme="minorEastAsia"/>
          <w:color w:val="000000" w:themeColor="text1"/>
          <w:kern w:val="0"/>
          <w:szCs w:val="21"/>
        </w:rPr>
        <w:t>用水总量超过</w:t>
      </w:r>
      <w:r>
        <w:rPr>
          <w:rFonts w:hint="eastAsia" w:ascii="Times New Roman" w:cs="Times New Roman" w:hAnsiTheme="minorEastAsia"/>
          <w:color w:val="000000" w:themeColor="text1"/>
          <w:kern w:val="0"/>
          <w:szCs w:val="21"/>
        </w:rPr>
        <w:t>100</w:t>
      </w:r>
      <w:r>
        <w:rPr>
          <w:rFonts w:ascii="Times New Roman" w:cs="Times New Roman" w:hAnsiTheme="minorEastAsia"/>
          <w:color w:val="000000" w:themeColor="text1"/>
          <w:kern w:val="0"/>
          <w:szCs w:val="21"/>
        </w:rPr>
        <w:t>万立方米的，可根据测试单位实际用水量、管线复杂程度及测试工作量等因素，确定</w:t>
      </w:r>
      <w:r>
        <w:rPr>
          <w:rFonts w:hint="eastAsia" w:ascii="Times New Roman" w:cs="Times New Roman" w:hAnsiTheme="minorEastAsia"/>
          <w:color w:val="000000" w:themeColor="text1"/>
          <w:kern w:val="0"/>
          <w:szCs w:val="21"/>
        </w:rPr>
        <w:t>补助金额，原则上单个水平衡测试项目一次性资金补助金额最高不超过15万元。</w:t>
      </w:r>
    </w:p>
    <w:p w14:paraId="793329DD">
      <w:pPr>
        <w:rPr>
          <w:rFonts w:ascii="Times New Roman" w:hAnsi="Times New Roman" w:eastAsia="方正仿宋_GBK" w:cs="Times New Roman"/>
          <w:color w:val="000000" w:themeColor="text1"/>
          <w:sz w:val="32"/>
          <w:szCs w:val="32"/>
        </w:rPr>
      </w:pPr>
    </w:p>
    <w:p w14:paraId="0226F6A9"/>
    <w:p w14:paraId="101F8C5C">
      <w:pPr>
        <w:widowControl/>
        <w:spacing w:line="240" w:lineRule="auto"/>
        <w:jc w:val="left"/>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br w:type="page"/>
      </w:r>
    </w:p>
    <w:p w14:paraId="0DB480B9">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387A3467">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3D0E446A">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0F822B5C">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01C51AAB">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621158AE">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20881FC4">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78D70FE6">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16CFEB81">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73CC7868">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481EE21E">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0A611135">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7DF9C9CE">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45E6B7F0">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2AF5E06B">
      <w:pPr>
        <w:overflowPunct w:val="0"/>
        <w:autoSpaceDE w:val="0"/>
        <w:autoSpaceDN w:val="0"/>
        <w:adjustRightInd w:val="0"/>
        <w:snapToGrid w:val="0"/>
        <w:ind w:firstLine="641"/>
        <w:rPr>
          <w:rFonts w:hint="eastAsia" w:ascii="Times New Roman" w:hAnsi="Times New Roman" w:eastAsia="仿宋_GB2312" w:cs="Times New Roman"/>
          <w:b/>
          <w:color w:val="000000" w:themeColor="text1"/>
          <w:sz w:val="32"/>
          <w:szCs w:val="32"/>
        </w:rPr>
      </w:pPr>
    </w:p>
    <w:p w14:paraId="30CF2D82">
      <w:pPr>
        <w:overflowPunct w:val="0"/>
        <w:autoSpaceDE w:val="0"/>
        <w:autoSpaceDN w:val="0"/>
        <w:adjustRightInd w:val="0"/>
        <w:snapToGrid w:val="0"/>
        <w:rPr>
          <w:rFonts w:ascii="Times New Roman" w:hAnsi="Times New Roman" w:eastAsia="仿宋_GB2312" w:cs="Times New Roman"/>
          <w:b/>
          <w:color w:val="000000" w:themeColor="text1"/>
          <w:sz w:val="32"/>
          <w:szCs w:val="32"/>
        </w:rPr>
      </w:pPr>
    </w:p>
    <w:p w14:paraId="2C94910A">
      <w:pPr>
        <w:overflowPunct w:val="0"/>
        <w:autoSpaceDE w:val="0"/>
        <w:autoSpaceDN w:val="0"/>
        <w:adjustRightInd w:val="0"/>
        <w:snapToGrid w:val="0"/>
        <w:ind w:firstLine="641"/>
        <w:rPr>
          <w:rFonts w:ascii="Times New Roman" w:hAnsi="Times New Roman" w:eastAsia="仿宋_GB2312" w:cs="Times New Roman"/>
          <w:b/>
          <w:color w:val="000000" w:themeColor="text1"/>
          <w:sz w:val="32"/>
          <w:szCs w:val="32"/>
        </w:rPr>
      </w:pPr>
    </w:p>
    <w:p w14:paraId="1F911D58">
      <w:pPr>
        <w:overflowPunct w:val="0"/>
        <w:autoSpaceDE w:val="0"/>
        <w:autoSpaceDN w:val="0"/>
        <w:adjustRightInd w:val="0"/>
        <w:snapToGrid w:val="0"/>
        <w:ind w:firstLine="641"/>
        <w:rPr>
          <w:rFonts w:ascii="Times New Roman" w:hAnsi="Times New Roman" w:eastAsia="仿宋_GB2312" w:cs="Times New Roman"/>
          <w:b/>
          <w:color w:val="000000" w:themeColor="text1"/>
          <w:sz w:val="32"/>
          <w:szCs w:val="32"/>
        </w:rPr>
      </w:pPr>
    </w:p>
    <w:p w14:paraId="2E6C1D34">
      <w:pPr>
        <w:overflowPunct w:val="0"/>
        <w:autoSpaceDE w:val="0"/>
        <w:autoSpaceDN w:val="0"/>
        <w:adjustRightInd w:val="0"/>
        <w:snapToGrid w:val="0"/>
        <w:ind w:firstLine="641"/>
        <w:rPr>
          <w:rFonts w:ascii="Times New Roman" w:hAnsi="Times New Roman" w:eastAsia="仿宋_GB2312" w:cs="Times New Roman"/>
          <w:b/>
          <w:color w:val="000000" w:themeColor="text1"/>
          <w:sz w:val="32"/>
          <w:szCs w:val="32"/>
        </w:rPr>
      </w:pPr>
    </w:p>
    <w:p w14:paraId="1061E61E">
      <w:pPr>
        <w:overflowPunct w:val="0"/>
        <w:adjustRightInd w:val="0"/>
        <w:snapToGrid w:val="0"/>
        <w:spacing w:before="200" w:line="240" w:lineRule="exact"/>
        <w:ind w:right="1270" w:firstLine="641"/>
        <w:jc w:val="right"/>
        <w:rPr>
          <w:rFonts w:ascii="Times New Roman" w:hAnsi="Times New Roman" w:eastAsia="仿宋_GB2312"/>
          <w:snapToGrid w:val="0"/>
          <w:color w:val="000000" w:themeColor="text1"/>
          <w:kern w:val="0"/>
          <w:sz w:val="32"/>
          <w:szCs w:val="32"/>
        </w:rPr>
      </w:pPr>
    </w:p>
    <w:sectPr>
      <w:footerReference r:id="rId5" w:type="default"/>
      <w:footerReference r:id="rId6" w:type="even"/>
      <w:pgSz w:w="11910" w:h="16840"/>
      <w:pgMar w:top="2098" w:right="1531" w:bottom="1985" w:left="1531" w:header="709" w:footer="1361"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73607"/>
      <w:docPartObj>
        <w:docPartGallery w:val="AutoText"/>
      </w:docPartObj>
    </w:sdtPr>
    <w:sdtContent>
      <w:p w14:paraId="4DB18609">
        <w:pPr>
          <w:pStyle w:val="11"/>
          <w:adjustRightInd w:val="0"/>
          <w:spacing w:line="240" w:lineRule="auto"/>
          <w:ind w:right="210" w:rightChars="100"/>
          <w:jc w:val="right"/>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2921"/>
      <w:docPartObj>
        <w:docPartGallery w:val="autotext"/>
      </w:docPartObj>
    </w:sdtPr>
    <w:sdtContent>
      <w:p w14:paraId="67F82E81">
        <w:pPr>
          <w:pStyle w:val="11"/>
          <w:ind w:firstLine="180"/>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1OWI2ZTkyMWNjYzg5ODU1ZmFhNzI2Njg3ZmMyNjcifQ=="/>
  </w:docVars>
  <w:rsids>
    <w:rsidRoot w:val="00732893"/>
    <w:rsid w:val="000132BB"/>
    <w:rsid w:val="00024423"/>
    <w:rsid w:val="00031BEB"/>
    <w:rsid w:val="0003325B"/>
    <w:rsid w:val="00047330"/>
    <w:rsid w:val="0005374D"/>
    <w:rsid w:val="00055C8D"/>
    <w:rsid w:val="0006110A"/>
    <w:rsid w:val="0006547F"/>
    <w:rsid w:val="0006662E"/>
    <w:rsid w:val="00066EF9"/>
    <w:rsid w:val="00076311"/>
    <w:rsid w:val="00095EC5"/>
    <w:rsid w:val="000A62B2"/>
    <w:rsid w:val="000B0CA5"/>
    <w:rsid w:val="000B1B73"/>
    <w:rsid w:val="000C4BBA"/>
    <w:rsid w:val="000C5066"/>
    <w:rsid w:val="000F6EC3"/>
    <w:rsid w:val="001078AD"/>
    <w:rsid w:val="00120C4B"/>
    <w:rsid w:val="00122B9B"/>
    <w:rsid w:val="001256CC"/>
    <w:rsid w:val="00130789"/>
    <w:rsid w:val="001578CA"/>
    <w:rsid w:val="00174399"/>
    <w:rsid w:val="00184B48"/>
    <w:rsid w:val="001D7611"/>
    <w:rsid w:val="00233E6D"/>
    <w:rsid w:val="0023741A"/>
    <w:rsid w:val="00253920"/>
    <w:rsid w:val="00262FDB"/>
    <w:rsid w:val="002828D1"/>
    <w:rsid w:val="00283511"/>
    <w:rsid w:val="00286FF0"/>
    <w:rsid w:val="002874B1"/>
    <w:rsid w:val="002A25C0"/>
    <w:rsid w:val="002C5B89"/>
    <w:rsid w:val="002C5F24"/>
    <w:rsid w:val="002E17B3"/>
    <w:rsid w:val="002E5218"/>
    <w:rsid w:val="002E5779"/>
    <w:rsid w:val="00314BD1"/>
    <w:rsid w:val="00327642"/>
    <w:rsid w:val="00330937"/>
    <w:rsid w:val="0033162B"/>
    <w:rsid w:val="003375A9"/>
    <w:rsid w:val="0033791A"/>
    <w:rsid w:val="00350334"/>
    <w:rsid w:val="00381D81"/>
    <w:rsid w:val="00387404"/>
    <w:rsid w:val="003951ED"/>
    <w:rsid w:val="003A3597"/>
    <w:rsid w:val="003B6C68"/>
    <w:rsid w:val="003B7A43"/>
    <w:rsid w:val="003B7F33"/>
    <w:rsid w:val="003C753B"/>
    <w:rsid w:val="003D1293"/>
    <w:rsid w:val="003F5174"/>
    <w:rsid w:val="00400974"/>
    <w:rsid w:val="00413446"/>
    <w:rsid w:val="004201AD"/>
    <w:rsid w:val="00422245"/>
    <w:rsid w:val="004241FA"/>
    <w:rsid w:val="00440155"/>
    <w:rsid w:val="004413ED"/>
    <w:rsid w:val="0044763A"/>
    <w:rsid w:val="00460C8D"/>
    <w:rsid w:val="004620FB"/>
    <w:rsid w:val="00474155"/>
    <w:rsid w:val="00484703"/>
    <w:rsid w:val="004A42AD"/>
    <w:rsid w:val="004B67C5"/>
    <w:rsid w:val="004E4B4A"/>
    <w:rsid w:val="004F02A1"/>
    <w:rsid w:val="004F4FCD"/>
    <w:rsid w:val="004F561C"/>
    <w:rsid w:val="00512BB1"/>
    <w:rsid w:val="00513CFA"/>
    <w:rsid w:val="00536E7B"/>
    <w:rsid w:val="00547DEF"/>
    <w:rsid w:val="00556391"/>
    <w:rsid w:val="0059221E"/>
    <w:rsid w:val="00594EC4"/>
    <w:rsid w:val="005955F0"/>
    <w:rsid w:val="005C1A5B"/>
    <w:rsid w:val="005C3A6F"/>
    <w:rsid w:val="005E25CC"/>
    <w:rsid w:val="005F310C"/>
    <w:rsid w:val="00627EBE"/>
    <w:rsid w:val="006431A4"/>
    <w:rsid w:val="006477B3"/>
    <w:rsid w:val="006744F6"/>
    <w:rsid w:val="00680A57"/>
    <w:rsid w:val="006855D3"/>
    <w:rsid w:val="00691B7B"/>
    <w:rsid w:val="006A2F7B"/>
    <w:rsid w:val="006D3F96"/>
    <w:rsid w:val="006D6FA4"/>
    <w:rsid w:val="006E16BA"/>
    <w:rsid w:val="006F49ED"/>
    <w:rsid w:val="006F7327"/>
    <w:rsid w:val="007208F7"/>
    <w:rsid w:val="007239B7"/>
    <w:rsid w:val="00730E37"/>
    <w:rsid w:val="00732893"/>
    <w:rsid w:val="0074122A"/>
    <w:rsid w:val="00753308"/>
    <w:rsid w:val="00762C66"/>
    <w:rsid w:val="00793FC0"/>
    <w:rsid w:val="007A19C8"/>
    <w:rsid w:val="007A7342"/>
    <w:rsid w:val="007B659C"/>
    <w:rsid w:val="007C73E9"/>
    <w:rsid w:val="007D1C98"/>
    <w:rsid w:val="007E637A"/>
    <w:rsid w:val="007F1BD9"/>
    <w:rsid w:val="007F2374"/>
    <w:rsid w:val="0081068B"/>
    <w:rsid w:val="00824796"/>
    <w:rsid w:val="008515FE"/>
    <w:rsid w:val="00851BEC"/>
    <w:rsid w:val="00861F8B"/>
    <w:rsid w:val="00863A8C"/>
    <w:rsid w:val="00872DAF"/>
    <w:rsid w:val="008734C2"/>
    <w:rsid w:val="00892809"/>
    <w:rsid w:val="00894DA0"/>
    <w:rsid w:val="00896139"/>
    <w:rsid w:val="008A14EA"/>
    <w:rsid w:val="008A33DB"/>
    <w:rsid w:val="008C152E"/>
    <w:rsid w:val="008D2669"/>
    <w:rsid w:val="008E309F"/>
    <w:rsid w:val="00922813"/>
    <w:rsid w:val="00930F58"/>
    <w:rsid w:val="009469D5"/>
    <w:rsid w:val="0095422C"/>
    <w:rsid w:val="00955F6B"/>
    <w:rsid w:val="00975596"/>
    <w:rsid w:val="00977A9B"/>
    <w:rsid w:val="009B1E2B"/>
    <w:rsid w:val="009B1EDE"/>
    <w:rsid w:val="009C173E"/>
    <w:rsid w:val="009E22B5"/>
    <w:rsid w:val="009E558C"/>
    <w:rsid w:val="009F59C9"/>
    <w:rsid w:val="00A260A4"/>
    <w:rsid w:val="00A4086E"/>
    <w:rsid w:val="00A56198"/>
    <w:rsid w:val="00A8753B"/>
    <w:rsid w:val="00AB4434"/>
    <w:rsid w:val="00AB6E3D"/>
    <w:rsid w:val="00AC17B7"/>
    <w:rsid w:val="00AC4071"/>
    <w:rsid w:val="00AE74C7"/>
    <w:rsid w:val="00B03A6F"/>
    <w:rsid w:val="00B04075"/>
    <w:rsid w:val="00B0627E"/>
    <w:rsid w:val="00B15219"/>
    <w:rsid w:val="00B22C83"/>
    <w:rsid w:val="00B35563"/>
    <w:rsid w:val="00B36FBD"/>
    <w:rsid w:val="00B513BF"/>
    <w:rsid w:val="00B566BB"/>
    <w:rsid w:val="00B65EF0"/>
    <w:rsid w:val="00B71044"/>
    <w:rsid w:val="00B803E6"/>
    <w:rsid w:val="00B818CA"/>
    <w:rsid w:val="00BA2113"/>
    <w:rsid w:val="00BC2FE5"/>
    <w:rsid w:val="00BC3CEB"/>
    <w:rsid w:val="00BD09BE"/>
    <w:rsid w:val="00C02E33"/>
    <w:rsid w:val="00C11AA8"/>
    <w:rsid w:val="00C249C7"/>
    <w:rsid w:val="00C344E5"/>
    <w:rsid w:val="00C37DD6"/>
    <w:rsid w:val="00C94E4B"/>
    <w:rsid w:val="00CB7AC6"/>
    <w:rsid w:val="00CC4DEB"/>
    <w:rsid w:val="00CD6709"/>
    <w:rsid w:val="00CE32D3"/>
    <w:rsid w:val="00CE3E36"/>
    <w:rsid w:val="00D04EB6"/>
    <w:rsid w:val="00D12A4F"/>
    <w:rsid w:val="00D307A1"/>
    <w:rsid w:val="00D418B1"/>
    <w:rsid w:val="00D45743"/>
    <w:rsid w:val="00D50C85"/>
    <w:rsid w:val="00D6367A"/>
    <w:rsid w:val="00D704E3"/>
    <w:rsid w:val="00D740ED"/>
    <w:rsid w:val="00D96A90"/>
    <w:rsid w:val="00DA6552"/>
    <w:rsid w:val="00DB5EDD"/>
    <w:rsid w:val="00DE3358"/>
    <w:rsid w:val="00DE5148"/>
    <w:rsid w:val="00DF5691"/>
    <w:rsid w:val="00E04F7B"/>
    <w:rsid w:val="00E2508A"/>
    <w:rsid w:val="00E37B83"/>
    <w:rsid w:val="00E4134E"/>
    <w:rsid w:val="00E41A77"/>
    <w:rsid w:val="00E73FDD"/>
    <w:rsid w:val="00E80C68"/>
    <w:rsid w:val="00E856FC"/>
    <w:rsid w:val="00E91F82"/>
    <w:rsid w:val="00E9458F"/>
    <w:rsid w:val="00E9584F"/>
    <w:rsid w:val="00E95EA6"/>
    <w:rsid w:val="00EA59A0"/>
    <w:rsid w:val="00EC4845"/>
    <w:rsid w:val="00ED5002"/>
    <w:rsid w:val="00EE0128"/>
    <w:rsid w:val="00EF0C09"/>
    <w:rsid w:val="00F27BD2"/>
    <w:rsid w:val="00F32D2C"/>
    <w:rsid w:val="00F33DD6"/>
    <w:rsid w:val="00F3601A"/>
    <w:rsid w:val="00F464D9"/>
    <w:rsid w:val="00F77057"/>
    <w:rsid w:val="00F80574"/>
    <w:rsid w:val="00F83591"/>
    <w:rsid w:val="00F87B8C"/>
    <w:rsid w:val="00FA0041"/>
    <w:rsid w:val="00FD1179"/>
    <w:rsid w:val="00FE5D76"/>
    <w:rsid w:val="00FF13CD"/>
    <w:rsid w:val="00FF53B7"/>
    <w:rsid w:val="1140187E"/>
    <w:rsid w:val="1B726D8D"/>
    <w:rsid w:val="3ABD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autoSpaceDE w:val="0"/>
      <w:autoSpaceDN w:val="0"/>
      <w:spacing w:line="240" w:lineRule="auto"/>
      <w:jc w:val="center"/>
      <w:outlineLvl w:val="0"/>
    </w:pPr>
    <w:rPr>
      <w:rFonts w:ascii="Microsoft JhengHei" w:hAnsi="Microsoft JhengHei" w:eastAsia="宋体" w:cs="Microsoft JhengHei"/>
      <w:b/>
      <w:bCs/>
      <w:kern w:val="0"/>
      <w:sz w:val="36"/>
      <w:szCs w:val="40"/>
      <w:lang w:eastAsia="en-US"/>
    </w:rPr>
  </w:style>
  <w:style w:type="paragraph" w:styleId="3">
    <w:name w:val="heading 2"/>
    <w:basedOn w:val="1"/>
    <w:next w:val="1"/>
    <w:link w:val="26"/>
    <w:unhideWhenUsed/>
    <w:qFormat/>
    <w:uiPriority w:val="9"/>
    <w:pPr>
      <w:autoSpaceDE w:val="0"/>
      <w:autoSpaceDN w:val="0"/>
      <w:spacing w:line="240" w:lineRule="auto"/>
      <w:jc w:val="center"/>
      <w:outlineLvl w:val="1"/>
    </w:pPr>
    <w:rPr>
      <w:rFonts w:ascii="Microsoft JhengHei" w:hAnsi="Microsoft JhengHei" w:eastAsia="宋体" w:cs="Microsoft JhengHei"/>
      <w:bCs/>
      <w:kern w:val="0"/>
      <w:sz w:val="30"/>
      <w:szCs w:val="32"/>
      <w:lang w:eastAsia="en-US"/>
    </w:rPr>
  </w:style>
  <w:style w:type="paragraph" w:styleId="4">
    <w:name w:val="heading 4"/>
    <w:basedOn w:val="1"/>
    <w:next w:val="1"/>
    <w:link w:val="4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spacing w:line="240" w:lineRule="auto"/>
      <w:ind w:left="1680" w:hanging="210"/>
      <w:jc w:val="left"/>
    </w:pPr>
    <w:rPr>
      <w:rFonts w:ascii="Calibri" w:hAnsi="Calibri" w:eastAsia="宋体" w:cs="Times New Roman"/>
      <w:sz w:val="20"/>
      <w:szCs w:val="20"/>
    </w:rPr>
  </w:style>
  <w:style w:type="paragraph" w:styleId="6">
    <w:name w:val="annotation text"/>
    <w:basedOn w:val="1"/>
    <w:link w:val="31"/>
    <w:semiHidden/>
    <w:unhideWhenUsed/>
    <w:qFormat/>
    <w:uiPriority w:val="99"/>
    <w:pPr>
      <w:autoSpaceDE w:val="0"/>
      <w:autoSpaceDN w:val="0"/>
      <w:spacing w:line="240" w:lineRule="auto"/>
      <w:jc w:val="left"/>
    </w:pPr>
    <w:rPr>
      <w:rFonts w:ascii="宋体" w:hAnsi="宋体" w:eastAsia="宋体" w:cs="宋体"/>
      <w:kern w:val="0"/>
      <w:sz w:val="22"/>
      <w:lang w:eastAsia="en-US"/>
    </w:rPr>
  </w:style>
  <w:style w:type="paragraph" w:styleId="7">
    <w:name w:val="Body Text"/>
    <w:basedOn w:val="1"/>
    <w:link w:val="27"/>
    <w:qFormat/>
    <w:uiPriority w:val="1"/>
    <w:pPr>
      <w:autoSpaceDE w:val="0"/>
      <w:autoSpaceDN w:val="0"/>
      <w:spacing w:line="240" w:lineRule="auto"/>
      <w:jc w:val="left"/>
    </w:pPr>
    <w:rPr>
      <w:rFonts w:ascii="宋体" w:hAnsi="宋体" w:eastAsia="宋体" w:cs="宋体"/>
      <w:kern w:val="0"/>
      <w:sz w:val="32"/>
      <w:szCs w:val="32"/>
      <w:lang w:eastAsia="en-US"/>
    </w:rPr>
  </w:style>
  <w:style w:type="paragraph" w:styleId="8">
    <w:name w:val="Body Text Indent"/>
    <w:basedOn w:val="1"/>
    <w:link w:val="49"/>
    <w:semiHidden/>
    <w:unhideWhenUsed/>
    <w:qFormat/>
    <w:uiPriority w:val="99"/>
    <w:pPr>
      <w:spacing w:after="120"/>
      <w:ind w:left="420"/>
    </w:pPr>
  </w:style>
  <w:style w:type="paragraph" w:styleId="9">
    <w:name w:val="Date"/>
    <w:basedOn w:val="1"/>
    <w:next w:val="1"/>
    <w:link w:val="22"/>
    <w:unhideWhenUsed/>
    <w:qFormat/>
    <w:uiPriority w:val="0"/>
    <w:pPr>
      <w:ind w:left="100" w:leftChars="2500"/>
    </w:pPr>
  </w:style>
  <w:style w:type="paragraph" w:styleId="10">
    <w:name w:val="Balloon Text"/>
    <w:basedOn w:val="1"/>
    <w:link w:val="35"/>
    <w:semiHidden/>
    <w:unhideWhenUsed/>
    <w:qFormat/>
    <w:uiPriority w:val="99"/>
    <w:pPr>
      <w:autoSpaceDE w:val="0"/>
      <w:autoSpaceDN w:val="0"/>
      <w:spacing w:line="240" w:lineRule="auto"/>
      <w:jc w:val="left"/>
    </w:pPr>
    <w:rPr>
      <w:rFonts w:ascii="宋体" w:hAnsi="宋体" w:eastAsia="宋体" w:cs="宋体"/>
      <w:kern w:val="0"/>
      <w:sz w:val="18"/>
      <w:szCs w:val="18"/>
      <w:lang w:eastAsia="en-US"/>
    </w:rPr>
  </w:style>
  <w:style w:type="paragraph" w:styleId="11">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unhideWhenUsed/>
    <w:qFormat/>
    <w:uiPriority w:val="39"/>
    <w:pPr>
      <w:autoSpaceDE w:val="0"/>
      <w:autoSpaceDN w:val="0"/>
      <w:spacing w:line="360" w:lineRule="auto"/>
    </w:pPr>
    <w:rPr>
      <w:rFonts w:ascii="Times New Roman" w:hAnsi="Times New Roman" w:eastAsia="宋体" w:cs="宋体"/>
      <w:kern w:val="0"/>
      <w:sz w:val="24"/>
      <w:lang w:eastAsia="en-US"/>
    </w:rPr>
  </w:style>
  <w:style w:type="paragraph" w:styleId="14">
    <w:name w:val="toc 2"/>
    <w:basedOn w:val="1"/>
    <w:next w:val="1"/>
    <w:unhideWhenUsed/>
    <w:qFormat/>
    <w:uiPriority w:val="39"/>
    <w:pPr>
      <w:autoSpaceDE w:val="0"/>
      <w:autoSpaceDN w:val="0"/>
      <w:spacing w:line="360" w:lineRule="auto"/>
      <w:ind w:left="420" w:leftChars="200"/>
    </w:pPr>
    <w:rPr>
      <w:rFonts w:ascii="Times New Roman" w:hAnsi="Times New Roman" w:eastAsia="宋体" w:cs="宋体"/>
      <w:kern w:val="0"/>
      <w:sz w:val="24"/>
      <w:lang w:eastAsia="en-US"/>
    </w:rPr>
  </w:style>
  <w:style w:type="paragraph" w:styleId="15">
    <w:name w:val="annotation subject"/>
    <w:basedOn w:val="6"/>
    <w:next w:val="6"/>
    <w:link w:val="33"/>
    <w:semiHidden/>
    <w:unhideWhenUsed/>
    <w:qFormat/>
    <w:uiPriority w:val="99"/>
    <w:rPr>
      <w:b/>
      <w:bCs/>
    </w:rPr>
  </w:style>
  <w:style w:type="paragraph" w:styleId="16">
    <w:name w:val="Body Text First Indent 2"/>
    <w:basedOn w:val="8"/>
    <w:link w:val="50"/>
    <w:semiHidden/>
    <w:unhideWhenUsed/>
    <w:qFormat/>
    <w:uiPriority w:val="99"/>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u w:val="single"/>
    </w:rPr>
  </w:style>
  <w:style w:type="character" w:styleId="21">
    <w:name w:val="Hyperlink"/>
    <w:basedOn w:val="19"/>
    <w:unhideWhenUsed/>
    <w:qFormat/>
    <w:uiPriority w:val="99"/>
    <w:rPr>
      <w:color w:val="0000FF" w:themeColor="hyperlink"/>
      <w:u w:val="single"/>
    </w:rPr>
  </w:style>
  <w:style w:type="character" w:customStyle="1" w:styleId="22">
    <w:name w:val="日期 Char"/>
    <w:basedOn w:val="19"/>
    <w:link w:val="9"/>
    <w:semiHidden/>
    <w:qFormat/>
    <w:uiPriority w:val="99"/>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1 Char"/>
    <w:basedOn w:val="19"/>
    <w:link w:val="2"/>
    <w:uiPriority w:val="9"/>
    <w:rPr>
      <w:rFonts w:ascii="Microsoft JhengHei" w:hAnsi="Microsoft JhengHei" w:eastAsia="宋体" w:cs="Microsoft JhengHei"/>
      <w:b/>
      <w:bCs/>
      <w:kern w:val="0"/>
      <w:sz w:val="36"/>
      <w:szCs w:val="40"/>
      <w:lang w:eastAsia="en-US"/>
    </w:rPr>
  </w:style>
  <w:style w:type="character" w:customStyle="1" w:styleId="26">
    <w:name w:val="标题 2 Char"/>
    <w:basedOn w:val="19"/>
    <w:link w:val="3"/>
    <w:uiPriority w:val="9"/>
    <w:rPr>
      <w:rFonts w:ascii="Microsoft JhengHei" w:hAnsi="Microsoft JhengHei" w:eastAsia="宋体" w:cs="Microsoft JhengHei"/>
      <w:bCs/>
      <w:kern w:val="0"/>
      <w:sz w:val="30"/>
      <w:szCs w:val="32"/>
      <w:lang w:eastAsia="en-US"/>
    </w:rPr>
  </w:style>
  <w:style w:type="character" w:customStyle="1" w:styleId="27">
    <w:name w:val="正文文本 Char"/>
    <w:basedOn w:val="19"/>
    <w:link w:val="7"/>
    <w:qFormat/>
    <w:uiPriority w:val="1"/>
    <w:rPr>
      <w:rFonts w:ascii="宋体" w:hAnsi="宋体" w:eastAsia="宋体" w:cs="宋体"/>
      <w:kern w:val="0"/>
      <w:sz w:val="32"/>
      <w:szCs w:val="32"/>
      <w:lang w:eastAsia="en-US"/>
    </w:rPr>
  </w:style>
  <w:style w:type="paragraph" w:styleId="28">
    <w:name w:val="List Paragraph"/>
    <w:basedOn w:val="1"/>
    <w:qFormat/>
    <w:uiPriority w:val="1"/>
    <w:pPr>
      <w:autoSpaceDE w:val="0"/>
      <w:autoSpaceDN w:val="0"/>
      <w:spacing w:line="240" w:lineRule="auto"/>
      <w:jc w:val="left"/>
    </w:pPr>
    <w:rPr>
      <w:rFonts w:ascii="宋体" w:hAnsi="宋体" w:eastAsia="宋体" w:cs="宋体"/>
      <w:kern w:val="0"/>
      <w:sz w:val="22"/>
      <w:lang w:eastAsia="en-US"/>
    </w:rPr>
  </w:style>
  <w:style w:type="paragraph" w:customStyle="1" w:styleId="29">
    <w:name w:val="Table Paragraph"/>
    <w:basedOn w:val="1"/>
    <w:qFormat/>
    <w:uiPriority w:val="1"/>
    <w:pPr>
      <w:autoSpaceDE w:val="0"/>
      <w:autoSpaceDN w:val="0"/>
      <w:spacing w:line="240" w:lineRule="auto"/>
      <w:jc w:val="left"/>
    </w:pPr>
    <w:rPr>
      <w:rFonts w:ascii="宋体" w:hAnsi="宋体" w:eastAsia="宋体" w:cs="宋体"/>
      <w:kern w:val="0"/>
      <w:sz w:val="22"/>
      <w:lang w:eastAsia="en-US"/>
    </w:rPr>
  </w:style>
  <w:style w:type="paragraph" w:customStyle="1" w:styleId="30">
    <w:name w:val="TOC 标题1"/>
    <w:basedOn w:val="2"/>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b w:val="0"/>
      <w:bCs w:val="0"/>
      <w:color w:val="366091" w:themeColor="accent1" w:themeShade="BF"/>
      <w:sz w:val="32"/>
      <w:szCs w:val="32"/>
      <w:lang w:eastAsia="zh-CN"/>
    </w:rPr>
  </w:style>
  <w:style w:type="character" w:customStyle="1" w:styleId="31">
    <w:name w:val="批注文字 Char"/>
    <w:basedOn w:val="19"/>
    <w:link w:val="6"/>
    <w:semiHidden/>
    <w:qFormat/>
    <w:uiPriority w:val="99"/>
    <w:rPr>
      <w:rFonts w:ascii="宋体" w:hAnsi="宋体" w:eastAsia="宋体" w:cs="宋体"/>
      <w:kern w:val="0"/>
      <w:sz w:val="22"/>
      <w:lang w:eastAsia="en-US"/>
    </w:rPr>
  </w:style>
  <w:style w:type="character" w:customStyle="1" w:styleId="32">
    <w:name w:val="批注主题 Char"/>
    <w:basedOn w:val="31"/>
    <w:semiHidden/>
    <w:qFormat/>
    <w:uiPriority w:val="99"/>
    <w:rPr>
      <w:rFonts w:ascii="宋体" w:hAnsi="宋体" w:eastAsia="宋体" w:cs="宋体"/>
      <w:b/>
      <w:bCs/>
      <w:kern w:val="0"/>
      <w:sz w:val="22"/>
      <w:lang w:eastAsia="en-US"/>
    </w:rPr>
  </w:style>
  <w:style w:type="character" w:customStyle="1" w:styleId="33">
    <w:name w:val="批注主题 Char1"/>
    <w:basedOn w:val="31"/>
    <w:link w:val="15"/>
    <w:semiHidden/>
    <w:uiPriority w:val="99"/>
    <w:rPr>
      <w:rFonts w:ascii="宋体" w:hAnsi="宋体" w:eastAsia="宋体" w:cs="宋体"/>
      <w:b/>
      <w:bCs/>
      <w:kern w:val="0"/>
      <w:sz w:val="22"/>
      <w:lang w:eastAsia="en-US"/>
    </w:rPr>
  </w:style>
  <w:style w:type="character" w:customStyle="1" w:styleId="34">
    <w:name w:val="批注框文本 Char"/>
    <w:basedOn w:val="19"/>
    <w:semiHidden/>
    <w:qFormat/>
    <w:uiPriority w:val="99"/>
    <w:rPr>
      <w:rFonts w:ascii="宋体" w:hAnsi="宋体" w:eastAsia="宋体" w:cs="宋体"/>
      <w:kern w:val="0"/>
      <w:sz w:val="18"/>
      <w:szCs w:val="18"/>
      <w:lang w:eastAsia="en-US"/>
    </w:rPr>
  </w:style>
  <w:style w:type="character" w:customStyle="1" w:styleId="35">
    <w:name w:val="批注框文本 Char1"/>
    <w:basedOn w:val="19"/>
    <w:link w:val="10"/>
    <w:semiHidden/>
    <w:qFormat/>
    <w:uiPriority w:val="99"/>
    <w:rPr>
      <w:sz w:val="18"/>
      <w:szCs w:val="18"/>
    </w:rPr>
  </w:style>
  <w:style w:type="paragraph" w:customStyle="1" w:styleId="36">
    <w:name w:val="font5"/>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37">
    <w:name w:val="xl63"/>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38">
    <w:name w:val="xl64"/>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6">
    <w:name w:val="xl72"/>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47">
    <w:name w:val="xl73"/>
    <w:basedOn w:val="1"/>
    <w:qFormat/>
    <w:uiPriority w:val="0"/>
    <w:pPr>
      <w:widowControl/>
      <w:pBdr>
        <w:bottom w:val="single" w:color="auto" w:sz="4" w:space="0"/>
      </w:pBdr>
      <w:spacing w:before="100" w:beforeAutospacing="1" w:after="100" w:afterAutospacing="1" w:line="240" w:lineRule="auto"/>
      <w:jc w:val="center"/>
      <w:textAlignment w:val="center"/>
    </w:pPr>
    <w:rPr>
      <w:rFonts w:ascii="方正小标宋_GBK" w:hAnsi="宋体" w:eastAsia="方正小标宋_GBK" w:cs="宋体"/>
      <w:kern w:val="0"/>
      <w:sz w:val="40"/>
      <w:szCs w:val="40"/>
    </w:rPr>
  </w:style>
  <w:style w:type="character" w:customStyle="1" w:styleId="48">
    <w:name w:val="标题 4 Char"/>
    <w:basedOn w:val="19"/>
    <w:link w:val="4"/>
    <w:semiHidden/>
    <w:qFormat/>
    <w:uiPriority w:val="9"/>
    <w:rPr>
      <w:rFonts w:asciiTheme="majorHAnsi" w:hAnsiTheme="majorHAnsi" w:eastAsiaTheme="majorEastAsia" w:cstheme="majorBidi"/>
      <w:b/>
      <w:bCs/>
      <w:kern w:val="2"/>
      <w:sz w:val="28"/>
      <w:szCs w:val="28"/>
    </w:rPr>
  </w:style>
  <w:style w:type="character" w:customStyle="1" w:styleId="49">
    <w:name w:val="正文文本缩进 Char"/>
    <w:basedOn w:val="19"/>
    <w:link w:val="8"/>
    <w:semiHidden/>
    <w:qFormat/>
    <w:uiPriority w:val="99"/>
    <w:rPr>
      <w:kern w:val="2"/>
      <w:sz w:val="21"/>
      <w:szCs w:val="22"/>
    </w:rPr>
  </w:style>
  <w:style w:type="character" w:customStyle="1" w:styleId="50">
    <w:name w:val="正文首行缩进 2 Char"/>
    <w:basedOn w:val="49"/>
    <w:link w:val="16"/>
    <w:semiHidden/>
    <w:qFormat/>
    <w:uiPriority w:val="99"/>
    <w:rPr>
      <w:kern w:val="2"/>
      <w:sz w:val="21"/>
      <w:szCs w:val="22"/>
    </w:rPr>
  </w:style>
  <w:style w:type="paragraph" w:customStyle="1" w:styleId="51">
    <w:name w:val="样式 仿宋 四号 行距: 固定值 26 磅 首行缩进:  2 字符"/>
    <w:basedOn w:val="1"/>
    <w:qFormat/>
    <w:uiPriority w:val="0"/>
    <w:pPr>
      <w:spacing w:line="500" w:lineRule="exact"/>
      <w:ind w:firstLine="200" w:firstLineChars="200"/>
    </w:pPr>
    <w:rPr>
      <w:rFonts w:ascii="仿宋" w:hAnsi="仿宋" w:eastAsia="仿宋"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13AE13-FE6D-4684-A6A3-344D930D4F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2636</Words>
  <Characters>2740</Characters>
  <Lines>25</Lines>
  <Paragraphs>7</Paragraphs>
  <TotalTime>23</TotalTime>
  <ScaleCrop>false</ScaleCrop>
  <LinksUpToDate>false</LinksUpToDate>
  <CharactersWithSpaces>2899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2025-08-08T03:11:00Z</dcterms:created>
  <dc:creator>lenovo</dc:creator>
  <cp:lastModifiedBy>WPS_1651715612</cp:lastModifiedBy>
  <cp:lastPrinted>2025-06-16T02:32:00Z</cp:lastPrinted>
  <dcterms:modified xsi:type="dcterms:W3CDTF">2025-08-12T08:45:57Z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BF2E5DB546C84517BB239CCE1FB03CF6_13</vt:lpwstr>
  </property>
  <property fmtid="{D5CDD505-2E9C-101B-9397-08002B2CF9AE}" pid="4" name="KSOTemplateDocerSaveRecord">
    <vt:lpwstr>eyJoZGlkIjoiYTZlYzcwNGMyYTQ5NDdjMzNmYWM1OWQ1OWI4ZWJhNTciLCJ1c2VySWQiOiIxMzcxOTM2NzA0In0=</vt:lpwstr>
  </property>
</Properties>
</file>