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3576CD5">
      <w:pPr>
        <w:pStyle w:val="style0"/>
        <w:widowControl w:val="false"/>
        <w:kinsoku/>
        <w:autoSpaceDE/>
        <w:autoSpaceDN/>
        <w:adjustRightInd/>
        <w:snapToGrid/>
        <w:spacing w:lineRule="exact" w:line="560"/>
        <w:jc w:val="center"/>
        <w:textAlignment w:val="auto"/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</w:pPr>
    </w:p>
    <w:p w14:paraId="0DD12AEC">
      <w:pPr>
        <w:pStyle w:val="style0"/>
        <w:widowControl w:val="false"/>
        <w:kinsoku/>
        <w:autoSpaceDE/>
        <w:autoSpaceDN/>
        <w:adjustRightInd/>
        <w:snapToGrid/>
        <w:spacing w:lineRule="exact" w:line="560"/>
        <w:jc w:val="center"/>
        <w:textAlignment w:val="auto"/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Times New Roman" w:cs="Times New Roman" w:eastAsia="方正小标宋_GBK" w:hAnsi="Times New Roman" w:hint="eastAsia"/>
          <w:snapToGrid/>
          <w:color w:val="auto"/>
          <w:kern w:val="2"/>
          <w:sz w:val="44"/>
          <w:szCs w:val="44"/>
          <w:lang w:eastAsia="zh-CN"/>
        </w:rPr>
        <w:t>《</w:t>
      </w:r>
      <w:r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  <w:t>泰州市</w:t>
      </w:r>
      <w:r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  <w:t>2025</w:t>
      </w:r>
      <w:r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  <w:t>年</w:t>
      </w:r>
      <w:r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  <w:t>—2030</w:t>
      </w:r>
      <w:r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  <w:t>年节能环保产业</w:t>
      </w:r>
    </w:p>
    <w:p w14:paraId="0DD12AED">
      <w:pPr>
        <w:pStyle w:val="style0"/>
        <w:widowControl w:val="false"/>
        <w:kinsoku/>
        <w:autoSpaceDE/>
        <w:autoSpaceDN/>
        <w:adjustRightInd/>
        <w:snapToGrid/>
        <w:spacing w:lineRule="exact" w:line="560"/>
        <w:jc w:val="center"/>
        <w:textAlignment w:val="auto"/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</w:pPr>
      <w:r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  <w:t>发展规划</w:t>
      </w:r>
      <w:r>
        <w:rPr>
          <w:rFonts w:ascii="Times New Roman" w:cs="Times New Roman" w:eastAsia="方正小标宋_GBK" w:hAnsi="Times New Roman" w:hint="eastAsia"/>
          <w:snapToGrid/>
          <w:color w:val="auto"/>
          <w:kern w:val="2"/>
          <w:sz w:val="44"/>
          <w:szCs w:val="44"/>
          <w:lang w:eastAsia="zh-CN"/>
        </w:rPr>
        <w:t>（征求意见稿）》</w:t>
      </w:r>
      <w:r>
        <w:rPr>
          <w:rFonts w:ascii="Times New Roman" w:cs="Times New Roman" w:eastAsia="方正小标宋_GBK" w:hAnsi="Times New Roman" w:hint="eastAsia"/>
          <w:snapToGrid/>
          <w:color w:val="auto"/>
          <w:kern w:val="2"/>
          <w:sz w:val="44"/>
          <w:szCs w:val="44"/>
          <w:lang w:eastAsia="zh-CN"/>
        </w:rPr>
        <w:t>解读</w:t>
      </w:r>
    </w:p>
    <w:p w14:paraId="0DD12AEE">
      <w:pPr>
        <w:pStyle w:val="style0"/>
        <w:widowControl w:val="false"/>
        <w:kinsoku/>
        <w:autoSpaceDE/>
        <w:autoSpaceDN/>
        <w:adjustRightInd/>
        <w:snapToGrid/>
        <w:spacing w:lineRule="exact" w:line="560"/>
        <w:jc w:val="center"/>
        <w:textAlignment w:val="auto"/>
        <w:rPr>
          <w:rFonts w:ascii="Times New Roman" w:cs="Times New Roman" w:eastAsia="方正小标宋_GBK" w:hAnsi="Times New Roman"/>
          <w:snapToGrid/>
          <w:color w:val="auto"/>
          <w:kern w:val="2"/>
          <w:sz w:val="44"/>
          <w:szCs w:val="44"/>
          <w:lang w:eastAsia="zh-CN"/>
        </w:rPr>
      </w:pPr>
    </w:p>
    <w:p w14:paraId="0DD12AEF">
      <w:pPr>
        <w:pStyle w:val="style0"/>
        <w:widowControl w:val="false"/>
        <w:numPr>
          <w:ilvl w:val="0"/>
          <w:numId w:val="1"/>
        </w:numPr>
        <w:kinsoku/>
        <w:autoSpaceDE/>
        <w:autoSpaceDN/>
        <w:adjustRightInd/>
        <w:snapToGrid/>
        <w:spacing w:lineRule="exact" w:line="560"/>
        <w:ind w:firstLine="640" w:firstLineChars="200"/>
        <w:textAlignment w:val="auto"/>
        <w:rPr>
          <w:rFonts w:ascii="方正黑体_GBK" w:cs="Times New Roman" w:eastAsia="方正黑体_GBK" w:hAnsi="方正黑体_GBK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方正黑体_GBK" w:cs="Times New Roman" w:eastAsia="方正黑体_GBK" w:hAnsi="方正黑体_GBK" w:hint="eastAsia"/>
          <w:snapToGrid/>
          <w:color w:val="auto"/>
          <w:kern w:val="2"/>
          <w:sz w:val="32"/>
          <w:szCs w:val="32"/>
          <w:lang w:eastAsia="zh-CN"/>
        </w:rPr>
        <w:t>相关背景</w:t>
      </w:r>
    </w:p>
    <w:p w14:paraId="0DD12AF0">
      <w:pPr>
        <w:pStyle w:val="style0"/>
        <w:kinsoku/>
        <w:spacing w:lineRule="exact" w:line="590"/>
        <w:ind w:firstLine="640" w:firstLineChars="200"/>
        <w:jc w:val="both"/>
        <w:rPr>
          <w:rFonts w:ascii="方正仿宋_GBK" w:cs="方正仿宋_GBK" w:eastAsia="方正仿宋_GBK" w:hAnsi="方正仿宋_GBK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根据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中共中央、国务院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2024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年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8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月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印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发的</w:t>
      </w:r>
      <w:r>
        <w:rPr>
          <w:rFonts w:ascii="方正仿宋_GBK" w:cs="方正仿宋_GBK" w:eastAsia="方正仿宋_GBK" w:hAnsi="方正仿宋_GBK"/>
          <w:snapToGrid/>
          <w:color w:val="auto"/>
          <w:kern w:val="2"/>
          <w:sz w:val="32"/>
          <w:szCs w:val="32"/>
          <w:lang w:eastAsia="zh-CN"/>
        </w:rPr>
        <w:t>《关于加快经济社会发展全</w:t>
      </w:r>
      <w:r>
        <w:rPr>
          <w:rFonts w:cs="方正仿宋_GBK" w:eastAsia="方正仿宋_GBK" w:hAnsi="方正仿宋_GBK"/>
          <w:snapToGrid/>
          <w:color w:val="auto"/>
          <w:kern w:val="2"/>
          <w:sz w:val="32"/>
          <w:szCs w:val="32"/>
          <w:lang w:val="en-US" w:eastAsia="zh-CN"/>
        </w:rPr>
        <w:t>面</w:t>
      </w:r>
      <w:r>
        <w:rPr>
          <w:rFonts w:ascii="方正仿宋_GBK" w:cs="方正仿宋_GBK" w:eastAsia="方正仿宋_GBK" w:hAnsi="方正仿宋_GBK"/>
          <w:snapToGrid/>
          <w:color w:val="auto"/>
          <w:kern w:val="2"/>
          <w:sz w:val="32"/>
          <w:szCs w:val="32"/>
          <w:lang w:eastAsia="zh-CN"/>
        </w:rPr>
        <w:t>绿色转型的意见》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以及江苏省政府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2025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年印发的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《江苏省加快经济社会发展</w:t>
      </w:r>
      <w:r>
        <w:rPr>
          <w:rFonts w:ascii="Times New Roman" w:cs="Times New Roman" w:hAnsi="Times New Roman" w:hint="eastAsia"/>
          <w:snapToGrid/>
          <w:color w:val="auto"/>
          <w:kern w:val="2"/>
          <w:sz w:val="32"/>
          <w:szCs w:val="32"/>
          <w:lang w:eastAsia="zh-CN"/>
        </w:rPr>
        <w:t>全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面绿色转型若干政策举措》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文件指示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，为贯彻落实中共泰州市委六届十次全会精神，推进泰州市节能环保产业高质量发展，有效提升节能环保技术、装备和服务供给水平，编制《泰州市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2025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年—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2030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年节能环保产业发展规划（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征求意见稿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）》。</w:t>
      </w:r>
    </w:p>
    <w:p w14:paraId="0DD12AF1">
      <w:pPr>
        <w:pStyle w:val="style0"/>
        <w:widowControl w:val="false"/>
        <w:numPr>
          <w:ilvl w:val="0"/>
          <w:numId w:val="1"/>
        </w:numPr>
        <w:kinsoku/>
        <w:autoSpaceDE/>
        <w:autoSpaceDN/>
        <w:adjustRightInd/>
        <w:snapToGrid/>
        <w:spacing w:lineRule="exact" w:line="560"/>
        <w:ind w:firstLine="640" w:firstLineChars="200"/>
        <w:textAlignment w:val="auto"/>
        <w:rPr>
          <w:rFonts w:ascii="方正黑体_GBK" w:cs="Times New Roman" w:eastAsia="方正黑体_GBK" w:hAnsi="方正黑体_GBK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方正黑体_GBK" w:cs="Times New Roman" w:eastAsia="方正黑体_GBK" w:hAnsi="方正黑体_GBK" w:hint="eastAsia"/>
          <w:snapToGrid/>
          <w:color w:val="auto"/>
          <w:kern w:val="2"/>
          <w:sz w:val="32"/>
          <w:szCs w:val="32"/>
          <w:lang w:eastAsia="zh-CN"/>
        </w:rPr>
        <w:t>政策依据</w:t>
      </w:r>
    </w:p>
    <w:p w14:paraId="0DD12AF2">
      <w:pPr>
        <w:pStyle w:val="style0"/>
        <w:kinsoku/>
        <w:spacing w:lineRule="exact" w:line="590"/>
        <w:ind w:firstLine="640" w:firstLineChars="200"/>
        <w:jc w:val="both"/>
        <w:rPr>
          <w:rFonts w:ascii="方正仿宋_GBK" w:cs="方正仿宋_GBK" w:eastAsia="方正仿宋_GBK" w:hAnsi="方正仿宋_GBK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根据《泰州市重点产业链培育提升行动方案》、《市领导联系服务“四重”工作推进机制》和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《泰州市“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8+13+X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”产业链群体系建设工作指引》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及其他政策文件等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制定本规划</w:t>
      </w:r>
      <w:r>
        <w:rPr>
          <w:rFonts w:ascii="方正仿宋_GBK" w:cs="方正仿宋_GBK" w:eastAsia="方正仿宋_GBK" w:hAnsi="方正仿宋_GBK" w:hint="eastAsia"/>
          <w:snapToGrid/>
          <w:color w:val="auto"/>
          <w:kern w:val="2"/>
          <w:sz w:val="32"/>
          <w:szCs w:val="32"/>
          <w:lang w:eastAsia="zh-CN"/>
        </w:rPr>
        <w:t>。</w:t>
      </w:r>
    </w:p>
    <w:p w14:paraId="0DD12AF3">
      <w:pPr>
        <w:pStyle w:val="style0"/>
        <w:widowControl w:val="false"/>
        <w:numPr>
          <w:ilvl w:val="0"/>
          <w:numId w:val="1"/>
        </w:numPr>
        <w:kinsoku/>
        <w:autoSpaceDE/>
        <w:autoSpaceDN/>
        <w:adjustRightInd/>
        <w:snapToGrid/>
        <w:spacing w:lineRule="exact" w:line="560"/>
        <w:ind w:firstLine="640" w:firstLineChars="200"/>
        <w:textAlignment w:val="auto"/>
        <w:rPr>
          <w:rFonts w:ascii="方正黑体_GBK" w:cs="Times New Roman" w:eastAsia="方正黑体_GBK" w:hAnsi="方正黑体_GBK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方正黑体_GBK" w:cs="Times New Roman" w:eastAsia="方正黑体_GBK" w:hAnsi="方正黑体_GBK" w:hint="eastAsia"/>
          <w:snapToGrid/>
          <w:color w:val="auto"/>
          <w:kern w:val="2"/>
          <w:sz w:val="32"/>
          <w:szCs w:val="32"/>
          <w:lang w:eastAsia="zh-CN"/>
        </w:rPr>
        <w:t>主要目标</w:t>
      </w:r>
    </w:p>
    <w:p w14:paraId="0DD12AF8">
      <w:pPr>
        <w:pStyle w:val="style0"/>
        <w:kinsoku/>
        <w:spacing w:lineRule="exact" w:line="590"/>
        <w:ind w:firstLine="640" w:firstLineChars="200"/>
        <w:jc w:val="both"/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2025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年、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2027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年、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2030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年节能环保产业产值分别达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 475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亿、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530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亿、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550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亿元，跻身江苏省前五，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2030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年占全市生产总值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 5.5%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。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攻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克关键共性技术，部分节能环保装备达国内领先或接近国际先进水平，环保及绿色产品国家认证达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 100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个。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​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形成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节能环保技术装备、节能与新能源、资源再生与循环利用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 3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个产业链，依托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 6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大园区打造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 xml:space="preserve"> “6+N” 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产业集聚区。</w:t>
      </w:r>
    </w:p>
    <w:p w14:paraId="0DD12AF9">
      <w:pPr>
        <w:pStyle w:val="style0"/>
        <w:widowControl w:val="false"/>
        <w:numPr>
          <w:ilvl w:val="0"/>
          <w:numId w:val="1"/>
        </w:numPr>
        <w:kinsoku/>
        <w:autoSpaceDE/>
        <w:autoSpaceDN/>
        <w:adjustRightInd/>
        <w:snapToGrid/>
        <w:spacing w:lineRule="exact" w:line="560"/>
        <w:ind w:firstLine="640" w:firstLineChars="200"/>
        <w:textAlignment w:val="auto"/>
        <w:rPr>
          <w:rFonts w:ascii="方正黑体_GBK" w:cs="Times New Roman" w:eastAsia="方正黑体_GBK" w:hAnsi="方正黑体_GBK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方正黑体_GBK" w:cs="Times New Roman" w:eastAsia="方正黑体_GBK" w:hAnsi="方正黑体_GBK" w:hint="eastAsia"/>
          <w:snapToGrid/>
          <w:color w:val="auto"/>
          <w:kern w:val="2"/>
          <w:sz w:val="32"/>
          <w:szCs w:val="32"/>
          <w:lang w:eastAsia="zh-CN"/>
        </w:rPr>
        <w:t>主要任务与重点工程</w:t>
      </w:r>
    </w:p>
    <w:p w14:paraId="0DD12AFA">
      <w:pPr>
        <w:pStyle w:val="style0"/>
        <w:kinsoku/>
        <w:spacing w:lineRule="exact" w:line="590"/>
        <w:ind w:firstLine="640" w:firstLineChars="200"/>
        <w:jc w:val="both"/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立足泰州市节能环保产业发展实际，着眼未来发展需求，抢抓节能环保产业发展重大机遇，提升产业创新能力，提高产业集约集聚发展水平，全面提升市场竞争力，做大做强产业发展规模，做优产业发展质量，推动节能环保产业快速、提质、创新发展。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围绕改善提高生态环境质量、绿色低碳转型发展，长江大保护、乡村振兴、生态文明建设、建设美丽中国等发展要求，组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织实施一批示范作用明显、带动性强的重大工程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，支持本地产业发展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。</w:t>
      </w:r>
    </w:p>
    <w:p w14:paraId="0DD12B02">
      <w:pPr>
        <w:pStyle w:val="style0"/>
        <w:widowControl w:val="false"/>
        <w:numPr>
          <w:ilvl w:val="0"/>
          <w:numId w:val="1"/>
        </w:numPr>
        <w:kinsoku/>
        <w:autoSpaceDE/>
        <w:autoSpaceDN/>
        <w:adjustRightInd/>
        <w:snapToGrid/>
        <w:spacing w:lineRule="exact" w:line="560"/>
        <w:ind w:firstLine="640" w:firstLineChars="200"/>
        <w:textAlignment w:val="auto"/>
        <w:rPr>
          <w:rFonts w:ascii="方正黑体_GBK" w:cs="Times New Roman" w:eastAsia="方正黑体_GBK" w:hAnsi="方正黑体_GBK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方正黑体_GBK" w:cs="Times New Roman" w:eastAsia="方正黑体_GBK" w:hAnsi="方正黑体_GBK" w:hint="eastAsia"/>
          <w:snapToGrid/>
          <w:color w:val="auto"/>
          <w:kern w:val="2"/>
          <w:sz w:val="32"/>
          <w:szCs w:val="32"/>
          <w:lang w:eastAsia="zh-CN"/>
        </w:rPr>
        <w:t>出台意义</w:t>
      </w:r>
    </w:p>
    <w:p w14:paraId="0DD12B03">
      <w:pPr>
        <w:pStyle w:val="style0"/>
        <w:kinsoku/>
        <w:spacing w:lineRule="exact" w:line="590"/>
        <w:ind w:firstLine="640" w:firstLineChars="200"/>
        <w:jc w:val="both"/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《泰州市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2025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年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—2030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年节能环保产业发展规划》的出台，是泰州推动绿色低碳转型的核心战略部署，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不仅推动环保产业升级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，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也全面融汇</w:t>
      </w:r>
      <w:r>
        <w:rPr>
          <w:rFonts w:ascii="Times New Roman" w:cs="Times New Roman" w:eastAsia="方正仿宋_GBK" w:hAnsi="Times New Roman"/>
          <w:snapToGrid/>
          <w:color w:val="auto"/>
          <w:kern w:val="2"/>
          <w:sz w:val="32"/>
          <w:szCs w:val="32"/>
          <w:lang w:eastAsia="zh-CN"/>
        </w:rPr>
        <w:t>城市可持续发展、生态环境治理和民生福祉提升的全局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，推动区域经济社会高质量发展</w:t>
      </w:r>
      <w:r>
        <w:rPr>
          <w:rFonts w:ascii="Times New Roman" w:cs="Times New Roman" w:eastAsia="方正仿宋_GBK" w:hAnsi="Times New Roman" w:hint="eastAsia"/>
          <w:snapToGrid/>
          <w:color w:val="auto"/>
          <w:kern w:val="2"/>
          <w:sz w:val="32"/>
          <w:szCs w:val="32"/>
          <w:lang w:eastAsia="zh-CN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仿宋_GBK">
    <w:altName w:val="方正仿宋_GBK"/>
    <w:panose1 w:val="03000509000000000000"/>
    <w:charset w:val="81"/>
    <w:family w:val="script"/>
    <w:pitch w:val="variable"/>
    <w:sig w:usb0="00000001" w:usb1="090E0000" w:usb2="00000010" w:usb3="00000000" w:csb0="003C004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2D3DDC0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embedTrueTypeFonts/>
  <w:saveSubset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textAlignment w:val="baseline"/>
    </w:pPr>
    <w:rPr>
      <w:rFonts w:ascii="Arial" w:cs="Arial" w:eastAsia="Arial" w:hAnsi="Arial"/>
      <w:snapToGrid w:val="false"/>
      <w:color w:val="000000"/>
      <w:sz w:val="21"/>
      <w:szCs w:val="21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729</Words>
  <Pages>2</Pages>
  <Characters>790</Characters>
  <Application>WPS Office</Application>
  <DocSecurity>0</DocSecurity>
  <Paragraphs>14</Paragraphs>
  <ScaleCrop>false</ScaleCrop>
  <LinksUpToDate>false</LinksUpToDate>
  <CharactersWithSpaces>807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2025-08-14T08:08:00Z</dcterms:created>
  <dc:creator>黄代琴</dc:creator>
  <lastModifiedBy>PKH110</lastModifiedBy>
  <dcterms:modified xsi:type="dcterms:W3CDTF">2025-08-15T01:43:50Z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1c17753eb3db43a282e1eb862e296b68_23</vt:lpwstr>
  </property>
  <property fmtid="{D5CDD505-2E9C-101B-9397-08002B2CF9AE}" pid="4" name="KSOTemplateDocerSaveRecord">
    <vt:lpwstr>eyJoZGlkIjoiNzJjOGVjOGFmY2Q4NjE0YjUzZTYwOTFlNTFlYzdhYWYiLCJ1c2VySWQiOiIxNjU3NjMyODY5In0=</vt:lpwstr>
  </property>
</Properties>
</file>