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EF242">
      <w:pPr>
        <w:keepNext w:val="0"/>
        <w:keepLines w:val="0"/>
        <w:pageBreakBefore w:val="0"/>
        <w:kinsoku/>
        <w:wordWrap/>
        <w:topLinePunct w:val="0"/>
        <w:autoSpaceDN/>
        <w:bidi w:val="0"/>
        <w:spacing w:line="578" w:lineRule="exact"/>
        <w:jc w:val="both"/>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p>
    <w:p w14:paraId="38345752">
      <w:pPr>
        <w:keepNext w:val="0"/>
        <w:keepLines w:val="0"/>
        <w:pageBreakBefore w:val="0"/>
        <w:kinsoku/>
        <w:wordWrap/>
        <w:topLinePunct w:val="0"/>
        <w:autoSpaceDN/>
        <w:bidi w:val="0"/>
        <w:spacing w:line="578" w:lineRule="exact"/>
        <w:jc w:val="both"/>
        <w:rPr>
          <w:rFonts w:hint="eastAsia" w:ascii="黑体" w:hAnsi="黑体" w:eastAsia="黑体" w:cs="黑体"/>
          <w:bCs/>
          <w:sz w:val="32"/>
          <w:szCs w:val="32"/>
          <w:lang w:val="en-US" w:eastAsia="zh-CN"/>
        </w:rPr>
      </w:pPr>
    </w:p>
    <w:p w14:paraId="00B54393">
      <w:pPr>
        <w:keepNext w:val="0"/>
        <w:keepLines w:val="0"/>
        <w:pageBreakBefore w:val="0"/>
        <w:kinsoku/>
        <w:wordWrap/>
        <w:topLinePunct w:val="0"/>
        <w:autoSpaceDN/>
        <w:bidi w:val="0"/>
        <w:adjustRightInd w:val="0"/>
        <w:snapToGrid w:val="0"/>
        <w:spacing w:line="578" w:lineRule="exact"/>
        <w:ind w:firstLine="880" w:firstLineChars="200"/>
        <w:jc w:val="center"/>
        <w:rPr>
          <w:rFonts w:ascii="Times New Roman" w:hAnsi="Times New Roman" w:eastAsia="方正小标宋简体"/>
          <w:color w:val="auto"/>
          <w:sz w:val="44"/>
        </w:rPr>
      </w:pPr>
      <w:r>
        <w:rPr>
          <w:rFonts w:ascii="Times New Roman" w:hAnsi="Times New Roman" w:eastAsia="方正小标宋简体"/>
          <w:color w:val="auto"/>
          <w:sz w:val="44"/>
        </w:rPr>
        <w:t>202</w:t>
      </w:r>
      <w:r>
        <w:rPr>
          <w:rFonts w:hint="eastAsia" w:ascii="Times New Roman" w:hAnsi="Times New Roman" w:eastAsia="方正小标宋简体"/>
          <w:color w:val="auto"/>
          <w:sz w:val="44"/>
          <w:lang w:val="en-US" w:eastAsia="zh-CN"/>
        </w:rPr>
        <w:t>6</w:t>
      </w:r>
      <w:r>
        <w:rPr>
          <w:rFonts w:ascii="Times New Roman" w:hAnsi="Times New Roman" w:eastAsia="方正小标宋简体"/>
          <w:color w:val="auto"/>
          <w:sz w:val="44"/>
        </w:rPr>
        <w:t>年市级打造先进制造业基地</w:t>
      </w:r>
    </w:p>
    <w:p w14:paraId="69C4CE3D">
      <w:pPr>
        <w:keepNext w:val="0"/>
        <w:keepLines w:val="0"/>
        <w:pageBreakBefore w:val="0"/>
        <w:kinsoku/>
        <w:wordWrap/>
        <w:topLinePunct w:val="0"/>
        <w:autoSpaceDN/>
        <w:bidi w:val="0"/>
        <w:adjustRightInd w:val="0"/>
        <w:snapToGrid w:val="0"/>
        <w:spacing w:line="578" w:lineRule="exact"/>
        <w:ind w:firstLine="880" w:firstLineChars="200"/>
        <w:jc w:val="center"/>
        <w:rPr>
          <w:rFonts w:ascii="Times New Roman" w:hAnsi="Times New Roman" w:eastAsia="方正小标宋简体"/>
          <w:color w:val="auto"/>
          <w:sz w:val="44"/>
        </w:rPr>
      </w:pPr>
      <w:r>
        <w:rPr>
          <w:rFonts w:ascii="Times New Roman" w:hAnsi="Times New Roman" w:eastAsia="方正小标宋简体"/>
          <w:color w:val="auto"/>
          <w:sz w:val="44"/>
        </w:rPr>
        <w:t>专项资金项目申报指南</w:t>
      </w:r>
    </w:p>
    <w:p w14:paraId="44630DD1">
      <w:pPr>
        <w:keepNext w:val="0"/>
        <w:keepLines w:val="0"/>
        <w:pageBreakBefore w:val="0"/>
        <w:widowControl w:val="0"/>
        <w:numPr>
          <w:ilvl w:val="0"/>
          <w:numId w:val="0"/>
        </w:numPr>
        <w:suppressLineNumbers w:val="0"/>
        <w:kinsoku/>
        <w:wordWrap/>
        <w:topLinePunct w:val="0"/>
        <w:autoSpaceDN/>
        <w:bidi w:val="0"/>
        <w:adjustRightInd w:val="0"/>
        <w:snapToGrid w:val="0"/>
        <w:spacing w:before="0" w:beforeAutospacing="0" w:afterAutospacing="0" w:line="578" w:lineRule="exact"/>
        <w:ind w:right="0" w:rightChars="0" w:firstLine="640" w:firstLineChars="200"/>
        <w:jc w:val="both"/>
        <w:rPr>
          <w:rFonts w:ascii="Times New Roman" w:hAnsi="Times New Roman" w:eastAsia="仿宋_GB2312"/>
          <w:color w:val="auto"/>
          <w:sz w:val="32"/>
          <w:highlight w:val="yellow"/>
        </w:rPr>
      </w:pPr>
    </w:p>
    <w:p w14:paraId="5989A708">
      <w:pPr>
        <w:keepNext w:val="0"/>
        <w:keepLines w:val="0"/>
        <w:pageBreakBefore w:val="0"/>
        <w:widowControl w:val="0"/>
        <w:numPr>
          <w:ilvl w:val="0"/>
          <w:numId w:val="1"/>
        </w:numPr>
        <w:suppressLineNumbers w:val="0"/>
        <w:kinsoku/>
        <w:wordWrap/>
        <w:topLinePunct w:val="0"/>
        <w:autoSpaceDN/>
        <w:bidi w:val="0"/>
        <w:adjustRightInd w:val="0"/>
        <w:snapToGrid w:val="0"/>
        <w:spacing w:before="0" w:beforeAutospacing="0" w:afterAutospacing="0" w:line="578" w:lineRule="exact"/>
        <w:ind w:left="0" w:right="0" w:firstLine="640" w:firstLineChars="200"/>
        <w:jc w:val="both"/>
        <w:rPr>
          <w:rFonts w:hint="default" w:ascii="Times New Roman" w:hAnsi="Times New Roman" w:eastAsia="黑体" w:cs="Times New Roman"/>
          <w:color w:val="auto"/>
          <w:kern w:val="2"/>
          <w:sz w:val="32"/>
          <w:szCs w:val="32"/>
          <w:lang w:val="en-US" w:eastAsia="zh-CN" w:bidi="ar"/>
        </w:rPr>
      </w:pPr>
      <w:r>
        <w:rPr>
          <w:rFonts w:hint="default" w:ascii="Times New Roman" w:hAnsi="Times New Roman" w:eastAsia="黑体" w:cs="Times New Roman"/>
          <w:color w:val="auto"/>
          <w:kern w:val="2"/>
          <w:sz w:val="32"/>
          <w:szCs w:val="32"/>
          <w:lang w:val="en-US" w:eastAsia="zh-CN" w:bidi="ar"/>
        </w:rPr>
        <w:t>“1030”产业体系发展</w:t>
      </w:r>
    </w:p>
    <w:p w14:paraId="7AFA31A5">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楷体_GB2312" w:cs="Times New Roman"/>
          <w:color w:val="auto"/>
          <w:sz w:val="32"/>
        </w:rPr>
      </w:pPr>
      <w:r>
        <w:rPr>
          <w:rFonts w:ascii="Times New Roman" w:hAnsi="Times New Roman" w:eastAsia="楷体_GB2312" w:cs="Times New Roman"/>
          <w:color w:val="auto"/>
          <w:sz w:val="32"/>
        </w:rPr>
        <w:t>（一）AI芯片流片验证补贴项目</w:t>
      </w:r>
    </w:p>
    <w:p w14:paraId="6B4F8C63">
      <w:pPr>
        <w:keepNext w:val="0"/>
        <w:keepLines w:val="0"/>
        <w:pageBreakBefore w:val="0"/>
        <w:kinsoku/>
        <w:wordWrap/>
        <w:topLinePunct w:val="0"/>
        <w:autoSpaceDN/>
        <w:bidi w:val="0"/>
        <w:adjustRightInd w:val="0"/>
        <w:snapToGrid w:val="0"/>
        <w:spacing w:line="578" w:lineRule="exact"/>
        <w:ind w:firstLine="643" w:firstLineChars="200"/>
        <w:jc w:val="both"/>
        <w:rPr>
          <w:rFonts w:ascii="Times New Roman" w:hAnsi="Times New Roman" w:eastAsia="仿宋_GB2312" w:cs="Times New Roman"/>
          <w:b/>
          <w:bCs/>
          <w:color w:val="auto"/>
          <w:sz w:val="32"/>
        </w:rPr>
      </w:pPr>
      <w:r>
        <w:rPr>
          <w:rFonts w:ascii="Times New Roman" w:hAnsi="Times New Roman" w:eastAsia="仿宋_GB2312" w:cs="Times New Roman"/>
          <w:b/>
          <w:bCs/>
          <w:color w:val="auto"/>
          <w:sz w:val="32"/>
        </w:rPr>
        <w:t>1</w:t>
      </w:r>
      <w:r>
        <w:rPr>
          <w:rFonts w:hint="eastAsia" w:ascii="Times New Roman" w:hAnsi="Times New Roman" w:eastAsia="仿宋_GB2312" w:cs="Times New Roman"/>
          <w:b/>
          <w:bCs/>
          <w:color w:val="auto"/>
          <w:sz w:val="32"/>
          <w:lang w:eastAsia="zh-CN"/>
        </w:rPr>
        <w:t>.</w:t>
      </w:r>
      <w:r>
        <w:rPr>
          <w:rFonts w:ascii="Times New Roman" w:hAnsi="Times New Roman" w:eastAsia="仿宋_GB2312" w:cs="Times New Roman"/>
          <w:b/>
          <w:bCs/>
          <w:color w:val="auto"/>
          <w:sz w:val="32"/>
        </w:rPr>
        <w:t>支持条件。</w:t>
      </w:r>
    </w:p>
    <w:p w14:paraId="65C99F22">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color w:val="auto"/>
          <w:sz w:val="32"/>
        </w:rPr>
      </w:pPr>
      <w:r>
        <w:rPr>
          <w:rFonts w:ascii="Times New Roman" w:hAnsi="Times New Roman" w:eastAsia="仿宋_GB2312" w:cs="Times New Roman"/>
          <w:color w:val="auto"/>
          <w:sz w:val="32"/>
        </w:rPr>
        <w:t>（1）2024年度开展的AI芯片首轮流片验证项目。支持范围为GPU通用型芯片、ASIC专用型芯片、FPGA半定制化芯片、存算一体芯片、硅光芯片、网络互联芯片等AI芯片重点方向</w:t>
      </w:r>
      <w:r>
        <w:rPr>
          <w:rFonts w:hint="eastAsia" w:ascii="Times New Roman" w:hAnsi="Times New Roman" w:eastAsia="仿宋_GB2312" w:cs="Times New Roman"/>
          <w:color w:val="auto"/>
          <w:sz w:val="32"/>
        </w:rPr>
        <w:t>（应用于人工智能领域）</w:t>
      </w:r>
      <w:r>
        <w:rPr>
          <w:rFonts w:ascii="Times New Roman" w:hAnsi="Times New Roman" w:eastAsia="仿宋_GB2312" w:cs="Times New Roman"/>
          <w:color w:val="auto"/>
          <w:sz w:val="32"/>
        </w:rPr>
        <w:t>。</w:t>
      </w:r>
    </w:p>
    <w:p w14:paraId="02EACE38">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color w:val="auto"/>
          <w:sz w:val="32"/>
        </w:rPr>
      </w:pPr>
      <w:r>
        <w:rPr>
          <w:rFonts w:ascii="Times New Roman" w:hAnsi="Times New Roman" w:eastAsia="仿宋_GB2312" w:cs="Times New Roman"/>
          <w:color w:val="auto"/>
          <w:sz w:val="32"/>
        </w:rPr>
        <w:t>（2）申报主体须以集成电路设计为主营业务，2024年度企业自主设计销售收入占企业收入总额的比重不低于50%（提供专项审计报告）；申报的芯片产品已获得集成电路布图设计登记证书或已授权的发明专利等自主知识产权证明（申报企业须为第一专利权人）。</w:t>
      </w:r>
    </w:p>
    <w:p w14:paraId="4BC63FF2">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color w:val="auto"/>
          <w:sz w:val="32"/>
        </w:rPr>
      </w:pPr>
      <w:r>
        <w:rPr>
          <w:rFonts w:ascii="Times New Roman" w:hAnsi="Times New Roman" w:eastAsia="仿宋_GB2312" w:cs="Times New Roman"/>
          <w:color w:val="auto"/>
          <w:sz w:val="32"/>
        </w:rPr>
        <w:t>（3）支持首轮流片验证投入包括流片费、光罩制作费以及测试验证</w:t>
      </w:r>
      <w:r>
        <w:rPr>
          <w:rFonts w:hint="eastAsia" w:ascii="Times New Roman" w:hAnsi="Times New Roman" w:eastAsia="仿宋_GB2312" w:cs="Times New Roman"/>
          <w:color w:val="auto"/>
          <w:sz w:val="32"/>
        </w:rPr>
        <w:t>费（不含封装/测试设备/耗材等费用）</w:t>
      </w:r>
      <w:r>
        <w:rPr>
          <w:rFonts w:ascii="Times New Roman" w:hAnsi="Times New Roman" w:eastAsia="仿宋_GB2312" w:cs="Times New Roman"/>
          <w:color w:val="auto"/>
          <w:sz w:val="32"/>
        </w:rPr>
        <w:t>，按每个芯片子项目对应列出首轮流片费用明细（提供专项审计报告，发票和银行付款凭证时间均需在补贴期限内）。申请流片补贴所需的晶圆（wafer）数量应该合理，同一型号芯片</w:t>
      </w:r>
      <w:r>
        <w:rPr>
          <w:rFonts w:hint="eastAsia" w:ascii="Times New Roman" w:hAnsi="Times New Roman" w:eastAsia="仿宋_GB2312" w:cs="Times New Roman"/>
          <w:color w:val="auto"/>
          <w:sz w:val="32"/>
        </w:rPr>
        <w:t>首轮</w:t>
      </w:r>
      <w:r>
        <w:rPr>
          <w:rFonts w:ascii="Times New Roman" w:hAnsi="Times New Roman" w:eastAsia="仿宋_GB2312" w:cs="Times New Roman"/>
          <w:color w:val="auto"/>
          <w:sz w:val="32"/>
        </w:rPr>
        <w:t>流片数量最大不超过25片（单次流片数量超过25片的视为量产，不予补贴）。</w:t>
      </w:r>
    </w:p>
    <w:p w14:paraId="716E10C7">
      <w:pPr>
        <w:keepNext w:val="0"/>
        <w:keepLines w:val="0"/>
        <w:pageBreakBefore w:val="0"/>
        <w:kinsoku/>
        <w:wordWrap/>
        <w:topLinePunct w:val="0"/>
        <w:autoSpaceDN/>
        <w:bidi w:val="0"/>
        <w:adjustRightInd w:val="0"/>
        <w:snapToGrid w:val="0"/>
        <w:spacing w:line="578" w:lineRule="exact"/>
        <w:ind w:firstLine="643" w:firstLineChars="200"/>
        <w:jc w:val="both"/>
        <w:rPr>
          <w:rFonts w:ascii="Times New Roman" w:hAnsi="Times New Roman" w:eastAsia="仿宋_GB2312" w:cs="Times New Roman"/>
          <w:color w:val="auto"/>
          <w:sz w:val="32"/>
        </w:rPr>
      </w:pPr>
      <w:r>
        <w:rPr>
          <w:rFonts w:ascii="Times New Roman" w:hAnsi="Times New Roman" w:eastAsia="仿宋_GB2312" w:cs="Times New Roman"/>
          <w:b/>
          <w:bCs/>
          <w:color w:val="auto"/>
          <w:sz w:val="32"/>
        </w:rPr>
        <w:t>2</w:t>
      </w:r>
      <w:r>
        <w:rPr>
          <w:rFonts w:hint="eastAsia" w:ascii="Times New Roman" w:hAnsi="Times New Roman" w:eastAsia="仿宋_GB2312" w:cs="Times New Roman"/>
          <w:b/>
          <w:bCs/>
          <w:color w:val="auto"/>
          <w:sz w:val="32"/>
          <w:lang w:eastAsia="zh-CN"/>
        </w:rPr>
        <w:t>.</w:t>
      </w:r>
      <w:r>
        <w:rPr>
          <w:rFonts w:ascii="Times New Roman" w:hAnsi="Times New Roman" w:eastAsia="仿宋_GB2312" w:cs="Times New Roman"/>
          <w:b/>
          <w:bCs/>
          <w:color w:val="auto"/>
          <w:sz w:val="32"/>
        </w:rPr>
        <w:t>扶持标准。</w:t>
      </w:r>
      <w:r>
        <w:rPr>
          <w:rFonts w:ascii="Times New Roman" w:hAnsi="Times New Roman" w:eastAsia="仿宋_GB2312" w:cs="Times New Roman"/>
          <w:color w:val="auto"/>
          <w:sz w:val="32"/>
          <w:szCs w:val="32"/>
        </w:rPr>
        <w:t>对首次流片、光罩制作以及测试验证等费用给予50%支持，工艺制程12nm以上的产品最高支持500万元，12nm及以下的产品最高支持</w:t>
      </w:r>
      <w:r>
        <w:rPr>
          <w:rFonts w:hint="eastAsia" w:ascii="Times New Roman" w:hAnsi="Times New Roman" w:eastAsia="仿宋_GB2312" w:cs="Times New Roman"/>
          <w:color w:val="auto"/>
          <w:sz w:val="32"/>
          <w:szCs w:val="32"/>
        </w:rPr>
        <w:t>10</w:t>
      </w:r>
      <w:r>
        <w:rPr>
          <w:rFonts w:ascii="Times New Roman" w:hAnsi="Times New Roman" w:eastAsia="仿宋_GB2312" w:cs="Times New Roman"/>
          <w:color w:val="auto"/>
          <w:sz w:val="32"/>
          <w:szCs w:val="32"/>
        </w:rPr>
        <w:t>00万元。</w:t>
      </w:r>
    </w:p>
    <w:p w14:paraId="0C0F22C4">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楷体_GB2312" w:cs="Times New Roman"/>
          <w:snapToGrid w:val="0"/>
          <w:color w:val="auto"/>
          <w:kern w:val="0"/>
          <w:sz w:val="32"/>
          <w:szCs w:val="32"/>
        </w:rPr>
      </w:pPr>
      <w:r>
        <w:rPr>
          <w:rFonts w:ascii="Times New Roman" w:hAnsi="Times New Roman" w:eastAsia="楷体_GB2312" w:cs="Times New Roman"/>
          <w:snapToGrid w:val="0"/>
          <w:color w:val="auto"/>
          <w:kern w:val="0"/>
          <w:sz w:val="32"/>
          <w:szCs w:val="32"/>
        </w:rPr>
        <w:t>（二）汽车芯片车规级认证奖励项目</w:t>
      </w:r>
    </w:p>
    <w:p w14:paraId="64E43358">
      <w:pPr>
        <w:keepNext w:val="0"/>
        <w:keepLines w:val="0"/>
        <w:pageBreakBefore w:val="0"/>
        <w:kinsoku/>
        <w:wordWrap/>
        <w:topLinePunct w:val="0"/>
        <w:autoSpaceDN/>
        <w:bidi w:val="0"/>
        <w:adjustRightInd w:val="0"/>
        <w:snapToGrid w:val="0"/>
        <w:spacing w:line="578" w:lineRule="exact"/>
        <w:ind w:firstLine="723" w:firstLineChars="200"/>
        <w:jc w:val="both"/>
        <w:rPr>
          <w:rFonts w:ascii="Times New Roman" w:hAnsi="Times New Roman" w:eastAsia="仿宋_GB2312" w:cs="Times New Roman"/>
          <w:b/>
          <w:bCs/>
          <w:color w:val="auto"/>
          <w:sz w:val="36"/>
          <w:szCs w:val="36"/>
        </w:rPr>
      </w:pPr>
      <w:r>
        <w:rPr>
          <w:rFonts w:ascii="Times New Roman" w:hAnsi="Times New Roman" w:eastAsia="仿宋_GB2312" w:cs="Times New Roman"/>
          <w:b/>
          <w:bCs/>
          <w:color w:val="auto"/>
          <w:sz w:val="36"/>
          <w:szCs w:val="36"/>
        </w:rPr>
        <w:t>1.支持条件。</w:t>
      </w:r>
    </w:p>
    <w:p w14:paraId="2B7FC72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Times New Roman" w:hAnsi="Times New Roman" w:eastAsia="仿宋_GB2312" w:cs="Times New Roman"/>
          <w:color w:val="auto"/>
          <w:sz w:val="32"/>
        </w:rPr>
      </w:pPr>
      <w:r>
        <w:rPr>
          <w:rFonts w:ascii="Times New Roman" w:hAnsi="Times New Roman" w:eastAsia="仿宋_GB2312" w:cs="Times New Roman"/>
          <w:color w:val="auto"/>
          <w:sz w:val="32"/>
        </w:rPr>
        <w:t>（1）支持汽车芯片设计或IDM企业；支持范围为通过国际汽车电子协会车规级产品测试标准系列（AEC-Q系列）、汽车质量管理体系标准（IATF 16949）、道路车辆功能安全标准（ISO 26262）认证；</w:t>
      </w:r>
      <w:r>
        <w:rPr>
          <w:rFonts w:ascii="Times New Roman" w:hAnsi="Times New Roman" w:eastAsia="仿宋_GB2312" w:cs="Times New Roman"/>
          <w:color w:val="auto"/>
          <w:sz w:val="32"/>
          <w:szCs w:val="32"/>
        </w:rPr>
        <w:t>具有CNAS或CMA资质的</w:t>
      </w:r>
      <w:r>
        <w:rPr>
          <w:rFonts w:ascii="Times New Roman" w:hAnsi="Times New Roman" w:eastAsia="仿宋_GB2312" w:cs="Times New Roman"/>
          <w:color w:val="auto"/>
          <w:sz w:val="32"/>
          <w:szCs w:val="32"/>
          <w:lang w:val="en"/>
        </w:rPr>
        <w:t>第三方机构出具的</w:t>
      </w:r>
      <w:r>
        <w:rPr>
          <w:rFonts w:ascii="Times New Roman" w:hAnsi="Times New Roman" w:eastAsia="仿宋_GB2312" w:cs="Times New Roman"/>
          <w:color w:val="auto"/>
          <w:sz w:val="32"/>
          <w:szCs w:val="32"/>
        </w:rPr>
        <w:t>车规级</w:t>
      </w:r>
      <w:r>
        <w:rPr>
          <w:rFonts w:ascii="Times New Roman" w:hAnsi="Times New Roman" w:eastAsia="仿宋_GB2312" w:cs="Times New Roman"/>
          <w:color w:val="auto"/>
          <w:sz w:val="32"/>
          <w:szCs w:val="32"/>
          <w:lang w:val="en"/>
        </w:rPr>
        <w:t>认证证书</w:t>
      </w:r>
      <w:r>
        <w:rPr>
          <w:rFonts w:ascii="Times New Roman" w:hAnsi="Times New Roman" w:eastAsia="仿宋_GB2312" w:cs="Times New Roman"/>
          <w:color w:val="auto"/>
          <w:sz w:val="32"/>
          <w:szCs w:val="32"/>
        </w:rPr>
        <w:t>或</w:t>
      </w:r>
      <w:r>
        <w:rPr>
          <w:rFonts w:ascii="Times New Roman" w:hAnsi="Times New Roman" w:eastAsia="仿宋_GB2312" w:cs="Times New Roman"/>
          <w:color w:val="auto"/>
          <w:sz w:val="32"/>
          <w:szCs w:val="32"/>
          <w:lang w:val="en"/>
        </w:rPr>
        <w:t>测试</w:t>
      </w:r>
      <w:r>
        <w:rPr>
          <w:rFonts w:hint="eastAsia" w:ascii="Times New Roman" w:hAnsi="Times New Roman" w:eastAsia="仿宋_GB2312" w:cs="Times New Roman"/>
          <w:color w:val="auto"/>
          <w:sz w:val="32"/>
          <w:szCs w:val="32"/>
        </w:rPr>
        <w:t>通过</w:t>
      </w:r>
      <w:r>
        <w:rPr>
          <w:rFonts w:ascii="Times New Roman" w:hAnsi="Times New Roman" w:eastAsia="仿宋_GB2312" w:cs="Times New Roman"/>
          <w:color w:val="auto"/>
          <w:sz w:val="32"/>
          <w:szCs w:val="32"/>
          <w:lang w:val="en"/>
        </w:rPr>
        <w:t>报告。</w:t>
      </w:r>
    </w:p>
    <w:p w14:paraId="533CC1C7">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color w:val="auto"/>
          <w:sz w:val="32"/>
        </w:rPr>
      </w:pPr>
      <w:r>
        <w:rPr>
          <w:rFonts w:ascii="Times New Roman" w:hAnsi="Times New Roman" w:eastAsia="仿宋_GB2312" w:cs="Times New Roman"/>
          <w:color w:val="auto"/>
          <w:sz w:val="32"/>
        </w:rPr>
        <w:t>（2）</w:t>
      </w:r>
      <w:r>
        <w:rPr>
          <w:rFonts w:ascii="Times New Roman" w:hAnsi="Times New Roman" w:eastAsia="仿宋_GB2312" w:cs="Times New Roman"/>
          <w:color w:val="auto"/>
          <w:sz w:val="32"/>
          <w:szCs w:val="32"/>
        </w:rPr>
        <w:t>车规级认证芯片由申报单位自主研发设计，并已取得</w:t>
      </w:r>
      <w:r>
        <w:rPr>
          <w:rFonts w:ascii="Times New Roman" w:hAnsi="Times New Roman" w:eastAsia="仿宋_GB2312" w:cs="Times New Roman"/>
          <w:color w:val="auto"/>
          <w:sz w:val="32"/>
        </w:rPr>
        <w:t xml:space="preserve">集成电路布图设计登记证书或已授权的发明专利等自主知识产权证明（申报企业须为第一专利权人）； </w:t>
      </w:r>
    </w:p>
    <w:p w14:paraId="3BB5736C">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color w:val="auto"/>
          <w:sz w:val="32"/>
        </w:rPr>
      </w:pPr>
      <w:r>
        <w:rPr>
          <w:rFonts w:ascii="Times New Roman" w:hAnsi="Times New Roman" w:eastAsia="仿宋_GB2312" w:cs="Times New Roman"/>
          <w:color w:val="auto"/>
          <w:sz w:val="32"/>
        </w:rPr>
        <w:t>（3）2024年度企业通过汽车芯片车规级认证费用累计不低于100万元（提供专项审计报告</w:t>
      </w:r>
      <w:r>
        <w:rPr>
          <w:rFonts w:hint="eastAsia" w:ascii="Times New Roman" w:hAnsi="Times New Roman" w:eastAsia="仿宋_GB2312" w:cs="Times New Roman"/>
          <w:color w:val="auto"/>
          <w:sz w:val="32"/>
          <w:lang w:eastAsia="zh-CN"/>
        </w:rPr>
        <w:t>、</w:t>
      </w:r>
      <w:r>
        <w:rPr>
          <w:rFonts w:ascii="Times New Roman" w:hAnsi="Times New Roman" w:eastAsia="仿宋_GB2312" w:cs="Times New Roman"/>
          <w:color w:val="auto"/>
          <w:sz w:val="32"/>
        </w:rPr>
        <w:t>发票和银行付款凭证时间均需在补贴期限内</w:t>
      </w:r>
      <w:r>
        <w:rPr>
          <w:rFonts w:ascii="Times New Roman" w:hAnsi="Times New Roman" w:eastAsia="仿宋_GB2312" w:cs="Times New Roman"/>
          <w:color w:val="auto"/>
          <w:sz w:val="32"/>
          <w:szCs w:val="32"/>
        </w:rPr>
        <w:t>（不含培训费、咨询费）</w:t>
      </w:r>
      <w:r>
        <w:rPr>
          <w:rFonts w:ascii="Times New Roman" w:hAnsi="Times New Roman" w:eastAsia="仿宋_GB2312" w:cs="Times New Roman"/>
          <w:color w:val="auto"/>
          <w:sz w:val="32"/>
        </w:rPr>
        <w:t>）。</w:t>
      </w:r>
    </w:p>
    <w:p w14:paraId="0A3652DB">
      <w:pPr>
        <w:keepNext w:val="0"/>
        <w:keepLines w:val="0"/>
        <w:pageBreakBefore w:val="0"/>
        <w:kinsoku/>
        <w:wordWrap/>
        <w:topLinePunct w:val="0"/>
        <w:autoSpaceDN/>
        <w:bidi w:val="0"/>
        <w:adjustRightInd w:val="0"/>
        <w:snapToGrid w:val="0"/>
        <w:spacing w:line="578" w:lineRule="exact"/>
        <w:ind w:firstLine="643" w:firstLineChars="200"/>
        <w:jc w:val="both"/>
        <w:rPr>
          <w:rFonts w:ascii="Times New Roman" w:hAnsi="Times New Roman" w:eastAsia="仿宋_GB2312" w:cs="Times New Roman"/>
          <w:color w:val="auto"/>
          <w:sz w:val="32"/>
        </w:rPr>
      </w:pPr>
      <w:r>
        <w:rPr>
          <w:rFonts w:ascii="Times New Roman" w:hAnsi="Times New Roman" w:eastAsia="仿宋_GB2312" w:cs="Times New Roman"/>
          <w:b/>
          <w:bCs/>
          <w:color w:val="auto"/>
          <w:sz w:val="32"/>
        </w:rPr>
        <w:t>2.扶持标准。</w:t>
      </w:r>
      <w:r>
        <w:rPr>
          <w:rFonts w:ascii="Times New Roman" w:hAnsi="Times New Roman" w:eastAsia="仿宋_GB2312" w:cs="Times New Roman"/>
          <w:color w:val="auto"/>
          <w:sz w:val="32"/>
        </w:rPr>
        <w:t>对通过汽车芯片车规级认证的企业，按照年度实际认证费用的50%给予补贴，单个企业最高补贴100万元。</w:t>
      </w:r>
    </w:p>
    <w:p w14:paraId="50CA7684">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楷体_GB2312" w:cs="Times New Roman"/>
          <w:snapToGrid w:val="0"/>
          <w:color w:val="auto"/>
          <w:kern w:val="0"/>
          <w:sz w:val="32"/>
          <w:szCs w:val="32"/>
        </w:rPr>
      </w:pPr>
      <w:r>
        <w:rPr>
          <w:rFonts w:ascii="Times New Roman" w:hAnsi="Times New Roman" w:eastAsia="楷体_GB2312" w:cs="Times New Roman"/>
          <w:snapToGrid w:val="0"/>
          <w:color w:val="auto"/>
          <w:kern w:val="0"/>
          <w:sz w:val="32"/>
          <w:szCs w:val="32"/>
        </w:rPr>
        <w:t>（三）使用集成电路产品奖励项目</w:t>
      </w:r>
    </w:p>
    <w:p w14:paraId="3A05EBFB">
      <w:pPr>
        <w:keepNext w:val="0"/>
        <w:keepLines w:val="0"/>
        <w:pageBreakBefore w:val="0"/>
        <w:kinsoku/>
        <w:wordWrap/>
        <w:topLinePunct w:val="0"/>
        <w:autoSpaceDN/>
        <w:bidi w:val="0"/>
        <w:adjustRightInd w:val="0"/>
        <w:snapToGrid w:val="0"/>
        <w:spacing w:line="578" w:lineRule="exact"/>
        <w:ind w:firstLine="643" w:firstLineChars="200"/>
        <w:jc w:val="both"/>
        <w:rPr>
          <w:rFonts w:ascii="Times New Roman" w:hAnsi="Times New Roman" w:eastAsia="仿宋_GB2312" w:cs="Times New Roman"/>
          <w:b/>
          <w:bCs/>
          <w:color w:val="auto"/>
          <w:sz w:val="32"/>
        </w:rPr>
      </w:pPr>
      <w:r>
        <w:rPr>
          <w:rFonts w:ascii="Times New Roman" w:hAnsi="Times New Roman" w:eastAsia="仿宋_GB2312" w:cs="Times New Roman"/>
          <w:b/>
          <w:bCs/>
          <w:color w:val="auto"/>
          <w:sz w:val="32"/>
        </w:rPr>
        <w:t>1.支持条件。</w:t>
      </w:r>
    </w:p>
    <w:p w14:paraId="348954F9">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color w:val="auto"/>
          <w:sz w:val="32"/>
        </w:rPr>
      </w:pPr>
      <w:r>
        <w:rPr>
          <w:rFonts w:ascii="Times New Roman" w:hAnsi="Times New Roman" w:eastAsia="仿宋_GB2312" w:cs="Times New Roman"/>
          <w:color w:val="auto"/>
          <w:sz w:val="32"/>
        </w:rPr>
        <w:t>（1）支持电子终端厂商或系统方案集成商、集成电路制造、封测企业使用符合条件的集成电路相关产品。</w:t>
      </w:r>
    </w:p>
    <w:p w14:paraId="7912A2CF">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color w:val="auto"/>
          <w:sz w:val="32"/>
        </w:rPr>
      </w:pPr>
      <w:r>
        <w:rPr>
          <w:rFonts w:ascii="Times New Roman" w:hAnsi="Times New Roman" w:eastAsia="仿宋_GB2312" w:cs="Times New Roman"/>
          <w:color w:val="auto"/>
          <w:sz w:val="32"/>
        </w:rPr>
        <w:t>（2）申报主体合作采购的集成电路企业（非关联企业）和产品须符合以下条件并提供佐证材料：产品生产企业在</w:t>
      </w:r>
      <w:r>
        <w:rPr>
          <w:rFonts w:ascii="Times New Roman" w:hAnsi="Times New Roman" w:eastAsia="仿宋_GB2312" w:cs="Times New Roman"/>
          <w:color w:val="auto"/>
          <w:sz w:val="32"/>
          <w:highlight w:val="none"/>
        </w:rPr>
        <w:t>苏州大市范围内注册</w:t>
      </w:r>
      <w:r>
        <w:rPr>
          <w:rFonts w:ascii="Times New Roman" w:hAnsi="Times New Roman" w:eastAsia="仿宋_GB2312" w:cs="Times New Roman"/>
          <w:color w:val="auto"/>
          <w:sz w:val="32"/>
        </w:rPr>
        <w:t>，并实际从事生产、经营活动。集成电路相关产品主要包括集成电路芯片、设备、材料等产品。集成电路芯片指经设计、制造、封测后具备特定功能的成品器件，含逻辑、存储、模拟等各类专用芯片；集成电路设备指用于芯片设计、晶圆制造、封装测试的专用生产与检测设备，含光刻、刻蚀、封装等关键设备及辅助配套设备；集成电路材料指产业链各环节核心耗材，含硅片、光刻胶等晶圆制造材料与封装基板、键合丝等封装材料。相关申报产品已获得集成电路布图设计登记证书或已授权的发明专利等自主知识产权证明（相关企业须为第一专利权人）。产品生产企业须具有相适应的人员团队、生产经营场所、软硬件设施等环境。</w:t>
      </w:r>
    </w:p>
    <w:p w14:paraId="0231759B">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color w:val="auto"/>
          <w:sz w:val="32"/>
        </w:rPr>
      </w:pPr>
      <w:r>
        <w:rPr>
          <w:rFonts w:ascii="Times New Roman" w:hAnsi="Times New Roman" w:eastAsia="仿宋_GB2312" w:cs="Times New Roman"/>
          <w:color w:val="auto"/>
          <w:sz w:val="32"/>
        </w:rPr>
        <w:t>（3）2024年度使用相关产品金额不低于300万元（提供专项审计报告，发票和银行付款凭证时间均需在补贴期限内）。</w:t>
      </w:r>
    </w:p>
    <w:p w14:paraId="1108DCFA">
      <w:pPr>
        <w:keepNext w:val="0"/>
        <w:keepLines w:val="0"/>
        <w:pageBreakBefore w:val="0"/>
        <w:kinsoku/>
        <w:wordWrap/>
        <w:topLinePunct w:val="0"/>
        <w:autoSpaceDN/>
        <w:bidi w:val="0"/>
        <w:adjustRightInd w:val="0"/>
        <w:snapToGrid w:val="0"/>
        <w:spacing w:line="578" w:lineRule="exact"/>
        <w:ind w:firstLine="643" w:firstLineChars="200"/>
        <w:jc w:val="both"/>
        <w:rPr>
          <w:rFonts w:ascii="Times New Roman" w:hAnsi="Times New Roman" w:eastAsia="仿宋_GB2312" w:cs="Times New Roman"/>
          <w:color w:val="auto"/>
          <w:sz w:val="32"/>
        </w:rPr>
      </w:pPr>
      <w:r>
        <w:rPr>
          <w:rFonts w:ascii="Times New Roman" w:hAnsi="Times New Roman" w:eastAsia="仿宋_GB2312" w:cs="Times New Roman"/>
          <w:b/>
          <w:bCs/>
          <w:color w:val="auto"/>
          <w:sz w:val="32"/>
        </w:rPr>
        <w:t>2.扶持标准。</w:t>
      </w:r>
      <w:r>
        <w:rPr>
          <w:rFonts w:hint="eastAsia" w:ascii="Times New Roman" w:hAnsi="Times New Roman" w:eastAsia="仿宋_GB2312" w:cs="Times New Roman"/>
          <w:color w:val="auto"/>
          <w:sz w:val="32"/>
        </w:rPr>
        <w:t>对使用符合条件的芯片、材料和设备的终端（系统集成）企业、集成电路制造和封测企业，按采购额的10%，给予最高200万元补贴。</w:t>
      </w:r>
    </w:p>
    <w:p w14:paraId="6BD58885">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楷体_GB2312" w:cs="Times New Roman"/>
          <w:snapToGrid w:val="0"/>
          <w:color w:val="auto"/>
          <w:kern w:val="0"/>
          <w:sz w:val="32"/>
          <w:szCs w:val="32"/>
        </w:rPr>
      </w:pPr>
      <w:r>
        <w:rPr>
          <w:rFonts w:ascii="Times New Roman" w:hAnsi="Times New Roman" w:eastAsia="楷体_GB2312" w:cs="Times New Roman"/>
          <w:snapToGrid w:val="0"/>
          <w:color w:val="auto"/>
          <w:kern w:val="0"/>
          <w:sz w:val="32"/>
          <w:szCs w:val="32"/>
        </w:rPr>
        <w:t>（四）集成电路制造</w:t>
      </w:r>
      <w:r>
        <w:rPr>
          <w:rFonts w:hint="eastAsia" w:ascii="Times New Roman" w:hAnsi="Times New Roman" w:eastAsia="楷体_GB2312" w:cs="Times New Roman"/>
          <w:snapToGrid w:val="0"/>
          <w:color w:val="auto"/>
          <w:kern w:val="0"/>
          <w:sz w:val="32"/>
          <w:szCs w:val="32"/>
        </w:rPr>
        <w:t>封测</w:t>
      </w:r>
      <w:r>
        <w:rPr>
          <w:rFonts w:ascii="Times New Roman" w:hAnsi="Times New Roman" w:eastAsia="楷体_GB2312" w:cs="Times New Roman"/>
          <w:snapToGrid w:val="0"/>
          <w:color w:val="auto"/>
          <w:kern w:val="0"/>
          <w:sz w:val="32"/>
          <w:szCs w:val="32"/>
        </w:rPr>
        <w:t>企业奖励项目</w:t>
      </w:r>
    </w:p>
    <w:p w14:paraId="074AF3C6">
      <w:pPr>
        <w:keepNext w:val="0"/>
        <w:keepLines w:val="0"/>
        <w:pageBreakBefore w:val="0"/>
        <w:kinsoku/>
        <w:wordWrap/>
        <w:topLinePunct w:val="0"/>
        <w:autoSpaceDN/>
        <w:bidi w:val="0"/>
        <w:adjustRightInd w:val="0"/>
        <w:snapToGrid w:val="0"/>
        <w:spacing w:line="578" w:lineRule="exact"/>
        <w:ind w:firstLine="643" w:firstLineChars="200"/>
        <w:jc w:val="both"/>
        <w:rPr>
          <w:rFonts w:ascii="Times New Roman" w:hAnsi="Times New Roman" w:eastAsia="仿宋_GB2312" w:cs="Times New Roman"/>
          <w:b/>
          <w:bCs/>
          <w:color w:val="auto"/>
          <w:sz w:val="32"/>
        </w:rPr>
      </w:pPr>
      <w:r>
        <w:rPr>
          <w:rFonts w:ascii="Times New Roman" w:hAnsi="Times New Roman" w:eastAsia="仿宋_GB2312" w:cs="Times New Roman"/>
          <w:b/>
          <w:bCs/>
          <w:color w:val="auto"/>
          <w:sz w:val="32"/>
        </w:rPr>
        <w:t>1.支持条件。</w:t>
      </w:r>
    </w:p>
    <w:p w14:paraId="79E34F06">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color w:val="auto"/>
          <w:sz w:val="32"/>
        </w:rPr>
      </w:pPr>
      <w:r>
        <w:rPr>
          <w:rFonts w:ascii="Times New Roman" w:hAnsi="Times New Roman" w:eastAsia="仿宋_GB2312" w:cs="Times New Roman"/>
          <w:color w:val="auto"/>
          <w:sz w:val="32"/>
        </w:rPr>
        <w:t>（1）支持为符合条件的集成电路设计企业自主研发产品提供产能，并生产符合一定条件产品的集成电路制造</w:t>
      </w:r>
      <w:r>
        <w:rPr>
          <w:rFonts w:hint="eastAsia" w:ascii="Times New Roman" w:hAnsi="Times New Roman" w:eastAsia="仿宋_GB2312" w:cs="Times New Roman"/>
          <w:color w:val="auto"/>
          <w:sz w:val="32"/>
        </w:rPr>
        <w:t>、</w:t>
      </w:r>
      <w:r>
        <w:rPr>
          <w:rFonts w:ascii="Times New Roman" w:hAnsi="Times New Roman" w:eastAsia="仿宋_GB2312" w:cs="Times New Roman"/>
          <w:color w:val="auto"/>
          <w:sz w:val="32"/>
        </w:rPr>
        <w:t>封测企业。</w:t>
      </w:r>
    </w:p>
    <w:p w14:paraId="28C5AD15">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color w:val="auto"/>
          <w:sz w:val="32"/>
        </w:rPr>
      </w:pPr>
      <w:r>
        <w:rPr>
          <w:rFonts w:ascii="Times New Roman" w:hAnsi="Times New Roman" w:eastAsia="仿宋_GB2312" w:cs="Times New Roman"/>
          <w:color w:val="auto"/>
          <w:sz w:val="32"/>
        </w:rPr>
        <w:t>（2）申报主体服务的集成电路设计企业（非关联企业）和产品须符合以下条件并提供佐证材料：企业在</w:t>
      </w:r>
      <w:r>
        <w:rPr>
          <w:rFonts w:ascii="Times New Roman" w:hAnsi="Times New Roman" w:eastAsia="仿宋_GB2312" w:cs="Times New Roman"/>
          <w:color w:val="auto"/>
          <w:sz w:val="32"/>
          <w:highlight w:val="none"/>
        </w:rPr>
        <w:t>苏州大市范围内注册，</w:t>
      </w:r>
      <w:r>
        <w:rPr>
          <w:rFonts w:ascii="Times New Roman" w:hAnsi="Times New Roman" w:eastAsia="仿宋_GB2312" w:cs="Times New Roman"/>
          <w:color w:val="auto"/>
          <w:sz w:val="32"/>
        </w:rPr>
        <w:t>依法诚信从事生产、经营活动，以集成电路设计为主营业务，相关申报产品已获得集成电路布图设计登记证书或已授权的发明专利（相关企业须为第一专利权人）等自主知识产权证明。具有与集成电路设计相适应的人员团队、生产经营场所、软硬件设施等开发环境。</w:t>
      </w:r>
    </w:p>
    <w:p w14:paraId="3408079B">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color w:val="auto"/>
          <w:sz w:val="32"/>
        </w:rPr>
      </w:pPr>
      <w:r>
        <w:rPr>
          <w:rFonts w:ascii="Times New Roman" w:hAnsi="Times New Roman" w:eastAsia="仿宋_GB2312" w:cs="Times New Roman"/>
          <w:color w:val="auto"/>
          <w:sz w:val="32"/>
        </w:rPr>
        <w:t>（3）提供专项审计报告，发票和银行付款凭证时间均需在补贴期限内。</w:t>
      </w:r>
    </w:p>
    <w:p w14:paraId="2C3A3848">
      <w:pPr>
        <w:keepNext w:val="0"/>
        <w:keepLines w:val="0"/>
        <w:pageBreakBefore w:val="0"/>
        <w:kinsoku/>
        <w:wordWrap/>
        <w:topLinePunct w:val="0"/>
        <w:autoSpaceDN/>
        <w:bidi w:val="0"/>
        <w:adjustRightInd w:val="0"/>
        <w:snapToGrid w:val="0"/>
        <w:spacing w:line="578" w:lineRule="exact"/>
        <w:ind w:firstLine="643" w:firstLineChars="200"/>
        <w:jc w:val="both"/>
        <w:rPr>
          <w:rFonts w:ascii="Times New Roman" w:hAnsi="Times New Roman" w:eastAsia="仿宋_GB2312" w:cs="Times New Roman"/>
          <w:color w:val="auto"/>
          <w:sz w:val="32"/>
        </w:rPr>
      </w:pPr>
      <w:r>
        <w:rPr>
          <w:rFonts w:ascii="Times New Roman" w:hAnsi="Times New Roman" w:eastAsia="仿宋_GB2312" w:cs="Times New Roman"/>
          <w:b/>
          <w:bCs/>
          <w:color w:val="auto"/>
          <w:sz w:val="32"/>
        </w:rPr>
        <w:t>2.扶持标准。</w:t>
      </w:r>
      <w:r>
        <w:rPr>
          <w:rFonts w:ascii="Times New Roman" w:hAnsi="Times New Roman" w:eastAsia="仿宋_GB2312" w:cs="Times New Roman"/>
          <w:color w:val="auto"/>
          <w:sz w:val="32"/>
        </w:rPr>
        <w:t>对符合条件的企业，按2024年度每款产品订单实际生产费用的10%给予奖励，</w:t>
      </w:r>
      <w:r>
        <w:rPr>
          <w:rFonts w:hint="eastAsia" w:ascii="Times New Roman" w:hAnsi="Times New Roman" w:eastAsia="仿宋_GB2312" w:cs="Times New Roman"/>
          <w:color w:val="auto"/>
          <w:sz w:val="32"/>
        </w:rPr>
        <w:t>单个制造</w:t>
      </w:r>
      <w:r>
        <w:rPr>
          <w:rFonts w:ascii="Times New Roman" w:hAnsi="Times New Roman" w:eastAsia="仿宋_GB2312" w:cs="Times New Roman"/>
          <w:color w:val="auto"/>
          <w:sz w:val="32"/>
        </w:rPr>
        <w:t>企业最高奖励1000万元</w:t>
      </w:r>
      <w:r>
        <w:rPr>
          <w:rFonts w:hint="eastAsia" w:ascii="Times New Roman" w:hAnsi="Times New Roman" w:eastAsia="仿宋_GB2312" w:cs="Times New Roman"/>
          <w:color w:val="auto"/>
          <w:sz w:val="32"/>
        </w:rPr>
        <w:t>、</w:t>
      </w:r>
      <w:r>
        <w:rPr>
          <w:rFonts w:ascii="Times New Roman" w:hAnsi="Times New Roman" w:eastAsia="仿宋_GB2312" w:cs="Times New Roman"/>
          <w:color w:val="auto"/>
          <w:sz w:val="32"/>
        </w:rPr>
        <w:t>单个封测企业最高奖励</w:t>
      </w:r>
      <w:r>
        <w:rPr>
          <w:rFonts w:hint="eastAsia" w:ascii="Times New Roman" w:hAnsi="Times New Roman" w:eastAsia="仿宋_GB2312" w:cs="Times New Roman"/>
          <w:color w:val="auto"/>
          <w:sz w:val="32"/>
        </w:rPr>
        <w:t>300万元</w:t>
      </w:r>
      <w:r>
        <w:rPr>
          <w:rFonts w:ascii="Times New Roman" w:hAnsi="Times New Roman" w:eastAsia="仿宋_GB2312" w:cs="Times New Roman"/>
          <w:color w:val="auto"/>
          <w:sz w:val="32"/>
        </w:rPr>
        <w:t>。</w:t>
      </w:r>
    </w:p>
    <w:p w14:paraId="7F99DDA7">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楷体_GB2312" w:cs="Times New Roman"/>
          <w:snapToGrid w:val="0"/>
          <w:color w:val="auto"/>
          <w:kern w:val="0"/>
          <w:sz w:val="32"/>
          <w:szCs w:val="32"/>
        </w:rPr>
      </w:pPr>
      <w:r>
        <w:rPr>
          <w:rFonts w:ascii="Times New Roman" w:hAnsi="Times New Roman" w:eastAsia="楷体_GB2312" w:cs="Times New Roman"/>
          <w:snapToGrid w:val="0"/>
          <w:color w:val="auto"/>
          <w:kern w:val="0"/>
          <w:sz w:val="32"/>
          <w:szCs w:val="32"/>
        </w:rPr>
        <w:t>（五）集成电路产业链公共服务平台奖励项目</w:t>
      </w:r>
    </w:p>
    <w:p w14:paraId="7CA5BE0D">
      <w:pPr>
        <w:keepNext w:val="0"/>
        <w:keepLines w:val="0"/>
        <w:pageBreakBefore w:val="0"/>
        <w:kinsoku/>
        <w:wordWrap/>
        <w:topLinePunct w:val="0"/>
        <w:autoSpaceDN/>
        <w:bidi w:val="0"/>
        <w:adjustRightInd w:val="0"/>
        <w:snapToGrid w:val="0"/>
        <w:spacing w:line="578" w:lineRule="exact"/>
        <w:ind w:firstLine="643" w:firstLineChars="200"/>
        <w:jc w:val="both"/>
        <w:rPr>
          <w:rFonts w:ascii="Times New Roman" w:hAnsi="Times New Roman" w:eastAsia="仿宋_GB2312" w:cs="Times New Roman"/>
          <w:b/>
          <w:bCs/>
          <w:color w:val="auto"/>
          <w:sz w:val="32"/>
        </w:rPr>
      </w:pPr>
      <w:r>
        <w:rPr>
          <w:rFonts w:ascii="Times New Roman" w:hAnsi="Times New Roman" w:eastAsia="仿宋_GB2312" w:cs="Times New Roman"/>
          <w:b/>
          <w:bCs/>
          <w:color w:val="auto"/>
          <w:sz w:val="32"/>
        </w:rPr>
        <w:t>1.支持条件。</w:t>
      </w:r>
    </w:p>
    <w:p w14:paraId="4716788D">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b/>
          <w:bCs/>
          <w:color w:val="auto"/>
          <w:sz w:val="32"/>
        </w:rPr>
      </w:pPr>
      <w:r>
        <w:rPr>
          <w:rFonts w:ascii="Times New Roman" w:hAnsi="Times New Roman" w:eastAsia="仿宋_GB2312" w:cs="Times New Roman"/>
          <w:color w:val="auto"/>
          <w:sz w:val="32"/>
        </w:rPr>
        <w:t>（1）以提供集成电路公共服务为主，且2024年度围绕集成电路相关业务自身建设技术设备投入（含软件）不低于100万元（提供专项审计报告）。</w:t>
      </w:r>
    </w:p>
    <w:p w14:paraId="441BA545">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color w:val="auto"/>
          <w:sz w:val="32"/>
        </w:rPr>
      </w:pPr>
      <w:r>
        <w:rPr>
          <w:rFonts w:ascii="Times New Roman" w:hAnsi="Times New Roman" w:eastAsia="仿宋_GB2312" w:cs="Times New Roman"/>
          <w:color w:val="auto"/>
          <w:sz w:val="32"/>
        </w:rPr>
        <w:t>（2）2024年度围绕集成电路</w:t>
      </w:r>
      <w:r>
        <w:rPr>
          <w:rFonts w:ascii="Times New Roman" w:hAnsi="Times New Roman" w:eastAsia="仿宋_GB2312" w:cs="Times New Roman"/>
          <w:bCs/>
          <w:color w:val="auto"/>
          <w:sz w:val="32"/>
          <w:szCs w:val="32"/>
          <w:shd w:val="clear" w:color="auto" w:fill="FFFFFF"/>
        </w:rPr>
        <w:t>设计工具租赁、流片服务、测试验证、人才培训</w:t>
      </w:r>
      <w:r>
        <w:rPr>
          <w:rFonts w:ascii="Times New Roman" w:hAnsi="Times New Roman" w:eastAsia="仿宋_GB2312" w:cs="Times New Roman"/>
          <w:color w:val="auto"/>
          <w:sz w:val="32"/>
        </w:rPr>
        <w:t>等共性服务收入不低于200万元，为符合条件的集成电路企业服务收入的占比不低于</w:t>
      </w:r>
      <w:r>
        <w:rPr>
          <w:rFonts w:hint="eastAsia" w:ascii="Times New Roman" w:hAnsi="Times New Roman" w:eastAsia="仿宋_GB2312" w:cs="Times New Roman"/>
          <w:color w:val="auto"/>
          <w:sz w:val="32"/>
        </w:rPr>
        <w:t>平台</w:t>
      </w:r>
      <w:r>
        <w:rPr>
          <w:rFonts w:ascii="Times New Roman" w:hAnsi="Times New Roman" w:eastAsia="仿宋_GB2312" w:cs="Times New Roman"/>
          <w:color w:val="auto"/>
          <w:sz w:val="32"/>
        </w:rPr>
        <w:t>收入的50%（提供专项审计报告）。</w:t>
      </w:r>
    </w:p>
    <w:p w14:paraId="225032DB">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color w:val="auto"/>
          <w:sz w:val="32"/>
        </w:rPr>
      </w:pPr>
      <w:r>
        <w:rPr>
          <w:rFonts w:ascii="Times New Roman" w:hAnsi="Times New Roman" w:eastAsia="仿宋_GB2312" w:cs="Times New Roman"/>
          <w:color w:val="auto"/>
          <w:sz w:val="32"/>
        </w:rPr>
        <w:t>（3）申报主体服务的50%以上集成电路企业（非关联企业）和产品符合以下条件并提供佐证材料：企业在</w:t>
      </w:r>
      <w:r>
        <w:rPr>
          <w:rFonts w:ascii="Times New Roman" w:hAnsi="Times New Roman" w:eastAsia="仿宋_GB2312" w:cs="Times New Roman"/>
          <w:color w:val="auto"/>
          <w:sz w:val="32"/>
          <w:highlight w:val="none"/>
        </w:rPr>
        <w:t>苏州大市范围内注册，并实际从事生产、经营活动。集成电路相关</w:t>
      </w:r>
      <w:r>
        <w:rPr>
          <w:rFonts w:ascii="Times New Roman" w:hAnsi="Times New Roman" w:eastAsia="仿宋_GB2312" w:cs="Times New Roman"/>
          <w:color w:val="auto"/>
          <w:sz w:val="32"/>
        </w:rPr>
        <w:t>产品主要包括集成电路芯片、设备、材料等产品。集成电路芯片指经设计、制造、封测后具备特定功能的成品器件，含逻辑、存储、模拟等各类专用芯片；集成电路设备指用于芯片设计、晶圆制造、封装测试的专用生产与检测设备，含光刻、刻蚀、封装等关键设备及辅助配套设备；集成电路材料指产业链各环节核心耗材，含硅片、光刻胶等晶圆制造材料与封装基板、键合丝等封装材料。产品生产企业须具有相适应的人员团队、生产经营场所、软硬件设施等环境。</w:t>
      </w:r>
    </w:p>
    <w:p w14:paraId="4E4BA1D9">
      <w:pPr>
        <w:keepNext w:val="0"/>
        <w:keepLines w:val="0"/>
        <w:pageBreakBefore w:val="0"/>
        <w:kinsoku/>
        <w:wordWrap/>
        <w:topLinePunct w:val="0"/>
        <w:autoSpaceDN/>
        <w:bidi w:val="0"/>
        <w:adjustRightInd w:val="0"/>
        <w:snapToGrid w:val="0"/>
        <w:spacing w:line="578" w:lineRule="exact"/>
        <w:ind w:firstLine="643" w:firstLineChars="200"/>
        <w:jc w:val="both"/>
        <w:rPr>
          <w:rFonts w:ascii="Times New Roman" w:hAnsi="Times New Roman" w:eastAsia="仿宋_GB2312" w:cs="Times New Roman"/>
          <w:color w:val="auto"/>
          <w:spacing w:val="-4"/>
          <w:sz w:val="32"/>
          <w:szCs w:val="32"/>
        </w:rPr>
      </w:pPr>
      <w:r>
        <w:rPr>
          <w:rFonts w:ascii="Times New Roman" w:hAnsi="Times New Roman" w:eastAsia="仿宋_GB2312" w:cs="Times New Roman"/>
          <w:b/>
          <w:bCs/>
          <w:color w:val="auto"/>
          <w:sz w:val="32"/>
        </w:rPr>
        <w:t>2.扶持标准。</w:t>
      </w:r>
      <w:r>
        <w:rPr>
          <w:rFonts w:ascii="Times New Roman" w:hAnsi="Times New Roman" w:eastAsia="仿宋_GB2312" w:cs="Times New Roman"/>
          <w:bCs/>
          <w:color w:val="auto"/>
          <w:sz w:val="32"/>
          <w:szCs w:val="32"/>
          <w:shd w:val="clear" w:color="auto" w:fill="FFFFFF"/>
        </w:rPr>
        <w:t>按平台为</w:t>
      </w:r>
      <w:r>
        <w:rPr>
          <w:rFonts w:ascii="Times New Roman" w:hAnsi="Times New Roman" w:eastAsia="仿宋_GB2312" w:cs="Times New Roman"/>
          <w:color w:val="auto"/>
          <w:sz w:val="32"/>
        </w:rPr>
        <w:t>符合条件的</w:t>
      </w:r>
      <w:r>
        <w:rPr>
          <w:rFonts w:ascii="Times New Roman" w:hAnsi="Times New Roman" w:eastAsia="仿宋_GB2312" w:cs="Times New Roman"/>
          <w:bCs/>
          <w:color w:val="auto"/>
          <w:sz w:val="32"/>
          <w:szCs w:val="32"/>
          <w:shd w:val="clear" w:color="auto" w:fill="FFFFFF"/>
        </w:rPr>
        <w:t>集成电路企业提供服务</w:t>
      </w:r>
      <w:r>
        <w:rPr>
          <w:rFonts w:hint="eastAsia" w:ascii="Times New Roman" w:hAnsi="Times New Roman" w:eastAsia="仿宋_GB2312" w:cs="Times New Roman"/>
          <w:bCs/>
          <w:color w:val="auto"/>
          <w:sz w:val="32"/>
          <w:szCs w:val="32"/>
          <w:shd w:val="clear" w:color="auto" w:fill="FFFFFF"/>
          <w:lang w:val="en-US" w:eastAsia="zh-CN"/>
        </w:rPr>
        <w:t>收入</w:t>
      </w:r>
      <w:r>
        <w:rPr>
          <w:rFonts w:ascii="Times New Roman" w:hAnsi="Times New Roman" w:eastAsia="仿宋_GB2312" w:cs="Times New Roman"/>
          <w:bCs/>
          <w:color w:val="auto"/>
          <w:sz w:val="32"/>
          <w:szCs w:val="32"/>
          <w:shd w:val="clear" w:color="auto" w:fill="FFFFFF"/>
        </w:rPr>
        <w:t>的10%，</w:t>
      </w:r>
      <w:r>
        <w:rPr>
          <w:rFonts w:ascii="Times New Roman" w:hAnsi="Times New Roman" w:eastAsia="仿宋_GB2312" w:cs="Times New Roman"/>
          <w:color w:val="auto"/>
          <w:sz w:val="32"/>
        </w:rPr>
        <w:t>给予最高300万元奖励。</w:t>
      </w:r>
    </w:p>
    <w:p w14:paraId="1526486E">
      <w:pPr>
        <w:keepNext w:val="0"/>
        <w:keepLines w:val="0"/>
        <w:pageBreakBefore w:val="0"/>
        <w:kinsoku/>
        <w:wordWrap/>
        <w:topLinePunct w:val="0"/>
        <w:autoSpaceDN/>
        <w:bidi w:val="0"/>
        <w:adjustRightInd w:val="0"/>
        <w:snapToGrid w:val="0"/>
        <w:spacing w:line="578" w:lineRule="exact"/>
        <w:ind w:firstLine="640" w:firstLineChars="200"/>
        <w:jc w:val="both"/>
        <w:rPr>
          <w:rFonts w:hint="default" w:ascii="Times New Roman" w:hAnsi="Times New Roman" w:eastAsia="楷体_GB2312" w:cs="Times New Roman"/>
          <w:snapToGrid w:val="0"/>
          <w:color w:val="auto"/>
          <w:kern w:val="0"/>
          <w:sz w:val="32"/>
          <w:szCs w:val="32"/>
        </w:rPr>
      </w:pPr>
      <w:r>
        <w:rPr>
          <w:rFonts w:hint="default" w:ascii="Times New Roman" w:hAnsi="Times New Roman" w:eastAsia="楷体_GB2312" w:cs="Times New Roman"/>
          <w:snapToGrid w:val="0"/>
          <w:color w:val="auto"/>
          <w:kern w:val="0"/>
          <w:sz w:val="32"/>
          <w:szCs w:val="32"/>
        </w:rPr>
        <w:t>（六）智能网联汽车道路测试</w:t>
      </w:r>
      <w:r>
        <w:rPr>
          <w:rFonts w:hint="default" w:ascii="Times New Roman" w:hAnsi="Times New Roman" w:eastAsia="楷体_GB2312" w:cs="Times New Roman"/>
          <w:strike w:val="0"/>
          <w:dstrike w:val="0"/>
          <w:snapToGrid w:val="0"/>
          <w:color w:val="auto"/>
          <w:kern w:val="0"/>
          <w:sz w:val="32"/>
          <w:szCs w:val="32"/>
        </w:rPr>
        <w:t>与示范应用</w:t>
      </w:r>
      <w:r>
        <w:rPr>
          <w:rFonts w:hint="default" w:ascii="Times New Roman" w:hAnsi="Times New Roman" w:eastAsia="楷体_GB2312" w:cs="Times New Roman"/>
          <w:snapToGrid w:val="0"/>
          <w:color w:val="auto"/>
          <w:kern w:val="0"/>
          <w:sz w:val="32"/>
          <w:szCs w:val="32"/>
        </w:rPr>
        <w:t>项目</w:t>
      </w:r>
    </w:p>
    <w:p w14:paraId="78B564C5">
      <w:pPr>
        <w:pStyle w:val="4"/>
        <w:keepNext w:val="0"/>
        <w:keepLines w:val="0"/>
        <w:pageBreakBefore w:val="0"/>
        <w:kinsoku/>
        <w:wordWrap/>
        <w:topLinePunct w:val="0"/>
        <w:autoSpaceDN/>
        <w:bidi w:val="0"/>
        <w:adjustRightInd w:val="0"/>
        <w:snapToGrid w:val="0"/>
        <w:spacing w:after="0" w:line="578" w:lineRule="exact"/>
        <w:ind w:firstLine="643" w:firstLineChars="200"/>
        <w:jc w:val="both"/>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1.支持条件。</w:t>
      </w:r>
    </w:p>
    <w:p w14:paraId="61E7DE56">
      <w:pPr>
        <w:keepNext w:val="0"/>
        <w:keepLines w:val="0"/>
        <w:pageBreakBefore w:val="0"/>
        <w:widowControl/>
        <w:kinsoku/>
        <w:wordWrap/>
        <w:topLinePunct w:val="0"/>
        <w:autoSpaceDN/>
        <w:bidi w:val="0"/>
        <w:adjustRightInd w:val="0"/>
        <w:snapToGrid w:val="0"/>
        <w:spacing w:line="578"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年1月1日至12月31日期间，申报主体在苏州大市范围内申请开展智能网联汽车</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无人驾驶装备）</w:t>
      </w:r>
      <w:r>
        <w:rPr>
          <w:rFonts w:hint="default" w:ascii="Times New Roman" w:hAnsi="Times New Roman" w:eastAsia="仿宋_GB2312" w:cs="Times New Roman"/>
          <w:color w:val="auto"/>
          <w:sz w:val="32"/>
          <w:szCs w:val="32"/>
        </w:rPr>
        <w:t>道路测试</w:t>
      </w:r>
      <w:r>
        <w:rPr>
          <w:rFonts w:hint="default" w:ascii="Times New Roman" w:hAnsi="Times New Roman" w:eastAsia="仿宋_GB2312" w:cs="Times New Roman"/>
          <w:strike w:val="0"/>
          <w:dstrike w:val="0"/>
          <w:color w:val="auto"/>
          <w:sz w:val="32"/>
          <w:szCs w:val="32"/>
        </w:rPr>
        <w:t>和示范应用</w:t>
      </w:r>
      <w:r>
        <w:rPr>
          <w:rFonts w:hint="default" w:ascii="Times New Roman" w:hAnsi="Times New Roman" w:eastAsia="仿宋_GB2312" w:cs="Times New Roman"/>
          <w:strike w:val="0"/>
          <w:color w:val="auto"/>
          <w:sz w:val="32"/>
          <w:szCs w:val="32"/>
        </w:rPr>
        <w:t>，</w:t>
      </w:r>
      <w:r>
        <w:rPr>
          <w:rFonts w:hint="default" w:ascii="Times New Roman" w:hAnsi="Times New Roman" w:eastAsia="仿宋_GB2312" w:cs="Times New Roman"/>
          <w:color w:val="auto"/>
          <w:sz w:val="32"/>
          <w:szCs w:val="32"/>
        </w:rPr>
        <w:t>获得相关通知书并取得</w:t>
      </w:r>
      <w:r>
        <w:rPr>
          <w:rFonts w:hint="default" w:ascii="Times New Roman" w:hAnsi="Times New Roman" w:eastAsia="仿宋_GB2312" w:cs="Times New Roman"/>
          <w:color w:val="auto"/>
          <w:kern w:val="0"/>
          <w:sz w:val="32"/>
          <w:szCs w:val="32"/>
          <w:lang w:bidi="ar"/>
        </w:rPr>
        <w:t>市公安机关交通管理部门发放的临时行驶车号牌，开展道路测试、示范应用等活动。</w:t>
      </w:r>
    </w:p>
    <w:p w14:paraId="1749845A">
      <w:pPr>
        <w:keepNext w:val="0"/>
        <w:keepLines w:val="0"/>
        <w:pageBreakBefore w:val="0"/>
        <w:widowControl/>
        <w:kinsoku/>
        <w:wordWrap/>
        <w:topLinePunct w:val="0"/>
        <w:autoSpaceDN/>
        <w:bidi w:val="0"/>
        <w:adjustRightInd w:val="0"/>
        <w:snapToGrid w:val="0"/>
        <w:spacing w:line="578" w:lineRule="exact"/>
        <w:ind w:firstLine="640" w:firstLineChars="200"/>
        <w:jc w:val="both"/>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sz w:val="32"/>
          <w:szCs w:val="32"/>
        </w:rPr>
        <w:t>（2）道路测试和示范应用期间，未发生因申报主体技术和管理原因导致的交通违法行为和有责任交通事故</w:t>
      </w:r>
      <w:r>
        <w:rPr>
          <w:rFonts w:hint="default" w:ascii="Times New Roman" w:hAnsi="Times New Roman" w:eastAsia="仿宋_GB2312" w:cs="Times New Roman"/>
          <w:color w:val="auto"/>
          <w:kern w:val="0"/>
          <w:sz w:val="32"/>
          <w:szCs w:val="32"/>
          <w:lang w:bidi="ar"/>
        </w:rPr>
        <w:t>。</w:t>
      </w:r>
    </w:p>
    <w:p w14:paraId="7A6734E0">
      <w:pPr>
        <w:keepNext w:val="0"/>
        <w:keepLines w:val="0"/>
        <w:pageBreakBefore w:val="0"/>
        <w:widowControl/>
        <w:kinsoku/>
        <w:wordWrap/>
        <w:topLinePunct w:val="0"/>
        <w:autoSpaceDN/>
        <w:bidi w:val="0"/>
        <w:adjustRightInd w:val="0"/>
        <w:snapToGrid w:val="0"/>
        <w:spacing w:line="578"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（3）开展道路测试和示范应用车辆须接入苏州5G车联网城市级云控平台。</w:t>
      </w:r>
    </w:p>
    <w:p w14:paraId="646480D1">
      <w:pPr>
        <w:keepNext w:val="0"/>
        <w:keepLines w:val="0"/>
        <w:pageBreakBefore w:val="0"/>
        <w:kinsoku/>
        <w:wordWrap/>
        <w:topLinePunct w:val="0"/>
        <w:autoSpaceDN/>
        <w:bidi w:val="0"/>
        <w:adjustRightInd w:val="0"/>
        <w:snapToGrid w:val="0"/>
        <w:spacing w:line="578" w:lineRule="exact"/>
        <w:ind w:firstLine="643"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2.</w:t>
      </w:r>
      <w:r>
        <w:rPr>
          <w:rFonts w:ascii="Times New Roman" w:hAnsi="Times New Roman" w:eastAsia="仿宋_GB2312" w:cs="Times New Roman"/>
          <w:b/>
          <w:bCs/>
          <w:color w:val="auto"/>
          <w:sz w:val="32"/>
        </w:rPr>
        <w:t>扶持标准</w:t>
      </w:r>
      <w:r>
        <w:rPr>
          <w:rFonts w:hint="default" w:ascii="Times New Roman" w:hAnsi="Times New Roman" w:eastAsia="仿宋_GB2312" w:cs="Times New Roman"/>
          <w:bCs/>
          <w:color w:val="auto"/>
          <w:sz w:val="32"/>
          <w:szCs w:val="32"/>
        </w:rPr>
        <w:t>。对企业申请开展道路测试及示范应用所产生的自动驾驶功能委托检验、模拟仿真测试</w:t>
      </w:r>
      <w:r>
        <w:rPr>
          <w:rFonts w:hint="eastAsia" w:ascii="Times New Roman" w:hAnsi="Times New Roman" w:eastAsia="仿宋_GB2312" w:cs="Times New Roman"/>
          <w:bCs/>
          <w:color w:val="auto"/>
          <w:sz w:val="32"/>
          <w:szCs w:val="32"/>
          <w:lang w:eastAsia="zh-CN"/>
        </w:rPr>
        <w:t>、安全运行符合性测试</w:t>
      </w:r>
      <w:r>
        <w:rPr>
          <w:rFonts w:hint="default" w:ascii="Times New Roman" w:hAnsi="Times New Roman" w:eastAsia="仿宋_GB2312" w:cs="Times New Roman"/>
          <w:bCs/>
          <w:color w:val="auto"/>
          <w:sz w:val="32"/>
          <w:szCs w:val="32"/>
        </w:rPr>
        <w:t>等测试费用，按照实际支出的</w:t>
      </w:r>
      <w:r>
        <w:rPr>
          <w:rFonts w:hint="default" w:ascii="Times New Roman" w:hAnsi="Times New Roman" w:eastAsia="仿宋_GB2312" w:cs="Times New Roman"/>
          <w:color w:val="auto"/>
          <w:sz w:val="32"/>
          <w:szCs w:val="32"/>
        </w:rPr>
        <w:t>50%给予补贴，单个企业最高补贴100万元。</w:t>
      </w:r>
    </w:p>
    <w:p w14:paraId="6F788CA5">
      <w:pPr>
        <w:keepNext w:val="0"/>
        <w:keepLines w:val="0"/>
        <w:pageBreakBefore w:val="0"/>
        <w:kinsoku/>
        <w:wordWrap/>
        <w:topLinePunct w:val="0"/>
        <w:autoSpaceDN/>
        <w:bidi w:val="0"/>
        <w:adjustRightInd w:val="0"/>
        <w:snapToGrid w:val="0"/>
        <w:spacing w:line="578" w:lineRule="exact"/>
        <w:ind w:firstLine="640" w:firstLineChars="200"/>
        <w:jc w:val="both"/>
        <w:rPr>
          <w:rFonts w:hint="default" w:ascii="Times New Roman" w:hAnsi="Times New Roman" w:eastAsia="楷体_GB2312" w:cs="Times New Roman"/>
          <w:snapToGrid w:val="0"/>
          <w:color w:val="auto"/>
          <w:kern w:val="0"/>
          <w:sz w:val="32"/>
          <w:szCs w:val="32"/>
        </w:rPr>
      </w:pPr>
      <w:r>
        <w:rPr>
          <w:rFonts w:hint="default" w:ascii="Times New Roman" w:hAnsi="Times New Roman" w:eastAsia="楷体_GB2312" w:cs="Times New Roman"/>
          <w:snapToGrid w:val="0"/>
          <w:color w:val="auto"/>
          <w:kern w:val="0"/>
          <w:sz w:val="32"/>
          <w:szCs w:val="32"/>
        </w:rPr>
        <w:t>（七）智能车联网典型示范应用场景项目</w:t>
      </w:r>
    </w:p>
    <w:p w14:paraId="7EB8843B">
      <w:pPr>
        <w:keepNext w:val="0"/>
        <w:keepLines w:val="0"/>
        <w:pageBreakBefore w:val="0"/>
        <w:kinsoku/>
        <w:wordWrap/>
        <w:topLinePunct w:val="0"/>
        <w:autoSpaceDN/>
        <w:bidi w:val="0"/>
        <w:adjustRightInd w:val="0"/>
        <w:snapToGrid w:val="0"/>
        <w:spacing w:line="578"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1.支持条件。</w:t>
      </w:r>
    </w:p>
    <w:p w14:paraId="07B5DA07">
      <w:pPr>
        <w:keepNext w:val="0"/>
        <w:keepLines w:val="0"/>
        <w:pageBreakBefore w:val="0"/>
        <w:kinsoku/>
        <w:wordWrap/>
        <w:topLinePunct w:val="0"/>
        <w:autoSpaceDN/>
        <w:bidi w:val="0"/>
        <w:adjustRightInd w:val="0"/>
        <w:snapToGrid w:val="0"/>
        <w:spacing w:line="578"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（1）申报单位为场景投资建设主体，场景实施地须在苏州大市范围内，示范应用车辆须接入苏州5G车联网城市级云控平台。</w:t>
      </w:r>
    </w:p>
    <w:p w14:paraId="6679E521">
      <w:pPr>
        <w:keepNext w:val="0"/>
        <w:keepLines w:val="0"/>
        <w:pageBreakBefore w:val="0"/>
        <w:kinsoku/>
        <w:wordWrap/>
        <w:topLinePunct w:val="0"/>
        <w:autoSpaceDN/>
        <w:bidi w:val="0"/>
        <w:adjustRightInd w:val="0"/>
        <w:snapToGrid w:val="0"/>
        <w:spacing w:line="578"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（2）项目在202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年1月1日至202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12月31日期间内开票总投入不低于500万元，总投入不含税额，包括设备、工具、器具等固定资产投资（不含土建投资和流动资金），以及与项目相关的软件、云资源及网络费用、调试安装费用、咨询、设计、检测、评价等投入。</w:t>
      </w:r>
    </w:p>
    <w:p w14:paraId="6D5811BB">
      <w:pPr>
        <w:keepNext w:val="0"/>
        <w:keepLines w:val="0"/>
        <w:pageBreakBefore w:val="0"/>
        <w:kinsoku/>
        <w:wordWrap/>
        <w:topLinePunct w:val="0"/>
        <w:autoSpaceDN/>
        <w:bidi w:val="0"/>
        <w:adjustRightInd w:val="0"/>
        <w:snapToGrid w:val="0"/>
        <w:spacing w:line="578"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（3）项目须在申报截止日期前完成验收，由项目推荐单位出具验收意见。</w:t>
      </w:r>
    </w:p>
    <w:p w14:paraId="387CC4BA">
      <w:pPr>
        <w:keepNext w:val="0"/>
        <w:keepLines w:val="0"/>
        <w:pageBreakBefore w:val="0"/>
        <w:kinsoku/>
        <w:wordWrap/>
        <w:topLinePunct w:val="0"/>
        <w:autoSpaceDN/>
        <w:bidi w:val="0"/>
        <w:adjustRightInd w:val="0"/>
        <w:snapToGrid w:val="0"/>
        <w:spacing w:line="578" w:lineRule="exact"/>
        <w:ind w:firstLine="643" w:firstLineChars="200"/>
        <w:jc w:val="both"/>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bCs/>
          <w:color w:val="auto"/>
          <w:sz w:val="32"/>
          <w:szCs w:val="32"/>
        </w:rPr>
        <w:t>2.扶持标准。</w:t>
      </w:r>
    </w:p>
    <w:p w14:paraId="1A7BFAE6">
      <w:pPr>
        <w:keepNext w:val="0"/>
        <w:keepLines w:val="0"/>
        <w:pageBreakBefore w:val="0"/>
        <w:kinsoku/>
        <w:wordWrap/>
        <w:topLinePunct w:val="0"/>
        <w:autoSpaceDN/>
        <w:bidi w:val="0"/>
        <w:adjustRightInd w:val="0"/>
        <w:snapToGrid w:val="0"/>
        <w:spacing w:line="578"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（1）对符合条件的企业按照项目总投入（202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年1月1日至202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年12月31日期间的开票投入）的20%予以补助，单个项目最高补助100万元。</w:t>
      </w:r>
    </w:p>
    <w:p w14:paraId="0F262F73">
      <w:pPr>
        <w:keepNext w:val="0"/>
        <w:keepLines w:val="0"/>
        <w:pageBreakBefore w:val="0"/>
        <w:kinsoku/>
        <w:wordWrap/>
        <w:topLinePunct w:val="0"/>
        <w:autoSpaceDN/>
        <w:bidi w:val="0"/>
        <w:adjustRightInd w:val="0"/>
        <w:snapToGrid w:val="0"/>
        <w:spacing w:line="578" w:lineRule="exact"/>
        <w:ind w:firstLine="640" w:firstLineChars="200"/>
        <w:jc w:val="both"/>
        <w:rPr>
          <w:rFonts w:hint="eastAsia" w:ascii="Times New Roman" w:hAnsi="Times New Roman" w:eastAsia="仿宋_GB2312"/>
          <w:color w:val="auto"/>
          <w:sz w:val="32"/>
          <w:highlight w:val="none"/>
          <w:lang w:eastAsia="zh-CN"/>
        </w:rPr>
      </w:pPr>
      <w:r>
        <w:rPr>
          <w:rFonts w:hint="default" w:ascii="Times New Roman" w:hAnsi="Times New Roman" w:eastAsia="仿宋_GB2312" w:cs="Times New Roman"/>
          <w:color w:val="auto"/>
          <w:sz w:val="32"/>
          <w:szCs w:val="32"/>
        </w:rPr>
        <w:t>（2）一个单位可申请一个或多个典型示范应用场景，但同一申报主体只能有一个场景享受资金支持</w:t>
      </w:r>
      <w:r>
        <w:rPr>
          <w:rFonts w:hint="eastAsia" w:ascii="Times New Roman" w:hAnsi="Times New Roman" w:eastAsia="仿宋_GB2312" w:cs="Times New Roman"/>
          <w:color w:val="auto"/>
          <w:sz w:val="32"/>
          <w:szCs w:val="32"/>
          <w:lang w:eastAsia="zh-CN"/>
        </w:rPr>
        <w:t>。</w:t>
      </w:r>
    </w:p>
    <w:p w14:paraId="0B056028">
      <w:pPr>
        <w:keepNext w:val="0"/>
        <w:keepLines w:val="0"/>
        <w:pageBreakBefore w:val="0"/>
        <w:widowControl w:val="0"/>
        <w:kinsoku/>
        <w:wordWrap/>
        <w:topLinePunct w:val="0"/>
        <w:autoSpaceDE/>
        <w:autoSpaceDN/>
        <w:bidi w:val="0"/>
        <w:adjustRightInd w:val="0"/>
        <w:snapToGrid w:val="0"/>
        <w:spacing w:line="578" w:lineRule="exact"/>
        <w:ind w:firstLine="640" w:firstLineChars="200"/>
        <w:jc w:val="both"/>
        <w:textAlignment w:val="auto"/>
        <w:rPr>
          <w:rFonts w:ascii="楷体_GB2312" w:hAnsi="Times New Roman" w:eastAsia="楷体_GB2312" w:cs="Times New Roman"/>
          <w:snapToGrid w:val="0"/>
          <w:color w:val="auto"/>
          <w:kern w:val="0"/>
          <w:sz w:val="32"/>
          <w:szCs w:val="32"/>
        </w:rPr>
      </w:pPr>
      <w:r>
        <w:rPr>
          <w:rFonts w:ascii="楷体_GB2312" w:hAnsi="Times New Roman" w:eastAsia="楷体_GB2312" w:cs="Times New Roman"/>
          <w:snapToGrid w:val="0"/>
          <w:color w:val="auto"/>
          <w:kern w:val="0"/>
          <w:sz w:val="32"/>
          <w:szCs w:val="32"/>
        </w:rPr>
        <w:t>（</w:t>
      </w:r>
      <w:r>
        <w:rPr>
          <w:rFonts w:hint="eastAsia" w:ascii="楷体_GB2312" w:hAnsi="Times New Roman" w:eastAsia="楷体_GB2312" w:cs="Times New Roman"/>
          <w:snapToGrid w:val="0"/>
          <w:color w:val="auto"/>
          <w:kern w:val="0"/>
          <w:sz w:val="32"/>
          <w:szCs w:val="32"/>
          <w:lang w:val="en-US" w:eastAsia="zh-CN"/>
        </w:rPr>
        <w:t>八</w:t>
      </w:r>
      <w:r>
        <w:rPr>
          <w:rFonts w:ascii="楷体_GB2312" w:hAnsi="Times New Roman" w:eastAsia="楷体_GB2312" w:cs="Times New Roman"/>
          <w:snapToGrid w:val="0"/>
          <w:color w:val="auto"/>
          <w:kern w:val="0"/>
          <w:sz w:val="32"/>
          <w:szCs w:val="32"/>
        </w:rPr>
        <w:t>）</w:t>
      </w:r>
      <w:r>
        <w:rPr>
          <w:rFonts w:hint="eastAsia" w:ascii="楷体_GB2312" w:hAnsi="Times New Roman" w:eastAsia="楷体_GB2312" w:cs="Times New Roman"/>
          <w:snapToGrid w:val="0"/>
          <w:color w:val="auto"/>
          <w:kern w:val="0"/>
          <w:sz w:val="32"/>
          <w:szCs w:val="32"/>
        </w:rPr>
        <w:t>特色软件产业园区项目</w:t>
      </w:r>
    </w:p>
    <w:p w14:paraId="061CEBEF">
      <w:pPr>
        <w:keepNext w:val="0"/>
        <w:keepLines w:val="0"/>
        <w:pageBreakBefore w:val="0"/>
        <w:widowControl w:val="0"/>
        <w:kinsoku/>
        <w:wordWrap/>
        <w:topLinePunct w:val="0"/>
        <w:autoSpaceDE/>
        <w:autoSpaceDN/>
        <w:bidi w:val="0"/>
        <w:adjustRightInd w:val="0"/>
        <w:snapToGrid w:val="0"/>
        <w:spacing w:line="578" w:lineRule="exact"/>
        <w:ind w:firstLine="643" w:firstLineChars="200"/>
        <w:jc w:val="both"/>
        <w:textAlignment w:val="auto"/>
        <w:rPr>
          <w:rFonts w:ascii="Times New Roman" w:hAnsi="Times New Roman" w:eastAsia="仿宋_GB2312" w:cs="Times New Roman"/>
          <w:b/>
          <w:bCs/>
          <w:snapToGrid w:val="0"/>
          <w:color w:val="auto"/>
          <w:kern w:val="0"/>
          <w:sz w:val="32"/>
          <w:szCs w:val="32"/>
        </w:rPr>
      </w:pPr>
      <w:r>
        <w:rPr>
          <w:rFonts w:hint="eastAsia" w:ascii="Times New Roman" w:hAnsi="Times New Roman" w:eastAsia="仿宋_GB2312" w:cs="Times New Roman"/>
          <w:b/>
          <w:bCs/>
          <w:snapToGrid w:val="0"/>
          <w:color w:val="auto"/>
          <w:kern w:val="0"/>
          <w:sz w:val="32"/>
          <w:szCs w:val="32"/>
        </w:rPr>
        <w:t>1.</w:t>
      </w:r>
      <w:r>
        <w:rPr>
          <w:rFonts w:ascii="Times New Roman" w:hAnsi="Times New Roman" w:eastAsia="仿宋_GB2312" w:cs="Times New Roman"/>
          <w:b/>
          <w:bCs/>
          <w:snapToGrid w:val="0"/>
          <w:color w:val="auto"/>
          <w:kern w:val="0"/>
          <w:sz w:val="32"/>
          <w:szCs w:val="32"/>
        </w:rPr>
        <w:t>支持条件</w:t>
      </w:r>
      <w:r>
        <w:rPr>
          <w:rFonts w:hint="eastAsia" w:ascii="Times New Roman" w:hAnsi="Times New Roman" w:eastAsia="仿宋_GB2312" w:cs="Times New Roman"/>
          <w:b/>
          <w:bCs/>
          <w:snapToGrid w:val="0"/>
          <w:color w:val="auto"/>
          <w:kern w:val="0"/>
          <w:sz w:val="32"/>
          <w:szCs w:val="32"/>
        </w:rPr>
        <w:t>。</w:t>
      </w:r>
    </w:p>
    <w:p w14:paraId="2D7F6A59">
      <w:pPr>
        <w:keepNext w:val="0"/>
        <w:keepLines w:val="0"/>
        <w:pageBreakBefore w:val="0"/>
        <w:widowControl w:val="0"/>
        <w:kinsoku/>
        <w:wordWrap/>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（1）特色软件产业园是指以软件产业为主导，</w:t>
      </w:r>
      <w:r>
        <w:rPr>
          <w:rFonts w:hint="eastAsia" w:ascii="Times New Roman" w:hAnsi="Times New Roman" w:eastAsia="仿宋_GB2312" w:cs="Times New Roman"/>
          <w:color w:val="auto"/>
          <w:sz w:val="32"/>
          <w:szCs w:val="32"/>
          <w:lang w:val="en-US" w:eastAsia="zh-CN"/>
        </w:rPr>
        <w:t>软件产业规模不低于5亿元，</w:t>
      </w:r>
      <w:r>
        <w:rPr>
          <w:rFonts w:hint="default" w:ascii="Times New Roman" w:hAnsi="Times New Roman" w:eastAsia="仿宋_GB2312" w:cs="Times New Roman"/>
          <w:color w:val="auto"/>
          <w:sz w:val="32"/>
          <w:szCs w:val="32"/>
        </w:rPr>
        <w:t>具有较强集聚效应、辐射带动性和品牌影响力的产业园区。</w:t>
      </w:r>
    </w:p>
    <w:p w14:paraId="5C72B902">
      <w:pPr>
        <w:keepNext w:val="0"/>
        <w:keepLines w:val="0"/>
        <w:pageBreakBefore w:val="0"/>
        <w:widowControl w:val="0"/>
        <w:kinsoku/>
        <w:wordWrap/>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（2）特色软件产业园可自主支配的场地使用面积达20000平方米以上。其中，已投入使用的场地（含公共服务场地）</w:t>
      </w:r>
      <w:r>
        <w:rPr>
          <w:rFonts w:hint="default" w:ascii="Times New Roman" w:hAnsi="Times New Roman" w:eastAsia="仿宋_GB2312" w:cs="Times New Roman"/>
          <w:color w:val="auto"/>
          <w:sz w:val="32"/>
          <w:szCs w:val="32"/>
          <w:lang w:val="en-US" w:eastAsia="zh-CN"/>
        </w:rPr>
        <w:t>占比不低于50%</w:t>
      </w:r>
      <w:r>
        <w:rPr>
          <w:rFonts w:hint="default" w:ascii="Times New Roman" w:hAnsi="Times New Roman" w:eastAsia="仿宋_GB2312" w:cs="Times New Roman"/>
          <w:color w:val="auto"/>
          <w:sz w:val="32"/>
          <w:szCs w:val="32"/>
        </w:rPr>
        <w:t>。拥有专业的产业园运营管理团队，实际参与产业园运营的管理人员不少于5人，产业园中入驻企业数达20家以上。</w:t>
      </w:r>
    </w:p>
    <w:p w14:paraId="7BAD3C88">
      <w:pPr>
        <w:keepNext w:val="0"/>
        <w:keepLines w:val="0"/>
        <w:pageBreakBefore w:val="0"/>
        <w:widowControl w:val="0"/>
        <w:kinsoku/>
        <w:wordWrap/>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特色软件产业园围绕基础软件、工业软件（含工业操作系统等）、应用软件（含数字金融、智能驾驶、智慧医疗等）、新兴平台软件、信息安全软件和信息技术服务等细分领域，不断优化产业载体建设、骨干企业培育、关键技术创新、服务体系建设、产业生态融合等，具备完善的产业园发展规划和计划。</w:t>
      </w:r>
    </w:p>
    <w:p w14:paraId="6A09ED9F">
      <w:pPr>
        <w:keepNext w:val="0"/>
        <w:keepLines w:val="0"/>
        <w:pageBreakBefore w:val="0"/>
        <w:widowControl w:val="0"/>
        <w:kinsoku/>
        <w:wordWrap/>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（4）特色软件产业园需为各县级市（区）政府、高新技术产业开发区、经济技术开发区或同级部门重点支持建设的产业园区。</w:t>
      </w:r>
    </w:p>
    <w:p w14:paraId="3DA302BA">
      <w:pPr>
        <w:keepNext w:val="0"/>
        <w:keepLines w:val="0"/>
        <w:pageBreakBefore w:val="0"/>
        <w:widowControl w:val="0"/>
        <w:kinsoku/>
        <w:wordWrap/>
        <w:topLinePunct w:val="0"/>
        <w:autoSpaceDE/>
        <w:autoSpaceDN/>
        <w:bidi w:val="0"/>
        <w:adjustRightInd w:val="0"/>
        <w:snapToGrid w:val="0"/>
        <w:spacing w:line="578" w:lineRule="exact"/>
        <w:ind w:firstLine="643" w:firstLineChars="200"/>
        <w:jc w:val="both"/>
        <w:textAlignment w:val="auto"/>
        <w:rPr>
          <w:rFonts w:hint="eastAsia" w:ascii="Times New Roman" w:hAnsi="Times New Roman" w:eastAsia="仿宋_GB2312" w:cs="Times New Roman"/>
          <w:color w:val="auto"/>
          <w:kern w:val="0"/>
          <w:sz w:val="31"/>
          <w:szCs w:val="31"/>
          <w:lang w:val="en-US" w:eastAsia="zh-CN" w:bidi="ar"/>
        </w:rPr>
      </w:pPr>
      <w:r>
        <w:rPr>
          <w:rFonts w:hint="default" w:ascii="Times New Roman" w:hAnsi="Times New Roman" w:eastAsia="仿宋_GB2312" w:cs="Times New Roman"/>
          <w:b/>
          <w:bCs/>
          <w:snapToGrid w:val="0"/>
          <w:color w:val="auto"/>
          <w:kern w:val="0"/>
          <w:sz w:val="32"/>
          <w:szCs w:val="32"/>
        </w:rPr>
        <w:t>2.扶持标准。</w:t>
      </w:r>
      <w:r>
        <w:rPr>
          <w:rFonts w:hint="eastAsia" w:ascii="Times New Roman" w:hAnsi="Times New Roman" w:eastAsia="仿宋_GB2312" w:cs="Times New Roman"/>
          <w:color w:val="auto"/>
          <w:kern w:val="0"/>
          <w:sz w:val="31"/>
          <w:szCs w:val="31"/>
          <w:lang w:val="en-US" w:eastAsia="zh-CN" w:bidi="ar"/>
        </w:rPr>
        <w:t>对新获评市级特色软件产业园，给予产业园建设主体200万元奖励，专项支持特色软件产业园区建设。</w:t>
      </w:r>
    </w:p>
    <w:p w14:paraId="0EA9ED3E">
      <w:pPr>
        <w:keepNext w:val="0"/>
        <w:keepLines w:val="0"/>
        <w:pageBreakBefore w:val="0"/>
        <w:widowControl w:val="0"/>
        <w:kinsoku/>
        <w:wordWrap/>
        <w:topLinePunct w:val="0"/>
        <w:autoSpaceDE/>
        <w:autoSpaceDN/>
        <w:bidi w:val="0"/>
        <w:adjustRightInd w:val="0"/>
        <w:snapToGrid w:val="0"/>
        <w:spacing w:line="578" w:lineRule="exact"/>
        <w:ind w:firstLine="640" w:firstLineChars="200"/>
        <w:jc w:val="both"/>
        <w:textAlignment w:val="auto"/>
        <w:rPr>
          <w:rFonts w:hint="eastAsia" w:ascii="楷体_GB2312" w:hAnsi="Times New Roman" w:eastAsia="楷体_GB2312" w:cs="Times New Roman"/>
          <w:snapToGrid w:val="0"/>
          <w:color w:val="auto"/>
          <w:kern w:val="0"/>
          <w:sz w:val="32"/>
          <w:szCs w:val="32"/>
          <w:lang w:eastAsia="zh-CN"/>
        </w:rPr>
      </w:pPr>
      <w:r>
        <w:rPr>
          <w:rFonts w:hint="eastAsia" w:ascii="楷体_GB2312" w:hAnsi="Times New Roman" w:eastAsia="楷体_GB2312" w:cs="Times New Roman"/>
          <w:snapToGrid w:val="0"/>
          <w:color w:val="auto"/>
          <w:kern w:val="0"/>
          <w:sz w:val="32"/>
          <w:szCs w:val="32"/>
          <w:lang w:eastAsia="zh-CN"/>
        </w:rPr>
        <w:t>（</w:t>
      </w:r>
      <w:r>
        <w:rPr>
          <w:rFonts w:hint="eastAsia" w:ascii="楷体_GB2312" w:hAnsi="Times New Roman" w:eastAsia="楷体_GB2312" w:cs="Times New Roman"/>
          <w:snapToGrid w:val="0"/>
          <w:color w:val="auto"/>
          <w:kern w:val="0"/>
          <w:sz w:val="32"/>
          <w:szCs w:val="32"/>
          <w:lang w:val="en-US" w:eastAsia="zh-CN"/>
        </w:rPr>
        <w:t>九</w:t>
      </w:r>
      <w:r>
        <w:rPr>
          <w:rFonts w:hint="eastAsia" w:ascii="楷体_GB2312" w:hAnsi="Times New Roman" w:eastAsia="楷体_GB2312" w:cs="Times New Roman"/>
          <w:snapToGrid w:val="0"/>
          <w:color w:val="auto"/>
          <w:kern w:val="0"/>
          <w:sz w:val="32"/>
          <w:szCs w:val="32"/>
          <w:lang w:eastAsia="zh-CN"/>
        </w:rPr>
        <w:t>）工业软件应用场景开放建设项目</w:t>
      </w:r>
    </w:p>
    <w:p w14:paraId="3A5C4B16">
      <w:pPr>
        <w:keepNext w:val="0"/>
        <w:keepLines w:val="0"/>
        <w:pageBreakBefore w:val="0"/>
        <w:widowControl w:val="0"/>
        <w:kinsoku/>
        <w:wordWrap/>
        <w:topLinePunct w:val="0"/>
        <w:autoSpaceDE/>
        <w:autoSpaceDN/>
        <w:bidi w:val="0"/>
        <w:adjustRightInd w:val="0"/>
        <w:snapToGrid w:val="0"/>
        <w:spacing w:line="578" w:lineRule="exact"/>
        <w:ind w:firstLine="643" w:firstLineChars="200"/>
        <w:jc w:val="both"/>
        <w:textAlignment w:val="auto"/>
        <w:rPr>
          <w:rFonts w:ascii="Times New Roman" w:hAnsi="Times New Roman" w:eastAsia="仿宋_GB2312" w:cs="Times New Roman"/>
          <w:b/>
          <w:bCs/>
          <w:snapToGrid w:val="0"/>
          <w:color w:val="auto"/>
          <w:kern w:val="0"/>
          <w:sz w:val="32"/>
          <w:szCs w:val="32"/>
        </w:rPr>
      </w:pPr>
      <w:r>
        <w:rPr>
          <w:rFonts w:hint="eastAsia" w:ascii="Times New Roman" w:hAnsi="Times New Roman" w:eastAsia="仿宋_GB2312" w:cs="Times New Roman"/>
          <w:b/>
          <w:bCs/>
          <w:snapToGrid w:val="0"/>
          <w:color w:val="auto"/>
          <w:kern w:val="0"/>
          <w:sz w:val="32"/>
          <w:szCs w:val="32"/>
        </w:rPr>
        <w:t>1.</w:t>
      </w:r>
      <w:r>
        <w:rPr>
          <w:rFonts w:ascii="Times New Roman" w:hAnsi="Times New Roman" w:eastAsia="仿宋_GB2312" w:cs="Times New Roman"/>
          <w:b/>
          <w:bCs/>
          <w:snapToGrid w:val="0"/>
          <w:color w:val="auto"/>
          <w:kern w:val="0"/>
          <w:sz w:val="32"/>
          <w:szCs w:val="32"/>
        </w:rPr>
        <w:t>支持条件</w:t>
      </w:r>
      <w:r>
        <w:rPr>
          <w:rFonts w:hint="eastAsia" w:ascii="Times New Roman" w:hAnsi="Times New Roman" w:eastAsia="仿宋_GB2312" w:cs="Times New Roman"/>
          <w:b/>
          <w:bCs/>
          <w:snapToGrid w:val="0"/>
          <w:color w:val="auto"/>
          <w:kern w:val="0"/>
          <w:sz w:val="32"/>
          <w:szCs w:val="32"/>
        </w:rPr>
        <w:t>。</w:t>
      </w:r>
    </w:p>
    <w:p w14:paraId="5A00E772">
      <w:pPr>
        <w:keepNext w:val="0"/>
        <w:keepLines w:val="0"/>
        <w:pageBreakBefore w:val="0"/>
        <w:widowControl w:val="0"/>
        <w:kinsoku/>
        <w:wordWrap/>
        <w:overflowPunct/>
        <w:topLinePunct w:val="0"/>
        <w:autoSpaceDE/>
        <w:autoSpaceDN/>
        <w:bidi w:val="0"/>
        <w:adjustRightInd w:val="0"/>
        <w:snapToGrid w:val="0"/>
        <w:spacing w:line="578" w:lineRule="exact"/>
        <w:ind w:right="0" w:rightChars="0"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（1）支持制造业企业开放应用场景，联合工业软件企业开展创新应用。</w:t>
      </w:r>
    </w:p>
    <w:p w14:paraId="622955B9">
      <w:pPr>
        <w:keepNext w:val="0"/>
        <w:keepLines w:val="0"/>
        <w:pageBreakBefore w:val="0"/>
        <w:widowControl w:val="0"/>
        <w:kinsoku/>
        <w:wordWrap/>
        <w:overflowPunct/>
        <w:topLinePunct w:val="0"/>
        <w:autoSpaceDE/>
        <w:autoSpaceDN/>
        <w:bidi w:val="0"/>
        <w:adjustRightInd w:val="0"/>
        <w:snapToGrid w:val="0"/>
        <w:spacing w:line="578" w:lineRule="exact"/>
        <w:ind w:right="0" w:rightChars="0"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（2）工业软件应用场景开放建设项目应在2024年以后立项，2025年8月15日以后实施完成并投入应用。</w:t>
      </w:r>
    </w:p>
    <w:p w14:paraId="0F155EF6">
      <w:pPr>
        <w:keepNext w:val="0"/>
        <w:keepLines w:val="0"/>
        <w:pageBreakBefore w:val="0"/>
        <w:widowControl w:val="0"/>
        <w:kinsoku/>
        <w:wordWrap/>
        <w:overflowPunct/>
        <w:topLinePunct w:val="0"/>
        <w:autoSpaceDE/>
        <w:autoSpaceDN/>
        <w:bidi w:val="0"/>
        <w:adjustRightInd w:val="0"/>
        <w:snapToGrid w:val="0"/>
        <w:spacing w:line="578" w:lineRule="exact"/>
        <w:ind w:right="0" w:rightChars="0"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（3）</w:t>
      </w:r>
      <w:r>
        <w:rPr>
          <w:rFonts w:hint="eastAsia" w:ascii="Times New Roman" w:hAnsi="Times New Roman" w:eastAsia="仿宋_GB2312" w:cs="Times New Roman"/>
          <w:color w:val="auto"/>
          <w:kern w:val="0"/>
          <w:sz w:val="32"/>
          <w:szCs w:val="32"/>
        </w:rPr>
        <w:t>申报单位</w:t>
      </w:r>
      <w:r>
        <w:rPr>
          <w:rFonts w:hint="eastAsia" w:ascii="Times New Roman" w:hAnsi="Times New Roman" w:eastAsia="仿宋_GB2312" w:cs="Times New Roman"/>
          <w:color w:val="auto"/>
          <w:kern w:val="0"/>
          <w:sz w:val="32"/>
          <w:szCs w:val="32"/>
          <w:lang w:val="en-US" w:eastAsia="zh-CN"/>
        </w:rPr>
        <w:t>开放的工业软件应用场景应具有一定的典型代表意义，具有较强的应用推广效果。鼓励使用智能工业软件实现应用场景建设。</w:t>
      </w:r>
    </w:p>
    <w:p w14:paraId="4C198ED4">
      <w:pPr>
        <w:keepNext w:val="0"/>
        <w:keepLines w:val="0"/>
        <w:pageBreakBefore w:val="0"/>
        <w:widowControl w:val="0"/>
        <w:kinsoku/>
        <w:wordWrap/>
        <w:overflowPunct/>
        <w:topLinePunct w:val="0"/>
        <w:autoSpaceDE/>
        <w:autoSpaceDN/>
        <w:bidi w:val="0"/>
        <w:adjustRightInd w:val="0"/>
        <w:snapToGrid w:val="0"/>
        <w:spacing w:line="578" w:lineRule="exact"/>
        <w:ind w:right="0" w:rightChars="0" w:firstLine="640" w:firstLineChars="200"/>
        <w:jc w:val="both"/>
        <w:textAlignment w:val="auto"/>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（4）</w:t>
      </w:r>
      <w:r>
        <w:rPr>
          <w:rFonts w:hint="eastAsia" w:ascii="Times New Roman" w:hAnsi="Times New Roman" w:eastAsia="仿宋_GB2312" w:cs="Times New Roman"/>
          <w:color w:val="auto"/>
          <w:kern w:val="0"/>
          <w:sz w:val="32"/>
          <w:szCs w:val="32"/>
        </w:rPr>
        <w:t>工业软件产品需满足自主可控相关要求</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需拥有自主知识产权，并综合考察</w:t>
      </w:r>
      <w:r>
        <w:rPr>
          <w:rFonts w:hint="eastAsia" w:ascii="Times New Roman" w:hAnsi="Times New Roman" w:eastAsia="仿宋_GB2312" w:cs="Times New Roman"/>
          <w:color w:val="auto"/>
          <w:kern w:val="0"/>
          <w:sz w:val="32"/>
          <w:szCs w:val="32"/>
        </w:rPr>
        <w:t>产品竞争力、自主可控率、产品功能、安全、性能、稳定性等</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工业软件企业需具有较好的</w:t>
      </w:r>
      <w:r>
        <w:rPr>
          <w:rFonts w:hint="eastAsia" w:ascii="Times New Roman" w:hAnsi="Times New Roman" w:eastAsia="仿宋_GB2312" w:cs="Times New Roman"/>
          <w:color w:val="auto"/>
          <w:kern w:val="0"/>
          <w:sz w:val="32"/>
          <w:szCs w:val="32"/>
        </w:rPr>
        <w:t>企业资质、财务健康度、项目交付能力。</w:t>
      </w:r>
    </w:p>
    <w:p w14:paraId="4BC1E779">
      <w:pPr>
        <w:pStyle w:val="9"/>
        <w:keepNext w:val="0"/>
        <w:keepLines w:val="0"/>
        <w:pageBreakBefore w:val="0"/>
        <w:widowControl w:val="0"/>
        <w:kinsoku/>
        <w:wordWrap/>
        <w:topLinePunct w:val="0"/>
        <w:autoSpaceDE/>
        <w:autoSpaceDN/>
        <w:bidi w:val="0"/>
        <w:spacing w:after="0" w:line="578" w:lineRule="exact"/>
        <w:ind w:left="0" w:leftChars="0" w:firstLine="643" w:firstLineChars="200"/>
        <w:jc w:val="both"/>
        <w:textAlignment w:val="auto"/>
        <w:rPr>
          <w:rFonts w:hint="eastAsia" w:ascii="Times New Roman" w:hAnsi="Times New Roman" w:eastAsia="仿宋_GB2312" w:cs="Times New Roman"/>
          <w:b/>
          <w:bCs/>
          <w:snapToGrid w:val="0"/>
          <w:color w:val="auto"/>
          <w:kern w:val="0"/>
          <w:sz w:val="32"/>
          <w:szCs w:val="32"/>
        </w:rPr>
      </w:pPr>
      <w:r>
        <w:rPr>
          <w:rFonts w:hint="eastAsia" w:ascii="Times New Roman" w:hAnsi="Times New Roman" w:eastAsia="仿宋_GB2312" w:cs="Times New Roman"/>
          <w:b/>
          <w:bCs/>
          <w:snapToGrid w:val="0"/>
          <w:color w:val="auto"/>
          <w:kern w:val="0"/>
          <w:sz w:val="32"/>
          <w:szCs w:val="32"/>
        </w:rPr>
        <w:t>2.扶持标准。</w:t>
      </w:r>
      <w:r>
        <w:rPr>
          <w:rFonts w:hint="eastAsia" w:ascii="Times New Roman" w:hAnsi="Times New Roman" w:eastAsia="仿宋_GB2312"/>
          <w:color w:val="auto"/>
          <w:spacing w:val="-6"/>
          <w:kern w:val="2"/>
        </w:rPr>
        <w:t>按项目软件投入的50%，给予最高200万元奖励。</w:t>
      </w:r>
    </w:p>
    <w:p w14:paraId="2232CF94">
      <w:pPr>
        <w:keepNext w:val="0"/>
        <w:keepLines w:val="0"/>
        <w:pageBreakBefore w:val="0"/>
        <w:widowControl w:val="0"/>
        <w:kinsoku/>
        <w:wordWrap/>
        <w:topLinePunct w:val="0"/>
        <w:autoSpaceDE/>
        <w:autoSpaceDN/>
        <w:bidi w:val="0"/>
        <w:adjustRightInd w:val="0"/>
        <w:snapToGrid w:val="0"/>
        <w:spacing w:line="578" w:lineRule="exact"/>
        <w:ind w:firstLine="640" w:firstLineChars="200"/>
        <w:jc w:val="both"/>
        <w:textAlignment w:val="auto"/>
        <w:rPr>
          <w:rFonts w:hint="eastAsia" w:ascii="楷体_GB2312" w:hAnsi="Times New Roman" w:eastAsia="楷体_GB2312" w:cs="Times New Roman"/>
          <w:snapToGrid w:val="0"/>
          <w:color w:val="auto"/>
          <w:kern w:val="0"/>
          <w:sz w:val="32"/>
          <w:szCs w:val="32"/>
          <w:lang w:val="en-US" w:eastAsia="zh-CN"/>
        </w:rPr>
      </w:pPr>
      <w:r>
        <w:rPr>
          <w:rFonts w:hint="eastAsia" w:ascii="楷体_GB2312" w:hAnsi="Times New Roman" w:eastAsia="楷体_GB2312" w:cs="Times New Roman"/>
          <w:snapToGrid w:val="0"/>
          <w:color w:val="auto"/>
          <w:kern w:val="0"/>
          <w:sz w:val="32"/>
          <w:szCs w:val="32"/>
          <w:lang w:eastAsia="zh-CN"/>
        </w:rPr>
        <w:t>（</w:t>
      </w:r>
      <w:r>
        <w:rPr>
          <w:rFonts w:hint="eastAsia" w:ascii="楷体_GB2312" w:hAnsi="Times New Roman" w:eastAsia="楷体_GB2312" w:cs="Times New Roman"/>
          <w:snapToGrid w:val="0"/>
          <w:color w:val="auto"/>
          <w:kern w:val="0"/>
          <w:sz w:val="32"/>
          <w:szCs w:val="32"/>
          <w:lang w:val="en-US" w:eastAsia="zh-CN"/>
        </w:rPr>
        <w:t>十</w:t>
      </w:r>
      <w:r>
        <w:rPr>
          <w:rFonts w:hint="eastAsia" w:ascii="楷体_GB2312" w:hAnsi="Times New Roman" w:eastAsia="楷体_GB2312" w:cs="Times New Roman"/>
          <w:snapToGrid w:val="0"/>
          <w:color w:val="auto"/>
          <w:kern w:val="0"/>
          <w:sz w:val="32"/>
          <w:szCs w:val="32"/>
          <w:lang w:eastAsia="zh-CN"/>
        </w:rPr>
        <w:t>）开源生态创新平台</w:t>
      </w:r>
      <w:r>
        <w:rPr>
          <w:rFonts w:hint="eastAsia" w:ascii="楷体_GB2312" w:hAnsi="Times New Roman" w:eastAsia="楷体_GB2312" w:cs="Times New Roman"/>
          <w:snapToGrid w:val="0"/>
          <w:color w:val="auto"/>
          <w:kern w:val="0"/>
          <w:sz w:val="32"/>
          <w:szCs w:val="32"/>
          <w:lang w:val="en-US" w:eastAsia="zh-CN"/>
        </w:rPr>
        <w:t>项目</w:t>
      </w:r>
    </w:p>
    <w:p w14:paraId="45462782">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hint="default" w:ascii="Times New Roman" w:hAnsi="Times New Roman" w:eastAsia="仿宋_GB2312" w:cs="Times New Roman"/>
          <w:b/>
          <w:bCs/>
          <w:snapToGrid w:val="0"/>
          <w:color w:val="auto"/>
          <w:kern w:val="0"/>
          <w:sz w:val="32"/>
          <w:szCs w:val="32"/>
          <w:lang w:val="en-US" w:eastAsia="zh-CN" w:bidi="ar-SA"/>
        </w:rPr>
      </w:pPr>
      <w:r>
        <w:rPr>
          <w:rFonts w:hint="default" w:ascii="Times New Roman" w:hAnsi="Times New Roman" w:eastAsia="仿宋_GB2312" w:cs="Times New Roman"/>
          <w:b/>
          <w:bCs/>
          <w:snapToGrid w:val="0"/>
          <w:color w:val="auto"/>
          <w:kern w:val="0"/>
          <w:sz w:val="32"/>
          <w:szCs w:val="32"/>
          <w:lang w:val="en-US" w:eastAsia="zh-CN" w:bidi="ar-SA"/>
        </w:rPr>
        <w:t>1.支持条件。</w:t>
      </w:r>
    </w:p>
    <w:p w14:paraId="4EEB48C5">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ascii="Times New Roman" w:hAnsi="Times New Roman" w:cs="Times New Roman"/>
          <w:snapToGrid w:val="0"/>
          <w:color w:val="auto"/>
          <w:kern w:val="0"/>
          <w:sz w:val="32"/>
          <w:szCs w:val="32"/>
        </w:rPr>
      </w:pPr>
      <w:r>
        <w:rPr>
          <w:rFonts w:hint="eastAsia" w:ascii="Times New Roman" w:hAnsi="Times New Roman" w:eastAsia="FangSong_GB2312" w:cs="Times New Roman"/>
          <w:snapToGrid w:val="0"/>
          <w:color w:val="auto"/>
          <w:kern w:val="0"/>
          <w:sz w:val="32"/>
          <w:szCs w:val="32"/>
        </w:rPr>
        <w:t>（1）支持企事业单位、科研单位、高校</w:t>
      </w:r>
      <w:r>
        <w:rPr>
          <w:rFonts w:hint="eastAsia" w:ascii="Times New Roman" w:hAnsi="Times New Roman" w:eastAsia="FangSong_GB2312" w:cs="Times New Roman"/>
          <w:snapToGrid w:val="0"/>
          <w:color w:val="auto"/>
          <w:kern w:val="0"/>
          <w:sz w:val="32"/>
          <w:szCs w:val="32"/>
          <w:lang w:val="en-US" w:eastAsia="zh-CN"/>
        </w:rPr>
        <w:t>院所</w:t>
      </w:r>
      <w:r>
        <w:rPr>
          <w:rFonts w:hint="eastAsia" w:ascii="Times New Roman" w:hAnsi="Times New Roman" w:eastAsia="FangSong_GB2312" w:cs="Times New Roman"/>
          <w:snapToGrid w:val="0"/>
          <w:color w:val="auto"/>
          <w:kern w:val="0"/>
          <w:sz w:val="32"/>
          <w:szCs w:val="32"/>
        </w:rPr>
        <w:t>积极对接开放原子开源基金会等开源社区，开展联合研发、应用创新、产业孵化、联合培养等工作</w:t>
      </w:r>
      <w:r>
        <w:rPr>
          <w:rFonts w:ascii="Times New Roman" w:hAnsi="Times New Roman" w:eastAsia="FangSong_GB2312" w:cs="Times New Roman"/>
          <w:snapToGrid w:val="0"/>
          <w:color w:val="auto"/>
          <w:kern w:val="0"/>
          <w:sz w:val="32"/>
          <w:szCs w:val="32"/>
        </w:rPr>
        <w:t>。</w:t>
      </w:r>
    </w:p>
    <w:p w14:paraId="557EF299">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Times New Roman" w:hAnsi="Times New Roman" w:eastAsia="FangSong_GB2312" w:cs="Times New Roman"/>
          <w:snapToGrid w:val="0"/>
          <w:color w:val="auto"/>
          <w:kern w:val="0"/>
          <w:sz w:val="32"/>
          <w:szCs w:val="32"/>
          <w:lang w:val="en-US" w:eastAsia="zh-CN"/>
        </w:rPr>
      </w:pPr>
      <w:r>
        <w:rPr>
          <w:rFonts w:hint="eastAsia" w:ascii="Times New Roman" w:hAnsi="Times New Roman" w:eastAsia="FangSong_GB2312" w:cs="Times New Roman"/>
          <w:snapToGrid w:val="0"/>
          <w:color w:val="auto"/>
          <w:kern w:val="0"/>
          <w:sz w:val="32"/>
          <w:szCs w:val="32"/>
        </w:rPr>
        <w:t>（2）开源创新平台</w:t>
      </w:r>
      <w:r>
        <w:rPr>
          <w:rFonts w:hint="eastAsia" w:ascii="Times New Roman" w:hAnsi="Times New Roman" w:eastAsia="FangSong_GB2312" w:cs="Times New Roman"/>
          <w:snapToGrid w:val="0"/>
          <w:color w:val="auto"/>
          <w:kern w:val="0"/>
          <w:sz w:val="32"/>
          <w:szCs w:val="32"/>
          <w:lang w:val="en-US" w:eastAsia="zh-CN"/>
        </w:rPr>
        <w:t>至少围绕以下1项开展工作：</w:t>
      </w:r>
    </w:p>
    <w:p w14:paraId="2D59CEF8">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hint="default" w:ascii="Times New Roman" w:hAnsi="Times New Roman" w:eastAsia="FangSong_GB2312" w:cs="Times New Roman"/>
          <w:snapToGrid w:val="0"/>
          <w:color w:val="auto"/>
          <w:kern w:val="0"/>
          <w:sz w:val="32"/>
          <w:szCs w:val="32"/>
          <w:lang w:val="en-US" w:eastAsia="zh-CN"/>
        </w:rPr>
      </w:pPr>
      <w:r>
        <w:rPr>
          <w:rFonts w:hint="eastAsia" w:ascii="Times New Roman" w:hAnsi="Times New Roman" w:eastAsia="FangSong_GB2312" w:cs="Times New Roman"/>
          <w:b/>
          <w:bCs/>
          <w:snapToGrid w:val="0"/>
          <w:color w:val="auto"/>
          <w:kern w:val="0"/>
          <w:sz w:val="32"/>
          <w:szCs w:val="32"/>
        </w:rPr>
        <w:t>联合研发</w:t>
      </w:r>
      <w:r>
        <w:rPr>
          <w:rFonts w:hint="eastAsia" w:ascii="Times New Roman" w:hAnsi="Times New Roman" w:eastAsia="FangSong_GB2312" w:cs="Times New Roman"/>
          <w:snapToGrid w:val="0"/>
          <w:color w:val="auto"/>
          <w:kern w:val="0"/>
          <w:sz w:val="32"/>
          <w:szCs w:val="32"/>
          <w:lang w:eastAsia="zh-CN"/>
        </w:rPr>
        <w:t>：</w:t>
      </w:r>
      <w:r>
        <w:rPr>
          <w:rFonts w:hint="eastAsia" w:ascii="Times New Roman" w:hAnsi="Times New Roman" w:eastAsia="FangSong_GB2312" w:cs="Times New Roman"/>
          <w:snapToGrid w:val="0"/>
          <w:color w:val="auto"/>
          <w:kern w:val="0"/>
          <w:sz w:val="32"/>
          <w:szCs w:val="32"/>
          <w:lang w:val="en-US" w:eastAsia="zh-CN"/>
        </w:rPr>
        <w:t>围绕开源领域开展联合研发，2025年以来，基于开源开展核心技术攻关项目不少于5个。</w:t>
      </w:r>
    </w:p>
    <w:p w14:paraId="27B5B134">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hint="default" w:ascii="Times New Roman" w:hAnsi="Times New Roman" w:eastAsia="FangSong_GB2312" w:cs="Times New Roman"/>
          <w:snapToGrid w:val="0"/>
          <w:color w:val="auto"/>
          <w:kern w:val="0"/>
          <w:sz w:val="32"/>
          <w:szCs w:val="32"/>
          <w:lang w:val="en-US" w:eastAsia="zh-CN"/>
        </w:rPr>
      </w:pPr>
      <w:r>
        <w:rPr>
          <w:rFonts w:hint="eastAsia" w:ascii="Times New Roman" w:hAnsi="Times New Roman" w:eastAsia="FangSong_GB2312" w:cs="Times New Roman"/>
          <w:b/>
          <w:bCs/>
          <w:snapToGrid w:val="0"/>
          <w:color w:val="auto"/>
          <w:kern w:val="0"/>
          <w:sz w:val="32"/>
          <w:szCs w:val="32"/>
        </w:rPr>
        <w:t>应用创新</w:t>
      </w:r>
      <w:r>
        <w:rPr>
          <w:rFonts w:hint="eastAsia" w:ascii="Times New Roman" w:hAnsi="Times New Roman" w:eastAsia="FangSong_GB2312" w:cs="Times New Roman"/>
          <w:snapToGrid w:val="0"/>
          <w:color w:val="auto"/>
          <w:kern w:val="0"/>
          <w:sz w:val="32"/>
          <w:szCs w:val="32"/>
          <w:lang w:eastAsia="zh-CN"/>
        </w:rPr>
        <w:t>：</w:t>
      </w:r>
      <w:r>
        <w:rPr>
          <w:rFonts w:hint="eastAsia" w:ascii="Times New Roman" w:hAnsi="Times New Roman" w:eastAsia="FangSong_GB2312" w:cs="Times New Roman"/>
          <w:snapToGrid w:val="0"/>
          <w:color w:val="auto"/>
          <w:kern w:val="0"/>
          <w:sz w:val="32"/>
          <w:szCs w:val="32"/>
          <w:lang w:val="en-US" w:eastAsia="zh-CN"/>
        </w:rPr>
        <w:t>提供开源共性技术服务，2025年以来，为不少于10家企业提供技术服务并开展应用创新，取得较好市场成效。</w:t>
      </w:r>
    </w:p>
    <w:p w14:paraId="6E0D62F4">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hint="eastAsia" w:ascii="Times New Roman" w:hAnsi="Times New Roman" w:eastAsia="FangSong_GB2312" w:cs="Times New Roman"/>
          <w:snapToGrid w:val="0"/>
          <w:color w:val="auto"/>
          <w:kern w:val="0"/>
          <w:sz w:val="32"/>
          <w:szCs w:val="32"/>
          <w:lang w:eastAsia="zh-CN"/>
        </w:rPr>
      </w:pPr>
      <w:r>
        <w:rPr>
          <w:rFonts w:hint="eastAsia" w:ascii="Times New Roman" w:hAnsi="Times New Roman" w:eastAsia="FangSong_GB2312" w:cs="Times New Roman"/>
          <w:b/>
          <w:bCs/>
          <w:snapToGrid w:val="0"/>
          <w:color w:val="auto"/>
          <w:kern w:val="0"/>
          <w:sz w:val="32"/>
          <w:szCs w:val="32"/>
        </w:rPr>
        <w:t>产业孵化</w:t>
      </w:r>
      <w:r>
        <w:rPr>
          <w:rFonts w:hint="eastAsia" w:ascii="Times New Roman" w:hAnsi="Times New Roman" w:eastAsia="FangSong_GB2312" w:cs="Times New Roman"/>
          <w:snapToGrid w:val="0"/>
          <w:color w:val="auto"/>
          <w:kern w:val="0"/>
          <w:sz w:val="32"/>
          <w:szCs w:val="32"/>
          <w:lang w:eastAsia="zh-CN"/>
        </w:rPr>
        <w:t>：</w:t>
      </w:r>
      <w:r>
        <w:rPr>
          <w:rFonts w:hint="eastAsia" w:ascii="Times New Roman" w:hAnsi="Times New Roman" w:eastAsia="FangSong_GB2312" w:cs="Times New Roman"/>
          <w:snapToGrid w:val="0"/>
          <w:color w:val="auto"/>
          <w:kern w:val="0"/>
          <w:sz w:val="32"/>
          <w:szCs w:val="32"/>
          <w:lang w:val="en-US" w:eastAsia="zh-CN"/>
        </w:rPr>
        <w:t>基于开源孵化商业发行版产品不少于5个。</w:t>
      </w:r>
    </w:p>
    <w:p w14:paraId="7F4E224F">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hint="eastAsia" w:ascii="Times New Roman" w:hAnsi="Times New Roman" w:eastAsia="FangSong_GB2312" w:cs="Times New Roman"/>
          <w:snapToGrid w:val="0"/>
          <w:color w:val="auto"/>
          <w:kern w:val="0"/>
          <w:sz w:val="32"/>
          <w:szCs w:val="32"/>
          <w:lang w:eastAsia="zh-CN"/>
        </w:rPr>
      </w:pPr>
      <w:r>
        <w:rPr>
          <w:rFonts w:hint="eastAsia" w:ascii="Times New Roman" w:hAnsi="Times New Roman" w:eastAsia="FangSong_GB2312" w:cs="Times New Roman"/>
          <w:b/>
          <w:bCs/>
          <w:snapToGrid w:val="0"/>
          <w:color w:val="auto"/>
          <w:kern w:val="0"/>
          <w:sz w:val="32"/>
          <w:szCs w:val="32"/>
        </w:rPr>
        <w:t>联合培养</w:t>
      </w:r>
      <w:r>
        <w:rPr>
          <w:rFonts w:hint="eastAsia" w:ascii="Times New Roman" w:hAnsi="Times New Roman" w:eastAsia="FangSong_GB2312" w:cs="Times New Roman"/>
          <w:snapToGrid w:val="0"/>
          <w:color w:val="auto"/>
          <w:kern w:val="0"/>
          <w:sz w:val="32"/>
          <w:szCs w:val="32"/>
          <w:lang w:eastAsia="zh-CN"/>
        </w:rPr>
        <w:t>：</w:t>
      </w:r>
      <w:r>
        <w:rPr>
          <w:rFonts w:hint="eastAsia" w:ascii="Times New Roman" w:hAnsi="Times New Roman" w:eastAsia="FangSong_GB2312" w:cs="Times New Roman"/>
          <w:snapToGrid w:val="0"/>
          <w:color w:val="auto"/>
          <w:kern w:val="0"/>
          <w:sz w:val="32"/>
          <w:szCs w:val="32"/>
          <w:lang w:val="en-US" w:eastAsia="zh-CN"/>
        </w:rPr>
        <w:t>联合国内外开源社区或平台，开展开源人才培养，2025年以来，培养开源人才不少于50位，并取得相关资质认证（或提供相关佐证材料）。</w:t>
      </w:r>
    </w:p>
    <w:p w14:paraId="6622C713">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ascii="Times New Roman" w:hAnsi="Times New Roman" w:eastAsia="KaiTi_GB2312" w:cs="Times New Roman"/>
          <w:snapToGrid w:val="0"/>
          <w:color w:val="auto"/>
          <w:kern w:val="0"/>
          <w:sz w:val="32"/>
          <w:szCs w:val="32"/>
        </w:rPr>
      </w:pPr>
      <w:r>
        <w:rPr>
          <w:rFonts w:hint="default" w:ascii="Times New Roman" w:hAnsi="Times New Roman" w:eastAsia="仿宋_GB2312" w:cs="Times New Roman"/>
          <w:b/>
          <w:bCs/>
          <w:snapToGrid w:val="0"/>
          <w:color w:val="auto"/>
          <w:kern w:val="0"/>
          <w:sz w:val="32"/>
          <w:szCs w:val="32"/>
          <w:lang w:val="en-US" w:eastAsia="zh-CN"/>
        </w:rPr>
        <w:t>2.扶持标准。</w:t>
      </w:r>
      <w:r>
        <w:rPr>
          <w:rFonts w:hint="eastAsia" w:ascii="Times New Roman" w:hAnsi="Times New Roman" w:eastAsia="FangSong_GB2312" w:cs="Times New Roman"/>
          <w:snapToGrid w:val="0"/>
          <w:color w:val="auto"/>
          <w:kern w:val="0"/>
          <w:sz w:val="32"/>
          <w:szCs w:val="32"/>
        </w:rPr>
        <w:t>按开源创新平台投入（不含土建）的50%，给予最高200万元奖励。</w:t>
      </w:r>
    </w:p>
    <w:p w14:paraId="0AC9B075">
      <w:pPr>
        <w:keepNext w:val="0"/>
        <w:keepLines w:val="0"/>
        <w:pageBreakBefore w:val="0"/>
        <w:widowControl w:val="0"/>
        <w:kinsoku/>
        <w:wordWrap/>
        <w:topLinePunct w:val="0"/>
        <w:autoSpaceDE/>
        <w:autoSpaceDN/>
        <w:bidi w:val="0"/>
        <w:adjustRightInd w:val="0"/>
        <w:snapToGrid w:val="0"/>
        <w:spacing w:line="578" w:lineRule="exact"/>
        <w:ind w:firstLine="640" w:firstLineChars="200"/>
        <w:jc w:val="both"/>
        <w:textAlignment w:val="auto"/>
        <w:rPr>
          <w:rFonts w:hint="eastAsia" w:ascii="楷体_GB2312" w:hAnsi="Times New Roman" w:eastAsia="楷体_GB2312" w:cs="Times New Roman"/>
          <w:snapToGrid w:val="0"/>
          <w:color w:val="auto"/>
          <w:kern w:val="0"/>
          <w:sz w:val="32"/>
          <w:szCs w:val="32"/>
          <w:lang w:eastAsia="zh-CN"/>
        </w:rPr>
      </w:pPr>
      <w:r>
        <w:rPr>
          <w:rFonts w:hint="eastAsia" w:ascii="楷体_GB2312" w:hAnsi="Times New Roman" w:eastAsia="楷体_GB2312" w:cs="Times New Roman"/>
          <w:snapToGrid w:val="0"/>
          <w:color w:val="auto"/>
          <w:kern w:val="0"/>
          <w:sz w:val="32"/>
          <w:szCs w:val="32"/>
          <w:lang w:eastAsia="zh-CN"/>
        </w:rPr>
        <w:t>（</w:t>
      </w:r>
      <w:r>
        <w:rPr>
          <w:rFonts w:hint="eastAsia" w:ascii="楷体_GB2312" w:hAnsi="Times New Roman" w:eastAsia="楷体_GB2312" w:cs="Times New Roman"/>
          <w:snapToGrid w:val="0"/>
          <w:color w:val="auto"/>
          <w:kern w:val="0"/>
          <w:sz w:val="32"/>
          <w:szCs w:val="32"/>
          <w:lang w:val="en-US" w:eastAsia="zh-CN"/>
        </w:rPr>
        <w:t>十一</w:t>
      </w:r>
      <w:r>
        <w:rPr>
          <w:rFonts w:hint="eastAsia" w:ascii="楷体_GB2312" w:hAnsi="Times New Roman" w:eastAsia="楷体_GB2312" w:cs="Times New Roman"/>
          <w:snapToGrid w:val="0"/>
          <w:color w:val="auto"/>
          <w:kern w:val="0"/>
          <w:sz w:val="32"/>
          <w:szCs w:val="32"/>
          <w:lang w:eastAsia="zh-CN"/>
        </w:rPr>
        <w:t>）开源</w:t>
      </w:r>
      <w:r>
        <w:rPr>
          <w:rFonts w:hint="eastAsia" w:ascii="楷体_GB2312" w:hAnsi="Times New Roman" w:eastAsia="楷体_GB2312" w:cs="Times New Roman"/>
          <w:snapToGrid w:val="0"/>
          <w:color w:val="auto"/>
          <w:kern w:val="0"/>
          <w:sz w:val="32"/>
          <w:szCs w:val="32"/>
          <w:lang w:val="en-US" w:eastAsia="zh-CN"/>
        </w:rPr>
        <w:t>软件项目奖励</w:t>
      </w:r>
    </w:p>
    <w:p w14:paraId="418B9E99">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hint="default" w:ascii="Times New Roman" w:hAnsi="Times New Roman" w:eastAsia="仿宋_GB2312" w:cs="Times New Roman"/>
          <w:b/>
          <w:bCs/>
          <w:snapToGrid w:val="0"/>
          <w:color w:val="auto"/>
          <w:kern w:val="0"/>
          <w:sz w:val="32"/>
          <w:szCs w:val="32"/>
          <w:lang w:val="en-US" w:eastAsia="zh-CN"/>
        </w:rPr>
      </w:pPr>
      <w:r>
        <w:rPr>
          <w:rFonts w:hint="eastAsia" w:ascii="Times New Roman" w:hAnsi="Times New Roman" w:eastAsia="仿宋_GB2312" w:cs="Times New Roman"/>
          <w:b/>
          <w:bCs/>
          <w:snapToGrid w:val="0"/>
          <w:color w:val="auto"/>
          <w:kern w:val="0"/>
          <w:sz w:val="32"/>
          <w:szCs w:val="32"/>
          <w:lang w:val="en-US" w:eastAsia="zh-CN"/>
        </w:rPr>
        <w:t>1.支持条件。</w:t>
      </w:r>
    </w:p>
    <w:p w14:paraId="240B908D">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Times New Roman" w:hAnsi="Times New Roman" w:eastAsia="FangSong_GB2312" w:cs="Times New Roman"/>
          <w:snapToGrid w:val="0"/>
          <w:color w:val="auto"/>
          <w:kern w:val="0"/>
          <w:sz w:val="32"/>
          <w:szCs w:val="32"/>
        </w:rPr>
      </w:pPr>
      <w:r>
        <w:rPr>
          <w:rFonts w:hint="eastAsia" w:ascii="Times New Roman" w:hAnsi="Times New Roman" w:eastAsia="FangSong_GB2312" w:cs="Times New Roman"/>
          <w:snapToGrid w:val="0"/>
          <w:color w:val="auto"/>
          <w:kern w:val="0"/>
          <w:sz w:val="32"/>
          <w:szCs w:val="32"/>
          <w:lang w:val="en-US" w:eastAsia="zh-CN"/>
        </w:rPr>
        <w:t>（1）开源软件项目</w:t>
      </w:r>
      <w:r>
        <w:rPr>
          <w:rFonts w:hint="eastAsia" w:ascii="Times New Roman" w:hAnsi="Times New Roman" w:eastAsia="FangSong_GB2312" w:cs="Times New Roman"/>
          <w:snapToGrid w:val="0"/>
          <w:color w:val="auto"/>
          <w:kern w:val="0"/>
          <w:sz w:val="32"/>
          <w:szCs w:val="32"/>
        </w:rPr>
        <w:t>在开放原子开源基金会代码托管平台等国内主流</w:t>
      </w:r>
      <w:r>
        <w:rPr>
          <w:rFonts w:hint="eastAsia" w:ascii="Times New Roman" w:hAnsi="Times New Roman" w:eastAsia="FangSong_GB2312" w:cs="Times New Roman"/>
          <w:snapToGrid w:val="0"/>
          <w:color w:val="auto"/>
          <w:kern w:val="0"/>
          <w:sz w:val="32"/>
          <w:szCs w:val="32"/>
          <w:lang w:val="en-US" w:eastAsia="zh-CN"/>
        </w:rPr>
        <w:t>平台</w:t>
      </w:r>
      <w:r>
        <w:rPr>
          <w:rFonts w:hint="eastAsia" w:ascii="Times New Roman" w:hAnsi="Times New Roman" w:eastAsia="FangSong_GB2312" w:cs="Times New Roman"/>
          <w:snapToGrid w:val="0"/>
          <w:color w:val="auto"/>
          <w:kern w:val="0"/>
          <w:sz w:val="32"/>
          <w:szCs w:val="32"/>
        </w:rPr>
        <w:t>托管</w:t>
      </w:r>
      <w:r>
        <w:rPr>
          <w:rFonts w:hint="eastAsia" w:ascii="Times New Roman" w:hAnsi="Times New Roman" w:eastAsia="FangSong_GB2312" w:cs="Times New Roman"/>
          <w:snapToGrid w:val="0"/>
          <w:color w:val="auto"/>
          <w:kern w:val="0"/>
          <w:sz w:val="32"/>
          <w:szCs w:val="32"/>
          <w:lang w:eastAsia="zh-CN"/>
        </w:rPr>
        <w:t>，</w:t>
      </w:r>
      <w:r>
        <w:rPr>
          <w:rFonts w:hint="eastAsia" w:ascii="Times New Roman" w:hAnsi="Times New Roman" w:eastAsia="FangSong_GB2312" w:cs="Times New Roman"/>
          <w:snapToGrid w:val="0"/>
          <w:color w:val="auto"/>
          <w:kern w:val="0"/>
          <w:sz w:val="32"/>
          <w:szCs w:val="32"/>
          <w:lang w:val="en-US" w:eastAsia="zh-CN"/>
        </w:rPr>
        <w:t>项目基础较好，社区建设、生态建设、治理架构完整。</w:t>
      </w:r>
    </w:p>
    <w:p w14:paraId="4FD12DF3">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Times New Roman" w:hAnsi="Times New Roman" w:eastAsia="FangSong_GB2312" w:cs="Times New Roman"/>
          <w:snapToGrid w:val="0"/>
          <w:color w:val="auto"/>
          <w:kern w:val="0"/>
          <w:sz w:val="32"/>
          <w:szCs w:val="32"/>
          <w:lang w:val="en-US" w:eastAsia="zh-CN"/>
        </w:rPr>
      </w:pPr>
      <w:r>
        <w:rPr>
          <w:rFonts w:hint="eastAsia" w:ascii="Times New Roman" w:hAnsi="Times New Roman" w:eastAsia="FangSong_GB2312" w:cs="Times New Roman"/>
          <w:snapToGrid w:val="0"/>
          <w:color w:val="auto"/>
          <w:kern w:val="0"/>
          <w:sz w:val="32"/>
          <w:szCs w:val="32"/>
          <w:lang w:val="en-US" w:eastAsia="zh-CN"/>
        </w:rPr>
        <w:t>（2）项目</w:t>
      </w:r>
      <w:r>
        <w:rPr>
          <w:rFonts w:hint="eastAsia" w:ascii="Times New Roman" w:hAnsi="Times New Roman" w:eastAsia="FangSong_GB2312" w:cs="Times New Roman"/>
          <w:snapToGrid w:val="0"/>
          <w:color w:val="auto"/>
          <w:kern w:val="0"/>
          <w:sz w:val="32"/>
          <w:szCs w:val="32"/>
        </w:rPr>
        <w:t>具备</w:t>
      </w:r>
      <w:r>
        <w:rPr>
          <w:rFonts w:hint="eastAsia" w:ascii="Times New Roman" w:hAnsi="Times New Roman" w:eastAsia="FangSong_GB2312" w:cs="Times New Roman"/>
          <w:snapToGrid w:val="0"/>
          <w:color w:val="auto"/>
          <w:kern w:val="0"/>
          <w:sz w:val="32"/>
          <w:szCs w:val="32"/>
          <w:lang w:val="en-US" w:eastAsia="zh-CN"/>
        </w:rPr>
        <w:t>较强的创新性，具备</w:t>
      </w:r>
      <w:r>
        <w:rPr>
          <w:rFonts w:hint="eastAsia" w:ascii="Times New Roman" w:hAnsi="Times New Roman" w:eastAsia="FangSong_GB2312" w:cs="Times New Roman"/>
          <w:snapToGrid w:val="0"/>
          <w:color w:val="auto"/>
          <w:kern w:val="0"/>
          <w:sz w:val="32"/>
          <w:szCs w:val="32"/>
        </w:rPr>
        <w:t>关键技术攻关能力、产业链整合能力、行业标准制定等领域的引领</w:t>
      </w:r>
      <w:r>
        <w:rPr>
          <w:rFonts w:hint="eastAsia" w:ascii="Times New Roman" w:hAnsi="Times New Roman" w:eastAsia="FangSong_GB2312" w:cs="Times New Roman"/>
          <w:snapToGrid w:val="0"/>
          <w:color w:val="auto"/>
          <w:kern w:val="0"/>
          <w:sz w:val="32"/>
          <w:szCs w:val="32"/>
          <w:lang w:val="en-US" w:eastAsia="zh-CN"/>
        </w:rPr>
        <w:t>能力</w:t>
      </w:r>
      <w:r>
        <w:rPr>
          <w:rFonts w:hint="eastAsia" w:ascii="Times New Roman" w:hAnsi="Times New Roman" w:eastAsia="FangSong_GB2312" w:cs="Times New Roman"/>
          <w:snapToGrid w:val="0"/>
          <w:color w:val="auto"/>
          <w:kern w:val="0"/>
          <w:sz w:val="32"/>
          <w:szCs w:val="32"/>
        </w:rPr>
        <w:t>。如替代国外技术案例及产品、核心技术自主率，典型产业化项目案例，标准体系建设参与度（主导或参与行业标准、团体标准、国家标准编制工作）。</w:t>
      </w:r>
    </w:p>
    <w:p w14:paraId="5F0DDD3A">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Times New Roman" w:hAnsi="Times New Roman" w:eastAsia="FangSong_GB2312" w:cs="Times New Roman"/>
          <w:snapToGrid w:val="0"/>
          <w:color w:val="auto"/>
          <w:kern w:val="0"/>
          <w:sz w:val="32"/>
          <w:szCs w:val="32"/>
        </w:rPr>
      </w:pPr>
      <w:r>
        <w:rPr>
          <w:rFonts w:hint="eastAsia" w:ascii="Times New Roman" w:hAnsi="Times New Roman" w:eastAsia="FangSong_GB2312" w:cs="Times New Roman"/>
          <w:snapToGrid w:val="0"/>
          <w:color w:val="auto"/>
          <w:kern w:val="0"/>
          <w:sz w:val="32"/>
          <w:szCs w:val="32"/>
          <w:lang w:val="en-US" w:eastAsia="zh-CN"/>
        </w:rPr>
        <w:t>（3）项目具备较强的市场前景</w:t>
      </w:r>
      <w:r>
        <w:rPr>
          <w:rFonts w:hint="eastAsia" w:ascii="Times New Roman" w:hAnsi="Times New Roman" w:eastAsia="FangSong_GB2312" w:cs="Times New Roman"/>
          <w:snapToGrid w:val="0"/>
          <w:color w:val="auto"/>
          <w:kern w:val="0"/>
          <w:sz w:val="32"/>
          <w:szCs w:val="32"/>
        </w:rPr>
        <w:t>及产业应用价值</w:t>
      </w:r>
      <w:r>
        <w:rPr>
          <w:rFonts w:hint="eastAsia" w:ascii="Times New Roman" w:hAnsi="Times New Roman" w:eastAsia="FangSong_GB2312" w:cs="Times New Roman"/>
          <w:snapToGrid w:val="0"/>
          <w:color w:val="auto"/>
          <w:kern w:val="0"/>
          <w:sz w:val="32"/>
          <w:szCs w:val="32"/>
          <w:lang w:val="en-US" w:eastAsia="zh-CN"/>
        </w:rPr>
        <w:t>，开源项目单位</w:t>
      </w:r>
      <w:r>
        <w:rPr>
          <w:rFonts w:hint="eastAsia" w:ascii="Times New Roman" w:hAnsi="Times New Roman" w:eastAsia="FangSong_GB2312" w:cs="Times New Roman"/>
          <w:snapToGrid w:val="0"/>
          <w:color w:val="auto"/>
          <w:kern w:val="0"/>
          <w:sz w:val="32"/>
          <w:szCs w:val="32"/>
        </w:rPr>
        <w:t>围绕产业价值与社会效益</w:t>
      </w:r>
      <w:r>
        <w:rPr>
          <w:rFonts w:hint="eastAsia" w:ascii="Times New Roman" w:hAnsi="Times New Roman" w:eastAsia="FangSong_GB2312" w:cs="Times New Roman"/>
          <w:snapToGrid w:val="0"/>
          <w:color w:val="auto"/>
          <w:kern w:val="0"/>
          <w:sz w:val="32"/>
          <w:szCs w:val="32"/>
          <w:lang w:eastAsia="zh-CN"/>
        </w:rPr>
        <w:t>，</w:t>
      </w:r>
      <w:r>
        <w:rPr>
          <w:rFonts w:hint="eastAsia" w:ascii="Times New Roman" w:hAnsi="Times New Roman" w:eastAsia="FangSong_GB2312" w:cs="Times New Roman"/>
          <w:snapToGrid w:val="0"/>
          <w:color w:val="auto"/>
          <w:kern w:val="0"/>
          <w:sz w:val="32"/>
          <w:szCs w:val="32"/>
        </w:rPr>
        <w:t>强化知识产权商业化运营能力</w:t>
      </w:r>
      <w:r>
        <w:rPr>
          <w:rFonts w:hint="eastAsia" w:ascii="Times New Roman" w:hAnsi="Times New Roman" w:eastAsia="FangSong_GB2312" w:cs="Times New Roman"/>
          <w:snapToGrid w:val="0"/>
          <w:color w:val="auto"/>
          <w:kern w:val="0"/>
          <w:sz w:val="32"/>
          <w:szCs w:val="32"/>
          <w:lang w:eastAsia="zh-CN"/>
        </w:rPr>
        <w:t>。</w:t>
      </w:r>
      <w:r>
        <w:rPr>
          <w:rFonts w:hint="eastAsia" w:ascii="Times New Roman" w:hAnsi="Times New Roman" w:eastAsia="FangSong_GB2312" w:cs="Times New Roman"/>
          <w:snapToGrid w:val="0"/>
          <w:color w:val="auto"/>
          <w:kern w:val="0"/>
          <w:sz w:val="32"/>
          <w:szCs w:val="32"/>
          <w:lang w:val="en-US" w:eastAsia="zh-CN"/>
        </w:rPr>
        <w:t>已具有商业化案例或建立</w:t>
      </w:r>
      <w:r>
        <w:rPr>
          <w:rFonts w:hint="eastAsia" w:ascii="Times New Roman" w:hAnsi="Times New Roman" w:eastAsia="FangSong_GB2312" w:cs="Times New Roman"/>
          <w:snapToGrid w:val="0"/>
          <w:color w:val="auto"/>
          <w:kern w:val="0"/>
          <w:sz w:val="32"/>
          <w:szCs w:val="32"/>
        </w:rPr>
        <w:t>产学研用协同创新机制</w:t>
      </w:r>
      <w:r>
        <w:rPr>
          <w:rFonts w:hint="eastAsia" w:ascii="Times New Roman" w:hAnsi="Times New Roman" w:eastAsia="FangSong_GB2312" w:cs="Times New Roman"/>
          <w:snapToGrid w:val="0"/>
          <w:color w:val="auto"/>
          <w:kern w:val="0"/>
          <w:sz w:val="32"/>
          <w:szCs w:val="32"/>
          <w:lang w:val="en-US" w:eastAsia="zh-CN"/>
        </w:rPr>
        <w:t>优先支持</w:t>
      </w:r>
      <w:r>
        <w:rPr>
          <w:rFonts w:hint="eastAsia" w:ascii="Times New Roman" w:hAnsi="Times New Roman" w:eastAsia="FangSong_GB2312" w:cs="Times New Roman"/>
          <w:snapToGrid w:val="0"/>
          <w:color w:val="auto"/>
          <w:kern w:val="0"/>
          <w:sz w:val="32"/>
          <w:szCs w:val="32"/>
        </w:rPr>
        <w:t>。</w:t>
      </w:r>
    </w:p>
    <w:p w14:paraId="4F689872">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Times New Roman" w:hAnsi="Times New Roman" w:eastAsia="FangSong_GB2312" w:cs="Times New Roman"/>
          <w:snapToGrid w:val="0"/>
          <w:color w:val="auto"/>
          <w:kern w:val="0"/>
          <w:sz w:val="32"/>
          <w:szCs w:val="32"/>
        </w:rPr>
      </w:pPr>
      <w:r>
        <w:rPr>
          <w:rFonts w:hint="eastAsia" w:ascii="Times New Roman" w:hAnsi="Times New Roman" w:eastAsia="FangSong_GB2312" w:cs="Times New Roman"/>
          <w:snapToGrid w:val="0"/>
          <w:color w:val="auto"/>
          <w:kern w:val="0"/>
          <w:sz w:val="32"/>
          <w:szCs w:val="32"/>
          <w:lang w:val="en-US" w:eastAsia="zh-CN"/>
        </w:rPr>
        <w:t>（4）2025年以来，</w:t>
      </w:r>
      <w:r>
        <w:rPr>
          <w:rFonts w:hint="eastAsia" w:ascii="Times New Roman" w:hAnsi="Times New Roman" w:eastAsia="FangSong_GB2312" w:cs="Times New Roman"/>
          <w:snapToGrid w:val="0"/>
          <w:color w:val="auto"/>
          <w:kern w:val="0"/>
          <w:sz w:val="32"/>
          <w:szCs w:val="32"/>
        </w:rPr>
        <w:t>开源软件项目</w:t>
      </w:r>
      <w:r>
        <w:rPr>
          <w:rFonts w:hint="eastAsia" w:ascii="Times New Roman" w:hAnsi="Times New Roman" w:eastAsia="FangSong_GB2312" w:cs="Times New Roman"/>
          <w:snapToGrid w:val="0"/>
          <w:color w:val="auto"/>
          <w:kern w:val="0"/>
          <w:sz w:val="32"/>
          <w:szCs w:val="32"/>
          <w:lang w:val="en-US" w:eastAsia="zh-CN"/>
        </w:rPr>
        <w:t>完成投入不少于500万元</w:t>
      </w:r>
      <w:r>
        <w:rPr>
          <w:rFonts w:hint="eastAsia" w:ascii="Times New Roman" w:hAnsi="Times New Roman" w:eastAsia="FangSong_GB2312" w:cs="Times New Roman"/>
          <w:snapToGrid w:val="0"/>
          <w:color w:val="auto"/>
          <w:kern w:val="0"/>
          <w:sz w:val="32"/>
          <w:szCs w:val="32"/>
        </w:rPr>
        <w:t>（不含土建）</w:t>
      </w:r>
      <w:r>
        <w:rPr>
          <w:rFonts w:hint="eastAsia" w:ascii="Times New Roman" w:hAnsi="Times New Roman" w:eastAsia="FangSong_GB2312" w:cs="Times New Roman"/>
          <w:snapToGrid w:val="0"/>
          <w:color w:val="auto"/>
          <w:kern w:val="0"/>
          <w:sz w:val="32"/>
          <w:szCs w:val="32"/>
          <w:lang w:val="en-US" w:eastAsia="zh-CN"/>
        </w:rPr>
        <w:t>。</w:t>
      </w:r>
    </w:p>
    <w:p w14:paraId="0C242BF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Times New Roman" w:hAnsi="Times New Roman" w:eastAsia="FangSong_GB2312" w:cs="Times New Roman"/>
          <w:snapToGrid w:val="0"/>
          <w:color w:val="auto"/>
          <w:kern w:val="0"/>
          <w:sz w:val="32"/>
          <w:szCs w:val="32"/>
        </w:rPr>
      </w:pPr>
      <w:r>
        <w:rPr>
          <w:rFonts w:hint="eastAsia" w:ascii="Times New Roman" w:hAnsi="Times New Roman" w:eastAsia="仿宋_GB2312" w:cs="Times New Roman"/>
          <w:b/>
          <w:bCs/>
          <w:snapToGrid w:val="0"/>
          <w:color w:val="auto"/>
          <w:kern w:val="0"/>
          <w:sz w:val="32"/>
          <w:szCs w:val="32"/>
          <w:lang w:val="en-US" w:eastAsia="zh-CN"/>
        </w:rPr>
        <w:t>2.扶持标准。</w:t>
      </w:r>
      <w:r>
        <w:rPr>
          <w:rFonts w:hint="eastAsia" w:ascii="Times New Roman" w:hAnsi="Times New Roman" w:eastAsia="FangSong_GB2312" w:cs="Times New Roman"/>
          <w:snapToGrid w:val="0"/>
          <w:color w:val="auto"/>
          <w:kern w:val="0"/>
          <w:sz w:val="32"/>
          <w:szCs w:val="32"/>
        </w:rPr>
        <w:t>对</w:t>
      </w:r>
      <w:r>
        <w:rPr>
          <w:rFonts w:hint="eastAsia" w:ascii="Times New Roman" w:hAnsi="Times New Roman" w:eastAsia="FangSong_GB2312" w:cs="Times New Roman"/>
          <w:snapToGrid w:val="0"/>
          <w:color w:val="auto"/>
          <w:kern w:val="0"/>
          <w:sz w:val="32"/>
          <w:szCs w:val="32"/>
          <w:lang w:val="en-US" w:eastAsia="zh-CN"/>
        </w:rPr>
        <w:t>符合条件的</w:t>
      </w:r>
      <w:r>
        <w:rPr>
          <w:rFonts w:hint="eastAsia" w:ascii="Times New Roman" w:hAnsi="Times New Roman" w:eastAsia="FangSong_GB2312" w:cs="Times New Roman"/>
          <w:snapToGrid w:val="0"/>
          <w:color w:val="auto"/>
          <w:kern w:val="0"/>
          <w:sz w:val="32"/>
          <w:szCs w:val="32"/>
        </w:rPr>
        <w:t>开源软件项目给予200万元一次性奖励。</w:t>
      </w:r>
    </w:p>
    <w:p w14:paraId="5534FC99">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楷体_GB2312"/>
          <w:color w:val="auto"/>
          <w:sz w:val="32"/>
          <w:lang w:val="en-US" w:eastAsia="zh-CN"/>
        </w:rPr>
      </w:pPr>
      <w:r>
        <w:rPr>
          <w:rFonts w:hint="eastAsia" w:ascii="Times New Roman" w:hAnsi="Times New Roman" w:eastAsia="楷体_GB2312"/>
          <w:color w:val="auto"/>
          <w:sz w:val="32"/>
          <w:lang w:val="en-US" w:eastAsia="zh-CN"/>
        </w:rPr>
        <w:t>信息技术应用创新项目</w:t>
      </w:r>
    </w:p>
    <w:p w14:paraId="78B5A07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Times New Roman" w:hAnsi="Times New Roman" w:eastAsia="楷体_GB2312"/>
          <w:b/>
          <w:bCs/>
          <w:color w:val="auto"/>
          <w:sz w:val="32"/>
          <w:lang w:val="en-US" w:eastAsia="zh-CN"/>
        </w:rPr>
      </w:pPr>
      <w:r>
        <w:rPr>
          <w:rFonts w:hint="eastAsia" w:ascii="Times New Roman" w:hAnsi="Times New Roman" w:eastAsia="楷体_GB2312"/>
          <w:b/>
          <w:bCs/>
          <w:color w:val="auto"/>
          <w:sz w:val="32"/>
          <w:lang w:val="en-US" w:eastAsia="zh-CN"/>
        </w:rPr>
        <w:t>1.支持条件。</w:t>
      </w:r>
    </w:p>
    <w:p w14:paraId="14A6FE7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FangSong_GB2312" w:cs="Times New Roman"/>
          <w:snapToGrid w:val="0"/>
          <w:color w:val="auto"/>
          <w:kern w:val="0"/>
          <w:sz w:val="32"/>
          <w:szCs w:val="32"/>
          <w:lang w:val="en-US" w:eastAsia="zh-CN"/>
        </w:rPr>
      </w:pPr>
      <w:r>
        <w:rPr>
          <w:rFonts w:hint="eastAsia" w:ascii="Times New Roman" w:hAnsi="Times New Roman" w:eastAsia="楷体_GB2312"/>
          <w:color w:val="auto"/>
          <w:sz w:val="32"/>
          <w:lang w:val="en-US" w:eastAsia="zh-CN"/>
        </w:rPr>
        <w:t>（1）获评2025</w:t>
      </w:r>
      <w:r>
        <w:rPr>
          <w:rFonts w:hint="eastAsia" w:ascii="Times New Roman" w:hAnsi="Times New Roman" w:eastAsia="FangSong_GB2312" w:cs="Times New Roman"/>
          <w:snapToGrid w:val="0"/>
          <w:color w:val="auto"/>
          <w:kern w:val="0"/>
          <w:sz w:val="32"/>
          <w:szCs w:val="32"/>
          <w:lang w:val="en-US" w:eastAsia="zh-CN"/>
        </w:rPr>
        <w:t>年江苏省及以上信息技术应用创新典型解决方案（应用案例）和领先实践项目；</w:t>
      </w:r>
    </w:p>
    <w:p w14:paraId="13D91E9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FangSong_GB2312" w:cs="Times New Roman"/>
          <w:snapToGrid w:val="0"/>
          <w:color w:val="auto"/>
          <w:kern w:val="0"/>
          <w:sz w:val="32"/>
          <w:szCs w:val="32"/>
          <w:lang w:val="en-US" w:eastAsia="zh-CN"/>
        </w:rPr>
      </w:pPr>
      <w:r>
        <w:rPr>
          <w:rFonts w:hint="eastAsia" w:ascii="Times New Roman" w:hAnsi="Times New Roman" w:eastAsia="FangSong_GB2312" w:cs="Times New Roman"/>
          <w:snapToGrid w:val="0"/>
          <w:color w:val="auto"/>
          <w:kern w:val="0"/>
          <w:sz w:val="32"/>
          <w:szCs w:val="32"/>
          <w:lang w:val="en-US" w:eastAsia="zh-CN"/>
        </w:rPr>
        <w:t>（2）申报单位为典型解决方案（应用案例）和领先实践项目的技术提供方和建设实施单位，具备相关的知识产权；</w:t>
      </w:r>
    </w:p>
    <w:p w14:paraId="481CC2C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FangSong_GB2312" w:cs="Times New Roman"/>
          <w:snapToGrid w:val="0"/>
          <w:color w:val="auto"/>
          <w:kern w:val="0"/>
          <w:sz w:val="32"/>
          <w:szCs w:val="32"/>
          <w:lang w:val="en-US" w:eastAsia="zh-CN"/>
        </w:rPr>
      </w:pPr>
      <w:r>
        <w:rPr>
          <w:rFonts w:hint="eastAsia" w:ascii="Times New Roman" w:hAnsi="Times New Roman" w:eastAsia="FangSong_GB2312" w:cs="Times New Roman"/>
          <w:snapToGrid w:val="0"/>
          <w:color w:val="auto"/>
          <w:kern w:val="0"/>
          <w:sz w:val="32"/>
          <w:szCs w:val="32"/>
          <w:lang w:val="en-US" w:eastAsia="zh-CN"/>
        </w:rPr>
        <w:t>（3）每个申报单位最多支持1个项目。</w:t>
      </w:r>
    </w:p>
    <w:p w14:paraId="6029113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Times New Roman" w:hAnsi="Times New Roman" w:eastAsia="FangSong_GB2312" w:cs="Times New Roman"/>
          <w:snapToGrid w:val="0"/>
          <w:color w:val="auto"/>
          <w:kern w:val="0"/>
          <w:sz w:val="32"/>
          <w:szCs w:val="32"/>
          <w:lang w:val="en-US" w:eastAsia="zh-CN"/>
        </w:rPr>
      </w:pPr>
      <w:r>
        <w:rPr>
          <w:rFonts w:hint="eastAsia" w:ascii="Times New Roman" w:hAnsi="Times New Roman" w:eastAsia="FangSong_GB2312" w:cs="Times New Roman"/>
          <w:b/>
          <w:bCs/>
          <w:snapToGrid w:val="0"/>
          <w:color w:val="auto"/>
          <w:kern w:val="0"/>
          <w:sz w:val="32"/>
          <w:szCs w:val="32"/>
          <w:lang w:val="en-US" w:eastAsia="zh-CN"/>
        </w:rPr>
        <w:t>2.扶持标准。</w:t>
      </w:r>
      <w:r>
        <w:rPr>
          <w:rFonts w:hint="eastAsia" w:ascii="Times New Roman" w:hAnsi="Times New Roman" w:eastAsia="FangSong_GB2312" w:cs="Times New Roman"/>
          <w:snapToGrid w:val="0"/>
          <w:color w:val="auto"/>
          <w:kern w:val="0"/>
          <w:sz w:val="32"/>
          <w:szCs w:val="32"/>
          <w:lang w:val="en-US" w:eastAsia="zh-CN"/>
        </w:rPr>
        <w:t>对符合条件的项目，按技术提供方项目研发投入的25%，最高给予50万元的奖励。</w:t>
      </w:r>
    </w:p>
    <w:p w14:paraId="0452D032">
      <w:pPr>
        <w:keepNext w:val="0"/>
        <w:keepLines w:val="0"/>
        <w:pageBreakBefore w:val="0"/>
        <w:widowControl w:val="0"/>
        <w:kinsoku/>
        <w:wordWrap/>
        <w:topLinePunct w:val="0"/>
        <w:autoSpaceDE/>
        <w:autoSpaceDN/>
        <w:bidi w:val="0"/>
        <w:adjustRightInd w:val="0"/>
        <w:snapToGrid w:val="0"/>
        <w:spacing w:line="578" w:lineRule="exact"/>
        <w:ind w:firstLine="640" w:firstLineChars="200"/>
        <w:jc w:val="both"/>
        <w:textAlignment w:val="auto"/>
        <w:rPr>
          <w:rFonts w:hint="eastAsia" w:ascii="Times New Roman" w:hAnsi="Times New Roman" w:eastAsia="楷体_GB2312"/>
          <w:color w:val="auto"/>
          <w:sz w:val="32"/>
          <w:highlight w:val="none"/>
        </w:rPr>
      </w:pPr>
      <w:r>
        <w:rPr>
          <w:rFonts w:hint="eastAsia" w:ascii="Times New Roman" w:hAnsi="Times New Roman" w:eastAsia="楷体_GB2312"/>
          <w:color w:val="auto"/>
          <w:sz w:val="32"/>
          <w:highlight w:val="none"/>
        </w:rPr>
        <w:t>（十</w:t>
      </w:r>
      <w:r>
        <w:rPr>
          <w:rFonts w:hint="eastAsia" w:ascii="Times New Roman" w:hAnsi="Times New Roman" w:eastAsia="楷体_GB2312"/>
          <w:color w:val="auto"/>
          <w:sz w:val="32"/>
          <w:highlight w:val="none"/>
          <w:lang w:val="en-US" w:eastAsia="zh-CN"/>
        </w:rPr>
        <w:t>三</w:t>
      </w:r>
      <w:r>
        <w:rPr>
          <w:rFonts w:hint="eastAsia" w:ascii="Times New Roman" w:hAnsi="Times New Roman" w:eastAsia="楷体_GB2312"/>
          <w:color w:val="auto"/>
          <w:sz w:val="32"/>
          <w:highlight w:val="none"/>
        </w:rPr>
        <w:t>）生物医药</w:t>
      </w:r>
      <w:r>
        <w:rPr>
          <w:rFonts w:ascii="Times New Roman" w:hAnsi="Times New Roman" w:eastAsia="楷体_GB2312"/>
          <w:color w:val="auto"/>
          <w:sz w:val="32"/>
          <w:highlight w:val="none"/>
        </w:rPr>
        <w:t>龙头企业联合攻关</w:t>
      </w:r>
      <w:r>
        <w:rPr>
          <w:rFonts w:hint="eastAsia" w:ascii="Times New Roman" w:hAnsi="Times New Roman" w:eastAsia="楷体_GB2312"/>
          <w:color w:val="auto"/>
          <w:sz w:val="32"/>
          <w:highlight w:val="none"/>
        </w:rPr>
        <w:t>项目</w:t>
      </w:r>
    </w:p>
    <w:p w14:paraId="21915B5B">
      <w:pPr>
        <w:keepNext w:val="0"/>
        <w:keepLines w:val="0"/>
        <w:pageBreakBefore w:val="0"/>
        <w:widowControl w:val="0"/>
        <w:kinsoku/>
        <w:wordWrap/>
        <w:topLinePunct w:val="0"/>
        <w:autoSpaceDE/>
        <w:autoSpaceDN/>
        <w:bidi w:val="0"/>
        <w:adjustRightInd w:val="0"/>
        <w:snapToGrid w:val="0"/>
        <w:spacing w:line="578" w:lineRule="exact"/>
        <w:ind w:firstLine="643" w:firstLineChars="200"/>
        <w:jc w:val="both"/>
        <w:textAlignment w:val="auto"/>
        <w:rPr>
          <w:rFonts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1</w:t>
      </w:r>
      <w:r>
        <w:rPr>
          <w:rFonts w:hint="eastAsia" w:ascii="Times New Roman" w:hAnsi="Times New Roman" w:eastAsia="仿宋_GB2312" w:cs="Times New Roman"/>
          <w:b/>
          <w:bCs/>
          <w:color w:val="auto"/>
          <w:sz w:val="32"/>
          <w:szCs w:val="32"/>
          <w:highlight w:val="none"/>
        </w:rPr>
        <w:t>.</w:t>
      </w:r>
      <w:r>
        <w:rPr>
          <w:rFonts w:ascii="Times New Roman" w:hAnsi="Times New Roman" w:eastAsia="仿宋_GB2312" w:cs="Times New Roman"/>
          <w:b/>
          <w:bCs/>
          <w:color w:val="auto"/>
          <w:sz w:val="32"/>
          <w:szCs w:val="32"/>
          <w:highlight w:val="none"/>
        </w:rPr>
        <w:t>支持条件。</w:t>
      </w:r>
    </w:p>
    <w:p w14:paraId="0E66ACD9">
      <w:pPr>
        <w:keepNext w:val="0"/>
        <w:keepLines w:val="0"/>
        <w:pageBreakBefore w:val="0"/>
        <w:widowControl w:val="0"/>
        <w:kinsoku/>
        <w:wordWrap/>
        <w:topLinePunct w:val="0"/>
        <w:autoSpaceDE/>
        <w:autoSpaceDN/>
        <w:bidi w:val="0"/>
        <w:adjustRightInd w:val="0"/>
        <w:snapToGrid w:val="0"/>
        <w:spacing w:line="578" w:lineRule="exact"/>
        <w:ind w:firstLine="640" w:firstLineChars="200"/>
        <w:jc w:val="both"/>
        <w:textAlignment w:val="auto"/>
        <w:rPr>
          <w:rFonts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val="0"/>
          <w:bCs w:val="0"/>
          <w:snapToGrid w:val="0"/>
          <w:color w:val="auto"/>
          <w:kern w:val="0"/>
          <w:sz w:val="32"/>
          <w:szCs w:val="32"/>
          <w:highlight w:val="none"/>
          <w:lang w:eastAsia="zh-CN"/>
        </w:rPr>
        <w:t>（</w:t>
      </w:r>
      <w:r>
        <w:rPr>
          <w:rFonts w:hint="eastAsia" w:ascii="Times New Roman" w:hAnsi="Times New Roman" w:eastAsia="仿宋_GB2312" w:cs="Times New Roman"/>
          <w:b w:val="0"/>
          <w:bCs w:val="0"/>
          <w:snapToGrid w:val="0"/>
          <w:color w:val="auto"/>
          <w:kern w:val="0"/>
          <w:sz w:val="32"/>
          <w:szCs w:val="32"/>
          <w:highlight w:val="none"/>
          <w:lang w:val="en-US" w:eastAsia="zh-CN"/>
        </w:rPr>
        <w:t>1）</w:t>
      </w:r>
      <w:r>
        <w:rPr>
          <w:rFonts w:hint="default" w:ascii="Times New Roman" w:hAnsi="Times New Roman" w:eastAsia="仿宋_GB2312" w:cs="Times New Roman"/>
          <w:b w:val="0"/>
          <w:bCs w:val="0"/>
          <w:snapToGrid w:val="0"/>
          <w:color w:val="auto"/>
          <w:kern w:val="0"/>
          <w:sz w:val="32"/>
          <w:szCs w:val="32"/>
          <w:highlight w:val="none"/>
        </w:rPr>
        <w:t>围</w:t>
      </w:r>
      <w:r>
        <w:rPr>
          <w:rFonts w:hint="default" w:ascii="Times New Roman" w:hAnsi="Times New Roman" w:eastAsia="仿宋_GB2312" w:cs="Times New Roman"/>
          <w:b w:val="0"/>
          <w:bCs w:val="0"/>
          <w:color w:val="auto"/>
          <w:kern w:val="2"/>
          <w:sz w:val="32"/>
          <w:szCs w:val="32"/>
          <w:highlight w:val="none"/>
          <w:lang w:val="en-US" w:eastAsia="zh-CN" w:bidi="ar-SA"/>
        </w:rPr>
        <w:t>绕核药关键技术、多特异性抗体新药及其偶联物关键技术、RNA药物新型递送技术、蛋白/多肽药物递送技术、全磁悬浮植入式左心室辅助装置、人工血管技术</w:t>
      </w:r>
      <w:r>
        <w:rPr>
          <w:rFonts w:hint="eastAsia" w:ascii="Times New Roman" w:hAnsi="Times New Roman" w:eastAsia="仿宋_GB2312" w:cs="Times New Roman"/>
          <w:b w:val="0"/>
          <w:bCs w:val="0"/>
          <w:color w:val="auto"/>
          <w:kern w:val="2"/>
          <w:sz w:val="32"/>
          <w:szCs w:val="32"/>
          <w:highlight w:val="none"/>
          <w:lang w:val="en-US" w:eastAsia="zh-CN" w:bidi="ar-SA"/>
        </w:rPr>
        <w:t>、肿瘤介入诊断治疗技术</w:t>
      </w:r>
      <w:r>
        <w:rPr>
          <w:rFonts w:hint="default" w:ascii="Times New Roman" w:hAnsi="Times New Roman" w:eastAsia="仿宋_GB2312" w:cs="Times New Roman"/>
          <w:b w:val="0"/>
          <w:bCs w:val="0"/>
          <w:snapToGrid w:val="0"/>
          <w:color w:val="auto"/>
          <w:kern w:val="0"/>
          <w:sz w:val="32"/>
          <w:szCs w:val="32"/>
          <w:highlight w:val="none"/>
          <w:lang w:val="en-US" w:eastAsia="zh-CN"/>
        </w:rPr>
        <w:t>等</w:t>
      </w:r>
      <w:r>
        <w:rPr>
          <w:rFonts w:hint="default" w:ascii="Times New Roman" w:hAnsi="Times New Roman" w:eastAsia="仿宋_GB2312" w:cs="Times New Roman"/>
          <w:b w:val="0"/>
          <w:bCs w:val="0"/>
          <w:snapToGrid w:val="0"/>
          <w:color w:val="auto"/>
          <w:kern w:val="0"/>
          <w:sz w:val="32"/>
          <w:szCs w:val="32"/>
          <w:highlight w:val="none"/>
        </w:rPr>
        <w:t>关键核心技术攻关方向。</w:t>
      </w:r>
    </w:p>
    <w:p w14:paraId="606A6E60">
      <w:pPr>
        <w:pStyle w:val="8"/>
        <w:keepNext w:val="0"/>
        <w:keepLines w:val="0"/>
        <w:pageBreakBefore w:val="0"/>
        <w:widowControl w:val="0"/>
        <w:kinsoku/>
        <w:wordWrap/>
        <w:overflowPunct w:val="0"/>
        <w:topLinePunct w:val="0"/>
        <w:autoSpaceDE/>
        <w:autoSpaceDN/>
        <w:bidi w:val="0"/>
        <w:adjustRightInd w:val="0"/>
        <w:snapToGrid w:val="0"/>
        <w:spacing w:line="578"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由本地企业牵头，联合相关单位（企业、科研机构、高校、医疗机构）开展</w:t>
      </w:r>
      <w:r>
        <w:rPr>
          <w:rFonts w:ascii="Times New Roman" w:hAnsi="Times New Roman" w:eastAsia="仿宋_GB2312" w:cs="Times New Roman"/>
          <w:b w:val="0"/>
          <w:bCs w:val="0"/>
          <w:snapToGrid w:val="0"/>
          <w:color w:val="auto"/>
          <w:kern w:val="0"/>
          <w:sz w:val="32"/>
          <w:szCs w:val="32"/>
          <w:highlight w:val="none"/>
        </w:rPr>
        <w:t>产业化阶段技术</w:t>
      </w:r>
      <w:r>
        <w:rPr>
          <w:rFonts w:ascii="Times New Roman" w:hAnsi="Times New Roman" w:eastAsia="仿宋_GB2312" w:cs="Times New Roman"/>
          <w:b w:val="0"/>
          <w:bCs w:val="0"/>
          <w:color w:val="auto"/>
          <w:sz w:val="32"/>
          <w:szCs w:val="32"/>
          <w:highlight w:val="none"/>
        </w:rPr>
        <w:t>联合攻关</w:t>
      </w:r>
      <w:r>
        <w:rPr>
          <w:rFonts w:ascii="Times New Roman" w:hAnsi="Times New Roman" w:eastAsia="仿宋_GB2312" w:cs="Times New Roman"/>
          <w:color w:val="auto"/>
          <w:sz w:val="32"/>
          <w:szCs w:val="32"/>
          <w:highlight w:val="none"/>
        </w:rPr>
        <w:t>，多方形成联合体并签署联合协议。</w:t>
      </w:r>
    </w:p>
    <w:p w14:paraId="6E193B2E">
      <w:pPr>
        <w:keepNext w:val="0"/>
        <w:keepLines w:val="0"/>
        <w:pageBreakBefore w:val="0"/>
        <w:kinsoku/>
        <w:wordWrap/>
        <w:topLinePunct w:val="0"/>
        <w:autoSpaceDN/>
        <w:bidi w:val="0"/>
        <w:adjustRightInd w:val="0"/>
        <w:snapToGrid w:val="0"/>
        <w:spacing w:line="578" w:lineRule="exact"/>
        <w:ind w:firstLine="624" w:firstLineChars="200"/>
        <w:jc w:val="both"/>
        <w:rPr>
          <w:rFonts w:ascii="Times New Roman" w:hAnsi="Times New Roman" w:eastAsia="仿宋_GB2312" w:cs="Times New Roman"/>
          <w:snapToGrid w:val="0"/>
          <w:color w:val="auto"/>
          <w:spacing w:val="-4"/>
          <w:sz w:val="32"/>
          <w:szCs w:val="32"/>
          <w:highlight w:val="none"/>
        </w:rPr>
      </w:pPr>
      <w:r>
        <w:rPr>
          <w:rFonts w:hint="eastAsia" w:ascii="Times New Roman" w:hAnsi="Times New Roman" w:eastAsia="仿宋_GB2312" w:cs="Times New Roman"/>
          <w:snapToGrid w:val="0"/>
          <w:color w:val="auto"/>
          <w:spacing w:val="-4"/>
          <w:sz w:val="32"/>
          <w:szCs w:val="32"/>
          <w:highlight w:val="none"/>
        </w:rPr>
        <w:t>（</w:t>
      </w:r>
      <w:r>
        <w:rPr>
          <w:rFonts w:hint="eastAsia" w:ascii="Times New Roman" w:hAnsi="Times New Roman" w:eastAsia="仿宋_GB2312" w:cs="Times New Roman"/>
          <w:snapToGrid w:val="0"/>
          <w:color w:val="auto"/>
          <w:spacing w:val="-4"/>
          <w:sz w:val="32"/>
          <w:szCs w:val="32"/>
          <w:highlight w:val="none"/>
          <w:lang w:val="en-US" w:eastAsia="zh-CN"/>
        </w:rPr>
        <w:t>3</w:t>
      </w:r>
      <w:r>
        <w:rPr>
          <w:rFonts w:hint="eastAsia" w:ascii="Times New Roman" w:hAnsi="Times New Roman" w:eastAsia="仿宋_GB2312" w:cs="Times New Roman"/>
          <w:snapToGrid w:val="0"/>
          <w:color w:val="auto"/>
          <w:spacing w:val="-4"/>
          <w:sz w:val="32"/>
          <w:szCs w:val="32"/>
          <w:highlight w:val="none"/>
        </w:rPr>
        <w:t>）</w:t>
      </w:r>
      <w:r>
        <w:rPr>
          <w:rFonts w:ascii="Times New Roman" w:hAnsi="Times New Roman" w:eastAsia="仿宋_GB2312" w:cs="Times New Roman"/>
          <w:snapToGrid w:val="0"/>
          <w:color w:val="auto"/>
          <w:spacing w:val="-4"/>
          <w:sz w:val="32"/>
          <w:szCs w:val="32"/>
          <w:highlight w:val="none"/>
        </w:rPr>
        <w:t>申报联合体单位对攻关产</w:t>
      </w:r>
      <w:r>
        <w:rPr>
          <w:rFonts w:ascii="Times New Roman" w:hAnsi="Times New Roman" w:eastAsia="仿宋_GB2312" w:cs="Times New Roman"/>
          <w:b w:val="0"/>
          <w:bCs w:val="0"/>
          <w:snapToGrid w:val="0"/>
          <w:color w:val="auto"/>
          <w:spacing w:val="-4"/>
          <w:sz w:val="32"/>
          <w:szCs w:val="32"/>
          <w:highlight w:val="none"/>
        </w:rPr>
        <w:t>品或技术有较好的研发基础</w:t>
      </w:r>
      <w:r>
        <w:rPr>
          <w:rFonts w:hint="eastAsia" w:ascii="仿宋_GB2312" w:hAnsi="Arial" w:eastAsia="仿宋_GB2312" w:cs="Arial"/>
          <w:b w:val="0"/>
          <w:bCs w:val="0"/>
          <w:color w:val="auto"/>
          <w:kern w:val="0"/>
          <w:sz w:val="32"/>
          <w:szCs w:val="32"/>
          <w:highlight w:val="none"/>
        </w:rPr>
        <w:t>，</w:t>
      </w:r>
      <w:r>
        <w:rPr>
          <w:rFonts w:ascii="Times New Roman" w:hAnsi="Times New Roman" w:eastAsia="仿宋_GB2312" w:cs="Times New Roman"/>
          <w:b w:val="0"/>
          <w:bCs w:val="0"/>
          <w:snapToGrid w:val="0"/>
          <w:color w:val="auto"/>
          <w:spacing w:val="-4"/>
          <w:sz w:val="32"/>
          <w:szCs w:val="32"/>
          <w:highlight w:val="none"/>
        </w:rPr>
        <w:t>有与攻关项目相关的自主知识产权，</w:t>
      </w:r>
      <w:r>
        <w:rPr>
          <w:rFonts w:hint="eastAsia" w:ascii="仿宋_GB2312" w:hAnsi="Arial" w:eastAsia="仿宋_GB2312" w:cs="Arial"/>
          <w:b w:val="0"/>
          <w:bCs w:val="0"/>
          <w:color w:val="auto"/>
          <w:kern w:val="0"/>
          <w:sz w:val="32"/>
          <w:szCs w:val="32"/>
          <w:highlight w:val="none"/>
        </w:rPr>
        <w:t>经营管理状况良好</w:t>
      </w:r>
      <w:r>
        <w:rPr>
          <w:rFonts w:hint="eastAsia" w:ascii="仿宋_GB2312" w:hAnsi="Arial" w:eastAsia="仿宋_GB2312" w:cs="Arial"/>
          <w:b w:val="0"/>
          <w:bCs w:val="0"/>
          <w:color w:val="auto"/>
          <w:kern w:val="0"/>
          <w:sz w:val="32"/>
          <w:szCs w:val="32"/>
          <w:highlight w:val="none"/>
          <w:lang w:eastAsia="zh-CN"/>
        </w:rPr>
        <w:t>，</w:t>
      </w:r>
      <w:r>
        <w:rPr>
          <w:rFonts w:hint="eastAsia" w:ascii="仿宋_GB2312" w:hAnsi="Arial" w:eastAsia="仿宋_GB2312" w:cs="Arial"/>
          <w:b w:val="0"/>
          <w:bCs w:val="0"/>
          <w:color w:val="auto"/>
          <w:kern w:val="0"/>
          <w:sz w:val="32"/>
          <w:szCs w:val="32"/>
          <w:highlight w:val="none"/>
        </w:rPr>
        <w:t>具有较强的经济实力和较好的经济效益</w:t>
      </w:r>
      <w:r>
        <w:rPr>
          <w:rFonts w:hint="eastAsia" w:ascii="仿宋_GB2312" w:hAnsi="Arial" w:eastAsia="仿宋_GB2312" w:cs="Arial"/>
          <w:b w:val="0"/>
          <w:bCs w:val="0"/>
          <w:color w:val="auto"/>
          <w:kern w:val="0"/>
          <w:sz w:val="32"/>
          <w:szCs w:val="32"/>
          <w:highlight w:val="none"/>
          <w:lang w:eastAsia="zh-CN"/>
        </w:rPr>
        <w:t>，</w:t>
      </w:r>
      <w:r>
        <w:rPr>
          <w:rFonts w:ascii="Times New Roman" w:hAnsi="Times New Roman" w:eastAsia="仿宋_GB2312" w:cs="Times New Roman"/>
          <w:b w:val="0"/>
          <w:bCs w:val="0"/>
          <w:snapToGrid w:val="0"/>
          <w:color w:val="auto"/>
          <w:spacing w:val="-4"/>
          <w:sz w:val="32"/>
          <w:szCs w:val="32"/>
          <w:highlight w:val="none"/>
        </w:rPr>
        <w:t>能保</w:t>
      </w:r>
      <w:r>
        <w:rPr>
          <w:rFonts w:ascii="Times New Roman" w:hAnsi="Times New Roman" w:eastAsia="仿宋_GB2312" w:cs="Times New Roman"/>
          <w:snapToGrid w:val="0"/>
          <w:color w:val="auto"/>
          <w:spacing w:val="-4"/>
          <w:sz w:val="32"/>
          <w:szCs w:val="32"/>
          <w:highlight w:val="none"/>
        </w:rPr>
        <w:t>障项</w:t>
      </w:r>
      <w:r>
        <w:rPr>
          <w:rFonts w:ascii="Times New Roman" w:hAnsi="Times New Roman" w:eastAsia="仿宋_GB2312" w:cs="Times New Roman"/>
          <w:color w:val="auto"/>
          <w:kern w:val="0"/>
          <w:sz w:val="32"/>
          <w:szCs w:val="32"/>
          <w:highlight w:val="none"/>
          <w:lang w:bidi="ar"/>
        </w:rPr>
        <w:t>目所需资金</w:t>
      </w:r>
      <w:r>
        <w:rPr>
          <w:rFonts w:hint="eastAsia" w:ascii="Times New Roman" w:hAnsi="Times New Roman" w:eastAsia="仿宋_GB2312" w:cs="Times New Roman"/>
          <w:color w:val="auto"/>
          <w:kern w:val="0"/>
          <w:sz w:val="32"/>
          <w:szCs w:val="32"/>
          <w:highlight w:val="none"/>
          <w:lang w:bidi="ar"/>
        </w:rPr>
        <w:t>。</w:t>
      </w:r>
    </w:p>
    <w:p w14:paraId="2E231F04">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项目承担单位</w:t>
      </w:r>
      <w:r>
        <w:rPr>
          <w:rFonts w:hint="eastAsia" w:ascii="Times New Roman" w:hAnsi="Times New Roman" w:eastAsia="仿宋_GB2312" w:cs="Times New Roman"/>
          <w:color w:val="auto"/>
          <w:sz w:val="32"/>
          <w:szCs w:val="32"/>
          <w:highlight w:val="none"/>
          <w:u w:val="none"/>
          <w:lang w:val="en-US" w:eastAsia="zh-CN"/>
        </w:rPr>
        <w:t>原则上</w:t>
      </w:r>
      <w:r>
        <w:rPr>
          <w:rFonts w:ascii="Times New Roman" w:hAnsi="Times New Roman" w:eastAsia="仿宋_GB2312" w:cs="Times New Roman"/>
          <w:color w:val="auto"/>
          <w:sz w:val="32"/>
          <w:szCs w:val="32"/>
          <w:highlight w:val="none"/>
          <w:u w:val="none"/>
        </w:rPr>
        <w:t>须在3年内牵头完成赶超任务，研发投入不低于1000万元</w:t>
      </w:r>
      <w:r>
        <w:rPr>
          <w:rFonts w:hint="eastAsia" w:ascii="Times New Roman" w:hAnsi="Times New Roman" w:eastAsia="仿宋_GB2312"/>
          <w:b w:val="0"/>
          <w:bCs w:val="0"/>
          <w:color w:val="auto"/>
          <w:sz w:val="32"/>
          <w:highlight w:val="none"/>
          <w:u w:val="none"/>
        </w:rPr>
        <w:t>（</w:t>
      </w:r>
      <w:r>
        <w:rPr>
          <w:rFonts w:hint="eastAsia" w:ascii="Times New Roman" w:hAnsi="Times New Roman" w:eastAsia="仿宋_GB2312"/>
          <w:b w:val="0"/>
          <w:bCs w:val="0"/>
          <w:color w:val="auto"/>
          <w:sz w:val="32"/>
          <w:highlight w:val="none"/>
          <w:u w:val="none"/>
          <w:lang w:val="en-US" w:eastAsia="zh-CN"/>
        </w:rPr>
        <w:t>主要包括但不限于</w:t>
      </w:r>
      <w:r>
        <w:rPr>
          <w:rFonts w:hint="eastAsia" w:ascii="Times New Roman" w:hAnsi="Times New Roman" w:eastAsia="仿宋_GB2312" w:cs="Times New Roman"/>
          <w:b w:val="0"/>
          <w:bCs w:val="0"/>
          <w:color w:val="auto"/>
          <w:sz w:val="32"/>
          <w:szCs w:val="32"/>
          <w:highlight w:val="none"/>
          <w:u w:val="none"/>
        </w:rPr>
        <w:t>研究开发、测试验证、中试应用等方面发生的费用</w:t>
      </w:r>
      <w:r>
        <w:rPr>
          <w:rFonts w:hint="eastAsia" w:ascii="Times New Roman" w:hAnsi="Times New Roman" w:eastAsia="仿宋_GB2312" w:cs="Times New Roman"/>
          <w:b w:val="0"/>
          <w:bCs w:val="0"/>
          <w:color w:val="auto"/>
          <w:sz w:val="32"/>
          <w:szCs w:val="32"/>
          <w:highlight w:val="none"/>
          <w:u w:val="none"/>
          <w:lang w:eastAsia="zh-CN"/>
        </w:rPr>
        <w:t>，</w:t>
      </w:r>
      <w:r>
        <w:rPr>
          <w:rFonts w:hint="eastAsia" w:ascii="Times New Roman" w:hAnsi="Times New Roman" w:eastAsia="仿宋_GB2312"/>
          <w:b w:val="0"/>
          <w:bCs w:val="0"/>
          <w:color w:val="auto"/>
          <w:sz w:val="32"/>
          <w:highlight w:val="none"/>
          <w:u w:val="none"/>
        </w:rPr>
        <w:t>不含临床试验费用</w:t>
      </w:r>
      <w:r>
        <w:rPr>
          <w:rFonts w:hint="eastAsia" w:ascii="Times New Roman" w:hAnsi="Times New Roman" w:eastAsia="仿宋_GB2312"/>
          <w:b w:val="0"/>
          <w:bCs w:val="0"/>
          <w:color w:val="auto"/>
          <w:sz w:val="32"/>
          <w:highlight w:val="none"/>
          <w:u w:val="none"/>
          <w:lang w:eastAsia="zh-CN"/>
        </w:rPr>
        <w:t>。</w:t>
      </w:r>
      <w:r>
        <w:rPr>
          <w:rFonts w:hint="eastAsia" w:ascii="Times New Roman" w:hAnsi="Times New Roman" w:eastAsia="仿宋_GB2312"/>
          <w:b w:val="0"/>
          <w:bCs w:val="0"/>
          <w:color w:val="auto"/>
          <w:sz w:val="32"/>
          <w:highlight w:val="none"/>
          <w:u w:val="none"/>
          <w:lang w:val="en-US" w:eastAsia="zh-CN"/>
        </w:rPr>
        <w:t>具体涵盖</w:t>
      </w:r>
      <w:r>
        <w:rPr>
          <w:rFonts w:hint="eastAsia" w:ascii="Times New Roman" w:hAnsi="Times New Roman" w:eastAsia="仿宋_GB2312" w:cs="Times New Roman"/>
          <w:b w:val="0"/>
          <w:bCs w:val="0"/>
          <w:color w:val="auto"/>
          <w:sz w:val="32"/>
          <w:szCs w:val="32"/>
          <w:highlight w:val="none"/>
          <w:u w:val="none"/>
        </w:rPr>
        <w:t>设备费（含软件和网络设备）</w:t>
      </w:r>
      <w:r>
        <w:rPr>
          <w:rFonts w:hint="eastAsia" w:ascii="Times New Roman" w:hAnsi="Times New Roman" w:eastAsia="仿宋_GB2312" w:cs="Times New Roman"/>
          <w:b w:val="0"/>
          <w:bCs w:val="0"/>
          <w:color w:val="auto"/>
          <w:sz w:val="32"/>
          <w:szCs w:val="32"/>
          <w:highlight w:val="none"/>
          <w:u w:val="none"/>
          <w:lang w:eastAsia="zh-CN"/>
        </w:rPr>
        <w:t>、</w:t>
      </w:r>
      <w:r>
        <w:rPr>
          <w:rFonts w:hint="eastAsia" w:ascii="Times New Roman" w:hAnsi="Times New Roman" w:eastAsia="仿宋_GB2312" w:cs="Times New Roman"/>
          <w:b w:val="0"/>
          <w:bCs w:val="0"/>
          <w:color w:val="auto"/>
          <w:sz w:val="32"/>
          <w:szCs w:val="32"/>
          <w:highlight w:val="none"/>
          <w:u w:val="none"/>
        </w:rPr>
        <w:t>测试化验加工费</w:t>
      </w:r>
      <w:r>
        <w:rPr>
          <w:rFonts w:hint="eastAsia" w:ascii="Times New Roman" w:hAnsi="Times New Roman" w:eastAsia="仿宋_GB2312" w:cs="Times New Roman"/>
          <w:b w:val="0"/>
          <w:bCs w:val="0"/>
          <w:color w:val="auto"/>
          <w:sz w:val="32"/>
          <w:szCs w:val="32"/>
          <w:highlight w:val="none"/>
          <w:u w:val="none"/>
          <w:lang w:eastAsia="zh-CN"/>
        </w:rPr>
        <w:t>、</w:t>
      </w:r>
      <w:r>
        <w:rPr>
          <w:rFonts w:hint="eastAsia" w:ascii="Times New Roman" w:hAnsi="Times New Roman" w:eastAsia="仿宋_GB2312" w:cs="Times New Roman"/>
          <w:b w:val="0"/>
          <w:bCs w:val="0"/>
          <w:color w:val="auto"/>
          <w:sz w:val="32"/>
          <w:szCs w:val="32"/>
          <w:highlight w:val="none"/>
          <w:u w:val="none"/>
        </w:rPr>
        <w:t>材料费</w:t>
      </w:r>
      <w:r>
        <w:rPr>
          <w:rFonts w:hint="eastAsia" w:ascii="Times New Roman" w:hAnsi="Times New Roman" w:eastAsia="仿宋_GB2312" w:cs="Times New Roman"/>
          <w:b w:val="0"/>
          <w:bCs w:val="0"/>
          <w:color w:val="auto"/>
          <w:sz w:val="32"/>
          <w:szCs w:val="32"/>
          <w:highlight w:val="none"/>
          <w:u w:val="none"/>
          <w:lang w:eastAsia="zh-CN"/>
        </w:rPr>
        <w:t>、</w:t>
      </w:r>
      <w:r>
        <w:rPr>
          <w:rFonts w:hint="eastAsia" w:ascii="Times New Roman" w:hAnsi="Times New Roman" w:eastAsia="仿宋_GB2312" w:cs="Times New Roman"/>
          <w:b w:val="0"/>
          <w:bCs w:val="0"/>
          <w:color w:val="auto"/>
          <w:sz w:val="32"/>
          <w:szCs w:val="32"/>
          <w:highlight w:val="none"/>
          <w:u w:val="none"/>
        </w:rPr>
        <w:t>燃料动力费</w:t>
      </w:r>
      <w:r>
        <w:rPr>
          <w:rFonts w:hint="eastAsia" w:ascii="Times New Roman" w:hAnsi="Times New Roman" w:eastAsia="仿宋_GB2312" w:cs="Times New Roman"/>
          <w:b w:val="0"/>
          <w:bCs w:val="0"/>
          <w:color w:val="auto"/>
          <w:sz w:val="32"/>
          <w:szCs w:val="32"/>
          <w:highlight w:val="none"/>
          <w:u w:val="none"/>
          <w:lang w:eastAsia="zh-CN"/>
        </w:rPr>
        <w:t>、</w:t>
      </w:r>
      <w:r>
        <w:rPr>
          <w:rFonts w:hint="eastAsia" w:ascii="Times New Roman" w:hAnsi="Times New Roman" w:eastAsia="仿宋_GB2312" w:cs="Times New Roman"/>
          <w:b w:val="0"/>
          <w:bCs w:val="0"/>
          <w:color w:val="auto"/>
          <w:sz w:val="32"/>
          <w:szCs w:val="32"/>
          <w:highlight w:val="none"/>
          <w:u w:val="none"/>
        </w:rPr>
        <w:t>研发人工费、专家咨询费</w:t>
      </w:r>
      <w:r>
        <w:rPr>
          <w:rFonts w:hint="eastAsia" w:ascii="Times New Roman" w:hAnsi="Times New Roman" w:eastAsia="仿宋_GB2312" w:cs="Times New Roman"/>
          <w:b w:val="0"/>
          <w:bCs w:val="0"/>
          <w:color w:val="auto"/>
          <w:sz w:val="32"/>
          <w:szCs w:val="32"/>
          <w:highlight w:val="none"/>
          <w:u w:val="none"/>
          <w:lang w:eastAsia="zh-CN"/>
        </w:rPr>
        <w:t>、</w:t>
      </w:r>
      <w:r>
        <w:rPr>
          <w:rFonts w:hint="eastAsia" w:ascii="Times New Roman" w:hAnsi="Times New Roman" w:eastAsia="仿宋_GB2312" w:cs="Times New Roman"/>
          <w:b w:val="0"/>
          <w:bCs w:val="0"/>
          <w:color w:val="auto"/>
          <w:sz w:val="32"/>
          <w:szCs w:val="32"/>
          <w:highlight w:val="none"/>
          <w:u w:val="none"/>
        </w:rPr>
        <w:t>研究成果的评审论证以及知识产权等费用</w:t>
      </w:r>
      <w:r>
        <w:rPr>
          <w:rFonts w:hint="eastAsia" w:ascii="Times New Roman" w:hAnsi="Times New Roman" w:eastAsia="仿宋_GB2312" w:cs="Times New Roman"/>
          <w:b w:val="0"/>
          <w:bCs w:val="0"/>
          <w:color w:val="auto"/>
          <w:sz w:val="32"/>
          <w:szCs w:val="32"/>
          <w:highlight w:val="none"/>
          <w:u w:val="none"/>
          <w:lang w:eastAsia="zh-CN"/>
        </w:rPr>
        <w:t>，费用测算</w:t>
      </w:r>
      <w:r>
        <w:rPr>
          <w:rFonts w:hint="eastAsia" w:ascii="Times New Roman" w:hAnsi="Times New Roman" w:eastAsia="仿宋_GB2312" w:cs="Times New Roman"/>
          <w:b w:val="0"/>
          <w:bCs w:val="0"/>
          <w:color w:val="auto"/>
          <w:sz w:val="32"/>
          <w:szCs w:val="32"/>
          <w:highlight w:val="none"/>
          <w:u w:val="none"/>
          <w:lang w:val="en-US" w:eastAsia="zh-CN"/>
        </w:rPr>
        <w:t>以企业历年申报的该项目研发加计扣除专项审计数据为准</w:t>
      </w:r>
      <w:r>
        <w:rPr>
          <w:rFonts w:hint="eastAsia" w:ascii="Times New Roman" w:hAnsi="Times New Roman" w:eastAsia="仿宋_GB2312"/>
          <w:b w:val="0"/>
          <w:bCs w:val="0"/>
          <w:color w:val="auto"/>
          <w:sz w:val="32"/>
          <w:highlight w:val="none"/>
          <w:u w:val="none"/>
        </w:rPr>
        <w:t>）</w:t>
      </w:r>
      <w:r>
        <w:rPr>
          <w:rFonts w:ascii="Times New Roman" w:hAnsi="Times New Roman" w:eastAsia="仿宋_GB2312" w:cs="Times New Roman"/>
          <w:b w:val="0"/>
          <w:bCs w:val="0"/>
          <w:color w:val="auto"/>
          <w:sz w:val="32"/>
          <w:szCs w:val="32"/>
          <w:highlight w:val="none"/>
          <w:u w:val="none"/>
        </w:rPr>
        <w:t>，</w:t>
      </w:r>
      <w:r>
        <w:rPr>
          <w:rFonts w:hint="eastAsia" w:ascii="Times New Roman" w:hAnsi="Times New Roman" w:eastAsia="仿宋_GB2312" w:cs="Times New Roman"/>
          <w:b w:val="0"/>
          <w:bCs w:val="0"/>
          <w:color w:val="auto"/>
          <w:sz w:val="32"/>
          <w:szCs w:val="32"/>
          <w:highlight w:val="none"/>
          <w:u w:val="none"/>
          <w:lang w:val="en-US" w:eastAsia="zh-CN"/>
        </w:rPr>
        <w:t>截止2025年12月31日</w:t>
      </w:r>
      <w:r>
        <w:rPr>
          <w:rFonts w:ascii="Times New Roman" w:hAnsi="Times New Roman" w:eastAsia="仿宋_GB2312" w:cs="Times New Roman"/>
          <w:b w:val="0"/>
          <w:bCs w:val="0"/>
          <w:color w:val="auto"/>
          <w:sz w:val="32"/>
          <w:szCs w:val="32"/>
          <w:highlight w:val="none"/>
          <w:u w:val="none"/>
        </w:rPr>
        <w:t>已完</w:t>
      </w:r>
      <w:r>
        <w:rPr>
          <w:rFonts w:ascii="Times New Roman" w:hAnsi="Times New Roman" w:eastAsia="仿宋_GB2312" w:cs="Times New Roman"/>
          <w:color w:val="auto"/>
          <w:sz w:val="32"/>
          <w:szCs w:val="32"/>
          <w:highlight w:val="none"/>
          <w:u w:val="none"/>
        </w:rPr>
        <w:t>成研发投入占研发计划投入30%以上。</w:t>
      </w:r>
    </w:p>
    <w:p w14:paraId="6D46D393">
      <w:pPr>
        <w:keepNext w:val="0"/>
        <w:keepLines w:val="0"/>
        <w:pageBreakBefore w:val="0"/>
        <w:kinsoku/>
        <w:wordWrap/>
        <w:topLinePunct w:val="0"/>
        <w:autoSpaceDN/>
        <w:bidi w:val="0"/>
        <w:spacing w:line="578" w:lineRule="exact"/>
        <w:ind w:firstLine="643"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2</w:t>
      </w:r>
      <w:r>
        <w:rPr>
          <w:rFonts w:hint="eastAsia" w:ascii="Times New Roman" w:hAnsi="Times New Roman" w:eastAsia="仿宋_GB2312" w:cs="Times New Roman"/>
          <w:b/>
          <w:bCs/>
          <w:color w:val="auto"/>
          <w:sz w:val="32"/>
          <w:szCs w:val="32"/>
          <w:highlight w:val="none"/>
        </w:rPr>
        <w:t>.</w:t>
      </w:r>
      <w:r>
        <w:rPr>
          <w:rFonts w:ascii="Times New Roman" w:hAnsi="Times New Roman" w:eastAsia="仿宋_GB2312" w:cs="Times New Roman"/>
          <w:b/>
          <w:bCs/>
          <w:color w:val="auto"/>
          <w:sz w:val="32"/>
          <w:szCs w:val="32"/>
          <w:highlight w:val="none"/>
        </w:rPr>
        <w:t>扶持标准。</w:t>
      </w:r>
      <w:r>
        <w:rPr>
          <w:rFonts w:ascii="Times New Roman" w:hAnsi="Times New Roman" w:eastAsia="仿宋_GB2312" w:cs="Times New Roman"/>
          <w:color w:val="auto"/>
          <w:sz w:val="32"/>
          <w:szCs w:val="32"/>
          <w:highlight w:val="none"/>
        </w:rPr>
        <w:t>事前支持项目，</w:t>
      </w:r>
      <w:r>
        <w:rPr>
          <w:rFonts w:hint="eastAsia" w:ascii="Times New Roman" w:hAnsi="Times New Roman" w:eastAsia="仿宋_GB2312" w:cs="Times New Roman"/>
          <w:color w:val="auto"/>
          <w:sz w:val="32"/>
          <w:szCs w:val="32"/>
          <w:highlight w:val="none"/>
        </w:rPr>
        <w:t>按</w:t>
      </w:r>
      <w:r>
        <w:rPr>
          <w:rFonts w:hint="eastAsia" w:ascii="Times New Roman" w:hAnsi="Times New Roman" w:eastAsia="仿宋_GB2312" w:cs="Times New Roman"/>
          <w:color w:val="auto"/>
          <w:sz w:val="32"/>
          <w:szCs w:val="32"/>
          <w:highlight w:val="none"/>
          <w:lang w:val="en-US" w:eastAsia="zh-CN"/>
        </w:rPr>
        <w:t>项目总</w:t>
      </w:r>
      <w:r>
        <w:rPr>
          <w:rFonts w:hint="eastAsia" w:ascii="Times New Roman" w:hAnsi="Times New Roman" w:eastAsia="仿宋_GB2312" w:cs="Times New Roman"/>
          <w:color w:val="auto"/>
          <w:sz w:val="32"/>
          <w:szCs w:val="32"/>
          <w:highlight w:val="none"/>
        </w:rPr>
        <w:t>投入的</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择优给予扶持</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olor w:val="auto"/>
          <w:sz w:val="32"/>
          <w:highlight w:val="none"/>
        </w:rPr>
        <w:t>单个项目最高支持2000万元</w:t>
      </w:r>
      <w:r>
        <w:rPr>
          <w:rFonts w:ascii="Times New Roman" w:hAnsi="Times New Roman" w:eastAsia="仿宋_GB2312" w:cs="Times New Roman"/>
          <w:color w:val="auto"/>
          <w:sz w:val="32"/>
          <w:szCs w:val="32"/>
          <w:highlight w:val="none"/>
        </w:rPr>
        <w:t>。首次拨付补助资金总额的50%，通过验收审核后，再拨付剩余50%资金。</w:t>
      </w:r>
    </w:p>
    <w:p w14:paraId="335E8204">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楷体_GB2312"/>
          <w:color w:val="auto"/>
          <w:sz w:val="32"/>
          <w:highlight w:val="none"/>
        </w:rPr>
      </w:pPr>
      <w:r>
        <w:rPr>
          <w:rFonts w:hint="eastAsia" w:ascii="Times New Roman" w:hAnsi="Times New Roman" w:eastAsia="楷体_GB2312"/>
          <w:color w:val="auto"/>
          <w:sz w:val="32"/>
          <w:highlight w:val="none"/>
        </w:rPr>
        <w:t>（十</w:t>
      </w:r>
      <w:r>
        <w:rPr>
          <w:rFonts w:hint="eastAsia" w:ascii="Times New Roman" w:hAnsi="Times New Roman" w:eastAsia="楷体_GB2312"/>
          <w:color w:val="auto"/>
          <w:sz w:val="32"/>
          <w:highlight w:val="none"/>
          <w:lang w:val="en-US" w:eastAsia="zh-CN"/>
        </w:rPr>
        <w:t>四</w:t>
      </w:r>
      <w:r>
        <w:rPr>
          <w:rFonts w:hint="eastAsia" w:ascii="Times New Roman" w:hAnsi="Times New Roman" w:eastAsia="楷体_GB2312"/>
          <w:color w:val="auto"/>
          <w:sz w:val="32"/>
          <w:highlight w:val="none"/>
        </w:rPr>
        <w:t>）</w:t>
      </w:r>
      <w:r>
        <w:rPr>
          <w:rFonts w:ascii="Times New Roman" w:hAnsi="Times New Roman" w:eastAsia="楷体_GB2312"/>
          <w:color w:val="auto"/>
          <w:sz w:val="32"/>
          <w:highlight w:val="none"/>
        </w:rPr>
        <w:t>生物医药CRO/CMO/CDMO项目</w:t>
      </w:r>
    </w:p>
    <w:p w14:paraId="4BAE9EC1">
      <w:pPr>
        <w:keepNext w:val="0"/>
        <w:keepLines w:val="0"/>
        <w:pageBreakBefore w:val="0"/>
        <w:kinsoku/>
        <w:wordWrap/>
        <w:topLinePunct w:val="0"/>
        <w:autoSpaceDN/>
        <w:bidi w:val="0"/>
        <w:adjustRightInd w:val="0"/>
        <w:snapToGrid w:val="0"/>
        <w:spacing w:line="578" w:lineRule="exact"/>
        <w:ind w:firstLine="643" w:firstLineChars="200"/>
        <w:jc w:val="both"/>
        <w:rPr>
          <w:rFonts w:ascii="Times New Roman" w:hAnsi="Times New Roman" w:eastAsia="仿宋_GB2312" w:cs="Times New Roman"/>
          <w:b/>
          <w:color w:val="auto"/>
          <w:sz w:val="32"/>
          <w:szCs w:val="32"/>
          <w:highlight w:val="none"/>
        </w:rPr>
      </w:pPr>
      <w:r>
        <w:rPr>
          <w:rFonts w:hint="eastAsia" w:ascii="Times New Roman" w:hAnsi="Times New Roman" w:eastAsia="仿宋_GB2312" w:cs="Times New Roman"/>
          <w:b/>
          <w:color w:val="auto"/>
          <w:sz w:val="32"/>
          <w:szCs w:val="32"/>
          <w:highlight w:val="none"/>
        </w:rPr>
        <w:t>1.</w:t>
      </w:r>
      <w:r>
        <w:rPr>
          <w:rFonts w:ascii="Times New Roman" w:hAnsi="Times New Roman" w:eastAsia="仿宋_GB2312" w:cs="Times New Roman"/>
          <w:b/>
          <w:color w:val="auto"/>
          <w:sz w:val="32"/>
          <w:szCs w:val="32"/>
          <w:highlight w:val="none"/>
        </w:rPr>
        <w:t>支持条件。</w:t>
      </w:r>
    </w:p>
    <w:p w14:paraId="050D4103">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提供研发外包服务（CRO）、研发生产外包服务（CDMO）、生产外包服务（CMO）</w:t>
      </w:r>
      <w:r>
        <w:rPr>
          <w:rFonts w:hint="eastAsia" w:ascii="Times New Roman" w:hAnsi="Times New Roman" w:eastAsia="仿宋_GB2312" w:cs="Times New Roman"/>
          <w:color w:val="auto"/>
          <w:sz w:val="32"/>
          <w:szCs w:val="32"/>
          <w:highlight w:val="none"/>
        </w:rPr>
        <w:t>合同</w:t>
      </w:r>
      <w:r>
        <w:rPr>
          <w:rFonts w:hint="eastAsia" w:ascii="Times New Roman" w:hAnsi="Times New Roman" w:eastAsia="仿宋_GB2312" w:cs="Times New Roman"/>
          <w:color w:val="auto"/>
          <w:sz w:val="32"/>
          <w:szCs w:val="32"/>
          <w:highlight w:val="none"/>
          <w:lang w:val="en-US" w:eastAsia="zh-CN"/>
        </w:rPr>
        <w:t>的项目</w:t>
      </w:r>
      <w:r>
        <w:rPr>
          <w:rFonts w:ascii="Times New Roman" w:hAnsi="Times New Roman" w:eastAsia="仿宋_GB2312" w:cs="Times New Roman"/>
          <w:color w:val="auto"/>
          <w:sz w:val="32"/>
          <w:szCs w:val="32"/>
          <w:highlight w:val="none"/>
        </w:rPr>
        <w:t>。对我市药品或医疗器械上市许可持有人委托本市企业提供研发、生产服务，销售税收在我市结算的</w:t>
      </w:r>
      <w:r>
        <w:rPr>
          <w:rFonts w:hint="eastAsia" w:ascii="Times New Roman" w:hAnsi="Times New Roman" w:eastAsia="仿宋_GB2312" w:cs="Times New Roman"/>
          <w:color w:val="auto"/>
          <w:sz w:val="32"/>
          <w:szCs w:val="32"/>
          <w:highlight w:val="none"/>
        </w:rPr>
        <w:t>受托</w:t>
      </w:r>
      <w:r>
        <w:rPr>
          <w:rFonts w:ascii="Times New Roman" w:hAnsi="Times New Roman" w:eastAsia="仿宋_GB2312" w:cs="Times New Roman"/>
          <w:color w:val="auto"/>
          <w:sz w:val="32"/>
          <w:szCs w:val="32"/>
          <w:highlight w:val="none"/>
        </w:rPr>
        <w:t>企业进行支持。</w:t>
      </w:r>
    </w:p>
    <w:p w14:paraId="6883BCF8">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（2）委托方须为在本市注册的生物医药领域独立法人企业，服务合同须在202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年签订。</w:t>
      </w:r>
    </w:p>
    <w:p w14:paraId="20F56EBB">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委托方与申报主体无投资关系。</w:t>
      </w:r>
    </w:p>
    <w:p w14:paraId="02A5C059">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（4）年度交易费用服务本地企业不低于150万元。</w:t>
      </w:r>
    </w:p>
    <w:p w14:paraId="2BD0C397">
      <w:pPr>
        <w:keepNext w:val="0"/>
        <w:keepLines w:val="0"/>
        <w:pageBreakBefore w:val="0"/>
        <w:tabs>
          <w:tab w:val="left" w:pos="0"/>
        </w:tabs>
        <w:kinsoku/>
        <w:wordWrap/>
        <w:topLinePunct w:val="0"/>
        <w:autoSpaceDN/>
        <w:bidi w:val="0"/>
        <w:adjustRightInd w:val="0"/>
        <w:snapToGrid w:val="0"/>
        <w:spacing w:line="578" w:lineRule="exact"/>
        <w:ind w:firstLine="643"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color w:val="auto"/>
          <w:sz w:val="32"/>
          <w:szCs w:val="32"/>
          <w:highlight w:val="none"/>
        </w:rPr>
        <w:t>2.</w:t>
      </w:r>
      <w:r>
        <w:rPr>
          <w:rFonts w:ascii="Times New Roman" w:hAnsi="Times New Roman" w:eastAsia="仿宋_GB2312" w:cs="Times New Roman"/>
          <w:b/>
          <w:color w:val="auto"/>
          <w:sz w:val="32"/>
          <w:szCs w:val="32"/>
          <w:highlight w:val="none"/>
        </w:rPr>
        <w:t>扶持标准。</w:t>
      </w:r>
      <w:r>
        <w:rPr>
          <w:rFonts w:hint="eastAsia" w:ascii="Times New Roman" w:hAnsi="Times New Roman" w:eastAsia="仿宋_GB2312" w:cs="Times New Roman"/>
          <w:color w:val="auto"/>
          <w:sz w:val="32"/>
          <w:szCs w:val="32"/>
          <w:highlight w:val="none"/>
        </w:rPr>
        <w:t>按照受托方202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年度实际发生服务本地企业总金额的</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择优</w:t>
      </w:r>
      <w:r>
        <w:rPr>
          <w:rFonts w:hint="eastAsia" w:ascii="Times New Roman" w:hAnsi="Times New Roman" w:eastAsia="仿宋_GB2312" w:cs="Times New Roman"/>
          <w:color w:val="auto"/>
          <w:sz w:val="32"/>
          <w:szCs w:val="32"/>
          <w:highlight w:val="none"/>
        </w:rPr>
        <w:t>予以补助，单个企业最高500万元。</w:t>
      </w:r>
    </w:p>
    <w:p w14:paraId="5F3416F6">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楷体_GB2312"/>
          <w:color w:val="auto"/>
          <w:sz w:val="32"/>
          <w:highlight w:val="none"/>
        </w:rPr>
      </w:pPr>
      <w:r>
        <w:rPr>
          <w:rFonts w:hint="eastAsia" w:ascii="Times New Roman" w:hAnsi="Times New Roman" w:eastAsia="楷体_GB2312"/>
          <w:color w:val="auto"/>
          <w:sz w:val="32"/>
          <w:highlight w:val="none"/>
        </w:rPr>
        <w:t>（十</w:t>
      </w:r>
      <w:r>
        <w:rPr>
          <w:rFonts w:hint="eastAsia" w:ascii="Times New Roman" w:hAnsi="Times New Roman" w:eastAsia="楷体_GB2312"/>
          <w:color w:val="auto"/>
          <w:sz w:val="32"/>
          <w:highlight w:val="none"/>
          <w:lang w:val="en-US" w:eastAsia="zh-CN"/>
        </w:rPr>
        <w:t>五</w:t>
      </w:r>
      <w:r>
        <w:rPr>
          <w:rFonts w:hint="eastAsia" w:ascii="Times New Roman" w:hAnsi="Times New Roman" w:eastAsia="楷体_GB2312"/>
          <w:color w:val="auto"/>
          <w:sz w:val="32"/>
          <w:highlight w:val="none"/>
        </w:rPr>
        <w:t>）</w:t>
      </w:r>
      <w:r>
        <w:rPr>
          <w:rFonts w:ascii="Times New Roman" w:hAnsi="Times New Roman" w:eastAsia="楷体_GB2312"/>
          <w:color w:val="auto"/>
          <w:sz w:val="32"/>
          <w:highlight w:val="none"/>
        </w:rPr>
        <w:t>生物医药公共服务平台项目</w:t>
      </w:r>
    </w:p>
    <w:p w14:paraId="0FC233DE">
      <w:pPr>
        <w:keepNext w:val="0"/>
        <w:keepLines w:val="0"/>
        <w:pageBreakBefore w:val="0"/>
        <w:kinsoku/>
        <w:wordWrap/>
        <w:topLinePunct w:val="0"/>
        <w:autoSpaceDN/>
        <w:bidi w:val="0"/>
        <w:adjustRightInd w:val="0"/>
        <w:snapToGrid w:val="0"/>
        <w:spacing w:line="578" w:lineRule="exact"/>
        <w:ind w:firstLine="643" w:firstLineChars="200"/>
        <w:jc w:val="both"/>
        <w:rPr>
          <w:rFonts w:ascii="Times New Roman" w:hAnsi="Times New Roman" w:eastAsia="仿宋_GB2312" w:cs="Times New Roman"/>
          <w:b/>
          <w:color w:val="auto"/>
          <w:sz w:val="32"/>
          <w:szCs w:val="32"/>
          <w:highlight w:val="none"/>
        </w:rPr>
      </w:pPr>
      <w:r>
        <w:rPr>
          <w:rFonts w:hint="eastAsia" w:ascii="Times New Roman" w:hAnsi="Times New Roman" w:eastAsia="仿宋_GB2312" w:cs="Times New Roman"/>
          <w:b/>
          <w:color w:val="auto"/>
          <w:sz w:val="32"/>
          <w:szCs w:val="32"/>
          <w:highlight w:val="none"/>
        </w:rPr>
        <w:t>1.</w:t>
      </w:r>
      <w:r>
        <w:rPr>
          <w:rFonts w:ascii="Times New Roman" w:hAnsi="Times New Roman" w:eastAsia="仿宋_GB2312" w:cs="Times New Roman"/>
          <w:b/>
          <w:color w:val="auto"/>
          <w:sz w:val="32"/>
          <w:szCs w:val="32"/>
          <w:highlight w:val="none"/>
        </w:rPr>
        <w:t>支持条件。</w:t>
      </w:r>
    </w:p>
    <w:p w14:paraId="7B7FE347">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（1）属于《苏州市生物医药产业创新集群建设实施方案》明确发展的重大创新平台、公共技术平台、专业服务及商业化平台范围。</w:t>
      </w:r>
      <w:r>
        <w:rPr>
          <w:rFonts w:hint="eastAsia" w:ascii="Times New Roman" w:hAnsi="Times New Roman" w:eastAsia="仿宋_GB2312" w:cs="Times New Roman"/>
          <w:b w:val="0"/>
          <w:bCs w:val="0"/>
          <w:color w:val="auto"/>
          <w:sz w:val="32"/>
          <w:szCs w:val="32"/>
          <w:highlight w:val="none"/>
          <w:lang w:val="en-US" w:eastAsia="zh-CN"/>
        </w:rPr>
        <w:t>重点支持生物制造、</w:t>
      </w:r>
      <w:r>
        <w:rPr>
          <w:rFonts w:ascii="Times New Roman" w:hAnsi="Times New Roman" w:eastAsia="仿宋_GB2312" w:cs="Times New Roman"/>
          <w:b w:val="0"/>
          <w:bCs w:val="0"/>
          <w:color w:val="auto"/>
          <w:sz w:val="32"/>
          <w:szCs w:val="32"/>
          <w:highlight w:val="none"/>
          <w:lang w:val="en-US" w:eastAsia="zh-CN"/>
        </w:rPr>
        <w:t>细胞与基因治疗、</w:t>
      </w:r>
      <w:r>
        <w:rPr>
          <w:rFonts w:ascii="Times New Roman" w:hAnsi="Times New Roman" w:eastAsia="仿宋_GB2312" w:cs="Times New Roman"/>
          <w:b w:val="0"/>
          <w:bCs w:val="0"/>
          <w:color w:val="auto"/>
          <w:sz w:val="32"/>
          <w:szCs w:val="32"/>
          <w:highlight w:val="none"/>
        </w:rPr>
        <w:t>人工智能辅助</w:t>
      </w:r>
      <w:r>
        <w:rPr>
          <w:rFonts w:hint="eastAsia" w:ascii="Times New Roman" w:hAnsi="Times New Roman" w:eastAsia="仿宋_GB2312" w:cs="Times New Roman"/>
          <w:b w:val="0"/>
          <w:bCs w:val="0"/>
          <w:color w:val="auto"/>
          <w:sz w:val="32"/>
          <w:szCs w:val="32"/>
          <w:highlight w:val="none"/>
          <w:lang w:val="en-US" w:eastAsia="zh-CN"/>
        </w:rPr>
        <w:t>医药</w:t>
      </w:r>
      <w:r>
        <w:rPr>
          <w:rFonts w:ascii="Times New Roman" w:hAnsi="Times New Roman" w:eastAsia="仿宋_GB2312" w:cs="Times New Roman"/>
          <w:b w:val="0"/>
          <w:bCs w:val="0"/>
          <w:color w:val="auto"/>
          <w:sz w:val="32"/>
          <w:szCs w:val="32"/>
          <w:highlight w:val="none"/>
        </w:rPr>
        <w:t>研发</w:t>
      </w:r>
      <w:r>
        <w:rPr>
          <w:rFonts w:hint="eastAsia" w:ascii="Times New Roman" w:hAnsi="Times New Roman" w:eastAsia="仿宋_GB2312" w:cs="Times New Roman"/>
          <w:b w:val="0"/>
          <w:bCs w:val="0"/>
          <w:color w:val="auto"/>
          <w:sz w:val="32"/>
          <w:szCs w:val="32"/>
          <w:highlight w:val="none"/>
          <w:lang w:val="en-US" w:eastAsia="zh-CN"/>
        </w:rPr>
        <w:t>等产业前沿领域的生物医药公共服务平台。</w:t>
      </w:r>
    </w:p>
    <w:p w14:paraId="743F0603">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项目建设投入（不含土地、基建、租赁及装修）累计不低于1000万元</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投入截止2024年12月31日，</w:t>
      </w:r>
      <w:r>
        <w:rPr>
          <w:rFonts w:ascii="Times New Roman" w:hAnsi="Times New Roman" w:eastAsia="仿宋_GB2312" w:cs="Times New Roman"/>
          <w:b w:val="0"/>
          <w:bCs w:val="0"/>
          <w:color w:val="auto"/>
          <w:sz w:val="32"/>
          <w:szCs w:val="32"/>
          <w:highlight w:val="none"/>
        </w:rPr>
        <w:t>已</w:t>
      </w:r>
      <w:r>
        <w:rPr>
          <w:rFonts w:ascii="Times New Roman" w:hAnsi="Times New Roman" w:eastAsia="仿宋_GB2312" w:cs="Times New Roman"/>
          <w:color w:val="auto"/>
          <w:sz w:val="32"/>
          <w:szCs w:val="32"/>
          <w:highlight w:val="none"/>
        </w:rPr>
        <w:t>享受过苏州市工业企业有效投入奖补部分的不得重复计入）</w:t>
      </w:r>
      <w:r>
        <w:rPr>
          <w:rFonts w:hint="eastAsia" w:ascii="Times New Roman" w:hAnsi="Times New Roman" w:eastAsia="仿宋_GB2312" w:cs="Times New Roman"/>
          <w:color w:val="auto"/>
          <w:sz w:val="32"/>
          <w:szCs w:val="32"/>
          <w:highlight w:val="none"/>
        </w:rPr>
        <w:t>。</w:t>
      </w:r>
    </w:p>
    <w:p w14:paraId="30D69E99">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w:t>
      </w:r>
      <w:r>
        <w:rPr>
          <w:rFonts w:hint="eastAsia" w:ascii="Times New Roman" w:hAnsi="Times New Roman" w:eastAsia="仿宋_GB2312" w:cs="Times New Roman"/>
          <w:color w:val="auto"/>
          <w:sz w:val="32"/>
          <w:szCs w:val="32"/>
          <w:highlight w:val="none"/>
          <w:lang w:val="en-US" w:eastAsia="zh-CN"/>
        </w:rPr>
        <w:t>2024</w:t>
      </w:r>
      <w:r>
        <w:rPr>
          <w:rFonts w:ascii="Times New Roman" w:hAnsi="Times New Roman" w:eastAsia="仿宋_GB2312" w:cs="Times New Roman"/>
          <w:color w:val="auto"/>
          <w:sz w:val="32"/>
          <w:szCs w:val="32"/>
          <w:highlight w:val="none"/>
        </w:rPr>
        <w:t>年度为本市企业（与申报主体无投资关系）服务收入不低于200万元。</w:t>
      </w:r>
    </w:p>
    <w:p w14:paraId="75E4FE81">
      <w:pPr>
        <w:keepNext w:val="0"/>
        <w:keepLines w:val="0"/>
        <w:pageBreakBefore w:val="0"/>
        <w:kinsoku/>
        <w:wordWrap/>
        <w:topLinePunct w:val="0"/>
        <w:autoSpaceDN/>
        <w:bidi w:val="0"/>
        <w:spacing w:line="578" w:lineRule="exact"/>
        <w:ind w:firstLine="643"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2.</w:t>
      </w:r>
      <w:r>
        <w:rPr>
          <w:rFonts w:ascii="Times New Roman" w:hAnsi="Times New Roman" w:eastAsia="仿宋_GB2312" w:cs="Times New Roman"/>
          <w:b/>
          <w:bCs/>
          <w:color w:val="auto"/>
          <w:sz w:val="32"/>
          <w:szCs w:val="32"/>
          <w:highlight w:val="none"/>
        </w:rPr>
        <w:t>扶持标准。</w:t>
      </w:r>
      <w:r>
        <w:rPr>
          <w:rFonts w:ascii="Times New Roman" w:hAnsi="Times New Roman" w:eastAsia="仿宋_GB2312" w:cs="Times New Roman"/>
          <w:snapToGrid w:val="0"/>
          <w:color w:val="auto"/>
          <w:kern w:val="0"/>
          <w:sz w:val="32"/>
          <w:szCs w:val="32"/>
          <w:highlight w:val="none"/>
        </w:rPr>
        <w:t>按</w:t>
      </w:r>
      <w:r>
        <w:rPr>
          <w:rFonts w:hint="eastAsia" w:ascii="Times New Roman" w:hAnsi="Times New Roman" w:eastAsia="仿宋_GB2312" w:cs="Times New Roman"/>
          <w:snapToGrid w:val="0"/>
          <w:color w:val="auto"/>
          <w:kern w:val="0"/>
          <w:sz w:val="32"/>
          <w:szCs w:val="32"/>
          <w:highlight w:val="none"/>
        </w:rPr>
        <w:t>202</w:t>
      </w:r>
      <w:r>
        <w:rPr>
          <w:rFonts w:hint="eastAsia" w:ascii="Times New Roman" w:hAnsi="Times New Roman" w:eastAsia="仿宋_GB2312" w:cs="Times New Roman"/>
          <w:snapToGrid w:val="0"/>
          <w:color w:val="auto"/>
          <w:kern w:val="0"/>
          <w:sz w:val="32"/>
          <w:szCs w:val="32"/>
          <w:highlight w:val="none"/>
          <w:lang w:val="en-US" w:eastAsia="zh-CN"/>
        </w:rPr>
        <w:t>4</w:t>
      </w:r>
      <w:r>
        <w:rPr>
          <w:rFonts w:hint="eastAsia" w:ascii="Times New Roman" w:hAnsi="Times New Roman" w:eastAsia="仿宋_GB2312" w:cs="Times New Roman"/>
          <w:snapToGrid w:val="0"/>
          <w:color w:val="auto"/>
          <w:kern w:val="0"/>
          <w:sz w:val="32"/>
          <w:szCs w:val="32"/>
          <w:highlight w:val="none"/>
        </w:rPr>
        <w:t>年度</w:t>
      </w:r>
      <w:r>
        <w:rPr>
          <w:rFonts w:ascii="Times New Roman" w:hAnsi="Times New Roman" w:eastAsia="仿宋_GB2312" w:cs="Times New Roman"/>
          <w:snapToGrid w:val="0"/>
          <w:color w:val="auto"/>
          <w:kern w:val="0"/>
          <w:sz w:val="32"/>
          <w:szCs w:val="32"/>
          <w:highlight w:val="none"/>
        </w:rPr>
        <w:t>项目</w:t>
      </w:r>
      <w:r>
        <w:rPr>
          <w:rFonts w:hint="eastAsia" w:ascii="Times New Roman" w:hAnsi="Times New Roman" w:eastAsia="仿宋_GB2312" w:cs="Times New Roman"/>
          <w:snapToGrid w:val="0"/>
          <w:color w:val="auto"/>
          <w:kern w:val="0"/>
          <w:sz w:val="32"/>
          <w:szCs w:val="32"/>
          <w:highlight w:val="none"/>
        </w:rPr>
        <w:t>建设</w:t>
      </w:r>
      <w:r>
        <w:rPr>
          <w:rFonts w:hint="eastAsia" w:ascii="Times New Roman" w:hAnsi="Times New Roman" w:eastAsia="仿宋_GB2312" w:cs="Times New Roman"/>
          <w:color w:val="auto"/>
          <w:sz w:val="32"/>
          <w:szCs w:val="32"/>
          <w:highlight w:val="none"/>
        </w:rPr>
        <w:t>投入的</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snapToGrid w:val="0"/>
          <w:color w:val="auto"/>
          <w:kern w:val="0"/>
          <w:sz w:val="32"/>
          <w:szCs w:val="32"/>
          <w:highlight w:val="none"/>
        </w:rPr>
        <w:t>给予最高2000万元</w:t>
      </w:r>
      <w:r>
        <w:rPr>
          <w:rFonts w:ascii="Times New Roman" w:hAnsi="Times New Roman" w:eastAsia="仿宋_GB2312" w:cs="Times New Roman"/>
          <w:color w:val="auto"/>
          <w:sz w:val="32"/>
          <w:szCs w:val="32"/>
          <w:highlight w:val="none"/>
        </w:rPr>
        <w:t>。</w:t>
      </w:r>
    </w:p>
    <w:p w14:paraId="13759765">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楷体_GB2312"/>
          <w:color w:val="auto"/>
          <w:sz w:val="32"/>
          <w:highlight w:val="none"/>
        </w:rPr>
      </w:pPr>
      <w:r>
        <w:rPr>
          <w:rFonts w:hint="eastAsia" w:ascii="Times New Roman" w:hAnsi="Times New Roman" w:eastAsia="楷体_GB2312"/>
          <w:color w:val="auto"/>
          <w:sz w:val="32"/>
          <w:highlight w:val="none"/>
        </w:rPr>
        <w:t>（十</w:t>
      </w:r>
      <w:r>
        <w:rPr>
          <w:rFonts w:hint="eastAsia" w:ascii="Times New Roman" w:hAnsi="Times New Roman" w:eastAsia="楷体_GB2312"/>
          <w:color w:val="auto"/>
          <w:sz w:val="32"/>
          <w:highlight w:val="none"/>
          <w:lang w:val="en-US" w:eastAsia="zh-CN"/>
        </w:rPr>
        <w:t>六</w:t>
      </w:r>
      <w:r>
        <w:rPr>
          <w:rFonts w:hint="eastAsia" w:ascii="Times New Roman" w:hAnsi="Times New Roman" w:eastAsia="楷体_GB2312"/>
          <w:color w:val="auto"/>
          <w:sz w:val="32"/>
          <w:highlight w:val="none"/>
        </w:rPr>
        <w:t>）创新医疗器械应用示范项目</w:t>
      </w:r>
    </w:p>
    <w:p w14:paraId="5A37E876">
      <w:pPr>
        <w:keepNext w:val="0"/>
        <w:keepLines w:val="0"/>
        <w:pageBreakBefore w:val="0"/>
        <w:kinsoku/>
        <w:wordWrap/>
        <w:topLinePunct w:val="0"/>
        <w:autoSpaceDN/>
        <w:bidi w:val="0"/>
        <w:adjustRightInd w:val="0"/>
        <w:snapToGrid w:val="0"/>
        <w:spacing w:line="578" w:lineRule="exact"/>
        <w:ind w:firstLine="643" w:firstLineChars="200"/>
        <w:jc w:val="both"/>
        <w:rPr>
          <w:rFonts w:hint="eastAsia" w:ascii="方正仿宋_GBK" w:hAnsi="方正仿宋_GBK" w:eastAsia="方正仿宋_GBK" w:cs="方正仿宋_GBK"/>
          <w:color w:val="auto"/>
          <w:sz w:val="31"/>
          <w:szCs w:val="31"/>
          <w:highlight w:val="none"/>
        </w:rPr>
      </w:pPr>
      <w:r>
        <w:rPr>
          <w:rFonts w:hint="eastAsia" w:ascii="Times New Roman" w:hAnsi="Times New Roman" w:eastAsia="仿宋_GB2312" w:cs="Times New Roman"/>
          <w:b/>
          <w:bCs/>
          <w:color w:val="auto"/>
          <w:sz w:val="32"/>
          <w:szCs w:val="32"/>
          <w:highlight w:val="none"/>
        </w:rPr>
        <w:t>1.支持条件。</w:t>
      </w:r>
    </w:p>
    <w:p w14:paraId="4DBD34C0">
      <w:pPr>
        <w:keepNext w:val="0"/>
        <w:keepLines w:val="0"/>
        <w:pageBreakBefore w:val="0"/>
        <w:kinsoku/>
        <w:wordWrap/>
        <w:topLinePunct w:val="0"/>
        <w:autoSpaceDN/>
        <w:bidi w:val="0"/>
        <w:adjustRightInd w:val="0"/>
        <w:snapToGrid w:val="0"/>
        <w:spacing w:line="578"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支持</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年1月1日之后首次获批上市的</w:t>
      </w:r>
      <w:r>
        <w:rPr>
          <w:rFonts w:hint="eastAsia" w:ascii="Times New Roman" w:hAnsi="Times New Roman" w:eastAsia="仿宋_GB2312" w:cs="Times New Roman"/>
          <w:strike w:val="0"/>
          <w:dstrike w:val="0"/>
          <w:color w:val="auto"/>
          <w:sz w:val="32"/>
          <w:szCs w:val="32"/>
          <w:highlight w:val="none"/>
          <w:lang w:val="en-US" w:eastAsia="zh-CN"/>
        </w:rPr>
        <w:t>创新</w:t>
      </w:r>
      <w:r>
        <w:rPr>
          <w:rFonts w:ascii="Times New Roman" w:hAnsi="Times New Roman" w:eastAsia="仿宋_GB2312" w:cs="Times New Roman"/>
          <w:color w:val="auto"/>
          <w:sz w:val="32"/>
          <w:szCs w:val="32"/>
          <w:highlight w:val="none"/>
        </w:rPr>
        <w:t>医疗器械，进行临床应用评价</w:t>
      </w:r>
      <w:r>
        <w:rPr>
          <w:rFonts w:hint="eastAsia" w:ascii="Times New Roman" w:hAnsi="Times New Roman" w:eastAsia="仿宋_GB2312" w:cs="Times New Roman"/>
          <w:color w:val="auto"/>
          <w:sz w:val="32"/>
          <w:szCs w:val="32"/>
          <w:highlight w:val="none"/>
          <w:lang w:val="en-US" w:eastAsia="zh-CN"/>
        </w:rPr>
        <w:t>和</w:t>
      </w:r>
      <w:r>
        <w:rPr>
          <w:rFonts w:ascii="Times New Roman" w:hAnsi="Times New Roman" w:eastAsia="仿宋_GB2312" w:cs="Times New Roman"/>
          <w:color w:val="auto"/>
          <w:sz w:val="32"/>
          <w:szCs w:val="32"/>
          <w:highlight w:val="none"/>
        </w:rPr>
        <w:t>推广，形成</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应用示范-反馈改进-水平提升-辐射推广</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效应。</w:t>
      </w:r>
    </w:p>
    <w:p w14:paraId="2DDDCCF6">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由生产企业、医疗机构、科研院所等单位组成“1+1+N”联合体共同申报，其中：1家本市医疗器械生产企业和1家本市医院联合牵头，N家医疗机构、研究单位、配套企业等共同参与（“N”可吸纳部分市外单位参与）。</w:t>
      </w:r>
    </w:p>
    <w:p w14:paraId="525D5D74">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b/>
          <w:bCs/>
          <w:color w:val="auto"/>
          <w:sz w:val="32"/>
          <w:szCs w:val="32"/>
          <w:highlight w:val="none"/>
        </w:rPr>
        <w:t>牵头</w:t>
      </w:r>
      <w:r>
        <w:rPr>
          <w:rFonts w:ascii="Times New Roman" w:hAnsi="Times New Roman" w:eastAsia="仿宋_GB2312" w:cs="Times New Roman"/>
          <w:b/>
          <w:bCs/>
          <w:color w:val="auto"/>
          <w:sz w:val="32"/>
          <w:szCs w:val="32"/>
          <w:highlight w:val="none"/>
        </w:rPr>
        <w:t>企业</w:t>
      </w:r>
      <w:r>
        <w:rPr>
          <w:rFonts w:hint="eastAsia" w:ascii="Times New Roman" w:hAnsi="Times New Roman" w:eastAsia="仿宋_GB2312" w:cs="Times New Roman"/>
          <w:color w:val="auto"/>
          <w:sz w:val="32"/>
          <w:szCs w:val="32"/>
          <w:highlight w:val="none"/>
        </w:rPr>
        <w:t>为</w:t>
      </w:r>
      <w:r>
        <w:rPr>
          <w:rFonts w:hint="eastAsia" w:ascii="Times New Roman" w:hAnsi="Times New Roman" w:eastAsia="仿宋_GB2312" w:cs="仿宋_GB2312"/>
          <w:color w:val="auto"/>
          <w:sz w:val="32"/>
          <w:highlight w:val="none"/>
          <w:lang w:bidi="ar"/>
        </w:rPr>
        <w:t>本市器械生产企业，有固定的生产和研发场地，有专职核心研发团队；</w:t>
      </w:r>
      <w:r>
        <w:rPr>
          <w:rFonts w:ascii="Times New Roman" w:hAnsi="Times New Roman" w:eastAsia="仿宋_GB2312" w:cs="Times New Roman"/>
          <w:b/>
          <w:bCs/>
          <w:color w:val="auto"/>
          <w:sz w:val="32"/>
          <w:szCs w:val="32"/>
          <w:highlight w:val="none"/>
        </w:rPr>
        <w:t>牵头医疗机构</w:t>
      </w:r>
      <w:r>
        <w:rPr>
          <w:rFonts w:hint="eastAsia" w:ascii="Times New Roman" w:hAnsi="Times New Roman" w:eastAsia="仿宋_GB2312" w:cs="Times New Roman"/>
          <w:color w:val="auto"/>
          <w:sz w:val="32"/>
          <w:szCs w:val="32"/>
          <w:highlight w:val="none"/>
        </w:rPr>
        <w:t>原则上应为本市</w:t>
      </w:r>
      <w:r>
        <w:rPr>
          <w:rFonts w:ascii="Times New Roman" w:hAnsi="Times New Roman" w:eastAsia="仿宋_GB2312" w:cs="Times New Roman"/>
          <w:color w:val="auto"/>
          <w:sz w:val="32"/>
          <w:szCs w:val="32"/>
          <w:highlight w:val="none"/>
        </w:rPr>
        <w:t>三级甲等</w:t>
      </w:r>
      <w:r>
        <w:rPr>
          <w:rFonts w:hint="eastAsia" w:ascii="Times New Roman" w:hAnsi="Times New Roman" w:eastAsia="仿宋_GB2312" w:cs="Times New Roman"/>
          <w:color w:val="auto"/>
          <w:sz w:val="32"/>
          <w:szCs w:val="32"/>
          <w:highlight w:val="none"/>
        </w:rPr>
        <w:t>医院</w:t>
      </w:r>
      <w:r>
        <w:rPr>
          <w:rFonts w:ascii="Times New Roman" w:hAnsi="Times New Roman" w:eastAsia="仿宋_GB2312" w:cs="Times New Roman"/>
          <w:color w:val="auto"/>
          <w:sz w:val="32"/>
          <w:szCs w:val="32"/>
          <w:highlight w:val="none"/>
        </w:rPr>
        <w:t>，具有使用示范器械的合规条件，具有与示范器械相应的科室，器械配备齐全，人员资质完备，有相应工作基础及使用经验，愿意配合企业开展临床应用验证，并能协助开展示范器械的推广、培训等工作。</w:t>
      </w:r>
      <w:r>
        <w:rPr>
          <w:rFonts w:hint="eastAsia" w:ascii="Times New Roman" w:hAnsi="Times New Roman" w:eastAsia="仿宋_GB2312" w:cs="Times New Roman"/>
          <w:b/>
          <w:bCs/>
          <w:color w:val="auto"/>
          <w:sz w:val="32"/>
          <w:szCs w:val="32"/>
          <w:highlight w:val="none"/>
          <w:lang w:val="en-US" w:eastAsia="zh-CN"/>
        </w:rPr>
        <w:t>申报产品</w:t>
      </w:r>
      <w:r>
        <w:rPr>
          <w:rFonts w:hint="eastAsia" w:ascii="Times New Roman" w:hAnsi="Times New Roman" w:eastAsia="仿宋_GB2312" w:cs="仿宋_GB2312"/>
          <w:color w:val="auto"/>
          <w:sz w:val="32"/>
          <w:highlight w:val="none"/>
          <w:lang w:val="en-US" w:eastAsia="zh-CN" w:bidi="ar"/>
        </w:rPr>
        <w:t>已</w:t>
      </w:r>
      <w:r>
        <w:rPr>
          <w:rFonts w:hint="eastAsia" w:ascii="Times New Roman" w:hAnsi="Times New Roman" w:eastAsia="仿宋_GB2312" w:cs="仿宋_GB2312"/>
          <w:color w:val="auto"/>
          <w:sz w:val="32"/>
          <w:highlight w:val="none"/>
          <w:lang w:bidi="ar"/>
        </w:rPr>
        <w:t>取得医疗器械注册证和生产许可证；产品主要工作原理或者作用机理创新性较高，具有较高临床应用价值；产品纳入《苏州市生物医药及健康产业创新名优产品目录》（第三、四</w:t>
      </w:r>
      <w:r>
        <w:rPr>
          <w:rFonts w:hint="eastAsia" w:ascii="Times New Roman" w:hAnsi="Times New Roman" w:eastAsia="仿宋_GB2312" w:cs="仿宋_GB2312"/>
          <w:color w:val="auto"/>
          <w:sz w:val="32"/>
          <w:highlight w:val="none"/>
          <w:lang w:eastAsia="zh-CN" w:bidi="ar"/>
        </w:rPr>
        <w:t>、</w:t>
      </w:r>
      <w:r>
        <w:rPr>
          <w:rFonts w:hint="eastAsia" w:ascii="Times New Roman" w:hAnsi="Times New Roman" w:eastAsia="仿宋_GB2312" w:cs="仿宋_GB2312"/>
          <w:color w:val="auto"/>
          <w:sz w:val="32"/>
          <w:highlight w:val="none"/>
          <w:lang w:val="en-US" w:eastAsia="zh-CN" w:bidi="ar"/>
        </w:rPr>
        <w:t>五</w:t>
      </w:r>
      <w:r>
        <w:rPr>
          <w:rFonts w:hint="eastAsia" w:ascii="Times New Roman" w:hAnsi="Times New Roman" w:eastAsia="仿宋_GB2312" w:cs="仿宋_GB2312"/>
          <w:color w:val="auto"/>
          <w:sz w:val="32"/>
          <w:highlight w:val="none"/>
          <w:lang w:bidi="ar"/>
        </w:rPr>
        <w:t>批）。</w:t>
      </w:r>
    </w:p>
    <w:p w14:paraId="62D70CFF">
      <w:pPr>
        <w:pStyle w:val="8"/>
        <w:keepNext w:val="0"/>
        <w:keepLines w:val="0"/>
        <w:pageBreakBefore w:val="0"/>
        <w:kinsoku/>
        <w:wordWrap/>
        <w:overflowPunct w:val="0"/>
        <w:topLinePunct w:val="0"/>
        <w:autoSpaceDN/>
        <w:bidi w:val="0"/>
        <w:adjustRightInd w:val="0"/>
        <w:snapToGrid w:val="0"/>
        <w:spacing w:line="578" w:lineRule="exact"/>
        <w:ind w:firstLine="624" w:firstLineChars="200"/>
        <w:jc w:val="both"/>
        <w:rPr>
          <w:rFonts w:ascii="Times New Roman" w:hAnsi="Times New Roman" w:eastAsia="仿宋_GB2312" w:cs="Times New Roman"/>
          <w:snapToGrid w:val="0"/>
          <w:color w:val="auto"/>
          <w:spacing w:val="-4"/>
          <w:sz w:val="32"/>
          <w:szCs w:val="32"/>
          <w:highlight w:val="none"/>
        </w:rPr>
      </w:pPr>
      <w:r>
        <w:rPr>
          <w:rFonts w:hint="eastAsia" w:ascii="Times New Roman" w:hAnsi="Times New Roman" w:eastAsia="仿宋_GB2312" w:cs="Times New Roman"/>
          <w:snapToGrid w:val="0"/>
          <w:color w:val="auto"/>
          <w:spacing w:val="-4"/>
          <w:sz w:val="32"/>
          <w:szCs w:val="32"/>
          <w:highlight w:val="none"/>
        </w:rPr>
        <w:t>（</w:t>
      </w:r>
      <w:r>
        <w:rPr>
          <w:rFonts w:hint="eastAsia" w:ascii="Times New Roman" w:hAnsi="Times New Roman" w:eastAsia="仿宋_GB2312" w:cs="Times New Roman"/>
          <w:snapToGrid w:val="0"/>
          <w:color w:val="auto"/>
          <w:spacing w:val="-4"/>
          <w:sz w:val="32"/>
          <w:szCs w:val="32"/>
          <w:highlight w:val="none"/>
          <w:lang w:val="en-US" w:eastAsia="zh-CN"/>
        </w:rPr>
        <w:t>4</w:t>
      </w:r>
      <w:r>
        <w:rPr>
          <w:rFonts w:hint="eastAsia" w:ascii="Times New Roman" w:hAnsi="Times New Roman" w:eastAsia="仿宋_GB2312" w:cs="Times New Roman"/>
          <w:snapToGrid w:val="0"/>
          <w:color w:val="auto"/>
          <w:spacing w:val="-4"/>
          <w:sz w:val="32"/>
          <w:szCs w:val="32"/>
          <w:highlight w:val="none"/>
        </w:rPr>
        <w:t>）</w:t>
      </w:r>
      <w:r>
        <w:rPr>
          <w:rFonts w:ascii="Times New Roman" w:hAnsi="Times New Roman" w:eastAsia="仿宋_GB2312" w:cs="Times New Roman"/>
          <w:snapToGrid w:val="0"/>
          <w:color w:val="auto"/>
          <w:spacing w:val="-4"/>
          <w:sz w:val="32"/>
          <w:szCs w:val="32"/>
          <w:highlight w:val="none"/>
        </w:rPr>
        <w:t>项目实施期原则上不超过3年。</w:t>
      </w:r>
    </w:p>
    <w:p w14:paraId="6F1A7504">
      <w:pPr>
        <w:keepNext w:val="0"/>
        <w:keepLines w:val="0"/>
        <w:pageBreakBefore w:val="0"/>
        <w:kinsoku/>
        <w:wordWrap/>
        <w:topLinePunct w:val="0"/>
        <w:autoSpaceDN/>
        <w:bidi w:val="0"/>
        <w:adjustRightInd w:val="0"/>
        <w:snapToGrid w:val="0"/>
        <w:spacing w:line="578" w:lineRule="exact"/>
        <w:ind w:firstLine="643" w:firstLineChars="200"/>
        <w:jc w:val="both"/>
        <w:rPr>
          <w:rFonts w:hint="eastAsia" w:ascii="微软雅黑" w:hAnsi="微软雅黑" w:eastAsia="微软雅黑" w:cs="微软雅黑"/>
          <w:color w:val="auto"/>
          <w:spacing w:val="15"/>
          <w:szCs w:val="21"/>
          <w:highlight w:val="none"/>
        </w:rPr>
      </w:pPr>
      <w:r>
        <w:rPr>
          <w:rFonts w:hint="eastAsia" w:ascii="Times New Roman" w:hAnsi="Times New Roman" w:eastAsia="仿宋_GB2312" w:cs="Times New Roman"/>
          <w:b/>
          <w:bCs/>
          <w:color w:val="auto"/>
          <w:sz w:val="32"/>
          <w:szCs w:val="32"/>
          <w:highlight w:val="none"/>
          <w:lang w:val="en-US" w:eastAsia="zh-CN"/>
        </w:rPr>
        <w:t>2</w:t>
      </w:r>
      <w:r>
        <w:rPr>
          <w:rFonts w:hint="eastAsia" w:ascii="Times New Roman" w:hAnsi="Times New Roman" w:eastAsia="仿宋_GB2312" w:cs="Times New Roman"/>
          <w:b/>
          <w:bCs/>
          <w:color w:val="auto"/>
          <w:sz w:val="32"/>
          <w:szCs w:val="32"/>
          <w:highlight w:val="none"/>
        </w:rPr>
        <w:t>.考核指标。</w:t>
      </w:r>
    </w:p>
    <w:p w14:paraId="6508073F">
      <w:pPr>
        <w:pStyle w:val="8"/>
        <w:keepNext w:val="0"/>
        <w:keepLines w:val="0"/>
        <w:pageBreakBefore w:val="0"/>
        <w:kinsoku/>
        <w:wordWrap/>
        <w:overflowPunct w:val="0"/>
        <w:topLinePunct w:val="0"/>
        <w:autoSpaceDN/>
        <w:bidi w:val="0"/>
        <w:adjustRightInd w:val="0"/>
        <w:snapToGrid w:val="0"/>
        <w:spacing w:line="578" w:lineRule="exact"/>
        <w:ind w:firstLine="640"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（1）推动产品入院。任务期内推动申报医疗器械进入参与医疗机构</w:t>
      </w:r>
      <w:r>
        <w:rPr>
          <w:rFonts w:hint="eastAsia" w:ascii="Times New Roman" w:hAnsi="Times New Roman" w:eastAsia="仿宋_GB2312" w:cs="Times New Roman"/>
          <w:color w:val="auto"/>
          <w:sz w:val="32"/>
          <w:szCs w:val="32"/>
          <w:highlight w:val="none"/>
          <w:lang w:val="en-US" w:eastAsia="zh-CN"/>
        </w:rPr>
        <w:t>入院</w:t>
      </w:r>
      <w:r>
        <w:rPr>
          <w:rFonts w:hint="eastAsia" w:ascii="Times New Roman" w:hAnsi="Times New Roman" w:eastAsia="仿宋_GB2312" w:cs="Times New Roman"/>
          <w:color w:val="auto"/>
          <w:sz w:val="32"/>
          <w:szCs w:val="32"/>
          <w:highlight w:val="none"/>
        </w:rPr>
        <w:t>应用；</w:t>
      </w:r>
    </w:p>
    <w:p w14:paraId="000AF234">
      <w:pPr>
        <w:pStyle w:val="8"/>
        <w:keepNext w:val="0"/>
        <w:keepLines w:val="0"/>
        <w:pageBreakBefore w:val="0"/>
        <w:widowControl/>
        <w:shd w:val="clear" w:color="auto" w:fill="FFFFFF"/>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（2）临床应用评价。制定临床应用评价方案，开展相关真实世界数据分析，医疗机构开展不少于100例应用数据收集，对功能、性能、可靠性、可用性、经济性、临床效果等进行评价，形成应用评价报告，并发表</w:t>
      </w:r>
      <w:r>
        <w:rPr>
          <w:rFonts w:hint="eastAsia" w:ascii="Times New Roman" w:hAnsi="Times New Roman" w:eastAsia="仿宋_GB2312" w:cs="Times New Roman"/>
          <w:color w:val="auto"/>
          <w:sz w:val="32"/>
          <w:szCs w:val="32"/>
          <w:highlight w:val="none"/>
          <w:lang w:val="en-US" w:eastAsia="zh-CN"/>
        </w:rPr>
        <w:t>相关学术</w:t>
      </w:r>
      <w:r>
        <w:rPr>
          <w:rFonts w:hint="eastAsia" w:ascii="Times New Roman" w:hAnsi="Times New Roman" w:eastAsia="仿宋_GB2312" w:cs="Times New Roman"/>
          <w:color w:val="auto"/>
          <w:sz w:val="32"/>
          <w:szCs w:val="32"/>
          <w:highlight w:val="none"/>
        </w:rPr>
        <w:t>文章；</w:t>
      </w:r>
    </w:p>
    <w:p w14:paraId="3EFA6119">
      <w:pPr>
        <w:pStyle w:val="8"/>
        <w:keepNext w:val="0"/>
        <w:keepLines w:val="0"/>
        <w:pageBreakBefore w:val="0"/>
        <w:widowControl/>
        <w:shd w:val="clear" w:color="auto" w:fill="FFFFFF"/>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（3）建立评价体系。结合各自领域，建立创新医疗器械使用规范或技术规范或评价指标体系等，制定专家共识或诊疗指南等；</w:t>
      </w:r>
    </w:p>
    <w:p w14:paraId="266BDC5E">
      <w:pPr>
        <w:pStyle w:val="8"/>
        <w:keepNext w:val="0"/>
        <w:keepLines w:val="0"/>
        <w:pageBreakBefore w:val="0"/>
        <w:widowControl/>
        <w:shd w:val="clear" w:color="auto" w:fill="FFFFFF"/>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（4）产品完善提升。医疗机构提出创新医疗器械改进建议，企业改进提升医疗器械质量性能，</w:t>
      </w:r>
      <w:r>
        <w:rPr>
          <w:rFonts w:hint="eastAsia" w:ascii="Times New Roman" w:hAnsi="Times New Roman" w:eastAsia="仿宋_GB2312" w:cs="Times New Roman"/>
          <w:strike w:val="0"/>
          <w:dstrike w:val="0"/>
          <w:color w:val="auto"/>
          <w:sz w:val="32"/>
          <w:szCs w:val="32"/>
          <w:highlight w:val="none"/>
          <w:lang w:val="en-US" w:eastAsia="zh-CN"/>
        </w:rPr>
        <w:t>可</w:t>
      </w:r>
      <w:r>
        <w:rPr>
          <w:rFonts w:hint="eastAsia" w:ascii="Times New Roman" w:hAnsi="Times New Roman" w:eastAsia="仿宋_GB2312" w:cs="Times New Roman"/>
          <w:color w:val="auto"/>
          <w:sz w:val="32"/>
          <w:szCs w:val="32"/>
          <w:highlight w:val="none"/>
        </w:rPr>
        <w:t>形成新一代样品；</w:t>
      </w:r>
    </w:p>
    <w:p w14:paraId="12F1D2ED">
      <w:pPr>
        <w:pStyle w:val="8"/>
        <w:keepNext w:val="0"/>
        <w:keepLines w:val="0"/>
        <w:pageBreakBefore w:val="0"/>
        <w:widowControl/>
        <w:shd w:val="clear" w:color="auto" w:fill="FFFFFF"/>
        <w:kinsoku/>
        <w:wordWrap/>
        <w:topLinePunct w:val="0"/>
        <w:autoSpaceDN/>
        <w:bidi w:val="0"/>
        <w:adjustRightInd w:val="0"/>
        <w:snapToGrid w:val="0"/>
        <w:spacing w:line="578" w:lineRule="exact"/>
        <w:ind w:firstLine="640"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（5）产品宣传推广。每年开展不少于2次、项目期内不少于6次创新医疗器械产品宣传和推广，推</w:t>
      </w:r>
      <w:r>
        <w:rPr>
          <w:rFonts w:hint="eastAsia" w:ascii="Times New Roman" w:hAnsi="Times New Roman" w:eastAsia="仿宋_GB2312" w:cs="Times New Roman"/>
          <w:color w:val="auto"/>
          <w:sz w:val="32"/>
          <w:szCs w:val="32"/>
          <w:highlight w:val="none"/>
          <w:lang w:val="en-US" w:eastAsia="zh-CN"/>
        </w:rPr>
        <w:t>进</w:t>
      </w:r>
      <w:r>
        <w:rPr>
          <w:rFonts w:hint="eastAsia" w:ascii="Times New Roman" w:hAnsi="Times New Roman" w:eastAsia="仿宋_GB2312" w:cs="Times New Roman"/>
          <w:color w:val="auto"/>
          <w:sz w:val="32"/>
          <w:szCs w:val="32"/>
          <w:highlight w:val="none"/>
        </w:rPr>
        <w:t>产品在其他医疗机构入院应用；每年开展不少于2次、项目期内不少于6次创新医疗器械使用人员培训，培养一批专业技术人才队伍；</w:t>
      </w:r>
    </w:p>
    <w:p w14:paraId="62357A3B">
      <w:pPr>
        <w:pStyle w:val="8"/>
        <w:keepNext w:val="0"/>
        <w:keepLines w:val="0"/>
        <w:pageBreakBefore w:val="0"/>
        <w:widowControl/>
        <w:shd w:val="clear" w:color="auto" w:fill="FFFFFF"/>
        <w:kinsoku/>
        <w:wordWrap/>
        <w:topLinePunct w:val="0"/>
        <w:autoSpaceDN/>
        <w:bidi w:val="0"/>
        <w:adjustRightInd w:val="0"/>
        <w:snapToGrid w:val="0"/>
        <w:spacing w:line="578" w:lineRule="exact"/>
        <w:ind w:firstLine="640" w:firstLineChars="200"/>
        <w:jc w:val="both"/>
        <w:rPr>
          <w:color w:val="auto"/>
          <w:highlight w:val="none"/>
        </w:rPr>
      </w:pPr>
      <w:r>
        <w:rPr>
          <w:rFonts w:hint="eastAsia" w:ascii="Times New Roman" w:hAnsi="Times New Roman" w:eastAsia="仿宋_GB2312" w:cs="Times New Roman"/>
          <w:color w:val="auto"/>
          <w:sz w:val="32"/>
          <w:szCs w:val="32"/>
          <w:highlight w:val="none"/>
        </w:rPr>
        <w:t>（6）申报主体参与共同研制，形成产医融合创新成果。</w:t>
      </w:r>
    </w:p>
    <w:p w14:paraId="2986C6EB">
      <w:pPr>
        <w:pStyle w:val="8"/>
        <w:keepNext w:val="0"/>
        <w:keepLines w:val="0"/>
        <w:pageBreakBefore w:val="0"/>
        <w:widowControl/>
        <w:shd w:val="clear" w:color="auto" w:fill="FFFFFF"/>
        <w:kinsoku/>
        <w:wordWrap/>
        <w:topLinePunct w:val="0"/>
        <w:autoSpaceDN/>
        <w:bidi w:val="0"/>
        <w:adjustRightInd w:val="0"/>
        <w:snapToGrid w:val="0"/>
        <w:spacing w:line="578" w:lineRule="exact"/>
        <w:ind w:firstLine="643" w:firstLineChars="200"/>
        <w:jc w:val="both"/>
        <w:rPr>
          <w:rFonts w:hint="eastAsia" w:ascii="Times New Roman" w:hAnsi="Times New Roman" w:eastAsia="楷体_GB2312"/>
          <w:color w:val="auto"/>
          <w:sz w:val="32"/>
        </w:rPr>
      </w:pPr>
      <w:r>
        <w:rPr>
          <w:rFonts w:hint="eastAsia" w:ascii="Times New Roman" w:hAnsi="Times New Roman" w:eastAsia="仿宋_GB2312" w:cs="Times New Roman"/>
          <w:b/>
          <w:bCs/>
          <w:color w:val="auto"/>
          <w:sz w:val="32"/>
          <w:szCs w:val="32"/>
          <w:highlight w:val="none"/>
          <w:lang w:val="en-US" w:eastAsia="zh-CN"/>
        </w:rPr>
        <w:t>3</w:t>
      </w:r>
      <w:r>
        <w:rPr>
          <w:rFonts w:hint="eastAsia" w:ascii="Times New Roman" w:hAnsi="Times New Roman" w:eastAsia="仿宋_GB2312" w:cs="Times New Roman"/>
          <w:b/>
          <w:bCs/>
          <w:color w:val="auto"/>
          <w:sz w:val="32"/>
          <w:szCs w:val="32"/>
          <w:highlight w:val="none"/>
        </w:rPr>
        <w:t>.</w:t>
      </w:r>
      <w:r>
        <w:rPr>
          <w:rFonts w:ascii="Times New Roman" w:hAnsi="Times New Roman" w:eastAsia="仿宋_GB2312" w:cs="Times New Roman"/>
          <w:b/>
          <w:bCs/>
          <w:color w:val="auto"/>
          <w:sz w:val="32"/>
          <w:szCs w:val="32"/>
          <w:highlight w:val="none"/>
        </w:rPr>
        <w:t>扶持标准。</w:t>
      </w:r>
      <w:r>
        <w:rPr>
          <w:rFonts w:ascii="Times New Roman" w:hAnsi="Times New Roman" w:eastAsia="仿宋_GB2312" w:cs="Times New Roman"/>
          <w:color w:val="auto"/>
          <w:sz w:val="32"/>
          <w:szCs w:val="32"/>
          <w:highlight w:val="none"/>
        </w:rPr>
        <w:t>事前支持项目</w:t>
      </w:r>
      <w:r>
        <w:rPr>
          <w:rFonts w:hint="eastAsia" w:ascii="Times New Roman" w:hAnsi="Times New Roman" w:eastAsia="仿宋_GB2312" w:cs="仿宋_GB2312"/>
          <w:color w:val="auto"/>
          <w:sz w:val="32"/>
          <w:highlight w:val="none"/>
          <w:lang w:bidi="ar"/>
        </w:rPr>
        <w:t>，根据示范应用项目立项资金的20%择优给予奖励，</w:t>
      </w:r>
      <w:r>
        <w:rPr>
          <w:rFonts w:ascii="Times New Roman" w:hAnsi="Times New Roman" w:eastAsia="仿宋_GB2312" w:cs="Times New Roman"/>
          <w:color w:val="auto"/>
          <w:sz w:val="32"/>
          <w:szCs w:val="32"/>
          <w:highlight w:val="none"/>
        </w:rPr>
        <w:t>首次拨付补助资金总额的50%，通过验收审核后，再拨付剩余50%资金。每项不超过</w:t>
      </w:r>
      <w:r>
        <w:rPr>
          <w:rFonts w:hint="eastAsia" w:ascii="Times New Roman" w:hAnsi="Times New Roman" w:eastAsia="仿宋_GB2312" w:cs="Times New Roman"/>
          <w:color w:val="auto"/>
          <w:sz w:val="32"/>
          <w:szCs w:val="32"/>
          <w:highlight w:val="none"/>
        </w:rPr>
        <w:t>100</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rPr>
        <w:t>。</w:t>
      </w:r>
    </w:p>
    <w:p w14:paraId="1D56E606">
      <w:pPr>
        <w:keepNext w:val="0"/>
        <w:keepLines w:val="0"/>
        <w:pageBreakBefore w:val="0"/>
        <w:kinsoku/>
        <w:wordWrap/>
        <w:topLinePunct w:val="0"/>
        <w:autoSpaceDN/>
        <w:bidi w:val="0"/>
        <w:adjustRightInd w:val="0"/>
        <w:snapToGrid w:val="0"/>
        <w:spacing w:line="578" w:lineRule="exact"/>
        <w:ind w:firstLine="640" w:firstLineChars="200"/>
        <w:jc w:val="both"/>
        <w:rPr>
          <w:rFonts w:hint="default" w:ascii="Times New Roman" w:hAnsi="Times New Roman" w:eastAsia="楷体_GB2312"/>
          <w:color w:val="auto"/>
          <w:sz w:val="32"/>
          <w:lang w:val="en-US" w:eastAsia="zh-CN"/>
        </w:rPr>
      </w:pPr>
      <w:r>
        <w:rPr>
          <w:rFonts w:hint="eastAsia" w:ascii="Times New Roman" w:hAnsi="Times New Roman" w:eastAsia="楷体_GB2312"/>
          <w:color w:val="auto"/>
          <w:sz w:val="32"/>
        </w:rPr>
        <w:t>（</w:t>
      </w:r>
      <w:r>
        <w:rPr>
          <w:rFonts w:hint="eastAsia" w:ascii="Times New Roman" w:hAnsi="Times New Roman" w:eastAsia="楷体_GB2312"/>
          <w:color w:val="auto"/>
          <w:sz w:val="32"/>
          <w:lang w:val="en-US" w:eastAsia="zh-CN"/>
        </w:rPr>
        <w:t>十七</w:t>
      </w:r>
      <w:r>
        <w:rPr>
          <w:rFonts w:hint="eastAsia" w:ascii="Times New Roman" w:hAnsi="Times New Roman" w:eastAsia="楷体_GB2312"/>
          <w:color w:val="auto"/>
          <w:sz w:val="32"/>
        </w:rPr>
        <w:t>）首台（套）重大装备认定项目</w:t>
      </w:r>
      <w:r>
        <w:rPr>
          <w:rFonts w:hint="eastAsia" w:ascii="Times New Roman" w:hAnsi="Times New Roman" w:eastAsia="楷体_GB2312"/>
          <w:color w:val="auto"/>
          <w:sz w:val="32"/>
          <w:lang w:eastAsia="zh-CN"/>
        </w:rPr>
        <w:t>（</w:t>
      </w:r>
      <w:r>
        <w:rPr>
          <w:rFonts w:hint="eastAsia" w:ascii="Times New Roman" w:hAnsi="Times New Roman" w:eastAsia="楷体_GB2312"/>
          <w:color w:val="auto"/>
          <w:sz w:val="32"/>
          <w:lang w:val="en-US" w:eastAsia="zh-CN"/>
        </w:rPr>
        <w:t>免申即享）</w:t>
      </w:r>
    </w:p>
    <w:p w14:paraId="004C57F5">
      <w:pPr>
        <w:keepNext w:val="0"/>
        <w:keepLines w:val="0"/>
        <w:pageBreakBefore w:val="0"/>
        <w:kinsoku/>
        <w:wordWrap/>
        <w:topLinePunct w:val="0"/>
        <w:autoSpaceDN/>
        <w:bidi w:val="0"/>
        <w:adjustRightInd w:val="0"/>
        <w:snapToGrid w:val="0"/>
        <w:spacing w:line="578" w:lineRule="exact"/>
        <w:ind w:firstLine="643" w:firstLineChars="200"/>
        <w:jc w:val="both"/>
        <w:rPr>
          <w:rFonts w:ascii="Times New Roman" w:hAnsi="Times New Roman" w:eastAsia="楷体_GB2312"/>
          <w:color w:val="auto"/>
          <w:sz w:val="32"/>
        </w:rPr>
      </w:pPr>
      <w:r>
        <w:rPr>
          <w:rFonts w:hint="eastAsia" w:ascii="Times New Roman" w:hAnsi="Times New Roman" w:eastAsia="楷体_GB2312"/>
          <w:b/>
          <w:bCs/>
          <w:color w:val="auto"/>
          <w:sz w:val="32"/>
        </w:rPr>
        <w:t>1.支持条件。</w:t>
      </w: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rPr>
        <w:t>年度获得苏州市</w:t>
      </w:r>
      <w:r>
        <w:rPr>
          <w:rFonts w:hint="eastAsia" w:ascii="Times New Roman" w:hAnsi="Times New Roman" w:eastAsia="仿宋_GB2312" w:cs="Times New Roman"/>
          <w:color w:val="auto"/>
          <w:sz w:val="32"/>
          <w:szCs w:val="32"/>
          <w:lang w:val="en-US" w:eastAsia="zh-CN"/>
        </w:rPr>
        <w:t>级</w:t>
      </w:r>
      <w:r>
        <w:rPr>
          <w:rFonts w:hint="eastAsia" w:ascii="Times New Roman" w:hAnsi="Times New Roman" w:eastAsia="仿宋_GB2312" w:cs="Times New Roman"/>
          <w:color w:val="auto"/>
          <w:sz w:val="32"/>
          <w:szCs w:val="32"/>
        </w:rPr>
        <w:t>以上认定的首台（套）装备</w:t>
      </w:r>
      <w:r>
        <w:rPr>
          <w:rFonts w:hint="eastAsia" w:ascii="Times New Roman" w:hAnsi="Times New Roman" w:eastAsia="仿宋_GB2312" w:cs="Times New Roman"/>
          <w:color w:val="auto"/>
          <w:sz w:val="32"/>
          <w:szCs w:val="32"/>
          <w:lang w:val="en-US" w:eastAsia="zh-CN"/>
        </w:rPr>
        <w:t>生产企业</w:t>
      </w:r>
      <w:r>
        <w:rPr>
          <w:rFonts w:hint="eastAsia" w:ascii="Times New Roman" w:hAnsi="Times New Roman" w:eastAsia="仿宋_GB2312" w:cs="Times New Roman"/>
          <w:color w:val="auto"/>
          <w:sz w:val="32"/>
          <w:szCs w:val="32"/>
        </w:rPr>
        <w:t>。</w:t>
      </w:r>
    </w:p>
    <w:p w14:paraId="6B292730">
      <w:pPr>
        <w:keepNext w:val="0"/>
        <w:keepLines w:val="0"/>
        <w:pageBreakBefore w:val="0"/>
        <w:kinsoku/>
        <w:wordWrap/>
        <w:topLinePunct w:val="0"/>
        <w:autoSpaceDN/>
        <w:bidi w:val="0"/>
        <w:adjustRightInd w:val="0"/>
        <w:snapToGrid w:val="0"/>
        <w:spacing w:line="578" w:lineRule="exact"/>
        <w:ind w:firstLine="643" w:firstLineChars="200"/>
        <w:jc w:val="both"/>
        <w:rPr>
          <w:rFonts w:hint="eastAsia" w:ascii="Times New Roman" w:hAnsi="Times New Roman" w:eastAsia="仿宋_GB2312" w:cs="Times New Roman"/>
          <w:color w:val="auto"/>
          <w:sz w:val="32"/>
          <w:szCs w:val="32"/>
        </w:rPr>
      </w:pPr>
      <w:r>
        <w:rPr>
          <w:rFonts w:hint="eastAsia" w:ascii="Times New Roman" w:hAnsi="Times New Roman" w:eastAsia="楷体_GB2312"/>
          <w:b/>
          <w:bCs/>
          <w:color w:val="auto"/>
          <w:sz w:val="32"/>
        </w:rPr>
        <w:t>2.扶持标准。</w:t>
      </w:r>
      <w:r>
        <w:rPr>
          <w:rFonts w:hint="eastAsia" w:ascii="Times New Roman" w:hAnsi="Times New Roman" w:eastAsia="仿宋_GB2312" w:cs="Times New Roman"/>
          <w:color w:val="auto"/>
          <w:sz w:val="32"/>
          <w:szCs w:val="32"/>
          <w:lang w:val="en-US" w:eastAsia="zh-CN"/>
        </w:rPr>
        <w:t>对获得</w:t>
      </w:r>
      <w:r>
        <w:rPr>
          <w:rFonts w:hint="eastAsia" w:ascii="Times New Roman" w:hAnsi="Times New Roman" w:eastAsia="仿宋_GB2312" w:cs="Times New Roman"/>
          <w:color w:val="auto"/>
          <w:sz w:val="32"/>
          <w:szCs w:val="32"/>
        </w:rPr>
        <w:t>省级首台（套）装备</w:t>
      </w:r>
      <w:r>
        <w:rPr>
          <w:rFonts w:hint="eastAsia" w:ascii="Times New Roman" w:hAnsi="Times New Roman" w:eastAsia="仿宋_GB2312" w:cs="Times New Roman"/>
          <w:color w:val="auto"/>
          <w:sz w:val="32"/>
          <w:szCs w:val="32"/>
          <w:lang w:val="en-US" w:eastAsia="zh-CN"/>
        </w:rPr>
        <w:t>认定</w:t>
      </w:r>
      <w:r>
        <w:rPr>
          <w:rFonts w:hint="eastAsia" w:ascii="Times New Roman" w:hAnsi="Times New Roman" w:eastAsia="仿宋_GB2312" w:cs="Times New Roman"/>
          <w:color w:val="auto"/>
          <w:sz w:val="32"/>
          <w:szCs w:val="32"/>
        </w:rPr>
        <w:t>的</w:t>
      </w:r>
      <w:r>
        <w:rPr>
          <w:rFonts w:hint="eastAsia" w:ascii="Times New Roman" w:hAnsi="Times New Roman" w:eastAsia="仿宋_GB2312" w:cs="Times New Roman"/>
          <w:color w:val="auto"/>
          <w:sz w:val="32"/>
          <w:szCs w:val="32"/>
          <w:lang w:val="en-US" w:eastAsia="zh-CN"/>
        </w:rPr>
        <w:t>生产</w:t>
      </w:r>
      <w:r>
        <w:rPr>
          <w:rFonts w:hint="eastAsia" w:ascii="Times New Roman" w:hAnsi="Times New Roman" w:eastAsia="仿宋_GB2312" w:cs="Times New Roman"/>
          <w:color w:val="auto"/>
          <w:sz w:val="32"/>
          <w:szCs w:val="32"/>
        </w:rPr>
        <w:t>企业给予</w:t>
      </w:r>
      <w:r>
        <w:rPr>
          <w:rFonts w:ascii="Times New Roman" w:hAnsi="Times New Roman" w:eastAsia="仿宋_GB2312" w:cs="Times New Roman"/>
          <w:color w:val="auto"/>
          <w:sz w:val="32"/>
          <w:szCs w:val="32"/>
        </w:rPr>
        <w:t>80</w:t>
      </w:r>
      <w:r>
        <w:rPr>
          <w:rFonts w:hint="eastAsia" w:ascii="Times New Roman" w:hAnsi="Times New Roman" w:eastAsia="仿宋_GB2312" w:cs="Times New Roman"/>
          <w:color w:val="auto"/>
          <w:sz w:val="32"/>
          <w:szCs w:val="32"/>
        </w:rPr>
        <w:t>万元奖励，</w:t>
      </w:r>
      <w:r>
        <w:rPr>
          <w:rFonts w:hint="eastAsia" w:ascii="Times New Roman" w:hAnsi="Times New Roman" w:eastAsia="仿宋_GB2312" w:cs="Times New Roman"/>
          <w:color w:val="auto"/>
          <w:sz w:val="32"/>
          <w:szCs w:val="32"/>
          <w:lang w:val="en-US" w:eastAsia="zh-CN"/>
        </w:rPr>
        <w:t>对获得</w:t>
      </w:r>
      <w:r>
        <w:rPr>
          <w:rFonts w:hint="eastAsia" w:ascii="Times New Roman" w:hAnsi="Times New Roman" w:eastAsia="仿宋_GB2312" w:cs="Times New Roman"/>
          <w:color w:val="auto"/>
          <w:sz w:val="32"/>
          <w:szCs w:val="32"/>
        </w:rPr>
        <w:t>苏锡常首台（套）重大装备</w:t>
      </w:r>
      <w:r>
        <w:rPr>
          <w:rFonts w:hint="eastAsia" w:ascii="Times New Roman" w:hAnsi="Times New Roman" w:eastAsia="仿宋_GB2312" w:cs="Times New Roman"/>
          <w:color w:val="auto"/>
          <w:sz w:val="32"/>
          <w:szCs w:val="32"/>
          <w:lang w:val="en-US" w:eastAsia="zh-CN"/>
        </w:rPr>
        <w:t>认定</w:t>
      </w:r>
      <w:r>
        <w:rPr>
          <w:rFonts w:hint="eastAsia" w:ascii="Times New Roman" w:hAnsi="Times New Roman" w:eastAsia="仿宋_GB2312" w:cs="Times New Roman"/>
          <w:color w:val="auto"/>
          <w:sz w:val="32"/>
          <w:szCs w:val="32"/>
        </w:rPr>
        <w:t>的</w:t>
      </w:r>
      <w:r>
        <w:rPr>
          <w:rFonts w:hint="eastAsia" w:ascii="Times New Roman" w:hAnsi="Times New Roman" w:eastAsia="仿宋_GB2312" w:cs="Times New Roman"/>
          <w:color w:val="auto"/>
          <w:sz w:val="32"/>
          <w:szCs w:val="32"/>
          <w:lang w:val="en-US" w:eastAsia="zh-CN"/>
        </w:rPr>
        <w:t>生产</w:t>
      </w:r>
      <w:r>
        <w:rPr>
          <w:rFonts w:hint="eastAsia" w:ascii="Times New Roman" w:hAnsi="Times New Roman" w:eastAsia="仿宋_GB2312" w:cs="Times New Roman"/>
          <w:color w:val="auto"/>
          <w:sz w:val="32"/>
          <w:szCs w:val="32"/>
        </w:rPr>
        <w:t>企业给予</w:t>
      </w:r>
      <w:r>
        <w:rPr>
          <w:rFonts w:ascii="Times New Roman" w:hAnsi="Times New Roman" w:eastAsia="仿宋_GB2312" w:cs="Times New Roman"/>
          <w:color w:val="auto"/>
          <w:sz w:val="32"/>
          <w:szCs w:val="32"/>
        </w:rPr>
        <w:t>50</w:t>
      </w:r>
      <w:r>
        <w:rPr>
          <w:rFonts w:hint="eastAsia" w:ascii="Times New Roman" w:hAnsi="Times New Roman" w:eastAsia="仿宋_GB2312" w:cs="Times New Roman"/>
          <w:color w:val="auto"/>
          <w:sz w:val="32"/>
          <w:szCs w:val="32"/>
        </w:rPr>
        <w:t>万元奖励。</w:t>
      </w:r>
    </w:p>
    <w:p w14:paraId="14701DBD">
      <w:pPr>
        <w:keepNext w:val="0"/>
        <w:keepLines w:val="0"/>
        <w:pageBreakBefore w:val="0"/>
        <w:kinsoku/>
        <w:wordWrap/>
        <w:topLinePunct w:val="0"/>
        <w:autoSpaceDE/>
        <w:autoSpaceDN/>
        <w:bidi w:val="0"/>
        <w:spacing w:line="578" w:lineRule="exact"/>
        <w:ind w:firstLine="640" w:firstLineChars="200"/>
        <w:jc w:val="both"/>
        <w:textAlignment w:val="auto"/>
        <w:rPr>
          <w:rFonts w:hint="eastAsia" w:ascii="Times New Roman" w:hAnsi="Times New Roman" w:eastAsia="楷体_GB2312"/>
          <w:color w:val="auto"/>
          <w:sz w:val="32"/>
          <w:lang w:eastAsia="zh-CN"/>
        </w:rPr>
      </w:pPr>
      <w:r>
        <w:rPr>
          <w:rFonts w:ascii="Times New Roman" w:hAnsi="Times New Roman" w:eastAsia="楷体_GB2312"/>
          <w:color w:val="auto"/>
          <w:sz w:val="32"/>
        </w:rPr>
        <w:t>（</w:t>
      </w:r>
      <w:r>
        <w:rPr>
          <w:rFonts w:hint="eastAsia" w:ascii="Times New Roman" w:hAnsi="Times New Roman" w:eastAsia="楷体_GB2312"/>
          <w:color w:val="auto"/>
          <w:sz w:val="32"/>
          <w:lang w:val="en-US" w:eastAsia="zh-CN"/>
        </w:rPr>
        <w:t>十八</w:t>
      </w:r>
      <w:r>
        <w:rPr>
          <w:rFonts w:ascii="Times New Roman" w:hAnsi="Times New Roman" w:eastAsia="楷体_GB2312"/>
          <w:color w:val="auto"/>
          <w:sz w:val="32"/>
        </w:rPr>
        <w:t>）</w:t>
      </w:r>
      <w:r>
        <w:rPr>
          <w:rFonts w:hint="eastAsia" w:ascii="Times New Roman" w:hAnsi="Times New Roman" w:eastAsia="楷体_GB2312"/>
          <w:color w:val="auto"/>
          <w:sz w:val="32"/>
        </w:rPr>
        <w:t>首版次软件项目</w:t>
      </w:r>
      <w:r>
        <w:rPr>
          <w:rFonts w:hint="eastAsia" w:ascii="Times New Roman" w:hAnsi="Times New Roman" w:eastAsia="楷体_GB2312"/>
          <w:color w:val="auto"/>
          <w:sz w:val="32"/>
          <w:lang w:eastAsia="zh-CN"/>
        </w:rPr>
        <w:t>（</w:t>
      </w:r>
      <w:r>
        <w:rPr>
          <w:rFonts w:hint="eastAsia" w:ascii="Times New Roman" w:hAnsi="Times New Roman" w:eastAsia="楷体_GB2312"/>
          <w:color w:val="auto"/>
          <w:sz w:val="32"/>
          <w:lang w:val="en-US" w:eastAsia="zh-CN"/>
        </w:rPr>
        <w:t>免申即享</w:t>
      </w:r>
      <w:r>
        <w:rPr>
          <w:rFonts w:hint="eastAsia" w:ascii="Times New Roman" w:hAnsi="Times New Roman" w:eastAsia="楷体_GB2312"/>
          <w:color w:val="auto"/>
          <w:sz w:val="32"/>
          <w:lang w:eastAsia="zh-CN"/>
        </w:rPr>
        <w:t>）</w:t>
      </w:r>
    </w:p>
    <w:p w14:paraId="1018BEF8">
      <w:pPr>
        <w:keepNext w:val="0"/>
        <w:keepLines w:val="0"/>
        <w:pageBreakBefore w:val="0"/>
        <w:kinsoku/>
        <w:wordWrap/>
        <w:topLinePunct w:val="0"/>
        <w:autoSpaceDE/>
        <w:autoSpaceDN/>
        <w:bidi w:val="0"/>
        <w:adjustRightInd w:val="0"/>
        <w:snapToGrid w:val="0"/>
        <w:spacing w:line="578" w:lineRule="exact"/>
        <w:ind w:firstLine="643" w:firstLineChars="200"/>
        <w:jc w:val="both"/>
        <w:textAlignment w:val="auto"/>
        <w:rPr>
          <w:rFonts w:ascii="Times New Roman" w:hAnsi="Times New Roman" w:eastAsia="仿宋_GB2312" w:cs="Times New Roman"/>
          <w:b/>
          <w:bCs/>
          <w:snapToGrid w:val="0"/>
          <w:color w:val="auto"/>
          <w:kern w:val="0"/>
          <w:sz w:val="32"/>
          <w:szCs w:val="32"/>
        </w:rPr>
      </w:pPr>
      <w:r>
        <w:rPr>
          <w:rFonts w:hint="eastAsia" w:ascii="Times New Roman" w:hAnsi="Times New Roman" w:eastAsia="仿宋_GB2312" w:cs="Times New Roman"/>
          <w:b/>
          <w:bCs/>
          <w:snapToGrid w:val="0"/>
          <w:color w:val="auto"/>
          <w:kern w:val="0"/>
          <w:sz w:val="32"/>
          <w:szCs w:val="32"/>
        </w:rPr>
        <w:t>1.</w:t>
      </w:r>
      <w:r>
        <w:rPr>
          <w:rFonts w:ascii="Times New Roman" w:hAnsi="Times New Roman" w:eastAsia="仿宋_GB2312" w:cs="Times New Roman"/>
          <w:b/>
          <w:bCs/>
          <w:snapToGrid w:val="0"/>
          <w:color w:val="auto"/>
          <w:kern w:val="0"/>
          <w:sz w:val="32"/>
          <w:szCs w:val="32"/>
        </w:rPr>
        <w:t>支持条件</w:t>
      </w:r>
      <w:r>
        <w:rPr>
          <w:rFonts w:hint="eastAsia" w:ascii="Times New Roman" w:hAnsi="Times New Roman" w:eastAsia="仿宋_GB2312" w:cs="Times New Roman"/>
          <w:b/>
          <w:bCs/>
          <w:snapToGrid w:val="0"/>
          <w:color w:val="auto"/>
          <w:kern w:val="0"/>
          <w:sz w:val="32"/>
          <w:szCs w:val="32"/>
        </w:rPr>
        <w:t>。</w:t>
      </w:r>
    </w:p>
    <w:p w14:paraId="6FD2C19C">
      <w:pPr>
        <w:keepNext w:val="0"/>
        <w:keepLines w:val="0"/>
        <w:pageBreakBefore w:val="0"/>
        <w:kinsoku/>
        <w:wordWrap/>
        <w:topLinePunct w:val="0"/>
        <w:autoSpaceDE/>
        <w:autoSpaceDN/>
        <w:bidi w:val="0"/>
        <w:adjustRightInd w:val="0"/>
        <w:snapToGrid w:val="0"/>
        <w:spacing w:line="578" w:lineRule="exact"/>
        <w:ind w:firstLine="640" w:firstLineChars="200"/>
        <w:jc w:val="both"/>
        <w:textAlignment w:val="auto"/>
        <w:rPr>
          <w:rFonts w:ascii="Times New Roman" w:hAnsi="Times New Roman" w:eastAsia="仿宋_GB2312" w:cs="Times New Roman"/>
          <w:snapToGrid w:val="0"/>
          <w:color w:val="auto"/>
          <w:kern w:val="0"/>
          <w:sz w:val="32"/>
          <w:szCs w:val="32"/>
        </w:rPr>
      </w:pPr>
      <w:r>
        <w:rPr>
          <w:rFonts w:ascii="Times New Roman" w:hAnsi="Times New Roman" w:eastAsia="仿宋_GB2312" w:cs="Times New Roman"/>
          <w:snapToGrid w:val="0"/>
          <w:color w:val="auto"/>
          <w:kern w:val="0"/>
          <w:sz w:val="32"/>
          <w:szCs w:val="32"/>
        </w:rPr>
        <w:t>企业相关产品入选</w:t>
      </w:r>
      <w:r>
        <w:rPr>
          <w:rFonts w:hint="eastAsia" w:ascii="Times New Roman" w:hAnsi="Times New Roman" w:eastAsia="仿宋_GB2312" w:cs="Times New Roman"/>
          <w:snapToGrid w:val="0"/>
          <w:color w:val="auto"/>
          <w:kern w:val="0"/>
          <w:sz w:val="32"/>
          <w:szCs w:val="32"/>
        </w:rPr>
        <w:t>江苏省重点推广应用的新技术新产品目录（2025年）（首版次软件）</w:t>
      </w:r>
      <w:r>
        <w:rPr>
          <w:rFonts w:ascii="Times New Roman" w:hAnsi="Times New Roman" w:eastAsia="仿宋_GB2312" w:cs="Times New Roman"/>
          <w:snapToGrid w:val="0"/>
          <w:color w:val="auto"/>
          <w:kern w:val="0"/>
          <w:sz w:val="32"/>
          <w:szCs w:val="32"/>
        </w:rPr>
        <w:t>。</w:t>
      </w:r>
    </w:p>
    <w:p w14:paraId="4A7B48AE">
      <w:pPr>
        <w:keepNext w:val="0"/>
        <w:keepLines w:val="0"/>
        <w:pageBreakBefore w:val="0"/>
        <w:kinsoku/>
        <w:wordWrap/>
        <w:topLinePunct w:val="0"/>
        <w:autoSpaceDE/>
        <w:autoSpaceDN/>
        <w:bidi w:val="0"/>
        <w:adjustRightInd w:val="0"/>
        <w:snapToGrid w:val="0"/>
        <w:spacing w:line="578" w:lineRule="exact"/>
        <w:ind w:firstLine="643" w:firstLineChars="200"/>
        <w:jc w:val="both"/>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b/>
          <w:bCs/>
          <w:snapToGrid w:val="0"/>
          <w:color w:val="auto"/>
          <w:kern w:val="0"/>
          <w:sz w:val="32"/>
          <w:szCs w:val="32"/>
        </w:rPr>
        <w:t>2.扶持标准。</w:t>
      </w:r>
      <w:r>
        <w:rPr>
          <w:rFonts w:hint="eastAsia" w:ascii="仿宋_GB2312" w:hAnsi="仿宋_GB2312" w:eastAsia="仿宋_GB2312" w:cs="仿宋_GB2312"/>
          <w:color w:val="auto"/>
          <w:kern w:val="0"/>
          <w:sz w:val="32"/>
          <w:szCs w:val="32"/>
          <w:lang w:val="en-US" w:eastAsia="zh-CN"/>
        </w:rPr>
        <w:t>免申即享</w:t>
      </w:r>
      <w:r>
        <w:rPr>
          <w:rFonts w:hint="eastAsia" w:ascii="仿宋_GB2312" w:hAnsi="仿宋_GB2312" w:eastAsia="仿宋_GB2312" w:cs="仿宋_GB2312"/>
          <w:color w:val="auto"/>
          <w:kern w:val="0"/>
          <w:sz w:val="32"/>
          <w:szCs w:val="32"/>
        </w:rPr>
        <w:t>给予</w:t>
      </w:r>
      <w:r>
        <w:rPr>
          <w:rFonts w:hint="default" w:ascii="Times New Roman" w:hAnsi="Times New Roman" w:eastAsia="仿宋_GB2312" w:cs="Times New Roman"/>
          <w:color w:val="auto"/>
          <w:kern w:val="0"/>
          <w:sz w:val="32"/>
          <w:szCs w:val="32"/>
        </w:rPr>
        <w:t>30</w:t>
      </w:r>
      <w:r>
        <w:rPr>
          <w:rFonts w:hint="eastAsia" w:ascii="仿宋_GB2312" w:hAnsi="仿宋_GB2312" w:eastAsia="仿宋_GB2312" w:cs="仿宋_GB2312"/>
          <w:color w:val="auto"/>
          <w:kern w:val="0"/>
          <w:sz w:val="32"/>
          <w:szCs w:val="32"/>
        </w:rPr>
        <w:t>万元一次性奖励</w:t>
      </w:r>
      <w:r>
        <w:rPr>
          <w:rFonts w:ascii="Times New Roman" w:hAnsi="Times New Roman" w:eastAsia="仿宋_GB2312" w:cs="Times New Roman"/>
          <w:snapToGrid w:val="0"/>
          <w:color w:val="auto"/>
          <w:kern w:val="0"/>
          <w:sz w:val="32"/>
          <w:szCs w:val="32"/>
        </w:rPr>
        <w:t>。</w:t>
      </w:r>
    </w:p>
    <w:p w14:paraId="5BB4D0D9">
      <w:pPr>
        <w:keepNext w:val="0"/>
        <w:keepLines w:val="0"/>
        <w:pageBreakBefore w:val="0"/>
        <w:widowControl w:val="0"/>
        <w:suppressLineNumbers w:val="0"/>
        <w:kinsoku/>
        <w:wordWrap/>
        <w:topLinePunct w:val="0"/>
        <w:autoSpaceDN/>
        <w:bidi w:val="0"/>
        <w:adjustRightInd w:val="0"/>
        <w:snapToGrid w:val="0"/>
        <w:spacing w:before="0" w:beforeAutospacing="0" w:afterAutospacing="0" w:line="578" w:lineRule="exact"/>
        <w:ind w:left="0" w:right="0" w:firstLine="640" w:firstLineChars="200"/>
        <w:jc w:val="both"/>
        <w:rPr>
          <w:rFonts w:hint="eastAsia" w:ascii="黑体" w:hAnsi="宋体" w:eastAsia="黑体" w:cs="Times New Roman"/>
          <w:color w:val="auto"/>
          <w:kern w:val="2"/>
          <w:sz w:val="32"/>
          <w:szCs w:val="32"/>
        </w:rPr>
      </w:pPr>
      <w:r>
        <w:rPr>
          <w:rFonts w:hint="eastAsia" w:ascii="黑体" w:hAnsi="宋体" w:eastAsia="黑体" w:cs="黑体"/>
          <w:color w:val="auto"/>
          <w:kern w:val="2"/>
          <w:sz w:val="32"/>
          <w:szCs w:val="32"/>
          <w:lang w:val="en-US" w:eastAsia="zh-CN" w:bidi="ar"/>
        </w:rPr>
        <w:t>二、制造业转型升级“四合一”</w:t>
      </w:r>
    </w:p>
    <w:p w14:paraId="5D0C9EAD">
      <w:pPr>
        <w:keepNext w:val="0"/>
        <w:keepLines w:val="0"/>
        <w:pageBreakBefore w:val="0"/>
        <w:widowControl w:val="0"/>
        <w:suppressLineNumbers w:val="0"/>
        <w:kinsoku/>
        <w:wordWrap/>
        <w:topLinePunct w:val="0"/>
        <w:autoSpaceDN/>
        <w:bidi w:val="0"/>
        <w:adjustRightInd w:val="0"/>
        <w:snapToGrid w:val="0"/>
        <w:spacing w:before="0" w:beforeAutospacing="0" w:afterAutospacing="0" w:line="578" w:lineRule="exact"/>
        <w:ind w:left="0" w:right="0" w:firstLine="640" w:firstLineChars="200"/>
        <w:jc w:val="both"/>
        <w:rPr>
          <w:rFonts w:hint="eastAsia" w:ascii="仿宋_GB2312" w:hAnsi="Times New Roman" w:eastAsia="仿宋_GB2312" w:cs="仿宋_GB2312"/>
          <w:strike w:val="0"/>
          <w:dstrike w:val="0"/>
          <w:color w:val="auto"/>
          <w:kern w:val="2"/>
          <w:sz w:val="32"/>
          <w:szCs w:val="32"/>
          <w:vertAlign w:val="baseline"/>
          <w:lang w:val="en-US" w:eastAsia="zh-CN" w:bidi="ar"/>
        </w:rPr>
      </w:pPr>
      <w:r>
        <w:rPr>
          <w:rFonts w:hint="eastAsia" w:ascii="楷体_GB2312" w:hAnsi="Times New Roman" w:eastAsia="楷体_GB2312" w:cs="楷体_GB2312"/>
          <w:color w:val="auto"/>
          <w:kern w:val="2"/>
          <w:sz w:val="32"/>
          <w:szCs w:val="32"/>
          <w:highlight w:val="none"/>
          <w:lang w:val="en-US" w:eastAsia="zh-CN" w:bidi="ar"/>
        </w:rPr>
        <w:t>（一）制造业企业增资扩产和技术改造有效投入项目</w:t>
      </w:r>
    </w:p>
    <w:p w14:paraId="14114595">
      <w:pPr>
        <w:keepNext w:val="0"/>
        <w:keepLines w:val="0"/>
        <w:pageBreakBefore w:val="0"/>
        <w:widowControl w:val="0"/>
        <w:suppressLineNumbers w:val="0"/>
        <w:kinsoku/>
        <w:wordWrap/>
        <w:topLinePunct w:val="0"/>
        <w:autoSpaceDN/>
        <w:bidi w:val="0"/>
        <w:adjustRightInd w:val="0"/>
        <w:snapToGrid w:val="0"/>
        <w:spacing w:before="0" w:beforeAutospacing="0" w:afterAutospacing="0" w:line="578" w:lineRule="exact"/>
        <w:ind w:left="0" w:right="0" w:firstLine="643" w:firstLineChars="200"/>
        <w:jc w:val="both"/>
        <w:textAlignment w:val="baseline"/>
        <w:rPr>
          <w:rFonts w:hint="default" w:ascii="Times New Roman" w:hAnsi="Times New Roman" w:eastAsia="仿宋_GB2312" w:cs="Times New Roman"/>
          <w:color w:val="auto"/>
          <w:kern w:val="2"/>
          <w:sz w:val="32"/>
          <w:szCs w:val="32"/>
          <w:vertAlign w:val="baseline"/>
        </w:rPr>
      </w:pPr>
      <w:r>
        <w:rPr>
          <w:rFonts w:hint="eastAsia" w:ascii="Times New Roman" w:hAnsi="Times New Roman" w:eastAsia="仿宋_GB2312" w:cs="Times New Roman"/>
          <w:b/>
          <w:bCs/>
          <w:color w:val="auto"/>
          <w:kern w:val="2"/>
          <w:sz w:val="32"/>
          <w:szCs w:val="32"/>
          <w:vertAlign w:val="baseline"/>
          <w:lang w:val="en-US" w:eastAsia="zh-CN" w:bidi="ar"/>
        </w:rPr>
        <w:t>1</w:t>
      </w:r>
      <w:r>
        <w:rPr>
          <w:rFonts w:hint="default" w:ascii="Times New Roman" w:hAnsi="Times New Roman" w:eastAsia="仿宋_GB2312" w:cs="Times New Roman"/>
          <w:b/>
          <w:bCs/>
          <w:color w:val="auto"/>
          <w:kern w:val="2"/>
          <w:sz w:val="32"/>
          <w:szCs w:val="32"/>
          <w:vertAlign w:val="baseline"/>
          <w:lang w:val="en-US" w:eastAsia="zh-CN" w:bidi="ar"/>
        </w:rPr>
        <w:t>.支持条件。</w:t>
      </w:r>
    </w:p>
    <w:p w14:paraId="79EA7586">
      <w:pPr>
        <w:keepNext w:val="0"/>
        <w:keepLines w:val="0"/>
        <w:pageBreakBefore w:val="0"/>
        <w:widowControl w:val="0"/>
        <w:suppressLineNumbers w:val="0"/>
        <w:kinsoku/>
        <w:wordWrap/>
        <w:topLinePunct w:val="0"/>
        <w:autoSpaceDN/>
        <w:bidi w:val="0"/>
        <w:adjustRightInd w:val="0"/>
        <w:snapToGrid w:val="0"/>
        <w:spacing w:before="0" w:beforeAutospacing="0" w:afterAutospacing="0" w:line="578" w:lineRule="exact"/>
        <w:ind w:left="0" w:right="0" w:firstLine="640" w:firstLineChars="200"/>
        <w:jc w:val="both"/>
        <w:textAlignment w:val="baseline"/>
        <w:rPr>
          <w:rFonts w:hint="default" w:ascii="Times New Roman" w:hAnsi="Times New Roman" w:eastAsia="仿宋_GB2312" w:cs="Times New Roman"/>
          <w:color w:val="auto"/>
          <w:kern w:val="2"/>
          <w:sz w:val="32"/>
          <w:szCs w:val="32"/>
          <w:vertAlign w:val="baseline"/>
          <w:lang w:val="en-US" w:eastAsia="zh-CN" w:bidi="ar"/>
        </w:rPr>
      </w:pPr>
      <w:r>
        <w:rPr>
          <w:rFonts w:hint="default" w:ascii="Times New Roman" w:hAnsi="Times New Roman" w:eastAsia="仿宋_GB2312" w:cs="Times New Roman"/>
          <w:color w:val="auto"/>
          <w:kern w:val="2"/>
          <w:sz w:val="32"/>
          <w:szCs w:val="32"/>
          <w:vertAlign w:val="baseline"/>
          <w:lang w:val="en-US" w:eastAsia="zh-CN" w:bidi="ar"/>
        </w:rPr>
        <w:t>（1）</w:t>
      </w:r>
      <w:r>
        <w:rPr>
          <w:rFonts w:hint="eastAsia" w:ascii="仿宋_GB2312" w:hAnsi="Times New Roman" w:eastAsia="仿宋_GB2312" w:cs="仿宋_GB2312"/>
          <w:strike w:val="0"/>
          <w:dstrike w:val="0"/>
          <w:color w:val="auto"/>
          <w:kern w:val="2"/>
          <w:sz w:val="32"/>
          <w:szCs w:val="32"/>
          <w:vertAlign w:val="baseline"/>
          <w:lang w:val="en-US" w:eastAsia="zh-CN" w:bidi="ar"/>
        </w:rPr>
        <w:t>企业采用新技术、新工艺、新设备、新材料对现有设施、工艺条件等进行技术改造，加大高端装备和仪器投入力度，支持企业通过增资扩产扩大生产规模。</w:t>
      </w:r>
    </w:p>
    <w:p w14:paraId="4C7A871F">
      <w:pPr>
        <w:keepNext w:val="0"/>
        <w:keepLines w:val="0"/>
        <w:pageBreakBefore w:val="0"/>
        <w:widowControl w:val="0"/>
        <w:suppressLineNumbers w:val="0"/>
        <w:kinsoku/>
        <w:wordWrap/>
        <w:topLinePunct w:val="0"/>
        <w:autoSpaceDN/>
        <w:bidi w:val="0"/>
        <w:adjustRightInd w:val="0"/>
        <w:snapToGrid w:val="0"/>
        <w:spacing w:before="0" w:beforeAutospacing="0" w:afterAutospacing="0" w:line="578" w:lineRule="exact"/>
        <w:ind w:left="0" w:right="0" w:firstLine="640" w:firstLineChars="200"/>
        <w:jc w:val="both"/>
        <w:textAlignment w:val="baseline"/>
        <w:rPr>
          <w:rFonts w:hint="default" w:ascii="Times New Roman" w:hAnsi="Times New Roman" w:eastAsia="仿宋_GB2312" w:cs="Times New Roman"/>
          <w:color w:val="auto"/>
          <w:kern w:val="2"/>
          <w:sz w:val="32"/>
          <w:szCs w:val="32"/>
          <w:vertAlign w:val="baseline"/>
        </w:rPr>
      </w:pPr>
      <w:r>
        <w:rPr>
          <w:rFonts w:hint="eastAsia" w:ascii="Times New Roman" w:hAnsi="Times New Roman" w:eastAsia="仿宋_GB2312" w:cs="Times New Roman"/>
          <w:color w:val="auto"/>
          <w:kern w:val="2"/>
          <w:sz w:val="32"/>
          <w:szCs w:val="32"/>
          <w:vertAlign w:val="baseline"/>
          <w:lang w:val="en-US" w:eastAsia="zh-CN" w:bidi="ar"/>
        </w:rPr>
        <w:t>（2）</w:t>
      </w:r>
      <w:r>
        <w:rPr>
          <w:rFonts w:hint="default" w:ascii="Times New Roman" w:hAnsi="Times New Roman" w:eastAsia="仿宋_GB2312" w:cs="Times New Roman"/>
          <w:color w:val="auto"/>
          <w:kern w:val="2"/>
          <w:sz w:val="32"/>
          <w:szCs w:val="32"/>
          <w:vertAlign w:val="baseline"/>
          <w:lang w:val="en-US" w:eastAsia="zh-CN" w:bidi="ar"/>
        </w:rPr>
        <w:t>申报项目应为已取得项目备案或核准的增资扩产或技术改造的纳统项目（备案或核准时间在</w:t>
      </w:r>
      <w:r>
        <w:rPr>
          <w:rFonts w:hint="default" w:ascii="Times New Roman" w:hAnsi="Times New Roman" w:eastAsia="仿宋_GB2312" w:cs="Times New Roman"/>
          <w:color w:val="auto"/>
          <w:kern w:val="2"/>
          <w:sz w:val="32"/>
          <w:szCs w:val="32"/>
          <w:highlight w:val="none"/>
          <w:vertAlign w:val="baseline"/>
          <w:lang w:val="en-US" w:eastAsia="zh-CN" w:bidi="ar"/>
        </w:rPr>
        <w:t>2025</w:t>
      </w:r>
      <w:r>
        <w:rPr>
          <w:rFonts w:hint="default" w:ascii="Times New Roman" w:hAnsi="Times New Roman" w:eastAsia="仿宋_GB2312" w:cs="Times New Roman"/>
          <w:color w:val="auto"/>
          <w:kern w:val="2"/>
          <w:sz w:val="32"/>
          <w:szCs w:val="32"/>
          <w:vertAlign w:val="baseline"/>
          <w:lang w:val="en-US" w:eastAsia="zh-CN" w:bidi="ar"/>
        </w:rPr>
        <w:t>年12月31日前），项目实施地在苏州境内，符合国家产业政策方向。</w:t>
      </w:r>
    </w:p>
    <w:p w14:paraId="5B8C9DD5">
      <w:pPr>
        <w:keepNext w:val="0"/>
        <w:keepLines w:val="0"/>
        <w:pageBreakBefore w:val="0"/>
        <w:widowControl w:val="0"/>
        <w:suppressLineNumbers w:val="0"/>
        <w:kinsoku/>
        <w:wordWrap/>
        <w:topLinePunct w:val="0"/>
        <w:autoSpaceDN/>
        <w:bidi w:val="0"/>
        <w:adjustRightInd w:val="0"/>
        <w:snapToGrid w:val="0"/>
        <w:spacing w:before="0" w:beforeAutospacing="0" w:afterAutospacing="0" w:line="578" w:lineRule="exact"/>
        <w:ind w:left="0" w:right="0" w:firstLine="640" w:firstLineChars="200"/>
        <w:jc w:val="both"/>
        <w:textAlignment w:val="baseline"/>
        <w:rPr>
          <w:rFonts w:hint="default" w:ascii="Times New Roman" w:hAnsi="Times New Roman" w:eastAsia="仿宋_GB2312" w:cs="Times New Roman"/>
          <w:color w:val="auto"/>
          <w:kern w:val="2"/>
          <w:sz w:val="32"/>
          <w:szCs w:val="32"/>
          <w:vertAlign w:val="baseline"/>
        </w:rPr>
      </w:pPr>
      <w:r>
        <w:rPr>
          <w:rFonts w:hint="default" w:ascii="Times New Roman" w:hAnsi="Times New Roman" w:eastAsia="仿宋_GB2312" w:cs="Times New Roman"/>
          <w:color w:val="auto"/>
          <w:kern w:val="2"/>
          <w:sz w:val="32"/>
          <w:szCs w:val="32"/>
          <w:vertAlign w:val="baseline"/>
          <w:lang w:val="en-US" w:eastAsia="zh-CN" w:bidi="ar"/>
        </w:rPr>
        <w:t>（</w:t>
      </w:r>
      <w:r>
        <w:rPr>
          <w:rFonts w:hint="eastAsia" w:ascii="Times New Roman" w:hAnsi="Times New Roman" w:eastAsia="仿宋_GB2312" w:cs="Times New Roman"/>
          <w:color w:val="auto"/>
          <w:kern w:val="2"/>
          <w:sz w:val="32"/>
          <w:szCs w:val="32"/>
          <w:vertAlign w:val="baseline"/>
          <w:lang w:val="en-US" w:eastAsia="zh-CN" w:bidi="ar"/>
        </w:rPr>
        <w:t>3</w:t>
      </w:r>
      <w:r>
        <w:rPr>
          <w:rFonts w:hint="default" w:ascii="Times New Roman" w:hAnsi="Times New Roman" w:eastAsia="仿宋_GB2312" w:cs="Times New Roman"/>
          <w:color w:val="auto"/>
          <w:kern w:val="2"/>
          <w:sz w:val="32"/>
          <w:szCs w:val="32"/>
          <w:vertAlign w:val="baseline"/>
          <w:lang w:val="en-US" w:eastAsia="zh-CN" w:bidi="ar"/>
        </w:rPr>
        <w:t>）申报项目符合国土、规划、环保、能耗、安全等方面监管要求，环评、用地、规划、节能、安全评价等前期手续齐全。</w:t>
      </w:r>
    </w:p>
    <w:p w14:paraId="5EC9A745">
      <w:pPr>
        <w:keepNext w:val="0"/>
        <w:keepLines w:val="0"/>
        <w:pageBreakBefore w:val="0"/>
        <w:widowControl w:val="0"/>
        <w:suppressLineNumbers w:val="0"/>
        <w:kinsoku/>
        <w:wordWrap/>
        <w:topLinePunct w:val="0"/>
        <w:autoSpaceDN/>
        <w:bidi w:val="0"/>
        <w:adjustRightInd w:val="0"/>
        <w:snapToGrid w:val="0"/>
        <w:spacing w:before="0" w:beforeAutospacing="0" w:afterAutospacing="0" w:line="578" w:lineRule="exact"/>
        <w:ind w:left="0" w:right="0" w:firstLine="640" w:firstLineChars="200"/>
        <w:jc w:val="both"/>
        <w:textAlignment w:val="baseline"/>
        <w:rPr>
          <w:rFonts w:hint="default" w:ascii="Times New Roman" w:hAnsi="Times New Roman" w:eastAsia="仿宋_GB2312" w:cs="Times New Roman"/>
          <w:color w:val="auto"/>
          <w:kern w:val="2"/>
          <w:sz w:val="32"/>
          <w:szCs w:val="32"/>
          <w:vertAlign w:val="baseline"/>
        </w:rPr>
      </w:pPr>
      <w:r>
        <w:rPr>
          <w:rFonts w:hint="default" w:ascii="Times New Roman" w:hAnsi="Times New Roman" w:eastAsia="仿宋_GB2312" w:cs="Times New Roman"/>
          <w:color w:val="auto"/>
          <w:kern w:val="2"/>
          <w:sz w:val="32"/>
          <w:szCs w:val="32"/>
          <w:vertAlign w:val="baseline"/>
          <w:lang w:val="en-US" w:eastAsia="zh-CN" w:bidi="ar"/>
        </w:rPr>
        <w:t>（</w:t>
      </w:r>
      <w:r>
        <w:rPr>
          <w:rFonts w:hint="eastAsia" w:ascii="Times New Roman" w:hAnsi="Times New Roman" w:eastAsia="仿宋_GB2312" w:cs="Times New Roman"/>
          <w:color w:val="auto"/>
          <w:kern w:val="2"/>
          <w:sz w:val="32"/>
          <w:szCs w:val="32"/>
          <w:vertAlign w:val="baseline"/>
          <w:lang w:val="en-US" w:eastAsia="zh-CN" w:bidi="ar"/>
        </w:rPr>
        <w:t>4</w:t>
      </w:r>
      <w:r>
        <w:rPr>
          <w:rFonts w:hint="default" w:ascii="Times New Roman" w:hAnsi="Times New Roman" w:eastAsia="仿宋_GB2312" w:cs="Times New Roman"/>
          <w:color w:val="auto"/>
          <w:kern w:val="2"/>
          <w:sz w:val="32"/>
          <w:szCs w:val="32"/>
          <w:vertAlign w:val="baseline"/>
          <w:lang w:val="en-US" w:eastAsia="zh-CN" w:bidi="ar"/>
        </w:rPr>
        <w:t>）申报项目在</w:t>
      </w:r>
      <w:r>
        <w:rPr>
          <w:rFonts w:hint="default" w:ascii="Times New Roman" w:hAnsi="Times New Roman" w:eastAsia="仿宋_GB2312" w:cs="Times New Roman"/>
          <w:color w:val="auto"/>
          <w:kern w:val="2"/>
          <w:sz w:val="32"/>
          <w:szCs w:val="32"/>
          <w:highlight w:val="none"/>
          <w:vertAlign w:val="baseline"/>
          <w:lang w:val="en-US" w:eastAsia="zh-CN" w:bidi="ar"/>
        </w:rPr>
        <w:t>2025年1月1日至2025年12月31日</w:t>
      </w:r>
      <w:r>
        <w:rPr>
          <w:rFonts w:hint="default" w:ascii="Times New Roman" w:hAnsi="Times New Roman" w:eastAsia="仿宋_GB2312" w:cs="Times New Roman"/>
          <w:color w:val="auto"/>
          <w:kern w:val="2"/>
          <w:sz w:val="32"/>
          <w:szCs w:val="32"/>
          <w:vertAlign w:val="baseline"/>
          <w:lang w:val="en-US" w:eastAsia="zh-CN" w:bidi="ar"/>
        </w:rPr>
        <w:t>期间已购置生产设备发票金额需达到5000万元（含）。</w:t>
      </w:r>
    </w:p>
    <w:p w14:paraId="065F33F8">
      <w:pPr>
        <w:keepNext w:val="0"/>
        <w:keepLines w:val="0"/>
        <w:pageBreakBefore w:val="0"/>
        <w:widowControl w:val="0"/>
        <w:suppressLineNumbers w:val="0"/>
        <w:kinsoku/>
        <w:wordWrap/>
        <w:topLinePunct w:val="0"/>
        <w:autoSpaceDN/>
        <w:bidi w:val="0"/>
        <w:spacing w:before="0" w:beforeAutospacing="0" w:afterAutospacing="0" w:line="578" w:lineRule="exact"/>
        <w:ind w:left="0" w:right="0" w:firstLine="640" w:firstLineChars="200"/>
        <w:jc w:val="both"/>
        <w:textAlignment w:val="baseline"/>
        <w:rPr>
          <w:rFonts w:hint="default" w:ascii="Times New Roman" w:hAnsi="Times New Roman" w:eastAsia="仿宋_GB2312" w:cs="Times New Roman"/>
          <w:strike/>
          <w:dstrike w:val="0"/>
          <w:color w:val="auto"/>
          <w:kern w:val="2"/>
          <w:sz w:val="32"/>
          <w:szCs w:val="32"/>
          <w:vertAlign w:val="baseline"/>
        </w:rPr>
      </w:pPr>
      <w:r>
        <w:rPr>
          <w:rFonts w:hint="default" w:ascii="Times New Roman" w:hAnsi="Times New Roman" w:eastAsia="仿宋_GB2312" w:cs="Times New Roman"/>
          <w:color w:val="auto"/>
          <w:kern w:val="2"/>
          <w:sz w:val="32"/>
          <w:szCs w:val="32"/>
          <w:vertAlign w:val="baseline"/>
          <w:lang w:val="en-US" w:eastAsia="zh-CN" w:bidi="ar"/>
        </w:rPr>
        <w:t>（</w:t>
      </w:r>
      <w:r>
        <w:rPr>
          <w:rFonts w:hint="eastAsia" w:ascii="Times New Roman" w:hAnsi="Times New Roman" w:eastAsia="仿宋_GB2312" w:cs="Times New Roman"/>
          <w:color w:val="auto"/>
          <w:kern w:val="2"/>
          <w:sz w:val="32"/>
          <w:szCs w:val="32"/>
          <w:vertAlign w:val="baseline"/>
          <w:lang w:val="en-US" w:eastAsia="zh-CN" w:bidi="ar"/>
        </w:rPr>
        <w:t>5</w:t>
      </w:r>
      <w:r>
        <w:rPr>
          <w:rFonts w:hint="default" w:ascii="Times New Roman" w:hAnsi="Times New Roman" w:eastAsia="仿宋_GB2312" w:cs="Times New Roman"/>
          <w:color w:val="auto"/>
          <w:kern w:val="2"/>
          <w:sz w:val="32"/>
          <w:szCs w:val="32"/>
          <w:vertAlign w:val="baseline"/>
          <w:lang w:val="en-US" w:eastAsia="zh-CN" w:bidi="ar"/>
        </w:rPr>
        <w:t>）本政策与市级制造业贷款财政贴息政策可同时享受</w:t>
      </w:r>
      <w:r>
        <w:rPr>
          <w:rFonts w:hint="eastAsia" w:ascii="Times New Roman" w:hAnsi="Times New Roman" w:eastAsia="仿宋_GB2312" w:cs="Times New Roman"/>
          <w:color w:val="auto"/>
          <w:kern w:val="2"/>
          <w:sz w:val="32"/>
          <w:szCs w:val="32"/>
          <w:vertAlign w:val="baseline"/>
          <w:lang w:val="en-US" w:eastAsia="zh-CN" w:bidi="ar"/>
        </w:rPr>
        <w:t>。</w:t>
      </w:r>
    </w:p>
    <w:p w14:paraId="1E87C4FA">
      <w:pPr>
        <w:keepNext w:val="0"/>
        <w:keepLines w:val="0"/>
        <w:pageBreakBefore w:val="0"/>
        <w:widowControl w:val="0"/>
        <w:suppressLineNumbers w:val="0"/>
        <w:kinsoku/>
        <w:wordWrap/>
        <w:topLinePunct w:val="0"/>
        <w:autoSpaceDN/>
        <w:bidi w:val="0"/>
        <w:adjustRightInd w:val="0"/>
        <w:snapToGrid w:val="0"/>
        <w:spacing w:before="0" w:beforeAutospacing="0" w:afterAutospacing="0" w:line="578" w:lineRule="exact"/>
        <w:ind w:left="0" w:right="0" w:firstLine="643" w:firstLineChars="200"/>
        <w:jc w:val="both"/>
        <w:textAlignment w:val="baseline"/>
        <w:rPr>
          <w:rFonts w:hint="default" w:ascii="Times New Roman" w:hAnsi="Times New Roman" w:eastAsia="仿宋_GB2312" w:cs="Times New Roman"/>
          <w:color w:val="auto"/>
          <w:kern w:val="2"/>
          <w:sz w:val="32"/>
          <w:szCs w:val="32"/>
          <w:vertAlign w:val="baseline"/>
        </w:rPr>
      </w:pPr>
      <w:r>
        <w:rPr>
          <w:rFonts w:hint="default" w:ascii="Times New Roman" w:hAnsi="Times New Roman" w:eastAsia="仿宋_GB2312" w:cs="Times New Roman"/>
          <w:b/>
          <w:bCs/>
          <w:color w:val="auto"/>
          <w:kern w:val="2"/>
          <w:sz w:val="32"/>
          <w:szCs w:val="32"/>
          <w:vertAlign w:val="baseline"/>
          <w:lang w:val="en-US" w:eastAsia="zh-CN" w:bidi="ar"/>
        </w:rPr>
        <w:t>2.扶持标准。</w:t>
      </w:r>
      <w:r>
        <w:rPr>
          <w:rFonts w:hint="eastAsia" w:ascii="仿宋_GB2312" w:hAnsi="Times New Roman" w:eastAsia="仿宋_GB2312" w:cs="仿宋_GB2312"/>
          <w:color w:val="auto"/>
          <w:kern w:val="2"/>
          <w:sz w:val="32"/>
          <w:szCs w:val="32"/>
          <w:vertAlign w:val="baseline"/>
          <w:lang w:val="en-US" w:eastAsia="zh-CN" w:bidi="ar"/>
        </w:rPr>
        <w:t>对制造业企业设备投入</w:t>
      </w:r>
      <w:r>
        <w:rPr>
          <w:rFonts w:hint="default" w:ascii="Times New Roman" w:hAnsi="Times New Roman" w:eastAsia="仿宋_GB2312" w:cs="Times New Roman"/>
          <w:color w:val="auto"/>
          <w:kern w:val="2"/>
          <w:sz w:val="32"/>
          <w:szCs w:val="32"/>
          <w:vertAlign w:val="baseline"/>
          <w:lang w:val="en-US" w:eastAsia="zh-CN" w:bidi="ar"/>
        </w:rPr>
        <w:t>5000</w:t>
      </w:r>
      <w:r>
        <w:rPr>
          <w:rFonts w:hint="eastAsia" w:ascii="仿宋_GB2312" w:hAnsi="Times New Roman" w:eastAsia="仿宋_GB2312" w:cs="仿宋_GB2312"/>
          <w:color w:val="auto"/>
          <w:kern w:val="2"/>
          <w:sz w:val="32"/>
          <w:szCs w:val="32"/>
          <w:vertAlign w:val="baseline"/>
          <w:lang w:val="en-US" w:eastAsia="zh-CN" w:bidi="ar"/>
        </w:rPr>
        <w:t>万元以上的增资扩产或技术改造项目，按照设备投资额</w:t>
      </w:r>
      <w:r>
        <w:rPr>
          <w:rFonts w:hint="default" w:ascii="Times New Roman" w:hAnsi="Times New Roman" w:eastAsia="仿宋_GB2312" w:cs="Times New Roman"/>
          <w:color w:val="auto"/>
          <w:kern w:val="2"/>
          <w:sz w:val="32"/>
          <w:szCs w:val="32"/>
          <w:vertAlign w:val="baseline"/>
          <w:lang w:val="en-US" w:eastAsia="zh-CN" w:bidi="ar"/>
        </w:rPr>
        <w:t>5%</w:t>
      </w:r>
      <w:r>
        <w:rPr>
          <w:rFonts w:hint="eastAsia" w:ascii="仿宋_GB2312" w:hAnsi="Times New Roman" w:eastAsia="仿宋_GB2312" w:cs="仿宋_GB2312"/>
          <w:color w:val="auto"/>
          <w:kern w:val="2"/>
          <w:sz w:val="32"/>
          <w:szCs w:val="32"/>
          <w:vertAlign w:val="baseline"/>
          <w:lang w:val="en-US" w:eastAsia="zh-CN" w:bidi="ar"/>
        </w:rPr>
        <w:t>给予奖励。苏州各县级市（区）联动支持，苏州市级财政与县级市按</w:t>
      </w:r>
      <w:r>
        <w:rPr>
          <w:rFonts w:hint="default" w:ascii="Times New Roman" w:hAnsi="Times New Roman" w:eastAsia="仿宋_GB2312" w:cs="Times New Roman"/>
          <w:color w:val="auto"/>
          <w:kern w:val="2"/>
          <w:sz w:val="32"/>
          <w:szCs w:val="32"/>
          <w:vertAlign w:val="baseline"/>
          <w:lang w:val="en-US" w:eastAsia="zh-CN" w:bidi="ar"/>
        </w:rPr>
        <w:t>1:3</w:t>
      </w:r>
      <w:r>
        <w:rPr>
          <w:rFonts w:hint="eastAsia" w:ascii="仿宋_GB2312" w:hAnsi="Times New Roman" w:eastAsia="仿宋_GB2312" w:cs="仿宋_GB2312"/>
          <w:color w:val="auto"/>
          <w:kern w:val="2"/>
          <w:sz w:val="32"/>
          <w:szCs w:val="32"/>
          <w:vertAlign w:val="baseline"/>
          <w:lang w:val="en-US" w:eastAsia="zh-CN" w:bidi="ar"/>
        </w:rPr>
        <w:t>、与各区按</w:t>
      </w:r>
      <w:r>
        <w:rPr>
          <w:rFonts w:hint="default" w:ascii="Times New Roman" w:hAnsi="Times New Roman" w:eastAsia="仿宋_GB2312" w:cs="Times New Roman"/>
          <w:color w:val="auto"/>
          <w:kern w:val="2"/>
          <w:sz w:val="32"/>
          <w:szCs w:val="32"/>
          <w:vertAlign w:val="baseline"/>
          <w:lang w:val="en-US" w:eastAsia="zh-CN" w:bidi="ar"/>
        </w:rPr>
        <w:t>1:1</w:t>
      </w:r>
      <w:r>
        <w:rPr>
          <w:rFonts w:hint="eastAsia" w:ascii="仿宋_GB2312" w:hAnsi="Times New Roman" w:eastAsia="仿宋_GB2312" w:cs="仿宋_GB2312"/>
          <w:color w:val="auto"/>
          <w:kern w:val="2"/>
          <w:sz w:val="32"/>
          <w:szCs w:val="32"/>
          <w:vertAlign w:val="baseline"/>
          <w:lang w:val="en-US" w:eastAsia="zh-CN" w:bidi="ar"/>
        </w:rPr>
        <w:t>分级承担。</w:t>
      </w:r>
    </w:p>
    <w:p w14:paraId="33D1F0EA">
      <w:pPr>
        <w:keepNext w:val="0"/>
        <w:keepLines w:val="0"/>
        <w:pageBreakBefore w:val="0"/>
        <w:widowControl w:val="0"/>
        <w:suppressLineNumbers w:val="0"/>
        <w:kinsoku/>
        <w:wordWrap/>
        <w:topLinePunct w:val="0"/>
        <w:autoSpaceDN/>
        <w:bidi w:val="0"/>
        <w:spacing w:before="0" w:beforeAutospacing="0" w:afterAutospacing="0" w:line="578" w:lineRule="exact"/>
        <w:ind w:left="0" w:right="0" w:firstLine="643" w:firstLineChars="200"/>
        <w:jc w:val="both"/>
        <w:textAlignment w:val="baseline"/>
        <w:rPr>
          <w:rFonts w:hint="default" w:ascii="Times New Roman" w:hAnsi="Times New Roman" w:eastAsia="仿宋_GB2312" w:cs="Times New Roman"/>
          <w:b/>
          <w:bCs/>
          <w:color w:val="auto"/>
          <w:kern w:val="2"/>
          <w:sz w:val="32"/>
          <w:szCs w:val="32"/>
          <w:vertAlign w:val="baseline"/>
        </w:rPr>
      </w:pPr>
      <w:r>
        <w:rPr>
          <w:rFonts w:hint="eastAsia" w:ascii="Times New Roman" w:hAnsi="Times New Roman" w:eastAsia="仿宋_GB2312" w:cs="Times New Roman"/>
          <w:b/>
          <w:bCs/>
          <w:color w:val="auto"/>
          <w:kern w:val="2"/>
          <w:sz w:val="32"/>
          <w:szCs w:val="32"/>
          <w:vertAlign w:val="baseline"/>
          <w:lang w:val="en-US" w:eastAsia="zh-CN" w:bidi="ar"/>
        </w:rPr>
        <w:t>3</w:t>
      </w:r>
      <w:r>
        <w:rPr>
          <w:rFonts w:hint="default" w:ascii="Times New Roman" w:hAnsi="Times New Roman" w:eastAsia="仿宋_GB2312" w:cs="Times New Roman"/>
          <w:b/>
          <w:bCs/>
          <w:color w:val="auto"/>
          <w:kern w:val="2"/>
          <w:sz w:val="32"/>
          <w:szCs w:val="32"/>
          <w:vertAlign w:val="baseline"/>
          <w:lang w:val="en-US" w:eastAsia="zh-CN" w:bidi="ar"/>
        </w:rPr>
        <w:t>.</w:t>
      </w:r>
      <w:r>
        <w:rPr>
          <w:rFonts w:hint="eastAsia" w:ascii="仿宋_GB2312" w:hAnsi="Times New Roman" w:eastAsia="仿宋_GB2312" w:cs="仿宋_GB2312"/>
          <w:b/>
          <w:bCs/>
          <w:color w:val="auto"/>
          <w:kern w:val="2"/>
          <w:sz w:val="32"/>
          <w:szCs w:val="32"/>
          <w:vertAlign w:val="baseline"/>
          <w:lang w:val="en-US" w:eastAsia="zh-CN" w:bidi="ar"/>
        </w:rPr>
        <w:t>申报流程。</w:t>
      </w:r>
    </w:p>
    <w:p w14:paraId="37D025B2">
      <w:pPr>
        <w:keepNext w:val="0"/>
        <w:keepLines w:val="0"/>
        <w:pageBreakBefore w:val="0"/>
        <w:widowControl w:val="0"/>
        <w:suppressLineNumbers w:val="0"/>
        <w:kinsoku/>
        <w:wordWrap/>
        <w:topLinePunct w:val="0"/>
        <w:autoSpaceDN/>
        <w:bidi w:val="0"/>
        <w:spacing w:before="0" w:beforeAutospacing="0" w:afterAutospacing="0" w:line="578" w:lineRule="exact"/>
        <w:ind w:left="0" w:right="0" w:firstLine="640" w:firstLineChars="200"/>
        <w:jc w:val="both"/>
        <w:textAlignment w:val="baseline"/>
        <w:rPr>
          <w:rFonts w:hint="default" w:ascii="Times New Roman" w:hAnsi="Times New Roman" w:eastAsia="仿宋_GB2312" w:cs="Times New Roman"/>
          <w:color w:val="auto"/>
          <w:kern w:val="2"/>
          <w:sz w:val="32"/>
          <w:szCs w:val="32"/>
          <w:vertAlign w:val="baseline"/>
        </w:rPr>
      </w:pPr>
      <w:r>
        <w:rPr>
          <w:rFonts w:hint="eastAsia" w:ascii="仿宋_GB2312" w:hAnsi="Times New Roman" w:eastAsia="仿宋_GB2312" w:cs="仿宋_GB2312"/>
          <w:b w:val="0"/>
          <w:bCs w:val="0"/>
          <w:color w:val="auto"/>
          <w:kern w:val="2"/>
          <w:sz w:val="32"/>
          <w:szCs w:val="32"/>
          <w:vertAlign w:val="baseline"/>
          <w:lang w:val="en-US" w:eastAsia="zh-CN" w:bidi="ar"/>
        </w:rPr>
        <w:t>（</w:t>
      </w:r>
      <w:r>
        <w:rPr>
          <w:rFonts w:hint="eastAsia" w:ascii="Times New Roman" w:hAnsi="Times New Roman" w:eastAsia="仿宋_GB2312" w:cs="Times New Roman"/>
          <w:b w:val="0"/>
          <w:bCs w:val="0"/>
          <w:color w:val="auto"/>
          <w:kern w:val="2"/>
          <w:sz w:val="32"/>
          <w:szCs w:val="32"/>
          <w:vertAlign w:val="baseline"/>
          <w:lang w:val="en-US" w:eastAsia="zh-CN" w:bidi="ar"/>
        </w:rPr>
        <w:t>1</w:t>
      </w:r>
      <w:r>
        <w:rPr>
          <w:rFonts w:hint="eastAsia" w:ascii="仿宋_GB2312" w:hAnsi="Times New Roman" w:eastAsia="仿宋_GB2312" w:cs="仿宋_GB2312"/>
          <w:b w:val="0"/>
          <w:bCs w:val="0"/>
          <w:color w:val="auto"/>
          <w:kern w:val="2"/>
          <w:sz w:val="32"/>
          <w:szCs w:val="32"/>
          <w:vertAlign w:val="baseline"/>
          <w:lang w:val="en-US" w:eastAsia="zh-CN" w:bidi="ar"/>
        </w:rPr>
        <w:t>）项目核查。</w:t>
      </w:r>
      <w:r>
        <w:rPr>
          <w:rFonts w:hint="eastAsia" w:ascii="仿宋_GB2312" w:hAnsi="Times New Roman" w:eastAsia="仿宋_GB2312" w:cs="仿宋_GB2312"/>
          <w:color w:val="auto"/>
          <w:kern w:val="2"/>
          <w:sz w:val="32"/>
          <w:szCs w:val="32"/>
          <w:vertAlign w:val="baseline"/>
          <w:lang w:val="en-US" w:eastAsia="zh-CN" w:bidi="ar"/>
        </w:rPr>
        <w:t>企业申报结束后，各县级市（区）工信部门会同财政部门，对本地区项目进行审核，将项目真实性核查表上传系统。</w:t>
      </w:r>
    </w:p>
    <w:p w14:paraId="1253B434">
      <w:pPr>
        <w:keepNext w:val="0"/>
        <w:keepLines w:val="0"/>
        <w:pageBreakBefore w:val="0"/>
        <w:widowControl w:val="0"/>
        <w:suppressLineNumbers w:val="0"/>
        <w:kinsoku/>
        <w:wordWrap/>
        <w:topLinePunct w:val="0"/>
        <w:autoSpaceDN/>
        <w:bidi w:val="0"/>
        <w:spacing w:before="0" w:beforeAutospacing="0" w:afterAutospacing="0" w:line="578" w:lineRule="exact"/>
        <w:ind w:left="0" w:right="0" w:firstLine="640" w:firstLineChars="200"/>
        <w:jc w:val="both"/>
        <w:textAlignment w:val="baseline"/>
        <w:rPr>
          <w:rFonts w:hint="eastAsia" w:ascii="楷体_GB2312" w:hAnsi="Times New Roman" w:eastAsia="楷体_GB2312" w:cs="楷体_GB2312"/>
          <w:color w:val="auto"/>
          <w:kern w:val="2"/>
          <w:sz w:val="32"/>
          <w:szCs w:val="32"/>
          <w:lang w:val="en-US" w:eastAsia="zh-CN" w:bidi="ar"/>
        </w:rPr>
      </w:pPr>
      <w:r>
        <w:rPr>
          <w:rFonts w:hint="eastAsia" w:ascii="仿宋_GB2312" w:hAnsi="Times New Roman" w:eastAsia="仿宋_GB2312" w:cs="仿宋_GB2312"/>
          <w:b w:val="0"/>
          <w:bCs w:val="0"/>
          <w:color w:val="auto"/>
          <w:kern w:val="2"/>
          <w:sz w:val="32"/>
          <w:szCs w:val="32"/>
          <w:vertAlign w:val="baseline"/>
          <w:lang w:val="en-US" w:eastAsia="zh-CN" w:bidi="ar"/>
        </w:rPr>
        <w:t>（</w:t>
      </w:r>
      <w:r>
        <w:rPr>
          <w:rFonts w:hint="eastAsia" w:ascii="Times New Roman" w:hAnsi="Times New Roman" w:eastAsia="仿宋_GB2312" w:cs="Times New Roman"/>
          <w:b w:val="0"/>
          <w:bCs w:val="0"/>
          <w:color w:val="auto"/>
          <w:kern w:val="2"/>
          <w:sz w:val="32"/>
          <w:szCs w:val="32"/>
          <w:vertAlign w:val="baseline"/>
          <w:lang w:val="en-US" w:eastAsia="zh-CN" w:bidi="ar"/>
        </w:rPr>
        <w:t>2</w:t>
      </w:r>
      <w:r>
        <w:rPr>
          <w:rFonts w:hint="eastAsia" w:ascii="仿宋_GB2312" w:hAnsi="Times New Roman" w:eastAsia="仿宋_GB2312" w:cs="仿宋_GB2312"/>
          <w:b w:val="0"/>
          <w:bCs w:val="0"/>
          <w:color w:val="auto"/>
          <w:kern w:val="2"/>
          <w:sz w:val="32"/>
          <w:szCs w:val="32"/>
          <w:vertAlign w:val="baseline"/>
          <w:lang w:val="en-US" w:eastAsia="zh-CN" w:bidi="ar"/>
        </w:rPr>
        <w:t>）项目报送。</w:t>
      </w:r>
      <w:r>
        <w:rPr>
          <w:rFonts w:hint="eastAsia" w:ascii="仿宋_GB2312" w:hAnsi="Times New Roman" w:eastAsia="仿宋_GB2312" w:cs="仿宋_GB2312"/>
          <w:color w:val="auto"/>
          <w:kern w:val="2"/>
          <w:sz w:val="32"/>
          <w:szCs w:val="32"/>
          <w:vertAlign w:val="baseline"/>
          <w:lang w:val="en-US" w:eastAsia="zh-CN" w:bidi="ar"/>
        </w:rPr>
        <w:t>由各县级市（区）工信部门、财政部门联合行文并附盖章后的现场核查汇总表（表</w:t>
      </w:r>
      <w:r>
        <w:rPr>
          <w:rFonts w:hint="default" w:ascii="Times New Roman" w:hAnsi="Times New Roman" w:eastAsia="仿宋_GB2312" w:cs="Times New Roman"/>
          <w:color w:val="auto"/>
          <w:kern w:val="2"/>
          <w:sz w:val="32"/>
          <w:szCs w:val="32"/>
          <w:vertAlign w:val="baseline"/>
          <w:lang w:val="en-US" w:eastAsia="zh-CN" w:bidi="ar"/>
        </w:rPr>
        <w:t>1</w:t>
      </w:r>
      <w:r>
        <w:rPr>
          <w:rFonts w:hint="eastAsia" w:ascii="仿宋_GB2312" w:hAnsi="Times New Roman" w:eastAsia="仿宋_GB2312" w:cs="仿宋_GB2312"/>
          <w:color w:val="auto"/>
          <w:kern w:val="2"/>
          <w:sz w:val="32"/>
          <w:szCs w:val="32"/>
          <w:vertAlign w:val="baseline"/>
          <w:lang w:val="en-US" w:eastAsia="zh-CN" w:bidi="ar"/>
        </w:rPr>
        <w:t>）、项目审核汇总表（表</w:t>
      </w:r>
      <w:r>
        <w:rPr>
          <w:rFonts w:hint="default" w:ascii="Times New Roman" w:hAnsi="Times New Roman" w:eastAsia="仿宋_GB2312" w:cs="Times New Roman"/>
          <w:color w:val="auto"/>
          <w:kern w:val="2"/>
          <w:sz w:val="32"/>
          <w:szCs w:val="32"/>
          <w:vertAlign w:val="baseline"/>
          <w:lang w:val="en-US" w:eastAsia="zh-CN" w:bidi="ar"/>
        </w:rPr>
        <w:t>2</w:t>
      </w:r>
      <w:r>
        <w:rPr>
          <w:rFonts w:hint="eastAsia" w:ascii="仿宋_GB2312" w:hAnsi="Times New Roman" w:eastAsia="仿宋_GB2312" w:cs="仿宋_GB2312"/>
          <w:color w:val="auto"/>
          <w:kern w:val="2"/>
          <w:sz w:val="32"/>
          <w:szCs w:val="32"/>
          <w:vertAlign w:val="baseline"/>
          <w:lang w:val="en-US" w:eastAsia="zh-CN" w:bidi="ar"/>
        </w:rPr>
        <w:t>）一式三份报送。</w:t>
      </w:r>
    </w:p>
    <w:p w14:paraId="5FAC66F6">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楷体_GB2312"/>
          <w:color w:val="auto"/>
          <w:sz w:val="32"/>
          <w:highlight w:val="none"/>
        </w:rPr>
      </w:pPr>
      <w:r>
        <w:rPr>
          <w:rFonts w:hint="eastAsia" w:ascii="Times New Roman" w:hAnsi="Times New Roman" w:eastAsia="楷体_GB2312"/>
          <w:color w:val="auto"/>
          <w:sz w:val="32"/>
          <w:highlight w:val="none"/>
        </w:rPr>
        <w:t>（</w:t>
      </w:r>
      <w:r>
        <w:rPr>
          <w:rFonts w:hint="eastAsia" w:ascii="Times New Roman" w:hAnsi="Times New Roman" w:eastAsia="楷体_GB2312"/>
          <w:color w:val="auto"/>
          <w:sz w:val="32"/>
          <w:highlight w:val="none"/>
          <w:lang w:val="en-US" w:eastAsia="zh-CN"/>
        </w:rPr>
        <w:t>二</w:t>
      </w:r>
      <w:r>
        <w:rPr>
          <w:rFonts w:hint="eastAsia" w:ascii="Times New Roman" w:hAnsi="Times New Roman" w:eastAsia="楷体_GB2312"/>
          <w:color w:val="auto"/>
          <w:sz w:val="32"/>
          <w:highlight w:val="none"/>
        </w:rPr>
        <w:t>）低效工业用地转型项目</w:t>
      </w:r>
    </w:p>
    <w:p w14:paraId="7DD23459">
      <w:pPr>
        <w:keepNext w:val="0"/>
        <w:keepLines w:val="0"/>
        <w:pageBreakBefore w:val="0"/>
        <w:kinsoku/>
        <w:wordWrap/>
        <w:topLinePunct w:val="0"/>
        <w:autoSpaceDN/>
        <w:bidi w:val="0"/>
        <w:adjustRightInd w:val="0"/>
        <w:snapToGrid w:val="0"/>
        <w:spacing w:line="578" w:lineRule="exact"/>
        <w:ind w:firstLine="643" w:firstLineChars="200"/>
        <w:jc w:val="both"/>
        <w:rPr>
          <w:rFonts w:ascii="Times New Roman" w:hAnsi="Times New Roman" w:eastAsia="仿宋_GB2312"/>
          <w:b/>
          <w:bCs/>
          <w:color w:val="auto"/>
          <w:sz w:val="32"/>
          <w:highlight w:val="none"/>
        </w:rPr>
      </w:pPr>
      <w:r>
        <w:rPr>
          <w:rFonts w:ascii="Times New Roman" w:hAnsi="Times New Roman" w:eastAsia="仿宋_GB2312"/>
          <w:b/>
          <w:bCs/>
          <w:color w:val="auto"/>
          <w:sz w:val="32"/>
          <w:highlight w:val="none"/>
        </w:rPr>
        <w:t>1</w:t>
      </w:r>
      <w:r>
        <w:rPr>
          <w:rFonts w:hint="eastAsia" w:ascii="Times New Roman" w:hAnsi="Times New Roman" w:eastAsia="仿宋_GB2312"/>
          <w:b/>
          <w:bCs/>
          <w:color w:val="auto"/>
          <w:sz w:val="32"/>
          <w:highlight w:val="none"/>
        </w:rPr>
        <w:t>.</w:t>
      </w:r>
      <w:r>
        <w:rPr>
          <w:rFonts w:ascii="Times New Roman" w:hAnsi="Times New Roman" w:eastAsia="仿宋_GB2312"/>
          <w:b/>
          <w:bCs/>
          <w:color w:val="auto"/>
          <w:sz w:val="32"/>
          <w:highlight w:val="none"/>
        </w:rPr>
        <w:t>支持条件。</w:t>
      </w:r>
    </w:p>
    <w:p w14:paraId="2C279773">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仿宋_GB2312"/>
          <w:color w:val="auto"/>
          <w:sz w:val="32"/>
          <w:highlight w:val="none"/>
        </w:rPr>
      </w:pPr>
      <w:r>
        <w:rPr>
          <w:rFonts w:hint="eastAsia" w:ascii="Times New Roman" w:hAnsi="Times New Roman" w:eastAsia="仿宋_GB2312"/>
          <w:color w:val="auto"/>
          <w:sz w:val="32"/>
          <w:highlight w:val="none"/>
        </w:rPr>
        <w:t>（1）</w:t>
      </w:r>
      <w:r>
        <w:rPr>
          <w:rFonts w:ascii="Times New Roman" w:hAnsi="Times New Roman" w:eastAsia="仿宋_GB2312"/>
          <w:color w:val="auto"/>
          <w:sz w:val="32"/>
          <w:highlight w:val="none"/>
        </w:rPr>
        <w:t>项目实施地在苏州</w:t>
      </w:r>
      <w:r>
        <w:rPr>
          <w:rFonts w:hint="eastAsia" w:ascii="Times New Roman" w:hAnsi="Times New Roman" w:eastAsia="仿宋_GB2312"/>
          <w:color w:val="auto"/>
          <w:sz w:val="32"/>
          <w:highlight w:val="none"/>
        </w:rPr>
        <w:t>市域</w:t>
      </w:r>
      <w:r>
        <w:rPr>
          <w:rFonts w:ascii="Times New Roman" w:hAnsi="Times New Roman" w:eastAsia="仿宋_GB2312"/>
          <w:color w:val="auto"/>
          <w:sz w:val="32"/>
          <w:highlight w:val="none"/>
        </w:rPr>
        <w:t>内，</w:t>
      </w:r>
      <w:r>
        <w:rPr>
          <w:rFonts w:hint="eastAsia" w:ascii="Times New Roman" w:hAnsi="Times New Roman" w:eastAsia="仿宋_GB2312"/>
          <w:color w:val="auto"/>
          <w:sz w:val="32"/>
          <w:highlight w:val="none"/>
        </w:rPr>
        <w:t>202</w:t>
      </w:r>
      <w:r>
        <w:rPr>
          <w:rFonts w:hint="eastAsia" w:ascii="Times New Roman" w:hAnsi="Times New Roman" w:eastAsia="仿宋_GB2312"/>
          <w:color w:val="auto"/>
          <w:sz w:val="32"/>
          <w:highlight w:val="none"/>
          <w:lang w:val="en-US" w:eastAsia="zh-CN"/>
        </w:rPr>
        <w:t>5</w:t>
      </w:r>
      <w:r>
        <w:rPr>
          <w:rFonts w:hint="eastAsia" w:ascii="Times New Roman" w:hAnsi="Times New Roman" w:eastAsia="仿宋_GB2312"/>
          <w:color w:val="auto"/>
          <w:sz w:val="32"/>
          <w:highlight w:val="none"/>
        </w:rPr>
        <w:t>年度建成后容积率达到</w:t>
      </w:r>
      <w:r>
        <w:rPr>
          <w:rFonts w:ascii="Times New Roman" w:hAnsi="Times New Roman" w:eastAsia="仿宋_GB2312" w:cs="Times New Roman"/>
          <w:color w:val="auto"/>
          <w:sz w:val="32"/>
          <w:highlight w:val="none"/>
        </w:rPr>
        <w:t>3.0及以上</w:t>
      </w:r>
      <w:r>
        <w:rPr>
          <w:rFonts w:hint="eastAsia" w:ascii="Times New Roman" w:hAnsi="Times New Roman" w:eastAsia="仿宋_GB2312" w:cs="Times New Roman"/>
          <w:color w:val="auto"/>
          <w:sz w:val="32"/>
          <w:highlight w:val="none"/>
        </w:rPr>
        <w:t>。</w:t>
      </w:r>
    </w:p>
    <w:p w14:paraId="5B94D391">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仿宋_GB2312"/>
          <w:color w:val="auto"/>
          <w:sz w:val="32"/>
          <w:highlight w:val="none"/>
        </w:rPr>
      </w:pPr>
      <w:r>
        <w:rPr>
          <w:rFonts w:ascii="Times New Roman" w:hAnsi="Times New Roman" w:eastAsia="仿宋_GB2312"/>
          <w:color w:val="auto"/>
          <w:sz w:val="32"/>
          <w:highlight w:val="none"/>
        </w:rPr>
        <w:t>（</w:t>
      </w:r>
      <w:r>
        <w:rPr>
          <w:rFonts w:hint="eastAsia" w:ascii="Times New Roman" w:hAnsi="Times New Roman" w:eastAsia="仿宋_GB2312"/>
          <w:color w:val="auto"/>
          <w:sz w:val="32"/>
          <w:highlight w:val="none"/>
        </w:rPr>
        <w:t>2</w:t>
      </w:r>
      <w:r>
        <w:rPr>
          <w:rFonts w:ascii="Times New Roman" w:hAnsi="Times New Roman" w:eastAsia="仿宋_GB2312"/>
          <w:color w:val="auto"/>
          <w:sz w:val="32"/>
          <w:highlight w:val="none"/>
        </w:rPr>
        <w:t>）申报项目相关手续（</w:t>
      </w:r>
      <w:r>
        <w:rPr>
          <w:rFonts w:hint="eastAsia" w:ascii="Times New Roman" w:hAnsi="Times New Roman" w:eastAsia="仿宋_GB2312"/>
          <w:color w:val="auto"/>
          <w:sz w:val="32"/>
          <w:highlight w:val="none"/>
        </w:rPr>
        <w:t>备案</w:t>
      </w:r>
      <w:r>
        <w:rPr>
          <w:rFonts w:ascii="Times New Roman" w:hAnsi="Times New Roman" w:eastAsia="仿宋_GB2312"/>
          <w:color w:val="auto"/>
          <w:sz w:val="32"/>
          <w:highlight w:val="none"/>
        </w:rPr>
        <w:t>、规划、</w:t>
      </w:r>
      <w:r>
        <w:rPr>
          <w:rFonts w:hint="eastAsia" w:ascii="Times New Roman" w:hAnsi="Times New Roman" w:eastAsia="仿宋_GB2312"/>
          <w:color w:val="auto"/>
          <w:sz w:val="32"/>
          <w:highlight w:val="none"/>
        </w:rPr>
        <w:t>施工许可、竣工验收</w:t>
      </w:r>
      <w:r>
        <w:rPr>
          <w:rFonts w:ascii="Times New Roman" w:hAnsi="Times New Roman" w:eastAsia="仿宋_GB2312"/>
          <w:color w:val="auto"/>
          <w:sz w:val="32"/>
          <w:highlight w:val="none"/>
        </w:rPr>
        <w:t>等）齐全</w:t>
      </w:r>
      <w:r>
        <w:rPr>
          <w:rFonts w:hint="eastAsia" w:ascii="Times New Roman" w:hAnsi="Times New Roman" w:eastAsia="仿宋_GB2312"/>
          <w:color w:val="auto"/>
          <w:sz w:val="32"/>
          <w:highlight w:val="none"/>
        </w:rPr>
        <w:t>。</w:t>
      </w:r>
    </w:p>
    <w:p w14:paraId="1D8C7289">
      <w:pPr>
        <w:keepNext w:val="0"/>
        <w:keepLines w:val="0"/>
        <w:pageBreakBefore w:val="0"/>
        <w:kinsoku/>
        <w:wordWrap/>
        <w:topLinePunct w:val="0"/>
        <w:autoSpaceDN/>
        <w:bidi w:val="0"/>
        <w:adjustRightInd w:val="0"/>
        <w:snapToGrid w:val="0"/>
        <w:spacing w:line="578" w:lineRule="exact"/>
        <w:ind w:firstLine="643" w:firstLineChars="200"/>
        <w:jc w:val="both"/>
        <w:rPr>
          <w:rFonts w:hint="default" w:ascii="Times New Roman" w:hAnsi="Times New Roman" w:eastAsia="仿宋_GB2312" w:cs="Times New Roman"/>
          <w:color w:val="auto"/>
          <w:sz w:val="32"/>
          <w:szCs w:val="32"/>
          <w:lang w:val="en-US" w:eastAsia="zh-CN"/>
        </w:rPr>
      </w:pPr>
      <w:r>
        <w:rPr>
          <w:rFonts w:ascii="Times New Roman" w:hAnsi="Times New Roman" w:eastAsia="仿宋_GB2312"/>
          <w:b/>
          <w:bCs/>
          <w:color w:val="auto"/>
          <w:sz w:val="32"/>
          <w:highlight w:val="none"/>
        </w:rPr>
        <w:t>2</w:t>
      </w:r>
      <w:r>
        <w:rPr>
          <w:rFonts w:hint="eastAsia" w:ascii="Times New Roman" w:hAnsi="Times New Roman" w:eastAsia="仿宋_GB2312"/>
          <w:b/>
          <w:bCs/>
          <w:color w:val="auto"/>
          <w:sz w:val="32"/>
          <w:highlight w:val="none"/>
        </w:rPr>
        <w:t>.</w:t>
      </w:r>
      <w:r>
        <w:rPr>
          <w:rFonts w:ascii="Times New Roman" w:hAnsi="Times New Roman" w:eastAsia="仿宋_GB2312"/>
          <w:b/>
          <w:bCs/>
          <w:color w:val="auto"/>
          <w:sz w:val="32"/>
          <w:highlight w:val="none"/>
        </w:rPr>
        <w:t>扶持标准。</w:t>
      </w:r>
      <w:r>
        <w:rPr>
          <w:rFonts w:ascii="Times New Roman" w:hAnsi="Times New Roman" w:eastAsia="仿宋_GB2312" w:cs="Times New Roman"/>
          <w:color w:val="auto"/>
          <w:sz w:val="32"/>
          <w:highlight w:val="none"/>
        </w:rPr>
        <w:t>对符合规划要求，转型后容积率达到3.0及以上的优质项目，给予项目建安成本0.5%奖励，最高奖励1000万元</w:t>
      </w:r>
      <w:r>
        <w:rPr>
          <w:rFonts w:hint="eastAsia" w:ascii="Times New Roman" w:hAnsi="Times New Roman" w:eastAsia="仿宋_GB2312" w:cs="Times New Roman"/>
          <w:color w:val="auto"/>
          <w:sz w:val="32"/>
          <w:highlight w:val="none"/>
          <w:lang w:eastAsia="zh-CN"/>
        </w:rPr>
        <w:t>。</w:t>
      </w:r>
    </w:p>
    <w:p w14:paraId="51EFF84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trike/>
          <w:dstrike w:val="0"/>
          <w:color w:val="auto"/>
          <w:sz w:val="32"/>
          <w:szCs w:val="32"/>
          <w:lang w:val="en-US" w:eastAsia="zh-CN"/>
        </w:rPr>
      </w:pPr>
      <w:r>
        <w:rPr>
          <w:rFonts w:hint="eastAsia" w:ascii="楷体_GB2312" w:hAnsi="楷体_GB2312" w:eastAsia="楷体_GB2312" w:cs="楷体_GB2312"/>
          <w:color w:val="auto"/>
          <w:sz w:val="32"/>
          <w:szCs w:val="32"/>
          <w:lang w:val="en-US" w:eastAsia="zh-CN"/>
        </w:rPr>
        <w:t>（三）中小企业数字化转型城市试点优秀数字化服务商</w:t>
      </w:r>
    </w:p>
    <w:p w14:paraId="6DEBC8D8">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jc w:val="both"/>
        <w:textAlignment w:val="auto"/>
        <w:rPr>
          <w:rFonts w:hint="eastAsia" w:ascii="Times New Roman" w:hAnsi="Times New Roman" w:eastAsia="仿宋_GB2312"/>
          <w:b/>
          <w:bCs/>
          <w:color w:val="auto"/>
          <w:sz w:val="32"/>
          <w:highlight w:val="none"/>
          <w:lang w:val="en-US" w:eastAsia="zh-CN"/>
        </w:rPr>
      </w:pPr>
      <w:r>
        <w:rPr>
          <w:rFonts w:hint="eastAsia" w:ascii="Times New Roman" w:hAnsi="Times New Roman" w:eastAsia="仿宋_GB2312"/>
          <w:b/>
          <w:bCs/>
          <w:color w:val="auto"/>
          <w:sz w:val="32"/>
          <w:highlight w:val="none"/>
          <w:lang w:val="en-US" w:eastAsia="zh-CN"/>
        </w:rPr>
        <w:t>1.支持条件。</w:t>
      </w:r>
    </w:p>
    <w:p w14:paraId="4CB8B06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（1）申报单位在苏州大市范围从事“智改数转网联”相关生产经营活动（含分公司），在试点实施期内（2024年1月1日至2025年12月31日），参与已通过验收试点企业的数字化改造项目。</w:t>
      </w:r>
    </w:p>
    <w:p w14:paraId="72011F8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（2）申报单位应在中小企业数字化转型领域具有较深的行业知识积累、较好的工程实施能力和较为完善的行业服务生态，能够为中小企业持续稳定提供高质量服务</w:t>
      </w:r>
      <w:r>
        <w:rPr>
          <w:rFonts w:hint="default" w:ascii="Times New Roman" w:hAnsi="Times New Roman" w:eastAsia="仿宋_GB2312" w:cs="Times New Roman"/>
          <w:color w:val="auto"/>
          <w:sz w:val="32"/>
          <w:szCs w:val="32"/>
          <w:highlight w:val="none"/>
          <w:lang w:val="en-US" w:eastAsia="zh-CN"/>
        </w:rPr>
        <w:t>。</w:t>
      </w:r>
    </w:p>
    <w:p w14:paraId="1ED95471">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b/>
          <w:bCs/>
          <w:color w:val="auto"/>
          <w:sz w:val="32"/>
          <w:highlight w:val="none"/>
          <w:lang w:val="en-US" w:eastAsia="zh-CN"/>
        </w:rPr>
        <w:t>2.扶持标准。</w:t>
      </w:r>
      <w:r>
        <w:rPr>
          <w:rFonts w:hint="default" w:ascii="Times New Roman" w:hAnsi="Times New Roman" w:eastAsia="仿宋_GB2312" w:cs="Times New Roman"/>
          <w:color w:val="auto"/>
          <w:sz w:val="32"/>
          <w:szCs w:val="32"/>
          <w:lang w:val="en-US" w:eastAsia="zh-CN"/>
        </w:rPr>
        <w:t>对服务商</w:t>
      </w:r>
      <w:r>
        <w:rPr>
          <w:rFonts w:hint="default" w:ascii="Times New Roman" w:hAnsi="Times New Roman" w:eastAsia="仿宋_GB2312" w:cs="Times New Roman"/>
          <w:color w:val="auto"/>
          <w:sz w:val="32"/>
          <w:szCs w:val="32"/>
        </w:rPr>
        <w:t>在试点</w:t>
      </w:r>
      <w:r>
        <w:rPr>
          <w:rFonts w:hint="default" w:ascii="Times New Roman" w:hAnsi="Times New Roman" w:eastAsia="仿宋_GB2312" w:cs="Times New Roman"/>
          <w:color w:val="auto"/>
          <w:sz w:val="32"/>
          <w:szCs w:val="32"/>
          <w:lang w:val="en-US" w:eastAsia="zh-CN"/>
        </w:rPr>
        <w:t>期间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服务</w:t>
      </w:r>
      <w:r>
        <w:rPr>
          <w:rFonts w:hint="default" w:ascii="Times New Roman" w:hAnsi="Times New Roman" w:eastAsia="仿宋_GB2312" w:cs="Times New Roman"/>
          <w:color w:val="auto"/>
          <w:sz w:val="32"/>
          <w:szCs w:val="32"/>
          <w:lang w:val="en-US" w:eastAsia="zh-CN"/>
        </w:rPr>
        <w:t>试点</w:t>
      </w:r>
      <w:r>
        <w:rPr>
          <w:rFonts w:hint="default" w:ascii="Times New Roman" w:hAnsi="Times New Roman" w:eastAsia="仿宋_GB2312" w:cs="Times New Roman"/>
          <w:color w:val="auto"/>
          <w:sz w:val="32"/>
          <w:szCs w:val="32"/>
        </w:rPr>
        <w:t>企业数量、合同金额</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相关资质人员等情况</w:t>
      </w:r>
      <w:r>
        <w:rPr>
          <w:rFonts w:hint="default" w:ascii="Times New Roman" w:hAnsi="Times New Roman" w:eastAsia="仿宋_GB2312" w:cs="Times New Roman"/>
          <w:color w:val="auto"/>
          <w:sz w:val="32"/>
          <w:szCs w:val="32"/>
          <w:lang w:val="en-US" w:eastAsia="zh-CN"/>
        </w:rPr>
        <w:t>进行综合评价，遴选优秀数字化服务商</w:t>
      </w:r>
      <w:r>
        <w:rPr>
          <w:rFonts w:hint="default" w:ascii="Times New Roman" w:hAnsi="Times New Roman" w:eastAsia="仿宋_GB2312" w:cs="Times New Roman"/>
          <w:color w:val="auto"/>
          <w:sz w:val="32"/>
          <w:szCs w:val="32"/>
        </w:rPr>
        <w:t>给予</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万元奖励。</w:t>
      </w:r>
      <w:r>
        <w:rPr>
          <w:rFonts w:hint="default" w:ascii="Times New Roman" w:hAnsi="Times New Roman" w:eastAsia="仿宋_GB2312" w:cs="Times New Roman"/>
          <w:color w:val="auto"/>
          <w:sz w:val="32"/>
          <w:szCs w:val="32"/>
          <w:lang w:val="en-US" w:eastAsia="zh-CN"/>
        </w:rPr>
        <w:t>对已入选2025年优秀数字化服务商的企业不再予以支持。</w:t>
      </w:r>
    </w:p>
    <w:p w14:paraId="5990C76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（四）中小企业数字化转型城市试点优秀“小快轻准”数字化产品</w:t>
      </w:r>
    </w:p>
    <w:p w14:paraId="347FF6D4">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jc w:val="both"/>
        <w:textAlignment w:val="auto"/>
        <w:rPr>
          <w:rFonts w:hint="eastAsia" w:ascii="Times New Roman" w:hAnsi="Times New Roman" w:eastAsia="仿宋_GB2312"/>
          <w:b/>
          <w:bCs/>
          <w:color w:val="auto"/>
          <w:sz w:val="32"/>
          <w:highlight w:val="none"/>
          <w:lang w:val="en-US" w:eastAsia="zh-CN"/>
        </w:rPr>
      </w:pPr>
      <w:r>
        <w:rPr>
          <w:rFonts w:hint="eastAsia" w:ascii="Times New Roman" w:hAnsi="Times New Roman" w:eastAsia="仿宋_GB2312"/>
          <w:b/>
          <w:bCs/>
          <w:color w:val="auto"/>
          <w:sz w:val="32"/>
          <w:highlight w:val="none"/>
          <w:lang w:val="en-US" w:eastAsia="zh-CN"/>
        </w:rPr>
        <w:t>1.支持条件。</w:t>
      </w:r>
    </w:p>
    <w:p w14:paraId="735C255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（1）申报的“小快轻准”数字化产品应符合小型化、快速化、轻量化、精准化要求，具有核心技术及产品优势。</w:t>
      </w:r>
    </w:p>
    <w:p w14:paraId="7B2E45C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（2）申报的“小快轻准”数字化产品在试点实施期内（2024年1月1日至2025年12月31日），已在汽车整车、电子及零部件、电子元器件等重点行业企业中部署应用并获得良好成效。</w:t>
      </w:r>
    </w:p>
    <w:p w14:paraId="1A65C1B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（3）申报单位在苏州大市范围从事“智改数转网联”相关生产经营活动（含分公司）</w:t>
      </w:r>
      <w:r>
        <w:rPr>
          <w:rFonts w:hint="default" w:ascii="Times New Roman" w:hAnsi="Times New Roman" w:eastAsia="仿宋_GB2312" w:cs="Times New Roman"/>
          <w:color w:val="auto"/>
          <w:sz w:val="32"/>
          <w:szCs w:val="32"/>
          <w:highlight w:val="none"/>
          <w:lang w:val="en-US" w:eastAsia="zh-CN"/>
        </w:rPr>
        <w:t>。</w:t>
      </w:r>
    </w:p>
    <w:p w14:paraId="470811A3">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jc w:val="both"/>
        <w:textAlignment w:val="auto"/>
        <w:rPr>
          <w:rFonts w:hint="eastAsia" w:ascii="楷体_GB2312" w:hAnsi="Times New Roman" w:eastAsia="楷体_GB2312" w:cs="楷体_GB2312"/>
          <w:color w:val="auto"/>
          <w:kern w:val="2"/>
          <w:sz w:val="32"/>
          <w:szCs w:val="32"/>
          <w:lang w:val="en-US" w:eastAsia="zh-CN" w:bidi="ar"/>
        </w:rPr>
      </w:pPr>
      <w:r>
        <w:rPr>
          <w:rFonts w:hint="default" w:ascii="Times New Roman" w:hAnsi="Times New Roman" w:eastAsia="仿宋_GB2312" w:cs="Times New Roman"/>
          <w:b/>
          <w:bCs/>
          <w:color w:val="auto"/>
          <w:sz w:val="32"/>
          <w:highlight w:val="none"/>
          <w:lang w:val="en-US" w:eastAsia="zh-CN"/>
        </w:rPr>
        <w:t>2.扶持标准。</w:t>
      </w:r>
      <w:r>
        <w:rPr>
          <w:rFonts w:hint="default" w:ascii="Times New Roman" w:hAnsi="Times New Roman" w:eastAsia="仿宋_GB2312" w:cs="Times New Roman"/>
          <w:color w:val="auto"/>
          <w:sz w:val="32"/>
          <w:szCs w:val="32"/>
          <w:lang w:val="en-US" w:eastAsia="zh-CN"/>
        </w:rPr>
        <w:t>对数字化服务商提供的“小快轻准”数字化产品，对部署（应用）试点</w:t>
      </w:r>
      <w:r>
        <w:rPr>
          <w:rFonts w:hint="default" w:ascii="Times New Roman" w:hAnsi="Times New Roman" w:eastAsia="仿宋_GB2312" w:cs="Times New Roman"/>
          <w:color w:val="auto"/>
          <w:sz w:val="32"/>
          <w:szCs w:val="32"/>
        </w:rPr>
        <w:t>企业</w:t>
      </w:r>
      <w:r>
        <w:rPr>
          <w:rFonts w:hint="default" w:ascii="Times New Roman" w:hAnsi="Times New Roman" w:eastAsia="仿宋_GB2312" w:cs="Times New Roman"/>
          <w:color w:val="auto"/>
          <w:sz w:val="32"/>
          <w:szCs w:val="32"/>
          <w:lang w:val="en-US" w:eastAsia="zh-CN"/>
        </w:rPr>
        <w:t>数量</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涉及</w:t>
      </w:r>
      <w:r>
        <w:rPr>
          <w:rFonts w:hint="default" w:ascii="Times New Roman" w:hAnsi="Times New Roman" w:eastAsia="仿宋_GB2312" w:cs="Times New Roman"/>
          <w:color w:val="auto"/>
          <w:sz w:val="32"/>
          <w:szCs w:val="32"/>
        </w:rPr>
        <w:t>合同金额</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情况</w:t>
      </w:r>
      <w:r>
        <w:rPr>
          <w:rFonts w:hint="default" w:ascii="Times New Roman" w:hAnsi="Times New Roman" w:eastAsia="仿宋_GB2312" w:cs="Times New Roman"/>
          <w:color w:val="auto"/>
          <w:sz w:val="32"/>
          <w:szCs w:val="32"/>
          <w:lang w:val="en-US" w:eastAsia="zh-CN"/>
        </w:rPr>
        <w:t>进行综合评价，遴选优秀“小快轻准”数字化产品</w:t>
      </w:r>
      <w:r>
        <w:rPr>
          <w:rFonts w:hint="default" w:ascii="Times New Roman" w:hAnsi="Times New Roman" w:eastAsia="仿宋_GB2312" w:cs="Times New Roman"/>
          <w:color w:val="auto"/>
          <w:sz w:val="32"/>
          <w:szCs w:val="32"/>
        </w:rPr>
        <w:t>给予</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万元奖励。</w:t>
      </w:r>
      <w:r>
        <w:rPr>
          <w:rFonts w:hint="default" w:ascii="Times New Roman" w:hAnsi="Times New Roman" w:eastAsia="仿宋_GB2312" w:cs="Times New Roman"/>
          <w:color w:val="auto"/>
          <w:sz w:val="32"/>
          <w:szCs w:val="32"/>
          <w:lang w:val="en-US" w:eastAsia="zh-CN"/>
        </w:rPr>
        <w:t>同一单位累计最多支持2个“小快轻准”数字化产品。</w:t>
      </w:r>
    </w:p>
    <w:p w14:paraId="5332ABCE">
      <w:pPr>
        <w:keepNext w:val="0"/>
        <w:keepLines w:val="0"/>
        <w:pageBreakBefore w:val="0"/>
        <w:widowControl w:val="0"/>
        <w:suppressLineNumbers w:val="0"/>
        <w:kinsoku/>
        <w:wordWrap/>
        <w:topLinePunct w:val="0"/>
        <w:autoSpaceDN/>
        <w:bidi w:val="0"/>
        <w:adjustRightInd w:val="0"/>
        <w:snapToGrid w:val="0"/>
        <w:spacing w:before="0" w:beforeAutospacing="0" w:afterAutospacing="0" w:line="578" w:lineRule="exact"/>
        <w:ind w:left="0" w:right="0" w:firstLine="640" w:firstLineChars="200"/>
        <w:jc w:val="both"/>
        <w:rPr>
          <w:rFonts w:hint="default" w:ascii="Times New Roman" w:hAnsi="Times New Roman" w:eastAsia="楷体_GB2312" w:cs="Times New Roman"/>
          <w:color w:val="auto"/>
          <w:kern w:val="2"/>
          <w:sz w:val="32"/>
          <w:szCs w:val="32"/>
        </w:rPr>
      </w:pPr>
      <w:r>
        <w:rPr>
          <w:rFonts w:hint="eastAsia" w:ascii="楷体_GB2312" w:hAnsi="Times New Roman" w:eastAsia="楷体_GB2312" w:cs="楷体_GB2312"/>
          <w:color w:val="auto"/>
          <w:kern w:val="2"/>
          <w:sz w:val="32"/>
          <w:szCs w:val="32"/>
          <w:lang w:val="en-US" w:eastAsia="zh-CN" w:bidi="ar"/>
        </w:rPr>
        <w:t>（五）国家制造业“单项冠军”项目（免申即享）</w:t>
      </w:r>
    </w:p>
    <w:p w14:paraId="2EF80B7D">
      <w:pPr>
        <w:keepNext w:val="0"/>
        <w:keepLines w:val="0"/>
        <w:pageBreakBefore w:val="0"/>
        <w:widowControl w:val="0"/>
        <w:suppressLineNumbers w:val="0"/>
        <w:kinsoku/>
        <w:wordWrap/>
        <w:topLinePunct w:val="0"/>
        <w:autoSpaceDN/>
        <w:bidi w:val="0"/>
        <w:adjustRightInd w:val="0"/>
        <w:snapToGrid w:val="0"/>
        <w:spacing w:before="0" w:beforeAutospacing="0" w:afterAutospacing="0" w:line="578" w:lineRule="exact"/>
        <w:ind w:left="0" w:right="0" w:firstLine="643"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bCs/>
          <w:color w:val="auto"/>
          <w:kern w:val="2"/>
          <w:sz w:val="32"/>
          <w:szCs w:val="32"/>
          <w:lang w:val="en-US" w:eastAsia="zh-CN" w:bidi="ar"/>
        </w:rPr>
        <w:t>1.</w:t>
      </w:r>
      <w:r>
        <w:rPr>
          <w:rFonts w:hint="eastAsia" w:ascii="仿宋_GB2312" w:hAnsi="Times New Roman" w:eastAsia="仿宋_GB2312" w:cs="仿宋_GB2312"/>
          <w:b/>
          <w:bCs/>
          <w:color w:val="auto"/>
          <w:kern w:val="2"/>
          <w:sz w:val="32"/>
          <w:szCs w:val="32"/>
          <w:lang w:val="en-US" w:eastAsia="zh-CN" w:bidi="ar"/>
        </w:rPr>
        <w:t>支持条件。</w:t>
      </w:r>
      <w:r>
        <w:rPr>
          <w:rFonts w:hint="default" w:ascii="Times New Roman" w:hAnsi="Times New Roman" w:eastAsia="仿宋_GB2312" w:cs="Times New Roman"/>
          <w:color w:val="auto"/>
          <w:kern w:val="2"/>
          <w:sz w:val="32"/>
          <w:szCs w:val="32"/>
          <w:lang w:val="en-US" w:eastAsia="zh-CN" w:bidi="ar"/>
        </w:rPr>
        <w:t>2024</w:t>
      </w:r>
      <w:r>
        <w:rPr>
          <w:rFonts w:hint="eastAsia" w:ascii="仿宋_GB2312" w:hAnsi="Times New Roman" w:eastAsia="仿宋_GB2312" w:cs="仿宋_GB2312"/>
          <w:color w:val="auto"/>
          <w:kern w:val="2"/>
          <w:sz w:val="32"/>
          <w:szCs w:val="32"/>
          <w:lang w:val="en-US" w:eastAsia="zh-CN" w:bidi="ar"/>
        </w:rPr>
        <w:t>年认定为国家制造业“单项冠军”。</w:t>
      </w:r>
    </w:p>
    <w:p w14:paraId="45EBA6D5">
      <w:pPr>
        <w:keepNext w:val="0"/>
        <w:keepLines w:val="0"/>
        <w:pageBreakBefore w:val="0"/>
        <w:widowControl w:val="0"/>
        <w:suppressLineNumbers w:val="0"/>
        <w:kinsoku/>
        <w:wordWrap/>
        <w:topLinePunct w:val="0"/>
        <w:autoSpaceDN/>
        <w:bidi w:val="0"/>
        <w:adjustRightInd w:val="0"/>
        <w:snapToGrid w:val="0"/>
        <w:spacing w:before="0" w:beforeAutospacing="0" w:afterAutospacing="0" w:line="578" w:lineRule="exact"/>
        <w:ind w:left="0" w:right="0" w:firstLine="643"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bCs/>
          <w:color w:val="auto"/>
          <w:kern w:val="2"/>
          <w:sz w:val="32"/>
          <w:szCs w:val="32"/>
          <w:lang w:val="en-US" w:eastAsia="zh-CN" w:bidi="ar"/>
        </w:rPr>
        <w:t>2.</w:t>
      </w:r>
      <w:r>
        <w:rPr>
          <w:rFonts w:hint="eastAsia" w:ascii="仿宋_GB2312" w:hAnsi="Times New Roman" w:eastAsia="仿宋_GB2312" w:cs="仿宋_GB2312"/>
          <w:b/>
          <w:bCs/>
          <w:color w:val="auto"/>
          <w:kern w:val="2"/>
          <w:sz w:val="32"/>
          <w:szCs w:val="32"/>
          <w:lang w:val="en-US" w:eastAsia="zh-CN" w:bidi="ar"/>
        </w:rPr>
        <w:t>扶持标准。</w:t>
      </w:r>
      <w:r>
        <w:rPr>
          <w:rFonts w:hint="eastAsia" w:ascii="仿宋_GB2312" w:hAnsi="Times New Roman" w:eastAsia="仿宋_GB2312" w:cs="仿宋_GB2312"/>
          <w:color w:val="auto"/>
          <w:kern w:val="2"/>
          <w:sz w:val="32"/>
          <w:szCs w:val="32"/>
          <w:lang w:val="en-US" w:eastAsia="zh-CN" w:bidi="ar"/>
        </w:rPr>
        <w:t>对符合条件的国家制造业“单项冠军”给予</w:t>
      </w:r>
      <w:r>
        <w:rPr>
          <w:rFonts w:hint="default" w:ascii="Times New Roman" w:hAnsi="Times New Roman" w:eastAsia="仿宋_GB2312" w:cs="Times New Roman"/>
          <w:color w:val="auto"/>
          <w:kern w:val="2"/>
          <w:sz w:val="32"/>
          <w:szCs w:val="32"/>
          <w:lang w:val="en-US" w:eastAsia="zh-CN" w:bidi="ar"/>
        </w:rPr>
        <w:t>100</w:t>
      </w:r>
      <w:r>
        <w:rPr>
          <w:rFonts w:hint="eastAsia" w:ascii="仿宋_GB2312" w:hAnsi="Times New Roman" w:eastAsia="仿宋_GB2312" w:cs="仿宋_GB2312"/>
          <w:color w:val="auto"/>
          <w:kern w:val="2"/>
          <w:sz w:val="32"/>
          <w:szCs w:val="32"/>
          <w:lang w:val="en-US" w:eastAsia="zh-CN" w:bidi="ar"/>
        </w:rPr>
        <w:t>万元奖励。</w:t>
      </w:r>
    </w:p>
    <w:p w14:paraId="2DC13A45">
      <w:pPr>
        <w:keepNext w:val="0"/>
        <w:keepLines w:val="0"/>
        <w:pageBreakBefore w:val="0"/>
        <w:widowControl w:val="0"/>
        <w:suppressLineNumbers w:val="0"/>
        <w:kinsoku/>
        <w:wordWrap/>
        <w:topLinePunct w:val="0"/>
        <w:autoSpaceDN/>
        <w:bidi w:val="0"/>
        <w:adjustRightInd w:val="0"/>
        <w:snapToGrid w:val="0"/>
        <w:spacing w:before="0" w:beforeAutospacing="0" w:afterAutospacing="0" w:line="578" w:lineRule="exact"/>
        <w:ind w:left="0" w:right="0" w:firstLine="640" w:firstLineChars="200"/>
        <w:jc w:val="both"/>
        <w:rPr>
          <w:rFonts w:hint="default" w:ascii="Times New Roman" w:hAnsi="Times New Roman" w:eastAsia="楷体_GB2312" w:cs="Times New Roman"/>
          <w:color w:val="auto"/>
          <w:kern w:val="2"/>
          <w:sz w:val="32"/>
          <w:szCs w:val="32"/>
        </w:rPr>
      </w:pPr>
      <w:r>
        <w:rPr>
          <w:rFonts w:hint="eastAsia" w:ascii="楷体_GB2312" w:hAnsi="Times New Roman" w:eastAsia="楷体_GB2312" w:cs="楷体_GB2312"/>
          <w:color w:val="auto"/>
          <w:kern w:val="2"/>
          <w:sz w:val="32"/>
          <w:szCs w:val="32"/>
          <w:lang w:val="en-US" w:eastAsia="zh-CN" w:bidi="ar"/>
        </w:rPr>
        <w:t>（六）国家级专精特新“小巨人”企业项目（免申即享）</w:t>
      </w:r>
    </w:p>
    <w:p w14:paraId="6D851189">
      <w:pPr>
        <w:keepNext w:val="0"/>
        <w:keepLines w:val="0"/>
        <w:pageBreakBefore w:val="0"/>
        <w:widowControl w:val="0"/>
        <w:suppressLineNumbers w:val="0"/>
        <w:kinsoku/>
        <w:wordWrap/>
        <w:topLinePunct w:val="0"/>
        <w:autoSpaceDN/>
        <w:bidi w:val="0"/>
        <w:adjustRightInd w:val="0"/>
        <w:snapToGrid w:val="0"/>
        <w:spacing w:before="0" w:beforeAutospacing="0" w:afterAutospacing="0" w:line="578" w:lineRule="exact"/>
        <w:ind w:left="0" w:right="0" w:firstLine="643"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bCs/>
          <w:color w:val="auto"/>
          <w:kern w:val="2"/>
          <w:sz w:val="32"/>
          <w:szCs w:val="32"/>
          <w:lang w:val="en-US" w:eastAsia="zh-CN" w:bidi="ar"/>
        </w:rPr>
        <w:t>1.</w:t>
      </w:r>
      <w:r>
        <w:rPr>
          <w:rFonts w:hint="eastAsia" w:ascii="仿宋_GB2312" w:hAnsi="Times New Roman" w:eastAsia="仿宋_GB2312" w:cs="仿宋_GB2312"/>
          <w:b/>
          <w:bCs/>
          <w:color w:val="auto"/>
          <w:kern w:val="2"/>
          <w:sz w:val="32"/>
          <w:szCs w:val="32"/>
          <w:lang w:val="en-US" w:eastAsia="zh-CN" w:bidi="ar"/>
        </w:rPr>
        <w:t>支持条件。</w:t>
      </w:r>
      <w:r>
        <w:rPr>
          <w:rFonts w:hint="default" w:ascii="Times New Roman" w:hAnsi="Times New Roman" w:eastAsia="仿宋_GB2312" w:cs="Times New Roman"/>
          <w:color w:val="auto"/>
          <w:kern w:val="2"/>
          <w:sz w:val="32"/>
          <w:szCs w:val="32"/>
          <w:lang w:val="en-US" w:eastAsia="zh-CN" w:bidi="ar"/>
        </w:rPr>
        <w:t>2024</w:t>
      </w:r>
      <w:r>
        <w:rPr>
          <w:rFonts w:hint="eastAsia" w:ascii="仿宋_GB2312" w:hAnsi="Times New Roman" w:eastAsia="仿宋_GB2312" w:cs="仿宋_GB2312"/>
          <w:color w:val="auto"/>
          <w:kern w:val="2"/>
          <w:sz w:val="32"/>
          <w:szCs w:val="32"/>
          <w:lang w:val="en-US" w:eastAsia="zh-CN" w:bidi="ar"/>
        </w:rPr>
        <w:t>年认定为国家级专精特新“小巨人”企业。</w:t>
      </w:r>
    </w:p>
    <w:p w14:paraId="765D95A2">
      <w:pPr>
        <w:keepNext w:val="0"/>
        <w:keepLines w:val="0"/>
        <w:pageBreakBefore w:val="0"/>
        <w:widowControl w:val="0"/>
        <w:suppressLineNumbers w:val="0"/>
        <w:kinsoku/>
        <w:wordWrap/>
        <w:topLinePunct w:val="0"/>
        <w:autoSpaceDN/>
        <w:bidi w:val="0"/>
        <w:adjustRightInd w:val="0"/>
        <w:snapToGrid w:val="0"/>
        <w:spacing w:before="0" w:beforeAutospacing="0" w:afterAutospacing="0" w:line="578" w:lineRule="exact"/>
        <w:ind w:left="0" w:right="0" w:firstLine="643" w:firstLineChars="200"/>
        <w:jc w:val="both"/>
        <w:rPr>
          <w:rFonts w:hint="eastAsia" w:ascii="仿宋_GB2312" w:hAnsi="Times New Roman" w:eastAsia="仿宋_GB2312" w:cs="仿宋_GB2312"/>
          <w:color w:val="auto"/>
          <w:kern w:val="2"/>
          <w:sz w:val="32"/>
          <w:szCs w:val="32"/>
          <w:lang w:val="en-US" w:eastAsia="zh-CN" w:bidi="ar"/>
        </w:rPr>
      </w:pPr>
      <w:r>
        <w:rPr>
          <w:rFonts w:hint="default" w:ascii="Times New Roman" w:hAnsi="Times New Roman" w:eastAsia="仿宋_GB2312" w:cs="Times New Roman"/>
          <w:b/>
          <w:bCs/>
          <w:color w:val="auto"/>
          <w:kern w:val="2"/>
          <w:sz w:val="32"/>
          <w:szCs w:val="32"/>
          <w:lang w:val="en-US" w:eastAsia="zh-CN" w:bidi="ar"/>
        </w:rPr>
        <w:t>2.</w:t>
      </w:r>
      <w:r>
        <w:rPr>
          <w:rFonts w:hint="eastAsia" w:ascii="仿宋_GB2312" w:hAnsi="Times New Roman" w:eastAsia="仿宋_GB2312" w:cs="仿宋_GB2312"/>
          <w:b/>
          <w:bCs/>
          <w:color w:val="auto"/>
          <w:kern w:val="2"/>
          <w:sz w:val="32"/>
          <w:szCs w:val="32"/>
          <w:lang w:val="en-US" w:eastAsia="zh-CN" w:bidi="ar"/>
        </w:rPr>
        <w:t>扶持标准。</w:t>
      </w:r>
      <w:r>
        <w:rPr>
          <w:rFonts w:hint="eastAsia" w:ascii="仿宋_GB2312" w:hAnsi="Times New Roman" w:eastAsia="仿宋_GB2312" w:cs="仿宋_GB2312"/>
          <w:color w:val="auto"/>
          <w:kern w:val="2"/>
          <w:sz w:val="32"/>
          <w:szCs w:val="32"/>
          <w:lang w:val="en-US" w:eastAsia="zh-CN" w:bidi="ar"/>
        </w:rPr>
        <w:t>对符合条件的国家级专精特新“小巨人”企业给予</w:t>
      </w:r>
      <w:r>
        <w:rPr>
          <w:rFonts w:hint="default" w:ascii="Times New Roman" w:hAnsi="Times New Roman" w:eastAsia="仿宋_GB2312" w:cs="Times New Roman"/>
          <w:color w:val="auto"/>
          <w:kern w:val="2"/>
          <w:sz w:val="32"/>
          <w:szCs w:val="32"/>
          <w:lang w:val="en-US" w:eastAsia="zh-CN" w:bidi="ar"/>
        </w:rPr>
        <w:t>40</w:t>
      </w:r>
      <w:r>
        <w:rPr>
          <w:rFonts w:hint="eastAsia" w:ascii="仿宋_GB2312" w:hAnsi="Times New Roman" w:eastAsia="仿宋_GB2312" w:cs="仿宋_GB2312"/>
          <w:color w:val="auto"/>
          <w:kern w:val="2"/>
          <w:sz w:val="32"/>
          <w:szCs w:val="32"/>
          <w:lang w:val="en-US" w:eastAsia="zh-CN" w:bidi="ar"/>
        </w:rPr>
        <w:t>万元奖励。</w:t>
      </w:r>
    </w:p>
    <w:p w14:paraId="651AAEEC">
      <w:pPr>
        <w:keepNext w:val="0"/>
        <w:keepLines w:val="0"/>
        <w:pageBreakBefore w:val="0"/>
        <w:widowControl w:val="0"/>
        <w:suppressLineNumbers w:val="0"/>
        <w:kinsoku/>
        <w:wordWrap/>
        <w:topLinePunct w:val="0"/>
        <w:autoSpaceDN/>
        <w:bidi w:val="0"/>
        <w:adjustRightInd w:val="0"/>
        <w:snapToGrid w:val="0"/>
        <w:spacing w:before="0" w:beforeAutospacing="0" w:afterAutospacing="0" w:line="578" w:lineRule="exact"/>
        <w:ind w:left="0" w:right="0" w:firstLine="640" w:firstLineChars="200"/>
        <w:jc w:val="both"/>
        <w:rPr>
          <w:rFonts w:hint="eastAsia" w:ascii="Times New Roman" w:hAnsi="Times New Roman" w:eastAsia="楷体_GB2312" w:cs="Times New Roman"/>
          <w:color w:val="auto"/>
          <w:kern w:val="2"/>
          <w:sz w:val="32"/>
          <w:szCs w:val="32"/>
        </w:rPr>
      </w:pPr>
      <w:r>
        <w:rPr>
          <w:rFonts w:hint="eastAsia" w:ascii="楷体_GB2312" w:hAnsi="Times New Roman" w:eastAsia="楷体_GB2312" w:cs="楷体_GB2312"/>
          <w:color w:val="auto"/>
          <w:kern w:val="2"/>
          <w:sz w:val="32"/>
          <w:szCs w:val="32"/>
          <w:lang w:val="en-US" w:eastAsia="zh-CN" w:bidi="ar"/>
        </w:rPr>
        <w:t>（七）国家级特色产业集群项目（免申即享）</w:t>
      </w:r>
    </w:p>
    <w:p w14:paraId="7D349E49">
      <w:pPr>
        <w:keepNext w:val="0"/>
        <w:keepLines w:val="0"/>
        <w:pageBreakBefore w:val="0"/>
        <w:widowControl w:val="0"/>
        <w:suppressLineNumbers w:val="0"/>
        <w:kinsoku/>
        <w:wordWrap/>
        <w:topLinePunct w:val="0"/>
        <w:autoSpaceDN/>
        <w:bidi w:val="0"/>
        <w:adjustRightInd w:val="0"/>
        <w:snapToGrid w:val="0"/>
        <w:spacing w:before="0" w:beforeAutospacing="0" w:afterAutospacing="0" w:line="578" w:lineRule="exact"/>
        <w:ind w:left="0" w:right="0" w:firstLine="643"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bCs/>
          <w:color w:val="auto"/>
          <w:kern w:val="2"/>
          <w:sz w:val="32"/>
          <w:szCs w:val="32"/>
          <w:lang w:val="en-US" w:eastAsia="zh-CN" w:bidi="ar"/>
        </w:rPr>
        <w:t>1.</w:t>
      </w:r>
      <w:r>
        <w:rPr>
          <w:rFonts w:hint="eastAsia" w:ascii="仿宋_GB2312" w:hAnsi="Times New Roman" w:eastAsia="仿宋_GB2312" w:cs="仿宋_GB2312"/>
          <w:b/>
          <w:bCs/>
          <w:color w:val="auto"/>
          <w:kern w:val="2"/>
          <w:sz w:val="32"/>
          <w:szCs w:val="32"/>
          <w:lang w:val="en-US" w:eastAsia="zh-CN" w:bidi="ar"/>
        </w:rPr>
        <w:t>支持条件。</w:t>
      </w:r>
      <w:r>
        <w:rPr>
          <w:rFonts w:hint="default" w:ascii="Times New Roman" w:hAnsi="Times New Roman" w:eastAsia="仿宋_GB2312" w:cs="Times New Roman"/>
          <w:color w:val="auto"/>
          <w:kern w:val="2"/>
          <w:sz w:val="32"/>
          <w:szCs w:val="32"/>
          <w:lang w:val="en-US" w:eastAsia="zh-CN" w:bidi="ar"/>
        </w:rPr>
        <w:t>2025</w:t>
      </w:r>
      <w:r>
        <w:rPr>
          <w:rFonts w:hint="eastAsia" w:ascii="仿宋_GB2312" w:hAnsi="Times New Roman" w:eastAsia="仿宋_GB2312" w:cs="仿宋_GB2312"/>
          <w:color w:val="auto"/>
          <w:kern w:val="2"/>
          <w:sz w:val="32"/>
          <w:szCs w:val="32"/>
          <w:lang w:val="en-US" w:eastAsia="zh-CN" w:bidi="ar"/>
        </w:rPr>
        <w:t>年认定为国家级特色产业集群的项目。</w:t>
      </w:r>
    </w:p>
    <w:p w14:paraId="0A78B3BD">
      <w:pPr>
        <w:keepNext w:val="0"/>
        <w:keepLines w:val="0"/>
        <w:pageBreakBefore w:val="0"/>
        <w:widowControl w:val="0"/>
        <w:suppressLineNumbers w:val="0"/>
        <w:kinsoku/>
        <w:wordWrap/>
        <w:topLinePunct w:val="0"/>
        <w:autoSpaceDN/>
        <w:bidi w:val="0"/>
        <w:adjustRightInd w:val="0"/>
        <w:snapToGrid w:val="0"/>
        <w:spacing w:before="0" w:beforeAutospacing="0" w:afterAutospacing="0" w:line="578" w:lineRule="exact"/>
        <w:ind w:left="0" w:right="0" w:firstLine="643" w:firstLineChars="200"/>
        <w:jc w:val="both"/>
        <w:rPr>
          <w:rFonts w:hint="default" w:ascii="仿宋_GB2312" w:hAnsi="Times New Roman" w:eastAsia="仿宋_GB2312" w:cs="仿宋_GB2312"/>
          <w:color w:val="auto"/>
          <w:kern w:val="2"/>
          <w:sz w:val="32"/>
          <w:szCs w:val="32"/>
          <w:lang w:val="en-US" w:eastAsia="zh-CN" w:bidi="ar"/>
        </w:rPr>
      </w:pPr>
      <w:r>
        <w:rPr>
          <w:rFonts w:hint="default" w:ascii="Times New Roman" w:hAnsi="Times New Roman" w:eastAsia="仿宋_GB2312" w:cs="Times New Roman"/>
          <w:b/>
          <w:bCs/>
          <w:color w:val="auto"/>
          <w:kern w:val="2"/>
          <w:sz w:val="32"/>
          <w:szCs w:val="32"/>
          <w:lang w:val="en-US" w:eastAsia="zh-CN" w:bidi="ar"/>
        </w:rPr>
        <w:t>2.</w:t>
      </w:r>
      <w:r>
        <w:rPr>
          <w:rFonts w:hint="eastAsia" w:ascii="仿宋_GB2312" w:hAnsi="Times New Roman" w:eastAsia="仿宋_GB2312" w:cs="仿宋_GB2312"/>
          <w:b/>
          <w:bCs/>
          <w:color w:val="auto"/>
          <w:kern w:val="2"/>
          <w:sz w:val="32"/>
          <w:szCs w:val="32"/>
          <w:lang w:val="en-US" w:eastAsia="zh-CN" w:bidi="ar"/>
        </w:rPr>
        <w:t>扶持标准。</w:t>
      </w:r>
      <w:r>
        <w:rPr>
          <w:rFonts w:hint="eastAsia" w:ascii="仿宋_GB2312" w:hAnsi="Times New Roman" w:eastAsia="仿宋_GB2312" w:cs="仿宋_GB2312"/>
          <w:color w:val="auto"/>
          <w:kern w:val="2"/>
          <w:sz w:val="32"/>
          <w:szCs w:val="32"/>
          <w:lang w:val="en-US" w:eastAsia="zh-CN" w:bidi="ar"/>
        </w:rPr>
        <w:t>对符合条件的国家级特色</w:t>
      </w:r>
      <w:bookmarkStart w:id="0" w:name="_GoBack"/>
      <w:bookmarkEnd w:id="0"/>
      <w:r>
        <w:rPr>
          <w:rFonts w:hint="eastAsia" w:ascii="仿宋_GB2312" w:hAnsi="Times New Roman" w:eastAsia="仿宋_GB2312" w:cs="仿宋_GB2312"/>
          <w:color w:val="auto"/>
          <w:kern w:val="2"/>
          <w:sz w:val="32"/>
          <w:szCs w:val="32"/>
          <w:lang w:val="en-US" w:eastAsia="zh-CN" w:bidi="ar"/>
        </w:rPr>
        <w:t>产业集群给予</w:t>
      </w:r>
      <w:r>
        <w:rPr>
          <w:rFonts w:hint="default" w:ascii="Times New Roman" w:hAnsi="Times New Roman" w:eastAsia="仿宋_GB2312" w:cs="Times New Roman"/>
          <w:color w:val="auto"/>
          <w:kern w:val="2"/>
          <w:sz w:val="32"/>
          <w:szCs w:val="32"/>
          <w:lang w:val="en-US" w:eastAsia="zh-CN" w:bidi="ar"/>
        </w:rPr>
        <w:t>300</w:t>
      </w:r>
      <w:r>
        <w:rPr>
          <w:rFonts w:hint="eastAsia" w:ascii="仿宋_GB2312" w:hAnsi="Times New Roman" w:eastAsia="仿宋_GB2312" w:cs="仿宋_GB2312"/>
          <w:color w:val="auto"/>
          <w:kern w:val="2"/>
          <w:sz w:val="32"/>
          <w:szCs w:val="32"/>
          <w:lang w:val="en-US" w:eastAsia="zh-CN" w:bidi="ar"/>
        </w:rPr>
        <w:t>万元奖励。</w:t>
      </w:r>
    </w:p>
    <w:p w14:paraId="057B797A">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楷体_GB2312"/>
          <w:color w:val="auto"/>
          <w:sz w:val="32"/>
        </w:rPr>
      </w:pPr>
      <w:r>
        <w:rPr>
          <w:rFonts w:hint="eastAsia" w:ascii="Times New Roman" w:hAnsi="Times New Roman" w:eastAsia="楷体_GB2312"/>
          <w:color w:val="auto"/>
          <w:sz w:val="32"/>
        </w:rPr>
        <w:t>（</w:t>
      </w:r>
      <w:r>
        <w:rPr>
          <w:rFonts w:hint="eastAsia" w:ascii="Times New Roman" w:hAnsi="Times New Roman" w:eastAsia="楷体_GB2312"/>
          <w:color w:val="auto"/>
          <w:sz w:val="32"/>
          <w:lang w:val="en-US" w:eastAsia="zh-CN"/>
        </w:rPr>
        <w:t>八</w:t>
      </w:r>
      <w:r>
        <w:rPr>
          <w:rFonts w:hint="eastAsia" w:ascii="Times New Roman" w:hAnsi="Times New Roman" w:eastAsia="楷体_GB2312"/>
          <w:color w:val="auto"/>
          <w:sz w:val="32"/>
        </w:rPr>
        <w:t>）工信部制造业高质量发展专项项目（免申即享）</w:t>
      </w:r>
    </w:p>
    <w:p w14:paraId="6CEFFF7B">
      <w:pPr>
        <w:keepNext w:val="0"/>
        <w:keepLines w:val="0"/>
        <w:pageBreakBefore w:val="0"/>
        <w:kinsoku/>
        <w:wordWrap/>
        <w:topLinePunct w:val="0"/>
        <w:autoSpaceDN/>
        <w:bidi w:val="0"/>
        <w:adjustRightInd w:val="0"/>
        <w:snapToGrid w:val="0"/>
        <w:spacing w:line="578" w:lineRule="exact"/>
        <w:ind w:firstLine="643" w:firstLineChars="200"/>
        <w:jc w:val="both"/>
        <w:rPr>
          <w:rFonts w:ascii="Times New Roman" w:hAnsi="Times New Roman" w:eastAsia="仿宋_GB2312"/>
          <w:color w:val="auto"/>
          <w:sz w:val="32"/>
        </w:rPr>
      </w:pPr>
      <w:r>
        <w:rPr>
          <w:rFonts w:ascii="Times New Roman" w:hAnsi="Times New Roman" w:eastAsia="仿宋_GB2312"/>
          <w:b/>
          <w:bCs/>
          <w:color w:val="auto"/>
          <w:sz w:val="32"/>
        </w:rPr>
        <w:t>1</w:t>
      </w:r>
      <w:r>
        <w:rPr>
          <w:rFonts w:hint="eastAsia" w:ascii="Times New Roman" w:hAnsi="Times New Roman" w:eastAsia="仿宋_GB2312"/>
          <w:b/>
          <w:bCs/>
          <w:color w:val="auto"/>
          <w:sz w:val="32"/>
        </w:rPr>
        <w:t>.</w:t>
      </w:r>
      <w:r>
        <w:rPr>
          <w:rFonts w:ascii="Times New Roman" w:hAnsi="Times New Roman" w:eastAsia="仿宋_GB2312"/>
          <w:b/>
          <w:bCs/>
          <w:color w:val="auto"/>
          <w:sz w:val="32"/>
        </w:rPr>
        <w:t>支持条件。</w:t>
      </w:r>
      <w:r>
        <w:rPr>
          <w:rFonts w:hint="eastAsia" w:ascii="Times New Roman" w:hAnsi="Times New Roman" w:eastAsia="仿宋_GB2312"/>
          <w:color w:val="auto"/>
          <w:sz w:val="32"/>
        </w:rPr>
        <w:t>支持列入工信部制造业高质量发展专项重大项目，且在202</w:t>
      </w:r>
      <w:r>
        <w:rPr>
          <w:rFonts w:hint="eastAsia" w:ascii="Times New Roman" w:hAnsi="Times New Roman" w:eastAsia="仿宋_GB2312"/>
          <w:color w:val="auto"/>
          <w:sz w:val="32"/>
          <w:lang w:val="en-US" w:eastAsia="zh-CN"/>
        </w:rPr>
        <w:t>4</w:t>
      </w:r>
      <w:r>
        <w:rPr>
          <w:rFonts w:hint="eastAsia" w:ascii="Times New Roman" w:hAnsi="Times New Roman" w:eastAsia="仿宋_GB2312"/>
          <w:color w:val="auto"/>
          <w:sz w:val="32"/>
        </w:rPr>
        <w:t>年度</w:t>
      </w:r>
      <w:r>
        <w:rPr>
          <w:rFonts w:hint="eastAsia" w:ascii="Times New Roman" w:hAnsi="Times New Roman" w:eastAsia="仿宋_GB2312"/>
          <w:color w:val="auto"/>
          <w:sz w:val="32"/>
          <w:lang w:eastAsia="zh-CN"/>
        </w:rPr>
        <w:t>、</w:t>
      </w:r>
      <w:r>
        <w:rPr>
          <w:rFonts w:hint="eastAsia" w:ascii="Times New Roman" w:hAnsi="Times New Roman" w:eastAsia="仿宋_GB2312"/>
          <w:color w:val="auto"/>
          <w:sz w:val="32"/>
          <w:lang w:val="en-US" w:eastAsia="zh-CN"/>
        </w:rPr>
        <w:t>2025年度</w:t>
      </w:r>
      <w:r>
        <w:rPr>
          <w:rFonts w:hint="eastAsia" w:ascii="Times New Roman" w:hAnsi="Times New Roman" w:eastAsia="仿宋_GB2312"/>
          <w:color w:val="auto"/>
          <w:sz w:val="32"/>
        </w:rPr>
        <w:t>完成验收的企业。</w:t>
      </w:r>
    </w:p>
    <w:p w14:paraId="4E28FA6F">
      <w:pPr>
        <w:keepNext w:val="0"/>
        <w:keepLines w:val="0"/>
        <w:pageBreakBefore w:val="0"/>
        <w:kinsoku/>
        <w:wordWrap/>
        <w:topLinePunct w:val="0"/>
        <w:autoSpaceDN/>
        <w:bidi w:val="0"/>
        <w:adjustRightInd w:val="0"/>
        <w:snapToGrid w:val="0"/>
        <w:spacing w:line="578" w:lineRule="exact"/>
        <w:ind w:firstLine="643" w:firstLineChars="200"/>
        <w:jc w:val="both"/>
        <w:rPr>
          <w:rFonts w:ascii="Times New Roman" w:hAnsi="Times New Roman" w:eastAsia="仿宋_GB2312"/>
          <w:color w:val="auto"/>
          <w:sz w:val="32"/>
        </w:rPr>
      </w:pPr>
      <w:r>
        <w:rPr>
          <w:rFonts w:ascii="Times New Roman" w:hAnsi="Times New Roman" w:eastAsia="仿宋_GB2312"/>
          <w:b/>
          <w:bCs/>
          <w:color w:val="auto"/>
          <w:sz w:val="32"/>
        </w:rPr>
        <w:t>2</w:t>
      </w:r>
      <w:r>
        <w:rPr>
          <w:rFonts w:hint="eastAsia" w:ascii="Times New Roman" w:hAnsi="Times New Roman" w:eastAsia="仿宋_GB2312"/>
          <w:b/>
          <w:bCs/>
          <w:color w:val="auto"/>
          <w:sz w:val="32"/>
        </w:rPr>
        <w:t>.</w:t>
      </w:r>
      <w:r>
        <w:rPr>
          <w:rFonts w:ascii="Times New Roman" w:hAnsi="Times New Roman" w:eastAsia="仿宋_GB2312"/>
          <w:b/>
          <w:bCs/>
          <w:color w:val="auto"/>
          <w:sz w:val="32"/>
        </w:rPr>
        <w:t>扶持标准。</w:t>
      </w:r>
      <w:r>
        <w:rPr>
          <w:rFonts w:ascii="Times New Roman" w:hAnsi="Times New Roman" w:eastAsia="仿宋_GB2312"/>
          <w:color w:val="auto"/>
          <w:sz w:val="32"/>
        </w:rPr>
        <w:t>对符合条件的企业</w:t>
      </w:r>
      <w:r>
        <w:rPr>
          <w:rFonts w:hint="eastAsia" w:ascii="Times New Roman" w:hAnsi="Times New Roman" w:eastAsia="仿宋_GB2312"/>
          <w:color w:val="auto"/>
          <w:sz w:val="32"/>
        </w:rPr>
        <w:t>给予一次性</w:t>
      </w:r>
      <w:r>
        <w:rPr>
          <w:rFonts w:ascii="Times New Roman" w:hAnsi="Times New Roman" w:eastAsia="仿宋_GB2312"/>
          <w:color w:val="auto"/>
          <w:sz w:val="32"/>
        </w:rPr>
        <w:t>奖励</w:t>
      </w:r>
      <w:r>
        <w:rPr>
          <w:rFonts w:hint="eastAsia" w:ascii="Times New Roman" w:hAnsi="Times New Roman" w:eastAsia="仿宋_GB2312"/>
          <w:color w:val="auto"/>
          <w:sz w:val="32"/>
        </w:rPr>
        <w:t>3</w:t>
      </w:r>
      <w:r>
        <w:rPr>
          <w:rFonts w:ascii="Times New Roman" w:hAnsi="Times New Roman" w:eastAsia="仿宋_GB2312"/>
          <w:color w:val="auto"/>
          <w:sz w:val="32"/>
        </w:rPr>
        <w:t>00万元。</w:t>
      </w:r>
    </w:p>
    <w:p w14:paraId="294F66FC">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楷体_GB2312"/>
          <w:color w:val="auto"/>
          <w:sz w:val="32"/>
          <w:highlight w:val="none"/>
        </w:rPr>
      </w:pPr>
      <w:r>
        <w:rPr>
          <w:rFonts w:hint="eastAsia" w:ascii="Times New Roman" w:hAnsi="Times New Roman" w:eastAsia="楷体_GB2312"/>
          <w:color w:val="auto"/>
          <w:sz w:val="32"/>
          <w:highlight w:val="none"/>
        </w:rPr>
        <w:t>（</w:t>
      </w:r>
      <w:r>
        <w:rPr>
          <w:rFonts w:hint="eastAsia" w:ascii="Times New Roman" w:hAnsi="Times New Roman" w:eastAsia="楷体_GB2312"/>
          <w:color w:val="auto"/>
          <w:sz w:val="32"/>
          <w:highlight w:val="none"/>
          <w:lang w:val="en-US" w:eastAsia="zh-CN"/>
        </w:rPr>
        <w:t>九</w:t>
      </w:r>
      <w:r>
        <w:rPr>
          <w:rFonts w:hint="eastAsia" w:ascii="Times New Roman" w:hAnsi="Times New Roman" w:eastAsia="楷体_GB2312"/>
          <w:color w:val="auto"/>
          <w:sz w:val="32"/>
          <w:highlight w:val="none"/>
        </w:rPr>
        <w:t>）</w:t>
      </w:r>
      <w:r>
        <w:rPr>
          <w:rFonts w:hint="eastAsia" w:ascii="Times New Roman" w:hAnsi="Times New Roman" w:eastAsia="楷体_GB2312"/>
          <w:color w:val="auto"/>
          <w:sz w:val="32"/>
          <w:highlight w:val="none"/>
          <w:lang w:eastAsia="zh-CN"/>
        </w:rPr>
        <w:t>（</w:t>
      </w:r>
      <w:r>
        <w:rPr>
          <w:rFonts w:hint="eastAsia" w:ascii="Times New Roman" w:hAnsi="Times New Roman" w:eastAsia="楷体_GB2312"/>
          <w:color w:val="auto"/>
          <w:sz w:val="32"/>
          <w:highlight w:val="none"/>
          <w:lang w:val="en-US" w:eastAsia="zh-CN"/>
        </w:rPr>
        <w:t>近）</w:t>
      </w:r>
      <w:r>
        <w:rPr>
          <w:rFonts w:hint="eastAsia" w:ascii="Times New Roman" w:hAnsi="Times New Roman" w:eastAsia="楷体_GB2312"/>
          <w:color w:val="auto"/>
          <w:sz w:val="32"/>
          <w:highlight w:val="none"/>
        </w:rPr>
        <w:t>零碳工厂建设项目（免申即享）</w:t>
      </w:r>
    </w:p>
    <w:p w14:paraId="28778205">
      <w:pPr>
        <w:keepNext w:val="0"/>
        <w:keepLines w:val="0"/>
        <w:pageBreakBefore w:val="0"/>
        <w:kinsoku/>
        <w:wordWrap/>
        <w:topLinePunct w:val="0"/>
        <w:autoSpaceDN/>
        <w:bidi w:val="0"/>
        <w:adjustRightInd w:val="0"/>
        <w:snapToGrid w:val="0"/>
        <w:spacing w:line="578" w:lineRule="exact"/>
        <w:ind w:firstLine="643" w:firstLineChars="200"/>
        <w:jc w:val="both"/>
        <w:rPr>
          <w:rFonts w:ascii="Times New Roman" w:hAnsi="Times New Roman" w:eastAsia="仿宋_GB2312"/>
          <w:color w:val="auto"/>
          <w:sz w:val="32"/>
          <w:highlight w:val="none"/>
        </w:rPr>
      </w:pPr>
      <w:r>
        <w:rPr>
          <w:rFonts w:hint="eastAsia" w:ascii="Times New Roman" w:hAnsi="Times New Roman" w:eastAsia="仿宋_GB2312"/>
          <w:b/>
          <w:bCs/>
          <w:color w:val="auto"/>
          <w:sz w:val="32"/>
          <w:highlight w:val="none"/>
        </w:rPr>
        <w:t>1.</w:t>
      </w:r>
      <w:r>
        <w:rPr>
          <w:rFonts w:ascii="Times New Roman" w:hAnsi="Times New Roman" w:eastAsia="仿宋_GB2312"/>
          <w:b/>
          <w:bCs/>
          <w:color w:val="auto"/>
          <w:sz w:val="32"/>
          <w:highlight w:val="none"/>
        </w:rPr>
        <w:t>支持条件。</w:t>
      </w:r>
      <w:r>
        <w:rPr>
          <w:rFonts w:hint="eastAsia" w:ascii="Times New Roman" w:hAnsi="Times New Roman" w:eastAsia="仿宋_GB2312"/>
          <w:color w:val="auto"/>
          <w:sz w:val="32"/>
          <w:highlight w:val="none"/>
        </w:rPr>
        <w:t>202</w:t>
      </w:r>
      <w:r>
        <w:rPr>
          <w:rFonts w:hint="eastAsia" w:ascii="Times New Roman" w:hAnsi="Times New Roman" w:eastAsia="仿宋_GB2312"/>
          <w:color w:val="auto"/>
          <w:sz w:val="32"/>
          <w:highlight w:val="none"/>
          <w:lang w:val="en-US" w:eastAsia="zh-CN"/>
        </w:rPr>
        <w:t>5</w:t>
      </w:r>
      <w:r>
        <w:rPr>
          <w:rFonts w:hint="eastAsia" w:ascii="Times New Roman" w:hAnsi="Times New Roman" w:eastAsia="仿宋_GB2312"/>
          <w:color w:val="auto"/>
          <w:sz w:val="32"/>
          <w:highlight w:val="none"/>
        </w:rPr>
        <w:t>年</w:t>
      </w:r>
      <w:r>
        <w:rPr>
          <w:rFonts w:hint="eastAsia" w:ascii="Times New Roman" w:hAnsi="Times New Roman" w:eastAsia="仿宋_GB2312"/>
          <w:color w:val="auto"/>
          <w:sz w:val="32"/>
          <w:highlight w:val="none"/>
          <w:lang w:val="en-US" w:eastAsia="zh-CN"/>
        </w:rPr>
        <w:t>市级</w:t>
      </w:r>
      <w:r>
        <w:rPr>
          <w:rFonts w:hint="eastAsia" w:ascii="Times New Roman" w:hAnsi="Times New Roman" w:eastAsia="仿宋_GB2312"/>
          <w:color w:val="auto"/>
          <w:sz w:val="32"/>
          <w:highlight w:val="none"/>
        </w:rPr>
        <w:t>零碳</w:t>
      </w:r>
      <w:r>
        <w:rPr>
          <w:rFonts w:hint="eastAsia" w:ascii="Times New Roman" w:hAnsi="Times New Roman" w:eastAsia="仿宋_GB2312"/>
          <w:color w:val="auto"/>
          <w:sz w:val="32"/>
          <w:highlight w:val="none"/>
          <w:lang w:eastAsia="zh-CN"/>
        </w:rPr>
        <w:t>（</w:t>
      </w:r>
      <w:r>
        <w:rPr>
          <w:rFonts w:hint="eastAsia" w:ascii="Times New Roman" w:hAnsi="Times New Roman" w:eastAsia="仿宋_GB2312"/>
          <w:color w:val="auto"/>
          <w:sz w:val="32"/>
          <w:highlight w:val="none"/>
          <w:lang w:val="en-US" w:eastAsia="zh-CN"/>
        </w:rPr>
        <w:t>近零碳）工厂</w:t>
      </w:r>
      <w:r>
        <w:rPr>
          <w:rFonts w:hint="eastAsia" w:ascii="Times New Roman" w:hAnsi="Times New Roman" w:eastAsia="仿宋_GB2312"/>
          <w:color w:val="auto"/>
          <w:sz w:val="32"/>
          <w:highlight w:val="none"/>
        </w:rPr>
        <w:t>建设工作成效突出的企业</w:t>
      </w:r>
      <w:r>
        <w:rPr>
          <w:rFonts w:ascii="Times New Roman" w:hAnsi="Times New Roman" w:eastAsia="仿宋_GB2312"/>
          <w:color w:val="auto"/>
          <w:sz w:val="32"/>
          <w:highlight w:val="none"/>
        </w:rPr>
        <w:t>。</w:t>
      </w:r>
    </w:p>
    <w:p w14:paraId="3F34D137">
      <w:pPr>
        <w:keepNext w:val="0"/>
        <w:keepLines w:val="0"/>
        <w:pageBreakBefore w:val="0"/>
        <w:kinsoku/>
        <w:wordWrap/>
        <w:topLinePunct w:val="0"/>
        <w:autoSpaceDN/>
        <w:bidi w:val="0"/>
        <w:adjustRightInd w:val="0"/>
        <w:snapToGrid w:val="0"/>
        <w:spacing w:line="578" w:lineRule="exact"/>
        <w:ind w:firstLine="643" w:firstLineChars="200"/>
        <w:jc w:val="both"/>
        <w:rPr>
          <w:rFonts w:ascii="Times New Roman" w:hAnsi="Times New Roman" w:eastAsia="仿宋_GB2312"/>
          <w:color w:val="auto"/>
          <w:sz w:val="32"/>
          <w:highlight w:val="none"/>
        </w:rPr>
      </w:pPr>
      <w:r>
        <w:rPr>
          <w:rFonts w:ascii="Times New Roman" w:hAnsi="Times New Roman" w:eastAsia="仿宋_GB2312"/>
          <w:b/>
          <w:bCs/>
          <w:color w:val="auto"/>
          <w:sz w:val="32"/>
          <w:highlight w:val="none"/>
        </w:rPr>
        <w:t>2</w:t>
      </w:r>
      <w:r>
        <w:rPr>
          <w:rFonts w:hint="eastAsia" w:ascii="Times New Roman" w:hAnsi="Times New Roman" w:eastAsia="仿宋_GB2312"/>
          <w:b/>
          <w:bCs/>
          <w:color w:val="auto"/>
          <w:sz w:val="32"/>
          <w:highlight w:val="none"/>
        </w:rPr>
        <w:t>.</w:t>
      </w:r>
      <w:r>
        <w:rPr>
          <w:rFonts w:ascii="Times New Roman" w:hAnsi="Times New Roman" w:eastAsia="仿宋_GB2312"/>
          <w:b/>
          <w:bCs/>
          <w:color w:val="auto"/>
          <w:sz w:val="32"/>
          <w:highlight w:val="none"/>
        </w:rPr>
        <w:t>扶持标准。</w:t>
      </w:r>
      <w:r>
        <w:rPr>
          <w:rFonts w:ascii="Times New Roman" w:hAnsi="Times New Roman" w:eastAsia="仿宋_GB2312"/>
          <w:color w:val="auto"/>
          <w:sz w:val="32"/>
          <w:highlight w:val="none"/>
        </w:rPr>
        <w:t>对符合条件的</w:t>
      </w:r>
      <w:r>
        <w:rPr>
          <w:rFonts w:hint="eastAsia" w:ascii="Times New Roman" w:hAnsi="Times New Roman" w:eastAsia="仿宋_GB2312"/>
          <w:color w:val="auto"/>
          <w:sz w:val="32"/>
          <w:highlight w:val="none"/>
          <w:lang w:val="en-US" w:eastAsia="zh-CN"/>
        </w:rPr>
        <w:t>市级</w:t>
      </w:r>
      <w:r>
        <w:rPr>
          <w:rFonts w:hint="eastAsia" w:ascii="Times New Roman" w:hAnsi="Times New Roman" w:eastAsia="仿宋_GB2312"/>
          <w:color w:val="auto"/>
          <w:sz w:val="32"/>
          <w:highlight w:val="none"/>
        </w:rPr>
        <w:t>零碳工厂建设工作成效突出的企业</w:t>
      </w:r>
      <w:r>
        <w:rPr>
          <w:rFonts w:ascii="Times New Roman" w:hAnsi="Times New Roman" w:eastAsia="仿宋_GB2312"/>
          <w:color w:val="auto"/>
          <w:sz w:val="32"/>
          <w:highlight w:val="none"/>
        </w:rPr>
        <w:t>给予</w:t>
      </w:r>
      <w:r>
        <w:rPr>
          <w:rFonts w:hint="eastAsia" w:ascii="Times New Roman" w:hAnsi="Times New Roman" w:eastAsia="仿宋_GB2312"/>
          <w:color w:val="auto"/>
          <w:sz w:val="32"/>
          <w:highlight w:val="none"/>
        </w:rPr>
        <w:t>80万元</w:t>
      </w:r>
      <w:r>
        <w:rPr>
          <w:rFonts w:ascii="Times New Roman" w:hAnsi="Times New Roman" w:eastAsia="仿宋_GB2312"/>
          <w:color w:val="auto"/>
          <w:sz w:val="32"/>
          <w:highlight w:val="none"/>
        </w:rPr>
        <w:t>奖励</w:t>
      </w:r>
      <w:r>
        <w:rPr>
          <w:rFonts w:hint="eastAsia" w:ascii="Times New Roman" w:hAnsi="Times New Roman" w:eastAsia="仿宋_GB2312"/>
          <w:color w:val="auto"/>
          <w:sz w:val="32"/>
          <w:highlight w:val="none"/>
        </w:rPr>
        <w:t>（需扣除已获得的</w:t>
      </w:r>
      <w:r>
        <w:rPr>
          <w:rFonts w:hint="eastAsia" w:ascii="Times New Roman" w:hAnsi="Times New Roman" w:eastAsia="仿宋_GB2312"/>
          <w:color w:val="auto"/>
          <w:sz w:val="32"/>
          <w:highlight w:val="none"/>
          <w:lang w:val="en-US" w:eastAsia="zh-CN"/>
        </w:rPr>
        <w:t>市级</w:t>
      </w:r>
      <w:r>
        <w:rPr>
          <w:rFonts w:hint="eastAsia" w:ascii="Times New Roman" w:hAnsi="Times New Roman" w:eastAsia="仿宋_GB2312"/>
          <w:color w:val="auto"/>
          <w:sz w:val="32"/>
          <w:highlight w:val="none"/>
        </w:rPr>
        <w:t>近零碳工厂奖励）</w:t>
      </w:r>
      <w:r>
        <w:rPr>
          <w:rFonts w:ascii="Times New Roman" w:hAnsi="Times New Roman" w:eastAsia="仿宋_GB2312"/>
          <w:color w:val="auto"/>
          <w:sz w:val="32"/>
          <w:highlight w:val="none"/>
        </w:rPr>
        <w:t>。对符合条件的</w:t>
      </w:r>
      <w:r>
        <w:rPr>
          <w:rFonts w:hint="eastAsia" w:ascii="Times New Roman" w:hAnsi="Times New Roman" w:eastAsia="仿宋_GB2312"/>
          <w:color w:val="auto"/>
          <w:sz w:val="32"/>
          <w:highlight w:val="none"/>
          <w:lang w:val="en-US" w:eastAsia="zh-CN"/>
        </w:rPr>
        <w:t>市级近</w:t>
      </w:r>
      <w:r>
        <w:rPr>
          <w:rFonts w:hint="eastAsia" w:ascii="Times New Roman" w:hAnsi="Times New Roman" w:eastAsia="仿宋_GB2312"/>
          <w:color w:val="auto"/>
          <w:sz w:val="32"/>
          <w:highlight w:val="none"/>
        </w:rPr>
        <w:t>零碳工厂建设工作成效突出的企业</w:t>
      </w:r>
      <w:r>
        <w:rPr>
          <w:rFonts w:ascii="Times New Roman" w:hAnsi="Times New Roman" w:eastAsia="仿宋_GB2312"/>
          <w:color w:val="auto"/>
          <w:sz w:val="32"/>
          <w:highlight w:val="none"/>
        </w:rPr>
        <w:t>给予</w:t>
      </w:r>
      <w:r>
        <w:rPr>
          <w:rFonts w:hint="eastAsia" w:ascii="Times New Roman" w:hAnsi="Times New Roman" w:eastAsia="仿宋_GB2312"/>
          <w:color w:val="auto"/>
          <w:sz w:val="32"/>
          <w:highlight w:val="none"/>
          <w:lang w:val="en-US" w:eastAsia="zh-CN"/>
        </w:rPr>
        <w:t>50</w:t>
      </w:r>
      <w:r>
        <w:rPr>
          <w:rFonts w:hint="eastAsia" w:ascii="Times New Roman" w:hAnsi="Times New Roman" w:eastAsia="仿宋_GB2312"/>
          <w:color w:val="auto"/>
          <w:sz w:val="32"/>
          <w:highlight w:val="none"/>
        </w:rPr>
        <w:t>万元</w:t>
      </w:r>
      <w:r>
        <w:rPr>
          <w:rFonts w:ascii="Times New Roman" w:hAnsi="Times New Roman" w:eastAsia="仿宋_GB2312"/>
          <w:color w:val="auto"/>
          <w:sz w:val="32"/>
          <w:highlight w:val="none"/>
        </w:rPr>
        <w:t>奖励。</w:t>
      </w:r>
    </w:p>
    <w:p w14:paraId="75A91A1A">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楷体_GB2312"/>
          <w:color w:val="auto"/>
          <w:sz w:val="32"/>
          <w:highlight w:val="none"/>
        </w:rPr>
      </w:pPr>
      <w:r>
        <w:rPr>
          <w:rFonts w:ascii="Times New Roman" w:hAnsi="Times New Roman" w:eastAsia="楷体_GB2312"/>
          <w:color w:val="auto"/>
          <w:sz w:val="32"/>
          <w:highlight w:val="none"/>
        </w:rPr>
        <w:t>（</w:t>
      </w:r>
      <w:r>
        <w:rPr>
          <w:rFonts w:hint="eastAsia" w:ascii="Times New Roman" w:hAnsi="Times New Roman" w:eastAsia="楷体_GB2312"/>
          <w:color w:val="auto"/>
          <w:sz w:val="32"/>
          <w:highlight w:val="none"/>
          <w:lang w:val="en-US" w:eastAsia="zh-CN"/>
        </w:rPr>
        <w:t>十</w:t>
      </w:r>
      <w:r>
        <w:rPr>
          <w:rFonts w:ascii="Times New Roman" w:hAnsi="Times New Roman" w:eastAsia="楷体_GB2312"/>
          <w:color w:val="auto"/>
          <w:sz w:val="32"/>
          <w:highlight w:val="none"/>
        </w:rPr>
        <w:t>）</w:t>
      </w:r>
      <w:r>
        <w:rPr>
          <w:rFonts w:hint="eastAsia" w:ascii="Times New Roman" w:hAnsi="Times New Roman" w:eastAsia="楷体_GB2312"/>
          <w:color w:val="auto"/>
          <w:sz w:val="32"/>
          <w:highlight w:val="none"/>
          <w:lang w:val="en-US" w:eastAsia="zh-CN"/>
        </w:rPr>
        <w:t>国家级</w:t>
      </w:r>
      <w:r>
        <w:rPr>
          <w:rFonts w:ascii="Times New Roman" w:hAnsi="Times New Roman" w:eastAsia="楷体_GB2312"/>
          <w:color w:val="auto"/>
          <w:sz w:val="32"/>
          <w:highlight w:val="none"/>
        </w:rPr>
        <w:t>绿色制造体系建设奖励</w:t>
      </w:r>
      <w:r>
        <w:rPr>
          <w:rFonts w:hint="eastAsia" w:ascii="Times New Roman" w:hAnsi="Times New Roman" w:eastAsia="楷体_GB2312"/>
          <w:color w:val="auto"/>
          <w:sz w:val="32"/>
          <w:highlight w:val="none"/>
        </w:rPr>
        <w:t>（免申即享）</w:t>
      </w:r>
    </w:p>
    <w:p w14:paraId="19B5DDCE">
      <w:pPr>
        <w:keepNext w:val="0"/>
        <w:keepLines w:val="0"/>
        <w:pageBreakBefore w:val="0"/>
        <w:kinsoku/>
        <w:wordWrap/>
        <w:topLinePunct w:val="0"/>
        <w:autoSpaceDN/>
        <w:bidi w:val="0"/>
        <w:adjustRightInd w:val="0"/>
        <w:snapToGrid w:val="0"/>
        <w:spacing w:line="578" w:lineRule="exact"/>
        <w:ind w:firstLine="643" w:firstLineChars="200"/>
        <w:jc w:val="both"/>
        <w:rPr>
          <w:rFonts w:ascii="Times New Roman" w:hAnsi="Times New Roman" w:eastAsia="仿宋_GB2312"/>
          <w:color w:val="auto"/>
          <w:sz w:val="32"/>
          <w:highlight w:val="none"/>
        </w:rPr>
      </w:pPr>
      <w:r>
        <w:rPr>
          <w:rFonts w:ascii="Times New Roman" w:hAnsi="Times New Roman" w:eastAsia="仿宋_GB2312"/>
          <w:b/>
          <w:bCs/>
          <w:color w:val="auto"/>
          <w:sz w:val="32"/>
          <w:highlight w:val="none"/>
        </w:rPr>
        <w:t>1</w:t>
      </w:r>
      <w:r>
        <w:rPr>
          <w:rFonts w:hint="eastAsia" w:ascii="Times New Roman" w:hAnsi="Times New Roman" w:eastAsia="仿宋_GB2312"/>
          <w:b/>
          <w:bCs/>
          <w:color w:val="auto"/>
          <w:sz w:val="32"/>
          <w:highlight w:val="none"/>
          <w:lang w:eastAsia="zh-CN"/>
        </w:rPr>
        <w:t>.</w:t>
      </w:r>
      <w:r>
        <w:rPr>
          <w:rFonts w:ascii="Times New Roman" w:hAnsi="Times New Roman" w:eastAsia="仿宋_GB2312"/>
          <w:b/>
          <w:bCs/>
          <w:color w:val="auto"/>
          <w:sz w:val="32"/>
          <w:highlight w:val="none"/>
        </w:rPr>
        <w:t>支持条件。</w:t>
      </w:r>
      <w:r>
        <w:rPr>
          <w:rFonts w:ascii="Times New Roman" w:hAnsi="Times New Roman" w:eastAsia="仿宋_GB2312"/>
          <w:color w:val="auto"/>
          <w:sz w:val="32"/>
          <w:highlight w:val="none"/>
        </w:rPr>
        <w:t>202</w:t>
      </w:r>
      <w:r>
        <w:rPr>
          <w:rFonts w:hint="eastAsia" w:ascii="Times New Roman" w:hAnsi="Times New Roman" w:eastAsia="仿宋_GB2312"/>
          <w:color w:val="auto"/>
          <w:sz w:val="32"/>
          <w:highlight w:val="none"/>
          <w:lang w:val="en-US" w:eastAsia="zh-CN"/>
        </w:rPr>
        <w:t>4</w:t>
      </w:r>
      <w:r>
        <w:rPr>
          <w:rFonts w:ascii="Times New Roman" w:hAnsi="Times New Roman" w:eastAsia="仿宋_GB2312"/>
          <w:color w:val="auto"/>
          <w:sz w:val="32"/>
          <w:highlight w:val="none"/>
        </w:rPr>
        <w:t>年</w:t>
      </w:r>
      <w:r>
        <w:rPr>
          <w:rFonts w:hint="eastAsia" w:ascii="Times New Roman" w:hAnsi="Times New Roman" w:eastAsia="仿宋_GB2312"/>
          <w:color w:val="auto"/>
          <w:sz w:val="32"/>
          <w:highlight w:val="none"/>
        </w:rPr>
        <w:t>7</w:t>
      </w:r>
      <w:r>
        <w:rPr>
          <w:rFonts w:ascii="Times New Roman" w:hAnsi="Times New Roman" w:eastAsia="仿宋_GB2312"/>
          <w:color w:val="auto"/>
          <w:sz w:val="32"/>
          <w:highlight w:val="none"/>
        </w:rPr>
        <w:t>月</w:t>
      </w:r>
      <w:r>
        <w:rPr>
          <w:rFonts w:hint="eastAsia" w:ascii="Times New Roman" w:hAnsi="Times New Roman" w:eastAsia="仿宋_GB2312"/>
          <w:color w:val="auto"/>
          <w:sz w:val="32"/>
          <w:highlight w:val="none"/>
        </w:rPr>
        <w:t>1</w:t>
      </w:r>
      <w:r>
        <w:rPr>
          <w:rFonts w:ascii="Times New Roman" w:hAnsi="Times New Roman" w:eastAsia="仿宋_GB2312"/>
          <w:color w:val="auto"/>
          <w:sz w:val="32"/>
          <w:highlight w:val="none"/>
        </w:rPr>
        <w:t>日至</w:t>
      </w:r>
      <w:r>
        <w:rPr>
          <w:rFonts w:hint="eastAsia" w:ascii="Times New Roman" w:hAnsi="Times New Roman" w:eastAsia="仿宋_GB2312"/>
          <w:color w:val="auto"/>
          <w:sz w:val="32"/>
          <w:highlight w:val="none"/>
        </w:rPr>
        <w:t>202</w:t>
      </w:r>
      <w:r>
        <w:rPr>
          <w:rFonts w:hint="eastAsia" w:ascii="Times New Roman" w:hAnsi="Times New Roman" w:eastAsia="仿宋_GB2312"/>
          <w:color w:val="auto"/>
          <w:sz w:val="32"/>
          <w:highlight w:val="none"/>
          <w:lang w:val="en-US" w:eastAsia="zh-CN"/>
        </w:rPr>
        <w:t>5</w:t>
      </w:r>
      <w:r>
        <w:rPr>
          <w:rFonts w:hint="eastAsia" w:ascii="Times New Roman" w:hAnsi="Times New Roman" w:eastAsia="仿宋_GB2312"/>
          <w:color w:val="auto"/>
          <w:sz w:val="32"/>
          <w:highlight w:val="none"/>
        </w:rPr>
        <w:t>年6月30日</w:t>
      </w:r>
      <w:r>
        <w:rPr>
          <w:rFonts w:ascii="Times New Roman" w:hAnsi="Times New Roman" w:eastAsia="仿宋_GB2312"/>
          <w:color w:val="auto"/>
          <w:sz w:val="32"/>
          <w:highlight w:val="none"/>
        </w:rPr>
        <w:t>获得国家</w:t>
      </w:r>
      <w:r>
        <w:rPr>
          <w:rFonts w:hint="eastAsia" w:ascii="Times New Roman" w:hAnsi="Times New Roman" w:eastAsia="仿宋_GB2312"/>
          <w:color w:val="auto"/>
          <w:sz w:val="32"/>
          <w:highlight w:val="none"/>
        </w:rPr>
        <w:t>级</w:t>
      </w:r>
      <w:r>
        <w:rPr>
          <w:rFonts w:ascii="Times New Roman" w:hAnsi="Times New Roman" w:eastAsia="仿宋_GB2312"/>
          <w:color w:val="auto"/>
          <w:sz w:val="32"/>
          <w:highlight w:val="none"/>
        </w:rPr>
        <w:t>绿色工厂</w:t>
      </w:r>
      <w:r>
        <w:rPr>
          <w:rFonts w:hint="eastAsia" w:ascii="Times New Roman" w:hAnsi="Times New Roman" w:eastAsia="仿宋_GB2312"/>
          <w:color w:val="auto"/>
          <w:sz w:val="32"/>
          <w:highlight w:val="none"/>
          <w:lang w:eastAsia="zh-CN"/>
        </w:rPr>
        <w:t>、</w:t>
      </w:r>
      <w:r>
        <w:rPr>
          <w:rFonts w:ascii="Times New Roman" w:hAnsi="Times New Roman" w:eastAsia="仿宋_GB2312"/>
          <w:color w:val="auto"/>
          <w:sz w:val="32"/>
          <w:highlight w:val="none"/>
        </w:rPr>
        <w:t>工信部绿色供应链管理</w:t>
      </w:r>
      <w:r>
        <w:rPr>
          <w:rFonts w:hint="eastAsia" w:ascii="Times New Roman" w:hAnsi="Times New Roman" w:eastAsia="仿宋_GB2312"/>
          <w:color w:val="auto"/>
          <w:sz w:val="32"/>
          <w:highlight w:val="none"/>
          <w:lang w:val="en-US" w:eastAsia="zh-CN"/>
        </w:rPr>
        <w:t>企业荣誉</w:t>
      </w:r>
      <w:r>
        <w:rPr>
          <w:rFonts w:ascii="Times New Roman" w:hAnsi="Times New Roman" w:eastAsia="仿宋_GB2312"/>
          <w:color w:val="auto"/>
          <w:sz w:val="32"/>
          <w:highlight w:val="none"/>
        </w:rPr>
        <w:t>的企业。</w:t>
      </w:r>
    </w:p>
    <w:p w14:paraId="74E96304">
      <w:pPr>
        <w:keepNext w:val="0"/>
        <w:keepLines w:val="0"/>
        <w:pageBreakBefore w:val="0"/>
        <w:kinsoku/>
        <w:wordWrap/>
        <w:topLinePunct w:val="0"/>
        <w:autoSpaceDN/>
        <w:bidi w:val="0"/>
        <w:adjustRightInd w:val="0"/>
        <w:snapToGrid w:val="0"/>
        <w:spacing w:line="578" w:lineRule="exact"/>
        <w:ind w:firstLine="643" w:firstLineChars="200"/>
        <w:jc w:val="both"/>
        <w:rPr>
          <w:rFonts w:hint="eastAsia" w:ascii="Times New Roman" w:hAnsi="Times New Roman" w:eastAsia="楷体_GB2312"/>
          <w:color w:val="auto"/>
          <w:sz w:val="32"/>
          <w:highlight w:val="lightGray"/>
          <w:lang w:val="en-US" w:eastAsia="zh-CN"/>
        </w:rPr>
      </w:pPr>
      <w:r>
        <w:rPr>
          <w:rFonts w:ascii="Times New Roman" w:hAnsi="Times New Roman" w:eastAsia="仿宋_GB2312"/>
          <w:b/>
          <w:bCs/>
          <w:color w:val="auto"/>
          <w:sz w:val="32"/>
          <w:highlight w:val="none"/>
        </w:rPr>
        <w:t>2</w:t>
      </w:r>
      <w:r>
        <w:rPr>
          <w:rFonts w:hint="eastAsia" w:ascii="Times New Roman" w:hAnsi="Times New Roman" w:eastAsia="仿宋_GB2312"/>
          <w:b/>
          <w:bCs/>
          <w:color w:val="auto"/>
          <w:sz w:val="32"/>
          <w:highlight w:val="none"/>
          <w:lang w:eastAsia="zh-CN"/>
        </w:rPr>
        <w:t>.</w:t>
      </w:r>
      <w:r>
        <w:rPr>
          <w:rFonts w:ascii="Times New Roman" w:hAnsi="Times New Roman" w:eastAsia="仿宋_GB2312"/>
          <w:b/>
          <w:bCs/>
          <w:color w:val="auto"/>
          <w:sz w:val="32"/>
          <w:highlight w:val="none"/>
        </w:rPr>
        <w:t>扶持标准。</w:t>
      </w:r>
      <w:r>
        <w:rPr>
          <w:rFonts w:hint="eastAsia" w:ascii="Times New Roman" w:hAnsi="Times New Roman" w:eastAsia="仿宋_GB2312"/>
          <w:color w:val="auto"/>
          <w:sz w:val="32"/>
          <w:highlight w:val="none"/>
        </w:rPr>
        <w:t>对获得国家级绿色工厂、工信部绿色供应链管理</w:t>
      </w:r>
      <w:r>
        <w:rPr>
          <w:rFonts w:hint="eastAsia" w:ascii="Times New Roman" w:hAnsi="Times New Roman" w:eastAsia="仿宋_GB2312"/>
          <w:color w:val="auto"/>
          <w:sz w:val="32"/>
          <w:highlight w:val="none"/>
          <w:lang w:val="en-US" w:eastAsia="zh-CN"/>
        </w:rPr>
        <w:t>企业荣誉</w:t>
      </w:r>
      <w:r>
        <w:rPr>
          <w:rFonts w:hint="eastAsia" w:ascii="Times New Roman" w:hAnsi="Times New Roman" w:eastAsia="仿宋_GB2312"/>
          <w:color w:val="auto"/>
          <w:sz w:val="32"/>
          <w:highlight w:val="none"/>
        </w:rPr>
        <w:t>的企业分别给予80万元奖励，其中，国家级绿色工厂扣除往年已获省级绿色工厂奖励。以省级及以上相关文件为准，同一申报周期内获得多项绿色制造体系建设认定的企业，以最高奖励数额为准，不重复奖励。</w:t>
      </w:r>
    </w:p>
    <w:p w14:paraId="75118922">
      <w:pPr>
        <w:keepNext w:val="0"/>
        <w:keepLines w:val="0"/>
        <w:pageBreakBefore w:val="0"/>
        <w:kinsoku/>
        <w:wordWrap/>
        <w:topLinePunct w:val="0"/>
        <w:autoSpaceDN/>
        <w:bidi w:val="0"/>
        <w:adjustRightInd w:val="0"/>
        <w:snapToGrid w:val="0"/>
        <w:spacing w:line="578" w:lineRule="exact"/>
        <w:ind w:firstLine="640" w:firstLineChars="200"/>
        <w:jc w:val="both"/>
        <w:rPr>
          <w:rFonts w:hint="eastAsia" w:ascii="Times New Roman" w:hAnsi="Times New Roman" w:eastAsia="楷体_GB2312"/>
          <w:color w:val="auto"/>
          <w:sz w:val="32"/>
          <w:highlight w:val="none"/>
          <w:lang w:val="en-US" w:eastAsia="zh-CN"/>
        </w:rPr>
      </w:pPr>
      <w:r>
        <w:rPr>
          <w:rFonts w:hint="eastAsia" w:ascii="Times New Roman" w:hAnsi="Times New Roman" w:eastAsia="楷体_GB2312"/>
          <w:color w:val="auto"/>
          <w:sz w:val="32"/>
          <w:highlight w:val="none"/>
          <w:lang w:val="en-US" w:eastAsia="zh-CN"/>
        </w:rPr>
        <w:t>（十一）国家级5G工厂典型应用实践、万兆光网试点、省级工业互联网双跨平台</w:t>
      </w:r>
      <w:r>
        <w:rPr>
          <w:rFonts w:hint="eastAsia" w:ascii="Times New Roman" w:hAnsi="Times New Roman" w:eastAsia="楷体_GB2312"/>
          <w:color w:val="auto"/>
          <w:sz w:val="32"/>
          <w:highlight w:val="none"/>
        </w:rPr>
        <w:t>（免申即享）</w:t>
      </w:r>
    </w:p>
    <w:p w14:paraId="63FFAA07">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hint="default" w:ascii="仿宋_GB2312" w:hAnsi="仿宋_GB2312" w:eastAsia="仿宋_GB2312" w:cs="仿宋_GB2312"/>
          <w:color w:val="auto"/>
          <w:sz w:val="32"/>
          <w:szCs w:val="32"/>
          <w:lang w:val="en-US"/>
        </w:rPr>
      </w:pPr>
      <w:r>
        <w:rPr>
          <w:rFonts w:hint="eastAsia" w:ascii="Times New Roman" w:hAnsi="Times New Roman" w:eastAsia="仿宋_GB2312"/>
          <w:b/>
          <w:bCs/>
          <w:color w:val="auto"/>
          <w:sz w:val="32"/>
          <w:highlight w:val="none"/>
          <w:lang w:val="en-US" w:eastAsia="zh-CN"/>
        </w:rPr>
        <w:t>1.支持条件。</w:t>
      </w:r>
      <w:r>
        <w:rPr>
          <w:rFonts w:hint="eastAsia" w:ascii="Times New Roman" w:hAnsi="Times New Roman" w:eastAsia="仿宋_GB2312" w:cs="Times New Roman"/>
          <w:color w:val="auto"/>
          <w:sz w:val="32"/>
          <w:highlight w:val="none"/>
          <w:lang w:val="en-US" w:eastAsia="zh-CN"/>
        </w:rPr>
        <w:t>2025年获评的万兆光网试点、省级工业互联网双跨平台，2026年获评的国家级5G工厂典型应用实践项目。</w:t>
      </w:r>
    </w:p>
    <w:p w14:paraId="554E63D0">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b/>
          <w:bCs/>
          <w:color w:val="auto"/>
          <w:sz w:val="32"/>
          <w:highlight w:val="none"/>
          <w:lang w:val="en-US" w:eastAsia="zh-CN"/>
        </w:rPr>
        <w:t>2.扶持标准。</w:t>
      </w:r>
      <w:r>
        <w:rPr>
          <w:rFonts w:hint="eastAsia" w:ascii="Times New Roman" w:hAnsi="Times New Roman" w:eastAsia="仿宋_GB2312" w:cs="Times New Roman"/>
          <w:color w:val="auto"/>
          <w:sz w:val="32"/>
          <w:highlight w:val="none"/>
          <w:lang w:val="en-US" w:eastAsia="zh-CN"/>
        </w:rPr>
        <w:t>对符合条件的给予50万元奖励。</w:t>
      </w:r>
    </w:p>
    <w:p w14:paraId="703ACF34">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Autospacing="0" w:line="578" w:lineRule="exact"/>
        <w:ind w:left="0" w:right="0" w:firstLine="640" w:firstLineChars="200"/>
        <w:jc w:val="both"/>
        <w:textAlignment w:val="auto"/>
        <w:rPr>
          <w:rFonts w:hint="eastAsia" w:ascii="黑体" w:hAnsi="宋体" w:eastAsia="黑体" w:cs="Times New Roman"/>
          <w:color w:val="auto"/>
          <w:kern w:val="2"/>
          <w:sz w:val="32"/>
          <w:szCs w:val="32"/>
        </w:rPr>
      </w:pPr>
      <w:r>
        <w:rPr>
          <w:rFonts w:hint="eastAsia" w:ascii="黑体" w:hAnsi="宋体" w:eastAsia="黑体" w:cs="黑体"/>
          <w:color w:val="auto"/>
          <w:kern w:val="2"/>
          <w:sz w:val="32"/>
          <w:szCs w:val="32"/>
          <w:lang w:val="en-US" w:eastAsia="zh-CN" w:bidi="ar"/>
        </w:rPr>
        <w:t>三、服务体系及平台建设</w:t>
      </w:r>
    </w:p>
    <w:p w14:paraId="4857790C">
      <w:pPr>
        <w:keepNext w:val="0"/>
        <w:keepLines w:val="0"/>
        <w:pageBreakBefore w:val="0"/>
        <w:widowControl w:val="0"/>
        <w:suppressLineNumbers w:val="0"/>
        <w:kinsoku/>
        <w:wordWrap/>
        <w:topLinePunct w:val="0"/>
        <w:autoSpaceDE w:val="0"/>
        <w:autoSpaceDN/>
        <w:bidi w:val="0"/>
        <w:adjustRightInd w:val="0"/>
        <w:snapToGrid w:val="0"/>
        <w:spacing w:before="0" w:beforeAutospacing="0" w:afterAutospacing="0" w:line="578" w:lineRule="exact"/>
        <w:ind w:left="0" w:right="0" w:firstLine="640" w:firstLineChars="200"/>
        <w:jc w:val="both"/>
        <w:rPr>
          <w:rFonts w:hint="default" w:ascii="Times New Roman" w:hAnsi="Times New Roman" w:eastAsia="楷体_GB2312" w:cs="Times New Roman"/>
          <w:color w:val="auto"/>
          <w:kern w:val="2"/>
          <w:sz w:val="32"/>
          <w:szCs w:val="32"/>
        </w:rPr>
      </w:pPr>
      <w:r>
        <w:rPr>
          <w:rFonts w:hint="eastAsia" w:ascii="楷体_GB2312" w:hAnsi="Times New Roman" w:eastAsia="楷体_GB2312" w:cs="楷体_GB2312"/>
          <w:color w:val="auto"/>
          <w:kern w:val="2"/>
          <w:sz w:val="32"/>
          <w:szCs w:val="32"/>
          <w:lang w:val="en-US" w:eastAsia="zh-CN" w:bidi="ar"/>
        </w:rPr>
        <w:t>中小微企业公共服务示范平台项目</w:t>
      </w:r>
    </w:p>
    <w:p w14:paraId="31D8EB4F">
      <w:pPr>
        <w:keepNext w:val="0"/>
        <w:keepLines w:val="0"/>
        <w:pageBreakBefore w:val="0"/>
        <w:widowControl w:val="0"/>
        <w:suppressLineNumbers w:val="0"/>
        <w:kinsoku/>
        <w:wordWrap/>
        <w:topLinePunct w:val="0"/>
        <w:autoSpaceDE w:val="0"/>
        <w:autoSpaceDN/>
        <w:bidi w:val="0"/>
        <w:adjustRightInd w:val="0"/>
        <w:snapToGrid w:val="0"/>
        <w:spacing w:before="0" w:beforeAutospacing="0" w:afterAutospacing="0" w:line="578" w:lineRule="exact"/>
        <w:ind w:left="0" w:right="0" w:firstLine="643" w:firstLineChars="200"/>
        <w:jc w:val="both"/>
        <w:rPr>
          <w:rFonts w:hint="default" w:ascii="Times New Roman" w:hAnsi="Times New Roman" w:eastAsia="仿宋_GB2312" w:cs="Times New Roman"/>
          <w:b/>
          <w:bCs/>
          <w:color w:val="auto"/>
          <w:kern w:val="2"/>
          <w:sz w:val="32"/>
          <w:szCs w:val="32"/>
        </w:rPr>
      </w:pPr>
      <w:r>
        <w:rPr>
          <w:rFonts w:hint="default" w:ascii="Times New Roman" w:hAnsi="Times New Roman" w:eastAsia="仿宋_GB2312" w:cs="Times New Roman"/>
          <w:b/>
          <w:bCs/>
          <w:color w:val="auto"/>
          <w:kern w:val="2"/>
          <w:sz w:val="32"/>
          <w:szCs w:val="32"/>
          <w:lang w:val="en-US" w:eastAsia="zh-CN" w:bidi="ar"/>
        </w:rPr>
        <w:t>1.</w:t>
      </w:r>
      <w:r>
        <w:rPr>
          <w:rFonts w:hint="eastAsia" w:ascii="仿宋_GB2312" w:hAnsi="Times New Roman" w:eastAsia="仿宋_GB2312" w:cs="仿宋_GB2312"/>
          <w:b/>
          <w:bCs/>
          <w:color w:val="auto"/>
          <w:kern w:val="2"/>
          <w:sz w:val="32"/>
          <w:szCs w:val="32"/>
          <w:lang w:val="en-US" w:eastAsia="zh-CN" w:bidi="ar"/>
        </w:rPr>
        <w:t>支持条件。</w:t>
      </w:r>
    </w:p>
    <w:p w14:paraId="44905478">
      <w:pPr>
        <w:keepNext w:val="0"/>
        <w:keepLines w:val="0"/>
        <w:pageBreakBefore w:val="0"/>
        <w:widowControl w:val="0"/>
        <w:suppressLineNumbers w:val="0"/>
        <w:kinsoku/>
        <w:wordWrap/>
        <w:topLinePunct w:val="0"/>
        <w:autoSpaceDE w:val="0"/>
        <w:autoSpaceDN/>
        <w:bidi w:val="0"/>
        <w:spacing w:before="0" w:beforeAutospacing="0" w:afterAutospacing="0" w:line="578" w:lineRule="exact"/>
        <w:ind w:left="0" w:right="0" w:firstLine="640" w:firstLineChars="200"/>
        <w:jc w:val="both"/>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1</w:t>
      </w:r>
      <w:r>
        <w:rPr>
          <w:rFonts w:hint="eastAsia" w:ascii="仿宋_GB2312" w:hAnsi="Times New Roman" w:eastAsia="仿宋_GB2312" w:cs="仿宋_GB2312"/>
          <w:color w:val="auto"/>
          <w:kern w:val="2"/>
          <w:sz w:val="32"/>
          <w:szCs w:val="32"/>
          <w:lang w:val="en-US" w:eastAsia="zh-CN" w:bidi="ar"/>
        </w:rPr>
        <w:t>）申报单位需有组织社会服务资源的能力，与高校、科研院所、协会（商会）、市场专业服务机构等优质服务资源有稳定、广泛的合作关系。</w:t>
      </w:r>
    </w:p>
    <w:p w14:paraId="782F1592">
      <w:pPr>
        <w:keepNext w:val="0"/>
        <w:keepLines w:val="0"/>
        <w:pageBreakBefore w:val="0"/>
        <w:widowControl w:val="0"/>
        <w:suppressLineNumbers w:val="0"/>
        <w:kinsoku/>
        <w:wordWrap/>
        <w:topLinePunct w:val="0"/>
        <w:autoSpaceDE w:val="0"/>
        <w:autoSpaceDN/>
        <w:bidi w:val="0"/>
        <w:adjustRightInd w:val="0"/>
        <w:snapToGrid w:val="0"/>
        <w:spacing w:before="0" w:beforeAutospacing="0" w:afterAutospacing="0" w:line="578" w:lineRule="exact"/>
        <w:ind w:left="0" w:right="0" w:firstLine="640" w:firstLineChars="200"/>
        <w:jc w:val="both"/>
        <w:rPr>
          <w:rFonts w:hint="eastAsia"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2</w:t>
      </w:r>
      <w:r>
        <w:rPr>
          <w:rFonts w:hint="eastAsia" w:ascii="仿宋_GB2312" w:hAnsi="Times New Roman" w:eastAsia="仿宋_GB2312" w:cs="仿宋_GB2312"/>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2025</w:t>
      </w:r>
      <w:r>
        <w:rPr>
          <w:rFonts w:hint="eastAsia" w:ascii="仿宋_GB2312" w:hAnsi="Times New Roman" w:eastAsia="仿宋_GB2312" w:cs="仿宋_GB2312"/>
          <w:color w:val="auto"/>
          <w:kern w:val="2"/>
          <w:sz w:val="32"/>
          <w:szCs w:val="32"/>
          <w:lang w:val="en-US" w:eastAsia="zh-CN" w:bidi="ar"/>
        </w:rPr>
        <w:t>年平台提供服务情况满足以下至少一项要求：</w:t>
      </w:r>
    </w:p>
    <w:p w14:paraId="3D28D90A">
      <w:pPr>
        <w:keepNext w:val="0"/>
        <w:keepLines w:val="0"/>
        <w:pageBreakBefore w:val="0"/>
        <w:widowControl w:val="0"/>
        <w:suppressLineNumbers w:val="0"/>
        <w:kinsoku/>
        <w:wordWrap/>
        <w:topLinePunct w:val="0"/>
        <w:autoSpaceDE w:val="0"/>
        <w:autoSpaceDN/>
        <w:bidi w:val="0"/>
        <w:adjustRightInd w:val="0"/>
        <w:snapToGrid w:val="0"/>
        <w:spacing w:before="0" w:beforeAutospacing="0" w:afterAutospacing="0" w:line="578" w:lineRule="exact"/>
        <w:ind w:left="0" w:right="0" w:firstLine="643" w:firstLineChars="200"/>
        <w:jc w:val="both"/>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bCs/>
          <w:color w:val="auto"/>
          <w:kern w:val="2"/>
          <w:sz w:val="32"/>
          <w:szCs w:val="32"/>
          <w:lang w:val="en-US" w:eastAsia="zh-CN" w:bidi="ar"/>
        </w:rPr>
        <w:t>综合服务类</w:t>
      </w:r>
      <w:r>
        <w:rPr>
          <w:rFonts w:hint="eastAsia" w:ascii="仿宋_GB2312" w:hAnsi="Times New Roman" w:eastAsia="仿宋_GB2312" w:cs="仿宋_GB2312"/>
          <w:color w:val="auto"/>
          <w:kern w:val="2"/>
          <w:sz w:val="32"/>
          <w:szCs w:val="32"/>
          <w:lang w:val="en-US" w:eastAsia="zh-CN" w:bidi="ar"/>
        </w:rPr>
        <w:t>—各级企业服务中心，充分利用线上线下资源，为中小企业提供综合性、一站式服务，年服务企业不低于</w:t>
      </w:r>
      <w:r>
        <w:rPr>
          <w:rFonts w:hint="default" w:ascii="Times New Roman" w:hAnsi="Times New Roman" w:eastAsia="仿宋_GB2312" w:cs="Times New Roman"/>
          <w:color w:val="auto"/>
          <w:kern w:val="2"/>
          <w:sz w:val="32"/>
          <w:szCs w:val="32"/>
          <w:lang w:val="en-US" w:eastAsia="zh-CN" w:bidi="ar"/>
        </w:rPr>
        <w:t>500</w:t>
      </w:r>
      <w:r>
        <w:rPr>
          <w:rFonts w:hint="eastAsia" w:ascii="仿宋_GB2312" w:hAnsi="Times New Roman" w:eastAsia="仿宋_GB2312" w:cs="仿宋_GB2312"/>
          <w:color w:val="auto"/>
          <w:kern w:val="2"/>
          <w:sz w:val="32"/>
          <w:szCs w:val="32"/>
          <w:lang w:val="en-US" w:eastAsia="zh-CN" w:bidi="ar"/>
        </w:rPr>
        <w:t>家次，其中本市中小微企业不</w:t>
      </w:r>
      <w:r>
        <w:rPr>
          <w:rFonts w:hint="default" w:ascii="Times New Roman" w:hAnsi="Times New Roman" w:eastAsia="仿宋_GB2312" w:cs="Times New Roman"/>
          <w:color w:val="auto"/>
          <w:kern w:val="2"/>
          <w:sz w:val="32"/>
          <w:szCs w:val="32"/>
          <w:lang w:val="en-US" w:eastAsia="zh-CN" w:bidi="ar"/>
        </w:rPr>
        <w:t>低于400家次</w:t>
      </w:r>
      <w:r>
        <w:rPr>
          <w:rFonts w:hint="eastAsia" w:ascii="仿宋_GB2312" w:hAnsi="Times New Roman" w:eastAsia="仿宋_GB2312" w:cs="仿宋_GB2312"/>
          <w:color w:val="auto"/>
          <w:kern w:val="2"/>
          <w:sz w:val="32"/>
          <w:szCs w:val="32"/>
          <w:lang w:val="en-US" w:eastAsia="zh-CN" w:bidi="ar"/>
        </w:rPr>
        <w:t>，组织开展公益性活动不低于</w:t>
      </w:r>
      <w:r>
        <w:rPr>
          <w:rFonts w:hint="default" w:ascii="Times New Roman" w:hAnsi="Times New Roman" w:eastAsia="仿宋_GB2312" w:cs="Times New Roman"/>
          <w:color w:val="auto"/>
          <w:kern w:val="2"/>
          <w:sz w:val="32"/>
          <w:szCs w:val="32"/>
          <w:lang w:val="en-US" w:eastAsia="zh-CN" w:bidi="ar"/>
        </w:rPr>
        <w:t>50</w:t>
      </w:r>
      <w:r>
        <w:rPr>
          <w:rFonts w:hint="eastAsia" w:ascii="仿宋_GB2312" w:hAnsi="Times New Roman" w:eastAsia="仿宋_GB2312" w:cs="仿宋_GB2312"/>
          <w:color w:val="auto"/>
          <w:kern w:val="2"/>
          <w:sz w:val="32"/>
          <w:szCs w:val="32"/>
          <w:lang w:val="en-US" w:eastAsia="zh-CN" w:bidi="ar"/>
        </w:rPr>
        <w:t>场；</w:t>
      </w:r>
    </w:p>
    <w:p w14:paraId="5565F655">
      <w:pPr>
        <w:keepNext w:val="0"/>
        <w:keepLines w:val="0"/>
        <w:pageBreakBefore w:val="0"/>
        <w:widowControl w:val="0"/>
        <w:suppressLineNumbers w:val="0"/>
        <w:kinsoku/>
        <w:wordWrap/>
        <w:topLinePunct w:val="0"/>
        <w:autoSpaceDE w:val="0"/>
        <w:autoSpaceDN/>
        <w:bidi w:val="0"/>
        <w:adjustRightInd w:val="0"/>
        <w:snapToGrid w:val="0"/>
        <w:spacing w:before="0" w:beforeAutospacing="0" w:afterAutospacing="0" w:line="578" w:lineRule="exact"/>
        <w:ind w:left="0" w:right="0" w:firstLine="643" w:firstLineChars="200"/>
        <w:jc w:val="both"/>
        <w:rPr>
          <w:rFonts w:hint="eastAsia" w:ascii="Times New Roman" w:hAnsi="Times New Roman" w:eastAsia="仿宋_GB2312" w:cs="Times New Roman"/>
          <w:color w:val="auto"/>
          <w:kern w:val="2"/>
          <w:sz w:val="32"/>
          <w:szCs w:val="32"/>
        </w:rPr>
      </w:pPr>
      <w:r>
        <w:rPr>
          <w:rFonts w:hint="eastAsia" w:ascii="仿宋_GB2312" w:hAnsi="Times New Roman" w:eastAsia="仿宋_GB2312" w:cs="仿宋_GB2312"/>
          <w:b/>
          <w:bCs/>
          <w:color w:val="auto"/>
          <w:kern w:val="2"/>
          <w:sz w:val="32"/>
          <w:szCs w:val="32"/>
          <w:lang w:val="en-US" w:eastAsia="zh-CN" w:bidi="ar"/>
        </w:rPr>
        <w:t>专业服务类</w:t>
      </w:r>
      <w:r>
        <w:rPr>
          <w:rFonts w:hint="eastAsia" w:ascii="仿宋_GB2312" w:hAnsi="Times New Roman" w:eastAsia="仿宋_GB2312" w:cs="仿宋_GB2312"/>
          <w:color w:val="auto"/>
          <w:kern w:val="2"/>
          <w:sz w:val="32"/>
          <w:szCs w:val="32"/>
          <w:lang w:val="en-US" w:eastAsia="zh-CN" w:bidi="ar"/>
        </w:rPr>
        <w:t>—社会中介服务机构或社会组织，依托各类社会服务资源，为企业提供各类咨询、诊断、培训、投融资对接、创业辅导、上市辅导等服务，年服务企业不低于</w:t>
      </w:r>
      <w:r>
        <w:rPr>
          <w:rFonts w:hint="default" w:ascii="Times New Roman" w:hAnsi="Times New Roman" w:eastAsia="仿宋_GB2312" w:cs="Times New Roman"/>
          <w:color w:val="auto"/>
          <w:kern w:val="2"/>
          <w:sz w:val="32"/>
          <w:szCs w:val="32"/>
          <w:lang w:val="en-US" w:eastAsia="zh-CN" w:bidi="ar"/>
        </w:rPr>
        <w:t>200</w:t>
      </w:r>
      <w:r>
        <w:rPr>
          <w:rFonts w:hint="eastAsia" w:ascii="仿宋_GB2312" w:hAnsi="Times New Roman" w:eastAsia="仿宋_GB2312" w:cs="仿宋_GB2312"/>
          <w:color w:val="auto"/>
          <w:kern w:val="2"/>
          <w:sz w:val="32"/>
          <w:szCs w:val="32"/>
          <w:lang w:val="en-US" w:eastAsia="zh-CN" w:bidi="ar"/>
        </w:rPr>
        <w:t>家次，其中本市中小微企业不低于</w:t>
      </w:r>
      <w:r>
        <w:rPr>
          <w:rFonts w:hint="default" w:ascii="Times New Roman" w:hAnsi="Times New Roman" w:eastAsia="仿宋_GB2312" w:cs="Times New Roman"/>
          <w:color w:val="auto"/>
          <w:kern w:val="2"/>
          <w:sz w:val="32"/>
          <w:szCs w:val="32"/>
          <w:lang w:val="en-US" w:eastAsia="zh-CN" w:bidi="ar"/>
        </w:rPr>
        <w:t>160</w:t>
      </w:r>
      <w:r>
        <w:rPr>
          <w:rFonts w:hint="eastAsia" w:ascii="仿宋_GB2312" w:hAnsi="Times New Roman" w:eastAsia="仿宋_GB2312" w:cs="仿宋_GB2312"/>
          <w:color w:val="auto"/>
          <w:kern w:val="2"/>
          <w:sz w:val="32"/>
          <w:szCs w:val="32"/>
          <w:lang w:val="en-US" w:eastAsia="zh-CN" w:bidi="ar"/>
        </w:rPr>
        <w:t>家次，组织开展公益性活动不低于</w:t>
      </w:r>
      <w:r>
        <w:rPr>
          <w:rFonts w:hint="default" w:ascii="Times New Roman" w:hAnsi="Times New Roman" w:eastAsia="仿宋_GB2312" w:cs="Times New Roman"/>
          <w:color w:val="auto"/>
          <w:kern w:val="2"/>
          <w:sz w:val="32"/>
          <w:szCs w:val="32"/>
          <w:lang w:val="en-US" w:eastAsia="zh-CN" w:bidi="ar"/>
        </w:rPr>
        <w:t>30</w:t>
      </w:r>
      <w:r>
        <w:rPr>
          <w:rFonts w:hint="eastAsia" w:ascii="仿宋_GB2312" w:hAnsi="Times New Roman" w:eastAsia="仿宋_GB2312" w:cs="仿宋_GB2312"/>
          <w:color w:val="auto"/>
          <w:kern w:val="2"/>
          <w:sz w:val="32"/>
          <w:szCs w:val="32"/>
          <w:lang w:val="en-US" w:eastAsia="zh-CN" w:bidi="ar"/>
        </w:rPr>
        <w:t>场；</w:t>
      </w:r>
    </w:p>
    <w:p w14:paraId="715EAAC4">
      <w:pPr>
        <w:keepNext w:val="0"/>
        <w:keepLines w:val="0"/>
        <w:pageBreakBefore w:val="0"/>
        <w:widowControl w:val="0"/>
        <w:suppressLineNumbers w:val="0"/>
        <w:kinsoku/>
        <w:wordWrap/>
        <w:topLinePunct w:val="0"/>
        <w:autoSpaceDE w:val="0"/>
        <w:autoSpaceDN/>
        <w:bidi w:val="0"/>
        <w:adjustRightInd w:val="0"/>
        <w:snapToGrid w:val="0"/>
        <w:spacing w:before="0" w:beforeAutospacing="0" w:afterAutospacing="0" w:line="578" w:lineRule="exact"/>
        <w:ind w:left="0" w:right="0" w:firstLine="643" w:firstLineChars="200"/>
        <w:jc w:val="both"/>
        <w:rPr>
          <w:rFonts w:hint="eastAsia" w:ascii="Times New Roman" w:hAnsi="Times New Roman" w:eastAsia="仿宋_GB2312" w:cs="Times New Roman"/>
          <w:color w:val="auto"/>
          <w:kern w:val="2"/>
          <w:sz w:val="32"/>
          <w:szCs w:val="32"/>
        </w:rPr>
      </w:pPr>
      <w:r>
        <w:rPr>
          <w:rFonts w:hint="eastAsia" w:ascii="仿宋_GB2312" w:hAnsi="Times New Roman" w:eastAsia="仿宋_GB2312" w:cs="仿宋_GB2312"/>
          <w:b/>
          <w:bCs/>
          <w:color w:val="auto"/>
          <w:kern w:val="2"/>
          <w:sz w:val="32"/>
          <w:szCs w:val="32"/>
          <w:lang w:val="en-US" w:eastAsia="zh-CN" w:bidi="ar"/>
        </w:rPr>
        <w:t>技术服务类</w:t>
      </w:r>
      <w:r>
        <w:rPr>
          <w:rFonts w:hint="eastAsia" w:ascii="仿宋_GB2312" w:hAnsi="Times New Roman" w:eastAsia="仿宋_GB2312" w:cs="仿宋_GB2312"/>
          <w:color w:val="auto"/>
          <w:kern w:val="2"/>
          <w:sz w:val="32"/>
          <w:szCs w:val="32"/>
          <w:lang w:val="en-US" w:eastAsia="zh-CN" w:bidi="ar"/>
        </w:rPr>
        <w:t>—企事业单位，具有组织技术服务资源的能力，具有权威检测或认证资质，具有新产品、新技术项目库等，应免费或低收费开放大型、精密仪器设备与中小企业共享，年服务企业不低于</w:t>
      </w:r>
      <w:r>
        <w:rPr>
          <w:rFonts w:hint="default" w:ascii="Times New Roman" w:hAnsi="Times New Roman" w:eastAsia="仿宋_GB2312" w:cs="Times New Roman"/>
          <w:color w:val="auto"/>
          <w:kern w:val="2"/>
          <w:sz w:val="32"/>
          <w:szCs w:val="32"/>
          <w:lang w:val="en-US" w:eastAsia="zh-CN" w:bidi="ar"/>
        </w:rPr>
        <w:t>2000</w:t>
      </w:r>
      <w:r>
        <w:rPr>
          <w:rFonts w:hint="eastAsia" w:ascii="仿宋_GB2312" w:hAnsi="Times New Roman" w:eastAsia="仿宋_GB2312" w:cs="仿宋_GB2312"/>
          <w:color w:val="auto"/>
          <w:kern w:val="2"/>
          <w:sz w:val="32"/>
          <w:szCs w:val="32"/>
          <w:lang w:val="en-US" w:eastAsia="zh-CN" w:bidi="ar"/>
        </w:rPr>
        <w:t>家次，其中本市中小微企业不低于</w:t>
      </w:r>
      <w:r>
        <w:rPr>
          <w:rFonts w:hint="default" w:ascii="Times New Roman" w:hAnsi="Times New Roman" w:eastAsia="仿宋_GB2312" w:cs="Times New Roman"/>
          <w:color w:val="auto"/>
          <w:kern w:val="2"/>
          <w:sz w:val="32"/>
          <w:szCs w:val="32"/>
          <w:lang w:val="en-US" w:eastAsia="zh-CN" w:bidi="ar"/>
        </w:rPr>
        <w:t>1600</w:t>
      </w:r>
      <w:r>
        <w:rPr>
          <w:rFonts w:hint="eastAsia" w:ascii="仿宋_GB2312" w:hAnsi="Times New Roman" w:eastAsia="仿宋_GB2312" w:cs="仿宋_GB2312"/>
          <w:color w:val="auto"/>
          <w:kern w:val="2"/>
          <w:sz w:val="32"/>
          <w:szCs w:val="32"/>
          <w:lang w:val="en-US" w:eastAsia="zh-CN" w:bidi="ar"/>
        </w:rPr>
        <w:t>家次，组织开展公益性活动不低于</w:t>
      </w:r>
      <w:r>
        <w:rPr>
          <w:rFonts w:hint="default" w:ascii="Times New Roman" w:hAnsi="Times New Roman" w:eastAsia="仿宋_GB2312" w:cs="Times New Roman"/>
          <w:color w:val="auto"/>
          <w:kern w:val="2"/>
          <w:sz w:val="32"/>
          <w:szCs w:val="32"/>
          <w:lang w:val="en-US" w:eastAsia="zh-CN" w:bidi="ar"/>
        </w:rPr>
        <w:t>15</w:t>
      </w:r>
      <w:r>
        <w:rPr>
          <w:rFonts w:hint="eastAsia" w:ascii="仿宋_GB2312" w:hAnsi="Times New Roman" w:eastAsia="仿宋_GB2312" w:cs="仿宋_GB2312"/>
          <w:color w:val="auto"/>
          <w:kern w:val="2"/>
          <w:sz w:val="32"/>
          <w:szCs w:val="32"/>
          <w:lang w:val="en-US" w:eastAsia="zh-CN" w:bidi="ar"/>
        </w:rPr>
        <w:t>场；</w:t>
      </w:r>
    </w:p>
    <w:p w14:paraId="23F3B789">
      <w:pPr>
        <w:keepNext w:val="0"/>
        <w:keepLines w:val="0"/>
        <w:pageBreakBefore w:val="0"/>
        <w:widowControl w:val="0"/>
        <w:suppressLineNumbers w:val="0"/>
        <w:kinsoku/>
        <w:wordWrap/>
        <w:topLinePunct w:val="0"/>
        <w:autoSpaceDE w:val="0"/>
        <w:autoSpaceDN/>
        <w:bidi w:val="0"/>
        <w:spacing w:before="0" w:beforeAutospacing="0" w:afterAutospacing="0" w:line="578" w:lineRule="exact"/>
        <w:ind w:left="0" w:right="0" w:firstLine="640" w:firstLineChars="200"/>
        <w:jc w:val="both"/>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3</w:t>
      </w:r>
      <w:r>
        <w:rPr>
          <w:rFonts w:hint="eastAsia" w:ascii="仿宋_GB2312" w:hAnsi="Times New Roman" w:eastAsia="仿宋_GB2312" w:cs="仿宋_GB2312"/>
          <w:color w:val="auto"/>
          <w:kern w:val="2"/>
          <w:sz w:val="32"/>
          <w:szCs w:val="32"/>
          <w:lang w:val="en-US" w:eastAsia="zh-CN" w:bidi="ar"/>
        </w:rPr>
        <w:t>）服务对象平均满意度不低于</w:t>
      </w:r>
      <w:r>
        <w:rPr>
          <w:rFonts w:hint="default" w:ascii="Times New Roman" w:hAnsi="Times New Roman" w:eastAsia="仿宋_GB2312" w:cs="Times New Roman"/>
          <w:color w:val="auto"/>
          <w:kern w:val="2"/>
          <w:sz w:val="32"/>
          <w:szCs w:val="32"/>
          <w:lang w:val="en-US" w:eastAsia="zh-CN" w:bidi="ar"/>
        </w:rPr>
        <w:t>90%</w:t>
      </w:r>
      <w:r>
        <w:rPr>
          <w:rFonts w:hint="eastAsia" w:ascii="仿宋_GB2312" w:hAnsi="Times New Roman" w:eastAsia="仿宋_GB2312" w:cs="仿宋_GB2312"/>
          <w:color w:val="auto"/>
          <w:kern w:val="2"/>
          <w:sz w:val="32"/>
          <w:szCs w:val="32"/>
          <w:lang w:val="en-US" w:eastAsia="zh-CN" w:bidi="ar"/>
        </w:rPr>
        <w:t>，需提供满意度证明材料及服务对象联系方式。</w:t>
      </w:r>
    </w:p>
    <w:p w14:paraId="59B05157">
      <w:pPr>
        <w:keepNext w:val="0"/>
        <w:keepLines w:val="0"/>
        <w:pageBreakBefore w:val="0"/>
        <w:widowControl w:val="0"/>
        <w:suppressLineNumbers w:val="0"/>
        <w:kinsoku/>
        <w:wordWrap/>
        <w:topLinePunct w:val="0"/>
        <w:autoSpaceDE w:val="0"/>
        <w:autoSpaceDN/>
        <w:bidi w:val="0"/>
        <w:spacing w:before="0" w:beforeAutospacing="0" w:afterAutospacing="0" w:line="578" w:lineRule="exact"/>
        <w:ind w:left="0" w:right="0" w:firstLine="640" w:firstLineChars="200"/>
        <w:jc w:val="both"/>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4</w:t>
      </w:r>
      <w:r>
        <w:rPr>
          <w:rFonts w:hint="eastAsia" w:ascii="仿宋_GB2312" w:hAnsi="Times New Roman" w:eastAsia="仿宋_GB2312" w:cs="仿宋_GB2312"/>
          <w:color w:val="auto"/>
          <w:kern w:val="2"/>
          <w:sz w:val="32"/>
          <w:szCs w:val="32"/>
          <w:lang w:val="en-US" w:eastAsia="zh-CN" w:bidi="ar"/>
        </w:rPr>
        <w:t>）各类平台开展的公益性活动主要包括：</w:t>
      </w:r>
      <w:r>
        <w:rPr>
          <w:rFonts w:hint="default" w:ascii="Times New Roman" w:hAnsi="Times New Roman" w:eastAsia="仿宋_GB2312" w:cs="Times New Roman"/>
          <w:color w:val="auto"/>
          <w:kern w:val="2"/>
          <w:sz w:val="32"/>
          <w:szCs w:val="32"/>
          <w:lang w:val="en-US" w:eastAsia="zh-CN" w:bidi="ar"/>
        </w:rPr>
        <w:t>①与政府部门合作举办（非政府购买服务）的各类活动；②自主举办、不向参与对象收费的活动。同时，技术服务类平台对中小微企业收费应在公示或备案的费用标准基础上有相应优惠。</w:t>
      </w:r>
    </w:p>
    <w:p w14:paraId="6C6E2BB6">
      <w:pPr>
        <w:keepNext w:val="0"/>
        <w:keepLines w:val="0"/>
        <w:pageBreakBefore w:val="0"/>
        <w:widowControl w:val="0"/>
        <w:suppressLineNumbers w:val="0"/>
        <w:kinsoku/>
        <w:wordWrap/>
        <w:topLinePunct w:val="0"/>
        <w:autoSpaceDE w:val="0"/>
        <w:autoSpaceDN/>
        <w:bidi w:val="0"/>
        <w:spacing w:before="0" w:beforeAutospacing="0" w:afterAutospacing="0" w:line="578" w:lineRule="exact"/>
        <w:ind w:left="0" w:right="0" w:firstLine="640" w:firstLineChars="200"/>
        <w:jc w:val="both"/>
        <w:rPr>
          <w:rFonts w:hint="eastAsia"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5</w:t>
      </w:r>
      <w:r>
        <w:rPr>
          <w:rFonts w:hint="eastAsia" w:ascii="仿宋_GB2312" w:hAnsi="Times New Roman" w:eastAsia="仿宋_GB2312" w:cs="仿宋_GB2312"/>
          <w:color w:val="auto"/>
          <w:kern w:val="2"/>
          <w:sz w:val="32"/>
          <w:szCs w:val="32"/>
          <w:lang w:val="en-US" w:eastAsia="zh-CN" w:bidi="ar"/>
        </w:rPr>
        <w:t>）综合服务类、专业服务类平台</w:t>
      </w:r>
      <w:r>
        <w:rPr>
          <w:rFonts w:hint="default" w:ascii="Times New Roman" w:hAnsi="Times New Roman" w:eastAsia="仿宋_GB2312" w:cs="Times New Roman"/>
          <w:color w:val="auto"/>
          <w:kern w:val="2"/>
          <w:sz w:val="32"/>
          <w:szCs w:val="32"/>
          <w:lang w:val="en-US" w:eastAsia="zh-CN" w:bidi="ar"/>
        </w:rPr>
        <w:t>2025</w:t>
      </w:r>
      <w:r>
        <w:rPr>
          <w:rFonts w:hint="eastAsia" w:ascii="仿宋_GB2312" w:hAnsi="Times New Roman" w:eastAsia="仿宋_GB2312" w:cs="仿宋_GB2312"/>
          <w:color w:val="auto"/>
          <w:kern w:val="2"/>
          <w:sz w:val="32"/>
          <w:szCs w:val="32"/>
          <w:lang w:val="en-US" w:eastAsia="zh-CN" w:bidi="ar"/>
        </w:rPr>
        <w:t>年度项目投入不低于</w:t>
      </w:r>
      <w:r>
        <w:rPr>
          <w:rFonts w:hint="default" w:ascii="Times New Roman" w:hAnsi="Times New Roman" w:eastAsia="仿宋_GB2312" w:cs="Times New Roman"/>
          <w:color w:val="auto"/>
          <w:kern w:val="2"/>
          <w:sz w:val="32"/>
          <w:szCs w:val="32"/>
          <w:lang w:val="en-US" w:eastAsia="zh-CN" w:bidi="ar"/>
        </w:rPr>
        <w:t>100</w:t>
      </w:r>
      <w:r>
        <w:rPr>
          <w:rFonts w:hint="eastAsia" w:ascii="仿宋_GB2312" w:hAnsi="Times New Roman" w:eastAsia="仿宋_GB2312" w:cs="仿宋_GB2312"/>
          <w:color w:val="auto"/>
          <w:kern w:val="2"/>
          <w:sz w:val="32"/>
          <w:szCs w:val="32"/>
          <w:lang w:val="en-US" w:eastAsia="zh-CN" w:bidi="ar"/>
        </w:rPr>
        <w:t>万元，技术服务类平台</w:t>
      </w:r>
      <w:r>
        <w:rPr>
          <w:rFonts w:hint="default" w:ascii="Times New Roman" w:hAnsi="Times New Roman" w:eastAsia="仿宋_GB2312" w:cs="Times New Roman"/>
          <w:color w:val="auto"/>
          <w:kern w:val="2"/>
          <w:sz w:val="32"/>
          <w:szCs w:val="32"/>
          <w:lang w:val="en-US" w:eastAsia="zh-CN" w:bidi="ar"/>
        </w:rPr>
        <w:t>2025</w:t>
      </w:r>
      <w:r>
        <w:rPr>
          <w:rFonts w:hint="eastAsia" w:ascii="仿宋_GB2312" w:hAnsi="Times New Roman" w:eastAsia="仿宋_GB2312" w:cs="仿宋_GB2312"/>
          <w:color w:val="auto"/>
          <w:kern w:val="2"/>
          <w:sz w:val="32"/>
          <w:szCs w:val="32"/>
          <w:lang w:val="en-US" w:eastAsia="zh-CN" w:bidi="ar"/>
        </w:rPr>
        <w:t>年度项目投入不低于</w:t>
      </w:r>
      <w:r>
        <w:rPr>
          <w:rFonts w:hint="default" w:ascii="Times New Roman" w:hAnsi="Times New Roman" w:eastAsia="仿宋_GB2312" w:cs="Times New Roman"/>
          <w:color w:val="auto"/>
          <w:kern w:val="2"/>
          <w:sz w:val="32"/>
          <w:szCs w:val="32"/>
          <w:lang w:val="en-US" w:eastAsia="zh-CN" w:bidi="ar"/>
        </w:rPr>
        <w:t>500</w:t>
      </w:r>
      <w:r>
        <w:rPr>
          <w:rFonts w:hint="eastAsia" w:ascii="仿宋_GB2312" w:hAnsi="Times New Roman" w:eastAsia="仿宋_GB2312" w:cs="仿宋_GB2312"/>
          <w:color w:val="auto"/>
          <w:kern w:val="2"/>
          <w:sz w:val="32"/>
          <w:szCs w:val="32"/>
          <w:lang w:val="en-US" w:eastAsia="zh-CN" w:bidi="ar"/>
        </w:rPr>
        <w:t>万元，且各类平台公益性活动支出与对中小微企业低收费服务让渡收入之和不低于项目投入的</w:t>
      </w:r>
      <w:r>
        <w:rPr>
          <w:rFonts w:hint="default" w:ascii="Times New Roman" w:hAnsi="Times New Roman" w:eastAsia="仿宋_GB2312" w:cs="Times New Roman"/>
          <w:color w:val="auto"/>
          <w:kern w:val="2"/>
          <w:sz w:val="32"/>
          <w:szCs w:val="32"/>
          <w:lang w:val="en-US" w:eastAsia="zh-CN" w:bidi="ar"/>
        </w:rPr>
        <w:t>20%</w:t>
      </w:r>
      <w:r>
        <w:rPr>
          <w:rFonts w:hint="eastAsia" w:ascii="仿宋_GB2312" w:hAnsi="Times New Roman" w:eastAsia="仿宋_GB2312" w:cs="仿宋_GB2312"/>
          <w:color w:val="auto"/>
          <w:kern w:val="2"/>
          <w:sz w:val="32"/>
          <w:szCs w:val="32"/>
          <w:lang w:val="en-US" w:eastAsia="zh-CN" w:bidi="ar"/>
        </w:rPr>
        <w:t>。项目投入为不含税额，包括购置服务设备、仪器和日常运营管理软硬件的建设投入（不包括土建投资、房屋改造等费用）和服务中小微企业支出（不包括固定资产折旧、奖金福利、招待费等与服务企业无关开支），低收费服务价格应不高于公示或备案价格的</w:t>
      </w:r>
      <w:r>
        <w:rPr>
          <w:rFonts w:hint="default" w:ascii="Times New Roman" w:hAnsi="Times New Roman" w:eastAsia="仿宋_GB2312" w:cs="Times New Roman"/>
          <w:color w:val="auto"/>
          <w:kern w:val="2"/>
          <w:sz w:val="32"/>
          <w:szCs w:val="32"/>
          <w:lang w:val="en-US" w:eastAsia="zh-CN" w:bidi="ar"/>
        </w:rPr>
        <w:t>80%</w:t>
      </w:r>
      <w:r>
        <w:rPr>
          <w:rFonts w:hint="eastAsia" w:ascii="仿宋_GB2312" w:hAnsi="Times New Roman" w:eastAsia="仿宋_GB2312" w:cs="仿宋_GB2312"/>
          <w:color w:val="auto"/>
          <w:kern w:val="2"/>
          <w:sz w:val="32"/>
          <w:szCs w:val="32"/>
          <w:lang w:val="en-US" w:eastAsia="zh-CN" w:bidi="ar"/>
        </w:rPr>
        <w:t>，让渡收入指公示或备案价格与实际成交价格（发票金额，含税）的差额。</w:t>
      </w:r>
    </w:p>
    <w:p w14:paraId="59F0C28B">
      <w:pPr>
        <w:keepNext w:val="0"/>
        <w:keepLines w:val="0"/>
        <w:pageBreakBefore w:val="0"/>
        <w:widowControl w:val="0"/>
        <w:suppressLineNumbers w:val="0"/>
        <w:kinsoku/>
        <w:wordWrap/>
        <w:topLinePunct w:val="0"/>
        <w:autoSpaceDE w:val="0"/>
        <w:autoSpaceDN/>
        <w:bidi w:val="0"/>
        <w:spacing w:before="0" w:beforeAutospacing="0" w:afterAutospacing="0" w:line="578" w:lineRule="exact"/>
        <w:ind w:left="0" w:right="0" w:firstLine="640" w:firstLineChars="200"/>
        <w:jc w:val="both"/>
        <w:rPr>
          <w:rFonts w:hint="eastAsia"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6</w:t>
      </w:r>
      <w:r>
        <w:rPr>
          <w:rFonts w:hint="eastAsia" w:ascii="仿宋_GB2312" w:hAnsi="Times New Roman" w:eastAsia="仿宋_GB2312" w:cs="仿宋_GB2312"/>
          <w:color w:val="auto"/>
          <w:kern w:val="2"/>
          <w:sz w:val="32"/>
          <w:szCs w:val="32"/>
          <w:lang w:val="en-US" w:eastAsia="zh-CN" w:bidi="ar"/>
        </w:rPr>
        <w:t>）平台应积极开展推进中小微企业创新创业、促进优质企业上档升级、帮助企业反馈解决问题诉求等方面工作，取得显著成效的考虑重点扶持。</w:t>
      </w:r>
    </w:p>
    <w:p w14:paraId="50A88F6C">
      <w:pPr>
        <w:keepNext w:val="0"/>
        <w:keepLines w:val="0"/>
        <w:pageBreakBefore w:val="0"/>
        <w:widowControl w:val="0"/>
        <w:suppressLineNumbers w:val="0"/>
        <w:kinsoku/>
        <w:wordWrap/>
        <w:topLinePunct w:val="0"/>
        <w:autoSpaceDE w:val="0"/>
        <w:autoSpaceDN/>
        <w:bidi w:val="0"/>
        <w:spacing w:before="0" w:beforeAutospacing="0" w:afterAutospacing="0" w:line="578" w:lineRule="exact"/>
        <w:ind w:left="0" w:right="0" w:firstLine="640" w:firstLineChars="200"/>
        <w:jc w:val="both"/>
        <w:rPr>
          <w:rFonts w:hint="eastAsia" w:ascii="仿宋_GB2312" w:hAnsi="Times New Roman" w:eastAsia="仿宋_GB2312" w:cs="仿宋_GB2312"/>
          <w:color w:val="auto"/>
          <w:kern w:val="2"/>
          <w:sz w:val="32"/>
          <w:szCs w:val="32"/>
          <w:lang w:val="en-US" w:eastAsia="zh-CN" w:bidi="ar"/>
        </w:rPr>
      </w:pPr>
      <w:r>
        <w:rPr>
          <w:rFonts w:hint="eastAsia" w:ascii="仿宋_GB2312" w:hAnsi="Times New Roman" w:eastAsia="仿宋_GB2312" w:cs="仿宋_GB2312"/>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7</w:t>
      </w:r>
      <w:r>
        <w:rPr>
          <w:rFonts w:hint="eastAsia" w:ascii="仿宋_GB2312" w:hAnsi="Times New Roman" w:eastAsia="仿宋_GB2312" w:cs="仿宋_GB2312"/>
          <w:color w:val="auto"/>
          <w:kern w:val="2"/>
          <w:sz w:val="32"/>
          <w:szCs w:val="32"/>
          <w:lang w:val="en-US" w:eastAsia="zh-CN" w:bidi="ar"/>
        </w:rPr>
        <w:t>）需提供专项审计报告，包含但不仅限于服务企业情况、开展公益性活动情况、项目投入、公益性支出、低收费服务等方面内容。</w:t>
      </w:r>
    </w:p>
    <w:p w14:paraId="7DD62D34">
      <w:pPr>
        <w:keepNext w:val="0"/>
        <w:keepLines w:val="0"/>
        <w:pageBreakBefore w:val="0"/>
        <w:widowControl w:val="0"/>
        <w:suppressLineNumbers w:val="0"/>
        <w:kinsoku/>
        <w:wordWrap/>
        <w:topLinePunct w:val="0"/>
        <w:autoSpaceDE w:val="0"/>
        <w:autoSpaceDN/>
        <w:bidi w:val="0"/>
        <w:spacing w:before="0" w:beforeAutospacing="0" w:afterAutospacing="0" w:line="578" w:lineRule="exact"/>
        <w:ind w:left="0" w:right="0" w:firstLine="643"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bCs/>
          <w:color w:val="auto"/>
          <w:kern w:val="2"/>
          <w:sz w:val="32"/>
          <w:szCs w:val="32"/>
          <w:lang w:val="en-US" w:eastAsia="zh-CN" w:bidi="ar"/>
        </w:rPr>
        <w:t>2.扶持标准。</w:t>
      </w:r>
      <w:r>
        <w:rPr>
          <w:rFonts w:hint="eastAsia" w:ascii="仿宋_GB2312" w:hAnsi="Times New Roman" w:eastAsia="仿宋_GB2312" w:cs="仿宋_GB2312"/>
          <w:color w:val="auto"/>
          <w:kern w:val="2"/>
          <w:sz w:val="32"/>
          <w:szCs w:val="32"/>
          <w:lang w:val="en-US" w:eastAsia="zh-CN" w:bidi="ar"/>
        </w:rPr>
        <w:t>对符合条件的平台给予最高</w:t>
      </w:r>
      <w:r>
        <w:rPr>
          <w:rFonts w:hint="default" w:ascii="Times New Roman" w:hAnsi="Times New Roman" w:eastAsia="仿宋_GB2312" w:cs="Times New Roman"/>
          <w:color w:val="auto"/>
          <w:kern w:val="2"/>
          <w:sz w:val="32"/>
          <w:szCs w:val="32"/>
          <w:lang w:val="en-US" w:eastAsia="zh-CN" w:bidi="ar"/>
        </w:rPr>
        <w:t>200</w:t>
      </w:r>
      <w:r>
        <w:rPr>
          <w:rFonts w:hint="eastAsia" w:ascii="仿宋_GB2312" w:hAnsi="Times New Roman" w:eastAsia="仿宋_GB2312" w:cs="仿宋_GB2312"/>
          <w:color w:val="auto"/>
          <w:kern w:val="2"/>
          <w:sz w:val="32"/>
          <w:szCs w:val="32"/>
          <w:lang w:val="en-US" w:eastAsia="zh-CN" w:bidi="ar"/>
        </w:rPr>
        <w:t>万元扶持。</w:t>
      </w:r>
    </w:p>
    <w:p w14:paraId="54C10B36">
      <w:pPr>
        <w:keepNext w:val="0"/>
        <w:keepLines w:val="0"/>
        <w:pageBreakBefore w:val="0"/>
        <w:widowControl w:val="0"/>
        <w:numPr>
          <w:ilvl w:val="0"/>
          <w:numId w:val="3"/>
        </w:numPr>
        <w:suppressLineNumbers w:val="0"/>
        <w:kinsoku/>
        <w:wordWrap/>
        <w:overflowPunct/>
        <w:topLinePunct w:val="0"/>
        <w:autoSpaceDE w:val="0"/>
        <w:autoSpaceDN/>
        <w:bidi w:val="0"/>
        <w:adjustRightInd w:val="0"/>
        <w:snapToGrid w:val="0"/>
        <w:spacing w:before="0" w:beforeAutospacing="0" w:afterAutospacing="0" w:line="578" w:lineRule="exact"/>
        <w:ind w:left="0" w:right="0" w:firstLine="640" w:firstLineChars="200"/>
        <w:jc w:val="both"/>
        <w:textAlignment w:val="auto"/>
        <w:rPr>
          <w:rFonts w:hint="default" w:ascii="黑体" w:hAnsi="宋体" w:eastAsia="黑体" w:cs="黑体"/>
          <w:color w:val="auto"/>
          <w:kern w:val="2"/>
          <w:sz w:val="32"/>
          <w:szCs w:val="32"/>
          <w:lang w:val="en-US" w:eastAsia="zh-CN" w:bidi="ar"/>
        </w:rPr>
      </w:pPr>
      <w:r>
        <w:rPr>
          <w:rFonts w:hint="eastAsia" w:ascii="黑体" w:hAnsi="宋体" w:eastAsia="黑体" w:cs="黑体"/>
          <w:color w:val="auto"/>
          <w:kern w:val="2"/>
          <w:sz w:val="32"/>
          <w:szCs w:val="32"/>
          <w:lang w:val="en-US" w:eastAsia="zh-CN" w:bidi="ar"/>
        </w:rPr>
        <w:t>人工智能+制造</w:t>
      </w:r>
    </w:p>
    <w:p w14:paraId="105A72F6">
      <w:pPr>
        <w:keepNext w:val="0"/>
        <w:keepLines w:val="0"/>
        <w:pageBreakBefore w:val="0"/>
        <w:kinsoku/>
        <w:wordWrap/>
        <w:topLinePunct w:val="0"/>
        <w:autoSpaceDN/>
        <w:bidi w:val="0"/>
        <w:adjustRightInd w:val="0"/>
        <w:snapToGrid w:val="0"/>
        <w:spacing w:line="578" w:lineRule="exact"/>
        <w:ind w:firstLine="640" w:firstLineChars="200"/>
        <w:jc w:val="both"/>
        <w:rPr>
          <w:rFonts w:hint="eastAsia" w:ascii="楷体_GB2312" w:hAnsi="Times New Roman" w:eastAsia="楷体_GB2312" w:cs="Times New Roman"/>
          <w:snapToGrid w:val="0"/>
          <w:color w:val="auto"/>
          <w:kern w:val="0"/>
          <w:sz w:val="32"/>
          <w:szCs w:val="32"/>
          <w:highlight w:val="none"/>
          <w:lang w:eastAsia="zh-CN"/>
        </w:rPr>
      </w:pPr>
      <w:r>
        <w:rPr>
          <w:rFonts w:ascii="楷体_GB2312" w:hAnsi="Times New Roman" w:eastAsia="楷体_GB2312" w:cs="Times New Roman"/>
          <w:snapToGrid w:val="0"/>
          <w:color w:val="auto"/>
          <w:kern w:val="0"/>
          <w:sz w:val="32"/>
          <w:szCs w:val="32"/>
          <w:highlight w:val="none"/>
        </w:rPr>
        <w:t>（</w:t>
      </w:r>
      <w:r>
        <w:rPr>
          <w:rFonts w:hint="eastAsia" w:ascii="楷体_GB2312" w:hAnsi="Times New Roman" w:eastAsia="楷体_GB2312" w:cs="Times New Roman"/>
          <w:snapToGrid w:val="0"/>
          <w:color w:val="auto"/>
          <w:kern w:val="0"/>
          <w:sz w:val="32"/>
          <w:szCs w:val="32"/>
          <w:highlight w:val="none"/>
          <w:lang w:val="en-US" w:eastAsia="zh-CN"/>
        </w:rPr>
        <w:t>一</w:t>
      </w:r>
      <w:r>
        <w:rPr>
          <w:rFonts w:ascii="楷体_GB2312" w:hAnsi="Times New Roman" w:eastAsia="楷体_GB2312" w:cs="Times New Roman"/>
          <w:snapToGrid w:val="0"/>
          <w:color w:val="auto"/>
          <w:kern w:val="0"/>
          <w:sz w:val="32"/>
          <w:szCs w:val="32"/>
          <w:highlight w:val="none"/>
        </w:rPr>
        <w:t>）</w:t>
      </w:r>
      <w:r>
        <w:rPr>
          <w:rFonts w:hint="eastAsia" w:ascii="楷体_GB2312" w:hAnsi="Times New Roman" w:eastAsia="楷体_GB2312" w:cs="Times New Roman"/>
          <w:snapToGrid w:val="0"/>
          <w:color w:val="auto"/>
          <w:kern w:val="0"/>
          <w:sz w:val="32"/>
          <w:szCs w:val="32"/>
          <w:highlight w:val="none"/>
        </w:rPr>
        <w:t>苏州市人工智能赋能新型工业化典型应用场景</w:t>
      </w:r>
      <w:r>
        <w:rPr>
          <w:rFonts w:hint="eastAsia" w:ascii="楷体_GB2312" w:hAnsi="Times New Roman" w:eastAsia="楷体_GB2312" w:cs="Times New Roman"/>
          <w:snapToGrid w:val="0"/>
          <w:color w:val="auto"/>
          <w:kern w:val="0"/>
          <w:sz w:val="32"/>
          <w:szCs w:val="32"/>
          <w:highlight w:val="none"/>
          <w:lang w:val="en-US" w:eastAsia="zh-CN"/>
        </w:rPr>
        <w:t>项目</w:t>
      </w:r>
    </w:p>
    <w:p w14:paraId="61BE5609">
      <w:pPr>
        <w:keepNext w:val="0"/>
        <w:keepLines w:val="0"/>
        <w:pageBreakBefore w:val="0"/>
        <w:kinsoku/>
        <w:wordWrap/>
        <w:topLinePunct w:val="0"/>
        <w:autoSpaceDN/>
        <w:bidi w:val="0"/>
        <w:adjustRightInd w:val="0"/>
        <w:snapToGrid w:val="0"/>
        <w:spacing w:line="578" w:lineRule="exact"/>
        <w:ind w:firstLine="643" w:firstLineChars="200"/>
        <w:jc w:val="both"/>
        <w:rPr>
          <w:rFonts w:ascii="Times New Roman" w:hAnsi="Times New Roman" w:eastAsia="仿宋_GB2312"/>
          <w:b/>
          <w:bCs/>
          <w:color w:val="auto"/>
          <w:sz w:val="32"/>
          <w:highlight w:val="none"/>
        </w:rPr>
      </w:pPr>
      <w:r>
        <w:rPr>
          <w:rFonts w:ascii="Times New Roman" w:hAnsi="Times New Roman" w:eastAsia="仿宋_GB2312"/>
          <w:b/>
          <w:bCs/>
          <w:color w:val="auto"/>
          <w:sz w:val="32"/>
          <w:highlight w:val="none"/>
        </w:rPr>
        <w:t>1</w:t>
      </w:r>
      <w:r>
        <w:rPr>
          <w:rFonts w:hint="eastAsia" w:ascii="Times New Roman" w:hAnsi="Times New Roman" w:eastAsia="仿宋_GB2312"/>
          <w:b/>
          <w:bCs/>
          <w:color w:val="auto"/>
          <w:sz w:val="32"/>
          <w:highlight w:val="none"/>
          <w:lang w:eastAsia="zh-CN"/>
        </w:rPr>
        <w:t>.</w:t>
      </w:r>
      <w:r>
        <w:rPr>
          <w:rFonts w:ascii="Times New Roman" w:hAnsi="Times New Roman" w:eastAsia="仿宋_GB2312"/>
          <w:b/>
          <w:bCs/>
          <w:color w:val="auto"/>
          <w:sz w:val="32"/>
          <w:highlight w:val="none"/>
        </w:rPr>
        <w:t>支持条件。</w:t>
      </w:r>
    </w:p>
    <w:p w14:paraId="513E3D4C">
      <w:pPr>
        <w:keepNext w:val="0"/>
        <w:keepLines w:val="0"/>
        <w:pageBreakBefore w:val="0"/>
        <w:kinsoku/>
        <w:wordWrap/>
        <w:topLinePunct w:val="0"/>
        <w:autoSpaceDN/>
        <w:bidi w:val="0"/>
        <w:adjustRightInd w:val="0"/>
        <w:snapToGrid w:val="0"/>
        <w:spacing w:line="578" w:lineRule="exact"/>
        <w:ind w:firstLine="640" w:firstLineChars="200"/>
        <w:jc w:val="both"/>
        <w:rPr>
          <w:rFonts w:hint="eastAsia" w:ascii="Times New Roman" w:hAnsi="Times New Roman" w:eastAsia="仿宋_GB2312"/>
          <w:color w:val="auto"/>
          <w:sz w:val="32"/>
          <w:highlight w:val="none"/>
          <w:lang w:val="en-US" w:eastAsia="zh-CN"/>
        </w:rPr>
      </w:pPr>
      <w:r>
        <w:rPr>
          <w:rFonts w:hint="eastAsia" w:ascii="Times New Roman" w:hAnsi="Times New Roman" w:eastAsia="仿宋_GB2312"/>
          <w:color w:val="auto"/>
          <w:sz w:val="32"/>
          <w:highlight w:val="none"/>
          <w:lang w:eastAsia="zh-CN"/>
        </w:rPr>
        <w:t>（</w:t>
      </w:r>
      <w:r>
        <w:rPr>
          <w:rFonts w:hint="eastAsia" w:ascii="Times New Roman" w:hAnsi="Times New Roman" w:eastAsia="仿宋_GB2312"/>
          <w:color w:val="auto"/>
          <w:sz w:val="32"/>
          <w:highlight w:val="none"/>
          <w:lang w:val="en-US" w:eastAsia="zh-CN"/>
        </w:rPr>
        <w:t>1</w:t>
      </w:r>
      <w:r>
        <w:rPr>
          <w:rFonts w:hint="eastAsia" w:ascii="Times New Roman" w:hAnsi="Times New Roman" w:eastAsia="仿宋_GB2312"/>
          <w:color w:val="auto"/>
          <w:sz w:val="32"/>
          <w:highlight w:val="none"/>
          <w:lang w:eastAsia="zh-CN"/>
        </w:rPr>
        <w:t>）</w:t>
      </w:r>
      <w:r>
        <w:rPr>
          <w:rFonts w:hint="eastAsia" w:ascii="Times New Roman" w:hAnsi="Times New Roman" w:eastAsia="仿宋_GB2312"/>
          <w:color w:val="auto"/>
          <w:sz w:val="32"/>
          <w:highlight w:val="none"/>
          <w:lang w:val="en-US" w:eastAsia="zh-CN"/>
        </w:rPr>
        <w:t>申报的应用场景须在苏州市辖区内建成并投入实际应用，且属于制造业领域。</w:t>
      </w:r>
    </w:p>
    <w:p w14:paraId="5A85866E">
      <w:pPr>
        <w:keepNext w:val="0"/>
        <w:keepLines w:val="0"/>
        <w:pageBreakBefore w:val="0"/>
        <w:kinsoku/>
        <w:wordWrap/>
        <w:topLinePunct w:val="0"/>
        <w:autoSpaceDN/>
        <w:bidi w:val="0"/>
        <w:adjustRightInd w:val="0"/>
        <w:snapToGrid w:val="0"/>
        <w:spacing w:line="578" w:lineRule="exact"/>
        <w:ind w:firstLine="640" w:firstLineChars="200"/>
        <w:jc w:val="both"/>
        <w:rPr>
          <w:rFonts w:hint="eastAsia" w:ascii="Times New Roman" w:hAnsi="Times New Roman" w:eastAsia="仿宋_GB2312"/>
          <w:strike w:val="0"/>
          <w:dstrike w:val="0"/>
          <w:color w:val="auto"/>
          <w:sz w:val="32"/>
          <w:highlight w:val="none"/>
          <w:lang w:val="en-US" w:eastAsia="zh-CN"/>
        </w:rPr>
      </w:pPr>
      <w:r>
        <w:rPr>
          <w:rFonts w:hint="eastAsia" w:ascii="Times New Roman" w:hAnsi="Times New Roman" w:eastAsia="仿宋_GB2312"/>
          <w:strike w:val="0"/>
          <w:dstrike w:val="0"/>
          <w:color w:val="auto"/>
          <w:sz w:val="32"/>
          <w:highlight w:val="none"/>
          <w:lang w:val="en-US" w:eastAsia="zh-CN"/>
        </w:rPr>
        <w:t>（2）申报的应用场景须广泛应用人工智能技术，通过场景应用，在改造研发设计（含工业设计）、中试验证、生产制造、营销服务、运营管理等单个或多个流程中成效显著。</w:t>
      </w:r>
    </w:p>
    <w:p w14:paraId="4A1A1A41">
      <w:pPr>
        <w:keepNext w:val="0"/>
        <w:keepLines w:val="0"/>
        <w:pageBreakBefore w:val="0"/>
        <w:kinsoku/>
        <w:wordWrap/>
        <w:topLinePunct w:val="0"/>
        <w:autoSpaceDN/>
        <w:bidi w:val="0"/>
        <w:adjustRightInd w:val="0"/>
        <w:snapToGrid w:val="0"/>
        <w:spacing w:line="578" w:lineRule="exact"/>
        <w:ind w:firstLine="640" w:firstLineChars="200"/>
        <w:jc w:val="both"/>
        <w:rPr>
          <w:rFonts w:hint="default" w:ascii="Times New Roman" w:hAnsi="Times New Roman" w:eastAsia="仿宋_GB2312"/>
          <w:strike w:val="0"/>
          <w:dstrike w:val="0"/>
          <w:color w:val="auto"/>
          <w:sz w:val="32"/>
          <w:highlight w:val="none"/>
          <w:lang w:val="en-US" w:eastAsia="zh-CN"/>
        </w:rPr>
      </w:pPr>
      <w:r>
        <w:rPr>
          <w:rFonts w:hint="eastAsia" w:ascii="Times New Roman" w:hAnsi="Times New Roman" w:eastAsia="仿宋_GB2312"/>
          <w:strike w:val="0"/>
          <w:dstrike w:val="0"/>
          <w:color w:val="auto"/>
          <w:sz w:val="32"/>
          <w:highlight w:val="none"/>
          <w:lang w:eastAsia="zh-CN"/>
        </w:rPr>
        <w:t>（</w:t>
      </w:r>
      <w:r>
        <w:rPr>
          <w:rFonts w:hint="eastAsia" w:ascii="Times New Roman" w:hAnsi="Times New Roman" w:eastAsia="仿宋_GB2312"/>
          <w:strike w:val="0"/>
          <w:dstrike w:val="0"/>
          <w:color w:val="auto"/>
          <w:sz w:val="32"/>
          <w:highlight w:val="none"/>
          <w:lang w:val="en-US" w:eastAsia="zh-CN"/>
        </w:rPr>
        <w:t>3</w:t>
      </w:r>
      <w:r>
        <w:rPr>
          <w:rFonts w:hint="eastAsia" w:ascii="Times New Roman" w:hAnsi="Times New Roman" w:eastAsia="仿宋_GB2312"/>
          <w:strike w:val="0"/>
          <w:dstrike w:val="0"/>
          <w:color w:val="auto"/>
          <w:sz w:val="32"/>
          <w:highlight w:val="none"/>
          <w:lang w:eastAsia="zh-CN"/>
        </w:rPr>
        <w:t>）</w:t>
      </w:r>
      <w:r>
        <w:rPr>
          <w:rFonts w:hint="eastAsia" w:ascii="Times New Roman" w:hAnsi="Times New Roman" w:eastAsia="仿宋_GB2312"/>
          <w:strike w:val="0"/>
          <w:dstrike w:val="0"/>
          <w:color w:val="auto"/>
          <w:sz w:val="32"/>
          <w:highlight w:val="none"/>
          <w:lang w:val="en-US" w:eastAsia="zh-CN"/>
        </w:rPr>
        <w:t>各县级市（区）推荐不超过5个项目进行申报，获评2025年苏州市人工智能赋能新型工业化典型应用场景、2026年苏州市人工智能赋能新型工业化典型应用场景（第一批）的项目不占用各县级市（区）推荐名额。</w:t>
      </w:r>
    </w:p>
    <w:p w14:paraId="6154B84B">
      <w:pPr>
        <w:keepNext w:val="0"/>
        <w:keepLines w:val="0"/>
        <w:pageBreakBefore w:val="0"/>
        <w:kinsoku/>
        <w:wordWrap/>
        <w:topLinePunct w:val="0"/>
        <w:autoSpaceDE/>
        <w:autoSpaceDN/>
        <w:bidi w:val="0"/>
        <w:adjustRightInd w:val="0"/>
        <w:snapToGrid w:val="0"/>
        <w:spacing w:line="578" w:lineRule="exact"/>
        <w:ind w:firstLine="643" w:firstLineChars="200"/>
        <w:jc w:val="both"/>
        <w:textAlignment w:val="auto"/>
        <w:rPr>
          <w:rFonts w:hint="eastAsia" w:ascii="黑体" w:hAnsi="黑体" w:eastAsia="黑体" w:cs="黑体"/>
          <w:snapToGrid w:val="0"/>
          <w:color w:val="auto"/>
          <w:kern w:val="0"/>
          <w:sz w:val="32"/>
          <w:szCs w:val="32"/>
          <w:highlight w:val="none"/>
        </w:rPr>
      </w:pPr>
      <w:r>
        <w:rPr>
          <w:rFonts w:ascii="Times New Roman" w:hAnsi="Times New Roman" w:eastAsia="仿宋_GB2312"/>
          <w:b/>
          <w:bCs/>
          <w:color w:val="auto"/>
          <w:sz w:val="32"/>
          <w:highlight w:val="none"/>
        </w:rPr>
        <w:t>2</w:t>
      </w:r>
      <w:r>
        <w:rPr>
          <w:rFonts w:hint="eastAsia" w:ascii="Times New Roman" w:hAnsi="Times New Roman" w:eastAsia="仿宋_GB2312"/>
          <w:b/>
          <w:bCs/>
          <w:color w:val="auto"/>
          <w:sz w:val="32"/>
          <w:highlight w:val="none"/>
          <w:lang w:eastAsia="zh-CN"/>
        </w:rPr>
        <w:t>.</w:t>
      </w:r>
      <w:r>
        <w:rPr>
          <w:rFonts w:ascii="Times New Roman" w:hAnsi="Times New Roman" w:eastAsia="仿宋_GB2312"/>
          <w:b/>
          <w:bCs/>
          <w:color w:val="auto"/>
          <w:sz w:val="32"/>
          <w:highlight w:val="none"/>
        </w:rPr>
        <w:t>扶持标准。</w:t>
      </w:r>
      <w:r>
        <w:rPr>
          <w:rFonts w:hint="eastAsia" w:ascii="Times New Roman" w:hAnsi="Times New Roman" w:eastAsia="仿宋_GB2312"/>
          <w:color w:val="auto"/>
          <w:sz w:val="32"/>
          <w:highlight w:val="none"/>
        </w:rPr>
        <w:t>择优对提供应用场景的主体按人工智能产品及服务投资采购额的30%</w:t>
      </w:r>
      <w:r>
        <w:rPr>
          <w:rFonts w:hint="eastAsia" w:ascii="Times New Roman" w:hAnsi="Times New Roman" w:eastAsia="仿宋_GB2312"/>
          <w:color w:val="auto"/>
          <w:sz w:val="32"/>
          <w:highlight w:val="none"/>
          <w:lang w:eastAsia="zh-CN"/>
        </w:rPr>
        <w:t>（</w:t>
      </w:r>
      <w:r>
        <w:rPr>
          <w:rFonts w:hint="eastAsia" w:ascii="Times New Roman" w:hAnsi="Times New Roman" w:eastAsia="仿宋_GB2312"/>
          <w:color w:val="auto"/>
          <w:sz w:val="32"/>
          <w:highlight w:val="none"/>
          <w:lang w:val="en-US" w:eastAsia="zh-CN"/>
        </w:rPr>
        <w:t>非关联交易</w:t>
      </w:r>
      <w:r>
        <w:rPr>
          <w:rFonts w:hint="eastAsia" w:ascii="Times New Roman" w:hAnsi="Times New Roman" w:eastAsia="仿宋_GB2312"/>
          <w:color w:val="auto"/>
          <w:sz w:val="32"/>
          <w:highlight w:val="none"/>
          <w:lang w:eastAsia="zh-CN"/>
        </w:rPr>
        <w:t>）</w:t>
      </w:r>
      <w:r>
        <w:rPr>
          <w:rFonts w:hint="eastAsia" w:ascii="Times New Roman" w:hAnsi="Times New Roman" w:eastAsia="仿宋_GB2312"/>
          <w:color w:val="auto"/>
          <w:sz w:val="32"/>
          <w:highlight w:val="none"/>
        </w:rPr>
        <w:t>，给予最高200万元奖励。</w:t>
      </w:r>
    </w:p>
    <w:p w14:paraId="75197A2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Times New Roman" w:eastAsia="楷体_GB2312" w:cs="Times New Roman"/>
          <w:snapToGrid w:val="0"/>
          <w:color w:val="auto"/>
          <w:kern w:val="0"/>
          <w:sz w:val="32"/>
          <w:szCs w:val="32"/>
          <w:highlight w:val="none"/>
          <w:lang w:eastAsia="zh-CN"/>
        </w:rPr>
      </w:pPr>
      <w:r>
        <w:rPr>
          <w:rFonts w:hint="eastAsia" w:ascii="楷体_GB2312" w:hAnsi="Times New Roman" w:eastAsia="楷体_GB2312" w:cs="Times New Roman"/>
          <w:snapToGrid w:val="0"/>
          <w:color w:val="auto"/>
          <w:kern w:val="0"/>
          <w:sz w:val="32"/>
          <w:szCs w:val="32"/>
          <w:highlight w:val="none"/>
          <w:lang w:eastAsia="zh-CN"/>
        </w:rPr>
        <w:t>（</w:t>
      </w:r>
      <w:r>
        <w:rPr>
          <w:rFonts w:hint="eastAsia" w:ascii="楷体_GB2312" w:hAnsi="Times New Roman" w:eastAsia="楷体_GB2312" w:cs="Times New Roman"/>
          <w:snapToGrid w:val="0"/>
          <w:color w:val="auto"/>
          <w:kern w:val="0"/>
          <w:sz w:val="32"/>
          <w:szCs w:val="32"/>
          <w:highlight w:val="none"/>
          <w:lang w:val="en-US" w:eastAsia="zh-CN"/>
        </w:rPr>
        <w:t>二</w:t>
      </w:r>
      <w:r>
        <w:rPr>
          <w:rFonts w:hint="eastAsia" w:ascii="楷体_GB2312" w:hAnsi="Times New Roman" w:eastAsia="楷体_GB2312" w:cs="Times New Roman"/>
          <w:snapToGrid w:val="0"/>
          <w:color w:val="auto"/>
          <w:kern w:val="0"/>
          <w:sz w:val="32"/>
          <w:szCs w:val="32"/>
          <w:highlight w:val="none"/>
          <w:lang w:eastAsia="zh-CN"/>
        </w:rPr>
        <w:t>）制造业领域的典型人工智能产品或解决方案</w:t>
      </w:r>
    </w:p>
    <w:p w14:paraId="6B4A565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jc w:val="both"/>
        <w:textAlignment w:val="auto"/>
        <w:rPr>
          <w:rFonts w:hint="default" w:ascii="Times New Roman" w:hAnsi="Times New Roman" w:eastAsia="仿宋_GB2312"/>
          <w:b/>
          <w:bCs/>
          <w:color w:val="auto"/>
          <w:sz w:val="32"/>
          <w:highlight w:val="none"/>
          <w:lang w:val="en-US" w:eastAsia="zh-CN"/>
        </w:rPr>
      </w:pPr>
      <w:r>
        <w:rPr>
          <w:rFonts w:hint="default" w:ascii="Times New Roman" w:hAnsi="Times New Roman" w:eastAsia="仿宋_GB2312"/>
          <w:b/>
          <w:bCs/>
          <w:color w:val="auto"/>
          <w:sz w:val="32"/>
          <w:highlight w:val="none"/>
          <w:lang w:val="en-US" w:eastAsia="zh-CN"/>
        </w:rPr>
        <w:t>1.支持条件。</w:t>
      </w:r>
    </w:p>
    <w:p w14:paraId="657D4AB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（1）申报单位具有很强的研发能力，能够出具该项目完整的立项报告，2023年1月1日至2025年12月31日内该项目研发投入不少于200万元。</w:t>
      </w:r>
    </w:p>
    <w:p w14:paraId="7D2FC4A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（2）申报的人工智能产品或解决方案已建成，具有良好的市场前景，实现3家及以上非关联企业的落地应用。</w:t>
      </w:r>
    </w:p>
    <w:p w14:paraId="3DFCB79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（3）申报的人工智能产品或解决方案应为应用于制造业领域的工业大模型、细分场景小模型和智能体，具有创新性、前瞻性和引领性。</w:t>
      </w:r>
    </w:p>
    <w:p w14:paraId="1A11BF6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（4）申报的人工智能产品或解决方案需经具备软件评测资质的第三方机构检测，取得工业大模型、细分场景小模型和智能体检测报告，或具有相关专利、软著。</w:t>
      </w:r>
    </w:p>
    <w:p w14:paraId="62A125E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b/>
          <w:bCs/>
          <w:color w:val="auto"/>
          <w:sz w:val="32"/>
          <w:highlight w:val="none"/>
          <w:lang w:val="en-US" w:eastAsia="zh-CN"/>
        </w:rPr>
        <w:t>2.扶持标准。</w:t>
      </w:r>
      <w:r>
        <w:rPr>
          <w:rFonts w:hint="default" w:ascii="Times New Roman" w:hAnsi="Times New Roman" w:eastAsia="仿宋_GB2312" w:cs="Times New Roman"/>
          <w:color w:val="auto"/>
          <w:sz w:val="32"/>
          <w:szCs w:val="32"/>
          <w:highlight w:val="none"/>
          <w:lang w:val="en-US" w:eastAsia="zh-CN"/>
        </w:rPr>
        <w:t>择优对提供产品或解决方案的企业按2023年1月1日至2025年12月31日期间内该项目研发总投入的30%给予最高 100 万元奖励。</w:t>
      </w:r>
    </w:p>
    <w:p w14:paraId="75E6DBD4">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楷体_GB2312"/>
          <w:color w:val="auto"/>
          <w:sz w:val="32"/>
          <w:highlight w:val="none"/>
        </w:rPr>
      </w:pPr>
      <w:r>
        <w:rPr>
          <w:rFonts w:ascii="楷体_GB2312" w:hAnsi="Times New Roman" w:eastAsia="楷体_GB2312" w:cs="Times New Roman"/>
          <w:snapToGrid w:val="0"/>
          <w:color w:val="auto"/>
          <w:kern w:val="0"/>
          <w:sz w:val="32"/>
          <w:szCs w:val="32"/>
          <w:highlight w:val="none"/>
        </w:rPr>
        <w:t>（</w:t>
      </w:r>
      <w:r>
        <w:rPr>
          <w:rFonts w:hint="eastAsia" w:ascii="楷体_GB2312" w:hAnsi="Times New Roman" w:eastAsia="楷体_GB2312" w:cs="Times New Roman"/>
          <w:snapToGrid w:val="0"/>
          <w:color w:val="auto"/>
          <w:kern w:val="0"/>
          <w:sz w:val="32"/>
          <w:szCs w:val="32"/>
          <w:highlight w:val="none"/>
          <w:lang w:val="en-US" w:eastAsia="zh-CN"/>
        </w:rPr>
        <w:t>三</w:t>
      </w:r>
      <w:r>
        <w:rPr>
          <w:rFonts w:ascii="楷体_GB2312" w:hAnsi="Times New Roman" w:eastAsia="楷体_GB2312" w:cs="Times New Roman"/>
          <w:snapToGrid w:val="0"/>
          <w:color w:val="auto"/>
          <w:kern w:val="0"/>
          <w:sz w:val="32"/>
          <w:szCs w:val="32"/>
          <w:highlight w:val="none"/>
        </w:rPr>
        <w:t>）</w:t>
      </w:r>
      <w:r>
        <w:rPr>
          <w:rFonts w:hint="eastAsia" w:ascii="楷体_GB2312" w:hAnsi="Times New Roman" w:eastAsia="楷体_GB2312" w:cs="Times New Roman"/>
          <w:snapToGrid w:val="0"/>
          <w:color w:val="auto"/>
          <w:kern w:val="0"/>
          <w:sz w:val="32"/>
          <w:szCs w:val="32"/>
          <w:highlight w:val="none"/>
        </w:rPr>
        <w:t>苏州市制造业重点行业人工智能应用赋能中心</w:t>
      </w:r>
      <w:r>
        <w:rPr>
          <w:rFonts w:hint="eastAsia" w:ascii="楷体_GB2312" w:hAnsi="Times New Roman" w:eastAsia="楷体_GB2312" w:cs="Times New Roman"/>
          <w:snapToGrid w:val="0"/>
          <w:color w:val="auto"/>
          <w:kern w:val="0"/>
          <w:sz w:val="32"/>
          <w:szCs w:val="32"/>
          <w:highlight w:val="none"/>
          <w:lang w:val="en-US" w:eastAsia="zh-CN"/>
        </w:rPr>
        <w:t>项目</w:t>
      </w:r>
    </w:p>
    <w:p w14:paraId="120E77D0">
      <w:pPr>
        <w:keepNext w:val="0"/>
        <w:keepLines w:val="0"/>
        <w:pageBreakBefore w:val="0"/>
        <w:kinsoku/>
        <w:wordWrap/>
        <w:topLinePunct w:val="0"/>
        <w:autoSpaceDN/>
        <w:bidi w:val="0"/>
        <w:adjustRightInd w:val="0"/>
        <w:snapToGrid w:val="0"/>
        <w:spacing w:line="578" w:lineRule="exact"/>
        <w:ind w:firstLine="643" w:firstLineChars="200"/>
        <w:jc w:val="both"/>
        <w:rPr>
          <w:rFonts w:ascii="Times New Roman" w:hAnsi="Times New Roman" w:eastAsia="仿宋_GB2312"/>
          <w:b/>
          <w:bCs/>
          <w:color w:val="auto"/>
          <w:sz w:val="32"/>
          <w:highlight w:val="none"/>
        </w:rPr>
      </w:pPr>
      <w:r>
        <w:rPr>
          <w:rFonts w:hint="eastAsia" w:ascii="Times New Roman" w:hAnsi="Times New Roman" w:eastAsia="仿宋_GB2312"/>
          <w:b/>
          <w:bCs/>
          <w:color w:val="auto"/>
          <w:sz w:val="32"/>
          <w:highlight w:val="none"/>
        </w:rPr>
        <w:t>1.</w:t>
      </w:r>
      <w:r>
        <w:rPr>
          <w:rFonts w:ascii="Times New Roman" w:hAnsi="Times New Roman" w:eastAsia="仿宋_GB2312"/>
          <w:b/>
          <w:bCs/>
          <w:color w:val="auto"/>
          <w:sz w:val="32"/>
          <w:highlight w:val="none"/>
        </w:rPr>
        <w:t>支持条件。</w:t>
      </w:r>
    </w:p>
    <w:p w14:paraId="1CF270E5">
      <w:pPr>
        <w:keepNext w:val="0"/>
        <w:keepLines w:val="0"/>
        <w:pageBreakBefore w:val="0"/>
        <w:kinsoku/>
        <w:wordWrap/>
        <w:topLinePunct w:val="0"/>
        <w:autoSpaceDN/>
        <w:bidi w:val="0"/>
        <w:adjustRightInd w:val="0"/>
        <w:snapToGrid w:val="0"/>
        <w:spacing w:line="578" w:lineRule="exact"/>
        <w:ind w:firstLine="640" w:firstLineChars="200"/>
        <w:jc w:val="both"/>
        <w:rPr>
          <w:rFonts w:hint="eastAsia" w:ascii="Times New Roman" w:hAnsi="Times New Roman" w:eastAsia="仿宋_GB2312"/>
          <w:color w:val="auto"/>
          <w:sz w:val="32"/>
          <w:highlight w:val="none"/>
          <w:lang w:eastAsia="zh-CN"/>
        </w:rPr>
      </w:pPr>
      <w:r>
        <w:rPr>
          <w:rFonts w:hint="eastAsia" w:ascii="Times New Roman" w:hAnsi="Times New Roman" w:eastAsia="仿宋_GB2312"/>
          <w:color w:val="auto"/>
          <w:sz w:val="32"/>
          <w:highlight w:val="none"/>
          <w:lang w:eastAsia="zh-CN"/>
        </w:rPr>
        <w:t>（</w:t>
      </w:r>
      <w:r>
        <w:rPr>
          <w:rFonts w:hint="eastAsia" w:ascii="Times New Roman" w:hAnsi="Times New Roman" w:eastAsia="仿宋_GB2312"/>
          <w:color w:val="auto"/>
          <w:sz w:val="32"/>
          <w:highlight w:val="none"/>
          <w:lang w:val="en-US" w:eastAsia="zh-CN"/>
        </w:rPr>
        <w:t>1</w:t>
      </w:r>
      <w:r>
        <w:rPr>
          <w:rFonts w:hint="eastAsia" w:ascii="Times New Roman" w:hAnsi="Times New Roman" w:eastAsia="仿宋_GB2312"/>
          <w:color w:val="auto"/>
          <w:sz w:val="32"/>
          <w:highlight w:val="none"/>
          <w:lang w:eastAsia="zh-CN"/>
        </w:rPr>
        <w:t>）</w:t>
      </w:r>
      <w:r>
        <w:rPr>
          <w:rFonts w:hint="eastAsia" w:ascii="Times New Roman" w:hAnsi="Times New Roman" w:eastAsia="仿宋_GB2312"/>
          <w:color w:val="auto"/>
          <w:sz w:val="32"/>
          <w:highlight w:val="none"/>
          <w:lang w:val="en-US" w:eastAsia="zh-CN"/>
        </w:rPr>
        <w:t>获评苏州市制造业重点行业人工智能应用赋能中心</w:t>
      </w:r>
      <w:r>
        <w:rPr>
          <w:rFonts w:hint="eastAsia" w:ascii="Times New Roman" w:hAnsi="Times New Roman" w:eastAsia="仿宋_GB2312"/>
          <w:color w:val="auto"/>
          <w:sz w:val="32"/>
          <w:highlight w:val="none"/>
          <w:lang w:eastAsia="zh-CN"/>
        </w:rPr>
        <w:t>。</w:t>
      </w:r>
    </w:p>
    <w:p w14:paraId="34486A30">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Times New Roman" w:hAnsi="Times New Roman" w:eastAsia="仿宋_GB2312"/>
          <w:color w:val="auto"/>
          <w:sz w:val="32"/>
          <w:highlight w:val="none"/>
          <w:lang w:val="en-US" w:eastAsia="zh-CN"/>
        </w:rPr>
      </w:pPr>
      <w:r>
        <w:rPr>
          <w:rFonts w:hint="eastAsia" w:ascii="Times New Roman" w:hAnsi="Times New Roman" w:eastAsia="仿宋_GB2312"/>
          <w:color w:val="auto"/>
          <w:sz w:val="32"/>
          <w:highlight w:val="none"/>
          <w:lang w:eastAsia="zh-CN"/>
        </w:rPr>
        <w:t>（</w:t>
      </w:r>
      <w:r>
        <w:rPr>
          <w:rFonts w:hint="eastAsia" w:ascii="Times New Roman" w:hAnsi="Times New Roman" w:eastAsia="仿宋_GB2312"/>
          <w:color w:val="auto"/>
          <w:sz w:val="32"/>
          <w:highlight w:val="none"/>
          <w:lang w:val="en-US" w:eastAsia="zh-CN"/>
        </w:rPr>
        <w:t>2</w:t>
      </w:r>
      <w:r>
        <w:rPr>
          <w:rFonts w:hint="eastAsia" w:ascii="Times New Roman" w:hAnsi="Times New Roman" w:eastAsia="仿宋_GB2312"/>
          <w:color w:val="auto"/>
          <w:sz w:val="32"/>
          <w:highlight w:val="none"/>
          <w:lang w:eastAsia="zh-CN"/>
        </w:rPr>
        <w:t>）</w:t>
      </w:r>
      <w:r>
        <w:rPr>
          <w:rFonts w:hint="eastAsia" w:ascii="Times New Roman" w:hAnsi="Times New Roman" w:eastAsia="仿宋_GB2312" w:cs="Times New Roman"/>
          <w:color w:val="auto"/>
          <w:kern w:val="2"/>
          <w:sz w:val="32"/>
          <w:szCs w:val="24"/>
          <w:highlight w:val="none"/>
          <w:lang w:val="en-US" w:eastAsia="zh-CN" w:bidi="ar-SA"/>
        </w:rPr>
        <w:t>应用赋能中心应围绕行业应用研究、公共服务平台构建</w:t>
      </w:r>
      <w:r>
        <w:rPr>
          <w:rFonts w:hint="eastAsia" w:ascii="Times New Roman" w:hAnsi="Times New Roman" w:eastAsia="仿宋_GB2312"/>
          <w:color w:val="auto"/>
          <w:sz w:val="32"/>
          <w:highlight w:val="none"/>
          <w:lang w:val="en-US" w:eastAsia="zh-CN"/>
        </w:rPr>
        <w:t>、高质量数据集建设、专业服务赋能、应用生态培育等主要任务积极开展相关工作并取得一定成效。</w:t>
      </w:r>
    </w:p>
    <w:p w14:paraId="02DD1F9A">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Times New Roman" w:hAnsi="Times New Roman" w:eastAsia="仿宋_GB2312" w:cs="Times New Roman"/>
          <w:color w:val="auto"/>
          <w:kern w:val="2"/>
          <w:sz w:val="32"/>
          <w:szCs w:val="24"/>
          <w:highlight w:val="none"/>
          <w:lang w:val="en-US" w:eastAsia="zh-CN" w:bidi="ar-SA"/>
        </w:rPr>
      </w:pPr>
      <w:r>
        <w:rPr>
          <w:rFonts w:hint="eastAsia" w:ascii="Times New Roman" w:hAnsi="Times New Roman" w:eastAsia="仿宋_GB2312"/>
          <w:color w:val="auto"/>
          <w:sz w:val="32"/>
          <w:highlight w:val="none"/>
          <w:lang w:val="en-US" w:eastAsia="zh-CN"/>
        </w:rPr>
        <w:t>——</w:t>
      </w:r>
      <w:r>
        <w:rPr>
          <w:rFonts w:hint="eastAsia" w:ascii="Times New Roman" w:hAnsi="Times New Roman" w:eastAsia="仿宋_GB2312" w:cs="Times New Roman"/>
          <w:color w:val="auto"/>
          <w:kern w:val="2"/>
          <w:sz w:val="32"/>
          <w:szCs w:val="24"/>
          <w:highlight w:val="none"/>
          <w:lang w:val="en-US" w:eastAsia="zh-CN" w:bidi="ar-SA"/>
        </w:rPr>
        <w:t>行业应用研究。获评</w:t>
      </w:r>
      <w:r>
        <w:rPr>
          <w:rFonts w:hint="eastAsia" w:ascii="Times New Roman" w:hAnsi="Times New Roman" w:eastAsia="仿宋_GB2312"/>
          <w:color w:val="auto"/>
          <w:sz w:val="32"/>
          <w:highlight w:val="none"/>
          <w:lang w:val="en-US" w:eastAsia="zh-CN"/>
        </w:rPr>
        <w:t>应用赋能中心后</w:t>
      </w:r>
      <w:r>
        <w:rPr>
          <w:rFonts w:hint="eastAsia" w:ascii="Times New Roman" w:hAnsi="Times New Roman" w:eastAsia="仿宋_GB2312" w:cs="Times New Roman"/>
          <w:color w:val="auto"/>
          <w:kern w:val="2"/>
          <w:sz w:val="32"/>
          <w:szCs w:val="24"/>
          <w:highlight w:val="none"/>
          <w:lang w:val="en-US" w:eastAsia="zh-CN" w:bidi="ar-SA"/>
        </w:rPr>
        <w:t>编制发布研究报告、重点行业人工智能应用指南等行业指导性文件不少于1份。</w:t>
      </w:r>
    </w:p>
    <w:p w14:paraId="7507BBD1">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Times New Roman" w:hAnsi="Times New Roman" w:eastAsia="仿宋_GB2312" w:cs="Times New Roman"/>
          <w:color w:val="auto"/>
          <w:kern w:val="2"/>
          <w:sz w:val="32"/>
          <w:szCs w:val="24"/>
          <w:highlight w:val="none"/>
          <w:lang w:val="en-US" w:eastAsia="zh-CN" w:bidi="ar-SA"/>
        </w:rPr>
      </w:pPr>
      <w:r>
        <w:rPr>
          <w:rFonts w:hint="eastAsia" w:ascii="Times New Roman" w:hAnsi="Times New Roman" w:eastAsia="仿宋_GB2312"/>
          <w:color w:val="auto"/>
          <w:sz w:val="32"/>
          <w:highlight w:val="none"/>
          <w:lang w:val="en-US" w:eastAsia="zh-CN"/>
        </w:rPr>
        <w:t>——</w:t>
      </w:r>
      <w:r>
        <w:rPr>
          <w:rFonts w:hint="eastAsia" w:ascii="Times New Roman" w:hAnsi="Times New Roman" w:eastAsia="仿宋_GB2312" w:cs="Times New Roman"/>
          <w:color w:val="auto"/>
          <w:kern w:val="2"/>
          <w:sz w:val="32"/>
          <w:szCs w:val="24"/>
          <w:highlight w:val="none"/>
          <w:lang w:val="en-US" w:eastAsia="zh-CN" w:bidi="ar-SA"/>
        </w:rPr>
        <w:t>公共服务平台构建。2025年度推动建设公共算力、数据管理、算法/大模型训练测试、软硬件适配等创新服务平台。研发工业垂类模型数量不少于2个。</w:t>
      </w:r>
    </w:p>
    <w:p w14:paraId="2F909D15">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Times New Roman" w:hAnsi="Times New Roman" w:eastAsia="仿宋_GB2312" w:cs="Times New Roman"/>
          <w:color w:val="auto"/>
          <w:kern w:val="2"/>
          <w:sz w:val="32"/>
          <w:szCs w:val="24"/>
          <w:highlight w:val="none"/>
          <w:lang w:val="en-US" w:eastAsia="zh-CN" w:bidi="ar-SA"/>
        </w:rPr>
      </w:pPr>
      <w:r>
        <w:rPr>
          <w:rFonts w:hint="eastAsia" w:ascii="Times New Roman" w:hAnsi="Times New Roman" w:eastAsia="仿宋_GB2312"/>
          <w:color w:val="auto"/>
          <w:sz w:val="32"/>
          <w:highlight w:val="none"/>
          <w:lang w:val="en-US" w:eastAsia="zh-CN"/>
        </w:rPr>
        <w:t>——高质量数据集建设</w:t>
      </w:r>
      <w:r>
        <w:rPr>
          <w:rFonts w:hint="eastAsia" w:ascii="Times New Roman" w:hAnsi="Times New Roman" w:eastAsia="仿宋_GB2312" w:cs="Times New Roman"/>
          <w:color w:val="auto"/>
          <w:kern w:val="2"/>
          <w:sz w:val="32"/>
          <w:szCs w:val="24"/>
          <w:highlight w:val="none"/>
          <w:lang w:val="en-US" w:eastAsia="zh-CN" w:bidi="ar-SA"/>
        </w:rPr>
        <w:t>。2025年度建设行业高质量数据集数量不少于2个。</w:t>
      </w:r>
    </w:p>
    <w:p w14:paraId="2823A4F3">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Times New Roman" w:hAnsi="Times New Roman" w:eastAsia="仿宋_GB2312"/>
          <w:color w:val="auto"/>
          <w:sz w:val="32"/>
          <w:highlight w:val="none"/>
          <w:lang w:val="en-US" w:eastAsia="zh-CN"/>
        </w:rPr>
      </w:pPr>
      <w:r>
        <w:rPr>
          <w:rFonts w:hint="eastAsia" w:ascii="Times New Roman" w:hAnsi="Times New Roman" w:eastAsia="仿宋_GB2312"/>
          <w:color w:val="auto"/>
          <w:sz w:val="32"/>
          <w:highlight w:val="none"/>
          <w:lang w:val="en-US" w:eastAsia="zh-CN"/>
        </w:rPr>
        <w:t>——专业服务赋能</w:t>
      </w:r>
      <w:r>
        <w:rPr>
          <w:rFonts w:hint="eastAsia" w:ascii="Times New Roman" w:hAnsi="Times New Roman" w:eastAsia="仿宋_GB2312" w:cs="Times New Roman"/>
          <w:color w:val="auto"/>
          <w:kern w:val="2"/>
          <w:sz w:val="32"/>
          <w:szCs w:val="24"/>
          <w:highlight w:val="none"/>
          <w:lang w:val="en-US" w:eastAsia="zh-CN" w:bidi="ar-SA"/>
        </w:rPr>
        <w:t>。获评</w:t>
      </w:r>
      <w:r>
        <w:rPr>
          <w:rFonts w:hint="eastAsia" w:ascii="Times New Roman" w:hAnsi="Times New Roman" w:eastAsia="仿宋_GB2312"/>
          <w:color w:val="auto"/>
          <w:sz w:val="32"/>
          <w:highlight w:val="none"/>
          <w:lang w:val="en-US" w:eastAsia="zh-CN"/>
        </w:rPr>
        <w:t>应用赋能中心后围绕赋能行业对外服务项目数量不少于8个。</w:t>
      </w:r>
    </w:p>
    <w:p w14:paraId="121B7C14">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Times New Roman" w:hAnsi="Times New Roman" w:eastAsia="仿宋_GB2312" w:cs="Times New Roman"/>
          <w:color w:val="auto"/>
          <w:kern w:val="2"/>
          <w:sz w:val="32"/>
          <w:szCs w:val="24"/>
          <w:highlight w:val="none"/>
          <w:lang w:val="en-US" w:eastAsia="zh-CN" w:bidi="ar-SA"/>
        </w:rPr>
      </w:pPr>
      <w:r>
        <w:rPr>
          <w:rFonts w:hint="eastAsia" w:ascii="Times New Roman" w:hAnsi="Times New Roman" w:eastAsia="仿宋_GB2312"/>
          <w:color w:val="auto"/>
          <w:sz w:val="32"/>
          <w:highlight w:val="none"/>
          <w:lang w:val="en-US" w:eastAsia="zh-CN"/>
        </w:rPr>
        <w:t>——应用生态培育</w:t>
      </w:r>
      <w:r>
        <w:rPr>
          <w:rFonts w:hint="eastAsia" w:ascii="Times New Roman" w:hAnsi="Times New Roman" w:eastAsia="仿宋_GB2312" w:cs="Times New Roman"/>
          <w:color w:val="auto"/>
          <w:kern w:val="2"/>
          <w:sz w:val="32"/>
          <w:szCs w:val="24"/>
          <w:highlight w:val="none"/>
          <w:lang w:val="en-US" w:eastAsia="zh-CN" w:bidi="ar-SA"/>
        </w:rPr>
        <w:t>。获评</w:t>
      </w:r>
      <w:r>
        <w:rPr>
          <w:rFonts w:hint="eastAsia" w:ascii="Times New Roman" w:hAnsi="Times New Roman" w:eastAsia="仿宋_GB2312"/>
          <w:color w:val="auto"/>
          <w:sz w:val="32"/>
          <w:highlight w:val="none"/>
          <w:lang w:val="en-US" w:eastAsia="zh-CN"/>
        </w:rPr>
        <w:t>应用赋能中心后组织开展学术研讨、技术交流、供需对接等活动不少于3场。</w:t>
      </w:r>
    </w:p>
    <w:p w14:paraId="6DD56050">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Times New Roman" w:hAnsi="Times New Roman" w:eastAsia="仿宋_GB2312"/>
          <w:color w:val="auto"/>
          <w:sz w:val="32"/>
          <w:highlight w:val="none"/>
          <w:lang w:val="en-US" w:eastAsia="zh-CN"/>
        </w:rPr>
      </w:pPr>
      <w:r>
        <w:rPr>
          <w:rFonts w:hint="eastAsia" w:ascii="Times New Roman" w:hAnsi="Times New Roman" w:eastAsia="仿宋_GB2312"/>
          <w:color w:val="auto"/>
          <w:sz w:val="32"/>
          <w:highlight w:val="none"/>
          <w:lang w:val="en-US" w:eastAsia="zh-CN"/>
        </w:rPr>
        <w:t>（3）</w:t>
      </w:r>
      <w:r>
        <w:rPr>
          <w:rFonts w:hint="eastAsia" w:ascii="Times New Roman" w:hAnsi="Times New Roman" w:eastAsia="仿宋_GB2312" w:cs="Times New Roman"/>
          <w:color w:val="auto"/>
          <w:kern w:val="2"/>
          <w:sz w:val="32"/>
          <w:szCs w:val="24"/>
          <w:highlight w:val="none"/>
          <w:lang w:val="en-US" w:eastAsia="zh-CN" w:bidi="ar-SA"/>
        </w:rPr>
        <w:t>应用</w:t>
      </w:r>
      <w:r>
        <w:rPr>
          <w:rFonts w:hint="eastAsia" w:ascii="Times New Roman" w:hAnsi="Times New Roman" w:eastAsia="仿宋_GB2312"/>
          <w:color w:val="auto"/>
          <w:sz w:val="32"/>
          <w:highlight w:val="none"/>
          <w:lang w:val="en-US" w:eastAsia="zh-CN"/>
        </w:rPr>
        <w:t>赋能中心项目获评之后围绕</w:t>
      </w:r>
      <w:r>
        <w:rPr>
          <w:rFonts w:hint="eastAsia" w:ascii="Times New Roman" w:hAnsi="Times New Roman" w:eastAsia="仿宋_GB2312" w:cs="Times New Roman"/>
          <w:color w:val="auto"/>
          <w:kern w:val="2"/>
          <w:sz w:val="32"/>
          <w:szCs w:val="24"/>
          <w:highlight w:val="none"/>
          <w:lang w:val="en-US" w:eastAsia="zh-CN" w:bidi="ar-SA"/>
        </w:rPr>
        <w:t>行业应用研究、公共服务平台构建</w:t>
      </w:r>
      <w:r>
        <w:rPr>
          <w:rFonts w:hint="eastAsia" w:ascii="Times New Roman" w:hAnsi="Times New Roman" w:eastAsia="仿宋_GB2312"/>
          <w:color w:val="auto"/>
          <w:sz w:val="32"/>
          <w:highlight w:val="none"/>
          <w:lang w:val="en-US" w:eastAsia="zh-CN"/>
        </w:rPr>
        <w:t>、高质量数据集建设、专业服务赋能、应用生态培育等方面的建设投入不低于300万元。</w:t>
      </w:r>
    </w:p>
    <w:p w14:paraId="5185CCA9">
      <w:pPr>
        <w:keepNext w:val="0"/>
        <w:keepLines w:val="0"/>
        <w:pageBreakBefore w:val="0"/>
        <w:kinsoku/>
        <w:wordWrap/>
        <w:topLinePunct w:val="0"/>
        <w:autoSpaceDN/>
        <w:bidi w:val="0"/>
        <w:adjustRightInd w:val="0"/>
        <w:snapToGrid w:val="0"/>
        <w:spacing w:line="578" w:lineRule="exact"/>
        <w:ind w:firstLine="643" w:firstLineChars="200"/>
        <w:jc w:val="both"/>
        <w:rPr>
          <w:rFonts w:hint="eastAsia" w:ascii="Times New Roman" w:hAnsi="Times New Roman" w:eastAsia="仿宋_GB2312"/>
          <w:color w:val="auto"/>
          <w:sz w:val="32"/>
          <w:highlight w:val="none"/>
          <w:lang w:eastAsia="zh-CN"/>
        </w:rPr>
      </w:pPr>
      <w:r>
        <w:rPr>
          <w:rFonts w:ascii="Times New Roman" w:hAnsi="Times New Roman" w:eastAsia="仿宋_GB2312"/>
          <w:b/>
          <w:bCs/>
          <w:color w:val="auto"/>
          <w:sz w:val="32"/>
          <w:highlight w:val="none"/>
        </w:rPr>
        <w:t>2</w:t>
      </w:r>
      <w:r>
        <w:rPr>
          <w:rFonts w:hint="eastAsia" w:ascii="Times New Roman" w:hAnsi="Times New Roman" w:eastAsia="仿宋_GB2312"/>
          <w:b/>
          <w:bCs/>
          <w:color w:val="auto"/>
          <w:sz w:val="32"/>
          <w:highlight w:val="none"/>
        </w:rPr>
        <w:t>.</w:t>
      </w:r>
      <w:r>
        <w:rPr>
          <w:rFonts w:ascii="Times New Roman" w:hAnsi="Times New Roman" w:eastAsia="仿宋_GB2312"/>
          <w:b/>
          <w:bCs/>
          <w:color w:val="auto"/>
          <w:sz w:val="32"/>
          <w:highlight w:val="none"/>
        </w:rPr>
        <w:t>扶持标准。</w:t>
      </w:r>
      <w:r>
        <w:rPr>
          <w:rFonts w:hint="eastAsia" w:ascii="Times New Roman" w:hAnsi="Times New Roman" w:eastAsia="仿宋_GB2312"/>
          <w:color w:val="auto"/>
          <w:sz w:val="32"/>
          <w:highlight w:val="none"/>
          <w:lang w:val="en-US" w:eastAsia="zh-CN"/>
        </w:rPr>
        <w:t>择优</w:t>
      </w:r>
      <w:r>
        <w:rPr>
          <w:rFonts w:hint="eastAsia" w:ascii="Times New Roman" w:hAnsi="Times New Roman" w:eastAsia="仿宋_GB2312"/>
          <w:color w:val="auto"/>
          <w:sz w:val="32"/>
          <w:highlight w:val="none"/>
          <w:lang w:eastAsia="zh-CN"/>
        </w:rPr>
        <w:t>对行业赋能效果显著的应用赋能中心，</w:t>
      </w:r>
      <w:r>
        <w:rPr>
          <w:rFonts w:hint="eastAsia" w:ascii="Times New Roman" w:hAnsi="Times New Roman" w:eastAsia="仿宋_GB2312"/>
          <w:color w:val="auto"/>
          <w:sz w:val="32"/>
          <w:highlight w:val="none"/>
          <w:lang w:val="en-US" w:eastAsia="zh-CN"/>
        </w:rPr>
        <w:t>按</w:t>
      </w:r>
      <w:r>
        <w:rPr>
          <w:rFonts w:hint="eastAsia" w:ascii="Times New Roman" w:hAnsi="Times New Roman" w:eastAsia="仿宋_GB2312" w:cs="Times New Roman"/>
          <w:color w:val="auto"/>
          <w:kern w:val="2"/>
          <w:sz w:val="32"/>
          <w:szCs w:val="24"/>
          <w:highlight w:val="none"/>
          <w:lang w:val="en-US" w:eastAsia="zh-CN" w:bidi="ar-SA"/>
        </w:rPr>
        <w:t>应用</w:t>
      </w:r>
      <w:r>
        <w:rPr>
          <w:rFonts w:hint="eastAsia" w:ascii="Times New Roman" w:hAnsi="Times New Roman" w:eastAsia="仿宋_GB2312"/>
          <w:color w:val="auto"/>
          <w:sz w:val="32"/>
          <w:highlight w:val="none"/>
          <w:lang w:val="en-US" w:eastAsia="zh-CN"/>
        </w:rPr>
        <w:t>赋能中心项目获评之后建设投入的30%</w:t>
      </w:r>
      <w:r>
        <w:rPr>
          <w:rFonts w:hint="eastAsia" w:ascii="Times New Roman" w:hAnsi="Times New Roman" w:eastAsia="仿宋_GB2312"/>
          <w:color w:val="auto"/>
          <w:sz w:val="32"/>
          <w:highlight w:val="none"/>
          <w:lang w:eastAsia="zh-CN"/>
        </w:rPr>
        <w:t>给予最高200万元奖励。</w:t>
      </w:r>
    </w:p>
    <w:p w14:paraId="3E51819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（四）国家领航级智能工厂、卓越级智能工厂(免申即享)</w:t>
      </w:r>
    </w:p>
    <w:p w14:paraId="0FAC1F4B">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jc w:val="both"/>
        <w:textAlignment w:val="auto"/>
        <w:rPr>
          <w:rFonts w:hint="eastAsia" w:ascii="Times New Roman" w:hAnsi="Times New Roman" w:eastAsia="仿宋_GB2312" w:cs="Times New Roman"/>
          <w:color w:val="auto"/>
          <w:sz w:val="32"/>
          <w:highlight w:val="none"/>
          <w:lang w:val="en-US" w:eastAsia="zh-CN"/>
        </w:rPr>
      </w:pPr>
      <w:r>
        <w:rPr>
          <w:rFonts w:hint="eastAsia" w:ascii="Times New Roman" w:hAnsi="Times New Roman" w:eastAsia="仿宋_GB2312" w:cs="Times New Roman"/>
          <w:b/>
          <w:bCs/>
          <w:color w:val="auto"/>
          <w:sz w:val="32"/>
          <w:highlight w:val="none"/>
          <w:lang w:val="en-US" w:eastAsia="zh-CN"/>
        </w:rPr>
        <w:t>1.支持条件。</w:t>
      </w:r>
      <w:r>
        <w:rPr>
          <w:rFonts w:hint="eastAsia" w:ascii="Times New Roman" w:hAnsi="Times New Roman" w:eastAsia="仿宋_GB2312" w:cs="Times New Roman"/>
          <w:color w:val="auto"/>
          <w:sz w:val="32"/>
          <w:highlight w:val="none"/>
          <w:lang w:val="en-US" w:eastAsia="zh-CN"/>
        </w:rPr>
        <w:t>2025年获评国家领航级智能工厂、卓越级智能工厂的企业。</w:t>
      </w:r>
    </w:p>
    <w:p w14:paraId="71D28A18">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b/>
          <w:bCs/>
          <w:color w:val="auto"/>
          <w:sz w:val="32"/>
          <w:highlight w:val="none"/>
          <w:lang w:val="en-US" w:eastAsia="zh-CN"/>
        </w:rPr>
        <w:t>2.扶持标准。</w:t>
      </w:r>
      <w:r>
        <w:rPr>
          <w:rFonts w:hint="eastAsia" w:ascii="Times New Roman" w:hAnsi="Times New Roman" w:eastAsia="仿宋_GB2312" w:cs="Times New Roman"/>
          <w:color w:val="auto"/>
          <w:sz w:val="32"/>
          <w:highlight w:val="none"/>
          <w:lang w:val="en-US" w:eastAsia="zh-CN"/>
        </w:rPr>
        <w:t>统筹省、市政策，对2025年以来获评国家领航级智能工厂的企业，给予500万元奖励，对获评国家卓越级智能工厂的企业，给予200万元奖励。</w:t>
      </w:r>
    </w:p>
    <w:p w14:paraId="6000612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（五）全球灯塔工厂（免申即享）</w:t>
      </w:r>
    </w:p>
    <w:p w14:paraId="1EC6A0A0">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jc w:val="both"/>
        <w:textAlignment w:val="auto"/>
        <w:rPr>
          <w:rFonts w:hint="eastAsia" w:ascii="Times New Roman" w:hAnsi="Times New Roman" w:eastAsia="仿宋_GB2312" w:cs="Times New Roman"/>
          <w:color w:val="auto"/>
          <w:sz w:val="32"/>
          <w:highlight w:val="none"/>
          <w:lang w:val="en-US" w:eastAsia="zh-CN"/>
        </w:rPr>
      </w:pPr>
      <w:r>
        <w:rPr>
          <w:rFonts w:hint="eastAsia" w:ascii="Times New Roman" w:hAnsi="Times New Roman" w:eastAsia="仿宋_GB2312"/>
          <w:b/>
          <w:bCs/>
          <w:color w:val="auto"/>
          <w:sz w:val="32"/>
          <w:highlight w:val="none"/>
          <w:lang w:val="en-US" w:eastAsia="zh-CN"/>
        </w:rPr>
        <w:t>1.支持条件。</w:t>
      </w:r>
      <w:r>
        <w:rPr>
          <w:rFonts w:hint="eastAsia" w:ascii="Times New Roman" w:hAnsi="Times New Roman" w:eastAsia="仿宋_GB2312" w:cs="Times New Roman"/>
          <w:color w:val="auto"/>
          <w:sz w:val="32"/>
          <w:highlight w:val="none"/>
          <w:lang w:val="en-US" w:eastAsia="zh-CN"/>
        </w:rPr>
        <w:t>2026年获评全球灯塔工厂的企业。</w:t>
      </w:r>
    </w:p>
    <w:p w14:paraId="4677149C">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jc w:val="both"/>
        <w:textAlignment w:val="auto"/>
        <w:rPr>
          <w:rFonts w:hint="eastAsia" w:ascii="Times New Roman" w:hAnsi="Times New Roman" w:eastAsia="仿宋_GB2312" w:cs="Times New Roman"/>
          <w:color w:val="auto"/>
          <w:sz w:val="32"/>
          <w:highlight w:val="none"/>
          <w:lang w:val="en-US" w:eastAsia="zh-CN"/>
        </w:rPr>
      </w:pPr>
      <w:r>
        <w:rPr>
          <w:rFonts w:hint="eastAsia" w:ascii="Times New Roman" w:hAnsi="Times New Roman" w:eastAsia="仿宋_GB2312"/>
          <w:b/>
          <w:bCs/>
          <w:color w:val="auto"/>
          <w:sz w:val="32"/>
          <w:highlight w:val="none"/>
          <w:lang w:val="en-US" w:eastAsia="zh-CN"/>
        </w:rPr>
        <w:t>2.扶持标准。</w:t>
      </w:r>
      <w:r>
        <w:rPr>
          <w:rFonts w:hint="eastAsia" w:ascii="仿宋_GB2312" w:hAnsi="仿宋_GB2312" w:eastAsia="仿宋_GB2312" w:cs="仿宋_GB2312"/>
          <w:color w:val="auto"/>
          <w:sz w:val="32"/>
          <w:szCs w:val="32"/>
          <w:lang w:val="en-US" w:eastAsia="zh-CN"/>
        </w:rPr>
        <w:t>对</w:t>
      </w:r>
      <w:r>
        <w:rPr>
          <w:rFonts w:hint="eastAsia" w:ascii="Times New Roman" w:hAnsi="Times New Roman" w:eastAsia="仿宋_GB2312" w:cs="Times New Roman"/>
          <w:color w:val="auto"/>
          <w:sz w:val="32"/>
          <w:highlight w:val="none"/>
          <w:lang w:val="en-US" w:eastAsia="zh-CN"/>
        </w:rPr>
        <w:t>全球“灯塔工厂”给予300万元奖励。</w:t>
      </w:r>
    </w:p>
    <w:p w14:paraId="0372F992">
      <w:pPr>
        <w:keepNext w:val="0"/>
        <w:keepLines w:val="0"/>
        <w:pageBreakBefore w:val="0"/>
        <w:kinsoku/>
        <w:wordWrap/>
        <w:topLinePunct w:val="0"/>
        <w:autoSpaceDN/>
        <w:bidi w:val="0"/>
        <w:adjustRightInd w:val="0"/>
        <w:snapToGrid w:val="0"/>
        <w:spacing w:line="578" w:lineRule="exact"/>
        <w:ind w:firstLine="640" w:firstLineChars="200"/>
        <w:jc w:val="both"/>
        <w:rPr>
          <w:rFonts w:ascii="Times New Roman" w:hAnsi="Times New Roman" w:eastAsia="楷体_GB2312"/>
          <w:color w:val="auto"/>
          <w:sz w:val="32"/>
          <w:highlight w:val="none"/>
        </w:rPr>
      </w:pPr>
      <w:r>
        <w:rPr>
          <w:rFonts w:ascii="楷体_GB2312" w:hAnsi="Times New Roman" w:eastAsia="楷体_GB2312" w:cs="Times New Roman"/>
          <w:snapToGrid w:val="0"/>
          <w:color w:val="auto"/>
          <w:kern w:val="0"/>
          <w:sz w:val="32"/>
          <w:szCs w:val="32"/>
          <w:highlight w:val="none"/>
        </w:rPr>
        <w:t>（</w:t>
      </w:r>
      <w:r>
        <w:rPr>
          <w:rFonts w:hint="eastAsia" w:ascii="楷体_GB2312" w:hAnsi="Times New Roman" w:eastAsia="楷体_GB2312" w:cs="Times New Roman"/>
          <w:snapToGrid w:val="0"/>
          <w:color w:val="auto"/>
          <w:kern w:val="0"/>
          <w:sz w:val="32"/>
          <w:szCs w:val="32"/>
          <w:highlight w:val="none"/>
          <w:lang w:val="en-US" w:eastAsia="zh-CN"/>
        </w:rPr>
        <w:t>六</w:t>
      </w:r>
      <w:r>
        <w:rPr>
          <w:rFonts w:ascii="楷体_GB2312" w:hAnsi="Times New Roman" w:eastAsia="楷体_GB2312" w:cs="Times New Roman"/>
          <w:snapToGrid w:val="0"/>
          <w:color w:val="auto"/>
          <w:kern w:val="0"/>
          <w:sz w:val="32"/>
          <w:szCs w:val="32"/>
          <w:highlight w:val="none"/>
        </w:rPr>
        <w:t>）</w:t>
      </w:r>
      <w:r>
        <w:rPr>
          <w:rFonts w:hint="eastAsia" w:ascii="楷体_GB2312" w:hAnsi="Times New Roman" w:eastAsia="楷体_GB2312" w:cs="Times New Roman"/>
          <w:snapToGrid w:val="0"/>
          <w:color w:val="auto"/>
          <w:kern w:val="0"/>
          <w:sz w:val="32"/>
          <w:szCs w:val="32"/>
          <w:highlight w:val="none"/>
          <w:lang w:val="en-US" w:eastAsia="zh-CN"/>
        </w:rPr>
        <w:t>工信部人工智能典型案例、工信部元宇宙典型案例奖励</w:t>
      </w:r>
      <w:r>
        <w:rPr>
          <w:rFonts w:hint="eastAsia" w:ascii="Times New Roman" w:hAnsi="Times New Roman" w:eastAsia="楷体_GB2312"/>
          <w:color w:val="auto"/>
          <w:sz w:val="32"/>
          <w:highlight w:val="none"/>
        </w:rPr>
        <w:t>（免申即享）</w:t>
      </w:r>
    </w:p>
    <w:p w14:paraId="6E5CEBBA">
      <w:pPr>
        <w:keepNext w:val="0"/>
        <w:keepLines w:val="0"/>
        <w:pageBreakBefore w:val="0"/>
        <w:kinsoku/>
        <w:wordWrap/>
        <w:topLinePunct w:val="0"/>
        <w:autoSpaceDN/>
        <w:bidi w:val="0"/>
        <w:adjustRightInd w:val="0"/>
        <w:snapToGrid w:val="0"/>
        <w:spacing w:line="578" w:lineRule="exact"/>
        <w:ind w:firstLine="643" w:firstLineChars="200"/>
        <w:jc w:val="both"/>
        <w:rPr>
          <w:rFonts w:ascii="Times New Roman" w:hAnsi="Times New Roman" w:eastAsia="仿宋_GB2312"/>
          <w:color w:val="auto"/>
          <w:sz w:val="32"/>
          <w:highlight w:val="none"/>
        </w:rPr>
      </w:pPr>
      <w:r>
        <w:rPr>
          <w:rFonts w:hint="eastAsia" w:ascii="Times New Roman" w:hAnsi="Times New Roman" w:eastAsia="仿宋_GB2312"/>
          <w:b/>
          <w:bCs/>
          <w:color w:val="auto"/>
          <w:sz w:val="32"/>
          <w:highlight w:val="none"/>
        </w:rPr>
        <w:t>1.</w:t>
      </w:r>
      <w:r>
        <w:rPr>
          <w:rFonts w:ascii="Times New Roman" w:hAnsi="Times New Roman" w:eastAsia="仿宋_GB2312"/>
          <w:b/>
          <w:bCs/>
          <w:color w:val="auto"/>
          <w:sz w:val="32"/>
          <w:highlight w:val="none"/>
        </w:rPr>
        <w:t>支持条件。</w:t>
      </w:r>
      <w:r>
        <w:rPr>
          <w:rFonts w:ascii="Times New Roman" w:hAnsi="Times New Roman" w:eastAsia="仿宋_GB2312"/>
          <w:color w:val="auto"/>
          <w:sz w:val="32"/>
          <w:highlight w:val="none"/>
        </w:rPr>
        <w:t>202</w:t>
      </w:r>
      <w:r>
        <w:rPr>
          <w:rFonts w:hint="eastAsia" w:ascii="Times New Roman" w:hAnsi="Times New Roman" w:eastAsia="仿宋_GB2312"/>
          <w:color w:val="auto"/>
          <w:sz w:val="32"/>
          <w:highlight w:val="none"/>
          <w:lang w:val="en-US" w:eastAsia="zh-CN"/>
        </w:rPr>
        <w:t>5</w:t>
      </w:r>
      <w:r>
        <w:rPr>
          <w:rFonts w:ascii="Times New Roman" w:hAnsi="Times New Roman" w:eastAsia="仿宋_GB2312"/>
          <w:color w:val="auto"/>
          <w:sz w:val="32"/>
          <w:highlight w:val="none"/>
        </w:rPr>
        <w:t>年</w:t>
      </w:r>
      <w:r>
        <w:rPr>
          <w:rFonts w:hint="eastAsia" w:ascii="Times New Roman" w:hAnsi="Times New Roman" w:eastAsia="仿宋_GB2312"/>
          <w:color w:val="auto"/>
          <w:sz w:val="32"/>
          <w:highlight w:val="none"/>
          <w:lang w:val="en-US" w:eastAsia="zh-CN"/>
        </w:rPr>
        <w:t>以来获评工信部人工智能典型案例、工信部元宇宙典型案例</w:t>
      </w:r>
      <w:r>
        <w:rPr>
          <w:rFonts w:ascii="Times New Roman" w:hAnsi="Times New Roman" w:eastAsia="仿宋_GB2312"/>
          <w:color w:val="auto"/>
          <w:sz w:val="32"/>
          <w:highlight w:val="none"/>
        </w:rPr>
        <w:t>。</w:t>
      </w:r>
    </w:p>
    <w:p w14:paraId="1632B816">
      <w:pPr>
        <w:keepNext w:val="0"/>
        <w:keepLines w:val="0"/>
        <w:pageBreakBefore w:val="0"/>
        <w:kinsoku/>
        <w:wordWrap/>
        <w:topLinePunct w:val="0"/>
        <w:autoSpaceDN/>
        <w:bidi w:val="0"/>
        <w:adjustRightInd w:val="0"/>
        <w:snapToGrid w:val="0"/>
        <w:spacing w:line="578" w:lineRule="exact"/>
        <w:ind w:firstLine="643" w:firstLineChars="200"/>
        <w:jc w:val="both"/>
        <w:rPr>
          <w:rFonts w:hint="eastAsia" w:ascii="Times New Roman" w:hAnsi="Times New Roman" w:eastAsia="仿宋_GB2312"/>
          <w:color w:val="auto"/>
          <w:sz w:val="32"/>
          <w:highlight w:val="none"/>
        </w:rPr>
      </w:pPr>
      <w:r>
        <w:rPr>
          <w:rFonts w:ascii="Times New Roman" w:hAnsi="Times New Roman" w:eastAsia="仿宋_GB2312"/>
          <w:b/>
          <w:bCs/>
          <w:color w:val="auto"/>
          <w:sz w:val="32"/>
          <w:highlight w:val="none"/>
        </w:rPr>
        <w:t>2</w:t>
      </w:r>
      <w:r>
        <w:rPr>
          <w:rFonts w:hint="eastAsia" w:ascii="Times New Roman" w:hAnsi="Times New Roman" w:eastAsia="仿宋_GB2312"/>
          <w:b/>
          <w:bCs/>
          <w:color w:val="auto"/>
          <w:sz w:val="32"/>
          <w:highlight w:val="none"/>
        </w:rPr>
        <w:t>.</w:t>
      </w:r>
      <w:r>
        <w:rPr>
          <w:rFonts w:ascii="Times New Roman" w:hAnsi="Times New Roman" w:eastAsia="仿宋_GB2312"/>
          <w:b/>
          <w:bCs/>
          <w:color w:val="auto"/>
          <w:sz w:val="32"/>
          <w:highlight w:val="none"/>
        </w:rPr>
        <w:t>扶持标准。</w:t>
      </w:r>
      <w:r>
        <w:rPr>
          <w:rFonts w:hint="eastAsia" w:ascii="Times New Roman" w:hAnsi="Times New Roman" w:eastAsia="仿宋_GB2312"/>
          <w:color w:val="auto"/>
          <w:sz w:val="32"/>
          <w:highlight w:val="none"/>
        </w:rPr>
        <w:t>对2025年以来获评国家人工智能赋能新型工业化典型应用案例、国家元宇宙典型案例等荣誉的企业，给予 50万元奖励。</w:t>
      </w:r>
    </w:p>
    <w:p w14:paraId="39AF3381">
      <w:pPr>
        <w:keepNext w:val="0"/>
        <w:keepLines w:val="0"/>
        <w:pageBreakBefore w:val="0"/>
        <w:kinsoku/>
        <w:wordWrap/>
        <w:topLinePunct w:val="0"/>
        <w:autoSpaceDN/>
        <w:bidi w:val="0"/>
        <w:adjustRightInd w:val="0"/>
        <w:snapToGrid w:val="0"/>
        <w:spacing w:line="578" w:lineRule="exact"/>
        <w:ind w:firstLine="640" w:firstLineChars="200"/>
        <w:jc w:val="both"/>
        <w:rPr>
          <w:rFonts w:hint="eastAsia" w:ascii="Times New Roman" w:hAnsi="Times New Roman" w:eastAsia="仿宋_GB2312"/>
          <w:color w:val="auto"/>
          <w:sz w:val="32"/>
          <w:highlight w:val="none"/>
          <w:lang w:eastAsia="zh-CN"/>
        </w:rPr>
        <w:sectPr>
          <w:footerReference r:id="rId3" w:type="default"/>
          <w:pgSz w:w="11906" w:h="16838"/>
          <w:pgMar w:top="2041" w:right="1559" w:bottom="1928" w:left="1559" w:header="851" w:footer="1531" w:gutter="0"/>
          <w:cols w:space="425" w:num="1"/>
          <w:docGrid w:type="lines" w:linePitch="312" w:charSpace="0"/>
        </w:sectPr>
      </w:pPr>
    </w:p>
    <w:p w14:paraId="049EC981">
      <w:pPr>
        <w:keepNext w:val="0"/>
        <w:keepLines w:val="0"/>
        <w:pageBreakBefore w:val="0"/>
        <w:widowControl/>
        <w:suppressLineNumbers w:val="0"/>
        <w:kinsoku/>
        <w:wordWrap/>
        <w:topLinePunct w:val="0"/>
        <w:autoSpaceDN/>
        <w:bidi w:val="0"/>
        <w:spacing w:before="0" w:beforeAutospacing="0" w:afterAutospacing="0" w:line="578" w:lineRule="exact"/>
        <w:ind w:right="0" w:firstLine="600" w:firstLineChars="200"/>
        <w:jc w:val="both"/>
        <w:rPr>
          <w:rFonts w:hint="default" w:ascii="Times New Roman" w:hAnsi="Times New Roman" w:eastAsia="黑体" w:cs="Times New Roman"/>
          <w:color w:val="auto"/>
          <w:kern w:val="2"/>
          <w:sz w:val="30"/>
          <w:szCs w:val="30"/>
        </w:rPr>
      </w:pPr>
      <w:r>
        <w:rPr>
          <w:rFonts w:hint="default" w:ascii="Times New Roman" w:hAnsi="Times New Roman" w:eastAsia="黑体" w:cs="Times New Roman"/>
          <w:color w:val="auto"/>
          <w:kern w:val="2"/>
          <w:sz w:val="30"/>
          <w:szCs w:val="30"/>
          <w:lang w:val="en-US" w:eastAsia="zh-CN" w:bidi="ar"/>
        </w:rPr>
        <w:t>表1</w:t>
      </w:r>
    </w:p>
    <w:p w14:paraId="73687999">
      <w:pPr>
        <w:keepNext w:val="0"/>
        <w:keepLines w:val="0"/>
        <w:pageBreakBefore w:val="0"/>
        <w:widowControl/>
        <w:suppressLineNumbers w:val="0"/>
        <w:kinsoku/>
        <w:wordWrap/>
        <w:topLinePunct w:val="0"/>
        <w:autoSpaceDN/>
        <w:bidi w:val="0"/>
        <w:spacing w:before="0" w:beforeAutospacing="0" w:afterAutospacing="0" w:line="578" w:lineRule="exact"/>
        <w:ind w:right="0"/>
        <w:jc w:val="center"/>
        <w:rPr>
          <w:rFonts w:hint="default" w:ascii="Times New Roman" w:hAnsi="Times New Roman" w:eastAsia="方正小标宋_GBK" w:cs="Times New Roman"/>
          <w:color w:val="auto"/>
          <w:kern w:val="2"/>
          <w:sz w:val="36"/>
          <w:szCs w:val="36"/>
          <w:highlight w:val="none"/>
        </w:rPr>
      </w:pPr>
      <w:r>
        <w:rPr>
          <w:rFonts w:hint="default" w:ascii="Times New Roman" w:hAnsi="Times New Roman" w:eastAsia="方正小标宋_GBK" w:cs="Times New Roman"/>
          <w:color w:val="auto"/>
          <w:kern w:val="2"/>
          <w:sz w:val="36"/>
          <w:szCs w:val="36"/>
          <w:highlight w:val="none"/>
          <w:lang w:val="en-US" w:eastAsia="zh-CN" w:bidi="ar"/>
        </w:rPr>
        <w:t>2026</w:t>
      </w:r>
      <w:r>
        <w:rPr>
          <w:rFonts w:hint="eastAsia" w:ascii="方正小标宋_GBK" w:hAnsi="方正小标宋_GBK" w:eastAsia="方正小标宋_GBK" w:cs="方正小标宋_GBK"/>
          <w:color w:val="auto"/>
          <w:kern w:val="2"/>
          <w:sz w:val="36"/>
          <w:szCs w:val="36"/>
          <w:highlight w:val="none"/>
          <w:lang w:val="en-US" w:eastAsia="zh-CN" w:bidi="ar"/>
        </w:rPr>
        <w:t>年制造业企业增资扩产和技术改造有效投入奖励项目现场核查汇总表</w:t>
      </w:r>
    </w:p>
    <w:p w14:paraId="4605DCD6">
      <w:pPr>
        <w:keepNext w:val="0"/>
        <w:keepLines w:val="0"/>
        <w:pageBreakBefore w:val="0"/>
        <w:widowControl/>
        <w:suppressLineNumbers w:val="0"/>
        <w:kinsoku/>
        <w:wordWrap/>
        <w:topLinePunct w:val="0"/>
        <w:autoSpaceDN/>
        <w:bidi w:val="0"/>
        <w:spacing w:before="0" w:beforeAutospacing="0" w:afterAutospacing="0" w:line="578" w:lineRule="exact"/>
        <w:ind w:left="0" w:right="0" w:firstLine="400" w:firstLineChars="200"/>
        <w:jc w:val="both"/>
        <w:rPr>
          <w:rFonts w:hint="eastAsia" w:ascii="楷体_GB2312" w:hAnsi="Times New Roman" w:eastAsia="楷体_GB2312" w:cs="Times New Roman"/>
          <w:b/>
          <w:bCs/>
          <w:color w:val="auto"/>
          <w:kern w:val="2"/>
          <w:sz w:val="20"/>
          <w:szCs w:val="20"/>
          <w:highlight w:val="none"/>
        </w:rPr>
      </w:pPr>
      <w:r>
        <w:rPr>
          <w:rFonts w:hint="eastAsia" w:ascii="楷体_GB2312" w:hAnsi="Times New Roman" w:eastAsia="楷体_GB2312" w:cs="楷体_GB2312"/>
          <w:b/>
          <w:bCs/>
          <w:color w:val="auto"/>
          <w:kern w:val="2"/>
          <w:sz w:val="20"/>
          <w:szCs w:val="20"/>
          <w:highlight w:val="none"/>
          <w:lang w:val="en-US" w:eastAsia="zh-CN" w:bidi="ar"/>
        </w:rPr>
        <w:t>单位（工信部门盖章）：</w:t>
      </w:r>
    </w:p>
    <w:tbl>
      <w:tblPr>
        <w:tblStyle w:val="10"/>
        <w:tblW w:w="14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641"/>
        <w:gridCol w:w="641"/>
        <w:gridCol w:w="513"/>
        <w:gridCol w:w="696"/>
        <w:gridCol w:w="733"/>
        <w:gridCol w:w="696"/>
        <w:gridCol w:w="733"/>
        <w:gridCol w:w="513"/>
        <w:gridCol w:w="513"/>
        <w:gridCol w:w="549"/>
        <w:gridCol w:w="641"/>
        <w:gridCol w:w="641"/>
        <w:gridCol w:w="646"/>
        <w:gridCol w:w="898"/>
        <w:gridCol w:w="531"/>
        <w:gridCol w:w="531"/>
        <w:gridCol w:w="531"/>
        <w:gridCol w:w="531"/>
        <w:gridCol w:w="537"/>
        <w:gridCol w:w="1191"/>
        <w:gridCol w:w="1191"/>
      </w:tblGrid>
      <w:tr w14:paraId="7B574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67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宋体"/>
                <w:color w:val="auto"/>
                <w:kern w:val="0"/>
                <w:sz w:val="20"/>
                <w:szCs w:val="20"/>
                <w:highlight w:val="none"/>
              </w:rPr>
            </w:pPr>
            <w:r>
              <w:rPr>
                <w:rFonts w:hint="eastAsia" w:ascii="黑体" w:hAnsi="宋体" w:eastAsia="黑体" w:cs="黑体"/>
                <w:color w:val="auto"/>
                <w:kern w:val="0"/>
                <w:sz w:val="20"/>
                <w:szCs w:val="20"/>
                <w:highlight w:val="none"/>
                <w:lang w:val="en-US" w:eastAsia="zh-CN" w:bidi="ar"/>
              </w:rPr>
              <w:t>序号</w:t>
            </w:r>
          </w:p>
        </w:tc>
        <w:tc>
          <w:tcPr>
            <w:tcW w:w="641" w:type="dxa"/>
            <w:vMerge w:val="restart"/>
            <w:tcBorders>
              <w:top w:val="single" w:color="000000" w:sz="4" w:space="0"/>
              <w:left w:val="nil"/>
              <w:bottom w:val="single" w:color="000000" w:sz="4" w:space="0"/>
              <w:right w:val="single" w:color="000000" w:sz="4" w:space="0"/>
            </w:tcBorders>
            <w:shd w:val="clear" w:color="auto" w:fill="auto"/>
            <w:vAlign w:val="center"/>
          </w:tcPr>
          <w:p w14:paraId="17FC22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宋体"/>
                <w:color w:val="auto"/>
                <w:kern w:val="0"/>
                <w:sz w:val="20"/>
                <w:szCs w:val="20"/>
                <w:highlight w:val="none"/>
              </w:rPr>
            </w:pPr>
            <w:r>
              <w:rPr>
                <w:rFonts w:hint="eastAsia" w:ascii="黑体" w:hAnsi="宋体" w:eastAsia="黑体" w:cs="黑体"/>
                <w:color w:val="auto"/>
                <w:kern w:val="0"/>
                <w:sz w:val="20"/>
                <w:szCs w:val="20"/>
                <w:highlight w:val="none"/>
                <w:lang w:val="en-US" w:eastAsia="zh-CN" w:bidi="ar"/>
              </w:rPr>
              <w:t>企业名称</w:t>
            </w:r>
          </w:p>
        </w:tc>
        <w:tc>
          <w:tcPr>
            <w:tcW w:w="641" w:type="dxa"/>
            <w:vMerge w:val="restart"/>
            <w:tcBorders>
              <w:top w:val="single" w:color="000000" w:sz="4" w:space="0"/>
              <w:left w:val="nil"/>
              <w:bottom w:val="single" w:color="000000" w:sz="4" w:space="0"/>
              <w:right w:val="single" w:color="000000" w:sz="4" w:space="0"/>
            </w:tcBorders>
            <w:shd w:val="clear" w:color="auto" w:fill="auto"/>
            <w:vAlign w:val="center"/>
          </w:tcPr>
          <w:p w14:paraId="519A24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宋体"/>
                <w:color w:val="auto"/>
                <w:kern w:val="0"/>
                <w:sz w:val="20"/>
                <w:szCs w:val="20"/>
                <w:highlight w:val="none"/>
              </w:rPr>
            </w:pPr>
            <w:r>
              <w:rPr>
                <w:rFonts w:hint="eastAsia" w:ascii="黑体" w:hAnsi="宋体" w:eastAsia="黑体" w:cs="黑体"/>
                <w:color w:val="auto"/>
                <w:kern w:val="0"/>
                <w:sz w:val="20"/>
                <w:szCs w:val="20"/>
                <w:highlight w:val="none"/>
                <w:lang w:val="en-US" w:eastAsia="zh-CN" w:bidi="ar"/>
              </w:rPr>
              <w:t>统一社会信用代码</w:t>
            </w:r>
          </w:p>
        </w:tc>
        <w:tc>
          <w:tcPr>
            <w:tcW w:w="513" w:type="dxa"/>
            <w:vMerge w:val="restart"/>
            <w:tcBorders>
              <w:top w:val="single" w:color="000000" w:sz="4" w:space="0"/>
              <w:left w:val="nil"/>
              <w:bottom w:val="single" w:color="000000" w:sz="4" w:space="0"/>
              <w:right w:val="single" w:color="000000" w:sz="4" w:space="0"/>
            </w:tcBorders>
            <w:shd w:val="clear" w:color="auto" w:fill="auto"/>
            <w:vAlign w:val="center"/>
          </w:tcPr>
          <w:p w14:paraId="69970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宋体"/>
                <w:color w:val="auto"/>
                <w:kern w:val="0"/>
                <w:sz w:val="20"/>
                <w:szCs w:val="20"/>
                <w:highlight w:val="none"/>
              </w:rPr>
            </w:pPr>
            <w:r>
              <w:rPr>
                <w:rFonts w:hint="eastAsia" w:ascii="黑体" w:hAnsi="宋体" w:eastAsia="黑体" w:cs="黑体"/>
                <w:color w:val="auto"/>
                <w:kern w:val="0"/>
                <w:sz w:val="20"/>
                <w:szCs w:val="20"/>
                <w:highlight w:val="none"/>
                <w:lang w:val="en-US" w:eastAsia="zh-CN" w:bidi="ar"/>
              </w:rPr>
              <w:t>项目名称</w:t>
            </w:r>
          </w:p>
        </w:tc>
        <w:tc>
          <w:tcPr>
            <w:tcW w:w="696" w:type="dxa"/>
            <w:vMerge w:val="restart"/>
            <w:tcBorders>
              <w:top w:val="single" w:color="000000" w:sz="4" w:space="0"/>
              <w:left w:val="nil"/>
              <w:bottom w:val="single" w:color="000000" w:sz="4" w:space="0"/>
              <w:right w:val="single" w:color="000000" w:sz="4" w:space="0"/>
            </w:tcBorders>
            <w:shd w:val="clear" w:color="auto" w:fill="auto"/>
            <w:vAlign w:val="center"/>
          </w:tcPr>
          <w:p w14:paraId="0D5BD6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宋体"/>
                <w:color w:val="auto"/>
                <w:kern w:val="0"/>
                <w:sz w:val="20"/>
                <w:szCs w:val="20"/>
                <w:highlight w:val="none"/>
              </w:rPr>
            </w:pPr>
            <w:r>
              <w:rPr>
                <w:rFonts w:hint="eastAsia" w:ascii="黑体" w:hAnsi="宋体" w:eastAsia="黑体" w:cs="黑体"/>
                <w:color w:val="auto"/>
                <w:kern w:val="0"/>
                <w:sz w:val="20"/>
                <w:szCs w:val="20"/>
                <w:highlight w:val="none"/>
                <w:lang w:val="en-US" w:eastAsia="zh-CN" w:bidi="ar"/>
              </w:rPr>
              <w:t>计划</w:t>
            </w:r>
            <w:r>
              <w:rPr>
                <w:rFonts w:hint="eastAsia" w:ascii="黑体" w:hAnsi="宋体" w:eastAsia="黑体" w:cs="宋体"/>
                <w:color w:val="auto"/>
                <w:kern w:val="0"/>
                <w:sz w:val="20"/>
                <w:szCs w:val="20"/>
                <w:highlight w:val="none"/>
                <w:lang w:val="en-US" w:eastAsia="zh-CN" w:bidi="ar"/>
              </w:rPr>
              <w:br w:type="textWrapping"/>
            </w:r>
            <w:r>
              <w:rPr>
                <w:rFonts w:hint="eastAsia" w:ascii="黑体" w:hAnsi="宋体" w:eastAsia="黑体" w:cs="黑体"/>
                <w:color w:val="auto"/>
                <w:kern w:val="0"/>
                <w:sz w:val="20"/>
                <w:szCs w:val="20"/>
                <w:highlight w:val="none"/>
                <w:lang w:val="en-US" w:eastAsia="zh-CN" w:bidi="ar"/>
              </w:rPr>
              <w:t>总投资</w:t>
            </w:r>
            <w:r>
              <w:rPr>
                <w:rFonts w:hint="eastAsia" w:ascii="黑体" w:hAnsi="宋体" w:eastAsia="黑体" w:cs="宋体"/>
                <w:color w:val="auto"/>
                <w:kern w:val="0"/>
                <w:sz w:val="20"/>
                <w:szCs w:val="20"/>
                <w:highlight w:val="none"/>
                <w:lang w:val="en-US" w:eastAsia="zh-CN" w:bidi="ar"/>
              </w:rPr>
              <w:br w:type="textWrapping"/>
            </w:r>
            <w:r>
              <w:rPr>
                <w:rFonts w:hint="eastAsia" w:ascii="黑体" w:hAnsi="宋体" w:eastAsia="黑体" w:cs="黑体"/>
                <w:color w:val="auto"/>
                <w:kern w:val="0"/>
                <w:sz w:val="20"/>
                <w:szCs w:val="20"/>
                <w:highlight w:val="none"/>
                <w:lang w:val="en-US" w:eastAsia="zh-CN" w:bidi="ar"/>
              </w:rPr>
              <w:t>（万元）</w:t>
            </w:r>
          </w:p>
        </w:tc>
        <w:tc>
          <w:tcPr>
            <w:tcW w:w="733" w:type="dxa"/>
            <w:vMerge w:val="restart"/>
            <w:tcBorders>
              <w:top w:val="single" w:color="000000" w:sz="4" w:space="0"/>
              <w:left w:val="nil"/>
              <w:bottom w:val="single" w:color="000000" w:sz="4" w:space="0"/>
              <w:right w:val="single" w:color="000000" w:sz="4" w:space="0"/>
            </w:tcBorders>
            <w:shd w:val="clear" w:color="auto" w:fill="auto"/>
            <w:vAlign w:val="center"/>
          </w:tcPr>
          <w:p w14:paraId="232C9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宋体"/>
                <w:color w:val="auto"/>
                <w:kern w:val="0"/>
                <w:sz w:val="20"/>
                <w:szCs w:val="20"/>
                <w:highlight w:val="none"/>
              </w:rPr>
            </w:pPr>
            <w:r>
              <w:rPr>
                <w:rFonts w:hint="eastAsia" w:ascii="黑体" w:hAnsi="宋体" w:eastAsia="黑体" w:cs="黑体"/>
                <w:color w:val="auto"/>
                <w:kern w:val="0"/>
                <w:sz w:val="20"/>
                <w:szCs w:val="20"/>
                <w:highlight w:val="none"/>
                <w:lang w:val="en-US" w:eastAsia="zh-CN" w:bidi="ar"/>
              </w:rPr>
              <w:t>企业申报的2025年度设备购置额（万元）</w:t>
            </w:r>
          </w:p>
        </w:tc>
        <w:tc>
          <w:tcPr>
            <w:tcW w:w="696" w:type="dxa"/>
            <w:vMerge w:val="restart"/>
            <w:tcBorders>
              <w:top w:val="single" w:color="000000" w:sz="4" w:space="0"/>
              <w:left w:val="nil"/>
              <w:bottom w:val="single" w:color="000000" w:sz="4" w:space="0"/>
              <w:right w:val="single" w:color="000000" w:sz="4" w:space="0"/>
            </w:tcBorders>
            <w:shd w:val="clear" w:color="auto" w:fill="auto"/>
            <w:vAlign w:val="center"/>
          </w:tcPr>
          <w:p w14:paraId="33BD60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宋体"/>
                <w:color w:val="auto"/>
                <w:kern w:val="0"/>
                <w:sz w:val="20"/>
                <w:szCs w:val="20"/>
                <w:highlight w:val="none"/>
              </w:rPr>
            </w:pPr>
            <w:r>
              <w:rPr>
                <w:rFonts w:hint="eastAsia" w:ascii="黑体" w:hAnsi="宋体" w:eastAsia="黑体" w:cs="黑体"/>
                <w:color w:val="auto"/>
                <w:kern w:val="0"/>
                <w:sz w:val="20"/>
                <w:szCs w:val="20"/>
                <w:highlight w:val="none"/>
                <w:lang w:val="en-US" w:eastAsia="zh-CN" w:bidi="ar"/>
              </w:rPr>
              <w:t>现场核查认定的2025年度设备购置额（万元）</w:t>
            </w:r>
          </w:p>
        </w:tc>
        <w:tc>
          <w:tcPr>
            <w:tcW w:w="733" w:type="dxa"/>
            <w:vMerge w:val="restart"/>
            <w:tcBorders>
              <w:top w:val="single" w:color="000000" w:sz="4" w:space="0"/>
              <w:left w:val="nil"/>
              <w:bottom w:val="single" w:color="000000" w:sz="4" w:space="0"/>
              <w:right w:val="single" w:color="000000" w:sz="4" w:space="0"/>
            </w:tcBorders>
            <w:shd w:val="clear" w:color="auto" w:fill="auto"/>
            <w:vAlign w:val="center"/>
          </w:tcPr>
          <w:p w14:paraId="6EE378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宋体"/>
                <w:color w:val="auto"/>
                <w:kern w:val="0"/>
                <w:sz w:val="20"/>
                <w:szCs w:val="20"/>
                <w:highlight w:val="none"/>
              </w:rPr>
            </w:pPr>
            <w:r>
              <w:rPr>
                <w:rFonts w:hint="eastAsia" w:ascii="黑体" w:hAnsi="宋体" w:eastAsia="黑体" w:cs="黑体"/>
                <w:color w:val="auto"/>
                <w:kern w:val="0"/>
                <w:sz w:val="20"/>
                <w:szCs w:val="20"/>
                <w:highlight w:val="none"/>
                <w:lang w:val="en-US" w:eastAsia="zh-CN" w:bidi="ar"/>
              </w:rPr>
              <w:t>是否为技术改造或增资扩产项目</w:t>
            </w:r>
          </w:p>
        </w:tc>
        <w:tc>
          <w:tcPr>
            <w:tcW w:w="3503" w:type="dxa"/>
            <w:gridSpan w:val="6"/>
            <w:tcBorders>
              <w:top w:val="single" w:color="000000" w:sz="4" w:space="0"/>
              <w:left w:val="nil"/>
              <w:bottom w:val="single" w:color="000000" w:sz="4" w:space="0"/>
              <w:right w:val="single" w:color="000000" w:sz="4" w:space="0"/>
            </w:tcBorders>
            <w:shd w:val="clear" w:color="auto" w:fill="auto"/>
            <w:vAlign w:val="center"/>
          </w:tcPr>
          <w:p w14:paraId="26BA40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宋体"/>
                <w:color w:val="auto"/>
                <w:kern w:val="0"/>
                <w:sz w:val="20"/>
                <w:szCs w:val="20"/>
                <w:highlight w:val="none"/>
              </w:rPr>
            </w:pPr>
            <w:r>
              <w:rPr>
                <w:rFonts w:hint="eastAsia" w:ascii="黑体" w:hAnsi="宋体" w:eastAsia="黑体" w:cs="黑体"/>
                <w:color w:val="auto"/>
                <w:kern w:val="0"/>
                <w:sz w:val="20"/>
                <w:szCs w:val="20"/>
                <w:highlight w:val="none"/>
                <w:lang w:val="en-US" w:eastAsia="zh-CN" w:bidi="ar"/>
              </w:rPr>
              <w:t>申报资料审核</w:t>
            </w:r>
            <w:r>
              <w:rPr>
                <w:rFonts w:hint="eastAsia" w:ascii="黑体" w:hAnsi="宋体" w:eastAsia="黑体" w:cs="宋体"/>
                <w:color w:val="auto"/>
                <w:kern w:val="0"/>
                <w:sz w:val="20"/>
                <w:szCs w:val="20"/>
                <w:highlight w:val="none"/>
                <w:lang w:val="en-US" w:eastAsia="zh-CN" w:bidi="ar"/>
              </w:rPr>
              <w:br w:type="textWrapping"/>
            </w:r>
            <w:r>
              <w:rPr>
                <w:rFonts w:hint="eastAsia" w:ascii="黑体" w:hAnsi="宋体" w:eastAsia="黑体" w:cs="黑体"/>
                <w:color w:val="auto"/>
                <w:kern w:val="0"/>
                <w:sz w:val="20"/>
                <w:szCs w:val="20"/>
                <w:highlight w:val="none"/>
                <w:lang w:val="en-US" w:eastAsia="zh-CN" w:bidi="ar"/>
              </w:rPr>
              <w:t>（审核相关材料是否符合申报要求，符合要求填“是”）</w:t>
            </w:r>
          </w:p>
        </w:tc>
        <w:tc>
          <w:tcPr>
            <w:tcW w:w="3559" w:type="dxa"/>
            <w:gridSpan w:val="6"/>
            <w:tcBorders>
              <w:top w:val="single" w:color="000000" w:sz="4" w:space="0"/>
              <w:left w:val="nil"/>
              <w:bottom w:val="single" w:color="000000" w:sz="4" w:space="0"/>
              <w:right w:val="single" w:color="000000" w:sz="4" w:space="0"/>
            </w:tcBorders>
            <w:shd w:val="clear" w:color="auto" w:fill="auto"/>
            <w:vAlign w:val="center"/>
          </w:tcPr>
          <w:p w14:paraId="63E88E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宋体"/>
                <w:color w:val="auto"/>
                <w:kern w:val="0"/>
                <w:sz w:val="20"/>
                <w:szCs w:val="20"/>
                <w:highlight w:val="none"/>
              </w:rPr>
            </w:pPr>
            <w:r>
              <w:rPr>
                <w:rFonts w:hint="eastAsia" w:ascii="黑体" w:hAnsi="宋体" w:eastAsia="黑体" w:cs="黑体"/>
                <w:color w:val="auto"/>
                <w:kern w:val="0"/>
                <w:sz w:val="20"/>
                <w:szCs w:val="20"/>
                <w:highlight w:val="none"/>
                <w:lang w:val="en-US" w:eastAsia="zh-CN" w:bidi="ar"/>
              </w:rPr>
              <w:t>项目手续审核</w:t>
            </w:r>
            <w:r>
              <w:rPr>
                <w:rFonts w:hint="eastAsia" w:ascii="黑体" w:hAnsi="宋体" w:eastAsia="黑体" w:cs="宋体"/>
                <w:color w:val="auto"/>
                <w:kern w:val="0"/>
                <w:sz w:val="20"/>
                <w:szCs w:val="20"/>
                <w:highlight w:val="none"/>
                <w:lang w:val="en-US" w:eastAsia="zh-CN" w:bidi="ar"/>
              </w:rPr>
              <w:br w:type="textWrapping"/>
            </w:r>
            <w:r>
              <w:rPr>
                <w:rFonts w:hint="eastAsia" w:ascii="黑体" w:hAnsi="宋体" w:eastAsia="黑体" w:cs="黑体"/>
                <w:color w:val="auto"/>
                <w:kern w:val="0"/>
                <w:sz w:val="20"/>
                <w:szCs w:val="20"/>
                <w:highlight w:val="none"/>
                <w:lang w:val="en-US" w:eastAsia="zh-CN" w:bidi="ar"/>
              </w:rPr>
              <w:t>（审核相关手续是否符合申报要求，符合要求填“是”）</w:t>
            </w:r>
          </w:p>
        </w:tc>
        <w:tc>
          <w:tcPr>
            <w:tcW w:w="2382" w:type="dxa"/>
            <w:gridSpan w:val="2"/>
            <w:tcBorders>
              <w:top w:val="single" w:color="000000" w:sz="4" w:space="0"/>
              <w:left w:val="nil"/>
              <w:bottom w:val="single" w:color="000000" w:sz="4" w:space="0"/>
              <w:right w:val="single" w:color="000000" w:sz="4" w:space="0"/>
            </w:tcBorders>
            <w:shd w:val="clear" w:color="auto" w:fill="auto"/>
            <w:vAlign w:val="center"/>
          </w:tcPr>
          <w:p w14:paraId="02EB73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宋体"/>
                <w:color w:val="auto"/>
                <w:kern w:val="0"/>
                <w:sz w:val="20"/>
                <w:szCs w:val="20"/>
                <w:highlight w:val="none"/>
              </w:rPr>
            </w:pPr>
            <w:r>
              <w:rPr>
                <w:rFonts w:hint="eastAsia" w:ascii="黑体" w:hAnsi="宋体" w:eastAsia="黑体" w:cs="黑体"/>
                <w:color w:val="auto"/>
                <w:kern w:val="0"/>
                <w:sz w:val="20"/>
                <w:szCs w:val="20"/>
                <w:highlight w:val="none"/>
                <w:lang w:val="en-US" w:eastAsia="zh-CN" w:bidi="ar"/>
              </w:rPr>
              <w:t>现场核查（是否符合申报要求，符合要求填“是”）</w:t>
            </w:r>
          </w:p>
        </w:tc>
      </w:tr>
      <w:tr w14:paraId="50533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FA4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cs="Times New Roman"/>
                <w:color w:val="auto"/>
                <w:sz w:val="20"/>
                <w:szCs w:val="20"/>
              </w:rPr>
            </w:pPr>
          </w:p>
        </w:tc>
        <w:tc>
          <w:tcPr>
            <w:tcW w:w="641" w:type="dxa"/>
            <w:vMerge w:val="continue"/>
            <w:tcBorders>
              <w:top w:val="single" w:color="000000" w:sz="4" w:space="0"/>
              <w:left w:val="nil"/>
              <w:bottom w:val="single" w:color="000000" w:sz="4" w:space="0"/>
              <w:right w:val="single" w:color="000000" w:sz="4" w:space="0"/>
            </w:tcBorders>
            <w:shd w:val="clear" w:color="auto" w:fill="auto"/>
            <w:vAlign w:val="center"/>
          </w:tcPr>
          <w:p w14:paraId="085244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cs="Times New Roman"/>
                <w:color w:val="auto"/>
                <w:sz w:val="20"/>
                <w:szCs w:val="20"/>
              </w:rPr>
            </w:pPr>
          </w:p>
        </w:tc>
        <w:tc>
          <w:tcPr>
            <w:tcW w:w="641" w:type="dxa"/>
            <w:vMerge w:val="continue"/>
            <w:tcBorders>
              <w:top w:val="single" w:color="000000" w:sz="4" w:space="0"/>
              <w:left w:val="nil"/>
              <w:bottom w:val="single" w:color="000000" w:sz="4" w:space="0"/>
              <w:right w:val="single" w:color="000000" w:sz="4" w:space="0"/>
            </w:tcBorders>
            <w:shd w:val="clear" w:color="auto" w:fill="auto"/>
            <w:vAlign w:val="center"/>
          </w:tcPr>
          <w:p w14:paraId="1F21B9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cs="Times New Roman"/>
                <w:color w:val="auto"/>
                <w:sz w:val="20"/>
                <w:szCs w:val="20"/>
              </w:rPr>
            </w:pPr>
          </w:p>
        </w:tc>
        <w:tc>
          <w:tcPr>
            <w:tcW w:w="513" w:type="dxa"/>
            <w:vMerge w:val="continue"/>
            <w:tcBorders>
              <w:top w:val="single" w:color="000000" w:sz="4" w:space="0"/>
              <w:left w:val="nil"/>
              <w:bottom w:val="single" w:color="000000" w:sz="4" w:space="0"/>
              <w:right w:val="single" w:color="000000" w:sz="4" w:space="0"/>
            </w:tcBorders>
            <w:shd w:val="clear" w:color="auto" w:fill="auto"/>
            <w:vAlign w:val="center"/>
          </w:tcPr>
          <w:p w14:paraId="7180C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cs="Times New Roman"/>
                <w:color w:val="auto"/>
                <w:sz w:val="20"/>
                <w:szCs w:val="20"/>
              </w:rPr>
            </w:pPr>
          </w:p>
        </w:tc>
        <w:tc>
          <w:tcPr>
            <w:tcW w:w="696" w:type="dxa"/>
            <w:vMerge w:val="continue"/>
            <w:tcBorders>
              <w:top w:val="single" w:color="000000" w:sz="4" w:space="0"/>
              <w:left w:val="nil"/>
              <w:bottom w:val="single" w:color="000000" w:sz="4" w:space="0"/>
              <w:right w:val="single" w:color="000000" w:sz="4" w:space="0"/>
            </w:tcBorders>
            <w:shd w:val="clear" w:color="auto" w:fill="auto"/>
            <w:vAlign w:val="center"/>
          </w:tcPr>
          <w:p w14:paraId="7692DF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cs="Times New Roman"/>
                <w:color w:val="auto"/>
                <w:sz w:val="20"/>
                <w:szCs w:val="20"/>
              </w:rPr>
            </w:pPr>
          </w:p>
        </w:tc>
        <w:tc>
          <w:tcPr>
            <w:tcW w:w="733" w:type="dxa"/>
            <w:vMerge w:val="continue"/>
            <w:tcBorders>
              <w:top w:val="single" w:color="000000" w:sz="4" w:space="0"/>
              <w:left w:val="nil"/>
              <w:bottom w:val="single" w:color="000000" w:sz="4" w:space="0"/>
              <w:right w:val="single" w:color="000000" w:sz="4" w:space="0"/>
            </w:tcBorders>
            <w:shd w:val="clear" w:color="auto" w:fill="auto"/>
            <w:vAlign w:val="center"/>
          </w:tcPr>
          <w:p w14:paraId="17D45F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cs="Times New Roman"/>
                <w:color w:val="auto"/>
                <w:sz w:val="20"/>
                <w:szCs w:val="20"/>
              </w:rPr>
            </w:pPr>
          </w:p>
        </w:tc>
        <w:tc>
          <w:tcPr>
            <w:tcW w:w="696" w:type="dxa"/>
            <w:vMerge w:val="continue"/>
            <w:tcBorders>
              <w:top w:val="single" w:color="000000" w:sz="4" w:space="0"/>
              <w:left w:val="nil"/>
              <w:bottom w:val="single" w:color="000000" w:sz="4" w:space="0"/>
              <w:right w:val="single" w:color="000000" w:sz="4" w:space="0"/>
            </w:tcBorders>
            <w:shd w:val="clear" w:color="auto" w:fill="auto"/>
            <w:vAlign w:val="center"/>
          </w:tcPr>
          <w:p w14:paraId="229C69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cs="Times New Roman"/>
                <w:color w:val="auto"/>
                <w:sz w:val="20"/>
                <w:szCs w:val="20"/>
              </w:rPr>
            </w:pPr>
          </w:p>
        </w:tc>
        <w:tc>
          <w:tcPr>
            <w:tcW w:w="733" w:type="dxa"/>
            <w:vMerge w:val="continue"/>
            <w:tcBorders>
              <w:top w:val="single" w:color="000000" w:sz="4" w:space="0"/>
              <w:left w:val="nil"/>
              <w:bottom w:val="single" w:color="000000" w:sz="4" w:space="0"/>
              <w:right w:val="single" w:color="000000" w:sz="4" w:space="0"/>
            </w:tcBorders>
            <w:shd w:val="clear" w:color="auto" w:fill="auto"/>
            <w:vAlign w:val="center"/>
          </w:tcPr>
          <w:p w14:paraId="5D2F1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cs="Times New Roman"/>
                <w:color w:val="auto"/>
                <w:sz w:val="20"/>
                <w:szCs w:val="20"/>
              </w:rPr>
            </w:pPr>
          </w:p>
        </w:tc>
        <w:tc>
          <w:tcPr>
            <w:tcW w:w="513" w:type="dxa"/>
            <w:tcBorders>
              <w:top w:val="nil"/>
              <w:left w:val="nil"/>
              <w:bottom w:val="single" w:color="000000" w:sz="4" w:space="0"/>
              <w:right w:val="single" w:color="000000" w:sz="4" w:space="0"/>
            </w:tcBorders>
            <w:shd w:val="clear" w:color="auto" w:fill="auto"/>
            <w:vAlign w:val="center"/>
          </w:tcPr>
          <w:p w14:paraId="41AB2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宋体"/>
                <w:color w:val="auto"/>
                <w:kern w:val="0"/>
                <w:sz w:val="20"/>
                <w:szCs w:val="20"/>
              </w:rPr>
            </w:pPr>
            <w:r>
              <w:rPr>
                <w:rFonts w:hint="eastAsia" w:ascii="黑体" w:hAnsi="宋体" w:eastAsia="黑体" w:cs="黑体"/>
                <w:color w:val="auto"/>
                <w:kern w:val="0"/>
                <w:sz w:val="20"/>
                <w:szCs w:val="20"/>
                <w:lang w:val="en-US" w:eastAsia="zh-CN" w:bidi="ar"/>
              </w:rPr>
              <w:t>申请表</w:t>
            </w:r>
          </w:p>
        </w:tc>
        <w:tc>
          <w:tcPr>
            <w:tcW w:w="513" w:type="dxa"/>
            <w:tcBorders>
              <w:top w:val="nil"/>
              <w:left w:val="nil"/>
              <w:bottom w:val="single" w:color="000000" w:sz="4" w:space="0"/>
              <w:right w:val="single" w:color="000000" w:sz="4" w:space="0"/>
            </w:tcBorders>
            <w:shd w:val="clear" w:color="auto" w:fill="auto"/>
            <w:vAlign w:val="center"/>
          </w:tcPr>
          <w:p w14:paraId="7C3AD4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宋体"/>
                <w:color w:val="auto"/>
                <w:kern w:val="0"/>
                <w:sz w:val="20"/>
                <w:szCs w:val="20"/>
              </w:rPr>
            </w:pPr>
            <w:r>
              <w:rPr>
                <w:rFonts w:hint="eastAsia" w:ascii="黑体" w:hAnsi="宋体" w:eastAsia="黑体" w:cs="黑体"/>
                <w:color w:val="auto"/>
                <w:kern w:val="0"/>
                <w:sz w:val="20"/>
                <w:szCs w:val="20"/>
                <w:lang w:val="en-US" w:eastAsia="zh-CN" w:bidi="ar"/>
              </w:rPr>
              <w:t>承诺书</w:t>
            </w:r>
          </w:p>
        </w:tc>
        <w:tc>
          <w:tcPr>
            <w:tcW w:w="549" w:type="dxa"/>
            <w:tcBorders>
              <w:top w:val="nil"/>
              <w:left w:val="nil"/>
              <w:bottom w:val="single" w:color="000000" w:sz="4" w:space="0"/>
              <w:right w:val="single" w:color="000000" w:sz="4" w:space="0"/>
            </w:tcBorders>
            <w:shd w:val="clear" w:color="auto" w:fill="auto"/>
            <w:vAlign w:val="center"/>
          </w:tcPr>
          <w:p w14:paraId="78D8AC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宋体"/>
                <w:color w:val="auto"/>
                <w:kern w:val="0"/>
                <w:sz w:val="20"/>
                <w:szCs w:val="20"/>
              </w:rPr>
            </w:pPr>
            <w:r>
              <w:rPr>
                <w:rFonts w:hint="eastAsia" w:ascii="黑体" w:hAnsi="宋体" w:eastAsia="黑体" w:cs="黑体"/>
                <w:color w:val="auto"/>
                <w:kern w:val="0"/>
                <w:sz w:val="20"/>
                <w:szCs w:val="20"/>
                <w:lang w:val="en-US" w:eastAsia="zh-CN" w:bidi="ar"/>
              </w:rPr>
              <w:t>营业执照</w:t>
            </w:r>
          </w:p>
        </w:tc>
        <w:tc>
          <w:tcPr>
            <w:tcW w:w="641" w:type="dxa"/>
            <w:tcBorders>
              <w:top w:val="nil"/>
              <w:left w:val="nil"/>
              <w:bottom w:val="single" w:color="000000" w:sz="4" w:space="0"/>
              <w:right w:val="single" w:color="000000" w:sz="4" w:space="0"/>
            </w:tcBorders>
            <w:shd w:val="clear" w:color="auto" w:fill="auto"/>
            <w:vAlign w:val="center"/>
          </w:tcPr>
          <w:p w14:paraId="22FF76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宋体"/>
                <w:color w:val="auto"/>
                <w:kern w:val="0"/>
                <w:sz w:val="20"/>
                <w:szCs w:val="20"/>
              </w:rPr>
            </w:pPr>
            <w:r>
              <w:rPr>
                <w:rFonts w:hint="eastAsia" w:ascii="黑体" w:hAnsi="宋体" w:eastAsia="黑体" w:cs="黑体"/>
                <w:color w:val="auto"/>
                <w:kern w:val="0"/>
                <w:sz w:val="20"/>
                <w:szCs w:val="20"/>
                <w:lang w:val="en-US" w:eastAsia="zh-CN" w:bidi="ar"/>
              </w:rPr>
              <w:t>法定代表人身份证</w:t>
            </w:r>
          </w:p>
        </w:tc>
        <w:tc>
          <w:tcPr>
            <w:tcW w:w="641" w:type="dxa"/>
            <w:tcBorders>
              <w:top w:val="nil"/>
              <w:left w:val="nil"/>
              <w:bottom w:val="single" w:color="000000" w:sz="4" w:space="0"/>
              <w:right w:val="single" w:color="000000" w:sz="4" w:space="0"/>
            </w:tcBorders>
            <w:shd w:val="clear" w:color="auto" w:fill="auto"/>
            <w:vAlign w:val="center"/>
          </w:tcPr>
          <w:p w14:paraId="32D8FE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宋体"/>
                <w:color w:val="auto"/>
                <w:kern w:val="0"/>
                <w:sz w:val="20"/>
                <w:szCs w:val="20"/>
              </w:rPr>
            </w:pPr>
            <w:r>
              <w:rPr>
                <w:rFonts w:hint="eastAsia" w:ascii="黑体" w:hAnsi="宋体" w:eastAsia="黑体" w:cs="黑体"/>
                <w:color w:val="auto"/>
                <w:kern w:val="0"/>
                <w:sz w:val="20"/>
                <w:szCs w:val="20"/>
                <w:lang w:val="en-US" w:eastAsia="zh-CN" w:bidi="ar"/>
              </w:rPr>
              <w:t>专项审计报告</w:t>
            </w:r>
          </w:p>
        </w:tc>
        <w:tc>
          <w:tcPr>
            <w:tcW w:w="646" w:type="dxa"/>
            <w:tcBorders>
              <w:top w:val="nil"/>
              <w:left w:val="nil"/>
              <w:bottom w:val="single" w:color="000000" w:sz="4" w:space="0"/>
              <w:right w:val="single" w:color="000000" w:sz="4" w:space="0"/>
            </w:tcBorders>
            <w:shd w:val="clear" w:color="auto" w:fill="auto"/>
            <w:vAlign w:val="center"/>
          </w:tcPr>
          <w:p w14:paraId="4A58FD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宋体"/>
                <w:color w:val="auto"/>
                <w:kern w:val="0"/>
                <w:sz w:val="20"/>
                <w:szCs w:val="20"/>
              </w:rPr>
            </w:pPr>
            <w:r>
              <w:rPr>
                <w:rFonts w:hint="eastAsia" w:ascii="黑体" w:hAnsi="宋体" w:eastAsia="黑体" w:cs="黑体"/>
                <w:color w:val="auto"/>
                <w:kern w:val="0"/>
                <w:sz w:val="20"/>
                <w:szCs w:val="20"/>
                <w:lang w:val="en-US" w:eastAsia="zh-CN" w:bidi="ar"/>
              </w:rPr>
              <w:t>信用评价报告</w:t>
            </w:r>
          </w:p>
        </w:tc>
        <w:tc>
          <w:tcPr>
            <w:tcW w:w="898" w:type="dxa"/>
            <w:tcBorders>
              <w:top w:val="nil"/>
              <w:left w:val="nil"/>
              <w:bottom w:val="single" w:color="000000" w:sz="4" w:space="0"/>
              <w:right w:val="single" w:color="000000" w:sz="4" w:space="0"/>
            </w:tcBorders>
            <w:shd w:val="clear" w:color="auto" w:fill="auto"/>
            <w:vAlign w:val="center"/>
          </w:tcPr>
          <w:p w14:paraId="0DA8E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宋体"/>
                <w:color w:val="auto"/>
                <w:kern w:val="0"/>
                <w:sz w:val="20"/>
                <w:szCs w:val="20"/>
              </w:rPr>
            </w:pPr>
            <w:r>
              <w:rPr>
                <w:rFonts w:hint="eastAsia" w:ascii="黑体" w:hAnsi="宋体" w:eastAsia="黑体" w:cs="黑体"/>
                <w:color w:val="auto"/>
                <w:kern w:val="0"/>
                <w:sz w:val="20"/>
                <w:szCs w:val="20"/>
                <w:lang w:val="en-US" w:eastAsia="zh-CN" w:bidi="ar"/>
              </w:rPr>
              <w:t>项目备案通知书/核准批复文件</w:t>
            </w:r>
          </w:p>
        </w:tc>
        <w:tc>
          <w:tcPr>
            <w:tcW w:w="531" w:type="dxa"/>
            <w:tcBorders>
              <w:top w:val="nil"/>
              <w:left w:val="nil"/>
              <w:bottom w:val="single" w:color="000000" w:sz="4" w:space="0"/>
              <w:right w:val="single" w:color="000000" w:sz="4" w:space="0"/>
            </w:tcBorders>
            <w:shd w:val="clear" w:color="auto" w:fill="auto"/>
            <w:vAlign w:val="center"/>
          </w:tcPr>
          <w:p w14:paraId="5A65E9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宋体"/>
                <w:color w:val="auto"/>
                <w:kern w:val="0"/>
                <w:sz w:val="20"/>
                <w:szCs w:val="20"/>
              </w:rPr>
            </w:pPr>
            <w:r>
              <w:rPr>
                <w:rFonts w:hint="eastAsia" w:ascii="黑体" w:hAnsi="宋体" w:eastAsia="黑体" w:cs="黑体"/>
                <w:color w:val="auto"/>
                <w:kern w:val="0"/>
                <w:sz w:val="20"/>
                <w:szCs w:val="20"/>
                <w:lang w:val="en-US" w:eastAsia="zh-CN" w:bidi="ar"/>
              </w:rPr>
              <w:t>环评</w:t>
            </w:r>
          </w:p>
        </w:tc>
        <w:tc>
          <w:tcPr>
            <w:tcW w:w="531" w:type="dxa"/>
            <w:tcBorders>
              <w:top w:val="nil"/>
              <w:left w:val="nil"/>
              <w:bottom w:val="single" w:color="000000" w:sz="4" w:space="0"/>
              <w:right w:val="single" w:color="000000" w:sz="4" w:space="0"/>
            </w:tcBorders>
            <w:shd w:val="clear" w:color="auto" w:fill="auto"/>
            <w:vAlign w:val="center"/>
          </w:tcPr>
          <w:p w14:paraId="701C56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宋体"/>
                <w:color w:val="auto"/>
                <w:kern w:val="0"/>
                <w:sz w:val="20"/>
                <w:szCs w:val="20"/>
              </w:rPr>
            </w:pPr>
            <w:r>
              <w:rPr>
                <w:rFonts w:hint="eastAsia" w:ascii="黑体" w:hAnsi="宋体" w:eastAsia="黑体" w:cs="黑体"/>
                <w:color w:val="auto"/>
                <w:kern w:val="0"/>
                <w:sz w:val="20"/>
                <w:szCs w:val="20"/>
                <w:lang w:val="en-US" w:eastAsia="zh-CN" w:bidi="ar"/>
              </w:rPr>
              <w:t>能评</w:t>
            </w:r>
          </w:p>
        </w:tc>
        <w:tc>
          <w:tcPr>
            <w:tcW w:w="531" w:type="dxa"/>
            <w:tcBorders>
              <w:top w:val="nil"/>
              <w:left w:val="nil"/>
              <w:bottom w:val="single" w:color="000000" w:sz="4" w:space="0"/>
              <w:right w:val="single" w:color="000000" w:sz="4" w:space="0"/>
            </w:tcBorders>
            <w:shd w:val="clear" w:color="auto" w:fill="auto"/>
            <w:vAlign w:val="center"/>
          </w:tcPr>
          <w:p w14:paraId="24F067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宋体"/>
                <w:color w:val="auto"/>
                <w:kern w:val="0"/>
                <w:sz w:val="20"/>
                <w:szCs w:val="20"/>
              </w:rPr>
            </w:pPr>
            <w:r>
              <w:rPr>
                <w:rFonts w:hint="eastAsia" w:ascii="黑体" w:hAnsi="宋体" w:eastAsia="黑体" w:cs="黑体"/>
                <w:color w:val="auto"/>
                <w:kern w:val="0"/>
                <w:sz w:val="20"/>
                <w:szCs w:val="20"/>
                <w:lang w:val="en-US" w:eastAsia="zh-CN" w:bidi="ar"/>
              </w:rPr>
              <w:t>安评</w:t>
            </w:r>
          </w:p>
        </w:tc>
        <w:tc>
          <w:tcPr>
            <w:tcW w:w="531" w:type="dxa"/>
            <w:tcBorders>
              <w:top w:val="nil"/>
              <w:left w:val="nil"/>
              <w:bottom w:val="single" w:color="000000" w:sz="4" w:space="0"/>
              <w:right w:val="single" w:color="000000" w:sz="4" w:space="0"/>
            </w:tcBorders>
            <w:shd w:val="clear" w:color="auto" w:fill="auto"/>
            <w:vAlign w:val="center"/>
          </w:tcPr>
          <w:p w14:paraId="1B556B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宋体"/>
                <w:color w:val="auto"/>
                <w:kern w:val="0"/>
                <w:sz w:val="20"/>
                <w:szCs w:val="20"/>
              </w:rPr>
            </w:pPr>
            <w:r>
              <w:rPr>
                <w:rFonts w:hint="eastAsia" w:ascii="黑体" w:hAnsi="宋体" w:eastAsia="黑体" w:cs="黑体"/>
                <w:color w:val="auto"/>
                <w:kern w:val="0"/>
                <w:sz w:val="20"/>
                <w:szCs w:val="20"/>
                <w:lang w:val="en-US" w:eastAsia="zh-CN" w:bidi="ar"/>
              </w:rPr>
              <w:t>土地</w:t>
            </w:r>
          </w:p>
        </w:tc>
        <w:tc>
          <w:tcPr>
            <w:tcW w:w="537" w:type="dxa"/>
            <w:tcBorders>
              <w:top w:val="nil"/>
              <w:left w:val="nil"/>
              <w:bottom w:val="single" w:color="000000" w:sz="4" w:space="0"/>
              <w:right w:val="single" w:color="000000" w:sz="4" w:space="0"/>
            </w:tcBorders>
            <w:shd w:val="clear" w:color="auto" w:fill="auto"/>
            <w:vAlign w:val="center"/>
          </w:tcPr>
          <w:p w14:paraId="2B4393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宋体"/>
                <w:color w:val="auto"/>
                <w:kern w:val="0"/>
                <w:sz w:val="20"/>
                <w:szCs w:val="20"/>
              </w:rPr>
            </w:pPr>
            <w:r>
              <w:rPr>
                <w:rFonts w:hint="eastAsia" w:ascii="黑体" w:hAnsi="宋体" w:eastAsia="黑体" w:cs="黑体"/>
                <w:color w:val="auto"/>
                <w:kern w:val="0"/>
                <w:sz w:val="20"/>
                <w:szCs w:val="20"/>
                <w:lang w:val="en-US" w:eastAsia="zh-CN" w:bidi="ar"/>
              </w:rPr>
              <w:t>规划</w:t>
            </w:r>
          </w:p>
        </w:tc>
        <w:tc>
          <w:tcPr>
            <w:tcW w:w="1191" w:type="dxa"/>
            <w:tcBorders>
              <w:top w:val="single" w:color="000000" w:sz="4" w:space="0"/>
              <w:left w:val="nil"/>
              <w:bottom w:val="single" w:color="000000" w:sz="4" w:space="0"/>
              <w:right w:val="single" w:color="000000" w:sz="4" w:space="0"/>
            </w:tcBorders>
            <w:shd w:val="clear" w:color="auto" w:fill="auto"/>
            <w:vAlign w:val="center"/>
          </w:tcPr>
          <w:p w14:paraId="2B56F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宋体"/>
                <w:color w:val="auto"/>
                <w:kern w:val="0"/>
                <w:sz w:val="20"/>
                <w:szCs w:val="20"/>
              </w:rPr>
            </w:pPr>
            <w:r>
              <w:rPr>
                <w:rFonts w:hint="eastAsia" w:ascii="黑体" w:hAnsi="宋体" w:eastAsia="黑体" w:cs="黑体"/>
                <w:color w:val="auto"/>
                <w:kern w:val="0"/>
                <w:sz w:val="20"/>
                <w:szCs w:val="20"/>
                <w:lang w:val="en-US" w:eastAsia="zh-CN" w:bidi="ar"/>
              </w:rPr>
              <w:t>项目未重复享受国家、省或市级其他类别政策（市级制造业贷款财政贴息政策除外）</w:t>
            </w:r>
          </w:p>
        </w:tc>
        <w:tc>
          <w:tcPr>
            <w:tcW w:w="1191" w:type="dxa"/>
            <w:tcBorders>
              <w:top w:val="single" w:color="000000" w:sz="4" w:space="0"/>
              <w:left w:val="nil"/>
              <w:bottom w:val="single" w:color="000000" w:sz="4" w:space="0"/>
              <w:right w:val="single" w:color="000000" w:sz="4" w:space="0"/>
            </w:tcBorders>
            <w:shd w:val="clear" w:color="auto" w:fill="auto"/>
            <w:vAlign w:val="center"/>
          </w:tcPr>
          <w:p w14:paraId="56B705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宋体"/>
                <w:color w:val="auto"/>
                <w:kern w:val="0"/>
                <w:sz w:val="20"/>
                <w:szCs w:val="20"/>
              </w:rPr>
            </w:pPr>
            <w:r>
              <w:rPr>
                <w:rFonts w:hint="eastAsia" w:ascii="黑体" w:hAnsi="宋体" w:eastAsia="黑体" w:cs="黑体"/>
                <w:color w:val="auto"/>
                <w:kern w:val="0"/>
                <w:sz w:val="20"/>
                <w:szCs w:val="20"/>
                <w:lang w:val="en-US" w:eastAsia="zh-CN" w:bidi="ar"/>
              </w:rPr>
              <w:t>项目发票未重复用在国家、省或市级其他类别政策（市级制造业贷款财政贴息政策除外）</w:t>
            </w:r>
          </w:p>
        </w:tc>
      </w:tr>
      <w:tr w14:paraId="6AF2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23" w:type="dxa"/>
            <w:tcBorders>
              <w:top w:val="nil"/>
              <w:left w:val="single" w:color="000000" w:sz="4" w:space="0"/>
              <w:bottom w:val="single" w:color="000000" w:sz="4" w:space="0"/>
              <w:right w:val="single" w:color="000000" w:sz="4" w:space="0"/>
            </w:tcBorders>
            <w:shd w:val="clear" w:color="auto" w:fill="auto"/>
            <w:noWrap/>
            <w:vAlign w:val="center"/>
          </w:tcPr>
          <w:p w14:paraId="04C8D3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r>
              <w:rPr>
                <w:rFonts w:hint="eastAsia" w:ascii="仿宋_GB2312" w:hAnsi="等线" w:eastAsia="仿宋_GB2312" w:cs="仿宋_GB2312"/>
                <w:color w:val="auto"/>
                <w:kern w:val="0"/>
                <w:sz w:val="22"/>
                <w:szCs w:val="22"/>
                <w:lang w:val="en-US" w:eastAsia="zh-CN" w:bidi="ar"/>
              </w:rPr>
              <w:t>1</w:t>
            </w:r>
          </w:p>
        </w:tc>
        <w:tc>
          <w:tcPr>
            <w:tcW w:w="641" w:type="dxa"/>
            <w:tcBorders>
              <w:top w:val="nil"/>
              <w:left w:val="nil"/>
              <w:bottom w:val="single" w:color="000000" w:sz="4" w:space="0"/>
              <w:right w:val="single" w:color="000000" w:sz="4" w:space="0"/>
            </w:tcBorders>
            <w:shd w:val="clear" w:color="auto" w:fill="auto"/>
            <w:noWrap/>
            <w:vAlign w:val="center"/>
          </w:tcPr>
          <w:p w14:paraId="7C494F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41" w:type="dxa"/>
            <w:tcBorders>
              <w:top w:val="nil"/>
              <w:left w:val="nil"/>
              <w:bottom w:val="single" w:color="000000" w:sz="4" w:space="0"/>
              <w:right w:val="single" w:color="000000" w:sz="4" w:space="0"/>
            </w:tcBorders>
            <w:shd w:val="clear" w:color="auto" w:fill="auto"/>
            <w:noWrap/>
            <w:vAlign w:val="center"/>
          </w:tcPr>
          <w:p w14:paraId="26FF22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13" w:type="dxa"/>
            <w:tcBorders>
              <w:top w:val="nil"/>
              <w:left w:val="nil"/>
              <w:bottom w:val="single" w:color="000000" w:sz="4" w:space="0"/>
              <w:right w:val="single" w:color="000000" w:sz="4" w:space="0"/>
            </w:tcBorders>
            <w:shd w:val="clear" w:color="auto" w:fill="auto"/>
            <w:noWrap/>
            <w:vAlign w:val="center"/>
          </w:tcPr>
          <w:p w14:paraId="5249F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96" w:type="dxa"/>
            <w:tcBorders>
              <w:top w:val="nil"/>
              <w:left w:val="nil"/>
              <w:bottom w:val="single" w:color="000000" w:sz="4" w:space="0"/>
              <w:right w:val="single" w:color="000000" w:sz="4" w:space="0"/>
            </w:tcBorders>
            <w:shd w:val="clear" w:color="auto" w:fill="auto"/>
            <w:noWrap/>
            <w:vAlign w:val="center"/>
          </w:tcPr>
          <w:p w14:paraId="772424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733" w:type="dxa"/>
            <w:tcBorders>
              <w:top w:val="nil"/>
              <w:left w:val="nil"/>
              <w:bottom w:val="single" w:color="000000" w:sz="4" w:space="0"/>
              <w:right w:val="single" w:color="000000" w:sz="4" w:space="0"/>
            </w:tcBorders>
            <w:shd w:val="clear" w:color="auto" w:fill="auto"/>
            <w:noWrap/>
            <w:vAlign w:val="center"/>
          </w:tcPr>
          <w:p w14:paraId="68B884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96" w:type="dxa"/>
            <w:tcBorders>
              <w:top w:val="nil"/>
              <w:left w:val="nil"/>
              <w:bottom w:val="single" w:color="000000" w:sz="4" w:space="0"/>
              <w:right w:val="single" w:color="000000" w:sz="4" w:space="0"/>
            </w:tcBorders>
            <w:shd w:val="clear" w:color="auto" w:fill="auto"/>
            <w:noWrap/>
            <w:vAlign w:val="center"/>
          </w:tcPr>
          <w:p w14:paraId="27FA7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733" w:type="dxa"/>
            <w:tcBorders>
              <w:top w:val="nil"/>
              <w:left w:val="nil"/>
              <w:bottom w:val="single" w:color="000000" w:sz="4" w:space="0"/>
              <w:right w:val="single" w:color="000000" w:sz="4" w:space="0"/>
            </w:tcBorders>
            <w:shd w:val="clear" w:color="auto" w:fill="auto"/>
            <w:noWrap/>
            <w:vAlign w:val="center"/>
          </w:tcPr>
          <w:p w14:paraId="5C2A66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13" w:type="dxa"/>
            <w:tcBorders>
              <w:top w:val="nil"/>
              <w:left w:val="nil"/>
              <w:bottom w:val="nil"/>
              <w:right w:val="nil"/>
            </w:tcBorders>
            <w:shd w:val="clear" w:color="auto" w:fill="auto"/>
            <w:noWrap/>
            <w:vAlign w:val="center"/>
          </w:tcPr>
          <w:p w14:paraId="14B9D8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13" w:type="dxa"/>
            <w:tcBorders>
              <w:top w:val="nil"/>
              <w:left w:val="single" w:color="000000" w:sz="4" w:space="0"/>
              <w:bottom w:val="single" w:color="000000" w:sz="4" w:space="0"/>
              <w:right w:val="single" w:color="000000" w:sz="4" w:space="0"/>
            </w:tcBorders>
            <w:shd w:val="clear" w:color="auto" w:fill="auto"/>
            <w:noWrap/>
            <w:vAlign w:val="center"/>
          </w:tcPr>
          <w:p w14:paraId="232DDF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49" w:type="dxa"/>
            <w:tcBorders>
              <w:top w:val="nil"/>
              <w:left w:val="nil"/>
              <w:bottom w:val="single" w:color="000000" w:sz="4" w:space="0"/>
              <w:right w:val="single" w:color="000000" w:sz="4" w:space="0"/>
            </w:tcBorders>
            <w:shd w:val="clear" w:color="auto" w:fill="auto"/>
            <w:noWrap/>
            <w:vAlign w:val="center"/>
          </w:tcPr>
          <w:p w14:paraId="6EFE66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41" w:type="dxa"/>
            <w:tcBorders>
              <w:top w:val="nil"/>
              <w:left w:val="nil"/>
              <w:bottom w:val="single" w:color="000000" w:sz="4" w:space="0"/>
              <w:right w:val="single" w:color="000000" w:sz="4" w:space="0"/>
            </w:tcBorders>
            <w:shd w:val="clear" w:color="auto" w:fill="auto"/>
            <w:noWrap/>
            <w:vAlign w:val="center"/>
          </w:tcPr>
          <w:p w14:paraId="15FAAD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41" w:type="dxa"/>
            <w:tcBorders>
              <w:top w:val="nil"/>
              <w:left w:val="nil"/>
              <w:bottom w:val="single" w:color="000000" w:sz="4" w:space="0"/>
              <w:right w:val="single" w:color="000000" w:sz="4" w:space="0"/>
            </w:tcBorders>
            <w:shd w:val="clear" w:color="auto" w:fill="auto"/>
            <w:noWrap/>
            <w:vAlign w:val="center"/>
          </w:tcPr>
          <w:p w14:paraId="03100A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46" w:type="dxa"/>
            <w:tcBorders>
              <w:top w:val="nil"/>
              <w:left w:val="nil"/>
              <w:bottom w:val="single" w:color="000000" w:sz="4" w:space="0"/>
              <w:right w:val="single" w:color="000000" w:sz="4" w:space="0"/>
            </w:tcBorders>
            <w:shd w:val="clear" w:color="auto" w:fill="auto"/>
            <w:noWrap/>
            <w:vAlign w:val="center"/>
          </w:tcPr>
          <w:p w14:paraId="61B684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898" w:type="dxa"/>
            <w:tcBorders>
              <w:top w:val="nil"/>
              <w:left w:val="nil"/>
              <w:bottom w:val="single" w:color="000000" w:sz="4" w:space="0"/>
              <w:right w:val="single" w:color="000000" w:sz="4" w:space="0"/>
            </w:tcBorders>
            <w:shd w:val="clear" w:color="auto" w:fill="auto"/>
            <w:noWrap/>
            <w:vAlign w:val="center"/>
          </w:tcPr>
          <w:p w14:paraId="4FF3B6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31" w:type="dxa"/>
            <w:tcBorders>
              <w:top w:val="nil"/>
              <w:left w:val="nil"/>
              <w:bottom w:val="single" w:color="000000" w:sz="4" w:space="0"/>
              <w:right w:val="single" w:color="000000" w:sz="4" w:space="0"/>
            </w:tcBorders>
            <w:shd w:val="clear" w:color="auto" w:fill="auto"/>
            <w:noWrap/>
            <w:vAlign w:val="center"/>
          </w:tcPr>
          <w:p w14:paraId="2AF480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31" w:type="dxa"/>
            <w:tcBorders>
              <w:top w:val="nil"/>
              <w:left w:val="nil"/>
              <w:bottom w:val="single" w:color="000000" w:sz="4" w:space="0"/>
              <w:right w:val="single" w:color="000000" w:sz="4" w:space="0"/>
            </w:tcBorders>
            <w:shd w:val="clear" w:color="auto" w:fill="auto"/>
            <w:noWrap/>
            <w:vAlign w:val="center"/>
          </w:tcPr>
          <w:p w14:paraId="7133D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31" w:type="dxa"/>
            <w:tcBorders>
              <w:top w:val="nil"/>
              <w:left w:val="nil"/>
              <w:bottom w:val="single" w:color="000000" w:sz="4" w:space="0"/>
              <w:right w:val="single" w:color="000000" w:sz="4" w:space="0"/>
            </w:tcBorders>
            <w:shd w:val="clear" w:color="auto" w:fill="auto"/>
            <w:noWrap/>
            <w:vAlign w:val="center"/>
          </w:tcPr>
          <w:p w14:paraId="207D4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31" w:type="dxa"/>
            <w:tcBorders>
              <w:top w:val="nil"/>
              <w:left w:val="nil"/>
              <w:bottom w:val="single" w:color="000000" w:sz="4" w:space="0"/>
              <w:right w:val="single" w:color="000000" w:sz="4" w:space="0"/>
            </w:tcBorders>
            <w:shd w:val="clear" w:color="auto" w:fill="auto"/>
            <w:noWrap/>
            <w:vAlign w:val="center"/>
          </w:tcPr>
          <w:p w14:paraId="286EF6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37" w:type="dxa"/>
            <w:tcBorders>
              <w:top w:val="nil"/>
              <w:left w:val="nil"/>
              <w:bottom w:val="single" w:color="000000" w:sz="4" w:space="0"/>
              <w:right w:val="single" w:color="000000" w:sz="4" w:space="0"/>
            </w:tcBorders>
            <w:shd w:val="clear" w:color="auto" w:fill="auto"/>
            <w:noWrap/>
            <w:vAlign w:val="center"/>
          </w:tcPr>
          <w:p w14:paraId="53D2D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1191" w:type="dxa"/>
            <w:tcBorders>
              <w:top w:val="nil"/>
              <w:left w:val="nil"/>
              <w:bottom w:val="single" w:color="000000" w:sz="4" w:space="0"/>
              <w:right w:val="single" w:color="000000" w:sz="4" w:space="0"/>
            </w:tcBorders>
            <w:shd w:val="clear" w:color="auto" w:fill="auto"/>
            <w:noWrap/>
            <w:vAlign w:val="center"/>
          </w:tcPr>
          <w:p w14:paraId="645F83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1191" w:type="dxa"/>
            <w:tcBorders>
              <w:top w:val="nil"/>
              <w:left w:val="nil"/>
              <w:bottom w:val="single" w:color="000000" w:sz="4" w:space="0"/>
              <w:right w:val="single" w:color="000000" w:sz="4" w:space="0"/>
            </w:tcBorders>
            <w:shd w:val="clear" w:color="auto" w:fill="auto"/>
            <w:noWrap/>
            <w:vAlign w:val="center"/>
          </w:tcPr>
          <w:p w14:paraId="02445D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r>
      <w:tr w14:paraId="15F1F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23" w:type="dxa"/>
            <w:tcBorders>
              <w:top w:val="nil"/>
              <w:left w:val="single" w:color="000000" w:sz="4" w:space="0"/>
              <w:bottom w:val="single" w:color="000000" w:sz="4" w:space="0"/>
              <w:right w:val="single" w:color="000000" w:sz="4" w:space="0"/>
            </w:tcBorders>
            <w:shd w:val="clear" w:color="auto" w:fill="auto"/>
            <w:noWrap/>
            <w:vAlign w:val="center"/>
          </w:tcPr>
          <w:p w14:paraId="7FCC3A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r>
              <w:rPr>
                <w:rFonts w:hint="eastAsia" w:ascii="仿宋_GB2312" w:hAnsi="等线" w:eastAsia="仿宋_GB2312" w:cs="仿宋_GB2312"/>
                <w:color w:val="auto"/>
                <w:kern w:val="0"/>
                <w:sz w:val="22"/>
                <w:szCs w:val="22"/>
                <w:lang w:val="en-US" w:eastAsia="zh-CN" w:bidi="ar"/>
              </w:rPr>
              <w:t>2</w:t>
            </w:r>
          </w:p>
        </w:tc>
        <w:tc>
          <w:tcPr>
            <w:tcW w:w="641" w:type="dxa"/>
            <w:tcBorders>
              <w:top w:val="nil"/>
              <w:left w:val="nil"/>
              <w:bottom w:val="single" w:color="000000" w:sz="4" w:space="0"/>
              <w:right w:val="single" w:color="000000" w:sz="4" w:space="0"/>
            </w:tcBorders>
            <w:shd w:val="clear" w:color="auto" w:fill="auto"/>
            <w:noWrap/>
            <w:vAlign w:val="center"/>
          </w:tcPr>
          <w:p w14:paraId="499573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41" w:type="dxa"/>
            <w:tcBorders>
              <w:top w:val="nil"/>
              <w:left w:val="nil"/>
              <w:bottom w:val="single" w:color="000000" w:sz="4" w:space="0"/>
              <w:right w:val="single" w:color="000000" w:sz="4" w:space="0"/>
            </w:tcBorders>
            <w:shd w:val="clear" w:color="auto" w:fill="auto"/>
            <w:noWrap/>
            <w:vAlign w:val="center"/>
          </w:tcPr>
          <w:p w14:paraId="3F6394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13" w:type="dxa"/>
            <w:tcBorders>
              <w:top w:val="nil"/>
              <w:left w:val="nil"/>
              <w:bottom w:val="single" w:color="000000" w:sz="4" w:space="0"/>
              <w:right w:val="single" w:color="000000" w:sz="4" w:space="0"/>
            </w:tcBorders>
            <w:shd w:val="clear" w:color="auto" w:fill="auto"/>
            <w:noWrap/>
            <w:vAlign w:val="center"/>
          </w:tcPr>
          <w:p w14:paraId="553E6B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96" w:type="dxa"/>
            <w:tcBorders>
              <w:top w:val="nil"/>
              <w:left w:val="nil"/>
              <w:bottom w:val="single" w:color="000000" w:sz="4" w:space="0"/>
              <w:right w:val="single" w:color="000000" w:sz="4" w:space="0"/>
            </w:tcBorders>
            <w:shd w:val="clear" w:color="auto" w:fill="auto"/>
            <w:noWrap/>
            <w:vAlign w:val="center"/>
          </w:tcPr>
          <w:p w14:paraId="4E2578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733" w:type="dxa"/>
            <w:tcBorders>
              <w:top w:val="nil"/>
              <w:left w:val="nil"/>
              <w:bottom w:val="single" w:color="000000" w:sz="4" w:space="0"/>
              <w:right w:val="single" w:color="000000" w:sz="4" w:space="0"/>
            </w:tcBorders>
            <w:shd w:val="clear" w:color="auto" w:fill="auto"/>
            <w:noWrap/>
            <w:vAlign w:val="center"/>
          </w:tcPr>
          <w:p w14:paraId="738F9D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96" w:type="dxa"/>
            <w:tcBorders>
              <w:top w:val="nil"/>
              <w:left w:val="nil"/>
              <w:bottom w:val="single" w:color="000000" w:sz="4" w:space="0"/>
              <w:right w:val="single" w:color="000000" w:sz="4" w:space="0"/>
            </w:tcBorders>
            <w:shd w:val="clear" w:color="auto" w:fill="auto"/>
            <w:noWrap/>
            <w:vAlign w:val="center"/>
          </w:tcPr>
          <w:p w14:paraId="2CFA0E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733" w:type="dxa"/>
            <w:tcBorders>
              <w:top w:val="nil"/>
              <w:left w:val="nil"/>
              <w:bottom w:val="single" w:color="000000" w:sz="4" w:space="0"/>
              <w:right w:val="single" w:color="000000" w:sz="4" w:space="0"/>
            </w:tcBorders>
            <w:shd w:val="clear" w:color="auto" w:fill="auto"/>
            <w:noWrap/>
            <w:vAlign w:val="center"/>
          </w:tcPr>
          <w:p w14:paraId="4EE9E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13" w:type="dxa"/>
            <w:tcBorders>
              <w:top w:val="single" w:color="000000" w:sz="4" w:space="0"/>
              <w:left w:val="nil"/>
              <w:bottom w:val="single" w:color="000000" w:sz="4" w:space="0"/>
              <w:right w:val="single" w:color="000000" w:sz="4" w:space="0"/>
            </w:tcBorders>
            <w:shd w:val="clear" w:color="auto" w:fill="auto"/>
            <w:noWrap/>
            <w:vAlign w:val="center"/>
          </w:tcPr>
          <w:p w14:paraId="092CB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13" w:type="dxa"/>
            <w:tcBorders>
              <w:top w:val="nil"/>
              <w:left w:val="nil"/>
              <w:bottom w:val="single" w:color="000000" w:sz="4" w:space="0"/>
              <w:right w:val="single" w:color="000000" w:sz="4" w:space="0"/>
            </w:tcBorders>
            <w:shd w:val="clear" w:color="auto" w:fill="auto"/>
            <w:noWrap/>
            <w:vAlign w:val="center"/>
          </w:tcPr>
          <w:p w14:paraId="37A2E0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49" w:type="dxa"/>
            <w:tcBorders>
              <w:top w:val="nil"/>
              <w:left w:val="nil"/>
              <w:bottom w:val="single" w:color="000000" w:sz="4" w:space="0"/>
              <w:right w:val="single" w:color="000000" w:sz="4" w:space="0"/>
            </w:tcBorders>
            <w:shd w:val="clear" w:color="auto" w:fill="auto"/>
            <w:noWrap/>
            <w:vAlign w:val="center"/>
          </w:tcPr>
          <w:p w14:paraId="0A1BC8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41" w:type="dxa"/>
            <w:tcBorders>
              <w:top w:val="nil"/>
              <w:left w:val="nil"/>
              <w:bottom w:val="single" w:color="000000" w:sz="4" w:space="0"/>
              <w:right w:val="single" w:color="000000" w:sz="4" w:space="0"/>
            </w:tcBorders>
            <w:shd w:val="clear" w:color="auto" w:fill="auto"/>
            <w:noWrap/>
            <w:vAlign w:val="center"/>
          </w:tcPr>
          <w:p w14:paraId="79356A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41" w:type="dxa"/>
            <w:tcBorders>
              <w:top w:val="nil"/>
              <w:left w:val="nil"/>
              <w:bottom w:val="single" w:color="000000" w:sz="4" w:space="0"/>
              <w:right w:val="single" w:color="000000" w:sz="4" w:space="0"/>
            </w:tcBorders>
            <w:shd w:val="clear" w:color="auto" w:fill="auto"/>
            <w:noWrap/>
            <w:vAlign w:val="center"/>
          </w:tcPr>
          <w:p w14:paraId="7D8B10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46" w:type="dxa"/>
            <w:tcBorders>
              <w:top w:val="nil"/>
              <w:left w:val="nil"/>
              <w:bottom w:val="single" w:color="000000" w:sz="4" w:space="0"/>
              <w:right w:val="single" w:color="000000" w:sz="4" w:space="0"/>
            </w:tcBorders>
            <w:shd w:val="clear" w:color="auto" w:fill="auto"/>
            <w:noWrap/>
            <w:vAlign w:val="center"/>
          </w:tcPr>
          <w:p w14:paraId="479040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898" w:type="dxa"/>
            <w:tcBorders>
              <w:top w:val="nil"/>
              <w:left w:val="nil"/>
              <w:bottom w:val="single" w:color="000000" w:sz="4" w:space="0"/>
              <w:right w:val="single" w:color="000000" w:sz="4" w:space="0"/>
            </w:tcBorders>
            <w:shd w:val="clear" w:color="auto" w:fill="auto"/>
            <w:noWrap/>
            <w:vAlign w:val="center"/>
          </w:tcPr>
          <w:p w14:paraId="4E40A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31" w:type="dxa"/>
            <w:tcBorders>
              <w:top w:val="nil"/>
              <w:left w:val="nil"/>
              <w:bottom w:val="single" w:color="000000" w:sz="4" w:space="0"/>
              <w:right w:val="single" w:color="000000" w:sz="4" w:space="0"/>
            </w:tcBorders>
            <w:shd w:val="clear" w:color="auto" w:fill="auto"/>
            <w:noWrap/>
            <w:vAlign w:val="center"/>
          </w:tcPr>
          <w:p w14:paraId="09FEE6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31" w:type="dxa"/>
            <w:tcBorders>
              <w:top w:val="nil"/>
              <w:left w:val="nil"/>
              <w:bottom w:val="single" w:color="000000" w:sz="4" w:space="0"/>
              <w:right w:val="single" w:color="000000" w:sz="4" w:space="0"/>
            </w:tcBorders>
            <w:shd w:val="clear" w:color="auto" w:fill="auto"/>
            <w:noWrap/>
            <w:vAlign w:val="center"/>
          </w:tcPr>
          <w:p w14:paraId="1762E0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31" w:type="dxa"/>
            <w:tcBorders>
              <w:top w:val="nil"/>
              <w:left w:val="nil"/>
              <w:bottom w:val="single" w:color="000000" w:sz="4" w:space="0"/>
              <w:right w:val="single" w:color="000000" w:sz="4" w:space="0"/>
            </w:tcBorders>
            <w:shd w:val="clear" w:color="auto" w:fill="auto"/>
            <w:noWrap/>
            <w:vAlign w:val="center"/>
          </w:tcPr>
          <w:p w14:paraId="12C7EF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31" w:type="dxa"/>
            <w:tcBorders>
              <w:top w:val="nil"/>
              <w:left w:val="nil"/>
              <w:bottom w:val="single" w:color="000000" w:sz="4" w:space="0"/>
              <w:right w:val="single" w:color="000000" w:sz="4" w:space="0"/>
            </w:tcBorders>
            <w:shd w:val="clear" w:color="auto" w:fill="auto"/>
            <w:noWrap/>
            <w:vAlign w:val="center"/>
          </w:tcPr>
          <w:p w14:paraId="68E7D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37" w:type="dxa"/>
            <w:tcBorders>
              <w:top w:val="nil"/>
              <w:left w:val="nil"/>
              <w:bottom w:val="single" w:color="000000" w:sz="4" w:space="0"/>
              <w:right w:val="single" w:color="000000" w:sz="4" w:space="0"/>
            </w:tcBorders>
            <w:shd w:val="clear" w:color="auto" w:fill="auto"/>
            <w:noWrap/>
            <w:vAlign w:val="center"/>
          </w:tcPr>
          <w:p w14:paraId="6A3E5E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1191" w:type="dxa"/>
            <w:tcBorders>
              <w:top w:val="nil"/>
              <w:left w:val="nil"/>
              <w:bottom w:val="single" w:color="000000" w:sz="4" w:space="0"/>
              <w:right w:val="single" w:color="000000" w:sz="4" w:space="0"/>
            </w:tcBorders>
            <w:shd w:val="clear" w:color="auto" w:fill="auto"/>
            <w:noWrap/>
            <w:vAlign w:val="center"/>
          </w:tcPr>
          <w:p w14:paraId="6FB6CE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1191" w:type="dxa"/>
            <w:tcBorders>
              <w:top w:val="nil"/>
              <w:left w:val="nil"/>
              <w:bottom w:val="single" w:color="000000" w:sz="4" w:space="0"/>
              <w:right w:val="single" w:color="000000" w:sz="4" w:space="0"/>
            </w:tcBorders>
            <w:shd w:val="clear" w:color="auto" w:fill="auto"/>
            <w:noWrap/>
            <w:vAlign w:val="center"/>
          </w:tcPr>
          <w:p w14:paraId="1618F3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r>
      <w:tr w14:paraId="169E0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23" w:type="dxa"/>
            <w:tcBorders>
              <w:top w:val="nil"/>
              <w:left w:val="single" w:color="000000" w:sz="4" w:space="0"/>
              <w:bottom w:val="single" w:color="000000" w:sz="4" w:space="0"/>
              <w:right w:val="single" w:color="000000" w:sz="4" w:space="0"/>
            </w:tcBorders>
            <w:shd w:val="clear" w:color="auto" w:fill="auto"/>
            <w:noWrap/>
            <w:vAlign w:val="center"/>
          </w:tcPr>
          <w:p w14:paraId="7F12A6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r>
              <w:rPr>
                <w:rFonts w:hint="eastAsia" w:ascii="仿宋_GB2312" w:hAnsi="等线" w:eastAsia="仿宋_GB2312" w:cs="仿宋_GB2312"/>
                <w:color w:val="auto"/>
                <w:kern w:val="0"/>
                <w:sz w:val="22"/>
                <w:szCs w:val="22"/>
                <w:lang w:val="en-US" w:eastAsia="zh-CN" w:bidi="ar"/>
              </w:rPr>
              <w:t>3</w:t>
            </w:r>
          </w:p>
        </w:tc>
        <w:tc>
          <w:tcPr>
            <w:tcW w:w="641" w:type="dxa"/>
            <w:tcBorders>
              <w:top w:val="nil"/>
              <w:left w:val="nil"/>
              <w:bottom w:val="single" w:color="000000" w:sz="4" w:space="0"/>
              <w:right w:val="single" w:color="000000" w:sz="4" w:space="0"/>
            </w:tcBorders>
            <w:shd w:val="clear" w:color="auto" w:fill="auto"/>
            <w:noWrap/>
            <w:vAlign w:val="center"/>
          </w:tcPr>
          <w:p w14:paraId="312351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41" w:type="dxa"/>
            <w:tcBorders>
              <w:top w:val="nil"/>
              <w:left w:val="nil"/>
              <w:bottom w:val="single" w:color="000000" w:sz="4" w:space="0"/>
              <w:right w:val="single" w:color="000000" w:sz="4" w:space="0"/>
            </w:tcBorders>
            <w:shd w:val="clear" w:color="auto" w:fill="auto"/>
            <w:noWrap/>
            <w:vAlign w:val="center"/>
          </w:tcPr>
          <w:p w14:paraId="43F5DD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13" w:type="dxa"/>
            <w:tcBorders>
              <w:top w:val="nil"/>
              <w:left w:val="nil"/>
              <w:bottom w:val="single" w:color="000000" w:sz="4" w:space="0"/>
              <w:right w:val="single" w:color="000000" w:sz="4" w:space="0"/>
            </w:tcBorders>
            <w:shd w:val="clear" w:color="auto" w:fill="auto"/>
            <w:noWrap/>
            <w:vAlign w:val="center"/>
          </w:tcPr>
          <w:p w14:paraId="1793D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96" w:type="dxa"/>
            <w:tcBorders>
              <w:top w:val="nil"/>
              <w:left w:val="nil"/>
              <w:bottom w:val="single" w:color="000000" w:sz="4" w:space="0"/>
              <w:right w:val="single" w:color="000000" w:sz="4" w:space="0"/>
            </w:tcBorders>
            <w:shd w:val="clear" w:color="auto" w:fill="auto"/>
            <w:noWrap/>
            <w:vAlign w:val="center"/>
          </w:tcPr>
          <w:p w14:paraId="0F20FF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733" w:type="dxa"/>
            <w:tcBorders>
              <w:top w:val="nil"/>
              <w:left w:val="nil"/>
              <w:bottom w:val="single" w:color="000000" w:sz="4" w:space="0"/>
              <w:right w:val="single" w:color="000000" w:sz="4" w:space="0"/>
            </w:tcBorders>
            <w:shd w:val="clear" w:color="auto" w:fill="auto"/>
            <w:noWrap/>
            <w:vAlign w:val="center"/>
          </w:tcPr>
          <w:p w14:paraId="208700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96" w:type="dxa"/>
            <w:tcBorders>
              <w:top w:val="nil"/>
              <w:left w:val="nil"/>
              <w:bottom w:val="single" w:color="000000" w:sz="4" w:space="0"/>
              <w:right w:val="single" w:color="000000" w:sz="4" w:space="0"/>
            </w:tcBorders>
            <w:shd w:val="clear" w:color="auto" w:fill="auto"/>
            <w:noWrap/>
            <w:vAlign w:val="center"/>
          </w:tcPr>
          <w:p w14:paraId="048057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733" w:type="dxa"/>
            <w:tcBorders>
              <w:top w:val="nil"/>
              <w:left w:val="nil"/>
              <w:bottom w:val="single" w:color="000000" w:sz="4" w:space="0"/>
              <w:right w:val="single" w:color="000000" w:sz="4" w:space="0"/>
            </w:tcBorders>
            <w:shd w:val="clear" w:color="auto" w:fill="auto"/>
            <w:noWrap/>
            <w:vAlign w:val="center"/>
          </w:tcPr>
          <w:p w14:paraId="2758CA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13" w:type="dxa"/>
            <w:tcBorders>
              <w:top w:val="nil"/>
              <w:left w:val="nil"/>
              <w:bottom w:val="single" w:color="000000" w:sz="4" w:space="0"/>
              <w:right w:val="single" w:color="000000" w:sz="4" w:space="0"/>
            </w:tcBorders>
            <w:shd w:val="clear" w:color="auto" w:fill="auto"/>
            <w:noWrap/>
            <w:vAlign w:val="center"/>
          </w:tcPr>
          <w:p w14:paraId="38EF46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13" w:type="dxa"/>
            <w:tcBorders>
              <w:top w:val="nil"/>
              <w:left w:val="nil"/>
              <w:bottom w:val="single" w:color="000000" w:sz="4" w:space="0"/>
              <w:right w:val="single" w:color="000000" w:sz="4" w:space="0"/>
            </w:tcBorders>
            <w:shd w:val="clear" w:color="auto" w:fill="auto"/>
            <w:noWrap/>
            <w:vAlign w:val="center"/>
          </w:tcPr>
          <w:p w14:paraId="04E85C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49" w:type="dxa"/>
            <w:tcBorders>
              <w:top w:val="nil"/>
              <w:left w:val="nil"/>
              <w:bottom w:val="single" w:color="000000" w:sz="4" w:space="0"/>
              <w:right w:val="single" w:color="000000" w:sz="4" w:space="0"/>
            </w:tcBorders>
            <w:shd w:val="clear" w:color="auto" w:fill="auto"/>
            <w:noWrap/>
            <w:vAlign w:val="center"/>
          </w:tcPr>
          <w:p w14:paraId="225061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41" w:type="dxa"/>
            <w:tcBorders>
              <w:top w:val="nil"/>
              <w:left w:val="nil"/>
              <w:bottom w:val="single" w:color="000000" w:sz="4" w:space="0"/>
              <w:right w:val="single" w:color="000000" w:sz="4" w:space="0"/>
            </w:tcBorders>
            <w:shd w:val="clear" w:color="auto" w:fill="auto"/>
            <w:noWrap/>
            <w:vAlign w:val="center"/>
          </w:tcPr>
          <w:p w14:paraId="27ED30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41" w:type="dxa"/>
            <w:tcBorders>
              <w:top w:val="nil"/>
              <w:left w:val="nil"/>
              <w:bottom w:val="single" w:color="000000" w:sz="4" w:space="0"/>
              <w:right w:val="single" w:color="000000" w:sz="4" w:space="0"/>
            </w:tcBorders>
            <w:shd w:val="clear" w:color="auto" w:fill="auto"/>
            <w:noWrap/>
            <w:vAlign w:val="center"/>
          </w:tcPr>
          <w:p w14:paraId="49890E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46" w:type="dxa"/>
            <w:tcBorders>
              <w:top w:val="nil"/>
              <w:left w:val="nil"/>
              <w:bottom w:val="single" w:color="000000" w:sz="4" w:space="0"/>
              <w:right w:val="single" w:color="000000" w:sz="4" w:space="0"/>
            </w:tcBorders>
            <w:shd w:val="clear" w:color="auto" w:fill="auto"/>
            <w:noWrap/>
            <w:vAlign w:val="center"/>
          </w:tcPr>
          <w:p w14:paraId="33F0CF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898" w:type="dxa"/>
            <w:tcBorders>
              <w:top w:val="nil"/>
              <w:left w:val="nil"/>
              <w:bottom w:val="single" w:color="000000" w:sz="4" w:space="0"/>
              <w:right w:val="single" w:color="000000" w:sz="4" w:space="0"/>
            </w:tcBorders>
            <w:shd w:val="clear" w:color="auto" w:fill="auto"/>
            <w:noWrap/>
            <w:vAlign w:val="center"/>
          </w:tcPr>
          <w:p w14:paraId="010980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31" w:type="dxa"/>
            <w:tcBorders>
              <w:top w:val="nil"/>
              <w:left w:val="nil"/>
              <w:bottom w:val="single" w:color="000000" w:sz="4" w:space="0"/>
              <w:right w:val="single" w:color="000000" w:sz="4" w:space="0"/>
            </w:tcBorders>
            <w:shd w:val="clear" w:color="auto" w:fill="auto"/>
            <w:noWrap/>
            <w:vAlign w:val="center"/>
          </w:tcPr>
          <w:p w14:paraId="1DF9E0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31" w:type="dxa"/>
            <w:tcBorders>
              <w:top w:val="nil"/>
              <w:left w:val="nil"/>
              <w:bottom w:val="single" w:color="000000" w:sz="4" w:space="0"/>
              <w:right w:val="single" w:color="000000" w:sz="4" w:space="0"/>
            </w:tcBorders>
            <w:shd w:val="clear" w:color="auto" w:fill="auto"/>
            <w:noWrap/>
            <w:vAlign w:val="center"/>
          </w:tcPr>
          <w:p w14:paraId="60C46D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31" w:type="dxa"/>
            <w:tcBorders>
              <w:top w:val="nil"/>
              <w:left w:val="nil"/>
              <w:bottom w:val="single" w:color="000000" w:sz="4" w:space="0"/>
              <w:right w:val="single" w:color="000000" w:sz="4" w:space="0"/>
            </w:tcBorders>
            <w:shd w:val="clear" w:color="auto" w:fill="auto"/>
            <w:noWrap/>
            <w:vAlign w:val="center"/>
          </w:tcPr>
          <w:p w14:paraId="47E7D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31" w:type="dxa"/>
            <w:tcBorders>
              <w:top w:val="nil"/>
              <w:left w:val="nil"/>
              <w:bottom w:val="single" w:color="000000" w:sz="4" w:space="0"/>
              <w:right w:val="single" w:color="000000" w:sz="4" w:space="0"/>
            </w:tcBorders>
            <w:shd w:val="clear" w:color="auto" w:fill="auto"/>
            <w:noWrap/>
            <w:vAlign w:val="center"/>
          </w:tcPr>
          <w:p w14:paraId="4C9EC6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37" w:type="dxa"/>
            <w:tcBorders>
              <w:top w:val="nil"/>
              <w:left w:val="nil"/>
              <w:bottom w:val="single" w:color="000000" w:sz="4" w:space="0"/>
              <w:right w:val="single" w:color="000000" w:sz="4" w:space="0"/>
            </w:tcBorders>
            <w:shd w:val="clear" w:color="auto" w:fill="auto"/>
            <w:noWrap/>
            <w:vAlign w:val="center"/>
          </w:tcPr>
          <w:p w14:paraId="4B830E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1191" w:type="dxa"/>
            <w:tcBorders>
              <w:top w:val="nil"/>
              <w:left w:val="nil"/>
              <w:bottom w:val="single" w:color="000000" w:sz="4" w:space="0"/>
              <w:right w:val="single" w:color="000000" w:sz="4" w:space="0"/>
            </w:tcBorders>
            <w:shd w:val="clear" w:color="auto" w:fill="auto"/>
            <w:noWrap/>
            <w:vAlign w:val="center"/>
          </w:tcPr>
          <w:p w14:paraId="22B3CA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1191" w:type="dxa"/>
            <w:tcBorders>
              <w:top w:val="nil"/>
              <w:left w:val="nil"/>
              <w:bottom w:val="single" w:color="000000" w:sz="4" w:space="0"/>
              <w:right w:val="single" w:color="000000" w:sz="4" w:space="0"/>
            </w:tcBorders>
            <w:shd w:val="clear" w:color="auto" w:fill="auto"/>
            <w:noWrap/>
            <w:vAlign w:val="center"/>
          </w:tcPr>
          <w:p w14:paraId="7C3350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r>
      <w:tr w14:paraId="3967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23" w:type="dxa"/>
            <w:tcBorders>
              <w:top w:val="nil"/>
              <w:left w:val="single" w:color="000000" w:sz="4" w:space="0"/>
              <w:bottom w:val="single" w:color="000000" w:sz="4" w:space="0"/>
              <w:right w:val="single" w:color="000000" w:sz="4" w:space="0"/>
            </w:tcBorders>
            <w:shd w:val="clear" w:color="auto" w:fill="auto"/>
            <w:noWrap/>
            <w:vAlign w:val="center"/>
          </w:tcPr>
          <w:p w14:paraId="46606F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r>
              <w:rPr>
                <w:rFonts w:hint="eastAsia" w:ascii="仿宋_GB2312" w:hAnsi="等线" w:eastAsia="仿宋_GB2312" w:cs="仿宋_GB2312"/>
                <w:color w:val="auto"/>
                <w:kern w:val="0"/>
                <w:sz w:val="22"/>
                <w:szCs w:val="22"/>
                <w:lang w:val="en-US" w:eastAsia="zh-CN" w:bidi="ar"/>
              </w:rPr>
              <w:t>4</w:t>
            </w:r>
          </w:p>
        </w:tc>
        <w:tc>
          <w:tcPr>
            <w:tcW w:w="641" w:type="dxa"/>
            <w:tcBorders>
              <w:top w:val="nil"/>
              <w:left w:val="nil"/>
              <w:bottom w:val="single" w:color="000000" w:sz="4" w:space="0"/>
              <w:right w:val="single" w:color="000000" w:sz="4" w:space="0"/>
            </w:tcBorders>
            <w:shd w:val="clear" w:color="auto" w:fill="auto"/>
            <w:noWrap/>
            <w:vAlign w:val="center"/>
          </w:tcPr>
          <w:p w14:paraId="478426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41" w:type="dxa"/>
            <w:tcBorders>
              <w:top w:val="nil"/>
              <w:left w:val="nil"/>
              <w:bottom w:val="single" w:color="000000" w:sz="4" w:space="0"/>
              <w:right w:val="single" w:color="000000" w:sz="4" w:space="0"/>
            </w:tcBorders>
            <w:shd w:val="clear" w:color="auto" w:fill="auto"/>
            <w:noWrap/>
            <w:vAlign w:val="center"/>
          </w:tcPr>
          <w:p w14:paraId="513776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13" w:type="dxa"/>
            <w:tcBorders>
              <w:top w:val="nil"/>
              <w:left w:val="nil"/>
              <w:bottom w:val="single" w:color="000000" w:sz="4" w:space="0"/>
              <w:right w:val="single" w:color="000000" w:sz="4" w:space="0"/>
            </w:tcBorders>
            <w:shd w:val="clear" w:color="auto" w:fill="auto"/>
            <w:noWrap/>
            <w:vAlign w:val="center"/>
          </w:tcPr>
          <w:p w14:paraId="22F4EA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96" w:type="dxa"/>
            <w:tcBorders>
              <w:top w:val="nil"/>
              <w:left w:val="nil"/>
              <w:bottom w:val="single" w:color="000000" w:sz="4" w:space="0"/>
              <w:right w:val="single" w:color="000000" w:sz="4" w:space="0"/>
            </w:tcBorders>
            <w:shd w:val="clear" w:color="auto" w:fill="auto"/>
            <w:noWrap/>
            <w:vAlign w:val="center"/>
          </w:tcPr>
          <w:p w14:paraId="13F32B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733" w:type="dxa"/>
            <w:tcBorders>
              <w:top w:val="nil"/>
              <w:left w:val="nil"/>
              <w:bottom w:val="single" w:color="000000" w:sz="4" w:space="0"/>
              <w:right w:val="single" w:color="000000" w:sz="4" w:space="0"/>
            </w:tcBorders>
            <w:shd w:val="clear" w:color="auto" w:fill="auto"/>
            <w:noWrap/>
            <w:vAlign w:val="center"/>
          </w:tcPr>
          <w:p w14:paraId="77895E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96" w:type="dxa"/>
            <w:tcBorders>
              <w:top w:val="nil"/>
              <w:left w:val="nil"/>
              <w:bottom w:val="single" w:color="000000" w:sz="4" w:space="0"/>
              <w:right w:val="single" w:color="000000" w:sz="4" w:space="0"/>
            </w:tcBorders>
            <w:shd w:val="clear" w:color="auto" w:fill="auto"/>
            <w:noWrap/>
            <w:vAlign w:val="center"/>
          </w:tcPr>
          <w:p w14:paraId="231BB2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733" w:type="dxa"/>
            <w:tcBorders>
              <w:top w:val="nil"/>
              <w:left w:val="nil"/>
              <w:bottom w:val="single" w:color="000000" w:sz="4" w:space="0"/>
              <w:right w:val="single" w:color="000000" w:sz="4" w:space="0"/>
            </w:tcBorders>
            <w:shd w:val="clear" w:color="auto" w:fill="auto"/>
            <w:noWrap/>
            <w:vAlign w:val="center"/>
          </w:tcPr>
          <w:p w14:paraId="60B4EF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13" w:type="dxa"/>
            <w:tcBorders>
              <w:top w:val="nil"/>
              <w:left w:val="nil"/>
              <w:bottom w:val="single" w:color="000000" w:sz="4" w:space="0"/>
              <w:right w:val="single" w:color="000000" w:sz="4" w:space="0"/>
            </w:tcBorders>
            <w:shd w:val="clear" w:color="auto" w:fill="auto"/>
            <w:noWrap/>
            <w:vAlign w:val="center"/>
          </w:tcPr>
          <w:p w14:paraId="046FE4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13" w:type="dxa"/>
            <w:tcBorders>
              <w:top w:val="nil"/>
              <w:left w:val="nil"/>
              <w:bottom w:val="single" w:color="000000" w:sz="4" w:space="0"/>
              <w:right w:val="single" w:color="000000" w:sz="4" w:space="0"/>
            </w:tcBorders>
            <w:shd w:val="clear" w:color="auto" w:fill="auto"/>
            <w:noWrap/>
            <w:vAlign w:val="center"/>
          </w:tcPr>
          <w:p w14:paraId="37C031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49" w:type="dxa"/>
            <w:tcBorders>
              <w:top w:val="nil"/>
              <w:left w:val="nil"/>
              <w:bottom w:val="single" w:color="000000" w:sz="4" w:space="0"/>
              <w:right w:val="single" w:color="000000" w:sz="4" w:space="0"/>
            </w:tcBorders>
            <w:shd w:val="clear" w:color="auto" w:fill="auto"/>
            <w:noWrap/>
            <w:vAlign w:val="center"/>
          </w:tcPr>
          <w:p w14:paraId="3C03B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41" w:type="dxa"/>
            <w:tcBorders>
              <w:top w:val="nil"/>
              <w:left w:val="nil"/>
              <w:bottom w:val="single" w:color="000000" w:sz="4" w:space="0"/>
              <w:right w:val="single" w:color="000000" w:sz="4" w:space="0"/>
            </w:tcBorders>
            <w:shd w:val="clear" w:color="auto" w:fill="auto"/>
            <w:noWrap/>
            <w:vAlign w:val="center"/>
          </w:tcPr>
          <w:p w14:paraId="12AAB5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41" w:type="dxa"/>
            <w:tcBorders>
              <w:top w:val="nil"/>
              <w:left w:val="nil"/>
              <w:bottom w:val="single" w:color="000000" w:sz="4" w:space="0"/>
              <w:right w:val="single" w:color="000000" w:sz="4" w:space="0"/>
            </w:tcBorders>
            <w:shd w:val="clear" w:color="auto" w:fill="auto"/>
            <w:noWrap/>
            <w:vAlign w:val="center"/>
          </w:tcPr>
          <w:p w14:paraId="055B9D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46" w:type="dxa"/>
            <w:tcBorders>
              <w:top w:val="nil"/>
              <w:left w:val="nil"/>
              <w:bottom w:val="single" w:color="000000" w:sz="4" w:space="0"/>
              <w:right w:val="single" w:color="000000" w:sz="4" w:space="0"/>
            </w:tcBorders>
            <w:shd w:val="clear" w:color="auto" w:fill="auto"/>
            <w:noWrap/>
            <w:vAlign w:val="center"/>
          </w:tcPr>
          <w:p w14:paraId="291D68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898" w:type="dxa"/>
            <w:tcBorders>
              <w:top w:val="nil"/>
              <w:left w:val="nil"/>
              <w:bottom w:val="single" w:color="000000" w:sz="4" w:space="0"/>
              <w:right w:val="single" w:color="000000" w:sz="4" w:space="0"/>
            </w:tcBorders>
            <w:shd w:val="clear" w:color="auto" w:fill="auto"/>
            <w:noWrap/>
            <w:vAlign w:val="center"/>
          </w:tcPr>
          <w:p w14:paraId="469D95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31" w:type="dxa"/>
            <w:tcBorders>
              <w:top w:val="nil"/>
              <w:left w:val="nil"/>
              <w:bottom w:val="single" w:color="000000" w:sz="4" w:space="0"/>
              <w:right w:val="single" w:color="000000" w:sz="4" w:space="0"/>
            </w:tcBorders>
            <w:shd w:val="clear" w:color="auto" w:fill="auto"/>
            <w:noWrap/>
            <w:vAlign w:val="center"/>
          </w:tcPr>
          <w:p w14:paraId="27F96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31" w:type="dxa"/>
            <w:tcBorders>
              <w:top w:val="nil"/>
              <w:left w:val="nil"/>
              <w:bottom w:val="single" w:color="000000" w:sz="4" w:space="0"/>
              <w:right w:val="single" w:color="000000" w:sz="4" w:space="0"/>
            </w:tcBorders>
            <w:shd w:val="clear" w:color="auto" w:fill="auto"/>
            <w:noWrap/>
            <w:vAlign w:val="center"/>
          </w:tcPr>
          <w:p w14:paraId="604F0C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31" w:type="dxa"/>
            <w:tcBorders>
              <w:top w:val="nil"/>
              <w:left w:val="nil"/>
              <w:bottom w:val="single" w:color="000000" w:sz="4" w:space="0"/>
              <w:right w:val="single" w:color="000000" w:sz="4" w:space="0"/>
            </w:tcBorders>
            <w:shd w:val="clear" w:color="auto" w:fill="auto"/>
            <w:noWrap/>
            <w:vAlign w:val="center"/>
          </w:tcPr>
          <w:p w14:paraId="2A6BC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31" w:type="dxa"/>
            <w:tcBorders>
              <w:top w:val="nil"/>
              <w:left w:val="nil"/>
              <w:bottom w:val="single" w:color="000000" w:sz="4" w:space="0"/>
              <w:right w:val="single" w:color="000000" w:sz="4" w:space="0"/>
            </w:tcBorders>
            <w:shd w:val="clear" w:color="auto" w:fill="auto"/>
            <w:noWrap/>
            <w:vAlign w:val="center"/>
          </w:tcPr>
          <w:p w14:paraId="32F166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37" w:type="dxa"/>
            <w:tcBorders>
              <w:top w:val="nil"/>
              <w:left w:val="nil"/>
              <w:bottom w:val="single" w:color="000000" w:sz="4" w:space="0"/>
              <w:right w:val="single" w:color="000000" w:sz="4" w:space="0"/>
            </w:tcBorders>
            <w:shd w:val="clear" w:color="auto" w:fill="auto"/>
            <w:noWrap/>
            <w:vAlign w:val="center"/>
          </w:tcPr>
          <w:p w14:paraId="2A1993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1191" w:type="dxa"/>
            <w:tcBorders>
              <w:top w:val="nil"/>
              <w:left w:val="nil"/>
              <w:bottom w:val="single" w:color="000000" w:sz="4" w:space="0"/>
              <w:right w:val="single" w:color="000000" w:sz="4" w:space="0"/>
            </w:tcBorders>
            <w:shd w:val="clear" w:color="auto" w:fill="auto"/>
            <w:noWrap/>
            <w:vAlign w:val="center"/>
          </w:tcPr>
          <w:p w14:paraId="72495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1191" w:type="dxa"/>
            <w:tcBorders>
              <w:top w:val="nil"/>
              <w:left w:val="nil"/>
              <w:bottom w:val="single" w:color="000000" w:sz="4" w:space="0"/>
              <w:right w:val="single" w:color="000000" w:sz="4" w:space="0"/>
            </w:tcBorders>
            <w:shd w:val="clear" w:color="auto" w:fill="auto"/>
            <w:noWrap/>
            <w:vAlign w:val="center"/>
          </w:tcPr>
          <w:p w14:paraId="3E27A3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r>
      <w:tr w14:paraId="5B3F5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23" w:type="dxa"/>
            <w:tcBorders>
              <w:top w:val="nil"/>
              <w:left w:val="single" w:color="000000" w:sz="4" w:space="0"/>
              <w:bottom w:val="single" w:color="000000" w:sz="4" w:space="0"/>
              <w:right w:val="single" w:color="000000" w:sz="4" w:space="0"/>
            </w:tcBorders>
            <w:shd w:val="clear" w:color="auto" w:fill="auto"/>
            <w:noWrap/>
            <w:vAlign w:val="center"/>
          </w:tcPr>
          <w:p w14:paraId="6F49F8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r>
              <w:rPr>
                <w:rFonts w:hint="eastAsia" w:ascii="仿宋_GB2312" w:hAnsi="等线" w:eastAsia="仿宋_GB2312" w:cs="仿宋_GB2312"/>
                <w:color w:val="auto"/>
                <w:kern w:val="0"/>
                <w:sz w:val="22"/>
                <w:szCs w:val="22"/>
                <w:lang w:val="en-US" w:eastAsia="zh-CN" w:bidi="ar"/>
              </w:rPr>
              <w:t>5</w:t>
            </w:r>
          </w:p>
        </w:tc>
        <w:tc>
          <w:tcPr>
            <w:tcW w:w="641" w:type="dxa"/>
            <w:tcBorders>
              <w:top w:val="nil"/>
              <w:left w:val="nil"/>
              <w:bottom w:val="single" w:color="000000" w:sz="4" w:space="0"/>
              <w:right w:val="single" w:color="000000" w:sz="4" w:space="0"/>
            </w:tcBorders>
            <w:shd w:val="clear" w:color="auto" w:fill="auto"/>
            <w:noWrap/>
            <w:vAlign w:val="center"/>
          </w:tcPr>
          <w:p w14:paraId="6EF39B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41" w:type="dxa"/>
            <w:tcBorders>
              <w:top w:val="nil"/>
              <w:left w:val="nil"/>
              <w:bottom w:val="single" w:color="000000" w:sz="4" w:space="0"/>
              <w:right w:val="single" w:color="000000" w:sz="4" w:space="0"/>
            </w:tcBorders>
            <w:shd w:val="clear" w:color="auto" w:fill="auto"/>
            <w:noWrap/>
            <w:vAlign w:val="center"/>
          </w:tcPr>
          <w:p w14:paraId="1E4A1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13" w:type="dxa"/>
            <w:tcBorders>
              <w:top w:val="nil"/>
              <w:left w:val="nil"/>
              <w:bottom w:val="single" w:color="000000" w:sz="4" w:space="0"/>
              <w:right w:val="single" w:color="000000" w:sz="4" w:space="0"/>
            </w:tcBorders>
            <w:shd w:val="clear" w:color="auto" w:fill="auto"/>
            <w:noWrap/>
            <w:vAlign w:val="center"/>
          </w:tcPr>
          <w:p w14:paraId="3BD8F2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96" w:type="dxa"/>
            <w:tcBorders>
              <w:top w:val="nil"/>
              <w:left w:val="nil"/>
              <w:bottom w:val="single" w:color="000000" w:sz="4" w:space="0"/>
              <w:right w:val="single" w:color="000000" w:sz="4" w:space="0"/>
            </w:tcBorders>
            <w:shd w:val="clear" w:color="auto" w:fill="auto"/>
            <w:noWrap/>
            <w:vAlign w:val="center"/>
          </w:tcPr>
          <w:p w14:paraId="160CE0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733" w:type="dxa"/>
            <w:tcBorders>
              <w:top w:val="nil"/>
              <w:left w:val="nil"/>
              <w:bottom w:val="single" w:color="000000" w:sz="4" w:space="0"/>
              <w:right w:val="single" w:color="000000" w:sz="4" w:space="0"/>
            </w:tcBorders>
            <w:shd w:val="clear" w:color="auto" w:fill="auto"/>
            <w:noWrap/>
            <w:vAlign w:val="center"/>
          </w:tcPr>
          <w:p w14:paraId="686682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96" w:type="dxa"/>
            <w:tcBorders>
              <w:top w:val="nil"/>
              <w:left w:val="nil"/>
              <w:bottom w:val="single" w:color="000000" w:sz="4" w:space="0"/>
              <w:right w:val="single" w:color="000000" w:sz="4" w:space="0"/>
            </w:tcBorders>
            <w:shd w:val="clear" w:color="auto" w:fill="auto"/>
            <w:noWrap/>
            <w:vAlign w:val="center"/>
          </w:tcPr>
          <w:p w14:paraId="419E5B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733" w:type="dxa"/>
            <w:tcBorders>
              <w:top w:val="nil"/>
              <w:left w:val="nil"/>
              <w:bottom w:val="single" w:color="000000" w:sz="4" w:space="0"/>
              <w:right w:val="single" w:color="000000" w:sz="4" w:space="0"/>
            </w:tcBorders>
            <w:shd w:val="clear" w:color="auto" w:fill="auto"/>
            <w:noWrap/>
            <w:vAlign w:val="center"/>
          </w:tcPr>
          <w:p w14:paraId="381FB8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13" w:type="dxa"/>
            <w:tcBorders>
              <w:top w:val="nil"/>
              <w:left w:val="nil"/>
              <w:bottom w:val="single" w:color="000000" w:sz="4" w:space="0"/>
              <w:right w:val="single" w:color="000000" w:sz="4" w:space="0"/>
            </w:tcBorders>
            <w:shd w:val="clear" w:color="auto" w:fill="auto"/>
            <w:noWrap/>
            <w:vAlign w:val="center"/>
          </w:tcPr>
          <w:p w14:paraId="194655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13" w:type="dxa"/>
            <w:tcBorders>
              <w:top w:val="nil"/>
              <w:left w:val="nil"/>
              <w:bottom w:val="single" w:color="000000" w:sz="4" w:space="0"/>
              <w:right w:val="single" w:color="000000" w:sz="4" w:space="0"/>
            </w:tcBorders>
            <w:shd w:val="clear" w:color="auto" w:fill="auto"/>
            <w:noWrap/>
            <w:vAlign w:val="center"/>
          </w:tcPr>
          <w:p w14:paraId="6D2FA2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49" w:type="dxa"/>
            <w:tcBorders>
              <w:top w:val="nil"/>
              <w:left w:val="nil"/>
              <w:bottom w:val="single" w:color="000000" w:sz="4" w:space="0"/>
              <w:right w:val="single" w:color="000000" w:sz="4" w:space="0"/>
            </w:tcBorders>
            <w:shd w:val="clear" w:color="auto" w:fill="auto"/>
            <w:noWrap/>
            <w:vAlign w:val="center"/>
          </w:tcPr>
          <w:p w14:paraId="7CFC7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41" w:type="dxa"/>
            <w:tcBorders>
              <w:top w:val="nil"/>
              <w:left w:val="nil"/>
              <w:bottom w:val="single" w:color="000000" w:sz="4" w:space="0"/>
              <w:right w:val="single" w:color="000000" w:sz="4" w:space="0"/>
            </w:tcBorders>
            <w:shd w:val="clear" w:color="auto" w:fill="auto"/>
            <w:noWrap/>
            <w:vAlign w:val="center"/>
          </w:tcPr>
          <w:p w14:paraId="0AF8E8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41" w:type="dxa"/>
            <w:tcBorders>
              <w:top w:val="nil"/>
              <w:left w:val="nil"/>
              <w:bottom w:val="single" w:color="000000" w:sz="4" w:space="0"/>
              <w:right w:val="single" w:color="000000" w:sz="4" w:space="0"/>
            </w:tcBorders>
            <w:shd w:val="clear" w:color="auto" w:fill="auto"/>
            <w:noWrap/>
            <w:vAlign w:val="center"/>
          </w:tcPr>
          <w:p w14:paraId="6D79E2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646" w:type="dxa"/>
            <w:tcBorders>
              <w:top w:val="nil"/>
              <w:left w:val="nil"/>
              <w:bottom w:val="single" w:color="000000" w:sz="4" w:space="0"/>
              <w:right w:val="single" w:color="000000" w:sz="4" w:space="0"/>
            </w:tcBorders>
            <w:shd w:val="clear" w:color="auto" w:fill="auto"/>
            <w:noWrap/>
            <w:vAlign w:val="center"/>
          </w:tcPr>
          <w:p w14:paraId="2FDA73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898" w:type="dxa"/>
            <w:tcBorders>
              <w:top w:val="nil"/>
              <w:left w:val="nil"/>
              <w:bottom w:val="single" w:color="000000" w:sz="4" w:space="0"/>
              <w:right w:val="single" w:color="000000" w:sz="4" w:space="0"/>
            </w:tcBorders>
            <w:shd w:val="clear" w:color="auto" w:fill="auto"/>
            <w:noWrap/>
            <w:vAlign w:val="center"/>
          </w:tcPr>
          <w:p w14:paraId="4DD491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31" w:type="dxa"/>
            <w:tcBorders>
              <w:top w:val="nil"/>
              <w:left w:val="nil"/>
              <w:bottom w:val="single" w:color="000000" w:sz="4" w:space="0"/>
              <w:right w:val="single" w:color="000000" w:sz="4" w:space="0"/>
            </w:tcBorders>
            <w:shd w:val="clear" w:color="auto" w:fill="auto"/>
            <w:noWrap/>
            <w:vAlign w:val="center"/>
          </w:tcPr>
          <w:p w14:paraId="65B72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31" w:type="dxa"/>
            <w:tcBorders>
              <w:top w:val="nil"/>
              <w:left w:val="nil"/>
              <w:bottom w:val="single" w:color="000000" w:sz="4" w:space="0"/>
              <w:right w:val="single" w:color="000000" w:sz="4" w:space="0"/>
            </w:tcBorders>
            <w:shd w:val="clear" w:color="auto" w:fill="auto"/>
            <w:noWrap/>
            <w:vAlign w:val="center"/>
          </w:tcPr>
          <w:p w14:paraId="07AC63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31" w:type="dxa"/>
            <w:tcBorders>
              <w:top w:val="nil"/>
              <w:left w:val="nil"/>
              <w:bottom w:val="single" w:color="000000" w:sz="4" w:space="0"/>
              <w:right w:val="single" w:color="000000" w:sz="4" w:space="0"/>
            </w:tcBorders>
            <w:shd w:val="clear" w:color="auto" w:fill="auto"/>
            <w:noWrap/>
            <w:vAlign w:val="center"/>
          </w:tcPr>
          <w:p w14:paraId="32330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31" w:type="dxa"/>
            <w:tcBorders>
              <w:top w:val="nil"/>
              <w:left w:val="nil"/>
              <w:bottom w:val="single" w:color="000000" w:sz="4" w:space="0"/>
              <w:right w:val="single" w:color="000000" w:sz="4" w:space="0"/>
            </w:tcBorders>
            <w:shd w:val="clear" w:color="auto" w:fill="auto"/>
            <w:noWrap/>
            <w:vAlign w:val="center"/>
          </w:tcPr>
          <w:p w14:paraId="601BE0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537" w:type="dxa"/>
            <w:tcBorders>
              <w:top w:val="nil"/>
              <w:left w:val="nil"/>
              <w:bottom w:val="single" w:color="000000" w:sz="4" w:space="0"/>
              <w:right w:val="single" w:color="000000" w:sz="4" w:space="0"/>
            </w:tcBorders>
            <w:shd w:val="clear" w:color="auto" w:fill="auto"/>
            <w:noWrap/>
            <w:vAlign w:val="center"/>
          </w:tcPr>
          <w:p w14:paraId="157832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1191" w:type="dxa"/>
            <w:tcBorders>
              <w:top w:val="nil"/>
              <w:left w:val="nil"/>
              <w:bottom w:val="single" w:color="000000" w:sz="4" w:space="0"/>
              <w:right w:val="single" w:color="000000" w:sz="4" w:space="0"/>
            </w:tcBorders>
            <w:shd w:val="clear" w:color="auto" w:fill="auto"/>
            <w:noWrap/>
            <w:vAlign w:val="center"/>
          </w:tcPr>
          <w:p w14:paraId="094F24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c>
          <w:tcPr>
            <w:tcW w:w="1191" w:type="dxa"/>
            <w:tcBorders>
              <w:top w:val="nil"/>
              <w:left w:val="nil"/>
              <w:bottom w:val="single" w:color="000000" w:sz="4" w:space="0"/>
              <w:right w:val="single" w:color="000000" w:sz="4" w:space="0"/>
            </w:tcBorders>
            <w:shd w:val="clear" w:color="auto" w:fill="auto"/>
            <w:noWrap/>
            <w:vAlign w:val="center"/>
          </w:tcPr>
          <w:p w14:paraId="5C9C4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仿宋_GB2312" w:hAnsi="等线" w:eastAsia="仿宋_GB2312" w:cs="宋体"/>
                <w:color w:val="auto"/>
                <w:kern w:val="0"/>
                <w:sz w:val="22"/>
                <w:szCs w:val="22"/>
              </w:rPr>
            </w:pPr>
          </w:p>
        </w:tc>
      </w:tr>
    </w:tbl>
    <w:p w14:paraId="677FABD4">
      <w:pPr>
        <w:keepNext w:val="0"/>
        <w:keepLines w:val="0"/>
        <w:pageBreakBefore w:val="0"/>
        <w:widowControl/>
        <w:suppressLineNumbers w:val="0"/>
        <w:kinsoku/>
        <w:wordWrap/>
        <w:overflowPunct/>
        <w:topLinePunct w:val="0"/>
        <w:autoSpaceDE/>
        <w:autoSpaceDN/>
        <w:bidi w:val="0"/>
        <w:spacing w:before="0" w:beforeAutospacing="0" w:afterAutospacing="0" w:line="240" w:lineRule="auto"/>
        <w:ind w:left="0" w:right="0" w:firstLine="624" w:firstLineChars="200"/>
        <w:jc w:val="both"/>
        <w:textAlignment w:val="auto"/>
        <w:rPr>
          <w:rFonts w:hint="default" w:ascii="Times New Roman" w:hAnsi="Times New Roman" w:eastAsia="仿宋_GB2312" w:cs="Times New Roman"/>
          <w:color w:val="auto"/>
          <w:spacing w:val="-4"/>
          <w:kern w:val="2"/>
          <w:sz w:val="32"/>
          <w:szCs w:val="32"/>
        </w:rPr>
      </w:pPr>
      <w:r>
        <w:rPr>
          <w:rFonts w:hint="default" w:ascii="Times New Roman" w:hAnsi="Times New Roman" w:eastAsia="仿宋_GB2312" w:cs="Times New Roman"/>
          <w:color w:val="auto"/>
          <w:spacing w:val="-4"/>
          <w:kern w:val="2"/>
          <w:sz w:val="32"/>
          <w:szCs w:val="32"/>
          <w:lang w:val="en-US" w:eastAsia="zh-CN" w:bidi="ar"/>
        </w:rPr>
        <w:br w:type="page"/>
      </w:r>
    </w:p>
    <w:p w14:paraId="5EB336BB">
      <w:pPr>
        <w:keepNext w:val="0"/>
        <w:keepLines w:val="0"/>
        <w:pageBreakBefore w:val="0"/>
        <w:widowControl/>
        <w:suppressLineNumbers w:val="0"/>
        <w:kinsoku/>
        <w:wordWrap/>
        <w:overflowPunct/>
        <w:topLinePunct w:val="0"/>
        <w:autoSpaceDE/>
        <w:autoSpaceDN/>
        <w:bidi w:val="0"/>
        <w:spacing w:before="0" w:beforeAutospacing="0" w:afterAutospacing="0" w:line="240" w:lineRule="auto"/>
        <w:ind w:left="0" w:right="0" w:firstLine="600" w:firstLineChars="200"/>
        <w:jc w:val="both"/>
        <w:textAlignment w:val="auto"/>
        <w:rPr>
          <w:rFonts w:hint="eastAsia" w:ascii="黑体" w:hAnsi="宋体" w:eastAsia="黑体" w:cs="Times New Roman"/>
          <w:color w:val="auto"/>
          <w:kern w:val="2"/>
          <w:sz w:val="30"/>
          <w:szCs w:val="30"/>
        </w:rPr>
      </w:pPr>
      <w:r>
        <w:rPr>
          <w:rFonts w:hint="default" w:ascii="Times New Roman" w:hAnsi="Times New Roman" w:eastAsia="黑体" w:cs="Times New Roman"/>
          <w:color w:val="auto"/>
          <w:kern w:val="2"/>
          <w:sz w:val="30"/>
          <w:szCs w:val="30"/>
          <w:lang w:val="en-US" w:eastAsia="zh-CN" w:bidi="ar"/>
        </w:rPr>
        <w:t>表2</w:t>
      </w:r>
    </w:p>
    <w:p w14:paraId="1E01A5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jc w:val="center"/>
        <w:textAlignment w:val="auto"/>
        <w:rPr>
          <w:rFonts w:hint="default" w:ascii="Times New Roman" w:hAnsi="Times New Roman" w:eastAsia="方正小标宋_GBK" w:cs="Times New Roman"/>
          <w:color w:val="auto"/>
          <w:kern w:val="2"/>
          <w:sz w:val="36"/>
          <w:szCs w:val="36"/>
          <w:highlight w:val="none"/>
        </w:rPr>
      </w:pPr>
      <w:r>
        <w:rPr>
          <w:rFonts w:hint="default" w:ascii="Times New Roman" w:hAnsi="Times New Roman" w:eastAsia="方正小标宋_GBK" w:cs="Times New Roman"/>
          <w:color w:val="auto"/>
          <w:kern w:val="2"/>
          <w:sz w:val="36"/>
          <w:szCs w:val="36"/>
          <w:highlight w:val="none"/>
          <w:lang w:val="en-US" w:eastAsia="zh-CN" w:bidi="ar"/>
        </w:rPr>
        <w:t>2026</w:t>
      </w:r>
      <w:r>
        <w:rPr>
          <w:rFonts w:hint="eastAsia" w:ascii="方正小标宋_GBK" w:hAnsi="方正小标宋_GBK" w:eastAsia="方正小标宋_GBK" w:cs="方正小标宋_GBK"/>
          <w:color w:val="auto"/>
          <w:kern w:val="2"/>
          <w:sz w:val="36"/>
          <w:szCs w:val="36"/>
          <w:highlight w:val="none"/>
          <w:lang w:val="en-US" w:eastAsia="zh-CN" w:bidi="ar"/>
        </w:rPr>
        <w:t>年制造业企业增资扩产和技术改造有效投入奖励项目汇总表</w:t>
      </w:r>
    </w:p>
    <w:tbl>
      <w:tblPr>
        <w:tblStyle w:val="10"/>
        <w:tblpPr w:leftFromText="180" w:rightFromText="180" w:vertAnchor="text" w:horzAnchor="page" w:tblpXSpec="center" w:tblpY="547"/>
        <w:tblOverlap w:val="never"/>
        <w:tblW w:w="148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8"/>
        <w:gridCol w:w="831"/>
        <w:gridCol w:w="699"/>
        <w:gridCol w:w="1153"/>
        <w:gridCol w:w="661"/>
        <w:gridCol w:w="775"/>
        <w:gridCol w:w="869"/>
        <w:gridCol w:w="680"/>
        <w:gridCol w:w="1039"/>
        <w:gridCol w:w="2760"/>
        <w:gridCol w:w="1002"/>
        <w:gridCol w:w="1209"/>
        <w:gridCol w:w="1228"/>
        <w:gridCol w:w="1228"/>
      </w:tblGrid>
      <w:tr w14:paraId="4992E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F0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Times New Roman"/>
                <w:color w:val="auto"/>
                <w:kern w:val="0"/>
                <w:sz w:val="20"/>
                <w:szCs w:val="20"/>
                <w:highlight w:val="none"/>
              </w:rPr>
            </w:pPr>
            <w:r>
              <w:rPr>
                <w:rFonts w:hint="eastAsia" w:ascii="黑体" w:hAnsi="宋体" w:eastAsia="黑体" w:cs="黑体"/>
                <w:color w:val="auto"/>
                <w:kern w:val="0"/>
                <w:sz w:val="20"/>
                <w:szCs w:val="20"/>
                <w:highlight w:val="none"/>
                <w:lang w:val="en-US" w:eastAsia="zh-CN" w:bidi="ar"/>
              </w:rPr>
              <w:t>序号</w:t>
            </w:r>
          </w:p>
        </w:tc>
        <w:tc>
          <w:tcPr>
            <w:tcW w:w="831" w:type="dxa"/>
            <w:tcBorders>
              <w:top w:val="single" w:color="000000" w:sz="4" w:space="0"/>
              <w:left w:val="nil"/>
              <w:bottom w:val="single" w:color="000000" w:sz="4" w:space="0"/>
              <w:right w:val="single" w:color="000000" w:sz="4" w:space="0"/>
            </w:tcBorders>
            <w:shd w:val="clear" w:color="auto" w:fill="auto"/>
            <w:vAlign w:val="center"/>
          </w:tcPr>
          <w:p w14:paraId="49C35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Times New Roman"/>
                <w:color w:val="auto"/>
                <w:kern w:val="0"/>
                <w:sz w:val="20"/>
                <w:szCs w:val="20"/>
                <w:highlight w:val="none"/>
              </w:rPr>
            </w:pPr>
            <w:r>
              <w:rPr>
                <w:rFonts w:hint="eastAsia" w:ascii="黑体" w:hAnsi="宋体" w:eastAsia="黑体" w:cs="黑体"/>
                <w:color w:val="auto"/>
                <w:kern w:val="0"/>
                <w:sz w:val="20"/>
                <w:szCs w:val="20"/>
                <w:highlight w:val="none"/>
                <w:lang w:val="en-US" w:eastAsia="zh-CN" w:bidi="ar"/>
              </w:rPr>
              <w:t>企业所在县级市（区）</w:t>
            </w:r>
          </w:p>
        </w:tc>
        <w:tc>
          <w:tcPr>
            <w:tcW w:w="699" w:type="dxa"/>
            <w:tcBorders>
              <w:top w:val="single" w:color="000000" w:sz="4" w:space="0"/>
              <w:left w:val="nil"/>
              <w:bottom w:val="single" w:color="000000" w:sz="4" w:space="0"/>
              <w:right w:val="single" w:color="000000" w:sz="4" w:space="0"/>
            </w:tcBorders>
            <w:shd w:val="clear" w:color="auto" w:fill="auto"/>
            <w:vAlign w:val="center"/>
          </w:tcPr>
          <w:p w14:paraId="6B33DF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宋体"/>
                <w:color w:val="auto"/>
                <w:kern w:val="0"/>
                <w:sz w:val="20"/>
                <w:szCs w:val="20"/>
                <w:highlight w:val="none"/>
              </w:rPr>
            </w:pPr>
            <w:r>
              <w:rPr>
                <w:rFonts w:hint="eastAsia" w:ascii="黑体" w:hAnsi="宋体" w:eastAsia="黑体" w:cs="黑体"/>
                <w:color w:val="auto"/>
                <w:kern w:val="0"/>
                <w:sz w:val="20"/>
                <w:szCs w:val="20"/>
                <w:highlight w:val="none"/>
                <w:lang w:val="en-US" w:eastAsia="zh-CN" w:bidi="ar"/>
              </w:rPr>
              <w:t>企业名称</w:t>
            </w:r>
          </w:p>
        </w:tc>
        <w:tc>
          <w:tcPr>
            <w:tcW w:w="1153" w:type="dxa"/>
            <w:tcBorders>
              <w:top w:val="single" w:color="000000" w:sz="4" w:space="0"/>
              <w:left w:val="nil"/>
              <w:bottom w:val="single" w:color="000000" w:sz="4" w:space="0"/>
              <w:right w:val="single" w:color="000000" w:sz="4" w:space="0"/>
            </w:tcBorders>
            <w:shd w:val="clear" w:color="auto" w:fill="auto"/>
            <w:vAlign w:val="center"/>
          </w:tcPr>
          <w:p w14:paraId="7C0500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Times New Roman"/>
                <w:color w:val="auto"/>
                <w:kern w:val="0"/>
                <w:sz w:val="20"/>
                <w:szCs w:val="20"/>
                <w:highlight w:val="none"/>
              </w:rPr>
            </w:pPr>
            <w:r>
              <w:rPr>
                <w:rFonts w:hint="eastAsia" w:ascii="黑体" w:hAnsi="宋体" w:eastAsia="黑体" w:cs="黑体"/>
                <w:color w:val="auto"/>
                <w:kern w:val="0"/>
                <w:sz w:val="20"/>
                <w:szCs w:val="20"/>
                <w:highlight w:val="none"/>
                <w:lang w:val="en-US" w:eastAsia="zh-CN" w:bidi="ar"/>
              </w:rPr>
              <w:t>企业性质（国有</w:t>
            </w:r>
            <w:r>
              <w:rPr>
                <w:rFonts w:hint="eastAsia" w:ascii="黑体" w:hAnsi="宋体" w:eastAsia="黑体" w:cs="Times New Roman"/>
                <w:color w:val="auto"/>
                <w:kern w:val="0"/>
                <w:sz w:val="20"/>
                <w:szCs w:val="20"/>
                <w:highlight w:val="none"/>
                <w:lang w:val="en-US" w:eastAsia="zh-CN" w:bidi="ar"/>
              </w:rPr>
              <w:t>/</w:t>
            </w:r>
            <w:r>
              <w:rPr>
                <w:rFonts w:hint="eastAsia" w:ascii="黑体" w:hAnsi="宋体" w:eastAsia="黑体" w:cs="黑体"/>
                <w:color w:val="auto"/>
                <w:kern w:val="0"/>
                <w:sz w:val="20"/>
                <w:szCs w:val="20"/>
                <w:highlight w:val="none"/>
                <w:lang w:val="en-US" w:eastAsia="zh-CN" w:bidi="ar"/>
              </w:rPr>
              <w:t>内资</w:t>
            </w:r>
            <w:r>
              <w:rPr>
                <w:rFonts w:hint="eastAsia" w:ascii="黑体" w:hAnsi="宋体" w:eastAsia="黑体" w:cs="Times New Roman"/>
                <w:color w:val="auto"/>
                <w:kern w:val="0"/>
                <w:sz w:val="20"/>
                <w:szCs w:val="20"/>
                <w:highlight w:val="none"/>
                <w:lang w:val="en-US" w:eastAsia="zh-CN" w:bidi="ar"/>
              </w:rPr>
              <w:t>/</w:t>
            </w:r>
            <w:r>
              <w:rPr>
                <w:rFonts w:hint="eastAsia" w:ascii="黑体" w:hAnsi="宋体" w:eastAsia="黑体" w:cs="黑体"/>
                <w:color w:val="auto"/>
                <w:kern w:val="0"/>
                <w:sz w:val="20"/>
                <w:szCs w:val="20"/>
                <w:highlight w:val="none"/>
                <w:lang w:val="en-US" w:eastAsia="zh-CN" w:bidi="ar"/>
              </w:rPr>
              <w:t>外商投资）</w:t>
            </w:r>
          </w:p>
        </w:tc>
        <w:tc>
          <w:tcPr>
            <w:tcW w:w="661" w:type="dxa"/>
            <w:tcBorders>
              <w:top w:val="single" w:color="000000" w:sz="4" w:space="0"/>
              <w:left w:val="nil"/>
              <w:bottom w:val="single" w:color="000000" w:sz="4" w:space="0"/>
              <w:right w:val="single" w:color="000000" w:sz="4" w:space="0"/>
            </w:tcBorders>
            <w:shd w:val="clear" w:color="auto" w:fill="auto"/>
            <w:vAlign w:val="center"/>
          </w:tcPr>
          <w:p w14:paraId="087A58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Times New Roman"/>
                <w:color w:val="auto"/>
                <w:kern w:val="0"/>
                <w:sz w:val="20"/>
                <w:szCs w:val="20"/>
                <w:highlight w:val="none"/>
              </w:rPr>
            </w:pPr>
            <w:r>
              <w:rPr>
                <w:rFonts w:hint="eastAsia" w:ascii="黑体" w:hAnsi="宋体" w:eastAsia="黑体" w:cs="黑体"/>
                <w:color w:val="auto"/>
                <w:kern w:val="0"/>
                <w:sz w:val="20"/>
                <w:szCs w:val="20"/>
                <w:highlight w:val="none"/>
                <w:lang w:val="en-US" w:eastAsia="zh-CN" w:bidi="ar"/>
              </w:rPr>
              <w:t>所属行业</w:t>
            </w:r>
          </w:p>
        </w:tc>
        <w:tc>
          <w:tcPr>
            <w:tcW w:w="775" w:type="dxa"/>
            <w:tcBorders>
              <w:top w:val="single" w:color="000000" w:sz="4" w:space="0"/>
              <w:left w:val="nil"/>
              <w:bottom w:val="single" w:color="000000" w:sz="4" w:space="0"/>
              <w:right w:val="single" w:color="000000" w:sz="4" w:space="0"/>
            </w:tcBorders>
            <w:shd w:val="clear" w:color="auto" w:fill="auto"/>
            <w:vAlign w:val="center"/>
          </w:tcPr>
          <w:p w14:paraId="4C2E53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Times New Roman"/>
                <w:color w:val="auto"/>
                <w:kern w:val="0"/>
                <w:sz w:val="20"/>
                <w:szCs w:val="20"/>
                <w:highlight w:val="none"/>
              </w:rPr>
            </w:pPr>
            <w:r>
              <w:rPr>
                <w:rFonts w:hint="eastAsia" w:ascii="黑体" w:hAnsi="宋体" w:eastAsia="黑体" w:cs="黑体"/>
                <w:color w:val="auto"/>
                <w:kern w:val="0"/>
                <w:sz w:val="20"/>
                <w:szCs w:val="20"/>
                <w:highlight w:val="none"/>
                <w:lang w:val="en-US" w:eastAsia="zh-CN" w:bidi="ar"/>
              </w:rPr>
              <w:t>统一社会信用代码</w:t>
            </w:r>
          </w:p>
        </w:tc>
        <w:tc>
          <w:tcPr>
            <w:tcW w:w="869" w:type="dxa"/>
            <w:tcBorders>
              <w:top w:val="single" w:color="000000" w:sz="4" w:space="0"/>
              <w:left w:val="nil"/>
              <w:bottom w:val="single" w:color="000000" w:sz="4" w:space="0"/>
              <w:right w:val="single" w:color="000000" w:sz="4" w:space="0"/>
            </w:tcBorders>
            <w:shd w:val="clear" w:color="auto" w:fill="auto"/>
            <w:vAlign w:val="center"/>
          </w:tcPr>
          <w:p w14:paraId="735A58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Times New Roman"/>
                <w:color w:val="auto"/>
                <w:kern w:val="0"/>
                <w:sz w:val="20"/>
                <w:szCs w:val="20"/>
                <w:highlight w:val="none"/>
              </w:rPr>
            </w:pPr>
            <w:r>
              <w:rPr>
                <w:rFonts w:hint="eastAsia" w:ascii="黑体" w:hAnsi="宋体" w:eastAsia="黑体" w:cs="黑体"/>
                <w:color w:val="auto"/>
                <w:kern w:val="0"/>
                <w:sz w:val="20"/>
                <w:szCs w:val="20"/>
                <w:highlight w:val="none"/>
                <w:lang w:val="en-US" w:eastAsia="zh-CN" w:bidi="ar"/>
              </w:rPr>
              <w:t>纳税人识别号</w:t>
            </w:r>
          </w:p>
        </w:tc>
        <w:tc>
          <w:tcPr>
            <w:tcW w:w="680" w:type="dxa"/>
            <w:tcBorders>
              <w:top w:val="single" w:color="000000" w:sz="4" w:space="0"/>
              <w:left w:val="nil"/>
              <w:bottom w:val="single" w:color="000000" w:sz="4" w:space="0"/>
              <w:right w:val="single" w:color="000000" w:sz="4" w:space="0"/>
            </w:tcBorders>
            <w:shd w:val="clear" w:color="auto" w:fill="auto"/>
            <w:vAlign w:val="center"/>
          </w:tcPr>
          <w:p w14:paraId="4A9ABF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Times New Roman"/>
                <w:color w:val="auto"/>
                <w:kern w:val="0"/>
                <w:sz w:val="20"/>
                <w:szCs w:val="20"/>
                <w:highlight w:val="none"/>
              </w:rPr>
            </w:pPr>
            <w:r>
              <w:rPr>
                <w:rFonts w:hint="eastAsia" w:ascii="黑体" w:hAnsi="宋体" w:eastAsia="黑体" w:cs="黑体"/>
                <w:color w:val="auto"/>
                <w:kern w:val="0"/>
                <w:sz w:val="20"/>
                <w:szCs w:val="20"/>
                <w:highlight w:val="none"/>
                <w:lang w:val="en-US" w:eastAsia="zh-CN" w:bidi="ar"/>
              </w:rPr>
              <w:t>项目代码</w:t>
            </w:r>
          </w:p>
        </w:tc>
        <w:tc>
          <w:tcPr>
            <w:tcW w:w="1039" w:type="dxa"/>
            <w:tcBorders>
              <w:top w:val="single" w:color="000000" w:sz="4" w:space="0"/>
              <w:left w:val="nil"/>
              <w:bottom w:val="single" w:color="000000" w:sz="4" w:space="0"/>
              <w:right w:val="single" w:color="000000" w:sz="4" w:space="0"/>
            </w:tcBorders>
            <w:shd w:val="clear" w:color="auto" w:fill="auto"/>
            <w:vAlign w:val="center"/>
          </w:tcPr>
          <w:p w14:paraId="52CF40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Times New Roman"/>
                <w:color w:val="auto"/>
                <w:kern w:val="0"/>
                <w:sz w:val="20"/>
                <w:szCs w:val="20"/>
                <w:highlight w:val="none"/>
              </w:rPr>
            </w:pPr>
            <w:r>
              <w:rPr>
                <w:rFonts w:hint="eastAsia" w:ascii="黑体" w:hAnsi="宋体" w:eastAsia="黑体" w:cs="黑体"/>
                <w:color w:val="auto"/>
                <w:kern w:val="0"/>
                <w:sz w:val="20"/>
                <w:szCs w:val="20"/>
                <w:highlight w:val="none"/>
                <w:lang w:val="en-US" w:eastAsia="zh-CN" w:bidi="ar"/>
              </w:rPr>
              <w:t>项目名称</w:t>
            </w:r>
          </w:p>
        </w:tc>
        <w:tc>
          <w:tcPr>
            <w:tcW w:w="2760" w:type="dxa"/>
            <w:tcBorders>
              <w:top w:val="single" w:color="000000" w:sz="4" w:space="0"/>
              <w:left w:val="nil"/>
              <w:bottom w:val="single" w:color="000000" w:sz="4" w:space="0"/>
              <w:right w:val="single" w:color="000000" w:sz="4" w:space="0"/>
            </w:tcBorders>
            <w:shd w:val="clear" w:color="auto" w:fill="auto"/>
            <w:vAlign w:val="center"/>
          </w:tcPr>
          <w:p w14:paraId="2AA163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Times New Roman"/>
                <w:color w:val="auto"/>
                <w:kern w:val="0"/>
                <w:sz w:val="20"/>
                <w:szCs w:val="20"/>
                <w:highlight w:val="none"/>
              </w:rPr>
            </w:pPr>
            <w:r>
              <w:rPr>
                <w:rFonts w:hint="eastAsia" w:ascii="黑体" w:hAnsi="宋体" w:eastAsia="黑体" w:cs="黑体"/>
                <w:color w:val="auto"/>
                <w:kern w:val="0"/>
                <w:sz w:val="20"/>
                <w:szCs w:val="20"/>
                <w:highlight w:val="none"/>
                <w:lang w:val="en-US" w:eastAsia="zh-CN" w:bidi="ar"/>
              </w:rPr>
              <w:t>项目内容</w:t>
            </w:r>
          </w:p>
        </w:tc>
        <w:tc>
          <w:tcPr>
            <w:tcW w:w="1002" w:type="dxa"/>
            <w:tcBorders>
              <w:top w:val="single" w:color="000000" w:sz="4" w:space="0"/>
              <w:left w:val="nil"/>
              <w:bottom w:val="single" w:color="000000" w:sz="4" w:space="0"/>
              <w:right w:val="single" w:color="000000" w:sz="4" w:space="0"/>
            </w:tcBorders>
            <w:shd w:val="clear" w:color="auto" w:fill="auto"/>
            <w:vAlign w:val="center"/>
          </w:tcPr>
          <w:p w14:paraId="7D83CB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Times New Roman"/>
                <w:color w:val="auto"/>
                <w:kern w:val="0"/>
                <w:sz w:val="20"/>
                <w:szCs w:val="20"/>
                <w:highlight w:val="none"/>
              </w:rPr>
            </w:pPr>
            <w:r>
              <w:rPr>
                <w:rFonts w:hint="eastAsia" w:ascii="黑体" w:hAnsi="宋体" w:eastAsia="黑体" w:cs="黑体"/>
                <w:color w:val="auto"/>
                <w:kern w:val="0"/>
                <w:sz w:val="20"/>
                <w:szCs w:val="20"/>
                <w:highlight w:val="none"/>
                <w:lang w:val="en-US" w:eastAsia="zh-CN" w:bidi="ar"/>
              </w:rPr>
              <w:t>计划总投资（万元）</w:t>
            </w:r>
          </w:p>
        </w:tc>
        <w:tc>
          <w:tcPr>
            <w:tcW w:w="1209" w:type="dxa"/>
            <w:tcBorders>
              <w:top w:val="single" w:color="000000" w:sz="4" w:space="0"/>
              <w:left w:val="nil"/>
              <w:bottom w:val="single" w:color="000000" w:sz="4" w:space="0"/>
              <w:right w:val="single" w:color="000000" w:sz="4" w:space="0"/>
            </w:tcBorders>
            <w:shd w:val="clear" w:color="auto" w:fill="auto"/>
            <w:vAlign w:val="center"/>
          </w:tcPr>
          <w:p w14:paraId="58B2A3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Times New Roman"/>
                <w:color w:val="auto"/>
                <w:kern w:val="0"/>
                <w:sz w:val="20"/>
                <w:szCs w:val="20"/>
                <w:highlight w:val="none"/>
              </w:rPr>
            </w:pPr>
            <w:r>
              <w:rPr>
                <w:rFonts w:hint="eastAsia" w:ascii="黑体" w:hAnsi="宋体" w:eastAsia="黑体" w:cs="黑体"/>
                <w:color w:val="auto"/>
                <w:kern w:val="0"/>
                <w:sz w:val="20"/>
                <w:szCs w:val="20"/>
                <w:highlight w:val="none"/>
                <w:lang w:val="en-US" w:eastAsia="zh-CN" w:bidi="ar"/>
              </w:rPr>
              <w:t>其中：固定资产投资（万元）</w:t>
            </w:r>
          </w:p>
        </w:tc>
        <w:tc>
          <w:tcPr>
            <w:tcW w:w="1228" w:type="dxa"/>
            <w:tcBorders>
              <w:top w:val="single" w:color="000000" w:sz="4" w:space="0"/>
              <w:left w:val="nil"/>
              <w:bottom w:val="single" w:color="000000" w:sz="4" w:space="0"/>
              <w:right w:val="single" w:color="000000" w:sz="4" w:space="0"/>
            </w:tcBorders>
            <w:shd w:val="clear" w:color="auto" w:fill="auto"/>
            <w:vAlign w:val="center"/>
          </w:tcPr>
          <w:p w14:paraId="00F088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Times New Roman"/>
                <w:color w:val="auto"/>
                <w:kern w:val="0"/>
                <w:sz w:val="20"/>
                <w:szCs w:val="20"/>
                <w:highlight w:val="none"/>
              </w:rPr>
            </w:pPr>
            <w:r>
              <w:rPr>
                <w:rFonts w:hint="eastAsia" w:ascii="黑体" w:hAnsi="宋体" w:eastAsia="黑体" w:cs="黑体"/>
                <w:color w:val="auto"/>
                <w:kern w:val="0"/>
                <w:sz w:val="20"/>
                <w:szCs w:val="20"/>
                <w:highlight w:val="none"/>
                <w:lang w:val="en-US" w:eastAsia="zh-CN" w:bidi="ar"/>
              </w:rPr>
              <w:t>企业申报的</w:t>
            </w:r>
            <w:r>
              <w:rPr>
                <w:rFonts w:hint="eastAsia" w:ascii="黑体" w:hAnsi="宋体" w:eastAsia="黑体" w:cs="Times New Roman"/>
                <w:color w:val="auto"/>
                <w:kern w:val="0"/>
                <w:sz w:val="20"/>
                <w:szCs w:val="20"/>
                <w:highlight w:val="none"/>
                <w:lang w:val="en-US" w:eastAsia="zh-CN" w:bidi="ar"/>
              </w:rPr>
              <w:t>202</w:t>
            </w:r>
            <w:r>
              <w:rPr>
                <w:rFonts w:hint="eastAsia" w:ascii="黑体" w:hAnsi="宋体" w:eastAsia="黑体" w:cs="黑体"/>
                <w:color w:val="auto"/>
                <w:kern w:val="0"/>
                <w:sz w:val="20"/>
                <w:szCs w:val="20"/>
                <w:highlight w:val="none"/>
                <w:lang w:val="en-US" w:eastAsia="zh-CN" w:bidi="ar"/>
              </w:rPr>
              <w:t>5年度设备购置额（万元）</w:t>
            </w:r>
          </w:p>
        </w:tc>
        <w:tc>
          <w:tcPr>
            <w:tcW w:w="1228" w:type="dxa"/>
            <w:tcBorders>
              <w:top w:val="single" w:color="000000" w:sz="4" w:space="0"/>
              <w:left w:val="nil"/>
              <w:bottom w:val="single" w:color="000000" w:sz="4" w:space="0"/>
              <w:right w:val="single" w:color="000000" w:sz="4" w:space="0"/>
            </w:tcBorders>
            <w:shd w:val="clear" w:color="auto" w:fill="auto"/>
            <w:vAlign w:val="center"/>
          </w:tcPr>
          <w:p w14:paraId="521811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黑体" w:hAnsi="宋体" w:eastAsia="黑体" w:cs="Times New Roman"/>
                <w:color w:val="auto"/>
                <w:kern w:val="0"/>
                <w:sz w:val="20"/>
                <w:szCs w:val="20"/>
                <w:highlight w:val="none"/>
              </w:rPr>
            </w:pPr>
            <w:r>
              <w:rPr>
                <w:rFonts w:hint="eastAsia" w:ascii="黑体" w:hAnsi="宋体" w:eastAsia="黑体" w:cs="黑体"/>
                <w:color w:val="auto"/>
                <w:kern w:val="0"/>
                <w:sz w:val="20"/>
                <w:szCs w:val="20"/>
                <w:highlight w:val="none"/>
                <w:lang w:val="en-US" w:eastAsia="zh-CN" w:bidi="ar"/>
              </w:rPr>
              <w:t>经审核的设备购置额（经现场核查审核，万元）</w:t>
            </w:r>
          </w:p>
        </w:tc>
      </w:tr>
      <w:tr w14:paraId="74A7A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561175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0"/>
                <w:szCs w:val="20"/>
              </w:rPr>
            </w:pPr>
            <w:r>
              <w:rPr>
                <w:rFonts w:hint="default" w:ascii="Times New Roman" w:hAnsi="Times New Roman" w:eastAsia="等线" w:cs="Times New Roman"/>
                <w:color w:val="auto"/>
                <w:kern w:val="0"/>
                <w:sz w:val="20"/>
                <w:szCs w:val="20"/>
                <w:lang w:val="en-US" w:eastAsia="zh-CN" w:bidi="ar"/>
              </w:rPr>
              <w:t>1</w:t>
            </w:r>
          </w:p>
        </w:tc>
        <w:tc>
          <w:tcPr>
            <w:tcW w:w="831" w:type="dxa"/>
            <w:tcBorders>
              <w:top w:val="nil"/>
              <w:left w:val="nil"/>
              <w:bottom w:val="single" w:color="000000" w:sz="4" w:space="0"/>
              <w:right w:val="single" w:color="000000" w:sz="4" w:space="0"/>
            </w:tcBorders>
            <w:shd w:val="clear" w:color="auto" w:fill="auto"/>
            <w:noWrap/>
            <w:vAlign w:val="center"/>
          </w:tcPr>
          <w:p w14:paraId="67389E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699" w:type="dxa"/>
            <w:tcBorders>
              <w:top w:val="nil"/>
              <w:left w:val="nil"/>
              <w:bottom w:val="single" w:color="000000" w:sz="4" w:space="0"/>
              <w:right w:val="single" w:color="000000" w:sz="4" w:space="0"/>
            </w:tcBorders>
            <w:shd w:val="clear" w:color="auto" w:fill="auto"/>
            <w:noWrap/>
            <w:vAlign w:val="center"/>
          </w:tcPr>
          <w:p w14:paraId="5D428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153" w:type="dxa"/>
            <w:tcBorders>
              <w:top w:val="nil"/>
              <w:left w:val="nil"/>
              <w:bottom w:val="single" w:color="000000" w:sz="4" w:space="0"/>
              <w:right w:val="single" w:color="000000" w:sz="4" w:space="0"/>
            </w:tcBorders>
            <w:shd w:val="clear" w:color="auto" w:fill="auto"/>
            <w:noWrap/>
            <w:vAlign w:val="center"/>
          </w:tcPr>
          <w:p w14:paraId="0642C4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661" w:type="dxa"/>
            <w:tcBorders>
              <w:top w:val="nil"/>
              <w:left w:val="nil"/>
              <w:bottom w:val="single" w:color="000000" w:sz="4" w:space="0"/>
              <w:right w:val="single" w:color="000000" w:sz="4" w:space="0"/>
            </w:tcBorders>
            <w:shd w:val="clear" w:color="auto" w:fill="auto"/>
            <w:noWrap/>
            <w:vAlign w:val="center"/>
          </w:tcPr>
          <w:p w14:paraId="01A14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775" w:type="dxa"/>
            <w:tcBorders>
              <w:top w:val="nil"/>
              <w:left w:val="nil"/>
              <w:bottom w:val="single" w:color="000000" w:sz="4" w:space="0"/>
              <w:right w:val="single" w:color="000000" w:sz="4" w:space="0"/>
            </w:tcBorders>
            <w:shd w:val="clear" w:color="auto" w:fill="auto"/>
            <w:noWrap/>
            <w:vAlign w:val="center"/>
          </w:tcPr>
          <w:p w14:paraId="6AEE1D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869" w:type="dxa"/>
            <w:tcBorders>
              <w:top w:val="nil"/>
              <w:left w:val="nil"/>
              <w:bottom w:val="single" w:color="000000" w:sz="4" w:space="0"/>
              <w:right w:val="single" w:color="000000" w:sz="4" w:space="0"/>
            </w:tcBorders>
            <w:shd w:val="clear" w:color="auto" w:fill="auto"/>
            <w:noWrap/>
            <w:vAlign w:val="center"/>
          </w:tcPr>
          <w:p w14:paraId="4C08B2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680" w:type="dxa"/>
            <w:tcBorders>
              <w:top w:val="nil"/>
              <w:left w:val="nil"/>
              <w:bottom w:val="single" w:color="000000" w:sz="4" w:space="0"/>
              <w:right w:val="single" w:color="000000" w:sz="4" w:space="0"/>
            </w:tcBorders>
            <w:shd w:val="clear" w:color="auto" w:fill="auto"/>
            <w:noWrap/>
            <w:vAlign w:val="center"/>
          </w:tcPr>
          <w:p w14:paraId="2ACEE8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039" w:type="dxa"/>
            <w:tcBorders>
              <w:top w:val="nil"/>
              <w:left w:val="nil"/>
              <w:bottom w:val="single" w:color="000000" w:sz="4" w:space="0"/>
              <w:right w:val="single" w:color="000000" w:sz="4" w:space="0"/>
            </w:tcBorders>
            <w:shd w:val="clear" w:color="auto" w:fill="auto"/>
            <w:noWrap/>
            <w:vAlign w:val="center"/>
          </w:tcPr>
          <w:p w14:paraId="3A0950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2760" w:type="dxa"/>
            <w:tcBorders>
              <w:top w:val="nil"/>
              <w:left w:val="nil"/>
              <w:bottom w:val="single" w:color="000000" w:sz="4" w:space="0"/>
              <w:right w:val="single" w:color="000000" w:sz="4" w:space="0"/>
            </w:tcBorders>
            <w:shd w:val="clear" w:color="auto" w:fill="auto"/>
            <w:noWrap/>
            <w:vAlign w:val="center"/>
          </w:tcPr>
          <w:p w14:paraId="4B3D12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002" w:type="dxa"/>
            <w:tcBorders>
              <w:top w:val="nil"/>
              <w:left w:val="nil"/>
              <w:bottom w:val="single" w:color="000000" w:sz="4" w:space="0"/>
              <w:right w:val="single" w:color="000000" w:sz="4" w:space="0"/>
            </w:tcBorders>
            <w:shd w:val="clear" w:color="auto" w:fill="auto"/>
            <w:noWrap/>
            <w:vAlign w:val="center"/>
          </w:tcPr>
          <w:p w14:paraId="1DB389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209" w:type="dxa"/>
            <w:tcBorders>
              <w:top w:val="nil"/>
              <w:left w:val="nil"/>
              <w:bottom w:val="single" w:color="000000" w:sz="4" w:space="0"/>
              <w:right w:val="single" w:color="000000" w:sz="4" w:space="0"/>
            </w:tcBorders>
            <w:shd w:val="clear" w:color="auto" w:fill="auto"/>
            <w:noWrap/>
            <w:vAlign w:val="center"/>
          </w:tcPr>
          <w:p w14:paraId="6A5F48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228" w:type="dxa"/>
            <w:tcBorders>
              <w:top w:val="nil"/>
              <w:left w:val="nil"/>
              <w:bottom w:val="single" w:color="000000" w:sz="4" w:space="0"/>
              <w:right w:val="single" w:color="000000" w:sz="4" w:space="0"/>
            </w:tcBorders>
            <w:shd w:val="clear" w:color="auto" w:fill="auto"/>
            <w:noWrap/>
            <w:vAlign w:val="center"/>
          </w:tcPr>
          <w:p w14:paraId="687C9B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228" w:type="dxa"/>
            <w:tcBorders>
              <w:top w:val="nil"/>
              <w:left w:val="nil"/>
              <w:bottom w:val="single" w:color="000000" w:sz="4" w:space="0"/>
              <w:right w:val="single" w:color="000000" w:sz="4" w:space="0"/>
            </w:tcBorders>
            <w:shd w:val="clear" w:color="auto" w:fill="auto"/>
            <w:noWrap/>
            <w:vAlign w:val="center"/>
          </w:tcPr>
          <w:p w14:paraId="02D5D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r>
      <w:tr w14:paraId="2642E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40F12A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0"/>
                <w:szCs w:val="20"/>
              </w:rPr>
            </w:pPr>
            <w:r>
              <w:rPr>
                <w:rFonts w:hint="default" w:ascii="Times New Roman" w:hAnsi="Times New Roman" w:eastAsia="等线" w:cs="Times New Roman"/>
                <w:color w:val="auto"/>
                <w:kern w:val="0"/>
                <w:sz w:val="20"/>
                <w:szCs w:val="20"/>
                <w:lang w:val="en-US" w:eastAsia="zh-CN" w:bidi="ar"/>
              </w:rPr>
              <w:t>2</w:t>
            </w:r>
          </w:p>
        </w:tc>
        <w:tc>
          <w:tcPr>
            <w:tcW w:w="831" w:type="dxa"/>
            <w:tcBorders>
              <w:top w:val="nil"/>
              <w:left w:val="nil"/>
              <w:bottom w:val="single" w:color="000000" w:sz="4" w:space="0"/>
              <w:right w:val="single" w:color="000000" w:sz="4" w:space="0"/>
            </w:tcBorders>
            <w:shd w:val="clear" w:color="auto" w:fill="auto"/>
            <w:noWrap/>
            <w:vAlign w:val="center"/>
          </w:tcPr>
          <w:p w14:paraId="7CB6D3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699" w:type="dxa"/>
            <w:tcBorders>
              <w:top w:val="nil"/>
              <w:left w:val="nil"/>
              <w:bottom w:val="single" w:color="000000" w:sz="4" w:space="0"/>
              <w:right w:val="single" w:color="000000" w:sz="4" w:space="0"/>
            </w:tcBorders>
            <w:shd w:val="clear" w:color="auto" w:fill="auto"/>
            <w:noWrap/>
            <w:vAlign w:val="center"/>
          </w:tcPr>
          <w:p w14:paraId="165F80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153" w:type="dxa"/>
            <w:tcBorders>
              <w:top w:val="nil"/>
              <w:left w:val="nil"/>
              <w:bottom w:val="single" w:color="000000" w:sz="4" w:space="0"/>
              <w:right w:val="single" w:color="000000" w:sz="4" w:space="0"/>
            </w:tcBorders>
            <w:shd w:val="clear" w:color="auto" w:fill="auto"/>
            <w:noWrap/>
            <w:vAlign w:val="center"/>
          </w:tcPr>
          <w:p w14:paraId="395224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661" w:type="dxa"/>
            <w:tcBorders>
              <w:top w:val="nil"/>
              <w:left w:val="nil"/>
              <w:bottom w:val="single" w:color="000000" w:sz="4" w:space="0"/>
              <w:right w:val="single" w:color="000000" w:sz="4" w:space="0"/>
            </w:tcBorders>
            <w:shd w:val="clear" w:color="auto" w:fill="auto"/>
            <w:noWrap/>
            <w:vAlign w:val="center"/>
          </w:tcPr>
          <w:p w14:paraId="362A00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775" w:type="dxa"/>
            <w:tcBorders>
              <w:top w:val="nil"/>
              <w:left w:val="nil"/>
              <w:bottom w:val="single" w:color="000000" w:sz="4" w:space="0"/>
              <w:right w:val="single" w:color="000000" w:sz="4" w:space="0"/>
            </w:tcBorders>
            <w:shd w:val="clear" w:color="auto" w:fill="auto"/>
            <w:noWrap/>
            <w:vAlign w:val="center"/>
          </w:tcPr>
          <w:p w14:paraId="3B725C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869" w:type="dxa"/>
            <w:tcBorders>
              <w:top w:val="nil"/>
              <w:left w:val="nil"/>
              <w:bottom w:val="single" w:color="000000" w:sz="4" w:space="0"/>
              <w:right w:val="single" w:color="000000" w:sz="4" w:space="0"/>
            </w:tcBorders>
            <w:shd w:val="clear" w:color="auto" w:fill="auto"/>
            <w:noWrap/>
            <w:vAlign w:val="center"/>
          </w:tcPr>
          <w:p w14:paraId="6B0BF5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680" w:type="dxa"/>
            <w:tcBorders>
              <w:top w:val="nil"/>
              <w:left w:val="nil"/>
              <w:bottom w:val="single" w:color="000000" w:sz="4" w:space="0"/>
              <w:right w:val="single" w:color="000000" w:sz="4" w:space="0"/>
            </w:tcBorders>
            <w:shd w:val="clear" w:color="auto" w:fill="auto"/>
            <w:noWrap/>
            <w:vAlign w:val="center"/>
          </w:tcPr>
          <w:p w14:paraId="57D4D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039" w:type="dxa"/>
            <w:tcBorders>
              <w:top w:val="nil"/>
              <w:left w:val="nil"/>
              <w:bottom w:val="single" w:color="000000" w:sz="4" w:space="0"/>
              <w:right w:val="single" w:color="000000" w:sz="4" w:space="0"/>
            </w:tcBorders>
            <w:shd w:val="clear" w:color="auto" w:fill="auto"/>
            <w:noWrap/>
            <w:vAlign w:val="center"/>
          </w:tcPr>
          <w:p w14:paraId="365D83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2760" w:type="dxa"/>
            <w:tcBorders>
              <w:top w:val="nil"/>
              <w:left w:val="nil"/>
              <w:bottom w:val="single" w:color="000000" w:sz="4" w:space="0"/>
              <w:right w:val="single" w:color="000000" w:sz="4" w:space="0"/>
            </w:tcBorders>
            <w:shd w:val="clear" w:color="auto" w:fill="auto"/>
            <w:noWrap/>
            <w:vAlign w:val="center"/>
          </w:tcPr>
          <w:p w14:paraId="640FD1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002" w:type="dxa"/>
            <w:tcBorders>
              <w:top w:val="nil"/>
              <w:left w:val="nil"/>
              <w:bottom w:val="single" w:color="000000" w:sz="4" w:space="0"/>
              <w:right w:val="single" w:color="000000" w:sz="4" w:space="0"/>
            </w:tcBorders>
            <w:shd w:val="clear" w:color="auto" w:fill="auto"/>
            <w:noWrap/>
            <w:vAlign w:val="center"/>
          </w:tcPr>
          <w:p w14:paraId="047EC1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209" w:type="dxa"/>
            <w:tcBorders>
              <w:top w:val="nil"/>
              <w:left w:val="nil"/>
              <w:bottom w:val="single" w:color="000000" w:sz="4" w:space="0"/>
              <w:right w:val="single" w:color="000000" w:sz="4" w:space="0"/>
            </w:tcBorders>
            <w:shd w:val="clear" w:color="auto" w:fill="auto"/>
            <w:noWrap/>
            <w:vAlign w:val="center"/>
          </w:tcPr>
          <w:p w14:paraId="78D678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228" w:type="dxa"/>
            <w:tcBorders>
              <w:top w:val="nil"/>
              <w:left w:val="nil"/>
              <w:bottom w:val="single" w:color="000000" w:sz="4" w:space="0"/>
              <w:right w:val="single" w:color="000000" w:sz="4" w:space="0"/>
            </w:tcBorders>
            <w:shd w:val="clear" w:color="auto" w:fill="auto"/>
            <w:noWrap/>
            <w:vAlign w:val="center"/>
          </w:tcPr>
          <w:p w14:paraId="46EE7A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228" w:type="dxa"/>
            <w:tcBorders>
              <w:top w:val="nil"/>
              <w:left w:val="nil"/>
              <w:bottom w:val="single" w:color="000000" w:sz="4" w:space="0"/>
              <w:right w:val="single" w:color="000000" w:sz="4" w:space="0"/>
            </w:tcBorders>
            <w:shd w:val="clear" w:color="auto" w:fill="auto"/>
            <w:noWrap/>
            <w:vAlign w:val="center"/>
          </w:tcPr>
          <w:p w14:paraId="65EF8C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r>
      <w:tr w14:paraId="68A63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768DC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0"/>
                <w:szCs w:val="20"/>
              </w:rPr>
            </w:pPr>
            <w:r>
              <w:rPr>
                <w:rFonts w:hint="default" w:ascii="Times New Roman" w:hAnsi="Times New Roman" w:eastAsia="等线" w:cs="Times New Roman"/>
                <w:color w:val="auto"/>
                <w:kern w:val="0"/>
                <w:sz w:val="20"/>
                <w:szCs w:val="20"/>
                <w:lang w:val="en-US" w:eastAsia="zh-CN" w:bidi="ar"/>
              </w:rPr>
              <w:t>3</w:t>
            </w:r>
          </w:p>
        </w:tc>
        <w:tc>
          <w:tcPr>
            <w:tcW w:w="831" w:type="dxa"/>
            <w:tcBorders>
              <w:top w:val="nil"/>
              <w:left w:val="nil"/>
              <w:bottom w:val="single" w:color="000000" w:sz="4" w:space="0"/>
              <w:right w:val="single" w:color="000000" w:sz="4" w:space="0"/>
            </w:tcBorders>
            <w:shd w:val="clear" w:color="auto" w:fill="auto"/>
            <w:noWrap/>
            <w:vAlign w:val="center"/>
          </w:tcPr>
          <w:p w14:paraId="3FFE9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699" w:type="dxa"/>
            <w:tcBorders>
              <w:top w:val="nil"/>
              <w:left w:val="nil"/>
              <w:bottom w:val="single" w:color="000000" w:sz="4" w:space="0"/>
              <w:right w:val="single" w:color="000000" w:sz="4" w:space="0"/>
            </w:tcBorders>
            <w:shd w:val="clear" w:color="auto" w:fill="auto"/>
            <w:noWrap/>
            <w:vAlign w:val="center"/>
          </w:tcPr>
          <w:p w14:paraId="7634E2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153" w:type="dxa"/>
            <w:tcBorders>
              <w:top w:val="nil"/>
              <w:left w:val="nil"/>
              <w:bottom w:val="single" w:color="000000" w:sz="4" w:space="0"/>
              <w:right w:val="single" w:color="000000" w:sz="4" w:space="0"/>
            </w:tcBorders>
            <w:shd w:val="clear" w:color="auto" w:fill="auto"/>
            <w:noWrap/>
            <w:vAlign w:val="center"/>
          </w:tcPr>
          <w:p w14:paraId="732C3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661" w:type="dxa"/>
            <w:tcBorders>
              <w:top w:val="nil"/>
              <w:left w:val="nil"/>
              <w:bottom w:val="single" w:color="000000" w:sz="4" w:space="0"/>
              <w:right w:val="single" w:color="000000" w:sz="4" w:space="0"/>
            </w:tcBorders>
            <w:shd w:val="clear" w:color="auto" w:fill="auto"/>
            <w:noWrap/>
            <w:vAlign w:val="center"/>
          </w:tcPr>
          <w:p w14:paraId="34ABA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775" w:type="dxa"/>
            <w:tcBorders>
              <w:top w:val="nil"/>
              <w:left w:val="nil"/>
              <w:bottom w:val="single" w:color="000000" w:sz="4" w:space="0"/>
              <w:right w:val="single" w:color="000000" w:sz="4" w:space="0"/>
            </w:tcBorders>
            <w:shd w:val="clear" w:color="auto" w:fill="auto"/>
            <w:noWrap/>
            <w:vAlign w:val="center"/>
          </w:tcPr>
          <w:p w14:paraId="0F6B47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869" w:type="dxa"/>
            <w:tcBorders>
              <w:top w:val="nil"/>
              <w:left w:val="nil"/>
              <w:bottom w:val="single" w:color="000000" w:sz="4" w:space="0"/>
              <w:right w:val="single" w:color="000000" w:sz="4" w:space="0"/>
            </w:tcBorders>
            <w:shd w:val="clear" w:color="auto" w:fill="auto"/>
            <w:noWrap/>
            <w:vAlign w:val="center"/>
          </w:tcPr>
          <w:p w14:paraId="6B7D75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680" w:type="dxa"/>
            <w:tcBorders>
              <w:top w:val="nil"/>
              <w:left w:val="nil"/>
              <w:bottom w:val="single" w:color="000000" w:sz="4" w:space="0"/>
              <w:right w:val="single" w:color="000000" w:sz="4" w:space="0"/>
            </w:tcBorders>
            <w:shd w:val="clear" w:color="auto" w:fill="auto"/>
            <w:noWrap/>
            <w:vAlign w:val="center"/>
          </w:tcPr>
          <w:p w14:paraId="61139C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039" w:type="dxa"/>
            <w:tcBorders>
              <w:top w:val="nil"/>
              <w:left w:val="nil"/>
              <w:bottom w:val="single" w:color="000000" w:sz="4" w:space="0"/>
              <w:right w:val="single" w:color="000000" w:sz="4" w:space="0"/>
            </w:tcBorders>
            <w:shd w:val="clear" w:color="auto" w:fill="auto"/>
            <w:noWrap/>
            <w:vAlign w:val="center"/>
          </w:tcPr>
          <w:p w14:paraId="60B7C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2760" w:type="dxa"/>
            <w:tcBorders>
              <w:top w:val="nil"/>
              <w:left w:val="nil"/>
              <w:bottom w:val="single" w:color="000000" w:sz="4" w:space="0"/>
              <w:right w:val="single" w:color="000000" w:sz="4" w:space="0"/>
            </w:tcBorders>
            <w:shd w:val="clear" w:color="auto" w:fill="auto"/>
            <w:noWrap/>
            <w:vAlign w:val="center"/>
          </w:tcPr>
          <w:p w14:paraId="4F5D5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002" w:type="dxa"/>
            <w:tcBorders>
              <w:top w:val="nil"/>
              <w:left w:val="nil"/>
              <w:bottom w:val="single" w:color="000000" w:sz="4" w:space="0"/>
              <w:right w:val="single" w:color="000000" w:sz="4" w:space="0"/>
            </w:tcBorders>
            <w:shd w:val="clear" w:color="auto" w:fill="auto"/>
            <w:noWrap/>
            <w:vAlign w:val="center"/>
          </w:tcPr>
          <w:p w14:paraId="0F4EF2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209" w:type="dxa"/>
            <w:tcBorders>
              <w:top w:val="nil"/>
              <w:left w:val="nil"/>
              <w:bottom w:val="single" w:color="000000" w:sz="4" w:space="0"/>
              <w:right w:val="single" w:color="000000" w:sz="4" w:space="0"/>
            </w:tcBorders>
            <w:shd w:val="clear" w:color="auto" w:fill="auto"/>
            <w:noWrap/>
            <w:vAlign w:val="center"/>
          </w:tcPr>
          <w:p w14:paraId="2B70E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228" w:type="dxa"/>
            <w:tcBorders>
              <w:top w:val="nil"/>
              <w:left w:val="nil"/>
              <w:bottom w:val="single" w:color="000000" w:sz="4" w:space="0"/>
              <w:right w:val="single" w:color="000000" w:sz="4" w:space="0"/>
            </w:tcBorders>
            <w:shd w:val="clear" w:color="auto" w:fill="auto"/>
            <w:noWrap/>
            <w:vAlign w:val="center"/>
          </w:tcPr>
          <w:p w14:paraId="446217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228" w:type="dxa"/>
            <w:tcBorders>
              <w:top w:val="nil"/>
              <w:left w:val="nil"/>
              <w:bottom w:val="single" w:color="000000" w:sz="4" w:space="0"/>
              <w:right w:val="single" w:color="000000" w:sz="4" w:space="0"/>
            </w:tcBorders>
            <w:shd w:val="clear" w:color="auto" w:fill="auto"/>
            <w:noWrap/>
            <w:vAlign w:val="center"/>
          </w:tcPr>
          <w:p w14:paraId="4BBFF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r>
      <w:tr w14:paraId="15BC2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718" w:type="dxa"/>
            <w:tcBorders>
              <w:top w:val="nil"/>
              <w:left w:val="single" w:color="000000" w:sz="4" w:space="0"/>
              <w:bottom w:val="single" w:color="auto" w:sz="4" w:space="0"/>
              <w:right w:val="single" w:color="000000" w:sz="4" w:space="0"/>
            </w:tcBorders>
            <w:shd w:val="clear" w:color="auto" w:fill="auto"/>
            <w:noWrap/>
            <w:vAlign w:val="center"/>
          </w:tcPr>
          <w:p w14:paraId="4344A6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0"/>
                <w:szCs w:val="20"/>
              </w:rPr>
            </w:pPr>
            <w:r>
              <w:rPr>
                <w:rFonts w:hint="default" w:ascii="Times New Roman" w:hAnsi="Times New Roman" w:eastAsia="等线" w:cs="Times New Roman"/>
                <w:color w:val="auto"/>
                <w:kern w:val="0"/>
                <w:sz w:val="20"/>
                <w:szCs w:val="20"/>
                <w:lang w:val="en-US" w:eastAsia="zh-CN" w:bidi="ar"/>
              </w:rPr>
              <w:t>4</w:t>
            </w:r>
          </w:p>
        </w:tc>
        <w:tc>
          <w:tcPr>
            <w:tcW w:w="831" w:type="dxa"/>
            <w:tcBorders>
              <w:top w:val="nil"/>
              <w:left w:val="nil"/>
              <w:bottom w:val="single" w:color="auto" w:sz="4" w:space="0"/>
              <w:right w:val="single" w:color="000000" w:sz="4" w:space="0"/>
            </w:tcBorders>
            <w:shd w:val="clear" w:color="auto" w:fill="auto"/>
            <w:noWrap/>
            <w:vAlign w:val="center"/>
          </w:tcPr>
          <w:p w14:paraId="46CBCB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699" w:type="dxa"/>
            <w:tcBorders>
              <w:top w:val="nil"/>
              <w:left w:val="nil"/>
              <w:bottom w:val="single" w:color="auto" w:sz="4" w:space="0"/>
              <w:right w:val="single" w:color="000000" w:sz="4" w:space="0"/>
            </w:tcBorders>
            <w:shd w:val="clear" w:color="auto" w:fill="auto"/>
            <w:noWrap/>
            <w:vAlign w:val="center"/>
          </w:tcPr>
          <w:p w14:paraId="711C06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153" w:type="dxa"/>
            <w:tcBorders>
              <w:top w:val="nil"/>
              <w:left w:val="nil"/>
              <w:bottom w:val="single" w:color="auto" w:sz="4" w:space="0"/>
              <w:right w:val="single" w:color="000000" w:sz="4" w:space="0"/>
            </w:tcBorders>
            <w:shd w:val="clear" w:color="auto" w:fill="auto"/>
            <w:noWrap/>
            <w:vAlign w:val="center"/>
          </w:tcPr>
          <w:p w14:paraId="4E13F8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661" w:type="dxa"/>
            <w:tcBorders>
              <w:top w:val="nil"/>
              <w:left w:val="nil"/>
              <w:bottom w:val="single" w:color="auto" w:sz="4" w:space="0"/>
              <w:right w:val="single" w:color="000000" w:sz="4" w:space="0"/>
            </w:tcBorders>
            <w:shd w:val="clear" w:color="auto" w:fill="auto"/>
            <w:noWrap/>
            <w:vAlign w:val="center"/>
          </w:tcPr>
          <w:p w14:paraId="31A823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775" w:type="dxa"/>
            <w:tcBorders>
              <w:top w:val="nil"/>
              <w:left w:val="nil"/>
              <w:bottom w:val="single" w:color="auto" w:sz="4" w:space="0"/>
              <w:right w:val="single" w:color="000000" w:sz="4" w:space="0"/>
            </w:tcBorders>
            <w:shd w:val="clear" w:color="auto" w:fill="auto"/>
            <w:noWrap/>
            <w:vAlign w:val="center"/>
          </w:tcPr>
          <w:p w14:paraId="4BB2A2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869" w:type="dxa"/>
            <w:tcBorders>
              <w:top w:val="nil"/>
              <w:left w:val="nil"/>
              <w:bottom w:val="single" w:color="auto" w:sz="4" w:space="0"/>
              <w:right w:val="single" w:color="000000" w:sz="4" w:space="0"/>
            </w:tcBorders>
            <w:shd w:val="clear" w:color="auto" w:fill="auto"/>
            <w:noWrap/>
            <w:vAlign w:val="center"/>
          </w:tcPr>
          <w:p w14:paraId="7D2BAC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680" w:type="dxa"/>
            <w:tcBorders>
              <w:top w:val="nil"/>
              <w:left w:val="nil"/>
              <w:bottom w:val="single" w:color="auto" w:sz="4" w:space="0"/>
              <w:right w:val="single" w:color="000000" w:sz="4" w:space="0"/>
            </w:tcBorders>
            <w:shd w:val="clear" w:color="auto" w:fill="auto"/>
            <w:noWrap/>
            <w:vAlign w:val="center"/>
          </w:tcPr>
          <w:p w14:paraId="7D24B3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039" w:type="dxa"/>
            <w:tcBorders>
              <w:top w:val="nil"/>
              <w:left w:val="nil"/>
              <w:bottom w:val="single" w:color="auto" w:sz="4" w:space="0"/>
              <w:right w:val="single" w:color="000000" w:sz="4" w:space="0"/>
            </w:tcBorders>
            <w:shd w:val="clear" w:color="auto" w:fill="auto"/>
            <w:noWrap/>
            <w:vAlign w:val="center"/>
          </w:tcPr>
          <w:p w14:paraId="3159E0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2760" w:type="dxa"/>
            <w:tcBorders>
              <w:top w:val="nil"/>
              <w:left w:val="nil"/>
              <w:bottom w:val="single" w:color="auto" w:sz="4" w:space="0"/>
              <w:right w:val="single" w:color="000000" w:sz="4" w:space="0"/>
            </w:tcBorders>
            <w:shd w:val="clear" w:color="auto" w:fill="auto"/>
            <w:noWrap/>
            <w:vAlign w:val="center"/>
          </w:tcPr>
          <w:p w14:paraId="124B3B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002" w:type="dxa"/>
            <w:tcBorders>
              <w:top w:val="nil"/>
              <w:left w:val="nil"/>
              <w:bottom w:val="single" w:color="auto" w:sz="4" w:space="0"/>
              <w:right w:val="single" w:color="000000" w:sz="4" w:space="0"/>
            </w:tcBorders>
            <w:shd w:val="clear" w:color="auto" w:fill="auto"/>
            <w:noWrap/>
            <w:vAlign w:val="center"/>
          </w:tcPr>
          <w:p w14:paraId="1520D1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209" w:type="dxa"/>
            <w:tcBorders>
              <w:top w:val="nil"/>
              <w:left w:val="nil"/>
              <w:bottom w:val="single" w:color="auto" w:sz="4" w:space="0"/>
              <w:right w:val="single" w:color="000000" w:sz="4" w:space="0"/>
            </w:tcBorders>
            <w:shd w:val="clear" w:color="auto" w:fill="auto"/>
            <w:noWrap/>
            <w:vAlign w:val="center"/>
          </w:tcPr>
          <w:p w14:paraId="3B324F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228" w:type="dxa"/>
            <w:tcBorders>
              <w:top w:val="nil"/>
              <w:left w:val="nil"/>
              <w:bottom w:val="single" w:color="auto" w:sz="4" w:space="0"/>
              <w:right w:val="single" w:color="000000" w:sz="4" w:space="0"/>
            </w:tcBorders>
            <w:shd w:val="clear" w:color="auto" w:fill="auto"/>
            <w:noWrap/>
            <w:vAlign w:val="center"/>
          </w:tcPr>
          <w:p w14:paraId="24CA1C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228" w:type="dxa"/>
            <w:tcBorders>
              <w:top w:val="nil"/>
              <w:left w:val="nil"/>
              <w:bottom w:val="single" w:color="auto" w:sz="4" w:space="0"/>
              <w:right w:val="single" w:color="000000" w:sz="4" w:space="0"/>
            </w:tcBorders>
            <w:shd w:val="clear" w:color="auto" w:fill="auto"/>
            <w:noWrap/>
            <w:vAlign w:val="center"/>
          </w:tcPr>
          <w:p w14:paraId="3017E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r>
      <w:tr w14:paraId="60FB5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558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0"/>
                <w:szCs w:val="20"/>
              </w:rPr>
            </w:pPr>
            <w:r>
              <w:rPr>
                <w:rFonts w:hint="default" w:ascii="Times New Roman" w:hAnsi="Times New Roman" w:eastAsia="等线" w:cs="Times New Roman"/>
                <w:color w:val="auto"/>
                <w:kern w:val="0"/>
                <w:sz w:val="20"/>
                <w:szCs w:val="20"/>
                <w:lang w:val="en-US" w:eastAsia="zh-CN" w:bidi="ar"/>
              </w:rPr>
              <w:t>5</w:t>
            </w:r>
          </w:p>
        </w:tc>
        <w:tc>
          <w:tcPr>
            <w:tcW w:w="831" w:type="dxa"/>
            <w:tcBorders>
              <w:top w:val="single" w:color="auto" w:sz="4" w:space="0"/>
              <w:left w:val="nil"/>
              <w:bottom w:val="single" w:color="auto" w:sz="4" w:space="0"/>
              <w:right w:val="single" w:color="auto" w:sz="4" w:space="0"/>
            </w:tcBorders>
            <w:shd w:val="clear" w:color="auto" w:fill="auto"/>
            <w:noWrap/>
            <w:vAlign w:val="center"/>
          </w:tcPr>
          <w:p w14:paraId="62CFF0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699" w:type="dxa"/>
            <w:tcBorders>
              <w:top w:val="single" w:color="auto" w:sz="4" w:space="0"/>
              <w:left w:val="nil"/>
              <w:bottom w:val="single" w:color="auto" w:sz="4" w:space="0"/>
              <w:right w:val="single" w:color="auto" w:sz="4" w:space="0"/>
            </w:tcBorders>
            <w:shd w:val="clear" w:color="auto" w:fill="auto"/>
            <w:noWrap/>
            <w:vAlign w:val="center"/>
          </w:tcPr>
          <w:p w14:paraId="25B92D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153" w:type="dxa"/>
            <w:tcBorders>
              <w:top w:val="single" w:color="auto" w:sz="4" w:space="0"/>
              <w:left w:val="nil"/>
              <w:bottom w:val="single" w:color="auto" w:sz="4" w:space="0"/>
              <w:right w:val="single" w:color="auto" w:sz="4" w:space="0"/>
            </w:tcBorders>
            <w:shd w:val="clear" w:color="auto" w:fill="auto"/>
            <w:noWrap/>
            <w:vAlign w:val="center"/>
          </w:tcPr>
          <w:p w14:paraId="3A816A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661" w:type="dxa"/>
            <w:tcBorders>
              <w:top w:val="single" w:color="auto" w:sz="4" w:space="0"/>
              <w:left w:val="nil"/>
              <w:bottom w:val="single" w:color="auto" w:sz="4" w:space="0"/>
              <w:right w:val="single" w:color="auto" w:sz="4" w:space="0"/>
            </w:tcBorders>
            <w:shd w:val="clear" w:color="auto" w:fill="auto"/>
            <w:noWrap/>
            <w:vAlign w:val="center"/>
          </w:tcPr>
          <w:p w14:paraId="4BA7C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775" w:type="dxa"/>
            <w:tcBorders>
              <w:top w:val="single" w:color="auto" w:sz="4" w:space="0"/>
              <w:left w:val="nil"/>
              <w:bottom w:val="single" w:color="auto" w:sz="4" w:space="0"/>
              <w:right w:val="single" w:color="auto" w:sz="4" w:space="0"/>
            </w:tcBorders>
            <w:shd w:val="clear" w:color="auto" w:fill="auto"/>
            <w:noWrap/>
            <w:vAlign w:val="center"/>
          </w:tcPr>
          <w:p w14:paraId="47841B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869" w:type="dxa"/>
            <w:tcBorders>
              <w:top w:val="single" w:color="auto" w:sz="4" w:space="0"/>
              <w:left w:val="nil"/>
              <w:bottom w:val="single" w:color="auto" w:sz="4" w:space="0"/>
              <w:right w:val="single" w:color="auto" w:sz="4" w:space="0"/>
            </w:tcBorders>
            <w:shd w:val="clear" w:color="auto" w:fill="auto"/>
            <w:noWrap/>
            <w:vAlign w:val="center"/>
          </w:tcPr>
          <w:p w14:paraId="773B9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680" w:type="dxa"/>
            <w:tcBorders>
              <w:top w:val="single" w:color="auto" w:sz="4" w:space="0"/>
              <w:left w:val="nil"/>
              <w:bottom w:val="single" w:color="auto" w:sz="4" w:space="0"/>
              <w:right w:val="single" w:color="auto" w:sz="4" w:space="0"/>
            </w:tcBorders>
            <w:shd w:val="clear" w:color="auto" w:fill="auto"/>
            <w:noWrap/>
            <w:vAlign w:val="center"/>
          </w:tcPr>
          <w:p w14:paraId="312406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039" w:type="dxa"/>
            <w:tcBorders>
              <w:top w:val="single" w:color="auto" w:sz="4" w:space="0"/>
              <w:left w:val="nil"/>
              <w:bottom w:val="single" w:color="auto" w:sz="4" w:space="0"/>
              <w:right w:val="single" w:color="auto" w:sz="4" w:space="0"/>
            </w:tcBorders>
            <w:shd w:val="clear" w:color="auto" w:fill="auto"/>
            <w:noWrap/>
            <w:vAlign w:val="center"/>
          </w:tcPr>
          <w:p w14:paraId="00249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2760" w:type="dxa"/>
            <w:tcBorders>
              <w:top w:val="single" w:color="auto" w:sz="4" w:space="0"/>
              <w:left w:val="nil"/>
              <w:bottom w:val="single" w:color="auto" w:sz="4" w:space="0"/>
              <w:right w:val="single" w:color="auto" w:sz="4" w:space="0"/>
            </w:tcBorders>
            <w:shd w:val="clear" w:color="auto" w:fill="auto"/>
            <w:noWrap/>
            <w:vAlign w:val="center"/>
          </w:tcPr>
          <w:p w14:paraId="5818C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002" w:type="dxa"/>
            <w:tcBorders>
              <w:top w:val="single" w:color="auto" w:sz="4" w:space="0"/>
              <w:left w:val="nil"/>
              <w:bottom w:val="single" w:color="auto" w:sz="4" w:space="0"/>
              <w:right w:val="single" w:color="auto" w:sz="4" w:space="0"/>
            </w:tcBorders>
            <w:shd w:val="clear" w:color="auto" w:fill="auto"/>
            <w:noWrap/>
            <w:vAlign w:val="center"/>
          </w:tcPr>
          <w:p w14:paraId="425266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209" w:type="dxa"/>
            <w:tcBorders>
              <w:top w:val="single" w:color="auto" w:sz="4" w:space="0"/>
              <w:left w:val="nil"/>
              <w:bottom w:val="single" w:color="auto" w:sz="4" w:space="0"/>
              <w:right w:val="single" w:color="auto" w:sz="4" w:space="0"/>
            </w:tcBorders>
            <w:shd w:val="clear" w:color="auto" w:fill="auto"/>
            <w:noWrap/>
            <w:vAlign w:val="center"/>
          </w:tcPr>
          <w:p w14:paraId="730403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7B64E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1504E7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r>
      <w:tr w14:paraId="4811E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F3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0"/>
                <w:szCs w:val="20"/>
              </w:rPr>
            </w:pPr>
            <w:r>
              <w:rPr>
                <w:rFonts w:hint="default" w:ascii="Times New Roman" w:hAnsi="Times New Roman" w:eastAsia="等线" w:cs="Times New Roman"/>
                <w:color w:val="auto"/>
                <w:kern w:val="0"/>
                <w:sz w:val="20"/>
                <w:szCs w:val="20"/>
                <w:lang w:val="en-US" w:eastAsia="zh-CN" w:bidi="ar"/>
              </w:rPr>
              <w:t>6</w:t>
            </w:r>
          </w:p>
        </w:tc>
        <w:tc>
          <w:tcPr>
            <w:tcW w:w="831" w:type="dxa"/>
            <w:tcBorders>
              <w:top w:val="single" w:color="auto" w:sz="4" w:space="0"/>
              <w:left w:val="nil"/>
              <w:bottom w:val="single" w:color="auto" w:sz="4" w:space="0"/>
              <w:right w:val="single" w:color="auto" w:sz="4" w:space="0"/>
            </w:tcBorders>
            <w:shd w:val="clear" w:color="auto" w:fill="auto"/>
            <w:noWrap/>
            <w:vAlign w:val="center"/>
          </w:tcPr>
          <w:p w14:paraId="78EA9E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699" w:type="dxa"/>
            <w:tcBorders>
              <w:top w:val="single" w:color="auto" w:sz="4" w:space="0"/>
              <w:left w:val="nil"/>
              <w:bottom w:val="single" w:color="auto" w:sz="4" w:space="0"/>
              <w:right w:val="single" w:color="auto" w:sz="4" w:space="0"/>
            </w:tcBorders>
            <w:shd w:val="clear" w:color="auto" w:fill="auto"/>
            <w:noWrap/>
            <w:vAlign w:val="center"/>
          </w:tcPr>
          <w:p w14:paraId="60021F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153" w:type="dxa"/>
            <w:tcBorders>
              <w:top w:val="single" w:color="auto" w:sz="4" w:space="0"/>
              <w:left w:val="nil"/>
              <w:bottom w:val="single" w:color="auto" w:sz="4" w:space="0"/>
              <w:right w:val="single" w:color="auto" w:sz="4" w:space="0"/>
            </w:tcBorders>
            <w:shd w:val="clear" w:color="auto" w:fill="auto"/>
            <w:noWrap/>
            <w:vAlign w:val="center"/>
          </w:tcPr>
          <w:p w14:paraId="3744B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661" w:type="dxa"/>
            <w:tcBorders>
              <w:top w:val="single" w:color="auto" w:sz="4" w:space="0"/>
              <w:left w:val="nil"/>
              <w:bottom w:val="single" w:color="auto" w:sz="4" w:space="0"/>
              <w:right w:val="single" w:color="auto" w:sz="4" w:space="0"/>
            </w:tcBorders>
            <w:shd w:val="clear" w:color="auto" w:fill="auto"/>
            <w:noWrap/>
            <w:vAlign w:val="center"/>
          </w:tcPr>
          <w:p w14:paraId="0A5A9F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775" w:type="dxa"/>
            <w:tcBorders>
              <w:top w:val="single" w:color="auto" w:sz="4" w:space="0"/>
              <w:left w:val="nil"/>
              <w:bottom w:val="single" w:color="auto" w:sz="4" w:space="0"/>
              <w:right w:val="single" w:color="auto" w:sz="4" w:space="0"/>
            </w:tcBorders>
            <w:shd w:val="clear" w:color="auto" w:fill="auto"/>
            <w:noWrap/>
            <w:vAlign w:val="center"/>
          </w:tcPr>
          <w:p w14:paraId="7C8A5E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869" w:type="dxa"/>
            <w:tcBorders>
              <w:top w:val="single" w:color="auto" w:sz="4" w:space="0"/>
              <w:left w:val="nil"/>
              <w:bottom w:val="single" w:color="auto" w:sz="4" w:space="0"/>
              <w:right w:val="single" w:color="auto" w:sz="4" w:space="0"/>
            </w:tcBorders>
            <w:shd w:val="clear" w:color="auto" w:fill="auto"/>
            <w:noWrap/>
            <w:vAlign w:val="center"/>
          </w:tcPr>
          <w:p w14:paraId="3A830B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680" w:type="dxa"/>
            <w:tcBorders>
              <w:top w:val="single" w:color="auto" w:sz="4" w:space="0"/>
              <w:left w:val="nil"/>
              <w:bottom w:val="single" w:color="auto" w:sz="4" w:space="0"/>
              <w:right w:val="single" w:color="auto" w:sz="4" w:space="0"/>
            </w:tcBorders>
            <w:shd w:val="clear" w:color="auto" w:fill="auto"/>
            <w:noWrap/>
            <w:vAlign w:val="center"/>
          </w:tcPr>
          <w:p w14:paraId="78DCA3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039" w:type="dxa"/>
            <w:tcBorders>
              <w:top w:val="single" w:color="auto" w:sz="4" w:space="0"/>
              <w:left w:val="nil"/>
              <w:bottom w:val="single" w:color="auto" w:sz="4" w:space="0"/>
              <w:right w:val="single" w:color="auto" w:sz="4" w:space="0"/>
            </w:tcBorders>
            <w:shd w:val="clear" w:color="auto" w:fill="auto"/>
            <w:noWrap/>
            <w:vAlign w:val="center"/>
          </w:tcPr>
          <w:p w14:paraId="6AFB1B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2760" w:type="dxa"/>
            <w:tcBorders>
              <w:top w:val="single" w:color="auto" w:sz="4" w:space="0"/>
              <w:left w:val="nil"/>
              <w:bottom w:val="single" w:color="auto" w:sz="4" w:space="0"/>
              <w:right w:val="single" w:color="auto" w:sz="4" w:space="0"/>
            </w:tcBorders>
            <w:shd w:val="clear" w:color="auto" w:fill="auto"/>
            <w:noWrap/>
            <w:vAlign w:val="center"/>
          </w:tcPr>
          <w:p w14:paraId="13A84D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002" w:type="dxa"/>
            <w:tcBorders>
              <w:top w:val="single" w:color="auto" w:sz="4" w:space="0"/>
              <w:left w:val="nil"/>
              <w:bottom w:val="single" w:color="auto" w:sz="4" w:space="0"/>
              <w:right w:val="single" w:color="auto" w:sz="4" w:space="0"/>
            </w:tcBorders>
            <w:shd w:val="clear" w:color="auto" w:fill="auto"/>
            <w:noWrap/>
            <w:vAlign w:val="center"/>
          </w:tcPr>
          <w:p w14:paraId="621237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209" w:type="dxa"/>
            <w:tcBorders>
              <w:top w:val="single" w:color="auto" w:sz="4" w:space="0"/>
              <w:left w:val="nil"/>
              <w:bottom w:val="single" w:color="auto" w:sz="4" w:space="0"/>
              <w:right w:val="single" w:color="auto" w:sz="4" w:space="0"/>
            </w:tcBorders>
            <w:shd w:val="clear" w:color="auto" w:fill="auto"/>
            <w:noWrap/>
            <w:vAlign w:val="center"/>
          </w:tcPr>
          <w:p w14:paraId="7F1B53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149EF2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260674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等线" w:cs="Times New Roman"/>
                <w:color w:val="auto"/>
                <w:kern w:val="0"/>
                <w:sz w:val="22"/>
                <w:szCs w:val="22"/>
              </w:rPr>
            </w:pPr>
          </w:p>
        </w:tc>
      </w:tr>
    </w:tbl>
    <w:p w14:paraId="1E9912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left="0" w:right="0" w:firstLine="384" w:firstLineChars="200"/>
        <w:jc w:val="both"/>
        <w:textAlignment w:val="auto"/>
        <w:rPr>
          <w:rFonts w:hint="eastAsia" w:ascii="楷体_GB2312" w:hAnsi="Times New Roman" w:eastAsia="楷体_GB2312" w:cs="楷体_GB2312"/>
          <w:b/>
          <w:bCs/>
          <w:color w:val="auto"/>
          <w:spacing w:val="-4"/>
          <w:kern w:val="2"/>
          <w:sz w:val="20"/>
          <w:szCs w:val="20"/>
          <w:lang w:val="en-US" w:eastAsia="zh-CN" w:bidi="ar"/>
        </w:rPr>
      </w:pPr>
    </w:p>
    <w:p w14:paraId="54EE6F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left="0" w:right="0" w:firstLine="384" w:firstLineChars="200"/>
        <w:jc w:val="both"/>
        <w:textAlignment w:val="auto"/>
        <w:rPr>
          <w:rFonts w:hint="eastAsia" w:ascii="楷体_GB2312" w:hAnsi="Times New Roman" w:eastAsia="楷体_GB2312" w:cs="Times New Roman"/>
          <w:b/>
          <w:bCs/>
          <w:color w:val="auto"/>
          <w:spacing w:val="-4"/>
          <w:kern w:val="2"/>
          <w:sz w:val="20"/>
          <w:szCs w:val="20"/>
        </w:rPr>
      </w:pPr>
      <w:r>
        <w:rPr>
          <w:rFonts w:hint="eastAsia" w:ascii="楷体_GB2312" w:hAnsi="Times New Roman" w:eastAsia="楷体_GB2312" w:cs="楷体_GB2312"/>
          <w:b/>
          <w:bCs/>
          <w:color w:val="auto"/>
          <w:spacing w:val="-4"/>
          <w:kern w:val="2"/>
          <w:sz w:val="20"/>
          <w:szCs w:val="20"/>
          <w:lang w:val="en-US" w:eastAsia="zh-CN" w:bidi="ar"/>
        </w:rPr>
        <w:t>区（市）工信主管部门（盖章）</w:t>
      </w:r>
      <w:r>
        <w:rPr>
          <w:rFonts w:hint="eastAsia" w:ascii="楷体_GB2312" w:hAnsi="Times New Roman" w:eastAsia="楷体_GB2312" w:cs="Times New Roman"/>
          <w:b/>
          <w:bCs/>
          <w:color w:val="auto"/>
          <w:spacing w:val="-4"/>
          <w:kern w:val="2"/>
          <w:sz w:val="20"/>
          <w:szCs w:val="20"/>
          <w:lang w:val="en-US" w:eastAsia="zh-CN" w:bidi="ar"/>
        </w:rPr>
        <w:t xml:space="preserve">                                                         </w:t>
      </w:r>
      <w:r>
        <w:rPr>
          <w:rFonts w:hint="eastAsia" w:ascii="楷体_GB2312" w:hAnsi="Times New Roman" w:eastAsia="楷体_GB2312" w:cs="楷体_GB2312"/>
          <w:b/>
          <w:bCs/>
          <w:color w:val="auto"/>
          <w:spacing w:val="-4"/>
          <w:kern w:val="2"/>
          <w:sz w:val="20"/>
          <w:szCs w:val="20"/>
          <w:lang w:val="en-US" w:eastAsia="zh-CN" w:bidi="ar"/>
        </w:rPr>
        <w:t>区（市）财政局（盖章）</w:t>
      </w:r>
    </w:p>
    <w:p w14:paraId="070E38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left="0" w:right="0" w:firstLine="464" w:firstLineChars="200"/>
        <w:jc w:val="both"/>
        <w:textAlignment w:val="auto"/>
        <w:rPr>
          <w:rFonts w:ascii="Times New Roman" w:hAnsi="Times New Roman" w:eastAsia="仿宋_GB2312" w:cs="Times New Roman"/>
          <w:color w:val="auto"/>
          <w:spacing w:val="-4"/>
          <w:sz w:val="32"/>
          <w:szCs w:val="32"/>
        </w:rPr>
      </w:pPr>
      <w:r>
        <w:rPr>
          <w:rFonts w:hint="eastAsia" w:ascii="楷体_GB2312" w:hAnsi="Calibri" w:eastAsia="楷体_GB2312" w:cs="楷体_GB2312"/>
          <w:color w:val="auto"/>
          <w:spacing w:val="-4"/>
          <w:kern w:val="2"/>
          <w:sz w:val="24"/>
          <w:szCs w:val="24"/>
          <w:lang w:val="en-US" w:eastAsia="zh-CN" w:bidi="ar"/>
        </w:rPr>
        <w:t>注：企业申报的设备购置额和经现场审核的设备购置额，务必与系统上传的保持一致。</w:t>
      </w:r>
    </w:p>
    <w:sectPr>
      <w:footerReference r:id="rId4" w:type="default"/>
      <w:pgSz w:w="16838" w:h="11906" w:orient="landscape"/>
      <w:pgMar w:top="567" w:right="567" w:bottom="567" w:left="567" w:header="851" w:footer="153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B0604020002020204"/>
    <w:charset w:val="00"/>
    <w:family w:val="auto"/>
    <w:pitch w:val="default"/>
    <w:sig w:usb0="00000000" w:usb1="00000000" w:usb2="00000000" w:usb3="00000000" w:csb0="00000000" w:csb1="00000000"/>
  </w:font>
  <w:font w:name="KaiTi_GB2312">
    <w:altName w:val="楷体"/>
    <w:panose1 w:val="020B0604020002020204"/>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8115"/>
    </w:sdtPr>
    <w:sdtEndPr>
      <w:rPr>
        <w:rFonts w:ascii="Times New Roman" w:hAnsi="Times New Roman" w:cs="Times New Roman"/>
        <w:sz w:val="28"/>
        <w:szCs w:val="28"/>
      </w:rPr>
    </w:sdtEndPr>
    <w:sdtContent>
      <w:p w14:paraId="374D46B2">
        <w:pPr>
          <w:pStyle w:val="6"/>
          <w:jc w:val="center"/>
          <w:rPr>
            <w:rFonts w:ascii="Times New Roman" w:hAnsi="Times New Roman" w:cs="Times New Roman"/>
            <w:sz w:val="28"/>
            <w:szCs w:val="28"/>
          </w:rPr>
        </w:pPr>
        <w:r>
          <w:rPr>
            <w:rFonts w:hint="eastAsia" w:ascii="Times New Roman" w:hAnsi="Times New Roman" w:cs="Times New Roman"/>
            <w:sz w:val="32"/>
            <w:szCs w:val="4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ascii="Times New Roman" w:hAnsi="Times New Roman" w:cs="Times New Roman"/>
            <w:sz w:val="32"/>
            <w:szCs w:val="4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3664581"/>
    </w:sdtPr>
    <w:sdtEndPr>
      <w:rPr>
        <w:rFonts w:ascii="Times New Roman" w:hAnsi="Times New Roman" w:cs="Times New Roman"/>
        <w:sz w:val="28"/>
        <w:szCs w:val="28"/>
      </w:rPr>
    </w:sdtEndPr>
    <w:sdtContent>
      <w:p w14:paraId="797095EF">
        <w:pPr>
          <w:pStyle w:val="6"/>
          <w:jc w:val="center"/>
          <w:rPr>
            <w:rFonts w:ascii="Times New Roman" w:hAnsi="Times New Roman" w:cs="Times New Roman"/>
            <w:sz w:val="28"/>
            <w:szCs w:val="28"/>
          </w:rPr>
        </w:pPr>
        <w:r>
          <w:rPr>
            <w:rFonts w:hint="eastAsia" w:ascii="Times New Roman" w:hAnsi="Times New Roman" w:cs="Times New Roman"/>
            <w:sz w:val="32"/>
            <w:szCs w:val="4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ascii="Times New Roman" w:hAnsi="Times New Roman" w:cs="Times New Roman"/>
            <w:sz w:val="32"/>
            <w:szCs w:val="48"/>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82FEA6"/>
    <w:multiLevelType w:val="singleLevel"/>
    <w:tmpl w:val="D282FEA6"/>
    <w:lvl w:ilvl="0" w:tentative="0">
      <w:start w:val="4"/>
      <w:numFmt w:val="chineseCounting"/>
      <w:suff w:val="nothing"/>
      <w:lvlText w:val="%1、"/>
      <w:lvlJc w:val="left"/>
      <w:rPr>
        <w:rFonts w:hint="eastAsia"/>
      </w:rPr>
    </w:lvl>
  </w:abstractNum>
  <w:abstractNum w:abstractNumId="1">
    <w:nsid w:val="FBCFC4BB"/>
    <w:multiLevelType w:val="singleLevel"/>
    <w:tmpl w:val="FBCFC4BB"/>
    <w:lvl w:ilvl="0" w:tentative="0">
      <w:start w:val="12"/>
      <w:numFmt w:val="chineseCounting"/>
      <w:suff w:val="nothing"/>
      <w:lvlText w:val="（%1）"/>
      <w:lvlJc w:val="left"/>
      <w:rPr>
        <w:rFonts w:hint="eastAsia"/>
      </w:rPr>
    </w:lvl>
  </w:abstractNum>
  <w:abstractNum w:abstractNumId="2">
    <w:nsid w:val="2BB904B9"/>
    <w:multiLevelType w:val="singleLevel"/>
    <w:tmpl w:val="2BB904B9"/>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iM2UzMDc1YjFlM2Q1ODUyZWMzZTJjNDJlMjNjZjIifQ=="/>
  </w:docVars>
  <w:rsids>
    <w:rsidRoot w:val="735E5951"/>
    <w:rsid w:val="00001874"/>
    <w:rsid w:val="00005CB5"/>
    <w:rsid w:val="00007CB8"/>
    <w:rsid w:val="000105D9"/>
    <w:rsid w:val="0001217F"/>
    <w:rsid w:val="00016AE8"/>
    <w:rsid w:val="000358A0"/>
    <w:rsid w:val="000405F7"/>
    <w:rsid w:val="00041945"/>
    <w:rsid w:val="00053D20"/>
    <w:rsid w:val="0006297A"/>
    <w:rsid w:val="0006368D"/>
    <w:rsid w:val="00065E3F"/>
    <w:rsid w:val="00067913"/>
    <w:rsid w:val="00067BBE"/>
    <w:rsid w:val="000713F9"/>
    <w:rsid w:val="0008383E"/>
    <w:rsid w:val="000856EB"/>
    <w:rsid w:val="0009425B"/>
    <w:rsid w:val="00095238"/>
    <w:rsid w:val="000A1979"/>
    <w:rsid w:val="000B2889"/>
    <w:rsid w:val="000B2C47"/>
    <w:rsid w:val="000B776C"/>
    <w:rsid w:val="000D526D"/>
    <w:rsid w:val="000E6F54"/>
    <w:rsid w:val="000F31C0"/>
    <w:rsid w:val="001011C5"/>
    <w:rsid w:val="001020F1"/>
    <w:rsid w:val="001049D2"/>
    <w:rsid w:val="001133BF"/>
    <w:rsid w:val="00120543"/>
    <w:rsid w:val="001330DC"/>
    <w:rsid w:val="00133308"/>
    <w:rsid w:val="001476CE"/>
    <w:rsid w:val="00153257"/>
    <w:rsid w:val="0016043E"/>
    <w:rsid w:val="00162665"/>
    <w:rsid w:val="00163E66"/>
    <w:rsid w:val="00173D93"/>
    <w:rsid w:val="001915CE"/>
    <w:rsid w:val="0019196F"/>
    <w:rsid w:val="001925DD"/>
    <w:rsid w:val="00193FA3"/>
    <w:rsid w:val="001946F7"/>
    <w:rsid w:val="001A2974"/>
    <w:rsid w:val="001C201C"/>
    <w:rsid w:val="001C267B"/>
    <w:rsid w:val="001C3145"/>
    <w:rsid w:val="001C41A7"/>
    <w:rsid w:val="001C5DE8"/>
    <w:rsid w:val="001C6D90"/>
    <w:rsid w:val="001C718E"/>
    <w:rsid w:val="001D5B04"/>
    <w:rsid w:val="001E1463"/>
    <w:rsid w:val="001E1FD7"/>
    <w:rsid w:val="001F528E"/>
    <w:rsid w:val="0021141B"/>
    <w:rsid w:val="00215414"/>
    <w:rsid w:val="00215D00"/>
    <w:rsid w:val="00220557"/>
    <w:rsid w:val="00222932"/>
    <w:rsid w:val="00225499"/>
    <w:rsid w:val="002254F8"/>
    <w:rsid w:val="0024308D"/>
    <w:rsid w:val="0025199E"/>
    <w:rsid w:val="00251A0B"/>
    <w:rsid w:val="00252F3B"/>
    <w:rsid w:val="0025418F"/>
    <w:rsid w:val="00254D1A"/>
    <w:rsid w:val="002666C4"/>
    <w:rsid w:val="00267BA0"/>
    <w:rsid w:val="002703D8"/>
    <w:rsid w:val="00271215"/>
    <w:rsid w:val="002762C7"/>
    <w:rsid w:val="0028281F"/>
    <w:rsid w:val="00293013"/>
    <w:rsid w:val="00293414"/>
    <w:rsid w:val="00293BAD"/>
    <w:rsid w:val="0029521D"/>
    <w:rsid w:val="002964A1"/>
    <w:rsid w:val="002A5DB9"/>
    <w:rsid w:val="002C0336"/>
    <w:rsid w:val="002C40E5"/>
    <w:rsid w:val="002D0264"/>
    <w:rsid w:val="002D2967"/>
    <w:rsid w:val="002D6B36"/>
    <w:rsid w:val="002D72DB"/>
    <w:rsid w:val="002E59BA"/>
    <w:rsid w:val="002F166B"/>
    <w:rsid w:val="002F5504"/>
    <w:rsid w:val="00301220"/>
    <w:rsid w:val="00313DF2"/>
    <w:rsid w:val="003203CC"/>
    <w:rsid w:val="003246AA"/>
    <w:rsid w:val="0032629A"/>
    <w:rsid w:val="00330D13"/>
    <w:rsid w:val="003335CE"/>
    <w:rsid w:val="0033615C"/>
    <w:rsid w:val="00337E77"/>
    <w:rsid w:val="0035358B"/>
    <w:rsid w:val="00362DB3"/>
    <w:rsid w:val="00365BF6"/>
    <w:rsid w:val="00374915"/>
    <w:rsid w:val="0039076C"/>
    <w:rsid w:val="00391384"/>
    <w:rsid w:val="0039299A"/>
    <w:rsid w:val="003A3973"/>
    <w:rsid w:val="003A6A38"/>
    <w:rsid w:val="003B1DC5"/>
    <w:rsid w:val="003C3D22"/>
    <w:rsid w:val="003D4CDD"/>
    <w:rsid w:val="003E05EF"/>
    <w:rsid w:val="003E2FBD"/>
    <w:rsid w:val="003F2088"/>
    <w:rsid w:val="003F27BD"/>
    <w:rsid w:val="00401FF1"/>
    <w:rsid w:val="00402378"/>
    <w:rsid w:val="00403938"/>
    <w:rsid w:val="0040433E"/>
    <w:rsid w:val="0042175C"/>
    <w:rsid w:val="00434C6A"/>
    <w:rsid w:val="00446B0E"/>
    <w:rsid w:val="0045047C"/>
    <w:rsid w:val="004670C5"/>
    <w:rsid w:val="00467740"/>
    <w:rsid w:val="00476068"/>
    <w:rsid w:val="0047695A"/>
    <w:rsid w:val="004A2794"/>
    <w:rsid w:val="004A624F"/>
    <w:rsid w:val="004B24C3"/>
    <w:rsid w:val="004B75AE"/>
    <w:rsid w:val="004C3EDE"/>
    <w:rsid w:val="004C3F41"/>
    <w:rsid w:val="004D0516"/>
    <w:rsid w:val="004E7ADB"/>
    <w:rsid w:val="004F6097"/>
    <w:rsid w:val="004F61D6"/>
    <w:rsid w:val="004F7A57"/>
    <w:rsid w:val="0050793B"/>
    <w:rsid w:val="0051285E"/>
    <w:rsid w:val="00520FC2"/>
    <w:rsid w:val="0052440A"/>
    <w:rsid w:val="00542C42"/>
    <w:rsid w:val="00543FFA"/>
    <w:rsid w:val="00545417"/>
    <w:rsid w:val="00545699"/>
    <w:rsid w:val="00550A2C"/>
    <w:rsid w:val="005633AC"/>
    <w:rsid w:val="00565167"/>
    <w:rsid w:val="00566E4B"/>
    <w:rsid w:val="00574A47"/>
    <w:rsid w:val="0058215C"/>
    <w:rsid w:val="00584934"/>
    <w:rsid w:val="00594DD3"/>
    <w:rsid w:val="00594F4C"/>
    <w:rsid w:val="00597BAD"/>
    <w:rsid w:val="005A068E"/>
    <w:rsid w:val="005A58C7"/>
    <w:rsid w:val="005A6340"/>
    <w:rsid w:val="005A66B9"/>
    <w:rsid w:val="005A7A33"/>
    <w:rsid w:val="005B106D"/>
    <w:rsid w:val="005B16CA"/>
    <w:rsid w:val="005B5531"/>
    <w:rsid w:val="005C1AA6"/>
    <w:rsid w:val="005C279B"/>
    <w:rsid w:val="005D4F42"/>
    <w:rsid w:val="005D6FF3"/>
    <w:rsid w:val="005D7571"/>
    <w:rsid w:val="005F5AFA"/>
    <w:rsid w:val="00603BA5"/>
    <w:rsid w:val="006046AA"/>
    <w:rsid w:val="00617BA8"/>
    <w:rsid w:val="00623C2A"/>
    <w:rsid w:val="00627C1E"/>
    <w:rsid w:val="00643BB0"/>
    <w:rsid w:val="00644DAF"/>
    <w:rsid w:val="00657169"/>
    <w:rsid w:val="00666705"/>
    <w:rsid w:val="00670E6B"/>
    <w:rsid w:val="006773F2"/>
    <w:rsid w:val="00690768"/>
    <w:rsid w:val="006A50CE"/>
    <w:rsid w:val="006B55B8"/>
    <w:rsid w:val="006D07CB"/>
    <w:rsid w:val="006D49C0"/>
    <w:rsid w:val="006E2907"/>
    <w:rsid w:val="006E46D2"/>
    <w:rsid w:val="006F12F0"/>
    <w:rsid w:val="006F3D19"/>
    <w:rsid w:val="00701868"/>
    <w:rsid w:val="00705750"/>
    <w:rsid w:val="00726600"/>
    <w:rsid w:val="00746DC0"/>
    <w:rsid w:val="0075374B"/>
    <w:rsid w:val="007652CE"/>
    <w:rsid w:val="00767FB9"/>
    <w:rsid w:val="007705AB"/>
    <w:rsid w:val="00772A40"/>
    <w:rsid w:val="00777353"/>
    <w:rsid w:val="0078203D"/>
    <w:rsid w:val="007826F7"/>
    <w:rsid w:val="00784B8B"/>
    <w:rsid w:val="007902E4"/>
    <w:rsid w:val="0079335C"/>
    <w:rsid w:val="007A2836"/>
    <w:rsid w:val="007A52BA"/>
    <w:rsid w:val="007A640D"/>
    <w:rsid w:val="007A7A11"/>
    <w:rsid w:val="007B085F"/>
    <w:rsid w:val="007B2476"/>
    <w:rsid w:val="007B49F7"/>
    <w:rsid w:val="007D4780"/>
    <w:rsid w:val="007E3840"/>
    <w:rsid w:val="007F0EE7"/>
    <w:rsid w:val="007F49B7"/>
    <w:rsid w:val="008008E7"/>
    <w:rsid w:val="00805554"/>
    <w:rsid w:val="00814579"/>
    <w:rsid w:val="00820F17"/>
    <w:rsid w:val="00821F13"/>
    <w:rsid w:val="00822E03"/>
    <w:rsid w:val="0083116E"/>
    <w:rsid w:val="00850681"/>
    <w:rsid w:val="008518FE"/>
    <w:rsid w:val="0085224D"/>
    <w:rsid w:val="008609B6"/>
    <w:rsid w:val="008672FE"/>
    <w:rsid w:val="008675F8"/>
    <w:rsid w:val="00890C35"/>
    <w:rsid w:val="0089180F"/>
    <w:rsid w:val="008A0A1B"/>
    <w:rsid w:val="008A6A68"/>
    <w:rsid w:val="008B2808"/>
    <w:rsid w:val="008D3DD4"/>
    <w:rsid w:val="008E302D"/>
    <w:rsid w:val="008F1C1E"/>
    <w:rsid w:val="008F5499"/>
    <w:rsid w:val="008F64FA"/>
    <w:rsid w:val="00912893"/>
    <w:rsid w:val="00924431"/>
    <w:rsid w:val="00924CC5"/>
    <w:rsid w:val="00936965"/>
    <w:rsid w:val="00936F0B"/>
    <w:rsid w:val="009440BE"/>
    <w:rsid w:val="00952333"/>
    <w:rsid w:val="00953BF4"/>
    <w:rsid w:val="00954C40"/>
    <w:rsid w:val="00960180"/>
    <w:rsid w:val="00960C51"/>
    <w:rsid w:val="009652D5"/>
    <w:rsid w:val="00970DC6"/>
    <w:rsid w:val="00972CDF"/>
    <w:rsid w:val="00973DAB"/>
    <w:rsid w:val="00975AE4"/>
    <w:rsid w:val="009817FA"/>
    <w:rsid w:val="00982956"/>
    <w:rsid w:val="00985126"/>
    <w:rsid w:val="0098617A"/>
    <w:rsid w:val="00986A72"/>
    <w:rsid w:val="00990E2D"/>
    <w:rsid w:val="00992F08"/>
    <w:rsid w:val="009933AC"/>
    <w:rsid w:val="009964C2"/>
    <w:rsid w:val="00996775"/>
    <w:rsid w:val="009B4967"/>
    <w:rsid w:val="009B6532"/>
    <w:rsid w:val="009C4CF2"/>
    <w:rsid w:val="009C6952"/>
    <w:rsid w:val="009C7213"/>
    <w:rsid w:val="009D2E3D"/>
    <w:rsid w:val="009D3116"/>
    <w:rsid w:val="009D537A"/>
    <w:rsid w:val="009D5B08"/>
    <w:rsid w:val="009E27A1"/>
    <w:rsid w:val="00A2233B"/>
    <w:rsid w:val="00A230A7"/>
    <w:rsid w:val="00A322AB"/>
    <w:rsid w:val="00A343D4"/>
    <w:rsid w:val="00A45738"/>
    <w:rsid w:val="00A51A41"/>
    <w:rsid w:val="00A654F9"/>
    <w:rsid w:val="00A86F1C"/>
    <w:rsid w:val="00A918EC"/>
    <w:rsid w:val="00AA1F05"/>
    <w:rsid w:val="00AA3A00"/>
    <w:rsid w:val="00AA6C6D"/>
    <w:rsid w:val="00AC108D"/>
    <w:rsid w:val="00AD4FCF"/>
    <w:rsid w:val="00AD6194"/>
    <w:rsid w:val="00AD65F2"/>
    <w:rsid w:val="00AE1AB8"/>
    <w:rsid w:val="00AE6244"/>
    <w:rsid w:val="00AE7648"/>
    <w:rsid w:val="00AE789F"/>
    <w:rsid w:val="00B049FA"/>
    <w:rsid w:val="00B04BD4"/>
    <w:rsid w:val="00B112F9"/>
    <w:rsid w:val="00B11BFC"/>
    <w:rsid w:val="00B120A2"/>
    <w:rsid w:val="00B16CB2"/>
    <w:rsid w:val="00B17ABF"/>
    <w:rsid w:val="00B17C13"/>
    <w:rsid w:val="00B22057"/>
    <w:rsid w:val="00B245A1"/>
    <w:rsid w:val="00B36174"/>
    <w:rsid w:val="00B402CA"/>
    <w:rsid w:val="00B41E2D"/>
    <w:rsid w:val="00B42DEB"/>
    <w:rsid w:val="00B630FE"/>
    <w:rsid w:val="00B67CA9"/>
    <w:rsid w:val="00B75F7B"/>
    <w:rsid w:val="00B80402"/>
    <w:rsid w:val="00B81390"/>
    <w:rsid w:val="00B90CD0"/>
    <w:rsid w:val="00BA4570"/>
    <w:rsid w:val="00BA5270"/>
    <w:rsid w:val="00BB2051"/>
    <w:rsid w:val="00BB3FE1"/>
    <w:rsid w:val="00BB4525"/>
    <w:rsid w:val="00BD5976"/>
    <w:rsid w:val="00BD5A0A"/>
    <w:rsid w:val="00BE3276"/>
    <w:rsid w:val="00BE387D"/>
    <w:rsid w:val="00BE4B87"/>
    <w:rsid w:val="00BE5200"/>
    <w:rsid w:val="00BF01D2"/>
    <w:rsid w:val="00C112A1"/>
    <w:rsid w:val="00C21CE2"/>
    <w:rsid w:val="00C2205B"/>
    <w:rsid w:val="00C229F7"/>
    <w:rsid w:val="00C33D53"/>
    <w:rsid w:val="00C37188"/>
    <w:rsid w:val="00C415E7"/>
    <w:rsid w:val="00C417A0"/>
    <w:rsid w:val="00C453E5"/>
    <w:rsid w:val="00C46ADB"/>
    <w:rsid w:val="00C56364"/>
    <w:rsid w:val="00C569B3"/>
    <w:rsid w:val="00C72DEE"/>
    <w:rsid w:val="00C7436E"/>
    <w:rsid w:val="00C937C5"/>
    <w:rsid w:val="00C95A57"/>
    <w:rsid w:val="00CA3A11"/>
    <w:rsid w:val="00CA75BC"/>
    <w:rsid w:val="00CB4148"/>
    <w:rsid w:val="00CC1F6E"/>
    <w:rsid w:val="00CF5381"/>
    <w:rsid w:val="00D025B4"/>
    <w:rsid w:val="00D303ED"/>
    <w:rsid w:val="00D32421"/>
    <w:rsid w:val="00D36CCE"/>
    <w:rsid w:val="00D438A3"/>
    <w:rsid w:val="00D471B0"/>
    <w:rsid w:val="00D507AB"/>
    <w:rsid w:val="00D5363B"/>
    <w:rsid w:val="00D536D1"/>
    <w:rsid w:val="00D649E5"/>
    <w:rsid w:val="00D672D9"/>
    <w:rsid w:val="00D73C2A"/>
    <w:rsid w:val="00D84718"/>
    <w:rsid w:val="00D8545A"/>
    <w:rsid w:val="00D93ADE"/>
    <w:rsid w:val="00D97021"/>
    <w:rsid w:val="00DA0BDD"/>
    <w:rsid w:val="00DA224C"/>
    <w:rsid w:val="00DA3A5B"/>
    <w:rsid w:val="00DA4A05"/>
    <w:rsid w:val="00DA5CA9"/>
    <w:rsid w:val="00DB6B14"/>
    <w:rsid w:val="00DC01A9"/>
    <w:rsid w:val="00DD6F53"/>
    <w:rsid w:val="00DE0D3B"/>
    <w:rsid w:val="00DE70C4"/>
    <w:rsid w:val="00DF373F"/>
    <w:rsid w:val="00DF5858"/>
    <w:rsid w:val="00E004E0"/>
    <w:rsid w:val="00E07243"/>
    <w:rsid w:val="00E14787"/>
    <w:rsid w:val="00E166ED"/>
    <w:rsid w:val="00E2205B"/>
    <w:rsid w:val="00E220F8"/>
    <w:rsid w:val="00E24E75"/>
    <w:rsid w:val="00E26DA0"/>
    <w:rsid w:val="00E3304A"/>
    <w:rsid w:val="00E33BA9"/>
    <w:rsid w:val="00E405DF"/>
    <w:rsid w:val="00E46E95"/>
    <w:rsid w:val="00E55BA1"/>
    <w:rsid w:val="00E5670C"/>
    <w:rsid w:val="00E5672F"/>
    <w:rsid w:val="00E63AFF"/>
    <w:rsid w:val="00E63CBF"/>
    <w:rsid w:val="00E67C56"/>
    <w:rsid w:val="00E83B9E"/>
    <w:rsid w:val="00E83DFB"/>
    <w:rsid w:val="00E85C44"/>
    <w:rsid w:val="00EA2532"/>
    <w:rsid w:val="00EC00AE"/>
    <w:rsid w:val="00EC0D39"/>
    <w:rsid w:val="00ED1D5C"/>
    <w:rsid w:val="00ED62A8"/>
    <w:rsid w:val="00EF5E1E"/>
    <w:rsid w:val="00EF6043"/>
    <w:rsid w:val="00F12038"/>
    <w:rsid w:val="00F1216D"/>
    <w:rsid w:val="00F135D8"/>
    <w:rsid w:val="00F16870"/>
    <w:rsid w:val="00F20319"/>
    <w:rsid w:val="00F53E24"/>
    <w:rsid w:val="00F66F05"/>
    <w:rsid w:val="00F80432"/>
    <w:rsid w:val="00F82AB7"/>
    <w:rsid w:val="00F87B8C"/>
    <w:rsid w:val="00F905EC"/>
    <w:rsid w:val="00F92EE5"/>
    <w:rsid w:val="00FA088B"/>
    <w:rsid w:val="00FA5BBA"/>
    <w:rsid w:val="00FB1060"/>
    <w:rsid w:val="00FB1C45"/>
    <w:rsid w:val="00FC2A8F"/>
    <w:rsid w:val="00FC2DB4"/>
    <w:rsid w:val="00FD2375"/>
    <w:rsid w:val="00FD65BB"/>
    <w:rsid w:val="00FF177F"/>
    <w:rsid w:val="00FF30FF"/>
    <w:rsid w:val="00FF3DD2"/>
    <w:rsid w:val="01BE6636"/>
    <w:rsid w:val="01C03837"/>
    <w:rsid w:val="01DB1B06"/>
    <w:rsid w:val="01F94D12"/>
    <w:rsid w:val="03894218"/>
    <w:rsid w:val="03C73C40"/>
    <w:rsid w:val="049444C4"/>
    <w:rsid w:val="05C6752C"/>
    <w:rsid w:val="06976AEB"/>
    <w:rsid w:val="06AF4E39"/>
    <w:rsid w:val="072900F9"/>
    <w:rsid w:val="07B973B9"/>
    <w:rsid w:val="08602DCD"/>
    <w:rsid w:val="0922698B"/>
    <w:rsid w:val="094E3939"/>
    <w:rsid w:val="0C0452F3"/>
    <w:rsid w:val="0C187CF5"/>
    <w:rsid w:val="0CB94E10"/>
    <w:rsid w:val="0CD04D8F"/>
    <w:rsid w:val="0D5B7E2C"/>
    <w:rsid w:val="0D5D6B53"/>
    <w:rsid w:val="0D98668B"/>
    <w:rsid w:val="0F310309"/>
    <w:rsid w:val="0FC770EF"/>
    <w:rsid w:val="0FC94734"/>
    <w:rsid w:val="100771C9"/>
    <w:rsid w:val="105D5087"/>
    <w:rsid w:val="11277FB0"/>
    <w:rsid w:val="125606A2"/>
    <w:rsid w:val="12C15B53"/>
    <w:rsid w:val="13241EBA"/>
    <w:rsid w:val="13CC673D"/>
    <w:rsid w:val="141F1312"/>
    <w:rsid w:val="14370824"/>
    <w:rsid w:val="14DE3239"/>
    <w:rsid w:val="152E7B36"/>
    <w:rsid w:val="155D626E"/>
    <w:rsid w:val="15766C86"/>
    <w:rsid w:val="15A25B15"/>
    <w:rsid w:val="15B33927"/>
    <w:rsid w:val="1652663E"/>
    <w:rsid w:val="1672020D"/>
    <w:rsid w:val="167E6456"/>
    <w:rsid w:val="16841A81"/>
    <w:rsid w:val="17455ED3"/>
    <w:rsid w:val="178437B9"/>
    <w:rsid w:val="17C00184"/>
    <w:rsid w:val="17D2381F"/>
    <w:rsid w:val="17E76929"/>
    <w:rsid w:val="17F21C58"/>
    <w:rsid w:val="18324C3F"/>
    <w:rsid w:val="184E0CEC"/>
    <w:rsid w:val="19763FD2"/>
    <w:rsid w:val="1A1D1BB5"/>
    <w:rsid w:val="1B1062F2"/>
    <w:rsid w:val="1B53786E"/>
    <w:rsid w:val="1C2D0FBD"/>
    <w:rsid w:val="1D1D53B8"/>
    <w:rsid w:val="1DB544E1"/>
    <w:rsid w:val="1DF11C2D"/>
    <w:rsid w:val="1E741CF3"/>
    <w:rsid w:val="1E9E3906"/>
    <w:rsid w:val="1ED26425"/>
    <w:rsid w:val="1EF62513"/>
    <w:rsid w:val="1F2F618D"/>
    <w:rsid w:val="1F3B41CE"/>
    <w:rsid w:val="1F427872"/>
    <w:rsid w:val="203F19EB"/>
    <w:rsid w:val="206C11CD"/>
    <w:rsid w:val="206F6048"/>
    <w:rsid w:val="20DE4AF1"/>
    <w:rsid w:val="225C230D"/>
    <w:rsid w:val="22CD4905"/>
    <w:rsid w:val="23FE0E2E"/>
    <w:rsid w:val="25201F1F"/>
    <w:rsid w:val="257C3D6F"/>
    <w:rsid w:val="25FF32F4"/>
    <w:rsid w:val="26272B27"/>
    <w:rsid w:val="27E82BE9"/>
    <w:rsid w:val="2A2F7769"/>
    <w:rsid w:val="2B182A7C"/>
    <w:rsid w:val="2BB4516F"/>
    <w:rsid w:val="2BFD4270"/>
    <w:rsid w:val="2C9E22F5"/>
    <w:rsid w:val="2CD7295C"/>
    <w:rsid w:val="2CF5451B"/>
    <w:rsid w:val="2D190E0B"/>
    <w:rsid w:val="2D726F1C"/>
    <w:rsid w:val="2D832A39"/>
    <w:rsid w:val="2E2270BF"/>
    <w:rsid w:val="2E674331"/>
    <w:rsid w:val="2EEB76E4"/>
    <w:rsid w:val="2EED72DE"/>
    <w:rsid w:val="2F1156C3"/>
    <w:rsid w:val="30661878"/>
    <w:rsid w:val="30A35164"/>
    <w:rsid w:val="30AB7939"/>
    <w:rsid w:val="325D75B7"/>
    <w:rsid w:val="327360D5"/>
    <w:rsid w:val="3364301C"/>
    <w:rsid w:val="339C0C83"/>
    <w:rsid w:val="34126E55"/>
    <w:rsid w:val="342A1338"/>
    <w:rsid w:val="35FF487E"/>
    <w:rsid w:val="36FF7BE6"/>
    <w:rsid w:val="391F3C45"/>
    <w:rsid w:val="39B4569F"/>
    <w:rsid w:val="3A157745"/>
    <w:rsid w:val="3B542E8A"/>
    <w:rsid w:val="3B766122"/>
    <w:rsid w:val="3B9D4727"/>
    <w:rsid w:val="3BF20CEE"/>
    <w:rsid w:val="3DCE72BA"/>
    <w:rsid w:val="3DF402D8"/>
    <w:rsid w:val="3E3C527C"/>
    <w:rsid w:val="3E78348C"/>
    <w:rsid w:val="3EA508BB"/>
    <w:rsid w:val="3FE0705F"/>
    <w:rsid w:val="41030B7E"/>
    <w:rsid w:val="41211069"/>
    <w:rsid w:val="4242387B"/>
    <w:rsid w:val="42647A74"/>
    <w:rsid w:val="4285620B"/>
    <w:rsid w:val="42B07E45"/>
    <w:rsid w:val="437E5459"/>
    <w:rsid w:val="43AE3A19"/>
    <w:rsid w:val="43F15787"/>
    <w:rsid w:val="47EC0923"/>
    <w:rsid w:val="48996300"/>
    <w:rsid w:val="48BD0863"/>
    <w:rsid w:val="48E07B64"/>
    <w:rsid w:val="48E42AF1"/>
    <w:rsid w:val="496C06A6"/>
    <w:rsid w:val="497665EB"/>
    <w:rsid w:val="49B71D80"/>
    <w:rsid w:val="49D32002"/>
    <w:rsid w:val="49DC3654"/>
    <w:rsid w:val="49E45854"/>
    <w:rsid w:val="4A6113E6"/>
    <w:rsid w:val="4A657A58"/>
    <w:rsid w:val="4A702E64"/>
    <w:rsid w:val="4AE56F6F"/>
    <w:rsid w:val="4B033094"/>
    <w:rsid w:val="4B072155"/>
    <w:rsid w:val="4B312E9C"/>
    <w:rsid w:val="4B8E0F3E"/>
    <w:rsid w:val="4C1866D1"/>
    <w:rsid w:val="4C1F64BF"/>
    <w:rsid w:val="4CB8463E"/>
    <w:rsid w:val="4D417F6F"/>
    <w:rsid w:val="4DC95BC4"/>
    <w:rsid w:val="4DEC4CE8"/>
    <w:rsid w:val="4EB621B3"/>
    <w:rsid w:val="4F955F9D"/>
    <w:rsid w:val="4FF80240"/>
    <w:rsid w:val="508A1318"/>
    <w:rsid w:val="51B8726F"/>
    <w:rsid w:val="52201D59"/>
    <w:rsid w:val="526A5DA3"/>
    <w:rsid w:val="526B0550"/>
    <w:rsid w:val="53380652"/>
    <w:rsid w:val="55262BBC"/>
    <w:rsid w:val="552D0B4D"/>
    <w:rsid w:val="555775BD"/>
    <w:rsid w:val="560671F6"/>
    <w:rsid w:val="56F0123C"/>
    <w:rsid w:val="56FC33A3"/>
    <w:rsid w:val="56FE748B"/>
    <w:rsid w:val="571F66A0"/>
    <w:rsid w:val="57C62A10"/>
    <w:rsid w:val="58376E1D"/>
    <w:rsid w:val="59ED7E16"/>
    <w:rsid w:val="59F729F7"/>
    <w:rsid w:val="5B101ABA"/>
    <w:rsid w:val="5C223024"/>
    <w:rsid w:val="5CC4596F"/>
    <w:rsid w:val="5DFA1BBA"/>
    <w:rsid w:val="5E325981"/>
    <w:rsid w:val="5E48773B"/>
    <w:rsid w:val="5ED00919"/>
    <w:rsid w:val="5EE75C28"/>
    <w:rsid w:val="5EF24877"/>
    <w:rsid w:val="5FBB6505"/>
    <w:rsid w:val="60106D27"/>
    <w:rsid w:val="604C110A"/>
    <w:rsid w:val="61107F4E"/>
    <w:rsid w:val="6128091C"/>
    <w:rsid w:val="617000FB"/>
    <w:rsid w:val="61805815"/>
    <w:rsid w:val="62B43694"/>
    <w:rsid w:val="62DD3E94"/>
    <w:rsid w:val="63485F23"/>
    <w:rsid w:val="637338F6"/>
    <w:rsid w:val="638508B2"/>
    <w:rsid w:val="65090AD4"/>
    <w:rsid w:val="6537234C"/>
    <w:rsid w:val="65A645AF"/>
    <w:rsid w:val="65BC3973"/>
    <w:rsid w:val="664E5591"/>
    <w:rsid w:val="6683195C"/>
    <w:rsid w:val="66857FC0"/>
    <w:rsid w:val="66923A7F"/>
    <w:rsid w:val="66DC77EF"/>
    <w:rsid w:val="67D2777A"/>
    <w:rsid w:val="684A6783"/>
    <w:rsid w:val="68D22B2E"/>
    <w:rsid w:val="696066B8"/>
    <w:rsid w:val="6970542B"/>
    <w:rsid w:val="69BE183D"/>
    <w:rsid w:val="6A412769"/>
    <w:rsid w:val="6A901173"/>
    <w:rsid w:val="6B2F50E5"/>
    <w:rsid w:val="6B4B0088"/>
    <w:rsid w:val="6B524E6F"/>
    <w:rsid w:val="6B834B70"/>
    <w:rsid w:val="6C2268CB"/>
    <w:rsid w:val="6C2C1B05"/>
    <w:rsid w:val="6C741EF9"/>
    <w:rsid w:val="6C984A13"/>
    <w:rsid w:val="6D0E23D7"/>
    <w:rsid w:val="6D11296F"/>
    <w:rsid w:val="6D7B5509"/>
    <w:rsid w:val="6E8D7FEE"/>
    <w:rsid w:val="6E9543CC"/>
    <w:rsid w:val="6F757FFE"/>
    <w:rsid w:val="6FBE1F4C"/>
    <w:rsid w:val="6FD221F0"/>
    <w:rsid w:val="70BD3B02"/>
    <w:rsid w:val="70D94A29"/>
    <w:rsid w:val="71692C8E"/>
    <w:rsid w:val="7185354B"/>
    <w:rsid w:val="71897447"/>
    <w:rsid w:val="71E56DE8"/>
    <w:rsid w:val="728576B2"/>
    <w:rsid w:val="735E5951"/>
    <w:rsid w:val="73781BAB"/>
    <w:rsid w:val="747616A0"/>
    <w:rsid w:val="75931539"/>
    <w:rsid w:val="760E5F3E"/>
    <w:rsid w:val="769C4047"/>
    <w:rsid w:val="7732281D"/>
    <w:rsid w:val="77523A54"/>
    <w:rsid w:val="77A67671"/>
    <w:rsid w:val="78632A5F"/>
    <w:rsid w:val="789A4600"/>
    <w:rsid w:val="79016177"/>
    <w:rsid w:val="79A30C0C"/>
    <w:rsid w:val="7A476B1B"/>
    <w:rsid w:val="7AE619B8"/>
    <w:rsid w:val="7C0F5A6A"/>
    <w:rsid w:val="7C625D61"/>
    <w:rsid w:val="7D881663"/>
    <w:rsid w:val="7E1676BA"/>
    <w:rsid w:val="7E2E4C94"/>
    <w:rsid w:val="7F372E1D"/>
    <w:rsid w:val="7F5C6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ody Text"/>
    <w:basedOn w:val="1"/>
    <w:next w:val="1"/>
    <w:qFormat/>
    <w:uiPriority w:val="99"/>
    <w:pPr>
      <w:spacing w:after="120"/>
    </w:pPr>
  </w:style>
  <w:style w:type="paragraph" w:styleId="5">
    <w:name w:val="Body Text Indent"/>
    <w:basedOn w:val="1"/>
    <w:qFormat/>
    <w:uiPriority w:val="0"/>
    <w:pPr>
      <w:spacing w:line="360" w:lineRule="auto"/>
      <w:ind w:firstLine="480"/>
    </w:pPr>
    <w:rPr>
      <w:sz w:val="24"/>
    </w:rPr>
  </w:style>
  <w:style w:type="paragraph" w:styleId="6">
    <w:name w:val="footer"/>
    <w:basedOn w:val="1"/>
    <w:link w:val="17"/>
    <w:qFormat/>
    <w:uiPriority w:val="99"/>
    <w:pPr>
      <w:tabs>
        <w:tab w:val="center" w:pos="4153"/>
        <w:tab w:val="right" w:pos="8306"/>
      </w:tabs>
      <w:snapToGrid w:val="0"/>
      <w:jc w:val="left"/>
    </w:pPr>
    <w:rPr>
      <w:sz w:val="18"/>
    </w:rPr>
  </w:style>
  <w:style w:type="paragraph" w:styleId="7">
    <w:name w:val="header"/>
    <w:basedOn w:val="1"/>
    <w:link w:val="15"/>
    <w:qFormat/>
    <w:uiPriority w:val="0"/>
    <w:pPr>
      <w:tabs>
        <w:tab w:val="center" w:pos="4153"/>
        <w:tab w:val="right" w:pos="8306"/>
      </w:tabs>
      <w:snapToGrid w:val="0"/>
      <w:jc w:val="center"/>
    </w:pPr>
    <w:rPr>
      <w:sz w:val="18"/>
      <w:szCs w:val="18"/>
    </w:rPr>
  </w:style>
  <w:style w:type="paragraph" w:styleId="8">
    <w:name w:val="Normal (Web)"/>
    <w:basedOn w:val="1"/>
    <w:qFormat/>
    <w:uiPriority w:val="99"/>
    <w:rPr>
      <w:sz w:val="24"/>
    </w:rPr>
  </w:style>
  <w:style w:type="paragraph" w:styleId="9">
    <w:name w:val="Body Text First Indent 2"/>
    <w:basedOn w:val="5"/>
    <w:qFormat/>
    <w:uiPriority w:val="0"/>
    <w:pPr>
      <w:spacing w:after="120"/>
      <w:ind w:left="420" w:leftChars="200" w:firstLine="420" w:firstLineChars="200"/>
    </w:pPr>
    <w:rPr>
      <w:rFonts w:ascii="Calibri" w:hAnsi="Calibri" w:eastAsia="仿宋_GB2312" w:cs="Times New Roman"/>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character" w:customStyle="1" w:styleId="14">
    <w:name w:val="font51"/>
    <w:basedOn w:val="12"/>
    <w:qFormat/>
    <w:uiPriority w:val="0"/>
    <w:rPr>
      <w:rFonts w:ascii="仿宋_GB2312" w:eastAsia="仿宋_GB2312" w:cs="仿宋_GB2312"/>
      <w:color w:val="000000"/>
      <w:sz w:val="20"/>
      <w:szCs w:val="20"/>
      <w:u w:val="none"/>
    </w:rPr>
  </w:style>
  <w:style w:type="character" w:customStyle="1" w:styleId="15">
    <w:name w:val="页眉 字符"/>
    <w:basedOn w:val="12"/>
    <w:link w:val="7"/>
    <w:qFormat/>
    <w:uiPriority w:val="0"/>
    <w:rPr>
      <w:kern w:val="2"/>
      <w:sz w:val="18"/>
      <w:szCs w:val="18"/>
    </w:rPr>
  </w:style>
  <w:style w:type="paragraph" w:styleId="16">
    <w:name w:val="List Paragraph"/>
    <w:basedOn w:val="1"/>
    <w:unhideWhenUsed/>
    <w:qFormat/>
    <w:uiPriority w:val="99"/>
    <w:pPr>
      <w:ind w:firstLine="420" w:firstLineChars="200"/>
    </w:pPr>
  </w:style>
  <w:style w:type="character" w:customStyle="1" w:styleId="17">
    <w:name w:val="页脚 字符"/>
    <w:basedOn w:val="12"/>
    <w:link w:val="6"/>
    <w:qFormat/>
    <w:uiPriority w:val="99"/>
    <w:rPr>
      <w:kern w:val="2"/>
      <w:sz w:val="18"/>
      <w:szCs w:val="24"/>
    </w:rPr>
  </w:style>
  <w:style w:type="character" w:customStyle="1" w:styleId="18">
    <w:name w:val="批注文字 字符"/>
    <w:basedOn w:val="12"/>
    <w:link w:val="3"/>
    <w:qFormat/>
    <w:uiPriority w:val="0"/>
    <w:rPr>
      <w:kern w:val="2"/>
      <w:sz w:val="21"/>
      <w:szCs w:val="24"/>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27FD9-4A6D-43D8-BB3E-ABF5DAD42E07}">
  <ds:schemaRefs/>
</ds:datastoreItem>
</file>

<file path=docProps/app.xml><?xml version="1.0" encoding="utf-8"?>
<Properties xmlns="http://schemas.openxmlformats.org/officeDocument/2006/extended-properties" xmlns:vt="http://schemas.openxmlformats.org/officeDocument/2006/docPropsVTypes">
  <Template>Normal</Template>
  <Pages>26</Pages>
  <Words>13970</Words>
  <Characters>14681</Characters>
  <Lines>63</Lines>
  <Paragraphs>18</Paragraphs>
  <TotalTime>14</TotalTime>
  <ScaleCrop>false</ScaleCrop>
  <LinksUpToDate>false</LinksUpToDate>
  <CharactersWithSpaces>15245</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2025-01-08T07:40:00Z</dcterms:created>
  <dc:creator>烬余欢</dc:creator>
  <cp:lastModifiedBy>wy</cp:lastModifiedBy>
  <cp:lastPrinted>2026-03-26T06:05:27Z</cp:lastPrinted>
  <dcterms:modified xsi:type="dcterms:W3CDTF">2026-03-26T09:50:32Z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2EC9841ACBF84769987701171E8EC26B_11</vt:lpwstr>
  </property>
  <property fmtid="{D5CDD505-2E9C-101B-9397-08002B2CF9AE}" pid="4" name="KSOTemplateDocerSaveRecord">
    <vt:lpwstr>eyJoZGlkIjoiMThhMDRmNTIyMGJkNzJjNGE4ODY4NDMzODQ0YTcxZWYiLCJ1c2VySWQiOiI2ODY1MTI5NTgifQ==</vt:lpwstr>
  </property>
</Properties>
</file>