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60AB1">
      <w:pPr>
        <w:spacing w:line="600" w:lineRule="exact"/>
        <w:rPr>
          <w:rFonts w:ascii="黑体" w:hAnsi="黑体" w:eastAsia="黑体" w:cs="仿宋"/>
          <w:sz w:val="32"/>
          <w:szCs w:val="32"/>
        </w:rPr>
      </w:pPr>
      <w:r>
        <w:rPr>
          <w:rFonts w:hint="eastAsia" w:ascii="黑体" w:hAnsi="黑体" w:eastAsia="黑体" w:cs="仿宋"/>
          <w:sz w:val="32"/>
          <w:szCs w:val="32"/>
        </w:rPr>
        <w:t>附件1</w:t>
      </w:r>
    </w:p>
    <w:p w14:paraId="0D18288F">
      <w:pPr>
        <w:autoSpaceDE w:val="0"/>
        <w:autoSpaceDN w:val="0"/>
        <w:snapToGrid w:val="0"/>
        <w:spacing w:line="240" w:lineRule="exact"/>
        <w:rPr>
          <w:rFonts w:ascii="仿宋_GB2312" w:hAnsi="仿宋" w:eastAsia="仿宋_GB2312" w:cs="仿宋"/>
          <w:sz w:val="32"/>
          <w:szCs w:val="32"/>
        </w:rPr>
      </w:pPr>
    </w:p>
    <w:p w14:paraId="5A910312">
      <w:pPr>
        <w:widowControl/>
        <w:spacing w:line="480" w:lineRule="atLeast"/>
        <w:jc w:val="center"/>
        <w:rPr>
          <w:rFonts w:ascii="方正小标宋_GBK" w:hAnsi="微软雅黑" w:eastAsia="方正小标宋_GBK" w:cs="宋体"/>
          <w:b/>
          <w:color w:val="333333"/>
          <w:kern w:val="0"/>
          <w:sz w:val="44"/>
          <w:szCs w:val="44"/>
        </w:rPr>
      </w:pPr>
      <w:r>
        <w:rPr>
          <w:rFonts w:hint="eastAsia" w:ascii="方正小标宋_GBK" w:hAnsi="微软雅黑" w:eastAsia="方正小标宋_GBK" w:cs="宋体"/>
          <w:b/>
          <w:color w:val="333333"/>
          <w:kern w:val="0"/>
          <w:sz w:val="44"/>
          <w:szCs w:val="44"/>
        </w:rPr>
        <w:t>泰州市202</w:t>
      </w:r>
      <w:r>
        <w:rPr>
          <w:rFonts w:ascii="方正小标宋_GBK" w:hAnsi="微软雅黑" w:eastAsia="方正小标宋_GBK" w:cs="宋体"/>
          <w:b/>
          <w:color w:val="333333"/>
          <w:kern w:val="0"/>
          <w:sz w:val="44"/>
          <w:szCs w:val="44"/>
        </w:rPr>
        <w:t>5</w:t>
      </w:r>
      <w:r>
        <w:rPr>
          <w:rFonts w:hint="eastAsia" w:ascii="方正小标宋_GBK" w:hAnsi="微软雅黑" w:eastAsia="方正小标宋_GBK" w:cs="宋体"/>
          <w:b/>
          <w:color w:val="333333"/>
          <w:kern w:val="0"/>
          <w:sz w:val="44"/>
          <w:szCs w:val="44"/>
        </w:rPr>
        <w:t>年度拟提名江苏省科技进步奖项目名单</w:t>
      </w:r>
    </w:p>
    <w:tbl>
      <w:tblPr>
        <w:tblStyle w:val="9"/>
        <w:tblpPr w:leftFromText="180" w:rightFromText="180" w:vertAnchor="text" w:horzAnchor="margin" w:tblpXSpec="center" w:tblpY="3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4189"/>
        <w:gridCol w:w="4252"/>
        <w:gridCol w:w="1701"/>
      </w:tblGrid>
      <w:tr w14:paraId="6489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39" w:type="dxa"/>
            <w:vAlign w:val="center"/>
          </w:tcPr>
          <w:p w14:paraId="12BD1757">
            <w:pPr>
              <w:autoSpaceDE w:val="0"/>
              <w:autoSpaceDN w:val="0"/>
              <w:snapToGrid w:val="0"/>
              <w:spacing w:line="240" w:lineRule="exact"/>
              <w:jc w:val="center"/>
              <w:rPr>
                <w:rFonts w:ascii="仿宋" w:hAnsi="仿宋" w:eastAsia="仿宋" w:cs="Arial"/>
                <w:b/>
                <w:bCs/>
                <w:color w:val="000000"/>
                <w:kern w:val="0"/>
                <w:sz w:val="24"/>
                <w:szCs w:val="20"/>
              </w:rPr>
            </w:pPr>
            <w:bookmarkStart w:id="0" w:name="_Hlk200441356"/>
            <w:r>
              <w:rPr>
                <w:rFonts w:ascii="仿宋" w:hAnsi="仿宋" w:eastAsia="仿宋" w:cs="Arial"/>
                <w:b/>
                <w:bCs/>
                <w:color w:val="000000"/>
                <w:kern w:val="0"/>
                <w:sz w:val="24"/>
                <w:szCs w:val="20"/>
              </w:rPr>
              <w:t>序号</w:t>
            </w:r>
          </w:p>
        </w:tc>
        <w:tc>
          <w:tcPr>
            <w:tcW w:w="4189" w:type="dxa"/>
            <w:vAlign w:val="center"/>
          </w:tcPr>
          <w:p w14:paraId="15090539">
            <w:pPr>
              <w:autoSpaceDE w:val="0"/>
              <w:autoSpaceDN w:val="0"/>
              <w:snapToGrid w:val="0"/>
              <w:spacing w:line="240" w:lineRule="exact"/>
              <w:jc w:val="center"/>
              <w:rPr>
                <w:rFonts w:ascii="仿宋" w:hAnsi="仿宋" w:eastAsia="仿宋" w:cs="Arial"/>
                <w:b/>
                <w:bCs/>
                <w:color w:val="000000"/>
                <w:kern w:val="0"/>
                <w:sz w:val="24"/>
                <w:szCs w:val="20"/>
              </w:rPr>
            </w:pPr>
            <w:r>
              <w:rPr>
                <w:rFonts w:ascii="仿宋" w:hAnsi="仿宋" w:eastAsia="仿宋" w:cs="Arial"/>
                <w:b/>
                <w:bCs/>
                <w:color w:val="000000"/>
                <w:kern w:val="0"/>
                <w:sz w:val="24"/>
                <w:szCs w:val="20"/>
              </w:rPr>
              <w:t>项目名称</w:t>
            </w:r>
            <w:r>
              <w:rPr>
                <w:rFonts w:hint="eastAsia" w:ascii="仿宋" w:hAnsi="仿宋" w:eastAsia="仿宋" w:cs="Arial"/>
                <w:b/>
                <w:bCs/>
                <w:color w:val="000000"/>
                <w:kern w:val="0"/>
                <w:sz w:val="24"/>
                <w:szCs w:val="20"/>
              </w:rPr>
              <w:t>（暂定）</w:t>
            </w:r>
          </w:p>
        </w:tc>
        <w:tc>
          <w:tcPr>
            <w:tcW w:w="4252" w:type="dxa"/>
            <w:vAlign w:val="center"/>
          </w:tcPr>
          <w:p w14:paraId="4A4F10CD">
            <w:pPr>
              <w:autoSpaceDE w:val="0"/>
              <w:autoSpaceDN w:val="0"/>
              <w:snapToGrid w:val="0"/>
              <w:spacing w:line="240" w:lineRule="exact"/>
              <w:jc w:val="center"/>
              <w:rPr>
                <w:rFonts w:ascii="仿宋" w:hAnsi="仿宋" w:eastAsia="仿宋" w:cs="Arial"/>
                <w:b/>
                <w:bCs/>
                <w:color w:val="000000"/>
                <w:kern w:val="0"/>
                <w:sz w:val="24"/>
                <w:szCs w:val="20"/>
              </w:rPr>
            </w:pPr>
            <w:r>
              <w:rPr>
                <w:rFonts w:ascii="仿宋" w:hAnsi="仿宋" w:eastAsia="仿宋" w:cs="Arial"/>
                <w:b/>
                <w:bCs/>
                <w:color w:val="000000"/>
                <w:kern w:val="0"/>
                <w:sz w:val="24"/>
                <w:szCs w:val="20"/>
              </w:rPr>
              <w:t>第一完成单位</w:t>
            </w:r>
          </w:p>
        </w:tc>
        <w:tc>
          <w:tcPr>
            <w:tcW w:w="1701" w:type="dxa"/>
            <w:vAlign w:val="center"/>
          </w:tcPr>
          <w:p w14:paraId="33FEC31D">
            <w:pPr>
              <w:autoSpaceDE w:val="0"/>
              <w:autoSpaceDN w:val="0"/>
              <w:snapToGrid w:val="0"/>
              <w:spacing w:line="240" w:lineRule="exact"/>
              <w:jc w:val="center"/>
              <w:rPr>
                <w:rFonts w:ascii="仿宋" w:hAnsi="仿宋" w:eastAsia="仿宋" w:cs="Arial"/>
                <w:b/>
                <w:bCs/>
                <w:color w:val="000000"/>
                <w:kern w:val="0"/>
                <w:sz w:val="24"/>
                <w:szCs w:val="20"/>
              </w:rPr>
            </w:pPr>
            <w:r>
              <w:rPr>
                <w:rFonts w:ascii="仿宋" w:hAnsi="仿宋" w:eastAsia="仿宋" w:cs="Arial"/>
                <w:b/>
                <w:bCs/>
                <w:color w:val="000000"/>
                <w:kern w:val="0"/>
                <w:sz w:val="24"/>
                <w:szCs w:val="20"/>
              </w:rPr>
              <w:t>市</w:t>
            </w:r>
            <w:r>
              <w:rPr>
                <w:rFonts w:hint="eastAsia" w:ascii="仿宋" w:hAnsi="仿宋" w:eastAsia="仿宋" w:cs="Arial"/>
                <w:b/>
                <w:bCs/>
                <w:color w:val="000000"/>
                <w:kern w:val="0"/>
                <w:sz w:val="24"/>
                <w:szCs w:val="20"/>
              </w:rPr>
              <w:t>（</w:t>
            </w:r>
            <w:r>
              <w:rPr>
                <w:rFonts w:ascii="仿宋" w:hAnsi="仿宋" w:eastAsia="仿宋" w:cs="Arial"/>
                <w:b/>
                <w:bCs/>
                <w:color w:val="000000"/>
                <w:kern w:val="0"/>
                <w:sz w:val="24"/>
                <w:szCs w:val="20"/>
              </w:rPr>
              <w:t>区</w:t>
            </w:r>
            <w:r>
              <w:rPr>
                <w:rFonts w:hint="eastAsia" w:ascii="仿宋" w:hAnsi="仿宋" w:eastAsia="仿宋" w:cs="Arial"/>
                <w:b/>
                <w:bCs/>
                <w:color w:val="000000"/>
                <w:kern w:val="0"/>
                <w:sz w:val="24"/>
                <w:szCs w:val="20"/>
              </w:rPr>
              <w:t>）</w:t>
            </w:r>
          </w:p>
        </w:tc>
      </w:tr>
      <w:bookmarkEnd w:id="0"/>
      <w:tr w14:paraId="2D60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39" w:type="dxa"/>
            <w:vAlign w:val="center"/>
          </w:tcPr>
          <w:p w14:paraId="69983E69">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1</w:t>
            </w:r>
          </w:p>
        </w:tc>
        <w:tc>
          <w:tcPr>
            <w:tcW w:w="4189" w:type="dxa"/>
          </w:tcPr>
          <w:p w14:paraId="18128726">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双燃料船舶低温燃料舱智能焊接关键技术及应用</w:t>
            </w:r>
          </w:p>
        </w:tc>
        <w:tc>
          <w:tcPr>
            <w:tcW w:w="4252" w:type="dxa"/>
            <w:vAlign w:val="center"/>
          </w:tcPr>
          <w:p w14:paraId="0D453240">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江苏新扬子造船有限公司</w:t>
            </w:r>
          </w:p>
        </w:tc>
        <w:tc>
          <w:tcPr>
            <w:tcW w:w="1701" w:type="dxa"/>
            <w:vAlign w:val="center"/>
          </w:tcPr>
          <w:p w14:paraId="1CC0A4BB">
            <w:pPr>
              <w:autoSpaceDE w:val="0"/>
              <w:autoSpaceDN w:val="0"/>
              <w:snapToGrid w:val="0"/>
              <w:spacing w:line="300" w:lineRule="exact"/>
              <w:ind w:firstLine="240" w:firstLineChars="100"/>
              <w:jc w:val="left"/>
              <w:rPr>
                <w:rFonts w:ascii="仿宋" w:hAnsi="仿宋" w:eastAsia="仿宋" w:cs="Arial"/>
                <w:bCs/>
                <w:color w:val="000000"/>
                <w:kern w:val="0"/>
                <w:sz w:val="24"/>
                <w:szCs w:val="20"/>
              </w:rPr>
            </w:pPr>
            <w:r>
              <w:rPr>
                <w:rFonts w:ascii="仿宋" w:hAnsi="仿宋" w:eastAsia="仿宋" w:cs="Arial"/>
                <w:bCs/>
                <w:color w:val="000000"/>
                <w:kern w:val="0"/>
                <w:sz w:val="24"/>
                <w:szCs w:val="20"/>
              </w:rPr>
              <w:t>靖江市</w:t>
            </w:r>
          </w:p>
        </w:tc>
      </w:tr>
      <w:tr w14:paraId="7188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39" w:type="dxa"/>
            <w:vAlign w:val="center"/>
          </w:tcPr>
          <w:p w14:paraId="5C027ACF">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2</w:t>
            </w:r>
          </w:p>
        </w:tc>
        <w:tc>
          <w:tcPr>
            <w:tcW w:w="4189" w:type="dxa"/>
          </w:tcPr>
          <w:p w14:paraId="2FA603F8">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等离子刻蚀机核心部件PM模块关键技术开发与应用</w:t>
            </w:r>
          </w:p>
        </w:tc>
        <w:tc>
          <w:tcPr>
            <w:tcW w:w="4252" w:type="dxa"/>
            <w:vAlign w:val="center"/>
          </w:tcPr>
          <w:p w14:paraId="21B86605">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江苏先锋精密科技股份有限公司</w:t>
            </w:r>
          </w:p>
        </w:tc>
        <w:tc>
          <w:tcPr>
            <w:tcW w:w="1701" w:type="dxa"/>
            <w:vAlign w:val="center"/>
          </w:tcPr>
          <w:p w14:paraId="2AE0EC19">
            <w:pPr>
              <w:autoSpaceDE w:val="0"/>
              <w:autoSpaceDN w:val="0"/>
              <w:snapToGrid w:val="0"/>
              <w:spacing w:line="300" w:lineRule="exact"/>
              <w:ind w:firstLine="240" w:firstLineChars="100"/>
              <w:jc w:val="left"/>
              <w:rPr>
                <w:rFonts w:ascii="仿宋" w:hAnsi="仿宋" w:eastAsia="仿宋" w:cs="Arial"/>
                <w:bCs/>
                <w:color w:val="000000"/>
                <w:kern w:val="0"/>
                <w:sz w:val="24"/>
                <w:szCs w:val="20"/>
              </w:rPr>
            </w:pPr>
            <w:r>
              <w:rPr>
                <w:rFonts w:ascii="仿宋" w:hAnsi="仿宋" w:eastAsia="仿宋" w:cs="Arial"/>
                <w:bCs/>
                <w:color w:val="000000"/>
                <w:kern w:val="0"/>
                <w:sz w:val="24"/>
                <w:szCs w:val="20"/>
              </w:rPr>
              <w:t>靖江市</w:t>
            </w:r>
          </w:p>
        </w:tc>
      </w:tr>
      <w:tr w14:paraId="4F22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39" w:type="dxa"/>
            <w:vAlign w:val="center"/>
          </w:tcPr>
          <w:p w14:paraId="02C6A813">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3</w:t>
            </w:r>
          </w:p>
        </w:tc>
        <w:tc>
          <w:tcPr>
            <w:tcW w:w="4189" w:type="dxa"/>
          </w:tcPr>
          <w:p w14:paraId="509F8B43">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高燃点高阻燃绝缘油关键技术及应用</w:t>
            </w:r>
          </w:p>
        </w:tc>
        <w:tc>
          <w:tcPr>
            <w:tcW w:w="4252" w:type="dxa"/>
            <w:vAlign w:val="center"/>
          </w:tcPr>
          <w:p w14:paraId="76939B32">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江苏双江能源科技股份有限公司</w:t>
            </w:r>
          </w:p>
        </w:tc>
        <w:tc>
          <w:tcPr>
            <w:tcW w:w="1701" w:type="dxa"/>
            <w:vAlign w:val="center"/>
          </w:tcPr>
          <w:p w14:paraId="2D4578EA">
            <w:pPr>
              <w:autoSpaceDE w:val="0"/>
              <w:autoSpaceDN w:val="0"/>
              <w:snapToGrid w:val="0"/>
              <w:spacing w:line="300" w:lineRule="exact"/>
              <w:ind w:firstLine="240" w:firstLineChars="100"/>
              <w:jc w:val="left"/>
              <w:rPr>
                <w:rFonts w:ascii="仿宋" w:hAnsi="仿宋" w:eastAsia="仿宋" w:cs="Arial"/>
                <w:bCs/>
                <w:color w:val="000000"/>
                <w:kern w:val="0"/>
                <w:sz w:val="24"/>
                <w:szCs w:val="20"/>
              </w:rPr>
            </w:pPr>
            <w:r>
              <w:rPr>
                <w:rFonts w:ascii="仿宋" w:hAnsi="仿宋" w:eastAsia="仿宋" w:cs="Arial"/>
                <w:bCs/>
                <w:color w:val="000000"/>
                <w:kern w:val="0"/>
                <w:sz w:val="24"/>
                <w:szCs w:val="20"/>
              </w:rPr>
              <w:t>靖江市</w:t>
            </w:r>
          </w:p>
        </w:tc>
      </w:tr>
      <w:tr w14:paraId="2427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39" w:type="dxa"/>
            <w:vAlign w:val="center"/>
          </w:tcPr>
          <w:p w14:paraId="53DF053B">
            <w:pPr>
              <w:autoSpaceDE w:val="0"/>
              <w:autoSpaceDN w:val="0"/>
              <w:snapToGrid w:val="0"/>
              <w:spacing w:line="300" w:lineRule="exact"/>
              <w:jc w:val="center"/>
              <w:rPr>
                <w:rFonts w:ascii="仿宋" w:hAnsi="仿宋" w:eastAsia="仿宋" w:cs="Arial"/>
                <w:bCs/>
                <w:color w:val="000000"/>
                <w:kern w:val="0"/>
                <w:sz w:val="24"/>
                <w:szCs w:val="20"/>
              </w:rPr>
            </w:pPr>
            <w:bookmarkStart w:id="1" w:name="_Hlk200440251"/>
            <w:r>
              <w:rPr>
                <w:rFonts w:ascii="仿宋" w:hAnsi="仿宋" w:eastAsia="仿宋" w:cs="Arial"/>
                <w:bCs/>
                <w:color w:val="000000"/>
                <w:kern w:val="0"/>
                <w:sz w:val="24"/>
                <w:szCs w:val="20"/>
              </w:rPr>
              <w:t>4</w:t>
            </w:r>
          </w:p>
        </w:tc>
        <w:tc>
          <w:tcPr>
            <w:tcW w:w="4189" w:type="dxa"/>
          </w:tcPr>
          <w:p w14:paraId="1C2D74A1">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钢结构数字建造深化工艺设计关键技术及应用</w:t>
            </w:r>
          </w:p>
        </w:tc>
        <w:tc>
          <w:tcPr>
            <w:tcW w:w="4252" w:type="dxa"/>
            <w:vAlign w:val="center"/>
          </w:tcPr>
          <w:p w14:paraId="51382B4C">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中建钢构江苏有限公司</w:t>
            </w:r>
          </w:p>
        </w:tc>
        <w:tc>
          <w:tcPr>
            <w:tcW w:w="1701" w:type="dxa"/>
            <w:vAlign w:val="center"/>
          </w:tcPr>
          <w:p w14:paraId="521786C9">
            <w:pPr>
              <w:autoSpaceDE w:val="0"/>
              <w:autoSpaceDN w:val="0"/>
              <w:snapToGrid w:val="0"/>
              <w:spacing w:line="300" w:lineRule="exact"/>
              <w:ind w:firstLine="240" w:firstLineChars="100"/>
              <w:jc w:val="left"/>
              <w:rPr>
                <w:rFonts w:ascii="仿宋" w:hAnsi="仿宋" w:eastAsia="仿宋" w:cs="Arial"/>
                <w:bCs/>
                <w:color w:val="000000"/>
                <w:kern w:val="0"/>
                <w:sz w:val="24"/>
                <w:szCs w:val="20"/>
              </w:rPr>
            </w:pPr>
            <w:r>
              <w:rPr>
                <w:rFonts w:ascii="仿宋" w:hAnsi="仿宋" w:eastAsia="仿宋" w:cs="Arial"/>
                <w:bCs/>
                <w:color w:val="000000"/>
                <w:kern w:val="0"/>
                <w:sz w:val="24"/>
                <w:szCs w:val="20"/>
              </w:rPr>
              <w:t>靖江市</w:t>
            </w:r>
          </w:p>
        </w:tc>
      </w:tr>
      <w:bookmarkEnd w:id="1"/>
      <w:tr w14:paraId="0168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39" w:type="dxa"/>
            <w:vAlign w:val="center"/>
          </w:tcPr>
          <w:p w14:paraId="3B74B756">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5</w:t>
            </w:r>
          </w:p>
        </w:tc>
        <w:tc>
          <w:tcPr>
            <w:tcW w:w="4189" w:type="dxa"/>
            <w:vAlign w:val="center"/>
          </w:tcPr>
          <w:p w14:paraId="531455E9">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高性能重载减速机增载延寿设计关键技术及应用</w:t>
            </w:r>
          </w:p>
        </w:tc>
        <w:tc>
          <w:tcPr>
            <w:tcW w:w="4252" w:type="dxa"/>
            <w:vAlign w:val="center"/>
          </w:tcPr>
          <w:p w14:paraId="5FC9EA09">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江苏泰隆减速机(集团)股份有限公司</w:t>
            </w:r>
          </w:p>
        </w:tc>
        <w:tc>
          <w:tcPr>
            <w:tcW w:w="1701" w:type="dxa"/>
            <w:vAlign w:val="center"/>
          </w:tcPr>
          <w:p w14:paraId="44700618">
            <w:pPr>
              <w:autoSpaceDE w:val="0"/>
              <w:autoSpaceDN w:val="0"/>
              <w:snapToGrid w:val="0"/>
              <w:spacing w:line="300" w:lineRule="exact"/>
              <w:ind w:firstLine="240" w:firstLineChars="100"/>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泰兴市</w:t>
            </w:r>
          </w:p>
        </w:tc>
      </w:tr>
      <w:tr w14:paraId="15F9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39" w:type="dxa"/>
            <w:vAlign w:val="center"/>
          </w:tcPr>
          <w:p w14:paraId="7F8C9D16">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6</w:t>
            </w:r>
          </w:p>
        </w:tc>
        <w:tc>
          <w:tcPr>
            <w:tcW w:w="4189" w:type="dxa"/>
            <w:vAlign w:val="center"/>
          </w:tcPr>
          <w:p w14:paraId="5970B62D">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全域低噪高可靠一体化发电装备核心技术与产业化应用</w:t>
            </w:r>
          </w:p>
        </w:tc>
        <w:tc>
          <w:tcPr>
            <w:tcW w:w="4252" w:type="dxa"/>
            <w:vAlign w:val="center"/>
          </w:tcPr>
          <w:p w14:paraId="4C8FD1EC">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江苏中奕和创智能科技有限公司</w:t>
            </w:r>
          </w:p>
        </w:tc>
        <w:tc>
          <w:tcPr>
            <w:tcW w:w="1701" w:type="dxa"/>
            <w:vAlign w:val="center"/>
          </w:tcPr>
          <w:p w14:paraId="3C073712">
            <w:pPr>
              <w:autoSpaceDE w:val="0"/>
              <w:autoSpaceDN w:val="0"/>
              <w:snapToGrid w:val="0"/>
              <w:spacing w:line="300" w:lineRule="exact"/>
              <w:ind w:firstLine="240" w:firstLineChars="100"/>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泰兴市</w:t>
            </w:r>
          </w:p>
        </w:tc>
      </w:tr>
      <w:tr w14:paraId="3D8E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739" w:type="dxa"/>
            <w:vAlign w:val="center"/>
          </w:tcPr>
          <w:p w14:paraId="4B94526A">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7</w:t>
            </w:r>
          </w:p>
        </w:tc>
        <w:tc>
          <w:tcPr>
            <w:tcW w:w="4189" w:type="dxa"/>
            <w:vAlign w:val="center"/>
          </w:tcPr>
          <w:p w14:paraId="72A9A566">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特高强度钢帘线关键制备技术研究及产业化应用</w:t>
            </w:r>
          </w:p>
        </w:tc>
        <w:tc>
          <w:tcPr>
            <w:tcW w:w="4252" w:type="dxa"/>
            <w:vAlign w:val="center"/>
          </w:tcPr>
          <w:p w14:paraId="3741C4D3">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江苏兴达钢帘线股份有限公司</w:t>
            </w:r>
          </w:p>
        </w:tc>
        <w:tc>
          <w:tcPr>
            <w:tcW w:w="1701" w:type="dxa"/>
            <w:vAlign w:val="center"/>
          </w:tcPr>
          <w:p w14:paraId="4C614A9C">
            <w:pPr>
              <w:autoSpaceDE w:val="0"/>
              <w:autoSpaceDN w:val="0"/>
              <w:snapToGrid w:val="0"/>
              <w:spacing w:line="300" w:lineRule="exact"/>
              <w:ind w:firstLine="240" w:firstLineChars="100"/>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兴化市</w:t>
            </w:r>
          </w:p>
        </w:tc>
      </w:tr>
      <w:tr w14:paraId="2FED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39" w:type="dxa"/>
            <w:vAlign w:val="center"/>
          </w:tcPr>
          <w:p w14:paraId="572817A3">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8</w:t>
            </w:r>
          </w:p>
        </w:tc>
        <w:tc>
          <w:tcPr>
            <w:tcW w:w="4189" w:type="dxa"/>
            <w:vAlign w:val="center"/>
          </w:tcPr>
          <w:p w14:paraId="7CDC0142">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高品质莱氏体冷作模具钢Cr12系列产品关键技术及应用</w:t>
            </w:r>
          </w:p>
        </w:tc>
        <w:tc>
          <w:tcPr>
            <w:tcW w:w="4252" w:type="dxa"/>
            <w:vAlign w:val="center"/>
          </w:tcPr>
          <w:p w14:paraId="5655CE19">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江苏申源集团有限公司</w:t>
            </w:r>
          </w:p>
        </w:tc>
        <w:tc>
          <w:tcPr>
            <w:tcW w:w="1701" w:type="dxa"/>
            <w:vAlign w:val="center"/>
          </w:tcPr>
          <w:p w14:paraId="6AFFE138">
            <w:pPr>
              <w:autoSpaceDE w:val="0"/>
              <w:autoSpaceDN w:val="0"/>
              <w:snapToGrid w:val="0"/>
              <w:spacing w:line="300" w:lineRule="exact"/>
              <w:ind w:firstLine="240" w:firstLineChars="100"/>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兴化市</w:t>
            </w:r>
          </w:p>
        </w:tc>
      </w:tr>
      <w:tr w14:paraId="620B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39" w:type="dxa"/>
            <w:vAlign w:val="center"/>
          </w:tcPr>
          <w:p w14:paraId="7969D8C9">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9</w:t>
            </w:r>
          </w:p>
        </w:tc>
        <w:tc>
          <w:tcPr>
            <w:tcW w:w="4189" w:type="dxa"/>
            <w:vAlign w:val="center"/>
          </w:tcPr>
          <w:p w14:paraId="728470AC">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高电阻电热合金先进新技术开发应用</w:t>
            </w:r>
          </w:p>
        </w:tc>
        <w:tc>
          <w:tcPr>
            <w:tcW w:w="4252" w:type="dxa"/>
            <w:vAlign w:val="center"/>
          </w:tcPr>
          <w:p w14:paraId="4A56E89A">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江苏申源集团有限公司</w:t>
            </w:r>
          </w:p>
        </w:tc>
        <w:tc>
          <w:tcPr>
            <w:tcW w:w="1701" w:type="dxa"/>
            <w:vAlign w:val="center"/>
          </w:tcPr>
          <w:p w14:paraId="71EBB806">
            <w:pPr>
              <w:spacing w:line="300" w:lineRule="exact"/>
              <w:ind w:firstLine="240" w:firstLineChars="100"/>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兴化市</w:t>
            </w:r>
          </w:p>
        </w:tc>
      </w:tr>
      <w:tr w14:paraId="59AE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39" w:type="dxa"/>
            <w:vAlign w:val="center"/>
          </w:tcPr>
          <w:p w14:paraId="558CFF8C">
            <w:pPr>
              <w:autoSpaceDE w:val="0"/>
              <w:autoSpaceDN w:val="0"/>
              <w:snapToGrid w:val="0"/>
              <w:spacing w:line="300" w:lineRule="exact"/>
              <w:jc w:val="center"/>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1</w:t>
            </w:r>
            <w:r>
              <w:rPr>
                <w:rFonts w:ascii="仿宋" w:hAnsi="仿宋" w:eastAsia="仿宋" w:cs="Arial"/>
                <w:bCs/>
                <w:color w:val="000000"/>
                <w:kern w:val="0"/>
                <w:sz w:val="24"/>
                <w:szCs w:val="20"/>
              </w:rPr>
              <w:t>0</w:t>
            </w:r>
          </w:p>
        </w:tc>
        <w:tc>
          <w:tcPr>
            <w:tcW w:w="4189" w:type="dxa"/>
          </w:tcPr>
          <w:p w14:paraId="60F7E770">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脱水蔬菜高效低损收获与加工成套装备关键技术及应用</w:t>
            </w:r>
          </w:p>
        </w:tc>
        <w:tc>
          <w:tcPr>
            <w:tcW w:w="4252" w:type="dxa"/>
            <w:vAlign w:val="center"/>
          </w:tcPr>
          <w:p w14:paraId="2CC8DB86">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顶能科技有限公司</w:t>
            </w:r>
          </w:p>
        </w:tc>
        <w:tc>
          <w:tcPr>
            <w:tcW w:w="1701" w:type="dxa"/>
            <w:vAlign w:val="center"/>
          </w:tcPr>
          <w:p w14:paraId="079ECD79">
            <w:pPr>
              <w:spacing w:line="300" w:lineRule="exact"/>
              <w:ind w:firstLine="240" w:firstLineChars="100"/>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兴化市</w:t>
            </w:r>
          </w:p>
        </w:tc>
      </w:tr>
      <w:tr w14:paraId="1562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39" w:type="dxa"/>
            <w:vAlign w:val="center"/>
          </w:tcPr>
          <w:p w14:paraId="0D064874">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1</w:t>
            </w:r>
            <w:r>
              <w:rPr>
                <w:rFonts w:hint="eastAsia" w:ascii="仿宋" w:hAnsi="仿宋" w:eastAsia="仿宋" w:cs="Arial"/>
                <w:bCs/>
                <w:color w:val="000000"/>
                <w:kern w:val="0"/>
                <w:sz w:val="24"/>
                <w:szCs w:val="20"/>
              </w:rPr>
              <w:t>1</w:t>
            </w:r>
          </w:p>
        </w:tc>
        <w:tc>
          <w:tcPr>
            <w:tcW w:w="4189" w:type="dxa"/>
            <w:vAlign w:val="center"/>
          </w:tcPr>
          <w:p w14:paraId="0E495FBB">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国产TPCM驱动的内生安全可信防护关键技术及产业化</w:t>
            </w:r>
          </w:p>
        </w:tc>
        <w:tc>
          <w:tcPr>
            <w:tcW w:w="4252" w:type="dxa"/>
            <w:vAlign w:val="center"/>
          </w:tcPr>
          <w:p w14:paraId="1623E365">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江苏云涌电子科技股份有限公司</w:t>
            </w:r>
          </w:p>
        </w:tc>
        <w:tc>
          <w:tcPr>
            <w:tcW w:w="1701" w:type="dxa"/>
            <w:vAlign w:val="center"/>
          </w:tcPr>
          <w:p w14:paraId="61DA2DDD">
            <w:pPr>
              <w:autoSpaceDE w:val="0"/>
              <w:autoSpaceDN w:val="0"/>
              <w:snapToGrid w:val="0"/>
              <w:spacing w:line="300" w:lineRule="exact"/>
              <w:ind w:firstLine="240" w:firstLineChars="100"/>
              <w:rPr>
                <w:rFonts w:ascii="仿宋" w:hAnsi="仿宋" w:eastAsia="仿宋" w:cs="Arial"/>
                <w:bCs/>
                <w:color w:val="000000"/>
                <w:kern w:val="0"/>
                <w:sz w:val="24"/>
                <w:szCs w:val="20"/>
              </w:rPr>
            </w:pPr>
            <w:r>
              <w:rPr>
                <w:rFonts w:ascii="仿宋" w:hAnsi="仿宋" w:eastAsia="仿宋" w:cs="Arial"/>
                <w:bCs/>
                <w:color w:val="000000"/>
                <w:kern w:val="0"/>
                <w:sz w:val="24"/>
                <w:szCs w:val="20"/>
              </w:rPr>
              <w:t>海陵区</w:t>
            </w:r>
          </w:p>
        </w:tc>
      </w:tr>
      <w:tr w14:paraId="56F6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39" w:type="dxa"/>
            <w:vAlign w:val="center"/>
          </w:tcPr>
          <w:p w14:paraId="135941A3">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12</w:t>
            </w:r>
          </w:p>
        </w:tc>
        <w:tc>
          <w:tcPr>
            <w:tcW w:w="4189" w:type="dxa"/>
            <w:vAlign w:val="center"/>
          </w:tcPr>
          <w:p w14:paraId="3840F505">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大断面管渠螺旋缠绕非开挖修复技术与装备及创新应用</w:t>
            </w:r>
          </w:p>
        </w:tc>
        <w:tc>
          <w:tcPr>
            <w:tcW w:w="4252" w:type="dxa"/>
            <w:vAlign w:val="center"/>
          </w:tcPr>
          <w:p w14:paraId="2D6FFEC7">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五行科技股份有限公司</w:t>
            </w:r>
          </w:p>
        </w:tc>
        <w:tc>
          <w:tcPr>
            <w:tcW w:w="1701" w:type="dxa"/>
            <w:vAlign w:val="center"/>
          </w:tcPr>
          <w:p w14:paraId="0B4AAC79">
            <w:pPr>
              <w:autoSpaceDE w:val="0"/>
              <w:autoSpaceDN w:val="0"/>
              <w:snapToGrid w:val="0"/>
              <w:spacing w:line="300" w:lineRule="exact"/>
              <w:ind w:firstLine="240" w:firstLineChars="100"/>
              <w:rPr>
                <w:rFonts w:ascii="仿宋" w:hAnsi="仿宋" w:eastAsia="仿宋" w:cs="Arial"/>
                <w:bCs/>
                <w:color w:val="000000"/>
                <w:kern w:val="0"/>
                <w:sz w:val="24"/>
                <w:szCs w:val="20"/>
              </w:rPr>
            </w:pPr>
            <w:r>
              <w:rPr>
                <w:rFonts w:ascii="仿宋" w:hAnsi="仿宋" w:eastAsia="仿宋" w:cs="Arial"/>
                <w:bCs/>
                <w:color w:val="000000"/>
                <w:kern w:val="0"/>
                <w:sz w:val="24"/>
                <w:szCs w:val="20"/>
              </w:rPr>
              <w:t>姜堰区</w:t>
            </w:r>
          </w:p>
        </w:tc>
      </w:tr>
      <w:tr w14:paraId="4AA6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39" w:type="dxa"/>
            <w:vAlign w:val="center"/>
          </w:tcPr>
          <w:p w14:paraId="709ED714">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13</w:t>
            </w:r>
          </w:p>
        </w:tc>
        <w:tc>
          <w:tcPr>
            <w:tcW w:w="4189" w:type="dxa"/>
            <w:vAlign w:val="center"/>
          </w:tcPr>
          <w:p w14:paraId="3531F1DE">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呼吸道病原体精准快速检测关键技术与智能化集成平台的建立及应用</w:t>
            </w:r>
          </w:p>
        </w:tc>
        <w:tc>
          <w:tcPr>
            <w:tcW w:w="4252" w:type="dxa"/>
            <w:vAlign w:val="center"/>
          </w:tcPr>
          <w:p w14:paraId="73815A48">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江苏硕世生物科技股份有限公司</w:t>
            </w:r>
          </w:p>
        </w:tc>
        <w:tc>
          <w:tcPr>
            <w:tcW w:w="1701" w:type="dxa"/>
            <w:vAlign w:val="center"/>
          </w:tcPr>
          <w:p w14:paraId="212D6AC0">
            <w:pPr>
              <w:autoSpaceDE w:val="0"/>
              <w:autoSpaceDN w:val="0"/>
              <w:snapToGrid w:val="0"/>
              <w:spacing w:line="300" w:lineRule="exact"/>
              <w:jc w:val="center"/>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医药高新区（高港区）</w:t>
            </w:r>
          </w:p>
        </w:tc>
      </w:tr>
      <w:tr w14:paraId="443C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39" w:type="dxa"/>
            <w:vAlign w:val="center"/>
          </w:tcPr>
          <w:p w14:paraId="1AC96280">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14</w:t>
            </w:r>
          </w:p>
        </w:tc>
        <w:tc>
          <w:tcPr>
            <w:tcW w:w="4189" w:type="dxa"/>
            <w:vAlign w:val="center"/>
          </w:tcPr>
          <w:p w14:paraId="6029D35A">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基于多重荧光PCR的病原体鉴定与耐药快速联合检测技术开发及应用</w:t>
            </w:r>
          </w:p>
        </w:tc>
        <w:tc>
          <w:tcPr>
            <w:tcW w:w="4252" w:type="dxa"/>
            <w:vAlign w:val="center"/>
          </w:tcPr>
          <w:p w14:paraId="3CDD2943">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江苏默乐生物科技股份有限公司</w:t>
            </w:r>
          </w:p>
        </w:tc>
        <w:tc>
          <w:tcPr>
            <w:tcW w:w="1701" w:type="dxa"/>
            <w:vAlign w:val="center"/>
          </w:tcPr>
          <w:p w14:paraId="7784C022">
            <w:pPr>
              <w:autoSpaceDE w:val="0"/>
              <w:autoSpaceDN w:val="0"/>
              <w:snapToGrid w:val="0"/>
              <w:spacing w:line="300" w:lineRule="exact"/>
              <w:jc w:val="center"/>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医药高新区（高港区）</w:t>
            </w:r>
          </w:p>
        </w:tc>
      </w:tr>
      <w:tr w14:paraId="1372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39" w:type="dxa"/>
            <w:vAlign w:val="center"/>
          </w:tcPr>
          <w:p w14:paraId="303B55C2">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15</w:t>
            </w:r>
          </w:p>
        </w:tc>
        <w:tc>
          <w:tcPr>
            <w:tcW w:w="4189" w:type="dxa"/>
          </w:tcPr>
          <w:p w14:paraId="683BF627">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我国宠物创新性生物制品关键技术研发及临床产业化应用</w:t>
            </w:r>
          </w:p>
        </w:tc>
        <w:tc>
          <w:tcPr>
            <w:tcW w:w="4252" w:type="dxa"/>
          </w:tcPr>
          <w:p w14:paraId="2938DA75">
            <w:pPr>
              <w:autoSpaceDE w:val="0"/>
              <w:autoSpaceDN w:val="0"/>
              <w:snapToGrid w:val="0"/>
              <w:spacing w:line="300" w:lineRule="exact"/>
              <w:jc w:val="left"/>
              <w:rPr>
                <w:rFonts w:ascii="仿宋" w:hAnsi="仿宋" w:eastAsia="仿宋" w:cs="Arial"/>
                <w:bCs/>
                <w:color w:val="000000"/>
                <w:kern w:val="0"/>
                <w:sz w:val="24"/>
                <w:szCs w:val="20"/>
              </w:rPr>
            </w:pPr>
          </w:p>
          <w:p w14:paraId="6FD0B903">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泰州博莱得利生物科技有限公司</w:t>
            </w:r>
          </w:p>
        </w:tc>
        <w:tc>
          <w:tcPr>
            <w:tcW w:w="1701" w:type="dxa"/>
            <w:vAlign w:val="center"/>
          </w:tcPr>
          <w:p w14:paraId="1A09BD35">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医药高新区（高港区）</w:t>
            </w:r>
          </w:p>
        </w:tc>
      </w:tr>
      <w:tr w14:paraId="0D2A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39" w:type="dxa"/>
            <w:vAlign w:val="center"/>
          </w:tcPr>
          <w:p w14:paraId="42CE457D">
            <w:pPr>
              <w:autoSpaceDE w:val="0"/>
              <w:autoSpaceDN w:val="0"/>
              <w:snapToGrid w:val="0"/>
              <w:spacing w:line="300" w:lineRule="exact"/>
              <w:jc w:val="center"/>
              <w:rPr>
                <w:rFonts w:ascii="仿宋" w:hAnsi="仿宋" w:eastAsia="仿宋" w:cs="Arial"/>
                <w:bCs/>
                <w:color w:val="000000"/>
                <w:kern w:val="0"/>
                <w:sz w:val="24"/>
                <w:szCs w:val="20"/>
              </w:rPr>
            </w:pPr>
            <w:r>
              <w:rPr>
                <w:rFonts w:ascii="仿宋" w:hAnsi="仿宋" w:eastAsia="仿宋" w:cs="Arial"/>
                <w:bCs/>
                <w:color w:val="000000"/>
                <w:kern w:val="0"/>
                <w:sz w:val="24"/>
                <w:szCs w:val="20"/>
              </w:rPr>
              <w:t>16</w:t>
            </w:r>
          </w:p>
        </w:tc>
        <w:tc>
          <w:tcPr>
            <w:tcW w:w="4189" w:type="dxa"/>
            <w:vAlign w:val="center"/>
          </w:tcPr>
          <w:p w14:paraId="30A6393E">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一类新药</w:t>
            </w:r>
            <w:r>
              <w:rPr>
                <w:rFonts w:ascii="仿宋" w:hAnsi="仿宋" w:eastAsia="仿宋" w:cs="Arial"/>
                <w:bCs/>
                <w:color w:val="000000"/>
                <w:kern w:val="0"/>
                <w:sz w:val="24"/>
                <w:szCs w:val="20"/>
              </w:rPr>
              <w:t>四价流感病毒亚单位疫苗</w:t>
            </w:r>
            <w:r>
              <w:rPr>
                <w:rFonts w:hint="eastAsia" w:ascii="仿宋" w:hAnsi="仿宋" w:eastAsia="仿宋" w:cs="Arial"/>
                <w:bCs/>
                <w:color w:val="000000"/>
                <w:kern w:val="0"/>
                <w:sz w:val="24"/>
                <w:szCs w:val="20"/>
              </w:rPr>
              <w:t>商业</w:t>
            </w:r>
            <w:r>
              <w:rPr>
                <w:rFonts w:ascii="仿宋" w:hAnsi="仿宋" w:eastAsia="仿宋" w:cs="Arial"/>
                <w:bCs/>
                <w:color w:val="000000"/>
                <w:kern w:val="0"/>
                <w:sz w:val="24"/>
                <w:szCs w:val="20"/>
              </w:rPr>
              <w:t>化</w:t>
            </w:r>
            <w:r>
              <w:rPr>
                <w:rFonts w:hint="eastAsia" w:ascii="仿宋" w:hAnsi="仿宋" w:eastAsia="仿宋" w:cs="Arial"/>
                <w:bCs/>
                <w:color w:val="000000"/>
                <w:kern w:val="0"/>
                <w:sz w:val="24"/>
                <w:szCs w:val="20"/>
              </w:rPr>
              <w:t>及特殊人群的推广应用</w:t>
            </w:r>
          </w:p>
        </w:tc>
        <w:tc>
          <w:tcPr>
            <w:tcW w:w="4252" w:type="dxa"/>
            <w:vAlign w:val="center"/>
          </w:tcPr>
          <w:p w14:paraId="51FE0E0F">
            <w:pPr>
              <w:autoSpaceDE w:val="0"/>
              <w:autoSpaceDN w:val="0"/>
              <w:snapToGrid w:val="0"/>
              <w:spacing w:line="300" w:lineRule="exact"/>
              <w:jc w:val="left"/>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江苏中慧元通生物科技股份有限公司</w:t>
            </w:r>
          </w:p>
        </w:tc>
        <w:tc>
          <w:tcPr>
            <w:tcW w:w="1701" w:type="dxa"/>
            <w:vAlign w:val="center"/>
          </w:tcPr>
          <w:p w14:paraId="5FC932D5">
            <w:pPr>
              <w:autoSpaceDE w:val="0"/>
              <w:autoSpaceDN w:val="0"/>
              <w:snapToGrid w:val="0"/>
              <w:spacing w:line="300" w:lineRule="exact"/>
              <w:jc w:val="center"/>
              <w:rPr>
                <w:rFonts w:ascii="仿宋" w:hAnsi="仿宋" w:eastAsia="仿宋" w:cs="Arial"/>
                <w:bCs/>
                <w:color w:val="000000"/>
                <w:kern w:val="0"/>
                <w:sz w:val="24"/>
                <w:szCs w:val="20"/>
              </w:rPr>
            </w:pPr>
            <w:r>
              <w:rPr>
                <w:rFonts w:hint="eastAsia" w:ascii="仿宋" w:hAnsi="仿宋" w:eastAsia="仿宋" w:cs="Arial"/>
                <w:bCs/>
                <w:color w:val="000000"/>
                <w:kern w:val="0"/>
                <w:sz w:val="24"/>
                <w:szCs w:val="20"/>
              </w:rPr>
              <w:t>医药高新区（高港区）</w:t>
            </w:r>
          </w:p>
        </w:tc>
      </w:tr>
    </w:tbl>
    <w:p w14:paraId="028D757D">
      <w:pPr>
        <w:autoSpaceDE w:val="0"/>
        <w:autoSpaceDN w:val="0"/>
        <w:snapToGrid w:val="0"/>
        <w:spacing w:line="300" w:lineRule="exact"/>
        <w:rPr>
          <w:rFonts w:ascii="Times New Roman" w:hAnsi="Times New Roman" w:eastAsia="方正小标宋简体" w:cs="Times New Roman"/>
          <w:sz w:val="32"/>
          <w:szCs w:val="40"/>
        </w:rPr>
      </w:pPr>
    </w:p>
    <w:p w14:paraId="47041D7D">
      <w:pPr>
        <w:spacing w:line="600" w:lineRule="exact"/>
        <w:rPr>
          <w:rFonts w:ascii="仿宋_GB2312" w:hAnsi="仿宋" w:eastAsia="仿宋_GB2312" w:cs="仿宋"/>
          <w:sz w:val="32"/>
          <w:szCs w:val="32"/>
        </w:rPr>
      </w:pPr>
    </w:p>
    <w:p w14:paraId="2F1B0B26">
      <w:pPr>
        <w:spacing w:line="600" w:lineRule="exact"/>
        <w:ind w:firstLine="640" w:firstLineChars="200"/>
        <w:rPr>
          <w:rFonts w:ascii="仿宋_GB2312" w:hAnsi="仿宋" w:eastAsia="仿宋_GB2312" w:cs="仿宋"/>
          <w:sz w:val="32"/>
          <w:szCs w:val="32"/>
        </w:rPr>
      </w:pPr>
    </w:p>
    <w:p w14:paraId="4493A65E">
      <w:pPr>
        <w:spacing w:line="600" w:lineRule="exact"/>
        <w:ind w:firstLine="640" w:firstLineChars="200"/>
        <w:rPr>
          <w:rFonts w:ascii="仿宋_GB2312" w:hAnsi="仿宋" w:eastAsia="仿宋_GB2312" w:cs="仿宋"/>
          <w:sz w:val="32"/>
          <w:szCs w:val="32"/>
        </w:rPr>
      </w:pPr>
    </w:p>
    <w:p w14:paraId="29BE098A">
      <w:pPr>
        <w:spacing w:line="600" w:lineRule="exact"/>
        <w:ind w:firstLine="640" w:firstLineChars="200"/>
        <w:rPr>
          <w:rFonts w:ascii="仿宋_GB2312" w:hAnsi="仿宋" w:eastAsia="仿宋_GB2312" w:cs="仿宋"/>
          <w:sz w:val="32"/>
          <w:szCs w:val="32"/>
        </w:rPr>
      </w:pPr>
    </w:p>
    <w:p w14:paraId="56B898EE">
      <w:pPr>
        <w:spacing w:line="600" w:lineRule="exact"/>
        <w:ind w:firstLine="640" w:firstLineChars="200"/>
        <w:rPr>
          <w:rFonts w:ascii="仿宋_GB2312" w:hAnsi="仿宋" w:eastAsia="仿宋_GB2312" w:cs="仿宋"/>
          <w:sz w:val="32"/>
          <w:szCs w:val="32"/>
        </w:rPr>
      </w:pPr>
    </w:p>
    <w:p w14:paraId="04D9AFE5">
      <w:pPr>
        <w:spacing w:line="600" w:lineRule="exact"/>
        <w:ind w:firstLine="640" w:firstLineChars="200"/>
        <w:rPr>
          <w:rFonts w:ascii="仿宋_GB2312" w:hAnsi="仿宋" w:eastAsia="仿宋_GB2312" w:cs="仿宋"/>
          <w:sz w:val="32"/>
          <w:szCs w:val="32"/>
        </w:rPr>
      </w:pPr>
    </w:p>
    <w:p w14:paraId="51856FC1">
      <w:pPr>
        <w:spacing w:line="600" w:lineRule="exact"/>
        <w:ind w:firstLine="640" w:firstLineChars="200"/>
        <w:rPr>
          <w:rFonts w:ascii="仿宋_GB2312" w:hAnsi="仿宋" w:eastAsia="仿宋_GB2312" w:cs="仿宋"/>
          <w:sz w:val="32"/>
          <w:szCs w:val="32"/>
        </w:rPr>
      </w:pPr>
    </w:p>
    <w:p w14:paraId="41055EFA">
      <w:pPr>
        <w:spacing w:line="600" w:lineRule="exact"/>
        <w:ind w:firstLine="640" w:firstLineChars="200"/>
        <w:rPr>
          <w:rFonts w:ascii="仿宋_GB2312" w:hAnsi="仿宋" w:eastAsia="仿宋_GB2312" w:cs="仿宋"/>
          <w:sz w:val="32"/>
          <w:szCs w:val="32"/>
        </w:rPr>
      </w:pPr>
    </w:p>
    <w:p w14:paraId="3B2A48C6">
      <w:pPr>
        <w:spacing w:line="600" w:lineRule="exact"/>
        <w:ind w:firstLine="640" w:firstLineChars="200"/>
        <w:rPr>
          <w:rFonts w:ascii="仿宋_GB2312" w:hAnsi="仿宋" w:eastAsia="仿宋_GB2312" w:cs="仿宋"/>
          <w:sz w:val="32"/>
          <w:szCs w:val="32"/>
        </w:rPr>
      </w:pPr>
    </w:p>
    <w:p w14:paraId="21CB481A">
      <w:pPr>
        <w:spacing w:line="600" w:lineRule="exact"/>
        <w:ind w:firstLine="640" w:firstLineChars="200"/>
        <w:rPr>
          <w:rFonts w:ascii="仿宋_GB2312" w:hAnsi="仿宋" w:eastAsia="仿宋_GB2312" w:cs="仿宋"/>
          <w:sz w:val="32"/>
          <w:szCs w:val="32"/>
        </w:rPr>
      </w:pPr>
    </w:p>
    <w:p w14:paraId="1AEDF57B">
      <w:pPr>
        <w:spacing w:line="600" w:lineRule="exact"/>
        <w:ind w:firstLine="640" w:firstLineChars="200"/>
        <w:rPr>
          <w:rFonts w:ascii="仿宋_GB2312" w:hAnsi="仿宋" w:eastAsia="仿宋_GB2312" w:cs="仿宋"/>
          <w:sz w:val="32"/>
          <w:szCs w:val="32"/>
        </w:rPr>
      </w:pPr>
    </w:p>
    <w:p w14:paraId="2E0553D6">
      <w:pPr>
        <w:spacing w:line="600" w:lineRule="exact"/>
        <w:ind w:firstLine="640" w:firstLineChars="200"/>
        <w:rPr>
          <w:rFonts w:ascii="仿宋_GB2312" w:hAnsi="仿宋" w:eastAsia="仿宋_GB2312" w:cs="仿宋"/>
          <w:sz w:val="32"/>
          <w:szCs w:val="32"/>
        </w:rPr>
      </w:pPr>
    </w:p>
    <w:p w14:paraId="5310C645">
      <w:pPr>
        <w:spacing w:line="600" w:lineRule="exact"/>
        <w:rPr>
          <w:rFonts w:ascii="仿宋_GB2312" w:hAnsi="仿宋" w:eastAsia="仿宋_GB2312" w:cs="仿宋"/>
          <w:sz w:val="32"/>
          <w:szCs w:val="32"/>
        </w:rPr>
      </w:pPr>
      <w:bookmarkStart w:id="2" w:name="_GoBack"/>
      <w:bookmarkEnd w:id="2"/>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0ZTg2Y2Y5NTRjOTYxNjJmYThiZDQ3Y2IxMDYzNmYifQ=="/>
  </w:docVars>
  <w:rsids>
    <w:rsidRoot w:val="005F3F5B"/>
    <w:rsid w:val="000008A7"/>
    <w:rsid w:val="00064ED1"/>
    <w:rsid w:val="000777C9"/>
    <w:rsid w:val="00077E98"/>
    <w:rsid w:val="000B253F"/>
    <w:rsid w:val="00113266"/>
    <w:rsid w:val="00135CB8"/>
    <w:rsid w:val="0016438E"/>
    <w:rsid w:val="00194083"/>
    <w:rsid w:val="0019464A"/>
    <w:rsid w:val="001B09D6"/>
    <w:rsid w:val="001B5D25"/>
    <w:rsid w:val="001B6E0A"/>
    <w:rsid w:val="001D27BE"/>
    <w:rsid w:val="001F0E82"/>
    <w:rsid w:val="001F6604"/>
    <w:rsid w:val="00222DB4"/>
    <w:rsid w:val="00230A07"/>
    <w:rsid w:val="002556C2"/>
    <w:rsid w:val="0026539E"/>
    <w:rsid w:val="00281DAB"/>
    <w:rsid w:val="0029359A"/>
    <w:rsid w:val="002F4E16"/>
    <w:rsid w:val="003A75DF"/>
    <w:rsid w:val="003B6A96"/>
    <w:rsid w:val="003E1534"/>
    <w:rsid w:val="003E3A67"/>
    <w:rsid w:val="00411574"/>
    <w:rsid w:val="00436397"/>
    <w:rsid w:val="0044532C"/>
    <w:rsid w:val="00456288"/>
    <w:rsid w:val="004572B3"/>
    <w:rsid w:val="00460A79"/>
    <w:rsid w:val="004A4288"/>
    <w:rsid w:val="004C082F"/>
    <w:rsid w:val="005203BA"/>
    <w:rsid w:val="00533B55"/>
    <w:rsid w:val="00571802"/>
    <w:rsid w:val="005B46E0"/>
    <w:rsid w:val="005E372F"/>
    <w:rsid w:val="005F3F5B"/>
    <w:rsid w:val="00647A77"/>
    <w:rsid w:val="00655A4E"/>
    <w:rsid w:val="00692DA1"/>
    <w:rsid w:val="006A2E97"/>
    <w:rsid w:val="006C124F"/>
    <w:rsid w:val="007030D4"/>
    <w:rsid w:val="007321B9"/>
    <w:rsid w:val="00775237"/>
    <w:rsid w:val="007A65CD"/>
    <w:rsid w:val="00811A64"/>
    <w:rsid w:val="00825CAB"/>
    <w:rsid w:val="00842E7F"/>
    <w:rsid w:val="00844E27"/>
    <w:rsid w:val="00863E55"/>
    <w:rsid w:val="00873137"/>
    <w:rsid w:val="0089216D"/>
    <w:rsid w:val="008D3AAE"/>
    <w:rsid w:val="008D457B"/>
    <w:rsid w:val="008E5607"/>
    <w:rsid w:val="008E7F5C"/>
    <w:rsid w:val="00906F06"/>
    <w:rsid w:val="00965584"/>
    <w:rsid w:val="00995B7A"/>
    <w:rsid w:val="009C20B6"/>
    <w:rsid w:val="009C7142"/>
    <w:rsid w:val="009D20E8"/>
    <w:rsid w:val="00A6073B"/>
    <w:rsid w:val="00AA370C"/>
    <w:rsid w:val="00AC1985"/>
    <w:rsid w:val="00AD0C0D"/>
    <w:rsid w:val="00AD5E70"/>
    <w:rsid w:val="00AE1C2F"/>
    <w:rsid w:val="00AF523C"/>
    <w:rsid w:val="00B16E89"/>
    <w:rsid w:val="00B20680"/>
    <w:rsid w:val="00B2760D"/>
    <w:rsid w:val="00B322B5"/>
    <w:rsid w:val="00B727EF"/>
    <w:rsid w:val="00B74899"/>
    <w:rsid w:val="00B84CFB"/>
    <w:rsid w:val="00B8622B"/>
    <w:rsid w:val="00BD69D8"/>
    <w:rsid w:val="00BE407D"/>
    <w:rsid w:val="00BE50EC"/>
    <w:rsid w:val="00C42C7A"/>
    <w:rsid w:val="00C45279"/>
    <w:rsid w:val="00C6350F"/>
    <w:rsid w:val="00C66773"/>
    <w:rsid w:val="00C84668"/>
    <w:rsid w:val="00CC29D0"/>
    <w:rsid w:val="00CD2C28"/>
    <w:rsid w:val="00D0280A"/>
    <w:rsid w:val="00D55112"/>
    <w:rsid w:val="00D5641F"/>
    <w:rsid w:val="00D57C61"/>
    <w:rsid w:val="00D627C3"/>
    <w:rsid w:val="00D87847"/>
    <w:rsid w:val="00D93D7D"/>
    <w:rsid w:val="00DD183B"/>
    <w:rsid w:val="00E0012D"/>
    <w:rsid w:val="00E72E30"/>
    <w:rsid w:val="00E740AA"/>
    <w:rsid w:val="00E74953"/>
    <w:rsid w:val="00E87E46"/>
    <w:rsid w:val="00E92D68"/>
    <w:rsid w:val="00E949BC"/>
    <w:rsid w:val="00ED79F0"/>
    <w:rsid w:val="00F14B7E"/>
    <w:rsid w:val="00F6581B"/>
    <w:rsid w:val="00FA50A4"/>
    <w:rsid w:val="00FA7DCE"/>
    <w:rsid w:val="00FB13CF"/>
    <w:rsid w:val="00FE78C0"/>
    <w:rsid w:val="00FF0BCF"/>
    <w:rsid w:val="00FF66C6"/>
    <w:rsid w:val="01654B98"/>
    <w:rsid w:val="021E3294"/>
    <w:rsid w:val="02963679"/>
    <w:rsid w:val="06BF1E20"/>
    <w:rsid w:val="09543CF1"/>
    <w:rsid w:val="09F85F08"/>
    <w:rsid w:val="11DD3D79"/>
    <w:rsid w:val="1B486183"/>
    <w:rsid w:val="1F301C8A"/>
    <w:rsid w:val="1F703464"/>
    <w:rsid w:val="23EA0E7A"/>
    <w:rsid w:val="25B87C2F"/>
    <w:rsid w:val="2B057409"/>
    <w:rsid w:val="37AA0855"/>
    <w:rsid w:val="43206A85"/>
    <w:rsid w:val="43C9148B"/>
    <w:rsid w:val="49D97E23"/>
    <w:rsid w:val="4FE8658B"/>
    <w:rsid w:val="570D2B56"/>
    <w:rsid w:val="5E1241FA"/>
    <w:rsid w:val="61396BD8"/>
    <w:rsid w:val="61FF55B0"/>
    <w:rsid w:val="701806E6"/>
    <w:rsid w:val="703D1C41"/>
    <w:rsid w:val="74D84F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15"/>
    <w:unhideWhenUsed/>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3"/>
    <w:qFormat/>
    <w:uiPriority w:val="1"/>
    <w:pPr>
      <w:autoSpaceDE w:val="0"/>
      <w:autoSpaceDN w:val="0"/>
      <w:jc w:val="left"/>
    </w:pPr>
    <w:rPr>
      <w:rFonts w:ascii="宋体" w:hAnsi="宋体" w:eastAsia="宋体" w:cs="宋体"/>
      <w:kern w:val="0"/>
      <w:sz w:val="28"/>
      <w:szCs w:val="28"/>
      <w:lang w:eastAsia="en-US"/>
    </w:rPr>
  </w:style>
  <w:style w:type="paragraph" w:styleId="4">
    <w:name w:val="Balloon Text"/>
    <w:basedOn w:val="1"/>
    <w:link w:val="14"/>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100" w:beforeAutospacing="1" w:after="100" w:afterAutospacing="1"/>
      <w:jc w:val="left"/>
    </w:pPr>
    <w:rPr>
      <w:rFonts w:ascii="Calibri" w:hAnsi="Calibri" w:eastAsia="宋体"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6"/>
    <w:uiPriority w:val="0"/>
    <w:rPr>
      <w:rFonts w:asciiTheme="minorHAnsi" w:hAnsiTheme="minorHAnsi" w:eastAsiaTheme="minorEastAsia" w:cstheme="minorBidi"/>
      <w:kern w:val="2"/>
      <w:sz w:val="18"/>
      <w:szCs w:val="18"/>
    </w:rPr>
  </w:style>
  <w:style w:type="character" w:customStyle="1" w:styleId="12">
    <w:name w:val="页脚 字符"/>
    <w:basedOn w:val="10"/>
    <w:link w:val="5"/>
    <w:qFormat/>
    <w:uiPriority w:val="0"/>
    <w:rPr>
      <w:rFonts w:asciiTheme="minorHAnsi" w:hAnsiTheme="minorHAnsi" w:eastAsiaTheme="minorEastAsia" w:cstheme="minorBidi"/>
      <w:kern w:val="2"/>
      <w:sz w:val="18"/>
      <w:szCs w:val="18"/>
    </w:rPr>
  </w:style>
  <w:style w:type="character" w:customStyle="1" w:styleId="13">
    <w:name w:val="正文文本 字符"/>
    <w:basedOn w:val="10"/>
    <w:link w:val="3"/>
    <w:qFormat/>
    <w:uiPriority w:val="1"/>
    <w:rPr>
      <w:rFonts w:ascii="宋体" w:hAnsi="宋体" w:cs="宋体"/>
      <w:sz w:val="28"/>
      <w:szCs w:val="28"/>
      <w:lang w:eastAsia="en-US"/>
    </w:rPr>
  </w:style>
  <w:style w:type="character" w:customStyle="1" w:styleId="14">
    <w:name w:val="批注框文本 字符"/>
    <w:basedOn w:val="10"/>
    <w:link w:val="4"/>
    <w:qFormat/>
    <w:uiPriority w:val="0"/>
    <w:rPr>
      <w:rFonts w:asciiTheme="minorHAnsi" w:hAnsiTheme="minorHAnsi" w:eastAsiaTheme="minorEastAsia" w:cstheme="minorBidi"/>
      <w:kern w:val="2"/>
      <w:sz w:val="18"/>
      <w:szCs w:val="18"/>
    </w:rPr>
  </w:style>
  <w:style w:type="character" w:customStyle="1" w:styleId="15">
    <w:name w:val="标题 3 字符"/>
    <w:basedOn w:val="10"/>
    <w:link w:val="2"/>
    <w:qFormat/>
    <w:uiPriority w:val="0"/>
    <w:rPr>
      <w:rFonts w:ascii="宋体" w:hAnsi="宋体"/>
      <w:b/>
      <w:bCs/>
      <w:sz w:val="27"/>
      <w:szCs w:val="27"/>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56262-F5BF-4264-9404-ED657647D96D}">
  <ds:schemaRefs/>
</ds:datastoreItem>
</file>

<file path=docProps/app.xml><?xml version="1.0" encoding="utf-8"?>
<Properties xmlns="http://schemas.openxmlformats.org/officeDocument/2006/extended-properties" xmlns:vt="http://schemas.openxmlformats.org/officeDocument/2006/docPropsVTypes">
  <Template>Normal</Template>
  <Pages>2</Pages>
  <Words>1094</Words>
  <Characters>1174</Characters>
  <Lines>9</Lines>
  <Paragraphs>2</Paragraphs>
  <TotalTime>639</TotalTime>
  <ScaleCrop>false</ScaleCrop>
  <LinksUpToDate>false</LinksUpToDate>
  <CharactersWithSpaces>1187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chuhuayue</dc:creator>
  <cp:lastModifiedBy>沙漠鱼</cp:lastModifiedBy>
  <cp:lastPrinted>2026-07-07T09:22:00Z</cp:lastPrinted>
  <dcterms:modified xsi:type="dcterms:W3CDTF">2026-07-07T09:44:45Z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E7EF56A69C124ED4B1BD632CCE417839_13</vt:lpwstr>
  </property>
  <property fmtid="{D5CDD505-2E9C-101B-9397-08002B2CF9AE}" pid="4" name="KSOTemplateDocerSaveRecord">
    <vt:lpwstr>eyJoZGlkIjoiNGRhMGU0YmQ1ZGI3MTliMzU3NjFhZTI5MjNiZGJmMTYiLCJ1c2VySWQiOiI2MDI2NjU0OTUifQ==</vt:lpwstr>
  </property>
</Properties>
</file>