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DAB67" w14:textId="763F5098" w:rsidR="005C5CD4" w:rsidRDefault="005C5CD4" w:rsidP="005C5CD4">
      <w:pPr>
        <w:pStyle w:val="af4"/>
        <w:spacing w:line="700" w:lineRule="exact"/>
        <w:jc w:val="center"/>
        <w:outlineLvl w:val="0"/>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关于促进全市建筑业高质量发展的若干措施（修订草案）解读</w:t>
      </w:r>
    </w:p>
    <w:p w14:paraId="3C35487D" w14:textId="77777777" w:rsidR="005C5CD4" w:rsidRDefault="005C5CD4" w:rsidP="005C5CD4">
      <w:pPr>
        <w:spacing w:line="440" w:lineRule="exact"/>
        <w:ind w:firstLineChars="200" w:firstLine="640"/>
        <w:jc w:val="center"/>
        <w:rPr>
          <w:rFonts w:ascii="Times New Roman" w:eastAsia="方正仿宋_GBK" w:hAnsi="Times New Roman" w:cs="Times New Roman"/>
          <w:sz w:val="32"/>
          <w:szCs w:val="32"/>
        </w:rPr>
      </w:pPr>
    </w:p>
    <w:p w14:paraId="632AB47B" w14:textId="77777777" w:rsidR="005C5CD4" w:rsidRDefault="005C5CD4" w:rsidP="005C5CD4">
      <w:pPr>
        <w:spacing w:line="560" w:lineRule="exact"/>
        <w:ind w:firstLineChars="200" w:firstLine="640"/>
        <w:rPr>
          <w:rFonts w:ascii="方正黑体_GBK" w:eastAsia="方正黑体_GBK" w:hAnsi="方正黑体_GBK" w:cs="Times New Roman" w:hint="eastAsia"/>
          <w:sz w:val="32"/>
          <w:szCs w:val="32"/>
        </w:rPr>
      </w:pPr>
      <w:r>
        <w:rPr>
          <w:rFonts w:ascii="方正黑体_GBK" w:eastAsia="方正黑体_GBK" w:hAnsi="方正黑体_GBK" w:cs="Times New Roman" w:hint="eastAsia"/>
          <w:sz w:val="32"/>
          <w:szCs w:val="32"/>
        </w:rPr>
        <w:t>一、修订的背景</w:t>
      </w:r>
    </w:p>
    <w:p w14:paraId="785AC10D" w14:textId="77777777" w:rsidR="005C5CD4" w:rsidRDefault="005C5CD4" w:rsidP="005C5CD4">
      <w:pPr>
        <w:spacing w:line="560" w:lineRule="exac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原《关于促进全市建筑业高质量发展的若干措施》实施以来，在培育壮大建筑业企业、规范建筑市场秩序、推动行业转型升级等方面发挥了积极作用。为深入贯彻国家、省关于建筑业高质量发展、建设全国统一大市场相关部署，顺应建筑业数字化转型发展趋势，衔接上级最新政策导向，妥善应对原有部分条款政策条件发生变化等实际情况，进一步提升政策精准性、公平性与可操作性，结合我市建筑业发展现状，对文件相关条款开展修订完善。</w:t>
      </w:r>
    </w:p>
    <w:p w14:paraId="4CACFEEA" w14:textId="77777777" w:rsidR="005C5CD4" w:rsidRDefault="005C5CD4" w:rsidP="005C5CD4">
      <w:pPr>
        <w:spacing w:line="560" w:lineRule="exact"/>
        <w:ind w:firstLineChars="200" w:firstLine="640"/>
        <w:jc w:val="left"/>
        <w:rPr>
          <w:rFonts w:ascii="方正黑体_GBK" w:eastAsia="方正黑体_GBK" w:hAnsi="方正黑体_GBK" w:cs="方正黑体_GBK" w:hint="eastAsia"/>
          <w:sz w:val="32"/>
          <w:szCs w:val="40"/>
        </w:rPr>
      </w:pPr>
      <w:r>
        <w:rPr>
          <w:rFonts w:ascii="方正黑体_GBK" w:eastAsia="方正黑体_GBK" w:hAnsi="方正黑体_GBK" w:cs="方正黑体_GBK" w:hint="eastAsia"/>
          <w:sz w:val="32"/>
          <w:szCs w:val="40"/>
        </w:rPr>
        <w:t>二、主要内容</w:t>
      </w:r>
    </w:p>
    <w:p w14:paraId="23BC4621" w14:textId="77777777" w:rsidR="005C5CD4" w:rsidRDefault="005C5CD4" w:rsidP="005C5CD4">
      <w:pPr>
        <w:spacing w:line="560" w:lineRule="exact"/>
        <w:ind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关于促进全市建筑业高质量发展的若干措施（修订草案）》紧扣建筑业高质量发展主线，立足行业转型升级、市场规范治理、企业培优赋能核心目标，结合上级最新政策要求及我市产业实际，优化调整现有政策框架，整体涵盖行业绿色低碳转型、数字智能创新赋能、市场主体梯度培育、行业信用规范监管四大核心板块，全方位构建适配新时代建筑业发展的政策支撑体系，推动全市建筑业提质增效、转型升级、合规发展。</w:t>
      </w:r>
    </w:p>
    <w:p w14:paraId="08DB21C7" w14:textId="77777777" w:rsidR="005C5CD4" w:rsidRDefault="005C5CD4" w:rsidP="005C5CD4">
      <w:pPr>
        <w:spacing w:line="560" w:lineRule="exact"/>
        <w:ind w:firstLineChars="200" w:firstLine="640"/>
        <w:jc w:val="left"/>
        <w:rPr>
          <w:rFonts w:ascii="方正黑体_GBK" w:eastAsia="方正黑体_GBK" w:hAnsi="方正黑体_GBK" w:cs="方正黑体_GBK" w:hint="eastAsia"/>
          <w:sz w:val="32"/>
          <w:szCs w:val="40"/>
        </w:rPr>
      </w:pPr>
      <w:r>
        <w:rPr>
          <w:rFonts w:ascii="方正黑体_GBK" w:eastAsia="方正黑体_GBK" w:hAnsi="方正黑体_GBK" w:cs="方正黑体_GBK" w:hint="eastAsia"/>
          <w:sz w:val="32"/>
          <w:szCs w:val="40"/>
        </w:rPr>
        <w:t>三、主要修订内容</w:t>
      </w:r>
    </w:p>
    <w:p w14:paraId="59AB9533" w14:textId="77777777" w:rsidR="005C5CD4" w:rsidRDefault="005C5CD4" w:rsidP="005C5CD4">
      <w:pPr>
        <w:spacing w:line="560" w:lineRule="exact"/>
        <w:ind w:firstLineChars="200" w:firstLine="640"/>
        <w:jc w:val="left"/>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（一）删除原文第2条“推动发展绿色建造”整条内容</w:t>
      </w:r>
    </w:p>
    <w:p w14:paraId="2687B16D" w14:textId="77777777" w:rsidR="005C5CD4" w:rsidRDefault="005C5CD4" w:rsidP="005C5CD4">
      <w:pPr>
        <w:spacing w:line="560" w:lineRule="exact"/>
        <w:ind w:firstLineChars="200" w:firstLine="640"/>
        <w:jc w:val="left"/>
        <w:rPr>
          <w:rFonts w:ascii="Times New Roman" w:eastAsia="方正仿宋_GBK" w:hAnsi="Times New Roman" w:cs="方正仿宋_GBK"/>
          <w:color w:val="000000"/>
          <w:sz w:val="32"/>
          <w:szCs w:val="32"/>
        </w:rPr>
      </w:pPr>
      <w:r>
        <w:rPr>
          <w:rFonts w:ascii="Times New Roman" w:eastAsia="方正仿宋_GBK" w:hAnsi="Times New Roman" w:cs="Times New Roman" w:hint="eastAsia"/>
          <w:sz w:val="32"/>
          <w:szCs w:val="40"/>
        </w:rPr>
        <w:lastRenderedPageBreak/>
        <w:t>现阶段我市装配式建筑相关要求已调整为鼓励性实施，后续将根据省、市最新政策部署动态推进。同时，</w:t>
      </w:r>
      <w:r>
        <w:rPr>
          <w:rFonts w:ascii="Times New Roman" w:eastAsia="方正仿宋_GBK" w:hAnsi="Times New Roman" w:cs="Times New Roman" w:hint="eastAsia"/>
          <w:sz w:val="32"/>
          <w:szCs w:val="40"/>
        </w:rPr>
        <w:t>2025</w:t>
      </w:r>
      <w:r>
        <w:rPr>
          <w:rFonts w:ascii="Times New Roman" w:eastAsia="方正仿宋_GBK" w:hAnsi="Times New Roman" w:cs="Times New Roman" w:hint="eastAsia"/>
          <w:sz w:val="32"/>
          <w:szCs w:val="40"/>
        </w:rPr>
        <w:t>年省级绿色建筑发展资金专项用于省级城乡建设碳达峰碳中和先导区，未下达单体绿色建筑奖补资金。为避免执行歧义、提升文件精准性，对本条内容予以整体删除</w:t>
      </w:r>
      <w:r>
        <w:rPr>
          <w:rFonts w:ascii="Times New Roman" w:eastAsia="方正仿宋_GBK" w:hAnsi="Times New Roman" w:cs="方正仿宋_GBK" w:hint="eastAsia"/>
          <w:color w:val="000000"/>
          <w:sz w:val="32"/>
          <w:szCs w:val="32"/>
        </w:rPr>
        <w:t>。</w:t>
      </w:r>
    </w:p>
    <w:p w14:paraId="3EAE6BA7" w14:textId="77777777" w:rsidR="005C5CD4" w:rsidRDefault="005C5CD4" w:rsidP="005C5CD4">
      <w:pPr>
        <w:spacing w:line="560" w:lineRule="exact"/>
        <w:ind w:firstLineChars="200" w:firstLine="640"/>
        <w:jc w:val="left"/>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（二）新增“推广智能建造应用”专项条款</w:t>
      </w:r>
    </w:p>
    <w:p w14:paraId="4464C354" w14:textId="77777777" w:rsidR="005C5CD4" w:rsidRDefault="005C5CD4" w:rsidP="005C5CD4">
      <w:pPr>
        <w:spacing w:line="560" w:lineRule="exact"/>
        <w:ind w:firstLineChars="200" w:firstLine="640"/>
        <w:rPr>
          <w:rFonts w:ascii="方正仿宋_GBK" w:eastAsia="方正仿宋_GBK" w:hAnsi="方正仿宋_GBK" w:cs="方正仿宋_GBK" w:hint="eastAsia"/>
          <w:sz w:val="32"/>
          <w:szCs w:val="32"/>
        </w:rPr>
      </w:pPr>
      <w:r>
        <w:rPr>
          <w:rFonts w:ascii="Times New Roman" w:eastAsia="方正仿宋_GBK" w:hAnsi="Times New Roman" w:cs="方正仿宋_GBK" w:hint="eastAsia"/>
          <w:color w:val="000000"/>
          <w:sz w:val="32"/>
          <w:szCs w:val="32"/>
        </w:rPr>
        <w:t>在原文第</w:t>
      </w:r>
      <w:r>
        <w:rPr>
          <w:rFonts w:ascii="Times New Roman" w:eastAsia="方正仿宋_GBK" w:hAnsi="Times New Roman" w:cs="方正仿宋_GBK" w:hint="eastAsia"/>
          <w:color w:val="000000"/>
          <w:sz w:val="32"/>
          <w:szCs w:val="32"/>
        </w:rPr>
        <w:t>2</w:t>
      </w:r>
      <w:r>
        <w:rPr>
          <w:rFonts w:ascii="Times New Roman" w:eastAsia="方正仿宋_GBK" w:hAnsi="Times New Roman" w:cs="方正仿宋_GBK" w:hint="eastAsia"/>
          <w:color w:val="000000"/>
          <w:sz w:val="32"/>
          <w:szCs w:val="32"/>
        </w:rPr>
        <w:t>条删除位置新增智能建造应用相关内容，聚焦建筑业数字化、智能化转型，</w:t>
      </w:r>
      <w:r>
        <w:rPr>
          <w:rFonts w:ascii="方正仿宋_GBK" w:eastAsia="方正仿宋_GBK" w:hAnsi="方正仿宋_GBK" w:cs="方正仿宋_GBK" w:hint="eastAsia"/>
          <w:sz w:val="32"/>
          <w:szCs w:val="32"/>
        </w:rPr>
        <w:t>明确试点培育、技术应用、资金补助等具体举措，切实推动智能建造技术落地应用。智能建造扶持资金为产业引导类专项资金，重点支持企业技术创新、项目数字化改造，资金核定不与企业产值、营收、税收、资质等级及荣誉奖项挂钩，主要依据试点实际建设投入、项目实施成效综合确定。</w:t>
      </w:r>
    </w:p>
    <w:p w14:paraId="68A6494D" w14:textId="77777777" w:rsidR="005C5CD4" w:rsidRDefault="005C5CD4" w:rsidP="005C5CD4">
      <w:pPr>
        <w:spacing w:line="560" w:lineRule="exact"/>
        <w:ind w:firstLineChars="200" w:firstLine="640"/>
        <w:jc w:val="left"/>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（三）优化</w:t>
      </w:r>
      <w:r>
        <w:rPr>
          <w:rFonts w:ascii="方正楷体_GBK" w:eastAsia="方正楷体_GBK" w:hAnsi="方正楷体_GBK" w:cs="方正楷体_GBK"/>
          <w:sz w:val="32"/>
          <w:szCs w:val="32"/>
        </w:rPr>
        <w:t>企</w:t>
      </w:r>
      <w:r>
        <w:rPr>
          <w:rFonts w:ascii="方正楷体_GBK" w:eastAsia="方正楷体_GBK" w:hAnsi="方正楷体_GBK" w:cs="方正楷体_GBK" w:hint="eastAsia"/>
          <w:sz w:val="32"/>
          <w:szCs w:val="32"/>
        </w:rPr>
        <w:t>业培育相关条款，统一全市政策执行口径</w:t>
      </w:r>
    </w:p>
    <w:p w14:paraId="4E56FC5E" w14:textId="77777777" w:rsidR="005C5CD4" w:rsidRDefault="005C5CD4" w:rsidP="005C5CD4">
      <w:pPr>
        <w:spacing w:line="560" w:lineRule="exact"/>
        <w:ind w:firstLineChars="200" w:firstLine="640"/>
        <w:rPr>
          <w:rFonts w:ascii="方正楷体_GBK" w:eastAsia="方正楷体_GBK" w:hAnsi="方正楷体_GBK" w:cs="方正楷体_GBK" w:hint="eastAsia"/>
          <w:sz w:val="32"/>
          <w:szCs w:val="32"/>
        </w:rPr>
      </w:pPr>
      <w:r>
        <w:rPr>
          <w:rFonts w:ascii="方正仿宋_GBK" w:eastAsia="方正仿宋_GBK" w:hAnsi="方正仿宋_GBK" w:cs="方正仿宋_GBK" w:hint="eastAsia"/>
          <w:sz w:val="32"/>
          <w:szCs w:val="32"/>
        </w:rPr>
        <w:t>对原文第</w:t>
      </w:r>
      <w:r>
        <w:rPr>
          <w:rFonts w:ascii="Times New Roman" w:eastAsia="方正仿宋_GBK" w:hAnsi="Times New Roman" w:cs="Times New Roman"/>
          <w:sz w:val="32"/>
          <w:szCs w:val="32"/>
        </w:rPr>
        <w:t>5</w:t>
      </w:r>
      <w:r>
        <w:rPr>
          <w:rFonts w:ascii="方正仿宋_GBK" w:eastAsia="方正仿宋_GBK" w:hAnsi="方正仿宋_GBK" w:cs="方正仿宋_GBK" w:hint="eastAsia"/>
          <w:sz w:val="32"/>
          <w:szCs w:val="32"/>
        </w:rPr>
        <w:t>条企业培育内容予以优化，将“支持市外优质企业落户”调整为“鼓励市外优质企业落户”；删除</w:t>
      </w:r>
      <w:r>
        <w:rPr>
          <w:rFonts w:ascii="方正仿宋_GBK" w:eastAsia="方正仿宋_GBK" w:hAnsi="方正仿宋_GBK" w:cs="方正仿宋_GBK"/>
          <w:sz w:val="32"/>
          <w:szCs w:val="32"/>
        </w:rPr>
        <w:t>“各地可以结合实际，制定落户和经营场地奖补以及用地保障等扶持政策”</w:t>
      </w:r>
      <w:r>
        <w:rPr>
          <w:rFonts w:ascii="方正仿宋_GBK" w:eastAsia="方正仿宋_GBK" w:hAnsi="方正仿宋_GBK" w:cs="方正仿宋_GBK" w:hint="eastAsia"/>
          <w:sz w:val="32"/>
          <w:szCs w:val="32"/>
        </w:rPr>
        <w:t>相关表述，统一全市建筑业企业招引、培育扶持政策标准，提升政策规范性、公平性。</w:t>
      </w:r>
    </w:p>
    <w:p w14:paraId="7A1C837A" w14:textId="77777777" w:rsidR="005C5CD4" w:rsidRDefault="005C5CD4" w:rsidP="005C5CD4">
      <w:pPr>
        <w:spacing w:line="560" w:lineRule="exact"/>
        <w:ind w:firstLineChars="200" w:firstLine="640"/>
        <w:jc w:val="left"/>
        <w:rPr>
          <w:rFonts w:ascii="方正楷体_GBK" w:eastAsia="方正楷体_GBK" w:hAnsi="方正楷体_GBK" w:cs="方正楷体_GBK" w:hint="eastAsia"/>
          <w:sz w:val="32"/>
          <w:szCs w:val="32"/>
        </w:rPr>
      </w:pPr>
      <w:r>
        <w:rPr>
          <w:rFonts w:ascii="方正楷体_GBK" w:eastAsia="方正楷体_GBK" w:hAnsi="方正楷体_GBK" w:cs="方正楷体_GBK" w:hint="eastAsia"/>
          <w:sz w:val="32"/>
          <w:szCs w:val="32"/>
        </w:rPr>
        <w:t>（四）完善市场信用体系监管条款，规范市级监管职能</w:t>
      </w:r>
    </w:p>
    <w:p w14:paraId="32ECDDA7" w14:textId="77777777" w:rsidR="005C5CD4" w:rsidRDefault="005C5CD4" w:rsidP="005C5CD4">
      <w:pPr>
        <w:spacing w:line="56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立足市级住建部门工作职责，对</w:t>
      </w:r>
      <w:r>
        <w:rPr>
          <w:rFonts w:ascii="Times New Roman" w:eastAsia="方正仿宋_GBK" w:hAnsi="Times New Roman" w:cs="Times New Roman" w:hint="eastAsia"/>
          <w:sz w:val="32"/>
          <w:szCs w:val="32"/>
        </w:rPr>
        <w:t>原文</w:t>
      </w:r>
      <w:r>
        <w:rPr>
          <w:rFonts w:ascii="Times New Roman" w:eastAsia="方正仿宋_GBK" w:hAnsi="Times New Roman" w:cs="Times New Roman"/>
          <w:sz w:val="32"/>
          <w:szCs w:val="32"/>
        </w:rPr>
        <w:t>第</w:t>
      </w:r>
      <w:r>
        <w:rPr>
          <w:rFonts w:ascii="Times New Roman" w:eastAsia="方正仿宋_GBK" w:hAnsi="Times New Roman" w:cs="Times New Roman"/>
          <w:sz w:val="32"/>
          <w:szCs w:val="32"/>
        </w:rPr>
        <w:t>11</w:t>
      </w:r>
      <w:r>
        <w:rPr>
          <w:rFonts w:ascii="Times New Roman" w:eastAsia="方正仿宋_GBK" w:hAnsi="Times New Roman" w:cs="Times New Roman"/>
          <w:sz w:val="32"/>
          <w:szCs w:val="32"/>
        </w:rPr>
        <w:t>条</w:t>
      </w:r>
      <w:r>
        <w:rPr>
          <w:rFonts w:ascii="Times New Roman" w:eastAsia="方正仿宋_GBK" w:hAnsi="Times New Roman" w:cs="Times New Roman" w:hint="eastAsia"/>
          <w:sz w:val="32"/>
          <w:szCs w:val="32"/>
        </w:rPr>
        <w:t>市场信用体系内容予以修订，</w:t>
      </w:r>
      <w:r>
        <w:rPr>
          <w:rFonts w:ascii="方正仿宋_GBK" w:eastAsia="方正仿宋_GBK" w:hAnsi="方正仿宋_GBK" w:cs="方正仿宋_GBK" w:hint="eastAsia"/>
          <w:sz w:val="32"/>
          <w:szCs w:val="32"/>
        </w:rPr>
        <w:t>将“规范完善设计、施工、监理、造价、</w:t>
      </w:r>
      <w:r>
        <w:rPr>
          <w:rFonts w:ascii="方正仿宋_GBK" w:eastAsia="方正仿宋_GBK" w:hAnsi="方正仿宋_GBK" w:cs="方正仿宋_GBK" w:hint="eastAsia"/>
          <w:sz w:val="32"/>
          <w:szCs w:val="32"/>
        </w:rPr>
        <w:lastRenderedPageBreak/>
        <w:t>招标代理等企业信用综合评价指标体系”修改为“强化设计、施工、监理、造价、招标代理等企业信用行为归集与日常监管”，聚焦抓实企业信用行为归集、日常动态监管等核心职责，贴合市级工作定位，确保政策表述严谨规范、权责清晰统一。另外，本文件所涉信用综合评价结果统一采用全国统一公共信用评价结果，非我市自主评定结果，规避政策适用偏差。</w:t>
      </w:r>
    </w:p>
    <w:p w14:paraId="5B55FCF0" w14:textId="77777777" w:rsidR="00B96899" w:rsidRPr="005C5CD4" w:rsidRDefault="00B96899">
      <w:pPr>
        <w:rPr>
          <w:rFonts w:hint="eastAsia"/>
        </w:rPr>
      </w:pPr>
    </w:p>
    <w:sectPr w:rsidR="00B96899" w:rsidRPr="005C5C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B1EAE" w14:textId="77777777" w:rsidR="00C7487B" w:rsidRDefault="00C7487B" w:rsidP="005C5CD4">
      <w:pPr>
        <w:rPr>
          <w:rFonts w:hint="eastAsia"/>
        </w:rPr>
      </w:pPr>
      <w:r>
        <w:separator/>
      </w:r>
    </w:p>
  </w:endnote>
  <w:endnote w:type="continuationSeparator" w:id="0">
    <w:p w14:paraId="1DB6B316" w14:textId="77777777" w:rsidR="00C7487B" w:rsidRDefault="00C7487B" w:rsidP="005C5CD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73E5C" w14:textId="77777777" w:rsidR="00C7487B" w:rsidRDefault="00C7487B" w:rsidP="005C5CD4">
      <w:pPr>
        <w:rPr>
          <w:rFonts w:hint="eastAsia"/>
        </w:rPr>
      </w:pPr>
      <w:r>
        <w:separator/>
      </w:r>
    </w:p>
  </w:footnote>
  <w:footnote w:type="continuationSeparator" w:id="0">
    <w:p w14:paraId="7D20D8DC" w14:textId="77777777" w:rsidR="00C7487B" w:rsidRDefault="00C7487B" w:rsidP="005C5CD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14F"/>
    <w:rsid w:val="0059727C"/>
    <w:rsid w:val="005C5CD4"/>
    <w:rsid w:val="008A3BFF"/>
    <w:rsid w:val="00B96899"/>
    <w:rsid w:val="00C7487B"/>
    <w:rsid w:val="00D5714F"/>
    <w:rsid w:val="00D65528"/>
    <w:rsid w:val="00E55A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A7AA0"/>
  <w15:chartTrackingRefBased/>
  <w15:docId w15:val="{D8DDA89A-0B49-45BC-87C8-3FEB0F899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5C5CD4"/>
    <w:pPr>
      <w:widowControl w:val="0"/>
      <w:jc w:val="both"/>
    </w:pPr>
    <w:rPr>
      <w:szCs w:val="24"/>
    </w:rPr>
  </w:style>
  <w:style w:type="paragraph" w:styleId="1">
    <w:name w:val="heading 1"/>
    <w:basedOn w:val="a"/>
    <w:next w:val="a"/>
    <w:link w:val="10"/>
    <w:uiPriority w:val="9"/>
    <w:qFormat/>
    <w:rsid w:val="00D5714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5714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5714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5714F"/>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5714F"/>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D5714F"/>
    <w:pPr>
      <w:keepNext/>
      <w:keepLines/>
      <w:spacing w:before="40"/>
      <w:outlineLvl w:val="5"/>
    </w:pPr>
    <w:rPr>
      <w:rFonts w:cstheme="majorBidi"/>
      <w:b/>
      <w:bCs/>
      <w:color w:val="0F4761" w:themeColor="accent1" w:themeShade="BF"/>
      <w:szCs w:val="22"/>
    </w:rPr>
  </w:style>
  <w:style w:type="paragraph" w:styleId="7">
    <w:name w:val="heading 7"/>
    <w:basedOn w:val="a"/>
    <w:next w:val="a"/>
    <w:link w:val="70"/>
    <w:uiPriority w:val="9"/>
    <w:semiHidden/>
    <w:unhideWhenUsed/>
    <w:qFormat/>
    <w:rsid w:val="00D5714F"/>
    <w:pPr>
      <w:keepNext/>
      <w:keepLines/>
      <w:spacing w:before="40"/>
      <w:outlineLvl w:val="6"/>
    </w:pPr>
    <w:rPr>
      <w:rFonts w:cstheme="majorBidi"/>
      <w:b/>
      <w:bCs/>
      <w:color w:val="595959" w:themeColor="text1" w:themeTint="A6"/>
      <w:szCs w:val="22"/>
    </w:rPr>
  </w:style>
  <w:style w:type="paragraph" w:styleId="8">
    <w:name w:val="heading 8"/>
    <w:basedOn w:val="a"/>
    <w:next w:val="a"/>
    <w:link w:val="80"/>
    <w:uiPriority w:val="9"/>
    <w:semiHidden/>
    <w:unhideWhenUsed/>
    <w:qFormat/>
    <w:rsid w:val="00D5714F"/>
    <w:pPr>
      <w:keepNext/>
      <w:keepLines/>
      <w:outlineLvl w:val="7"/>
    </w:pPr>
    <w:rPr>
      <w:rFonts w:cstheme="majorBidi"/>
      <w:color w:val="595959" w:themeColor="text1" w:themeTint="A6"/>
      <w:szCs w:val="22"/>
    </w:rPr>
  </w:style>
  <w:style w:type="paragraph" w:styleId="9">
    <w:name w:val="heading 9"/>
    <w:basedOn w:val="a"/>
    <w:next w:val="a"/>
    <w:link w:val="90"/>
    <w:uiPriority w:val="9"/>
    <w:semiHidden/>
    <w:unhideWhenUsed/>
    <w:qFormat/>
    <w:rsid w:val="00D5714F"/>
    <w:pPr>
      <w:keepNext/>
      <w:keepLines/>
      <w:outlineLvl w:val="8"/>
    </w:pPr>
    <w:rPr>
      <w:rFonts w:eastAsiaTheme="majorEastAsia" w:cstheme="majorBidi"/>
      <w:color w:val="595959" w:themeColor="text1" w:themeTint="A6"/>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a4">
    <w:name w:val="三线表"/>
    <w:basedOn w:val="a2"/>
    <w:uiPriority w:val="99"/>
    <w:rsid w:val="008A3BFF"/>
    <w:rPr>
      <w:rFonts w:ascii="Times New Roman" w:eastAsia="宋体" w:hAnsi="Times New Roman" w:cs="Times New Roman"/>
      <w:kern w:val="0"/>
      <w:sz w:val="20"/>
      <w:szCs w:val="20"/>
    </w:rPr>
    <w:tblPr>
      <w:tblBorders>
        <w:top w:val="single" w:sz="12" w:space="0" w:color="auto"/>
        <w:bottom w:val="single" w:sz="12" w:space="0" w:color="auto"/>
      </w:tblBorders>
    </w:tblPr>
    <w:tblStylePr w:type="firstRow">
      <w:rPr>
        <w:rFonts w:ascii="Times New Roman" w:eastAsia="宋体" w:hAnsi="Times New Roman"/>
        <w:sz w:val="21"/>
      </w:rPr>
      <w:tblPr/>
      <w:tcPr>
        <w:tcBorders>
          <w:bottom w:val="single" w:sz="6" w:space="0" w:color="auto"/>
        </w:tcBorders>
      </w:tcPr>
    </w:tblStylePr>
  </w:style>
  <w:style w:type="character" w:customStyle="1" w:styleId="10">
    <w:name w:val="标题 1 字符"/>
    <w:basedOn w:val="a1"/>
    <w:link w:val="1"/>
    <w:uiPriority w:val="9"/>
    <w:rsid w:val="00D5714F"/>
    <w:rPr>
      <w:rFonts w:asciiTheme="majorHAnsi" w:eastAsiaTheme="majorEastAsia" w:hAnsiTheme="majorHAnsi" w:cstheme="majorBidi"/>
      <w:color w:val="0F4761" w:themeColor="accent1" w:themeShade="BF"/>
      <w:sz w:val="48"/>
      <w:szCs w:val="48"/>
    </w:rPr>
  </w:style>
  <w:style w:type="character" w:customStyle="1" w:styleId="20">
    <w:name w:val="标题 2 字符"/>
    <w:basedOn w:val="a1"/>
    <w:link w:val="2"/>
    <w:uiPriority w:val="9"/>
    <w:semiHidden/>
    <w:rsid w:val="00D5714F"/>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semiHidden/>
    <w:rsid w:val="00D5714F"/>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rsid w:val="00D5714F"/>
    <w:rPr>
      <w:rFonts w:cstheme="majorBidi"/>
      <w:color w:val="0F4761" w:themeColor="accent1" w:themeShade="BF"/>
      <w:sz w:val="28"/>
      <w:szCs w:val="28"/>
    </w:rPr>
  </w:style>
  <w:style w:type="character" w:customStyle="1" w:styleId="50">
    <w:name w:val="标题 5 字符"/>
    <w:basedOn w:val="a1"/>
    <w:link w:val="5"/>
    <w:uiPriority w:val="9"/>
    <w:semiHidden/>
    <w:rsid w:val="00D5714F"/>
    <w:rPr>
      <w:rFonts w:cstheme="majorBidi"/>
      <w:color w:val="0F4761" w:themeColor="accent1" w:themeShade="BF"/>
      <w:sz w:val="24"/>
      <w:szCs w:val="24"/>
    </w:rPr>
  </w:style>
  <w:style w:type="character" w:customStyle="1" w:styleId="60">
    <w:name w:val="标题 6 字符"/>
    <w:basedOn w:val="a1"/>
    <w:link w:val="6"/>
    <w:uiPriority w:val="9"/>
    <w:semiHidden/>
    <w:rsid w:val="00D5714F"/>
    <w:rPr>
      <w:rFonts w:cstheme="majorBidi"/>
      <w:b/>
      <w:bCs/>
      <w:color w:val="0F4761" w:themeColor="accent1" w:themeShade="BF"/>
    </w:rPr>
  </w:style>
  <w:style w:type="character" w:customStyle="1" w:styleId="70">
    <w:name w:val="标题 7 字符"/>
    <w:basedOn w:val="a1"/>
    <w:link w:val="7"/>
    <w:uiPriority w:val="9"/>
    <w:semiHidden/>
    <w:rsid w:val="00D5714F"/>
    <w:rPr>
      <w:rFonts w:cstheme="majorBidi"/>
      <w:b/>
      <w:bCs/>
      <w:color w:val="595959" w:themeColor="text1" w:themeTint="A6"/>
    </w:rPr>
  </w:style>
  <w:style w:type="character" w:customStyle="1" w:styleId="80">
    <w:name w:val="标题 8 字符"/>
    <w:basedOn w:val="a1"/>
    <w:link w:val="8"/>
    <w:uiPriority w:val="9"/>
    <w:semiHidden/>
    <w:rsid w:val="00D5714F"/>
    <w:rPr>
      <w:rFonts w:cstheme="majorBidi"/>
      <w:color w:val="595959" w:themeColor="text1" w:themeTint="A6"/>
    </w:rPr>
  </w:style>
  <w:style w:type="character" w:customStyle="1" w:styleId="90">
    <w:name w:val="标题 9 字符"/>
    <w:basedOn w:val="a1"/>
    <w:link w:val="9"/>
    <w:uiPriority w:val="9"/>
    <w:semiHidden/>
    <w:rsid w:val="00D5714F"/>
    <w:rPr>
      <w:rFonts w:eastAsiaTheme="majorEastAsia" w:cstheme="majorBidi"/>
      <w:color w:val="595959" w:themeColor="text1" w:themeTint="A6"/>
    </w:rPr>
  </w:style>
  <w:style w:type="paragraph" w:styleId="a5">
    <w:name w:val="Title"/>
    <w:basedOn w:val="a"/>
    <w:next w:val="a"/>
    <w:link w:val="a6"/>
    <w:uiPriority w:val="10"/>
    <w:qFormat/>
    <w:rsid w:val="00D5714F"/>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1"/>
    <w:link w:val="a5"/>
    <w:uiPriority w:val="10"/>
    <w:rsid w:val="00D5714F"/>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D5714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1"/>
    <w:link w:val="a7"/>
    <w:uiPriority w:val="11"/>
    <w:rsid w:val="00D5714F"/>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D5714F"/>
    <w:pPr>
      <w:spacing w:before="160" w:after="160"/>
      <w:jc w:val="center"/>
    </w:pPr>
    <w:rPr>
      <w:i/>
      <w:iCs/>
      <w:color w:val="404040" w:themeColor="text1" w:themeTint="BF"/>
      <w:szCs w:val="22"/>
    </w:rPr>
  </w:style>
  <w:style w:type="character" w:customStyle="1" w:styleId="aa">
    <w:name w:val="引用 字符"/>
    <w:basedOn w:val="a1"/>
    <w:link w:val="a9"/>
    <w:uiPriority w:val="29"/>
    <w:rsid w:val="00D5714F"/>
    <w:rPr>
      <w:i/>
      <w:iCs/>
      <w:color w:val="404040" w:themeColor="text1" w:themeTint="BF"/>
    </w:rPr>
  </w:style>
  <w:style w:type="paragraph" w:styleId="ab">
    <w:name w:val="List Paragraph"/>
    <w:basedOn w:val="a"/>
    <w:uiPriority w:val="34"/>
    <w:qFormat/>
    <w:rsid w:val="00D5714F"/>
    <w:pPr>
      <w:ind w:left="720"/>
      <w:contextualSpacing/>
    </w:pPr>
    <w:rPr>
      <w:szCs w:val="22"/>
    </w:rPr>
  </w:style>
  <w:style w:type="character" w:styleId="ac">
    <w:name w:val="Intense Emphasis"/>
    <w:basedOn w:val="a1"/>
    <w:uiPriority w:val="21"/>
    <w:qFormat/>
    <w:rsid w:val="00D5714F"/>
    <w:rPr>
      <w:i/>
      <w:iCs/>
      <w:color w:val="0F4761" w:themeColor="accent1" w:themeShade="BF"/>
    </w:rPr>
  </w:style>
  <w:style w:type="paragraph" w:styleId="ad">
    <w:name w:val="Intense Quote"/>
    <w:basedOn w:val="a"/>
    <w:next w:val="a"/>
    <w:link w:val="ae"/>
    <w:uiPriority w:val="30"/>
    <w:qFormat/>
    <w:rsid w:val="00D571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2"/>
    </w:rPr>
  </w:style>
  <w:style w:type="character" w:customStyle="1" w:styleId="ae">
    <w:name w:val="明显引用 字符"/>
    <w:basedOn w:val="a1"/>
    <w:link w:val="ad"/>
    <w:uiPriority w:val="30"/>
    <w:rsid w:val="00D5714F"/>
    <w:rPr>
      <w:i/>
      <w:iCs/>
      <w:color w:val="0F4761" w:themeColor="accent1" w:themeShade="BF"/>
    </w:rPr>
  </w:style>
  <w:style w:type="character" w:styleId="af">
    <w:name w:val="Intense Reference"/>
    <w:basedOn w:val="a1"/>
    <w:uiPriority w:val="32"/>
    <w:qFormat/>
    <w:rsid w:val="00D5714F"/>
    <w:rPr>
      <w:b/>
      <w:bCs/>
      <w:smallCaps/>
      <w:color w:val="0F4761" w:themeColor="accent1" w:themeShade="BF"/>
      <w:spacing w:val="5"/>
    </w:rPr>
  </w:style>
  <w:style w:type="paragraph" w:styleId="af0">
    <w:name w:val="header"/>
    <w:basedOn w:val="a"/>
    <w:link w:val="af1"/>
    <w:uiPriority w:val="99"/>
    <w:unhideWhenUsed/>
    <w:rsid w:val="005C5CD4"/>
    <w:pPr>
      <w:tabs>
        <w:tab w:val="center" w:pos="4153"/>
        <w:tab w:val="right" w:pos="8306"/>
      </w:tabs>
      <w:snapToGrid w:val="0"/>
      <w:jc w:val="center"/>
    </w:pPr>
    <w:rPr>
      <w:sz w:val="18"/>
      <w:szCs w:val="18"/>
    </w:rPr>
  </w:style>
  <w:style w:type="character" w:customStyle="1" w:styleId="af1">
    <w:name w:val="页眉 字符"/>
    <w:basedOn w:val="a1"/>
    <w:link w:val="af0"/>
    <w:uiPriority w:val="99"/>
    <w:rsid w:val="005C5CD4"/>
    <w:rPr>
      <w:sz w:val="18"/>
      <w:szCs w:val="18"/>
    </w:rPr>
  </w:style>
  <w:style w:type="paragraph" w:styleId="af2">
    <w:name w:val="footer"/>
    <w:basedOn w:val="a"/>
    <w:link w:val="af3"/>
    <w:uiPriority w:val="99"/>
    <w:unhideWhenUsed/>
    <w:rsid w:val="005C5CD4"/>
    <w:pPr>
      <w:tabs>
        <w:tab w:val="center" w:pos="4153"/>
        <w:tab w:val="right" w:pos="8306"/>
      </w:tabs>
      <w:snapToGrid w:val="0"/>
      <w:jc w:val="left"/>
    </w:pPr>
    <w:rPr>
      <w:sz w:val="18"/>
      <w:szCs w:val="18"/>
    </w:rPr>
  </w:style>
  <w:style w:type="character" w:customStyle="1" w:styleId="af3">
    <w:name w:val="页脚 字符"/>
    <w:basedOn w:val="a1"/>
    <w:link w:val="af2"/>
    <w:uiPriority w:val="99"/>
    <w:rsid w:val="005C5CD4"/>
    <w:rPr>
      <w:sz w:val="18"/>
      <w:szCs w:val="18"/>
    </w:rPr>
  </w:style>
  <w:style w:type="paragraph" w:styleId="af4">
    <w:name w:val="Body Text"/>
    <w:basedOn w:val="a"/>
    <w:link w:val="af5"/>
    <w:semiHidden/>
    <w:unhideWhenUsed/>
    <w:qFormat/>
    <w:rsid w:val="005C5CD4"/>
    <w:pPr>
      <w:spacing w:after="120"/>
    </w:pPr>
  </w:style>
  <w:style w:type="character" w:customStyle="1" w:styleId="af5">
    <w:name w:val="正文文本 字符"/>
    <w:basedOn w:val="a1"/>
    <w:link w:val="af4"/>
    <w:semiHidden/>
    <w:rsid w:val="005C5CD4"/>
    <w:rPr>
      <w:szCs w:val="24"/>
    </w:rPr>
  </w:style>
  <w:style w:type="paragraph" w:styleId="a0">
    <w:name w:val="Body Text First Indent"/>
    <w:basedOn w:val="af4"/>
    <w:link w:val="af6"/>
    <w:uiPriority w:val="99"/>
    <w:semiHidden/>
    <w:unhideWhenUsed/>
    <w:rsid w:val="005C5CD4"/>
    <w:pPr>
      <w:ind w:firstLineChars="100" w:firstLine="420"/>
    </w:pPr>
  </w:style>
  <w:style w:type="character" w:customStyle="1" w:styleId="af6">
    <w:name w:val="正文文本首行缩进 字符"/>
    <w:basedOn w:val="af5"/>
    <w:link w:val="a0"/>
    <w:uiPriority w:val="99"/>
    <w:semiHidden/>
    <w:rsid w:val="005C5CD4"/>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172</Words>
  <Characters>985</Characters>
  <Application>Microsoft Office Word</Application>
  <DocSecurity>0</DocSecurity>
  <Lines>8</Lines>
  <Paragraphs>2</Paragraphs>
  <ScaleCrop>false</ScaleCrop>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jx q</dc:creator>
  <cp:keywords/>
  <dc:description/>
  <cp:lastModifiedBy>jx q</cp:lastModifiedBy>
  <cp:revision>2</cp:revision>
  <dcterms:created xsi:type="dcterms:W3CDTF">2026-08-04T03:17:00Z</dcterms:created>
  <dcterms:modified xsi:type="dcterms:W3CDTF">2026-08-04T03:17:00Z</dcterms:modified>
</cp:coreProperties>
</file>