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3712ED">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方正小标宋_GBK" w:cs="Times New Roman"/>
          <w:color w:val="0F1115"/>
          <w:sz w:val="44"/>
          <w:szCs w:val="44"/>
          <w:shd w:val="clear" w:color="auto" w:fill="FFFFFF"/>
        </w:rPr>
      </w:pPr>
      <w:r>
        <w:rPr>
          <w:rFonts w:hint="default" w:ascii="Times New Roman" w:hAnsi="Times New Roman" w:eastAsia="方正小标宋_GBK" w:cs="Times New Roman"/>
          <w:color w:val="0F1115"/>
          <w:sz w:val="44"/>
          <w:szCs w:val="44"/>
          <w:shd w:val="clear" w:color="auto" w:fill="FFFFFF"/>
        </w:rPr>
        <w:t>泰州市电梯维保单位信用分级分类监管</w:t>
      </w:r>
    </w:p>
    <w:p w14:paraId="60907895">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方正小标宋_GBK" w:cs="Times New Roman"/>
          <w:color w:val="0F1115"/>
          <w:sz w:val="44"/>
          <w:szCs w:val="44"/>
          <w:shd w:val="clear" w:color="auto" w:fill="FFFFFF"/>
        </w:rPr>
      </w:pPr>
      <w:r>
        <w:rPr>
          <w:rFonts w:hint="default" w:ascii="Times New Roman" w:hAnsi="Times New Roman" w:eastAsia="方正小标宋_GBK" w:cs="Times New Roman"/>
          <w:color w:val="0F1115"/>
          <w:sz w:val="44"/>
          <w:szCs w:val="44"/>
          <w:shd w:val="clear" w:color="auto" w:fill="FFFFFF"/>
        </w:rPr>
        <w:t>实施方案（征求意见稿）</w:t>
      </w:r>
    </w:p>
    <w:p w14:paraId="216EE2F8">
      <w:pPr>
        <w:keepNext w:val="0"/>
        <w:keepLines w:val="0"/>
        <w:pageBreakBefore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小标宋_GBK" w:cs="Times New Roman"/>
          <w:sz w:val="44"/>
          <w:szCs w:val="44"/>
        </w:rPr>
      </w:pPr>
    </w:p>
    <w:p w14:paraId="3605FAB8">
      <w:pPr>
        <w:keepNext w:val="0"/>
        <w:keepLines w:val="0"/>
        <w:pageBreakBefore w:val="0"/>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进一步提高电梯维护保养质量水平，规范全市电梯维护保养市场行业秩序，根据《中华人民共和国特种设备安全法》《江苏省特种设备安全条例》《市场监管总局关于加强重点领域信用监管的实施意见》等有关规定要求，市市场监管局决定在全市开展电梯维护保养单位信用分级分类监管工作，特制定本办法。</w:t>
      </w:r>
    </w:p>
    <w:p w14:paraId="1E702848">
      <w:pPr>
        <w:keepNext w:val="0"/>
        <w:keepLines w:val="0"/>
        <w:pageBreakBefore w:val="0"/>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一、适用范围</w:t>
      </w:r>
    </w:p>
    <w:p w14:paraId="4FC617EA">
      <w:pPr>
        <w:keepNext w:val="0"/>
        <w:keepLines w:val="0"/>
        <w:pageBreakBefore w:val="0"/>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泰州市行政区域内依法取得特种设备生产（修理）许可，实际从事电</w:t>
      </w:r>
      <w:r>
        <w:rPr>
          <w:rFonts w:hint="default" w:ascii="Times New Roman" w:hAnsi="Times New Roman" w:eastAsia="仿宋_GB2312" w:cs="Times New Roman"/>
          <w:sz w:val="32"/>
          <w:szCs w:val="32"/>
        </w:rPr>
        <w:t>梯维保业务，注册在本地的维保单位和办公地址设置在本地的外地维保单位。</w:t>
      </w:r>
    </w:p>
    <w:p w14:paraId="7D9049F7">
      <w:pPr>
        <w:keepNext w:val="0"/>
        <w:keepLines w:val="0"/>
        <w:pageBreakBefore w:val="0"/>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在泰州市内开展电梯维保工作不满1年的、维保台量小于100台的，不参加评价。各电梯维保单位年维保台量每年1月1日由系统自动抓取生成，并作为判定标准。</w:t>
      </w:r>
    </w:p>
    <w:p w14:paraId="23728065">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二、信息归集</w:t>
      </w:r>
    </w:p>
    <w:p w14:paraId="7AB45950">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特种设备智慧监管云平台”信息归集为主，进一步拓展信息归集范围，主要包括基础信息、监管信息、维保质量信息、应急救援信息、奖惩信息等，具体内容和评定标准见《电梯维保单位信用等级评价实施细则》（详见附件）。</w:t>
      </w:r>
    </w:p>
    <w:p w14:paraId="73D33BDC">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三、分类标准</w:t>
      </w:r>
    </w:p>
    <w:p w14:paraId="09AC530C">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信用分级分类评价实行基准分100分制，年度最终分值=100</w:t>
      </w:r>
      <w:r>
        <w:rPr>
          <w:rFonts w:hint="default" w:ascii="Times New Roman" w:hAnsi="Times New Roman" w:eastAsia="仿宋_GB2312" w:cs="Times New Roman"/>
          <w:sz w:val="32"/>
          <w:szCs w:val="32"/>
        </w:rPr>
        <w:t>分-累计扣分+累计加分（加分不超过20分，最终分值不超过100分）。</w:t>
      </w:r>
    </w:p>
    <w:p w14:paraId="32FAAB08">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结合电梯维保工作特点，将监管对象信用等级分A级（90分以上，含90分）、B级（80-90分，含80分）、C级（60-80分含60分）和D级（60分以下或有一项以上否决项）四个等级。</w:t>
      </w:r>
    </w:p>
    <w:p w14:paraId="55802A2C">
      <w:pPr>
        <w:keepNext w:val="0"/>
        <w:keepLines w:val="0"/>
        <w:pageBreakBefore w:val="0"/>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四、评价方式</w:t>
      </w:r>
    </w:p>
    <w:p w14:paraId="30DEB2C7">
      <w:pPr>
        <w:keepNext w:val="0"/>
        <w:keepLines w:val="0"/>
        <w:pageBreakBefore w:val="0"/>
        <w:widowControl/>
        <w:kinsoku/>
        <w:wordWrap/>
        <w:overflowPunct/>
        <w:topLinePunct w:val="0"/>
        <w:autoSpaceDE/>
        <w:autoSpaceDN/>
        <w:bidi w:val="0"/>
        <w:adjustRightInd w:val="0"/>
        <w:snapToGrid w:val="0"/>
        <w:spacing w:line="560" w:lineRule="exact"/>
        <w:ind w:firstLine="624" w:firstLineChars="200"/>
        <w:jc w:val="left"/>
        <w:textAlignment w:val="auto"/>
        <w:rPr>
          <w:rFonts w:hint="default" w:ascii="Times New Roman" w:hAnsi="Times New Roman" w:eastAsia="仿宋_GB2312" w:cs="Times New Roman"/>
          <w:sz w:val="32"/>
          <w:szCs w:val="32"/>
          <w:lang w:bidi="ar"/>
        </w:rPr>
      </w:pPr>
      <w:r>
        <w:rPr>
          <w:rFonts w:hint="eastAsia" w:ascii="方正楷体_GBK" w:hAnsi="方正楷体_GBK" w:eastAsia="方正楷体_GBK" w:cs="方正楷体_GBK"/>
          <w:b w:val="0"/>
          <w:bCs w:val="0"/>
          <w:sz w:val="32"/>
          <w:szCs w:val="32"/>
        </w:rPr>
        <w:t>（一）评价周期及时限。</w:t>
      </w:r>
      <w:r>
        <w:rPr>
          <w:rFonts w:hint="default" w:ascii="Times New Roman" w:hAnsi="Times New Roman" w:eastAsia="仿宋_GB2312" w:cs="Times New Roman"/>
          <w:sz w:val="32"/>
          <w:szCs w:val="32"/>
          <w:lang w:bidi="ar"/>
        </w:rPr>
        <w:t>电梯维保单位信用评价周期为一年，评价结果反映维保单位上一年度</w:t>
      </w:r>
      <w:r>
        <w:rPr>
          <w:rFonts w:hint="default" w:ascii="Times New Roman" w:hAnsi="Times New Roman" w:eastAsia="仿宋_GB2312" w:cs="Times New Roman"/>
          <w:sz w:val="32"/>
          <w:szCs w:val="32"/>
        </w:rPr>
        <w:t>1月1日至12月31日期间的信用状况。每年的1-2月，市局组织开展电梯维保单位信用分级分类评价，2月底前完成信用评价。</w:t>
      </w:r>
    </w:p>
    <w:p w14:paraId="6A7D3922">
      <w:pPr>
        <w:keepNext w:val="0"/>
        <w:keepLines w:val="0"/>
        <w:pageBreakBefore w:val="0"/>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仿宋_GB2312" w:cs="Times New Roman"/>
          <w:sz w:val="32"/>
          <w:szCs w:val="32"/>
        </w:rPr>
      </w:pPr>
      <w:r>
        <w:rPr>
          <w:rFonts w:hint="default" w:ascii="方正楷体_GBK" w:hAnsi="方正楷体_GBK" w:eastAsia="方正楷体_GBK" w:cs="方正楷体_GBK"/>
          <w:b w:val="0"/>
          <w:bCs w:val="0"/>
          <w:sz w:val="32"/>
          <w:szCs w:val="32"/>
        </w:rPr>
        <w:t>（二）评价实施。</w:t>
      </w:r>
      <w:r>
        <w:rPr>
          <w:rFonts w:hint="default" w:ascii="Times New Roman" w:hAnsi="Times New Roman" w:eastAsia="仿宋_GB2312" w:cs="Times New Roman"/>
          <w:sz w:val="32"/>
          <w:szCs w:val="32"/>
        </w:rPr>
        <w:t>依据《电梯维保单位信用等级评价实施细则》，维保单位信用得分由三部分组成，一是依托信息化系统自动采集相关数据并实时计分，二是各级市场监督管理部门根据常规监督检查、专项监督检查、投诉举报核查、媒体曝光核查、安全事故调查等工作中发现的情况，上传扣分对象和理由。三是维保单位主动申报加分理由，市、市（区）局对其申报材料予以审核，符合条件的录入评价系统。</w:t>
      </w:r>
    </w:p>
    <w:p w14:paraId="6105BA12">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仿宋_GB2312" w:cs="Times New Roman"/>
          <w:sz w:val="32"/>
          <w:szCs w:val="32"/>
        </w:rPr>
      </w:pPr>
      <w:r>
        <w:rPr>
          <w:rFonts w:hint="default" w:ascii="方正楷体_GBK" w:hAnsi="方正楷体_GBK" w:eastAsia="方正楷体_GBK" w:cs="方正楷体_GBK"/>
          <w:b w:val="0"/>
          <w:bCs w:val="0"/>
          <w:sz w:val="32"/>
          <w:szCs w:val="32"/>
        </w:rPr>
        <w:t>（三）信息公示及异议处理。</w:t>
      </w:r>
      <w:r>
        <w:rPr>
          <w:rFonts w:hint="default" w:ascii="Times New Roman" w:hAnsi="Times New Roman" w:eastAsia="仿宋_GB2312" w:cs="Times New Roman"/>
          <w:sz w:val="32"/>
          <w:szCs w:val="32"/>
          <w:lang w:bidi="ar"/>
        </w:rPr>
        <w:t>信用分类分级评价的初评结果将通过市局网站进行公示，广泛征求意见，接受社会各界监督，公示时间为7天。公示期满后，最终评定结果通过媒体或网站等形式向社会公开。</w:t>
      </w:r>
    </w:p>
    <w:p w14:paraId="33C033E2">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电梯维保单位对信用等级记分有异议的，应在接到告知3个工作日内向市局提出，市局应当在7个工作日内完成调查核实工作，经核实确需调整的，重新予以评价记分、调整定级。逾期未提出的，视为无异议。</w:t>
      </w:r>
    </w:p>
    <w:p w14:paraId="6F933BCB">
      <w:pPr>
        <w:keepNext w:val="0"/>
        <w:keepLines w:val="0"/>
        <w:pageBreakBefore w:val="0"/>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四、结果应用</w:t>
      </w:r>
    </w:p>
    <w:p w14:paraId="5D5A8978">
      <w:pPr>
        <w:keepNext w:val="0"/>
        <w:keepLines w:val="0"/>
        <w:pageBreakBefore w:val="0"/>
        <w:widowControl/>
        <w:kinsoku/>
        <w:wordWrap/>
        <w:overflowPunct/>
        <w:topLinePunct w:val="0"/>
        <w:autoSpaceDE/>
        <w:autoSpaceDN/>
        <w:bidi w:val="0"/>
        <w:adjustRightInd w:val="0"/>
        <w:snapToGrid w:val="0"/>
        <w:spacing w:line="560" w:lineRule="exact"/>
        <w:ind w:firstLine="624" w:firstLineChars="200"/>
        <w:jc w:val="left"/>
        <w:textAlignment w:val="auto"/>
        <w:rPr>
          <w:rFonts w:hint="default" w:ascii="方正楷体_GBK" w:hAnsi="方正楷体_GBK" w:eastAsia="方正楷体_GBK" w:cs="方正楷体_GBK"/>
          <w:b w:val="0"/>
          <w:bCs w:val="0"/>
          <w:sz w:val="32"/>
          <w:szCs w:val="32"/>
        </w:rPr>
      </w:pPr>
      <w:r>
        <w:rPr>
          <w:rFonts w:hint="default" w:ascii="方正楷体_GBK" w:hAnsi="方正楷体_GBK" w:eastAsia="方正楷体_GBK" w:cs="方正楷体_GBK"/>
          <w:b w:val="0"/>
          <w:bCs w:val="0"/>
          <w:sz w:val="32"/>
          <w:szCs w:val="32"/>
        </w:rPr>
        <w:t>（一）信用评价等级应用</w:t>
      </w:r>
    </w:p>
    <w:p w14:paraId="7E69BAA7">
      <w:pPr>
        <w:keepNext w:val="0"/>
        <w:keepLines w:val="0"/>
        <w:pageBreakBefore w:val="0"/>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信用分级评价结果在本市范围内有效，并印制于“特种设备使用标志”中维保单位名称后。社会公众可通过扫描标志二维码，查询维保单位信用等级相关信息。</w:t>
      </w:r>
    </w:p>
    <w:p w14:paraId="392A85B0">
      <w:pPr>
        <w:keepNext w:val="0"/>
        <w:keepLines w:val="0"/>
        <w:pageBreakBefore w:val="0"/>
        <w:widowControl/>
        <w:kinsoku/>
        <w:wordWrap/>
        <w:overflowPunct/>
        <w:topLinePunct w:val="0"/>
        <w:autoSpaceDE/>
        <w:autoSpaceDN/>
        <w:bidi w:val="0"/>
        <w:adjustRightInd w:val="0"/>
        <w:snapToGrid w:val="0"/>
        <w:spacing w:line="560" w:lineRule="exact"/>
        <w:ind w:firstLine="624" w:firstLineChars="200"/>
        <w:jc w:val="left"/>
        <w:textAlignment w:val="auto"/>
        <w:rPr>
          <w:rFonts w:hint="default" w:ascii="方正楷体_GBK" w:hAnsi="方正楷体_GBK" w:eastAsia="方正楷体_GBK" w:cs="方正楷体_GBK"/>
          <w:b w:val="0"/>
          <w:bCs w:val="0"/>
          <w:sz w:val="32"/>
          <w:szCs w:val="32"/>
        </w:rPr>
      </w:pPr>
      <w:r>
        <w:rPr>
          <w:rFonts w:hint="default" w:ascii="方正楷体_GBK" w:hAnsi="方正楷体_GBK" w:eastAsia="方正楷体_GBK" w:cs="方正楷体_GBK"/>
          <w:b w:val="0"/>
          <w:bCs w:val="0"/>
          <w:sz w:val="32"/>
          <w:szCs w:val="32"/>
        </w:rPr>
        <w:t>（二）分级分类监管措施</w:t>
      </w:r>
    </w:p>
    <w:p w14:paraId="2F5795DE">
      <w:pPr>
        <w:keepNext w:val="0"/>
        <w:keepLines w:val="0"/>
        <w:pageBreakBefore w:val="0"/>
        <w:widowControl/>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A级单位。降低监督检查频次，做到无事不扰；许可证到期换证时，对符合特种设备生产许可有关规定的，可申请自我声明承诺方式换证。</w:t>
      </w:r>
    </w:p>
    <w:p w14:paraId="4E1D32D3">
      <w:pPr>
        <w:keepNext w:val="0"/>
        <w:keepLines w:val="0"/>
        <w:pageBreakBefore w:val="0"/>
        <w:widowControl/>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B级单位。实施以日常检查为主的常规监管，每年开展不超过1次的常规监督检查；许可证到期换证时，对符合特种设备生产许可有关规定的，可申请自我声明承诺方式换证。</w:t>
      </w:r>
    </w:p>
    <w:p w14:paraId="5133A5F0">
      <w:pPr>
        <w:keepNext w:val="0"/>
        <w:keepLines w:val="0"/>
        <w:pageBreakBefore w:val="0"/>
        <w:widowControl/>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C级单位。加大检查力度，由电梯维保单位办公地址所在地的市（区）局每年开展2次日常监督检查，并责令其在两个月内完成等级评定中发现问题的整改，整改合格后书面报告电梯维保单位办公地址所在地的市（区）局；连续两年C级的，由电梯维保单位办公地址所在地的市（区）局约谈其主要负责人。</w:t>
      </w:r>
    </w:p>
    <w:p w14:paraId="4571C77F">
      <w:pPr>
        <w:keepNext w:val="0"/>
        <w:keepLines w:val="0"/>
        <w:pageBreakBefore w:val="0"/>
        <w:widowControl/>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D级单位。提高检查频次，由电梯维保单位办公地址所在地的市（区）局每季度开展1次日常监督检查；责令其在两个月内完成等级评定中发现问题的整改，整改合格后书面报告电梯维保单位办公地址所在地的市（区）局；由电梯维保单位办公地址所在地的市（区）局约谈其主要负责人，暂停受理新增业务，直至复查整改合格；向相关电梯使用单位进行风险提示。</w:t>
      </w:r>
    </w:p>
    <w:p w14:paraId="38FF2EC6">
      <w:pPr>
        <w:keepNext w:val="0"/>
        <w:keepLines w:val="0"/>
        <w:pageBreakBefore w:val="0"/>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五、工作要求</w:t>
      </w:r>
    </w:p>
    <w:p w14:paraId="30B24164">
      <w:pPr>
        <w:keepNext w:val="0"/>
        <w:keepLines w:val="0"/>
        <w:pageBreakBefore w:val="0"/>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仿宋_GB2312" w:cs="Times New Roman"/>
          <w:kern w:val="0"/>
          <w:sz w:val="32"/>
          <w:szCs w:val="32"/>
          <w:lang w:bidi="ar"/>
        </w:rPr>
      </w:pPr>
      <w:r>
        <w:rPr>
          <w:rFonts w:hint="default" w:ascii="方正楷体_GBK" w:hAnsi="方正楷体_GBK" w:eastAsia="方正楷体_GBK" w:cs="方正楷体_GBK"/>
          <w:b w:val="0"/>
          <w:bCs w:val="0"/>
          <w:sz w:val="32"/>
          <w:szCs w:val="32"/>
        </w:rPr>
        <w:t>（一）强化宣传引导。</w:t>
      </w:r>
      <w:r>
        <w:rPr>
          <w:rFonts w:hint="default" w:ascii="Times New Roman" w:hAnsi="Times New Roman" w:eastAsia="仿宋_GB2312" w:cs="Times New Roman"/>
          <w:kern w:val="0"/>
          <w:sz w:val="32"/>
          <w:szCs w:val="32"/>
          <w:lang w:bidi="ar"/>
        </w:rPr>
        <w:t>各市（区）局要强化宣传引导，开展各种形式的政策宣传解读，确保辖区内电梯维保单位知晓信息报送路径、信用评价方式、分级分类监管措施等政策；常态化摸排辖区电梯维保单位底数，精准甄别符合参评、不予参评单位，保障全市信用分级评价工作统一规范推进。</w:t>
      </w:r>
    </w:p>
    <w:p w14:paraId="41835C8A">
      <w:pPr>
        <w:keepNext w:val="0"/>
        <w:keepLines w:val="0"/>
        <w:pageBreakBefore w:val="0"/>
        <w:widowControl/>
        <w:kinsoku/>
        <w:wordWrap/>
        <w:overflowPunct/>
        <w:topLinePunct w:val="0"/>
        <w:autoSpaceDE/>
        <w:autoSpaceDN/>
        <w:bidi w:val="0"/>
        <w:adjustRightInd w:val="0"/>
        <w:snapToGrid w:val="0"/>
        <w:spacing w:line="560" w:lineRule="exact"/>
        <w:ind w:firstLine="624" w:firstLineChars="200"/>
        <w:jc w:val="left"/>
        <w:textAlignment w:val="auto"/>
        <w:rPr>
          <w:rFonts w:hint="default" w:ascii="Times New Roman" w:hAnsi="Times New Roman" w:eastAsia="仿宋_GB2312" w:cs="Times New Roman"/>
          <w:kern w:val="0"/>
          <w:sz w:val="32"/>
          <w:szCs w:val="32"/>
          <w:lang w:bidi="ar"/>
        </w:rPr>
      </w:pPr>
      <w:r>
        <w:rPr>
          <w:rFonts w:hint="default" w:ascii="方正楷体_GBK" w:hAnsi="方正楷体_GBK" w:eastAsia="方正楷体_GBK" w:cs="方正楷体_GBK"/>
          <w:b w:val="0"/>
          <w:bCs w:val="0"/>
          <w:sz w:val="32"/>
          <w:szCs w:val="32"/>
        </w:rPr>
        <w:t>（二）规范信息归集。</w:t>
      </w:r>
      <w:r>
        <w:rPr>
          <w:rFonts w:hint="default" w:ascii="Times New Roman" w:hAnsi="Times New Roman" w:eastAsia="仿宋_GB2312" w:cs="Times New Roman"/>
          <w:kern w:val="0"/>
          <w:sz w:val="32"/>
          <w:szCs w:val="32"/>
          <w:lang w:bidi="ar"/>
        </w:rPr>
        <w:t>及时将日常巡查、专项整治、投诉处置、事故核查、媒体曝光、行政处罚等各类监管数据录入系统，做到资料完备有据、监管全程留痕；严格审核维保单位加分申报佐证材料，严防虚假申报加分，切实保障信用评价数据真实准确、流程公平公正。</w:t>
      </w:r>
    </w:p>
    <w:p w14:paraId="6781F159">
      <w:pPr>
        <w:keepNext w:val="0"/>
        <w:keepLines w:val="0"/>
        <w:pageBreakBefore w:val="0"/>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仿宋_GB2312" w:cs="Times New Roman"/>
          <w:kern w:val="0"/>
          <w:sz w:val="32"/>
          <w:szCs w:val="32"/>
          <w:lang w:bidi="ar"/>
        </w:rPr>
      </w:pPr>
      <w:r>
        <w:rPr>
          <w:rFonts w:hint="default" w:ascii="方正楷体_GBK" w:hAnsi="方正楷体_GBK" w:eastAsia="方正楷体_GBK" w:cs="方正楷体_GBK"/>
          <w:b w:val="0"/>
          <w:bCs w:val="0"/>
          <w:sz w:val="32"/>
          <w:szCs w:val="32"/>
        </w:rPr>
        <w:t>（三）深化结果运用。</w:t>
      </w:r>
      <w:r>
        <w:rPr>
          <w:rFonts w:hint="default" w:ascii="Times New Roman" w:hAnsi="Times New Roman" w:eastAsia="仿宋_GB2312" w:cs="Times New Roman"/>
          <w:kern w:val="0"/>
          <w:sz w:val="32"/>
          <w:szCs w:val="32"/>
          <w:lang w:bidi="ar"/>
        </w:rPr>
        <w:t>依据信用评价等级落实差异化监管举措，精准调整监督检查频次，从严管控低信用等级维保机构；多渠道公开信用评价结果，面向小区物业、电梯使用单位做好风险提示，引导市场择优选择高信用维保企业，推动形成“良币驱逐劣币”的电梯维保市场良性发展格局。</w:t>
      </w:r>
    </w:p>
    <w:p w14:paraId="5C227634">
      <w:pPr>
        <w:keepNext w:val="0"/>
        <w:keepLines w:val="0"/>
        <w:pageBreakBefore w:val="0"/>
        <w:kinsoku/>
        <w:wordWrap/>
        <w:overflowPunct/>
        <w:topLinePunct w:val="0"/>
        <w:autoSpaceDE/>
        <w:autoSpaceDN/>
        <w:bidi w:val="0"/>
        <w:adjustRightInd w:val="0"/>
        <w:snapToGrid w:val="0"/>
        <w:spacing w:line="560" w:lineRule="exact"/>
        <w:ind w:firstLine="624"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lang w:bidi="ar"/>
        </w:rPr>
        <w:t>附件：电梯维保单位信用等级评价实施细则（试行）</w:t>
      </w:r>
    </w:p>
    <w:p w14:paraId="311D9085">
      <w:pPr>
        <w:adjustRightInd w:val="0"/>
        <w:snapToGrid w:val="0"/>
        <w:spacing w:line="560" w:lineRule="exact"/>
        <w:ind w:firstLine="624" w:firstLineChars="200"/>
        <w:rPr>
          <w:rFonts w:hint="default" w:ascii="Times New Roman" w:hAnsi="Times New Roman" w:eastAsia="仿宋_GB2312" w:cs="Times New Roman"/>
          <w:sz w:val="32"/>
          <w:szCs w:val="32"/>
        </w:rPr>
        <w:sectPr>
          <w:footerReference r:id="rId3" w:type="default"/>
          <w:pgSz w:w="11906" w:h="16838"/>
          <w:pgMar w:top="2098" w:right="1474" w:bottom="1985" w:left="1587" w:header="851" w:footer="1418" w:gutter="0"/>
          <w:cols w:space="720" w:num="1"/>
          <w:docGrid w:type="linesAndChars" w:linePitch="311" w:charSpace="-1839"/>
        </w:sectPr>
      </w:pPr>
    </w:p>
    <w:p w14:paraId="563DF9CF">
      <w:pPr>
        <w:adjustRightInd w:val="0"/>
        <w:snapToGrid w:val="0"/>
        <w:spacing w:line="560" w:lineRule="exact"/>
        <w:jc w:val="center"/>
        <w:rPr>
          <w:rFonts w:hint="default" w:ascii="Times New Roman" w:hAnsi="Times New Roman" w:eastAsia="方正仿宋_GBK" w:cs="Times New Roman"/>
          <w:color w:val="000000"/>
          <w:kern w:val="0"/>
          <w:sz w:val="32"/>
          <w:szCs w:val="32"/>
          <w:lang w:bidi="ar"/>
        </w:rPr>
      </w:pPr>
      <w:r>
        <w:rPr>
          <w:rFonts w:hint="default" w:ascii="Times New Roman" w:hAnsi="Times New Roman" w:eastAsia="方正小标宋_GBK" w:cs="Times New Roman"/>
          <w:sz w:val="44"/>
          <w:szCs w:val="44"/>
        </w:rPr>
        <w:t>电梯维保单位信用等级评价实施细则</w:t>
      </w:r>
      <w:r>
        <w:rPr>
          <w:rFonts w:hint="default" w:ascii="Times New Roman" w:hAnsi="Times New Roman" w:eastAsia="方正小标宋_GBK" w:cs="Times New Roman"/>
          <w:sz w:val="44"/>
          <w:szCs w:val="44"/>
          <w:lang w:bidi="ar"/>
        </w:rPr>
        <w:t>（试行）</w:t>
      </w:r>
    </w:p>
    <w:tbl>
      <w:tblPr>
        <w:tblStyle w:val="16"/>
        <w:tblW w:w="4999" w:type="pct"/>
        <w:tblInd w:w="-116"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636"/>
        <w:gridCol w:w="1198"/>
        <w:gridCol w:w="4319"/>
        <w:gridCol w:w="847"/>
        <w:gridCol w:w="1091"/>
        <w:gridCol w:w="7012"/>
      </w:tblGrid>
      <w:tr w14:paraId="4077E59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03" w:hRule="atLeast"/>
          <w:tblHeader/>
        </w:trPr>
        <w:tc>
          <w:tcPr>
            <w:tcW w:w="606" w:type="pct"/>
            <w:gridSpan w:val="2"/>
            <w:tcBorders>
              <w:bottom w:val="single" w:color="auto" w:sz="12" w:space="0"/>
              <w:right w:val="single" w:color="auto" w:sz="12" w:space="0"/>
            </w:tcBorders>
            <w:vAlign w:val="center"/>
          </w:tcPr>
          <w:p w14:paraId="22A55C95">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检查项目</w:t>
            </w:r>
          </w:p>
        </w:tc>
        <w:tc>
          <w:tcPr>
            <w:tcW w:w="1432" w:type="pct"/>
            <w:tcBorders>
              <w:left w:val="single" w:color="auto" w:sz="12" w:space="0"/>
              <w:bottom w:val="single" w:color="auto" w:sz="12" w:space="0"/>
              <w:right w:val="single" w:color="000000" w:sz="4" w:space="0"/>
            </w:tcBorders>
            <w:vAlign w:val="center"/>
          </w:tcPr>
          <w:p w14:paraId="3CDD8690">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检查内容及评分标准</w:t>
            </w:r>
          </w:p>
        </w:tc>
        <w:tc>
          <w:tcPr>
            <w:tcW w:w="275" w:type="pct"/>
            <w:tcBorders>
              <w:left w:val="single" w:color="000000" w:sz="4" w:space="0"/>
              <w:bottom w:val="single" w:color="auto" w:sz="12" w:space="0"/>
              <w:right w:val="single" w:color="000000" w:sz="4" w:space="0"/>
            </w:tcBorders>
            <w:vAlign w:val="center"/>
          </w:tcPr>
          <w:p w14:paraId="19801243">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评分层级</w:t>
            </w:r>
          </w:p>
        </w:tc>
        <w:tc>
          <w:tcPr>
            <w:tcW w:w="363" w:type="pct"/>
            <w:tcBorders>
              <w:left w:val="single" w:color="000000" w:sz="4" w:space="0"/>
              <w:bottom w:val="single" w:color="auto" w:sz="12" w:space="0"/>
              <w:right w:val="single" w:color="auto" w:sz="12" w:space="0"/>
            </w:tcBorders>
            <w:vAlign w:val="center"/>
          </w:tcPr>
          <w:p w14:paraId="614966E9">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数据来源</w:t>
            </w:r>
          </w:p>
        </w:tc>
        <w:tc>
          <w:tcPr>
            <w:tcW w:w="2322" w:type="pct"/>
            <w:tcBorders>
              <w:left w:val="single" w:color="auto" w:sz="12" w:space="0"/>
              <w:bottom w:val="single" w:color="auto" w:sz="12" w:space="0"/>
            </w:tcBorders>
            <w:vAlign w:val="center"/>
          </w:tcPr>
          <w:p w14:paraId="57FDD8ED">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备注</w:t>
            </w:r>
          </w:p>
        </w:tc>
      </w:tr>
      <w:tr w14:paraId="4E95F70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04" w:hRule="atLeast"/>
        </w:trPr>
        <w:tc>
          <w:tcPr>
            <w:tcW w:w="207" w:type="pct"/>
            <w:vMerge w:val="restart"/>
            <w:tcBorders>
              <w:top w:val="single" w:color="auto" w:sz="12" w:space="0"/>
              <w:bottom w:val="single" w:color="000000" w:sz="4" w:space="0"/>
              <w:right w:val="single" w:color="000000" w:sz="4" w:space="0"/>
            </w:tcBorders>
            <w:vAlign w:val="center"/>
          </w:tcPr>
          <w:p w14:paraId="52AFEED4">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一、基础信息</w:t>
            </w:r>
          </w:p>
        </w:tc>
        <w:tc>
          <w:tcPr>
            <w:tcW w:w="399" w:type="pct"/>
            <w:tcBorders>
              <w:top w:val="single" w:color="auto" w:sz="12" w:space="0"/>
              <w:left w:val="single" w:color="000000" w:sz="4" w:space="0"/>
              <w:bottom w:val="single" w:color="000000" w:sz="4" w:space="0"/>
              <w:right w:val="single" w:color="auto" w:sz="12" w:space="0"/>
            </w:tcBorders>
            <w:vAlign w:val="center"/>
          </w:tcPr>
          <w:p w14:paraId="426A2976">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1.资源条件报告</w:t>
            </w:r>
          </w:p>
        </w:tc>
        <w:tc>
          <w:tcPr>
            <w:tcW w:w="1432" w:type="pct"/>
            <w:tcBorders>
              <w:top w:val="single" w:color="auto" w:sz="12" w:space="0"/>
              <w:left w:val="single" w:color="auto" w:sz="12" w:space="0"/>
              <w:bottom w:val="single" w:color="000000" w:sz="4" w:space="0"/>
              <w:right w:val="single" w:color="000000" w:sz="4" w:space="0"/>
            </w:tcBorders>
            <w:vAlign w:val="center"/>
          </w:tcPr>
          <w:p w14:paraId="7DC563AA">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资源条件合规性报告工作中一个季度未报送信息或报送的信息未通过的，一次扣20分，二次定为D级。</w:t>
            </w:r>
          </w:p>
        </w:tc>
        <w:tc>
          <w:tcPr>
            <w:tcW w:w="275" w:type="pct"/>
            <w:tcBorders>
              <w:top w:val="single" w:color="auto" w:sz="12" w:space="0"/>
              <w:left w:val="single" w:color="000000" w:sz="4" w:space="0"/>
              <w:bottom w:val="single" w:color="000000" w:sz="4" w:space="0"/>
              <w:right w:val="single" w:color="000000" w:sz="4" w:space="0"/>
            </w:tcBorders>
            <w:vAlign w:val="center"/>
          </w:tcPr>
          <w:p w14:paraId="188D5BC2">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w:t>
            </w:r>
          </w:p>
        </w:tc>
        <w:tc>
          <w:tcPr>
            <w:tcW w:w="363" w:type="pct"/>
            <w:tcBorders>
              <w:top w:val="single" w:color="auto" w:sz="12" w:space="0"/>
              <w:left w:val="single" w:color="000000" w:sz="4" w:space="0"/>
              <w:bottom w:val="single" w:color="000000" w:sz="4" w:space="0"/>
              <w:right w:val="single" w:color="auto" w:sz="12" w:space="0"/>
            </w:tcBorders>
            <w:vAlign w:val="center"/>
          </w:tcPr>
          <w:p w14:paraId="0205E3A4">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系统数据</w:t>
            </w:r>
          </w:p>
        </w:tc>
        <w:tc>
          <w:tcPr>
            <w:tcW w:w="2322" w:type="pct"/>
            <w:tcBorders>
              <w:top w:val="single" w:color="auto" w:sz="12" w:space="0"/>
              <w:left w:val="single" w:color="auto" w:sz="12" w:space="0"/>
              <w:bottom w:val="single" w:color="000000" w:sz="4" w:space="0"/>
            </w:tcBorders>
            <w:vAlign w:val="center"/>
          </w:tcPr>
          <w:p w14:paraId="36FACCF7">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第一季度4月1日抓取备案，在1/2/3月范围内有当前状态是“资源条件符合/需重新提交”的记录。</w:t>
            </w:r>
            <w:r>
              <w:rPr>
                <w:rFonts w:hint="default" w:ascii="Times New Roman" w:hAnsi="Times New Roman" w:eastAsia="仿宋_GB2312" w:cs="Times New Roman"/>
                <w:kern w:val="0"/>
                <w:szCs w:val="21"/>
                <w:lang w:bidi="ar"/>
              </w:rPr>
              <w:br w:type="textWrapping"/>
            </w:r>
            <w:r>
              <w:rPr>
                <w:rFonts w:hint="default" w:ascii="Times New Roman" w:hAnsi="Times New Roman" w:eastAsia="仿宋_GB2312" w:cs="Times New Roman"/>
                <w:kern w:val="0"/>
                <w:szCs w:val="21"/>
                <w:lang w:bidi="ar"/>
              </w:rPr>
              <w:t>第二季度7月1日抓取备案，在4/5/6月范围内有当前状态是“资源条件符合/需重新提交”的记录。</w:t>
            </w:r>
            <w:r>
              <w:rPr>
                <w:rFonts w:hint="default" w:ascii="Times New Roman" w:hAnsi="Times New Roman" w:eastAsia="仿宋_GB2312" w:cs="Times New Roman"/>
                <w:kern w:val="0"/>
                <w:szCs w:val="21"/>
                <w:lang w:bidi="ar"/>
              </w:rPr>
              <w:br w:type="textWrapping"/>
            </w:r>
            <w:r>
              <w:rPr>
                <w:rFonts w:hint="default" w:ascii="Times New Roman" w:hAnsi="Times New Roman" w:eastAsia="仿宋_GB2312" w:cs="Times New Roman"/>
                <w:kern w:val="0"/>
                <w:szCs w:val="21"/>
                <w:lang w:bidi="ar"/>
              </w:rPr>
              <w:t>第三季度10月1日抓取备案，在7/8/9月范围内有当前状态是“资源条件符合/需重新提交”的记录。</w:t>
            </w:r>
            <w:r>
              <w:rPr>
                <w:rFonts w:hint="default" w:ascii="Times New Roman" w:hAnsi="Times New Roman" w:eastAsia="仿宋_GB2312" w:cs="Times New Roman"/>
                <w:kern w:val="0"/>
                <w:szCs w:val="21"/>
                <w:lang w:bidi="ar"/>
              </w:rPr>
              <w:br w:type="textWrapping"/>
            </w:r>
            <w:r>
              <w:rPr>
                <w:rFonts w:hint="default" w:ascii="Times New Roman" w:hAnsi="Times New Roman" w:eastAsia="仿宋_GB2312" w:cs="Times New Roman"/>
                <w:kern w:val="0"/>
                <w:szCs w:val="21"/>
                <w:lang w:bidi="ar"/>
              </w:rPr>
              <w:t>第四季度1月1日抓取备案，在10/11/12月范围内有当前状态是“资源条件符合/需重新提交”的记录。</w:t>
            </w:r>
          </w:p>
        </w:tc>
      </w:tr>
      <w:tr w14:paraId="1E27C38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64" w:hRule="atLeast"/>
        </w:trPr>
        <w:tc>
          <w:tcPr>
            <w:tcW w:w="207" w:type="pct"/>
            <w:vMerge w:val="continue"/>
            <w:tcBorders>
              <w:top w:val="single" w:color="000000" w:sz="4" w:space="0"/>
              <w:bottom w:val="single" w:color="000000" w:sz="4" w:space="0"/>
              <w:right w:val="single" w:color="000000" w:sz="4" w:space="0"/>
            </w:tcBorders>
            <w:vAlign w:val="center"/>
          </w:tcPr>
          <w:p w14:paraId="6A32831C">
            <w:pPr>
              <w:jc w:val="center"/>
              <w:rPr>
                <w:rFonts w:hint="default" w:ascii="Times New Roman" w:hAnsi="Times New Roman" w:eastAsia="仿宋_GB2312" w:cs="Times New Roman"/>
                <w:szCs w:val="21"/>
              </w:rPr>
            </w:pPr>
          </w:p>
        </w:tc>
        <w:tc>
          <w:tcPr>
            <w:tcW w:w="399" w:type="pct"/>
            <w:tcBorders>
              <w:top w:val="single" w:color="000000" w:sz="4" w:space="0"/>
              <w:left w:val="single" w:color="000000" w:sz="4" w:space="0"/>
              <w:bottom w:val="single" w:color="000000" w:sz="4" w:space="0"/>
              <w:right w:val="single" w:color="auto" w:sz="12" w:space="0"/>
            </w:tcBorders>
            <w:vAlign w:val="center"/>
          </w:tcPr>
          <w:p w14:paraId="2EDCB286">
            <w:pPr>
              <w:widowControl/>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kern w:val="0"/>
                <w:szCs w:val="21"/>
                <w:lang w:bidi="ar"/>
              </w:rPr>
              <w:t>2.人员聘用</w:t>
            </w:r>
          </w:p>
        </w:tc>
        <w:tc>
          <w:tcPr>
            <w:tcW w:w="1432" w:type="pct"/>
            <w:tcBorders>
              <w:top w:val="single" w:color="000000" w:sz="4" w:space="0"/>
              <w:left w:val="single" w:color="auto" w:sz="12" w:space="0"/>
              <w:bottom w:val="single" w:color="000000" w:sz="4" w:space="0"/>
              <w:right w:val="single" w:color="000000" w:sz="4" w:space="0"/>
            </w:tcBorders>
            <w:vAlign w:val="center"/>
          </w:tcPr>
          <w:p w14:paraId="63B980FD">
            <w:pPr>
              <w:widowControl/>
              <w:jc w:val="left"/>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kern w:val="0"/>
                <w:szCs w:val="21"/>
                <w:lang w:bidi="ar"/>
              </w:rPr>
              <w:t>所有作业人员中缴纳社保率占比，高于85%且低于95%，扣1分；高于70%且低于85%，扣2分；低于70%,扣分3分。最多扣3分。</w:t>
            </w:r>
          </w:p>
        </w:tc>
        <w:tc>
          <w:tcPr>
            <w:tcW w:w="275" w:type="pct"/>
            <w:tcBorders>
              <w:top w:val="single" w:color="000000" w:sz="4" w:space="0"/>
              <w:left w:val="single" w:color="000000" w:sz="4" w:space="0"/>
              <w:bottom w:val="single" w:color="000000" w:sz="4" w:space="0"/>
              <w:right w:val="single" w:color="000000" w:sz="4" w:space="0"/>
            </w:tcBorders>
            <w:vAlign w:val="center"/>
          </w:tcPr>
          <w:p w14:paraId="5E966098">
            <w:pPr>
              <w:widowControl/>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kern w:val="0"/>
                <w:szCs w:val="21"/>
                <w:lang w:bidi="ar"/>
              </w:rPr>
              <w:t>市</w:t>
            </w:r>
          </w:p>
        </w:tc>
        <w:tc>
          <w:tcPr>
            <w:tcW w:w="363" w:type="pct"/>
            <w:tcBorders>
              <w:top w:val="single" w:color="000000" w:sz="4" w:space="0"/>
              <w:left w:val="single" w:color="000000" w:sz="4" w:space="0"/>
              <w:bottom w:val="single" w:color="000000" w:sz="4" w:space="0"/>
              <w:right w:val="single" w:color="auto" w:sz="12" w:space="0"/>
            </w:tcBorders>
            <w:vAlign w:val="center"/>
          </w:tcPr>
          <w:p w14:paraId="4A049CA2">
            <w:pPr>
              <w:widowControl/>
              <w:jc w:val="center"/>
              <w:textAlignment w:val="center"/>
              <w:rPr>
                <w:rFonts w:hint="default" w:ascii="Times New Roman" w:hAnsi="Times New Roman" w:eastAsia="仿宋_GB2312" w:cs="Times New Roman"/>
                <w:color w:val="000000"/>
                <w:szCs w:val="21"/>
              </w:rPr>
            </w:pPr>
            <w:r>
              <w:rPr>
                <w:rFonts w:hint="default" w:ascii="Times New Roman" w:hAnsi="Times New Roman" w:eastAsia="仿宋_GB2312" w:cs="Times New Roman"/>
                <w:color w:val="000000"/>
                <w:kern w:val="0"/>
                <w:szCs w:val="21"/>
                <w:lang w:bidi="ar"/>
              </w:rPr>
              <w:t>系统数据</w:t>
            </w:r>
          </w:p>
        </w:tc>
        <w:tc>
          <w:tcPr>
            <w:tcW w:w="2322" w:type="pct"/>
            <w:tcBorders>
              <w:top w:val="single" w:color="000000" w:sz="4" w:space="0"/>
              <w:left w:val="single" w:color="auto" w:sz="12" w:space="0"/>
              <w:bottom w:val="single" w:color="000000" w:sz="4" w:space="0"/>
            </w:tcBorders>
            <w:vAlign w:val="center"/>
          </w:tcPr>
          <w:p w14:paraId="2DF9BE88">
            <w:pPr>
              <w:widowControl/>
              <w:jc w:val="left"/>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缴纳社保率=缴纳社保作业人员数/所有作业人员数×100%</w:t>
            </w:r>
          </w:p>
          <w:p w14:paraId="610F2C6A">
            <w:pPr>
              <w:widowControl/>
              <w:jc w:val="left"/>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缴纳社保作业人员数为缴纳养老保险且持有“阳光维保”账号人员数；所有作业人员数为维保单位中持有“阳光维保”账号人员数；</w:t>
            </w:r>
          </w:p>
        </w:tc>
      </w:tr>
      <w:tr w14:paraId="1C83EBC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64" w:hRule="atLeast"/>
        </w:trPr>
        <w:tc>
          <w:tcPr>
            <w:tcW w:w="207" w:type="pct"/>
            <w:vMerge w:val="continue"/>
            <w:tcBorders>
              <w:top w:val="single" w:color="000000" w:sz="4" w:space="0"/>
              <w:bottom w:val="single" w:color="000000" w:sz="4" w:space="0"/>
              <w:right w:val="single" w:color="000000" w:sz="4" w:space="0"/>
            </w:tcBorders>
            <w:vAlign w:val="center"/>
          </w:tcPr>
          <w:p w14:paraId="76844CBB">
            <w:pPr>
              <w:jc w:val="center"/>
              <w:rPr>
                <w:rFonts w:hint="default" w:ascii="Times New Roman" w:hAnsi="Times New Roman" w:eastAsia="仿宋_GB2312" w:cs="Times New Roman"/>
                <w:szCs w:val="21"/>
              </w:rPr>
            </w:pPr>
          </w:p>
        </w:tc>
        <w:tc>
          <w:tcPr>
            <w:tcW w:w="399" w:type="pct"/>
            <w:tcBorders>
              <w:top w:val="single" w:color="000000" w:sz="4" w:space="0"/>
              <w:left w:val="single" w:color="000000" w:sz="4" w:space="0"/>
              <w:bottom w:val="single" w:color="000000" w:sz="4" w:space="0"/>
              <w:right w:val="single" w:color="auto" w:sz="12" w:space="0"/>
            </w:tcBorders>
            <w:shd w:val="clear" w:color="auto" w:fill="FFFFFF"/>
            <w:vAlign w:val="center"/>
          </w:tcPr>
          <w:p w14:paraId="4C80A176">
            <w:pPr>
              <w:jc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3.维保人员稳定率</w:t>
            </w:r>
          </w:p>
        </w:tc>
        <w:tc>
          <w:tcPr>
            <w:tcW w:w="1432" w:type="pct"/>
            <w:tcBorders>
              <w:top w:val="single" w:color="000000" w:sz="4" w:space="0"/>
              <w:left w:val="single" w:color="auto" w:sz="12" w:space="0"/>
              <w:bottom w:val="single" w:color="000000" w:sz="4" w:space="0"/>
              <w:right w:val="single" w:color="000000" w:sz="4" w:space="0"/>
            </w:tcBorders>
            <w:vAlign w:val="center"/>
          </w:tcPr>
          <w:p w14:paraId="7DBF0BB2">
            <w:pPr>
              <w:widowControl/>
              <w:spacing w:line="300" w:lineRule="exact"/>
              <w:jc w:val="left"/>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rPr>
              <w:t>维保人员稳定率低于80%且高于70%，扣1分；低于70%且高于60%，扣2分；低于60%，扣3分。最多扣3分。</w:t>
            </w:r>
          </w:p>
        </w:tc>
        <w:tc>
          <w:tcPr>
            <w:tcW w:w="275" w:type="pct"/>
            <w:tcBorders>
              <w:top w:val="single" w:color="000000" w:sz="4" w:space="0"/>
              <w:left w:val="single" w:color="000000" w:sz="4" w:space="0"/>
              <w:bottom w:val="single" w:color="000000" w:sz="4" w:space="0"/>
              <w:right w:val="single" w:color="000000" w:sz="4" w:space="0"/>
            </w:tcBorders>
            <w:vAlign w:val="center"/>
          </w:tcPr>
          <w:p w14:paraId="2530B815">
            <w:pPr>
              <w:widowControl/>
              <w:jc w:val="center"/>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市</w:t>
            </w:r>
          </w:p>
        </w:tc>
        <w:tc>
          <w:tcPr>
            <w:tcW w:w="363" w:type="pct"/>
            <w:tcBorders>
              <w:top w:val="single" w:color="000000" w:sz="4" w:space="0"/>
              <w:left w:val="single" w:color="000000" w:sz="4" w:space="0"/>
              <w:bottom w:val="single" w:color="000000" w:sz="4" w:space="0"/>
              <w:right w:val="single" w:color="auto" w:sz="12" w:space="0"/>
            </w:tcBorders>
            <w:vAlign w:val="center"/>
          </w:tcPr>
          <w:p w14:paraId="5912C064">
            <w:pPr>
              <w:widowControl/>
              <w:jc w:val="center"/>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系统数据</w:t>
            </w:r>
          </w:p>
        </w:tc>
        <w:tc>
          <w:tcPr>
            <w:tcW w:w="2322" w:type="pct"/>
            <w:tcBorders>
              <w:top w:val="single" w:color="000000" w:sz="4" w:space="0"/>
              <w:left w:val="single" w:color="auto" w:sz="12" w:space="0"/>
              <w:bottom w:val="single" w:color="000000" w:sz="4" w:space="0"/>
            </w:tcBorders>
            <w:vAlign w:val="center"/>
          </w:tcPr>
          <w:p w14:paraId="3F6B9019">
            <w:pPr>
              <w:widowControl/>
              <w:jc w:val="left"/>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rPr>
              <w:t>维保人员稳定率=维保人员稳定率为在职的维保单位服务满10个月的维保人员数/维保员工总人数。</w:t>
            </w:r>
          </w:p>
        </w:tc>
      </w:tr>
      <w:tr w14:paraId="3A3D31B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64" w:hRule="atLeast"/>
        </w:trPr>
        <w:tc>
          <w:tcPr>
            <w:tcW w:w="207" w:type="pct"/>
            <w:vMerge w:val="continue"/>
            <w:tcBorders>
              <w:top w:val="single" w:color="000000" w:sz="4" w:space="0"/>
              <w:bottom w:val="single" w:color="000000" w:sz="4" w:space="0"/>
              <w:right w:val="single" w:color="000000" w:sz="4" w:space="0"/>
            </w:tcBorders>
            <w:vAlign w:val="center"/>
          </w:tcPr>
          <w:p w14:paraId="0BF8B27F">
            <w:pPr>
              <w:jc w:val="center"/>
              <w:rPr>
                <w:rFonts w:hint="default" w:ascii="Times New Roman" w:hAnsi="Times New Roman" w:eastAsia="仿宋_GB2312" w:cs="Times New Roman"/>
                <w:szCs w:val="21"/>
              </w:rPr>
            </w:pPr>
          </w:p>
        </w:tc>
        <w:tc>
          <w:tcPr>
            <w:tcW w:w="399" w:type="pct"/>
            <w:tcBorders>
              <w:top w:val="single" w:color="000000" w:sz="4" w:space="0"/>
              <w:left w:val="single" w:color="000000" w:sz="4" w:space="0"/>
              <w:bottom w:val="single" w:color="000000" w:sz="4" w:space="0"/>
              <w:right w:val="single" w:color="auto" w:sz="12" w:space="0"/>
            </w:tcBorders>
            <w:vAlign w:val="center"/>
          </w:tcPr>
          <w:p w14:paraId="5EE46204">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4.人机比</w:t>
            </w:r>
          </w:p>
        </w:tc>
        <w:tc>
          <w:tcPr>
            <w:tcW w:w="1432" w:type="pct"/>
            <w:tcBorders>
              <w:top w:val="single" w:color="000000" w:sz="4" w:space="0"/>
              <w:left w:val="single" w:color="auto" w:sz="12" w:space="0"/>
              <w:bottom w:val="single" w:color="000000" w:sz="4" w:space="0"/>
              <w:right w:val="single" w:color="000000" w:sz="4" w:space="0"/>
            </w:tcBorders>
            <w:vAlign w:val="center"/>
          </w:tcPr>
          <w:p w14:paraId="7A910FE9">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电梯无纸化维护保养平台中参与维保的人员，每季度人均维保电梯台量大于50台，每季度扣2分；大于60台，每季度扣3分；大于70台的每季度扣5分，最多扣20分。</w:t>
            </w:r>
          </w:p>
        </w:tc>
        <w:tc>
          <w:tcPr>
            <w:tcW w:w="275" w:type="pct"/>
            <w:tcBorders>
              <w:top w:val="single" w:color="000000" w:sz="4" w:space="0"/>
              <w:left w:val="single" w:color="000000" w:sz="4" w:space="0"/>
              <w:bottom w:val="single" w:color="000000" w:sz="4" w:space="0"/>
              <w:right w:val="single" w:color="000000" w:sz="4" w:space="0"/>
            </w:tcBorders>
            <w:vAlign w:val="center"/>
          </w:tcPr>
          <w:p w14:paraId="2A1C6365">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w:t>
            </w:r>
          </w:p>
        </w:tc>
        <w:tc>
          <w:tcPr>
            <w:tcW w:w="363" w:type="pct"/>
            <w:tcBorders>
              <w:top w:val="single" w:color="000000" w:sz="4" w:space="0"/>
              <w:left w:val="single" w:color="000000" w:sz="4" w:space="0"/>
              <w:bottom w:val="single" w:color="000000" w:sz="4" w:space="0"/>
              <w:right w:val="single" w:color="auto" w:sz="12" w:space="0"/>
            </w:tcBorders>
            <w:vAlign w:val="center"/>
          </w:tcPr>
          <w:p w14:paraId="1E1DD603">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系统数据</w:t>
            </w:r>
          </w:p>
        </w:tc>
        <w:tc>
          <w:tcPr>
            <w:tcW w:w="2322" w:type="pct"/>
            <w:tcBorders>
              <w:top w:val="single" w:color="000000" w:sz="4" w:space="0"/>
              <w:left w:val="single" w:color="auto" w:sz="12" w:space="0"/>
              <w:bottom w:val="single" w:color="000000" w:sz="4" w:space="0"/>
            </w:tcBorders>
            <w:vAlign w:val="center"/>
          </w:tcPr>
          <w:p w14:paraId="79A7ED07">
            <w:pPr>
              <w:widowControl/>
              <w:jc w:val="left"/>
              <w:textAlignment w:val="center"/>
              <w:rPr>
                <w:rFonts w:hint="default" w:ascii="Times New Roman" w:hAnsi="Times New Roman" w:eastAsia="仿宋_GB2312" w:cs="Times New Roman"/>
                <w:szCs w:val="21"/>
              </w:rPr>
            </w:pPr>
            <w:r>
              <w:rPr>
                <w:rStyle w:val="40"/>
                <w:rFonts w:hint="default" w:ascii="Times New Roman" w:hAnsi="Times New Roman" w:eastAsia="仿宋_GB2312" w:cs="Times New Roman"/>
                <w:color w:val="auto"/>
                <w:sz w:val="21"/>
                <w:szCs w:val="21"/>
                <w:lang w:bidi="ar"/>
              </w:rPr>
              <w:t>系统分别在4月1日、7月1日、10月1日、1月1日，分别自动抓4次，统计维保单位下的本地维保人员数量和维保工单对应的电梯数量，计算人机比</w:t>
            </w:r>
          </w:p>
        </w:tc>
      </w:tr>
      <w:tr w14:paraId="5AFDEAC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207" w:type="pct"/>
            <w:vMerge w:val="continue"/>
            <w:tcBorders>
              <w:top w:val="single" w:color="000000" w:sz="4" w:space="0"/>
              <w:bottom w:val="single" w:color="000000" w:sz="4" w:space="0"/>
              <w:right w:val="single" w:color="000000" w:sz="4" w:space="0"/>
            </w:tcBorders>
            <w:vAlign w:val="center"/>
          </w:tcPr>
          <w:p w14:paraId="58A9CD71">
            <w:pPr>
              <w:jc w:val="center"/>
              <w:rPr>
                <w:rFonts w:hint="default" w:ascii="Times New Roman" w:hAnsi="Times New Roman" w:eastAsia="仿宋_GB2312" w:cs="Times New Roman"/>
                <w:szCs w:val="21"/>
              </w:rPr>
            </w:pPr>
          </w:p>
        </w:tc>
        <w:tc>
          <w:tcPr>
            <w:tcW w:w="399" w:type="pct"/>
            <w:tcBorders>
              <w:top w:val="single" w:color="000000" w:sz="4" w:space="0"/>
              <w:left w:val="single" w:color="000000" w:sz="4" w:space="0"/>
              <w:bottom w:val="single" w:color="auto" w:sz="4" w:space="0"/>
              <w:right w:val="single" w:color="auto" w:sz="12" w:space="0"/>
            </w:tcBorders>
            <w:vAlign w:val="center"/>
          </w:tcPr>
          <w:p w14:paraId="053B4138">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5.仪器设备</w:t>
            </w:r>
          </w:p>
        </w:tc>
        <w:tc>
          <w:tcPr>
            <w:tcW w:w="1432" w:type="pct"/>
            <w:tcBorders>
              <w:top w:val="single" w:color="000000" w:sz="4" w:space="0"/>
              <w:left w:val="single" w:color="auto" w:sz="12" w:space="0"/>
              <w:bottom w:val="single" w:color="auto" w:sz="4" w:space="0"/>
              <w:right w:val="single" w:color="000000" w:sz="4" w:space="0"/>
            </w:tcBorders>
            <w:vAlign w:val="center"/>
          </w:tcPr>
          <w:p w14:paraId="4D41BAAA">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检测仪器配置不满足许可规则要求的或未提供有效期内的检定/校准合格证书的，一次扣1分，最多扣3分。</w:t>
            </w:r>
          </w:p>
        </w:tc>
        <w:tc>
          <w:tcPr>
            <w:tcW w:w="275" w:type="pct"/>
            <w:tcBorders>
              <w:top w:val="single" w:color="000000" w:sz="4" w:space="0"/>
              <w:left w:val="single" w:color="000000" w:sz="4" w:space="0"/>
              <w:bottom w:val="single" w:color="000000" w:sz="4" w:space="0"/>
              <w:right w:val="single" w:color="000000" w:sz="4" w:space="0"/>
            </w:tcBorders>
            <w:vAlign w:val="center"/>
          </w:tcPr>
          <w:p w14:paraId="6DA2E3DF">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w:t>
            </w:r>
          </w:p>
        </w:tc>
        <w:tc>
          <w:tcPr>
            <w:tcW w:w="363" w:type="pct"/>
            <w:tcBorders>
              <w:top w:val="single" w:color="000000" w:sz="4" w:space="0"/>
              <w:left w:val="single" w:color="000000" w:sz="4" w:space="0"/>
              <w:bottom w:val="single" w:color="000000" w:sz="4" w:space="0"/>
              <w:right w:val="single" w:color="auto" w:sz="12" w:space="0"/>
            </w:tcBorders>
            <w:vAlign w:val="center"/>
          </w:tcPr>
          <w:p w14:paraId="1D0CD33B">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系统数据</w:t>
            </w:r>
          </w:p>
        </w:tc>
        <w:tc>
          <w:tcPr>
            <w:tcW w:w="2322" w:type="pct"/>
            <w:tcBorders>
              <w:top w:val="single" w:color="000000" w:sz="4" w:space="0"/>
              <w:left w:val="single" w:color="auto" w:sz="12" w:space="0"/>
              <w:bottom w:val="single" w:color="000000" w:sz="4" w:space="0"/>
            </w:tcBorders>
            <w:vAlign w:val="center"/>
          </w:tcPr>
          <w:p w14:paraId="10104398">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系统增加检测仪器配置子系统，按照TSG 07第G1.4检测仪器要求，明确仪器设备清单，每月1日抓取必要设备的检定报告名称和有效期。</w:t>
            </w:r>
          </w:p>
        </w:tc>
      </w:tr>
      <w:tr w14:paraId="38FE783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16" w:hRule="atLeast"/>
        </w:trPr>
        <w:tc>
          <w:tcPr>
            <w:tcW w:w="207" w:type="pct"/>
            <w:vMerge w:val="restart"/>
            <w:tcBorders>
              <w:top w:val="single" w:color="auto" w:sz="12" w:space="0"/>
              <w:right w:val="single" w:color="auto" w:sz="4" w:space="0"/>
            </w:tcBorders>
            <w:vAlign w:val="center"/>
          </w:tcPr>
          <w:p w14:paraId="5A256003">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二、监管信息</w:t>
            </w:r>
          </w:p>
        </w:tc>
        <w:tc>
          <w:tcPr>
            <w:tcW w:w="399" w:type="pct"/>
            <w:vMerge w:val="restart"/>
            <w:tcBorders>
              <w:top w:val="single" w:color="auto" w:sz="4" w:space="0"/>
              <w:left w:val="single" w:color="auto" w:sz="4" w:space="0"/>
              <w:bottom w:val="single" w:color="auto" w:sz="4" w:space="0"/>
              <w:right w:val="single" w:color="auto" w:sz="4" w:space="0"/>
            </w:tcBorders>
            <w:vAlign w:val="center"/>
          </w:tcPr>
          <w:p w14:paraId="66E12D00">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6.监督检查</w:t>
            </w:r>
          </w:p>
        </w:tc>
        <w:tc>
          <w:tcPr>
            <w:tcW w:w="1432" w:type="pct"/>
            <w:tcBorders>
              <w:top w:val="single" w:color="auto" w:sz="4" w:space="0"/>
              <w:left w:val="single" w:color="auto" w:sz="4" w:space="0"/>
              <w:bottom w:val="single" w:color="auto" w:sz="4" w:space="0"/>
              <w:right w:val="single" w:color="auto" w:sz="4" w:space="0"/>
            </w:tcBorders>
            <w:vAlign w:val="center"/>
          </w:tcPr>
          <w:p w14:paraId="67885800">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（1）在省级市场监督管理部门监督检查中问题较多，被通报的，一次扣10分，最多扣10分。</w:t>
            </w:r>
          </w:p>
        </w:tc>
        <w:tc>
          <w:tcPr>
            <w:tcW w:w="275" w:type="pct"/>
            <w:tcBorders>
              <w:top w:val="single" w:color="auto" w:sz="12" w:space="0"/>
              <w:left w:val="single" w:color="auto" w:sz="4" w:space="0"/>
              <w:bottom w:val="single" w:color="000000" w:sz="4" w:space="0"/>
              <w:right w:val="single" w:color="000000" w:sz="4" w:space="0"/>
            </w:tcBorders>
            <w:vAlign w:val="center"/>
          </w:tcPr>
          <w:p w14:paraId="74A4F3A1">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省</w:t>
            </w:r>
          </w:p>
        </w:tc>
        <w:tc>
          <w:tcPr>
            <w:tcW w:w="363" w:type="pct"/>
            <w:tcBorders>
              <w:top w:val="single" w:color="auto" w:sz="12" w:space="0"/>
              <w:left w:val="single" w:color="000000" w:sz="4" w:space="0"/>
              <w:bottom w:val="single" w:color="000000" w:sz="4" w:space="0"/>
              <w:right w:val="single" w:color="auto" w:sz="12" w:space="0"/>
            </w:tcBorders>
            <w:vAlign w:val="center"/>
          </w:tcPr>
          <w:p w14:paraId="77235C73">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省级通报记录</w:t>
            </w:r>
          </w:p>
        </w:tc>
        <w:tc>
          <w:tcPr>
            <w:tcW w:w="2322" w:type="pct"/>
            <w:tcBorders>
              <w:top w:val="single" w:color="auto" w:sz="12" w:space="0"/>
              <w:left w:val="single" w:color="auto" w:sz="12" w:space="0"/>
              <w:bottom w:val="single" w:color="000000" w:sz="4" w:space="0"/>
            </w:tcBorders>
            <w:vAlign w:val="center"/>
          </w:tcPr>
          <w:p w14:paraId="229E9673">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系统提供省局导入通报清单功能，自动比对抓取，全省所有同名维保单位一起扣分，提供清单查看</w:t>
            </w:r>
          </w:p>
        </w:tc>
      </w:tr>
      <w:tr w14:paraId="62F6D18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207" w:type="pct"/>
            <w:vMerge w:val="continue"/>
            <w:tcBorders>
              <w:right w:val="single" w:color="auto" w:sz="4" w:space="0"/>
            </w:tcBorders>
            <w:vAlign w:val="center"/>
          </w:tcPr>
          <w:p w14:paraId="1555D568">
            <w:pPr>
              <w:rPr>
                <w:rFonts w:hint="default" w:ascii="Times New Roman" w:hAnsi="Times New Roman" w:eastAsia="仿宋_GB2312" w:cs="Times New Roman"/>
                <w:szCs w:val="21"/>
              </w:rPr>
            </w:pPr>
          </w:p>
        </w:tc>
        <w:tc>
          <w:tcPr>
            <w:tcW w:w="399" w:type="pct"/>
            <w:vMerge w:val="continue"/>
            <w:tcBorders>
              <w:top w:val="single" w:color="auto" w:sz="4" w:space="0"/>
              <w:left w:val="single" w:color="auto" w:sz="4" w:space="0"/>
              <w:bottom w:val="single" w:color="auto" w:sz="4" w:space="0"/>
              <w:right w:val="single" w:color="auto" w:sz="4" w:space="0"/>
            </w:tcBorders>
            <w:vAlign w:val="center"/>
          </w:tcPr>
          <w:p w14:paraId="18E8B5F3">
            <w:pPr>
              <w:jc w:val="center"/>
              <w:rPr>
                <w:rFonts w:hint="default" w:ascii="Times New Roman" w:hAnsi="Times New Roman" w:eastAsia="仿宋_GB2312" w:cs="Times New Roman"/>
                <w:szCs w:val="21"/>
              </w:rPr>
            </w:pPr>
          </w:p>
        </w:tc>
        <w:tc>
          <w:tcPr>
            <w:tcW w:w="1432" w:type="pct"/>
            <w:tcBorders>
              <w:top w:val="single" w:color="auto" w:sz="4" w:space="0"/>
              <w:left w:val="single" w:color="auto" w:sz="4" w:space="0"/>
              <w:bottom w:val="single" w:color="auto" w:sz="4" w:space="0"/>
              <w:right w:val="single" w:color="auto" w:sz="4" w:space="0"/>
            </w:tcBorders>
            <w:vAlign w:val="center"/>
          </w:tcPr>
          <w:p w14:paraId="3298E37A">
            <w:pPr>
              <w:widowControl/>
              <w:jc w:val="left"/>
              <w:textAlignment w:val="center"/>
              <w:rPr>
                <w:rFonts w:hint="default" w:ascii="Times New Roman" w:hAnsi="Times New Roman" w:eastAsia="仿宋_GB2312" w:cs="Times New Roman"/>
                <w:szCs w:val="21"/>
              </w:rPr>
            </w:pPr>
            <w:r>
              <w:rPr>
                <w:rStyle w:val="40"/>
                <w:rFonts w:hint="default" w:ascii="Times New Roman" w:hAnsi="Times New Roman" w:eastAsia="仿宋_GB2312" w:cs="Times New Roman"/>
                <w:color w:val="auto"/>
                <w:sz w:val="21"/>
                <w:szCs w:val="21"/>
                <w:lang w:bidi="ar"/>
              </w:rPr>
              <w:t>（2）电梯维护保养单位在</w:t>
            </w:r>
            <w:r>
              <w:rPr>
                <w:rStyle w:val="41"/>
                <w:rFonts w:hint="default" w:ascii="Times New Roman" w:hAnsi="Times New Roman" w:eastAsia="仿宋_GB2312" w:cs="Times New Roman"/>
                <w:color w:val="auto"/>
                <w:sz w:val="21"/>
                <w:szCs w:val="21"/>
                <w:lang w:bidi="ar"/>
              </w:rPr>
              <w:t>市级</w:t>
            </w:r>
            <w:r>
              <w:rPr>
                <w:rStyle w:val="40"/>
                <w:rFonts w:hint="default" w:ascii="Times New Roman" w:hAnsi="Times New Roman" w:eastAsia="仿宋_GB2312" w:cs="Times New Roman"/>
                <w:color w:val="auto"/>
                <w:sz w:val="21"/>
                <w:szCs w:val="21"/>
                <w:lang w:bidi="ar"/>
              </w:rPr>
              <w:t>市场监督管理部门监督检查中问题较多，被通报的，一次扣6分，最多扣6分。</w:t>
            </w:r>
          </w:p>
        </w:tc>
        <w:tc>
          <w:tcPr>
            <w:tcW w:w="275" w:type="pct"/>
            <w:tcBorders>
              <w:top w:val="single" w:color="000000" w:sz="4" w:space="0"/>
              <w:left w:val="single" w:color="auto" w:sz="4" w:space="0"/>
              <w:bottom w:val="single" w:color="000000" w:sz="4" w:space="0"/>
              <w:right w:val="single" w:color="000000" w:sz="4" w:space="0"/>
            </w:tcBorders>
            <w:vAlign w:val="center"/>
          </w:tcPr>
          <w:p w14:paraId="2E5B7BA4">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w:t>
            </w:r>
          </w:p>
        </w:tc>
        <w:tc>
          <w:tcPr>
            <w:tcW w:w="363" w:type="pct"/>
            <w:tcBorders>
              <w:top w:val="single" w:color="000000" w:sz="4" w:space="0"/>
              <w:left w:val="single" w:color="000000" w:sz="4" w:space="0"/>
              <w:bottom w:val="single" w:color="000000" w:sz="4" w:space="0"/>
              <w:right w:val="single" w:color="auto" w:sz="12" w:space="0"/>
            </w:tcBorders>
            <w:vAlign w:val="center"/>
          </w:tcPr>
          <w:p w14:paraId="06A2FE86">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市级通报记录</w:t>
            </w:r>
          </w:p>
        </w:tc>
        <w:tc>
          <w:tcPr>
            <w:tcW w:w="2322" w:type="pct"/>
            <w:tcBorders>
              <w:top w:val="single" w:color="000000" w:sz="4" w:space="0"/>
              <w:left w:val="single" w:color="auto" w:sz="12" w:space="0"/>
              <w:bottom w:val="single" w:color="000000" w:sz="4" w:space="0"/>
            </w:tcBorders>
            <w:vAlign w:val="center"/>
          </w:tcPr>
          <w:p w14:paraId="360B1A25">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系统提供市局导入通报清单功能，自动比对抓取，提供清单查看</w:t>
            </w:r>
          </w:p>
        </w:tc>
      </w:tr>
      <w:tr w14:paraId="1974DF0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12" w:hRule="atLeast"/>
        </w:trPr>
        <w:tc>
          <w:tcPr>
            <w:tcW w:w="207" w:type="pct"/>
            <w:vMerge w:val="continue"/>
            <w:tcBorders>
              <w:right w:val="single" w:color="auto" w:sz="4" w:space="0"/>
            </w:tcBorders>
            <w:vAlign w:val="center"/>
          </w:tcPr>
          <w:p w14:paraId="31D060CA">
            <w:pPr>
              <w:rPr>
                <w:rFonts w:hint="default" w:ascii="Times New Roman" w:hAnsi="Times New Roman" w:eastAsia="仿宋_GB2312" w:cs="Times New Roman"/>
                <w:szCs w:val="21"/>
              </w:rPr>
            </w:pPr>
          </w:p>
        </w:tc>
        <w:tc>
          <w:tcPr>
            <w:tcW w:w="399" w:type="pct"/>
            <w:vMerge w:val="continue"/>
            <w:tcBorders>
              <w:top w:val="single" w:color="auto" w:sz="4" w:space="0"/>
              <w:left w:val="single" w:color="auto" w:sz="4" w:space="0"/>
              <w:bottom w:val="nil"/>
              <w:right w:val="single" w:color="auto" w:sz="12" w:space="0"/>
            </w:tcBorders>
            <w:vAlign w:val="center"/>
          </w:tcPr>
          <w:p w14:paraId="221DE2D3">
            <w:pPr>
              <w:jc w:val="center"/>
              <w:rPr>
                <w:rFonts w:hint="default" w:ascii="Times New Roman" w:hAnsi="Times New Roman" w:eastAsia="仿宋_GB2312" w:cs="Times New Roman"/>
                <w:szCs w:val="21"/>
              </w:rPr>
            </w:pPr>
          </w:p>
        </w:tc>
        <w:tc>
          <w:tcPr>
            <w:tcW w:w="1432" w:type="pct"/>
            <w:tcBorders>
              <w:top w:val="single" w:color="auto" w:sz="4" w:space="0"/>
              <w:left w:val="single" w:color="auto" w:sz="12" w:space="0"/>
              <w:bottom w:val="single" w:color="000000" w:sz="4" w:space="0"/>
              <w:right w:val="single" w:color="000000" w:sz="4" w:space="0"/>
            </w:tcBorders>
            <w:vAlign w:val="center"/>
          </w:tcPr>
          <w:p w14:paraId="6F939064">
            <w:pPr>
              <w:widowControl/>
              <w:jc w:val="left"/>
              <w:textAlignment w:val="center"/>
              <w:rPr>
                <w:rFonts w:hint="default" w:ascii="Times New Roman" w:hAnsi="Times New Roman" w:eastAsia="仿宋_GB2312" w:cs="Times New Roman"/>
                <w:szCs w:val="21"/>
              </w:rPr>
            </w:pPr>
            <w:r>
              <w:rPr>
                <w:rStyle w:val="40"/>
                <w:rFonts w:hint="default" w:ascii="Times New Roman" w:hAnsi="Times New Roman" w:eastAsia="仿宋_GB2312" w:cs="Times New Roman"/>
                <w:color w:val="auto"/>
                <w:sz w:val="21"/>
                <w:szCs w:val="21"/>
                <w:lang w:bidi="ar"/>
              </w:rPr>
              <w:t>（3）电梯维护保养单位在</w:t>
            </w:r>
            <w:r>
              <w:rPr>
                <w:rStyle w:val="41"/>
                <w:rFonts w:hint="default" w:ascii="Times New Roman" w:hAnsi="Times New Roman" w:eastAsia="仿宋_GB2312" w:cs="Times New Roman"/>
                <w:color w:val="auto"/>
                <w:sz w:val="21"/>
                <w:szCs w:val="21"/>
                <w:lang w:bidi="ar"/>
              </w:rPr>
              <w:t>市（区）</w:t>
            </w:r>
            <w:r>
              <w:rPr>
                <w:rStyle w:val="40"/>
                <w:rFonts w:hint="default" w:ascii="Times New Roman" w:hAnsi="Times New Roman" w:eastAsia="仿宋_GB2312" w:cs="Times New Roman"/>
                <w:color w:val="auto"/>
                <w:sz w:val="21"/>
                <w:szCs w:val="21"/>
                <w:lang w:bidi="ar"/>
              </w:rPr>
              <w:t>市场监督管理部门监督检查中问题较多，被通报的，一次扣3分，最多扣3分。</w:t>
            </w:r>
          </w:p>
        </w:tc>
        <w:tc>
          <w:tcPr>
            <w:tcW w:w="275" w:type="pct"/>
            <w:tcBorders>
              <w:top w:val="single" w:color="000000" w:sz="4" w:space="0"/>
              <w:left w:val="single" w:color="000000" w:sz="4" w:space="0"/>
              <w:bottom w:val="single" w:color="000000" w:sz="4" w:space="0"/>
              <w:right w:val="single" w:color="000000" w:sz="4" w:space="0"/>
            </w:tcBorders>
            <w:vAlign w:val="center"/>
          </w:tcPr>
          <w:p w14:paraId="0B174112">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市（区）</w:t>
            </w:r>
          </w:p>
        </w:tc>
        <w:tc>
          <w:tcPr>
            <w:tcW w:w="363" w:type="pct"/>
            <w:tcBorders>
              <w:top w:val="single" w:color="000000" w:sz="4" w:space="0"/>
              <w:left w:val="single" w:color="000000" w:sz="4" w:space="0"/>
              <w:bottom w:val="single" w:color="000000" w:sz="4" w:space="0"/>
              <w:right w:val="single" w:color="auto" w:sz="12" w:space="0"/>
            </w:tcBorders>
            <w:vAlign w:val="center"/>
          </w:tcPr>
          <w:p w14:paraId="16280305">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市（区）级通报记录</w:t>
            </w:r>
          </w:p>
        </w:tc>
        <w:tc>
          <w:tcPr>
            <w:tcW w:w="2322" w:type="pct"/>
            <w:tcBorders>
              <w:top w:val="single" w:color="000000" w:sz="4" w:space="0"/>
              <w:left w:val="single" w:color="auto" w:sz="12" w:space="0"/>
              <w:bottom w:val="single" w:color="000000" w:sz="4" w:space="0"/>
            </w:tcBorders>
            <w:vAlign w:val="center"/>
          </w:tcPr>
          <w:p w14:paraId="18088221">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系统提供市（区）局导入通报清单功能，自动比对抓取，提供清单查看</w:t>
            </w:r>
          </w:p>
        </w:tc>
      </w:tr>
      <w:tr w14:paraId="099E2DA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207" w:type="pct"/>
            <w:vMerge w:val="continue"/>
            <w:tcBorders>
              <w:right w:val="single" w:color="000000" w:sz="4" w:space="0"/>
            </w:tcBorders>
            <w:vAlign w:val="center"/>
          </w:tcPr>
          <w:p w14:paraId="339C6AAE">
            <w:pPr>
              <w:rPr>
                <w:rFonts w:hint="default" w:ascii="Times New Roman" w:hAnsi="Times New Roman" w:eastAsia="仿宋_GB2312" w:cs="Times New Roman"/>
                <w:szCs w:val="21"/>
              </w:rPr>
            </w:pPr>
          </w:p>
        </w:tc>
        <w:tc>
          <w:tcPr>
            <w:tcW w:w="399" w:type="pct"/>
            <w:tcBorders>
              <w:top w:val="single" w:color="000000" w:sz="4" w:space="0"/>
              <w:left w:val="single" w:color="000000" w:sz="4" w:space="0"/>
              <w:bottom w:val="single" w:color="000000" w:sz="4" w:space="0"/>
              <w:right w:val="single" w:color="auto" w:sz="12" w:space="0"/>
            </w:tcBorders>
            <w:vAlign w:val="center"/>
          </w:tcPr>
          <w:p w14:paraId="12B560F7">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7.行政处罚</w:t>
            </w:r>
          </w:p>
        </w:tc>
        <w:tc>
          <w:tcPr>
            <w:tcW w:w="1432" w:type="pct"/>
            <w:tcBorders>
              <w:top w:val="single" w:color="000000" w:sz="4" w:space="0"/>
              <w:left w:val="single" w:color="auto" w:sz="12" w:space="0"/>
              <w:bottom w:val="single" w:color="000000" w:sz="4" w:space="0"/>
              <w:right w:val="single" w:color="000000" w:sz="4" w:space="0"/>
            </w:tcBorders>
            <w:vAlign w:val="center"/>
          </w:tcPr>
          <w:p w14:paraId="5355AFB5">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被市场监督管理部门行政处罚，一次扣10分，最多扣20分。</w:t>
            </w:r>
          </w:p>
        </w:tc>
        <w:tc>
          <w:tcPr>
            <w:tcW w:w="275" w:type="pct"/>
            <w:tcBorders>
              <w:top w:val="single" w:color="000000" w:sz="4" w:space="0"/>
              <w:left w:val="single" w:color="000000" w:sz="4" w:space="0"/>
              <w:bottom w:val="single" w:color="000000" w:sz="4" w:space="0"/>
              <w:right w:val="single" w:color="000000" w:sz="4" w:space="0"/>
            </w:tcBorders>
            <w:vAlign w:val="center"/>
          </w:tcPr>
          <w:p w14:paraId="194293A4">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市/市（区）</w:t>
            </w:r>
          </w:p>
        </w:tc>
        <w:tc>
          <w:tcPr>
            <w:tcW w:w="363" w:type="pct"/>
            <w:tcBorders>
              <w:top w:val="single" w:color="000000" w:sz="4" w:space="0"/>
              <w:left w:val="single" w:color="000000" w:sz="4" w:space="0"/>
              <w:bottom w:val="single" w:color="000000" w:sz="4" w:space="0"/>
              <w:right w:val="single" w:color="auto" w:sz="12" w:space="0"/>
            </w:tcBorders>
            <w:vAlign w:val="center"/>
          </w:tcPr>
          <w:p w14:paraId="2A26A8BC">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行政处罚决定书</w:t>
            </w:r>
          </w:p>
        </w:tc>
        <w:tc>
          <w:tcPr>
            <w:tcW w:w="2322" w:type="pct"/>
            <w:tcBorders>
              <w:top w:val="single" w:color="000000" w:sz="4" w:space="0"/>
              <w:left w:val="single" w:color="auto" w:sz="12" w:space="0"/>
              <w:bottom w:val="single" w:color="000000" w:sz="4" w:space="0"/>
            </w:tcBorders>
            <w:vAlign w:val="center"/>
          </w:tcPr>
          <w:p w14:paraId="282409F1">
            <w:pPr>
              <w:widowControl/>
              <w:jc w:val="left"/>
              <w:textAlignment w:val="center"/>
              <w:rPr>
                <w:rFonts w:hint="default" w:ascii="Times New Roman" w:hAnsi="Times New Roman" w:eastAsia="仿宋_GB2312" w:cs="Times New Roman"/>
                <w:szCs w:val="21"/>
              </w:rPr>
            </w:pPr>
            <w:r>
              <w:rPr>
                <w:rStyle w:val="40"/>
                <w:rFonts w:hint="default" w:ascii="Times New Roman" w:hAnsi="Times New Roman" w:eastAsia="仿宋_GB2312" w:cs="Times New Roman"/>
                <w:color w:val="auto"/>
                <w:sz w:val="21"/>
                <w:szCs w:val="21"/>
                <w:lang w:bidi="ar"/>
              </w:rPr>
              <w:t>数据中台，对接数据中台提供的行政处罚数据，系统每月1日从行政处罚中有处罚书号的数据中提取处罚对象，比对维保单位名称，并记录处罚决定书编号。</w:t>
            </w:r>
          </w:p>
        </w:tc>
      </w:tr>
      <w:tr w14:paraId="6B7DEBC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207" w:type="pct"/>
            <w:vMerge w:val="continue"/>
            <w:tcBorders>
              <w:right w:val="single" w:color="000000" w:sz="4" w:space="0"/>
            </w:tcBorders>
            <w:vAlign w:val="center"/>
          </w:tcPr>
          <w:p w14:paraId="1449537B">
            <w:pPr>
              <w:rPr>
                <w:rFonts w:hint="default" w:ascii="Times New Roman" w:hAnsi="Times New Roman" w:eastAsia="仿宋_GB2312" w:cs="Times New Roman"/>
                <w:szCs w:val="21"/>
              </w:rPr>
            </w:pPr>
          </w:p>
        </w:tc>
        <w:tc>
          <w:tcPr>
            <w:tcW w:w="399" w:type="pct"/>
            <w:vMerge w:val="restart"/>
            <w:tcBorders>
              <w:top w:val="single" w:color="000000" w:sz="4" w:space="0"/>
              <w:left w:val="single" w:color="000000" w:sz="4" w:space="0"/>
              <w:bottom w:val="single" w:color="000000" w:sz="4" w:space="0"/>
              <w:right w:val="single" w:color="auto" w:sz="12" w:space="0"/>
            </w:tcBorders>
            <w:shd w:val="clear" w:color="auto" w:fill="FFFFFF"/>
            <w:vAlign w:val="center"/>
          </w:tcPr>
          <w:p w14:paraId="5C144EED">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8.检验检测情况</w:t>
            </w:r>
          </w:p>
        </w:tc>
        <w:tc>
          <w:tcPr>
            <w:tcW w:w="1432" w:type="pct"/>
            <w:tcBorders>
              <w:top w:val="single" w:color="000000" w:sz="4" w:space="0"/>
              <w:left w:val="single" w:color="auto" w:sz="12" w:space="0"/>
              <w:bottom w:val="single" w:color="000000" w:sz="4" w:space="0"/>
              <w:right w:val="single" w:color="000000" w:sz="4" w:space="0"/>
            </w:tcBorders>
            <w:vAlign w:val="center"/>
          </w:tcPr>
          <w:p w14:paraId="1224D19D">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（1）全年定期检验一次不合格率或自行检测一次“不符合项目”率高于全市平均水平的，扣2分，最多扣2分；高于全市平均水平50%的，扣4分，最多扣4分。</w:t>
            </w:r>
          </w:p>
        </w:tc>
        <w:tc>
          <w:tcPr>
            <w:tcW w:w="275" w:type="pct"/>
            <w:tcBorders>
              <w:top w:val="single" w:color="000000" w:sz="4" w:space="0"/>
              <w:left w:val="single" w:color="000000" w:sz="4" w:space="0"/>
              <w:bottom w:val="single" w:color="000000" w:sz="4" w:space="0"/>
              <w:right w:val="single" w:color="000000" w:sz="4" w:space="0"/>
            </w:tcBorders>
            <w:vAlign w:val="center"/>
          </w:tcPr>
          <w:p w14:paraId="298A1CA6">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w:t>
            </w:r>
          </w:p>
        </w:tc>
        <w:tc>
          <w:tcPr>
            <w:tcW w:w="363" w:type="pct"/>
            <w:tcBorders>
              <w:top w:val="single" w:color="000000" w:sz="4" w:space="0"/>
              <w:left w:val="single" w:color="000000" w:sz="4" w:space="0"/>
              <w:bottom w:val="single" w:color="000000" w:sz="4" w:space="0"/>
              <w:right w:val="single" w:color="auto" w:sz="12" w:space="0"/>
            </w:tcBorders>
            <w:vAlign w:val="center"/>
          </w:tcPr>
          <w:p w14:paraId="3279D104">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检验机构或检测机构提供</w:t>
            </w:r>
          </w:p>
        </w:tc>
        <w:tc>
          <w:tcPr>
            <w:tcW w:w="2322" w:type="pct"/>
            <w:tcBorders>
              <w:top w:val="single" w:color="000000" w:sz="4" w:space="0"/>
              <w:left w:val="single" w:color="auto" w:sz="12" w:space="0"/>
              <w:bottom w:val="single" w:color="000000" w:sz="4" w:space="0"/>
            </w:tcBorders>
            <w:vAlign w:val="center"/>
          </w:tcPr>
          <w:p w14:paraId="06544F96">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人工评分，检验机构或检测机构提供</w:t>
            </w:r>
          </w:p>
        </w:tc>
      </w:tr>
      <w:tr w14:paraId="014DF49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207" w:type="pct"/>
            <w:vMerge w:val="continue"/>
            <w:tcBorders>
              <w:right w:val="single" w:color="000000" w:sz="4" w:space="0"/>
            </w:tcBorders>
            <w:vAlign w:val="center"/>
          </w:tcPr>
          <w:p w14:paraId="58CA4924">
            <w:pPr>
              <w:rPr>
                <w:rFonts w:hint="default" w:ascii="Times New Roman" w:hAnsi="Times New Roman" w:eastAsia="仿宋_GB2312" w:cs="Times New Roman"/>
                <w:szCs w:val="21"/>
              </w:rPr>
            </w:pPr>
          </w:p>
        </w:tc>
        <w:tc>
          <w:tcPr>
            <w:tcW w:w="399" w:type="pct"/>
            <w:vMerge w:val="continue"/>
            <w:tcBorders>
              <w:top w:val="single" w:color="000000" w:sz="4" w:space="0"/>
              <w:left w:val="single" w:color="000000" w:sz="4" w:space="0"/>
              <w:bottom w:val="single" w:color="auto" w:sz="12" w:space="0"/>
              <w:right w:val="single" w:color="auto" w:sz="12" w:space="0"/>
            </w:tcBorders>
            <w:shd w:val="clear" w:color="auto" w:fill="FFFFFF"/>
            <w:vAlign w:val="center"/>
          </w:tcPr>
          <w:p w14:paraId="6364D7FF">
            <w:pPr>
              <w:jc w:val="center"/>
              <w:rPr>
                <w:rFonts w:hint="default" w:ascii="Times New Roman" w:hAnsi="Times New Roman" w:eastAsia="仿宋_GB2312" w:cs="Times New Roman"/>
                <w:szCs w:val="21"/>
              </w:rPr>
            </w:pPr>
          </w:p>
        </w:tc>
        <w:tc>
          <w:tcPr>
            <w:tcW w:w="1432" w:type="pct"/>
            <w:tcBorders>
              <w:top w:val="single" w:color="000000" w:sz="4" w:space="0"/>
              <w:left w:val="single" w:color="auto" w:sz="12" w:space="0"/>
              <w:bottom w:val="single" w:color="auto" w:sz="12" w:space="0"/>
              <w:right w:val="single" w:color="000000" w:sz="4" w:space="0"/>
            </w:tcBorders>
            <w:vAlign w:val="center"/>
          </w:tcPr>
          <w:p w14:paraId="2EBF3D63">
            <w:pPr>
              <w:widowControl/>
              <w:numPr>
                <w:ilvl w:val="0"/>
                <w:numId w:val="1"/>
              </w:numPr>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全年定期检验结论判定为“不合格”或自行检测结论判定为“存在不符合”，占定期检验或自行检测总台数超过3%的，扣6分，最多扣6分。</w:t>
            </w:r>
          </w:p>
        </w:tc>
        <w:tc>
          <w:tcPr>
            <w:tcW w:w="275" w:type="pct"/>
            <w:tcBorders>
              <w:top w:val="single" w:color="000000" w:sz="4" w:space="0"/>
              <w:left w:val="single" w:color="000000" w:sz="4" w:space="0"/>
              <w:bottom w:val="single" w:color="auto" w:sz="12" w:space="0"/>
              <w:right w:val="single" w:color="000000" w:sz="4" w:space="0"/>
            </w:tcBorders>
            <w:vAlign w:val="center"/>
          </w:tcPr>
          <w:p w14:paraId="79A2BA14">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w:t>
            </w:r>
          </w:p>
        </w:tc>
        <w:tc>
          <w:tcPr>
            <w:tcW w:w="363" w:type="pct"/>
            <w:tcBorders>
              <w:top w:val="single" w:color="000000" w:sz="4" w:space="0"/>
              <w:left w:val="single" w:color="000000" w:sz="4" w:space="0"/>
              <w:bottom w:val="single" w:color="auto" w:sz="12" w:space="0"/>
              <w:right w:val="single" w:color="auto" w:sz="12" w:space="0"/>
            </w:tcBorders>
            <w:vAlign w:val="center"/>
          </w:tcPr>
          <w:p w14:paraId="72C99D87">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检验机构或检测机构提供</w:t>
            </w:r>
          </w:p>
        </w:tc>
        <w:tc>
          <w:tcPr>
            <w:tcW w:w="2322" w:type="pct"/>
            <w:tcBorders>
              <w:top w:val="single" w:color="000000" w:sz="4" w:space="0"/>
              <w:left w:val="single" w:color="auto" w:sz="12" w:space="0"/>
              <w:bottom w:val="single" w:color="auto" w:sz="12" w:space="0"/>
            </w:tcBorders>
            <w:vAlign w:val="center"/>
          </w:tcPr>
          <w:p w14:paraId="3BAD4572">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人工评分，检验机构或检测机构提供</w:t>
            </w:r>
            <w:r>
              <w:rPr>
                <w:rFonts w:hint="default" w:ascii="Times New Roman" w:hAnsi="Times New Roman" w:eastAsia="仿宋_GB2312" w:cs="Times New Roman"/>
                <w:kern w:val="0"/>
                <w:szCs w:val="21"/>
                <w:lang w:bidi="ar"/>
              </w:rPr>
              <w:br w:type="textWrapping"/>
            </w:r>
            <w:r>
              <w:rPr>
                <w:rFonts w:hint="default" w:ascii="Times New Roman" w:hAnsi="Times New Roman" w:eastAsia="仿宋_GB2312" w:cs="Times New Roman"/>
                <w:kern w:val="0"/>
                <w:szCs w:val="21"/>
                <w:lang w:bidi="ar"/>
              </w:rPr>
              <w:t>系统每年评审时，协助抓取维保单位当年的维保记录中的电梯清单，计算检验不合格及占比情况；</w:t>
            </w:r>
          </w:p>
        </w:tc>
      </w:tr>
      <w:tr w14:paraId="5F7AA60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07" w:type="pct"/>
            <w:vMerge w:val="continue"/>
            <w:tcBorders>
              <w:right w:val="single" w:color="000000" w:sz="4" w:space="0"/>
            </w:tcBorders>
            <w:vAlign w:val="center"/>
          </w:tcPr>
          <w:p w14:paraId="26AC2376">
            <w:pPr>
              <w:rPr>
                <w:rFonts w:hint="default" w:ascii="Times New Roman" w:hAnsi="Times New Roman" w:eastAsia="仿宋_GB2312" w:cs="Times New Roman"/>
                <w:szCs w:val="21"/>
              </w:rPr>
            </w:pPr>
          </w:p>
        </w:tc>
        <w:tc>
          <w:tcPr>
            <w:tcW w:w="399" w:type="pct"/>
            <w:tcBorders>
              <w:top w:val="single" w:color="000000" w:sz="4" w:space="0"/>
              <w:left w:val="single" w:color="000000" w:sz="4" w:space="0"/>
              <w:bottom w:val="single" w:color="auto" w:sz="12" w:space="0"/>
              <w:right w:val="single" w:color="auto" w:sz="12" w:space="0"/>
            </w:tcBorders>
            <w:shd w:val="clear" w:color="auto" w:fill="FFFFFF"/>
            <w:vAlign w:val="center"/>
          </w:tcPr>
          <w:p w14:paraId="34D935F8">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9.年故障率</w:t>
            </w:r>
          </w:p>
        </w:tc>
        <w:tc>
          <w:tcPr>
            <w:tcW w:w="1432" w:type="pct"/>
            <w:tcBorders>
              <w:top w:val="single" w:color="000000" w:sz="4" w:space="0"/>
              <w:left w:val="single" w:color="auto" w:sz="12" w:space="0"/>
              <w:bottom w:val="single" w:color="auto" w:sz="12" w:space="0"/>
              <w:right w:val="single" w:color="000000" w:sz="4" w:space="0"/>
            </w:tcBorders>
            <w:vAlign w:val="center"/>
          </w:tcPr>
          <w:p w14:paraId="0BF830BE">
            <w:pPr>
              <w:widowControl/>
              <w:jc w:val="left"/>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年故障率高于10%且不高于15%，扣2分，高于15%且不高于20%，扣3分，高于20%，扣4分，最多扣4分。</w:t>
            </w:r>
          </w:p>
        </w:tc>
        <w:tc>
          <w:tcPr>
            <w:tcW w:w="275" w:type="pct"/>
            <w:tcBorders>
              <w:top w:val="single" w:color="000000" w:sz="4" w:space="0"/>
              <w:left w:val="single" w:color="000000" w:sz="4" w:space="0"/>
              <w:bottom w:val="single" w:color="auto" w:sz="12" w:space="0"/>
              <w:right w:val="single" w:color="000000" w:sz="4" w:space="0"/>
            </w:tcBorders>
            <w:vAlign w:val="center"/>
          </w:tcPr>
          <w:p w14:paraId="4B72A959">
            <w:pPr>
              <w:widowControl/>
              <w:jc w:val="center"/>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市</w:t>
            </w:r>
          </w:p>
        </w:tc>
        <w:tc>
          <w:tcPr>
            <w:tcW w:w="363" w:type="pct"/>
            <w:tcBorders>
              <w:top w:val="single" w:color="000000" w:sz="4" w:space="0"/>
              <w:left w:val="single" w:color="000000" w:sz="4" w:space="0"/>
              <w:bottom w:val="single" w:color="auto" w:sz="12" w:space="0"/>
              <w:right w:val="single" w:color="auto" w:sz="12" w:space="0"/>
            </w:tcBorders>
            <w:vAlign w:val="center"/>
          </w:tcPr>
          <w:p w14:paraId="08D7A5FF">
            <w:pPr>
              <w:widowControl/>
              <w:jc w:val="center"/>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系</w:t>
            </w:r>
            <w:bookmarkStart w:id="0" w:name="_GoBack"/>
            <w:bookmarkEnd w:id="0"/>
            <w:r>
              <w:rPr>
                <w:rFonts w:hint="default" w:ascii="Times New Roman" w:hAnsi="Times New Roman" w:eastAsia="仿宋_GB2312" w:cs="Times New Roman"/>
                <w:kern w:val="0"/>
                <w:szCs w:val="21"/>
                <w:lang w:bidi="ar"/>
              </w:rPr>
              <w:t>统数据</w:t>
            </w:r>
          </w:p>
        </w:tc>
        <w:tc>
          <w:tcPr>
            <w:tcW w:w="2322" w:type="pct"/>
            <w:tcBorders>
              <w:top w:val="single" w:color="000000" w:sz="4" w:space="0"/>
              <w:left w:val="single" w:color="auto" w:sz="12" w:space="0"/>
              <w:bottom w:val="single" w:color="auto" w:sz="12" w:space="0"/>
            </w:tcBorders>
            <w:vAlign w:val="center"/>
          </w:tcPr>
          <w:p w14:paraId="5407DD96">
            <w:pPr>
              <w:widowControl/>
              <w:jc w:val="left"/>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年故障率=年故障总次数 / 在保电梯总台数×100%</w:t>
            </w:r>
          </w:p>
          <w:p w14:paraId="4CCC94F0">
            <w:pPr>
              <w:widowControl/>
              <w:jc w:val="left"/>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年故障总次数为统计期内，排除外部原因（如供电中断、人为误操作等）后的所有维修工单数，按故障发生次数计，不以是否一次修复为区分</w:t>
            </w:r>
          </w:p>
        </w:tc>
      </w:tr>
      <w:tr w14:paraId="7D474D6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207" w:type="pct"/>
            <w:vMerge w:val="restart"/>
            <w:tcBorders>
              <w:top w:val="single" w:color="auto" w:sz="12" w:space="0"/>
              <w:right w:val="single" w:color="000000" w:sz="4" w:space="0"/>
            </w:tcBorders>
            <w:vAlign w:val="center"/>
          </w:tcPr>
          <w:p w14:paraId="7F4081DB">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三、维保质量信息</w:t>
            </w:r>
          </w:p>
        </w:tc>
        <w:tc>
          <w:tcPr>
            <w:tcW w:w="399" w:type="pct"/>
            <w:vMerge w:val="restart"/>
            <w:tcBorders>
              <w:top w:val="single" w:color="auto" w:sz="12" w:space="0"/>
              <w:left w:val="single" w:color="000000" w:sz="4" w:space="0"/>
              <w:right w:val="single" w:color="auto" w:sz="12" w:space="0"/>
            </w:tcBorders>
            <w:vAlign w:val="center"/>
          </w:tcPr>
          <w:p w14:paraId="68C29F8C">
            <w:pPr>
              <w:widowControl/>
              <w:jc w:val="center"/>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10.维护保养管理准时率</w:t>
            </w:r>
          </w:p>
        </w:tc>
        <w:tc>
          <w:tcPr>
            <w:tcW w:w="1432" w:type="pct"/>
            <w:tcBorders>
              <w:top w:val="single" w:color="auto" w:sz="12" w:space="0"/>
              <w:left w:val="single" w:color="auto" w:sz="12" w:space="0"/>
              <w:bottom w:val="single" w:color="000000" w:sz="4" w:space="0"/>
              <w:right w:val="single" w:color="000000" w:sz="4" w:space="0"/>
            </w:tcBorders>
            <w:vAlign w:val="center"/>
          </w:tcPr>
          <w:p w14:paraId="0D6FBAC5">
            <w:pPr>
              <w:widowControl/>
              <w:jc w:val="left"/>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未</w:t>
            </w:r>
            <w:r>
              <w:rPr>
                <w:rFonts w:hint="default" w:ascii="Times New Roman" w:hAnsi="Times New Roman" w:eastAsia="仿宋_GB2312" w:cs="Times New Roman"/>
                <w:szCs w:val="21"/>
                <w:lang w:bidi="ar"/>
              </w:rPr>
              <w:t>严格按照</w:t>
            </w:r>
            <w:r>
              <w:rPr>
                <w:rFonts w:hint="default" w:ascii="Times New Roman" w:hAnsi="Times New Roman" w:eastAsia="仿宋_GB2312" w:cs="Times New Roman"/>
                <w:szCs w:val="21"/>
              </w:rPr>
              <w:t>法规规定，完成电梯周期（半月、季度、半年、年度）维护保养项目，年度准时执行率低于85%，扣5分；大于85%且低于95%，扣3分；大于95%且低于98%，扣1分。最多扣5分。</w:t>
            </w:r>
          </w:p>
        </w:tc>
        <w:tc>
          <w:tcPr>
            <w:tcW w:w="275" w:type="pct"/>
            <w:tcBorders>
              <w:top w:val="single" w:color="auto" w:sz="12" w:space="0"/>
              <w:left w:val="single" w:color="000000" w:sz="4" w:space="0"/>
              <w:bottom w:val="single" w:color="000000" w:sz="4" w:space="0"/>
              <w:right w:val="single" w:color="000000" w:sz="4" w:space="0"/>
            </w:tcBorders>
            <w:vAlign w:val="center"/>
          </w:tcPr>
          <w:p w14:paraId="125CC32E">
            <w:pPr>
              <w:widowControl/>
              <w:jc w:val="center"/>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市</w:t>
            </w:r>
          </w:p>
        </w:tc>
        <w:tc>
          <w:tcPr>
            <w:tcW w:w="363" w:type="pct"/>
            <w:tcBorders>
              <w:top w:val="single" w:color="auto" w:sz="12" w:space="0"/>
              <w:left w:val="single" w:color="000000" w:sz="4" w:space="0"/>
              <w:bottom w:val="single" w:color="000000" w:sz="4" w:space="0"/>
              <w:right w:val="single" w:color="auto" w:sz="12" w:space="0"/>
            </w:tcBorders>
            <w:vAlign w:val="center"/>
          </w:tcPr>
          <w:p w14:paraId="0BB86440">
            <w:pPr>
              <w:widowControl/>
              <w:jc w:val="center"/>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系统数据</w:t>
            </w:r>
          </w:p>
        </w:tc>
        <w:tc>
          <w:tcPr>
            <w:tcW w:w="2322" w:type="pct"/>
            <w:tcBorders>
              <w:top w:val="single" w:color="auto" w:sz="12" w:space="0"/>
              <w:left w:val="single" w:color="auto" w:sz="12" w:space="0"/>
              <w:bottom w:val="single" w:color="000000" w:sz="4" w:space="0"/>
            </w:tcBorders>
            <w:vAlign w:val="center"/>
          </w:tcPr>
          <w:p w14:paraId="3BEAA8FE">
            <w:pPr>
              <w:widowControl/>
              <w:jc w:val="left"/>
              <w:rPr>
                <w:rFonts w:hint="default" w:ascii="Times New Roman" w:hAnsi="Times New Roman" w:eastAsia="仿宋_GB2312" w:cs="Times New Roman"/>
                <w:szCs w:val="21"/>
              </w:rPr>
            </w:pPr>
            <w:r>
              <w:rPr>
                <w:rFonts w:hint="default" w:ascii="Times New Roman" w:hAnsi="Times New Roman" w:eastAsia="仿宋_GB2312" w:cs="Times New Roman"/>
                <w:szCs w:val="21"/>
              </w:rPr>
              <w:t>衡量方式：通过无纸化维保系统后台统计，可精确追踪是否超期未保、是否在规定时段签到签退（需完善签退功能），以及关键项目照片/数据是否上传。</w:t>
            </w:r>
          </w:p>
          <w:p w14:paraId="3461E587">
            <w:pPr>
              <w:rPr>
                <w:rFonts w:hint="default" w:ascii="Times New Roman" w:hAnsi="Times New Roman" w:eastAsia="仿宋_GB2312" w:cs="Times New Roman"/>
                <w:szCs w:val="21"/>
              </w:rPr>
            </w:pPr>
            <w:r>
              <w:rPr>
                <w:rFonts w:hint="default" w:ascii="Times New Roman" w:hAnsi="Times New Roman" w:eastAsia="仿宋_GB2312" w:cs="Times New Roman"/>
                <w:szCs w:val="21"/>
              </w:rPr>
              <w:t>计算公式：维保计划准时执行率 =（统计期内准时完成且项目完备的保养次数 / 同期全部应执行保养总次数）×100%</w:t>
            </w:r>
          </w:p>
          <w:p w14:paraId="2AAF29EF">
            <w:pPr>
              <w:rPr>
                <w:rFonts w:hint="default" w:ascii="Times New Roman" w:hAnsi="Times New Roman" w:eastAsia="仿宋_GB2312" w:cs="Times New Roman"/>
                <w:szCs w:val="21"/>
              </w:rPr>
            </w:pPr>
            <w:r>
              <w:rPr>
                <w:rFonts w:hint="default" w:ascii="Times New Roman" w:hAnsi="Times New Roman" w:eastAsia="仿宋_GB2312" w:cs="Times New Roman"/>
                <w:szCs w:val="21"/>
              </w:rPr>
              <w:t>半月保养窗口期为计划日期前后各2天，超出即属不准时。季度、半年、年度保养：窗口期可放宽至前后各3天，但须与半月保养明显区分。</w:t>
            </w:r>
          </w:p>
          <w:p w14:paraId="1CE89104">
            <w:pPr>
              <w:rPr>
                <w:rFonts w:hint="default" w:ascii="Times New Roman" w:hAnsi="Times New Roman" w:eastAsia="仿宋_GB2312" w:cs="Times New Roman"/>
                <w:szCs w:val="21"/>
              </w:rPr>
            </w:pPr>
            <w:r>
              <w:rPr>
                <w:rFonts w:hint="default" w:ascii="Times New Roman" w:hAnsi="Times New Roman" w:eastAsia="仿宋_GB2312" w:cs="Times New Roman"/>
                <w:szCs w:val="21"/>
              </w:rPr>
              <w:t>示例：某台电梯每月应执行2次半月保，全年各类维护保养项目共24次；单位管理100台梯，全年应执行2400次保养。经系统抓取，其中120次存在超期未做、窗口期外补做或关键项目缺失。</w:t>
            </w:r>
          </w:p>
          <w:p w14:paraId="210FFC1B">
            <w:pPr>
              <w:widowControl/>
              <w:jc w:val="left"/>
              <w:rPr>
                <w:rFonts w:hint="default" w:ascii="Times New Roman" w:hAnsi="Times New Roman" w:eastAsia="仿宋_GB2312" w:cs="Times New Roman"/>
                <w:szCs w:val="21"/>
              </w:rPr>
            </w:pPr>
            <w:r>
              <w:rPr>
                <w:rFonts w:hint="default" w:ascii="Times New Roman" w:hAnsi="Times New Roman" w:eastAsia="仿宋_GB2312" w:cs="Times New Roman"/>
                <w:szCs w:val="21"/>
              </w:rPr>
              <w:t>年度准时执行率 =（2400–120）/2 400×100% =95%。</w:t>
            </w:r>
          </w:p>
        </w:tc>
      </w:tr>
      <w:tr w14:paraId="43A0F17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36" w:hRule="atLeast"/>
        </w:trPr>
        <w:tc>
          <w:tcPr>
            <w:tcW w:w="207" w:type="pct"/>
            <w:vMerge w:val="continue"/>
            <w:tcBorders>
              <w:right w:val="single" w:color="000000" w:sz="4" w:space="0"/>
            </w:tcBorders>
            <w:vAlign w:val="center"/>
          </w:tcPr>
          <w:p w14:paraId="33707D92">
            <w:pPr>
              <w:rPr>
                <w:rFonts w:hint="default" w:ascii="Times New Roman" w:hAnsi="Times New Roman" w:eastAsia="仿宋_GB2312" w:cs="Times New Roman"/>
                <w:szCs w:val="21"/>
              </w:rPr>
            </w:pPr>
          </w:p>
        </w:tc>
        <w:tc>
          <w:tcPr>
            <w:tcW w:w="399" w:type="pct"/>
            <w:vMerge w:val="continue"/>
            <w:tcBorders>
              <w:top w:val="single" w:color="000000" w:sz="4" w:space="0"/>
              <w:left w:val="single" w:color="000000" w:sz="4" w:space="0"/>
              <w:bottom w:val="single" w:color="000000" w:sz="4" w:space="0"/>
              <w:right w:val="single" w:color="auto" w:sz="12" w:space="0"/>
            </w:tcBorders>
            <w:vAlign w:val="center"/>
          </w:tcPr>
          <w:p w14:paraId="7D8E2346">
            <w:pPr>
              <w:jc w:val="center"/>
              <w:rPr>
                <w:rFonts w:hint="default" w:ascii="Times New Roman" w:hAnsi="Times New Roman" w:eastAsia="仿宋_GB2312" w:cs="Times New Roman"/>
                <w:szCs w:val="21"/>
              </w:rPr>
            </w:pPr>
          </w:p>
        </w:tc>
        <w:tc>
          <w:tcPr>
            <w:tcW w:w="1432" w:type="pct"/>
            <w:tcBorders>
              <w:top w:val="single" w:color="000000" w:sz="4" w:space="0"/>
              <w:left w:val="single" w:color="auto" w:sz="12" w:space="0"/>
              <w:bottom w:val="single" w:color="000000" w:sz="4" w:space="0"/>
              <w:right w:val="single" w:color="000000" w:sz="4" w:space="0"/>
            </w:tcBorders>
            <w:vAlign w:val="center"/>
          </w:tcPr>
          <w:p w14:paraId="50EC4172">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（2）未按照市级市场监督管理部门要求开展电梯无纸化维护保养或者无纸化维护保养电梯占比低于98%的，每季度扣1分，最多扣4分。</w:t>
            </w:r>
          </w:p>
        </w:tc>
        <w:tc>
          <w:tcPr>
            <w:tcW w:w="275" w:type="pct"/>
            <w:tcBorders>
              <w:top w:val="single" w:color="000000" w:sz="4" w:space="0"/>
              <w:left w:val="single" w:color="000000" w:sz="4" w:space="0"/>
              <w:bottom w:val="single" w:color="000000" w:sz="4" w:space="0"/>
              <w:right w:val="single" w:color="000000" w:sz="4" w:space="0"/>
            </w:tcBorders>
            <w:vAlign w:val="center"/>
          </w:tcPr>
          <w:p w14:paraId="12978690">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w:t>
            </w:r>
          </w:p>
        </w:tc>
        <w:tc>
          <w:tcPr>
            <w:tcW w:w="363" w:type="pct"/>
            <w:tcBorders>
              <w:top w:val="single" w:color="000000" w:sz="4" w:space="0"/>
              <w:left w:val="single" w:color="000000" w:sz="4" w:space="0"/>
              <w:bottom w:val="single" w:color="000000" w:sz="4" w:space="0"/>
              <w:right w:val="single" w:color="auto" w:sz="12" w:space="0"/>
            </w:tcBorders>
            <w:vAlign w:val="center"/>
          </w:tcPr>
          <w:p w14:paraId="5A11F51D">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系统数据</w:t>
            </w:r>
          </w:p>
        </w:tc>
        <w:tc>
          <w:tcPr>
            <w:tcW w:w="2322" w:type="pct"/>
            <w:tcBorders>
              <w:top w:val="single" w:color="000000" w:sz="4" w:space="0"/>
              <w:left w:val="single" w:color="auto" w:sz="12" w:space="0"/>
              <w:bottom w:val="single" w:color="000000" w:sz="4" w:space="0"/>
            </w:tcBorders>
            <w:vAlign w:val="center"/>
          </w:tcPr>
          <w:p w14:paraId="7DF53937">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人工评分</w:t>
            </w:r>
            <w:r>
              <w:rPr>
                <w:rFonts w:hint="default" w:ascii="Times New Roman" w:hAnsi="Times New Roman" w:eastAsia="仿宋_GB2312" w:cs="Times New Roman"/>
                <w:kern w:val="0"/>
                <w:szCs w:val="21"/>
                <w:lang w:bidi="ar"/>
              </w:rPr>
              <w:br w:type="textWrapping"/>
            </w:r>
            <w:r>
              <w:rPr>
                <w:rFonts w:hint="default" w:ascii="Times New Roman" w:hAnsi="Times New Roman" w:eastAsia="仿宋_GB2312" w:cs="Times New Roman"/>
                <w:kern w:val="0"/>
                <w:szCs w:val="21"/>
                <w:lang w:bidi="ar"/>
              </w:rPr>
              <w:t>系统分别在4月1日、7月1日、10月1日、1月1日，分别自动抓4次，统计维保单位的无纸化维保率。</w:t>
            </w:r>
          </w:p>
        </w:tc>
      </w:tr>
      <w:tr w14:paraId="3115A13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207" w:type="pct"/>
            <w:vMerge w:val="continue"/>
            <w:tcBorders>
              <w:right w:val="single" w:color="000000" w:sz="4" w:space="0"/>
            </w:tcBorders>
            <w:vAlign w:val="center"/>
          </w:tcPr>
          <w:p w14:paraId="105C06B9">
            <w:pPr>
              <w:rPr>
                <w:rFonts w:hint="default" w:ascii="Times New Roman" w:hAnsi="Times New Roman" w:eastAsia="仿宋_GB2312" w:cs="Times New Roman"/>
                <w:szCs w:val="21"/>
              </w:rPr>
            </w:pPr>
          </w:p>
        </w:tc>
        <w:tc>
          <w:tcPr>
            <w:tcW w:w="399" w:type="pct"/>
            <w:tcBorders>
              <w:top w:val="single" w:color="000000" w:sz="4" w:space="0"/>
              <w:left w:val="single" w:color="000000" w:sz="4" w:space="0"/>
              <w:right w:val="single" w:color="auto" w:sz="12" w:space="0"/>
            </w:tcBorders>
            <w:vAlign w:val="center"/>
          </w:tcPr>
          <w:p w14:paraId="357AAC4B">
            <w:pPr>
              <w:jc w:val="center"/>
              <w:rPr>
                <w:rFonts w:hint="default" w:ascii="Times New Roman" w:hAnsi="Times New Roman" w:eastAsia="仿宋_GB2312" w:cs="Times New Roman"/>
                <w:szCs w:val="21"/>
              </w:rPr>
            </w:pPr>
            <w:r>
              <w:rPr>
                <w:rFonts w:hint="default" w:ascii="Times New Roman" w:hAnsi="Times New Roman" w:eastAsia="仿宋_GB2312" w:cs="Times New Roman"/>
                <w:szCs w:val="21"/>
              </w:rPr>
              <w:t>11.维保记录合规</w:t>
            </w:r>
          </w:p>
        </w:tc>
        <w:tc>
          <w:tcPr>
            <w:tcW w:w="1432" w:type="pct"/>
            <w:tcBorders>
              <w:top w:val="single" w:color="000000" w:sz="4" w:space="0"/>
              <w:left w:val="single" w:color="auto" w:sz="12" w:space="0"/>
              <w:bottom w:val="single" w:color="000000" w:sz="4" w:space="0"/>
              <w:right w:val="single" w:color="000000" w:sz="4" w:space="0"/>
            </w:tcBorders>
            <w:vAlign w:val="center"/>
          </w:tcPr>
          <w:p w14:paraId="3E307EDB">
            <w:pPr>
              <w:widowControl/>
              <w:jc w:val="left"/>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万台维保记录逻辑合格率大于20小于50，扣2分，大于50，扣4分；最多扣4分。</w:t>
            </w:r>
          </w:p>
        </w:tc>
        <w:tc>
          <w:tcPr>
            <w:tcW w:w="275" w:type="pct"/>
            <w:tcBorders>
              <w:top w:val="single" w:color="000000" w:sz="4" w:space="0"/>
              <w:left w:val="single" w:color="000000" w:sz="4" w:space="0"/>
              <w:bottom w:val="single" w:color="000000" w:sz="4" w:space="0"/>
              <w:right w:val="single" w:color="000000" w:sz="4" w:space="0"/>
            </w:tcBorders>
            <w:vAlign w:val="center"/>
          </w:tcPr>
          <w:p w14:paraId="657F6794">
            <w:pPr>
              <w:widowControl/>
              <w:jc w:val="center"/>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市</w:t>
            </w:r>
          </w:p>
        </w:tc>
        <w:tc>
          <w:tcPr>
            <w:tcW w:w="363" w:type="pct"/>
            <w:tcBorders>
              <w:top w:val="single" w:color="000000" w:sz="4" w:space="0"/>
              <w:left w:val="single" w:color="000000" w:sz="4" w:space="0"/>
              <w:bottom w:val="single" w:color="000000" w:sz="4" w:space="0"/>
              <w:right w:val="single" w:color="auto" w:sz="12" w:space="0"/>
            </w:tcBorders>
            <w:vAlign w:val="center"/>
          </w:tcPr>
          <w:p w14:paraId="63B598AB">
            <w:pPr>
              <w:widowControl/>
              <w:jc w:val="center"/>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系统数据</w:t>
            </w:r>
          </w:p>
        </w:tc>
        <w:tc>
          <w:tcPr>
            <w:tcW w:w="2322" w:type="pct"/>
            <w:tcBorders>
              <w:top w:val="single" w:color="000000" w:sz="4" w:space="0"/>
              <w:left w:val="single" w:color="auto" w:sz="12" w:space="0"/>
              <w:bottom w:val="single" w:color="000000" w:sz="4" w:space="0"/>
            </w:tcBorders>
            <w:vAlign w:val="center"/>
          </w:tcPr>
          <w:p w14:paraId="48AEB448">
            <w:pPr>
              <w:widowControl/>
              <w:jc w:val="left"/>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维保记录逻辑合格率 =（统计期内通过全部逻辑校验规则的无纸化工单数 / 同期应执行的总维保工单数）×100%</w:t>
            </w:r>
          </w:p>
          <w:p w14:paraId="71471807">
            <w:pPr>
              <w:widowControl/>
              <w:jc w:val="left"/>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以下5项判断规则，有1项未通过，即判定为未通过全部逻辑校验工单。</w:t>
            </w:r>
          </w:p>
          <w:p w14:paraId="4F71B7A2">
            <w:pPr>
              <w:widowControl/>
              <w:jc w:val="left"/>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规则1：单日维保台量超限。一个小组（通常2人）在8～10小时内完成的有效保养台数存在物理上限（一般上限为12台）。依据单位承诺的最低单梯保养时长（如半月保≥30分钟）、合同项目及路程时间，设定单日作业台量上限（例如住宅梯半月保不超过12台）。超出上限的所有工单自动存疑，进入人工复核。</w:t>
            </w:r>
          </w:p>
          <w:p w14:paraId="589E9BB0">
            <w:pPr>
              <w:widowControl/>
              <w:jc w:val="left"/>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规则2：非合理时段作业。常规保养应在正常工作时间进行，深夜或凌晨作业若无提前报备的特殊安排，高度存疑。系统设定标准作业时段（如05:30–23:00），该时段外提交的工单，除非关联已审批的“特殊时段作业申请”，否则直接判定异常。</w:t>
            </w:r>
          </w:p>
          <w:p w14:paraId="57C7A6F9">
            <w:pPr>
              <w:widowControl/>
              <w:jc w:val="left"/>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规则3：维保时长严重不足。依据保养类型预设“最短作业时长”（半月保≥30分钟，年度保≥1小时）。工单签到至签退的净时长若低于阈值，直接判定“作业时长不足”，视同虚假。</w:t>
            </w:r>
          </w:p>
          <w:p w14:paraId="215D77D9">
            <w:pPr>
              <w:widowControl/>
              <w:jc w:val="left"/>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规则4：关键步骤时间缺失或倒置。部分维修/保养步骤须有合理时间间隔。系统在关键操作项上要求员工打时间戳，自动校验先后顺序和间隔。若出现相邻长耗时步骤间隔为0秒，则触发逻辑错误。</w:t>
            </w:r>
          </w:p>
          <w:p w14:paraId="19CB8E0F">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规则5：照片真实性校验。现场照片须与当次维保任务在时间、地点、内容上唯一绑定。重复照片检测：系统对全量工单照片，同一张照片出现在不同时间、不同电梯的工单中，直接判定为假。时间/位置水印核验：照片自带的拍摄时间、GPS位置须与工单签到时间、电子围栏位置一致。内容逻辑判断：AI识别照片内容，如标记为“制动器已清洁”的照片经识别表面仍有明显油污，则触发“图文不符”报警。</w:t>
            </w:r>
          </w:p>
        </w:tc>
      </w:tr>
      <w:tr w14:paraId="18531C5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12" w:hRule="atLeast"/>
        </w:trPr>
        <w:tc>
          <w:tcPr>
            <w:tcW w:w="207" w:type="pct"/>
            <w:vMerge w:val="continue"/>
            <w:tcBorders>
              <w:right w:val="single" w:color="000000" w:sz="4" w:space="0"/>
            </w:tcBorders>
            <w:vAlign w:val="center"/>
          </w:tcPr>
          <w:p w14:paraId="25D613DF">
            <w:pPr>
              <w:rPr>
                <w:rFonts w:hint="default" w:ascii="Times New Roman" w:hAnsi="Times New Roman" w:eastAsia="仿宋_GB2312" w:cs="Times New Roman"/>
                <w:szCs w:val="21"/>
              </w:rPr>
            </w:pPr>
          </w:p>
        </w:tc>
        <w:tc>
          <w:tcPr>
            <w:tcW w:w="399" w:type="pct"/>
            <w:tcBorders>
              <w:top w:val="single" w:color="000000" w:sz="4" w:space="0"/>
              <w:left w:val="single" w:color="000000" w:sz="4" w:space="0"/>
              <w:bottom w:val="single" w:color="000000" w:sz="4" w:space="0"/>
              <w:right w:val="single" w:color="auto" w:sz="12" w:space="0"/>
            </w:tcBorders>
            <w:vAlign w:val="center"/>
          </w:tcPr>
          <w:p w14:paraId="20C50C88">
            <w:pPr>
              <w:widowControl/>
              <w:jc w:val="left"/>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szCs w:val="21"/>
              </w:rPr>
              <w:t>12.不良维保记分</w:t>
            </w:r>
          </w:p>
        </w:tc>
        <w:tc>
          <w:tcPr>
            <w:tcW w:w="1432" w:type="pct"/>
            <w:tcBorders>
              <w:top w:val="single" w:color="000000" w:sz="4" w:space="0"/>
              <w:left w:val="single" w:color="auto" w:sz="12" w:space="0"/>
              <w:bottom w:val="single" w:color="000000" w:sz="4" w:space="0"/>
              <w:right w:val="single" w:color="000000" w:sz="4" w:space="0"/>
            </w:tcBorders>
            <w:vAlign w:val="center"/>
          </w:tcPr>
          <w:p w14:paraId="427E91ED">
            <w:pPr>
              <w:widowControl/>
              <w:jc w:val="left"/>
              <w:rPr>
                <w:rFonts w:hint="default" w:ascii="Times New Roman" w:hAnsi="Times New Roman" w:eastAsia="仿宋_GB2312" w:cs="Times New Roman"/>
                <w:szCs w:val="21"/>
              </w:rPr>
            </w:pPr>
            <w:r>
              <w:rPr>
                <w:rFonts w:hint="default" w:ascii="Times New Roman" w:hAnsi="Times New Roman" w:eastAsia="仿宋_GB2312" w:cs="Times New Roman"/>
                <w:szCs w:val="21"/>
              </w:rPr>
              <w:t>万台不良维保记分值51–200扣1分，201–400扣2分，401–800扣3分。万台监管记分值超过800，直接定义D级。</w:t>
            </w:r>
          </w:p>
        </w:tc>
        <w:tc>
          <w:tcPr>
            <w:tcW w:w="275" w:type="pct"/>
            <w:tcBorders>
              <w:top w:val="single" w:color="000000" w:sz="4" w:space="0"/>
              <w:left w:val="single" w:color="000000" w:sz="4" w:space="0"/>
              <w:bottom w:val="single" w:color="000000" w:sz="4" w:space="0"/>
              <w:right w:val="single" w:color="000000" w:sz="4" w:space="0"/>
            </w:tcBorders>
            <w:vAlign w:val="center"/>
          </w:tcPr>
          <w:p w14:paraId="0CB106BF">
            <w:pPr>
              <w:widowControl/>
              <w:jc w:val="center"/>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市</w:t>
            </w:r>
          </w:p>
        </w:tc>
        <w:tc>
          <w:tcPr>
            <w:tcW w:w="363" w:type="pct"/>
            <w:tcBorders>
              <w:top w:val="single" w:color="000000" w:sz="4" w:space="0"/>
              <w:left w:val="single" w:color="000000" w:sz="4" w:space="0"/>
              <w:bottom w:val="single" w:color="000000" w:sz="4" w:space="0"/>
              <w:right w:val="single" w:color="auto" w:sz="12" w:space="0"/>
            </w:tcBorders>
            <w:vAlign w:val="center"/>
          </w:tcPr>
          <w:p w14:paraId="7E5C7219">
            <w:pPr>
              <w:widowControl/>
              <w:jc w:val="center"/>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系统数据</w:t>
            </w:r>
          </w:p>
        </w:tc>
        <w:tc>
          <w:tcPr>
            <w:tcW w:w="2322" w:type="pct"/>
            <w:tcBorders>
              <w:top w:val="single" w:color="000000" w:sz="4" w:space="0"/>
              <w:left w:val="single" w:color="auto" w:sz="12" w:space="0"/>
              <w:bottom w:val="single" w:color="000000" w:sz="4" w:space="0"/>
            </w:tcBorders>
            <w:vAlign w:val="center"/>
          </w:tcPr>
          <w:p w14:paraId="3B92296F">
            <w:pPr>
              <w:rPr>
                <w:rFonts w:hint="default" w:ascii="Times New Roman" w:hAnsi="Times New Roman" w:eastAsia="仿宋_GB2312" w:cs="Times New Roman"/>
                <w:szCs w:val="21"/>
              </w:rPr>
            </w:pPr>
            <w:r>
              <w:rPr>
                <w:rFonts w:hint="default" w:ascii="Times New Roman" w:hAnsi="Times New Roman" w:eastAsia="仿宋_GB2312" w:cs="Times New Roman"/>
                <w:szCs w:val="21"/>
              </w:rPr>
              <w:t>万台不良维保记分值 =（统计期内该单位所有维保人员被监管部门记分总和 / 该单位在保电梯总台数）×10 000</w:t>
            </w:r>
          </w:p>
          <w:p w14:paraId="714C6701">
            <w:pPr>
              <w:rPr>
                <w:rFonts w:hint="default" w:ascii="Times New Roman" w:hAnsi="Times New Roman" w:eastAsia="仿宋_GB2312" w:cs="Times New Roman"/>
                <w:szCs w:val="21"/>
              </w:rPr>
            </w:pPr>
            <w:r>
              <w:rPr>
                <w:rFonts w:hint="default" w:ascii="Times New Roman" w:hAnsi="Times New Roman" w:eastAsia="仿宋_GB2312" w:cs="Times New Roman"/>
                <w:szCs w:val="21"/>
              </w:rPr>
              <w:t>示例：A公司维保1 000台梯，年度被记30分，万台均记分值=300；</w:t>
            </w:r>
          </w:p>
          <w:p w14:paraId="1B188FD8">
            <w:pPr>
              <w:widowControl/>
              <w:jc w:val="left"/>
              <w:rPr>
                <w:rStyle w:val="40"/>
                <w:rFonts w:hint="default" w:ascii="Times New Roman" w:hAnsi="Times New Roman" w:eastAsia="仿宋_GB2312" w:cs="Times New Roman"/>
                <w:color w:val="auto"/>
                <w:sz w:val="21"/>
                <w:szCs w:val="21"/>
                <w:lang w:bidi="ar"/>
              </w:rPr>
            </w:pPr>
            <w:r>
              <w:rPr>
                <w:rFonts w:hint="default" w:ascii="Times New Roman" w:hAnsi="Times New Roman" w:eastAsia="仿宋_GB2312" w:cs="Times New Roman"/>
                <w:szCs w:val="21"/>
              </w:rPr>
              <w:t>B公司维保200台梯，被记10分，万台均记分值=500。</w:t>
            </w:r>
          </w:p>
        </w:tc>
      </w:tr>
      <w:tr w14:paraId="2D61034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84" w:hRule="atLeast"/>
        </w:trPr>
        <w:tc>
          <w:tcPr>
            <w:tcW w:w="207" w:type="pct"/>
            <w:vMerge w:val="continue"/>
            <w:tcBorders>
              <w:bottom w:val="single" w:color="auto" w:sz="12" w:space="0"/>
              <w:right w:val="single" w:color="000000" w:sz="4" w:space="0"/>
            </w:tcBorders>
            <w:vAlign w:val="center"/>
          </w:tcPr>
          <w:p w14:paraId="4772613C">
            <w:pPr>
              <w:rPr>
                <w:rFonts w:hint="default" w:ascii="Times New Roman" w:hAnsi="Times New Roman" w:eastAsia="仿宋_GB2312" w:cs="Times New Roman"/>
                <w:szCs w:val="21"/>
              </w:rPr>
            </w:pPr>
          </w:p>
        </w:tc>
        <w:tc>
          <w:tcPr>
            <w:tcW w:w="399" w:type="pct"/>
            <w:tcBorders>
              <w:top w:val="single" w:color="000000" w:sz="4" w:space="0"/>
              <w:left w:val="single" w:color="000000" w:sz="4" w:space="0"/>
              <w:bottom w:val="single" w:color="auto" w:sz="12" w:space="0"/>
              <w:right w:val="single" w:color="auto" w:sz="12" w:space="0"/>
            </w:tcBorders>
            <w:vAlign w:val="center"/>
          </w:tcPr>
          <w:p w14:paraId="0A0926C6">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13.电梯运行质量</w:t>
            </w:r>
          </w:p>
        </w:tc>
        <w:tc>
          <w:tcPr>
            <w:tcW w:w="1432" w:type="pct"/>
            <w:tcBorders>
              <w:top w:val="single" w:color="000000" w:sz="4" w:space="0"/>
              <w:left w:val="single" w:color="auto" w:sz="12" w:space="0"/>
              <w:bottom w:val="single" w:color="auto" w:sz="12" w:space="0"/>
              <w:right w:val="single" w:color="000000" w:sz="4" w:space="0"/>
            </w:tcBorders>
            <w:vAlign w:val="center"/>
          </w:tcPr>
          <w:p w14:paraId="1C212398">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市场监督管理部门在投诉举报核查、媒体曝光核查中发现，因维护保养单位原因导致电梯故障或者电梯故障率高的，一次扣2分，最多扣4分；</w:t>
            </w:r>
          </w:p>
        </w:tc>
        <w:tc>
          <w:tcPr>
            <w:tcW w:w="275" w:type="pct"/>
            <w:tcBorders>
              <w:top w:val="single" w:color="000000" w:sz="4" w:space="0"/>
              <w:left w:val="single" w:color="000000" w:sz="4" w:space="0"/>
              <w:bottom w:val="single" w:color="auto" w:sz="12" w:space="0"/>
              <w:right w:val="single" w:color="000000" w:sz="4" w:space="0"/>
            </w:tcBorders>
            <w:vAlign w:val="center"/>
          </w:tcPr>
          <w:p w14:paraId="3E5F3165">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市/市（区）</w:t>
            </w:r>
          </w:p>
        </w:tc>
        <w:tc>
          <w:tcPr>
            <w:tcW w:w="363" w:type="pct"/>
            <w:tcBorders>
              <w:top w:val="single" w:color="000000" w:sz="4" w:space="0"/>
              <w:left w:val="single" w:color="000000" w:sz="4" w:space="0"/>
              <w:bottom w:val="single" w:color="auto" w:sz="12" w:space="0"/>
              <w:right w:val="single" w:color="auto" w:sz="12" w:space="0"/>
            </w:tcBorders>
            <w:vAlign w:val="center"/>
          </w:tcPr>
          <w:p w14:paraId="64F6CBDA">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系统数据</w:t>
            </w:r>
          </w:p>
        </w:tc>
        <w:tc>
          <w:tcPr>
            <w:tcW w:w="2322" w:type="pct"/>
            <w:tcBorders>
              <w:top w:val="single" w:color="000000" w:sz="4" w:space="0"/>
              <w:left w:val="single" w:color="auto" w:sz="12" w:space="0"/>
              <w:bottom w:val="single" w:color="auto" w:sz="12" w:space="0"/>
            </w:tcBorders>
            <w:vAlign w:val="center"/>
          </w:tcPr>
          <w:p w14:paraId="6AF75411">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各级市场监督管理部门将投诉举报、媒体曝光相关数据录入96333系统。</w:t>
            </w:r>
          </w:p>
        </w:tc>
      </w:tr>
      <w:tr w14:paraId="7DFEED8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207" w:type="pct"/>
            <w:vMerge w:val="restart"/>
            <w:tcBorders>
              <w:top w:val="single" w:color="auto" w:sz="12" w:space="0"/>
              <w:right w:val="single" w:color="000000" w:sz="4" w:space="0"/>
            </w:tcBorders>
            <w:vAlign w:val="center"/>
          </w:tcPr>
          <w:p w14:paraId="7DC7218A">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四、应急救援信息</w:t>
            </w:r>
          </w:p>
        </w:tc>
        <w:tc>
          <w:tcPr>
            <w:tcW w:w="399" w:type="pct"/>
            <w:tcBorders>
              <w:top w:val="single" w:color="auto" w:sz="12" w:space="0"/>
              <w:left w:val="single" w:color="000000" w:sz="4" w:space="0"/>
              <w:bottom w:val="single" w:color="000000" w:sz="4" w:space="0"/>
              <w:right w:val="single" w:color="auto" w:sz="12" w:space="0"/>
            </w:tcBorders>
            <w:vAlign w:val="center"/>
          </w:tcPr>
          <w:p w14:paraId="5B5EA32B">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14.救援响应</w:t>
            </w:r>
          </w:p>
        </w:tc>
        <w:tc>
          <w:tcPr>
            <w:tcW w:w="1432" w:type="pct"/>
            <w:tcBorders>
              <w:top w:val="single" w:color="auto" w:sz="12" w:space="0"/>
              <w:left w:val="single" w:color="auto" w:sz="12" w:space="0"/>
              <w:bottom w:val="single" w:color="000000" w:sz="4" w:space="0"/>
              <w:right w:val="single" w:color="000000" w:sz="4" w:space="0"/>
            </w:tcBorders>
            <w:vAlign w:val="center"/>
          </w:tcPr>
          <w:p w14:paraId="58A68229">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维护保养单位未响应96333平台救援调度导致启动网格救援的，一次扣1分，最多扣10分</w:t>
            </w:r>
          </w:p>
        </w:tc>
        <w:tc>
          <w:tcPr>
            <w:tcW w:w="275" w:type="pct"/>
            <w:tcBorders>
              <w:top w:val="single" w:color="auto" w:sz="12" w:space="0"/>
              <w:left w:val="single" w:color="000000" w:sz="4" w:space="0"/>
              <w:bottom w:val="single" w:color="000000" w:sz="4" w:space="0"/>
              <w:right w:val="single" w:color="000000" w:sz="4" w:space="0"/>
            </w:tcBorders>
            <w:vAlign w:val="center"/>
          </w:tcPr>
          <w:p w14:paraId="06DC3B0F">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w:t>
            </w:r>
          </w:p>
        </w:tc>
        <w:tc>
          <w:tcPr>
            <w:tcW w:w="363" w:type="pct"/>
            <w:vMerge w:val="restart"/>
            <w:tcBorders>
              <w:top w:val="single" w:color="auto" w:sz="12" w:space="0"/>
              <w:left w:val="single" w:color="000000" w:sz="4" w:space="0"/>
              <w:right w:val="single" w:color="auto" w:sz="12" w:space="0"/>
            </w:tcBorders>
            <w:vAlign w:val="center"/>
          </w:tcPr>
          <w:p w14:paraId="49D271F6">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96333平台数据</w:t>
            </w:r>
          </w:p>
        </w:tc>
        <w:tc>
          <w:tcPr>
            <w:tcW w:w="2322" w:type="pct"/>
            <w:tcBorders>
              <w:top w:val="single" w:color="auto" w:sz="12" w:space="0"/>
              <w:left w:val="single" w:color="auto" w:sz="12" w:space="0"/>
              <w:bottom w:val="single" w:color="000000" w:sz="4" w:space="0"/>
            </w:tcBorders>
            <w:vAlign w:val="center"/>
          </w:tcPr>
          <w:p w14:paraId="296AB718">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人工评分、各市96333平台情况说明</w:t>
            </w:r>
          </w:p>
        </w:tc>
      </w:tr>
      <w:tr w14:paraId="5F176E0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207" w:type="pct"/>
            <w:vMerge w:val="continue"/>
            <w:tcBorders>
              <w:right w:val="single" w:color="000000" w:sz="4" w:space="0"/>
            </w:tcBorders>
            <w:vAlign w:val="center"/>
          </w:tcPr>
          <w:p w14:paraId="37EC589F">
            <w:pPr>
              <w:rPr>
                <w:rFonts w:hint="default" w:ascii="Times New Roman" w:hAnsi="Times New Roman" w:eastAsia="仿宋_GB2312" w:cs="Times New Roman"/>
                <w:szCs w:val="21"/>
              </w:rPr>
            </w:pPr>
          </w:p>
        </w:tc>
        <w:tc>
          <w:tcPr>
            <w:tcW w:w="399" w:type="pct"/>
            <w:tcBorders>
              <w:top w:val="single" w:color="000000" w:sz="4" w:space="0"/>
              <w:left w:val="single" w:color="000000" w:sz="4" w:space="0"/>
              <w:bottom w:val="single" w:color="000000" w:sz="4" w:space="0"/>
              <w:right w:val="single" w:color="auto" w:sz="12" w:space="0"/>
            </w:tcBorders>
            <w:vAlign w:val="center"/>
          </w:tcPr>
          <w:p w14:paraId="0110A54E">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15.救援处置</w:t>
            </w:r>
          </w:p>
        </w:tc>
        <w:tc>
          <w:tcPr>
            <w:tcW w:w="1432" w:type="pct"/>
            <w:tcBorders>
              <w:top w:val="single" w:color="000000" w:sz="4" w:space="0"/>
              <w:left w:val="single" w:color="auto" w:sz="12" w:space="0"/>
              <w:bottom w:val="single" w:color="000000" w:sz="4" w:space="0"/>
              <w:right w:val="single" w:color="000000" w:sz="4" w:space="0"/>
            </w:tcBorders>
            <w:vAlign w:val="center"/>
          </w:tcPr>
          <w:p w14:paraId="76A25722">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维护保养单位未及时将应急救援和故障排除情况反馈到96333平台或反馈情况与实际不符的，一次扣1分，最多扣4分；</w:t>
            </w:r>
          </w:p>
        </w:tc>
        <w:tc>
          <w:tcPr>
            <w:tcW w:w="275" w:type="pct"/>
            <w:tcBorders>
              <w:top w:val="single" w:color="000000" w:sz="4" w:space="0"/>
              <w:left w:val="single" w:color="000000" w:sz="4" w:space="0"/>
              <w:bottom w:val="single" w:color="000000" w:sz="4" w:space="0"/>
              <w:right w:val="single" w:color="000000" w:sz="4" w:space="0"/>
            </w:tcBorders>
            <w:vAlign w:val="center"/>
          </w:tcPr>
          <w:p w14:paraId="4CF59D3A">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w:t>
            </w:r>
          </w:p>
        </w:tc>
        <w:tc>
          <w:tcPr>
            <w:tcW w:w="363" w:type="pct"/>
            <w:vMerge w:val="continue"/>
            <w:tcBorders>
              <w:left w:val="single" w:color="000000" w:sz="4" w:space="0"/>
              <w:right w:val="single" w:color="auto" w:sz="12" w:space="0"/>
            </w:tcBorders>
            <w:vAlign w:val="center"/>
          </w:tcPr>
          <w:p w14:paraId="059D926A">
            <w:pPr>
              <w:jc w:val="center"/>
              <w:rPr>
                <w:rFonts w:hint="default" w:ascii="Times New Roman" w:hAnsi="Times New Roman" w:eastAsia="仿宋_GB2312" w:cs="Times New Roman"/>
                <w:szCs w:val="21"/>
              </w:rPr>
            </w:pPr>
          </w:p>
        </w:tc>
        <w:tc>
          <w:tcPr>
            <w:tcW w:w="2322" w:type="pct"/>
            <w:tcBorders>
              <w:top w:val="single" w:color="000000" w:sz="4" w:space="0"/>
              <w:left w:val="single" w:color="auto" w:sz="12" w:space="0"/>
              <w:bottom w:val="single" w:color="000000" w:sz="4" w:space="0"/>
            </w:tcBorders>
            <w:vAlign w:val="center"/>
          </w:tcPr>
          <w:p w14:paraId="0906A5E8">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人工评分、各市96333平台情况说明</w:t>
            </w:r>
          </w:p>
        </w:tc>
      </w:tr>
      <w:tr w14:paraId="0B90F99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207" w:type="pct"/>
            <w:vMerge w:val="continue"/>
            <w:tcBorders>
              <w:bottom w:val="single" w:color="000000" w:sz="4" w:space="0"/>
              <w:right w:val="single" w:color="000000" w:sz="4" w:space="0"/>
            </w:tcBorders>
            <w:vAlign w:val="center"/>
          </w:tcPr>
          <w:p w14:paraId="20E3E319">
            <w:pPr>
              <w:rPr>
                <w:rFonts w:hint="default" w:ascii="Times New Roman" w:hAnsi="Times New Roman" w:eastAsia="仿宋_GB2312" w:cs="Times New Roman"/>
                <w:szCs w:val="21"/>
              </w:rPr>
            </w:pPr>
          </w:p>
        </w:tc>
        <w:tc>
          <w:tcPr>
            <w:tcW w:w="399" w:type="pct"/>
            <w:tcBorders>
              <w:left w:val="single" w:color="000000" w:sz="4" w:space="0"/>
              <w:right w:val="single" w:color="auto" w:sz="12" w:space="0"/>
            </w:tcBorders>
            <w:vAlign w:val="center"/>
          </w:tcPr>
          <w:p w14:paraId="618BFB8A">
            <w:pPr>
              <w:widowControl/>
              <w:jc w:val="center"/>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16.维修响应及时率</w:t>
            </w:r>
          </w:p>
        </w:tc>
        <w:tc>
          <w:tcPr>
            <w:tcW w:w="1432" w:type="pct"/>
            <w:tcBorders>
              <w:top w:val="single" w:color="000000" w:sz="4" w:space="0"/>
              <w:left w:val="single" w:color="auto" w:sz="12" w:space="0"/>
              <w:bottom w:val="single" w:color="000000" w:sz="4" w:space="0"/>
              <w:right w:val="single" w:color="000000" w:sz="4" w:space="0"/>
            </w:tcBorders>
            <w:vAlign w:val="center"/>
          </w:tcPr>
          <w:p w14:paraId="523DC595">
            <w:pPr>
              <w:widowControl/>
              <w:jc w:val="left"/>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维修响应及时率低于98%且高于95%的，扣2分，低于95%的，扣4分，最多扣4分</w:t>
            </w:r>
          </w:p>
        </w:tc>
        <w:tc>
          <w:tcPr>
            <w:tcW w:w="275" w:type="pct"/>
            <w:tcBorders>
              <w:top w:val="single" w:color="000000" w:sz="4" w:space="0"/>
              <w:left w:val="single" w:color="000000" w:sz="4" w:space="0"/>
              <w:bottom w:val="single" w:color="000000" w:sz="4" w:space="0"/>
              <w:right w:val="single" w:color="000000" w:sz="4" w:space="0"/>
            </w:tcBorders>
            <w:vAlign w:val="center"/>
          </w:tcPr>
          <w:p w14:paraId="26D1C6EA">
            <w:pPr>
              <w:widowControl/>
              <w:jc w:val="center"/>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市</w:t>
            </w:r>
          </w:p>
        </w:tc>
        <w:tc>
          <w:tcPr>
            <w:tcW w:w="363" w:type="pct"/>
            <w:vMerge w:val="continue"/>
            <w:tcBorders>
              <w:left w:val="single" w:color="000000" w:sz="4" w:space="0"/>
              <w:bottom w:val="single" w:color="000000" w:sz="4" w:space="0"/>
              <w:right w:val="single" w:color="auto" w:sz="12" w:space="0"/>
            </w:tcBorders>
            <w:vAlign w:val="center"/>
          </w:tcPr>
          <w:p w14:paraId="58C8B40E">
            <w:pPr>
              <w:jc w:val="center"/>
              <w:rPr>
                <w:rFonts w:hint="default" w:ascii="Times New Roman" w:hAnsi="Times New Roman" w:eastAsia="仿宋_GB2312" w:cs="Times New Roman"/>
                <w:szCs w:val="21"/>
              </w:rPr>
            </w:pPr>
          </w:p>
        </w:tc>
        <w:tc>
          <w:tcPr>
            <w:tcW w:w="2322" w:type="pct"/>
            <w:tcBorders>
              <w:top w:val="single" w:color="000000" w:sz="4" w:space="0"/>
              <w:left w:val="single" w:color="auto" w:sz="12" w:space="0"/>
              <w:bottom w:val="single" w:color="000000" w:sz="4" w:space="0"/>
            </w:tcBorders>
            <w:vAlign w:val="center"/>
          </w:tcPr>
          <w:p w14:paraId="26B06E01">
            <w:pPr>
              <w:widowControl/>
              <w:jc w:val="left"/>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维修响应及时率 =维修响应在规定时限的工单数 / 有效工单总数× 100%</w:t>
            </w:r>
          </w:p>
          <w:p w14:paraId="5978EBF0">
            <w:pPr>
              <w:widowControl/>
              <w:jc w:val="left"/>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维修响应在规定时限的工单数=维修响应时间小于4个小时的工单数；</w:t>
            </w:r>
          </w:p>
          <w:p w14:paraId="0F002C49">
            <w:pPr>
              <w:widowControl/>
              <w:jc w:val="left"/>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维修响应时间=T2-T1；</w:t>
            </w:r>
          </w:p>
          <w:p w14:paraId="14AF94AF">
            <w:pPr>
              <w:widowControl/>
              <w:jc w:val="left"/>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T1：困人报警时间，96333平台接到报警并生成工单的系统时间</w:t>
            </w:r>
            <w:r>
              <w:rPr>
                <w:rFonts w:hint="default" w:ascii="Times New Roman" w:hAnsi="Times New Roman" w:eastAsia="仿宋_GB2312" w:cs="Times New Roman"/>
                <w:kern w:val="0"/>
                <w:szCs w:val="21"/>
                <w:lang w:bidi="ar"/>
              </w:rPr>
              <w:tab/>
            </w:r>
            <w:r>
              <w:rPr>
                <w:rFonts w:hint="default" w:ascii="Times New Roman" w:hAnsi="Times New Roman" w:eastAsia="仿宋_GB2312" w:cs="Times New Roman"/>
                <w:kern w:val="0"/>
                <w:szCs w:val="21"/>
                <w:lang w:bidi="ar"/>
              </w:rPr>
              <w:t>计算到场用时起点</w:t>
            </w:r>
          </w:p>
          <w:p w14:paraId="2EE7BED7">
            <w:pPr>
              <w:widowControl/>
              <w:jc w:val="left"/>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T2：到场时间，维保人员到达现场后，扫描电梯应急救援标识牌上的唯一二维码自动生成，不可补扫或修改</w:t>
            </w:r>
            <w:r>
              <w:rPr>
                <w:rFonts w:hint="default" w:ascii="Times New Roman" w:hAnsi="Times New Roman" w:eastAsia="仿宋_GB2312" w:cs="Times New Roman"/>
                <w:kern w:val="0"/>
                <w:szCs w:val="21"/>
                <w:lang w:bidi="ar"/>
              </w:rPr>
              <w:tab/>
            </w:r>
            <w:r>
              <w:rPr>
                <w:rFonts w:hint="default" w:ascii="Times New Roman" w:hAnsi="Times New Roman" w:eastAsia="仿宋_GB2312" w:cs="Times New Roman"/>
                <w:kern w:val="0"/>
                <w:szCs w:val="21"/>
                <w:lang w:bidi="ar"/>
              </w:rPr>
              <w:t>计算到场用时</w:t>
            </w:r>
          </w:p>
        </w:tc>
      </w:tr>
      <w:tr w14:paraId="0E6E406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07" w:type="pct"/>
            <w:vMerge w:val="restart"/>
            <w:tcBorders>
              <w:top w:val="single" w:color="000000" w:sz="4" w:space="0"/>
              <w:bottom w:val="single" w:color="000000" w:sz="4" w:space="0"/>
              <w:right w:val="single" w:color="000000" w:sz="4" w:space="0"/>
            </w:tcBorders>
            <w:vAlign w:val="center"/>
          </w:tcPr>
          <w:p w14:paraId="53C444F6">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五、加分项</w:t>
            </w:r>
          </w:p>
        </w:tc>
        <w:tc>
          <w:tcPr>
            <w:tcW w:w="399" w:type="pct"/>
            <w:tcBorders>
              <w:top w:val="single" w:color="000000" w:sz="4" w:space="0"/>
              <w:left w:val="single" w:color="000000" w:sz="4" w:space="0"/>
              <w:bottom w:val="single" w:color="000000" w:sz="4" w:space="0"/>
              <w:right w:val="single" w:color="auto" w:sz="12" w:space="0"/>
            </w:tcBorders>
            <w:vAlign w:val="center"/>
          </w:tcPr>
          <w:p w14:paraId="2B967E2A">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17.政府表彰</w:t>
            </w:r>
          </w:p>
        </w:tc>
        <w:tc>
          <w:tcPr>
            <w:tcW w:w="1432" w:type="pct"/>
            <w:tcBorders>
              <w:top w:val="single" w:color="000000" w:sz="4" w:space="0"/>
              <w:left w:val="single" w:color="auto" w:sz="12" w:space="0"/>
              <w:bottom w:val="single" w:color="000000" w:sz="4" w:space="0"/>
              <w:right w:val="single" w:color="000000" w:sz="4" w:space="0"/>
            </w:tcBorders>
            <w:vAlign w:val="center"/>
          </w:tcPr>
          <w:p w14:paraId="4772E135">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获得以下表彰的，由市局酌情加分，最高5分。</w:t>
            </w:r>
            <w:r>
              <w:rPr>
                <w:rFonts w:hint="default" w:ascii="Times New Roman" w:hAnsi="Times New Roman" w:eastAsia="仿宋_GB2312" w:cs="Times New Roman"/>
                <w:kern w:val="0"/>
                <w:szCs w:val="21"/>
                <w:lang w:bidi="ar"/>
              </w:rPr>
              <w:br w:type="textWrapping"/>
            </w:r>
            <w:r>
              <w:rPr>
                <w:rFonts w:hint="default" w:ascii="Times New Roman" w:hAnsi="Times New Roman" w:eastAsia="仿宋_GB2312" w:cs="Times New Roman"/>
                <w:kern w:val="0"/>
                <w:szCs w:val="21"/>
                <w:lang w:bidi="ar"/>
              </w:rPr>
              <w:t>（1）获得市级以上市场监督管理、应急管理、住房建设等政府部门通报表彰、嘉奖；</w:t>
            </w:r>
            <w:r>
              <w:rPr>
                <w:rFonts w:hint="default" w:ascii="Times New Roman" w:hAnsi="Times New Roman" w:eastAsia="仿宋_GB2312" w:cs="Times New Roman"/>
                <w:kern w:val="0"/>
                <w:szCs w:val="21"/>
                <w:lang w:bidi="ar"/>
              </w:rPr>
              <w:br w:type="textWrapping"/>
            </w:r>
            <w:r>
              <w:rPr>
                <w:rFonts w:hint="default" w:ascii="Times New Roman" w:hAnsi="Times New Roman" w:eastAsia="仿宋_GB2312" w:cs="Times New Roman"/>
                <w:kern w:val="0"/>
                <w:szCs w:val="21"/>
                <w:lang w:bidi="ar"/>
              </w:rPr>
              <w:t>（2）获评各级政府质量奖、安全示范单位、先进单位等荣誉的；</w:t>
            </w:r>
            <w:r>
              <w:rPr>
                <w:rFonts w:hint="default" w:ascii="Times New Roman" w:hAnsi="Times New Roman" w:eastAsia="仿宋_GB2312" w:cs="Times New Roman"/>
                <w:kern w:val="0"/>
                <w:szCs w:val="21"/>
                <w:lang w:bidi="ar"/>
              </w:rPr>
              <w:br w:type="textWrapping"/>
            </w:r>
            <w:r>
              <w:rPr>
                <w:rFonts w:hint="default" w:ascii="Times New Roman" w:hAnsi="Times New Roman" w:eastAsia="仿宋_GB2312" w:cs="Times New Roman"/>
                <w:kern w:val="0"/>
                <w:szCs w:val="21"/>
                <w:lang w:bidi="ar"/>
              </w:rPr>
              <w:t>（3）参与政府应急保障、重大活动电梯安全保障任务并获肯定；</w:t>
            </w:r>
            <w:r>
              <w:rPr>
                <w:rFonts w:hint="default" w:ascii="Times New Roman" w:hAnsi="Times New Roman" w:eastAsia="仿宋_GB2312" w:cs="Times New Roman"/>
                <w:kern w:val="0"/>
                <w:szCs w:val="21"/>
                <w:lang w:bidi="ar"/>
              </w:rPr>
              <w:br w:type="textWrapping"/>
            </w:r>
            <w:r>
              <w:rPr>
                <w:rFonts w:hint="default" w:ascii="Times New Roman" w:hAnsi="Times New Roman" w:eastAsia="仿宋_GB2312" w:cs="Times New Roman"/>
                <w:kern w:val="0"/>
                <w:szCs w:val="21"/>
                <w:lang w:bidi="ar"/>
              </w:rPr>
              <w:t>（4）因电梯维保安全管理成效突出被政府部门专项表扬；</w:t>
            </w:r>
          </w:p>
        </w:tc>
        <w:tc>
          <w:tcPr>
            <w:tcW w:w="275" w:type="pct"/>
            <w:tcBorders>
              <w:top w:val="single" w:color="000000" w:sz="4" w:space="0"/>
              <w:left w:val="single" w:color="000000" w:sz="4" w:space="0"/>
              <w:bottom w:val="single" w:color="000000" w:sz="4" w:space="0"/>
              <w:right w:val="single" w:color="000000" w:sz="4" w:space="0"/>
            </w:tcBorders>
            <w:vAlign w:val="center"/>
          </w:tcPr>
          <w:p w14:paraId="1D3680D4">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w:t>
            </w:r>
          </w:p>
        </w:tc>
        <w:tc>
          <w:tcPr>
            <w:tcW w:w="363" w:type="pct"/>
            <w:vMerge w:val="restart"/>
            <w:tcBorders>
              <w:top w:val="single" w:color="000000" w:sz="4" w:space="0"/>
              <w:left w:val="single" w:color="000000" w:sz="4" w:space="0"/>
              <w:right w:val="single" w:color="auto" w:sz="12" w:space="0"/>
            </w:tcBorders>
            <w:vAlign w:val="center"/>
          </w:tcPr>
          <w:p w14:paraId="4EF8FEEF">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市级认定材料</w:t>
            </w:r>
          </w:p>
        </w:tc>
        <w:tc>
          <w:tcPr>
            <w:tcW w:w="2322" w:type="pct"/>
            <w:tcBorders>
              <w:top w:val="single" w:color="000000" w:sz="4" w:space="0"/>
              <w:left w:val="single" w:color="auto" w:sz="12" w:space="0"/>
              <w:bottom w:val="single" w:color="000000" w:sz="4" w:space="0"/>
            </w:tcBorders>
            <w:vAlign w:val="center"/>
          </w:tcPr>
          <w:p w14:paraId="41590053">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人工评分、表彰证书、发文</w:t>
            </w:r>
          </w:p>
        </w:tc>
      </w:tr>
      <w:tr w14:paraId="36FB2B1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956" w:hRule="atLeast"/>
        </w:trPr>
        <w:tc>
          <w:tcPr>
            <w:tcW w:w="207" w:type="pct"/>
            <w:vMerge w:val="continue"/>
            <w:tcBorders>
              <w:top w:val="single" w:color="000000" w:sz="4" w:space="0"/>
              <w:bottom w:val="single" w:color="000000" w:sz="4" w:space="0"/>
              <w:right w:val="single" w:color="000000" w:sz="4" w:space="0"/>
            </w:tcBorders>
            <w:vAlign w:val="center"/>
          </w:tcPr>
          <w:p w14:paraId="36A97780">
            <w:pPr>
              <w:jc w:val="center"/>
              <w:rPr>
                <w:rFonts w:hint="default" w:ascii="Times New Roman" w:hAnsi="Times New Roman" w:eastAsia="仿宋_GB2312" w:cs="Times New Roman"/>
                <w:szCs w:val="21"/>
              </w:rPr>
            </w:pPr>
          </w:p>
        </w:tc>
        <w:tc>
          <w:tcPr>
            <w:tcW w:w="399" w:type="pct"/>
            <w:tcBorders>
              <w:top w:val="single" w:color="000000" w:sz="4" w:space="0"/>
              <w:left w:val="single" w:color="000000" w:sz="4" w:space="0"/>
              <w:bottom w:val="single" w:color="000000" w:sz="4" w:space="0"/>
              <w:right w:val="single" w:color="auto" w:sz="12" w:space="0"/>
            </w:tcBorders>
            <w:vAlign w:val="center"/>
          </w:tcPr>
          <w:p w14:paraId="1E5A394D">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18.行业奖励</w:t>
            </w:r>
          </w:p>
        </w:tc>
        <w:tc>
          <w:tcPr>
            <w:tcW w:w="1432" w:type="pct"/>
            <w:tcBorders>
              <w:top w:val="single" w:color="000000" w:sz="4" w:space="0"/>
              <w:left w:val="single" w:color="auto" w:sz="12" w:space="0"/>
              <w:bottom w:val="single" w:color="000000" w:sz="4" w:space="0"/>
              <w:right w:val="single" w:color="000000" w:sz="4" w:space="0"/>
            </w:tcBorders>
            <w:vAlign w:val="center"/>
          </w:tcPr>
          <w:p w14:paraId="0655039C">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获得以下表彰的，由市局酌情加分，最高4分。</w:t>
            </w:r>
            <w:r>
              <w:rPr>
                <w:rFonts w:hint="default" w:ascii="Times New Roman" w:hAnsi="Times New Roman" w:eastAsia="仿宋_GB2312" w:cs="Times New Roman"/>
                <w:kern w:val="0"/>
                <w:szCs w:val="21"/>
                <w:lang w:bidi="ar"/>
              </w:rPr>
              <w:br w:type="textWrapping"/>
            </w:r>
            <w:r>
              <w:rPr>
                <w:rFonts w:hint="default" w:ascii="Times New Roman" w:hAnsi="Times New Roman" w:eastAsia="仿宋_GB2312" w:cs="Times New Roman"/>
                <w:kern w:val="0"/>
                <w:szCs w:val="21"/>
                <w:lang w:bidi="ar"/>
              </w:rPr>
              <w:t>（1）获得市级以上电梯行业协会、特种设备行业组织评选的优秀单位奖项。</w:t>
            </w:r>
            <w:r>
              <w:rPr>
                <w:rFonts w:hint="default" w:ascii="Times New Roman" w:hAnsi="Times New Roman" w:eastAsia="仿宋_GB2312" w:cs="Times New Roman"/>
                <w:kern w:val="0"/>
                <w:szCs w:val="21"/>
                <w:lang w:bidi="ar"/>
              </w:rPr>
              <w:br w:type="textWrapping"/>
            </w:r>
            <w:r>
              <w:rPr>
                <w:rFonts w:hint="default" w:ascii="Times New Roman" w:hAnsi="Times New Roman" w:eastAsia="仿宋_GB2312" w:cs="Times New Roman"/>
                <w:kern w:val="0"/>
                <w:szCs w:val="21"/>
                <w:lang w:bidi="ar"/>
              </w:rPr>
              <w:t>（2）获得市级以上维保技能竞赛、比武名次及表彰。</w:t>
            </w:r>
          </w:p>
        </w:tc>
        <w:tc>
          <w:tcPr>
            <w:tcW w:w="275" w:type="pct"/>
            <w:tcBorders>
              <w:top w:val="single" w:color="000000" w:sz="4" w:space="0"/>
              <w:left w:val="single" w:color="000000" w:sz="4" w:space="0"/>
              <w:bottom w:val="single" w:color="000000" w:sz="4" w:space="0"/>
              <w:right w:val="single" w:color="000000" w:sz="4" w:space="0"/>
            </w:tcBorders>
            <w:vAlign w:val="center"/>
          </w:tcPr>
          <w:p w14:paraId="067839D6">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w:t>
            </w:r>
          </w:p>
        </w:tc>
        <w:tc>
          <w:tcPr>
            <w:tcW w:w="363" w:type="pct"/>
            <w:vMerge w:val="continue"/>
            <w:tcBorders>
              <w:left w:val="single" w:color="000000" w:sz="4" w:space="0"/>
              <w:right w:val="single" w:color="auto" w:sz="12" w:space="0"/>
            </w:tcBorders>
            <w:vAlign w:val="center"/>
          </w:tcPr>
          <w:p w14:paraId="4D4F8921">
            <w:pPr>
              <w:jc w:val="center"/>
              <w:rPr>
                <w:rFonts w:hint="default" w:ascii="Times New Roman" w:hAnsi="Times New Roman" w:eastAsia="仿宋_GB2312" w:cs="Times New Roman"/>
                <w:szCs w:val="21"/>
              </w:rPr>
            </w:pPr>
          </w:p>
        </w:tc>
        <w:tc>
          <w:tcPr>
            <w:tcW w:w="2322" w:type="pct"/>
            <w:tcBorders>
              <w:top w:val="single" w:color="000000" w:sz="4" w:space="0"/>
              <w:left w:val="single" w:color="auto" w:sz="12" w:space="0"/>
              <w:bottom w:val="single" w:color="000000" w:sz="4" w:space="0"/>
            </w:tcBorders>
            <w:vAlign w:val="center"/>
          </w:tcPr>
          <w:p w14:paraId="7F4C8E47">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人工评分、表彰证书、发文</w:t>
            </w:r>
          </w:p>
        </w:tc>
      </w:tr>
      <w:tr w14:paraId="1F33311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12" w:hRule="atLeast"/>
        </w:trPr>
        <w:tc>
          <w:tcPr>
            <w:tcW w:w="207" w:type="pct"/>
            <w:vMerge w:val="continue"/>
            <w:tcBorders>
              <w:top w:val="single" w:color="000000" w:sz="4" w:space="0"/>
              <w:bottom w:val="single" w:color="000000" w:sz="4" w:space="0"/>
              <w:right w:val="single" w:color="000000" w:sz="4" w:space="0"/>
            </w:tcBorders>
            <w:vAlign w:val="center"/>
          </w:tcPr>
          <w:p w14:paraId="5CB0B70B">
            <w:pPr>
              <w:jc w:val="center"/>
              <w:rPr>
                <w:rFonts w:hint="default" w:ascii="Times New Roman" w:hAnsi="Times New Roman" w:eastAsia="仿宋_GB2312" w:cs="Times New Roman"/>
                <w:szCs w:val="21"/>
              </w:rPr>
            </w:pPr>
          </w:p>
        </w:tc>
        <w:tc>
          <w:tcPr>
            <w:tcW w:w="399" w:type="pct"/>
            <w:tcBorders>
              <w:top w:val="single" w:color="000000" w:sz="4" w:space="0"/>
              <w:left w:val="single" w:color="000000" w:sz="4" w:space="0"/>
              <w:bottom w:val="single" w:color="000000" w:sz="4" w:space="0"/>
              <w:right w:val="single" w:color="auto" w:sz="12" w:space="0"/>
            </w:tcBorders>
            <w:vAlign w:val="center"/>
          </w:tcPr>
          <w:p w14:paraId="026B08DA">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19.公益服务</w:t>
            </w:r>
          </w:p>
        </w:tc>
        <w:tc>
          <w:tcPr>
            <w:tcW w:w="1432" w:type="pct"/>
            <w:tcBorders>
              <w:top w:val="single" w:color="000000" w:sz="4" w:space="0"/>
              <w:left w:val="single" w:color="auto" w:sz="12" w:space="0"/>
              <w:bottom w:val="single" w:color="000000" w:sz="4" w:space="0"/>
              <w:right w:val="single" w:color="000000" w:sz="4" w:space="0"/>
            </w:tcBorders>
            <w:vAlign w:val="center"/>
          </w:tcPr>
          <w:p w14:paraId="5F3F3D3A">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参与市场监督管理部门组织的电梯安全公益宣传、安全保障、抢险救灾等任务并取得较好效果，经市局确认属实的，一次加1分，最高加3分。</w:t>
            </w:r>
          </w:p>
        </w:tc>
        <w:tc>
          <w:tcPr>
            <w:tcW w:w="275" w:type="pct"/>
            <w:tcBorders>
              <w:top w:val="single" w:color="000000" w:sz="4" w:space="0"/>
              <w:left w:val="single" w:color="000000" w:sz="4" w:space="0"/>
              <w:bottom w:val="single" w:color="000000" w:sz="4" w:space="0"/>
              <w:right w:val="single" w:color="000000" w:sz="4" w:space="0"/>
            </w:tcBorders>
            <w:vAlign w:val="center"/>
          </w:tcPr>
          <w:p w14:paraId="181CD675">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w:t>
            </w:r>
          </w:p>
        </w:tc>
        <w:tc>
          <w:tcPr>
            <w:tcW w:w="363" w:type="pct"/>
            <w:vMerge w:val="continue"/>
            <w:tcBorders>
              <w:left w:val="single" w:color="000000" w:sz="4" w:space="0"/>
              <w:bottom w:val="single" w:color="000000" w:sz="4" w:space="0"/>
              <w:right w:val="single" w:color="auto" w:sz="12" w:space="0"/>
            </w:tcBorders>
            <w:shd w:val="clear" w:color="auto" w:fill="FFFFFF"/>
            <w:vAlign w:val="center"/>
          </w:tcPr>
          <w:p w14:paraId="255BFEB4">
            <w:pPr>
              <w:widowControl/>
              <w:jc w:val="center"/>
              <w:textAlignment w:val="center"/>
              <w:rPr>
                <w:rFonts w:hint="default" w:ascii="Times New Roman" w:hAnsi="Times New Roman" w:eastAsia="仿宋_GB2312" w:cs="Times New Roman"/>
                <w:szCs w:val="21"/>
              </w:rPr>
            </w:pPr>
          </w:p>
        </w:tc>
        <w:tc>
          <w:tcPr>
            <w:tcW w:w="2322" w:type="pct"/>
            <w:tcBorders>
              <w:top w:val="single" w:color="000000" w:sz="4" w:space="0"/>
              <w:left w:val="single" w:color="auto" w:sz="12" w:space="0"/>
              <w:bottom w:val="single" w:color="000000" w:sz="4" w:space="0"/>
            </w:tcBorders>
            <w:vAlign w:val="center"/>
          </w:tcPr>
          <w:p w14:paraId="5546FBB5">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人工评分、市（区）局情况说明</w:t>
            </w:r>
          </w:p>
        </w:tc>
      </w:tr>
      <w:tr w14:paraId="7894BE5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207" w:type="pct"/>
            <w:vMerge w:val="continue"/>
            <w:tcBorders>
              <w:top w:val="single" w:color="000000" w:sz="4" w:space="0"/>
              <w:bottom w:val="single" w:color="auto" w:sz="12" w:space="0"/>
              <w:right w:val="single" w:color="000000" w:sz="4" w:space="0"/>
            </w:tcBorders>
            <w:vAlign w:val="center"/>
          </w:tcPr>
          <w:p w14:paraId="09EDF248">
            <w:pPr>
              <w:jc w:val="center"/>
              <w:rPr>
                <w:rFonts w:hint="default" w:ascii="Times New Roman" w:hAnsi="Times New Roman" w:eastAsia="仿宋_GB2312" w:cs="Times New Roman"/>
                <w:szCs w:val="21"/>
              </w:rPr>
            </w:pPr>
          </w:p>
        </w:tc>
        <w:tc>
          <w:tcPr>
            <w:tcW w:w="399" w:type="pct"/>
            <w:tcBorders>
              <w:top w:val="single" w:color="000000" w:sz="4" w:space="0"/>
              <w:left w:val="single" w:color="000000" w:sz="4" w:space="0"/>
              <w:bottom w:val="single" w:color="auto" w:sz="12" w:space="0"/>
              <w:right w:val="single" w:color="auto" w:sz="12" w:space="0"/>
            </w:tcBorders>
            <w:vAlign w:val="center"/>
          </w:tcPr>
          <w:p w14:paraId="087461DE">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20.维保台量</w:t>
            </w:r>
          </w:p>
        </w:tc>
        <w:tc>
          <w:tcPr>
            <w:tcW w:w="1432" w:type="pct"/>
            <w:tcBorders>
              <w:top w:val="single" w:color="000000" w:sz="4" w:space="0"/>
              <w:left w:val="single" w:color="auto" w:sz="12" w:space="0"/>
              <w:bottom w:val="single" w:color="auto" w:sz="12" w:space="0"/>
              <w:right w:val="single" w:color="000000" w:sz="4" w:space="0"/>
            </w:tcBorders>
            <w:vAlign w:val="center"/>
          </w:tcPr>
          <w:p w14:paraId="73DB2D7B">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年度维护保养电梯台量（4个季度台量取平均值）位居全市前10位的，加8分，位居全市前11至20位的，加4分。</w:t>
            </w:r>
          </w:p>
        </w:tc>
        <w:tc>
          <w:tcPr>
            <w:tcW w:w="275" w:type="pct"/>
            <w:tcBorders>
              <w:top w:val="single" w:color="000000" w:sz="4" w:space="0"/>
              <w:left w:val="single" w:color="000000" w:sz="4" w:space="0"/>
              <w:bottom w:val="single" w:color="auto" w:sz="12" w:space="0"/>
              <w:right w:val="single" w:color="000000" w:sz="4" w:space="0"/>
            </w:tcBorders>
            <w:vAlign w:val="center"/>
          </w:tcPr>
          <w:p w14:paraId="3A6CAB7D">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w:t>
            </w:r>
          </w:p>
        </w:tc>
        <w:tc>
          <w:tcPr>
            <w:tcW w:w="363" w:type="pct"/>
            <w:tcBorders>
              <w:top w:val="single" w:color="000000" w:sz="4" w:space="0"/>
              <w:left w:val="single" w:color="000000" w:sz="4" w:space="0"/>
              <w:bottom w:val="single" w:color="auto" w:sz="12" w:space="0"/>
              <w:right w:val="single" w:color="auto" w:sz="12" w:space="0"/>
            </w:tcBorders>
            <w:vAlign w:val="center"/>
          </w:tcPr>
          <w:p w14:paraId="75FBB226">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系统数据</w:t>
            </w:r>
          </w:p>
        </w:tc>
        <w:tc>
          <w:tcPr>
            <w:tcW w:w="2322" w:type="pct"/>
            <w:tcBorders>
              <w:top w:val="single" w:color="000000" w:sz="4" w:space="0"/>
              <w:left w:val="single" w:color="auto" w:sz="12" w:space="0"/>
              <w:bottom w:val="single" w:color="auto" w:sz="12" w:space="0"/>
            </w:tcBorders>
            <w:vAlign w:val="center"/>
          </w:tcPr>
          <w:p w14:paraId="53EE508B">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系统分别在4月1日、7月1日、10月1日、1月1日，分别自动抓4次，统计维保单位下的维保工单对应的电梯数量，每年评定时计算4个季度台量取平均值，并且从大到小排序。</w:t>
            </w:r>
          </w:p>
        </w:tc>
      </w:tr>
      <w:tr w14:paraId="4CA8009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207" w:type="pct"/>
            <w:vMerge w:val="restart"/>
            <w:tcBorders>
              <w:top w:val="single" w:color="auto" w:sz="12" w:space="0"/>
              <w:right w:val="single" w:color="000000" w:sz="4" w:space="0"/>
            </w:tcBorders>
            <w:vAlign w:val="center"/>
          </w:tcPr>
          <w:p w14:paraId="7D56BAE9">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六、否决项</w:t>
            </w:r>
          </w:p>
        </w:tc>
        <w:tc>
          <w:tcPr>
            <w:tcW w:w="399" w:type="pct"/>
            <w:vMerge w:val="restart"/>
            <w:tcBorders>
              <w:top w:val="single" w:color="auto" w:sz="12" w:space="0"/>
              <w:left w:val="single" w:color="000000" w:sz="4" w:space="0"/>
              <w:right w:val="single" w:color="auto" w:sz="12" w:space="0"/>
            </w:tcBorders>
            <w:vAlign w:val="center"/>
          </w:tcPr>
          <w:p w14:paraId="034D7C8D">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21.直接认定D级</w:t>
            </w:r>
          </w:p>
        </w:tc>
        <w:tc>
          <w:tcPr>
            <w:tcW w:w="4393" w:type="pct"/>
            <w:gridSpan w:val="4"/>
            <w:tcBorders>
              <w:top w:val="single" w:color="auto" w:sz="12" w:space="0"/>
              <w:left w:val="single" w:color="auto" w:sz="12" w:space="0"/>
              <w:bottom w:val="single" w:color="000000" w:sz="4" w:space="0"/>
            </w:tcBorders>
            <w:vAlign w:val="center"/>
          </w:tcPr>
          <w:p w14:paraId="4EAFE318">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维护保养单位在评价周期内存在下列情形之一的，信用等级直接认定为D级：</w:t>
            </w:r>
          </w:p>
        </w:tc>
      </w:tr>
      <w:tr w14:paraId="2F3EAFD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16" w:hRule="atLeast"/>
        </w:trPr>
        <w:tc>
          <w:tcPr>
            <w:tcW w:w="207" w:type="pct"/>
            <w:vMerge w:val="continue"/>
            <w:tcBorders>
              <w:right w:val="single" w:color="000000" w:sz="4" w:space="0"/>
            </w:tcBorders>
            <w:vAlign w:val="center"/>
          </w:tcPr>
          <w:p w14:paraId="642A73EB">
            <w:pPr>
              <w:rPr>
                <w:rFonts w:hint="default" w:ascii="Times New Roman" w:hAnsi="Times New Roman" w:eastAsia="仿宋_GB2312" w:cs="Times New Roman"/>
                <w:szCs w:val="21"/>
              </w:rPr>
            </w:pPr>
          </w:p>
        </w:tc>
        <w:tc>
          <w:tcPr>
            <w:tcW w:w="399" w:type="pct"/>
            <w:vMerge w:val="continue"/>
            <w:tcBorders>
              <w:left w:val="single" w:color="000000" w:sz="4" w:space="0"/>
              <w:right w:val="single" w:color="auto" w:sz="12" w:space="0"/>
            </w:tcBorders>
            <w:vAlign w:val="center"/>
          </w:tcPr>
          <w:p w14:paraId="4BADF5E2">
            <w:pPr>
              <w:jc w:val="center"/>
              <w:rPr>
                <w:rFonts w:hint="default" w:ascii="Times New Roman" w:hAnsi="Times New Roman" w:eastAsia="仿宋_GB2312" w:cs="Times New Roman"/>
                <w:szCs w:val="21"/>
              </w:rPr>
            </w:pPr>
          </w:p>
        </w:tc>
        <w:tc>
          <w:tcPr>
            <w:tcW w:w="1432" w:type="pct"/>
            <w:tcBorders>
              <w:top w:val="single" w:color="000000" w:sz="4" w:space="0"/>
              <w:left w:val="single" w:color="auto" w:sz="12" w:space="0"/>
              <w:bottom w:val="single" w:color="000000" w:sz="4" w:space="0"/>
              <w:right w:val="single" w:color="000000" w:sz="4" w:space="0"/>
            </w:tcBorders>
            <w:vAlign w:val="center"/>
          </w:tcPr>
          <w:p w14:paraId="6BBEAE13">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（1）发生电梯安全事故，被认定为承担主要责任，或事故发生后迟报、谎报、瞒报，故意破坏现场、毁灭有关证据的；</w:t>
            </w:r>
          </w:p>
        </w:tc>
        <w:tc>
          <w:tcPr>
            <w:tcW w:w="275" w:type="pct"/>
            <w:tcBorders>
              <w:top w:val="single" w:color="000000" w:sz="4" w:space="0"/>
              <w:left w:val="single" w:color="000000" w:sz="4" w:space="0"/>
              <w:bottom w:val="single" w:color="000000" w:sz="4" w:space="0"/>
              <w:right w:val="single" w:color="000000" w:sz="4" w:space="0"/>
            </w:tcBorders>
            <w:vAlign w:val="center"/>
          </w:tcPr>
          <w:p w14:paraId="0D28F9FA">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w:t>
            </w:r>
          </w:p>
        </w:tc>
        <w:tc>
          <w:tcPr>
            <w:tcW w:w="363" w:type="pct"/>
            <w:vMerge w:val="restart"/>
            <w:tcBorders>
              <w:top w:val="single" w:color="000000" w:sz="4" w:space="0"/>
              <w:left w:val="single" w:color="000000" w:sz="4" w:space="0"/>
              <w:bottom w:val="single" w:color="000000" w:sz="4" w:space="0"/>
              <w:right w:val="single" w:color="auto" w:sz="12" w:space="0"/>
            </w:tcBorders>
            <w:vAlign w:val="center"/>
          </w:tcPr>
          <w:p w14:paraId="780AB506">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市级认定材料</w:t>
            </w:r>
          </w:p>
        </w:tc>
        <w:tc>
          <w:tcPr>
            <w:tcW w:w="2322" w:type="pct"/>
            <w:tcBorders>
              <w:top w:val="single" w:color="000000" w:sz="4" w:space="0"/>
              <w:left w:val="single" w:color="auto" w:sz="12" w:space="0"/>
              <w:bottom w:val="single" w:color="000000" w:sz="4" w:space="0"/>
            </w:tcBorders>
            <w:vAlign w:val="center"/>
          </w:tcPr>
          <w:p w14:paraId="4DCF92C7">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人工评分、事故调查报告，市局情况说明</w:t>
            </w:r>
          </w:p>
        </w:tc>
      </w:tr>
      <w:tr w14:paraId="7624DEA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207" w:type="pct"/>
            <w:vMerge w:val="continue"/>
            <w:tcBorders>
              <w:right w:val="single" w:color="000000" w:sz="4" w:space="0"/>
            </w:tcBorders>
            <w:vAlign w:val="center"/>
          </w:tcPr>
          <w:p w14:paraId="12EC92E4">
            <w:pPr>
              <w:rPr>
                <w:rFonts w:hint="default" w:ascii="Times New Roman" w:hAnsi="Times New Roman" w:eastAsia="仿宋_GB2312" w:cs="Times New Roman"/>
                <w:szCs w:val="21"/>
              </w:rPr>
            </w:pPr>
          </w:p>
        </w:tc>
        <w:tc>
          <w:tcPr>
            <w:tcW w:w="399" w:type="pct"/>
            <w:vMerge w:val="continue"/>
            <w:tcBorders>
              <w:left w:val="single" w:color="000000" w:sz="4" w:space="0"/>
              <w:right w:val="single" w:color="auto" w:sz="12" w:space="0"/>
            </w:tcBorders>
            <w:vAlign w:val="center"/>
          </w:tcPr>
          <w:p w14:paraId="18CBE8C2">
            <w:pPr>
              <w:jc w:val="center"/>
              <w:rPr>
                <w:rFonts w:hint="default" w:ascii="Times New Roman" w:hAnsi="Times New Roman" w:eastAsia="仿宋_GB2312" w:cs="Times New Roman"/>
                <w:szCs w:val="21"/>
              </w:rPr>
            </w:pPr>
          </w:p>
        </w:tc>
        <w:tc>
          <w:tcPr>
            <w:tcW w:w="1432" w:type="pct"/>
            <w:tcBorders>
              <w:top w:val="single" w:color="000000" w:sz="4" w:space="0"/>
              <w:left w:val="single" w:color="auto" w:sz="12" w:space="0"/>
              <w:bottom w:val="single" w:color="000000" w:sz="4" w:space="0"/>
              <w:right w:val="single" w:color="000000" w:sz="4" w:space="0"/>
            </w:tcBorders>
            <w:vAlign w:val="center"/>
          </w:tcPr>
          <w:p w14:paraId="61AD093B">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（2）特种设备生产许可证过期、超出许可范围从事维保业务，或伪造、变造、涂改、倒卖、出租、出借许可证的；</w:t>
            </w:r>
          </w:p>
        </w:tc>
        <w:tc>
          <w:tcPr>
            <w:tcW w:w="275" w:type="pct"/>
            <w:tcBorders>
              <w:top w:val="single" w:color="000000" w:sz="4" w:space="0"/>
              <w:left w:val="single" w:color="000000" w:sz="4" w:space="0"/>
              <w:bottom w:val="single" w:color="000000" w:sz="4" w:space="0"/>
              <w:right w:val="single" w:color="000000" w:sz="4" w:space="0"/>
            </w:tcBorders>
            <w:vAlign w:val="center"/>
          </w:tcPr>
          <w:p w14:paraId="46480376">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w:t>
            </w:r>
          </w:p>
        </w:tc>
        <w:tc>
          <w:tcPr>
            <w:tcW w:w="363" w:type="pct"/>
            <w:vMerge w:val="continue"/>
            <w:tcBorders>
              <w:top w:val="single" w:color="000000" w:sz="4" w:space="0"/>
              <w:left w:val="single" w:color="000000" w:sz="4" w:space="0"/>
              <w:bottom w:val="single" w:color="000000" w:sz="4" w:space="0"/>
              <w:right w:val="single" w:color="auto" w:sz="12" w:space="0"/>
            </w:tcBorders>
            <w:vAlign w:val="center"/>
          </w:tcPr>
          <w:p w14:paraId="53B99657">
            <w:pPr>
              <w:jc w:val="center"/>
              <w:rPr>
                <w:rFonts w:hint="default" w:ascii="Times New Roman" w:hAnsi="Times New Roman" w:eastAsia="仿宋_GB2312" w:cs="Times New Roman"/>
                <w:szCs w:val="21"/>
              </w:rPr>
            </w:pPr>
          </w:p>
        </w:tc>
        <w:tc>
          <w:tcPr>
            <w:tcW w:w="2322" w:type="pct"/>
            <w:tcBorders>
              <w:top w:val="single" w:color="000000" w:sz="4" w:space="0"/>
              <w:left w:val="single" w:color="auto" w:sz="12" w:space="0"/>
              <w:bottom w:val="single" w:color="000000" w:sz="4" w:space="0"/>
            </w:tcBorders>
            <w:vAlign w:val="center"/>
          </w:tcPr>
          <w:p w14:paraId="11C96498">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人工评分</w:t>
            </w:r>
            <w:r>
              <w:rPr>
                <w:rFonts w:hint="default" w:ascii="Times New Roman" w:hAnsi="Times New Roman" w:eastAsia="仿宋_GB2312" w:cs="Times New Roman"/>
                <w:kern w:val="0"/>
                <w:szCs w:val="21"/>
                <w:lang w:bidi="ar"/>
              </w:rPr>
              <w:br w:type="textWrapping"/>
            </w:r>
            <w:r>
              <w:rPr>
                <w:rFonts w:hint="default" w:ascii="Times New Roman" w:hAnsi="Times New Roman" w:eastAsia="仿宋_GB2312" w:cs="Times New Roman"/>
                <w:kern w:val="0"/>
                <w:szCs w:val="21"/>
                <w:lang w:bidi="ar"/>
              </w:rPr>
              <w:t>每年评定时系统协助抓取生产许可证是否过期</w:t>
            </w:r>
          </w:p>
        </w:tc>
      </w:tr>
      <w:tr w14:paraId="04D00AE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572" w:hRule="atLeast"/>
        </w:trPr>
        <w:tc>
          <w:tcPr>
            <w:tcW w:w="207" w:type="pct"/>
            <w:vMerge w:val="continue"/>
            <w:tcBorders>
              <w:right w:val="single" w:color="000000" w:sz="4" w:space="0"/>
            </w:tcBorders>
            <w:vAlign w:val="center"/>
          </w:tcPr>
          <w:p w14:paraId="7F7E98C9">
            <w:pPr>
              <w:rPr>
                <w:rFonts w:hint="default" w:ascii="Times New Roman" w:hAnsi="Times New Roman" w:eastAsia="仿宋_GB2312" w:cs="Times New Roman"/>
                <w:szCs w:val="21"/>
              </w:rPr>
            </w:pPr>
          </w:p>
        </w:tc>
        <w:tc>
          <w:tcPr>
            <w:tcW w:w="399" w:type="pct"/>
            <w:vMerge w:val="continue"/>
            <w:tcBorders>
              <w:left w:val="single" w:color="000000" w:sz="4" w:space="0"/>
              <w:right w:val="single" w:color="auto" w:sz="12" w:space="0"/>
            </w:tcBorders>
            <w:vAlign w:val="center"/>
          </w:tcPr>
          <w:p w14:paraId="36B85B6B">
            <w:pPr>
              <w:jc w:val="center"/>
              <w:rPr>
                <w:rFonts w:hint="default" w:ascii="Times New Roman" w:hAnsi="Times New Roman" w:eastAsia="仿宋_GB2312" w:cs="Times New Roman"/>
                <w:szCs w:val="21"/>
              </w:rPr>
            </w:pPr>
          </w:p>
        </w:tc>
        <w:tc>
          <w:tcPr>
            <w:tcW w:w="1432" w:type="pct"/>
            <w:tcBorders>
              <w:top w:val="single" w:color="000000" w:sz="4" w:space="0"/>
              <w:left w:val="single" w:color="auto" w:sz="12" w:space="0"/>
              <w:bottom w:val="single" w:color="000000" w:sz="4" w:space="0"/>
              <w:right w:val="single" w:color="000000" w:sz="4" w:space="0"/>
            </w:tcBorders>
            <w:vAlign w:val="center"/>
          </w:tcPr>
          <w:p w14:paraId="5997F036">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（3）所维护保养的电梯存在重大安全隐患仍继续使用，包括乘客与载货电梯门锁安全回路被短接、限速器-安全钳联动试验失效、自动扶梯/人行道紧急停止开关缺失或失效等情形的；</w:t>
            </w:r>
          </w:p>
        </w:tc>
        <w:tc>
          <w:tcPr>
            <w:tcW w:w="275" w:type="pct"/>
            <w:tcBorders>
              <w:top w:val="single" w:color="000000" w:sz="4" w:space="0"/>
              <w:left w:val="single" w:color="000000" w:sz="4" w:space="0"/>
              <w:bottom w:val="single" w:color="000000" w:sz="4" w:space="0"/>
              <w:right w:val="single" w:color="000000" w:sz="4" w:space="0"/>
            </w:tcBorders>
            <w:vAlign w:val="center"/>
          </w:tcPr>
          <w:p w14:paraId="34E72760">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市/市（区）</w:t>
            </w:r>
          </w:p>
        </w:tc>
        <w:tc>
          <w:tcPr>
            <w:tcW w:w="363" w:type="pct"/>
            <w:vMerge w:val="continue"/>
            <w:tcBorders>
              <w:top w:val="single" w:color="000000" w:sz="4" w:space="0"/>
              <w:left w:val="single" w:color="000000" w:sz="4" w:space="0"/>
              <w:bottom w:val="single" w:color="000000" w:sz="4" w:space="0"/>
              <w:right w:val="single" w:color="auto" w:sz="12" w:space="0"/>
            </w:tcBorders>
            <w:vAlign w:val="center"/>
          </w:tcPr>
          <w:p w14:paraId="22DE6CF6">
            <w:pPr>
              <w:jc w:val="center"/>
              <w:rPr>
                <w:rFonts w:hint="default" w:ascii="Times New Roman" w:hAnsi="Times New Roman" w:eastAsia="仿宋_GB2312" w:cs="Times New Roman"/>
                <w:szCs w:val="21"/>
              </w:rPr>
            </w:pPr>
          </w:p>
        </w:tc>
        <w:tc>
          <w:tcPr>
            <w:tcW w:w="2322" w:type="pct"/>
            <w:tcBorders>
              <w:top w:val="single" w:color="000000" w:sz="4" w:space="0"/>
              <w:left w:val="single" w:color="auto" w:sz="12" w:space="0"/>
              <w:bottom w:val="single" w:color="000000" w:sz="4" w:space="0"/>
            </w:tcBorders>
            <w:vAlign w:val="center"/>
          </w:tcPr>
          <w:p w14:paraId="4A06E019">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人工评分、现场检查记录</w:t>
            </w:r>
          </w:p>
        </w:tc>
      </w:tr>
      <w:tr w14:paraId="0D828A5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12" w:hRule="atLeast"/>
        </w:trPr>
        <w:tc>
          <w:tcPr>
            <w:tcW w:w="207" w:type="pct"/>
            <w:vMerge w:val="continue"/>
            <w:tcBorders>
              <w:right w:val="single" w:color="000000" w:sz="4" w:space="0"/>
            </w:tcBorders>
            <w:vAlign w:val="center"/>
          </w:tcPr>
          <w:p w14:paraId="3C3F285E">
            <w:pPr>
              <w:rPr>
                <w:rFonts w:hint="default" w:ascii="Times New Roman" w:hAnsi="Times New Roman" w:eastAsia="仿宋_GB2312" w:cs="Times New Roman"/>
                <w:szCs w:val="21"/>
              </w:rPr>
            </w:pPr>
          </w:p>
        </w:tc>
        <w:tc>
          <w:tcPr>
            <w:tcW w:w="399" w:type="pct"/>
            <w:vMerge w:val="continue"/>
            <w:tcBorders>
              <w:left w:val="single" w:color="000000" w:sz="4" w:space="0"/>
              <w:right w:val="single" w:color="auto" w:sz="12" w:space="0"/>
            </w:tcBorders>
            <w:vAlign w:val="center"/>
          </w:tcPr>
          <w:p w14:paraId="5DFC7FEE">
            <w:pPr>
              <w:jc w:val="center"/>
              <w:rPr>
                <w:rFonts w:hint="default" w:ascii="Times New Roman" w:hAnsi="Times New Roman" w:eastAsia="仿宋_GB2312" w:cs="Times New Roman"/>
                <w:szCs w:val="21"/>
              </w:rPr>
            </w:pPr>
          </w:p>
        </w:tc>
        <w:tc>
          <w:tcPr>
            <w:tcW w:w="1432" w:type="pct"/>
            <w:tcBorders>
              <w:top w:val="single" w:color="000000" w:sz="4" w:space="0"/>
              <w:left w:val="single" w:color="auto" w:sz="12" w:space="0"/>
              <w:bottom w:val="single" w:color="000000" w:sz="4" w:space="0"/>
              <w:right w:val="single" w:color="000000" w:sz="4" w:space="0"/>
            </w:tcBorders>
            <w:vAlign w:val="center"/>
          </w:tcPr>
          <w:p w14:paraId="3AC4A8E0">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（4）在电梯维护保养单位资源条件合规性报告工作中2个季度未报送信息或报送的信息审核未通过的；</w:t>
            </w:r>
          </w:p>
        </w:tc>
        <w:tc>
          <w:tcPr>
            <w:tcW w:w="275" w:type="pct"/>
            <w:tcBorders>
              <w:top w:val="single" w:color="000000" w:sz="4" w:space="0"/>
              <w:left w:val="single" w:color="000000" w:sz="4" w:space="0"/>
              <w:bottom w:val="single" w:color="000000" w:sz="4" w:space="0"/>
              <w:right w:val="single" w:color="000000" w:sz="4" w:space="0"/>
            </w:tcBorders>
            <w:vAlign w:val="center"/>
          </w:tcPr>
          <w:p w14:paraId="258F63EE">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w:t>
            </w:r>
          </w:p>
        </w:tc>
        <w:tc>
          <w:tcPr>
            <w:tcW w:w="363" w:type="pct"/>
            <w:tcBorders>
              <w:top w:val="single" w:color="000000" w:sz="4" w:space="0"/>
              <w:left w:val="single" w:color="000000" w:sz="4" w:space="0"/>
              <w:bottom w:val="single" w:color="000000" w:sz="4" w:space="0"/>
              <w:right w:val="single" w:color="auto" w:sz="12" w:space="0"/>
            </w:tcBorders>
            <w:vAlign w:val="center"/>
          </w:tcPr>
          <w:p w14:paraId="08F9710A">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系统数据</w:t>
            </w:r>
          </w:p>
        </w:tc>
        <w:tc>
          <w:tcPr>
            <w:tcW w:w="2322" w:type="pct"/>
            <w:tcBorders>
              <w:top w:val="single" w:color="000000" w:sz="4" w:space="0"/>
              <w:left w:val="single" w:color="auto" w:sz="12" w:space="0"/>
              <w:bottom w:val="single" w:color="000000" w:sz="4" w:space="0"/>
            </w:tcBorders>
            <w:vAlign w:val="center"/>
          </w:tcPr>
          <w:p w14:paraId="64723C5C">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同1，系统每个季度抓取一次，并且存储抓取记录。</w:t>
            </w:r>
          </w:p>
        </w:tc>
      </w:tr>
      <w:tr w14:paraId="6B93D42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207" w:type="pct"/>
            <w:vMerge w:val="continue"/>
            <w:tcBorders>
              <w:right w:val="single" w:color="000000" w:sz="4" w:space="0"/>
            </w:tcBorders>
            <w:vAlign w:val="center"/>
          </w:tcPr>
          <w:p w14:paraId="6400E053">
            <w:pPr>
              <w:rPr>
                <w:rFonts w:hint="default" w:ascii="Times New Roman" w:hAnsi="Times New Roman" w:eastAsia="仿宋_GB2312" w:cs="Times New Roman"/>
                <w:szCs w:val="21"/>
              </w:rPr>
            </w:pPr>
          </w:p>
        </w:tc>
        <w:tc>
          <w:tcPr>
            <w:tcW w:w="399" w:type="pct"/>
            <w:vMerge w:val="continue"/>
            <w:tcBorders>
              <w:left w:val="single" w:color="000000" w:sz="4" w:space="0"/>
              <w:right w:val="single" w:color="auto" w:sz="12" w:space="0"/>
            </w:tcBorders>
            <w:vAlign w:val="center"/>
          </w:tcPr>
          <w:p w14:paraId="10AAB203">
            <w:pPr>
              <w:jc w:val="center"/>
              <w:rPr>
                <w:rFonts w:hint="default" w:ascii="Times New Roman" w:hAnsi="Times New Roman" w:eastAsia="仿宋_GB2312" w:cs="Times New Roman"/>
                <w:szCs w:val="21"/>
              </w:rPr>
            </w:pPr>
          </w:p>
        </w:tc>
        <w:tc>
          <w:tcPr>
            <w:tcW w:w="1432" w:type="pct"/>
            <w:tcBorders>
              <w:top w:val="single" w:color="000000" w:sz="4" w:space="0"/>
              <w:left w:val="single" w:color="auto" w:sz="12" w:space="0"/>
              <w:bottom w:val="single" w:color="000000" w:sz="4" w:space="0"/>
              <w:right w:val="single" w:color="000000" w:sz="4" w:space="0"/>
            </w:tcBorders>
            <w:vAlign w:val="center"/>
          </w:tcPr>
          <w:p w14:paraId="7F7BD91B">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（5）拒不接受市场监督管理部门监督检查、拒不执行特种设备安全监察指令或逾期不履行行政处罚决定的；</w:t>
            </w:r>
          </w:p>
        </w:tc>
        <w:tc>
          <w:tcPr>
            <w:tcW w:w="275" w:type="pct"/>
            <w:tcBorders>
              <w:top w:val="single" w:color="000000" w:sz="4" w:space="0"/>
              <w:left w:val="single" w:color="000000" w:sz="4" w:space="0"/>
              <w:bottom w:val="single" w:color="000000" w:sz="4" w:space="0"/>
              <w:right w:val="single" w:color="000000" w:sz="4" w:space="0"/>
            </w:tcBorders>
            <w:vAlign w:val="center"/>
          </w:tcPr>
          <w:p w14:paraId="4D44CD9B">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市/市（区）</w:t>
            </w:r>
          </w:p>
        </w:tc>
        <w:tc>
          <w:tcPr>
            <w:tcW w:w="363" w:type="pct"/>
            <w:tcBorders>
              <w:top w:val="single" w:color="000000" w:sz="4" w:space="0"/>
              <w:left w:val="single" w:color="000000" w:sz="4" w:space="0"/>
              <w:bottom w:val="single" w:color="000000" w:sz="4" w:space="0"/>
              <w:right w:val="single" w:color="auto" w:sz="12" w:space="0"/>
            </w:tcBorders>
            <w:vAlign w:val="center"/>
          </w:tcPr>
          <w:p w14:paraId="63908341">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市级认定材料</w:t>
            </w:r>
          </w:p>
        </w:tc>
        <w:tc>
          <w:tcPr>
            <w:tcW w:w="2322" w:type="pct"/>
            <w:tcBorders>
              <w:top w:val="single" w:color="000000" w:sz="4" w:space="0"/>
              <w:left w:val="single" w:color="auto" w:sz="12" w:space="0"/>
              <w:bottom w:val="single" w:color="000000" w:sz="4" w:space="0"/>
            </w:tcBorders>
            <w:vAlign w:val="center"/>
          </w:tcPr>
          <w:p w14:paraId="3A084D8C">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人工评分、现场检查记录</w:t>
            </w:r>
          </w:p>
        </w:tc>
      </w:tr>
      <w:tr w14:paraId="7A304BA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85" w:hRule="atLeast"/>
        </w:trPr>
        <w:tc>
          <w:tcPr>
            <w:tcW w:w="207" w:type="pct"/>
            <w:vMerge w:val="continue"/>
            <w:tcBorders>
              <w:right w:val="single" w:color="000000" w:sz="4" w:space="0"/>
            </w:tcBorders>
            <w:vAlign w:val="center"/>
          </w:tcPr>
          <w:p w14:paraId="213E5294">
            <w:pPr>
              <w:rPr>
                <w:rFonts w:hint="default" w:ascii="Times New Roman" w:hAnsi="Times New Roman" w:eastAsia="仿宋_GB2312" w:cs="Times New Roman"/>
                <w:szCs w:val="21"/>
              </w:rPr>
            </w:pPr>
          </w:p>
        </w:tc>
        <w:tc>
          <w:tcPr>
            <w:tcW w:w="399" w:type="pct"/>
            <w:vMerge w:val="continue"/>
            <w:tcBorders>
              <w:left w:val="single" w:color="000000" w:sz="4" w:space="0"/>
              <w:right w:val="single" w:color="auto" w:sz="12" w:space="0"/>
            </w:tcBorders>
            <w:vAlign w:val="center"/>
          </w:tcPr>
          <w:p w14:paraId="6EF2C803">
            <w:pPr>
              <w:jc w:val="center"/>
              <w:rPr>
                <w:rFonts w:hint="default" w:ascii="Times New Roman" w:hAnsi="Times New Roman" w:eastAsia="仿宋_GB2312" w:cs="Times New Roman"/>
                <w:szCs w:val="21"/>
              </w:rPr>
            </w:pPr>
          </w:p>
        </w:tc>
        <w:tc>
          <w:tcPr>
            <w:tcW w:w="1432" w:type="pct"/>
            <w:tcBorders>
              <w:top w:val="single" w:color="000000" w:sz="4" w:space="0"/>
              <w:left w:val="single" w:color="auto" w:sz="12" w:space="0"/>
              <w:bottom w:val="single" w:color="000000" w:sz="4" w:space="0"/>
              <w:right w:val="single" w:color="000000" w:sz="4" w:space="0"/>
            </w:tcBorders>
            <w:vAlign w:val="center"/>
          </w:tcPr>
          <w:p w14:paraId="72F00988">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（6）被列入市场监督管理严重违法失信名单的；</w:t>
            </w:r>
          </w:p>
        </w:tc>
        <w:tc>
          <w:tcPr>
            <w:tcW w:w="275" w:type="pct"/>
            <w:tcBorders>
              <w:top w:val="single" w:color="000000" w:sz="4" w:space="0"/>
              <w:left w:val="single" w:color="000000" w:sz="4" w:space="0"/>
              <w:bottom w:val="single" w:color="000000" w:sz="4" w:space="0"/>
              <w:right w:val="single" w:color="000000" w:sz="4" w:space="0"/>
            </w:tcBorders>
            <w:vAlign w:val="center"/>
          </w:tcPr>
          <w:p w14:paraId="7DAA9CB7">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w:t>
            </w:r>
          </w:p>
        </w:tc>
        <w:tc>
          <w:tcPr>
            <w:tcW w:w="363" w:type="pct"/>
            <w:tcBorders>
              <w:top w:val="single" w:color="000000" w:sz="4" w:space="0"/>
              <w:left w:val="single" w:color="000000" w:sz="4" w:space="0"/>
              <w:bottom w:val="single" w:color="000000" w:sz="4" w:space="0"/>
              <w:right w:val="single" w:color="auto" w:sz="12" w:space="0"/>
            </w:tcBorders>
            <w:vAlign w:val="center"/>
          </w:tcPr>
          <w:p w14:paraId="154B117E">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严重违法失信名单</w:t>
            </w:r>
          </w:p>
        </w:tc>
        <w:tc>
          <w:tcPr>
            <w:tcW w:w="2322" w:type="pct"/>
            <w:tcBorders>
              <w:top w:val="single" w:color="000000" w:sz="4" w:space="0"/>
              <w:left w:val="single" w:color="auto" w:sz="12" w:space="0"/>
              <w:bottom w:val="single" w:color="000000" w:sz="4" w:space="0"/>
            </w:tcBorders>
            <w:vAlign w:val="center"/>
          </w:tcPr>
          <w:p w14:paraId="7BEACFBC">
            <w:pPr>
              <w:widowControl/>
              <w:jc w:val="left"/>
              <w:textAlignment w:val="center"/>
              <w:rPr>
                <w:rFonts w:hint="default" w:ascii="Times New Roman" w:hAnsi="Times New Roman" w:eastAsia="仿宋_GB2312" w:cs="Times New Roman"/>
                <w:szCs w:val="21"/>
              </w:rPr>
            </w:pPr>
            <w:r>
              <w:rPr>
                <w:rStyle w:val="40"/>
                <w:rFonts w:hint="default" w:ascii="Times New Roman" w:hAnsi="Times New Roman" w:eastAsia="仿宋_GB2312" w:cs="Times New Roman"/>
                <w:color w:val="auto"/>
                <w:sz w:val="21"/>
                <w:szCs w:val="21"/>
                <w:lang w:bidi="ar"/>
              </w:rPr>
              <w:t>数据中台，对接数据中台提供的严重违法失信名单数据，系统每月1日从严重违法失信名单的数据中提取单位对象，比对维保单位名称，并且记录。</w:t>
            </w:r>
          </w:p>
        </w:tc>
      </w:tr>
      <w:tr w14:paraId="18B6458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207" w:type="pct"/>
            <w:vMerge w:val="continue"/>
            <w:tcBorders>
              <w:right w:val="single" w:color="000000" w:sz="4" w:space="0"/>
            </w:tcBorders>
            <w:vAlign w:val="center"/>
          </w:tcPr>
          <w:p w14:paraId="29D2C598">
            <w:pPr>
              <w:rPr>
                <w:rFonts w:hint="default" w:ascii="Times New Roman" w:hAnsi="Times New Roman" w:eastAsia="仿宋_GB2312" w:cs="Times New Roman"/>
                <w:szCs w:val="21"/>
              </w:rPr>
            </w:pPr>
          </w:p>
        </w:tc>
        <w:tc>
          <w:tcPr>
            <w:tcW w:w="399" w:type="pct"/>
            <w:vMerge w:val="continue"/>
            <w:tcBorders>
              <w:left w:val="single" w:color="000000" w:sz="4" w:space="0"/>
              <w:right w:val="single" w:color="auto" w:sz="12" w:space="0"/>
            </w:tcBorders>
            <w:vAlign w:val="center"/>
          </w:tcPr>
          <w:p w14:paraId="15F32B2B">
            <w:pPr>
              <w:jc w:val="center"/>
              <w:rPr>
                <w:rFonts w:hint="default" w:ascii="Times New Roman" w:hAnsi="Times New Roman" w:eastAsia="仿宋_GB2312" w:cs="Times New Roman"/>
                <w:szCs w:val="21"/>
              </w:rPr>
            </w:pPr>
          </w:p>
        </w:tc>
        <w:tc>
          <w:tcPr>
            <w:tcW w:w="1432" w:type="pct"/>
            <w:tcBorders>
              <w:top w:val="single" w:color="000000" w:sz="4" w:space="0"/>
              <w:left w:val="single" w:color="auto" w:sz="12" w:space="0"/>
              <w:bottom w:val="single" w:color="000000" w:sz="4" w:space="0"/>
              <w:right w:val="single" w:color="000000" w:sz="4" w:space="0"/>
            </w:tcBorders>
            <w:vAlign w:val="center"/>
          </w:tcPr>
          <w:p w14:paraId="2CCBC705">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（7）存在挂靠维保、转包分包电梯维护保养业务等行为的；</w:t>
            </w:r>
          </w:p>
        </w:tc>
        <w:tc>
          <w:tcPr>
            <w:tcW w:w="275" w:type="pct"/>
            <w:tcBorders>
              <w:top w:val="single" w:color="000000" w:sz="4" w:space="0"/>
              <w:left w:val="single" w:color="000000" w:sz="4" w:space="0"/>
              <w:bottom w:val="single" w:color="000000" w:sz="4" w:space="0"/>
              <w:right w:val="single" w:color="000000" w:sz="4" w:space="0"/>
            </w:tcBorders>
            <w:vAlign w:val="center"/>
          </w:tcPr>
          <w:p w14:paraId="209EDFB6">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市/市（区）</w:t>
            </w:r>
          </w:p>
        </w:tc>
        <w:tc>
          <w:tcPr>
            <w:tcW w:w="363" w:type="pct"/>
            <w:tcBorders>
              <w:top w:val="single" w:color="000000" w:sz="4" w:space="0"/>
              <w:left w:val="single" w:color="000000" w:sz="4" w:space="0"/>
              <w:bottom w:val="single" w:color="000000" w:sz="4" w:space="0"/>
              <w:right w:val="single" w:color="auto" w:sz="12" w:space="0"/>
            </w:tcBorders>
            <w:vAlign w:val="center"/>
          </w:tcPr>
          <w:p w14:paraId="09F91B3E">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市级认定材料</w:t>
            </w:r>
          </w:p>
        </w:tc>
        <w:tc>
          <w:tcPr>
            <w:tcW w:w="2322" w:type="pct"/>
            <w:tcBorders>
              <w:top w:val="single" w:color="000000" w:sz="4" w:space="0"/>
              <w:left w:val="single" w:color="auto" w:sz="12" w:space="0"/>
              <w:bottom w:val="single" w:color="000000" w:sz="4" w:space="0"/>
            </w:tcBorders>
            <w:vAlign w:val="center"/>
          </w:tcPr>
          <w:p w14:paraId="3496CFFF">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人工评分、现场检查记录、处罚决定书</w:t>
            </w:r>
          </w:p>
        </w:tc>
      </w:tr>
      <w:tr w14:paraId="5160793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207" w:type="pct"/>
            <w:vMerge w:val="continue"/>
            <w:tcBorders>
              <w:right w:val="single" w:color="000000" w:sz="4" w:space="0"/>
            </w:tcBorders>
            <w:vAlign w:val="center"/>
          </w:tcPr>
          <w:p w14:paraId="23950D81">
            <w:pPr>
              <w:rPr>
                <w:rFonts w:hint="default" w:ascii="Times New Roman" w:hAnsi="Times New Roman" w:eastAsia="仿宋_GB2312" w:cs="Times New Roman"/>
                <w:szCs w:val="21"/>
              </w:rPr>
            </w:pPr>
          </w:p>
        </w:tc>
        <w:tc>
          <w:tcPr>
            <w:tcW w:w="399" w:type="pct"/>
            <w:vMerge w:val="continue"/>
            <w:tcBorders>
              <w:left w:val="single" w:color="000000" w:sz="4" w:space="0"/>
              <w:right w:val="single" w:color="auto" w:sz="12" w:space="0"/>
            </w:tcBorders>
            <w:vAlign w:val="center"/>
          </w:tcPr>
          <w:p w14:paraId="2833C4B6">
            <w:pPr>
              <w:jc w:val="center"/>
              <w:rPr>
                <w:rFonts w:hint="default" w:ascii="Times New Roman" w:hAnsi="Times New Roman" w:eastAsia="仿宋_GB2312" w:cs="Times New Roman"/>
                <w:szCs w:val="21"/>
              </w:rPr>
            </w:pPr>
          </w:p>
        </w:tc>
        <w:tc>
          <w:tcPr>
            <w:tcW w:w="1432" w:type="pct"/>
            <w:tcBorders>
              <w:top w:val="single" w:color="000000" w:sz="4" w:space="0"/>
              <w:left w:val="single" w:color="auto" w:sz="12" w:space="0"/>
              <w:bottom w:val="single" w:color="000000" w:sz="4" w:space="0"/>
              <w:right w:val="single" w:color="000000" w:sz="4" w:space="0"/>
            </w:tcBorders>
            <w:vAlign w:val="center"/>
          </w:tcPr>
          <w:p w14:paraId="650E5275">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（8）年度内被市场监督管理部门行政处罚3次及以上或因未按安全技术规范开展电梯维护保养被行政处罚2次及以上的；</w:t>
            </w:r>
          </w:p>
        </w:tc>
        <w:tc>
          <w:tcPr>
            <w:tcW w:w="275" w:type="pct"/>
            <w:tcBorders>
              <w:top w:val="single" w:color="000000" w:sz="4" w:space="0"/>
              <w:left w:val="single" w:color="000000" w:sz="4" w:space="0"/>
              <w:bottom w:val="single" w:color="000000" w:sz="4" w:space="0"/>
              <w:right w:val="single" w:color="000000" w:sz="4" w:space="0"/>
            </w:tcBorders>
            <w:vAlign w:val="center"/>
          </w:tcPr>
          <w:p w14:paraId="717E3242">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市/市（区）</w:t>
            </w:r>
          </w:p>
        </w:tc>
        <w:tc>
          <w:tcPr>
            <w:tcW w:w="363" w:type="pct"/>
            <w:tcBorders>
              <w:top w:val="single" w:color="000000" w:sz="4" w:space="0"/>
              <w:left w:val="single" w:color="000000" w:sz="4" w:space="0"/>
              <w:bottom w:val="single" w:color="000000" w:sz="4" w:space="0"/>
              <w:right w:val="single" w:color="auto" w:sz="12" w:space="0"/>
            </w:tcBorders>
            <w:vAlign w:val="center"/>
          </w:tcPr>
          <w:p w14:paraId="115B136D">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系统数据</w:t>
            </w:r>
          </w:p>
        </w:tc>
        <w:tc>
          <w:tcPr>
            <w:tcW w:w="2322" w:type="pct"/>
            <w:tcBorders>
              <w:top w:val="single" w:color="000000" w:sz="4" w:space="0"/>
              <w:left w:val="single" w:color="auto" w:sz="12" w:space="0"/>
              <w:bottom w:val="single" w:color="000000" w:sz="4" w:space="0"/>
            </w:tcBorders>
            <w:vAlign w:val="center"/>
          </w:tcPr>
          <w:p w14:paraId="6E050367">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人工评分、系统协助从数据中台获取处罚决定书的记录。</w:t>
            </w:r>
          </w:p>
        </w:tc>
      </w:tr>
      <w:tr w14:paraId="19C4C90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207" w:type="pct"/>
            <w:vMerge w:val="continue"/>
            <w:tcBorders>
              <w:right w:val="single" w:color="000000" w:sz="4" w:space="0"/>
            </w:tcBorders>
            <w:vAlign w:val="center"/>
          </w:tcPr>
          <w:p w14:paraId="7D16CA94">
            <w:pPr>
              <w:rPr>
                <w:rFonts w:hint="default" w:ascii="Times New Roman" w:hAnsi="Times New Roman" w:eastAsia="仿宋_GB2312" w:cs="Times New Roman"/>
                <w:szCs w:val="21"/>
              </w:rPr>
            </w:pPr>
          </w:p>
        </w:tc>
        <w:tc>
          <w:tcPr>
            <w:tcW w:w="399" w:type="pct"/>
            <w:vMerge w:val="continue"/>
            <w:tcBorders>
              <w:left w:val="single" w:color="000000" w:sz="4" w:space="0"/>
              <w:right w:val="single" w:color="auto" w:sz="12" w:space="0"/>
            </w:tcBorders>
            <w:vAlign w:val="center"/>
          </w:tcPr>
          <w:p w14:paraId="6E669848">
            <w:pPr>
              <w:jc w:val="center"/>
              <w:rPr>
                <w:rFonts w:hint="default" w:ascii="Times New Roman" w:hAnsi="Times New Roman" w:eastAsia="仿宋_GB2312" w:cs="Times New Roman"/>
                <w:szCs w:val="21"/>
              </w:rPr>
            </w:pPr>
          </w:p>
        </w:tc>
        <w:tc>
          <w:tcPr>
            <w:tcW w:w="1432" w:type="pct"/>
            <w:tcBorders>
              <w:top w:val="single" w:color="000000" w:sz="4" w:space="0"/>
              <w:left w:val="single" w:color="auto" w:sz="12" w:space="0"/>
              <w:bottom w:val="single" w:color="000000" w:sz="4" w:space="0"/>
              <w:right w:val="single" w:color="000000" w:sz="4" w:space="0"/>
            </w:tcBorders>
            <w:vAlign w:val="center"/>
          </w:tcPr>
          <w:p w14:paraId="70ED008F">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（9）在市级以上市场监督管理部门组织的电梯维护保养质量抽查中得分低于60分的；</w:t>
            </w:r>
          </w:p>
        </w:tc>
        <w:tc>
          <w:tcPr>
            <w:tcW w:w="275" w:type="pct"/>
            <w:tcBorders>
              <w:top w:val="single" w:color="000000" w:sz="4" w:space="0"/>
              <w:left w:val="single" w:color="000000" w:sz="4" w:space="0"/>
              <w:bottom w:val="single" w:color="000000" w:sz="4" w:space="0"/>
              <w:right w:val="single" w:color="000000" w:sz="4" w:space="0"/>
            </w:tcBorders>
            <w:vAlign w:val="center"/>
          </w:tcPr>
          <w:p w14:paraId="4F3B5846">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市/市（区）</w:t>
            </w:r>
          </w:p>
        </w:tc>
        <w:tc>
          <w:tcPr>
            <w:tcW w:w="363" w:type="pct"/>
            <w:tcBorders>
              <w:top w:val="single" w:color="000000" w:sz="4" w:space="0"/>
              <w:left w:val="single" w:color="000000" w:sz="4" w:space="0"/>
              <w:bottom w:val="single" w:color="000000" w:sz="4" w:space="0"/>
              <w:right w:val="single" w:color="auto" w:sz="12" w:space="0"/>
            </w:tcBorders>
            <w:vAlign w:val="center"/>
          </w:tcPr>
          <w:p w14:paraId="32B645AE">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市级认定材料</w:t>
            </w:r>
          </w:p>
        </w:tc>
        <w:tc>
          <w:tcPr>
            <w:tcW w:w="2322" w:type="pct"/>
            <w:tcBorders>
              <w:top w:val="single" w:color="000000" w:sz="4" w:space="0"/>
              <w:left w:val="single" w:color="auto" w:sz="12" w:space="0"/>
              <w:bottom w:val="single" w:color="000000" w:sz="4" w:space="0"/>
            </w:tcBorders>
            <w:vAlign w:val="center"/>
          </w:tcPr>
          <w:p w14:paraId="159BEC4B">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人工评分、现场检查记录</w:t>
            </w:r>
          </w:p>
        </w:tc>
      </w:tr>
      <w:tr w14:paraId="7B04C49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207" w:type="pct"/>
            <w:vMerge w:val="continue"/>
            <w:tcBorders>
              <w:right w:val="single" w:color="000000" w:sz="4" w:space="0"/>
            </w:tcBorders>
            <w:vAlign w:val="center"/>
          </w:tcPr>
          <w:p w14:paraId="2D6195FF">
            <w:pPr>
              <w:rPr>
                <w:rFonts w:hint="default" w:ascii="Times New Roman" w:hAnsi="Times New Roman" w:eastAsia="仿宋_GB2312" w:cs="Times New Roman"/>
                <w:szCs w:val="21"/>
              </w:rPr>
            </w:pPr>
          </w:p>
        </w:tc>
        <w:tc>
          <w:tcPr>
            <w:tcW w:w="399" w:type="pct"/>
            <w:vMerge w:val="continue"/>
            <w:tcBorders>
              <w:left w:val="single" w:color="000000" w:sz="4" w:space="0"/>
              <w:right w:val="single" w:color="auto" w:sz="12" w:space="0"/>
            </w:tcBorders>
            <w:vAlign w:val="center"/>
          </w:tcPr>
          <w:p w14:paraId="13C419CD">
            <w:pPr>
              <w:jc w:val="center"/>
              <w:rPr>
                <w:rFonts w:hint="default" w:ascii="Times New Roman" w:hAnsi="Times New Roman" w:eastAsia="仿宋_GB2312" w:cs="Times New Roman"/>
                <w:szCs w:val="21"/>
              </w:rPr>
            </w:pPr>
          </w:p>
        </w:tc>
        <w:tc>
          <w:tcPr>
            <w:tcW w:w="1432" w:type="pct"/>
            <w:tcBorders>
              <w:top w:val="single" w:color="000000" w:sz="4" w:space="0"/>
              <w:left w:val="single" w:color="auto" w:sz="12" w:space="0"/>
              <w:bottom w:val="single" w:color="000000" w:sz="4" w:space="0"/>
              <w:right w:val="single" w:color="000000" w:sz="4" w:space="0"/>
            </w:tcBorders>
            <w:vAlign w:val="center"/>
          </w:tcPr>
          <w:p w14:paraId="651E8FDB">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（10）在信用等级评定过程中提供虚假、伪造材料的；</w:t>
            </w:r>
          </w:p>
        </w:tc>
        <w:tc>
          <w:tcPr>
            <w:tcW w:w="275" w:type="pct"/>
            <w:tcBorders>
              <w:top w:val="single" w:color="000000" w:sz="4" w:space="0"/>
              <w:left w:val="single" w:color="000000" w:sz="4" w:space="0"/>
              <w:bottom w:val="single" w:color="000000" w:sz="4" w:space="0"/>
              <w:right w:val="single" w:color="000000" w:sz="4" w:space="0"/>
            </w:tcBorders>
            <w:vAlign w:val="center"/>
          </w:tcPr>
          <w:p w14:paraId="6081C236">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w:t>
            </w:r>
          </w:p>
        </w:tc>
        <w:tc>
          <w:tcPr>
            <w:tcW w:w="363" w:type="pct"/>
            <w:tcBorders>
              <w:top w:val="single" w:color="000000" w:sz="4" w:space="0"/>
              <w:left w:val="single" w:color="000000" w:sz="4" w:space="0"/>
              <w:bottom w:val="single" w:color="000000" w:sz="4" w:space="0"/>
              <w:right w:val="single" w:color="auto" w:sz="12" w:space="0"/>
            </w:tcBorders>
            <w:vAlign w:val="center"/>
          </w:tcPr>
          <w:p w14:paraId="6D0482E8">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市级认定材料</w:t>
            </w:r>
          </w:p>
        </w:tc>
        <w:tc>
          <w:tcPr>
            <w:tcW w:w="2322" w:type="pct"/>
            <w:tcBorders>
              <w:top w:val="single" w:color="000000" w:sz="4" w:space="0"/>
              <w:left w:val="single" w:color="auto" w:sz="12" w:space="0"/>
              <w:bottom w:val="single" w:color="000000" w:sz="4" w:space="0"/>
            </w:tcBorders>
            <w:vAlign w:val="center"/>
          </w:tcPr>
          <w:p w14:paraId="611EF0B2">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人工评分、情况说明</w:t>
            </w:r>
          </w:p>
        </w:tc>
      </w:tr>
      <w:tr w14:paraId="70D9C46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207" w:type="pct"/>
            <w:vMerge w:val="continue"/>
            <w:tcBorders>
              <w:right w:val="single" w:color="000000" w:sz="4" w:space="0"/>
            </w:tcBorders>
            <w:vAlign w:val="center"/>
          </w:tcPr>
          <w:p w14:paraId="00F6AC3A">
            <w:pPr>
              <w:rPr>
                <w:rFonts w:hint="default" w:ascii="Times New Roman" w:hAnsi="Times New Roman" w:eastAsia="仿宋_GB2312" w:cs="Times New Roman"/>
                <w:szCs w:val="21"/>
              </w:rPr>
            </w:pPr>
          </w:p>
        </w:tc>
        <w:tc>
          <w:tcPr>
            <w:tcW w:w="399" w:type="pct"/>
            <w:vMerge w:val="continue"/>
            <w:tcBorders>
              <w:left w:val="single" w:color="000000" w:sz="4" w:space="0"/>
              <w:right w:val="single" w:color="auto" w:sz="12" w:space="0"/>
            </w:tcBorders>
            <w:vAlign w:val="center"/>
          </w:tcPr>
          <w:p w14:paraId="1239D8C2">
            <w:pPr>
              <w:jc w:val="center"/>
              <w:rPr>
                <w:rFonts w:hint="default" w:ascii="Times New Roman" w:hAnsi="Times New Roman" w:eastAsia="仿宋_GB2312" w:cs="Times New Roman"/>
                <w:szCs w:val="21"/>
              </w:rPr>
            </w:pPr>
          </w:p>
        </w:tc>
        <w:tc>
          <w:tcPr>
            <w:tcW w:w="1432" w:type="pct"/>
            <w:tcBorders>
              <w:top w:val="single" w:color="000000" w:sz="4" w:space="0"/>
              <w:left w:val="single" w:color="auto" w:sz="12" w:space="0"/>
              <w:bottom w:val="single" w:color="000000" w:sz="4" w:space="0"/>
              <w:right w:val="single" w:color="000000" w:sz="4" w:space="0"/>
            </w:tcBorders>
            <w:vAlign w:val="center"/>
          </w:tcPr>
          <w:p w14:paraId="503D39FB">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（11）其他性质恶劣、情节严重、社会危害较大的违法失信行为。</w:t>
            </w:r>
          </w:p>
        </w:tc>
        <w:tc>
          <w:tcPr>
            <w:tcW w:w="275" w:type="pct"/>
            <w:tcBorders>
              <w:top w:val="single" w:color="000000" w:sz="4" w:space="0"/>
              <w:left w:val="single" w:color="000000" w:sz="4" w:space="0"/>
              <w:bottom w:val="single" w:color="000000" w:sz="4" w:space="0"/>
              <w:right w:val="single" w:color="000000" w:sz="4" w:space="0"/>
            </w:tcBorders>
            <w:vAlign w:val="center"/>
          </w:tcPr>
          <w:p w14:paraId="57E63DAB">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市/市（区）</w:t>
            </w:r>
          </w:p>
        </w:tc>
        <w:tc>
          <w:tcPr>
            <w:tcW w:w="363" w:type="pct"/>
            <w:tcBorders>
              <w:top w:val="single" w:color="000000" w:sz="4" w:space="0"/>
              <w:left w:val="single" w:color="000000" w:sz="4" w:space="0"/>
              <w:bottom w:val="single" w:color="000000" w:sz="4" w:space="0"/>
              <w:right w:val="single" w:color="auto" w:sz="12" w:space="0"/>
            </w:tcBorders>
            <w:vAlign w:val="center"/>
          </w:tcPr>
          <w:p w14:paraId="36D8A56F">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市级认定材料</w:t>
            </w:r>
          </w:p>
        </w:tc>
        <w:tc>
          <w:tcPr>
            <w:tcW w:w="2322" w:type="pct"/>
            <w:tcBorders>
              <w:top w:val="single" w:color="000000" w:sz="4" w:space="0"/>
              <w:left w:val="single" w:color="auto" w:sz="12" w:space="0"/>
              <w:bottom w:val="single" w:color="000000" w:sz="4" w:space="0"/>
            </w:tcBorders>
            <w:vAlign w:val="center"/>
          </w:tcPr>
          <w:p w14:paraId="304F64C6">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人工评分、相关材料</w:t>
            </w:r>
          </w:p>
        </w:tc>
      </w:tr>
      <w:tr w14:paraId="04166CC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207" w:type="pct"/>
            <w:vMerge w:val="continue"/>
            <w:tcBorders>
              <w:right w:val="single" w:color="000000" w:sz="4" w:space="0"/>
            </w:tcBorders>
            <w:vAlign w:val="center"/>
          </w:tcPr>
          <w:p w14:paraId="6D50F118">
            <w:pPr>
              <w:rPr>
                <w:rFonts w:hint="default" w:ascii="Times New Roman" w:hAnsi="Times New Roman" w:eastAsia="仿宋_GB2312" w:cs="Times New Roman"/>
                <w:szCs w:val="21"/>
              </w:rPr>
            </w:pPr>
          </w:p>
        </w:tc>
        <w:tc>
          <w:tcPr>
            <w:tcW w:w="399" w:type="pct"/>
            <w:vMerge w:val="continue"/>
            <w:tcBorders>
              <w:left w:val="single" w:color="000000" w:sz="4" w:space="0"/>
              <w:right w:val="single" w:color="auto" w:sz="12" w:space="0"/>
            </w:tcBorders>
            <w:vAlign w:val="center"/>
          </w:tcPr>
          <w:p w14:paraId="553E16C9">
            <w:pPr>
              <w:jc w:val="center"/>
              <w:rPr>
                <w:rFonts w:hint="default" w:ascii="Times New Roman" w:hAnsi="Times New Roman" w:eastAsia="仿宋_GB2312" w:cs="Times New Roman"/>
                <w:szCs w:val="21"/>
              </w:rPr>
            </w:pPr>
          </w:p>
        </w:tc>
        <w:tc>
          <w:tcPr>
            <w:tcW w:w="1432" w:type="pct"/>
            <w:tcBorders>
              <w:top w:val="single" w:color="000000" w:sz="4" w:space="0"/>
              <w:left w:val="single" w:color="auto" w:sz="12" w:space="0"/>
              <w:right w:val="single" w:color="000000" w:sz="4" w:space="0"/>
            </w:tcBorders>
            <w:vAlign w:val="center"/>
          </w:tcPr>
          <w:p w14:paraId="49FCFA9B">
            <w:pPr>
              <w:widowControl/>
              <w:jc w:val="left"/>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szCs w:val="21"/>
              </w:rPr>
              <w:t>（12）万台监管记分值800以上</w:t>
            </w:r>
            <w:r>
              <w:rPr>
                <w:rFonts w:hint="default" w:ascii="Times New Roman" w:hAnsi="Times New Roman" w:eastAsia="仿宋_GB2312" w:cs="Times New Roman"/>
                <w:szCs w:val="21"/>
              </w:rPr>
              <w:tab/>
            </w:r>
          </w:p>
        </w:tc>
        <w:tc>
          <w:tcPr>
            <w:tcW w:w="275" w:type="pct"/>
            <w:tcBorders>
              <w:top w:val="single" w:color="000000" w:sz="4" w:space="0"/>
              <w:left w:val="single" w:color="000000" w:sz="4" w:space="0"/>
              <w:right w:val="single" w:color="000000" w:sz="4" w:space="0"/>
            </w:tcBorders>
            <w:vAlign w:val="center"/>
          </w:tcPr>
          <w:p w14:paraId="0926E122">
            <w:pPr>
              <w:widowControl/>
              <w:jc w:val="center"/>
              <w:textAlignment w:val="center"/>
              <w:rPr>
                <w:rFonts w:hint="default" w:ascii="Times New Roman" w:hAnsi="Times New Roman" w:eastAsia="仿宋_GB2312" w:cs="Times New Roman"/>
                <w:kern w:val="0"/>
                <w:szCs w:val="21"/>
                <w:lang w:bidi="ar"/>
              </w:rPr>
            </w:pPr>
            <w:r>
              <w:rPr>
                <w:rFonts w:hint="default" w:ascii="Times New Roman" w:hAnsi="Times New Roman" w:eastAsia="仿宋_GB2312" w:cs="Times New Roman"/>
                <w:kern w:val="0"/>
                <w:szCs w:val="21"/>
                <w:lang w:bidi="ar"/>
              </w:rPr>
              <w:t>市/市（区）</w:t>
            </w:r>
          </w:p>
        </w:tc>
        <w:tc>
          <w:tcPr>
            <w:tcW w:w="363" w:type="pct"/>
            <w:tcBorders>
              <w:top w:val="single" w:color="000000" w:sz="4" w:space="0"/>
              <w:left w:val="single" w:color="000000" w:sz="4" w:space="0"/>
              <w:right w:val="single" w:color="auto" w:sz="12" w:space="0"/>
            </w:tcBorders>
            <w:vAlign w:val="center"/>
          </w:tcPr>
          <w:p w14:paraId="33977A24">
            <w:pPr>
              <w:widowControl/>
              <w:jc w:val="center"/>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系统数据</w:t>
            </w:r>
          </w:p>
        </w:tc>
        <w:tc>
          <w:tcPr>
            <w:tcW w:w="2322" w:type="pct"/>
            <w:tcBorders>
              <w:top w:val="single" w:color="000000" w:sz="4" w:space="0"/>
              <w:left w:val="single" w:color="auto" w:sz="12" w:space="0"/>
            </w:tcBorders>
            <w:vAlign w:val="center"/>
          </w:tcPr>
          <w:p w14:paraId="55359809">
            <w:pPr>
              <w:widowControl/>
              <w:jc w:val="left"/>
              <w:textAlignment w:val="center"/>
              <w:rPr>
                <w:rFonts w:hint="default" w:ascii="Times New Roman" w:hAnsi="Times New Roman" w:eastAsia="仿宋_GB2312" w:cs="Times New Roman"/>
                <w:szCs w:val="21"/>
              </w:rPr>
            </w:pPr>
            <w:r>
              <w:rPr>
                <w:rFonts w:hint="default" w:ascii="Times New Roman" w:hAnsi="Times New Roman" w:eastAsia="仿宋_GB2312" w:cs="Times New Roman"/>
                <w:kern w:val="0"/>
                <w:szCs w:val="21"/>
                <w:lang w:bidi="ar"/>
              </w:rPr>
              <w:t>同12，系统每年抓取一次，并且存储抓取记录</w:t>
            </w:r>
          </w:p>
        </w:tc>
      </w:tr>
    </w:tbl>
    <w:p w14:paraId="6B571FFF">
      <w:pPr>
        <w:pStyle w:val="2"/>
        <w:rPr>
          <w:rFonts w:hint="default" w:ascii="Times New Roman" w:hAnsi="Times New Roman" w:cs="Times New Roman"/>
        </w:rPr>
      </w:pPr>
    </w:p>
    <w:p w14:paraId="5B53DA66">
      <w:pPr>
        <w:rPr>
          <w:rFonts w:hint="default" w:ascii="Times New Roman" w:hAnsi="Times New Roman" w:cs="Times New Roman"/>
        </w:rPr>
      </w:pPr>
    </w:p>
    <w:sectPr>
      <w:pgSz w:w="16838" w:h="11906" w:orient="landscape"/>
      <w:pgMar w:top="1588" w:right="851" w:bottom="1474" w:left="851" w:header="851" w:footer="141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0607135"/>
      <w:docPartObj>
        <w:docPartGallery w:val="AutoText"/>
      </w:docPartObj>
    </w:sdtPr>
    <w:sdtContent>
      <w:p w14:paraId="707CDBDB">
        <w:pPr>
          <w:pStyle w:val="12"/>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1DD594C1">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0321E4"/>
    <w:multiLevelType w:val="singleLevel"/>
    <w:tmpl w:val="360321E4"/>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8C4"/>
    <w:rsid w:val="00051467"/>
    <w:rsid w:val="005E59A7"/>
    <w:rsid w:val="006F291C"/>
    <w:rsid w:val="0076581B"/>
    <w:rsid w:val="00820037"/>
    <w:rsid w:val="00C65C5A"/>
    <w:rsid w:val="00CA1F87"/>
    <w:rsid w:val="00CD1514"/>
    <w:rsid w:val="00E84B0D"/>
    <w:rsid w:val="00ED68C4"/>
    <w:rsid w:val="0A066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9"/>
    <w:qFormat/>
    <w:uiPriority w:val="0"/>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39"/>
    <w:qFormat/>
    <w:uiPriority w:val="0"/>
    <w:pPr>
      <w:jc w:val="left"/>
    </w:pPr>
  </w:style>
  <w:style w:type="paragraph" w:styleId="12">
    <w:name w:val="footer"/>
    <w:basedOn w:val="1"/>
    <w:link w:val="38"/>
    <w:unhideWhenUsed/>
    <w:qFormat/>
    <w:uiPriority w:val="99"/>
    <w:pPr>
      <w:tabs>
        <w:tab w:val="center" w:pos="4153"/>
        <w:tab w:val="right" w:pos="8306"/>
      </w:tabs>
      <w:snapToGrid w:val="0"/>
      <w:jc w:val="left"/>
    </w:pPr>
    <w:rPr>
      <w:sz w:val="18"/>
      <w:szCs w:val="18"/>
    </w:rPr>
  </w:style>
  <w:style w:type="paragraph" w:styleId="13">
    <w:name w:val="header"/>
    <w:basedOn w:val="1"/>
    <w:link w:val="37"/>
    <w:unhideWhenUsed/>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8">
    <w:name w:val="annotation reference"/>
    <w:uiPriority w:val="0"/>
    <w:rPr>
      <w:sz w:val="21"/>
      <w:szCs w:val="21"/>
    </w:rPr>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szCs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Intense Reference"/>
    <w:basedOn w:val="17"/>
    <w:qFormat/>
    <w:uiPriority w:val="32"/>
    <w:rPr>
      <w:b/>
      <w:bCs/>
      <w:smallCaps/>
      <w:color w:val="104862" w:themeColor="accent1" w:themeShade="BF"/>
      <w:spacing w:val="5"/>
    </w:rPr>
  </w:style>
  <w:style w:type="character" w:customStyle="1" w:styleId="37">
    <w:name w:val="页眉 字符"/>
    <w:basedOn w:val="17"/>
    <w:link w:val="13"/>
    <w:qFormat/>
    <w:uiPriority w:val="99"/>
    <w:rPr>
      <w:sz w:val="18"/>
      <w:szCs w:val="18"/>
    </w:rPr>
  </w:style>
  <w:style w:type="character" w:customStyle="1" w:styleId="38">
    <w:name w:val="页脚 字符"/>
    <w:basedOn w:val="17"/>
    <w:link w:val="12"/>
    <w:qFormat/>
    <w:uiPriority w:val="99"/>
    <w:rPr>
      <w:sz w:val="18"/>
      <w:szCs w:val="18"/>
    </w:rPr>
  </w:style>
  <w:style w:type="character" w:customStyle="1" w:styleId="39">
    <w:name w:val="批注文字 字符"/>
    <w:basedOn w:val="17"/>
    <w:link w:val="11"/>
    <w:uiPriority w:val="0"/>
    <w:rPr>
      <w:rFonts w:ascii="Calibri" w:hAnsi="Calibri" w:eastAsia="宋体" w:cs="Times New Roman"/>
      <w:szCs w:val="24"/>
    </w:rPr>
  </w:style>
  <w:style w:type="character" w:customStyle="1" w:styleId="40">
    <w:name w:val="font71"/>
    <w:uiPriority w:val="0"/>
    <w:rPr>
      <w:rFonts w:hint="eastAsia" w:ascii="仿宋" w:hAnsi="仿宋" w:eastAsia="仿宋" w:cs="仿宋"/>
      <w:color w:val="000000"/>
      <w:sz w:val="28"/>
      <w:szCs w:val="28"/>
      <w:u w:val="none"/>
    </w:rPr>
  </w:style>
  <w:style w:type="character" w:customStyle="1" w:styleId="41">
    <w:name w:val="font81"/>
    <w:qFormat/>
    <w:uiPriority w:val="0"/>
    <w:rPr>
      <w:rFonts w:hint="eastAsia" w:ascii="仿宋" w:hAnsi="仿宋" w:eastAsia="仿宋" w:cs="仿宋"/>
      <w:color w:val="C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3310</Words>
  <Characters>3409</Characters>
  <Lines>52</Lines>
  <Paragraphs>14</Paragraphs>
  <TotalTime>14</TotalTime>
  <ScaleCrop>false</ScaleCrop>
  <LinksUpToDate>false</LinksUpToDate>
  <CharactersWithSpaces>3410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2026-07-27T09:11:00Z</dcterms:created>
  <dc:creator>Administrator</dc:creator>
  <cp:lastModifiedBy>秋水映月</cp:lastModifiedBy>
  <dcterms:modified xsi:type="dcterms:W3CDTF">2026-07-28T00:43:04Z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eyJoZGlkIjoiMDI2ZGMxOWI3MmRlYzk3YjNkZGJmYmMyYTkyNWExYmUiLCJ1c2VySWQiOiI1OTEwMTI5NDAifQ==</vt:lpwstr>
  </property>
  <property fmtid="{D5CDD505-2E9C-101B-9397-08002B2CF9AE}" pid="3" name="KSOProductBuildVer">
    <vt:lpwstr>2052-12.1.0.26895</vt:lpwstr>
  </property>
  <property fmtid="{D5CDD505-2E9C-101B-9397-08002B2CF9AE}" pid="4" name="ICV">
    <vt:lpwstr>215DB637A04848DE852E3FE765E85599_13</vt:lpwstr>
  </property>
</Properties>
</file>