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85FF4">
      <w:pPr>
        <w:keepNext w:val="0"/>
        <w:keepLines w:val="0"/>
        <w:pageBreakBefore w:val="0"/>
        <w:widowControl/>
        <w:kinsoku/>
        <w:wordWrap/>
        <w:overflowPunct/>
        <w:topLinePunct w:val="0"/>
        <w:autoSpaceDE/>
        <w:autoSpaceDN/>
        <w:bidi w:val="0"/>
        <w:adjustRightInd/>
        <w:snapToGrid/>
        <w:ind w:firstLine="880" w:firstLineChars="200"/>
        <w:jc w:val="center"/>
        <w:textAlignment w:val="auto"/>
        <w:rPr>
          <w:rFonts w:ascii="Times New Roman" w:hAnsi="Times New Roman" w:eastAsia="小标宋_GB2312"/>
          <w:b w:val="0"/>
          <w:sz w:val="44"/>
        </w:rPr>
      </w:pPr>
    </w:p>
    <w:p w14:paraId="51038747">
      <w:pPr>
        <w:keepNext w:val="0"/>
        <w:keepLines w:val="0"/>
        <w:pageBreakBefore w:val="0"/>
        <w:widowControl/>
        <w:kinsoku/>
        <w:wordWrap/>
        <w:overflowPunct/>
        <w:topLinePunct w:val="0"/>
        <w:autoSpaceDE/>
        <w:autoSpaceDN/>
        <w:bidi w:val="0"/>
        <w:adjustRightInd/>
        <w:snapToGrid/>
        <w:ind w:firstLine="883" w:firstLineChars="200"/>
        <w:jc w:val="center"/>
        <w:textAlignment w:val="auto"/>
        <w:rPr>
          <w:rFonts w:ascii="Times New Roman" w:hAnsi="Times New Roman"/>
        </w:rPr>
      </w:pPr>
      <w:r>
        <w:rPr>
          <w:rFonts w:ascii="Times New Roman" w:hAnsi="Times New Roman" w:eastAsia="小标宋_GB2312"/>
          <w:b/>
          <w:bCs/>
          <w:sz w:val="44"/>
        </w:rPr>
        <w:t>徐州市大中型灌区运行管护办法</w:t>
      </w:r>
    </w:p>
    <w:p w14:paraId="51159E24">
      <w:pPr>
        <w:keepNext w:val="0"/>
        <w:keepLines w:val="0"/>
        <w:pageBreakBefore w:val="0"/>
        <w:widowControl/>
        <w:kinsoku/>
        <w:wordWrap/>
        <w:overflowPunct/>
        <w:topLinePunct w:val="0"/>
        <w:autoSpaceDE/>
        <w:autoSpaceDN/>
        <w:bidi w:val="0"/>
        <w:adjustRightInd/>
        <w:snapToGrid/>
        <w:ind w:left="0" w:leftChars="0" w:firstLine="640" w:firstLineChars="200"/>
        <w:textAlignment w:val="auto"/>
        <w:rPr>
          <w:rFonts w:ascii="Times New Roman" w:hAnsi="Times New Roman"/>
        </w:rPr>
      </w:pPr>
    </w:p>
    <w:p w14:paraId="667BA647">
      <w:pPr>
        <w:keepNext w:val="0"/>
        <w:keepLines w:val="0"/>
        <w:pageBreakBefore w:val="0"/>
        <w:widowControl/>
        <w:kinsoku/>
        <w:wordWrap/>
        <w:overflowPunct/>
        <w:topLinePunct w:val="0"/>
        <w:autoSpaceDE/>
        <w:autoSpaceDN/>
        <w:bidi w:val="0"/>
        <w:adjustRightInd/>
        <w:snapToGrid/>
        <w:spacing w:before="240" w:after="240"/>
        <w:ind w:left="0" w:leftChars="0" w:firstLine="0" w:firstLineChars="0"/>
        <w:jc w:val="center"/>
        <w:textAlignment w:val="auto"/>
        <w:rPr>
          <w:rFonts w:ascii="Times New Roman" w:hAnsi="Times New Roman"/>
        </w:rPr>
      </w:pPr>
      <w:r>
        <w:rPr>
          <w:rFonts w:ascii="Times New Roman" w:hAnsi="Times New Roman" w:eastAsia="黑体"/>
          <w:b/>
          <w:sz w:val="32"/>
        </w:rPr>
        <w:t>第一章 总则</w:t>
      </w:r>
    </w:p>
    <w:p w14:paraId="47594DBD">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第一条 </w:t>
      </w:r>
      <w:r>
        <w:rPr>
          <w:rFonts w:ascii="Times New Roman" w:hAnsi="Times New Roman" w:eastAsia="仿宋_GB2312"/>
          <w:sz w:val="32"/>
        </w:rPr>
        <w:t>为</w:t>
      </w:r>
      <w:r>
        <w:rPr>
          <w:rFonts w:hint="eastAsia" w:ascii="Times New Roman" w:hAnsi="Times New Roman"/>
          <w:sz w:val="32"/>
          <w:lang w:val="en-US" w:eastAsia="zh-CN"/>
        </w:rPr>
        <w:t>持续夯实粮食安全根基，促进乡村全面振兴，规范</w:t>
      </w:r>
      <w:r>
        <w:rPr>
          <w:rFonts w:ascii="Times New Roman" w:hAnsi="Times New Roman" w:eastAsia="仿宋_GB2312"/>
          <w:sz w:val="32"/>
        </w:rPr>
        <w:t>全市大中型灌区全流程运行管护，保障工程安全稳定运行，充分发挥灌区综合效益，依据《中华人民共和国水法》《农田水利条例》《江苏省水利工程管理条例》《江苏省农村水利条例》《江苏省高标准农田工程设施管护实施办法》等</w:t>
      </w:r>
      <w:r>
        <w:rPr>
          <w:rFonts w:hint="eastAsia" w:ascii="Times New Roman" w:hAnsi="Times New Roman"/>
          <w:sz w:val="32"/>
          <w:lang w:val="en-US" w:eastAsia="zh-CN"/>
        </w:rPr>
        <w:t>规定</w:t>
      </w:r>
      <w:r>
        <w:rPr>
          <w:rFonts w:ascii="Times New Roman" w:hAnsi="Times New Roman" w:eastAsia="仿宋_GB2312"/>
          <w:sz w:val="32"/>
        </w:rPr>
        <w:t>，结合本市实际，制定本办法。</w:t>
      </w:r>
    </w:p>
    <w:p w14:paraId="4C858945">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第二条 </w:t>
      </w:r>
      <w:r>
        <w:rPr>
          <w:rFonts w:ascii="Times New Roman" w:hAnsi="Times New Roman" w:eastAsia="仿宋_GB2312"/>
          <w:sz w:val="32"/>
        </w:rPr>
        <w:t>本办法适用于徐州市行政区域内设计灌溉面积1万亩及以上大中型灌区的规划建设、工程管护、水量调度、用水管理、生态保护、数字孪生建设、监督保障等全链条管理活动，覆盖灌区骨干工程、末级渠系及配套附属设施。</w:t>
      </w:r>
    </w:p>
    <w:p w14:paraId="008156E4">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第三条 </w:t>
      </w:r>
      <w:r>
        <w:rPr>
          <w:rFonts w:ascii="Times New Roman" w:hAnsi="Times New Roman" w:eastAsia="仿宋_GB2312"/>
          <w:sz w:val="32"/>
        </w:rPr>
        <w:t>灌区运行管护坚持“节水优先、空间均衡、系统治理、两手发力”治水方针，遵循统一规划、分级负责、专业运维、智慧赋能、生态协同的原则，构建产权明晰、责任明确、管护规范、保障有力的现代化灌区长效管护体系。</w:t>
      </w:r>
    </w:p>
    <w:p w14:paraId="3FD53BEB">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第四条 </w:t>
      </w:r>
      <w:r>
        <w:rPr>
          <w:rFonts w:ascii="Times New Roman" w:hAnsi="Times New Roman" w:eastAsia="仿宋_GB2312"/>
          <w:sz w:val="32"/>
        </w:rPr>
        <w:t>市人民政府加强对全市灌区管护工作的统一领导，将灌区发展纳入国民经济和社会发展规划，统筹解决灌区建设管护重大问题，推动灌区现代化升级。</w:t>
      </w:r>
    </w:p>
    <w:p w14:paraId="70CE0721">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县（市、区）、乡镇人民政府（街道办事处）落实属地管理责任，将灌区运行管护纳入本级工作考核，协调解决属地管护矛盾。</w:t>
      </w:r>
    </w:p>
    <w:p w14:paraId="5AF3D7C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第五条 </w:t>
      </w:r>
      <w:r>
        <w:rPr>
          <w:rFonts w:ascii="Times New Roman" w:hAnsi="Times New Roman" w:eastAsia="仿宋_GB2312"/>
          <w:sz w:val="32"/>
        </w:rPr>
        <w:t>市、县（市、区）水行政主管部门是本行政区域内灌区运行管护的主管部门；发展改革、财政、农业农村、生态环境、自然资源、交通运输、住房城乡建设、林业、公安、电力、文化旅游等部门按照各自职责，协同做好灌区规划建设、经费保障、污染防治、工程保护等相关工作。</w:t>
      </w:r>
    </w:p>
    <w:p w14:paraId="7E523FC6">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第二章 规划与建设</w:t>
      </w:r>
    </w:p>
    <w:p w14:paraId="06111533">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highlight w:val="none"/>
        </w:rPr>
      </w:pPr>
      <w:r>
        <w:rPr>
          <w:rFonts w:ascii="Times New Roman" w:hAnsi="Times New Roman" w:eastAsia="仿宋_GB2312"/>
          <w:b/>
          <w:sz w:val="32"/>
          <w:highlight w:val="none"/>
        </w:rPr>
        <w:t xml:space="preserve">第六条 </w:t>
      </w:r>
      <w:r>
        <w:rPr>
          <w:rFonts w:hint="eastAsia" w:ascii="Times New Roman" w:hAnsi="Times New Roman" w:eastAsia="仿宋_GB2312"/>
          <w:sz w:val="32"/>
          <w:highlight w:val="none"/>
        </w:rPr>
        <w:t>灌区建设、管理、保护、用水调度、信息化建设应当统一编制灌区专项规划，灌区规划应当与国土空间规划、高标准农田建设规划、水生态环境保护规划相衔接。</w:t>
      </w:r>
    </w:p>
    <w:p w14:paraId="5495B8A2">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highlight w:val="none"/>
        </w:rPr>
        <w:t>灌区规划应当明确工程清单、责任清单、措施清单，作为灌区建设、管护的依据。</w:t>
      </w:r>
    </w:p>
    <w:p w14:paraId="58632050">
      <w:pPr>
        <w:keepNext w:val="0"/>
        <w:keepLines w:val="0"/>
        <w:pageBreakBefore w:val="0"/>
        <w:widowControl/>
        <w:numPr>
          <w:ilvl w:val="0"/>
          <w:numId w:val="0"/>
        </w:numPr>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hint="eastAsia" w:ascii="Times New Roman" w:hAnsi="Times New Roman" w:eastAsia="仿宋_GB2312"/>
          <w:b/>
          <w:sz w:val="32"/>
          <w:highlight w:val="none"/>
          <w:lang w:val="en-US" w:eastAsia="en-US"/>
        </w:rPr>
        <w:t>第七条</w:t>
      </w:r>
      <w:r>
        <w:rPr>
          <w:rFonts w:hint="eastAsia" w:ascii="Times New Roman" w:hAnsi="Times New Roman"/>
          <w:b/>
          <w:sz w:val="32"/>
          <w:highlight w:val="none"/>
          <w:lang w:val="en-US" w:eastAsia="zh-CN"/>
        </w:rPr>
        <w:t xml:space="preserve"> </w:t>
      </w:r>
      <w:r>
        <w:rPr>
          <w:rFonts w:ascii="Times New Roman" w:hAnsi="Times New Roman" w:eastAsia="仿宋_GB2312"/>
          <w:sz w:val="32"/>
        </w:rPr>
        <w:t>市水行政主管部门会同</w:t>
      </w:r>
      <w:r>
        <w:rPr>
          <w:rFonts w:hint="eastAsia" w:ascii="Times New Roman" w:hAnsi="Times New Roman" w:eastAsia="仿宋_GB2312"/>
          <w:sz w:val="32"/>
        </w:rPr>
        <w:t>发展改革、财政、农业农村</w:t>
      </w:r>
      <w:r>
        <w:rPr>
          <w:rFonts w:hint="eastAsia" w:ascii="Times New Roman" w:hAnsi="Times New Roman"/>
          <w:sz w:val="32"/>
          <w:lang w:val="en-US" w:eastAsia="zh-CN"/>
        </w:rPr>
        <w:t>部门</w:t>
      </w:r>
      <w:r>
        <w:rPr>
          <w:rFonts w:ascii="Times New Roman" w:hAnsi="Times New Roman" w:eastAsia="仿宋_GB2312"/>
          <w:sz w:val="32"/>
        </w:rPr>
        <w:t>编制全市大中型灌区发展规划</w:t>
      </w:r>
      <w:r>
        <w:rPr>
          <w:rFonts w:hint="eastAsia" w:ascii="Times New Roman" w:hAnsi="Times New Roman"/>
          <w:sz w:val="32"/>
          <w:lang w:eastAsia="zh-CN"/>
        </w:rPr>
        <w:t>。</w:t>
      </w:r>
    </w:p>
    <w:p w14:paraId="4BB9FCC7">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sz w:val="32"/>
          <w:lang w:eastAsia="zh-CN"/>
        </w:rPr>
      </w:pPr>
      <w:r>
        <w:rPr>
          <w:rFonts w:ascii="Times New Roman" w:hAnsi="Times New Roman" w:eastAsia="仿宋_GB2312"/>
          <w:sz w:val="32"/>
        </w:rPr>
        <w:t>县（市、区）水行政主管部门结合本地实际编制辖区灌区建设与管护规划，报上级水行政主管部门备案</w:t>
      </w:r>
      <w:r>
        <w:rPr>
          <w:rFonts w:hint="eastAsia" w:ascii="Times New Roman" w:hAnsi="Times New Roman"/>
          <w:sz w:val="32"/>
          <w:lang w:eastAsia="zh-CN"/>
        </w:rPr>
        <w:t>。</w:t>
      </w:r>
    </w:p>
    <w:p w14:paraId="06125C53">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灌区管理单位依据上位规划编制管理规划及年度管护计划，作为年度预算、运维实施、考核评估的依据。</w:t>
      </w:r>
    </w:p>
    <w:p w14:paraId="293E823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第八条 </w:t>
      </w:r>
      <w:r>
        <w:rPr>
          <w:rFonts w:ascii="Times New Roman" w:hAnsi="Times New Roman" w:eastAsia="仿宋_GB2312"/>
          <w:sz w:val="32"/>
        </w:rPr>
        <w:t>灌区建设应当坚持标准化、数字化同步推进，统筹数字孪生灌区建设需求，预留信息化接口，新建工程同步配套计量监测、智能管控设备。</w:t>
      </w:r>
    </w:p>
    <w:p w14:paraId="782213C1">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鼓励已建灌区逐步开展标准化改造，提升工程完好率与智能化水平。</w:t>
      </w:r>
    </w:p>
    <w:p w14:paraId="36A0A8F5">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第九条 </w:t>
      </w:r>
      <w:r>
        <w:rPr>
          <w:rFonts w:ascii="Times New Roman" w:hAnsi="Times New Roman" w:eastAsia="仿宋_GB2312"/>
          <w:sz w:val="32"/>
        </w:rPr>
        <w:t>编制城乡规划、开展各类建设项目涉及灌区工程的，应当征求有管辖权的水行政主管部门意见，不得影响灌区工程安全运行，不得擅自占用、缩减灌区工程管护范围。</w:t>
      </w:r>
    </w:p>
    <w:p w14:paraId="3313782C">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第十条 </w:t>
      </w:r>
      <w:r>
        <w:rPr>
          <w:rFonts w:ascii="Times New Roman" w:hAnsi="Times New Roman" w:eastAsia="仿宋_GB2312"/>
          <w:sz w:val="32"/>
        </w:rPr>
        <w:t>灌区工程竣工验收合格后，建设法人应当及时完成工程实物、产权及全套档案资料移交，同步办理产权确权登记手续。档案移交目录由同级水行政主管部门统一编制。</w:t>
      </w:r>
    </w:p>
    <w:p w14:paraId="35429DDD">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政府投资为主的灌区骨干工程产权归国家所有，由水行政主管部门或其委托的管理单位行使管理权；集体、群众投资投劳为主的工程产权归受益区集体所有；社会资本投资的工程产权按投资协议约定归属。</w:t>
      </w:r>
    </w:p>
    <w:p w14:paraId="3022547E">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第十一条 </w:t>
      </w:r>
      <w:r>
        <w:rPr>
          <w:rFonts w:ascii="Times New Roman" w:hAnsi="Times New Roman" w:eastAsia="仿宋_GB2312"/>
          <w:sz w:val="32"/>
        </w:rPr>
        <w:t>灌区工程档案实行分类保管制度：全套纸质、电子档案原件由项目主管水务局办公室归档留存；工程运行管护相关资料，由水务局提供复制件交灌区管理单位日常查阅使用。</w:t>
      </w:r>
    </w:p>
    <w:p w14:paraId="7429DA00">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第三章 管护与运行</w:t>
      </w:r>
    </w:p>
    <w:p w14:paraId="6EB00E9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第十二条 </w:t>
      </w:r>
      <w:r>
        <w:rPr>
          <w:rFonts w:ascii="Times New Roman" w:hAnsi="Times New Roman" w:eastAsia="仿宋_GB2312"/>
          <w:sz w:val="32"/>
        </w:rPr>
        <w:t>灌区工程管理范围依据《江苏省水利工程管理条例》及有关规定划定，管理范围边界应当设置界桩、公告牌和安全警示标志。</w:t>
      </w:r>
    </w:p>
    <w:p w14:paraId="6DAFBBE8">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干渠（河）、支渠（河）及配套建筑物、泵站、闸站等骨干工程，由灌区管理单位负责管护；斗渠（沟）、农渠（沟）及田间配套工程等末级渠系，由乡镇、村或农民用水合作组织负责管护。</w:t>
      </w:r>
    </w:p>
    <w:p w14:paraId="059EE2DE">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第十三条 </w:t>
      </w:r>
      <w:r>
        <w:rPr>
          <w:rFonts w:ascii="Times New Roman" w:hAnsi="Times New Roman" w:eastAsia="仿宋_GB2312"/>
          <w:sz w:val="32"/>
        </w:rPr>
        <w:t>管护主体职责</w:t>
      </w:r>
      <w:r>
        <w:rPr>
          <w:rFonts w:hint="eastAsia" w:ascii="Times New Roman" w:hAnsi="Times New Roman"/>
          <w:sz w:val="32"/>
          <w:lang w:eastAsia="zh-CN"/>
        </w:rPr>
        <w:t>。</w:t>
      </w:r>
    </w:p>
    <w:p w14:paraId="721D925D">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ascii="Times New Roman" w:hAnsi="Times New Roman" w:eastAsia="仿宋_GB2312"/>
          <w:sz w:val="32"/>
        </w:rPr>
        <w:t>市、县（市、区）水行政主管部门：落实灌区管护</w:t>
      </w:r>
      <w:r>
        <w:rPr>
          <w:rFonts w:hint="eastAsia" w:ascii="Times New Roman" w:hAnsi="Times New Roman"/>
          <w:sz w:val="32"/>
          <w:lang w:val="en-US" w:eastAsia="zh-CN"/>
        </w:rPr>
        <w:t>单位</w:t>
      </w:r>
      <w:r>
        <w:rPr>
          <w:rFonts w:ascii="Times New Roman" w:hAnsi="Times New Roman" w:eastAsia="仿宋_GB2312"/>
          <w:sz w:val="32"/>
        </w:rPr>
        <w:t>，监督考核管护成效，查处侵占毁坏工程违法行为，统筹灌区“一张图”与高标准农田“一张图”数据共享，市级统筹开展灌溉水利用系数测算，开展灌区分级权责与涉水法规宣传，依托河长制办公室建立巡查问题分办督办机制</w:t>
      </w:r>
      <w:r>
        <w:rPr>
          <w:rFonts w:hint="eastAsia" w:ascii="Times New Roman" w:hAnsi="Times New Roman" w:eastAsia="仿宋_GB2312"/>
          <w:sz w:val="32"/>
          <w:lang w:eastAsia="zh-CN"/>
        </w:rPr>
        <w:t>。</w:t>
      </w:r>
    </w:p>
    <w:p w14:paraId="6735BF28">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sz w:val="32"/>
        </w:rPr>
        <w:t>灌区管理单位：负责骨干工程日常巡查、维修养护、运行调度，执行水量调度指令，建立工程技术档案与运行台账，开展安全生产隐患排查，落实计量设施运维</w:t>
      </w:r>
      <w:r>
        <w:rPr>
          <w:rFonts w:hint="eastAsia" w:ascii="Times New Roman" w:hAnsi="Times New Roman" w:eastAsia="仿宋_GB2312"/>
          <w:sz w:val="32"/>
          <w:lang w:eastAsia="zh-CN"/>
        </w:rPr>
        <w:t>。</w:t>
      </w:r>
    </w:p>
    <w:p w14:paraId="60545693">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sz w:val="32"/>
        </w:rPr>
        <w:t>乡镇人民政府（街道办事处）：负责辖区末级渠系管护监督，指导村级组织、用水合作组织履行管护义务，协调处置水事纠纷</w:t>
      </w:r>
      <w:r>
        <w:rPr>
          <w:rFonts w:hint="eastAsia" w:ascii="Times New Roman" w:hAnsi="Times New Roman" w:eastAsia="仿宋_GB2312"/>
          <w:sz w:val="32"/>
          <w:lang w:eastAsia="zh-CN"/>
        </w:rPr>
        <w:t>。</w:t>
      </w:r>
    </w:p>
    <w:p w14:paraId="5030BB46">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sz w:val="32"/>
        </w:rPr>
      </w:pPr>
      <w:r>
        <w:rPr>
          <w:rFonts w:ascii="Times New Roman" w:hAnsi="Times New Roman" w:eastAsia="仿宋_GB2312"/>
          <w:sz w:val="32"/>
        </w:rPr>
        <w:t>村级组织、农民用水合作组织：</w:t>
      </w:r>
      <w:r>
        <w:rPr>
          <w:rFonts w:hint="eastAsia" w:ascii="Times New Roman" w:hAnsi="Times New Roman" w:eastAsia="仿宋_GB2312"/>
          <w:sz w:val="32"/>
        </w:rPr>
        <w:t>组织受益农户开展末级渠系清淤、除草、小型修复，同步做好辖区灌溉机井、配套管线、计量设备日常巡查管护等工作。</w:t>
      </w:r>
    </w:p>
    <w:p w14:paraId="62CD4F46">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鼓励通过政府购买服务、委托运营等方式引入专业机构承担灌区工程维修养护。</w:t>
      </w:r>
    </w:p>
    <w:p w14:paraId="396BD7C1">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第十四条 </w:t>
      </w:r>
      <w:r>
        <w:rPr>
          <w:rFonts w:ascii="Times New Roman" w:hAnsi="Times New Roman" w:eastAsia="仿宋_GB2312"/>
          <w:sz w:val="32"/>
        </w:rPr>
        <w:t>灌区实行分级维修养护制度</w:t>
      </w:r>
      <w:r>
        <w:rPr>
          <w:rFonts w:hint="eastAsia" w:ascii="Times New Roman" w:hAnsi="Times New Roman"/>
          <w:sz w:val="32"/>
          <w:lang w:eastAsia="zh-CN"/>
        </w:rPr>
        <w:t>。</w:t>
      </w:r>
    </w:p>
    <w:p w14:paraId="60D2694D">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1.</w:t>
      </w:r>
      <w:r>
        <w:rPr>
          <w:rFonts w:ascii="Times New Roman" w:hAnsi="Times New Roman" w:eastAsia="仿宋_GB2312"/>
          <w:sz w:val="32"/>
        </w:rPr>
        <w:t>骨干工程维修养护由灌区管理单位负责，编制年度养护计划，常态化开展渠道清淤、建筑物修缮、设备保养，所需经费从水费收入、财政补助及上级专项资金中统筹列支</w:t>
      </w:r>
      <w:r>
        <w:rPr>
          <w:rFonts w:hint="eastAsia" w:ascii="Times New Roman" w:hAnsi="Times New Roman"/>
          <w:sz w:val="32"/>
          <w:lang w:eastAsia="zh-CN"/>
        </w:rPr>
        <w:t>。</w:t>
      </w:r>
    </w:p>
    <w:p w14:paraId="0CBDE2F3">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2.</w:t>
      </w:r>
      <w:r>
        <w:rPr>
          <w:rFonts w:ascii="Times New Roman" w:hAnsi="Times New Roman" w:eastAsia="仿宋_GB2312"/>
          <w:sz w:val="32"/>
        </w:rPr>
        <w:t>末级渠系维修养护由乡镇、村或用水合作组织负责，可通过“一事一议”、村级公益事业奖补、财政补助等方式筹措经费</w:t>
      </w:r>
      <w:r>
        <w:rPr>
          <w:rFonts w:hint="eastAsia" w:ascii="Times New Roman" w:hAnsi="Times New Roman"/>
          <w:sz w:val="32"/>
          <w:lang w:eastAsia="zh-CN"/>
        </w:rPr>
        <w:t>。</w:t>
      </w:r>
    </w:p>
    <w:p w14:paraId="5DD99DD5">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3.</w:t>
      </w:r>
      <w:r>
        <w:rPr>
          <w:rFonts w:ascii="Times New Roman" w:hAnsi="Times New Roman" w:eastAsia="仿宋_GB2312"/>
          <w:sz w:val="32"/>
        </w:rPr>
        <w:t>重大工程维修改造超出管护主体承担能力的，按程序申报项目资金或财政专项补助解决。</w:t>
      </w:r>
    </w:p>
    <w:p w14:paraId="39DC6C35">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第十五条 </w:t>
      </w:r>
      <w:r>
        <w:rPr>
          <w:rFonts w:ascii="Times New Roman" w:hAnsi="Times New Roman" w:eastAsia="仿宋_GB2312"/>
          <w:sz w:val="32"/>
        </w:rPr>
        <w:t>灌区运行调度实行统一管理、分级依规操作制度。泵站、水闸等设施启闭运行必须严格执行市、县水行政主管部门下达的调度指令、运行方案及操作规程，按核定水位、流量、启闭标准规范作业，严禁擅自启停设备、调整运行参数、私自启闭闸站。</w:t>
      </w:r>
    </w:p>
    <w:p w14:paraId="75AE3782">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灌区管理单位常态化开展机组设备保养、试运行及工况监测，健全设备运行台账，保障设施安全稳定运行。</w:t>
      </w:r>
    </w:p>
    <w:p w14:paraId="359F99AD">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第十六条 </w:t>
      </w:r>
      <w:r>
        <w:rPr>
          <w:rFonts w:ascii="Times New Roman" w:hAnsi="Times New Roman" w:eastAsia="仿宋_GB2312"/>
          <w:sz w:val="32"/>
        </w:rPr>
        <w:t>灌区管理单位应当建立定期检查机制：骨干工程日常巡查每周不少于1次；春灌前、冬灌后分别开展一次全面排查，汛期加密巡查频次，发现隐患及时处置上报。</w:t>
      </w:r>
    </w:p>
    <w:p w14:paraId="615E4D45">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第十七条 </w:t>
      </w:r>
      <w:r>
        <w:rPr>
          <w:rFonts w:ascii="Times New Roman" w:hAnsi="Times New Roman" w:eastAsia="仿宋_GB2312"/>
          <w:sz w:val="32"/>
        </w:rPr>
        <w:t>灌区工程安全与应急管理</w:t>
      </w:r>
      <w:r>
        <w:rPr>
          <w:rFonts w:hint="eastAsia" w:ascii="Times New Roman" w:hAnsi="Times New Roman"/>
          <w:sz w:val="32"/>
          <w:lang w:eastAsia="zh-CN"/>
        </w:rPr>
        <w:t>。</w:t>
      </w:r>
    </w:p>
    <w:p w14:paraId="6AA727D2">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1.</w:t>
      </w:r>
      <w:r>
        <w:rPr>
          <w:rFonts w:ascii="Times New Roman" w:hAnsi="Times New Roman" w:eastAsia="仿宋_GB2312"/>
          <w:sz w:val="32"/>
        </w:rPr>
        <w:t>灌区管理单位编制工程防汛抗旱专项应急预案，储备必要防汛物资，组建抢险队伍，落实汛期巡查值守、隐患处置制度，服从防汛防旱指挥机构统一调度</w:t>
      </w:r>
      <w:r>
        <w:rPr>
          <w:rFonts w:hint="eastAsia" w:ascii="Times New Roman" w:hAnsi="Times New Roman"/>
          <w:sz w:val="32"/>
          <w:lang w:eastAsia="zh-CN"/>
        </w:rPr>
        <w:t>。</w:t>
      </w:r>
    </w:p>
    <w:p w14:paraId="44ED431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2.</w:t>
      </w:r>
      <w:r>
        <w:rPr>
          <w:rFonts w:ascii="Times New Roman" w:hAnsi="Times New Roman" w:eastAsia="仿宋_GB2312"/>
          <w:sz w:val="32"/>
        </w:rPr>
        <w:t>在泵站、深渠（河）、陡坡等涉及公共安全的危险部位设置防护设施和警示标识</w:t>
      </w:r>
      <w:r>
        <w:rPr>
          <w:rFonts w:hint="eastAsia" w:ascii="Times New Roman" w:hAnsi="Times New Roman"/>
          <w:sz w:val="32"/>
          <w:lang w:eastAsia="zh-CN"/>
        </w:rPr>
        <w:t>。</w:t>
      </w:r>
    </w:p>
    <w:p w14:paraId="08D46BE8">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3.</w:t>
      </w:r>
      <w:r>
        <w:rPr>
          <w:rFonts w:ascii="Times New Roman" w:hAnsi="Times New Roman" w:eastAsia="仿宋_GB2312"/>
          <w:sz w:val="32"/>
        </w:rPr>
        <w:t>定期对机电设备、闸门启闭机开展保养和试运行，确保设备完好率达标。</w:t>
      </w:r>
    </w:p>
    <w:p w14:paraId="729C739F">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第十八条 </w:t>
      </w:r>
      <w:r>
        <w:rPr>
          <w:rFonts w:ascii="Times New Roman" w:hAnsi="Times New Roman" w:eastAsia="仿宋_GB2312"/>
          <w:sz w:val="32"/>
        </w:rPr>
        <w:t>灌区工程管理范围内禁止下列行为</w:t>
      </w:r>
      <w:r>
        <w:rPr>
          <w:rFonts w:hint="eastAsia" w:ascii="Times New Roman" w:hAnsi="Times New Roman"/>
          <w:sz w:val="32"/>
          <w:lang w:eastAsia="zh-CN"/>
        </w:rPr>
        <w:t>。</w:t>
      </w:r>
    </w:p>
    <w:p w14:paraId="5B327B81">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1.</w:t>
      </w:r>
      <w:r>
        <w:rPr>
          <w:rFonts w:ascii="Times New Roman" w:hAnsi="Times New Roman" w:eastAsia="仿宋_GB2312"/>
          <w:sz w:val="32"/>
        </w:rPr>
        <w:t>侵占、损毁渠道、闸站、泵站、计量设施等工程设施及附属设备</w:t>
      </w:r>
      <w:r>
        <w:rPr>
          <w:rFonts w:hint="eastAsia" w:ascii="Times New Roman" w:hAnsi="Times New Roman"/>
          <w:sz w:val="32"/>
          <w:lang w:eastAsia="zh-CN"/>
        </w:rPr>
        <w:t>。</w:t>
      </w:r>
    </w:p>
    <w:p w14:paraId="7C9D2D2E">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2.</w:t>
      </w:r>
      <w:r>
        <w:rPr>
          <w:rFonts w:ascii="Times New Roman" w:hAnsi="Times New Roman" w:eastAsia="仿宋_GB2312"/>
          <w:sz w:val="32"/>
        </w:rPr>
        <w:t>倾倒垃圾、废渣，排放污水，设置阻水障碍</w:t>
      </w:r>
      <w:r>
        <w:rPr>
          <w:rFonts w:hint="eastAsia" w:ascii="Times New Roman" w:hAnsi="Times New Roman"/>
          <w:sz w:val="32"/>
          <w:lang w:eastAsia="zh-CN"/>
        </w:rPr>
        <w:t>。</w:t>
      </w:r>
    </w:p>
    <w:p w14:paraId="0CAB18B3">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3.</w:t>
      </w:r>
      <w:r>
        <w:rPr>
          <w:rFonts w:ascii="Times New Roman" w:hAnsi="Times New Roman" w:eastAsia="仿宋_GB2312"/>
          <w:sz w:val="32"/>
        </w:rPr>
        <w:t>擅自挖渠、取土、打井、建房、搭建构筑物</w:t>
      </w:r>
      <w:r>
        <w:rPr>
          <w:rFonts w:hint="eastAsia" w:ascii="Times New Roman" w:hAnsi="Times New Roman"/>
          <w:sz w:val="32"/>
          <w:lang w:eastAsia="zh-CN"/>
        </w:rPr>
        <w:t>。</w:t>
      </w:r>
    </w:p>
    <w:p w14:paraId="1FEEAE57">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4.</w:t>
      </w:r>
      <w:r>
        <w:rPr>
          <w:rFonts w:ascii="Times New Roman" w:hAnsi="Times New Roman" w:eastAsia="仿宋_GB2312"/>
          <w:sz w:val="32"/>
        </w:rPr>
        <w:t>其他危害灌区工程安全、影响正常运行的行为。</w:t>
      </w:r>
    </w:p>
    <w:p w14:paraId="3EF9530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第十九条 </w:t>
      </w:r>
      <w:r>
        <w:rPr>
          <w:rFonts w:ascii="Times New Roman" w:hAnsi="Times New Roman" w:eastAsia="仿宋_GB2312"/>
          <w:sz w:val="32"/>
        </w:rPr>
        <w:t>各类建设项目确需占用、穿越灌区工程的，应当经有管辖权的水行政主管部门批准，建设单位应当采取补救措施；造成工程损坏的，按原标准修复或给予相应补偿。</w:t>
      </w:r>
    </w:p>
    <w:p w14:paraId="13EC7DA7">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第四章 水资源调度与管理</w:t>
      </w:r>
    </w:p>
    <w:p w14:paraId="1F8D4E8F">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第二十条 </w:t>
      </w:r>
      <w:r>
        <w:rPr>
          <w:rFonts w:ascii="Times New Roman" w:hAnsi="Times New Roman" w:eastAsia="仿宋_GB2312"/>
          <w:sz w:val="32"/>
        </w:rPr>
        <w:t>灌区水量调度由市、县（市、区）水行政主管部门统一分级负责，遵循“先生活、后生产，先节水、后调水”的原则，统筹生活、生产、生态用水。</w:t>
      </w:r>
    </w:p>
    <w:p w14:paraId="211A0F42">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区域深层灌溉井划定为农业抗旱应急备用水源，仅限地表水供给不足、发生严重干旱启动应急响应时按程序启用，不得作为常规灌溉水源常态化开采；应急取水结束后应及时关停、按规定封存管护。</w:t>
      </w:r>
    </w:p>
    <w:p w14:paraId="532948D2">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eastAsia="仿宋_GB2312"/>
          <w:sz w:val="32"/>
        </w:rPr>
        <w:t>遭遇干旱等紧急情况时，所有用水主体必须服从防汛防旱指挥机构的应急水量统一调度。</w:t>
      </w:r>
    </w:p>
    <w:p w14:paraId="398063A7">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第二十一条 </w:t>
      </w:r>
      <w:r>
        <w:rPr>
          <w:rFonts w:ascii="Times New Roman" w:hAnsi="Times New Roman" w:eastAsia="仿宋_GB2312"/>
          <w:sz w:val="32"/>
        </w:rPr>
        <w:t>灌区实行计划用水、总量控制制度。每年初灌区管理单位根据年度用水计划、水源条件、种植结构编制配水方案，报水行政主管部门批准后实施。</w:t>
      </w:r>
    </w:p>
    <w:p w14:paraId="646BC22E">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灌区取水应当依法办理取水许可，严格执行取水总量控制要求。</w:t>
      </w:r>
    </w:p>
    <w:p w14:paraId="666C94E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第二十二条 </w:t>
      </w:r>
      <w:r>
        <w:rPr>
          <w:rFonts w:ascii="Times New Roman" w:hAnsi="Times New Roman" w:eastAsia="仿宋_GB2312"/>
          <w:sz w:val="32"/>
        </w:rPr>
        <w:t>灌区灌溉用水实行有偿使用、分类定价和计量收费制度。</w:t>
      </w:r>
    </w:p>
    <w:p w14:paraId="39E3B2E4">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sz w:val="32"/>
        </w:rPr>
      </w:pPr>
      <w:r>
        <w:rPr>
          <w:rFonts w:ascii="Times New Roman" w:hAnsi="Times New Roman" w:eastAsia="仿宋_GB2312"/>
          <w:sz w:val="32"/>
        </w:rPr>
        <w:t>灌区水价按价格管理权限分级制定，骨干工程用水实行政府定价，末级渠系用水可实行政府定价或供需协商定价，供水价格逐步达到运行维护成本水平。推广“苏灌通”用水管理服务平台，实现用水精细化管理、水费规范化计收。</w:t>
      </w:r>
    </w:p>
    <w:p w14:paraId="1DF0A13E">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水费实行专款专用，主要用于工程运行维护与供水管理，任何单位和个人不得截留、挪用。</w:t>
      </w:r>
    </w:p>
    <w:p w14:paraId="6AD0692E">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第二十三条 </w:t>
      </w:r>
      <w:r>
        <w:rPr>
          <w:rFonts w:ascii="Times New Roman" w:hAnsi="Times New Roman" w:eastAsia="仿宋_GB2312"/>
          <w:sz w:val="32"/>
        </w:rPr>
        <w:t>灌区管理单位负责用水计量设施日常管护，定期开展检定校核，及时维修更换故障设备，保障计量数据真实准确。</w:t>
      </w:r>
    </w:p>
    <w:p w14:paraId="4E6F97CD">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第二十四条 </w:t>
      </w:r>
      <w:r>
        <w:rPr>
          <w:rFonts w:ascii="Times New Roman" w:hAnsi="Times New Roman" w:eastAsia="仿宋_GB2312"/>
          <w:sz w:val="32"/>
        </w:rPr>
        <w:t>灌区推行节水激励机制，对定额内用水实行节水奖励，对超定额用水实行累进加价。</w:t>
      </w:r>
    </w:p>
    <w:p w14:paraId="16A80FDD">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sz w:val="32"/>
        </w:rPr>
      </w:pPr>
      <w:r>
        <w:rPr>
          <w:rFonts w:hint="eastAsia" w:ascii="Times New Roman" w:hAnsi="Times New Roman"/>
          <w:sz w:val="32"/>
          <w:lang w:val="en-US" w:eastAsia="zh-CN"/>
        </w:rPr>
        <w:t xml:space="preserve"> </w:t>
      </w:r>
      <w:r>
        <w:rPr>
          <w:rFonts w:ascii="Times New Roman" w:hAnsi="Times New Roman" w:eastAsia="仿宋_GB2312"/>
          <w:sz w:val="32"/>
        </w:rPr>
        <w:t>推广渠道防渗、管道输水、喷灌微灌等节水灌溉技术，提升水资源利用效率，灌溉水有效利用系数达到省级下达的考核指标。</w:t>
      </w:r>
    </w:p>
    <w:p w14:paraId="46550306">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第五章 水环境保护</w:t>
      </w:r>
    </w:p>
    <w:p w14:paraId="4B671322">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第二十五条 </w:t>
      </w:r>
      <w:r>
        <w:rPr>
          <w:rFonts w:hint="eastAsia" w:ascii="Times New Roman" w:hAnsi="Times New Roman" w:eastAsia="仿宋_GB2312"/>
          <w:sz w:val="32"/>
          <w:lang w:val="en-US" w:eastAsia="zh-CN"/>
        </w:rPr>
        <w:t>以干渠、支渠、斗渠、农渠、灌区配套闸站、排水沟渠为保护对象，保障农业灌溉与供水安全。进一步强化河湖长制，督促水利水务、生态环境、农业农村等职能部门按责任分工协同推进灌区水环境保护。</w:t>
      </w:r>
    </w:p>
    <w:p w14:paraId="6CD4367B">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第二十六条 </w:t>
      </w:r>
      <w:r>
        <w:rPr>
          <w:rFonts w:hint="eastAsia" w:ascii="Times New Roman" w:hAnsi="Times New Roman" w:eastAsia="仿宋_GB2312"/>
          <w:sz w:val="32"/>
          <w:lang w:val="en-US" w:eastAsia="zh-CN"/>
        </w:rPr>
        <w:t>进一步深化河湖长制，持续完善灌区内的河湖长与监督员队伍，构建灌区内干、支、斗渠河湖长全覆盖的监督体系。</w:t>
      </w:r>
    </w:p>
    <w:p w14:paraId="684A9905">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val="en-US" w:eastAsia="zh-CN"/>
        </w:rPr>
      </w:pPr>
      <w:r>
        <w:rPr>
          <w:rFonts w:ascii="Times New Roman" w:hAnsi="Times New Roman" w:eastAsia="仿宋_GB2312"/>
          <w:b/>
          <w:sz w:val="32"/>
        </w:rPr>
        <w:t xml:space="preserve">第二十七条 </w:t>
      </w:r>
      <w:r>
        <w:rPr>
          <w:rFonts w:hint="eastAsia" w:ascii="Times New Roman" w:hAnsi="Times New Roman" w:eastAsia="仿宋_GB2312"/>
          <w:sz w:val="32"/>
          <w:lang w:val="en-US" w:eastAsia="zh-CN"/>
        </w:rPr>
        <w:t>各职能部门按分工落实灌区水环境保护职责。</w:t>
      </w:r>
    </w:p>
    <w:p w14:paraId="64A079C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灌区管理单位负责渠系清洁运维，定期清淤疏浚干支渠，加强灌区灌排沟渠的保洁，避免淤积污水滞留、底泥污染水体</w:t>
      </w:r>
      <w:r>
        <w:rPr>
          <w:rFonts w:hint="eastAsia" w:ascii="Times New Roman" w:hAnsi="Times New Roman"/>
          <w:sz w:val="32"/>
          <w:lang w:val="en-US" w:eastAsia="zh-CN"/>
        </w:rPr>
        <w:t>。</w:t>
      </w:r>
    </w:p>
    <w:p w14:paraId="574F826A">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Times New Roman" w:hAnsi="Times New Roman" w:eastAsia="仿宋_GB2312"/>
          <w:sz w:val="32"/>
          <w:lang w:val="en-US" w:eastAsia="zh-CN"/>
        </w:rPr>
        <w:t>农业农村部门负责严控农业面源污染，推广测土施肥、绿色病虫害防治，减少化肥农业流失。</w:t>
      </w:r>
    </w:p>
    <w:p w14:paraId="1681BAEA">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生态环境部门负责规范灌区排污口管控，严禁农村生活污水、工业废水排入灌排渠系，排查整治灌溉沟渠沿线私设排污口，建立台账动态管理。</w:t>
      </w:r>
    </w:p>
    <w:p w14:paraId="0AD69BEB">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eastAsia="仿宋_GB2312"/>
          <w:sz w:val="32"/>
          <w:lang w:val="en-US" w:eastAsia="zh-CN"/>
        </w:rPr>
        <w:t>其他部门按照职责协同做好灌区水环境保护工作。</w:t>
      </w:r>
    </w:p>
    <w:p w14:paraId="795C611A">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kern w:val="2"/>
          <w:sz w:val="32"/>
          <w:szCs w:val="32"/>
          <w:lang w:val="en-US" w:eastAsia="zh-CN" w:bidi="ar-SA"/>
        </w:rPr>
      </w:pPr>
      <w:r>
        <w:rPr>
          <w:rFonts w:ascii="Times New Roman" w:hAnsi="Times New Roman" w:eastAsia="仿宋_GB2312"/>
          <w:b/>
          <w:sz w:val="32"/>
        </w:rPr>
        <w:t xml:space="preserve">第二十八条 </w:t>
      </w:r>
      <w:r>
        <w:rPr>
          <w:rFonts w:hint="eastAsia" w:ascii="Times New Roman" w:hAnsi="Times New Roman" w:eastAsia="仿宋_GB2312"/>
          <w:sz w:val="32"/>
          <w:lang w:val="en-US" w:eastAsia="zh-CN"/>
        </w:rPr>
        <w:t>灌区管理单位定期对渠首开展水质检测，确保灌溉水质达标。</w:t>
      </w:r>
    </w:p>
    <w:p w14:paraId="359E9B51">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val="en-US" w:eastAsia="zh-CN"/>
        </w:rPr>
      </w:pPr>
      <w:r>
        <w:rPr>
          <w:rFonts w:ascii="Times New Roman" w:hAnsi="Times New Roman" w:eastAsia="仿宋_GB2312"/>
          <w:b/>
          <w:sz w:val="32"/>
        </w:rPr>
        <w:t>第二十九条</w:t>
      </w:r>
      <w:r>
        <w:rPr>
          <w:rFonts w:hint="eastAsia" w:ascii="Times New Roman" w:hAnsi="Times New Roman"/>
          <w:b/>
          <w:sz w:val="32"/>
          <w:lang w:val="en-US" w:eastAsia="zh-CN"/>
        </w:rPr>
        <w:t xml:space="preserve"> </w:t>
      </w:r>
      <w:r>
        <w:rPr>
          <w:rFonts w:hint="eastAsia" w:ascii="Times New Roman" w:hAnsi="Times New Roman" w:eastAsia="仿宋_GB2312"/>
          <w:sz w:val="32"/>
          <w:lang w:val="en-US" w:eastAsia="zh-CN"/>
        </w:rPr>
        <w:t>灌区水污染应急处置遵循“以人为本、统一指挥、分级响应、科学处置”原则。</w:t>
      </w:r>
    </w:p>
    <w:p w14:paraId="2F226E8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先期阻断</w:t>
      </w:r>
      <w:r>
        <w:rPr>
          <w:rFonts w:hint="default" w:ascii="Times New Roman" w:hAnsi="Times New Roman" w:eastAsia="仿宋_GB2312"/>
          <w:sz w:val="32"/>
          <w:lang w:val="en-US" w:eastAsia="zh-CN"/>
        </w:rPr>
        <w:t>：发现异常立即关闭渠首闸门/停泵，切断受污染水源进入灌区通道；同步封锁污染渠段，设置警示标识，禁止农户取水灌溉 。</w:t>
      </w:r>
    </w:p>
    <w:p w14:paraId="53777E5B">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default" w:ascii="Times New Roman" w:hAnsi="Times New Roman" w:eastAsia="仿宋_GB2312"/>
          <w:sz w:val="32"/>
          <w:lang w:val="en-US" w:eastAsia="zh-CN"/>
        </w:rPr>
        <w:t>‌信息报告与研判：初报至县级指挥部（含时间、地点、污染物特征、影响范围），环保/水利部门现场核实并启动相应级别应急响应 。</w:t>
      </w:r>
    </w:p>
    <w:p w14:paraId="3E3F71A7">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default" w:ascii="Times New Roman" w:hAnsi="Times New Roman" w:eastAsia="仿宋_GB2312"/>
          <w:sz w:val="32"/>
          <w:lang w:val="en-US" w:eastAsia="zh-CN"/>
        </w:rPr>
        <w:t>‌污染控制‌：根据污染类型采取物理拦截（围油栏、活性炭坝、土坝导流）、化学中和（投加石灰、絮凝剂）或生物吸附措施，防止扩散 。</w:t>
      </w:r>
    </w:p>
    <w:p w14:paraId="37919B0E">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val="en-US" w:eastAsia="zh-CN"/>
        </w:rPr>
      </w:pPr>
      <w:r>
        <w:rPr>
          <w:rFonts w:hint="default" w:ascii="Times New Roman" w:hAnsi="Times New Roman" w:eastAsia="仿宋_GB2312"/>
          <w:sz w:val="32"/>
          <w:lang w:val="en-US" w:eastAsia="zh-CN"/>
        </w:rPr>
        <w:t>‌供水保障‌：启用备用水源（深层机井、邻近清洁水库）、实施跨区域应急调水，或调用洒水车/移动泵站保障高价值作物关键期用水 。</w:t>
      </w:r>
    </w:p>
    <w:p w14:paraId="0D92F7A1">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仿宋_GB2312" w:cs="方正仿宋_GBK"/>
          <w:kern w:val="2"/>
          <w:sz w:val="32"/>
          <w:szCs w:val="32"/>
          <w:lang w:val="en-US" w:eastAsia="zh-CN" w:bidi="ar-SA"/>
        </w:rPr>
      </w:pPr>
      <w:r>
        <w:rPr>
          <w:rFonts w:hint="default" w:ascii="Times New Roman" w:hAnsi="Times New Roman" w:eastAsia="仿宋_GB2312"/>
          <w:sz w:val="32"/>
          <w:lang w:val="en-US" w:eastAsia="zh-CN"/>
        </w:rPr>
        <w:t>‌农业避险‌：指导停止灌溉、改种耐污作物、对临近收获农产品进行抽样检测与隔离，严禁超标产品流入市场</w:t>
      </w:r>
      <w:r>
        <w:rPr>
          <w:rFonts w:hint="eastAsia" w:ascii="Times New Roman" w:hAnsi="Times New Roman" w:eastAsia="仿宋_GB2312"/>
          <w:sz w:val="32"/>
          <w:lang w:val="en-US" w:eastAsia="zh-CN"/>
        </w:rPr>
        <w:t>。</w:t>
      </w:r>
    </w:p>
    <w:p w14:paraId="14578CB6">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第六章 数字孪生灌区建设与管理</w:t>
      </w:r>
    </w:p>
    <w:p w14:paraId="71C93147">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第三十条 </w:t>
      </w:r>
      <w:r>
        <w:rPr>
          <w:rFonts w:hint="eastAsia" w:ascii="方正仿宋_GBK" w:hAnsi="方正仿宋_GBK" w:eastAsia="方正仿宋_GBK" w:cs="方正仿宋_GBK"/>
          <w:sz w:val="32"/>
          <w:szCs w:val="32"/>
          <w:highlight w:val="none"/>
          <w:lang w:val="en-US" w:eastAsia="zh-CN"/>
        </w:rPr>
        <w:t>统筹推进数字孪生灌区建设，以灌区实体工程为基底构建数字孪生底座，整合存量信息化系统，完善水情、工情、墒情、计量等感知监测设施，搭建</w:t>
      </w:r>
      <w:bookmarkStart w:id="0" w:name="_GoBack"/>
      <w:bookmarkEnd w:id="0"/>
      <w:r>
        <w:rPr>
          <w:rFonts w:hint="eastAsia" w:ascii="方正仿宋_GBK" w:hAnsi="方正仿宋_GBK" w:eastAsia="方正仿宋_GBK" w:cs="方正仿宋_GBK"/>
          <w:sz w:val="32"/>
          <w:szCs w:val="32"/>
          <w:highlight w:val="none"/>
          <w:lang w:val="en-US" w:eastAsia="zh-CN"/>
        </w:rPr>
        <w:t>“预报、预警、预演、预案”一体化调度仿真体系，实现灌区全要素动态监测、配水仿真推演，推动灌区调度、运维数字化转型，平台数据应当与上级水利信息化平台互联互通。</w:t>
      </w:r>
    </w:p>
    <w:p w14:paraId="0FDA72E0">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ascii="Times New Roman" w:hAnsi="Times New Roman" w:eastAsia="仿宋_GB2312"/>
          <w:b/>
          <w:sz w:val="32"/>
        </w:rPr>
        <w:t xml:space="preserve">第三十一条 </w:t>
      </w:r>
      <w:r>
        <w:rPr>
          <w:rFonts w:hint="eastAsia" w:ascii="方正仿宋_GBK" w:hAnsi="方正仿宋_GBK" w:eastAsia="方正仿宋_GBK" w:cs="方正仿宋_GBK"/>
          <w:sz w:val="32"/>
          <w:szCs w:val="32"/>
          <w:highlight w:val="none"/>
          <w:lang w:val="en-US" w:eastAsia="zh-CN"/>
        </w:rPr>
        <w:t>数字孪生灌区系统应当具备智能监测、模拟调度、风险预警功能。</w:t>
      </w:r>
    </w:p>
    <w:p w14:paraId="7F904C62">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依托全域监测终端替代传统人工徒步巡查，实时识别渠道渗漏、淤积、设备故障等异常工况，动态掌握灌区运行状态。</w:t>
      </w:r>
    </w:p>
    <w:p w14:paraId="686C8CE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通过仿真模型开展配水预演，联动闸站远程自控设备实施精准配水、按需分水，节约灌溉水资源。</w:t>
      </w:r>
    </w:p>
    <w:p w14:paraId="4A00EE15">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对渠道超水位、机电设备故障、渠堤险情、旱情发展等风险自动识别、分级推送预警，实现隐患前置处置。</w:t>
      </w:r>
    </w:p>
    <w:p w14:paraId="6E35753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归集整合用水计量、工程运维全量数据，建立标准化电子台账，为工程管护、水资源调配、农业水价改革提供数据支撑。</w:t>
      </w:r>
    </w:p>
    <w:p w14:paraId="636C4ABA">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sz w:val="32"/>
          <w:szCs w:val="32"/>
          <w:highlight w:val="none"/>
          <w:lang w:val="en-US" w:eastAsia="zh-CN"/>
        </w:rPr>
      </w:pPr>
      <w:r>
        <w:rPr>
          <w:rFonts w:ascii="Times New Roman" w:hAnsi="Times New Roman" w:eastAsia="仿宋_GB2312"/>
          <w:b/>
          <w:sz w:val="32"/>
        </w:rPr>
        <w:t xml:space="preserve">第三十二条 </w:t>
      </w:r>
      <w:r>
        <w:rPr>
          <w:rFonts w:hint="eastAsia" w:ascii="方正仿宋_GBK" w:hAnsi="方正仿宋_GBK" w:eastAsia="方正仿宋_GBK" w:cs="方正仿宋_GBK"/>
          <w:sz w:val="32"/>
          <w:szCs w:val="32"/>
          <w:highlight w:val="none"/>
          <w:lang w:val="en-US" w:eastAsia="zh-CN"/>
        </w:rPr>
        <w:t>数字孪生灌区落实建管并重机制。新建、改造灌区项目同步编制信息化运维方案，同步开展管理人员业务培训。</w:t>
      </w:r>
    </w:p>
    <w:p w14:paraId="142AD9D2">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常态化开展监测终端校准、网络检修、服务器运维与数据备份，结合工程改造动态更新 GIS 底图与仿真模型，保证虚实映射匹配，健全巡检、故障闭环处置制度。</w:t>
      </w:r>
    </w:p>
    <w:p w14:paraId="247F19A3">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方正仿宋_GBK" w:hAnsi="方正仿宋_GBK" w:eastAsia="方正仿宋_GBK" w:cs="方正仿宋_GBK"/>
          <w:sz w:val="32"/>
          <w:szCs w:val="32"/>
          <w:highlight w:val="none"/>
          <w:lang w:val="en-US" w:eastAsia="zh-CN"/>
        </w:rPr>
        <w:t>灌区管理单位配置专职运维人员，也可委托第三方专业机构承担平台运维服务。</w:t>
      </w:r>
    </w:p>
    <w:p w14:paraId="622EEBF5">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第七章 保障与监督</w:t>
      </w:r>
    </w:p>
    <w:p w14:paraId="5AEA738F">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第三十三条 </w:t>
      </w:r>
      <w:r>
        <w:rPr>
          <w:rFonts w:ascii="Times New Roman" w:hAnsi="Times New Roman" w:eastAsia="仿宋_GB2312"/>
          <w:sz w:val="32"/>
        </w:rPr>
        <w:t>健全灌区管护机构，大中型灌区按规定明确专门管理单位，配备专业管护人员，提升专业化管护能力。</w:t>
      </w:r>
    </w:p>
    <w:p w14:paraId="77E6F5C0">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第三十四条 </w:t>
      </w:r>
      <w:r>
        <w:rPr>
          <w:rFonts w:ascii="Times New Roman" w:hAnsi="Times New Roman" w:eastAsia="仿宋_GB2312"/>
          <w:sz w:val="32"/>
        </w:rPr>
        <w:t>建立“以水养水、财政补助、多方投入”的经费保障机制</w:t>
      </w:r>
      <w:r>
        <w:rPr>
          <w:rFonts w:hint="eastAsia" w:ascii="Times New Roman" w:hAnsi="Times New Roman"/>
          <w:sz w:val="32"/>
          <w:lang w:eastAsia="zh-CN"/>
        </w:rPr>
        <w:t>。</w:t>
      </w:r>
    </w:p>
    <w:p w14:paraId="6D75C0E1">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cstheme="minorBidi"/>
          <w:sz w:val="32"/>
          <w:szCs w:val="22"/>
          <w:lang w:val="en-US" w:eastAsia="en-US" w:bidi="ar-SA"/>
        </w:rPr>
        <w:t>1.</w:t>
      </w:r>
      <w:r>
        <w:rPr>
          <w:rFonts w:ascii="Times New Roman" w:hAnsi="Times New Roman" w:eastAsia="仿宋_GB2312"/>
          <w:sz w:val="32"/>
        </w:rPr>
        <w:t>水费收入作为灌区运行维护主渠道</w:t>
      </w:r>
      <w:r>
        <w:rPr>
          <w:rFonts w:hint="eastAsia" w:ascii="Times New Roman" w:hAnsi="Times New Roman"/>
          <w:sz w:val="32"/>
          <w:lang w:eastAsia="zh-CN"/>
        </w:rPr>
        <w:t>。</w:t>
      </w:r>
    </w:p>
    <w:p w14:paraId="72BD6138">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cstheme="minorBidi"/>
          <w:sz w:val="32"/>
          <w:szCs w:val="22"/>
          <w:lang w:val="en-US" w:eastAsia="en-US" w:bidi="ar-SA"/>
        </w:rPr>
        <w:t>2.</w:t>
      </w:r>
      <w:r>
        <w:rPr>
          <w:rFonts w:ascii="Times New Roman" w:hAnsi="Times New Roman" w:eastAsia="仿宋_GB2312"/>
          <w:sz w:val="32"/>
        </w:rPr>
        <w:t>市、县财政将灌区骨干工程维修养护经费纳入年度预算，对水费收入不足以弥补运行成本的部分给予补助；乡镇财政统筹保障辖区末级渠系日常管护经费</w:t>
      </w:r>
      <w:r>
        <w:rPr>
          <w:rFonts w:hint="eastAsia" w:ascii="Times New Roman" w:hAnsi="Times New Roman"/>
          <w:sz w:val="32"/>
          <w:lang w:eastAsia="zh-CN"/>
        </w:rPr>
        <w:t>。</w:t>
      </w:r>
    </w:p>
    <w:p w14:paraId="5C898FD6">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3.</w:t>
      </w:r>
      <w:r>
        <w:rPr>
          <w:rFonts w:ascii="Times New Roman" w:hAnsi="Times New Roman" w:eastAsia="仿宋_GB2312"/>
          <w:sz w:val="32"/>
        </w:rPr>
        <w:t>积极争取中央、省级水利发展资金、农田建设补助资金，用于灌区现代化改造与维修养护</w:t>
      </w:r>
      <w:r>
        <w:rPr>
          <w:rFonts w:hint="eastAsia" w:ascii="Times New Roman" w:hAnsi="Times New Roman"/>
          <w:sz w:val="32"/>
          <w:lang w:eastAsia="zh-CN"/>
        </w:rPr>
        <w:t>。</w:t>
      </w:r>
    </w:p>
    <w:p w14:paraId="0AEA467F">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4.</w:t>
      </w:r>
      <w:r>
        <w:rPr>
          <w:rFonts w:ascii="Times New Roman" w:hAnsi="Times New Roman" w:eastAsia="仿宋_GB2312"/>
          <w:sz w:val="32"/>
        </w:rPr>
        <w:t>鼓励社会资本通过特许经营、委托运营等方式参与灌区建设管护，拓宽资金筹措渠道。</w:t>
      </w:r>
    </w:p>
    <w:p w14:paraId="1602CA97">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第三十五条 </w:t>
      </w:r>
      <w:r>
        <w:rPr>
          <w:rFonts w:ascii="Times New Roman" w:hAnsi="Times New Roman" w:eastAsia="仿宋_GB2312"/>
          <w:sz w:val="32"/>
        </w:rPr>
        <w:t>灌区管护资金实行专账核算，专项用于工程维修养护、设备购置、人员薪酬及必要管理支出。财政、审计部门加强对管护资金使用的监督检查，严禁截留、挤占、挪用。</w:t>
      </w:r>
    </w:p>
    <w:p w14:paraId="0CB0B89D">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 xml:space="preserve"> </w:t>
      </w:r>
      <w:r>
        <w:rPr>
          <w:rFonts w:ascii="Times New Roman" w:hAnsi="Times New Roman" w:eastAsia="仿宋_GB2312"/>
          <w:sz w:val="32"/>
        </w:rPr>
        <w:t>推行灌区工程维养保险制度，保费纳入灌区管理单位年度预算，提升工程风险抵御能力。</w:t>
      </w:r>
    </w:p>
    <w:p w14:paraId="4D3D5291">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第三十六条 </w:t>
      </w:r>
      <w:r>
        <w:rPr>
          <w:rFonts w:ascii="Times New Roman" w:hAnsi="Times New Roman" w:eastAsia="仿宋_GB2312"/>
          <w:sz w:val="32"/>
        </w:rPr>
        <w:t>水行政主管部门依法履行灌区行政执法职责，对侵占、损毁灌区工程、违规取水、污染水体等违法行为依法查处。</w:t>
      </w:r>
    </w:p>
    <w:p w14:paraId="1B020C98">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支持检察机关开展灌区水生态环境公益诉讼，共同维护灌区水事秩序与生态安全。</w:t>
      </w:r>
    </w:p>
    <w:p w14:paraId="4B5B864C">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eastAsia="仿宋_GB2312"/>
          <w:sz w:val="32"/>
        </w:rPr>
      </w:pPr>
      <w:r>
        <w:rPr>
          <w:rFonts w:ascii="Times New Roman" w:hAnsi="Times New Roman" w:eastAsia="仿宋_GB2312"/>
          <w:b/>
          <w:sz w:val="32"/>
        </w:rPr>
        <w:t xml:space="preserve">第三十七条 </w:t>
      </w:r>
      <w:r>
        <w:rPr>
          <w:rFonts w:ascii="Times New Roman" w:hAnsi="Times New Roman" w:eastAsia="仿宋_GB2312"/>
          <w:sz w:val="32"/>
        </w:rPr>
        <w:t>鼓励社会公众参与灌区管护与监督，畅通举报投诉渠道，对危害灌区工程安全、破坏水生态的行为，任何单位和个人有权劝阻和举报。</w:t>
      </w:r>
    </w:p>
    <w:p w14:paraId="7110E325">
      <w:pPr>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rPr>
      </w:pPr>
      <w:r>
        <w:rPr>
          <w:rFonts w:ascii="Times New Roman" w:hAnsi="Times New Roman" w:eastAsia="仿宋_GB2312"/>
          <w:sz w:val="32"/>
        </w:rPr>
        <w:t>加强灌区水文化建设，保护灌区历史工程遗迹，传承水利文化，营造全社会关心支持灌区发展的良好氛围。</w:t>
      </w:r>
    </w:p>
    <w:p w14:paraId="678C9408">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第八章 法律责任</w:t>
      </w:r>
    </w:p>
    <w:p w14:paraId="3C82FA1B">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第三十八条 </w:t>
      </w:r>
      <w:r>
        <w:rPr>
          <w:rFonts w:ascii="Times New Roman" w:hAnsi="Times New Roman" w:eastAsia="仿宋_GB2312"/>
          <w:sz w:val="32"/>
        </w:rPr>
        <w:t>违反本办法规定，法律、法规已有法律责任规定的，从其规定。</w:t>
      </w:r>
    </w:p>
    <w:p w14:paraId="1F468780">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第三十九条 </w:t>
      </w:r>
      <w:r>
        <w:rPr>
          <w:rFonts w:ascii="Times New Roman" w:hAnsi="Times New Roman" w:eastAsia="仿宋_GB2312"/>
          <w:sz w:val="32"/>
        </w:rPr>
        <w:t>县级以上人民政府水行政、农业农村主管部门及其他有关部门及其工作人员不依法履行灌区管理和监督职责的，对直接负责的主管人员和其他直接责任人员依法给予处分；构成犯罪的，依法追究刑事责任。</w:t>
      </w:r>
    </w:p>
    <w:p w14:paraId="0D3AC839">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第四十条 </w:t>
      </w:r>
      <w:r>
        <w:rPr>
          <w:rFonts w:ascii="Times New Roman" w:hAnsi="Times New Roman" w:eastAsia="仿宋_GB2312"/>
          <w:sz w:val="32"/>
        </w:rPr>
        <w:t>违反本办法规定，灌区工程管理单位不按照规定进行维修养护和调度、不执行年度取用水计划的，由县级以上地方人民政府水行政主管部门责令改正；发生责任事故或者造成其他重大损失的，对直接负责的主管人员和其他直接责任人员依法给予处分；构成犯罪的，依法追究刑事责任。</w:t>
      </w:r>
    </w:p>
    <w:p w14:paraId="51D92CC8">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第四十一条 </w:t>
      </w:r>
      <w:r>
        <w:rPr>
          <w:rFonts w:ascii="Times New Roman" w:hAnsi="Times New Roman" w:eastAsia="仿宋_GB2312"/>
          <w:sz w:val="32"/>
        </w:rPr>
        <w:t>违反本办法规定，未经有管理权的水行政主管部门同意，或者未按照有管理权的水行政主管部门同意的工程建设方案，擅自在灌区工程管理范围内从事影响灌区工程运行安全的建设活动的，由县级以上人民政府水行政主管部门责令停止违法行为，限期采取补救措施；影响灌区工程运行安全但尚可采取补救措施减轻或者消除安全影响的，责令限期改正，处一万元以上五万元以下罚款；严重影响灌区工程运行安全的，责令限期改正，处一万元以上十万元以下罚款。</w:t>
      </w:r>
    </w:p>
    <w:p w14:paraId="4DDEA370">
      <w:pPr>
        <w:keepNext w:val="0"/>
        <w:keepLines w:val="0"/>
        <w:pageBreakBefore w:val="0"/>
        <w:widowControl/>
        <w:kinsoku/>
        <w:wordWrap/>
        <w:overflowPunct/>
        <w:topLinePunct w:val="0"/>
        <w:autoSpaceDE/>
        <w:autoSpaceDN/>
        <w:bidi w:val="0"/>
        <w:adjustRightInd/>
        <w:snapToGrid/>
        <w:spacing w:before="240" w:after="240"/>
        <w:ind w:firstLine="643" w:firstLineChars="200"/>
        <w:jc w:val="center"/>
        <w:textAlignment w:val="auto"/>
        <w:rPr>
          <w:rFonts w:ascii="Times New Roman" w:hAnsi="Times New Roman"/>
        </w:rPr>
      </w:pPr>
      <w:r>
        <w:rPr>
          <w:rFonts w:ascii="Times New Roman" w:hAnsi="Times New Roman" w:eastAsia="黑体"/>
          <w:b/>
          <w:sz w:val="32"/>
        </w:rPr>
        <w:t>第九章 附则</w:t>
      </w:r>
    </w:p>
    <w:p w14:paraId="297F9EFC">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Times New Roman" w:hAnsi="Times New Roman" w:eastAsia="仿宋_GB2312"/>
          <w:sz w:val="32"/>
          <w:lang w:eastAsia="zh-CN"/>
        </w:rPr>
      </w:pPr>
      <w:r>
        <w:rPr>
          <w:rFonts w:ascii="Times New Roman" w:hAnsi="Times New Roman" w:eastAsia="仿宋_GB2312"/>
          <w:b/>
          <w:sz w:val="32"/>
        </w:rPr>
        <w:t xml:space="preserve">第四十二条 </w:t>
      </w:r>
      <w:r>
        <w:rPr>
          <w:rFonts w:ascii="Times New Roman" w:hAnsi="Times New Roman" w:eastAsia="仿宋_GB2312"/>
          <w:sz w:val="32"/>
        </w:rPr>
        <w:t>本办法下列用语的含义</w:t>
      </w:r>
      <w:r>
        <w:rPr>
          <w:rFonts w:hint="eastAsia" w:ascii="Times New Roman" w:hAnsi="Times New Roman"/>
          <w:sz w:val="32"/>
          <w:lang w:eastAsia="zh-CN"/>
        </w:rPr>
        <w:t>。</w:t>
      </w:r>
    </w:p>
    <w:p w14:paraId="4C3D686F">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cstheme="minorBidi"/>
          <w:sz w:val="32"/>
          <w:szCs w:val="22"/>
          <w:lang w:val="en-US" w:eastAsia="en-US" w:bidi="ar-SA"/>
        </w:rPr>
        <w:t>1.</w:t>
      </w:r>
      <w:r>
        <w:rPr>
          <w:rFonts w:ascii="Times New Roman" w:hAnsi="Times New Roman" w:eastAsia="仿宋_GB2312"/>
          <w:sz w:val="32"/>
        </w:rPr>
        <w:t>大中型灌区：指设计灌溉面积1万亩及以上的灌区，分为大型灌区（30万亩及以上）、中型灌区（1万-30万亩）</w:t>
      </w:r>
      <w:r>
        <w:rPr>
          <w:rFonts w:hint="eastAsia" w:ascii="Times New Roman" w:hAnsi="Times New Roman"/>
          <w:sz w:val="32"/>
          <w:lang w:eastAsia="zh-CN"/>
        </w:rPr>
        <w:t>。</w:t>
      </w:r>
    </w:p>
    <w:p w14:paraId="4ACA2889">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ascii="Times New Roman" w:hAnsi="Times New Roman" w:eastAsia="仿宋_GB2312" w:cstheme="minorBidi"/>
          <w:sz w:val="32"/>
          <w:szCs w:val="22"/>
          <w:lang w:val="en-US" w:eastAsia="en-US" w:bidi="ar-SA"/>
        </w:rPr>
        <w:t>2.</w:t>
      </w:r>
      <w:r>
        <w:rPr>
          <w:rFonts w:ascii="Times New Roman" w:hAnsi="Times New Roman" w:eastAsia="仿宋_GB2312"/>
          <w:sz w:val="32"/>
        </w:rPr>
        <w:t>骨干工程：指干渠（河）、支渠（河）及配套的闸站、泵站、渡槽、涵洞等主要建筑物</w:t>
      </w:r>
      <w:r>
        <w:rPr>
          <w:rFonts w:hint="eastAsia" w:ascii="Times New Roman" w:hAnsi="Times New Roman"/>
          <w:sz w:val="32"/>
          <w:lang w:eastAsia="zh-CN"/>
        </w:rPr>
        <w:t>。</w:t>
      </w:r>
    </w:p>
    <w:p w14:paraId="029AF401">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lang w:eastAsia="zh-CN"/>
        </w:rPr>
      </w:pPr>
      <w:r>
        <w:rPr>
          <w:rFonts w:hint="eastAsia" w:ascii="Times New Roman" w:hAnsi="Times New Roman"/>
          <w:sz w:val="32"/>
          <w:lang w:val="en-US" w:eastAsia="zh-CN"/>
        </w:rPr>
        <w:t>3.</w:t>
      </w:r>
      <w:r>
        <w:rPr>
          <w:rFonts w:ascii="Times New Roman" w:hAnsi="Times New Roman" w:eastAsia="仿宋_GB2312"/>
          <w:sz w:val="32"/>
        </w:rPr>
        <w:t>末级渠系：指斗渠（沟）、农渠（沟）及田间配套工程</w:t>
      </w:r>
      <w:r>
        <w:rPr>
          <w:rFonts w:hint="eastAsia" w:ascii="Times New Roman" w:hAnsi="Times New Roman"/>
          <w:sz w:val="32"/>
          <w:lang w:eastAsia="zh-CN"/>
        </w:rPr>
        <w:t>。</w:t>
      </w:r>
    </w:p>
    <w:p w14:paraId="51CA07BE">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sz w:val="32"/>
          <w:lang w:val="en-US" w:eastAsia="zh-CN"/>
        </w:rPr>
        <w:t>4.</w:t>
      </w:r>
      <w:r>
        <w:rPr>
          <w:rFonts w:ascii="Times New Roman" w:hAnsi="Times New Roman" w:eastAsia="仿宋_GB2312"/>
          <w:sz w:val="32"/>
        </w:rPr>
        <w:t>数字孪生灌区：指以物理灌区为基础，融合数字模型、全域感知、智能决策的数字化灌区管理体系。</w:t>
      </w:r>
    </w:p>
    <w:p w14:paraId="4376FBF6">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第四十三条 </w:t>
      </w:r>
      <w:r>
        <w:rPr>
          <w:rFonts w:ascii="Times New Roman" w:hAnsi="Times New Roman" w:eastAsia="仿宋_GB2312"/>
          <w:sz w:val="32"/>
        </w:rPr>
        <w:t>各县（市、区）可根据本办法，结合本地实际制定具体实施细则。</w:t>
      </w:r>
    </w:p>
    <w:p w14:paraId="408B3F7A">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第四十四条 </w:t>
      </w:r>
      <w:r>
        <w:rPr>
          <w:rFonts w:ascii="Times New Roman" w:hAnsi="Times New Roman" w:eastAsia="仿宋_GB2312"/>
          <w:sz w:val="32"/>
        </w:rPr>
        <w:t>本办法由</w:t>
      </w:r>
      <w:r>
        <w:rPr>
          <w:rFonts w:hint="eastAsia" w:ascii="Times New Roman" w:hAnsi="Times New Roman" w:eastAsia="仿宋_GB2312"/>
          <w:sz w:val="32"/>
        </w:rPr>
        <w:t>徐州市人民政府</w:t>
      </w:r>
      <w:r>
        <w:rPr>
          <w:rFonts w:ascii="Times New Roman" w:hAnsi="Times New Roman" w:eastAsia="仿宋_GB2312"/>
          <w:sz w:val="32"/>
        </w:rPr>
        <w:t>负责解释。</w:t>
      </w:r>
    </w:p>
    <w:p w14:paraId="18D511A5">
      <w:pPr>
        <w:keepNext w:val="0"/>
        <w:keepLines w:val="0"/>
        <w:pageBreakBefore w:val="0"/>
        <w:widowControl/>
        <w:kinsoku/>
        <w:wordWrap/>
        <w:overflowPunct/>
        <w:topLinePunct w:val="0"/>
        <w:autoSpaceDE/>
        <w:autoSpaceDN/>
        <w:bidi w:val="0"/>
        <w:adjustRightInd/>
        <w:snapToGrid/>
        <w:ind w:firstLine="643" w:firstLineChars="200"/>
        <w:textAlignment w:val="auto"/>
        <w:rPr>
          <w:rFonts w:ascii="Times New Roman" w:hAnsi="Times New Roman"/>
        </w:rPr>
      </w:pPr>
      <w:r>
        <w:rPr>
          <w:rFonts w:ascii="Times New Roman" w:hAnsi="Times New Roman" w:eastAsia="仿宋_GB2312"/>
          <w:b/>
          <w:sz w:val="32"/>
        </w:rPr>
        <w:t xml:space="preserve">第四十五条 </w:t>
      </w:r>
      <w:r>
        <w:rPr>
          <w:rFonts w:ascii="Times New Roman" w:hAnsi="Times New Roman" w:eastAsia="仿宋_GB2312"/>
          <w:sz w:val="32"/>
        </w:rPr>
        <w:t>本办法自 年 月 日起施行。</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小标宋_GB2312">
    <w:altName w:val="宋体"/>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4C492F"/>
    <w:rsid w:val="03C50E3C"/>
    <w:rsid w:val="052348BA"/>
    <w:rsid w:val="06716F04"/>
    <w:rsid w:val="0D5D46C0"/>
    <w:rsid w:val="0F0E4EF1"/>
    <w:rsid w:val="13ED1715"/>
    <w:rsid w:val="17AA4179"/>
    <w:rsid w:val="1A045DC3"/>
    <w:rsid w:val="1AA2382E"/>
    <w:rsid w:val="1AAE3F81"/>
    <w:rsid w:val="1AF35FC0"/>
    <w:rsid w:val="1B180688"/>
    <w:rsid w:val="1D5726AE"/>
    <w:rsid w:val="1E276524"/>
    <w:rsid w:val="1F664E2A"/>
    <w:rsid w:val="206D228F"/>
    <w:rsid w:val="215018EE"/>
    <w:rsid w:val="22FF7A6F"/>
    <w:rsid w:val="23A81EB5"/>
    <w:rsid w:val="26906665"/>
    <w:rsid w:val="27E930E8"/>
    <w:rsid w:val="29D43609"/>
    <w:rsid w:val="2C9E30CA"/>
    <w:rsid w:val="2CE3011E"/>
    <w:rsid w:val="2DBC5A27"/>
    <w:rsid w:val="2EB77450"/>
    <w:rsid w:val="30AC28B9"/>
    <w:rsid w:val="30F85AFE"/>
    <w:rsid w:val="31B9703B"/>
    <w:rsid w:val="34E61B29"/>
    <w:rsid w:val="37AD13F0"/>
    <w:rsid w:val="38EF305E"/>
    <w:rsid w:val="40B530C4"/>
    <w:rsid w:val="40D317EF"/>
    <w:rsid w:val="41195F95"/>
    <w:rsid w:val="411C3143"/>
    <w:rsid w:val="42A6360C"/>
    <w:rsid w:val="47431D24"/>
    <w:rsid w:val="47CE2EEB"/>
    <w:rsid w:val="4A0E263C"/>
    <w:rsid w:val="4DD70B1D"/>
    <w:rsid w:val="4DED6593"/>
    <w:rsid w:val="4E197388"/>
    <w:rsid w:val="4E45017D"/>
    <w:rsid w:val="4FF57980"/>
    <w:rsid w:val="52F51A03"/>
    <w:rsid w:val="533662E6"/>
    <w:rsid w:val="563D0C85"/>
    <w:rsid w:val="584E2691"/>
    <w:rsid w:val="588875E4"/>
    <w:rsid w:val="5B631C42"/>
    <w:rsid w:val="5D361DC4"/>
    <w:rsid w:val="5D6B59FB"/>
    <w:rsid w:val="5DF23751"/>
    <w:rsid w:val="5E1B6804"/>
    <w:rsid w:val="5E744A59"/>
    <w:rsid w:val="5E977DEA"/>
    <w:rsid w:val="6303037E"/>
    <w:rsid w:val="65DD3E8F"/>
    <w:rsid w:val="67630CEF"/>
    <w:rsid w:val="683C5CF5"/>
    <w:rsid w:val="69652AB5"/>
    <w:rsid w:val="6E0077C5"/>
    <w:rsid w:val="6FB940CF"/>
    <w:rsid w:val="6FFD5A3A"/>
    <w:rsid w:val="70DA42FD"/>
    <w:rsid w:val="73B201E3"/>
    <w:rsid w:val="73F73418"/>
    <w:rsid w:val="74B80DF9"/>
    <w:rsid w:val="77585F7B"/>
    <w:rsid w:val="77D01FB6"/>
    <w:rsid w:val="782F13D2"/>
    <w:rsid w:val="79052133"/>
    <w:rsid w:val="7CFE2024"/>
    <w:rsid w:val="7EE022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ind w:firstLine="420"/>
    </w:pPr>
    <w:rPr>
      <w:rFonts w:ascii="仿宋_GB2312" w:hAnsi="仿宋_GB2312" w:eastAsia="仿宋_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5245</Words>
  <Characters>5266</Characters>
  <Lines>0</Lines>
  <Paragraphs>0</Paragraphs>
  <TotalTime>7</TotalTime>
  <ScaleCrop>false</ScaleCrop>
  <LinksUpToDate>false</LinksUpToDate>
  <CharactersWithSpaces>5329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酷酷里小宝</cp:lastModifiedBy>
  <dcterms:modified xsi:type="dcterms:W3CDTF">2026-07-21T02:54:54Z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2995173277AE4893881777DDDBC69AE8_13</vt:lpwstr>
  </property>
  <property fmtid="{D5CDD505-2E9C-101B-9397-08002B2CF9AE}" pid="4" name="KSOTemplateDocerSaveRecord">
    <vt:lpwstr>eyJoZGlkIjoiNTFlYjQ4MjA3NWJkNTBmMGUyNDUwYmEzYThiZjZjZDUiLCJ1c2VySWQiOiI0NjEwNjg3MjAifQ==</vt:lpwstr>
  </property>
</Properties>
</file>