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DA7F6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bookmarkStart w:id="2" w:name="_GoBack"/>
      <w:bookmarkEnd w:id="2"/>
    </w:p>
    <w:p w14:paraId="0041FB93">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连云港市</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农村集体</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经济组织</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资源管理办法</w:t>
      </w:r>
    </w:p>
    <w:p w14:paraId="4CA95302">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楷体_GB2312" w:hAnsi="楷体_GB2312" w:eastAsia="楷体_GB2312" w:cs="楷体_GB2312"/>
          <w:color w:val="000000" w:themeColor="text1"/>
          <w:sz w:val="32"/>
          <w:szCs w:val="32"/>
          <w:lang w:eastAsia="zh-CN"/>
          <w14:textFill>
            <w14:solidFill>
              <w14:schemeClr w14:val="tx1"/>
            </w14:solidFill>
          </w14:textFill>
        </w:rPr>
      </w:pPr>
      <w:bookmarkStart w:id="0" w:name="bookmark149"/>
      <w:bookmarkEnd w:id="0"/>
    </w:p>
    <w:p w14:paraId="32475E6C">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楷体_GB2312" w:hAnsi="楷体_GB2312" w:eastAsia="楷体_GB2312" w:cs="楷体_GB2312"/>
          <w:color w:val="000000" w:themeColor="text1"/>
          <w:sz w:val="32"/>
          <w:szCs w:val="32"/>
          <w:lang w:eastAsia="zh-CN"/>
          <w14:textFill>
            <w14:solidFill>
              <w14:schemeClr w14:val="tx1"/>
            </w14:solidFill>
          </w14:textFill>
        </w:rPr>
      </w:pPr>
      <w:r>
        <w:rPr>
          <w:rFonts w:hint="eastAsia" w:ascii="楷体_GB2312" w:hAnsi="楷体_GB2312" w:eastAsia="楷体_GB2312" w:cs="楷体_GB2312"/>
          <w:color w:val="000000" w:themeColor="text1"/>
          <w:sz w:val="32"/>
          <w:szCs w:val="32"/>
          <w:lang w:eastAsia="zh-CN"/>
          <w14:textFill>
            <w14:solidFill>
              <w14:schemeClr w14:val="tx1"/>
            </w14:solidFill>
          </w14:textFill>
        </w:rPr>
        <w:t>（</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征求意见稿</w:t>
      </w:r>
      <w:r>
        <w:rPr>
          <w:rFonts w:hint="eastAsia" w:ascii="楷体_GB2312" w:hAnsi="楷体_GB2312" w:eastAsia="楷体_GB2312" w:cs="楷体_GB2312"/>
          <w:color w:val="000000" w:themeColor="text1"/>
          <w:sz w:val="32"/>
          <w:szCs w:val="32"/>
          <w:lang w:eastAsia="zh-CN"/>
          <w14:textFill>
            <w14:solidFill>
              <w14:schemeClr w14:val="tx1"/>
            </w14:solidFill>
          </w14:textFill>
        </w:rPr>
        <w:t>）</w:t>
      </w:r>
    </w:p>
    <w:p w14:paraId="2ADAE8A8">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p w14:paraId="5DEBDD29">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第一章</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黑体" w:cs="Times New Roman"/>
          <w:color w:val="000000" w:themeColor="text1"/>
          <w:sz w:val="32"/>
          <w:szCs w:val="32"/>
          <w14:textFill>
            <w14:solidFill>
              <w14:schemeClr w14:val="tx1"/>
            </w14:solidFill>
          </w14:textFill>
        </w:rPr>
        <w:t>总则</w:t>
      </w:r>
    </w:p>
    <w:p w14:paraId="16851727">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黑体" w:cs="Times New Roman"/>
          <w:color w:val="000000" w:themeColor="text1"/>
          <w:sz w:val="32"/>
          <w:szCs w:val="32"/>
          <w14:textFill>
            <w14:solidFill>
              <w14:schemeClr w14:val="tx1"/>
            </w14:solidFill>
          </w14:textFill>
        </w:rPr>
      </w:pPr>
    </w:p>
    <w:p w14:paraId="3F587E1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第一条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为规范</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本市</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资源管理，维护资源所有者和使用者的合法权益，促进资源合理利用和乡村可持续发展，根据《中华人民共和国民法典》《中华人民共和国土地管理法》《中华人民共和国土地管理法实施条例》《不动产登记暂行条例》等法律法规及政策规定，结合本</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市</w:t>
      </w:r>
      <w:r>
        <w:rPr>
          <w:rFonts w:hint="default" w:ascii="Times New Roman" w:hAnsi="Times New Roman" w:eastAsia="仿宋_GB2312" w:cs="Times New Roman"/>
          <w:color w:val="000000" w:themeColor="text1"/>
          <w:sz w:val="32"/>
          <w:szCs w:val="32"/>
          <w14:textFill>
            <w14:solidFill>
              <w14:schemeClr w14:val="tx1"/>
            </w14:solidFill>
          </w14:textFill>
        </w:rPr>
        <w:t>实际，制定本办法。</w:t>
      </w:r>
    </w:p>
    <w:p w14:paraId="02D79907">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第二条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本办法适用于</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本市</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所有土地的规划、登记、保护、利用、流转、监管及争议处理等全过程管理活动。</w:t>
      </w:r>
    </w:p>
    <w:p w14:paraId="1E706058">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第三条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土地管理坚持以下原则：</w:t>
      </w:r>
    </w:p>
    <w:p w14:paraId="1D68A6BA">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（一）坚持集体所有：维护农村集体经济组织对土地资源的所有权主体地位；</w:t>
      </w:r>
    </w:p>
    <w:p w14:paraId="1E2B211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（二）保障成员权益：确保集体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成员对资源的知情权、参与权、决策权、监督权；</w:t>
      </w:r>
    </w:p>
    <w:p w14:paraId="50A0639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（三）公开公平公正：资源管理、使用等全过程必须公开透明，程序规范；</w:t>
      </w:r>
    </w:p>
    <w:p w14:paraId="65012156">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（四）集约节约利用：促进农村集体土地资源高效配置和节约集约利用，服务乡村振兴战略。</w:t>
      </w:r>
    </w:p>
    <w:p w14:paraId="3BAFE767">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第四条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经济组织的</w:t>
      </w:r>
      <w:r>
        <w:rPr>
          <w:rFonts w:hint="default" w:ascii="Times New Roman" w:hAnsi="Times New Roman" w:eastAsia="仿宋_GB2312" w:cs="Times New Roman"/>
          <w:color w:val="000000" w:themeColor="text1"/>
          <w:sz w:val="32"/>
          <w:szCs w:val="32"/>
          <w14:textFill>
            <w14:solidFill>
              <w14:schemeClr w14:val="tx1"/>
            </w14:solidFill>
          </w14:textFill>
        </w:rPr>
        <w:t>资源受法律严格保护，任何组织和个人不得非法侵占、私自改变用途。对侵害集体资源权益的行为，相关主体有权依法追究其法律责任。</w:t>
      </w:r>
    </w:p>
    <w:p w14:paraId="5FB2C88A">
      <w:pPr>
        <w:keepNext w:val="0"/>
        <w:keepLines w:val="0"/>
        <w:pageBreakBefore w:val="0"/>
        <w:widowControl/>
        <w:kinsoku/>
        <w:wordWrap/>
        <w:overflowPunct/>
        <w:topLinePunct w:val="0"/>
        <w:autoSpaceDE w:val="0"/>
        <w:autoSpaceDN w:val="0"/>
        <w:bidi w:val="0"/>
        <w:adjustRightInd w:val="0"/>
        <w:snapToGrid w:val="0"/>
        <w:spacing w:line="560" w:lineRule="exact"/>
        <w:jc w:val="both"/>
        <w:textAlignment w:val="baseline"/>
        <w:rPr>
          <w:rFonts w:hint="eastAsia" w:ascii="黑体" w:hAnsi="黑体" w:eastAsia="黑体" w:cs="黑体"/>
          <w:color w:val="000000" w:themeColor="text1"/>
          <w:sz w:val="32"/>
          <w:szCs w:val="32"/>
          <w14:textFill>
            <w14:solidFill>
              <w14:schemeClr w14:val="tx1"/>
            </w14:solidFill>
          </w14:textFill>
        </w:rPr>
      </w:pPr>
    </w:p>
    <w:p w14:paraId="38C11B3D">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第二章 农用地</w:t>
      </w:r>
    </w:p>
    <w:p w14:paraId="6E81F4ED">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eastAsia" w:ascii="黑体" w:hAnsi="黑体" w:eastAsia="黑体" w:cs="黑体"/>
          <w:color w:val="000000" w:themeColor="text1"/>
          <w:sz w:val="32"/>
          <w:szCs w:val="32"/>
          <w14:textFill>
            <w14:solidFill>
              <w14:schemeClr w14:val="tx1"/>
            </w14:solidFill>
          </w14:textFill>
        </w:rPr>
      </w:pPr>
    </w:p>
    <w:p w14:paraId="5056FB0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第五条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本办法所称农用地，是指直接用于农业生产的土地，包括耕地、林地、草地、农田水利用地、养殖水面等。</w:t>
      </w:r>
    </w:p>
    <w:p w14:paraId="1E59ED1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第六条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使用土地的单位和个人必须严格按照土地利用总体规划确定的用途使用土地，严格限制农用地转为建设用地。</w:t>
      </w:r>
    </w:p>
    <w:p w14:paraId="198ACA2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第七条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耕地指种植农作物的土地，主要用于粮食、棉、油、糖、蔬菜等农产品生产种植，包括水田、水浇地和旱地。</w:t>
      </w:r>
    </w:p>
    <w:p w14:paraId="2F42872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第八条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国家对耕地实行特殊保护，严守耕地保护红线，严格控制耕地转为林地、草地、园地等其他农用地。禁止占用耕地建窑、建坟或者擅自在耕地上建房、挖砂、采石、采矿、取土等，禁止闲置、荒芜耕地。非农建设、造林种树、种果种茶等各类占用耕地的行为，均需落实耕地占补平衡，补充同等数量质量的耕地。</w:t>
      </w:r>
    </w:p>
    <w:p w14:paraId="2912B64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非农业建设经批准占用耕地的，由占用耕地的单位依法依规履行补充耕地义务，不能自行落实补充的应按规定足额缴纳耕地开垦费。</w:t>
      </w:r>
    </w:p>
    <w:p w14:paraId="2B863CA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第九条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永久基本农田是国家依法划定的、长期严格保护的优质耕地，任何单位和个人不得擅自占用或者改变其用途。严禁占用永久基本农田发展林果业和挖塘养鱼。</w:t>
      </w:r>
    </w:p>
    <w:p w14:paraId="79B528A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国家能源、交通、水利、军事设施等重点建设项目选址确实难以避让永久基本农田，涉及农用地转用或者土地征收的，必须经国务院批准。</w:t>
      </w:r>
    </w:p>
    <w:p w14:paraId="1ED38A58">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第十条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农用地经营权流转应当签订书面合同，并报发包方和</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备案。流转不得改变土地的农业用途。</w:t>
      </w:r>
    </w:p>
    <w:p w14:paraId="32EABF77">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color w:val="000000" w:themeColor="text1"/>
          <w:sz w:val="32"/>
          <w:szCs w:val="32"/>
          <w14:textFill>
            <w14:solidFill>
              <w14:schemeClr w14:val="tx1"/>
            </w14:solidFill>
          </w14:textFill>
        </w:rPr>
      </w:pPr>
    </w:p>
    <w:p w14:paraId="69149016">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第三章</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黑体" w:hAnsi="黑体" w:eastAsia="黑体" w:cs="黑体"/>
          <w:color w:val="000000" w:themeColor="text1"/>
          <w:sz w:val="32"/>
          <w:szCs w:val="32"/>
          <w14:textFill>
            <w14:solidFill>
              <w14:schemeClr w14:val="tx1"/>
            </w14:solidFill>
          </w14:textFill>
        </w:rPr>
        <w:t>建设用地</w:t>
      </w:r>
    </w:p>
    <w:p w14:paraId="7D7A11BB">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default" w:ascii="黑体" w:hAnsi="黑体" w:eastAsia="黑体" w:cs="黑体"/>
          <w:color w:val="000000" w:themeColor="text1"/>
          <w:sz w:val="32"/>
          <w:szCs w:val="32"/>
          <w14:textFill>
            <w14:solidFill>
              <w14:schemeClr w14:val="tx1"/>
            </w14:solidFill>
          </w14:textFill>
        </w:rPr>
      </w:pPr>
    </w:p>
    <w:p w14:paraId="397C8CE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第十一条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本办法所称建设用地，是指建造建筑物、构筑物的土地，包括宅基地、公共设施用地、经营性用地等。其使用必须符合国土空间规划及用途管制要求，涉及工业用地项目，须纳入市农村一二三产业融合发展用地项目清单。</w:t>
      </w:r>
    </w:p>
    <w:p w14:paraId="01EE5E7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第十二条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建设占用土地，将农用地和未利用地转为建设用地，须符合国土空间总体规划（详细规划），办理项目批准、核准或备案手续并依法办理农用地转用审批手续。</w:t>
      </w:r>
    </w:p>
    <w:p w14:paraId="5F8E889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项目建设时须依法按程序办理建设工程规划许可手续，确保符合用途、面积、高度、风貌等规划要求。</w:t>
      </w:r>
    </w:p>
    <w:p w14:paraId="051920D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农用地转用涉及征收土地的，还应当依法办理征收土地手续。</w:t>
      </w:r>
    </w:p>
    <w:p w14:paraId="239200E7">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第十三条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为了公共利益的需要，确需征收农民集体所有的土地的，可以依法实施征收：</w:t>
      </w:r>
    </w:p>
    <w:p w14:paraId="21E506B1">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（一）军事和外交需要用地的；</w:t>
      </w:r>
    </w:p>
    <w:p w14:paraId="5033BF3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（二）由政府组织实施的能源、交通、水利等基础设施及科技、教育、文化、卫生等公共事业建设需要用地的；</w:t>
      </w:r>
    </w:p>
    <w:p w14:paraId="64B8211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（三）由政府组织实施的扶贫搬迁、保障性安居工程建设需要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用地</w:t>
      </w:r>
      <w:r>
        <w:rPr>
          <w:rFonts w:hint="default" w:ascii="Times New Roman" w:hAnsi="Times New Roman" w:eastAsia="仿宋_GB2312" w:cs="Times New Roman"/>
          <w:color w:val="000000" w:themeColor="text1"/>
          <w:sz w:val="32"/>
          <w:szCs w:val="32"/>
          <w14:textFill>
            <w14:solidFill>
              <w14:schemeClr w14:val="tx1"/>
            </w14:solidFill>
          </w14:textFill>
        </w:rPr>
        <w:t>等情形。</w:t>
      </w:r>
    </w:p>
    <w:p w14:paraId="1507174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第十四条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申请征收土地的，需发布征收土地预公告（不少于</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w:t>
      </w:r>
      <w:r>
        <w:rPr>
          <w:rFonts w:hint="default" w:ascii="Times New Roman" w:hAnsi="Times New Roman" w:eastAsia="仿宋_GB2312" w:cs="Times New Roman"/>
          <w:color w:val="000000" w:themeColor="text1"/>
          <w:sz w:val="32"/>
          <w:szCs w:val="32"/>
          <w14:textFill>
            <w14:solidFill>
              <w14:schemeClr w14:val="tx1"/>
            </w14:solidFill>
          </w14:textFill>
        </w:rPr>
        <w:t>个工作日），并开展拟征收土地现状调查和社会稳定风险评估，并将征收范围、土地现状、征收目的、补偿标准、安置方式和社会保障等在拟征收土地所在的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和村（社区）、村（居）民小组范围内公告至少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30</w:t>
      </w:r>
      <w:r>
        <w:rPr>
          <w:rFonts w:hint="default" w:ascii="Times New Roman" w:hAnsi="Times New Roman" w:eastAsia="仿宋_GB2312" w:cs="Times New Roman"/>
          <w:color w:val="000000" w:themeColor="text1"/>
          <w:sz w:val="32"/>
          <w:szCs w:val="32"/>
          <w14:textFill>
            <w14:solidFill>
              <w14:schemeClr w14:val="tx1"/>
            </w14:solidFill>
          </w14:textFill>
        </w:rPr>
        <w:t>日，听取被征地的农村集体经济组织及其成员、村（居）民委员会和其他利害关系人的意见。</w:t>
      </w:r>
    </w:p>
    <w:p w14:paraId="12079F3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bookmarkStart w:id="1" w:name="bookmark252"/>
      <w:bookmarkEnd w:id="1"/>
      <w:r>
        <w:rPr>
          <w:rFonts w:hint="default" w:ascii="Times New Roman" w:hAnsi="Times New Roman" w:eastAsia="仿宋_GB2312" w:cs="Times New Roman"/>
          <w:color w:val="000000" w:themeColor="text1"/>
          <w:sz w:val="32"/>
          <w:szCs w:val="32"/>
          <w14:textFill>
            <w14:solidFill>
              <w14:schemeClr w14:val="tx1"/>
            </w14:solidFill>
          </w14:textFill>
        </w:rPr>
        <w:t>征收土地预公告发布之日起，任何单位和个人不得在拟征收范围内抢栽抢建；违反规定抢栽抢建的，对抢栽抢建部分不予补偿。</w:t>
      </w:r>
    </w:p>
    <w:p w14:paraId="7A31C716">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第十五条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农村村民宅基地管理严格执行“一户一宅”规定。农村村民宅基地，应当符合国土空间总体规划（详细规划），不得占用永久基本农田，并尽量使用原有的宅基地和村内空闲地。</w:t>
      </w:r>
    </w:p>
    <w:p w14:paraId="2909E613">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第十六条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申请宅基地的，应当以户为单位向农村集体经济组织提出申请，依法经农村集体组织成员集体讨论通过并在本集体范围内公示后，报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审核批准。农村集体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w:t>
      </w:r>
      <w:r>
        <w:rPr>
          <w:rFonts w:hint="default" w:ascii="Times New Roman" w:hAnsi="Times New Roman" w:eastAsia="仿宋_GB2312" w:cs="Times New Roman"/>
          <w:color w:val="000000" w:themeColor="text1"/>
          <w:sz w:val="32"/>
          <w:szCs w:val="32"/>
          <w14:textFill>
            <w14:solidFill>
              <w14:schemeClr w14:val="tx1"/>
            </w14:solidFill>
          </w14:textFill>
        </w:rPr>
        <w:t>组织成员出卖、出租、赠与住宅后，再申请宅基地的，不予批准。</w:t>
      </w:r>
    </w:p>
    <w:p w14:paraId="7737206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第十七条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农村集体经济组织使用</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土地利用总体规划确定的建设用地兴办企业或者与其他单位、个人以土地使用权入股、联营等形式共同举办企业的，应当持有关立项文件，向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县级</w:t>
      </w:r>
      <w:r>
        <w:rPr>
          <w:rFonts w:hint="default" w:ascii="Times New Roman" w:hAnsi="Times New Roman" w:eastAsia="仿宋_GB2312" w:cs="Times New Roman"/>
          <w:color w:val="000000" w:themeColor="text1"/>
          <w:sz w:val="32"/>
          <w:szCs w:val="32"/>
          <w14:textFill>
            <w14:solidFill>
              <w14:schemeClr w14:val="tx1"/>
            </w14:solidFill>
          </w14:textFill>
        </w:rPr>
        <w:t>自然资源主管部门提出申请，并根据审批层级报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级以上地方人民政府批准；其中，涉及占用农用地的，依照本办法第十二条的规定办理审批手续。</w:t>
      </w:r>
    </w:p>
    <w:p w14:paraId="3466B0E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第十八条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经依法登记的集体经营性建设用地，土地所有权人可以通过出让、出租等方式交由单位或者个人使用，并应当签订书面合同，载明土地界址、面积、动工期限、使用期限、土地用途、规划条件和双方其他权利义务。</w:t>
      </w:r>
    </w:p>
    <w:p w14:paraId="389A0F7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第十九条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集体经营性建设用地出让、出租等，须经本集体经济组织成员会议三分之二以上成员或三分之二以上成员代表同意。入市方案、合同等应报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与</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县级</w:t>
      </w:r>
      <w:r>
        <w:rPr>
          <w:rFonts w:hint="default" w:ascii="Times New Roman" w:hAnsi="Times New Roman" w:eastAsia="仿宋_GB2312" w:cs="Times New Roman"/>
          <w:color w:val="000000" w:themeColor="text1"/>
          <w:sz w:val="32"/>
          <w:szCs w:val="32"/>
          <w14:textFill>
            <w14:solidFill>
              <w14:schemeClr w14:val="tx1"/>
            </w14:solidFill>
          </w14:textFill>
        </w:rPr>
        <w:t>自然资源主管部门备案。</w:t>
      </w:r>
    </w:p>
    <w:p w14:paraId="4CDFBE4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第二十条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对历史形成的协议占用集体土地项目，按照“尊重历史、依法合规、分类处置”的原则，在符合规划、立项，满足安全与效益要求的前提下，根据《招标拍卖挂牌出让国有建设用地使用权规定》（第39号令）、《划拨用地目录》（第16号令）之规定，确定挂牌出让供地或划拨供地，依法完善相关用地手续。</w:t>
      </w:r>
    </w:p>
    <w:p w14:paraId="11E09A0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color w:val="000000" w:themeColor="text1"/>
          <w:sz w:val="32"/>
          <w:szCs w:val="32"/>
          <w14:textFill>
            <w14:solidFill>
              <w14:schemeClr w14:val="tx1"/>
            </w14:solidFill>
          </w14:textFill>
        </w:rPr>
      </w:pPr>
    </w:p>
    <w:p w14:paraId="57D17133">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第四章</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黑体" w:hAnsi="黑体" w:eastAsia="黑体" w:cs="黑体"/>
          <w:color w:val="000000" w:themeColor="text1"/>
          <w:sz w:val="32"/>
          <w:szCs w:val="32"/>
          <w14:textFill>
            <w14:solidFill>
              <w14:schemeClr w14:val="tx1"/>
            </w14:solidFill>
          </w14:textFill>
        </w:rPr>
        <w:t>未利用地</w:t>
      </w:r>
    </w:p>
    <w:p w14:paraId="1E789C1D">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eastAsia" w:ascii="黑体" w:hAnsi="黑体" w:eastAsia="黑体" w:cs="黑体"/>
          <w:color w:val="000000" w:themeColor="text1"/>
          <w:sz w:val="32"/>
          <w:szCs w:val="32"/>
          <w14:textFill>
            <w14:solidFill>
              <w14:schemeClr w14:val="tx1"/>
            </w14:solidFill>
          </w14:textFill>
        </w:rPr>
      </w:pPr>
    </w:p>
    <w:p w14:paraId="6C8206D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第二十一条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本办法所称未利用地，是指农用地和建设用地以外的土地，包括荒山、荒沟、荒丘、荒滩等。</w:t>
      </w:r>
    </w:p>
    <w:p w14:paraId="6152D42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第二十二条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应建立未利用地资源台账，定期评估其生态价值与开发潜力，并制定差异化的开发利用指引。</w:t>
      </w:r>
    </w:p>
    <w:p w14:paraId="61F0F73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第二十三条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未利用地的开发利用应当坚持生态保护优先，鼓励农村集体经济组织通过承包、租赁、股份合作等多种模式，有序开发和盘活未利用地资源。</w:t>
      </w:r>
    </w:p>
    <w:p w14:paraId="3D7CBC7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第二十四条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未利用地开发涉及权属调整的，</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应当</w:t>
      </w:r>
      <w:r>
        <w:rPr>
          <w:rFonts w:hint="default" w:ascii="Times New Roman" w:hAnsi="Times New Roman" w:eastAsia="仿宋_GB2312" w:cs="Times New Roman"/>
          <w:color w:val="000000" w:themeColor="text1"/>
          <w:sz w:val="32"/>
          <w:szCs w:val="32"/>
          <w14:textFill>
            <w14:solidFill>
              <w14:schemeClr w14:val="tx1"/>
            </w14:solidFill>
          </w14:textFill>
        </w:rPr>
        <w:t>依法办理相关变更登记手续，确保权属清晰无争议。</w:t>
      </w:r>
    </w:p>
    <w:p w14:paraId="531483C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黑体" w:hAnsi="黑体" w:eastAsia="黑体" w:cs="黑体"/>
          <w:color w:val="000000" w:themeColor="text1"/>
          <w:sz w:val="32"/>
          <w:szCs w:val="32"/>
          <w14:textFill>
            <w14:solidFill>
              <w14:schemeClr w14:val="tx1"/>
            </w14:solidFill>
          </w14:textFill>
        </w:rPr>
      </w:pPr>
    </w:p>
    <w:p w14:paraId="69534CB1">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default" w:ascii="黑体" w:hAnsi="黑体" w:eastAsia="黑体" w:cs="黑体"/>
          <w:color w:val="000000" w:themeColor="text1"/>
          <w:sz w:val="32"/>
          <w:szCs w:val="32"/>
          <w14:textFill>
            <w14:solidFill>
              <w14:schemeClr w14:val="tx1"/>
            </w14:solidFill>
          </w14:textFill>
        </w:rPr>
      </w:pPr>
      <w:r>
        <w:rPr>
          <w:rFonts w:hint="default" w:ascii="黑体" w:hAnsi="黑体" w:eastAsia="黑体" w:cs="黑体"/>
          <w:color w:val="000000" w:themeColor="text1"/>
          <w:sz w:val="32"/>
          <w:szCs w:val="32"/>
          <w14:textFill>
            <w14:solidFill>
              <w14:schemeClr w14:val="tx1"/>
            </w14:solidFill>
          </w14:textFill>
        </w:rPr>
        <w:t>第五章</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黑体" w:hAnsi="黑体" w:eastAsia="黑体" w:cs="黑体"/>
          <w:color w:val="000000" w:themeColor="text1"/>
          <w:sz w:val="32"/>
          <w:szCs w:val="32"/>
          <w14:textFill>
            <w14:solidFill>
              <w14:schemeClr w14:val="tx1"/>
            </w14:solidFill>
          </w14:textFill>
        </w:rPr>
        <w:t>附</w:t>
      </w:r>
      <w:r>
        <w:rPr>
          <w:rFonts w:hint="eastAsia" w:ascii="黑体" w:hAnsi="黑体" w:eastAsia="黑体" w:cs="黑体"/>
          <w:color w:val="000000" w:themeColor="text1"/>
          <w:sz w:val="32"/>
          <w:szCs w:val="32"/>
          <w:lang w:val="en-US" w:eastAsia="zh-CN"/>
          <w14:textFill>
            <w14:solidFill>
              <w14:schemeClr w14:val="tx1"/>
            </w14:solidFill>
          </w14:textFill>
        </w:rPr>
        <w:t xml:space="preserve">  </w:t>
      </w:r>
      <w:r>
        <w:rPr>
          <w:rFonts w:hint="default" w:ascii="黑体" w:hAnsi="黑体" w:eastAsia="黑体" w:cs="黑体"/>
          <w:color w:val="000000" w:themeColor="text1"/>
          <w:sz w:val="32"/>
          <w:szCs w:val="32"/>
          <w14:textFill>
            <w14:solidFill>
              <w14:schemeClr w14:val="tx1"/>
            </w14:solidFill>
          </w14:textFill>
        </w:rPr>
        <w:t>则</w:t>
      </w:r>
    </w:p>
    <w:p w14:paraId="2201E71E">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default" w:ascii="黑体" w:hAnsi="黑体" w:eastAsia="黑体" w:cs="黑体"/>
          <w:color w:val="000000" w:themeColor="text1"/>
          <w:sz w:val="32"/>
          <w:szCs w:val="32"/>
          <w14:textFill>
            <w14:solidFill>
              <w14:schemeClr w14:val="tx1"/>
            </w14:solidFill>
          </w14:textFill>
        </w:rPr>
      </w:pPr>
    </w:p>
    <w:p w14:paraId="6147C65A">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第二十五条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土地权属争议，应先由当事人协商解决；协商不成的，可申请</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处理。权属争议解决前，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任何一方</w:t>
      </w:r>
      <w:r>
        <w:rPr>
          <w:rFonts w:hint="default" w:ascii="Times New Roman" w:hAnsi="Times New Roman" w:eastAsia="仿宋_GB2312" w:cs="Times New Roman"/>
          <w:color w:val="000000" w:themeColor="text1"/>
          <w:sz w:val="32"/>
          <w:szCs w:val="32"/>
          <w14:textFill>
            <w14:solidFill>
              <w14:schemeClr w14:val="tx1"/>
            </w14:solidFill>
          </w14:textFill>
        </w:rPr>
        <w:t>不得改变土地利用现状。</w:t>
      </w:r>
    </w:p>
    <w:p w14:paraId="0A585463">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第二十六条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农村集体经济组织是集体资源管理的责任主体。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负有指导、监督责任。由村集体经济组织理事会指定专人定期对集体资源使用情况进行巡查，重点检查是否存在改变用途、闲置荒芜、违规占用等情况。</w:t>
      </w:r>
    </w:p>
    <w:p w14:paraId="6CC386C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第二十七条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政府应利用信息化技术，建立</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县级</w:t>
      </w:r>
      <w:r>
        <w:rPr>
          <w:rFonts w:hint="default" w:ascii="Times New Roman" w:hAnsi="Times New Roman" w:eastAsia="仿宋_GB2312" w:cs="Times New Roman"/>
          <w:color w:val="000000" w:themeColor="text1"/>
          <w:sz w:val="32"/>
          <w:szCs w:val="32"/>
          <w14:textFill>
            <w14:solidFill>
              <w14:schemeClr w14:val="tx1"/>
            </w14:solidFill>
          </w14:textFill>
        </w:rPr>
        <w:t>统一的农村集体土地管理数据库，实现信息共享与动态监管。</w:t>
      </w:r>
    </w:p>
    <w:p w14:paraId="25E89F6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第二十八条</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县区</w:t>
      </w:r>
      <w:r>
        <w:rPr>
          <w:rFonts w:hint="default" w:ascii="Times New Roman" w:hAnsi="Times New Roman" w:eastAsia="仿宋_GB2312" w:cs="Times New Roman"/>
          <w:color w:val="000000" w:themeColor="text1"/>
          <w:sz w:val="32"/>
          <w:szCs w:val="32"/>
          <w14:textFill>
            <w14:solidFill>
              <w14:schemeClr w14:val="tx1"/>
            </w14:solidFill>
          </w14:textFill>
        </w:rPr>
        <w:t>政府应定期对集体资源管理情况进行专项审计</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，将</w:t>
      </w:r>
      <w:r>
        <w:rPr>
          <w:rFonts w:hint="default" w:ascii="Times New Roman" w:hAnsi="Times New Roman" w:eastAsia="仿宋_GB2312" w:cs="Times New Roman"/>
          <w:color w:val="000000" w:themeColor="text1"/>
          <w:sz w:val="32"/>
          <w:szCs w:val="32"/>
          <w14:textFill>
            <w14:solidFill>
              <w14:schemeClr w14:val="tx1"/>
            </w14:solidFill>
          </w14:textFill>
        </w:rPr>
        <w:t>审计结果向全体成员公开。对在资源管理中违反程序、滥用职权、徇私舞弊、失职渎职，导致集体资源流失、收益受损的相关人员，</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移交相关部门</w:t>
      </w:r>
      <w:r>
        <w:rPr>
          <w:rFonts w:hint="default" w:ascii="Times New Roman" w:hAnsi="Times New Roman" w:eastAsia="仿宋_GB2312" w:cs="Times New Roman"/>
          <w:color w:val="000000" w:themeColor="text1"/>
          <w:sz w:val="32"/>
          <w:szCs w:val="32"/>
          <w14:textFill>
            <w14:solidFill>
              <w14:schemeClr w14:val="tx1"/>
            </w14:solidFill>
          </w14:textFill>
        </w:rPr>
        <w:t>依法依规追究责任。</w:t>
      </w:r>
    </w:p>
    <w:p w14:paraId="7F1C04B8">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eastAsia="宋体"/>
          <w:lang w:val="en-US" w:eastAsia="zh-CN"/>
        </w:rPr>
      </w:pPr>
      <w:r>
        <w:rPr>
          <w:rFonts w:hint="default" w:ascii="楷体_GB2312" w:hAnsi="楷体_GB2312" w:eastAsia="楷体_GB2312" w:cs="楷体_GB2312"/>
          <w:color w:val="000000" w:themeColor="text1"/>
          <w:sz w:val="32"/>
          <w:szCs w:val="32"/>
          <w14:textFill>
            <w14:solidFill>
              <w14:schemeClr w14:val="tx1"/>
            </w14:solidFill>
          </w14:textFill>
        </w:rPr>
        <w:t>第二十九条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本办法未尽事宜，按照国家及地方相关法律法规、政策规定执行；本办法与相关法律法规、政策规定不一致的，以法律法规、政策规定为准。本办法自印发之日起实施</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WPSEMBED12">
    <w:panose1 w:val="02010609030101010101"/>
    <w:charset w:val="86"/>
    <w:family w:val="auto"/>
    <w:pitch w:val="default"/>
    <w:sig w:usb0="00000001" w:usb1="080E0000" w:usb2="00000000" w:usb3="00000000" w:csb0="00040000" w:csb1="00000000"/>
  </w:font>
  <w:font w:name="WPSEMBED13">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5958E">
    <w:pPr>
      <w:spacing w:line="226" w:lineRule="exact"/>
      <w:ind w:left="43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-132080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6B5F8D">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30</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0.4pt;height:144pt;width:144pt;mso-position-horizontal:outside;mso-position-horizontal-relative:margin;mso-wrap-style:none;z-index:251659264;mso-width-relative:page;mso-height-relative:page;" filled="f" stroked="f" coordsize="21600,21600" o:gfxdata="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LKCVXVAAAACAEAAA8AAAAAAAAAAQAgAAAAIgAAAGRycy9kb3ducmV2LnhtbFBL&#10;AQIUABQAAAAIAIdO4kD1i4dkMgIAAGEEAAAOAAAAAAAAAAEAIAAAACQBAABkcnMvZTJvRG9jLnht&#10;bFBLBQYAAAAABgAGAFkBAADIBQAAAAA=&#10;">
              <v:fill on="f" focussize="0,0"/>
              <v:stroke on="f" weight="0.5pt"/>
              <v:imagedata o:title=""/>
              <o:lock v:ext="edit" aspectratio="f"/>
              <v:textbox inset="0mm,0mm,0mm,0mm" style="mso-fit-shape-to-text:t;">
                <w:txbxContent>
                  <w:p w14:paraId="216B5F8D">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30</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124CB"/>
    <w:rsid w:val="13E66A79"/>
    <w:rsid w:val="4AEA6B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2891</Words>
  <Characters>2895</Characters>
  <Lines>0</Lines>
  <Paragraphs>0</Paragraphs>
  <TotalTime>0</TotalTime>
  <ScaleCrop>false</ScaleCrop>
  <LinksUpToDate>false</LinksUpToDate>
  <CharactersWithSpaces>2968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2026-08-24T01:14:00Z</dcterms:created>
  <dc:creator>47086</dc:creator>
  <cp:lastModifiedBy>赞</cp:lastModifiedBy>
  <dcterms:modified xsi:type="dcterms:W3CDTF">2026-08-25T02:03:55Z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eyJoZGlkIjoiZWFjMjM0MzFkNzAyMzljZThkMWE2MDM4ODFiOTk3ZjIiLCJ1c2VySWQiOiI0NTc1MjcyOTQifQ==</vt:lpwstr>
  </property>
  <property fmtid="{D5CDD505-2E9C-101B-9397-08002B2CF9AE}" pid="4" name="ICV">
    <vt:lpwstr>B2C7675D9F1B4A1BA4A4E7D71717534D_13</vt:lpwstr>
  </property>
</Properties>
</file>