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3A7C09">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pPr>
      <w:bookmarkStart w:id="2" w:name="_GoBack"/>
      <w:bookmarkEnd w:id="2"/>
    </w:p>
    <w:p w14:paraId="10DFB2F9">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连云港市</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农村集体</w:t>
      </w: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经济组织</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资产管理办法</w:t>
      </w:r>
      <w:bookmarkStart w:id="0" w:name="bookmark148"/>
      <w:bookmarkEnd w:id="0"/>
    </w:p>
    <w:p w14:paraId="35DF4ACA">
      <w:pPr>
        <w:keepNext w:val="0"/>
        <w:keepLines w:val="0"/>
        <w:pageBreakBefore w:val="0"/>
        <w:widowControl/>
        <w:kinsoku w:val="0"/>
        <w:wordWrap/>
        <w:overflowPunct/>
        <w:topLinePunct w:val="0"/>
        <w:autoSpaceDE w:val="0"/>
        <w:autoSpaceDN w:val="0"/>
        <w:bidi w:val="0"/>
        <w:adjustRightInd w:val="0"/>
        <w:snapToGrid w:val="0"/>
        <w:spacing w:line="440" w:lineRule="exact"/>
        <w:jc w:val="center"/>
        <w:textAlignment w:val="baseline"/>
        <w:rPr>
          <w:rFonts w:hint="eastAsia" w:ascii="楷体_GB2312" w:hAnsi="楷体_GB2312" w:eastAsia="楷体_GB2312" w:cs="楷体_GB2312"/>
          <w:color w:val="000000" w:themeColor="text1"/>
          <w:sz w:val="32"/>
          <w:szCs w:val="32"/>
          <w:lang w:eastAsia="zh-CN"/>
          <w14:textFill>
            <w14:solidFill>
              <w14:schemeClr w14:val="tx1"/>
            </w14:solidFill>
          </w14:textFill>
        </w:rPr>
      </w:pPr>
    </w:p>
    <w:p w14:paraId="42D58B2E">
      <w:pPr>
        <w:keepNext w:val="0"/>
        <w:keepLines w:val="0"/>
        <w:pageBreakBefore w:val="0"/>
        <w:widowControl/>
        <w:kinsoku w:val="0"/>
        <w:wordWrap/>
        <w:overflowPunct/>
        <w:topLinePunct w:val="0"/>
        <w:autoSpaceDE w:val="0"/>
        <w:autoSpaceDN w:val="0"/>
        <w:bidi w:val="0"/>
        <w:adjustRightInd w:val="0"/>
        <w:snapToGrid w:val="0"/>
        <w:spacing w:line="440" w:lineRule="exact"/>
        <w:jc w:val="center"/>
        <w:textAlignment w:val="baseline"/>
        <w:rPr>
          <w:rFonts w:hint="eastAsia" w:ascii="楷体_GB2312" w:hAnsi="楷体_GB2312" w:eastAsia="楷体_GB2312" w:cs="楷体_GB2312"/>
          <w:color w:val="000000" w:themeColor="text1"/>
          <w:sz w:val="32"/>
          <w:szCs w:val="32"/>
          <w:lang w:eastAsia="zh-CN"/>
          <w14:textFill>
            <w14:solidFill>
              <w14:schemeClr w14:val="tx1"/>
            </w14:solidFill>
          </w14:textFill>
        </w:rPr>
      </w:pPr>
      <w:r>
        <w:rPr>
          <w:rFonts w:hint="eastAsia" w:ascii="楷体_GB2312" w:hAnsi="楷体_GB2312" w:eastAsia="楷体_GB2312" w:cs="楷体_GB2312"/>
          <w:color w:val="000000" w:themeColor="text1"/>
          <w:sz w:val="32"/>
          <w:szCs w:val="32"/>
          <w:lang w:eastAsia="zh-CN"/>
          <w14:textFill>
            <w14:solidFill>
              <w14:schemeClr w14:val="tx1"/>
            </w14:solidFill>
          </w14:textFill>
        </w:rPr>
        <w:t>（</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征求意见稿</w:t>
      </w:r>
      <w:r>
        <w:rPr>
          <w:rFonts w:hint="eastAsia" w:ascii="楷体_GB2312" w:hAnsi="楷体_GB2312" w:eastAsia="楷体_GB2312" w:cs="楷体_GB2312"/>
          <w:color w:val="000000" w:themeColor="text1"/>
          <w:sz w:val="32"/>
          <w:szCs w:val="32"/>
          <w:lang w:eastAsia="zh-CN"/>
          <w14:textFill>
            <w14:solidFill>
              <w14:schemeClr w14:val="tx1"/>
            </w14:solidFill>
          </w14:textFill>
        </w:rPr>
        <w:t>）</w:t>
      </w:r>
    </w:p>
    <w:p w14:paraId="132A3B1B">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eastAsia" w:ascii="仿宋_GB2312" w:hAnsi="仿宋_GB2312" w:eastAsia="仿宋_GB2312" w:cs="仿宋_GB2312"/>
          <w:color w:val="000000" w:themeColor="text1"/>
          <w:sz w:val="28"/>
          <w:szCs w:val="28"/>
          <w14:textFill>
            <w14:solidFill>
              <w14:schemeClr w14:val="tx1"/>
            </w14:solidFill>
          </w14:textFill>
        </w:rPr>
      </w:pPr>
    </w:p>
    <w:p w14:paraId="0C763646">
      <w:pPr>
        <w:keepNext w:val="0"/>
        <w:keepLines w:val="0"/>
        <w:pageBreakBefore w:val="0"/>
        <w:widowControl/>
        <w:kinsoku/>
        <w:wordWrap/>
        <w:overflowPunct/>
        <w:topLinePunct w:val="0"/>
        <w:autoSpaceDE w:val="0"/>
        <w:autoSpaceDN w:val="0"/>
        <w:bidi w:val="0"/>
        <w:adjustRightInd w:val="0"/>
        <w:snapToGrid w:val="0"/>
        <w:spacing w:line="560" w:lineRule="exact"/>
        <w:jc w:val="center"/>
        <w:textAlignment w:val="baseline"/>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第一章   总</w:t>
      </w:r>
      <w:r>
        <w:rPr>
          <w:rFonts w:hint="eastAsia" w:ascii="黑体" w:hAnsi="黑体" w:eastAsia="黑体" w:cs="黑体"/>
          <w:color w:val="000000" w:themeColor="text1"/>
          <w:sz w:val="32"/>
          <w:szCs w:val="32"/>
          <w:lang w:val="en-US" w:eastAsia="zh-CN"/>
          <w14:textFill>
            <w14:solidFill>
              <w14:schemeClr w14:val="tx1"/>
            </w14:solidFill>
          </w14:textFill>
        </w:rPr>
        <w:t xml:space="preserve">  </w:t>
      </w:r>
      <w:r>
        <w:rPr>
          <w:rFonts w:hint="eastAsia" w:ascii="黑体" w:hAnsi="黑体" w:eastAsia="黑体" w:cs="黑体"/>
          <w:color w:val="000000" w:themeColor="text1"/>
          <w:sz w:val="32"/>
          <w:szCs w:val="32"/>
          <w14:textFill>
            <w14:solidFill>
              <w14:schemeClr w14:val="tx1"/>
            </w14:solidFill>
          </w14:textFill>
        </w:rPr>
        <w:t>则</w:t>
      </w:r>
    </w:p>
    <w:p w14:paraId="783E9885">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第一条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为进一步规范</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本市</w:t>
      </w:r>
      <w:r>
        <w:rPr>
          <w:rFonts w:hint="default" w:ascii="Times New Roman" w:hAnsi="Times New Roman" w:eastAsia="仿宋_GB2312" w:cs="Times New Roman"/>
          <w:color w:val="000000" w:themeColor="text1"/>
          <w:sz w:val="32"/>
          <w:szCs w:val="32"/>
          <w14:textFill>
            <w14:solidFill>
              <w14:schemeClr w14:val="tx1"/>
            </w14:solidFill>
          </w14:textFill>
        </w:rPr>
        <w:t>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资产管理秩序，维护农村集体经济组织及其成员合法权益，激活农村集体经济发展活力，助力乡村振兴战略实施，根据《中华人民共和国农村集体经济组织法》《农村集体经济组织财务制度》《村集体经济组织会计制度》《江苏省农村集体资产管理条例》等法律法规和有关规定，结合</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本市</w:t>
      </w:r>
      <w:r>
        <w:rPr>
          <w:rFonts w:hint="default" w:ascii="Times New Roman" w:hAnsi="Times New Roman" w:eastAsia="仿宋_GB2312" w:cs="Times New Roman"/>
          <w:color w:val="000000" w:themeColor="text1"/>
          <w:sz w:val="32"/>
          <w:szCs w:val="32"/>
          <w14:textFill>
            <w14:solidFill>
              <w14:schemeClr w14:val="tx1"/>
            </w14:solidFill>
          </w14:textFill>
        </w:rPr>
        <w:t>实际，制定本办法。</w:t>
      </w:r>
    </w:p>
    <w:p w14:paraId="18D1A23C">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第二条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本办法适用于</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本市</w:t>
      </w:r>
      <w:r>
        <w:rPr>
          <w:rFonts w:hint="default" w:ascii="Times New Roman" w:hAnsi="Times New Roman" w:eastAsia="仿宋_GB2312" w:cs="Times New Roman"/>
          <w:color w:val="000000" w:themeColor="text1"/>
          <w:sz w:val="32"/>
          <w:szCs w:val="32"/>
          <w14:textFill>
            <w14:solidFill>
              <w14:schemeClr w14:val="tx1"/>
            </w14:solidFill>
          </w14:textFill>
        </w:rPr>
        <w:t>行政区域内农村集体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依法拥有所有权的各类集体资产的管理活动，包括资产的形成、清查、登记、保管、使用、经营、评估、处置及档案管理等全流程环节。</w:t>
      </w:r>
    </w:p>
    <w:p w14:paraId="024FEAC1">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第三条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本办法所称农村集体资产，是指所有集体成员依法享有所有权的各类资产，具体包括：</w:t>
      </w:r>
    </w:p>
    <w:p w14:paraId="2DEF7074">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集体通过出资、投劳等方式形成的房产、办公设备、机械设备、林木资源、农田水利设施、人居环境相关配套设施、乡村道路、文教卫生体育公益设施等有形资产；</w:t>
      </w:r>
    </w:p>
    <w:p w14:paraId="77ADE208">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集体独资兴办企业所形成的资产；</w:t>
      </w:r>
    </w:p>
    <w:p w14:paraId="1C1A4EAA">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股份制、联营、合资等企业中，村集体按出资比例或协议占有的资产份额；</w:t>
      </w:r>
    </w:p>
    <w:p w14:paraId="1AA1289D">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4.</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集体通过接受财政补助、社会捐赠等方式获取资金形成的资产；</w:t>
      </w:r>
    </w:p>
    <w:p w14:paraId="243F0FA7">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5.</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集体依法拥有的著作权、专利权、商标专用权、土地经营权等无形资产；</w:t>
      </w:r>
    </w:p>
    <w:p w14:paraId="459D2F70">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xml:space="preserve">6. </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法律法规</w:t>
      </w:r>
      <w:r>
        <w:rPr>
          <w:rFonts w:hint="default" w:ascii="Times New Roman" w:hAnsi="Times New Roman" w:eastAsia="仿宋_GB2312" w:cs="Times New Roman"/>
          <w:color w:val="000000" w:themeColor="text1"/>
          <w:sz w:val="32"/>
          <w:szCs w:val="32"/>
          <w14:textFill>
            <w14:solidFill>
              <w14:schemeClr w14:val="tx1"/>
            </w14:solidFill>
          </w14:textFill>
        </w:rPr>
        <w:t>规定属于村集体所有的其他资产。</w:t>
      </w:r>
    </w:p>
    <w:p w14:paraId="0F9B756F">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第四条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是农村集体资产管理的责任主体，依法维护集体资产的安全完整，制定资产管理制度并组织实施；实行民主管理、民主决策、民主监督，保障成员的知情权、参与权、监督权；合理配置集体资产，提高使用效益，确保资产保值增值。</w:t>
      </w:r>
    </w:p>
    <w:p w14:paraId="12FEE46F">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p>
    <w:p w14:paraId="7ADD32BF">
      <w:pPr>
        <w:keepNext w:val="0"/>
        <w:keepLines w:val="0"/>
        <w:pageBreakBefore w:val="0"/>
        <w:widowControl/>
        <w:kinsoku/>
        <w:wordWrap/>
        <w:overflowPunct/>
        <w:topLinePunct w:val="0"/>
        <w:autoSpaceDE w:val="0"/>
        <w:autoSpaceDN w:val="0"/>
        <w:bidi w:val="0"/>
        <w:adjustRightInd w:val="0"/>
        <w:snapToGrid w:val="0"/>
        <w:spacing w:line="560" w:lineRule="exact"/>
        <w:jc w:val="center"/>
        <w:textAlignment w:val="baseline"/>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第二章</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eastAsia" w:ascii="黑体" w:hAnsi="黑体" w:eastAsia="黑体" w:cs="黑体"/>
          <w:color w:val="000000" w:themeColor="text1"/>
          <w:sz w:val="32"/>
          <w:szCs w:val="32"/>
          <w14:textFill>
            <w14:solidFill>
              <w14:schemeClr w14:val="tx1"/>
            </w14:solidFill>
          </w14:textFill>
        </w:rPr>
        <w:t>资产清查与登记</w:t>
      </w:r>
    </w:p>
    <w:p w14:paraId="32D0CCDE">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第五条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每年年末开展一次集体资产全面清查，确保账实、账账、账证相符。清查结果通过线上线下公示，公示期不少于7天；公示无异议后经成员大会或代表大会确认，报</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乡镇（</w:t>
      </w:r>
      <w:r>
        <w:rPr>
          <w:rFonts w:hint="default" w:ascii="Times New Roman" w:hAnsi="Times New Roman" w:eastAsia="仿宋_GB2312" w:cs="Times New Roman"/>
          <w:color w:val="000000" w:themeColor="text1"/>
          <w:sz w:val="32"/>
          <w:szCs w:val="32"/>
          <w14:textFill>
            <w14:solidFill>
              <w14:schemeClr w14:val="tx1"/>
            </w14:solidFill>
          </w14:textFill>
        </w:rPr>
        <w:t>街道</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农村集体财务管理部门审核</w:t>
      </w:r>
      <w:r>
        <w:rPr>
          <w:rFonts w:hint="default" w:ascii="Times New Roman" w:hAnsi="Times New Roman" w:eastAsia="仿宋_GB2312" w:cs="Times New Roman"/>
          <w:color w:val="000000" w:themeColor="text1"/>
          <w:sz w:val="32"/>
          <w:szCs w:val="32"/>
          <w14:textFill>
            <w14:solidFill>
              <w14:schemeClr w14:val="tx1"/>
            </w14:solidFill>
          </w14:textFill>
        </w:rPr>
        <w:t>备案，并及时更新资产台账，建立“一</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村</w:t>
      </w:r>
      <w:r>
        <w:rPr>
          <w:rFonts w:hint="default" w:ascii="Times New Roman" w:hAnsi="Times New Roman" w:eastAsia="仿宋_GB2312" w:cs="Times New Roman"/>
          <w:color w:val="000000" w:themeColor="text1"/>
          <w:sz w:val="32"/>
          <w:szCs w:val="32"/>
          <w14:textFill>
            <w14:solidFill>
              <w14:schemeClr w14:val="tx1"/>
            </w14:solidFill>
          </w14:textFill>
        </w:rPr>
        <w:t>一码”，</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实行</w:t>
      </w:r>
      <w:r>
        <w:rPr>
          <w:rFonts w:hint="default" w:ascii="Times New Roman" w:hAnsi="Times New Roman" w:eastAsia="仿宋_GB2312" w:cs="Times New Roman"/>
          <w:color w:val="000000" w:themeColor="text1"/>
          <w:sz w:val="32"/>
          <w:szCs w:val="32"/>
          <w14:textFill>
            <w14:solidFill>
              <w14:schemeClr w14:val="tx1"/>
            </w14:solidFill>
          </w14:textFill>
        </w:rPr>
        <w:t>动态管理。</w:t>
      </w:r>
    </w:p>
    <w:p w14:paraId="3EE7E54D">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第六条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指定专人担任资产管理员，负责日常登记与台账更新。登记内容全面涵盖资产名称、类别、数量、价值、购置（形成）时间、权属证明、位置、使用单位（人）等核心信息。新形成或购置资产在交付使用后</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产权变更资产在手续办结后5个工作日内登记入账、更新台账</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清查发现的错登、漏登资产在清查结束后10个工作日内完成修正补登并说明原因。</w:t>
      </w:r>
    </w:p>
    <w:p w14:paraId="0F2C196C">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第七条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资产必须录入</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连云港市农村集体“三资”预警审批平台</w:t>
      </w:r>
      <w:r>
        <w:rPr>
          <w:rFonts w:hint="default" w:ascii="Times New Roman" w:hAnsi="Times New Roman" w:eastAsia="仿宋_GB2312" w:cs="Times New Roman"/>
          <w:color w:val="000000" w:themeColor="text1"/>
          <w:sz w:val="32"/>
          <w:szCs w:val="32"/>
          <w14:textFill>
            <w14:solidFill>
              <w14:schemeClr w14:val="tx1"/>
            </w14:solidFill>
          </w14:textFill>
        </w:rPr>
        <w:t>统一监管。农村集体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每月核对平台数据与资产台账，严禁资产不录入、漏录入或数据不符。</w:t>
      </w:r>
    </w:p>
    <w:p w14:paraId="609E1B19">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p>
    <w:p w14:paraId="41E34535">
      <w:pPr>
        <w:keepNext w:val="0"/>
        <w:keepLines w:val="0"/>
        <w:pageBreakBefore w:val="0"/>
        <w:widowControl/>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第三章</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eastAsia" w:ascii="黑体" w:hAnsi="黑体" w:eastAsia="黑体" w:cs="黑体"/>
          <w:color w:val="000000" w:themeColor="text1"/>
          <w:sz w:val="32"/>
          <w:szCs w:val="32"/>
          <w14:textFill>
            <w14:solidFill>
              <w14:schemeClr w14:val="tx1"/>
            </w14:solidFill>
          </w14:textFill>
        </w:rPr>
        <w:t>资产管护管理</w:t>
      </w:r>
    </w:p>
    <w:p w14:paraId="3A8A17E9">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第八条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建立集体资产管护制度，明确资产管护责任主体、岗位职责和奖惩措施，落实防盗、防火、防潮、防虫等管护措施，防止资产损坏、丢失或流失。</w:t>
      </w:r>
    </w:p>
    <w:p w14:paraId="57B6527F">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第九条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管护责任人需定期对负责的资产进行巡查、维护与保养，及时发现并处理资产损坏、流失等问题，确保资产保持良好状态。对于固定资产，建立定期检修制度；对于流动资产，加强保管与盘点；对于无形资产，做好权属维护工作。</w:t>
      </w:r>
    </w:p>
    <w:p w14:paraId="46F0C2B0">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第十条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管护责任人在发现资产出现异常情况时，需在24小时内上报资产管理员及集体经济组织理事会，理事会及时组织处理，避免资产损失扩大。</w:t>
      </w:r>
    </w:p>
    <w:p w14:paraId="0629BC7B">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第十一条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每季度对资产管护情况进行检查，检查结果与管护责任人绩效挂钩。对管护到位的给予表彰奖励；对管护不力导致资产损坏、流失的，追究相关责任人责任。</w:t>
      </w:r>
    </w:p>
    <w:p w14:paraId="4AD5C596">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第十二条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对所有固定资产（名义金额计价除外）计提折旧，遵循权责发生制原则，合理确定折旧年限和方法。折旧方法不得随意变更，确需变更的经成员（代表）大会通过，报</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乡镇（</w:t>
      </w:r>
      <w:r>
        <w:rPr>
          <w:rFonts w:hint="default" w:ascii="Times New Roman" w:hAnsi="Times New Roman" w:eastAsia="仿宋_GB2312" w:cs="Times New Roman"/>
          <w:color w:val="000000" w:themeColor="text1"/>
          <w:sz w:val="32"/>
          <w:szCs w:val="32"/>
          <w14:textFill>
            <w14:solidFill>
              <w14:schemeClr w14:val="tx1"/>
            </w14:solidFill>
          </w14:textFill>
        </w:rPr>
        <w:t>街道</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农村集体财务管理部门备案并公示。</w:t>
      </w:r>
    </w:p>
    <w:p w14:paraId="73F8330E">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p>
    <w:p w14:paraId="5FA1E22B">
      <w:pPr>
        <w:keepNext w:val="0"/>
        <w:keepLines w:val="0"/>
        <w:pageBreakBefore w:val="0"/>
        <w:widowControl/>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第四章</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eastAsia" w:ascii="黑体" w:hAnsi="黑体" w:eastAsia="黑体" w:cs="黑体"/>
          <w:color w:val="000000" w:themeColor="text1"/>
          <w:sz w:val="32"/>
          <w:szCs w:val="32"/>
          <w14:textFill>
            <w14:solidFill>
              <w14:schemeClr w14:val="tx1"/>
            </w14:solidFill>
          </w14:textFill>
        </w:rPr>
        <w:t>资产评估管理</w:t>
      </w:r>
    </w:p>
    <w:p w14:paraId="3294F6F4">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第十三条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发生下列情形之一的，必须进行资产评估：</w:t>
      </w:r>
    </w:p>
    <w:p w14:paraId="380AF885">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一</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转让集体资产所有权或使用权转让年度收益达5万元以上的；</w:t>
      </w:r>
    </w:p>
    <w:p w14:paraId="13D5BC56">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二</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以集体资产参股、联营、合作等方式开展经营活动的；</w:t>
      </w:r>
    </w:p>
    <w:p w14:paraId="58CAA2E7">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三</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 xml:space="preserve"> 因农村集体经济组织合并、分立需要调整农村集体资产权属的；</w:t>
      </w:r>
    </w:p>
    <w:p w14:paraId="434950EF">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四</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因农村集体经济组织解散需要处置农村集体资产的；</w:t>
      </w:r>
    </w:p>
    <w:p w14:paraId="7D086DF9">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五</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法律法规</w:t>
      </w:r>
      <w:r>
        <w:rPr>
          <w:rFonts w:hint="default" w:ascii="Times New Roman" w:hAnsi="Times New Roman" w:eastAsia="仿宋_GB2312" w:cs="Times New Roman"/>
          <w:color w:val="000000" w:themeColor="text1"/>
          <w:sz w:val="32"/>
          <w:szCs w:val="32"/>
          <w14:textFill>
            <w14:solidFill>
              <w14:schemeClr w14:val="tx1"/>
            </w14:solidFill>
          </w14:textFill>
        </w:rPr>
        <w:t>和政策规定应当进行资产评估的其他情形。</w:t>
      </w:r>
    </w:p>
    <w:p w14:paraId="59972EF0">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第十四条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资产发生下列情形之一的，可根据需要进行资产评估：</w:t>
      </w:r>
    </w:p>
    <w:p w14:paraId="266BE1A8">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一</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以集体资产设定抵押等担保的；</w:t>
      </w:r>
    </w:p>
    <w:p w14:paraId="496FB3E6">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二</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资产报废、报损需要核实损失金额的；</w:t>
      </w:r>
    </w:p>
    <w:p w14:paraId="3E3A54C0">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三</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承包、租赁期满需要评价经营效益的；</w:t>
      </w:r>
    </w:p>
    <w:p w14:paraId="26C7CB6F">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四</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其他确有评估必要的情形。</w:t>
      </w:r>
    </w:p>
    <w:p w14:paraId="708BF186">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第十五条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科学严谨实施资产评估，确保结果真实准确、合规合法：</w:t>
      </w:r>
    </w:p>
    <w:p w14:paraId="6B54243B">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一</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账面净值或初步估算值在5万元以下的资产，由集体经济组织理事会组织成立集体资产评估小组，按照公平、公正、科学的原则开展评估；5万元以上（含5万元）的资产，必须委托具备相应资质的专业评估机构实施评估；</w:t>
      </w:r>
    </w:p>
    <w:p w14:paraId="11B321FB">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二</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评估结果经成员（代表）大会确认后，在村务公开栏</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我的连云港”APP、“连云港农业信息”微信公众号等线上线下</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渠道</w:t>
      </w:r>
      <w:r>
        <w:rPr>
          <w:rFonts w:hint="default" w:ascii="Times New Roman" w:hAnsi="Times New Roman" w:eastAsia="仿宋_GB2312" w:cs="Times New Roman"/>
          <w:color w:val="000000" w:themeColor="text1"/>
          <w:sz w:val="32"/>
          <w:szCs w:val="32"/>
          <w14:textFill>
            <w14:solidFill>
              <w14:schemeClr w14:val="tx1"/>
            </w14:solidFill>
          </w14:textFill>
        </w:rPr>
        <w:t>公示不少于15天，接受成员质询；公示无异议后的评估报告，报</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乡镇（</w:t>
      </w:r>
      <w:r>
        <w:rPr>
          <w:rFonts w:hint="default" w:ascii="Times New Roman" w:hAnsi="Times New Roman" w:eastAsia="仿宋_GB2312" w:cs="Times New Roman"/>
          <w:color w:val="000000" w:themeColor="text1"/>
          <w:sz w:val="32"/>
          <w:szCs w:val="32"/>
          <w14:textFill>
            <w14:solidFill>
              <w14:schemeClr w14:val="tx1"/>
            </w14:solidFill>
          </w14:textFill>
        </w:rPr>
        <w:t>街道</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农村集体财务管理部门备案</w:t>
      </w:r>
      <w:r>
        <w:rPr>
          <w:rFonts w:hint="default" w:ascii="Times New Roman" w:hAnsi="Times New Roman" w:eastAsia="仿宋_GB2312" w:cs="Times New Roman"/>
          <w:color w:val="000000" w:themeColor="text1"/>
          <w:sz w:val="32"/>
          <w:szCs w:val="32"/>
          <w14:textFill>
            <w14:solidFill>
              <w14:schemeClr w14:val="tx1"/>
            </w14:solidFill>
          </w14:textFill>
        </w:rPr>
        <w:t>存档。</w:t>
      </w:r>
    </w:p>
    <w:p w14:paraId="14DF8A0F">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p>
    <w:p w14:paraId="3B19B05E">
      <w:pPr>
        <w:keepNext w:val="0"/>
        <w:keepLines w:val="0"/>
        <w:pageBreakBefore w:val="0"/>
        <w:widowControl/>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第五章</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eastAsia" w:ascii="黑体" w:hAnsi="黑体" w:eastAsia="黑体" w:cs="黑体"/>
          <w:color w:val="000000" w:themeColor="text1"/>
          <w:sz w:val="32"/>
          <w:szCs w:val="32"/>
          <w14:textFill>
            <w14:solidFill>
              <w14:schemeClr w14:val="tx1"/>
            </w14:solidFill>
          </w14:textFill>
        </w:rPr>
        <w:t>资产处置及运营管理</w:t>
      </w:r>
    </w:p>
    <w:p w14:paraId="21341926">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第十六条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资产处置包括转让、拍卖、抵押、报废等，按照规范流程开展。</w:t>
      </w:r>
    </w:p>
    <w:p w14:paraId="5828B926">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一</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拟定方案。农村集体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拟定处置方案，明确原因、资产信息、处置方式、收益测算等，填报《村（社区）集体资产处置申报表》报</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乡镇（</w:t>
      </w:r>
      <w:r>
        <w:rPr>
          <w:rFonts w:hint="default" w:ascii="Times New Roman" w:hAnsi="Times New Roman" w:eastAsia="仿宋_GB2312" w:cs="Times New Roman"/>
          <w:color w:val="000000" w:themeColor="text1"/>
          <w:sz w:val="32"/>
          <w:szCs w:val="32"/>
          <w14:textFill>
            <w14:solidFill>
              <w14:schemeClr w14:val="tx1"/>
            </w14:solidFill>
          </w14:textFill>
        </w:rPr>
        <w:t>街道</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备案；</w:t>
      </w:r>
    </w:p>
    <w:p w14:paraId="632DA039">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二</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资产评估。按本办法第四章规定完成评估，评估结果作为定价重要依据；</w:t>
      </w:r>
    </w:p>
    <w:p w14:paraId="293519AB">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三</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方案审批。处置资产账面净值、评估价值或发包租赁预计收益总额5万元以下的，经监事会同意后实施；5万元（含）以上的，需经成员（代表）大会通过并报</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乡镇（</w:t>
      </w:r>
      <w:r>
        <w:rPr>
          <w:rFonts w:hint="default" w:ascii="Times New Roman" w:hAnsi="Times New Roman" w:eastAsia="仿宋_GB2312" w:cs="Times New Roman"/>
          <w:color w:val="000000" w:themeColor="text1"/>
          <w:sz w:val="32"/>
          <w:szCs w:val="32"/>
          <w14:textFill>
            <w14:solidFill>
              <w14:schemeClr w14:val="tx1"/>
            </w14:solidFill>
          </w14:textFill>
        </w:rPr>
        <w:t>街道</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审核；</w:t>
      </w:r>
    </w:p>
    <w:p w14:paraId="54F9E532">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四</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过程管理。处置中发生的资产损失需及时核实、查清责任、依法追偿，并规范账务处理。</w:t>
      </w:r>
    </w:p>
    <w:p w14:paraId="222AD1CF">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第十七条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eastAsia" w:ascii="仿宋_GB2312" w:hAnsi="仿宋_GB2312" w:eastAsia="仿宋_GB2312" w:cs="仿宋_GB2312"/>
          <w:color w:val="000000" w:themeColor="text1"/>
          <w:sz w:val="32"/>
          <w:szCs w:val="32"/>
          <w:lang w:eastAsia="zh-CN"/>
          <w14:textFill>
            <w14:solidFill>
              <w14:schemeClr w14:val="tx1"/>
            </w14:solidFill>
          </w14:textFill>
        </w:rPr>
        <w:t>农村集体经济组织</w:t>
      </w:r>
      <w:r>
        <w:rPr>
          <w:rFonts w:hint="default" w:ascii="Times New Roman" w:hAnsi="Times New Roman" w:eastAsia="仿宋_GB2312" w:cs="Times New Roman"/>
          <w:color w:val="000000" w:themeColor="text1"/>
          <w:sz w:val="32"/>
          <w:szCs w:val="32"/>
          <w14:textFill>
            <w14:solidFill>
              <w14:schemeClr w14:val="tx1"/>
            </w14:solidFill>
          </w14:textFill>
        </w:rPr>
        <w:t>资产交易需通过农村产权交易平台、公共资源交易平台等正规渠道进行，严禁私下交易、人情交易。交易过程需全程记录，相关合同、协议等资料及时归档保存。</w:t>
      </w:r>
    </w:p>
    <w:p w14:paraId="56DDD37E">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第十八条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资产处置及交易完成后，资产管理员应及时更新资产台账与财务账目，同步修改监管平台信息，确保资产变动全程可追溯。</w:t>
      </w:r>
    </w:p>
    <w:p w14:paraId="681C8603">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第十九条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应加大闲置资产盘活利用力度，实现闲置资产动态监管。对于可改造升级资产，明确改造方向与责任主体，推动资产重新投入使用；对于公益性闲置资产，可用于建设乡村公共服务设施，提升资产使用价值。</w:t>
      </w:r>
    </w:p>
    <w:p w14:paraId="28FBA7A9">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第二十条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农村集体经济组织依法自主决定农村集体资产经营方式，可以对农村集体资产直接经营，也可以采取发包、出租、投资入股等方式经营。</w:t>
      </w:r>
    </w:p>
    <w:p w14:paraId="71B30B50">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第二十一条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农村集体经济组织直接经营资产的，应当明确经营管理责任人的责任和经营目标，确定决策机制、监管机制和收益分配机制；实行承包、租赁经营的，依法签订合同，明确资产名称、数量、用途和承包、租赁的价格、期限等，并向集体经济组织成员公开。</w:t>
      </w:r>
    </w:p>
    <w:p w14:paraId="66BA1015">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p>
    <w:p w14:paraId="72F228A0">
      <w:pPr>
        <w:keepNext w:val="0"/>
        <w:keepLines w:val="0"/>
        <w:pageBreakBefore w:val="0"/>
        <w:widowControl/>
        <w:kinsoku/>
        <w:wordWrap/>
        <w:overflowPunct/>
        <w:topLinePunct w:val="0"/>
        <w:autoSpaceDE w:val="0"/>
        <w:autoSpaceDN w:val="0"/>
        <w:bidi w:val="0"/>
        <w:adjustRightInd w:val="0"/>
        <w:snapToGrid w:val="0"/>
        <w:spacing w:line="560" w:lineRule="exact"/>
        <w:jc w:val="center"/>
        <w:textAlignment w:val="baseline"/>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第六章</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eastAsia" w:ascii="黑体" w:hAnsi="黑体" w:eastAsia="黑体" w:cs="黑体"/>
          <w:color w:val="000000" w:themeColor="text1"/>
          <w:sz w:val="32"/>
          <w:szCs w:val="32"/>
          <w14:textFill>
            <w14:solidFill>
              <w14:schemeClr w14:val="tx1"/>
            </w14:solidFill>
          </w14:textFill>
        </w:rPr>
        <w:t>拆迁资产管理</w:t>
      </w:r>
    </w:p>
    <w:p w14:paraId="6AB4C5CB">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第二十二条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涉及集体资产拆迁的，农村集体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成立专项工作小组，负责拆迁资产的清查、登记、评估及补偿协商等工作，明确工作责任与分工。</w:t>
      </w:r>
    </w:p>
    <w:p w14:paraId="458975FF">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第二十三条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专项工作小组对拆迁资产进行全面清查，核实资产权属、数量、价值等信息，形成拆迁资产清单，经成员代表大会确认后公示，公示期不少于7天。公示无异议后，委托具备资质的评估机构对资产价值进行评估，评估结果作为补偿协商的依据。</w:t>
      </w:r>
    </w:p>
    <w:p w14:paraId="4CCBB93D">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第二十四条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拆迁资产补偿资金实行专款专用，严禁挪作他用，严禁补偿资金长期挂账。补偿资金使用方案需经成员代表大会审议通过，并进行公示</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公示期不少于7天</w:t>
      </w:r>
      <w:r>
        <w:rPr>
          <w:rFonts w:hint="default" w:ascii="Times New Roman" w:hAnsi="Times New Roman" w:eastAsia="仿宋_GB2312" w:cs="Times New Roman"/>
          <w:color w:val="000000" w:themeColor="text1"/>
          <w:sz w:val="32"/>
          <w:szCs w:val="32"/>
          <w14:textFill>
            <w14:solidFill>
              <w14:schemeClr w14:val="tx1"/>
            </w14:solidFill>
          </w14:textFill>
        </w:rPr>
        <w:t>。</w:t>
      </w:r>
    </w:p>
    <w:p w14:paraId="0F0F69D2">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第二十五条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拆迁资产需进行置换的，需在拆迁协议中明确置换资产的位置、数量、质量等要求，确保置换资产及时到位。置换完成后，及时办理资产权属变更与登记手续，更新资产台账。</w:t>
      </w:r>
    </w:p>
    <w:p w14:paraId="7D8DF44E">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p>
    <w:p w14:paraId="3AC394EE">
      <w:pPr>
        <w:keepNext w:val="0"/>
        <w:keepLines w:val="0"/>
        <w:pageBreakBefore w:val="0"/>
        <w:widowControl/>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第七章</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eastAsia" w:ascii="黑体" w:hAnsi="黑体" w:eastAsia="黑体" w:cs="黑体"/>
          <w:color w:val="000000" w:themeColor="text1"/>
          <w:sz w:val="32"/>
          <w:szCs w:val="32"/>
          <w14:textFill>
            <w14:solidFill>
              <w14:schemeClr w14:val="tx1"/>
            </w14:solidFill>
          </w14:textFill>
        </w:rPr>
        <w:t>资产报废核销管理</w:t>
      </w:r>
    </w:p>
    <w:p w14:paraId="2A0836E2">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第二十六条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资产符合下列条件之一的，可申请报废：已达到规定使用年限且无法继续使用的；经鉴定确认已丧失使用价值的；维修费用过高，超过资产现有价值的；因自然灾害、意外</w:t>
      </w:r>
      <w:bookmarkStart w:id="1" w:name="bookmark251"/>
      <w:bookmarkEnd w:id="1"/>
      <w:r>
        <w:rPr>
          <w:rFonts w:hint="default" w:ascii="Times New Roman" w:hAnsi="Times New Roman" w:eastAsia="仿宋_GB2312" w:cs="Times New Roman"/>
          <w:color w:val="000000" w:themeColor="text1"/>
          <w:sz w:val="32"/>
          <w:szCs w:val="32"/>
          <w14:textFill>
            <w14:solidFill>
              <w14:schemeClr w14:val="tx1"/>
            </w14:solidFill>
          </w14:textFill>
        </w:rPr>
        <w:t>事故等不可抗力造成严重损毁的。</w:t>
      </w:r>
    </w:p>
    <w:p w14:paraId="57F0A29F">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第二十七条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资产使用单位（人）提出资产报废申请，提交报废资产清单、技术鉴定报告（如需）等相关材料，经资产管理员审核后，报农村集体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理事会审议。</w:t>
      </w:r>
    </w:p>
    <w:p w14:paraId="4B2C12DF">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第二十八条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理事会对报废申请进行审核，审核通过后提交成员代表大会审议，审议通过后在村务公开栏</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我的连云港”APP、“连云港农业信息”微信公众号等线上线下</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渠道</w:t>
      </w:r>
      <w:r>
        <w:rPr>
          <w:rFonts w:hint="default" w:ascii="Times New Roman" w:hAnsi="Times New Roman" w:eastAsia="仿宋_GB2312" w:cs="Times New Roman"/>
          <w:color w:val="000000" w:themeColor="text1"/>
          <w:sz w:val="32"/>
          <w:szCs w:val="32"/>
          <w14:textFill>
            <w14:solidFill>
              <w14:schemeClr w14:val="tx1"/>
            </w14:solidFill>
          </w14:textFill>
        </w:rPr>
        <w:t>公示，公示期不少于7天。公示无异议后，按规定办理报废手续。</w:t>
      </w:r>
    </w:p>
    <w:p w14:paraId="0A64F4DD">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第二十九条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资产报废后及时完成资产台账核销，同步更新监管平台信息。对于报废资产的残值收入，需及时存入集体专用账户，纳入集体财务管理。</w:t>
      </w:r>
    </w:p>
    <w:p w14:paraId="136417AD">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第三十条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严禁已报废资产长期不核销，确保资产台账真实反映农村集体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资产实际情况。</w:t>
      </w:r>
    </w:p>
    <w:p w14:paraId="4552FF30">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p>
    <w:p w14:paraId="32DBE086">
      <w:pPr>
        <w:keepNext w:val="0"/>
        <w:keepLines w:val="0"/>
        <w:pageBreakBefore w:val="0"/>
        <w:widowControl/>
        <w:kinsoku/>
        <w:wordWrap/>
        <w:overflowPunct/>
        <w:topLinePunct w:val="0"/>
        <w:autoSpaceDE w:val="0"/>
        <w:autoSpaceDN w:val="0"/>
        <w:bidi w:val="0"/>
        <w:adjustRightInd w:val="0"/>
        <w:snapToGrid w:val="0"/>
        <w:spacing w:line="560" w:lineRule="exact"/>
        <w:jc w:val="center"/>
        <w:textAlignment w:val="baseline"/>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第八章</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eastAsia" w:ascii="黑体" w:hAnsi="黑体" w:eastAsia="黑体" w:cs="黑体"/>
          <w:color w:val="000000" w:themeColor="text1"/>
          <w:sz w:val="32"/>
          <w:szCs w:val="32"/>
          <w14:textFill>
            <w14:solidFill>
              <w14:schemeClr w14:val="tx1"/>
            </w14:solidFill>
          </w14:textFill>
        </w:rPr>
        <w:t>资产权属与移交管理</w:t>
      </w:r>
    </w:p>
    <w:p w14:paraId="2B3EE252">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第三十一条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资产权属确认遵循“依法依规、尊重历史、实事求是”的原则，明确资产所有权、使用权、经营权归属，确保权属清晰无争议。</w:t>
      </w:r>
    </w:p>
    <w:p w14:paraId="268E6CC8">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第三十二条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对于权属不明晰的集体资产，农村集体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主动开展权属核查工作，收集相关证明材料，必要时申请相关部门进行权属认定。权属确认后，及时办理权属登记手续，完善权属证明材料。</w:t>
      </w:r>
    </w:p>
    <w:p w14:paraId="64E7DC29">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第三十三条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资产因调拨、转让、租赁等原因发生移交的，需签订书面移交协议，明确移交资产的范围、数量、状态、移交时间及双方权利义务等内容。</w:t>
      </w:r>
    </w:p>
    <w:p w14:paraId="575F9B33">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第三十四条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资产移交时，移交方与接收方共同对资产进行清点核对，签署资产移交清单，资产管理员全程参与监督。移交完成后，5个工作日内更新资产台账与监管平台信息，确保资产移交及时、规范。</w:t>
      </w:r>
    </w:p>
    <w:p w14:paraId="1DA7B260">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p>
    <w:p w14:paraId="305A6088">
      <w:pPr>
        <w:keepNext w:val="0"/>
        <w:keepLines w:val="0"/>
        <w:pageBreakBefore w:val="0"/>
        <w:widowControl/>
        <w:kinsoku/>
        <w:wordWrap/>
        <w:overflowPunct/>
        <w:topLinePunct w:val="0"/>
        <w:autoSpaceDE w:val="0"/>
        <w:autoSpaceDN w:val="0"/>
        <w:bidi w:val="0"/>
        <w:adjustRightInd w:val="0"/>
        <w:snapToGrid w:val="0"/>
        <w:spacing w:line="560" w:lineRule="exact"/>
        <w:jc w:val="center"/>
        <w:textAlignment w:val="baseline"/>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第九章</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eastAsia" w:ascii="黑体" w:hAnsi="黑体" w:eastAsia="黑体" w:cs="黑体"/>
          <w:color w:val="000000" w:themeColor="text1"/>
          <w:sz w:val="32"/>
          <w:szCs w:val="32"/>
          <w14:textFill>
            <w14:solidFill>
              <w14:schemeClr w14:val="tx1"/>
            </w14:solidFill>
          </w14:textFill>
        </w:rPr>
        <w:t>资产档案管理</w:t>
      </w:r>
    </w:p>
    <w:p w14:paraId="7B99ADB4">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第三十五条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农村集体经济组织应当指定专人负责集体资产台账和文书档案的管理工作，明确档案管理责任，建立健全档案收集、整理、归档、保管、查阅等制度。</w:t>
      </w:r>
    </w:p>
    <w:p w14:paraId="5A31AD5A">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第三十六条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资产档案内容应当全面完整，包括但不限于：资产清查登记材料、权属证明文件、会议记录（含民主决策记录）、报批备案材料、预决算报告、评估报告、招投标文件、经济合同、价款支付凭证、资产处置材料等相关文书资料。</w:t>
      </w:r>
    </w:p>
    <w:p w14:paraId="31902E21">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第三十七条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乡镇（</w:t>
      </w:r>
      <w:r>
        <w:rPr>
          <w:rFonts w:hint="default" w:ascii="Times New Roman" w:hAnsi="Times New Roman" w:eastAsia="仿宋_GB2312" w:cs="Times New Roman"/>
          <w:color w:val="000000" w:themeColor="text1"/>
          <w:sz w:val="32"/>
          <w:szCs w:val="32"/>
          <w14:textFill>
            <w14:solidFill>
              <w14:schemeClr w14:val="tx1"/>
            </w14:solidFill>
          </w14:textFill>
        </w:rPr>
        <w:t>街道</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农村集体财务管理部门应当加强对村（社区）集体资产档案管理工作的指导和监督，定期开展档案检查，确保档案资料规范、完整、安全、可查。</w:t>
      </w:r>
    </w:p>
    <w:p w14:paraId="680404CA">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p>
    <w:p w14:paraId="73FA3ECE">
      <w:pPr>
        <w:keepNext w:val="0"/>
        <w:keepLines w:val="0"/>
        <w:pageBreakBefore w:val="0"/>
        <w:widowControl/>
        <w:kinsoku/>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第十章</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eastAsia" w:ascii="黑体" w:hAnsi="黑体" w:eastAsia="黑体" w:cs="黑体"/>
          <w:color w:val="000000" w:themeColor="text1"/>
          <w:sz w:val="32"/>
          <w:szCs w:val="32"/>
          <w14:textFill>
            <w14:solidFill>
              <w14:schemeClr w14:val="tx1"/>
            </w14:solidFill>
          </w14:textFill>
        </w:rPr>
        <w:t>附</w:t>
      </w:r>
      <w:r>
        <w:rPr>
          <w:rFonts w:hint="eastAsia" w:ascii="黑体" w:hAnsi="黑体" w:eastAsia="黑体" w:cs="黑体"/>
          <w:color w:val="000000" w:themeColor="text1"/>
          <w:sz w:val="32"/>
          <w:szCs w:val="32"/>
          <w:lang w:val="en-US" w:eastAsia="zh-CN"/>
          <w14:textFill>
            <w14:solidFill>
              <w14:schemeClr w14:val="tx1"/>
            </w14:solidFill>
          </w14:textFill>
        </w:rPr>
        <w:t xml:space="preserve">  </w:t>
      </w:r>
      <w:r>
        <w:rPr>
          <w:rFonts w:hint="eastAsia" w:ascii="黑体" w:hAnsi="黑体" w:eastAsia="黑体" w:cs="黑体"/>
          <w:color w:val="000000" w:themeColor="text1"/>
          <w:sz w:val="32"/>
          <w:szCs w:val="32"/>
          <w14:textFill>
            <w14:solidFill>
              <w14:schemeClr w14:val="tx1"/>
            </w14:solidFill>
          </w14:textFill>
        </w:rPr>
        <w:t>则</w:t>
      </w:r>
    </w:p>
    <w:p w14:paraId="6D3A659F">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第三十八条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农村集体</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经济组织</w:t>
      </w:r>
      <w:r>
        <w:rPr>
          <w:rFonts w:hint="default" w:ascii="Times New Roman" w:hAnsi="Times New Roman" w:eastAsia="仿宋_GB2312" w:cs="Times New Roman"/>
          <w:color w:val="000000" w:themeColor="text1"/>
          <w:sz w:val="32"/>
          <w:szCs w:val="32"/>
          <w14:textFill>
            <w14:solidFill>
              <w14:schemeClr w14:val="tx1"/>
            </w14:solidFill>
          </w14:textFill>
        </w:rPr>
        <w:t>资产受法律严格保护，任何组织和个人不得实施侵占、哄抢、私分、破坏、平调等行为，不得非法查封、扣押、冻结、没收集体资产。对侵害集体资产权益的行为，相关主体有权依法追究其法律责任。</w:t>
      </w:r>
    </w:p>
    <w:p w14:paraId="7C44843D">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第三十九条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本办法未尽事宜，按照国家及地方相关法律法规、政策规定执行；本办法与相关法律法规、政策规定不一致的，以法律法规、政策规定为准。</w:t>
      </w:r>
    </w:p>
    <w:p w14:paraId="53A2BF1F">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楷体_GB2312" w:hAnsi="楷体_GB2312" w:eastAsia="楷体_GB2312" w:cs="楷体_GB2312"/>
          <w:color w:val="000000" w:themeColor="text1"/>
          <w:sz w:val="32"/>
          <w:szCs w:val="32"/>
          <w14:textFill>
            <w14:solidFill>
              <w14:schemeClr w14:val="tx1"/>
            </w14:solidFill>
          </w14:textFill>
        </w:rPr>
        <w:t>第四十条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本办法自印发之日起实施，本办法由</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连云港市</w:t>
      </w:r>
      <w:r>
        <w:rPr>
          <w:rFonts w:hint="default" w:ascii="Times New Roman" w:hAnsi="Times New Roman" w:eastAsia="仿宋_GB2312" w:cs="Times New Roman"/>
          <w:color w:val="000000" w:themeColor="text1"/>
          <w:sz w:val="32"/>
          <w:szCs w:val="32"/>
          <w14:textFill>
            <w14:solidFill>
              <w14:schemeClr w14:val="tx1"/>
            </w14:solidFill>
          </w14:textFill>
        </w:rPr>
        <w:t>农业农村局负责解释。</w:t>
      </w:r>
    </w:p>
    <w:p w14:paraId="29B507FB">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000000" w:themeColor="text1"/>
          <w:sz w:val="32"/>
          <w:szCs w:val="32"/>
          <w14:textFill>
            <w14:solidFill>
              <w14:schemeClr w14:val="tx1"/>
            </w14:solidFill>
          </w14:textFill>
        </w:rPr>
        <w:sectPr>
          <w:footerReference r:id="rId5" w:type="default"/>
          <w:pgSz w:w="11905" w:h="16838"/>
          <w:pgMar w:top="1440" w:right="1800" w:bottom="1440" w:left="1800" w:header="0" w:footer="1004" w:gutter="0"/>
          <w:pgNumType w:fmt="decimal"/>
          <w:cols w:space="720" w:num="1"/>
        </w:sectPr>
      </w:pPr>
    </w:p>
    <w:p w14:paraId="52B2D01B">
      <w:pPr>
        <w:keepNext w:val="0"/>
        <w:keepLines w:val="0"/>
        <w:pageBreakBefore w:val="0"/>
        <w:widowControl/>
        <w:kinsoku w:val="0"/>
        <w:wordWrap/>
        <w:overflowPunct/>
        <w:topLinePunct w:val="0"/>
        <w:autoSpaceDE w:val="0"/>
        <w:autoSpaceDN w:val="0"/>
        <w:bidi w:val="0"/>
        <w:adjustRightInd w:val="0"/>
        <w:snapToGrid w:val="0"/>
        <w:spacing w:line="240" w:lineRule="auto"/>
        <w:ind w:firstLine="0" w:firstLineChars="0"/>
        <w:jc w:val="center"/>
        <w:textAlignment w:val="baseline"/>
        <w:rPr>
          <w:rFonts w:hint="eastAsia" w:ascii="方正小标宋简体" w:hAnsi="方正小标宋简体" w:eastAsia="方正小标宋简体" w:cs="方正小标宋简体"/>
          <w:color w:val="000000" w:themeColor="text1"/>
          <w:sz w:val="40"/>
          <w:szCs w:val="40"/>
          <w14:textFill>
            <w14:solidFill>
              <w14:schemeClr w14:val="tx1"/>
            </w14:solidFill>
          </w14:textFill>
        </w:rPr>
      </w:pPr>
      <w:r>
        <w:rPr>
          <w:rFonts w:hint="eastAsia" w:ascii="方正小标宋简体" w:hAnsi="方正小标宋简体" w:eastAsia="方正小标宋简体" w:cs="方正小标宋简体"/>
          <w:color w:val="000000" w:themeColor="text1"/>
          <w:sz w:val="40"/>
          <w:szCs w:val="40"/>
          <w14:textFill>
            <w14:solidFill>
              <w14:schemeClr w14:val="tx1"/>
            </w14:solidFill>
          </w14:textFill>
        </w:rPr>
        <w:t>村（社区）集体</w:t>
      </w:r>
      <w:r>
        <w:rPr>
          <w:rFonts w:hint="eastAsia" w:ascii="方正小标宋简体" w:hAnsi="方正小标宋简体" w:eastAsia="方正小标宋简体" w:cs="方正小标宋简体"/>
          <w:color w:val="000000" w:themeColor="text1"/>
          <w:sz w:val="40"/>
          <w:szCs w:val="40"/>
          <w:lang w:val="en-US" w:eastAsia="zh-CN"/>
          <w14:textFill>
            <w14:solidFill>
              <w14:schemeClr w14:val="tx1"/>
            </w14:solidFill>
          </w14:textFill>
        </w:rPr>
        <w:t>经济组织</w:t>
      </w:r>
      <w:r>
        <w:rPr>
          <w:rFonts w:hint="eastAsia" w:ascii="方正小标宋简体" w:hAnsi="方正小标宋简体" w:eastAsia="方正小标宋简体" w:cs="方正小标宋简体"/>
          <w:color w:val="000000" w:themeColor="text1"/>
          <w:sz w:val="40"/>
          <w:szCs w:val="40"/>
          <w14:textFill>
            <w14:solidFill>
              <w14:schemeClr w14:val="tx1"/>
            </w14:solidFill>
          </w14:textFill>
        </w:rPr>
        <w:t>资产处置申报表</w:t>
      </w:r>
    </w:p>
    <w:p w14:paraId="32EE2324">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eastAsia" w:ascii="仿宋_GB2312" w:hAnsi="仿宋_GB2312" w:eastAsia="仿宋_GB2312" w:cs="仿宋_GB2312"/>
          <w:color w:val="000000" w:themeColor="text1"/>
          <w:sz w:val="28"/>
          <w:szCs w:val="28"/>
          <w14:textFill>
            <w14:solidFill>
              <w14:schemeClr w14:val="tx1"/>
            </w14:solidFill>
          </w14:textFill>
        </w:rPr>
      </w:pPr>
    </w:p>
    <w:p w14:paraId="312BD403">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8"/>
          <w:szCs w:val="28"/>
          <w:u w:val="none"/>
          <w14:textFill>
            <w14:solidFill>
              <w14:schemeClr w14:val="tx1"/>
            </w14:solidFill>
          </w14:textFill>
        </w:rPr>
        <w:t>集</w:t>
      </w:r>
      <w:r>
        <w:rPr>
          <w:rFonts w:hint="eastAsia" w:ascii="仿宋_GB2312" w:hAnsi="仿宋_GB2312" w:eastAsia="仿宋_GB2312" w:cs="仿宋_GB2312"/>
          <w:color w:val="000000" w:themeColor="text1"/>
          <w:sz w:val="28"/>
          <w:szCs w:val="28"/>
          <w14:textFill>
            <w14:solidFill>
              <w14:schemeClr w14:val="tx1"/>
            </w14:solidFill>
          </w14:textFill>
        </w:rPr>
        <w:t>体经济组织（公章）       申报时间：  年   月  日</w:t>
      </w:r>
    </w:p>
    <w:p w14:paraId="0DF8B04F">
      <w:pPr>
        <w:keepNext w:val="0"/>
        <w:keepLines w:val="0"/>
        <w:pageBreakBefore w:val="0"/>
        <w:widowControl/>
        <w:kinsoku w:val="0"/>
        <w:wordWrap/>
        <w:overflowPunct/>
        <w:topLinePunct w:val="0"/>
        <w:autoSpaceDE w:val="0"/>
        <w:autoSpaceDN w:val="0"/>
        <w:bidi w:val="0"/>
        <w:adjustRightInd w:val="0"/>
        <w:snapToGrid w:val="0"/>
        <w:spacing w:line="440" w:lineRule="exact"/>
        <w:ind w:firstLine="560" w:firstLineChars="200"/>
        <w:textAlignment w:val="baseline"/>
        <w:rPr>
          <w:rFonts w:hint="eastAsia" w:ascii="仿宋_GB2312" w:hAnsi="仿宋_GB2312" w:eastAsia="仿宋_GB2312" w:cs="仿宋_GB2312"/>
          <w:color w:val="000000" w:themeColor="text1"/>
          <w:sz w:val="28"/>
          <w:szCs w:val="28"/>
          <w14:textFill>
            <w14:solidFill>
              <w14:schemeClr w14:val="tx1"/>
            </w14:solidFill>
          </w14:textFill>
        </w:rPr>
      </w:pPr>
    </w:p>
    <w:tbl>
      <w:tblPr>
        <w:tblStyle w:val="5"/>
        <w:tblW w:w="8868" w:type="dxa"/>
        <w:tblInd w:w="-21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24"/>
        <w:gridCol w:w="1616"/>
        <w:gridCol w:w="774"/>
        <w:gridCol w:w="1674"/>
        <w:gridCol w:w="688"/>
        <w:gridCol w:w="2192"/>
      </w:tblGrid>
      <w:tr w14:paraId="494FF6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1924" w:type="dxa"/>
            <w:vAlign w:val="center"/>
          </w:tcPr>
          <w:p w14:paraId="5C230825">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jc w:val="center"/>
              <w:textAlignment w:val="baseline"/>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资产名称</w:t>
            </w:r>
          </w:p>
        </w:tc>
        <w:tc>
          <w:tcPr>
            <w:tcW w:w="1616" w:type="dxa"/>
            <w:vAlign w:val="top"/>
          </w:tcPr>
          <w:p w14:paraId="64E2E794">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jc w:val="center"/>
              <w:textAlignment w:val="baseline"/>
              <w:rPr>
                <w:rFonts w:hint="eastAsia" w:ascii="仿宋_GB2312" w:hAnsi="仿宋_GB2312" w:eastAsia="仿宋_GB2312" w:cs="仿宋_GB2312"/>
                <w:color w:val="000000" w:themeColor="text1"/>
                <w:sz w:val="28"/>
                <w:szCs w:val="28"/>
                <w14:textFill>
                  <w14:solidFill>
                    <w14:schemeClr w14:val="tx1"/>
                  </w14:solidFill>
                </w14:textFill>
              </w:rPr>
            </w:pPr>
          </w:p>
        </w:tc>
        <w:tc>
          <w:tcPr>
            <w:tcW w:w="2448" w:type="dxa"/>
            <w:gridSpan w:val="2"/>
            <w:vAlign w:val="top"/>
          </w:tcPr>
          <w:p w14:paraId="025F1EC8">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jc w:val="center"/>
              <w:textAlignment w:val="baseline"/>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资产价值（元）</w:t>
            </w:r>
          </w:p>
        </w:tc>
        <w:tc>
          <w:tcPr>
            <w:tcW w:w="2880" w:type="dxa"/>
            <w:gridSpan w:val="2"/>
            <w:vAlign w:val="top"/>
          </w:tcPr>
          <w:p w14:paraId="4B26D71A">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jc w:val="center"/>
              <w:textAlignment w:val="baseline"/>
              <w:rPr>
                <w:rFonts w:hint="eastAsia" w:ascii="仿宋_GB2312" w:hAnsi="仿宋_GB2312" w:eastAsia="仿宋_GB2312" w:cs="仿宋_GB2312"/>
                <w:color w:val="000000" w:themeColor="text1"/>
                <w:sz w:val="28"/>
                <w:szCs w:val="28"/>
                <w14:textFill>
                  <w14:solidFill>
                    <w14:schemeClr w14:val="tx1"/>
                  </w14:solidFill>
                </w14:textFill>
              </w:rPr>
            </w:pPr>
          </w:p>
        </w:tc>
      </w:tr>
      <w:tr w14:paraId="63CFC9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trPr>
        <w:tc>
          <w:tcPr>
            <w:tcW w:w="1924" w:type="dxa"/>
            <w:vAlign w:val="center"/>
          </w:tcPr>
          <w:p w14:paraId="2B551D7F">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jc w:val="center"/>
              <w:textAlignment w:val="baseline"/>
              <w:rPr>
                <w:rFonts w:hint="eastAsia"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资产基本情况</w:t>
            </w:r>
          </w:p>
        </w:tc>
        <w:tc>
          <w:tcPr>
            <w:tcW w:w="6944" w:type="dxa"/>
            <w:gridSpan w:val="5"/>
            <w:vAlign w:val="top"/>
          </w:tcPr>
          <w:p w14:paraId="3651077E">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textAlignment w:val="baseline"/>
              <w:rPr>
                <w:rFonts w:hint="eastAsia" w:ascii="仿宋_GB2312" w:hAnsi="仿宋_GB2312" w:eastAsia="仿宋_GB2312" w:cs="仿宋_GB2312"/>
                <w:color w:val="000000" w:themeColor="text1"/>
                <w:sz w:val="28"/>
                <w:szCs w:val="28"/>
                <w14:textFill>
                  <w14:solidFill>
                    <w14:schemeClr w14:val="tx1"/>
                  </w14:solidFill>
                </w14:textFill>
              </w:rPr>
            </w:pPr>
          </w:p>
        </w:tc>
      </w:tr>
      <w:tr w14:paraId="2274CA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1924" w:type="dxa"/>
            <w:vAlign w:val="center"/>
          </w:tcPr>
          <w:p w14:paraId="6AC4B020">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jc w:val="center"/>
              <w:textAlignment w:val="baseline"/>
              <w:rPr>
                <w:rFonts w:hint="eastAsia"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资产处置用途</w:t>
            </w:r>
          </w:p>
        </w:tc>
        <w:tc>
          <w:tcPr>
            <w:tcW w:w="6944" w:type="dxa"/>
            <w:gridSpan w:val="5"/>
            <w:vAlign w:val="top"/>
          </w:tcPr>
          <w:p w14:paraId="336DA2A3">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textAlignment w:val="baseline"/>
              <w:rPr>
                <w:rFonts w:hint="eastAsia" w:ascii="仿宋_GB2312" w:hAnsi="仿宋_GB2312" w:eastAsia="仿宋_GB2312" w:cs="仿宋_GB2312"/>
                <w:color w:val="000000" w:themeColor="text1"/>
                <w:sz w:val="28"/>
                <w:szCs w:val="28"/>
                <w14:textFill>
                  <w14:solidFill>
                    <w14:schemeClr w14:val="tx1"/>
                  </w14:solidFill>
                </w14:textFill>
              </w:rPr>
            </w:pPr>
          </w:p>
        </w:tc>
      </w:tr>
      <w:tr w14:paraId="796F85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2" w:hRule="atLeast"/>
        </w:trPr>
        <w:tc>
          <w:tcPr>
            <w:tcW w:w="1924" w:type="dxa"/>
            <w:vAlign w:val="center"/>
          </w:tcPr>
          <w:p w14:paraId="70941594">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jc w:val="center"/>
              <w:textAlignment w:val="baseline"/>
              <w:rPr>
                <w:rFonts w:hint="eastAsia"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处置实施方式</w:t>
            </w:r>
          </w:p>
        </w:tc>
        <w:tc>
          <w:tcPr>
            <w:tcW w:w="6944" w:type="dxa"/>
            <w:gridSpan w:val="5"/>
            <w:vAlign w:val="top"/>
          </w:tcPr>
          <w:p w14:paraId="5A605E9A">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textAlignment w:val="baseline"/>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 公开拍卖 □协议转让 □招投标 □报废处理 □租赁</w:t>
            </w:r>
          </w:p>
          <w:p w14:paraId="31AAC377">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textAlignment w:val="baseline"/>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 xml:space="preserve">□其他：                 </w:t>
            </w:r>
          </w:p>
        </w:tc>
      </w:tr>
      <w:tr w14:paraId="1ABC2F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9" w:hRule="atLeast"/>
        </w:trPr>
        <w:tc>
          <w:tcPr>
            <w:tcW w:w="1924" w:type="dxa"/>
            <w:vAlign w:val="center"/>
          </w:tcPr>
          <w:p w14:paraId="405FC2C2">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jc w:val="center"/>
              <w:textAlignment w:val="baseline"/>
              <w:rPr>
                <w:rFonts w:hint="eastAsia"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相关附件清单</w:t>
            </w:r>
          </w:p>
        </w:tc>
        <w:tc>
          <w:tcPr>
            <w:tcW w:w="6944" w:type="dxa"/>
            <w:gridSpan w:val="5"/>
            <w:vAlign w:val="top"/>
          </w:tcPr>
          <w:p w14:paraId="0F6A6451">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textAlignment w:val="baseline"/>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 xml:space="preserve">□ 资产权属证明文件复印件（房产证、土地证等） </w:t>
            </w:r>
          </w:p>
          <w:p w14:paraId="26489E05">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textAlignment w:val="baseline"/>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 xml:space="preserve">□ 资产评估报告 □集体决策会议记录及签到表 </w:t>
            </w:r>
          </w:p>
          <w:p w14:paraId="2E0B354D">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textAlignment w:val="baseline"/>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 xml:space="preserve"> 资产现状照片</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8"/>
                <w:szCs w:val="28"/>
                <w14:textFill>
                  <w14:solidFill>
                    <w14:schemeClr w14:val="tx1"/>
                  </w14:solidFill>
                </w14:textFill>
              </w:rPr>
              <w:t xml:space="preserve">□其他：                 </w:t>
            </w:r>
          </w:p>
        </w:tc>
      </w:tr>
      <w:tr w14:paraId="547D5D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 w:hRule="atLeast"/>
        </w:trPr>
        <w:tc>
          <w:tcPr>
            <w:tcW w:w="1924" w:type="dxa"/>
            <w:vAlign w:val="center"/>
          </w:tcPr>
          <w:p w14:paraId="1BFE13BC">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jc w:val="center"/>
              <w:textAlignment w:val="baseline"/>
              <w:rPr>
                <w:rFonts w:hint="eastAsia"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经办人</w:t>
            </w:r>
          </w:p>
        </w:tc>
        <w:tc>
          <w:tcPr>
            <w:tcW w:w="1616" w:type="dxa"/>
            <w:vAlign w:val="top"/>
          </w:tcPr>
          <w:p w14:paraId="0812776B">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textAlignment w:val="baseline"/>
              <w:rPr>
                <w:rFonts w:hint="eastAsia" w:ascii="仿宋_GB2312" w:hAnsi="仿宋_GB2312" w:eastAsia="仿宋_GB2312" w:cs="仿宋_GB2312"/>
                <w:color w:val="000000" w:themeColor="text1"/>
                <w:sz w:val="28"/>
                <w:szCs w:val="28"/>
                <w14:textFill>
                  <w14:solidFill>
                    <w14:schemeClr w14:val="tx1"/>
                  </w14:solidFill>
                </w14:textFill>
              </w:rPr>
            </w:pPr>
          </w:p>
        </w:tc>
        <w:tc>
          <w:tcPr>
            <w:tcW w:w="2448" w:type="dxa"/>
            <w:gridSpan w:val="2"/>
            <w:vAlign w:val="center"/>
          </w:tcPr>
          <w:p w14:paraId="1ECB37EB">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jc w:val="center"/>
              <w:textAlignment w:val="baseline"/>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联系电话</w:t>
            </w:r>
          </w:p>
        </w:tc>
        <w:tc>
          <w:tcPr>
            <w:tcW w:w="2880" w:type="dxa"/>
            <w:gridSpan w:val="2"/>
            <w:vAlign w:val="top"/>
          </w:tcPr>
          <w:p w14:paraId="1C5650FA">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textAlignment w:val="baseline"/>
              <w:rPr>
                <w:rFonts w:hint="eastAsia" w:ascii="仿宋_GB2312" w:hAnsi="仿宋_GB2312" w:eastAsia="仿宋_GB2312" w:cs="仿宋_GB2312"/>
                <w:color w:val="000000" w:themeColor="text1"/>
                <w:sz w:val="28"/>
                <w:szCs w:val="28"/>
                <w14:textFill>
                  <w14:solidFill>
                    <w14:schemeClr w14:val="tx1"/>
                  </w14:solidFill>
                </w14:textFill>
              </w:rPr>
            </w:pPr>
          </w:p>
        </w:tc>
      </w:tr>
      <w:tr w14:paraId="5BC3A7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82" w:hRule="atLeast"/>
        </w:trPr>
        <w:tc>
          <w:tcPr>
            <w:tcW w:w="1924" w:type="dxa"/>
            <w:vAlign w:val="center"/>
          </w:tcPr>
          <w:p w14:paraId="3D941401">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jc w:val="center"/>
              <w:textAlignment w:val="baseline"/>
              <w:rPr>
                <w:rFonts w:hint="eastAsia"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集体经济组织意见</w:t>
            </w:r>
          </w:p>
        </w:tc>
        <w:tc>
          <w:tcPr>
            <w:tcW w:w="2390" w:type="dxa"/>
            <w:gridSpan w:val="2"/>
            <w:vAlign w:val="top"/>
          </w:tcPr>
          <w:p w14:paraId="260104CE">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jc w:val="both"/>
              <w:textAlignment w:val="baseline"/>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理事会成员签名：</w:t>
            </w:r>
          </w:p>
        </w:tc>
        <w:tc>
          <w:tcPr>
            <w:tcW w:w="2362" w:type="dxa"/>
            <w:gridSpan w:val="2"/>
            <w:vAlign w:val="top"/>
          </w:tcPr>
          <w:p w14:paraId="4AD2B3D6">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jc w:val="both"/>
              <w:textAlignment w:val="baseline"/>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监事会成员签名：</w:t>
            </w:r>
          </w:p>
        </w:tc>
        <w:tc>
          <w:tcPr>
            <w:tcW w:w="2192" w:type="dxa"/>
            <w:vAlign w:val="top"/>
          </w:tcPr>
          <w:p w14:paraId="357B0D8F">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jc w:val="both"/>
              <w:textAlignment w:val="baseline"/>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理事长签名：</w:t>
            </w:r>
          </w:p>
        </w:tc>
      </w:tr>
      <w:tr w14:paraId="54E92C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42" w:hRule="atLeast"/>
        </w:trPr>
        <w:tc>
          <w:tcPr>
            <w:tcW w:w="1924" w:type="dxa"/>
            <w:vMerge w:val="restart"/>
            <w:tcBorders>
              <w:bottom w:val="nil"/>
            </w:tcBorders>
            <w:vAlign w:val="center"/>
          </w:tcPr>
          <w:p w14:paraId="53CAD03B">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jc w:val="center"/>
              <w:textAlignment w:val="baseline"/>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lang w:val="en-US" w:eastAsia="zh-CN"/>
                <w14:textFill>
                  <w14:solidFill>
                    <w14:schemeClr w14:val="tx1"/>
                  </w14:solidFill>
                </w14:textFill>
              </w:rPr>
              <w:t>乡镇（</w:t>
            </w:r>
            <w:r>
              <w:rPr>
                <w:rFonts w:hint="eastAsia" w:ascii="黑体" w:hAnsi="黑体" w:eastAsia="黑体" w:cs="黑体"/>
                <w:color w:val="000000" w:themeColor="text1"/>
                <w:sz w:val="28"/>
                <w:szCs w:val="28"/>
                <w14:textFill>
                  <w14:solidFill>
                    <w14:schemeClr w14:val="tx1"/>
                  </w14:solidFill>
                </w14:textFill>
              </w:rPr>
              <w:t>街道</w:t>
            </w:r>
            <w:r>
              <w:rPr>
                <w:rFonts w:hint="eastAsia" w:ascii="黑体" w:hAnsi="黑体" w:eastAsia="黑体" w:cs="黑体"/>
                <w:color w:val="000000" w:themeColor="text1"/>
                <w:sz w:val="28"/>
                <w:szCs w:val="28"/>
                <w:lang w:eastAsia="zh-CN"/>
                <w14:textFill>
                  <w14:solidFill>
                    <w14:schemeClr w14:val="tx1"/>
                  </w14:solidFill>
                </w14:textFill>
              </w:rPr>
              <w:t>）</w:t>
            </w:r>
            <w:r>
              <w:rPr>
                <w:rFonts w:hint="eastAsia" w:ascii="黑体" w:hAnsi="黑体" w:eastAsia="黑体" w:cs="黑体"/>
                <w:color w:val="000000" w:themeColor="text1"/>
                <w:sz w:val="28"/>
                <w:szCs w:val="28"/>
                <w14:textFill>
                  <w14:solidFill>
                    <w14:schemeClr w14:val="tx1"/>
                  </w14:solidFill>
                </w14:textFill>
              </w:rPr>
              <w:t>意见</w:t>
            </w:r>
          </w:p>
        </w:tc>
        <w:tc>
          <w:tcPr>
            <w:tcW w:w="4064" w:type="dxa"/>
            <w:gridSpan w:val="3"/>
            <w:vAlign w:val="center"/>
          </w:tcPr>
          <w:p w14:paraId="1A2556E0">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jc w:val="both"/>
              <w:textAlignment w:val="baseline"/>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规划资源所意见：（根据业务需求征询，不涉及可省略）</w:t>
            </w:r>
          </w:p>
        </w:tc>
        <w:tc>
          <w:tcPr>
            <w:tcW w:w="2880" w:type="dxa"/>
            <w:gridSpan w:val="2"/>
            <w:vAlign w:val="center"/>
          </w:tcPr>
          <w:p w14:paraId="38FEA403">
            <w:pPr>
              <w:keepNext w:val="0"/>
              <w:keepLines w:val="0"/>
              <w:pageBreakBefore w:val="0"/>
              <w:widowControl/>
              <w:kinsoku/>
              <w:wordWrap/>
              <w:overflowPunct/>
              <w:topLinePunct w:val="0"/>
              <w:autoSpaceDE w:val="0"/>
              <w:autoSpaceDN w:val="0"/>
              <w:bidi w:val="0"/>
              <w:adjustRightInd w:val="0"/>
              <w:snapToGrid w:val="0"/>
              <w:spacing w:line="440" w:lineRule="exact"/>
              <w:ind w:firstLine="0" w:firstLineChars="0"/>
              <w:jc w:val="both"/>
              <w:textAlignment w:val="baseline"/>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其他业务部门意见：（根据业务需求征询，不涉及可省略）</w:t>
            </w:r>
          </w:p>
        </w:tc>
      </w:tr>
      <w:tr w14:paraId="58DC95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3" w:hRule="atLeast"/>
        </w:trPr>
        <w:tc>
          <w:tcPr>
            <w:tcW w:w="1924" w:type="dxa"/>
            <w:vMerge w:val="continue"/>
            <w:tcBorders>
              <w:top w:val="nil"/>
            </w:tcBorders>
            <w:vAlign w:val="top"/>
          </w:tcPr>
          <w:p w14:paraId="08FDEE41">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textAlignment w:val="baseline"/>
              <w:rPr>
                <w:rFonts w:hint="eastAsia" w:ascii="仿宋_GB2312" w:hAnsi="仿宋_GB2312" w:eastAsia="仿宋_GB2312" w:cs="仿宋_GB2312"/>
                <w:color w:val="000000" w:themeColor="text1"/>
                <w:sz w:val="28"/>
                <w:szCs w:val="28"/>
                <w14:textFill>
                  <w14:solidFill>
                    <w14:schemeClr w14:val="tx1"/>
                  </w14:solidFill>
                </w14:textFill>
              </w:rPr>
            </w:pPr>
          </w:p>
        </w:tc>
        <w:tc>
          <w:tcPr>
            <w:tcW w:w="4064" w:type="dxa"/>
            <w:gridSpan w:val="3"/>
            <w:vAlign w:val="center"/>
          </w:tcPr>
          <w:p w14:paraId="7069F4A8">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jc w:val="both"/>
              <w:textAlignment w:val="baseline"/>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乡镇（</w:t>
            </w:r>
            <w:r>
              <w:rPr>
                <w:rFonts w:hint="eastAsia" w:ascii="仿宋_GB2312" w:hAnsi="仿宋_GB2312" w:eastAsia="仿宋_GB2312" w:cs="仿宋_GB2312"/>
                <w:color w:val="000000" w:themeColor="text1"/>
                <w:sz w:val="28"/>
                <w:szCs w:val="28"/>
                <w14:textFill>
                  <w14:solidFill>
                    <w14:schemeClr w14:val="tx1"/>
                  </w14:solidFill>
                </w14:textFill>
              </w:rPr>
              <w:t>街道</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农村集体财务管理部门</w:t>
            </w:r>
            <w:r>
              <w:rPr>
                <w:rFonts w:hint="eastAsia" w:ascii="仿宋_GB2312" w:hAnsi="仿宋_GB2312" w:eastAsia="仿宋_GB2312" w:cs="仿宋_GB2312"/>
                <w:color w:val="000000" w:themeColor="text1"/>
                <w:sz w:val="28"/>
                <w:szCs w:val="28"/>
                <w14:textFill>
                  <w14:solidFill>
                    <w14:schemeClr w14:val="tx1"/>
                  </w14:solidFill>
                </w14:textFill>
              </w:rPr>
              <w:t>意见：</w:t>
            </w:r>
          </w:p>
        </w:tc>
        <w:tc>
          <w:tcPr>
            <w:tcW w:w="2880" w:type="dxa"/>
            <w:gridSpan w:val="2"/>
            <w:vAlign w:val="center"/>
          </w:tcPr>
          <w:p w14:paraId="1E7125BC">
            <w:pPr>
              <w:keepNext w:val="0"/>
              <w:keepLines w:val="0"/>
              <w:pageBreakBefore w:val="0"/>
              <w:widowControl/>
              <w:kinsoku w:val="0"/>
              <w:wordWrap/>
              <w:overflowPunct/>
              <w:topLinePunct w:val="0"/>
              <w:autoSpaceDE w:val="0"/>
              <w:autoSpaceDN w:val="0"/>
              <w:bidi w:val="0"/>
              <w:adjustRightInd w:val="0"/>
              <w:snapToGrid w:val="0"/>
              <w:spacing w:line="440" w:lineRule="exact"/>
              <w:ind w:firstLine="0" w:firstLineChars="0"/>
              <w:jc w:val="center"/>
              <w:textAlignment w:val="baseline"/>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乡镇（</w:t>
            </w:r>
            <w:r>
              <w:rPr>
                <w:rFonts w:hint="eastAsia" w:ascii="仿宋_GB2312" w:hAnsi="仿宋_GB2312" w:eastAsia="仿宋_GB2312" w:cs="仿宋_GB2312"/>
                <w:color w:val="000000" w:themeColor="text1"/>
                <w:sz w:val="28"/>
                <w:szCs w:val="28"/>
                <w14:textFill>
                  <w14:solidFill>
                    <w14:schemeClr w14:val="tx1"/>
                  </w14:solidFill>
                </w14:textFill>
              </w:rPr>
              <w:t>街道</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备案</w:t>
            </w:r>
          </w:p>
        </w:tc>
      </w:tr>
    </w:tbl>
    <w:p w14:paraId="07C11D78"/>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WPSEMBED10">
    <w:panose1 w:val="02010609030101010101"/>
    <w:charset w:val="86"/>
    <w:family w:val="auto"/>
    <w:pitch w:val="default"/>
    <w:sig w:usb0="00000001" w:usb1="080E0000" w:usb2="00000000" w:usb3="00000000" w:csb0="00040000" w:csb1="00000000"/>
  </w:font>
  <w:font w:name="WPSEMBED11">
    <w:panose1 w:val="02010609030101010101"/>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CF4160">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-132080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3BEF00">
                          <w:pPr>
                            <w:pStyle w:val="2"/>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18</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0.4pt;height:144pt;width:144pt;mso-position-horizontal:outside;mso-position-horizontal-relative:margin;mso-wrap-style:none;z-index:251659264;mso-width-relative:page;mso-height-relative:page;" filled="f" stroked="f" coordsize="21600,21600" o:gfxdata="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LKCVXVAAAACAEAAA8AAAAAAAAAAQAgAAAAIgAAAGRycy9kb3ducmV2LnhtbFBL&#10;AQIUABQAAAAIAIdO4kB/jq0RMgIAAGEEAAAOAAAAAAAAAAEAIAAAACQBAABkcnMvZTJvRG9jLnht&#10;bFBLBQYAAAAABgAGAFkBAADIBQAAAAA=&#10;">
              <v:fill on="f" focussize="0,0"/>
              <v:stroke on="f" weight="0.5pt"/>
              <v:imagedata o:title=""/>
              <o:lock v:ext="edit" aspectratio="f"/>
              <v:textbox inset="0mm,0mm,0mm,0mm" style="mso-fit-shape-to-text:t;">
                <w:txbxContent>
                  <w:p w14:paraId="243BEF00">
                    <w:pPr>
                      <w:pStyle w:val="2"/>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18</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C00E98"/>
    <w:rsid w:val="130D3AC2"/>
    <w:rsid w:val="56B80BA8"/>
    <w:rsid w:val="7C2509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4489</Words>
  <Characters>4504</Characters>
  <Lines>0</Lines>
  <Paragraphs>0</Paragraphs>
  <TotalTime>0</TotalTime>
  <ScaleCrop>false</ScaleCrop>
  <LinksUpToDate>false</LinksUpToDate>
  <CharactersWithSpaces>4698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2026-08-24T01:13:00Z</dcterms:created>
  <dc:creator>47086</dc:creator>
  <cp:lastModifiedBy>赞</cp:lastModifiedBy>
  <dcterms:modified xsi:type="dcterms:W3CDTF">2026-08-25T02:03:05Z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eyJoZGlkIjoiZWFjMjM0MzFkNzAyMzljZThkMWE2MDM4ODFiOTk3ZjIiLCJ1c2VySWQiOiI0NTc1MjcyOTQifQ==</vt:lpwstr>
  </property>
  <property fmtid="{D5CDD505-2E9C-101B-9397-08002B2CF9AE}" pid="4" name="ICV">
    <vt:lpwstr>9234A047556D462C9EE8B7367A070FC3_13</vt:lpwstr>
  </property>
</Properties>
</file>